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D93EE">
      <w:pPr>
        <w:pStyle w:val="12"/>
        <w:rPr>
          <w:rFonts w:ascii="宋体" w:hAnsi="宋体" w:cs="宋体"/>
          <w:color w:val="auto"/>
          <w:highlight w:val="none"/>
        </w:rPr>
      </w:pPr>
      <w:r>
        <w:rPr>
          <w:rFonts w:hint="eastAsia" w:ascii="宋体" w:hAnsi="宋体" w:cs="宋体"/>
          <w:color w:val="auto"/>
          <w:sz w:val="28"/>
          <w:szCs w:val="28"/>
          <w:highlight w:val="none"/>
        </w:rPr>
        <w:t xml:space="preserve">   </w:t>
      </w:r>
      <w:r>
        <w:rPr>
          <w:rFonts w:hint="eastAsia" w:ascii="宋体" w:hAnsi="宋体" w:cs="宋体"/>
          <w:color w:val="auto"/>
          <w:sz w:val="44"/>
          <w:szCs w:val="44"/>
          <w:highlight w:val="none"/>
        </w:rPr>
        <w:drawing>
          <wp:inline distT="0" distB="0" distL="0" distR="0">
            <wp:extent cx="850265" cy="920750"/>
            <wp:effectExtent l="0" t="0" r="0" b="0"/>
            <wp:docPr id="1" name="图片 4"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透明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850265" cy="920750"/>
                    </a:xfrm>
                    <a:prstGeom prst="rect">
                      <a:avLst/>
                    </a:prstGeom>
                    <a:noFill/>
                    <a:ln>
                      <a:noFill/>
                    </a:ln>
                  </pic:spPr>
                </pic:pic>
              </a:graphicData>
            </a:graphic>
          </wp:inline>
        </w:drawing>
      </w:r>
      <w:r>
        <w:rPr>
          <w:rFonts w:hint="eastAsia" w:ascii="宋体" w:hAnsi="宋体" w:cs="宋体"/>
          <w:color w:val="auto"/>
          <w:sz w:val="28"/>
          <w:szCs w:val="28"/>
          <w:highlight w:val="none"/>
        </w:rPr>
        <w:t xml:space="preserve">                         </w:t>
      </w:r>
      <w:r>
        <w:rPr>
          <w:rFonts w:hint="eastAsia" w:ascii="宋体" w:hAnsi="宋体" w:cs="宋体"/>
          <w:b/>
          <w:bCs/>
          <w:color w:val="auto"/>
          <w:sz w:val="24"/>
          <w:highlight w:val="none"/>
        </w:rPr>
        <w:t>项目编号：YNZC2025-J1-06282-YYZX-0692</w:t>
      </w:r>
    </w:p>
    <w:p w14:paraId="78BA736E">
      <w:pPr>
        <w:rPr>
          <w:rFonts w:ascii="宋体" w:hAnsi="宋体" w:cs="宋体"/>
          <w:color w:val="auto"/>
          <w:sz w:val="44"/>
          <w:szCs w:val="44"/>
          <w:highlight w:val="none"/>
        </w:rPr>
      </w:pPr>
      <w:r>
        <w:rPr>
          <w:rFonts w:hint="eastAsia" w:ascii="宋体" w:hAnsi="宋体" w:cs="宋体"/>
          <w:color w:val="auto"/>
          <w:sz w:val="44"/>
          <w:szCs w:val="44"/>
          <w:highlight w:val="none"/>
        </w:rPr>
        <w:t xml:space="preserve">                         </w:t>
      </w:r>
    </w:p>
    <w:p w14:paraId="70C878B3">
      <w:pPr>
        <w:jc w:val="center"/>
        <w:rPr>
          <w:rFonts w:ascii="宋体" w:hAnsi="宋体" w:cs="宋体"/>
          <w:b/>
          <w:bCs/>
          <w:color w:val="auto"/>
          <w:sz w:val="48"/>
          <w:szCs w:val="48"/>
          <w:highlight w:val="none"/>
          <w:u w:val="single"/>
        </w:rPr>
      </w:pPr>
    </w:p>
    <w:p w14:paraId="79FB7429">
      <w:pPr>
        <w:jc w:val="center"/>
        <w:rPr>
          <w:rFonts w:ascii="宋体" w:hAnsi="宋体" w:cs="宋体"/>
          <w:b/>
          <w:bCs/>
          <w:color w:val="auto"/>
          <w:sz w:val="52"/>
          <w:szCs w:val="52"/>
          <w:highlight w:val="none"/>
        </w:rPr>
      </w:pPr>
      <w:r>
        <w:rPr>
          <w:rFonts w:hint="eastAsia" w:ascii="宋体" w:hAnsi="宋体" w:cs="宋体"/>
          <w:b/>
          <w:bCs/>
          <w:color w:val="auto"/>
          <w:sz w:val="44"/>
          <w:szCs w:val="44"/>
          <w:highlight w:val="none"/>
        </w:rPr>
        <w:t>云南大学药学院本科教学药理学实验室基本设备项目采购</w:t>
      </w:r>
    </w:p>
    <w:p w14:paraId="1A52715B">
      <w:pPr>
        <w:jc w:val="center"/>
        <w:rPr>
          <w:rFonts w:ascii="宋体" w:hAnsi="宋体" w:cs="宋体"/>
          <w:color w:val="auto"/>
          <w:sz w:val="28"/>
          <w:szCs w:val="28"/>
          <w:highlight w:val="none"/>
        </w:rPr>
      </w:pPr>
      <w:r>
        <w:rPr>
          <w:rFonts w:hint="eastAsia" w:ascii="宋体" w:hAnsi="宋体" w:cs="宋体"/>
          <w:b/>
          <w:bCs/>
          <w:color w:val="auto"/>
          <w:sz w:val="28"/>
          <w:szCs w:val="28"/>
          <w:highlight w:val="none"/>
        </w:rPr>
        <w:t>代理机构自有编号：YDCOH20251983</w:t>
      </w:r>
    </w:p>
    <w:p w14:paraId="3E436411">
      <w:pPr>
        <w:pStyle w:val="12"/>
        <w:rPr>
          <w:rFonts w:ascii="宋体" w:hAnsi="宋体" w:cs="宋体"/>
          <w:color w:val="auto"/>
          <w:sz w:val="28"/>
          <w:szCs w:val="28"/>
          <w:highlight w:val="none"/>
        </w:rPr>
      </w:pPr>
    </w:p>
    <w:p w14:paraId="52A16A06">
      <w:pPr>
        <w:pStyle w:val="12"/>
        <w:rPr>
          <w:rFonts w:ascii="宋体" w:hAnsi="宋体" w:cs="宋体"/>
          <w:color w:val="auto"/>
          <w:sz w:val="28"/>
          <w:szCs w:val="28"/>
          <w:highlight w:val="none"/>
        </w:rPr>
      </w:pPr>
    </w:p>
    <w:p w14:paraId="7411348B">
      <w:pPr>
        <w:pStyle w:val="12"/>
        <w:rPr>
          <w:rFonts w:ascii="宋体" w:hAnsi="宋体" w:cs="宋体"/>
          <w:color w:val="auto"/>
          <w:sz w:val="28"/>
          <w:szCs w:val="28"/>
          <w:highlight w:val="none"/>
        </w:rPr>
      </w:pPr>
    </w:p>
    <w:p w14:paraId="6AD63364">
      <w:pPr>
        <w:jc w:val="center"/>
        <w:rPr>
          <w:rFonts w:ascii="宋体" w:hAnsi="宋体" w:cs="宋体"/>
          <w:color w:val="auto"/>
          <w:sz w:val="28"/>
          <w:szCs w:val="28"/>
          <w:highlight w:val="none"/>
        </w:rPr>
      </w:pPr>
      <w:r>
        <w:rPr>
          <w:rFonts w:hint="eastAsia" w:ascii="宋体" w:hAnsi="宋体" w:cs="宋体"/>
          <w:b/>
          <w:bCs/>
          <w:color w:val="auto"/>
          <w:sz w:val="96"/>
          <w:szCs w:val="96"/>
          <w:highlight w:val="none"/>
        </w:rPr>
        <w:t>谈判文件</w:t>
      </w:r>
      <w:r>
        <w:rPr>
          <w:rFonts w:hint="eastAsia" w:ascii="宋体" w:hAnsi="宋体" w:cs="宋体"/>
          <w:color w:val="auto"/>
          <w:sz w:val="28"/>
          <w:szCs w:val="28"/>
          <w:highlight w:val="none"/>
        </w:rPr>
        <w:t xml:space="preserve">  </w:t>
      </w:r>
    </w:p>
    <w:p w14:paraId="62943EAD">
      <w:pPr>
        <w:pStyle w:val="12"/>
        <w:tabs>
          <w:tab w:val="left" w:pos="7549"/>
        </w:tabs>
        <w:rPr>
          <w:rFonts w:ascii="宋体" w:hAnsi="宋体" w:cs="宋体"/>
          <w:color w:val="auto"/>
          <w:sz w:val="28"/>
          <w:szCs w:val="28"/>
          <w:highlight w:val="none"/>
        </w:rPr>
      </w:pPr>
      <w:r>
        <w:rPr>
          <w:rFonts w:hint="eastAsia" w:ascii="宋体" w:hAnsi="宋体" w:cs="宋体"/>
          <w:color w:val="auto"/>
          <w:sz w:val="28"/>
          <w:szCs w:val="28"/>
          <w:highlight w:val="none"/>
        </w:rPr>
        <w:tab/>
      </w:r>
    </w:p>
    <w:p w14:paraId="29FDD513">
      <w:pPr>
        <w:pStyle w:val="12"/>
        <w:rPr>
          <w:rFonts w:ascii="宋体" w:hAnsi="宋体" w:cs="宋体"/>
          <w:color w:val="auto"/>
          <w:sz w:val="28"/>
          <w:szCs w:val="28"/>
          <w:highlight w:val="none"/>
        </w:rPr>
      </w:pPr>
    </w:p>
    <w:p w14:paraId="7BA87941">
      <w:pPr>
        <w:pStyle w:val="12"/>
        <w:rPr>
          <w:rFonts w:ascii="宋体" w:hAnsi="宋体" w:cs="宋体"/>
          <w:color w:val="auto"/>
          <w:sz w:val="28"/>
          <w:szCs w:val="28"/>
          <w:highlight w:val="none"/>
        </w:rPr>
      </w:pPr>
    </w:p>
    <w:p w14:paraId="7EF1E1D5">
      <w:pPr>
        <w:pStyle w:val="12"/>
        <w:ind w:firstLine="2327" w:firstLineChars="644"/>
        <w:rPr>
          <w:rFonts w:ascii="宋体" w:hAnsi="宋体" w:cs="宋体"/>
          <w:b/>
          <w:color w:val="auto"/>
          <w:sz w:val="36"/>
          <w:szCs w:val="36"/>
          <w:highlight w:val="none"/>
        </w:rPr>
      </w:pPr>
    </w:p>
    <w:p w14:paraId="040F577A">
      <w:pPr>
        <w:pStyle w:val="12"/>
        <w:ind w:firstLine="1807" w:firstLineChars="500"/>
        <w:rPr>
          <w:rFonts w:ascii="宋体" w:hAnsi="宋体" w:cs="宋体"/>
          <w:b/>
          <w:color w:val="auto"/>
          <w:sz w:val="36"/>
          <w:szCs w:val="36"/>
          <w:highlight w:val="none"/>
          <w:u w:val="single"/>
        </w:rPr>
      </w:pPr>
      <w:r>
        <w:rPr>
          <w:rFonts w:hint="eastAsia" w:ascii="宋体" w:hAnsi="宋体" w:cs="宋体"/>
          <w:b/>
          <w:color w:val="auto"/>
          <w:sz w:val="36"/>
          <w:szCs w:val="36"/>
          <w:highlight w:val="none"/>
        </w:rPr>
        <w:t>采购人：云南大学</w:t>
      </w:r>
    </w:p>
    <w:p w14:paraId="55599A50">
      <w:pPr>
        <w:pStyle w:val="12"/>
        <w:ind w:firstLine="1807" w:firstLineChars="500"/>
        <w:rPr>
          <w:rFonts w:ascii="宋体" w:hAnsi="宋体" w:cs="宋体"/>
          <w:bCs/>
          <w:color w:val="auto"/>
          <w:sz w:val="36"/>
          <w:szCs w:val="36"/>
          <w:highlight w:val="none"/>
        </w:rPr>
      </w:pPr>
      <w:r>
        <w:rPr>
          <w:rFonts w:hint="eastAsia" w:ascii="宋体" w:hAnsi="宋体" w:cs="宋体"/>
          <w:b/>
          <w:color w:val="auto"/>
          <w:sz w:val="36"/>
          <w:szCs w:val="36"/>
          <w:highlight w:val="none"/>
        </w:rPr>
        <w:t>采购代理机构：云南元大工程咨询有限责任公司</w:t>
      </w:r>
    </w:p>
    <w:p w14:paraId="497FE2F4">
      <w:pPr>
        <w:pStyle w:val="12"/>
        <w:ind w:firstLine="1807" w:firstLineChars="500"/>
        <w:rPr>
          <w:rFonts w:ascii="宋体" w:hAnsi="宋体" w:cs="宋体"/>
          <w:color w:val="auto"/>
          <w:sz w:val="28"/>
          <w:szCs w:val="28"/>
          <w:highlight w:val="none"/>
        </w:rPr>
        <w:sectPr>
          <w:headerReference r:id="rId4" w:type="first"/>
          <w:headerReference r:id="rId3" w:type="default"/>
          <w:pgSz w:w="11906" w:h="16838"/>
          <w:pgMar w:top="1440" w:right="1083" w:bottom="1440" w:left="1083" w:header="720" w:footer="720" w:gutter="0"/>
          <w:pgNumType w:fmt="numberInDash" w:start="1"/>
          <w:cols w:space="720" w:num="1"/>
          <w:titlePg/>
          <w:docGrid w:type="lines" w:linePitch="317" w:charSpace="0"/>
        </w:sectPr>
      </w:pPr>
      <w:r>
        <w:rPr>
          <w:rFonts w:hint="eastAsia" w:ascii="宋体" w:hAnsi="宋体" w:cs="宋体"/>
          <w:b/>
          <w:color w:val="auto"/>
          <w:sz w:val="36"/>
          <w:szCs w:val="36"/>
          <w:highlight w:val="none"/>
        </w:rPr>
        <w:t>日期：2025年</w:t>
      </w:r>
      <w:r>
        <w:rPr>
          <w:rFonts w:hint="eastAsia" w:ascii="宋体" w:hAnsi="宋体" w:cs="宋体"/>
          <w:b/>
          <w:color w:val="auto"/>
          <w:sz w:val="36"/>
          <w:szCs w:val="36"/>
          <w:highlight w:val="none"/>
          <w:lang w:val="en-US" w:eastAsia="zh-CN"/>
        </w:rPr>
        <w:t>10</w:t>
      </w:r>
      <w:r>
        <w:rPr>
          <w:rFonts w:hint="eastAsia" w:ascii="宋体" w:hAnsi="宋体" w:cs="宋体"/>
          <w:b/>
          <w:color w:val="auto"/>
          <w:sz w:val="36"/>
          <w:szCs w:val="36"/>
          <w:highlight w:val="none"/>
        </w:rPr>
        <w:t>月</w:t>
      </w:r>
    </w:p>
    <w:p w14:paraId="62D1041F">
      <w:pPr>
        <w:pStyle w:val="12"/>
        <w:rPr>
          <w:rFonts w:ascii="宋体" w:hAnsi="宋体" w:cs="宋体"/>
          <w:color w:val="auto"/>
          <w:highlight w:val="none"/>
        </w:rPr>
      </w:pPr>
    </w:p>
    <w:p w14:paraId="3E526720">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目  录</w:t>
      </w:r>
    </w:p>
    <w:p w14:paraId="551E4EB4">
      <w:pPr>
        <w:pStyle w:val="21"/>
        <w:tabs>
          <w:tab w:val="right" w:leader="underscore" w:pos="9740"/>
        </w:tabs>
        <w:rPr>
          <w:i w:val="0"/>
          <w:iCs w:val="0"/>
          <w:color w:val="auto"/>
          <w:highlight w:val="none"/>
        </w:rPr>
      </w:pPr>
      <w:r>
        <w:rPr>
          <w:rFonts w:hint="eastAsia" w:ascii="宋体" w:hAnsi="宋体" w:cs="宋体"/>
          <w:b w:val="0"/>
          <w:bCs w:val="0"/>
          <w:i w:val="0"/>
          <w:iCs w:val="0"/>
          <w:caps w:val="0"/>
          <w:color w:val="auto"/>
          <w:sz w:val="22"/>
          <w:szCs w:val="22"/>
          <w:highlight w:val="none"/>
        </w:rPr>
        <w:fldChar w:fldCharType="begin"/>
      </w:r>
      <w:r>
        <w:rPr>
          <w:rFonts w:hint="eastAsia" w:ascii="宋体" w:hAnsi="宋体" w:cs="宋体"/>
          <w:b w:val="0"/>
          <w:bCs w:val="0"/>
          <w:i w:val="0"/>
          <w:iCs w:val="0"/>
          <w:caps w:val="0"/>
          <w:color w:val="auto"/>
          <w:sz w:val="22"/>
          <w:szCs w:val="22"/>
          <w:highlight w:val="none"/>
        </w:rPr>
        <w:instrText xml:space="preserve"> TOC \o "1-3" \h \z \u </w:instrText>
      </w:r>
      <w:r>
        <w:rPr>
          <w:rFonts w:hint="eastAsia" w:ascii="宋体" w:hAnsi="宋体" w:cs="宋体"/>
          <w:b w:val="0"/>
          <w:bCs w:val="0"/>
          <w:i w:val="0"/>
          <w:iCs w:val="0"/>
          <w:caps w:val="0"/>
          <w:color w:val="auto"/>
          <w:sz w:val="22"/>
          <w:szCs w:val="22"/>
          <w:highlight w:val="none"/>
        </w:rPr>
        <w:fldChar w:fldCharType="separate"/>
      </w:r>
      <w:r>
        <w:rPr>
          <w:rFonts w:hint="eastAsia" w:ascii="宋体" w:hAnsi="宋体" w:cs="宋体"/>
          <w:bCs w:val="0"/>
          <w:i w:val="0"/>
          <w:iCs w:val="0"/>
          <w:caps w:val="0"/>
          <w:color w:val="auto"/>
          <w:szCs w:val="22"/>
          <w:highlight w:val="none"/>
        </w:rPr>
        <w:fldChar w:fldCharType="begin"/>
      </w:r>
      <w:r>
        <w:rPr>
          <w:rFonts w:hint="eastAsia" w:ascii="宋体" w:hAnsi="宋体" w:cs="宋体"/>
          <w:bCs w:val="0"/>
          <w:i w:val="0"/>
          <w:iCs w:val="0"/>
          <w:caps w:val="0"/>
          <w:color w:val="auto"/>
          <w:szCs w:val="22"/>
          <w:highlight w:val="none"/>
        </w:rPr>
        <w:instrText xml:space="preserve"> HYPERLINK \l _Toc5760 </w:instrText>
      </w:r>
      <w:r>
        <w:rPr>
          <w:rFonts w:hint="eastAsia" w:ascii="宋体" w:hAnsi="宋体" w:cs="宋体"/>
          <w:bCs w:val="0"/>
          <w:i w:val="0"/>
          <w:iCs w:val="0"/>
          <w:caps w:val="0"/>
          <w:color w:val="auto"/>
          <w:szCs w:val="22"/>
          <w:highlight w:val="none"/>
        </w:rPr>
        <w:fldChar w:fldCharType="separate"/>
      </w:r>
      <w:r>
        <w:rPr>
          <w:rFonts w:hint="eastAsia" w:ascii="宋体" w:hAnsi="宋体" w:cs="宋体"/>
          <w:i w:val="0"/>
          <w:iCs w:val="0"/>
          <w:color w:val="auto"/>
          <w:highlight w:val="none"/>
        </w:rPr>
        <w:t>第一章 竞争性谈判公告</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_Toc5760 \h </w:instrText>
      </w:r>
      <w:r>
        <w:rPr>
          <w:i w:val="0"/>
          <w:iCs w:val="0"/>
          <w:color w:val="auto"/>
          <w:highlight w:val="none"/>
        </w:rPr>
        <w:fldChar w:fldCharType="separate"/>
      </w:r>
      <w:r>
        <w:rPr>
          <w:i w:val="0"/>
          <w:iCs w:val="0"/>
          <w:color w:val="auto"/>
          <w:highlight w:val="none"/>
        </w:rPr>
        <w:t>1</w:t>
      </w:r>
      <w:r>
        <w:rPr>
          <w:i w:val="0"/>
          <w:iCs w:val="0"/>
          <w:color w:val="auto"/>
          <w:highlight w:val="none"/>
        </w:rPr>
        <w:fldChar w:fldCharType="end"/>
      </w:r>
      <w:r>
        <w:rPr>
          <w:rFonts w:hint="eastAsia" w:ascii="宋体" w:hAnsi="宋体" w:cs="宋体"/>
          <w:bCs w:val="0"/>
          <w:i w:val="0"/>
          <w:iCs w:val="0"/>
          <w:caps w:val="0"/>
          <w:color w:val="auto"/>
          <w:szCs w:val="22"/>
          <w:highlight w:val="none"/>
        </w:rPr>
        <w:fldChar w:fldCharType="end"/>
      </w:r>
    </w:p>
    <w:p w14:paraId="2E9F4ACA">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_Toc7389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一、项目基本情况</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_Toc7389 \h </w:instrText>
      </w:r>
      <w:r>
        <w:rPr>
          <w:i w:val="0"/>
          <w:iCs w:val="0"/>
          <w:color w:val="auto"/>
          <w:highlight w:val="none"/>
        </w:rPr>
        <w:fldChar w:fldCharType="separate"/>
      </w:r>
      <w:r>
        <w:rPr>
          <w:i w:val="0"/>
          <w:iCs w:val="0"/>
          <w:color w:val="auto"/>
          <w:highlight w:val="none"/>
        </w:rPr>
        <w:t>1</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9558F6F">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_Toc19288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二、申请人的资格要求</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_Toc19288 \h </w:instrText>
      </w:r>
      <w:r>
        <w:rPr>
          <w:i w:val="0"/>
          <w:iCs w:val="0"/>
          <w:color w:val="auto"/>
          <w:highlight w:val="none"/>
        </w:rPr>
        <w:fldChar w:fldCharType="separate"/>
      </w:r>
      <w:r>
        <w:rPr>
          <w:i w:val="0"/>
          <w:iCs w:val="0"/>
          <w:color w:val="auto"/>
          <w:highlight w:val="none"/>
        </w:rPr>
        <w:t>2</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2E078459">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_Toc21861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三、获取采购文件</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_Toc21861 \h </w:instrText>
      </w:r>
      <w:r>
        <w:rPr>
          <w:i w:val="0"/>
          <w:iCs w:val="0"/>
          <w:color w:val="auto"/>
          <w:highlight w:val="none"/>
        </w:rPr>
        <w:fldChar w:fldCharType="separate"/>
      </w:r>
      <w:r>
        <w:rPr>
          <w:i w:val="0"/>
          <w:iCs w:val="0"/>
          <w:color w:val="auto"/>
          <w:highlight w:val="none"/>
        </w:rPr>
        <w:t>3</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E95C805">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_Toc10292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四、响应文件提交</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_Toc10292 \h </w:instrText>
      </w:r>
      <w:r>
        <w:rPr>
          <w:i w:val="0"/>
          <w:iCs w:val="0"/>
          <w:color w:val="auto"/>
          <w:highlight w:val="none"/>
        </w:rPr>
        <w:fldChar w:fldCharType="separate"/>
      </w:r>
      <w:r>
        <w:rPr>
          <w:i w:val="0"/>
          <w:iCs w:val="0"/>
          <w:color w:val="auto"/>
          <w:highlight w:val="none"/>
        </w:rPr>
        <w:t>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4D350766">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_Toc2195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五、开启</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_Toc2195 \h </w:instrText>
      </w:r>
      <w:r>
        <w:rPr>
          <w:i w:val="0"/>
          <w:iCs w:val="0"/>
          <w:color w:val="auto"/>
          <w:highlight w:val="none"/>
        </w:rPr>
        <w:fldChar w:fldCharType="separate"/>
      </w:r>
      <w:r>
        <w:rPr>
          <w:i w:val="0"/>
          <w:iCs w:val="0"/>
          <w:color w:val="auto"/>
          <w:highlight w:val="none"/>
        </w:rPr>
        <w:t>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4A8C90AB">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_Toc6661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六、公告期限</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_Toc6661 \h </w:instrText>
      </w:r>
      <w:r>
        <w:rPr>
          <w:i w:val="0"/>
          <w:iCs w:val="0"/>
          <w:color w:val="auto"/>
          <w:highlight w:val="none"/>
        </w:rPr>
        <w:fldChar w:fldCharType="separate"/>
      </w:r>
      <w:r>
        <w:rPr>
          <w:i w:val="0"/>
          <w:iCs w:val="0"/>
          <w:color w:val="auto"/>
          <w:highlight w:val="none"/>
        </w:rPr>
        <w:t>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6A6DFFF">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_Toc22317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七、其他补充事宜</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_Toc22317 \h </w:instrText>
      </w:r>
      <w:r>
        <w:rPr>
          <w:i w:val="0"/>
          <w:iCs w:val="0"/>
          <w:color w:val="auto"/>
          <w:highlight w:val="none"/>
        </w:rPr>
        <w:fldChar w:fldCharType="separate"/>
      </w:r>
      <w:r>
        <w:rPr>
          <w:i w:val="0"/>
          <w:iCs w:val="0"/>
          <w:color w:val="auto"/>
          <w:highlight w:val="none"/>
        </w:rPr>
        <w:t>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6452BDE6">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_Toc28587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bCs w:val="0"/>
          <w:i w:val="0"/>
          <w:iCs w:val="0"/>
          <w:color w:val="auto"/>
          <w:szCs w:val="24"/>
          <w:highlight w:val="none"/>
        </w:rPr>
        <w:t>八、凡对本次采购提出询问，请按以下方式联系</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_Toc28587 \h </w:instrText>
      </w:r>
      <w:r>
        <w:rPr>
          <w:i w:val="0"/>
          <w:iCs w:val="0"/>
          <w:color w:val="auto"/>
          <w:highlight w:val="none"/>
        </w:rPr>
        <w:fldChar w:fldCharType="separate"/>
      </w:r>
      <w:r>
        <w:rPr>
          <w:i w:val="0"/>
          <w:iCs w:val="0"/>
          <w:color w:val="auto"/>
          <w:highlight w:val="none"/>
        </w:rPr>
        <w:t>5</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9337A33">
      <w:pPr>
        <w:pStyle w:val="21"/>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_Toc2307 </w:instrText>
      </w:r>
      <w:r>
        <w:rPr>
          <w:rFonts w:hint="eastAsia" w:ascii="宋体" w:hAnsi="宋体" w:cs="宋体"/>
          <w:bCs/>
          <w:i w:val="0"/>
          <w:iCs w:val="0"/>
          <w:caps/>
          <w:color w:val="auto"/>
          <w:szCs w:val="22"/>
          <w:highlight w:val="none"/>
        </w:rPr>
        <w:fldChar w:fldCharType="separate"/>
      </w:r>
      <w:r>
        <w:rPr>
          <w:rFonts w:hint="eastAsia" w:ascii="宋体" w:hAnsi="宋体" w:cs="宋体"/>
          <w:bCs w:val="0"/>
          <w:i w:val="0"/>
          <w:iCs w:val="0"/>
          <w:color w:val="auto"/>
          <w:highlight w:val="none"/>
        </w:rPr>
        <w:t>第二章 供应商须知</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_Toc2307 \h </w:instrText>
      </w:r>
      <w:r>
        <w:rPr>
          <w:i w:val="0"/>
          <w:iCs w:val="0"/>
          <w:color w:val="auto"/>
          <w:highlight w:val="none"/>
        </w:rPr>
        <w:fldChar w:fldCharType="separate"/>
      </w:r>
      <w:r>
        <w:rPr>
          <w:i w:val="0"/>
          <w:iCs w:val="0"/>
          <w:color w:val="auto"/>
          <w:highlight w:val="none"/>
        </w:rPr>
        <w:t>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FD4AEC8">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_Toc23670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供应商须知前附表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_Toc23670 \h </w:instrText>
      </w:r>
      <w:r>
        <w:rPr>
          <w:i w:val="0"/>
          <w:iCs w:val="0"/>
          <w:color w:val="auto"/>
          <w:highlight w:val="none"/>
        </w:rPr>
        <w:fldChar w:fldCharType="separate"/>
      </w:r>
      <w:r>
        <w:rPr>
          <w:i w:val="0"/>
          <w:iCs w:val="0"/>
          <w:color w:val="auto"/>
          <w:highlight w:val="none"/>
        </w:rPr>
        <w:t>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18102922">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_Toc27607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1. 总则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_Toc27607 \h </w:instrText>
      </w:r>
      <w:r>
        <w:rPr>
          <w:i w:val="0"/>
          <w:iCs w:val="0"/>
          <w:color w:val="auto"/>
          <w:highlight w:val="none"/>
        </w:rPr>
        <w:fldChar w:fldCharType="separate"/>
      </w:r>
      <w:r>
        <w:rPr>
          <w:i w:val="0"/>
          <w:iCs w:val="0"/>
          <w:color w:val="auto"/>
          <w:highlight w:val="none"/>
        </w:rPr>
        <w:t>12</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7D20826">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_Toc10229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2. 谈判文件</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_Toc10229 \h </w:instrText>
      </w:r>
      <w:r>
        <w:rPr>
          <w:i w:val="0"/>
          <w:iCs w:val="0"/>
          <w:color w:val="auto"/>
          <w:highlight w:val="none"/>
        </w:rPr>
        <w:fldChar w:fldCharType="separate"/>
      </w:r>
      <w:r>
        <w:rPr>
          <w:i w:val="0"/>
          <w:iCs w:val="0"/>
          <w:color w:val="auto"/>
          <w:highlight w:val="none"/>
        </w:rPr>
        <w:t>13</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9AF94F0">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_Toc24207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3. 响应文件</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_Toc24207 \h </w:instrText>
      </w:r>
      <w:r>
        <w:rPr>
          <w:i w:val="0"/>
          <w:iCs w:val="0"/>
          <w:color w:val="auto"/>
          <w:highlight w:val="none"/>
        </w:rPr>
        <w:fldChar w:fldCharType="separate"/>
      </w:r>
      <w:r>
        <w:rPr>
          <w:i w:val="0"/>
          <w:iCs w:val="0"/>
          <w:color w:val="auto"/>
          <w:highlight w:val="none"/>
        </w:rPr>
        <w:t>14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6DC28616">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_Toc15572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4. 递交</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_Toc15572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29D4EA70">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_Toc4858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5. 开启时间和地点</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_Toc4858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92F49F6">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_Toc6172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6. 评审</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_Toc6172 \h </w:instrText>
      </w:r>
      <w:r>
        <w:rPr>
          <w:i w:val="0"/>
          <w:iCs w:val="0"/>
          <w:color w:val="auto"/>
          <w:highlight w:val="none"/>
        </w:rPr>
        <w:fldChar w:fldCharType="separate"/>
      </w:r>
      <w:r>
        <w:rPr>
          <w:i w:val="0"/>
          <w:iCs w:val="0"/>
          <w:color w:val="auto"/>
          <w:highlight w:val="none"/>
        </w:rPr>
        <w:t>16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1921B5A">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_Toc8872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7. 成交和合同</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_Toc8872 \h </w:instrText>
      </w:r>
      <w:r>
        <w:rPr>
          <w:i w:val="0"/>
          <w:iCs w:val="0"/>
          <w:color w:val="auto"/>
          <w:highlight w:val="none"/>
        </w:rPr>
        <w:fldChar w:fldCharType="separate"/>
      </w:r>
      <w:r>
        <w:rPr>
          <w:i w:val="0"/>
          <w:iCs w:val="0"/>
          <w:color w:val="auto"/>
          <w:highlight w:val="none"/>
        </w:rPr>
        <w:t>16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6F9C9B30">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_Toc25370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8.询问与答复</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_Toc25370 \h </w:instrText>
      </w:r>
      <w:r>
        <w:rPr>
          <w:i w:val="0"/>
          <w:iCs w:val="0"/>
          <w:color w:val="auto"/>
          <w:highlight w:val="none"/>
        </w:rPr>
        <w:fldChar w:fldCharType="separate"/>
      </w:r>
      <w:r>
        <w:rPr>
          <w:i w:val="0"/>
          <w:iCs w:val="0"/>
          <w:color w:val="auto"/>
          <w:highlight w:val="none"/>
        </w:rPr>
        <w:t>17</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A8865D1">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_Toc14254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9.质疑接收、回复</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_Toc14254 \h </w:instrText>
      </w:r>
      <w:r>
        <w:rPr>
          <w:i w:val="0"/>
          <w:iCs w:val="0"/>
          <w:color w:val="auto"/>
          <w:highlight w:val="none"/>
        </w:rPr>
        <w:fldChar w:fldCharType="separate"/>
      </w:r>
      <w:r>
        <w:rPr>
          <w:i w:val="0"/>
          <w:iCs w:val="0"/>
          <w:color w:val="auto"/>
          <w:highlight w:val="none"/>
        </w:rPr>
        <w:t>17</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0E78B43B">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_Toc5546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10. 纪律和监督</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_Toc5546 \h </w:instrText>
      </w:r>
      <w:r>
        <w:rPr>
          <w:i w:val="0"/>
          <w:iCs w:val="0"/>
          <w:color w:val="auto"/>
          <w:highlight w:val="none"/>
        </w:rPr>
        <w:fldChar w:fldCharType="separate"/>
      </w:r>
      <w:r>
        <w:rPr>
          <w:i w:val="0"/>
          <w:iCs w:val="0"/>
          <w:color w:val="auto"/>
          <w:highlight w:val="none"/>
        </w:rPr>
        <w:t>18</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7202E38">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_Toc20546 </w:instrText>
      </w:r>
      <w:r>
        <w:rPr>
          <w:rFonts w:hint="eastAsia" w:ascii="宋体" w:hAnsi="宋体" w:cs="宋体"/>
          <w:bCs/>
          <w:i w:val="0"/>
          <w:iCs w:val="0"/>
          <w:caps/>
          <w:color w:val="auto"/>
          <w:szCs w:val="22"/>
          <w:highlight w:val="none"/>
        </w:rPr>
        <w:fldChar w:fldCharType="separate"/>
      </w:r>
      <w:r>
        <w:rPr>
          <w:rFonts w:hint="eastAsia" w:ascii="宋体" w:hAnsi="宋体" w:eastAsia="宋体" w:cs="宋体"/>
          <w:i w:val="0"/>
          <w:iCs w:val="0"/>
          <w:color w:val="auto"/>
          <w:szCs w:val="28"/>
          <w:highlight w:val="none"/>
        </w:rPr>
        <w:t>11. 需要补充的其他内容</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_Toc20546 \h </w:instrText>
      </w:r>
      <w:r>
        <w:rPr>
          <w:i w:val="0"/>
          <w:iCs w:val="0"/>
          <w:color w:val="auto"/>
          <w:highlight w:val="none"/>
        </w:rPr>
        <w:fldChar w:fldCharType="separate"/>
      </w:r>
      <w:r>
        <w:rPr>
          <w:i w:val="0"/>
          <w:iCs w:val="0"/>
          <w:color w:val="auto"/>
          <w:highlight w:val="none"/>
        </w:rPr>
        <w:t>19</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2E03D0D4">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_Toc11201 </w:instrText>
      </w:r>
      <w:r>
        <w:rPr>
          <w:rFonts w:hint="eastAsia" w:ascii="宋体" w:hAnsi="宋体" w:cs="宋体"/>
          <w:bCs/>
          <w:i w:val="0"/>
          <w:iCs w:val="0"/>
          <w:caps/>
          <w:color w:val="auto"/>
          <w:szCs w:val="22"/>
          <w:highlight w:val="none"/>
        </w:rPr>
        <w:fldChar w:fldCharType="separate"/>
      </w:r>
      <w:r>
        <w:rPr>
          <w:rFonts w:hint="eastAsia" w:ascii="宋体" w:hAnsi="宋体" w:eastAsia="宋体"/>
          <w:i w:val="0"/>
          <w:iCs w:val="0"/>
          <w:color w:val="auto"/>
          <w:szCs w:val="28"/>
          <w:highlight w:val="none"/>
        </w:rPr>
        <w:t>12</w:t>
      </w:r>
      <w:r>
        <w:rPr>
          <w:rFonts w:ascii="宋体" w:hAnsi="宋体" w:eastAsia="宋体"/>
          <w:i w:val="0"/>
          <w:iCs w:val="0"/>
          <w:color w:val="auto"/>
          <w:szCs w:val="28"/>
          <w:highlight w:val="none"/>
        </w:rPr>
        <w:t>.中小企业、监狱企业及残疾人福利性单位</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_Toc11201 \h </w:instrText>
      </w:r>
      <w:r>
        <w:rPr>
          <w:i w:val="0"/>
          <w:iCs w:val="0"/>
          <w:color w:val="auto"/>
          <w:highlight w:val="none"/>
        </w:rPr>
        <w:fldChar w:fldCharType="separate"/>
      </w:r>
      <w:r>
        <w:rPr>
          <w:i w:val="0"/>
          <w:iCs w:val="0"/>
          <w:color w:val="auto"/>
          <w:highlight w:val="none"/>
        </w:rPr>
        <w:t>19</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4785B9EB">
      <w:pPr>
        <w:pStyle w:val="2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_Toc7326 </w:instrText>
      </w:r>
      <w:r>
        <w:rPr>
          <w:rFonts w:hint="eastAsia" w:ascii="宋体" w:hAnsi="宋体" w:cs="宋体"/>
          <w:bCs/>
          <w:i w:val="0"/>
          <w:iCs w:val="0"/>
          <w:caps/>
          <w:color w:val="auto"/>
          <w:szCs w:val="22"/>
          <w:highlight w:val="none"/>
        </w:rPr>
        <w:fldChar w:fldCharType="separate"/>
      </w:r>
      <w:r>
        <w:rPr>
          <w:rFonts w:hint="eastAsia" w:ascii="宋体" w:hAnsi="宋体" w:eastAsia="宋体"/>
          <w:i w:val="0"/>
          <w:iCs w:val="0"/>
          <w:color w:val="auto"/>
          <w:szCs w:val="28"/>
          <w:highlight w:val="none"/>
        </w:rPr>
        <w:t>13</w:t>
      </w:r>
      <w:r>
        <w:rPr>
          <w:rFonts w:ascii="宋体" w:hAnsi="宋体" w:eastAsia="宋体"/>
          <w:i w:val="0"/>
          <w:iCs w:val="0"/>
          <w:color w:val="auto"/>
          <w:szCs w:val="28"/>
          <w:highlight w:val="none"/>
        </w:rPr>
        <w:t>.政府采购节能产品、环境标志产品</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_Toc7326 \h </w:instrText>
      </w:r>
      <w:r>
        <w:rPr>
          <w:i w:val="0"/>
          <w:iCs w:val="0"/>
          <w:color w:val="auto"/>
          <w:highlight w:val="none"/>
        </w:rPr>
        <w:fldChar w:fldCharType="separate"/>
      </w:r>
      <w:r>
        <w:rPr>
          <w:i w:val="0"/>
          <w:iCs w:val="0"/>
          <w:color w:val="auto"/>
          <w:highlight w:val="none"/>
        </w:rPr>
        <w:t>24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0F6356C1">
      <w:pPr>
        <w:pStyle w:val="21"/>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_Toc4204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第三章 评审办法</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_Toc4204 \h </w:instrText>
      </w:r>
      <w:r>
        <w:rPr>
          <w:i w:val="0"/>
          <w:iCs w:val="0"/>
          <w:color w:val="auto"/>
          <w:highlight w:val="none"/>
        </w:rPr>
        <w:fldChar w:fldCharType="separate"/>
      </w:r>
      <w:r>
        <w:rPr>
          <w:i w:val="0"/>
          <w:iCs w:val="0"/>
          <w:color w:val="auto"/>
          <w:highlight w:val="none"/>
        </w:rPr>
        <w:t>26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26ABE704">
      <w:pPr>
        <w:pStyle w:val="21"/>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_Toc12421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第四章 合同草案条款及格式</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_Toc12421 \h </w:instrText>
      </w:r>
      <w:r>
        <w:rPr>
          <w:i w:val="0"/>
          <w:iCs w:val="0"/>
          <w:color w:val="auto"/>
          <w:highlight w:val="none"/>
        </w:rPr>
        <w:fldChar w:fldCharType="separate"/>
      </w:r>
      <w:r>
        <w:rPr>
          <w:i w:val="0"/>
          <w:iCs w:val="0"/>
          <w:color w:val="auto"/>
          <w:highlight w:val="none"/>
        </w:rPr>
        <w:t>26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1126DCD7">
      <w:pPr>
        <w:pStyle w:val="21"/>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_Toc12700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第五章 采购内容及要求</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_Toc12700 \h </w:instrText>
      </w:r>
      <w:r>
        <w:rPr>
          <w:i w:val="0"/>
          <w:iCs w:val="0"/>
          <w:color w:val="auto"/>
          <w:highlight w:val="none"/>
        </w:rPr>
        <w:fldChar w:fldCharType="separate"/>
      </w:r>
      <w:r>
        <w:rPr>
          <w:i w:val="0"/>
          <w:iCs w:val="0"/>
          <w:color w:val="auto"/>
          <w:highlight w:val="none"/>
        </w:rPr>
        <w:t>36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6BBD0C91">
      <w:pPr>
        <w:pStyle w:val="21"/>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_Toc20062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第六章 响应文件格式</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_Toc20062 \h </w:instrText>
      </w:r>
      <w:r>
        <w:rPr>
          <w:i w:val="0"/>
          <w:iCs w:val="0"/>
          <w:color w:val="auto"/>
          <w:highlight w:val="none"/>
        </w:rPr>
        <w:fldChar w:fldCharType="separate"/>
      </w:r>
      <w:r>
        <w:rPr>
          <w:i w:val="0"/>
          <w:iCs w:val="0"/>
          <w:color w:val="auto"/>
          <w:highlight w:val="none"/>
        </w:rPr>
        <w:t>49</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98D5E8F">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_Toc2934 </w:instrText>
      </w:r>
      <w:r>
        <w:rPr>
          <w:rFonts w:hint="eastAsia" w:ascii="宋体" w:hAnsi="宋体" w:cs="宋体"/>
          <w:bCs/>
          <w:i w:val="0"/>
          <w:iCs w:val="0"/>
          <w:caps/>
          <w:color w:val="auto"/>
          <w:szCs w:val="22"/>
          <w:highlight w:val="none"/>
        </w:rPr>
        <w:fldChar w:fldCharType="separate"/>
      </w:r>
      <w:r>
        <w:rPr>
          <w:rFonts w:hint="eastAsia" w:ascii="宋体" w:hAnsi="宋体" w:cs="宋体"/>
          <w:bCs/>
          <w:i w:val="0"/>
          <w:iCs w:val="0"/>
          <w:color w:val="auto"/>
          <w:szCs w:val="44"/>
          <w:highlight w:val="none"/>
        </w:rPr>
        <w:t>资格审查部分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_Toc2934 \h </w:instrText>
      </w:r>
      <w:r>
        <w:rPr>
          <w:i w:val="0"/>
          <w:iCs w:val="0"/>
          <w:color w:val="auto"/>
          <w:highlight w:val="none"/>
        </w:rPr>
        <w:fldChar w:fldCharType="separate"/>
      </w:r>
      <w:r>
        <w:rPr>
          <w:i w:val="0"/>
          <w:iCs w:val="0"/>
          <w:color w:val="auto"/>
          <w:highlight w:val="none"/>
        </w:rPr>
        <w:t>50</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6028988">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_Toc32710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一、具有独立承担民事责任的能力</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_Toc32710 \h </w:instrText>
      </w:r>
      <w:r>
        <w:rPr>
          <w:i w:val="0"/>
          <w:iCs w:val="0"/>
          <w:color w:val="auto"/>
          <w:highlight w:val="none"/>
        </w:rPr>
        <w:fldChar w:fldCharType="separate"/>
      </w:r>
      <w:r>
        <w:rPr>
          <w:i w:val="0"/>
          <w:iCs w:val="0"/>
          <w:color w:val="auto"/>
          <w:highlight w:val="none"/>
        </w:rPr>
        <w:t>51</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46E9C067">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_Toc12033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二、具有良好的商业信誉和健全的财务会计制度</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_Toc12033 \h </w:instrText>
      </w:r>
      <w:r>
        <w:rPr>
          <w:i w:val="0"/>
          <w:iCs w:val="0"/>
          <w:color w:val="auto"/>
          <w:highlight w:val="none"/>
        </w:rPr>
        <w:fldChar w:fldCharType="separate"/>
      </w:r>
      <w:r>
        <w:rPr>
          <w:i w:val="0"/>
          <w:iCs w:val="0"/>
          <w:color w:val="auto"/>
          <w:highlight w:val="none"/>
        </w:rPr>
        <w:t>51</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21953489">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_Toc4095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三、具有履行合同所必需的设备和专业技术能力</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_Toc4095 \h </w:instrText>
      </w:r>
      <w:r>
        <w:rPr>
          <w:i w:val="0"/>
          <w:iCs w:val="0"/>
          <w:color w:val="auto"/>
          <w:highlight w:val="none"/>
        </w:rPr>
        <w:fldChar w:fldCharType="separate"/>
      </w:r>
      <w:r>
        <w:rPr>
          <w:i w:val="0"/>
          <w:iCs w:val="0"/>
          <w:color w:val="auto"/>
          <w:highlight w:val="none"/>
        </w:rPr>
        <w:t>51</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99BE81D">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_Toc10087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四、有依法缴纳税收和社会保障资金的良好记录</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_Toc10087 \h </w:instrText>
      </w:r>
      <w:r>
        <w:rPr>
          <w:i w:val="0"/>
          <w:iCs w:val="0"/>
          <w:color w:val="auto"/>
          <w:highlight w:val="none"/>
        </w:rPr>
        <w:fldChar w:fldCharType="separate"/>
      </w:r>
      <w:r>
        <w:rPr>
          <w:i w:val="0"/>
          <w:iCs w:val="0"/>
          <w:color w:val="auto"/>
          <w:highlight w:val="none"/>
        </w:rPr>
        <w:t>52</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045F4504">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_Toc24245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五、参加政府采购活动前三年内，在经营活动中没有重大违法记录</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_Toc24245 \h </w:instrText>
      </w:r>
      <w:r>
        <w:rPr>
          <w:i w:val="0"/>
          <w:iCs w:val="0"/>
          <w:color w:val="auto"/>
          <w:highlight w:val="none"/>
        </w:rPr>
        <w:fldChar w:fldCharType="separate"/>
      </w:r>
      <w:r>
        <w:rPr>
          <w:i w:val="0"/>
          <w:iCs w:val="0"/>
          <w:color w:val="auto"/>
          <w:highlight w:val="none"/>
        </w:rPr>
        <w:t>53</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3C0EB06">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_Toc31273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highlight w:val="none"/>
        </w:rPr>
        <w:t>六、其他</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_Toc31273 \h </w:instrText>
      </w:r>
      <w:r>
        <w:rPr>
          <w:i w:val="0"/>
          <w:iCs w:val="0"/>
          <w:color w:val="auto"/>
          <w:highlight w:val="none"/>
        </w:rPr>
        <w:fldChar w:fldCharType="separate"/>
      </w:r>
      <w:r>
        <w:rPr>
          <w:i w:val="0"/>
          <w:iCs w:val="0"/>
          <w:color w:val="auto"/>
          <w:highlight w:val="none"/>
        </w:rPr>
        <w:t>54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763223D8">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_Toc30177 </w:instrText>
      </w:r>
      <w:r>
        <w:rPr>
          <w:rFonts w:hint="eastAsia" w:ascii="宋体" w:hAnsi="宋体" w:cs="宋体"/>
          <w:bCs/>
          <w:i w:val="0"/>
          <w:iCs w:val="0"/>
          <w:caps/>
          <w:color w:val="auto"/>
          <w:szCs w:val="22"/>
          <w:highlight w:val="none"/>
        </w:rPr>
        <w:fldChar w:fldCharType="separate"/>
      </w:r>
      <w:r>
        <w:rPr>
          <w:rFonts w:hint="eastAsia" w:ascii="宋体" w:hAnsi="宋体" w:cs="宋体"/>
          <w:bCs/>
          <w:i w:val="0"/>
          <w:iCs w:val="0"/>
          <w:color w:val="auto"/>
          <w:szCs w:val="44"/>
          <w:highlight w:val="none"/>
        </w:rPr>
        <w:t>商务技术部分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_Toc30177 \h </w:instrText>
      </w:r>
      <w:r>
        <w:rPr>
          <w:i w:val="0"/>
          <w:iCs w:val="0"/>
          <w:color w:val="auto"/>
          <w:highlight w:val="none"/>
        </w:rPr>
        <w:fldChar w:fldCharType="separate"/>
      </w:r>
      <w:r>
        <w:rPr>
          <w:i w:val="0"/>
          <w:iCs w:val="0"/>
          <w:color w:val="auto"/>
          <w:highlight w:val="none"/>
        </w:rPr>
        <w:t>55</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4C315DA">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_Toc8686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一、初次报价表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_Toc8686 \h </w:instrText>
      </w:r>
      <w:r>
        <w:rPr>
          <w:i w:val="0"/>
          <w:iCs w:val="0"/>
          <w:color w:val="auto"/>
          <w:highlight w:val="none"/>
        </w:rPr>
        <w:fldChar w:fldCharType="separate"/>
      </w:r>
      <w:r>
        <w:rPr>
          <w:i w:val="0"/>
          <w:iCs w:val="0"/>
          <w:color w:val="auto"/>
          <w:highlight w:val="none"/>
        </w:rPr>
        <w:t>56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68B492F4">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_Toc25560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二、谈判函</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_Toc25560 \h </w:instrText>
      </w:r>
      <w:r>
        <w:rPr>
          <w:i w:val="0"/>
          <w:iCs w:val="0"/>
          <w:color w:val="auto"/>
          <w:highlight w:val="none"/>
        </w:rPr>
        <w:fldChar w:fldCharType="separate"/>
      </w:r>
      <w:r>
        <w:rPr>
          <w:i w:val="0"/>
          <w:iCs w:val="0"/>
          <w:color w:val="auto"/>
          <w:highlight w:val="none"/>
        </w:rPr>
        <w:t>57</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2A010BEB">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_Toc8409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三、法定代表人(单位负责人)身份证明书</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_Toc8409 \h </w:instrText>
      </w:r>
      <w:r>
        <w:rPr>
          <w:i w:val="0"/>
          <w:iCs w:val="0"/>
          <w:color w:val="auto"/>
          <w:highlight w:val="none"/>
        </w:rPr>
        <w:fldChar w:fldCharType="separate"/>
      </w:r>
      <w:r>
        <w:rPr>
          <w:i w:val="0"/>
          <w:iCs w:val="0"/>
          <w:color w:val="auto"/>
          <w:highlight w:val="none"/>
        </w:rPr>
        <w:t>58</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C1F6632">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_Toc8905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四、授权委托书</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_Toc8905 \h </w:instrText>
      </w:r>
      <w:r>
        <w:rPr>
          <w:i w:val="0"/>
          <w:iCs w:val="0"/>
          <w:color w:val="auto"/>
          <w:highlight w:val="none"/>
        </w:rPr>
        <w:fldChar w:fldCharType="separate"/>
      </w:r>
      <w:r>
        <w:rPr>
          <w:i w:val="0"/>
          <w:iCs w:val="0"/>
          <w:color w:val="auto"/>
          <w:highlight w:val="none"/>
        </w:rPr>
        <w:t>59</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118A51DA">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_Toc28301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五、供应商基本情况表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_Toc28301 \h </w:instrText>
      </w:r>
      <w:r>
        <w:rPr>
          <w:i w:val="0"/>
          <w:iCs w:val="0"/>
          <w:color w:val="auto"/>
          <w:highlight w:val="none"/>
        </w:rPr>
        <w:fldChar w:fldCharType="separate"/>
      </w:r>
      <w:r>
        <w:rPr>
          <w:i w:val="0"/>
          <w:iCs w:val="0"/>
          <w:color w:val="auto"/>
          <w:highlight w:val="none"/>
        </w:rPr>
        <w:t>60</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5E58EC4B">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_Toc24888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六、谈判保证金</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_Toc24888 \h </w:instrText>
      </w:r>
      <w:r>
        <w:rPr>
          <w:i w:val="0"/>
          <w:iCs w:val="0"/>
          <w:color w:val="auto"/>
          <w:highlight w:val="none"/>
        </w:rPr>
        <w:fldChar w:fldCharType="separate"/>
      </w:r>
      <w:r>
        <w:rPr>
          <w:i w:val="0"/>
          <w:iCs w:val="0"/>
          <w:color w:val="auto"/>
          <w:highlight w:val="none"/>
        </w:rPr>
        <w:t>61</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C208E35">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_Toc26434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七、商务条款偏离表和技术规格偏离表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_Toc26434 \h </w:instrText>
      </w:r>
      <w:r>
        <w:rPr>
          <w:i w:val="0"/>
          <w:iCs w:val="0"/>
          <w:color w:val="auto"/>
          <w:highlight w:val="none"/>
        </w:rPr>
        <w:fldChar w:fldCharType="separate"/>
      </w:r>
      <w:r>
        <w:rPr>
          <w:i w:val="0"/>
          <w:iCs w:val="0"/>
          <w:color w:val="auto"/>
          <w:highlight w:val="none"/>
        </w:rPr>
        <w:t>62</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0F1F8ECA">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_Toc23347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八、分项报价表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_Toc23347 \h </w:instrText>
      </w:r>
      <w:r>
        <w:rPr>
          <w:i w:val="0"/>
          <w:iCs w:val="0"/>
          <w:color w:val="auto"/>
          <w:highlight w:val="none"/>
        </w:rPr>
        <w:fldChar w:fldCharType="separate"/>
      </w:r>
      <w:r>
        <w:rPr>
          <w:i w:val="0"/>
          <w:iCs w:val="0"/>
          <w:color w:val="auto"/>
          <w:highlight w:val="none"/>
        </w:rPr>
        <w:t>64</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4B848DD3">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_Toc19613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九、类似项目业绩表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_Toc19613 \h </w:instrText>
      </w:r>
      <w:r>
        <w:rPr>
          <w:i w:val="0"/>
          <w:iCs w:val="0"/>
          <w:color w:val="auto"/>
          <w:highlight w:val="none"/>
        </w:rPr>
        <w:fldChar w:fldCharType="separate"/>
      </w:r>
      <w:r>
        <w:rPr>
          <w:i w:val="0"/>
          <w:iCs w:val="0"/>
          <w:color w:val="auto"/>
          <w:highlight w:val="none"/>
        </w:rPr>
        <w:t>65</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0B12FD78">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_Toc12890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十、售后服务</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_Toc12890 \h </w:instrText>
      </w:r>
      <w:r>
        <w:rPr>
          <w:i w:val="0"/>
          <w:iCs w:val="0"/>
          <w:color w:val="auto"/>
          <w:highlight w:val="none"/>
        </w:rPr>
        <w:fldChar w:fldCharType="separate"/>
      </w:r>
      <w:r>
        <w:rPr>
          <w:i w:val="0"/>
          <w:iCs w:val="0"/>
          <w:color w:val="auto"/>
          <w:highlight w:val="none"/>
        </w:rPr>
        <w:t>66</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6FC89CE0">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_Toc11815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十一、质量保证及保障承诺</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_Toc11815 \h </w:instrText>
      </w:r>
      <w:r>
        <w:rPr>
          <w:i w:val="0"/>
          <w:iCs w:val="0"/>
          <w:color w:val="auto"/>
          <w:highlight w:val="none"/>
        </w:rPr>
        <w:fldChar w:fldCharType="separate"/>
      </w:r>
      <w:r>
        <w:rPr>
          <w:i w:val="0"/>
          <w:iCs w:val="0"/>
          <w:color w:val="auto"/>
          <w:highlight w:val="none"/>
        </w:rPr>
        <w:t>67</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13587123">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_Toc25322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十二、供货实施及安装调试方案</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_Toc25322 \h </w:instrText>
      </w:r>
      <w:r>
        <w:rPr>
          <w:i w:val="0"/>
          <w:iCs w:val="0"/>
          <w:color w:val="auto"/>
          <w:highlight w:val="none"/>
        </w:rPr>
        <w:fldChar w:fldCharType="separate"/>
      </w:r>
      <w:r>
        <w:rPr>
          <w:i w:val="0"/>
          <w:iCs w:val="0"/>
          <w:color w:val="auto"/>
          <w:highlight w:val="none"/>
        </w:rPr>
        <w:t>67</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8239D5F">
      <w:pPr>
        <w:pStyle w:val="15"/>
        <w:tabs>
          <w:tab w:val="right" w:leader="underscore" w:pos="9740"/>
        </w:tabs>
        <w:rPr>
          <w:i w:val="0"/>
          <w:iCs w:val="0"/>
          <w:color w:val="auto"/>
          <w:highlight w:val="none"/>
        </w:rPr>
      </w:pPr>
      <w:r>
        <w:rPr>
          <w:rFonts w:hint="eastAsia" w:ascii="宋体" w:hAnsi="宋体" w:cs="宋体"/>
          <w:bCs/>
          <w:i w:val="0"/>
          <w:iCs w:val="0"/>
          <w:caps/>
          <w:color w:val="auto"/>
          <w:szCs w:val="22"/>
          <w:highlight w:val="none"/>
        </w:rPr>
        <w:fldChar w:fldCharType="begin"/>
      </w:r>
      <w:r>
        <w:rPr>
          <w:rFonts w:hint="eastAsia" w:ascii="宋体" w:hAnsi="宋体" w:cs="宋体"/>
          <w:bCs/>
          <w:i w:val="0"/>
          <w:iCs w:val="0"/>
          <w:caps/>
          <w:color w:val="auto"/>
          <w:szCs w:val="22"/>
          <w:highlight w:val="none"/>
        </w:rPr>
        <w:instrText xml:space="preserve"> HYPERLINK \l _Toc32403 </w:instrText>
      </w:r>
      <w:r>
        <w:rPr>
          <w:rFonts w:hint="eastAsia" w:ascii="宋体" w:hAnsi="宋体" w:cs="宋体"/>
          <w:bCs/>
          <w:i w:val="0"/>
          <w:iCs w:val="0"/>
          <w:caps/>
          <w:color w:val="auto"/>
          <w:szCs w:val="22"/>
          <w:highlight w:val="none"/>
        </w:rPr>
        <w:fldChar w:fldCharType="separate"/>
      </w:r>
      <w:r>
        <w:rPr>
          <w:rFonts w:hint="eastAsia" w:ascii="宋体" w:hAnsi="宋体" w:cs="宋体"/>
          <w:i w:val="0"/>
          <w:iCs w:val="0"/>
          <w:color w:val="auto"/>
          <w:szCs w:val="28"/>
          <w:highlight w:val="none"/>
        </w:rPr>
        <w:t>十三、其他资料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_Toc32403 \h </w:instrText>
      </w:r>
      <w:r>
        <w:rPr>
          <w:i w:val="0"/>
          <w:iCs w:val="0"/>
          <w:color w:val="auto"/>
          <w:highlight w:val="none"/>
        </w:rPr>
        <w:fldChar w:fldCharType="separate"/>
      </w:r>
      <w:r>
        <w:rPr>
          <w:i w:val="0"/>
          <w:iCs w:val="0"/>
          <w:color w:val="auto"/>
          <w:highlight w:val="none"/>
        </w:rPr>
        <w:t>67</w:t>
      </w:r>
      <w:r>
        <w:rPr>
          <w:i w:val="0"/>
          <w:iCs w:val="0"/>
          <w:color w:val="auto"/>
          <w:highlight w:val="none"/>
        </w:rPr>
        <w:fldChar w:fldCharType="end"/>
      </w:r>
      <w:r>
        <w:rPr>
          <w:rFonts w:hint="eastAsia" w:ascii="宋体" w:hAnsi="宋体" w:cs="宋体"/>
          <w:bCs/>
          <w:i w:val="0"/>
          <w:iCs w:val="0"/>
          <w:caps/>
          <w:color w:val="auto"/>
          <w:szCs w:val="22"/>
          <w:highlight w:val="none"/>
        </w:rPr>
        <w:fldChar w:fldCharType="end"/>
      </w:r>
    </w:p>
    <w:p w14:paraId="3FC8CBC5">
      <w:pPr>
        <w:spacing w:line="400" w:lineRule="exact"/>
        <w:rPr>
          <w:rFonts w:ascii="宋体" w:hAnsi="宋体" w:cs="宋体"/>
          <w:i w:val="0"/>
          <w:iCs w:val="0"/>
          <w:color w:val="auto"/>
          <w:sz w:val="24"/>
          <w:szCs w:val="24"/>
          <w:highlight w:val="none"/>
        </w:rPr>
        <w:sectPr>
          <w:footerReference r:id="rId5" w:type="default"/>
          <w:pgSz w:w="11906" w:h="16838"/>
          <w:pgMar w:top="1440" w:right="1083" w:bottom="1440" w:left="1083" w:header="720" w:footer="720" w:gutter="0"/>
          <w:pgNumType w:fmt="numberInDash" w:start="1"/>
          <w:cols w:space="720" w:num="1"/>
          <w:docGrid w:type="lines" w:linePitch="317" w:charSpace="0"/>
        </w:sectPr>
      </w:pPr>
      <w:r>
        <w:rPr>
          <w:rFonts w:hint="eastAsia" w:ascii="宋体" w:hAnsi="宋体" w:cs="宋体"/>
          <w:bCs/>
          <w:i w:val="0"/>
          <w:iCs w:val="0"/>
          <w:caps/>
          <w:color w:val="auto"/>
          <w:szCs w:val="22"/>
          <w:highlight w:val="none"/>
        </w:rPr>
        <w:fldChar w:fldCharType="end"/>
      </w:r>
      <w:bookmarkStart w:id="0" w:name="_Toc29067"/>
      <w:bookmarkEnd w:id="0"/>
      <w:bookmarkStart w:id="1" w:name="_Toc25108"/>
      <w:bookmarkEnd w:id="1"/>
      <w:r>
        <w:rPr>
          <w:rFonts w:hint="eastAsia" w:ascii="宋体" w:hAnsi="宋体" w:cs="宋体"/>
          <w:i w:val="0"/>
          <w:iCs w:val="0"/>
          <w:color w:val="auto"/>
          <w:sz w:val="24"/>
          <w:szCs w:val="24"/>
          <w:highlight w:val="none"/>
        </w:rPr>
        <w:t xml:space="preserve"> </w:t>
      </w:r>
      <w:bookmarkStart w:id="2" w:name="_Toc12916"/>
      <w:bookmarkEnd w:id="2"/>
      <w:bookmarkStart w:id="3" w:name="_Toc3039"/>
      <w:bookmarkEnd w:id="3"/>
      <w:bookmarkStart w:id="4" w:name="_Toc24776"/>
      <w:r>
        <w:rPr>
          <w:rFonts w:hint="eastAsia" w:ascii="宋体" w:hAnsi="宋体" w:cs="宋体"/>
          <w:i w:val="0"/>
          <w:iCs w:val="0"/>
          <w:color w:val="auto"/>
          <w:highlight w:val="none"/>
        </w:rPr>
        <w:tab/>
      </w:r>
    </w:p>
    <w:p w14:paraId="1903C47B">
      <w:pPr>
        <w:pStyle w:val="2"/>
        <w:spacing w:before="0" w:after="0" w:line="360" w:lineRule="auto"/>
        <w:jc w:val="center"/>
        <w:rPr>
          <w:rFonts w:ascii="宋体" w:hAnsi="宋体" w:cs="宋体"/>
          <w:color w:val="auto"/>
          <w:highlight w:val="none"/>
        </w:rPr>
      </w:pPr>
      <w:bookmarkStart w:id="5" w:name="_Toc5760"/>
      <w:r>
        <w:rPr>
          <w:rFonts w:hint="eastAsia" w:ascii="宋体" w:hAnsi="宋体" w:cs="宋体"/>
          <w:color w:val="auto"/>
          <w:highlight w:val="none"/>
        </w:rPr>
        <w:t>第一章 竞争性谈判公告</w:t>
      </w:r>
      <w:bookmarkEnd w:id="4"/>
      <w:bookmarkEnd w:id="5"/>
    </w:p>
    <w:p w14:paraId="074251FE">
      <w:pPr>
        <w:rPr>
          <w:rFonts w:ascii="宋体" w:hAnsi="宋体" w:cs="宋体"/>
          <w:color w:val="auto"/>
          <w:highlight w:val="none"/>
        </w:rPr>
      </w:pPr>
    </w:p>
    <w:p w14:paraId="0C6F34D3">
      <w:pPr>
        <w:spacing w:line="360" w:lineRule="auto"/>
        <w:jc w:val="center"/>
        <w:rPr>
          <w:rFonts w:ascii="宋体" w:hAnsi="宋体" w:cs="宋体"/>
          <w:b/>
          <w:color w:val="auto"/>
          <w:sz w:val="30"/>
          <w:szCs w:val="32"/>
          <w:highlight w:val="none"/>
        </w:rPr>
      </w:pPr>
      <w:r>
        <w:rPr>
          <w:rFonts w:hint="eastAsia" w:ascii="宋体" w:hAnsi="宋体" w:cs="宋体"/>
          <w:b/>
          <w:color w:val="auto"/>
          <w:sz w:val="30"/>
          <w:szCs w:val="32"/>
          <w:highlight w:val="none"/>
        </w:rPr>
        <w:t>云南大学药学院本科教学药理学实验室基本设备项目采购</w:t>
      </w:r>
    </w:p>
    <w:p w14:paraId="1DD64AFC">
      <w:pPr>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竞争性谈判公告</w:t>
      </w:r>
    </w:p>
    <w:p w14:paraId="54612466">
      <w:pPr>
        <w:pStyle w:val="12"/>
        <w:rPr>
          <w:rFonts w:ascii="宋体" w:hAnsi="宋体" w:cs="宋体"/>
          <w:color w:val="auto"/>
          <w:highlight w:val="none"/>
        </w:rPr>
      </w:pPr>
    </w:p>
    <w:p w14:paraId="7ADEB57C">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77C9AC84">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云南大学药学院本科教学药理学实验室基本设备项目采购</w:t>
      </w:r>
      <w:r>
        <w:rPr>
          <w:rFonts w:hint="eastAsia" w:ascii="宋体" w:hAnsi="宋体" w:cs="宋体"/>
          <w:color w:val="auto"/>
          <w:sz w:val="24"/>
          <w:szCs w:val="24"/>
          <w:highlight w:val="none"/>
        </w:rPr>
        <w:t>采购项目的潜在供应商应在</w:t>
      </w:r>
      <w:r>
        <w:rPr>
          <w:rFonts w:hint="eastAsia" w:ascii="宋体" w:hAnsi="宋体" w:cs="宋体"/>
          <w:color w:val="auto"/>
          <w:sz w:val="24"/>
          <w:szCs w:val="24"/>
          <w:highlight w:val="none"/>
          <w:u w:val="single"/>
        </w:rPr>
        <w:t>政采云平台（https://www.zcygov.cn/）（下载）</w:t>
      </w:r>
      <w:r>
        <w:rPr>
          <w:rFonts w:hint="eastAsia" w:ascii="宋体" w:hAnsi="宋体" w:cs="宋体"/>
          <w:color w:val="auto"/>
          <w:sz w:val="24"/>
          <w:szCs w:val="24"/>
          <w:highlight w:val="none"/>
        </w:rPr>
        <w:t>获取采购文件，并于</w:t>
      </w:r>
      <w:r>
        <w:rPr>
          <w:rFonts w:hint="eastAsia" w:ascii="宋体" w:hAnsi="宋体" w:cs="宋体"/>
          <w:color w:val="auto"/>
          <w:sz w:val="24"/>
          <w:szCs w:val="24"/>
          <w:highlight w:val="none"/>
          <w:u w:val="single"/>
        </w:rPr>
        <w:t>2025年</w:t>
      </w:r>
      <w:r>
        <w:rPr>
          <w:rFonts w:hint="eastAsia" w:ascii="宋体" w:hAnsi="宋体" w:cs="宋体"/>
          <w:color w:val="auto"/>
          <w:sz w:val="24"/>
          <w:szCs w:val="24"/>
          <w:highlight w:val="none"/>
          <w:u w:val="single"/>
          <w:lang w:val="en-US" w:eastAsia="zh-CN"/>
        </w:rPr>
        <w:t>10</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u w:val="single"/>
        </w:rPr>
        <w:t>日</w:t>
      </w:r>
      <w:r>
        <w:rPr>
          <w:rFonts w:hint="eastAsia" w:ascii="宋体" w:hAnsi="宋体" w:cs="宋体"/>
          <w:bCs/>
          <w:color w:val="auto"/>
          <w:sz w:val="24"/>
          <w:szCs w:val="24"/>
          <w:highlight w:val="none"/>
          <w:u w:val="single"/>
          <w:lang w:val="en-US" w:eastAsia="zh-CN"/>
        </w:rPr>
        <w:t>09</w:t>
      </w:r>
      <w:r>
        <w:rPr>
          <w:rFonts w:hint="eastAsia" w:ascii="宋体" w:hAnsi="宋体" w:cs="宋体"/>
          <w:bCs/>
          <w:color w:val="auto"/>
          <w:sz w:val="24"/>
          <w:szCs w:val="24"/>
          <w:highlight w:val="none"/>
          <w:u w:val="single"/>
        </w:rPr>
        <w:t>点30分</w:t>
      </w:r>
      <w:r>
        <w:rPr>
          <w:rFonts w:hint="eastAsia" w:ascii="宋体" w:hAnsi="宋体" w:cs="宋体"/>
          <w:bCs/>
          <w:color w:val="auto"/>
          <w:sz w:val="24"/>
          <w:szCs w:val="24"/>
          <w:highlight w:val="none"/>
        </w:rPr>
        <w:t>（北京时间）前提交响应文件</w:t>
      </w:r>
      <w:r>
        <w:rPr>
          <w:rFonts w:hint="eastAsia" w:ascii="宋体" w:hAnsi="宋体" w:cs="宋体"/>
          <w:color w:val="auto"/>
          <w:sz w:val="24"/>
          <w:szCs w:val="24"/>
          <w:highlight w:val="none"/>
        </w:rPr>
        <w:t>。</w:t>
      </w:r>
    </w:p>
    <w:p w14:paraId="0A5F0366">
      <w:pPr>
        <w:spacing w:line="360" w:lineRule="auto"/>
        <w:rPr>
          <w:rFonts w:ascii="宋体" w:hAnsi="宋体" w:cs="宋体"/>
          <w:color w:val="auto"/>
          <w:sz w:val="24"/>
          <w:szCs w:val="24"/>
          <w:highlight w:val="none"/>
        </w:rPr>
      </w:pPr>
    </w:p>
    <w:p w14:paraId="0F0692F6">
      <w:pPr>
        <w:pStyle w:val="3"/>
        <w:keepNext w:val="0"/>
        <w:keepLines w:val="0"/>
        <w:spacing w:before="0" w:after="0" w:line="360" w:lineRule="auto"/>
        <w:rPr>
          <w:rFonts w:ascii="宋体" w:hAnsi="宋体" w:eastAsia="宋体" w:cs="宋体"/>
          <w:bCs w:val="0"/>
          <w:color w:val="auto"/>
          <w:sz w:val="24"/>
          <w:szCs w:val="24"/>
          <w:highlight w:val="none"/>
        </w:rPr>
      </w:pPr>
      <w:bookmarkStart w:id="6" w:name="_Toc35393798"/>
      <w:bookmarkStart w:id="7" w:name="_Toc6080"/>
      <w:bookmarkStart w:id="8" w:name="_Toc4829"/>
      <w:bookmarkStart w:id="9" w:name="_Toc28359089"/>
      <w:bookmarkStart w:id="10" w:name="_Toc28359012"/>
      <w:bookmarkStart w:id="11" w:name="_Toc35393629"/>
      <w:bookmarkStart w:id="12" w:name="_Toc7389"/>
      <w:r>
        <w:rPr>
          <w:rFonts w:hint="eastAsia" w:ascii="宋体" w:hAnsi="宋体" w:eastAsia="宋体" w:cs="宋体"/>
          <w:bCs w:val="0"/>
          <w:color w:val="auto"/>
          <w:sz w:val="24"/>
          <w:szCs w:val="24"/>
          <w:highlight w:val="none"/>
        </w:rPr>
        <w:t>一、项目基本情况</w:t>
      </w:r>
      <w:bookmarkEnd w:id="6"/>
      <w:bookmarkEnd w:id="7"/>
      <w:bookmarkEnd w:id="8"/>
      <w:bookmarkEnd w:id="9"/>
      <w:bookmarkEnd w:id="10"/>
      <w:bookmarkEnd w:id="11"/>
      <w:bookmarkEnd w:id="12"/>
    </w:p>
    <w:p w14:paraId="7F7D74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项目编号：</w:t>
      </w:r>
      <w:bookmarkStart w:id="298" w:name="_GoBack"/>
      <w:r>
        <w:rPr>
          <w:rFonts w:hint="eastAsia" w:ascii="宋体" w:hAnsi="宋体" w:cs="宋体"/>
          <w:color w:val="auto"/>
          <w:sz w:val="24"/>
          <w:szCs w:val="24"/>
          <w:highlight w:val="none"/>
        </w:rPr>
        <w:t>YNZC2025</w:t>
      </w:r>
      <w:bookmarkEnd w:id="298"/>
      <w:r>
        <w:rPr>
          <w:rFonts w:hint="eastAsia" w:ascii="宋体" w:hAnsi="宋体" w:cs="宋体"/>
          <w:color w:val="auto"/>
          <w:sz w:val="24"/>
          <w:szCs w:val="24"/>
          <w:highlight w:val="none"/>
        </w:rPr>
        <w:t>-J1-06282-YYZX-0692</w:t>
      </w:r>
    </w:p>
    <w:p w14:paraId="317897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项目名称：云南大学药学院本科教学药理学实验室基本设备项目采购</w:t>
      </w:r>
    </w:p>
    <w:p w14:paraId="5BD2247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采购方式：</w:t>
      </w:r>
      <w:r>
        <w:rPr>
          <w:rFonts w:hint="eastAsia" w:ascii="宋体" w:hAnsi="宋体" w:cs="宋体"/>
          <w:color w:val="auto"/>
          <w:sz w:val="24"/>
          <w:szCs w:val="24"/>
          <w:highlight w:val="none"/>
        </w:rPr>
        <w:sym w:font="Wingdings 2" w:char="0052"/>
      </w:r>
      <w:r>
        <w:rPr>
          <w:rFonts w:hint="eastAsia" w:ascii="宋体" w:hAnsi="宋体" w:cs="宋体"/>
          <w:color w:val="auto"/>
          <w:sz w:val="24"/>
          <w:szCs w:val="24"/>
          <w:highlight w:val="none"/>
        </w:rPr>
        <w:t>竞争性谈判 □竞争性磋商□询价</w:t>
      </w:r>
    </w:p>
    <w:p w14:paraId="6461AE1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预算金额：975000元</w:t>
      </w:r>
    </w:p>
    <w:p w14:paraId="49FC91D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最高限价：975000元</w:t>
      </w:r>
    </w:p>
    <w:p w14:paraId="54907E2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需求：本项目为云南大学药学院本科教学药理学实验室基本设备项目采购，采购生物安全柜4套、气瓶柜1套、洁净腔1套、紫外灭菌系统1套、净化空调1套、净化新风机1套、化学安全柜2套、易制毒易制爆柜2套、试剂及耗材柜10套、排风机1套、实验室安全监控器10套、门禁控制器6套。为满足50人本科教学配置，为药理学、细胞生物学、药学综合等实验课程添置相应教学设备。主要用于药理学实验建设洁净间和试剂耗材库房。本</w:t>
      </w:r>
      <w:r>
        <w:rPr>
          <w:rFonts w:hint="eastAsia" w:ascii="宋体" w:hAnsi="宋体" w:cs="宋体"/>
          <w:color w:val="auto"/>
          <w:sz w:val="24"/>
          <w:szCs w:val="24"/>
          <w:highlight w:val="none"/>
          <w:lang w:bidi="ar"/>
        </w:rPr>
        <w:t>项目</w:t>
      </w:r>
      <w:r>
        <w:rPr>
          <w:rFonts w:hint="eastAsia" w:ascii="宋体" w:hAnsi="宋体" w:cs="宋体"/>
          <w:color w:val="auto"/>
          <w:sz w:val="24"/>
          <w:szCs w:val="24"/>
          <w:highlight w:val="none"/>
        </w:rPr>
        <w:t>共设一个标段，供应商必须对所投项目所有内容作出完整唯一的谈判报价，不得缺项、漏项或出现无报价情况，否则按无效响应处理。</w:t>
      </w:r>
    </w:p>
    <w:tbl>
      <w:tblPr>
        <w:tblStyle w:val="32"/>
        <w:tblW w:w="4998" w:type="pct"/>
        <w:tblInd w:w="0" w:type="dxa"/>
        <w:tblLayout w:type="autofit"/>
        <w:tblCellMar>
          <w:top w:w="0" w:type="dxa"/>
          <w:left w:w="108" w:type="dxa"/>
          <w:bottom w:w="0" w:type="dxa"/>
          <w:right w:w="108" w:type="dxa"/>
        </w:tblCellMar>
      </w:tblPr>
      <w:tblGrid>
        <w:gridCol w:w="1039"/>
        <w:gridCol w:w="1149"/>
        <w:gridCol w:w="1149"/>
        <w:gridCol w:w="2257"/>
        <w:gridCol w:w="854"/>
        <w:gridCol w:w="1567"/>
        <w:gridCol w:w="1836"/>
      </w:tblGrid>
      <w:tr w14:paraId="22240B32">
        <w:tblPrEx>
          <w:tblCellMar>
            <w:top w:w="0" w:type="dxa"/>
            <w:left w:w="108" w:type="dxa"/>
            <w:bottom w:w="0" w:type="dxa"/>
            <w:right w:w="108" w:type="dxa"/>
          </w:tblCellMar>
        </w:tblPrEx>
        <w:trPr>
          <w:trHeight w:val="655"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18A8D20">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CB1757">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标段代码</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712CCA5">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是否允许进口</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3A8A211">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项目（产品）名称</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E56D669">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数量</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56DBBA5">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计量单位</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7D94E66">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预算单价(元)</w:t>
            </w:r>
          </w:p>
        </w:tc>
      </w:tr>
      <w:tr w14:paraId="3B78C85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98CF3B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7B930E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9C7C0E1">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A63C27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生物安全柜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310182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16318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D2D8C3A">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75,000.00</w:t>
            </w:r>
          </w:p>
        </w:tc>
      </w:tr>
      <w:tr w14:paraId="7615452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6392DDA">
            <w:pPr>
              <w:jc w:val="center"/>
              <w:textAlignment w:val="center"/>
              <w:rPr>
                <w:rFonts w:ascii="宋体" w:hAnsi="宋体" w:cs="宋体"/>
                <w:color w:val="auto"/>
                <w:sz w:val="24"/>
                <w:szCs w:val="24"/>
                <w:highlight w:val="none"/>
                <w:lang w:bidi="ar"/>
              </w:rPr>
            </w:pPr>
            <w:bookmarkStart w:id="13" w:name="_Toc16743"/>
            <w:bookmarkStart w:id="14" w:name="_Toc35393799"/>
            <w:bookmarkStart w:id="15" w:name="_Toc13415"/>
            <w:bookmarkStart w:id="16" w:name="_Toc35393630"/>
            <w:bookmarkStart w:id="17" w:name="_Toc28359013"/>
            <w:bookmarkStart w:id="18" w:name="_Toc28359090"/>
            <w:r>
              <w:rPr>
                <w:rFonts w:hint="eastAsia" w:ascii="宋体" w:hAnsi="宋体" w:cs="宋体"/>
                <w:color w:val="auto"/>
                <w:sz w:val="24"/>
                <w:szCs w:val="24"/>
                <w:highlight w:val="none"/>
                <w:lang w:bidi="ar"/>
              </w:rPr>
              <w:t>2</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67C910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6A01A1B">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823A8F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气瓶柜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683170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F861CF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110DE39">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18,500.00</w:t>
            </w:r>
          </w:p>
        </w:tc>
      </w:tr>
      <w:tr w14:paraId="51A750A4">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DC83F8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51D75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2142F99">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C78CE2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洁净腔</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09425F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0992A4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F527F3D">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188,000.00</w:t>
            </w:r>
          </w:p>
        </w:tc>
      </w:tr>
      <w:tr w14:paraId="36E7181F">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0148A5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23B65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C7FF7B1">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389B6C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紫外灭菌系统</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87CD235">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F0374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4897E34">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29,000.00</w:t>
            </w:r>
          </w:p>
        </w:tc>
      </w:tr>
      <w:tr w14:paraId="7E8557BD">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3A8F09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5</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C8FBF0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67E1DFD">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67B354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净化空调</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9CDA9F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A7993F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6F1BCC7">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76,000.00</w:t>
            </w:r>
          </w:p>
        </w:tc>
      </w:tr>
      <w:tr w14:paraId="50E80F0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45FC774">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6</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1DFC8D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108C127">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0F9ECA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净化新风机</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6D7F9E3">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98B39E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9F5E853">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47,800.00</w:t>
            </w:r>
          </w:p>
        </w:tc>
      </w:tr>
      <w:tr w14:paraId="51E80A5D">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072AFB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8894D9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EAB1CAA">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6BC72B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化学安全柜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829A76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300B40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959510E">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16,500.00</w:t>
            </w:r>
          </w:p>
        </w:tc>
      </w:tr>
      <w:tr w14:paraId="7720B230">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727590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8</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AE77E9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B6B1DA4">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E5CA58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易制毒易制爆柜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1DCB94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979E4F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46A0F6">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19,500.00</w:t>
            </w:r>
          </w:p>
        </w:tc>
      </w:tr>
      <w:tr w14:paraId="3FA8B8BE">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593954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9</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E86C0C5">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82E40E3">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406B07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试剂及耗材柜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31C6F0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8231C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DE5A60">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12,000.00</w:t>
            </w:r>
          </w:p>
        </w:tc>
      </w:tr>
      <w:tr w14:paraId="35E3C96A">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C1CA514">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A52D0B4">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CBFA781">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6229F6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排风机</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0C264F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75D83E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17341ED">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39,500.00</w:t>
            </w:r>
          </w:p>
        </w:tc>
      </w:tr>
      <w:tr w14:paraId="1DFD0A1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4A925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CEAEDE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091A664">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5CC3ED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实验室安全监控器</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244ABD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A63249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376EBE">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3,500.00</w:t>
            </w:r>
          </w:p>
        </w:tc>
      </w:tr>
      <w:tr w14:paraId="56A8C5EC">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DBDBD6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12</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E20C2B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50759D6">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1D8737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门禁控制器</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1D5C1E5">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6</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41594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DAD2549">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8,200.00</w:t>
            </w:r>
          </w:p>
        </w:tc>
      </w:tr>
    </w:tbl>
    <w:p w14:paraId="12006A03">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注：本次采购不接受进口产品。进口产品是指通过中国海关报关验放进入中国境内且产自关境外的产品。</w:t>
      </w:r>
    </w:p>
    <w:p w14:paraId="744C798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合同履行期限：合同签订后30日历天内完成，质保期为验收完成后不低于一年。</w:t>
      </w:r>
    </w:p>
    <w:p w14:paraId="2BA1C5E1">
      <w:pPr>
        <w:spacing w:line="360" w:lineRule="auto"/>
        <w:ind w:firstLine="480" w:firstLineChars="200"/>
        <w:rPr>
          <w:rFonts w:ascii="宋体" w:hAnsi="宋体" w:cs="宋体"/>
          <w:color w:val="auto"/>
          <w:highlight w:val="none"/>
        </w:rPr>
      </w:pPr>
      <w:r>
        <w:rPr>
          <w:rFonts w:hint="eastAsia" w:ascii="宋体" w:hAnsi="宋体" w:cs="宋体"/>
          <w:color w:val="auto"/>
          <w:sz w:val="24"/>
          <w:szCs w:val="24"/>
          <w:highlight w:val="none"/>
        </w:rPr>
        <w:t>本项目不接受联合体。</w:t>
      </w:r>
    </w:p>
    <w:p w14:paraId="20EF650A">
      <w:pPr>
        <w:pStyle w:val="3"/>
        <w:keepNext w:val="0"/>
        <w:keepLines w:val="0"/>
        <w:spacing w:before="0" w:after="0" w:line="360" w:lineRule="auto"/>
        <w:rPr>
          <w:rFonts w:ascii="宋体" w:hAnsi="宋体" w:eastAsia="宋体" w:cs="宋体"/>
          <w:bCs w:val="0"/>
          <w:color w:val="auto"/>
          <w:sz w:val="24"/>
          <w:szCs w:val="24"/>
          <w:highlight w:val="none"/>
        </w:rPr>
      </w:pPr>
      <w:bookmarkStart w:id="19" w:name="_Toc19288"/>
      <w:r>
        <w:rPr>
          <w:rFonts w:hint="eastAsia" w:ascii="宋体" w:hAnsi="宋体" w:eastAsia="宋体" w:cs="宋体"/>
          <w:bCs w:val="0"/>
          <w:color w:val="auto"/>
          <w:sz w:val="24"/>
          <w:szCs w:val="24"/>
          <w:highlight w:val="none"/>
        </w:rPr>
        <w:t>二、申请人的资格要求</w:t>
      </w:r>
      <w:bookmarkEnd w:id="13"/>
      <w:bookmarkEnd w:id="14"/>
      <w:bookmarkEnd w:id="15"/>
      <w:bookmarkEnd w:id="16"/>
      <w:bookmarkEnd w:id="17"/>
      <w:bookmarkEnd w:id="18"/>
      <w:bookmarkEnd w:id="19"/>
    </w:p>
    <w:p w14:paraId="7F2D0CE8">
      <w:pPr>
        <w:widowControl w:val="0"/>
        <w:spacing w:line="360" w:lineRule="auto"/>
        <w:ind w:firstLine="480" w:firstLineChars="200"/>
        <w:jc w:val="both"/>
        <w:rPr>
          <w:rFonts w:ascii="宋体" w:hAnsi="宋体" w:cs="宋体"/>
          <w:color w:val="auto"/>
          <w:kern w:val="2"/>
          <w:sz w:val="24"/>
          <w:szCs w:val="24"/>
          <w:highlight w:val="none"/>
        </w:rPr>
      </w:pPr>
      <w:bookmarkStart w:id="20" w:name="_Toc35393800"/>
      <w:bookmarkStart w:id="21" w:name="_Toc28359091"/>
      <w:bookmarkStart w:id="22" w:name="_Toc32619"/>
      <w:bookmarkStart w:id="23" w:name="_Toc28359014"/>
      <w:bookmarkStart w:id="24" w:name="_Toc6342"/>
      <w:bookmarkStart w:id="25" w:name="_Toc35393631"/>
      <w:r>
        <w:rPr>
          <w:rFonts w:hint="eastAsia" w:ascii="宋体" w:hAnsi="宋体" w:cs="宋体"/>
          <w:color w:val="auto"/>
          <w:kern w:val="2"/>
          <w:sz w:val="24"/>
          <w:szCs w:val="24"/>
          <w:highlight w:val="none"/>
        </w:rPr>
        <w:t>1.满足《中华人民共和国政府采购法》第二十二条规定；</w:t>
      </w:r>
    </w:p>
    <w:p w14:paraId="20A2CE6F">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1.1具有独立承担民事责任的能力。提供法人或者其他组织的营业执照等证明文件。</w:t>
      </w:r>
    </w:p>
    <w:p w14:paraId="70FBDBA0">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1.2具有良好的商业信誉和健全的财务会计制度。供应商须提供财务状况报告，内容可为以下两者之一： </w:t>
      </w:r>
    </w:p>
    <w:p w14:paraId="3A945299">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①提供2023年或2024年经审计的财务报告（</w:t>
      </w:r>
      <w:r>
        <w:rPr>
          <w:rFonts w:hint="eastAsia" w:ascii="宋体" w:hAnsi="宋体" w:cs="宋体"/>
          <w:b/>
          <w:color w:val="auto"/>
          <w:kern w:val="2"/>
          <w:sz w:val="24"/>
          <w:szCs w:val="24"/>
          <w:highlight w:val="none"/>
        </w:rPr>
        <w:t>包括资产负债表、利润表、现金流量表、所有者权益变动表及其附注（执行小企业会计准则的可不提供所有者权益变动表）</w:t>
      </w:r>
      <w:r>
        <w:rPr>
          <w:rFonts w:hint="eastAsia" w:ascii="宋体" w:hAnsi="宋体" w:cs="宋体"/>
          <w:color w:val="auto"/>
          <w:kern w:val="2"/>
          <w:sz w:val="24"/>
          <w:szCs w:val="24"/>
          <w:highlight w:val="none"/>
        </w:rPr>
        <w:t>），新成立不满</w:t>
      </w:r>
      <w:r>
        <w:rPr>
          <w:rFonts w:hint="eastAsia" w:ascii="宋体" w:hAnsi="宋体" w:cs="宋体"/>
          <w:color w:val="auto"/>
          <w:kern w:val="2"/>
          <w:sz w:val="24"/>
          <w:szCs w:val="24"/>
          <w:highlight w:val="none"/>
          <w:u w:val="single"/>
        </w:rPr>
        <w:t>1</w:t>
      </w:r>
      <w:r>
        <w:rPr>
          <w:rFonts w:hint="eastAsia" w:ascii="宋体" w:hAnsi="宋体" w:cs="宋体"/>
          <w:color w:val="auto"/>
          <w:kern w:val="2"/>
          <w:sz w:val="24"/>
          <w:szCs w:val="24"/>
          <w:highlight w:val="none"/>
        </w:rPr>
        <w:t>年的供应商提供自成立至今的财务报表；</w:t>
      </w:r>
    </w:p>
    <w:p w14:paraId="07D088EF">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②提供自响应文件提交截止时间前三个月内基本开户银行出具的资信证明。</w:t>
      </w:r>
    </w:p>
    <w:p w14:paraId="543BA1AD">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rPr>
        <w:t>1.3具有履行合同所必需的设备和专业技术能力。提供具备履行合同所必需的设备和专业技术能力的证明材料。</w:t>
      </w:r>
    </w:p>
    <w:p w14:paraId="23197342">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1.4有依法缴纳税收和社会保障资金的良好记录。</w:t>
      </w:r>
    </w:p>
    <w:p w14:paraId="1223BFA9">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1.4.1提供供应商缴税所属时间在2024年08月至本项目响应文件提交截止时间前任意2个月的税务局税收通用缴款书或银行电子缴税（费）凭证或税务局出具纳税情况的相关证明，依法免税的，应提供依法免税的相关证明文件（扫描件加盖供应商电子公章），至响应文件提交截止时间止成立不足2个月的供应商可提供相关情况说明（加盖供应商电子公章）；</w:t>
      </w:r>
    </w:p>
    <w:p w14:paraId="5045792F">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1.4.2提供供应商缴费所属时间在2024年08月至本项目响应文件提交截止时间前任意2个月的社会保险费缴款书或银行电子缴税（费）凭证或社保管理部门出具的有效的缴款证明，依法免缴的，应提供依法免缴的相关证明文件（扫描件加盖供应商电子公章），至响应文件提交截止时间止成立不足2个月的供应商可提供相关情况说明（加盖供应商电子公章）；</w:t>
      </w:r>
    </w:p>
    <w:p w14:paraId="43013ACB">
      <w:pP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2D5CFEFE">
      <w:pPr>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77492742">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1.6.1单位负责人为同一人或者存在直接控股、管理关系的不同供应商，不得参加同一合同项下的政府采购活动。</w:t>
      </w:r>
    </w:p>
    <w:p w14:paraId="3B1C143F">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为采购项目提供整体设计、规范编制或者项目管理、监理、检测等服务的供应商，不得再参加该采购项目的其他采购活动。</w:t>
      </w:r>
    </w:p>
    <w:p w14:paraId="7881E90A">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1.6.2供应商应在“信用中国”网站（www.creditchina.gov.cn）未被列入失信被执行人记录、重大税收违法失信主体且在中国政府采购网（www.ccgp.gov.cn）没有政府采购严重违法失信行为记录。</w:t>
      </w:r>
    </w:p>
    <w:p w14:paraId="0ACC75B9">
      <w:pPr>
        <w:widowControl w:val="0"/>
        <w:spacing w:line="360" w:lineRule="auto"/>
        <w:ind w:firstLine="480" w:firstLineChars="200"/>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2.落实政府采购政策需满足的资格要求：</w:t>
      </w:r>
      <w:r>
        <w:rPr>
          <w:rFonts w:hint="eastAsia" w:ascii="宋体" w:hAnsi="宋体" w:cs="宋体"/>
          <w:color w:val="auto"/>
          <w:sz w:val="24"/>
          <w:szCs w:val="24"/>
          <w:highlight w:val="none"/>
          <w:u w:val="single"/>
        </w:rPr>
        <w:t>本项目不属于专门面向中小企业采购项目。</w:t>
      </w:r>
    </w:p>
    <w:p w14:paraId="59D5D72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3.本项目的特定资格要求：本次采购不接受联合体谈判。</w:t>
      </w:r>
    </w:p>
    <w:p w14:paraId="709A4A68">
      <w:pPr>
        <w:pStyle w:val="3"/>
        <w:keepNext w:val="0"/>
        <w:keepLines w:val="0"/>
        <w:spacing w:before="0" w:after="0" w:line="360" w:lineRule="auto"/>
        <w:rPr>
          <w:rFonts w:ascii="宋体" w:hAnsi="宋体" w:eastAsia="宋体" w:cs="宋体"/>
          <w:bCs w:val="0"/>
          <w:color w:val="auto"/>
          <w:sz w:val="24"/>
          <w:szCs w:val="24"/>
          <w:highlight w:val="none"/>
        </w:rPr>
      </w:pPr>
      <w:bookmarkStart w:id="26" w:name="_Toc21861"/>
      <w:r>
        <w:rPr>
          <w:rFonts w:hint="eastAsia" w:ascii="宋体" w:hAnsi="宋体" w:eastAsia="宋体" w:cs="宋体"/>
          <w:bCs w:val="0"/>
          <w:color w:val="auto"/>
          <w:sz w:val="24"/>
          <w:szCs w:val="24"/>
          <w:highlight w:val="none"/>
        </w:rPr>
        <w:t>三、获取采购文件</w:t>
      </w:r>
      <w:bookmarkEnd w:id="20"/>
      <w:bookmarkEnd w:id="21"/>
      <w:bookmarkEnd w:id="22"/>
      <w:bookmarkEnd w:id="23"/>
      <w:bookmarkEnd w:id="24"/>
      <w:bookmarkEnd w:id="25"/>
      <w:bookmarkEnd w:id="26"/>
    </w:p>
    <w:p w14:paraId="481EC50F">
      <w:pPr>
        <w:widowControl w:val="0"/>
        <w:spacing w:line="360" w:lineRule="auto"/>
        <w:ind w:firstLine="540"/>
        <w:jc w:val="both"/>
        <w:rPr>
          <w:rFonts w:ascii="宋体" w:hAnsi="宋体" w:cs="宋体"/>
          <w:color w:val="auto"/>
          <w:kern w:val="2"/>
          <w:sz w:val="24"/>
          <w:szCs w:val="24"/>
          <w:highlight w:val="none"/>
          <w:lang w:bidi="ar"/>
        </w:rPr>
      </w:pPr>
      <w:bookmarkStart w:id="27" w:name="_Toc28359015"/>
      <w:bookmarkStart w:id="28" w:name="_Toc35393632"/>
      <w:bookmarkStart w:id="29" w:name="_Toc25636"/>
      <w:bookmarkStart w:id="30" w:name="_Toc9060"/>
      <w:bookmarkStart w:id="31" w:name="_Toc35393801"/>
      <w:bookmarkStart w:id="32" w:name="_Toc28359092"/>
      <w:r>
        <w:rPr>
          <w:rFonts w:hint="eastAsia" w:ascii="宋体" w:hAnsi="宋体" w:cs="宋体"/>
          <w:color w:val="auto"/>
          <w:kern w:val="2"/>
          <w:sz w:val="24"/>
          <w:szCs w:val="24"/>
          <w:highlight w:val="none"/>
          <w:lang w:bidi="ar"/>
        </w:rPr>
        <w:t>时间：</w:t>
      </w:r>
      <w:r>
        <w:rPr>
          <w:rFonts w:hint="eastAsia" w:ascii="宋体" w:hAnsi="宋体" w:cs="宋体"/>
          <w:color w:val="auto"/>
          <w:kern w:val="2"/>
          <w:sz w:val="24"/>
          <w:szCs w:val="24"/>
          <w:highlight w:val="none"/>
          <w:u w:val="single"/>
          <w:lang w:bidi="ar"/>
        </w:rPr>
        <w:t>2025年</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bidi="ar"/>
        </w:rPr>
        <w:t>月</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bidi="ar"/>
        </w:rPr>
        <w:t>日</w:t>
      </w:r>
      <w:r>
        <w:rPr>
          <w:rFonts w:hint="eastAsia" w:ascii="宋体" w:hAnsi="宋体" w:cs="宋体"/>
          <w:color w:val="auto"/>
          <w:kern w:val="2"/>
          <w:sz w:val="24"/>
          <w:szCs w:val="24"/>
          <w:highlight w:val="none"/>
          <w:lang w:bidi="ar"/>
        </w:rPr>
        <w:t>至</w:t>
      </w:r>
      <w:r>
        <w:rPr>
          <w:rFonts w:hint="eastAsia" w:ascii="宋体" w:hAnsi="宋体" w:cs="宋体"/>
          <w:color w:val="auto"/>
          <w:kern w:val="2"/>
          <w:sz w:val="24"/>
          <w:szCs w:val="24"/>
          <w:highlight w:val="none"/>
          <w:u w:val="single"/>
          <w:lang w:bidi="ar"/>
        </w:rPr>
        <w:t>2025年</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bidi="ar"/>
        </w:rPr>
        <w:t>月</w:t>
      </w:r>
      <w:r>
        <w:rPr>
          <w:rFonts w:hint="eastAsia" w:ascii="宋体" w:hAnsi="宋体" w:cs="宋体"/>
          <w:color w:val="auto"/>
          <w:kern w:val="2"/>
          <w:sz w:val="24"/>
          <w:szCs w:val="24"/>
          <w:highlight w:val="none"/>
          <w:u w:val="single"/>
          <w:lang w:val="en-US" w:eastAsia="zh-CN" w:bidi="ar"/>
        </w:rPr>
        <w:t>14</w:t>
      </w:r>
      <w:r>
        <w:rPr>
          <w:rFonts w:hint="eastAsia" w:ascii="宋体" w:hAnsi="宋体" w:cs="宋体"/>
          <w:color w:val="auto"/>
          <w:kern w:val="2"/>
          <w:sz w:val="24"/>
          <w:szCs w:val="24"/>
          <w:highlight w:val="none"/>
          <w:u w:val="single"/>
          <w:lang w:bidi="ar"/>
        </w:rPr>
        <w:t>日</w:t>
      </w:r>
      <w:r>
        <w:rPr>
          <w:rFonts w:hint="eastAsia" w:ascii="宋体" w:hAnsi="宋体" w:cs="宋体"/>
          <w:color w:val="auto"/>
          <w:kern w:val="2"/>
          <w:sz w:val="24"/>
          <w:szCs w:val="24"/>
          <w:highlight w:val="none"/>
          <w:lang w:bidi="ar"/>
        </w:rPr>
        <w:t>，每天上午6:00至12:00，下午12:00至23:59,（北京时间，法定节假日除外）</w:t>
      </w:r>
    </w:p>
    <w:p w14:paraId="4A7D6BB1">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地点：“政采云”平台（https：//www.zcygov.cn）（操作路径：登录“政采云”平台-项目采购-获取采购文件-找到本项目-点击“申请获取采购文件”）。</w:t>
      </w:r>
    </w:p>
    <w:p w14:paraId="05CCFC29">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方式：</w:t>
      </w:r>
      <w:r>
        <w:rPr>
          <w:rFonts w:hint="eastAsia" w:ascii="宋体" w:hAnsi="宋体" w:cs="宋体"/>
          <w:color w:val="auto"/>
          <w:sz w:val="24"/>
          <w:szCs w:val="24"/>
          <w:highlight w:val="none"/>
        </w:rPr>
        <w:t>（一）凡有意参加谈判者，须注册政采云平台账号并登录办理数字证书（CA），若供应商未办理数字证书（CA）的，可选择办理云南壹证通CA。CA申领链接：</w:t>
      </w:r>
      <w:r>
        <w:rPr>
          <w:color w:val="auto"/>
          <w:highlight w:val="none"/>
        </w:rPr>
        <w:fldChar w:fldCharType="begin"/>
      </w:r>
      <w:r>
        <w:rPr>
          <w:color w:val="auto"/>
          <w:highlight w:val="none"/>
        </w:rPr>
        <w:instrText xml:space="preserve"> HYPERLINK "http://yzt.ynsmartcert.cn/cms/yztmdkj.html" </w:instrText>
      </w:r>
      <w:r>
        <w:rPr>
          <w:color w:val="auto"/>
          <w:highlight w:val="none"/>
        </w:rPr>
        <w:fldChar w:fldCharType="separate"/>
      </w:r>
      <w:r>
        <w:rPr>
          <w:rStyle w:val="38"/>
          <w:rFonts w:hint="eastAsia" w:ascii="宋体" w:hAnsi="宋体" w:cs="宋体"/>
          <w:color w:val="auto"/>
          <w:sz w:val="24"/>
          <w:szCs w:val="24"/>
          <w:highlight w:val="none"/>
        </w:rPr>
        <w:t>http://yzt.ynsmartcert.cn/cms/yztmdkj.html</w:t>
      </w:r>
      <w:r>
        <w:rPr>
          <w:rStyle w:val="38"/>
          <w:rFonts w:hint="eastAsia" w:ascii="宋体" w:hAnsi="宋体" w:cs="宋体"/>
          <w:color w:val="auto"/>
          <w:sz w:val="24"/>
          <w:szCs w:val="24"/>
          <w:highlight w:val="none"/>
        </w:rPr>
        <w:fldChar w:fldCharType="end"/>
      </w:r>
      <w:r>
        <w:rPr>
          <w:color w:val="auto"/>
          <w:highlight w:val="none"/>
        </w:rPr>
        <w:fldChar w:fldCharType="begin"/>
      </w:r>
      <w:r>
        <w:rPr>
          <w:color w:val="auto"/>
          <w:highlight w:val="none"/>
        </w:rPr>
        <w:instrText xml:space="preserve"> HYPERLINK "http://yzt.ynsmartcert.cn/cms/yztbnxj16.html" </w:instrText>
      </w:r>
      <w:r>
        <w:rPr>
          <w:color w:val="auto"/>
          <w:highlight w:val="none"/>
        </w:rPr>
        <w:fldChar w:fldCharType="separate"/>
      </w:r>
      <w:r>
        <w:rPr>
          <w:color w:val="auto"/>
          <w:highlight w:val="none"/>
        </w:rPr>
        <w:fldChar w:fldCharType="end"/>
      </w:r>
      <w:r>
        <w:rPr>
          <w:rFonts w:hint="eastAsia" w:ascii="宋体" w:hAnsi="宋体" w:cs="宋体"/>
          <w:color w:val="auto"/>
          <w:sz w:val="24"/>
          <w:szCs w:val="24"/>
          <w:highlight w:val="none"/>
        </w:rPr>
        <w:t>云南壹证通CA 可支持线上、线下两种办理方式，并提供7*24小时全天候客户服务支持，客服热线400-004-0628。（紧急CA办理电话：19988166369）政府采购云平台支持多家CA服务商，供应商可自行选择办理。</w:t>
      </w:r>
    </w:p>
    <w:p w14:paraId="6FE7B907">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（二）数字证书（CA）申领完成之后进入政府采购云平台，企业账号与数字证书（CA）进行绑定，凭企业数字证书（CA）进行项目报名及免费下载招标文件。</w:t>
      </w:r>
    </w:p>
    <w:p w14:paraId="271FBC2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（三）按上述要求获取文件的供应商视为已合法获取本项目采购文件，具备本项目的谈判资格。</w:t>
      </w:r>
    </w:p>
    <w:p w14:paraId="4D53E4B8">
      <w:pPr>
        <w:widowControl w:val="0"/>
        <w:spacing w:line="360" w:lineRule="auto"/>
        <w:ind w:firstLine="540"/>
        <w:jc w:val="both"/>
        <w:rPr>
          <w:rFonts w:ascii="宋体" w:hAnsi="宋体" w:cs="宋体"/>
          <w:color w:val="auto"/>
          <w:kern w:val="2"/>
          <w:sz w:val="24"/>
          <w:szCs w:val="24"/>
          <w:highlight w:val="none"/>
          <w:lang w:bidi="ar"/>
        </w:rPr>
      </w:pPr>
      <w:r>
        <w:rPr>
          <w:rFonts w:hint="eastAsia" w:ascii="宋体" w:hAnsi="宋体" w:cs="宋体"/>
          <w:color w:val="auto"/>
          <w:sz w:val="24"/>
          <w:szCs w:val="24"/>
          <w:highlight w:val="none"/>
        </w:rPr>
        <w:t>（四）如有问题可拨打政采云客户服务热线95763进行咨询，数字证书（CA）问题可咨询24小时技术支持热线400-004-0628（紧急办理可拨：19988166369）</w:t>
      </w:r>
      <w:r>
        <w:rPr>
          <w:rFonts w:hint="eastAsia" w:ascii="宋体" w:hAnsi="宋体" w:cs="宋体"/>
          <w:color w:val="auto"/>
          <w:kern w:val="2"/>
          <w:sz w:val="24"/>
          <w:szCs w:val="24"/>
          <w:highlight w:val="none"/>
        </w:rPr>
        <w:t>。</w:t>
      </w:r>
    </w:p>
    <w:p w14:paraId="2B2E6F8D">
      <w:pPr>
        <w:spacing w:line="360" w:lineRule="auto"/>
        <w:ind w:firstLine="54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售价：0元</w:t>
      </w:r>
    </w:p>
    <w:bookmarkEnd w:id="27"/>
    <w:bookmarkEnd w:id="28"/>
    <w:bookmarkEnd w:id="29"/>
    <w:bookmarkEnd w:id="30"/>
    <w:bookmarkEnd w:id="31"/>
    <w:bookmarkEnd w:id="32"/>
    <w:p w14:paraId="4176B5F8">
      <w:pPr>
        <w:pStyle w:val="3"/>
        <w:keepNext w:val="0"/>
        <w:keepLines w:val="0"/>
        <w:spacing w:before="0" w:after="0" w:line="360" w:lineRule="auto"/>
        <w:rPr>
          <w:rFonts w:ascii="宋体" w:hAnsi="宋体" w:eastAsia="宋体" w:cs="宋体"/>
          <w:bCs w:val="0"/>
          <w:color w:val="auto"/>
          <w:sz w:val="24"/>
          <w:szCs w:val="24"/>
          <w:highlight w:val="none"/>
        </w:rPr>
      </w:pPr>
      <w:bookmarkStart w:id="33" w:name="_Toc10292"/>
      <w:bookmarkStart w:id="34" w:name="_Toc24026"/>
      <w:bookmarkStart w:id="35" w:name="_Toc5764"/>
      <w:bookmarkStart w:id="36" w:name="_Toc10287"/>
      <w:bookmarkStart w:id="37" w:name="_Toc14853"/>
      <w:bookmarkStart w:id="38" w:name="_Toc28359017"/>
      <w:bookmarkStart w:id="39" w:name="_Toc10530"/>
      <w:bookmarkStart w:id="40" w:name="_Toc35393803"/>
      <w:bookmarkStart w:id="41" w:name="_Toc35393634"/>
      <w:bookmarkStart w:id="42" w:name="_Toc28359094"/>
      <w:r>
        <w:rPr>
          <w:rFonts w:hint="eastAsia" w:ascii="宋体" w:hAnsi="宋体" w:eastAsia="宋体" w:cs="宋体"/>
          <w:bCs w:val="0"/>
          <w:color w:val="auto"/>
          <w:sz w:val="24"/>
          <w:szCs w:val="24"/>
          <w:highlight w:val="none"/>
        </w:rPr>
        <w:t>四、响应文件提交</w:t>
      </w:r>
      <w:bookmarkEnd w:id="33"/>
      <w:bookmarkEnd w:id="34"/>
      <w:bookmarkEnd w:id="35"/>
      <w:bookmarkEnd w:id="36"/>
      <w:bookmarkEnd w:id="37"/>
    </w:p>
    <w:p w14:paraId="2F260A7B">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截止时间：2025年</w:t>
      </w:r>
      <w:r>
        <w:rPr>
          <w:rFonts w:hint="eastAsia" w:ascii="宋体" w:hAnsi="宋体" w:cs="宋体"/>
          <w:color w:val="auto"/>
          <w:kern w:val="2"/>
          <w:sz w:val="24"/>
          <w:szCs w:val="24"/>
          <w:highlight w:val="none"/>
          <w:lang w:val="en-US" w:eastAsia="zh-CN" w:bidi="ar"/>
        </w:rPr>
        <w:t>10</w:t>
      </w:r>
      <w:r>
        <w:rPr>
          <w:rFonts w:hint="eastAsia" w:ascii="宋体" w:hAnsi="宋体" w:cs="宋体"/>
          <w:color w:val="auto"/>
          <w:sz w:val="24"/>
          <w:szCs w:val="24"/>
          <w:highlight w:val="none"/>
        </w:rPr>
        <w:t>月</w:t>
      </w:r>
      <w:r>
        <w:rPr>
          <w:rFonts w:hint="eastAsia" w:ascii="宋体" w:hAnsi="宋体" w:cs="宋体"/>
          <w:color w:val="auto"/>
          <w:kern w:val="2"/>
          <w:sz w:val="24"/>
          <w:szCs w:val="24"/>
          <w:highlight w:val="none"/>
          <w:lang w:val="en-US" w:eastAsia="zh-CN" w:bidi="ar"/>
        </w:rPr>
        <w:t>15</w:t>
      </w:r>
      <w:r>
        <w:rPr>
          <w:rFonts w:hint="eastAsia" w:ascii="宋体" w:hAnsi="宋体" w:cs="宋体"/>
          <w:color w:val="auto"/>
          <w:sz w:val="24"/>
          <w:szCs w:val="24"/>
          <w:highlight w:val="none"/>
        </w:rPr>
        <w:t>日</w:t>
      </w:r>
      <w:r>
        <w:rPr>
          <w:rFonts w:hint="eastAsia" w:ascii="宋体" w:hAnsi="宋体" w:cs="宋体"/>
          <w:color w:val="auto"/>
          <w:kern w:val="2"/>
          <w:sz w:val="24"/>
          <w:szCs w:val="24"/>
          <w:highlight w:val="none"/>
          <w:lang w:val="en-US" w:eastAsia="zh-CN" w:bidi="ar"/>
        </w:rPr>
        <w:t>09</w:t>
      </w:r>
      <w:r>
        <w:rPr>
          <w:rFonts w:hint="eastAsia" w:ascii="宋体" w:hAnsi="宋体" w:cs="宋体"/>
          <w:bCs/>
          <w:color w:val="auto"/>
          <w:sz w:val="24"/>
          <w:szCs w:val="24"/>
          <w:highlight w:val="none"/>
        </w:rPr>
        <w:t>点</w:t>
      </w:r>
      <w:r>
        <w:rPr>
          <w:rFonts w:hint="eastAsia" w:ascii="宋体" w:hAnsi="宋体" w:cs="宋体"/>
          <w:color w:val="auto"/>
          <w:kern w:val="2"/>
          <w:sz w:val="24"/>
          <w:szCs w:val="24"/>
          <w:highlight w:val="none"/>
          <w:lang w:val="en-US" w:eastAsia="zh-CN" w:bidi="ar"/>
        </w:rPr>
        <w:t>30</w:t>
      </w:r>
      <w:r>
        <w:rPr>
          <w:rFonts w:hint="eastAsia" w:ascii="宋体" w:hAnsi="宋体" w:cs="宋体"/>
          <w:bCs/>
          <w:color w:val="auto"/>
          <w:sz w:val="24"/>
          <w:szCs w:val="24"/>
          <w:highlight w:val="none"/>
        </w:rPr>
        <w:t>分（北京时间）</w:t>
      </w:r>
    </w:p>
    <w:p w14:paraId="3471BC19">
      <w:pPr>
        <w:widowControl w:val="0"/>
        <w:spacing w:line="360" w:lineRule="auto"/>
        <w:ind w:firstLine="480" w:firstLineChars="200"/>
        <w:jc w:val="both"/>
        <w:rPr>
          <w:rFonts w:ascii="宋体" w:hAnsi="宋体" w:cs="宋体"/>
          <w:bCs/>
          <w:color w:val="auto"/>
          <w:sz w:val="24"/>
          <w:szCs w:val="24"/>
          <w:highlight w:val="none"/>
          <w:u w:val="single"/>
        </w:rPr>
      </w:pPr>
      <w:r>
        <w:rPr>
          <w:rFonts w:hint="eastAsia" w:ascii="宋体" w:hAnsi="宋体" w:cs="宋体"/>
          <w:color w:val="auto"/>
          <w:sz w:val="24"/>
          <w:szCs w:val="24"/>
          <w:highlight w:val="none"/>
        </w:rPr>
        <w:t>地点：</w:t>
      </w:r>
      <w:r>
        <w:rPr>
          <w:rFonts w:hint="eastAsia" w:ascii="宋体" w:hAnsi="宋体" w:cs="宋体"/>
          <w:color w:val="auto"/>
          <w:kern w:val="2"/>
          <w:sz w:val="24"/>
          <w:szCs w:val="24"/>
          <w:highlight w:val="none"/>
        </w:rPr>
        <w:t>“政采云”平台（http：//www.zcygov.cn）。</w:t>
      </w:r>
    </w:p>
    <w:p w14:paraId="60E22DE7">
      <w:pPr>
        <w:pStyle w:val="3"/>
        <w:keepNext w:val="0"/>
        <w:keepLines w:val="0"/>
        <w:spacing w:before="0" w:after="0" w:line="360" w:lineRule="auto"/>
        <w:rPr>
          <w:rFonts w:ascii="宋体" w:hAnsi="宋体" w:eastAsia="宋体" w:cs="宋体"/>
          <w:bCs w:val="0"/>
          <w:color w:val="auto"/>
          <w:sz w:val="24"/>
          <w:szCs w:val="24"/>
          <w:highlight w:val="none"/>
        </w:rPr>
      </w:pPr>
      <w:bookmarkStart w:id="43" w:name="_Toc35393633"/>
      <w:bookmarkStart w:id="44" w:name="_Toc2195"/>
      <w:bookmarkStart w:id="45" w:name="_Toc22119"/>
      <w:bookmarkStart w:id="46" w:name="_Toc28359016"/>
      <w:bookmarkStart w:id="47" w:name="_Toc12446"/>
      <w:bookmarkStart w:id="48" w:name="_Toc25547"/>
      <w:bookmarkStart w:id="49" w:name="_Toc18082"/>
      <w:bookmarkStart w:id="50" w:name="_Toc35393802"/>
      <w:bookmarkStart w:id="51" w:name="_Toc24133"/>
      <w:bookmarkStart w:id="52" w:name="_Toc28359093"/>
      <w:r>
        <w:rPr>
          <w:rFonts w:hint="eastAsia" w:ascii="宋体" w:hAnsi="宋体" w:eastAsia="宋体" w:cs="宋体"/>
          <w:bCs w:val="0"/>
          <w:color w:val="auto"/>
          <w:sz w:val="24"/>
          <w:szCs w:val="24"/>
          <w:highlight w:val="none"/>
        </w:rPr>
        <w:t>五、开启</w:t>
      </w:r>
      <w:bookmarkEnd w:id="43"/>
      <w:bookmarkEnd w:id="44"/>
      <w:bookmarkEnd w:id="45"/>
      <w:bookmarkEnd w:id="46"/>
      <w:bookmarkEnd w:id="47"/>
      <w:bookmarkEnd w:id="48"/>
      <w:bookmarkEnd w:id="49"/>
      <w:bookmarkEnd w:id="50"/>
      <w:bookmarkEnd w:id="51"/>
      <w:bookmarkEnd w:id="52"/>
    </w:p>
    <w:p w14:paraId="53B048B7">
      <w:pPr>
        <w:spacing w:line="360" w:lineRule="auto"/>
        <w:ind w:firstLine="480" w:firstLineChars="200"/>
        <w:rPr>
          <w:rFonts w:ascii="宋体" w:hAnsi="宋体" w:cs="宋体"/>
          <w:bCs/>
          <w:color w:val="auto"/>
          <w:sz w:val="24"/>
          <w:szCs w:val="24"/>
          <w:highlight w:val="none"/>
          <w:u w:val="single"/>
        </w:rPr>
      </w:pPr>
      <w:r>
        <w:rPr>
          <w:rFonts w:hint="eastAsia" w:ascii="宋体" w:hAnsi="宋体" w:cs="宋体"/>
          <w:color w:val="auto"/>
          <w:sz w:val="24"/>
          <w:szCs w:val="24"/>
          <w:highlight w:val="none"/>
        </w:rPr>
        <w:t>时间：2025年</w:t>
      </w:r>
      <w:r>
        <w:rPr>
          <w:rFonts w:hint="eastAsia" w:ascii="宋体" w:hAnsi="宋体" w:cs="宋体"/>
          <w:color w:val="auto"/>
          <w:kern w:val="2"/>
          <w:sz w:val="24"/>
          <w:szCs w:val="24"/>
          <w:highlight w:val="none"/>
          <w:lang w:val="en-US" w:eastAsia="zh-CN" w:bidi="ar"/>
        </w:rPr>
        <w:t>10</w:t>
      </w:r>
      <w:r>
        <w:rPr>
          <w:rFonts w:hint="eastAsia" w:ascii="宋体" w:hAnsi="宋体" w:cs="宋体"/>
          <w:color w:val="auto"/>
          <w:sz w:val="24"/>
          <w:szCs w:val="24"/>
          <w:highlight w:val="none"/>
        </w:rPr>
        <w:t>月</w:t>
      </w:r>
      <w:r>
        <w:rPr>
          <w:rFonts w:hint="eastAsia" w:ascii="宋体" w:hAnsi="宋体" w:cs="宋体"/>
          <w:color w:val="auto"/>
          <w:kern w:val="2"/>
          <w:sz w:val="24"/>
          <w:szCs w:val="24"/>
          <w:highlight w:val="none"/>
          <w:lang w:val="en-US" w:eastAsia="zh-CN" w:bidi="ar"/>
        </w:rPr>
        <w:t>15</w:t>
      </w:r>
      <w:r>
        <w:rPr>
          <w:rFonts w:hint="eastAsia" w:ascii="宋体" w:hAnsi="宋体" w:cs="宋体"/>
          <w:color w:val="auto"/>
          <w:sz w:val="24"/>
          <w:szCs w:val="24"/>
          <w:highlight w:val="none"/>
        </w:rPr>
        <w:t>日</w:t>
      </w:r>
      <w:r>
        <w:rPr>
          <w:rFonts w:hint="eastAsia" w:ascii="宋体" w:hAnsi="宋体" w:cs="宋体"/>
          <w:color w:val="auto"/>
          <w:kern w:val="2"/>
          <w:sz w:val="24"/>
          <w:szCs w:val="24"/>
          <w:highlight w:val="none"/>
          <w:lang w:val="en-US" w:eastAsia="zh-CN" w:bidi="ar"/>
        </w:rPr>
        <w:t>09</w:t>
      </w:r>
      <w:r>
        <w:rPr>
          <w:rFonts w:hint="eastAsia" w:ascii="宋体" w:hAnsi="宋体" w:cs="宋体"/>
          <w:bCs/>
          <w:color w:val="auto"/>
          <w:sz w:val="24"/>
          <w:szCs w:val="24"/>
          <w:highlight w:val="none"/>
        </w:rPr>
        <w:t>点</w:t>
      </w:r>
      <w:r>
        <w:rPr>
          <w:rFonts w:hint="eastAsia" w:ascii="宋体" w:hAnsi="宋体" w:cs="宋体"/>
          <w:color w:val="auto"/>
          <w:kern w:val="2"/>
          <w:sz w:val="24"/>
          <w:szCs w:val="24"/>
          <w:highlight w:val="none"/>
          <w:lang w:val="en-US" w:eastAsia="zh-CN" w:bidi="ar"/>
        </w:rPr>
        <w:t>30</w:t>
      </w:r>
      <w:r>
        <w:rPr>
          <w:rFonts w:hint="eastAsia" w:ascii="宋体" w:hAnsi="宋体" w:cs="宋体"/>
          <w:bCs/>
          <w:color w:val="auto"/>
          <w:sz w:val="24"/>
          <w:szCs w:val="24"/>
          <w:highlight w:val="none"/>
        </w:rPr>
        <w:t>分（北京时间）</w:t>
      </w:r>
    </w:p>
    <w:p w14:paraId="5A1654A6">
      <w:pPr>
        <w:spacing w:line="360" w:lineRule="auto"/>
        <w:ind w:firstLine="480" w:firstLineChars="200"/>
        <w:rPr>
          <w:rFonts w:ascii="宋体" w:hAnsi="宋体" w:cs="宋体"/>
          <w:bCs/>
          <w:color w:val="auto"/>
          <w:sz w:val="24"/>
          <w:szCs w:val="24"/>
          <w:highlight w:val="none"/>
          <w:u w:val="single"/>
        </w:rPr>
      </w:pPr>
      <w:r>
        <w:rPr>
          <w:rFonts w:hint="eastAsia" w:ascii="宋体" w:hAnsi="宋体" w:cs="宋体"/>
          <w:color w:val="auto"/>
          <w:sz w:val="24"/>
          <w:szCs w:val="24"/>
          <w:highlight w:val="none"/>
        </w:rPr>
        <w:t>地点：</w:t>
      </w:r>
      <w:r>
        <w:rPr>
          <w:rFonts w:hint="eastAsia" w:ascii="宋体" w:hAnsi="宋体" w:cs="宋体"/>
          <w:color w:val="auto"/>
          <w:kern w:val="2"/>
          <w:sz w:val="24"/>
          <w:szCs w:val="24"/>
          <w:highlight w:val="none"/>
        </w:rPr>
        <w:t>“政采云”平台（http：//www.zcygov.cn）。</w:t>
      </w:r>
    </w:p>
    <w:p w14:paraId="66CB5CC0">
      <w:pPr>
        <w:pStyle w:val="3"/>
        <w:keepNext w:val="0"/>
        <w:keepLines w:val="0"/>
        <w:spacing w:before="0" w:after="0" w:line="360" w:lineRule="auto"/>
        <w:rPr>
          <w:rFonts w:ascii="宋体" w:hAnsi="宋体" w:eastAsia="宋体" w:cs="宋体"/>
          <w:bCs w:val="0"/>
          <w:color w:val="auto"/>
          <w:sz w:val="24"/>
          <w:szCs w:val="24"/>
          <w:highlight w:val="none"/>
        </w:rPr>
      </w:pPr>
      <w:bookmarkStart w:id="53" w:name="_Toc6661"/>
      <w:r>
        <w:rPr>
          <w:rFonts w:hint="eastAsia" w:ascii="宋体" w:hAnsi="宋体" w:eastAsia="宋体" w:cs="宋体"/>
          <w:bCs w:val="0"/>
          <w:color w:val="auto"/>
          <w:sz w:val="24"/>
          <w:szCs w:val="24"/>
          <w:highlight w:val="none"/>
        </w:rPr>
        <w:t>六、公告期限</w:t>
      </w:r>
      <w:bookmarkEnd w:id="38"/>
      <w:bookmarkEnd w:id="39"/>
      <w:bookmarkEnd w:id="40"/>
      <w:bookmarkEnd w:id="41"/>
      <w:bookmarkEnd w:id="42"/>
      <w:bookmarkEnd w:id="53"/>
    </w:p>
    <w:p w14:paraId="2336421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自本公告发布之日起3个工作日。</w:t>
      </w:r>
    </w:p>
    <w:p w14:paraId="2C5385FD">
      <w:pPr>
        <w:pStyle w:val="3"/>
        <w:keepNext w:val="0"/>
        <w:keepLines w:val="0"/>
        <w:spacing w:before="0" w:after="0" w:line="360" w:lineRule="auto"/>
        <w:rPr>
          <w:rFonts w:ascii="宋体" w:hAnsi="宋体" w:eastAsia="宋体" w:cs="宋体"/>
          <w:bCs w:val="0"/>
          <w:color w:val="auto"/>
          <w:sz w:val="24"/>
          <w:szCs w:val="24"/>
          <w:highlight w:val="none"/>
        </w:rPr>
      </w:pPr>
      <w:bookmarkStart w:id="54" w:name="_Toc7561"/>
      <w:bookmarkStart w:id="55" w:name="_Toc35393635"/>
      <w:bookmarkStart w:id="56" w:name="_Toc35393804"/>
      <w:bookmarkStart w:id="57" w:name="_Toc29435"/>
      <w:bookmarkStart w:id="58" w:name="_Toc22317"/>
      <w:r>
        <w:rPr>
          <w:rFonts w:hint="eastAsia" w:ascii="宋体" w:hAnsi="宋体" w:eastAsia="宋体" w:cs="宋体"/>
          <w:bCs w:val="0"/>
          <w:color w:val="auto"/>
          <w:sz w:val="24"/>
          <w:szCs w:val="24"/>
          <w:highlight w:val="none"/>
        </w:rPr>
        <w:t>七、其他补充事宜</w:t>
      </w:r>
      <w:bookmarkEnd w:id="54"/>
      <w:bookmarkEnd w:id="55"/>
      <w:bookmarkEnd w:id="56"/>
      <w:bookmarkEnd w:id="57"/>
      <w:bookmarkEnd w:id="58"/>
    </w:p>
    <w:p w14:paraId="7DC1289F">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1.开标方式：</w:t>
      </w:r>
      <w:r>
        <w:rPr>
          <w:rFonts w:hint="eastAsia" w:ascii="宋体" w:hAnsi="宋体" w:cs="宋体"/>
          <w:color w:val="auto"/>
          <w:sz w:val="24"/>
          <w:szCs w:val="24"/>
          <w:highlight w:val="none"/>
          <w:u w:val="single"/>
        </w:rPr>
        <w:t>网上开标</w:t>
      </w:r>
    </w:p>
    <w:p w14:paraId="5F444B4C">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2.是否需要缴纳谈判保证金：</w:t>
      </w:r>
      <w:r>
        <w:rPr>
          <w:rFonts w:hint="eastAsia" w:ascii="宋体" w:hAnsi="宋体" w:cs="宋体"/>
          <w:color w:val="auto"/>
          <w:sz w:val="24"/>
          <w:szCs w:val="24"/>
          <w:highlight w:val="none"/>
          <w:u w:val="single"/>
        </w:rPr>
        <w:t>是</w:t>
      </w:r>
    </w:p>
    <w:p w14:paraId="557C4FE5">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3.保证金缴纳金额(元)：</w:t>
      </w:r>
      <w:r>
        <w:rPr>
          <w:rFonts w:hint="eastAsia" w:ascii="宋体" w:hAnsi="宋体" w:cs="宋体"/>
          <w:color w:val="auto"/>
          <w:sz w:val="24"/>
          <w:szCs w:val="24"/>
          <w:highlight w:val="none"/>
          <w:u w:val="single"/>
        </w:rPr>
        <w:t>9000</w:t>
      </w:r>
    </w:p>
    <w:p w14:paraId="1831018B">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4.保证金缴纳方式：</w:t>
      </w:r>
      <w:r>
        <w:rPr>
          <w:rFonts w:hint="eastAsia" w:ascii="宋体" w:hAnsi="宋体" w:cs="宋体"/>
          <w:color w:val="auto"/>
          <w:sz w:val="24"/>
          <w:szCs w:val="24"/>
          <w:highlight w:val="none"/>
          <w:u w:val="single"/>
        </w:rPr>
        <w:t>支票、汇票、本票、保函、银行转账、电汇等非现金形式</w:t>
      </w:r>
    </w:p>
    <w:p w14:paraId="457CB11F">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5.保证金缴纳截止时间：</w:t>
      </w:r>
      <w:r>
        <w:rPr>
          <w:rFonts w:hint="eastAsia" w:ascii="宋体" w:hAnsi="宋体" w:cs="宋体"/>
          <w:color w:val="auto"/>
          <w:sz w:val="24"/>
          <w:szCs w:val="24"/>
          <w:highlight w:val="none"/>
          <w:u w:val="single"/>
        </w:rPr>
        <w:t>同响应文件递交截止时间</w:t>
      </w:r>
    </w:p>
    <w:p w14:paraId="2FA40694">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w:t>
      </w:r>
    </w:p>
    <w:p w14:paraId="3760710C">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6.1本次竞争性谈判公告在</w:t>
      </w:r>
      <w:r>
        <w:rPr>
          <w:rFonts w:hint="eastAsia" w:ascii="宋体" w:hAnsi="宋体" w:cs="宋体"/>
          <w:color w:val="auto"/>
          <w:sz w:val="24"/>
          <w:szCs w:val="24"/>
          <w:highlight w:val="none"/>
          <w:u w:val="single"/>
        </w:rPr>
        <w:t>云南省政府采购网</w:t>
      </w:r>
      <w:r>
        <w:rPr>
          <w:rFonts w:hint="eastAsia" w:ascii="宋体" w:hAnsi="宋体" w:cs="宋体"/>
          <w:color w:val="auto"/>
          <w:sz w:val="24"/>
          <w:szCs w:val="24"/>
          <w:highlight w:val="none"/>
        </w:rPr>
        <w:t>上发布，公告内容和时间以云南省政府采购网发布的信息为准。</w:t>
      </w:r>
    </w:p>
    <w:p w14:paraId="62ABFED5">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6.2本项目执行政府采购促进中小企业发展、支持监狱企业、促进残疾人就业、强制采购和优先采购节能、环保产品等政府采购政策。</w:t>
      </w:r>
    </w:p>
    <w:p w14:paraId="33FBD799">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6.3获取竞争性谈判文件的方式：有意参加谈判的供应商需要在政采云平台办理数字证书（CA）。完成数字证书（CA）办理后，供应商需要在政采云平台绑定数字证书(CA)，并在平台上获取采购文件和其他相关采购资料。</w:t>
      </w:r>
    </w:p>
    <w:p w14:paraId="4CD93B14">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注：CA办理链接：http://yzt.ynsmartcert.cn/cms/yztmdkj.html或者https://middle.zcygov.cn/ca/apply/list?_app_=zcy.sys</w:t>
      </w:r>
    </w:p>
    <w:p w14:paraId="73F1558F">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 </w:t>
      </w:r>
    </w:p>
    <w:p w14:paraId="64110C2C">
      <w:pPr>
        <w:pStyle w:val="3"/>
        <w:keepNext w:val="0"/>
        <w:keepLines w:val="0"/>
        <w:spacing w:before="0" w:after="0" w:line="360" w:lineRule="auto"/>
        <w:rPr>
          <w:rFonts w:ascii="宋体" w:hAnsi="宋体" w:eastAsia="宋体" w:cs="宋体"/>
          <w:bCs w:val="0"/>
          <w:color w:val="auto"/>
          <w:sz w:val="24"/>
          <w:szCs w:val="24"/>
          <w:highlight w:val="none"/>
        </w:rPr>
      </w:pPr>
      <w:bookmarkStart w:id="59" w:name="_Toc28359018"/>
      <w:bookmarkStart w:id="60" w:name="_Toc35393636"/>
      <w:bookmarkStart w:id="61" w:name="_Toc28359095"/>
      <w:bookmarkStart w:id="62" w:name="_Toc35393805"/>
      <w:bookmarkStart w:id="63" w:name="_Toc13804"/>
      <w:bookmarkStart w:id="64" w:name="_Toc21391"/>
      <w:bookmarkStart w:id="65" w:name="_Toc28587"/>
      <w:r>
        <w:rPr>
          <w:rFonts w:hint="eastAsia" w:ascii="宋体" w:hAnsi="宋体" w:eastAsia="宋体" w:cs="宋体"/>
          <w:bCs w:val="0"/>
          <w:color w:val="auto"/>
          <w:sz w:val="24"/>
          <w:szCs w:val="24"/>
          <w:highlight w:val="none"/>
        </w:rPr>
        <w:t>八、凡对本次采购提出询问，请按以下方式联系</w:t>
      </w:r>
      <w:bookmarkEnd w:id="59"/>
      <w:bookmarkEnd w:id="60"/>
      <w:bookmarkEnd w:id="61"/>
      <w:bookmarkEnd w:id="62"/>
      <w:bookmarkEnd w:id="63"/>
      <w:bookmarkEnd w:id="64"/>
      <w:bookmarkEnd w:id="65"/>
    </w:p>
    <w:p w14:paraId="621C43C4">
      <w:pPr>
        <w:widowControl w:val="0"/>
        <w:spacing w:line="360" w:lineRule="auto"/>
        <w:ind w:firstLine="480" w:firstLineChars="200"/>
        <w:rPr>
          <w:rFonts w:ascii="宋体" w:hAnsi="宋体" w:cs="宋体"/>
          <w:color w:val="auto"/>
          <w:sz w:val="24"/>
          <w:szCs w:val="24"/>
          <w:highlight w:val="none"/>
        </w:rPr>
      </w:pPr>
      <w:bookmarkStart w:id="66" w:name="_Toc16794"/>
      <w:bookmarkEnd w:id="66"/>
      <w:bookmarkStart w:id="67" w:name="_Toc8120"/>
      <w:bookmarkEnd w:id="67"/>
      <w:bookmarkStart w:id="68" w:name="_Toc5498"/>
      <w:bookmarkEnd w:id="68"/>
      <w:bookmarkStart w:id="69" w:name="_Toc23419"/>
      <w:bookmarkEnd w:id="69"/>
      <w:bookmarkStart w:id="70" w:name="_Toc13994"/>
      <w:bookmarkEnd w:id="70"/>
      <w:bookmarkStart w:id="71" w:name="_Toc28359097"/>
      <w:bookmarkStart w:id="72" w:name="_Toc28359020"/>
      <w:bookmarkStart w:id="73" w:name="_Toc35393638"/>
      <w:bookmarkStart w:id="74" w:name="_Toc35393807"/>
      <w:bookmarkStart w:id="75" w:name="_Toc18212"/>
      <w:r>
        <w:rPr>
          <w:rFonts w:hint="eastAsia" w:ascii="宋体" w:hAnsi="宋体" w:cs="宋体"/>
          <w:color w:val="auto"/>
          <w:sz w:val="24"/>
          <w:szCs w:val="24"/>
          <w:highlight w:val="none"/>
        </w:rPr>
        <w:t>1.名称：</w:t>
      </w:r>
      <w:r>
        <w:rPr>
          <w:rFonts w:hint="eastAsia" w:ascii="宋体" w:hAnsi="宋体" w:cs="宋体"/>
          <w:color w:val="auto"/>
          <w:sz w:val="24"/>
          <w:szCs w:val="24"/>
          <w:highlight w:val="none"/>
          <w:u w:val="single"/>
        </w:rPr>
        <w:t>云南大学</w:t>
      </w:r>
    </w:p>
    <w:p w14:paraId="1280B283">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云南省昆明市呈贡区雨苍西路</w:t>
      </w:r>
    </w:p>
    <w:p w14:paraId="310FDD8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kern w:val="2"/>
          <w:sz w:val="24"/>
          <w:szCs w:val="24"/>
          <w:highlight w:val="none"/>
          <w:u w:val="single"/>
          <w:lang w:bidi="ar"/>
        </w:rPr>
        <w:t>刘老师0871-65032850</w:t>
      </w:r>
    </w:p>
    <w:p w14:paraId="5D7C249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71"/>
      <w:bookmarkEnd w:id="72"/>
      <w:bookmarkEnd w:id="73"/>
      <w:bookmarkEnd w:id="74"/>
    </w:p>
    <w:p w14:paraId="47591B31">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名 称：</w:t>
      </w:r>
      <w:r>
        <w:rPr>
          <w:rFonts w:hint="eastAsia" w:ascii="宋体" w:hAnsi="宋体" w:cs="宋体"/>
          <w:color w:val="auto"/>
          <w:kern w:val="2"/>
          <w:sz w:val="24"/>
          <w:szCs w:val="24"/>
          <w:highlight w:val="none"/>
          <w:u w:val="single"/>
          <w:lang w:bidi="ar"/>
        </w:rPr>
        <w:t>云南元大工程咨询有限责任公司</w:t>
      </w:r>
    </w:p>
    <w:p w14:paraId="222BE4F7">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地　址：</w:t>
      </w:r>
      <w:r>
        <w:rPr>
          <w:rFonts w:hint="eastAsia" w:ascii="宋体" w:hAnsi="宋体" w:cs="宋体"/>
          <w:color w:val="auto"/>
          <w:kern w:val="2"/>
          <w:sz w:val="24"/>
          <w:szCs w:val="24"/>
          <w:highlight w:val="none"/>
          <w:u w:val="single"/>
          <w:lang w:bidi="ar"/>
        </w:rPr>
        <w:t>云南省昆明市盘龙区联盟路与万宏路交汇处万宏嘉园沣苑（地块三）B座15楼（奥斯迪商务中心B座15楼）</w:t>
      </w:r>
    </w:p>
    <w:p w14:paraId="0D83F636">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联系方式：</w:t>
      </w:r>
      <w:r>
        <w:rPr>
          <w:rFonts w:hint="eastAsia" w:ascii="宋体" w:hAnsi="宋体" w:cs="宋体"/>
          <w:color w:val="auto"/>
          <w:sz w:val="24"/>
          <w:szCs w:val="24"/>
          <w:highlight w:val="none"/>
          <w:u w:val="single"/>
        </w:rPr>
        <w:t>李波琼、杨晨、黎泽龙、王博冰、程吉鹏（0871）63338509</w:t>
      </w:r>
    </w:p>
    <w:p w14:paraId="7133B123">
      <w:pPr>
        <w:widowControl w:val="0"/>
        <w:spacing w:line="360" w:lineRule="auto"/>
        <w:ind w:firstLine="480" w:firstLineChars="200"/>
        <w:rPr>
          <w:rFonts w:ascii="宋体" w:hAnsi="宋体" w:cs="宋体"/>
          <w:color w:val="auto"/>
          <w:sz w:val="24"/>
          <w:szCs w:val="24"/>
          <w:highlight w:val="none"/>
        </w:rPr>
      </w:pPr>
      <w:bookmarkStart w:id="76" w:name="_Toc28359098"/>
      <w:bookmarkStart w:id="77" w:name="_Toc35393639"/>
      <w:bookmarkStart w:id="78" w:name="_Toc35393808"/>
      <w:bookmarkStart w:id="79" w:name="_Toc28359021"/>
      <w:r>
        <w:rPr>
          <w:rFonts w:hint="eastAsia" w:ascii="宋体" w:hAnsi="宋体" w:cs="宋体"/>
          <w:color w:val="auto"/>
          <w:sz w:val="24"/>
          <w:szCs w:val="24"/>
          <w:highlight w:val="none"/>
        </w:rPr>
        <w:t>3.项目联系方式</w:t>
      </w:r>
      <w:bookmarkEnd w:id="76"/>
      <w:bookmarkEnd w:id="77"/>
      <w:bookmarkEnd w:id="78"/>
      <w:bookmarkEnd w:id="79"/>
    </w:p>
    <w:p w14:paraId="3C919613">
      <w:pPr>
        <w:pStyle w:val="27"/>
        <w:widowControl w:val="0"/>
        <w:spacing w:before="0" w:beforeAutospacing="0" w:after="0" w:afterAutospacing="0" w:line="360" w:lineRule="auto"/>
        <w:ind w:firstLine="480" w:firstLineChars="200"/>
        <w:jc w:val="both"/>
        <w:rPr>
          <w:rFonts w:ascii="宋体" w:hAnsi="宋体" w:cs="宋体"/>
          <w:color w:val="auto"/>
          <w:highlight w:val="none"/>
          <w:u w:val="single"/>
        </w:rPr>
      </w:pPr>
      <w:r>
        <w:rPr>
          <w:rFonts w:hint="eastAsia" w:ascii="宋体" w:hAnsi="宋体" w:cs="宋体"/>
          <w:color w:val="auto"/>
          <w:kern w:val="2"/>
          <w:highlight w:val="none"/>
          <w:lang w:bidi="ar"/>
        </w:rPr>
        <w:t>项目联系人：</w:t>
      </w:r>
      <w:r>
        <w:rPr>
          <w:rFonts w:hint="eastAsia" w:ascii="宋体" w:hAnsi="宋体" w:cs="宋体"/>
          <w:color w:val="auto"/>
          <w:highlight w:val="none"/>
          <w:u w:val="single"/>
        </w:rPr>
        <w:t>李波琼、杨晨、黎泽龙、王博冰、程吉鹏（0871）63338509</w:t>
      </w:r>
    </w:p>
    <w:p w14:paraId="2910685C">
      <w:pPr>
        <w:pStyle w:val="12"/>
        <w:ind w:firstLine="480" w:firstLineChars="200"/>
        <w:rPr>
          <w:rFonts w:ascii="宋体" w:hAnsi="宋体" w:cs="宋体"/>
          <w:color w:val="auto"/>
          <w:sz w:val="24"/>
          <w:highlight w:val="none"/>
          <w:u w:val="single"/>
        </w:rPr>
      </w:pPr>
      <w:r>
        <w:rPr>
          <w:rFonts w:hint="eastAsia" w:ascii="宋体" w:hAnsi="宋体" w:cs="宋体"/>
          <w:color w:val="auto"/>
          <w:sz w:val="24"/>
          <w:highlight w:val="none"/>
          <w:lang w:bidi="ar"/>
        </w:rPr>
        <w:t>电　话：</w:t>
      </w:r>
      <w:r>
        <w:rPr>
          <w:rFonts w:hint="eastAsia" w:ascii="宋体" w:hAnsi="宋体" w:cs="宋体"/>
          <w:color w:val="auto"/>
          <w:sz w:val="24"/>
          <w:highlight w:val="none"/>
          <w:u w:val="single"/>
        </w:rPr>
        <w:t>0871-63338509</w:t>
      </w:r>
    </w:p>
    <w:p w14:paraId="3F417FDF">
      <w:pPr>
        <w:pStyle w:val="27"/>
        <w:widowControl w:val="0"/>
        <w:spacing w:before="0" w:beforeAutospacing="0" w:after="0" w:afterAutospacing="0" w:line="360" w:lineRule="auto"/>
        <w:ind w:firstLine="480" w:firstLineChars="200"/>
        <w:jc w:val="both"/>
        <w:rPr>
          <w:rFonts w:ascii="宋体" w:hAnsi="宋体" w:cs="宋体"/>
          <w:color w:val="auto"/>
          <w:highlight w:val="none"/>
          <w:u w:val="single"/>
        </w:rPr>
      </w:pPr>
    </w:p>
    <w:p w14:paraId="0A3E400B">
      <w:pPr>
        <w:pStyle w:val="2"/>
        <w:spacing w:before="0" w:after="0" w:line="360" w:lineRule="auto"/>
        <w:ind w:firstLine="480" w:firstLineChars="200"/>
        <w:jc w:val="center"/>
        <w:rPr>
          <w:rStyle w:val="58"/>
          <w:rFonts w:ascii="宋体" w:hAnsi="宋体" w:cs="宋体"/>
          <w:b/>
          <w:bCs/>
          <w:color w:val="auto"/>
          <w:highlight w:val="none"/>
        </w:rPr>
      </w:pPr>
      <w:r>
        <w:rPr>
          <w:rFonts w:hint="eastAsia" w:ascii="宋体" w:hAnsi="宋体" w:cs="宋体"/>
          <w:b w:val="0"/>
          <w:bCs w:val="0"/>
          <w:color w:val="auto"/>
          <w:kern w:val="2"/>
          <w:sz w:val="24"/>
          <w:szCs w:val="24"/>
          <w:highlight w:val="none"/>
          <w:lang w:bidi="ar"/>
        </w:rPr>
        <w:br w:type="page"/>
      </w:r>
      <w:bookmarkStart w:id="80" w:name="_Toc2307"/>
      <w:r>
        <w:rPr>
          <w:rStyle w:val="40"/>
          <w:rFonts w:hint="eastAsia" w:ascii="宋体" w:hAnsi="宋体" w:cs="宋体"/>
          <w:b w:val="0"/>
          <w:bCs w:val="0"/>
          <w:color w:val="auto"/>
          <w:highlight w:val="none"/>
        </w:rPr>
        <w:t>第二章 供应商须知</w:t>
      </w:r>
      <w:bookmarkEnd w:id="75"/>
      <w:bookmarkEnd w:id="80"/>
    </w:p>
    <w:p w14:paraId="5380323F">
      <w:pPr>
        <w:pStyle w:val="3"/>
        <w:spacing w:before="0" w:after="0" w:line="360" w:lineRule="auto"/>
        <w:ind w:firstLine="420"/>
        <w:jc w:val="center"/>
        <w:rPr>
          <w:rFonts w:ascii="宋体" w:hAnsi="宋体" w:eastAsia="宋体" w:cs="宋体"/>
          <w:color w:val="auto"/>
          <w:sz w:val="28"/>
          <w:szCs w:val="28"/>
          <w:highlight w:val="none"/>
        </w:rPr>
      </w:pPr>
      <w:bookmarkStart w:id="81" w:name="_Toc13590"/>
      <w:bookmarkEnd w:id="81"/>
      <w:bookmarkStart w:id="82" w:name="_Toc21714"/>
      <w:bookmarkEnd w:id="82"/>
      <w:bookmarkStart w:id="83" w:name="_Toc26144"/>
      <w:bookmarkStart w:id="84" w:name="_Toc23670"/>
      <w:r>
        <w:rPr>
          <w:rFonts w:hint="eastAsia" w:ascii="宋体" w:hAnsi="宋体" w:eastAsia="宋体" w:cs="宋体"/>
          <w:color w:val="auto"/>
          <w:sz w:val="28"/>
          <w:szCs w:val="28"/>
          <w:highlight w:val="none"/>
        </w:rPr>
        <w:t>供应商须知前附表</w:t>
      </w:r>
      <w:bookmarkEnd w:id="83"/>
      <w:bookmarkEnd w:id="84"/>
    </w:p>
    <w:p w14:paraId="4AA13F7C">
      <w:pPr>
        <w:spacing w:line="200" w:lineRule="exact"/>
        <w:rPr>
          <w:rFonts w:ascii="宋体" w:hAnsi="宋体" w:cs="宋体"/>
          <w:color w:val="auto"/>
          <w:highlight w:val="none"/>
        </w:rPr>
      </w:pPr>
      <w:r>
        <w:rPr>
          <w:rFonts w:hint="eastAsia" w:ascii="宋体" w:hAnsi="宋体" w:cs="宋体"/>
          <w:color w:val="auto"/>
          <w:highlight w:val="none"/>
        </w:rPr>
        <w:t xml:space="preserve"> </w:t>
      </w:r>
    </w:p>
    <w:tbl>
      <w:tblPr>
        <w:tblStyle w:val="32"/>
        <w:tblW w:w="9882" w:type="dxa"/>
        <w:jc w:val="center"/>
        <w:tblLayout w:type="fixed"/>
        <w:tblCellMar>
          <w:top w:w="0" w:type="dxa"/>
          <w:left w:w="0" w:type="dxa"/>
          <w:bottom w:w="0" w:type="dxa"/>
          <w:right w:w="0" w:type="dxa"/>
        </w:tblCellMar>
      </w:tblPr>
      <w:tblGrid>
        <w:gridCol w:w="1047"/>
        <w:gridCol w:w="2009"/>
        <w:gridCol w:w="6826"/>
      </w:tblGrid>
      <w:tr w14:paraId="43EFC7F0">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14:paraId="0DF68EBA">
            <w:pPr>
              <w:spacing w:line="46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条款号</w:t>
            </w:r>
          </w:p>
        </w:tc>
        <w:tc>
          <w:tcPr>
            <w:tcW w:w="2009" w:type="dxa"/>
            <w:tcBorders>
              <w:top w:val="single" w:color="auto" w:sz="8" w:space="0"/>
              <w:left w:val="nil"/>
              <w:bottom w:val="single" w:color="auto" w:sz="8" w:space="0"/>
              <w:right w:val="single" w:color="auto" w:sz="8" w:space="0"/>
            </w:tcBorders>
            <w:vAlign w:val="bottom"/>
          </w:tcPr>
          <w:p w14:paraId="1E6F0DA0">
            <w:pPr>
              <w:spacing w:line="46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条 款 名 称</w:t>
            </w:r>
          </w:p>
        </w:tc>
        <w:tc>
          <w:tcPr>
            <w:tcW w:w="6826" w:type="dxa"/>
            <w:tcBorders>
              <w:top w:val="single" w:color="auto" w:sz="8" w:space="0"/>
              <w:left w:val="nil"/>
              <w:bottom w:val="single" w:color="auto" w:sz="8" w:space="0"/>
              <w:right w:val="single" w:color="auto" w:sz="8" w:space="0"/>
            </w:tcBorders>
            <w:vAlign w:val="bottom"/>
          </w:tcPr>
          <w:p w14:paraId="730B098C">
            <w:pPr>
              <w:spacing w:line="460" w:lineRule="exact"/>
              <w:ind w:left="168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编 列 内 容</w:t>
            </w:r>
          </w:p>
        </w:tc>
      </w:tr>
      <w:tr w14:paraId="5FC1470E">
        <w:tblPrEx>
          <w:tblCellMar>
            <w:top w:w="0" w:type="dxa"/>
            <w:left w:w="0" w:type="dxa"/>
            <w:bottom w:w="0" w:type="dxa"/>
            <w:right w:w="0" w:type="dxa"/>
          </w:tblCellMar>
        </w:tblPrEx>
        <w:trPr>
          <w:trHeight w:val="61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B8BAF1B">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1.1.2</w:t>
            </w:r>
          </w:p>
        </w:tc>
        <w:tc>
          <w:tcPr>
            <w:tcW w:w="2009" w:type="dxa"/>
            <w:tcBorders>
              <w:top w:val="single" w:color="auto" w:sz="8" w:space="0"/>
              <w:left w:val="nil"/>
              <w:bottom w:val="single" w:color="auto" w:sz="8" w:space="0"/>
              <w:right w:val="single" w:color="auto" w:sz="8" w:space="0"/>
            </w:tcBorders>
            <w:vAlign w:val="center"/>
          </w:tcPr>
          <w:p w14:paraId="2F621278">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采购人信息</w:t>
            </w:r>
          </w:p>
        </w:tc>
        <w:tc>
          <w:tcPr>
            <w:tcW w:w="6826" w:type="dxa"/>
            <w:tcBorders>
              <w:top w:val="single" w:color="auto" w:sz="8" w:space="0"/>
              <w:left w:val="nil"/>
              <w:bottom w:val="single" w:color="auto" w:sz="8" w:space="0"/>
              <w:right w:val="single" w:color="auto" w:sz="8" w:space="0"/>
            </w:tcBorders>
            <w:vAlign w:val="center"/>
          </w:tcPr>
          <w:p w14:paraId="7A5230A1">
            <w:pPr>
              <w:widowControl w:val="0"/>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详见第一章“竞争性谈判公告”</w:t>
            </w:r>
          </w:p>
        </w:tc>
      </w:tr>
      <w:tr w14:paraId="2AC7658D">
        <w:tblPrEx>
          <w:tblCellMar>
            <w:top w:w="0" w:type="dxa"/>
            <w:left w:w="0" w:type="dxa"/>
            <w:bottom w:w="0" w:type="dxa"/>
            <w:right w:w="0" w:type="dxa"/>
          </w:tblCellMar>
        </w:tblPrEx>
        <w:trPr>
          <w:trHeight w:val="57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8E64F5C">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1.1.3</w:t>
            </w:r>
          </w:p>
        </w:tc>
        <w:tc>
          <w:tcPr>
            <w:tcW w:w="2009" w:type="dxa"/>
            <w:tcBorders>
              <w:top w:val="single" w:color="auto" w:sz="8" w:space="0"/>
              <w:left w:val="nil"/>
              <w:bottom w:val="single" w:color="auto" w:sz="8" w:space="0"/>
              <w:right w:val="single" w:color="auto" w:sz="8" w:space="0"/>
            </w:tcBorders>
            <w:vAlign w:val="center"/>
          </w:tcPr>
          <w:p w14:paraId="297291B1">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采购代理机构信息</w:t>
            </w:r>
          </w:p>
        </w:tc>
        <w:tc>
          <w:tcPr>
            <w:tcW w:w="6826" w:type="dxa"/>
            <w:tcBorders>
              <w:top w:val="single" w:color="auto" w:sz="8" w:space="0"/>
              <w:left w:val="nil"/>
              <w:bottom w:val="single" w:color="auto" w:sz="8" w:space="0"/>
              <w:right w:val="single" w:color="auto" w:sz="8" w:space="0"/>
            </w:tcBorders>
            <w:vAlign w:val="center"/>
          </w:tcPr>
          <w:p w14:paraId="59520E94">
            <w:pPr>
              <w:widowControl w:val="0"/>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详见第一章“竞争性谈判公告”</w:t>
            </w:r>
          </w:p>
        </w:tc>
      </w:tr>
      <w:tr w14:paraId="774A1726">
        <w:tblPrEx>
          <w:tblCellMar>
            <w:top w:w="0" w:type="dxa"/>
            <w:left w:w="0" w:type="dxa"/>
            <w:bottom w:w="0" w:type="dxa"/>
            <w:right w:w="0" w:type="dxa"/>
          </w:tblCellMar>
        </w:tblPrEx>
        <w:trPr>
          <w:trHeight w:val="53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FA0A942">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1.1.4</w:t>
            </w:r>
          </w:p>
        </w:tc>
        <w:tc>
          <w:tcPr>
            <w:tcW w:w="2009" w:type="dxa"/>
            <w:tcBorders>
              <w:top w:val="single" w:color="auto" w:sz="8" w:space="0"/>
              <w:left w:val="nil"/>
              <w:bottom w:val="single" w:color="auto" w:sz="8" w:space="0"/>
              <w:right w:val="single" w:color="auto" w:sz="8" w:space="0"/>
            </w:tcBorders>
            <w:vAlign w:val="center"/>
          </w:tcPr>
          <w:p w14:paraId="34A0F79A">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项目名称</w:t>
            </w:r>
          </w:p>
        </w:tc>
        <w:tc>
          <w:tcPr>
            <w:tcW w:w="6826" w:type="dxa"/>
            <w:tcBorders>
              <w:top w:val="single" w:color="auto" w:sz="8" w:space="0"/>
              <w:left w:val="nil"/>
              <w:bottom w:val="single" w:color="auto" w:sz="8" w:space="0"/>
              <w:right w:val="single" w:color="auto" w:sz="8" w:space="0"/>
            </w:tcBorders>
            <w:vAlign w:val="center"/>
          </w:tcPr>
          <w:p w14:paraId="725EA32D">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详见第一章“竞争性谈判公告”</w:t>
            </w:r>
          </w:p>
        </w:tc>
      </w:tr>
      <w:tr w14:paraId="13ED3CAD">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A8F0FCE">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vAlign w:val="center"/>
          </w:tcPr>
          <w:p w14:paraId="586BF211">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资金落实情况</w:t>
            </w:r>
          </w:p>
        </w:tc>
        <w:tc>
          <w:tcPr>
            <w:tcW w:w="6826" w:type="dxa"/>
            <w:tcBorders>
              <w:top w:val="single" w:color="auto" w:sz="8" w:space="0"/>
              <w:left w:val="nil"/>
              <w:bottom w:val="single" w:color="auto" w:sz="8" w:space="0"/>
              <w:right w:val="single" w:color="auto" w:sz="8" w:space="0"/>
            </w:tcBorders>
            <w:vAlign w:val="center"/>
          </w:tcPr>
          <w:p w14:paraId="073AD0E0">
            <w:pPr>
              <w:spacing w:line="360" w:lineRule="auto"/>
              <w:rPr>
                <w:rFonts w:ascii="宋体" w:hAnsi="宋体" w:cs="宋体"/>
                <w:color w:val="auto"/>
                <w:kern w:val="2"/>
                <w:sz w:val="24"/>
                <w:szCs w:val="24"/>
                <w:highlight w:val="none"/>
              </w:rPr>
            </w:pPr>
            <w:r>
              <w:rPr>
                <w:rFonts w:hint="eastAsia" w:ascii="宋体" w:hAnsi="宋体" w:cs="宋体"/>
                <w:bCs/>
                <w:color w:val="auto"/>
                <w:sz w:val="24"/>
                <w:szCs w:val="24"/>
                <w:highlight w:val="none"/>
              </w:rPr>
              <w:t>财政资金，已落实</w:t>
            </w:r>
          </w:p>
        </w:tc>
      </w:tr>
      <w:tr w14:paraId="096F5041">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BA89E8D">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vAlign w:val="center"/>
          </w:tcPr>
          <w:p w14:paraId="709F3A28">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预算金额</w:t>
            </w:r>
          </w:p>
        </w:tc>
        <w:tc>
          <w:tcPr>
            <w:tcW w:w="6826" w:type="dxa"/>
            <w:tcBorders>
              <w:top w:val="single" w:color="auto" w:sz="8" w:space="0"/>
              <w:left w:val="nil"/>
              <w:bottom w:val="single" w:color="auto" w:sz="8" w:space="0"/>
              <w:right w:val="single" w:color="auto" w:sz="8" w:space="0"/>
            </w:tcBorders>
            <w:vAlign w:val="center"/>
          </w:tcPr>
          <w:p w14:paraId="150D9A8F">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详见第一章“竞争性谈判公告”</w:t>
            </w:r>
          </w:p>
        </w:tc>
      </w:tr>
      <w:tr w14:paraId="2F7FFF15">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2F036E5">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1.3.1</w:t>
            </w:r>
          </w:p>
        </w:tc>
        <w:tc>
          <w:tcPr>
            <w:tcW w:w="2009" w:type="dxa"/>
            <w:tcBorders>
              <w:top w:val="single" w:color="auto" w:sz="8" w:space="0"/>
              <w:left w:val="nil"/>
              <w:bottom w:val="single" w:color="auto" w:sz="8" w:space="0"/>
              <w:right w:val="single" w:color="auto" w:sz="8" w:space="0"/>
            </w:tcBorders>
            <w:vAlign w:val="center"/>
          </w:tcPr>
          <w:p w14:paraId="299BB2BF">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采购内容</w:t>
            </w:r>
          </w:p>
        </w:tc>
        <w:tc>
          <w:tcPr>
            <w:tcW w:w="6826" w:type="dxa"/>
            <w:tcBorders>
              <w:top w:val="single" w:color="auto" w:sz="8" w:space="0"/>
              <w:left w:val="nil"/>
              <w:bottom w:val="single" w:color="auto" w:sz="8" w:space="0"/>
              <w:right w:val="single" w:color="auto" w:sz="8" w:space="0"/>
            </w:tcBorders>
            <w:vAlign w:val="center"/>
          </w:tcPr>
          <w:p w14:paraId="3BB9BC64">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详见第五章《采购内容及要求》的具体内容</w:t>
            </w:r>
          </w:p>
        </w:tc>
      </w:tr>
      <w:tr w14:paraId="1C10E4DE">
        <w:tblPrEx>
          <w:tblCellMar>
            <w:top w:w="0" w:type="dxa"/>
            <w:left w:w="0" w:type="dxa"/>
            <w:bottom w:w="0" w:type="dxa"/>
            <w:right w:w="0" w:type="dxa"/>
          </w:tblCellMar>
        </w:tblPrEx>
        <w:trPr>
          <w:trHeight w:val="91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D78D852">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1.3.2</w:t>
            </w:r>
          </w:p>
        </w:tc>
        <w:tc>
          <w:tcPr>
            <w:tcW w:w="2009" w:type="dxa"/>
            <w:tcBorders>
              <w:top w:val="single" w:color="auto" w:sz="8" w:space="0"/>
              <w:left w:val="nil"/>
              <w:bottom w:val="single" w:color="auto" w:sz="8" w:space="0"/>
              <w:right w:val="single" w:color="auto" w:sz="8" w:space="0"/>
            </w:tcBorders>
            <w:vAlign w:val="center"/>
          </w:tcPr>
          <w:p w14:paraId="52DC0C96">
            <w:pPr>
              <w:spacing w:line="360" w:lineRule="auto"/>
              <w:rPr>
                <w:rFonts w:ascii="宋体" w:hAnsi="宋体" w:cs="宋体"/>
                <w:b/>
                <w:color w:val="auto"/>
                <w:kern w:val="2"/>
                <w:sz w:val="24"/>
                <w:szCs w:val="24"/>
                <w:highlight w:val="none"/>
              </w:rPr>
            </w:pPr>
            <w:r>
              <w:rPr>
                <w:rFonts w:hint="eastAsia" w:ascii="宋体" w:hAnsi="宋体" w:cs="宋体"/>
                <w:b/>
                <w:color w:val="auto"/>
                <w:kern w:val="2"/>
                <w:sz w:val="24"/>
                <w:szCs w:val="24"/>
                <w:highlight w:val="none"/>
              </w:rPr>
              <w:t>交货期、质保期</w:t>
            </w:r>
          </w:p>
        </w:tc>
        <w:tc>
          <w:tcPr>
            <w:tcW w:w="6826" w:type="dxa"/>
            <w:tcBorders>
              <w:top w:val="single" w:color="auto" w:sz="8" w:space="0"/>
              <w:left w:val="nil"/>
              <w:bottom w:val="single" w:color="auto" w:sz="8" w:space="0"/>
              <w:right w:val="single" w:color="auto" w:sz="8" w:space="0"/>
            </w:tcBorders>
          </w:tcPr>
          <w:p w14:paraId="47049ACA">
            <w:pPr>
              <w:spacing w:line="360" w:lineRule="auto"/>
              <w:jc w:val="both"/>
              <w:rPr>
                <w:rFonts w:ascii="宋体" w:hAnsi="宋体" w:cs="宋体"/>
                <w:b/>
                <w:color w:val="auto"/>
                <w:kern w:val="2"/>
                <w:sz w:val="24"/>
                <w:szCs w:val="24"/>
                <w:highlight w:val="none"/>
              </w:rPr>
            </w:pPr>
            <w:r>
              <w:rPr>
                <w:rFonts w:hint="eastAsia" w:ascii="宋体" w:hAnsi="宋体" w:cs="宋体"/>
                <w:b/>
                <w:color w:val="auto"/>
                <w:kern w:val="2"/>
                <w:sz w:val="24"/>
                <w:szCs w:val="24"/>
                <w:highlight w:val="none"/>
              </w:rPr>
              <w:t>交货期：合同签订后30日历天内完成</w:t>
            </w:r>
          </w:p>
          <w:p w14:paraId="17929164">
            <w:pPr>
              <w:spacing w:line="360" w:lineRule="auto"/>
              <w:jc w:val="both"/>
              <w:rPr>
                <w:rFonts w:ascii="宋体" w:hAnsi="宋体" w:cs="宋体"/>
                <w:b/>
                <w:color w:val="auto"/>
                <w:kern w:val="2"/>
                <w:sz w:val="24"/>
                <w:szCs w:val="24"/>
                <w:highlight w:val="none"/>
              </w:rPr>
            </w:pPr>
            <w:r>
              <w:rPr>
                <w:rFonts w:hint="eastAsia" w:ascii="宋体" w:hAnsi="宋体" w:cs="宋体"/>
                <w:b/>
                <w:color w:val="auto"/>
                <w:kern w:val="2"/>
                <w:sz w:val="24"/>
                <w:szCs w:val="24"/>
                <w:highlight w:val="none"/>
              </w:rPr>
              <w:t>质保期：验收完成后不低于一年</w:t>
            </w:r>
          </w:p>
        </w:tc>
      </w:tr>
      <w:tr w14:paraId="5FAE0CD3">
        <w:tblPrEx>
          <w:tblCellMar>
            <w:top w:w="0" w:type="dxa"/>
            <w:left w:w="0" w:type="dxa"/>
            <w:bottom w:w="0" w:type="dxa"/>
            <w:right w:w="0" w:type="dxa"/>
          </w:tblCellMar>
        </w:tblPrEx>
        <w:trPr>
          <w:trHeight w:val="108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D9C790E">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1.3.3</w:t>
            </w:r>
          </w:p>
        </w:tc>
        <w:tc>
          <w:tcPr>
            <w:tcW w:w="2009" w:type="dxa"/>
            <w:tcBorders>
              <w:top w:val="single" w:color="auto" w:sz="8" w:space="0"/>
              <w:left w:val="nil"/>
              <w:bottom w:val="single" w:color="auto" w:sz="8" w:space="0"/>
              <w:right w:val="single" w:color="auto" w:sz="8" w:space="0"/>
            </w:tcBorders>
            <w:vAlign w:val="center"/>
          </w:tcPr>
          <w:p w14:paraId="34A4D91B">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交货地点、交货方式</w:t>
            </w:r>
          </w:p>
        </w:tc>
        <w:tc>
          <w:tcPr>
            <w:tcW w:w="6826" w:type="dxa"/>
            <w:tcBorders>
              <w:top w:val="single" w:color="auto" w:sz="8" w:space="0"/>
              <w:left w:val="nil"/>
              <w:bottom w:val="single" w:color="auto" w:sz="8" w:space="0"/>
              <w:right w:val="single" w:color="auto" w:sz="8" w:space="0"/>
            </w:tcBorders>
            <w:vAlign w:val="bottom"/>
          </w:tcPr>
          <w:p w14:paraId="54C5D577">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交货地点：</w:t>
            </w:r>
            <w:r>
              <w:rPr>
                <w:rFonts w:hint="eastAsia" w:ascii="宋体" w:hAnsi="宋体" w:cs="宋体"/>
                <w:color w:val="auto"/>
                <w:sz w:val="24"/>
                <w:szCs w:val="24"/>
                <w:highlight w:val="none"/>
                <w:u w:val="single"/>
              </w:rPr>
              <w:t>采购人指定地点</w:t>
            </w:r>
          </w:p>
          <w:p w14:paraId="66D8EFE1">
            <w:pPr>
              <w:pStyle w:val="12"/>
              <w:rPr>
                <w:rFonts w:ascii="宋体" w:hAnsi="宋体" w:cs="宋体"/>
                <w:color w:val="auto"/>
                <w:sz w:val="24"/>
                <w:highlight w:val="none"/>
              </w:rPr>
            </w:pPr>
            <w:r>
              <w:rPr>
                <w:rFonts w:hint="eastAsia" w:ascii="宋体" w:hAnsi="宋体" w:cs="宋体"/>
                <w:color w:val="auto"/>
                <w:sz w:val="24"/>
                <w:highlight w:val="none"/>
              </w:rPr>
              <w:t>交货方式：</w:t>
            </w:r>
            <w:r>
              <w:rPr>
                <w:rFonts w:hint="eastAsia" w:ascii="宋体" w:hAnsi="宋体" w:cs="宋体"/>
                <w:color w:val="auto"/>
                <w:sz w:val="24"/>
                <w:highlight w:val="none"/>
                <w:u w:val="single"/>
              </w:rPr>
              <w:t>现场交货</w:t>
            </w:r>
          </w:p>
        </w:tc>
      </w:tr>
      <w:tr w14:paraId="496AD0A0">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5A71D42">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1.4.1</w:t>
            </w:r>
          </w:p>
        </w:tc>
        <w:tc>
          <w:tcPr>
            <w:tcW w:w="2009" w:type="dxa"/>
            <w:tcBorders>
              <w:top w:val="single" w:color="auto" w:sz="8" w:space="0"/>
              <w:left w:val="nil"/>
              <w:bottom w:val="single" w:color="auto" w:sz="8" w:space="0"/>
              <w:right w:val="single" w:color="auto" w:sz="8" w:space="0"/>
            </w:tcBorders>
            <w:vAlign w:val="center"/>
          </w:tcPr>
          <w:p w14:paraId="4908CD1D">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供应商资格要求</w:t>
            </w:r>
          </w:p>
        </w:tc>
        <w:tc>
          <w:tcPr>
            <w:tcW w:w="6826" w:type="dxa"/>
            <w:tcBorders>
              <w:top w:val="single" w:color="auto" w:sz="8" w:space="0"/>
              <w:left w:val="nil"/>
              <w:bottom w:val="single" w:color="auto" w:sz="8" w:space="0"/>
              <w:right w:val="single" w:color="auto" w:sz="8" w:space="0"/>
            </w:tcBorders>
            <w:vAlign w:val="center"/>
          </w:tcPr>
          <w:p w14:paraId="1EF90194">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详见“第一章 竞争性谈判公告</w:t>
            </w:r>
            <w:r>
              <w:rPr>
                <w:rFonts w:hint="eastAsia" w:ascii="宋体" w:hAnsi="宋体" w:cs="宋体"/>
                <w:color w:val="auto"/>
                <w:sz w:val="24"/>
                <w:szCs w:val="24"/>
                <w:highlight w:val="none"/>
              </w:rPr>
              <w:t>二、申请人的资格要求</w:t>
            </w:r>
            <w:r>
              <w:rPr>
                <w:rFonts w:hint="eastAsia" w:ascii="宋体" w:hAnsi="宋体" w:cs="宋体"/>
                <w:color w:val="auto"/>
                <w:kern w:val="2"/>
                <w:sz w:val="24"/>
                <w:szCs w:val="24"/>
                <w:highlight w:val="none"/>
              </w:rPr>
              <w:t>”</w:t>
            </w:r>
          </w:p>
        </w:tc>
      </w:tr>
      <w:tr w14:paraId="28F12509">
        <w:tblPrEx>
          <w:tblCellMar>
            <w:top w:w="0" w:type="dxa"/>
            <w:left w:w="0" w:type="dxa"/>
            <w:bottom w:w="0" w:type="dxa"/>
            <w:right w:w="0" w:type="dxa"/>
          </w:tblCellMar>
        </w:tblPrEx>
        <w:trPr>
          <w:trHeight w:val="267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4180DEB">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1.4.2</w:t>
            </w:r>
          </w:p>
        </w:tc>
        <w:tc>
          <w:tcPr>
            <w:tcW w:w="2009" w:type="dxa"/>
            <w:tcBorders>
              <w:top w:val="single" w:color="auto" w:sz="8" w:space="0"/>
              <w:left w:val="nil"/>
              <w:bottom w:val="single" w:color="auto" w:sz="8" w:space="0"/>
              <w:right w:val="single" w:color="auto" w:sz="8" w:space="0"/>
            </w:tcBorders>
            <w:vAlign w:val="center"/>
          </w:tcPr>
          <w:p w14:paraId="68F07637">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是否接受联合体谈判</w:t>
            </w:r>
          </w:p>
        </w:tc>
        <w:tc>
          <w:tcPr>
            <w:tcW w:w="6826" w:type="dxa"/>
            <w:tcBorders>
              <w:top w:val="single" w:color="auto" w:sz="8" w:space="0"/>
              <w:left w:val="nil"/>
              <w:bottom w:val="single" w:color="auto" w:sz="8" w:space="0"/>
              <w:right w:val="single" w:color="auto" w:sz="8" w:space="0"/>
            </w:tcBorders>
            <w:vAlign w:val="bottom"/>
          </w:tcPr>
          <w:p w14:paraId="3EFCE7E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☑不接受</w:t>
            </w:r>
          </w:p>
          <w:p w14:paraId="3B1646F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□接受，应满足下列要求：</w:t>
            </w:r>
          </w:p>
          <w:p w14:paraId="2F6878D2">
            <w:pPr>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信用要求：</w:t>
            </w:r>
            <w:r>
              <w:rPr>
                <w:rFonts w:hint="eastAsia" w:ascii="宋体" w:hAnsi="宋体" w:cs="宋体"/>
                <w:color w:val="auto"/>
                <w:sz w:val="24"/>
                <w:szCs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3608264">
            <w:pPr>
              <w:spacing w:line="360" w:lineRule="auto"/>
              <w:ind w:firstLine="482" w:firstLineChars="200"/>
              <w:rPr>
                <w:rFonts w:ascii="宋体" w:hAnsi="宋体" w:cs="宋体"/>
                <w:color w:val="auto"/>
                <w:highlight w:val="none"/>
              </w:rPr>
            </w:pPr>
            <w:r>
              <w:rPr>
                <w:rFonts w:hint="eastAsia" w:ascii="宋体" w:hAnsi="宋体" w:cs="宋体"/>
                <w:b/>
                <w:bCs/>
                <w:color w:val="auto"/>
                <w:sz w:val="24"/>
                <w:szCs w:val="24"/>
                <w:highlight w:val="none"/>
              </w:rPr>
              <w:t>其他要求：</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tc>
      </w:tr>
      <w:tr w14:paraId="40B6D9BB">
        <w:tblPrEx>
          <w:tblCellMar>
            <w:top w:w="0" w:type="dxa"/>
            <w:left w:w="0" w:type="dxa"/>
            <w:bottom w:w="0" w:type="dxa"/>
            <w:right w:w="0" w:type="dxa"/>
          </w:tblCellMar>
        </w:tblPrEx>
        <w:trPr>
          <w:trHeight w:val="38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760841">
            <w:pPr>
              <w:spacing w:line="360" w:lineRule="auto"/>
              <w:jc w:val="center"/>
              <w:rPr>
                <w:rFonts w:ascii="宋体" w:hAnsi="宋体" w:cs="宋体"/>
                <w:color w:val="auto"/>
                <w:kern w:val="2"/>
                <w:sz w:val="24"/>
                <w:szCs w:val="24"/>
                <w:highlight w:val="none"/>
              </w:rPr>
            </w:pPr>
            <w:bookmarkStart w:id="85" w:name="page17"/>
            <w:bookmarkEnd w:id="85"/>
            <w:r>
              <w:rPr>
                <w:rFonts w:hint="eastAsia" w:ascii="宋体" w:hAnsi="宋体" w:cs="宋体"/>
                <w:color w:val="auto"/>
                <w:kern w:val="2"/>
                <w:sz w:val="24"/>
                <w:szCs w:val="24"/>
                <w:highlight w:val="none"/>
              </w:rPr>
              <w:t>2.1</w:t>
            </w:r>
          </w:p>
        </w:tc>
        <w:tc>
          <w:tcPr>
            <w:tcW w:w="2009" w:type="dxa"/>
            <w:tcBorders>
              <w:top w:val="single" w:color="auto" w:sz="8" w:space="0"/>
              <w:left w:val="nil"/>
              <w:bottom w:val="single" w:color="auto" w:sz="8" w:space="0"/>
              <w:right w:val="single" w:color="auto" w:sz="8" w:space="0"/>
            </w:tcBorders>
            <w:vAlign w:val="center"/>
          </w:tcPr>
          <w:p w14:paraId="6BB83F35">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构成谈判文件的其他资料</w:t>
            </w:r>
          </w:p>
        </w:tc>
        <w:tc>
          <w:tcPr>
            <w:tcW w:w="6826" w:type="dxa"/>
            <w:tcBorders>
              <w:top w:val="single" w:color="auto" w:sz="8" w:space="0"/>
              <w:left w:val="nil"/>
              <w:bottom w:val="single" w:color="auto" w:sz="8" w:space="0"/>
              <w:right w:val="single" w:color="auto" w:sz="8" w:space="0"/>
            </w:tcBorders>
            <w:vAlign w:val="center"/>
          </w:tcPr>
          <w:p w14:paraId="052E3E56">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澄清、修改等内容</w:t>
            </w:r>
          </w:p>
        </w:tc>
      </w:tr>
      <w:tr w14:paraId="3B4B2B77">
        <w:tblPrEx>
          <w:tblCellMar>
            <w:top w:w="0" w:type="dxa"/>
            <w:left w:w="0" w:type="dxa"/>
            <w:bottom w:w="0" w:type="dxa"/>
            <w:right w:w="0" w:type="dxa"/>
          </w:tblCellMar>
        </w:tblPrEx>
        <w:trPr>
          <w:trHeight w:val="52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458EC0D">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2.2.3</w:t>
            </w:r>
          </w:p>
        </w:tc>
        <w:tc>
          <w:tcPr>
            <w:tcW w:w="2009" w:type="dxa"/>
            <w:tcBorders>
              <w:top w:val="single" w:color="auto" w:sz="8" w:space="0"/>
              <w:left w:val="nil"/>
              <w:bottom w:val="single" w:color="auto" w:sz="8" w:space="0"/>
              <w:right w:val="single" w:color="auto" w:sz="8" w:space="0"/>
            </w:tcBorders>
            <w:vAlign w:val="center"/>
          </w:tcPr>
          <w:p w14:paraId="079A8203">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谈判文件澄清或者修改发出的形式</w:t>
            </w:r>
          </w:p>
        </w:tc>
        <w:tc>
          <w:tcPr>
            <w:tcW w:w="6826" w:type="dxa"/>
            <w:tcBorders>
              <w:top w:val="single" w:color="auto" w:sz="8" w:space="0"/>
              <w:left w:val="nil"/>
              <w:bottom w:val="single" w:color="auto" w:sz="8" w:space="0"/>
              <w:right w:val="single" w:color="auto" w:sz="8" w:space="0"/>
            </w:tcBorders>
            <w:vAlign w:val="center"/>
          </w:tcPr>
          <w:p w14:paraId="4616FE2E">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在原公告发布媒体上发布更正公告，并以书面形式通知所有获取谈判文件的潜在供应商</w:t>
            </w:r>
          </w:p>
        </w:tc>
      </w:tr>
      <w:tr w14:paraId="36D7F71E">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14:paraId="2F3ACB3E">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2.2.4</w:t>
            </w:r>
          </w:p>
        </w:tc>
        <w:tc>
          <w:tcPr>
            <w:tcW w:w="2009" w:type="dxa"/>
            <w:tcBorders>
              <w:top w:val="nil"/>
              <w:left w:val="nil"/>
              <w:bottom w:val="single" w:color="auto" w:sz="8" w:space="0"/>
              <w:right w:val="single" w:color="auto" w:sz="8" w:space="0"/>
            </w:tcBorders>
            <w:vAlign w:val="center"/>
          </w:tcPr>
          <w:p w14:paraId="716ABFB6">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供应商确认收到谈判文件澄清或者修改</w:t>
            </w:r>
          </w:p>
        </w:tc>
        <w:tc>
          <w:tcPr>
            <w:tcW w:w="6826" w:type="dxa"/>
            <w:tcBorders>
              <w:top w:val="single" w:color="auto" w:sz="8" w:space="0"/>
              <w:left w:val="nil"/>
              <w:bottom w:val="single" w:color="auto" w:sz="8" w:space="0"/>
              <w:right w:val="single" w:color="auto" w:sz="8" w:space="0"/>
            </w:tcBorders>
            <w:vAlign w:val="center"/>
          </w:tcPr>
          <w:p w14:paraId="40FA239B">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时间：24小时内</w:t>
            </w:r>
          </w:p>
          <w:p w14:paraId="1192CC8C">
            <w:pPr>
              <w:pStyle w:val="62"/>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形式：盖章确认后，以电子邮件形式向采购代理机构发送扫描件</w:t>
            </w:r>
          </w:p>
          <w:p w14:paraId="4F98D32B">
            <w:pPr>
              <w:pStyle w:val="62"/>
              <w:spacing w:line="360" w:lineRule="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电子邮箱：</w:t>
            </w:r>
            <w:r>
              <w:rPr>
                <w:rFonts w:hint="eastAsia" w:ascii="宋体" w:hAnsi="宋体" w:cs="宋体"/>
                <w:color w:val="auto"/>
                <w:kern w:val="2"/>
                <w:sz w:val="24"/>
                <w:szCs w:val="24"/>
                <w:highlight w:val="none"/>
                <w:u w:val="single"/>
              </w:rPr>
              <w:t>1530379515@qq.com</w:t>
            </w:r>
          </w:p>
        </w:tc>
      </w:tr>
      <w:tr w14:paraId="5DB13337">
        <w:tblPrEx>
          <w:tblCellMar>
            <w:top w:w="0" w:type="dxa"/>
            <w:left w:w="0" w:type="dxa"/>
            <w:bottom w:w="0" w:type="dxa"/>
            <w:right w:w="0" w:type="dxa"/>
          </w:tblCellMar>
        </w:tblPrEx>
        <w:trPr>
          <w:trHeight w:val="505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B2A0728">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3.2.3</w:t>
            </w:r>
          </w:p>
        </w:tc>
        <w:tc>
          <w:tcPr>
            <w:tcW w:w="2009" w:type="dxa"/>
            <w:tcBorders>
              <w:top w:val="single" w:color="auto" w:sz="8" w:space="0"/>
              <w:left w:val="nil"/>
              <w:bottom w:val="single" w:color="auto" w:sz="8" w:space="0"/>
              <w:right w:val="single" w:color="auto" w:sz="8" w:space="0"/>
            </w:tcBorders>
            <w:vAlign w:val="center"/>
          </w:tcPr>
          <w:p w14:paraId="46ACB49C">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谈判报价的其他要求</w:t>
            </w:r>
          </w:p>
        </w:tc>
        <w:tc>
          <w:tcPr>
            <w:tcW w:w="6826" w:type="dxa"/>
            <w:tcBorders>
              <w:top w:val="single" w:color="auto" w:sz="8" w:space="0"/>
              <w:left w:val="nil"/>
              <w:bottom w:val="single" w:color="auto" w:sz="8" w:space="0"/>
              <w:right w:val="single" w:color="auto" w:sz="8" w:space="0"/>
            </w:tcBorders>
            <w:vAlign w:val="center"/>
          </w:tcPr>
          <w:p w14:paraId="218F1A60">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(1)本次谈判报价为综合报价，</w:t>
            </w:r>
            <w:r>
              <w:rPr>
                <w:rFonts w:hint="eastAsia" w:ascii="宋体" w:hAnsi="宋体" w:cs="宋体"/>
                <w:color w:val="auto"/>
                <w:sz w:val="24"/>
                <w:szCs w:val="24"/>
                <w:highlight w:val="none"/>
                <w:u w:val="single"/>
              </w:rPr>
              <w:t>报价应为人民币含税价（元），包括货物设计、制造、包装、仓储、运输、安装、代理费、杂费（含验收等费用）、验收合格之前及保修期内应提交的备品备件发生的所有费用，也包含乙方应当提供的伴随服务/售后服务费用，以及甲方指定地点统一交货费用，并不得再有其他费用,否则甲方有权拒付。</w:t>
            </w:r>
          </w:p>
          <w:p w14:paraId="4DFD6D3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(2)供应商应承担所有与参加谈判有关的自身的所有费用，不论采购的结果如何，采购代理机构和采购人在任何情况下均无义务和责任承担这些费用。</w:t>
            </w:r>
          </w:p>
          <w:p w14:paraId="57191157">
            <w:pPr>
              <w:spacing w:line="360" w:lineRule="auto"/>
              <w:jc w:val="both"/>
              <w:rPr>
                <w:rFonts w:ascii="宋体" w:hAnsi="宋体" w:cs="宋体"/>
                <w:color w:val="auto"/>
                <w:kern w:val="2"/>
                <w:sz w:val="24"/>
                <w:szCs w:val="24"/>
                <w:highlight w:val="none"/>
              </w:rPr>
            </w:pPr>
            <w:r>
              <w:rPr>
                <w:rFonts w:hint="eastAsia" w:ascii="宋体" w:hAnsi="宋体" w:cs="宋体"/>
                <w:color w:val="auto"/>
                <w:sz w:val="24"/>
                <w:szCs w:val="24"/>
                <w:highlight w:val="none"/>
              </w:rPr>
              <w:t>(3)成交服务费</w:t>
            </w:r>
            <w:r>
              <w:rPr>
                <w:rFonts w:hint="eastAsia" w:ascii="宋体" w:hAnsi="宋体" w:cs="宋体"/>
                <w:color w:val="auto"/>
                <w:kern w:val="2"/>
                <w:sz w:val="24"/>
                <w:szCs w:val="24"/>
                <w:highlight w:val="none"/>
              </w:rPr>
              <w:t>：以本项目成交价为计费基数，参照下表中货物类收费标准下浮30%计算后，由成交人向云南元大工程咨询有限责任公司交纳。</w:t>
            </w:r>
          </w:p>
          <w:p w14:paraId="0A029BE7">
            <w:pPr>
              <w:spacing w:line="360" w:lineRule="auto"/>
              <w:ind w:firstLine="482"/>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招标代理服务收费标准</w:t>
            </w:r>
          </w:p>
          <w:tbl>
            <w:tblPr>
              <w:tblStyle w:val="32"/>
              <w:tblW w:w="6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3"/>
              <w:gridCol w:w="1279"/>
              <w:gridCol w:w="1346"/>
              <w:gridCol w:w="1125"/>
            </w:tblGrid>
            <w:tr w14:paraId="0121F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trPr>
              <w:tc>
                <w:tcPr>
                  <w:tcW w:w="2883" w:type="dxa"/>
                </w:tcPr>
                <w:p w14:paraId="3D66D899">
                  <w:pPr>
                    <w:ind w:firstLine="1050" w:firstLineChars="500"/>
                    <w:jc w:val="both"/>
                    <w:rPr>
                      <w:rFonts w:ascii="宋体" w:hAnsi="宋体" w:cs="宋体"/>
                      <w:b/>
                      <w:bCs/>
                      <w:color w:val="auto"/>
                      <w:sz w:val="24"/>
                      <w:szCs w:val="24"/>
                      <w:highlight w:val="none"/>
                    </w:rPr>
                  </w:pPr>
                  <w:r>
                    <w:rPr>
                      <w:rFonts w:hint="eastAsia" w:ascii="宋体" w:hAnsi="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250190</wp:posOffset>
                            </wp:positionH>
                            <wp:positionV relativeFrom="paragraph">
                              <wp:posOffset>635</wp:posOffset>
                            </wp:positionV>
                            <wp:extent cx="1511935" cy="1192530"/>
                            <wp:effectExtent l="0" t="0" r="12065" b="7620"/>
                            <wp:wrapNone/>
                            <wp:docPr id="914185250" name="直接连接符 6"/>
                            <wp:cNvGraphicFramePr/>
                            <a:graphic xmlns:a="http://schemas.openxmlformats.org/drawingml/2006/main">
                              <a:graphicData uri="http://schemas.microsoft.com/office/word/2010/wordprocessingShape">
                                <wps:wsp>
                                  <wps:cNvCnPr>
                                    <a:cxnSpLocks noChangeShapeType="1"/>
                                  </wps:cNvCnPr>
                                  <wps:spPr>
                                    <a:xfrm flipH="1" flipV="1">
                                      <a:off x="0" y="0"/>
                                      <a:ext cx="1511935" cy="119253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6" o:spid="_x0000_s1026" o:spt="20" style="position:absolute;left:0pt;flip:x y;margin-left:19.7pt;margin-top:0.05pt;height:93.9pt;width:119.05pt;z-index:251663360;mso-width-relative:page;mso-height-relative:page;" filled="f" stroked="t" coordsize="21600,21600" o:gfxdata="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87e3d0QAAAAcBAAAP&#10;AAAAAAAAAAEAIAAAACIAAABkcnMvZG93bnJldi54bWxQSwECFAAUAAAACACHTuJACAJIoR8CAAA6&#10;BAAADgAAAAAAAAABACAAAAAgAQAAZHJzL2Uyb0RvYy54bWxQSwUGAAAAAAYABgBZAQAAsQUAAAAA&#10;">
                            <v:fill on="f" focussize="0,0"/>
                            <v:stroke color="#000000" joinstyle="round"/>
                            <v:imagedata o:title=""/>
                            <o:lock v:ext="edit" aspectratio="f"/>
                          </v:line>
                        </w:pict>
                      </mc:Fallback>
                    </mc:AlternateContent>
                  </w:r>
                  <w:r>
                    <w:rPr>
                      <w:rFonts w:hint="eastAsia" w:ascii="宋体" w:hAnsi="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-6350</wp:posOffset>
                            </wp:positionV>
                            <wp:extent cx="635" cy="0"/>
                            <wp:effectExtent l="0" t="0" r="0" b="0"/>
                            <wp:wrapNone/>
                            <wp:docPr id="1910695646" name="直接连接符 4"/>
                            <wp:cNvGraphicFramePr/>
                            <a:graphic xmlns:a="http://schemas.openxmlformats.org/drawingml/2006/main">
                              <a:graphicData uri="http://schemas.microsoft.com/office/word/2010/wordprocessingShape">
                                <wps:wsp>
                                  <wps:cNvCnPr>
                                    <a:cxnSpLocks noChangeShapeType="1"/>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4" o:spid="_x0000_s1026" o:spt="20" style="position:absolute;left:0pt;margin-left:-9pt;margin-top:-0.5pt;height:0pt;width:0.05pt;z-index:251662336;mso-width-relative:page;mso-height-relative:page;" filled="f" stroked="t" coordsize="21600,21600"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uR037VAAAACQEAAA8AAAAAAAAAAQAgAAAA&#10;IgAAAGRycy9kb3ducmV2LnhtbFBLAQIUABQAAAAIAIdO4kCVpo33DgIAAB0EAAAOAAAAAAAAAAEA&#10;IAAAACQBAABkcnMvZTJvRG9jLnhtbFBLBQYAAAAABgAGAFkBAACkBQAAAAA=&#10;">
                            <v:fill on="f" focussize="0,0"/>
                            <v:stroke color="#000000" joinstyle="round"/>
                            <v:imagedata o:title=""/>
                            <o:lock v:ext="edit" aspectratio="f"/>
                          </v:line>
                        </w:pict>
                      </mc:Fallback>
                    </mc:AlternateContent>
                  </w:r>
                  <w:r>
                    <w:rPr>
                      <w:rFonts w:hint="eastAsia" w:ascii="宋体" w:hAnsi="宋体" w:cs="宋体"/>
                      <w:b/>
                      <w:bCs/>
                      <w:color w:val="auto"/>
                      <w:sz w:val="24"/>
                      <w:szCs w:val="24"/>
                      <w:highlight w:val="none"/>
                    </w:rPr>
                    <w:t>服</w:t>
                  </w:r>
                </w:p>
                <w:p w14:paraId="0B757C33">
                  <w:pPr>
                    <w:ind w:firstLine="241" w:firstLineChars="10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费　　　　 务</w:t>
                  </w:r>
                </w:p>
                <w:p w14:paraId="5920FDB1">
                  <w:pPr>
                    <w:ind w:firstLine="1050" w:firstLineChars="500"/>
                    <w:jc w:val="both"/>
                    <w:rPr>
                      <w:rFonts w:ascii="宋体" w:hAnsi="宋体" w:cs="宋体"/>
                      <w:b/>
                      <w:bCs/>
                      <w:color w:val="auto"/>
                      <w:sz w:val="24"/>
                      <w:szCs w:val="24"/>
                      <w:highlight w:val="none"/>
                    </w:rPr>
                  </w:pPr>
                  <w:r>
                    <w:rPr>
                      <w:rFonts w:hint="eastAsia" w:ascii="宋体" w:hAnsi="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-61595</wp:posOffset>
                            </wp:positionH>
                            <wp:positionV relativeFrom="paragraph">
                              <wp:posOffset>74930</wp:posOffset>
                            </wp:positionV>
                            <wp:extent cx="1830705" cy="723900"/>
                            <wp:effectExtent l="0" t="0" r="0" b="0"/>
                            <wp:wrapNone/>
                            <wp:docPr id="310194688" name="直接连接符 2"/>
                            <wp:cNvGraphicFramePr/>
                            <a:graphic xmlns:a="http://schemas.openxmlformats.org/drawingml/2006/main">
                              <a:graphicData uri="http://schemas.microsoft.com/office/word/2010/wordprocessingShape">
                                <wps:wsp>
                                  <wps:cNvCnPr>
                                    <a:cxnSpLocks noChangeShapeType="1"/>
                                  </wps:cNvCnPr>
                                  <wps:spPr>
                                    <a:xfrm flipH="1" flipV="1">
                                      <a:off x="0" y="0"/>
                                      <a:ext cx="1830705" cy="72390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2" o:spid="_x0000_s1026" o:spt="20" style="position:absolute;left:0pt;flip:x y;margin-left:-4.85pt;margin-top:5.9pt;height:57pt;width:144.15pt;z-index:251663360;mso-width-relative:page;mso-height-relative:page;" filled="f" stroked="t" coordsize="21600,21600" o:gfxdata="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myLxS0QAAAAkB&#10;AAAPAAAAAAAAAAEAIAAAACIAAABkcnMvZG93bnJldi54bWxQSwECFAAUAAAACACHTuJAt9DV2SIC&#10;AAA5BAAADgAAAAAAAAABACAAAAAgAQAAZHJzL2Uyb0RvYy54bWxQSwUGAAAAAAYABgBZAQAAtAUA&#10;AAAA&#10;">
                            <v:fill on="f" focussize="0,0"/>
                            <v:stroke color="#000000" joinstyle="round"/>
                            <v:imagedata o:title=""/>
                            <o:lock v:ext="edit" aspectratio="f"/>
                          </v:line>
                        </w:pict>
                      </mc:Fallback>
                    </mc:AlternateContent>
                  </w:r>
                  <w:r>
                    <w:rPr>
                      <w:rFonts w:hint="eastAsia" w:ascii="宋体" w:hAnsi="宋体" w:cs="宋体"/>
                      <w:b/>
                      <w:bCs/>
                      <w:color w:val="auto"/>
                      <w:sz w:val="24"/>
                      <w:szCs w:val="24"/>
                      <w:highlight w:val="none"/>
                    </w:rPr>
                    <w:t>　　  类</w:t>
                  </w:r>
                </w:p>
                <w:p w14:paraId="1603667D">
                  <w:pPr>
                    <w:ind w:firstLine="1205" w:firstLineChars="50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率　　    型</w:t>
                  </w:r>
                </w:p>
                <w:p w14:paraId="1F512D09">
                  <w:pPr>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中标金额</w:t>
                  </w:r>
                </w:p>
                <w:p w14:paraId="24B6F037">
                  <w:pPr>
                    <w:ind w:firstLine="482"/>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（万元）</w:t>
                  </w:r>
                </w:p>
              </w:tc>
              <w:tc>
                <w:tcPr>
                  <w:tcW w:w="1279" w:type="dxa"/>
                  <w:vAlign w:val="center"/>
                </w:tcPr>
                <w:p w14:paraId="3530EE56">
                  <w:pPr>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货物招标</w:t>
                  </w:r>
                </w:p>
              </w:tc>
              <w:tc>
                <w:tcPr>
                  <w:tcW w:w="1346" w:type="dxa"/>
                  <w:vAlign w:val="center"/>
                </w:tcPr>
                <w:p w14:paraId="44518445">
                  <w:pPr>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服务招标</w:t>
                  </w:r>
                </w:p>
              </w:tc>
              <w:tc>
                <w:tcPr>
                  <w:tcW w:w="1125" w:type="dxa"/>
                  <w:vAlign w:val="center"/>
                </w:tcPr>
                <w:p w14:paraId="7A12BCE6">
                  <w:pPr>
                    <w:ind w:right="-149" w:rightChars="-71"/>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工程招标</w:t>
                  </w:r>
                </w:p>
              </w:tc>
            </w:tr>
            <w:tr w14:paraId="63A9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151131C2">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100以下</w:t>
                  </w:r>
                </w:p>
              </w:tc>
              <w:tc>
                <w:tcPr>
                  <w:tcW w:w="1279" w:type="dxa"/>
                </w:tcPr>
                <w:p w14:paraId="11237159">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1346" w:type="dxa"/>
                </w:tcPr>
                <w:p w14:paraId="67D43A25">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1125" w:type="dxa"/>
                </w:tcPr>
                <w:p w14:paraId="4BDF1AE9">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1.0%</w:t>
                  </w:r>
                </w:p>
              </w:tc>
            </w:tr>
            <w:tr w14:paraId="0C19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660EE800">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100-500</w:t>
                  </w:r>
                </w:p>
              </w:tc>
              <w:tc>
                <w:tcPr>
                  <w:tcW w:w="1279" w:type="dxa"/>
                </w:tcPr>
                <w:p w14:paraId="57C3DF7A">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1346" w:type="dxa"/>
                </w:tcPr>
                <w:p w14:paraId="211965C3">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0.8%</w:t>
                  </w:r>
                </w:p>
              </w:tc>
              <w:tc>
                <w:tcPr>
                  <w:tcW w:w="1125" w:type="dxa"/>
                </w:tcPr>
                <w:p w14:paraId="4E08BC2A">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0.7%</w:t>
                  </w:r>
                </w:p>
              </w:tc>
            </w:tr>
            <w:tr w14:paraId="3CC7F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2A101F14">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500-1000</w:t>
                  </w:r>
                </w:p>
              </w:tc>
              <w:tc>
                <w:tcPr>
                  <w:tcW w:w="1279" w:type="dxa"/>
                </w:tcPr>
                <w:p w14:paraId="3FADEE73">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0.8%</w:t>
                  </w:r>
                </w:p>
              </w:tc>
              <w:tc>
                <w:tcPr>
                  <w:tcW w:w="1346" w:type="dxa"/>
                </w:tcPr>
                <w:p w14:paraId="423DD1AE">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0.45%</w:t>
                  </w:r>
                </w:p>
              </w:tc>
              <w:tc>
                <w:tcPr>
                  <w:tcW w:w="1125" w:type="dxa"/>
                </w:tcPr>
                <w:p w14:paraId="22364B13">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0.55%</w:t>
                  </w:r>
                </w:p>
              </w:tc>
            </w:tr>
            <w:tr w14:paraId="076A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38171524">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1000-5000</w:t>
                  </w:r>
                </w:p>
              </w:tc>
              <w:tc>
                <w:tcPr>
                  <w:tcW w:w="1279" w:type="dxa"/>
                </w:tcPr>
                <w:p w14:paraId="18746CF9">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0.5%</w:t>
                  </w:r>
                </w:p>
              </w:tc>
              <w:tc>
                <w:tcPr>
                  <w:tcW w:w="1346" w:type="dxa"/>
                </w:tcPr>
                <w:p w14:paraId="1B7D67D1">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0.25%</w:t>
                  </w:r>
                </w:p>
              </w:tc>
              <w:tc>
                <w:tcPr>
                  <w:tcW w:w="1125" w:type="dxa"/>
                </w:tcPr>
                <w:p w14:paraId="789EF9F3">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0.35%</w:t>
                  </w:r>
                </w:p>
              </w:tc>
            </w:tr>
            <w:tr w14:paraId="0578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07CAF60E">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5000-10000</w:t>
                  </w:r>
                </w:p>
              </w:tc>
              <w:tc>
                <w:tcPr>
                  <w:tcW w:w="1279" w:type="dxa"/>
                </w:tcPr>
                <w:p w14:paraId="66E2A772">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0.25%</w:t>
                  </w:r>
                </w:p>
              </w:tc>
              <w:tc>
                <w:tcPr>
                  <w:tcW w:w="1346" w:type="dxa"/>
                </w:tcPr>
                <w:p w14:paraId="167231BA">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0.1%</w:t>
                  </w:r>
                </w:p>
              </w:tc>
              <w:tc>
                <w:tcPr>
                  <w:tcW w:w="1125" w:type="dxa"/>
                </w:tcPr>
                <w:p w14:paraId="650B516E">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0.2%</w:t>
                  </w:r>
                </w:p>
              </w:tc>
            </w:tr>
            <w:tr w14:paraId="24DAD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0A488CE1">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10000-100000</w:t>
                  </w:r>
                </w:p>
              </w:tc>
              <w:tc>
                <w:tcPr>
                  <w:tcW w:w="1279" w:type="dxa"/>
                </w:tcPr>
                <w:p w14:paraId="2E3380CD">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0.05%</w:t>
                  </w:r>
                </w:p>
              </w:tc>
              <w:tc>
                <w:tcPr>
                  <w:tcW w:w="1346" w:type="dxa"/>
                </w:tcPr>
                <w:p w14:paraId="031678F6">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0.05%</w:t>
                  </w:r>
                </w:p>
              </w:tc>
              <w:tc>
                <w:tcPr>
                  <w:tcW w:w="1125" w:type="dxa"/>
                </w:tcPr>
                <w:p w14:paraId="54875A85">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0.05%</w:t>
                  </w:r>
                </w:p>
              </w:tc>
            </w:tr>
            <w:tr w14:paraId="7064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tcPr>
                <w:p w14:paraId="39B279F1">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1000000以上</w:t>
                  </w:r>
                </w:p>
              </w:tc>
              <w:tc>
                <w:tcPr>
                  <w:tcW w:w="1279" w:type="dxa"/>
                </w:tcPr>
                <w:p w14:paraId="5BDE8598">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0.01%</w:t>
                  </w:r>
                </w:p>
              </w:tc>
              <w:tc>
                <w:tcPr>
                  <w:tcW w:w="1346" w:type="dxa"/>
                </w:tcPr>
                <w:p w14:paraId="79D31224">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0.01%</w:t>
                  </w:r>
                </w:p>
              </w:tc>
              <w:tc>
                <w:tcPr>
                  <w:tcW w:w="1125" w:type="dxa"/>
                </w:tcPr>
                <w:p w14:paraId="2B8DB276">
                  <w:pPr>
                    <w:spacing w:line="3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0.01%</w:t>
                  </w:r>
                </w:p>
              </w:tc>
            </w:tr>
          </w:tbl>
          <w:p w14:paraId="6FCEA407">
            <w:pPr>
              <w:autoSpaceDE w:val="0"/>
              <w:autoSpaceDN w:val="0"/>
              <w:spacing w:line="38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账户名称：云南元大工程咨询有限责任公司</w:t>
            </w:r>
          </w:p>
          <w:p w14:paraId="71FB6FE8">
            <w:pPr>
              <w:pStyle w:val="62"/>
              <w:spacing w:line="38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开户银行：招商银行昆明联盟路支行</w:t>
            </w:r>
          </w:p>
          <w:p w14:paraId="47536CBA">
            <w:pPr>
              <w:autoSpaceDE w:val="0"/>
              <w:autoSpaceDN w:val="0"/>
              <w:spacing w:line="38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账    号：871906713610009</w:t>
            </w:r>
          </w:p>
          <w:p w14:paraId="290972F6">
            <w:pPr>
              <w:autoSpaceDE w:val="0"/>
              <w:autoSpaceDN w:val="0"/>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财务电话：(0871)63338592</w:t>
            </w:r>
          </w:p>
        </w:tc>
      </w:tr>
      <w:tr w14:paraId="3639C76D">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6840937">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3.3.1</w:t>
            </w:r>
          </w:p>
        </w:tc>
        <w:tc>
          <w:tcPr>
            <w:tcW w:w="2009" w:type="dxa"/>
            <w:tcBorders>
              <w:top w:val="single" w:color="auto" w:sz="8" w:space="0"/>
              <w:left w:val="nil"/>
              <w:bottom w:val="single" w:color="auto" w:sz="8" w:space="0"/>
              <w:right w:val="single" w:color="auto" w:sz="8" w:space="0"/>
            </w:tcBorders>
            <w:vAlign w:val="center"/>
          </w:tcPr>
          <w:p w14:paraId="6DD1E5D0">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谈判有效期</w:t>
            </w:r>
          </w:p>
        </w:tc>
        <w:tc>
          <w:tcPr>
            <w:tcW w:w="6826" w:type="dxa"/>
            <w:tcBorders>
              <w:top w:val="single" w:color="auto" w:sz="8" w:space="0"/>
              <w:left w:val="nil"/>
              <w:bottom w:val="single" w:color="auto" w:sz="8" w:space="0"/>
              <w:right w:val="single" w:color="auto" w:sz="8" w:space="0"/>
            </w:tcBorders>
            <w:vAlign w:val="center"/>
          </w:tcPr>
          <w:p w14:paraId="504A7564">
            <w:pPr>
              <w:pStyle w:val="62"/>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谈判有效期为</w:t>
            </w:r>
            <w:r>
              <w:rPr>
                <w:rFonts w:hint="eastAsia" w:ascii="宋体" w:hAnsi="宋体" w:cs="宋体"/>
                <w:color w:val="auto"/>
                <w:kern w:val="2"/>
                <w:sz w:val="24"/>
                <w:szCs w:val="24"/>
                <w:highlight w:val="none"/>
                <w:u w:val="single"/>
              </w:rPr>
              <w:t>90</w:t>
            </w:r>
            <w:r>
              <w:rPr>
                <w:rFonts w:hint="eastAsia" w:ascii="宋体" w:hAnsi="宋体" w:cs="宋体"/>
                <w:color w:val="auto"/>
                <w:kern w:val="2"/>
                <w:sz w:val="24"/>
                <w:szCs w:val="24"/>
                <w:highlight w:val="none"/>
              </w:rPr>
              <w:t>日历天(从响应文件递交截止时间算起)。</w:t>
            </w:r>
          </w:p>
        </w:tc>
      </w:tr>
      <w:tr w14:paraId="03BF7CA3">
        <w:tblPrEx>
          <w:tblCellMar>
            <w:top w:w="0" w:type="dxa"/>
            <w:left w:w="0" w:type="dxa"/>
            <w:bottom w:w="0" w:type="dxa"/>
            <w:right w:w="0" w:type="dxa"/>
          </w:tblCellMar>
        </w:tblPrEx>
        <w:trPr>
          <w:trHeight w:val="13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23E9567">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3.4.1</w:t>
            </w:r>
          </w:p>
        </w:tc>
        <w:tc>
          <w:tcPr>
            <w:tcW w:w="2009" w:type="dxa"/>
            <w:tcBorders>
              <w:top w:val="single" w:color="auto" w:sz="8" w:space="0"/>
              <w:left w:val="nil"/>
              <w:bottom w:val="single" w:color="auto" w:sz="8" w:space="0"/>
              <w:right w:val="single" w:color="auto" w:sz="8" w:space="0"/>
            </w:tcBorders>
            <w:vAlign w:val="center"/>
          </w:tcPr>
          <w:p w14:paraId="1722AFB7">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谈判保证金</w:t>
            </w:r>
          </w:p>
        </w:tc>
        <w:tc>
          <w:tcPr>
            <w:tcW w:w="6826" w:type="dxa"/>
            <w:tcBorders>
              <w:top w:val="single" w:color="auto" w:sz="8" w:space="0"/>
              <w:left w:val="nil"/>
              <w:bottom w:val="single" w:color="auto" w:sz="8" w:space="0"/>
              <w:right w:val="single" w:color="auto" w:sz="8" w:space="0"/>
            </w:tcBorders>
            <w:vAlign w:val="center"/>
          </w:tcPr>
          <w:p w14:paraId="5C68CCC1">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(1)谈判保证金的金额：</w:t>
            </w:r>
            <w:r>
              <w:rPr>
                <w:rFonts w:hint="eastAsia" w:ascii="宋体" w:hAnsi="宋体" w:cs="宋体"/>
                <w:color w:val="auto"/>
                <w:sz w:val="24"/>
                <w:szCs w:val="24"/>
                <w:highlight w:val="none"/>
                <w:u w:val="single"/>
              </w:rPr>
              <w:t>9000元</w:t>
            </w:r>
          </w:p>
          <w:p w14:paraId="180D99AB">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(2)账户名称：</w:t>
            </w:r>
            <w:r>
              <w:rPr>
                <w:rFonts w:hint="eastAsia" w:ascii="宋体" w:hAnsi="宋体" w:cs="宋体"/>
                <w:color w:val="auto"/>
                <w:kern w:val="2"/>
                <w:sz w:val="24"/>
                <w:szCs w:val="24"/>
                <w:highlight w:val="none"/>
              </w:rPr>
              <w:t>云南元大工程咨询有限责任公司。</w:t>
            </w:r>
          </w:p>
          <w:p w14:paraId="4C04A1D1">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(3)开 户 行：</w:t>
            </w:r>
            <w:r>
              <w:rPr>
                <w:rFonts w:hint="eastAsia" w:ascii="宋体" w:hAnsi="宋体" w:cs="宋体"/>
                <w:color w:val="auto"/>
                <w:kern w:val="2"/>
                <w:sz w:val="24"/>
                <w:szCs w:val="24"/>
                <w:highlight w:val="none"/>
              </w:rPr>
              <w:t>招商银行昆明联盟路支行。</w:t>
            </w:r>
          </w:p>
          <w:p w14:paraId="7A2CFB7C">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(4)账    号：8719067136100092519830001</w:t>
            </w:r>
          </w:p>
          <w:p w14:paraId="504130DC">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(5)财务电话：</w:t>
            </w:r>
            <w:r>
              <w:rPr>
                <w:rFonts w:hint="eastAsia" w:ascii="宋体" w:hAnsi="宋体" w:cs="宋体"/>
                <w:color w:val="auto"/>
                <w:kern w:val="2"/>
                <w:sz w:val="24"/>
                <w:szCs w:val="24"/>
                <w:highlight w:val="none"/>
              </w:rPr>
              <w:t>(0871)63338592。</w:t>
            </w:r>
          </w:p>
          <w:p w14:paraId="56496BA8">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(6)提交截止时间：</w:t>
            </w:r>
            <w:r>
              <w:rPr>
                <w:rFonts w:hint="eastAsia" w:ascii="宋体" w:hAnsi="宋体" w:cs="宋体"/>
                <w:color w:val="auto"/>
                <w:kern w:val="2"/>
                <w:sz w:val="24"/>
                <w:szCs w:val="24"/>
                <w:highlight w:val="none"/>
              </w:rPr>
              <w:t>同响应文件递交截止时间。</w:t>
            </w:r>
          </w:p>
          <w:p w14:paraId="7E928D2C">
            <w:pPr>
              <w:pStyle w:val="62"/>
              <w:widowControl w:val="0"/>
              <w:spacing w:line="360" w:lineRule="auto"/>
              <w:jc w:val="both"/>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(7)提交方式：支票、汇票、本票、保函、银行转账、电汇等非现金形式。</w:t>
            </w:r>
          </w:p>
          <w:p w14:paraId="09ADE884">
            <w:pPr>
              <w:pStyle w:val="62"/>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(8)有效期限：</w:t>
            </w:r>
            <w:r>
              <w:rPr>
                <w:rFonts w:hint="eastAsia" w:ascii="宋体" w:hAnsi="宋体" w:cs="宋体"/>
                <w:color w:val="auto"/>
                <w:kern w:val="2"/>
                <w:sz w:val="24"/>
                <w:szCs w:val="24"/>
                <w:highlight w:val="none"/>
              </w:rPr>
              <w:t>谈判保证金在谈判有效期内保持有效。</w:t>
            </w:r>
          </w:p>
          <w:p w14:paraId="619DA12D">
            <w:pPr>
              <w:autoSpaceDE w:val="0"/>
              <w:autoSpaceDN w:val="0"/>
              <w:spacing w:line="360" w:lineRule="auto"/>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(9)注意事项：</w:t>
            </w:r>
          </w:p>
          <w:p w14:paraId="3EC82F94">
            <w:pPr>
              <w:rPr>
                <w:rFonts w:ascii="宋体" w:hAnsi="宋体" w:cs="宋体"/>
                <w:color w:val="auto"/>
                <w:highlight w:val="none"/>
              </w:rPr>
            </w:pPr>
            <w:r>
              <w:rPr>
                <w:rFonts w:hint="eastAsia" w:ascii="宋体" w:hAnsi="宋体" w:cs="宋体"/>
                <w:color w:val="auto"/>
                <w:kern w:val="2"/>
                <w:sz w:val="24"/>
                <w:szCs w:val="24"/>
                <w:highlight w:val="none"/>
              </w:rPr>
              <w:t>汇款时在“摘要”或“用途”栏目内填入“保20251983”。</w:t>
            </w:r>
          </w:p>
          <w:p w14:paraId="46EA0ECA">
            <w:pPr>
              <w:autoSpaceDE w:val="0"/>
              <w:autoSpaceDN w:val="0"/>
              <w:spacing w:line="360" w:lineRule="auto"/>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(10)谈判保证金的退还要求：</w:t>
            </w:r>
          </w:p>
          <w:p w14:paraId="100EF291">
            <w:pPr>
              <w:widowControl w:val="0"/>
              <w:autoSpaceDE w:val="0"/>
              <w:autoSpaceDN w:val="0"/>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①未成交供应商的谈判保证金在成交公告期满且无异议的情况下，由采购代理机构业务人员提交《保证金退还一览表》至财务部，由采购代理机构财务部直接办理谈判保证金的退还事宜；</w:t>
            </w:r>
          </w:p>
          <w:p w14:paraId="42C723C3">
            <w:pPr>
              <w:autoSpaceDE w:val="0"/>
              <w:autoSpaceDN w:val="0"/>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②成交供应商的谈判保证金在与业主签订合同且采购代理机构业务人员提交《保证金退还一览表》至财务部后，成交供应商须携带合同复印件至采购代理机构财务部办理谈判保证金退还事宜。</w:t>
            </w:r>
          </w:p>
        </w:tc>
      </w:tr>
      <w:tr w14:paraId="3DFC32A4">
        <w:tblPrEx>
          <w:tblCellMar>
            <w:top w:w="0" w:type="dxa"/>
            <w:left w:w="0" w:type="dxa"/>
            <w:bottom w:w="0" w:type="dxa"/>
            <w:right w:w="0" w:type="dxa"/>
          </w:tblCellMar>
        </w:tblPrEx>
        <w:trPr>
          <w:trHeight w:val="195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210FA62">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3.5.2</w:t>
            </w:r>
          </w:p>
        </w:tc>
        <w:tc>
          <w:tcPr>
            <w:tcW w:w="2009" w:type="dxa"/>
            <w:tcBorders>
              <w:top w:val="single" w:color="auto" w:sz="8" w:space="0"/>
              <w:left w:val="nil"/>
              <w:bottom w:val="single" w:color="auto" w:sz="8" w:space="0"/>
              <w:right w:val="single" w:color="auto" w:sz="8" w:space="0"/>
            </w:tcBorders>
            <w:vAlign w:val="center"/>
          </w:tcPr>
          <w:p w14:paraId="752E2B7E">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响应文件所附证书证件要求、响应文件签字或盖章要求</w:t>
            </w:r>
          </w:p>
        </w:tc>
        <w:tc>
          <w:tcPr>
            <w:tcW w:w="6826" w:type="dxa"/>
            <w:tcBorders>
              <w:top w:val="single" w:color="auto" w:sz="8" w:space="0"/>
              <w:left w:val="nil"/>
              <w:bottom w:val="single" w:color="auto" w:sz="8" w:space="0"/>
              <w:right w:val="single" w:color="auto" w:sz="8" w:space="0"/>
            </w:tcBorders>
            <w:vAlign w:val="center"/>
          </w:tcPr>
          <w:p w14:paraId="379DA803">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响应文件所附证书证件要求：原件扫描件</w:t>
            </w:r>
          </w:p>
          <w:p w14:paraId="11FD8591">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响应文件签字或盖章要求：签字或加盖</w:t>
            </w:r>
            <w:r>
              <w:rPr>
                <w:rFonts w:hint="eastAsia" w:ascii="宋体" w:hAnsi="宋体" w:cs="宋体"/>
                <w:color w:val="auto"/>
                <w:sz w:val="24"/>
                <w:highlight w:val="none"/>
              </w:rPr>
              <w:t>电子签章</w:t>
            </w:r>
          </w:p>
        </w:tc>
      </w:tr>
      <w:tr w14:paraId="1E4C8F63">
        <w:tblPrEx>
          <w:tblCellMar>
            <w:top w:w="0" w:type="dxa"/>
            <w:left w:w="0" w:type="dxa"/>
            <w:bottom w:w="0" w:type="dxa"/>
            <w:right w:w="0" w:type="dxa"/>
          </w:tblCellMar>
        </w:tblPrEx>
        <w:trPr>
          <w:trHeight w:val="44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5803091">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3.5.3</w:t>
            </w:r>
          </w:p>
        </w:tc>
        <w:tc>
          <w:tcPr>
            <w:tcW w:w="2009" w:type="dxa"/>
            <w:tcBorders>
              <w:top w:val="single" w:color="auto" w:sz="8" w:space="0"/>
              <w:left w:val="nil"/>
              <w:bottom w:val="single" w:color="auto" w:sz="8" w:space="0"/>
              <w:right w:val="single" w:color="auto" w:sz="8" w:space="0"/>
            </w:tcBorders>
            <w:vAlign w:val="center"/>
          </w:tcPr>
          <w:p w14:paraId="47C7DB29">
            <w:pPr>
              <w:spacing w:line="400" w:lineRule="exact"/>
              <w:rPr>
                <w:rFonts w:ascii="宋体" w:hAnsi="宋体" w:cs="宋体"/>
                <w:color w:val="auto"/>
                <w:kern w:val="2"/>
                <w:sz w:val="24"/>
                <w:szCs w:val="24"/>
                <w:highlight w:val="none"/>
              </w:rPr>
            </w:pPr>
            <w:r>
              <w:rPr>
                <w:rFonts w:hint="eastAsia" w:ascii="宋体" w:hAnsi="宋体" w:cs="宋体"/>
                <w:color w:val="auto"/>
                <w:sz w:val="24"/>
                <w:szCs w:val="24"/>
                <w:highlight w:val="none"/>
              </w:rPr>
              <w:t>响应文件编制的其他要求</w:t>
            </w:r>
          </w:p>
        </w:tc>
        <w:tc>
          <w:tcPr>
            <w:tcW w:w="6826" w:type="dxa"/>
            <w:tcBorders>
              <w:top w:val="single" w:color="auto" w:sz="8" w:space="0"/>
              <w:left w:val="nil"/>
              <w:bottom w:val="single" w:color="auto" w:sz="8" w:space="0"/>
              <w:right w:val="single" w:color="auto" w:sz="8" w:space="0"/>
            </w:tcBorders>
            <w:vAlign w:val="center"/>
          </w:tcPr>
          <w:p w14:paraId="75B1776A">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（1）响应文件全部采用电子文档，供应商应安装客户端软件—“政采云电子交易客户端”，并按照竞争性谈判文件和政采云电子交易平台的要求编制，编制后应进行电子签章、签名及加密；</w:t>
            </w:r>
          </w:p>
          <w:p w14:paraId="7ECEB375">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（2）如响应文件提交的电子标书不满足竞争性谈判文件要求或开标时无法读取导入或解密，其响应文件将不予受理； </w:t>
            </w:r>
          </w:p>
          <w:p w14:paraId="0BCF01E7">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（3）响应文件中提供的资料（扫描件），内容必须清晰可辨，若内容模糊，无法辨识，均视为未提供。</w:t>
            </w:r>
          </w:p>
        </w:tc>
      </w:tr>
      <w:tr w14:paraId="7FCE51A3">
        <w:tblPrEx>
          <w:tblCellMar>
            <w:top w:w="0" w:type="dxa"/>
            <w:left w:w="0" w:type="dxa"/>
            <w:bottom w:w="0" w:type="dxa"/>
            <w:right w:w="0" w:type="dxa"/>
          </w:tblCellMar>
        </w:tblPrEx>
        <w:trPr>
          <w:trHeight w:val="121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003DAFC">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4.1</w:t>
            </w:r>
          </w:p>
        </w:tc>
        <w:tc>
          <w:tcPr>
            <w:tcW w:w="2009" w:type="dxa"/>
            <w:tcBorders>
              <w:top w:val="single" w:color="auto" w:sz="8" w:space="0"/>
              <w:left w:val="nil"/>
              <w:bottom w:val="single" w:color="auto" w:sz="8" w:space="0"/>
              <w:right w:val="single" w:color="auto" w:sz="8" w:space="0"/>
            </w:tcBorders>
            <w:vAlign w:val="center"/>
          </w:tcPr>
          <w:p w14:paraId="4E09B439">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响应文件的加密</w:t>
            </w:r>
          </w:p>
        </w:tc>
        <w:tc>
          <w:tcPr>
            <w:tcW w:w="6826" w:type="dxa"/>
            <w:tcBorders>
              <w:top w:val="single" w:color="auto" w:sz="8" w:space="0"/>
              <w:left w:val="nil"/>
              <w:bottom w:val="single" w:color="auto" w:sz="8" w:space="0"/>
              <w:right w:val="single" w:color="auto" w:sz="8" w:space="0"/>
            </w:tcBorders>
            <w:vAlign w:val="center"/>
          </w:tcPr>
          <w:p w14:paraId="5C2EB747">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（1）供应商进行电子交易应安装客户端软件—“政采云电子交易客户端”，并按照竞争性谈判文件和电子交易平台的要求编制并加密响应文件。供应商未按规定加密的响应文件，电子交易平台将拒收并提示； </w:t>
            </w:r>
          </w:p>
          <w:p w14:paraId="4B1ECC27">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（2）使用“政采云电子交易客户端”需要提前申领 CA 数字证书，申领流程见该项目采购公告附件；</w:t>
            </w:r>
          </w:p>
          <w:p w14:paraId="460C5279">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（3）为确保网上操作合法、有效和安全，供应商应当在响应文件提交截止时间前完成在“政府采购云 平台”的身份认证，确保在电子交易过程中能够对相关数据电文进行加密和使用电子签名。</w:t>
            </w:r>
          </w:p>
        </w:tc>
      </w:tr>
      <w:tr w14:paraId="756E4703">
        <w:tblPrEx>
          <w:tblCellMar>
            <w:top w:w="0" w:type="dxa"/>
            <w:left w:w="0" w:type="dxa"/>
            <w:bottom w:w="0" w:type="dxa"/>
            <w:right w:w="0" w:type="dxa"/>
          </w:tblCellMar>
        </w:tblPrEx>
        <w:trPr>
          <w:trHeight w:val="1089"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9FCAF2A">
            <w:pPr>
              <w:spacing w:line="360" w:lineRule="auto"/>
              <w:jc w:val="center"/>
              <w:rPr>
                <w:rFonts w:ascii="宋体" w:hAnsi="宋体" w:cs="宋体"/>
                <w:color w:val="auto"/>
                <w:highlight w:val="none"/>
              </w:rPr>
            </w:pPr>
            <w:r>
              <w:rPr>
                <w:rFonts w:hint="eastAsia" w:ascii="宋体" w:hAnsi="宋体" w:cs="宋体"/>
                <w:color w:val="auto"/>
                <w:kern w:val="2"/>
                <w:sz w:val="24"/>
                <w:szCs w:val="24"/>
                <w:highlight w:val="none"/>
              </w:rPr>
              <w:t>4.2.1</w:t>
            </w:r>
          </w:p>
        </w:tc>
        <w:tc>
          <w:tcPr>
            <w:tcW w:w="2009" w:type="dxa"/>
            <w:tcBorders>
              <w:top w:val="single" w:color="auto" w:sz="8" w:space="0"/>
              <w:left w:val="nil"/>
              <w:bottom w:val="single" w:color="auto" w:sz="8" w:space="0"/>
              <w:right w:val="single" w:color="auto" w:sz="8" w:space="0"/>
            </w:tcBorders>
            <w:vAlign w:val="center"/>
          </w:tcPr>
          <w:p w14:paraId="4BC091B7">
            <w:pPr>
              <w:spacing w:line="360" w:lineRule="auto"/>
              <w:rPr>
                <w:rFonts w:ascii="宋体" w:hAnsi="宋体" w:cs="宋体"/>
                <w:color w:val="auto"/>
                <w:sz w:val="24"/>
                <w:szCs w:val="24"/>
                <w:highlight w:val="none"/>
              </w:rPr>
            </w:pPr>
            <w:r>
              <w:rPr>
                <w:rFonts w:hint="eastAsia" w:ascii="宋体" w:hAnsi="宋体" w:cs="宋体"/>
                <w:color w:val="auto"/>
                <w:kern w:val="2"/>
                <w:sz w:val="24"/>
                <w:szCs w:val="24"/>
                <w:highlight w:val="none"/>
              </w:rPr>
              <w:t>响应文件递交截止时间和地点</w:t>
            </w:r>
          </w:p>
        </w:tc>
        <w:tc>
          <w:tcPr>
            <w:tcW w:w="6826" w:type="dxa"/>
            <w:tcBorders>
              <w:top w:val="single" w:color="auto" w:sz="8" w:space="0"/>
              <w:left w:val="nil"/>
              <w:bottom w:val="single" w:color="auto" w:sz="8" w:space="0"/>
              <w:right w:val="single" w:color="auto" w:sz="8" w:space="0"/>
            </w:tcBorders>
            <w:vAlign w:val="center"/>
          </w:tcPr>
          <w:p w14:paraId="4E7DCF12">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详见第一章“竞争性谈判公告”</w:t>
            </w:r>
          </w:p>
        </w:tc>
      </w:tr>
      <w:tr w14:paraId="02681B7E">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21397C7">
            <w:pPr>
              <w:widowControl w:val="0"/>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5</w:t>
            </w:r>
          </w:p>
        </w:tc>
        <w:tc>
          <w:tcPr>
            <w:tcW w:w="2009" w:type="dxa"/>
            <w:tcBorders>
              <w:top w:val="single" w:color="auto" w:sz="8" w:space="0"/>
              <w:left w:val="nil"/>
              <w:bottom w:val="single" w:color="auto" w:sz="8" w:space="0"/>
              <w:right w:val="single" w:color="auto" w:sz="8" w:space="0"/>
            </w:tcBorders>
            <w:vAlign w:val="center"/>
          </w:tcPr>
          <w:p w14:paraId="5723B3AF">
            <w:pPr>
              <w:widowControl w:val="0"/>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开启时间和地点</w:t>
            </w:r>
          </w:p>
        </w:tc>
        <w:tc>
          <w:tcPr>
            <w:tcW w:w="6826" w:type="dxa"/>
            <w:tcBorders>
              <w:top w:val="single" w:color="auto" w:sz="8" w:space="0"/>
              <w:left w:val="nil"/>
              <w:bottom w:val="single" w:color="auto" w:sz="8" w:space="0"/>
              <w:right w:val="single" w:color="auto" w:sz="8" w:space="0"/>
            </w:tcBorders>
            <w:vAlign w:val="center"/>
          </w:tcPr>
          <w:p w14:paraId="1397D702">
            <w:pPr>
              <w:widowControl w:val="0"/>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开启时间：同响应文件递交截止时间</w:t>
            </w:r>
          </w:p>
          <w:p w14:paraId="00A4DA66">
            <w:pPr>
              <w:widowControl w:val="0"/>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开启地点：同响应文件递交截止地点</w:t>
            </w:r>
          </w:p>
        </w:tc>
      </w:tr>
      <w:tr w14:paraId="0E989F8D">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914DDA0">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6.1.1</w:t>
            </w:r>
          </w:p>
        </w:tc>
        <w:tc>
          <w:tcPr>
            <w:tcW w:w="2009" w:type="dxa"/>
            <w:tcBorders>
              <w:top w:val="single" w:color="auto" w:sz="8" w:space="0"/>
              <w:left w:val="nil"/>
              <w:bottom w:val="single" w:color="auto" w:sz="8" w:space="0"/>
              <w:right w:val="single" w:color="auto" w:sz="8" w:space="0"/>
            </w:tcBorders>
            <w:vAlign w:val="center"/>
          </w:tcPr>
          <w:p w14:paraId="7FD31CDB">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谈判小组的组成</w:t>
            </w:r>
          </w:p>
        </w:tc>
        <w:tc>
          <w:tcPr>
            <w:tcW w:w="6826" w:type="dxa"/>
            <w:tcBorders>
              <w:top w:val="single" w:color="auto" w:sz="8" w:space="0"/>
              <w:left w:val="nil"/>
              <w:bottom w:val="single" w:color="auto" w:sz="8" w:space="0"/>
              <w:right w:val="single" w:color="auto" w:sz="8" w:space="0"/>
            </w:tcBorders>
            <w:vAlign w:val="center"/>
          </w:tcPr>
          <w:p w14:paraId="53ECE15F">
            <w:pPr>
              <w:spacing w:line="360" w:lineRule="auto"/>
              <w:rPr>
                <w:rFonts w:ascii="宋体" w:hAnsi="宋体" w:cs="宋体"/>
                <w:color w:val="auto"/>
                <w:kern w:val="2"/>
                <w:sz w:val="24"/>
                <w:szCs w:val="24"/>
                <w:highlight w:val="none"/>
              </w:rPr>
            </w:pPr>
            <w:r>
              <w:rPr>
                <w:rFonts w:hint="eastAsia" w:ascii="宋体" w:hAnsi="宋体" w:cs="宋体"/>
                <w:color w:val="auto"/>
                <w:sz w:val="24"/>
                <w:szCs w:val="24"/>
                <w:highlight w:val="none"/>
              </w:rPr>
              <w:t>谈判小组由采购人代表和评审专家组成，成员人数为3人以上单数。</w:t>
            </w:r>
          </w:p>
        </w:tc>
      </w:tr>
      <w:tr w14:paraId="22A91925">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93DECC3">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6.3.2</w:t>
            </w:r>
          </w:p>
        </w:tc>
        <w:tc>
          <w:tcPr>
            <w:tcW w:w="2009" w:type="dxa"/>
            <w:tcBorders>
              <w:top w:val="single" w:color="auto" w:sz="8" w:space="0"/>
              <w:left w:val="nil"/>
              <w:bottom w:val="single" w:color="auto" w:sz="8" w:space="0"/>
              <w:right w:val="single" w:color="auto" w:sz="8" w:space="0"/>
            </w:tcBorders>
            <w:vAlign w:val="center"/>
          </w:tcPr>
          <w:p w14:paraId="65560276">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谈判小组推荐成交候选供应商的人数</w:t>
            </w:r>
          </w:p>
        </w:tc>
        <w:tc>
          <w:tcPr>
            <w:tcW w:w="6826" w:type="dxa"/>
            <w:tcBorders>
              <w:top w:val="single" w:color="auto" w:sz="8" w:space="0"/>
              <w:left w:val="nil"/>
              <w:bottom w:val="single" w:color="auto" w:sz="8" w:space="0"/>
              <w:right w:val="single" w:color="auto" w:sz="8" w:space="0"/>
            </w:tcBorders>
            <w:vAlign w:val="center"/>
          </w:tcPr>
          <w:p w14:paraId="596CC332">
            <w:pPr>
              <w:pStyle w:val="62"/>
              <w:spacing w:line="360" w:lineRule="auto"/>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3名以上</w:t>
            </w:r>
          </w:p>
        </w:tc>
      </w:tr>
      <w:tr w14:paraId="73789304">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0E977DE">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7.1</w:t>
            </w:r>
          </w:p>
        </w:tc>
        <w:tc>
          <w:tcPr>
            <w:tcW w:w="2009" w:type="dxa"/>
            <w:tcBorders>
              <w:top w:val="single" w:color="auto" w:sz="8" w:space="0"/>
              <w:left w:val="nil"/>
              <w:bottom w:val="single" w:color="auto" w:sz="8" w:space="0"/>
              <w:right w:val="single" w:color="auto" w:sz="8" w:space="0"/>
            </w:tcBorders>
            <w:vAlign w:val="center"/>
          </w:tcPr>
          <w:p w14:paraId="7B4776BB">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是否授权谈判小组确定成交供应商</w:t>
            </w:r>
          </w:p>
        </w:tc>
        <w:tc>
          <w:tcPr>
            <w:tcW w:w="6826" w:type="dxa"/>
            <w:tcBorders>
              <w:top w:val="single" w:color="auto" w:sz="8" w:space="0"/>
              <w:left w:val="nil"/>
              <w:bottom w:val="single" w:color="auto" w:sz="8" w:space="0"/>
              <w:right w:val="single" w:color="auto" w:sz="8" w:space="0"/>
            </w:tcBorders>
            <w:vAlign w:val="center"/>
          </w:tcPr>
          <w:p w14:paraId="0C6AB414">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w:t>
            </w:r>
          </w:p>
          <w:p w14:paraId="5D9EFAED">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☑否</w:t>
            </w:r>
          </w:p>
        </w:tc>
      </w:tr>
      <w:tr w14:paraId="2313B536">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2364FF3">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7.2</w:t>
            </w:r>
          </w:p>
        </w:tc>
        <w:tc>
          <w:tcPr>
            <w:tcW w:w="2009" w:type="dxa"/>
            <w:tcBorders>
              <w:top w:val="single" w:color="auto" w:sz="8" w:space="0"/>
              <w:left w:val="nil"/>
              <w:bottom w:val="single" w:color="auto" w:sz="8" w:space="0"/>
              <w:right w:val="single" w:color="auto" w:sz="8" w:space="0"/>
            </w:tcBorders>
            <w:vAlign w:val="center"/>
          </w:tcPr>
          <w:p w14:paraId="1A957DF7">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成交公告媒介及期限</w:t>
            </w:r>
          </w:p>
        </w:tc>
        <w:tc>
          <w:tcPr>
            <w:tcW w:w="6826" w:type="dxa"/>
            <w:tcBorders>
              <w:top w:val="single" w:color="auto" w:sz="8" w:space="0"/>
              <w:left w:val="nil"/>
              <w:bottom w:val="single" w:color="auto" w:sz="8" w:space="0"/>
              <w:right w:val="single" w:color="auto" w:sz="8" w:space="0"/>
            </w:tcBorders>
            <w:vAlign w:val="center"/>
          </w:tcPr>
          <w:p w14:paraId="2D5E40C9">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公告媒介：同竞争性谈判公告发布媒介</w:t>
            </w:r>
          </w:p>
          <w:p w14:paraId="3D18A14A">
            <w:pPr>
              <w:spacing w:line="360" w:lineRule="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公告期限：1个工作日</w:t>
            </w:r>
          </w:p>
        </w:tc>
      </w:tr>
      <w:tr w14:paraId="2BC5586E">
        <w:tblPrEx>
          <w:tblCellMar>
            <w:top w:w="0" w:type="dxa"/>
            <w:left w:w="0" w:type="dxa"/>
            <w:bottom w:w="0" w:type="dxa"/>
            <w:right w:w="0" w:type="dxa"/>
          </w:tblCellMar>
        </w:tblPrEx>
        <w:trPr>
          <w:trHeight w:val="82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CDBA886">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7.4.1</w:t>
            </w:r>
          </w:p>
        </w:tc>
        <w:tc>
          <w:tcPr>
            <w:tcW w:w="2009" w:type="dxa"/>
            <w:tcBorders>
              <w:top w:val="single" w:color="auto" w:sz="8" w:space="0"/>
              <w:left w:val="nil"/>
              <w:bottom w:val="single" w:color="auto" w:sz="8" w:space="0"/>
              <w:right w:val="single" w:color="auto" w:sz="8" w:space="0"/>
            </w:tcBorders>
            <w:vAlign w:val="center"/>
          </w:tcPr>
          <w:p w14:paraId="40BA0C45">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履约保证金</w:t>
            </w:r>
          </w:p>
        </w:tc>
        <w:tc>
          <w:tcPr>
            <w:tcW w:w="6826" w:type="dxa"/>
            <w:tcBorders>
              <w:top w:val="single" w:color="auto" w:sz="8" w:space="0"/>
              <w:left w:val="nil"/>
              <w:bottom w:val="single" w:color="auto" w:sz="8" w:space="0"/>
              <w:right w:val="single" w:color="auto" w:sz="8" w:space="0"/>
            </w:tcBorders>
            <w:vAlign w:val="center"/>
          </w:tcPr>
          <w:p w14:paraId="29E161D2">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是否要求成交人提交履约保证金：</w:t>
            </w:r>
          </w:p>
          <w:p w14:paraId="10FD0DCA">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sym w:font="Wingdings 2" w:char="0052"/>
            </w:r>
            <w:r>
              <w:rPr>
                <w:rFonts w:hint="eastAsia" w:ascii="宋体" w:hAnsi="宋体" w:cs="宋体"/>
                <w:color w:val="auto"/>
                <w:kern w:val="2"/>
                <w:sz w:val="24"/>
                <w:szCs w:val="24"/>
                <w:highlight w:val="none"/>
              </w:rPr>
              <w:t>要求，履约保证金的形式：</w:t>
            </w:r>
            <w:r>
              <w:rPr>
                <w:rFonts w:hint="eastAsia" w:ascii="宋体" w:hAnsi="宋体" w:cs="宋体"/>
                <w:color w:val="auto"/>
                <w:kern w:val="2"/>
                <w:sz w:val="24"/>
                <w:szCs w:val="24"/>
                <w:highlight w:val="none"/>
                <w:u w:val="single"/>
              </w:rPr>
              <w:t>银行转账、电汇</w:t>
            </w:r>
            <w:r>
              <w:rPr>
                <w:rFonts w:hint="eastAsia" w:ascii="宋体" w:hAnsi="宋体" w:cs="宋体"/>
                <w:color w:val="auto"/>
                <w:kern w:val="2"/>
                <w:sz w:val="24"/>
                <w:szCs w:val="24"/>
                <w:highlight w:val="none"/>
              </w:rPr>
              <w:t>等非现金形式提交；</w:t>
            </w:r>
          </w:p>
          <w:p w14:paraId="57B95C2F">
            <w:pPr>
              <w:spacing w:line="360" w:lineRule="auto"/>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履约保证金的金额：</w:t>
            </w:r>
            <w:r>
              <w:rPr>
                <w:rFonts w:hint="eastAsia" w:ascii="宋体" w:hAnsi="宋体" w:cs="宋体"/>
                <w:color w:val="auto"/>
                <w:kern w:val="2"/>
                <w:sz w:val="24"/>
                <w:szCs w:val="24"/>
                <w:highlight w:val="none"/>
                <w:u w:val="single"/>
              </w:rPr>
              <w:t>合同金额的5%</w:t>
            </w:r>
          </w:p>
          <w:p w14:paraId="758E8BD7">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sym w:font="Wingdings 2" w:char="00A3"/>
            </w:r>
            <w:r>
              <w:rPr>
                <w:rFonts w:hint="eastAsia" w:ascii="宋体" w:hAnsi="宋体" w:cs="宋体"/>
                <w:color w:val="auto"/>
                <w:kern w:val="2"/>
                <w:sz w:val="24"/>
                <w:szCs w:val="24"/>
                <w:highlight w:val="none"/>
              </w:rPr>
              <w:t>不要求</w:t>
            </w:r>
          </w:p>
        </w:tc>
      </w:tr>
      <w:tr w14:paraId="3AB3CD9B">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13716BA">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w:t>
            </w:r>
          </w:p>
        </w:tc>
        <w:tc>
          <w:tcPr>
            <w:tcW w:w="8835" w:type="dxa"/>
            <w:gridSpan w:val="2"/>
            <w:tcBorders>
              <w:top w:val="single" w:color="auto" w:sz="8" w:space="0"/>
              <w:left w:val="nil"/>
              <w:bottom w:val="single" w:color="auto" w:sz="8" w:space="0"/>
              <w:right w:val="single" w:color="auto" w:sz="8" w:space="0"/>
            </w:tcBorders>
            <w:vAlign w:val="center"/>
          </w:tcPr>
          <w:p w14:paraId="7A89BAEA">
            <w:pPr>
              <w:spacing w:line="360" w:lineRule="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需要补充的其他内容</w:t>
            </w:r>
          </w:p>
        </w:tc>
      </w:tr>
      <w:tr w14:paraId="515F083A">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56ED4EA">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11.1</w:t>
            </w:r>
          </w:p>
        </w:tc>
        <w:tc>
          <w:tcPr>
            <w:tcW w:w="2009" w:type="dxa"/>
            <w:tcBorders>
              <w:top w:val="single" w:color="auto" w:sz="8" w:space="0"/>
              <w:left w:val="nil"/>
              <w:bottom w:val="single" w:color="auto" w:sz="8" w:space="0"/>
              <w:right w:val="single" w:color="auto" w:sz="8" w:space="0"/>
            </w:tcBorders>
            <w:vAlign w:val="center"/>
          </w:tcPr>
          <w:p w14:paraId="03BEC3D8">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追加合同金额</w:t>
            </w:r>
          </w:p>
        </w:tc>
        <w:tc>
          <w:tcPr>
            <w:tcW w:w="6826" w:type="dxa"/>
            <w:tcBorders>
              <w:top w:val="single" w:color="auto" w:sz="8" w:space="0"/>
              <w:left w:val="nil"/>
              <w:bottom w:val="single" w:color="auto" w:sz="8" w:space="0"/>
              <w:right w:val="single" w:color="auto" w:sz="8" w:space="0"/>
            </w:tcBorders>
            <w:vAlign w:val="center"/>
          </w:tcPr>
          <w:p w14:paraId="34C22ECD">
            <w:pPr>
              <w:spacing w:line="360" w:lineRule="auto"/>
              <w:rPr>
                <w:rFonts w:ascii="宋体" w:hAnsi="宋体" w:cs="宋体"/>
                <w:color w:val="auto"/>
                <w:kern w:val="2"/>
                <w:sz w:val="24"/>
                <w:szCs w:val="24"/>
                <w:highlight w:val="none"/>
              </w:rPr>
            </w:pPr>
            <w:r>
              <w:rPr>
                <w:rFonts w:hint="eastAsia" w:ascii="宋体" w:hAnsi="宋体" w:cs="宋体"/>
                <w:color w:val="auto"/>
                <w:sz w:val="24"/>
                <w:szCs w:val="24"/>
                <w:highlight w:val="none"/>
              </w:rPr>
              <w:t>政府采购合同履行中，采购人需追加与合同标的相同的货物的，</w:t>
            </w:r>
            <w:r>
              <w:rPr>
                <w:rFonts w:hint="eastAsia" w:ascii="宋体" w:hAnsi="宋体" w:cs="宋体"/>
                <w:color w:val="auto"/>
                <w:sz w:val="24"/>
                <w:highlight w:val="none"/>
              </w:rPr>
              <w:t>在不改变合同其他条款的前提下，可以与成交供应商签订补充合同，但所有补充合同的采购金额变更不得超过原合同采购金额的10%，其中金额增加需办理合同追加手续。</w:t>
            </w:r>
          </w:p>
        </w:tc>
      </w:tr>
      <w:tr w14:paraId="3CC8990A">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B4430ED">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11.2</w:t>
            </w:r>
          </w:p>
        </w:tc>
        <w:tc>
          <w:tcPr>
            <w:tcW w:w="2009" w:type="dxa"/>
            <w:tcBorders>
              <w:top w:val="single" w:color="auto" w:sz="8" w:space="0"/>
              <w:left w:val="nil"/>
              <w:bottom w:val="single" w:color="auto" w:sz="8" w:space="0"/>
              <w:right w:val="single" w:color="auto" w:sz="8" w:space="0"/>
            </w:tcBorders>
            <w:vAlign w:val="center"/>
          </w:tcPr>
          <w:p w14:paraId="7FE69EB0">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信用查询具体要求</w:t>
            </w:r>
          </w:p>
        </w:tc>
        <w:tc>
          <w:tcPr>
            <w:tcW w:w="6826" w:type="dxa"/>
            <w:tcBorders>
              <w:top w:val="single" w:color="auto" w:sz="8" w:space="0"/>
              <w:left w:val="nil"/>
              <w:bottom w:val="single" w:color="auto" w:sz="8" w:space="0"/>
              <w:right w:val="single" w:color="auto" w:sz="8" w:space="0"/>
            </w:tcBorders>
            <w:vAlign w:val="center"/>
          </w:tcPr>
          <w:p w14:paraId="29197229">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本项目将执行在政府采购活动中查询及使用信用记录的规定，具体要求为：</w:t>
            </w:r>
          </w:p>
          <w:p w14:paraId="56945BA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供应商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15F126AB">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（2）信用信息查询的截止时点：响应文件递交截止时间当天评审前；</w:t>
            </w:r>
          </w:p>
          <w:p w14:paraId="1AAF363F">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（3）信用信息查询渠道：“信用中国”网站、中国政府采购网；</w:t>
            </w:r>
          </w:p>
          <w:p w14:paraId="51B315E2">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（4）信用信息查询记录和证据留存具体方式：采购人、采购代理机构将经查询存在不良信用记录的潜在供应商查询结果证明材料作为查询记录和证据，与其他采购文件一并保存；</w:t>
            </w:r>
          </w:p>
          <w:p w14:paraId="5DA1F431">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5）信用信息的使用规则：本政府采购项目的供应商在信用信息查询截止时点（含）之前被列入失信被执行人、重大税收违法失信主体、政府采购严重违法失信行为记录名单及其他不符合《中华人民共和国政府采购法》第二十二条规定条件的供应商，其谈判无效；</w:t>
            </w:r>
          </w:p>
          <w:p w14:paraId="2C8C441B">
            <w:pPr>
              <w:pStyle w:val="12"/>
              <w:rPr>
                <w:rFonts w:ascii="宋体" w:hAnsi="宋体" w:cs="宋体"/>
                <w:color w:val="auto"/>
                <w:szCs w:val="21"/>
                <w:highlight w:val="none"/>
              </w:rPr>
            </w:pPr>
            <w:r>
              <w:rPr>
                <w:rFonts w:hint="eastAsia" w:ascii="宋体" w:hAnsi="宋体" w:cs="宋体"/>
                <w:b/>
                <w:bCs/>
                <w:color w:val="auto"/>
                <w:sz w:val="24"/>
                <w:highlight w:val="none"/>
              </w:rPr>
              <w:t>(6)采购人、采购代理机构通过“信用中国”网、中国政府采购网等渠道查询相关主体信用记录，若供应商存在被列入失信被执行人、重大税收违法失信主体、政府采购严重违法失信行为记录名单，则谈判无效。</w:t>
            </w:r>
          </w:p>
        </w:tc>
      </w:tr>
      <w:tr w14:paraId="2AC66A90">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F39E9ED">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11.3</w:t>
            </w:r>
          </w:p>
        </w:tc>
        <w:tc>
          <w:tcPr>
            <w:tcW w:w="2009" w:type="dxa"/>
            <w:tcBorders>
              <w:top w:val="single" w:color="auto" w:sz="8" w:space="0"/>
              <w:left w:val="nil"/>
              <w:bottom w:val="single" w:color="auto" w:sz="8" w:space="0"/>
              <w:right w:val="single" w:color="auto" w:sz="8" w:space="0"/>
            </w:tcBorders>
            <w:vAlign w:val="center"/>
          </w:tcPr>
          <w:p w14:paraId="6AD7D07F">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补充1</w:t>
            </w:r>
          </w:p>
        </w:tc>
        <w:tc>
          <w:tcPr>
            <w:tcW w:w="6826" w:type="dxa"/>
            <w:tcBorders>
              <w:top w:val="single" w:color="auto" w:sz="8" w:space="0"/>
              <w:left w:val="nil"/>
              <w:bottom w:val="single" w:color="auto" w:sz="8" w:space="0"/>
              <w:right w:val="single" w:color="auto" w:sz="8" w:space="0"/>
            </w:tcBorders>
            <w:vAlign w:val="center"/>
          </w:tcPr>
          <w:p w14:paraId="086FB406">
            <w:pPr>
              <w:widowControl w:val="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依据《政府采购促进中小企业发展管理办法》（财库〔2020〕46号）规定享受扶持政策获得政府采购合同的，小微企业不得将合同分包给大中型企业，中型企业不得将合同分包给大型企业。 </w:t>
            </w:r>
          </w:p>
        </w:tc>
      </w:tr>
      <w:tr w14:paraId="44DBE509">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BC7D385">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11.4</w:t>
            </w:r>
          </w:p>
        </w:tc>
        <w:tc>
          <w:tcPr>
            <w:tcW w:w="2009" w:type="dxa"/>
            <w:tcBorders>
              <w:top w:val="single" w:color="auto" w:sz="8" w:space="0"/>
              <w:left w:val="nil"/>
              <w:bottom w:val="single" w:color="auto" w:sz="8" w:space="0"/>
              <w:right w:val="single" w:color="auto" w:sz="8" w:space="0"/>
            </w:tcBorders>
            <w:vAlign w:val="center"/>
          </w:tcPr>
          <w:p w14:paraId="64C8FA3D">
            <w:pPr>
              <w:spacing w:line="360" w:lineRule="auto"/>
              <w:rPr>
                <w:rFonts w:ascii="宋体" w:hAnsi="宋体" w:cs="宋体"/>
                <w:color w:val="auto"/>
                <w:kern w:val="2"/>
                <w:sz w:val="24"/>
                <w:szCs w:val="24"/>
                <w:highlight w:val="none"/>
              </w:rPr>
            </w:pPr>
            <w:r>
              <w:rPr>
                <w:rFonts w:hint="eastAsia" w:ascii="宋体" w:hAnsi="宋体" w:cs="宋体"/>
                <w:color w:val="auto"/>
                <w:sz w:val="24"/>
                <w:szCs w:val="24"/>
                <w:highlight w:val="none"/>
              </w:rPr>
              <w:t>付款方式</w:t>
            </w:r>
          </w:p>
        </w:tc>
        <w:tc>
          <w:tcPr>
            <w:tcW w:w="6826" w:type="dxa"/>
            <w:tcBorders>
              <w:top w:val="single" w:color="auto" w:sz="8" w:space="0"/>
              <w:left w:val="nil"/>
              <w:bottom w:val="single" w:color="auto" w:sz="8" w:space="0"/>
              <w:right w:val="single" w:color="auto" w:sz="8" w:space="0"/>
            </w:tcBorders>
            <w:vAlign w:val="center"/>
          </w:tcPr>
          <w:p w14:paraId="1ECAE2FE">
            <w:pPr>
              <w:spacing w:line="360" w:lineRule="auto"/>
              <w:jc w:val="both"/>
              <w:rPr>
                <w:rFonts w:ascii="宋体" w:hAnsi="宋体" w:cs="宋体"/>
                <w:color w:val="auto"/>
                <w:sz w:val="24"/>
                <w:szCs w:val="24"/>
                <w:highlight w:val="none"/>
              </w:rPr>
            </w:pPr>
            <w:r>
              <w:rPr>
                <w:rFonts w:hint="eastAsia" w:ascii="宋体" w:hAnsi="宋体" w:cs="宋体"/>
                <w:color w:val="auto"/>
                <w:kern w:val="2"/>
                <w:sz w:val="24"/>
                <w:szCs w:val="24"/>
                <w:highlight w:val="none"/>
              </w:rPr>
              <w:t>本项目无预付款，甲方最终验收合格后30日内支付合同金额的100%至乙方指定银行账户。付款时乙方需提供增值税专用发票。乙方缴纳履约保证金是甲方付款的必要条件。</w:t>
            </w:r>
          </w:p>
        </w:tc>
      </w:tr>
      <w:tr w14:paraId="18F00143">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82B6EF5">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11.5</w:t>
            </w:r>
          </w:p>
        </w:tc>
        <w:tc>
          <w:tcPr>
            <w:tcW w:w="2009" w:type="dxa"/>
            <w:tcBorders>
              <w:top w:val="single" w:color="auto" w:sz="8" w:space="0"/>
              <w:left w:val="nil"/>
              <w:bottom w:val="single" w:color="auto" w:sz="8" w:space="0"/>
              <w:right w:val="single" w:color="auto" w:sz="8" w:space="0"/>
            </w:tcBorders>
            <w:vAlign w:val="center"/>
          </w:tcPr>
          <w:p w14:paraId="4785BC28">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需要补充的其他内容</w:t>
            </w:r>
          </w:p>
        </w:tc>
        <w:tc>
          <w:tcPr>
            <w:tcW w:w="6826" w:type="dxa"/>
            <w:tcBorders>
              <w:top w:val="single" w:color="auto" w:sz="8" w:space="0"/>
              <w:left w:val="nil"/>
              <w:bottom w:val="single" w:color="auto" w:sz="8" w:space="0"/>
              <w:right w:val="single" w:color="auto" w:sz="8" w:space="0"/>
            </w:tcBorders>
            <w:vAlign w:val="center"/>
          </w:tcPr>
          <w:p w14:paraId="7F986EFB">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以下情况视为供应商同意撤回已上传系统的响应文件或其响应文件无效：</w:t>
            </w:r>
          </w:p>
          <w:p w14:paraId="2B336664">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（1）政采云电子平台显示供应商未上传响应文件；</w:t>
            </w:r>
          </w:p>
          <w:p w14:paraId="6806813B">
            <w:pPr>
              <w:widowControl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（2）因供应商原因上传的响应文件在开启文件时无法解密。</w:t>
            </w:r>
          </w:p>
        </w:tc>
      </w:tr>
    </w:tbl>
    <w:p w14:paraId="0013AA28">
      <w:pPr>
        <w:pStyle w:val="3"/>
        <w:spacing w:before="0" w:after="0" w:line="360" w:lineRule="auto"/>
        <w:rPr>
          <w:rFonts w:ascii="宋体" w:hAnsi="宋体" w:eastAsia="宋体" w:cs="宋体"/>
          <w:color w:val="auto"/>
          <w:sz w:val="28"/>
          <w:szCs w:val="28"/>
          <w:highlight w:val="none"/>
        </w:rPr>
      </w:pPr>
      <w:r>
        <w:rPr>
          <w:rFonts w:hint="eastAsia" w:ascii="宋体" w:hAnsi="宋体" w:eastAsia="宋体" w:cs="宋体"/>
          <w:color w:val="auto"/>
          <w:highlight w:val="none"/>
        </w:rPr>
        <w:br w:type="page"/>
      </w:r>
      <w:bookmarkStart w:id="86" w:name="_Toc27064"/>
      <w:bookmarkEnd w:id="86"/>
      <w:bookmarkStart w:id="87" w:name="_Toc20589"/>
      <w:bookmarkEnd w:id="87"/>
      <w:bookmarkStart w:id="88" w:name="_Toc19039"/>
      <w:bookmarkStart w:id="89" w:name="_Toc27607"/>
      <w:r>
        <w:rPr>
          <w:rFonts w:hint="eastAsia" w:ascii="宋体" w:hAnsi="宋体" w:eastAsia="宋体" w:cs="宋体"/>
          <w:color w:val="auto"/>
          <w:sz w:val="28"/>
          <w:szCs w:val="28"/>
          <w:highlight w:val="none"/>
        </w:rPr>
        <w:t>1. 总则</w:t>
      </w:r>
      <w:bookmarkEnd w:id="88"/>
      <w:bookmarkEnd w:id="89"/>
    </w:p>
    <w:p w14:paraId="7D7D1F37">
      <w:pPr>
        <w:spacing w:line="360" w:lineRule="auto"/>
        <w:rPr>
          <w:rFonts w:ascii="宋体" w:hAnsi="宋体" w:cs="宋体"/>
          <w:b/>
          <w:color w:val="auto"/>
          <w:sz w:val="24"/>
          <w:szCs w:val="24"/>
          <w:highlight w:val="none"/>
        </w:rPr>
      </w:pPr>
      <w:bookmarkStart w:id="90" w:name="_Toc31335"/>
      <w:bookmarkEnd w:id="90"/>
      <w:bookmarkStart w:id="91" w:name="_Toc700"/>
      <w:r>
        <w:rPr>
          <w:rFonts w:hint="eastAsia" w:ascii="宋体" w:hAnsi="宋体" w:cs="宋体"/>
          <w:b/>
          <w:color w:val="auto"/>
          <w:sz w:val="24"/>
          <w:szCs w:val="24"/>
          <w:highlight w:val="none"/>
        </w:rPr>
        <w:t>1.1 项目概况</w:t>
      </w:r>
      <w:bookmarkEnd w:id="91"/>
    </w:p>
    <w:p w14:paraId="2DBF603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1.1.1根据《中华人民共和国政府采购法》《中华人民共和国政府采购法实施条例》《政府采购非招标采购方式管理办法》（财政部第74号令）等有关规定，本项目已具备谈判条件，现对本项目进行谈判。</w:t>
      </w:r>
    </w:p>
    <w:p w14:paraId="02C64C9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1.1.2 采购人：见供应商须知前附表。</w:t>
      </w:r>
    </w:p>
    <w:p w14:paraId="16B289E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 采购代理机构：见供应商须知前附表。</w:t>
      </w:r>
    </w:p>
    <w:p w14:paraId="7A12E46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1.1.4 项目名称：见供应商须知前附表。</w:t>
      </w:r>
    </w:p>
    <w:p w14:paraId="4563B017">
      <w:pPr>
        <w:spacing w:line="360" w:lineRule="auto"/>
        <w:rPr>
          <w:rFonts w:ascii="宋体" w:hAnsi="宋体" w:cs="宋体"/>
          <w:b/>
          <w:color w:val="auto"/>
          <w:sz w:val="24"/>
          <w:szCs w:val="24"/>
          <w:highlight w:val="none"/>
        </w:rPr>
      </w:pPr>
      <w:bookmarkStart w:id="92" w:name="_Toc27395"/>
      <w:bookmarkEnd w:id="92"/>
      <w:bookmarkStart w:id="93" w:name="_Toc28747"/>
      <w:r>
        <w:rPr>
          <w:rFonts w:hint="eastAsia" w:ascii="宋体" w:hAnsi="宋体" w:cs="宋体"/>
          <w:b/>
          <w:color w:val="auto"/>
          <w:sz w:val="24"/>
          <w:szCs w:val="24"/>
          <w:highlight w:val="none"/>
        </w:rPr>
        <w:t>1.2 项目的资金情况</w:t>
      </w:r>
      <w:bookmarkEnd w:id="93"/>
    </w:p>
    <w:p w14:paraId="1A89E89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1.2.1 资金落实情况：见供应商须知前附表。</w:t>
      </w:r>
    </w:p>
    <w:p w14:paraId="636014D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1.2.2 预算金额：见供应商须知前附表。</w:t>
      </w:r>
    </w:p>
    <w:p w14:paraId="756355D5">
      <w:pPr>
        <w:spacing w:line="360" w:lineRule="auto"/>
        <w:rPr>
          <w:rFonts w:ascii="宋体" w:hAnsi="宋体" w:cs="宋体"/>
          <w:b/>
          <w:color w:val="auto"/>
          <w:sz w:val="24"/>
          <w:szCs w:val="24"/>
          <w:highlight w:val="none"/>
        </w:rPr>
      </w:pPr>
      <w:bookmarkStart w:id="94" w:name="_Toc16064"/>
      <w:bookmarkEnd w:id="94"/>
      <w:bookmarkStart w:id="95" w:name="_Toc20957"/>
      <w:r>
        <w:rPr>
          <w:rFonts w:hint="eastAsia" w:ascii="宋体" w:hAnsi="宋体" w:cs="宋体"/>
          <w:b/>
          <w:color w:val="auto"/>
          <w:sz w:val="24"/>
          <w:szCs w:val="24"/>
          <w:highlight w:val="none"/>
        </w:rPr>
        <w:t>1.3采购内容、交货期、质保期、交货地点</w:t>
      </w:r>
      <w:bookmarkEnd w:id="95"/>
      <w:r>
        <w:rPr>
          <w:rFonts w:hint="eastAsia" w:ascii="宋体" w:hAnsi="宋体" w:cs="宋体"/>
          <w:b/>
          <w:color w:val="auto"/>
          <w:sz w:val="24"/>
          <w:szCs w:val="24"/>
          <w:highlight w:val="none"/>
        </w:rPr>
        <w:t>、交货方式</w:t>
      </w:r>
    </w:p>
    <w:p w14:paraId="6CC53DDB">
      <w:pPr>
        <w:spacing w:line="360" w:lineRule="auto"/>
        <w:ind w:firstLine="480" w:firstLineChars="200"/>
        <w:rPr>
          <w:rFonts w:ascii="宋体" w:hAnsi="宋体" w:cs="宋体"/>
          <w:color w:val="auto"/>
          <w:sz w:val="24"/>
          <w:szCs w:val="24"/>
          <w:highlight w:val="none"/>
        </w:rPr>
      </w:pPr>
      <w:bookmarkStart w:id="96" w:name="_Toc16202"/>
      <w:bookmarkEnd w:id="96"/>
      <w:r>
        <w:rPr>
          <w:rFonts w:hint="eastAsia" w:ascii="宋体" w:hAnsi="宋体" w:cs="宋体"/>
          <w:color w:val="auto"/>
          <w:sz w:val="24"/>
          <w:szCs w:val="24"/>
          <w:highlight w:val="none"/>
        </w:rPr>
        <w:t>1.3.1 采购内容：见供应商须知前附表。</w:t>
      </w:r>
    </w:p>
    <w:p w14:paraId="7595F37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1.3.2 交货期、质保期：见供应商须知前附表。</w:t>
      </w:r>
    </w:p>
    <w:p w14:paraId="62E63F6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 交货地点、交货方式：见供应商须知前附表。</w:t>
      </w:r>
    </w:p>
    <w:p w14:paraId="349EB947">
      <w:pPr>
        <w:spacing w:line="360" w:lineRule="auto"/>
        <w:rPr>
          <w:rFonts w:ascii="宋体" w:hAnsi="宋体" w:cs="宋体"/>
          <w:b/>
          <w:color w:val="auto"/>
          <w:sz w:val="24"/>
          <w:szCs w:val="24"/>
          <w:highlight w:val="none"/>
        </w:rPr>
      </w:pPr>
      <w:bookmarkStart w:id="97" w:name="_Toc17694"/>
      <w:bookmarkEnd w:id="97"/>
      <w:bookmarkStart w:id="98" w:name="_Toc10611"/>
      <w:r>
        <w:rPr>
          <w:rFonts w:hint="eastAsia" w:ascii="宋体" w:hAnsi="宋体" w:cs="宋体"/>
          <w:b/>
          <w:color w:val="auto"/>
          <w:sz w:val="24"/>
          <w:szCs w:val="24"/>
          <w:highlight w:val="none"/>
        </w:rPr>
        <w:t>1.4 供应商资格要求</w:t>
      </w:r>
      <w:bookmarkEnd w:id="98"/>
    </w:p>
    <w:p w14:paraId="2347943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1.4.1 供应商应具备承担本项目的资格要求。</w:t>
      </w:r>
    </w:p>
    <w:p w14:paraId="7671D02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1.4.2 供应商须知前附表规定接受联合体谈判的，联合体除应符合本章第1.4.1 项和供应商须知前附表的要求外，还应遵守以下规定：</w:t>
      </w:r>
    </w:p>
    <w:p w14:paraId="2B7AF34C">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(1)联合体各方应按谈判文件提供的格式签订联合体协议书，明确联合体牵头人和各方权利义务，并承诺就成交项目向采购人承担连带责任；</w:t>
      </w:r>
    </w:p>
    <w:p w14:paraId="25DA9823">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(2)联合体中有同类资质的供应商按照联合体分工承担相同工作的，应当按照资质等级较低的供应商确定资质等级；</w:t>
      </w:r>
    </w:p>
    <w:p w14:paraId="41606972">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(3)以联合体形式参加政府采购活动的，联合体各方不得再单独参加或者与其他供应商另外组成联合体参加同一合同项下的政府采购活动。</w:t>
      </w:r>
    </w:p>
    <w:p w14:paraId="5FA98959">
      <w:pPr>
        <w:spacing w:line="360" w:lineRule="auto"/>
        <w:rPr>
          <w:rFonts w:ascii="宋体" w:hAnsi="宋体" w:cs="宋体"/>
          <w:b/>
          <w:color w:val="auto"/>
          <w:sz w:val="24"/>
          <w:szCs w:val="24"/>
          <w:highlight w:val="none"/>
        </w:rPr>
      </w:pPr>
      <w:bookmarkStart w:id="99" w:name="_Toc27960"/>
      <w:bookmarkEnd w:id="99"/>
      <w:bookmarkStart w:id="100" w:name="_Toc18144"/>
      <w:r>
        <w:rPr>
          <w:rFonts w:hint="eastAsia" w:ascii="宋体" w:hAnsi="宋体" w:cs="宋体"/>
          <w:b/>
          <w:color w:val="auto"/>
          <w:sz w:val="24"/>
          <w:szCs w:val="24"/>
          <w:highlight w:val="none"/>
        </w:rPr>
        <w:t>1.5 费用承担</w:t>
      </w:r>
      <w:bookmarkEnd w:id="100"/>
    </w:p>
    <w:p w14:paraId="6E17424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供应商准备和参加谈判活动发生的费用自理。</w:t>
      </w:r>
    </w:p>
    <w:p w14:paraId="41FD4315">
      <w:pPr>
        <w:spacing w:line="360" w:lineRule="auto"/>
        <w:rPr>
          <w:rFonts w:ascii="宋体" w:hAnsi="宋体" w:cs="宋体"/>
          <w:b/>
          <w:color w:val="auto"/>
          <w:sz w:val="24"/>
          <w:szCs w:val="24"/>
          <w:highlight w:val="none"/>
        </w:rPr>
      </w:pPr>
      <w:bookmarkStart w:id="101" w:name="_Toc6230"/>
      <w:bookmarkEnd w:id="101"/>
      <w:bookmarkStart w:id="102" w:name="_Toc16680"/>
      <w:r>
        <w:rPr>
          <w:rFonts w:hint="eastAsia" w:ascii="宋体" w:hAnsi="宋体" w:cs="宋体"/>
          <w:b/>
          <w:color w:val="auto"/>
          <w:sz w:val="24"/>
          <w:szCs w:val="24"/>
          <w:highlight w:val="none"/>
        </w:rPr>
        <w:t>1.6 保密</w:t>
      </w:r>
      <w:bookmarkEnd w:id="102"/>
    </w:p>
    <w:p w14:paraId="16926FC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参与谈判活动的各方应对谈判文件和响应文件中的商业和技术等秘密保密，违者应承担相应的法律责任。</w:t>
      </w:r>
    </w:p>
    <w:p w14:paraId="41996641">
      <w:pPr>
        <w:spacing w:line="360" w:lineRule="auto"/>
        <w:rPr>
          <w:rFonts w:ascii="宋体" w:hAnsi="宋体" w:cs="宋体"/>
          <w:b/>
          <w:color w:val="auto"/>
          <w:sz w:val="24"/>
          <w:szCs w:val="24"/>
          <w:highlight w:val="none"/>
        </w:rPr>
      </w:pPr>
      <w:bookmarkStart w:id="103" w:name="_Toc31781"/>
      <w:bookmarkEnd w:id="103"/>
      <w:bookmarkStart w:id="104" w:name="_Toc787"/>
      <w:r>
        <w:rPr>
          <w:rFonts w:hint="eastAsia" w:ascii="宋体" w:hAnsi="宋体" w:cs="宋体"/>
          <w:b/>
          <w:color w:val="auto"/>
          <w:sz w:val="24"/>
          <w:szCs w:val="24"/>
          <w:highlight w:val="none"/>
        </w:rPr>
        <w:t>1.7 语言文字</w:t>
      </w:r>
      <w:bookmarkEnd w:id="104"/>
    </w:p>
    <w:p w14:paraId="7F1C5D8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响应文件使用的语言文字为中文。专用术语使用外文的，应附有中文注释。</w:t>
      </w:r>
    </w:p>
    <w:p w14:paraId="797BC9C8">
      <w:pPr>
        <w:spacing w:line="360" w:lineRule="auto"/>
        <w:rPr>
          <w:rFonts w:ascii="宋体" w:hAnsi="宋体" w:cs="宋体"/>
          <w:b/>
          <w:color w:val="auto"/>
          <w:sz w:val="24"/>
          <w:szCs w:val="24"/>
          <w:highlight w:val="none"/>
        </w:rPr>
      </w:pPr>
      <w:bookmarkStart w:id="105" w:name="_Toc29423"/>
      <w:bookmarkEnd w:id="105"/>
      <w:bookmarkStart w:id="106" w:name="_Toc29116"/>
      <w:r>
        <w:rPr>
          <w:rFonts w:hint="eastAsia" w:ascii="宋体" w:hAnsi="宋体" w:cs="宋体"/>
          <w:b/>
          <w:color w:val="auto"/>
          <w:sz w:val="24"/>
          <w:szCs w:val="24"/>
          <w:highlight w:val="none"/>
        </w:rPr>
        <w:t>1.8 计量单位</w:t>
      </w:r>
      <w:bookmarkEnd w:id="106"/>
    </w:p>
    <w:p w14:paraId="7545B46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所有计量均采用中华人民共和国法定计量单位。</w:t>
      </w:r>
    </w:p>
    <w:p w14:paraId="7E164EA2">
      <w:pPr>
        <w:pStyle w:val="3"/>
        <w:spacing w:before="0" w:after="0" w:line="360" w:lineRule="auto"/>
        <w:rPr>
          <w:rFonts w:ascii="宋体" w:hAnsi="宋体" w:eastAsia="宋体" w:cs="宋体"/>
          <w:color w:val="auto"/>
          <w:sz w:val="28"/>
          <w:szCs w:val="28"/>
          <w:highlight w:val="none"/>
        </w:rPr>
      </w:pPr>
      <w:bookmarkStart w:id="107" w:name="_Toc144974507"/>
      <w:bookmarkEnd w:id="107"/>
      <w:bookmarkStart w:id="108" w:name="_Toc296602429"/>
      <w:bookmarkEnd w:id="108"/>
      <w:bookmarkStart w:id="109" w:name="_Toc29812"/>
      <w:bookmarkEnd w:id="109"/>
      <w:bookmarkStart w:id="110" w:name="_Toc247513962"/>
      <w:bookmarkEnd w:id="110"/>
      <w:bookmarkStart w:id="111" w:name="_Toc587"/>
      <w:bookmarkEnd w:id="111"/>
      <w:bookmarkStart w:id="112" w:name="_Toc31795"/>
      <w:bookmarkEnd w:id="112"/>
      <w:bookmarkStart w:id="113" w:name="_Toc152045539"/>
      <w:bookmarkEnd w:id="113"/>
      <w:bookmarkStart w:id="114" w:name="_Toc247527563"/>
      <w:bookmarkEnd w:id="114"/>
      <w:bookmarkStart w:id="115" w:name="_Toc152042315"/>
      <w:bookmarkEnd w:id="115"/>
      <w:bookmarkStart w:id="116" w:name="_Toc32012"/>
      <w:bookmarkEnd w:id="116"/>
      <w:bookmarkStart w:id="117" w:name="_Toc247592876"/>
      <w:bookmarkEnd w:id="117"/>
      <w:bookmarkStart w:id="118" w:name="_Toc31733"/>
      <w:bookmarkStart w:id="119" w:name="_Toc10229"/>
      <w:r>
        <w:rPr>
          <w:rFonts w:hint="eastAsia" w:ascii="宋体" w:hAnsi="宋体" w:eastAsia="宋体" w:cs="宋体"/>
          <w:color w:val="auto"/>
          <w:sz w:val="28"/>
          <w:szCs w:val="28"/>
          <w:highlight w:val="none"/>
        </w:rPr>
        <w:t xml:space="preserve">2. </w:t>
      </w:r>
      <w:bookmarkEnd w:id="118"/>
      <w:r>
        <w:rPr>
          <w:rFonts w:hint="eastAsia" w:ascii="宋体" w:hAnsi="宋体" w:eastAsia="宋体" w:cs="宋体"/>
          <w:color w:val="auto"/>
          <w:sz w:val="28"/>
          <w:szCs w:val="28"/>
          <w:highlight w:val="none"/>
        </w:rPr>
        <w:t>谈判文件</w:t>
      </w:r>
      <w:bookmarkEnd w:id="119"/>
    </w:p>
    <w:p w14:paraId="0AFFB3E1">
      <w:pPr>
        <w:spacing w:line="360" w:lineRule="auto"/>
        <w:rPr>
          <w:rFonts w:ascii="宋体" w:hAnsi="宋体" w:cs="宋体"/>
          <w:b/>
          <w:color w:val="auto"/>
          <w:sz w:val="24"/>
          <w:szCs w:val="24"/>
          <w:highlight w:val="none"/>
        </w:rPr>
      </w:pPr>
      <w:bookmarkStart w:id="120" w:name="_Toc21536"/>
      <w:bookmarkEnd w:id="120"/>
      <w:bookmarkStart w:id="121" w:name="_Toc16596"/>
      <w:r>
        <w:rPr>
          <w:rFonts w:hint="eastAsia" w:ascii="宋体" w:hAnsi="宋体" w:cs="宋体"/>
          <w:b/>
          <w:color w:val="auto"/>
          <w:sz w:val="24"/>
          <w:szCs w:val="24"/>
          <w:highlight w:val="none"/>
        </w:rPr>
        <w:t>2.1 谈判文件的组成</w:t>
      </w:r>
      <w:bookmarkEnd w:id="121"/>
    </w:p>
    <w:p w14:paraId="22645DC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本谈判文件包括：</w:t>
      </w:r>
    </w:p>
    <w:p w14:paraId="43EDCCCB">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(1)竞争性谈判公告；</w:t>
      </w:r>
    </w:p>
    <w:p w14:paraId="01B2865B">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(2)供应商须知；</w:t>
      </w:r>
    </w:p>
    <w:p w14:paraId="6A2865DC">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(3)评审办法；</w:t>
      </w:r>
    </w:p>
    <w:p w14:paraId="0B2B7122">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(4)合同草案条款及格式；</w:t>
      </w:r>
    </w:p>
    <w:p w14:paraId="31D24839">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(5)采购内容及要求；</w:t>
      </w:r>
    </w:p>
    <w:p w14:paraId="1A909751">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(6)响应文件格式；</w:t>
      </w:r>
    </w:p>
    <w:p w14:paraId="19F43C64">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(7)供应商须知前附表规定的其他材料。</w:t>
      </w:r>
    </w:p>
    <w:p w14:paraId="7A4C3C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根据本章第2.2 款对谈判文件所作的澄清、修改，构成谈判文件的组成部分。</w:t>
      </w:r>
    </w:p>
    <w:p w14:paraId="1B830286">
      <w:pPr>
        <w:spacing w:line="360" w:lineRule="auto"/>
        <w:rPr>
          <w:rFonts w:ascii="宋体" w:hAnsi="宋体" w:cs="宋体"/>
          <w:b/>
          <w:color w:val="auto"/>
          <w:sz w:val="24"/>
          <w:szCs w:val="24"/>
          <w:highlight w:val="none"/>
        </w:rPr>
      </w:pPr>
      <w:bookmarkStart w:id="122" w:name="_Toc23003"/>
      <w:bookmarkEnd w:id="122"/>
      <w:r>
        <w:rPr>
          <w:rFonts w:hint="eastAsia" w:ascii="宋体" w:hAnsi="宋体" w:cs="宋体"/>
          <w:b/>
          <w:color w:val="auto"/>
          <w:sz w:val="24"/>
          <w:szCs w:val="24"/>
          <w:highlight w:val="none"/>
        </w:rPr>
        <w:t>2.2 谈判文件的澄清与修改</w:t>
      </w:r>
    </w:p>
    <w:p w14:paraId="5360898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2.2.1供应商应仔细阅读和检查谈判文件的全部内容。如发现缺页或附件不全，应及时向采购代理机构提出，以便补齐。</w:t>
      </w:r>
    </w:p>
    <w:p w14:paraId="3567D51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2.2.2 采购人、采购代理机构可以对已发出的谈判文件等进行必要的澄清或者修改。澄清或者修改的内容为谈判文件的组成部分。澄清或者修改应当在原公告发布媒体上发布更正公告并以书面形式通知所有获取谈判文件的潜在供应商。</w:t>
      </w:r>
    </w:p>
    <w:p w14:paraId="693224B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2.2.3谈判文件的澄清或者修改以供应商须知前附表规定的形式发给所有获取谈判文件的供应商，但不指明澄清问题的来源。澄清或者修改发出的时间距本章第4.2.1项规定的首次响应文件递交截止之日不足3个工作日的，应当顺延提交首次响应文件截止之日。</w:t>
      </w:r>
    </w:p>
    <w:p w14:paraId="73B4564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2.2.4供应商在收到澄清通知或者修改通知后，应按供应商须知前附表规定的时间和形式通知采购代理机构，确认已收到该澄清或者修改。</w:t>
      </w:r>
    </w:p>
    <w:p w14:paraId="1D29E9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2.2.5谈判文件中有不一致的，有澄清的部分以最终的澄清更正内容为准；未澄清的，以供应商须知前附表为准；供应商须知前附表不涉及的内容，以编排在后的最后描述为准。</w:t>
      </w:r>
    </w:p>
    <w:p w14:paraId="624A360F">
      <w:pPr>
        <w:pStyle w:val="3"/>
        <w:spacing w:before="0" w:after="0" w:line="360" w:lineRule="auto"/>
        <w:rPr>
          <w:rFonts w:ascii="宋体" w:hAnsi="宋体" w:eastAsia="宋体" w:cs="宋体"/>
          <w:color w:val="auto"/>
          <w:sz w:val="28"/>
          <w:szCs w:val="28"/>
          <w:highlight w:val="none"/>
        </w:rPr>
      </w:pPr>
      <w:bookmarkStart w:id="123" w:name="_Toc16663"/>
      <w:bookmarkEnd w:id="123"/>
      <w:bookmarkStart w:id="124" w:name="_Toc24916"/>
      <w:bookmarkEnd w:id="124"/>
      <w:bookmarkStart w:id="125" w:name="_Toc29741"/>
      <w:bookmarkEnd w:id="125"/>
      <w:bookmarkStart w:id="126" w:name="_Toc24207"/>
      <w:bookmarkStart w:id="127" w:name="_Toc24768"/>
      <w:r>
        <w:rPr>
          <w:rFonts w:hint="eastAsia" w:ascii="宋体" w:hAnsi="宋体" w:eastAsia="宋体" w:cs="宋体"/>
          <w:color w:val="auto"/>
          <w:sz w:val="28"/>
          <w:szCs w:val="28"/>
          <w:highlight w:val="none"/>
        </w:rPr>
        <w:t>3. 响应文件</w:t>
      </w:r>
      <w:bookmarkEnd w:id="126"/>
      <w:bookmarkEnd w:id="127"/>
    </w:p>
    <w:p w14:paraId="1563F8C7">
      <w:pPr>
        <w:spacing w:line="360" w:lineRule="auto"/>
        <w:rPr>
          <w:rFonts w:ascii="宋体" w:hAnsi="宋体" w:cs="宋体"/>
          <w:b/>
          <w:color w:val="auto"/>
          <w:sz w:val="24"/>
          <w:szCs w:val="24"/>
          <w:highlight w:val="none"/>
        </w:rPr>
      </w:pPr>
      <w:bookmarkStart w:id="128" w:name="_Toc2432"/>
      <w:bookmarkEnd w:id="128"/>
      <w:bookmarkStart w:id="129" w:name="_Toc4962"/>
      <w:r>
        <w:rPr>
          <w:rFonts w:hint="eastAsia" w:ascii="宋体" w:hAnsi="宋体" w:cs="宋体"/>
          <w:b/>
          <w:color w:val="auto"/>
          <w:sz w:val="24"/>
          <w:szCs w:val="24"/>
          <w:highlight w:val="none"/>
        </w:rPr>
        <w:t>3.1 响应文件的组成</w:t>
      </w:r>
      <w:bookmarkEnd w:id="129"/>
    </w:p>
    <w:p w14:paraId="4FE4986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3.1.1 响应文件资格审查部分详见第六章“响应文件格式”资格审查部分中的内容。</w:t>
      </w:r>
    </w:p>
    <w:p w14:paraId="2595D1F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3.1.2 响应文件商务技术部分详见第六章“响应文件格式”商务技术部分中的内容。</w:t>
      </w:r>
    </w:p>
    <w:p w14:paraId="7F2B0BDA">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供应商在评审过程中作出的符合法律法规和谈判文件规定的澄清确认，构成响应文件的组成部分。</w:t>
      </w:r>
    </w:p>
    <w:p w14:paraId="7BD884F7">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3.1.3 供应商须知前附表未要求提交谈判保证金的，响应文件不包括第六章“响应文件格式”商务技术部分中所指的谈判保证金。</w:t>
      </w:r>
    </w:p>
    <w:p w14:paraId="6348D141">
      <w:pPr>
        <w:spacing w:line="360" w:lineRule="auto"/>
        <w:rPr>
          <w:rFonts w:ascii="宋体" w:hAnsi="宋体" w:cs="宋体"/>
          <w:b/>
          <w:color w:val="auto"/>
          <w:sz w:val="24"/>
          <w:szCs w:val="24"/>
          <w:highlight w:val="none"/>
        </w:rPr>
      </w:pPr>
      <w:bookmarkStart w:id="130" w:name="_Toc3252"/>
      <w:bookmarkEnd w:id="130"/>
      <w:bookmarkStart w:id="131" w:name="_Toc21369"/>
      <w:r>
        <w:rPr>
          <w:rFonts w:hint="eastAsia" w:ascii="宋体" w:hAnsi="宋体" w:cs="宋体"/>
          <w:b/>
          <w:color w:val="auto"/>
          <w:sz w:val="24"/>
          <w:szCs w:val="24"/>
          <w:highlight w:val="none"/>
        </w:rPr>
        <w:t>3.2 谈判报价</w:t>
      </w:r>
      <w:bookmarkEnd w:id="131"/>
    </w:p>
    <w:p w14:paraId="4C392F49">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3.2.1 供应商应按第六章“响应文件格式”的要求在谈判函中进行报价并填写分项报价表。</w:t>
      </w:r>
    </w:p>
    <w:p w14:paraId="164EF26D">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3.2.2 供应商应充分了解该项目的总体情况以及影响谈判报价的其他要素。</w:t>
      </w:r>
    </w:p>
    <w:p w14:paraId="1E45249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3.2.3谈判报价的其他要求见供应商须知前附表。</w:t>
      </w:r>
    </w:p>
    <w:p w14:paraId="653D7430">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3.2.4</w:t>
      </w:r>
      <w:r>
        <w:rPr>
          <w:rFonts w:hint="eastAsia" w:ascii="宋体" w:hAnsi="宋体" w:cs="宋体"/>
          <w:color w:val="auto"/>
          <w:sz w:val="24"/>
          <w:highlight w:val="none"/>
        </w:rPr>
        <w:t>供应商的谈判报价不得超过预算金额</w:t>
      </w:r>
      <w:r>
        <w:rPr>
          <w:rFonts w:hint="eastAsia" w:ascii="宋体" w:hAnsi="宋体" w:cs="宋体"/>
          <w:color w:val="auto"/>
          <w:sz w:val="24"/>
          <w:szCs w:val="24"/>
          <w:highlight w:val="none"/>
        </w:rPr>
        <w:t>，若采购人还设有最高限价的，供应商的谈判报价还应当不得超过最高限价</w:t>
      </w:r>
      <w:r>
        <w:rPr>
          <w:rFonts w:hint="eastAsia" w:ascii="宋体" w:hAnsi="宋体" w:cs="宋体"/>
          <w:color w:val="auto"/>
          <w:sz w:val="24"/>
          <w:highlight w:val="none"/>
        </w:rPr>
        <w:t>。</w:t>
      </w:r>
    </w:p>
    <w:p w14:paraId="3E7EDE44">
      <w:pPr>
        <w:spacing w:line="360" w:lineRule="auto"/>
        <w:rPr>
          <w:rFonts w:ascii="宋体" w:hAnsi="宋体" w:cs="宋体"/>
          <w:b/>
          <w:color w:val="auto"/>
          <w:sz w:val="24"/>
          <w:szCs w:val="24"/>
          <w:highlight w:val="none"/>
        </w:rPr>
      </w:pPr>
      <w:bookmarkStart w:id="132" w:name="_Toc12995"/>
      <w:bookmarkEnd w:id="132"/>
      <w:bookmarkStart w:id="133" w:name="_Toc14190"/>
      <w:r>
        <w:rPr>
          <w:rFonts w:hint="eastAsia" w:ascii="宋体" w:hAnsi="宋体" w:cs="宋体"/>
          <w:b/>
          <w:color w:val="auto"/>
          <w:sz w:val="24"/>
          <w:szCs w:val="24"/>
          <w:highlight w:val="none"/>
        </w:rPr>
        <w:t>3.3 谈判有效期</w:t>
      </w:r>
      <w:bookmarkEnd w:id="133"/>
    </w:p>
    <w:p w14:paraId="2958B88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3.3.1谈判有效期见供应商须知前附表。</w:t>
      </w:r>
    </w:p>
    <w:p w14:paraId="00B6E39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3.3.2在谈判有效期内，供应商撤销或修改其响应文件的，应承担谈判文件和法律规定的责任。</w:t>
      </w:r>
    </w:p>
    <w:p w14:paraId="4A70E94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3.3.3 出现特殊情况需要延长谈判有效期的，采购人以书面形式通知所有供应商延长谈判有效期。供应商应予以书面答复，同意延长的，应相应延长其谈判保证金的有效期，但不得要求或被允许修改其响应文件；供应商拒绝延长的，其谈判失效，但供应商有权收回其谈判保证金。</w:t>
      </w:r>
    </w:p>
    <w:p w14:paraId="12FD83A1">
      <w:pPr>
        <w:spacing w:line="360" w:lineRule="auto"/>
        <w:rPr>
          <w:rFonts w:ascii="宋体" w:hAnsi="宋体" w:cs="宋体"/>
          <w:b/>
          <w:color w:val="auto"/>
          <w:sz w:val="24"/>
          <w:szCs w:val="24"/>
          <w:highlight w:val="none"/>
        </w:rPr>
      </w:pPr>
      <w:bookmarkStart w:id="134" w:name="_Toc1543"/>
      <w:bookmarkEnd w:id="134"/>
      <w:bookmarkStart w:id="135" w:name="_Toc23125"/>
      <w:r>
        <w:rPr>
          <w:rFonts w:hint="eastAsia" w:ascii="宋体" w:hAnsi="宋体" w:cs="宋体"/>
          <w:b/>
          <w:color w:val="auto"/>
          <w:sz w:val="24"/>
          <w:szCs w:val="24"/>
          <w:highlight w:val="none"/>
        </w:rPr>
        <w:t>3.4 谈判保证金</w:t>
      </w:r>
      <w:bookmarkEnd w:id="135"/>
    </w:p>
    <w:p w14:paraId="5E4FD0A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3.4.1供应商在递交响应文件的同时，应按供应商须知前附表规定的金额、形式和第六章“响应文件格式”规定的谈判保证金格式递交谈判保证金，并作为其响应文件的组成部分。联合体谈判的，其谈判保证金可以由牵头人递交。</w:t>
      </w:r>
    </w:p>
    <w:p w14:paraId="5F866C1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3.4.2 供应商不按本章第3.4.1 项要求提交谈判保证金的，其谈判将被视为无效谈判。</w:t>
      </w:r>
    </w:p>
    <w:p w14:paraId="4AE7E39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3.4.3 采购人或者采购代理机构应当自成交通知书发出之日起5个工作日内退还未成交供应商的谈判保证金，自采购合同签订之日起5个工作日内退还成交供应商的谈判保证金。</w:t>
      </w:r>
    </w:p>
    <w:p w14:paraId="6EAF42C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3.4.4 有下列情形之一的，谈判保证金将不予退还：</w:t>
      </w:r>
    </w:p>
    <w:p w14:paraId="7C11B92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(1)供应商在谈判有效期内撤销响应文件；</w:t>
      </w:r>
    </w:p>
    <w:p w14:paraId="3EACEDF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(2)成交供应商在收到成交通知书后，无正当理由不与采购人订立合同，在签订合同时向采购人提出附加条件，或者不按照谈判文件要求提交履约保证金；</w:t>
      </w:r>
    </w:p>
    <w:p w14:paraId="05BB4466">
      <w:pPr>
        <w:spacing w:line="360" w:lineRule="auto"/>
        <w:ind w:left="479" w:leftChars="228"/>
        <w:rPr>
          <w:rFonts w:ascii="宋体" w:hAnsi="宋体" w:cs="宋体"/>
          <w:color w:val="auto"/>
          <w:sz w:val="24"/>
          <w:szCs w:val="24"/>
          <w:highlight w:val="none"/>
        </w:rPr>
      </w:pPr>
      <w:r>
        <w:rPr>
          <w:rFonts w:hint="eastAsia" w:ascii="宋体" w:hAnsi="宋体" w:cs="宋体"/>
          <w:color w:val="auto"/>
          <w:sz w:val="24"/>
          <w:szCs w:val="24"/>
          <w:highlight w:val="none"/>
        </w:rPr>
        <w:t>(3)其他法律法规要求不予退还谈判保证金的情形。</w:t>
      </w:r>
    </w:p>
    <w:p w14:paraId="4A727AFC">
      <w:pPr>
        <w:spacing w:line="360" w:lineRule="auto"/>
        <w:rPr>
          <w:rFonts w:ascii="宋体" w:hAnsi="宋体" w:cs="宋体"/>
          <w:b/>
          <w:color w:val="auto"/>
          <w:sz w:val="24"/>
          <w:szCs w:val="24"/>
          <w:highlight w:val="none"/>
        </w:rPr>
      </w:pPr>
      <w:bookmarkStart w:id="136" w:name="_Toc32408"/>
      <w:bookmarkEnd w:id="136"/>
      <w:bookmarkStart w:id="137" w:name="_Toc4859"/>
      <w:r>
        <w:rPr>
          <w:rFonts w:hint="eastAsia" w:ascii="宋体" w:hAnsi="宋体" w:cs="宋体"/>
          <w:b/>
          <w:color w:val="auto"/>
          <w:sz w:val="24"/>
          <w:szCs w:val="24"/>
          <w:highlight w:val="none"/>
        </w:rPr>
        <w:t>3.5响应文件的编制</w:t>
      </w:r>
      <w:bookmarkEnd w:id="137"/>
    </w:p>
    <w:p w14:paraId="117FA55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3.5.1 响应文件应按第六章“响应文件格式”进行编写。</w:t>
      </w:r>
    </w:p>
    <w:p w14:paraId="07ABF4A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3.5.2响应文件全部采用电子文档，除供应商须知前附表另有规定外，响应文件所附证书证件均为原件扫描件，并采用单位和个人数字证书，按招标文件要求在相应位置加盖电子签章。由供应商的法定代表人(单位负责人)签字或加盖电子签章的，应附法定代表人(单位负责人)身份证明，由代理人签字或加盖电子签章的，应附由法定代表人(单位负责人)签署的授权委托书。</w:t>
      </w:r>
    </w:p>
    <w:p w14:paraId="33B9E4A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3.5.3响应文件编制的其他要求见供应商须知前附表。</w:t>
      </w:r>
    </w:p>
    <w:p w14:paraId="5BAE5135">
      <w:pPr>
        <w:pStyle w:val="3"/>
        <w:spacing w:before="0" w:after="0" w:line="360" w:lineRule="auto"/>
        <w:rPr>
          <w:rFonts w:ascii="宋体" w:hAnsi="宋体" w:eastAsia="宋体" w:cs="宋体"/>
          <w:color w:val="auto"/>
          <w:sz w:val="28"/>
          <w:szCs w:val="28"/>
          <w:highlight w:val="none"/>
        </w:rPr>
      </w:pPr>
      <w:bookmarkStart w:id="138" w:name="_Toc13757"/>
      <w:bookmarkEnd w:id="138"/>
      <w:bookmarkStart w:id="139" w:name="_Toc1490"/>
      <w:bookmarkEnd w:id="139"/>
      <w:bookmarkStart w:id="140" w:name="_Toc15572"/>
      <w:r>
        <w:rPr>
          <w:rFonts w:hint="eastAsia" w:ascii="宋体" w:hAnsi="宋体" w:eastAsia="宋体" w:cs="宋体"/>
          <w:color w:val="auto"/>
          <w:sz w:val="28"/>
          <w:szCs w:val="28"/>
          <w:highlight w:val="none"/>
        </w:rPr>
        <w:t>4. 递交</w:t>
      </w:r>
      <w:bookmarkEnd w:id="140"/>
    </w:p>
    <w:p w14:paraId="1EB981CC">
      <w:pPr>
        <w:spacing w:line="360" w:lineRule="auto"/>
        <w:rPr>
          <w:rFonts w:ascii="宋体" w:hAnsi="宋体" w:cs="宋体"/>
          <w:b/>
          <w:color w:val="auto"/>
          <w:sz w:val="24"/>
          <w:szCs w:val="24"/>
          <w:highlight w:val="none"/>
        </w:rPr>
      </w:pPr>
      <w:bookmarkStart w:id="141" w:name="_Toc1523"/>
      <w:bookmarkEnd w:id="141"/>
      <w:bookmarkStart w:id="142" w:name="_Toc25497"/>
      <w:bookmarkStart w:id="143" w:name="_Toc20324"/>
      <w:r>
        <w:rPr>
          <w:rFonts w:hint="eastAsia" w:ascii="宋体" w:hAnsi="宋体" w:cs="宋体"/>
          <w:b/>
          <w:color w:val="auto"/>
          <w:sz w:val="24"/>
          <w:szCs w:val="24"/>
          <w:highlight w:val="none"/>
        </w:rPr>
        <w:t xml:space="preserve">4.1 </w:t>
      </w:r>
      <w:bookmarkEnd w:id="142"/>
      <w:r>
        <w:rPr>
          <w:rFonts w:hint="eastAsia" w:ascii="宋体" w:hAnsi="宋体" w:cs="宋体"/>
          <w:b/>
          <w:color w:val="auto"/>
          <w:sz w:val="24"/>
          <w:szCs w:val="24"/>
          <w:highlight w:val="none"/>
        </w:rPr>
        <w:t>响应文件的加密</w:t>
      </w:r>
    </w:p>
    <w:p w14:paraId="4EB92470">
      <w:pPr>
        <w:spacing w:line="360" w:lineRule="auto"/>
        <w:ind w:firstLine="480" w:firstLineChars="200"/>
        <w:rPr>
          <w:rFonts w:ascii="宋体" w:hAnsi="宋体" w:cs="宋体"/>
          <w:color w:val="auto"/>
          <w:sz w:val="24"/>
          <w:szCs w:val="24"/>
          <w:highlight w:val="none"/>
        </w:rPr>
      </w:pPr>
      <w:bookmarkStart w:id="144" w:name="_Toc27596"/>
      <w:bookmarkEnd w:id="144"/>
      <w:r>
        <w:rPr>
          <w:rFonts w:hint="eastAsia" w:ascii="宋体" w:hAnsi="宋体" w:cs="宋体"/>
          <w:color w:val="auto"/>
          <w:sz w:val="24"/>
          <w:szCs w:val="24"/>
          <w:highlight w:val="none"/>
        </w:rPr>
        <w:t>4.1.1 供应商应当按照谈判文件和电子招标投标交易平台的要求加密响应文件，具体要求见供应商须知前附表。</w:t>
      </w:r>
    </w:p>
    <w:p w14:paraId="35A3630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4.1.2 未按本章第4.1.1 要求加密的响应文件，采购人将予以拒收。</w:t>
      </w:r>
    </w:p>
    <w:p w14:paraId="4A38FC95">
      <w:pPr>
        <w:spacing w:line="360" w:lineRule="auto"/>
        <w:rPr>
          <w:rFonts w:ascii="宋体" w:hAnsi="宋体" w:cs="宋体"/>
          <w:b/>
          <w:color w:val="auto"/>
          <w:sz w:val="24"/>
          <w:szCs w:val="24"/>
          <w:highlight w:val="none"/>
        </w:rPr>
      </w:pPr>
      <w:bookmarkStart w:id="145" w:name="_Toc20611"/>
      <w:bookmarkEnd w:id="145"/>
      <w:bookmarkStart w:id="146" w:name="_Toc9134"/>
      <w:r>
        <w:rPr>
          <w:rFonts w:hint="eastAsia" w:ascii="宋体" w:hAnsi="宋体" w:cs="宋体"/>
          <w:b/>
          <w:color w:val="auto"/>
          <w:sz w:val="24"/>
          <w:szCs w:val="24"/>
          <w:highlight w:val="none"/>
        </w:rPr>
        <w:t>4.2 响应文件的递交</w:t>
      </w:r>
      <w:bookmarkEnd w:id="146"/>
    </w:p>
    <w:p w14:paraId="0BC5840B">
      <w:pPr>
        <w:spacing w:line="360" w:lineRule="auto"/>
        <w:ind w:firstLine="540" w:firstLineChars="225"/>
        <w:rPr>
          <w:rFonts w:ascii="宋体" w:hAnsi="宋体" w:cs="宋体"/>
          <w:color w:val="auto"/>
          <w:sz w:val="24"/>
          <w:szCs w:val="24"/>
          <w:highlight w:val="none"/>
        </w:rPr>
      </w:pPr>
      <w:bookmarkStart w:id="147" w:name="_Toc21133"/>
      <w:bookmarkEnd w:id="147"/>
      <w:r>
        <w:rPr>
          <w:rFonts w:hint="eastAsia" w:ascii="宋体" w:hAnsi="宋体" w:cs="宋体"/>
          <w:color w:val="auto"/>
          <w:sz w:val="24"/>
          <w:szCs w:val="24"/>
          <w:highlight w:val="none"/>
        </w:rPr>
        <w:t>4.2.1供应商应在供应商须知前附表规定的投标截止时间前递交响应文件。</w:t>
      </w:r>
    </w:p>
    <w:p w14:paraId="6DD5FA9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4.2.2 供应商递交响应文件的时间和地点：见供应商须知前附表。</w:t>
      </w:r>
    </w:p>
    <w:p w14:paraId="16306836">
      <w:pPr>
        <w:spacing w:line="360" w:lineRule="auto"/>
        <w:ind w:firstLine="540" w:firstLineChars="225"/>
        <w:rPr>
          <w:rFonts w:ascii="宋体" w:hAnsi="宋体" w:cs="宋体"/>
          <w:b/>
          <w:bCs/>
          <w:color w:val="auto"/>
          <w:sz w:val="24"/>
          <w:szCs w:val="24"/>
          <w:highlight w:val="none"/>
        </w:rPr>
      </w:pPr>
      <w:r>
        <w:rPr>
          <w:rFonts w:hint="eastAsia" w:ascii="宋体" w:hAnsi="宋体" w:cs="宋体"/>
          <w:color w:val="auto"/>
          <w:sz w:val="24"/>
          <w:szCs w:val="24"/>
          <w:highlight w:val="none"/>
        </w:rPr>
        <w:t>4.2.3供应商所递交的响应文件不予退还。</w:t>
      </w:r>
    </w:p>
    <w:p w14:paraId="553FC3F0">
      <w:pPr>
        <w:spacing w:line="360" w:lineRule="auto"/>
        <w:rPr>
          <w:rFonts w:ascii="宋体" w:hAnsi="宋体" w:cs="宋体"/>
          <w:b/>
          <w:color w:val="auto"/>
          <w:sz w:val="24"/>
          <w:szCs w:val="24"/>
          <w:highlight w:val="none"/>
        </w:rPr>
      </w:pPr>
      <w:bookmarkStart w:id="148" w:name="_Toc8975"/>
      <w:bookmarkEnd w:id="148"/>
      <w:bookmarkStart w:id="149" w:name="_Toc5071"/>
      <w:r>
        <w:rPr>
          <w:rFonts w:hint="eastAsia" w:ascii="宋体" w:hAnsi="宋体" w:cs="宋体"/>
          <w:b/>
          <w:color w:val="auto"/>
          <w:sz w:val="24"/>
          <w:szCs w:val="24"/>
          <w:highlight w:val="none"/>
        </w:rPr>
        <w:t>4.3 响应文件的修改与撤回</w:t>
      </w:r>
      <w:bookmarkEnd w:id="149"/>
    </w:p>
    <w:p w14:paraId="382E183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4.3.1在投标截止时间前，供应商可以撤回在网上已递交的响应文件，修改后重新递交，无须书面形式通知采购人。</w:t>
      </w:r>
    </w:p>
    <w:p w14:paraId="45E26BA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4.3.2修改的响应文件应按照招标文件规定进行编制、加密和递交。</w:t>
      </w:r>
    </w:p>
    <w:p w14:paraId="2F892AFF">
      <w:pPr>
        <w:pStyle w:val="3"/>
        <w:spacing w:before="0" w:after="0" w:line="360" w:lineRule="auto"/>
        <w:rPr>
          <w:rFonts w:ascii="宋体" w:hAnsi="宋体" w:eastAsia="宋体" w:cs="宋体"/>
          <w:color w:val="auto"/>
          <w:sz w:val="28"/>
          <w:szCs w:val="28"/>
          <w:highlight w:val="none"/>
        </w:rPr>
      </w:pPr>
      <w:bookmarkStart w:id="150" w:name="_Toc4858"/>
      <w:r>
        <w:rPr>
          <w:rFonts w:hint="eastAsia" w:ascii="宋体" w:hAnsi="宋体" w:eastAsia="宋体" w:cs="宋体"/>
          <w:color w:val="auto"/>
          <w:sz w:val="28"/>
          <w:szCs w:val="28"/>
          <w:highlight w:val="none"/>
        </w:rPr>
        <w:t xml:space="preserve">5. </w:t>
      </w:r>
      <w:bookmarkEnd w:id="143"/>
      <w:r>
        <w:rPr>
          <w:rFonts w:hint="eastAsia" w:ascii="宋体" w:hAnsi="宋体" w:eastAsia="宋体" w:cs="宋体"/>
          <w:color w:val="auto"/>
          <w:sz w:val="28"/>
          <w:szCs w:val="28"/>
          <w:highlight w:val="none"/>
        </w:rPr>
        <w:t>开启时间和地点</w:t>
      </w:r>
      <w:bookmarkEnd w:id="150"/>
    </w:p>
    <w:p w14:paraId="4C7B4CA9">
      <w:pPr>
        <w:spacing w:line="360" w:lineRule="auto"/>
        <w:ind w:firstLine="480" w:firstLineChars="200"/>
        <w:rPr>
          <w:rFonts w:ascii="宋体" w:hAnsi="宋体" w:cs="宋体"/>
          <w:color w:val="auto"/>
          <w:sz w:val="24"/>
          <w:szCs w:val="24"/>
          <w:highlight w:val="none"/>
        </w:rPr>
      </w:pPr>
      <w:bookmarkStart w:id="151" w:name="_Toc1527"/>
      <w:bookmarkEnd w:id="151"/>
      <w:bookmarkStart w:id="152" w:name="_Toc22860"/>
      <w:r>
        <w:rPr>
          <w:rFonts w:hint="eastAsia" w:ascii="宋体" w:hAnsi="宋体" w:cs="宋体"/>
          <w:color w:val="auto"/>
          <w:sz w:val="24"/>
          <w:szCs w:val="24"/>
          <w:highlight w:val="none"/>
        </w:rPr>
        <w:t>见供应商须知前附表。</w:t>
      </w:r>
    </w:p>
    <w:bookmarkEnd w:id="152"/>
    <w:p w14:paraId="08B2D2B0">
      <w:pPr>
        <w:pStyle w:val="3"/>
        <w:spacing w:before="0" w:after="0" w:line="360" w:lineRule="auto"/>
        <w:rPr>
          <w:rFonts w:ascii="宋体" w:hAnsi="宋体" w:eastAsia="宋体" w:cs="宋体"/>
          <w:color w:val="auto"/>
          <w:sz w:val="28"/>
          <w:szCs w:val="28"/>
          <w:highlight w:val="none"/>
        </w:rPr>
      </w:pPr>
      <w:bookmarkStart w:id="153" w:name="_Toc25563"/>
      <w:bookmarkEnd w:id="153"/>
      <w:bookmarkStart w:id="154" w:name="_Toc11518"/>
      <w:bookmarkEnd w:id="154"/>
      <w:bookmarkStart w:id="155" w:name="_Toc26040"/>
      <w:bookmarkEnd w:id="155"/>
      <w:bookmarkStart w:id="156" w:name="_Toc27754"/>
      <w:bookmarkEnd w:id="156"/>
      <w:bookmarkStart w:id="157" w:name="_Toc6172"/>
      <w:bookmarkStart w:id="158" w:name="_Toc29087"/>
      <w:r>
        <w:rPr>
          <w:rFonts w:hint="eastAsia" w:ascii="宋体" w:hAnsi="宋体" w:eastAsia="宋体" w:cs="宋体"/>
          <w:color w:val="auto"/>
          <w:sz w:val="28"/>
          <w:szCs w:val="28"/>
          <w:highlight w:val="none"/>
        </w:rPr>
        <w:t>6. 评审</w:t>
      </w:r>
      <w:bookmarkEnd w:id="157"/>
      <w:bookmarkEnd w:id="158"/>
    </w:p>
    <w:p w14:paraId="351891EF">
      <w:pPr>
        <w:spacing w:line="360" w:lineRule="auto"/>
        <w:rPr>
          <w:rFonts w:ascii="宋体" w:hAnsi="宋体" w:cs="宋体"/>
          <w:b/>
          <w:color w:val="auto"/>
          <w:sz w:val="24"/>
          <w:szCs w:val="24"/>
          <w:highlight w:val="none"/>
        </w:rPr>
      </w:pPr>
      <w:bookmarkStart w:id="159" w:name="_Toc11207"/>
      <w:bookmarkEnd w:id="159"/>
      <w:bookmarkStart w:id="160" w:name="_Toc4770"/>
      <w:r>
        <w:rPr>
          <w:rFonts w:hint="eastAsia" w:ascii="宋体" w:hAnsi="宋体" w:cs="宋体"/>
          <w:b/>
          <w:color w:val="auto"/>
          <w:sz w:val="24"/>
          <w:szCs w:val="24"/>
          <w:highlight w:val="none"/>
        </w:rPr>
        <w:t>6.1 谈判小组</w:t>
      </w:r>
      <w:bookmarkEnd w:id="160"/>
    </w:p>
    <w:p w14:paraId="5B74C0A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6.1.1谈判小组成员人数见供应商须知前附表。</w:t>
      </w:r>
    </w:p>
    <w:p w14:paraId="28B5B8B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6.1.2 评审中因谈判小组成员缺席、回避或者健康等特殊原因导致谈判小组组成不符合《政府采购非招标采购方式管理办法》（财政部第74号令）规定的，采购人或者采购代理机构应当依法补足后继续评审。被更换的谈判小组成员所作出的评审意见无效。无法及时补足谈判小组成员的，采购人或者采购代理机构应当停止评审活动，封存所有响应文件和评审资料，依法重新组建谈判小组进行评审。原谈判小组所作出的评审意见无效。采购人或者采购代理机构应当将变更、重新组建谈判小组的情况予以记录，并随谈判文件一并存档。</w:t>
      </w:r>
    </w:p>
    <w:p w14:paraId="61D0DAE6">
      <w:pPr>
        <w:spacing w:line="360" w:lineRule="auto"/>
        <w:rPr>
          <w:rFonts w:ascii="宋体" w:hAnsi="宋体" w:cs="宋体"/>
          <w:b/>
          <w:color w:val="auto"/>
          <w:sz w:val="24"/>
          <w:szCs w:val="24"/>
          <w:highlight w:val="none"/>
        </w:rPr>
      </w:pPr>
      <w:bookmarkStart w:id="161" w:name="_Toc28237"/>
      <w:bookmarkEnd w:id="161"/>
      <w:bookmarkStart w:id="162" w:name="_Toc6336"/>
      <w:r>
        <w:rPr>
          <w:rFonts w:hint="eastAsia" w:ascii="宋体" w:hAnsi="宋体" w:cs="宋体"/>
          <w:b/>
          <w:color w:val="auto"/>
          <w:sz w:val="24"/>
          <w:szCs w:val="24"/>
          <w:highlight w:val="none"/>
        </w:rPr>
        <w:t>6.2 评审原则</w:t>
      </w:r>
      <w:bookmarkEnd w:id="162"/>
    </w:p>
    <w:p w14:paraId="287F1DF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评审活动遵循公平、公正、科学和择优的原则。</w:t>
      </w:r>
    </w:p>
    <w:p w14:paraId="7F46DD8D">
      <w:pPr>
        <w:spacing w:line="360" w:lineRule="auto"/>
        <w:rPr>
          <w:rFonts w:ascii="宋体" w:hAnsi="宋体" w:cs="宋体"/>
          <w:b/>
          <w:color w:val="auto"/>
          <w:sz w:val="24"/>
          <w:szCs w:val="24"/>
          <w:highlight w:val="none"/>
        </w:rPr>
      </w:pPr>
      <w:bookmarkStart w:id="163" w:name="_Toc10442"/>
      <w:bookmarkEnd w:id="163"/>
      <w:bookmarkStart w:id="164" w:name="_Toc5282"/>
      <w:r>
        <w:rPr>
          <w:rFonts w:hint="eastAsia" w:ascii="宋体" w:hAnsi="宋体" w:cs="宋体"/>
          <w:b/>
          <w:color w:val="auto"/>
          <w:sz w:val="24"/>
          <w:szCs w:val="24"/>
          <w:highlight w:val="none"/>
        </w:rPr>
        <w:t>6.3 评审</w:t>
      </w:r>
      <w:bookmarkEnd w:id="164"/>
    </w:p>
    <w:p w14:paraId="6AFC45C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6.3.1 谈判小组按照第三章“评审办法”规定的方法、评审因素、标准和程序对响应文件进行评审。第三章“评审办法”没有规定的方法、评审因素和标准，不作为评审依据。</w:t>
      </w:r>
    </w:p>
    <w:p w14:paraId="12919D2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6.3.2 评审完成后，谈判小组应当向采购人提交书面评审报告和成交候选供应商名单。谈判小组推荐成交候选供应商的人数见供应商须知前附表。</w:t>
      </w:r>
    </w:p>
    <w:p w14:paraId="4965F3C5">
      <w:pPr>
        <w:pStyle w:val="3"/>
        <w:spacing w:before="0" w:after="0" w:line="360" w:lineRule="auto"/>
        <w:rPr>
          <w:rFonts w:ascii="宋体" w:hAnsi="宋体" w:eastAsia="宋体" w:cs="宋体"/>
          <w:color w:val="auto"/>
          <w:sz w:val="28"/>
          <w:szCs w:val="28"/>
          <w:highlight w:val="none"/>
        </w:rPr>
      </w:pPr>
      <w:bookmarkStart w:id="165" w:name="_Toc6003"/>
      <w:bookmarkEnd w:id="165"/>
      <w:bookmarkStart w:id="166" w:name="_Toc30483"/>
      <w:bookmarkEnd w:id="166"/>
      <w:bookmarkStart w:id="167" w:name="_Toc22840"/>
      <w:bookmarkStart w:id="168" w:name="_Toc8872"/>
      <w:r>
        <w:rPr>
          <w:rFonts w:hint="eastAsia" w:ascii="宋体" w:hAnsi="宋体" w:eastAsia="宋体" w:cs="宋体"/>
          <w:color w:val="auto"/>
          <w:sz w:val="28"/>
          <w:szCs w:val="28"/>
          <w:highlight w:val="none"/>
        </w:rPr>
        <w:t>7. 成交和合同</w:t>
      </w:r>
      <w:bookmarkEnd w:id="167"/>
      <w:bookmarkEnd w:id="168"/>
    </w:p>
    <w:p w14:paraId="22DB7A3D">
      <w:pPr>
        <w:spacing w:line="360" w:lineRule="auto"/>
        <w:rPr>
          <w:rFonts w:ascii="宋体" w:hAnsi="宋体" w:cs="宋体"/>
          <w:b/>
          <w:color w:val="auto"/>
          <w:sz w:val="24"/>
          <w:szCs w:val="24"/>
          <w:highlight w:val="none"/>
        </w:rPr>
      </w:pPr>
      <w:bookmarkStart w:id="169" w:name="_Toc18219"/>
      <w:bookmarkEnd w:id="169"/>
      <w:bookmarkStart w:id="170" w:name="_Toc31217"/>
      <w:r>
        <w:rPr>
          <w:rFonts w:hint="eastAsia" w:ascii="宋体" w:hAnsi="宋体" w:cs="宋体"/>
          <w:b/>
          <w:color w:val="auto"/>
          <w:sz w:val="24"/>
          <w:szCs w:val="24"/>
          <w:highlight w:val="none"/>
        </w:rPr>
        <w:t xml:space="preserve">7.1 </w:t>
      </w:r>
      <w:bookmarkEnd w:id="170"/>
      <w:r>
        <w:rPr>
          <w:rFonts w:hint="eastAsia" w:ascii="宋体" w:hAnsi="宋体" w:cs="宋体"/>
          <w:b/>
          <w:color w:val="auto"/>
          <w:sz w:val="24"/>
          <w:szCs w:val="24"/>
          <w:highlight w:val="none"/>
        </w:rPr>
        <w:t>确定成交供应商</w:t>
      </w:r>
    </w:p>
    <w:p w14:paraId="3C71BA6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按照供应商须知前附表的规定，采购人或采购人授权的谈判小组依法确定成交供应商。</w:t>
      </w:r>
    </w:p>
    <w:p w14:paraId="768CD60C">
      <w:pPr>
        <w:spacing w:line="360" w:lineRule="auto"/>
        <w:rPr>
          <w:rFonts w:ascii="宋体" w:hAnsi="宋体" w:cs="宋体"/>
          <w:b/>
          <w:color w:val="auto"/>
          <w:sz w:val="24"/>
          <w:szCs w:val="24"/>
          <w:highlight w:val="none"/>
        </w:rPr>
      </w:pPr>
      <w:bookmarkStart w:id="171" w:name="_Toc18811"/>
      <w:bookmarkEnd w:id="171"/>
      <w:bookmarkStart w:id="172" w:name="_Toc18115"/>
      <w:r>
        <w:rPr>
          <w:rFonts w:hint="eastAsia" w:ascii="宋体" w:hAnsi="宋体" w:cs="宋体"/>
          <w:b/>
          <w:color w:val="auto"/>
          <w:sz w:val="24"/>
          <w:szCs w:val="24"/>
          <w:highlight w:val="none"/>
        </w:rPr>
        <w:t>7.2成交公告</w:t>
      </w:r>
      <w:bookmarkEnd w:id="172"/>
    </w:p>
    <w:p w14:paraId="52058B12">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采购人或者采购代理机构应当自成交供应商确定之日起2个工作日内，按照供应商须知前附表规定的媒介和期限公告成交结果，谈判文件应当随成交结果同时公告。</w:t>
      </w:r>
    </w:p>
    <w:p w14:paraId="729D375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成交公告期限详见供应商须知前附表。</w:t>
      </w:r>
    </w:p>
    <w:p w14:paraId="500ABDA1">
      <w:pPr>
        <w:spacing w:line="360" w:lineRule="auto"/>
        <w:rPr>
          <w:rFonts w:ascii="宋体" w:hAnsi="宋体" w:cs="宋体"/>
          <w:b/>
          <w:color w:val="auto"/>
          <w:sz w:val="24"/>
          <w:szCs w:val="24"/>
          <w:highlight w:val="none"/>
        </w:rPr>
      </w:pPr>
      <w:bookmarkStart w:id="173" w:name="_Toc8411"/>
      <w:bookmarkEnd w:id="173"/>
      <w:bookmarkStart w:id="174" w:name="_Toc16495"/>
      <w:bookmarkEnd w:id="174"/>
      <w:bookmarkStart w:id="175" w:name="_Toc3833"/>
      <w:r>
        <w:rPr>
          <w:rFonts w:hint="eastAsia" w:ascii="宋体" w:hAnsi="宋体" w:cs="宋体"/>
          <w:b/>
          <w:color w:val="auto"/>
          <w:sz w:val="24"/>
          <w:szCs w:val="24"/>
          <w:highlight w:val="none"/>
        </w:rPr>
        <w:t>7.3成交通知</w:t>
      </w:r>
      <w:bookmarkEnd w:id="175"/>
    </w:p>
    <w:p w14:paraId="4DFF20D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在本章第3.3 款规定的谈判有效期内，在公告成交结果的同时，采购人或者采购代理机构应当向成交供应商发出成交通知书。</w:t>
      </w:r>
    </w:p>
    <w:p w14:paraId="199ACA04">
      <w:pPr>
        <w:spacing w:line="360" w:lineRule="auto"/>
        <w:rPr>
          <w:rFonts w:ascii="宋体" w:hAnsi="宋体" w:cs="宋体"/>
          <w:b/>
          <w:color w:val="auto"/>
          <w:sz w:val="24"/>
          <w:szCs w:val="24"/>
          <w:highlight w:val="none"/>
        </w:rPr>
      </w:pPr>
      <w:bookmarkStart w:id="176" w:name="_Toc13042"/>
      <w:bookmarkEnd w:id="176"/>
      <w:bookmarkStart w:id="177" w:name="_Toc7193"/>
      <w:r>
        <w:rPr>
          <w:rFonts w:hint="eastAsia" w:ascii="宋体" w:hAnsi="宋体" w:cs="宋体"/>
          <w:b/>
          <w:color w:val="auto"/>
          <w:sz w:val="24"/>
          <w:szCs w:val="24"/>
          <w:highlight w:val="none"/>
        </w:rPr>
        <w:t>7.4 履约保证金</w:t>
      </w:r>
      <w:bookmarkEnd w:id="177"/>
    </w:p>
    <w:p w14:paraId="062641C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7.4.1 在签订合同前，成交供应商应按供应商须知前附表规定的形式、金额向采购人提交履约保证金。联合体成交的，其履约保证金以联合体各方或者联合体中牵头人的名义提交。</w:t>
      </w:r>
    </w:p>
    <w:p w14:paraId="29E0D49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7.4.2 成交供应商不能按本章第7.4.1项要求提交履约保证金的，视为放弃成交，其谈判保证金不予退还，给采购人造成的损失超过谈判保证金数额的，成交供应商还应当对超过部分予以赔偿。</w:t>
      </w:r>
    </w:p>
    <w:p w14:paraId="3B81B218">
      <w:pPr>
        <w:spacing w:line="360" w:lineRule="auto"/>
        <w:rPr>
          <w:rFonts w:ascii="宋体" w:hAnsi="宋体" w:cs="宋体"/>
          <w:b/>
          <w:color w:val="auto"/>
          <w:sz w:val="24"/>
          <w:szCs w:val="24"/>
          <w:highlight w:val="none"/>
        </w:rPr>
      </w:pPr>
      <w:bookmarkStart w:id="178" w:name="_Toc6413"/>
      <w:bookmarkEnd w:id="178"/>
      <w:bookmarkStart w:id="179" w:name="_Toc18519"/>
      <w:r>
        <w:rPr>
          <w:rFonts w:hint="eastAsia" w:ascii="宋体" w:hAnsi="宋体" w:cs="宋体"/>
          <w:b/>
          <w:color w:val="auto"/>
          <w:sz w:val="24"/>
          <w:szCs w:val="24"/>
          <w:highlight w:val="none"/>
        </w:rPr>
        <w:t>7.5 签订合同</w:t>
      </w:r>
      <w:bookmarkEnd w:id="179"/>
    </w:p>
    <w:p w14:paraId="01A95D4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7.5.1 采购人应当自成交通知书发出之日起30日内，按照谈判文件和成交供应商响应文件的规定，与成交供应商签订书面合同。所签订的合同不得对谈判文件确定的事项和成交供应商响应文件作实质性修改。采购人不得向成交供应商提出任何不合理的要求作为签订合同的条件。</w:t>
      </w:r>
    </w:p>
    <w:p w14:paraId="595CF7E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7.5.2 成交通知书发出后，采购人不得违法改变成交结果，成交供应商无正当理由不得放弃成交。</w:t>
      </w:r>
    </w:p>
    <w:p w14:paraId="1B1FD1D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7.5.3联合体成交的，联合体各方应当共同与采购人签订合同，就成交项目向采购人承担连带责任。</w:t>
      </w:r>
    </w:p>
    <w:p w14:paraId="0BB9B901">
      <w:pPr>
        <w:pStyle w:val="3"/>
        <w:spacing w:before="0" w:after="0" w:line="360" w:lineRule="auto"/>
        <w:rPr>
          <w:rFonts w:ascii="宋体" w:hAnsi="宋体" w:eastAsia="宋体" w:cs="宋体"/>
          <w:color w:val="auto"/>
          <w:sz w:val="28"/>
          <w:szCs w:val="28"/>
          <w:highlight w:val="none"/>
        </w:rPr>
      </w:pPr>
      <w:bookmarkStart w:id="180" w:name="_Toc25370"/>
      <w:r>
        <w:rPr>
          <w:rFonts w:hint="eastAsia" w:ascii="宋体" w:hAnsi="宋体" w:eastAsia="宋体" w:cs="宋体"/>
          <w:color w:val="auto"/>
          <w:sz w:val="28"/>
          <w:szCs w:val="28"/>
          <w:highlight w:val="none"/>
        </w:rPr>
        <w:t>8.询问与答复</w:t>
      </w:r>
      <w:bookmarkEnd w:id="180"/>
    </w:p>
    <w:p w14:paraId="119DF751">
      <w:pPr>
        <w:pStyle w:val="12"/>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凡对本项目采购活动事项有疑问的，可以向采购代理机构提出询问，采购代理机构将及时作出答复，但答复的内容不得涉及商业秘密。</w:t>
      </w:r>
    </w:p>
    <w:p w14:paraId="3118FBEC">
      <w:pPr>
        <w:pStyle w:val="3"/>
        <w:spacing w:before="0" w:after="0" w:line="360" w:lineRule="auto"/>
        <w:rPr>
          <w:rFonts w:ascii="宋体" w:hAnsi="宋体" w:eastAsia="宋体" w:cs="宋体"/>
          <w:color w:val="auto"/>
          <w:sz w:val="28"/>
          <w:szCs w:val="28"/>
          <w:highlight w:val="none"/>
        </w:rPr>
      </w:pPr>
      <w:bookmarkStart w:id="181" w:name="_Toc11854"/>
      <w:bookmarkEnd w:id="181"/>
      <w:bookmarkStart w:id="182" w:name="_Toc20692"/>
      <w:bookmarkEnd w:id="182"/>
      <w:bookmarkStart w:id="183" w:name="_Toc14254"/>
      <w:bookmarkStart w:id="184" w:name="_Toc20594"/>
      <w:r>
        <w:rPr>
          <w:rFonts w:hint="eastAsia" w:ascii="宋体" w:hAnsi="宋体" w:eastAsia="宋体" w:cs="宋体"/>
          <w:color w:val="auto"/>
          <w:sz w:val="28"/>
          <w:szCs w:val="28"/>
          <w:highlight w:val="none"/>
        </w:rPr>
        <w:t>9.质疑接收、回复</w:t>
      </w:r>
      <w:bookmarkEnd w:id="183"/>
    </w:p>
    <w:p w14:paraId="7C9F52A2">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   9.1质疑接收</w:t>
      </w:r>
    </w:p>
    <w:p w14:paraId="173AE19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9.1.1供应商认为谈判文件、谈判过程和成交结果使自己的权益受到损害的，可以根据《中华人民共和国政府采购法》《中华人民共和国政府采购法实施条例》和《政府采购质疑和投诉办法》的有关规定，依法向采购人或其委托的采购代理机构提出质疑。</w:t>
      </w:r>
    </w:p>
    <w:p w14:paraId="0D59AE5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9.1.2 质疑供应商应按照财政部制定的《政府采购质疑函范本》格式和《政府采购质疑和投诉办法》的要求，在法定质疑期内书面形式提出质疑，针对同一采购程序环节的质疑应一次性提出。</w:t>
      </w:r>
    </w:p>
    <w:p w14:paraId="6131946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超出法定质疑期的、重复提出的、分次提出的或内容、形式不符合《政府采购质疑和投诉办法》的，质疑供应商将依法承担不利后果。</w:t>
      </w:r>
    </w:p>
    <w:p w14:paraId="50F6563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9.1.3采购代理机构接收质疑函的方式、联系部门、联系电话和通讯地址。</w:t>
      </w:r>
    </w:p>
    <w:p w14:paraId="10F17A6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接收质疑函的方式：质疑函采取书面递交形式。</w:t>
      </w:r>
    </w:p>
    <w:p w14:paraId="1F32796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79444E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代理人提出质疑，应当提交供应商签署的授权委托书。</w:t>
      </w:r>
    </w:p>
    <w:p w14:paraId="47CEEC2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联系部门：云南元大工程咨询有限责任公司业务</w:t>
      </w:r>
      <w:r>
        <w:rPr>
          <w:rFonts w:hint="eastAsia" w:ascii="宋体" w:hAnsi="宋体" w:cs="宋体"/>
          <w:color w:val="auto"/>
          <w:sz w:val="24"/>
          <w:szCs w:val="24"/>
          <w:highlight w:val="none"/>
          <w:u w:val="single"/>
        </w:rPr>
        <w:t xml:space="preserve"> 一 </w:t>
      </w:r>
      <w:r>
        <w:rPr>
          <w:rFonts w:hint="eastAsia" w:ascii="宋体" w:hAnsi="宋体" w:cs="宋体"/>
          <w:color w:val="auto"/>
          <w:sz w:val="24"/>
          <w:szCs w:val="24"/>
          <w:highlight w:val="none"/>
        </w:rPr>
        <w:t>部项目</w:t>
      </w:r>
      <w:r>
        <w:rPr>
          <w:rFonts w:hint="eastAsia" w:ascii="宋体" w:hAnsi="宋体" w:cs="宋体"/>
          <w:color w:val="auto"/>
          <w:sz w:val="24"/>
          <w:szCs w:val="24"/>
          <w:highlight w:val="none"/>
          <w:u w:val="single"/>
        </w:rPr>
        <w:t xml:space="preserve"> 一 </w:t>
      </w:r>
      <w:r>
        <w:rPr>
          <w:rFonts w:hint="eastAsia" w:ascii="宋体" w:hAnsi="宋体" w:cs="宋体"/>
          <w:color w:val="auto"/>
          <w:sz w:val="24"/>
          <w:szCs w:val="24"/>
          <w:highlight w:val="none"/>
        </w:rPr>
        <w:t>组。</w:t>
      </w:r>
    </w:p>
    <w:p w14:paraId="4AC4D28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联系电话：（0871）</w:t>
      </w:r>
      <w:r>
        <w:rPr>
          <w:rFonts w:hint="eastAsia" w:ascii="宋体" w:hAnsi="宋体" w:cs="宋体"/>
          <w:color w:val="auto"/>
          <w:sz w:val="24"/>
          <w:szCs w:val="24"/>
          <w:highlight w:val="none"/>
          <w:u w:val="single"/>
        </w:rPr>
        <w:t>63338509</w:t>
      </w:r>
    </w:p>
    <w:p w14:paraId="11E9619A">
      <w:pPr>
        <w:pStyle w:val="12"/>
        <w:ind w:firstLine="480" w:firstLineChars="200"/>
        <w:rPr>
          <w:rFonts w:ascii="宋体" w:hAnsi="宋体" w:cs="宋体"/>
          <w:color w:val="auto"/>
          <w:sz w:val="24"/>
          <w:highlight w:val="none"/>
        </w:rPr>
      </w:pPr>
      <w:r>
        <w:rPr>
          <w:rFonts w:hint="eastAsia" w:ascii="宋体" w:hAnsi="宋体" w:cs="宋体"/>
          <w:color w:val="auto"/>
          <w:sz w:val="24"/>
          <w:highlight w:val="none"/>
        </w:rPr>
        <w:t>通讯地址：云南省昆明市盘龙区联盟路与万宏路交汇处万宏嘉园沣苑(地块三)B座15层（奥斯迪商务中心B座15楼）</w:t>
      </w:r>
    </w:p>
    <w:p w14:paraId="549DA9C1">
      <w:pPr>
        <w:pStyle w:val="12"/>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9.1.4不按上述要求提出的，采购人和采购代理机构将不予受理。</w:t>
      </w:r>
    </w:p>
    <w:p w14:paraId="7DF58F9C">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9.2质疑回复</w:t>
      </w:r>
    </w:p>
    <w:p w14:paraId="019443D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采购人或者采购代理机构应在收到质疑函后7个工作日内作出答复，并以书面形式通知质疑供应商和其他有关供应商，质疑答复的内容不得涉及商业秘密。</w:t>
      </w:r>
    </w:p>
    <w:p w14:paraId="20E9C223">
      <w:pPr>
        <w:pStyle w:val="3"/>
        <w:spacing w:before="0" w:after="0" w:line="360" w:lineRule="auto"/>
        <w:rPr>
          <w:rFonts w:ascii="宋体" w:hAnsi="宋体" w:eastAsia="宋体" w:cs="宋体"/>
          <w:color w:val="auto"/>
          <w:sz w:val="28"/>
          <w:szCs w:val="28"/>
          <w:highlight w:val="none"/>
        </w:rPr>
      </w:pPr>
      <w:bookmarkStart w:id="185" w:name="_Toc5546"/>
      <w:r>
        <w:rPr>
          <w:rFonts w:hint="eastAsia" w:ascii="宋体" w:hAnsi="宋体" w:eastAsia="宋体" w:cs="宋体"/>
          <w:color w:val="auto"/>
          <w:sz w:val="28"/>
          <w:szCs w:val="28"/>
          <w:highlight w:val="none"/>
        </w:rPr>
        <w:t>10. 纪律和监督</w:t>
      </w:r>
      <w:bookmarkEnd w:id="184"/>
      <w:bookmarkEnd w:id="185"/>
    </w:p>
    <w:p w14:paraId="0A4C6DBA">
      <w:pPr>
        <w:spacing w:line="360" w:lineRule="auto"/>
        <w:rPr>
          <w:rFonts w:ascii="宋体" w:hAnsi="宋体" w:cs="宋体"/>
          <w:b/>
          <w:color w:val="auto"/>
          <w:sz w:val="24"/>
          <w:szCs w:val="24"/>
          <w:highlight w:val="none"/>
        </w:rPr>
      </w:pPr>
      <w:bookmarkStart w:id="186" w:name="_Toc453"/>
      <w:bookmarkEnd w:id="186"/>
      <w:bookmarkStart w:id="187" w:name="_Toc14990"/>
      <w:r>
        <w:rPr>
          <w:rFonts w:hint="eastAsia" w:ascii="宋体" w:hAnsi="宋体" w:cs="宋体"/>
          <w:b/>
          <w:color w:val="auto"/>
          <w:sz w:val="24"/>
          <w:szCs w:val="24"/>
          <w:highlight w:val="none"/>
        </w:rPr>
        <w:t>10.1 对采购人的纪律要求</w:t>
      </w:r>
      <w:bookmarkEnd w:id="187"/>
    </w:p>
    <w:p w14:paraId="2CB1E76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(1)按照《政府采购非招标采购方式管理办法》（财政部第74号令）的规定编制采购需求；</w:t>
      </w:r>
    </w:p>
    <w:p w14:paraId="6C1CE44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(2)采购人不得向供应商索要或者接受其给予的赠品、回扣或者与采购无关的其他商品、服务；</w:t>
      </w:r>
    </w:p>
    <w:p w14:paraId="64ACB8F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(3)在规定时间内确定成交供应商；</w:t>
      </w:r>
    </w:p>
    <w:p w14:paraId="36FF6A9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(4)不得向成交供应商提出不合理要求作为签订合同条件。</w:t>
      </w:r>
    </w:p>
    <w:p w14:paraId="3D38C83B">
      <w:pPr>
        <w:spacing w:line="360" w:lineRule="auto"/>
        <w:rPr>
          <w:rFonts w:ascii="宋体" w:hAnsi="宋体" w:cs="宋体"/>
          <w:b/>
          <w:color w:val="auto"/>
          <w:sz w:val="24"/>
          <w:szCs w:val="24"/>
          <w:highlight w:val="none"/>
        </w:rPr>
      </w:pPr>
      <w:bookmarkStart w:id="188" w:name="_Toc20446"/>
      <w:bookmarkEnd w:id="188"/>
      <w:bookmarkStart w:id="189" w:name="_Toc14876"/>
      <w:r>
        <w:rPr>
          <w:rFonts w:hint="eastAsia" w:ascii="宋体" w:hAnsi="宋体" w:cs="宋体"/>
          <w:b/>
          <w:color w:val="auto"/>
          <w:sz w:val="24"/>
          <w:szCs w:val="24"/>
          <w:highlight w:val="none"/>
        </w:rPr>
        <w:t>10.2 对供应商的纪律要求</w:t>
      </w:r>
      <w:bookmarkEnd w:id="189"/>
    </w:p>
    <w:p w14:paraId="75A55CD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供应商不得相互串通谈判或者与采购人串通谈判，不得向采购人或者谈判小组成员行贿谋取成交，不得以他人名义谈判或者以其它方式弄虚作假骗取成交；供应商不得以任何方式干扰、影响评审工作。</w:t>
      </w:r>
    </w:p>
    <w:p w14:paraId="68CA865F">
      <w:pPr>
        <w:spacing w:line="360" w:lineRule="auto"/>
        <w:rPr>
          <w:rFonts w:ascii="宋体" w:hAnsi="宋体" w:cs="宋体"/>
          <w:b/>
          <w:color w:val="auto"/>
          <w:sz w:val="24"/>
          <w:szCs w:val="24"/>
          <w:highlight w:val="none"/>
        </w:rPr>
      </w:pPr>
      <w:bookmarkStart w:id="190" w:name="_Toc17796"/>
      <w:bookmarkEnd w:id="190"/>
      <w:bookmarkStart w:id="191" w:name="_Toc29247"/>
      <w:r>
        <w:rPr>
          <w:rFonts w:hint="eastAsia" w:ascii="宋体" w:hAnsi="宋体" w:cs="宋体"/>
          <w:b/>
          <w:color w:val="auto"/>
          <w:sz w:val="24"/>
          <w:szCs w:val="24"/>
          <w:highlight w:val="none"/>
        </w:rPr>
        <w:t>10.3 对谈判小组成员的纪律要求</w:t>
      </w:r>
      <w:bookmarkEnd w:id="191"/>
    </w:p>
    <w:p w14:paraId="3DA657A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谈判小组及其成员不得有下列行为：</w:t>
      </w:r>
    </w:p>
    <w:p w14:paraId="075DD9D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(1)确定参与评审至评审结束前私自接触供应商；</w:t>
      </w:r>
    </w:p>
    <w:p w14:paraId="140AD51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(2)接受供应商提出的与响应文件不一致的澄清或者说明；</w:t>
      </w:r>
    </w:p>
    <w:p w14:paraId="2B0269F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(3)违反评审纪律发表倾向性意见或者征询采购人的倾向性意见；</w:t>
      </w:r>
    </w:p>
    <w:p w14:paraId="188E89E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(4)在评审过程中擅离职守，影响评审程序正常进行的；</w:t>
      </w:r>
    </w:p>
    <w:p w14:paraId="7C7210C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(5)记录、复制或者带走任何评审资料；</w:t>
      </w:r>
    </w:p>
    <w:p w14:paraId="352E58F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(6)其他不遵守评审纪律的行为。</w:t>
      </w:r>
    </w:p>
    <w:p w14:paraId="2476AB7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谈判小组成员有前款第(1)至(6)项行为之一的，其评审意见无效，并不得获取评审劳务报酬和报销异地评审差旅费。</w:t>
      </w:r>
    </w:p>
    <w:p w14:paraId="432F80D3">
      <w:pPr>
        <w:spacing w:line="360" w:lineRule="auto"/>
        <w:rPr>
          <w:rFonts w:ascii="宋体" w:hAnsi="宋体" w:cs="宋体"/>
          <w:b/>
          <w:color w:val="auto"/>
          <w:sz w:val="24"/>
          <w:szCs w:val="24"/>
          <w:highlight w:val="none"/>
        </w:rPr>
      </w:pPr>
      <w:bookmarkStart w:id="192" w:name="_Toc22639"/>
      <w:bookmarkEnd w:id="192"/>
      <w:bookmarkStart w:id="193" w:name="_Toc5153"/>
      <w:r>
        <w:rPr>
          <w:rFonts w:hint="eastAsia" w:ascii="宋体" w:hAnsi="宋体" w:cs="宋体"/>
          <w:b/>
          <w:color w:val="auto"/>
          <w:sz w:val="24"/>
          <w:szCs w:val="24"/>
          <w:highlight w:val="none"/>
        </w:rPr>
        <w:t>10.4 对与评审活动有关的工作人员的纪律要求</w:t>
      </w:r>
      <w:bookmarkEnd w:id="193"/>
    </w:p>
    <w:p w14:paraId="6A75A00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与评审活动有关的工作人员不得收受他人的财物或者其他好处，不得向他人透漏对响应文件的评审和比较、成交候选供应商的推荐情况以及评审有关的其他情况。在评审活动中，与评审活动有关的工作人员不得擅离职守，影响评审程序正常进行。</w:t>
      </w:r>
    </w:p>
    <w:p w14:paraId="44EADBAE">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10.5 廉洁自律规定</w:t>
      </w:r>
    </w:p>
    <w:p w14:paraId="2F80361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（1）采购代理机构工作人员不得以不正当手段获取政府采购代理业务，不得与采购人、供应商恶意串通操纵政府采购活动。</w:t>
      </w:r>
    </w:p>
    <w:p w14:paraId="42A8AF0B">
      <w:pPr>
        <w:spacing w:line="360" w:lineRule="auto"/>
        <w:ind w:firstLine="480" w:firstLineChars="200"/>
        <w:rPr>
          <w:rFonts w:ascii="宋体" w:hAnsi="宋体" w:cs="宋体"/>
          <w:color w:val="auto"/>
          <w:highlight w:val="none"/>
        </w:rPr>
      </w:pPr>
      <w:r>
        <w:rPr>
          <w:rFonts w:hint="eastAsia" w:ascii="宋体" w:hAnsi="宋体" w:cs="宋体"/>
          <w:color w:val="auto"/>
          <w:sz w:val="24"/>
          <w:szCs w:val="24"/>
          <w:highlight w:val="none"/>
        </w:rPr>
        <w:t>（2）采购代理机构工作人员不得接受采购人或者供应商组织的宴请、旅游、娱乐，不得收受礼品、现金、有价证券等，不得向采购人或者供应商报销应当由个人承担的费用。</w:t>
      </w:r>
    </w:p>
    <w:p w14:paraId="06D0E4D0">
      <w:pPr>
        <w:pStyle w:val="3"/>
        <w:spacing w:before="0" w:after="0" w:line="360" w:lineRule="auto"/>
        <w:rPr>
          <w:rFonts w:ascii="宋体" w:hAnsi="宋体" w:eastAsia="宋体" w:cs="宋体"/>
          <w:color w:val="auto"/>
          <w:sz w:val="28"/>
          <w:szCs w:val="28"/>
          <w:highlight w:val="none"/>
        </w:rPr>
      </w:pPr>
      <w:bookmarkStart w:id="194" w:name="_Toc3960"/>
      <w:bookmarkEnd w:id="194"/>
      <w:bookmarkStart w:id="195" w:name="_Toc11291"/>
      <w:bookmarkEnd w:id="195"/>
      <w:bookmarkStart w:id="196" w:name="_Toc19873"/>
      <w:bookmarkEnd w:id="196"/>
      <w:bookmarkStart w:id="197" w:name="_Toc11354"/>
      <w:bookmarkEnd w:id="197"/>
      <w:bookmarkStart w:id="198" w:name="_Toc18697"/>
      <w:bookmarkEnd w:id="198"/>
      <w:bookmarkStart w:id="199" w:name="_Toc14857"/>
      <w:bookmarkStart w:id="200" w:name="_Toc20546"/>
      <w:r>
        <w:rPr>
          <w:rFonts w:hint="eastAsia" w:ascii="宋体" w:hAnsi="宋体" w:eastAsia="宋体" w:cs="宋体"/>
          <w:color w:val="auto"/>
          <w:sz w:val="28"/>
          <w:szCs w:val="28"/>
          <w:highlight w:val="none"/>
        </w:rPr>
        <w:t>11. 需要补充的其他内容</w:t>
      </w:r>
      <w:bookmarkEnd w:id="199"/>
      <w:bookmarkEnd w:id="200"/>
    </w:p>
    <w:p w14:paraId="177EB72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需要补充的其他内容：见供应商须知前附表。</w:t>
      </w:r>
    </w:p>
    <w:p w14:paraId="42D77B93">
      <w:pPr>
        <w:pStyle w:val="3"/>
        <w:spacing w:before="0" w:after="0" w:line="360" w:lineRule="auto"/>
        <w:rPr>
          <w:rFonts w:ascii="宋体" w:hAnsi="宋体" w:eastAsia="宋体"/>
          <w:color w:val="auto"/>
          <w:sz w:val="28"/>
          <w:szCs w:val="28"/>
          <w:highlight w:val="none"/>
        </w:rPr>
      </w:pPr>
      <w:bookmarkStart w:id="201" w:name="_Toc128152724"/>
      <w:bookmarkStart w:id="202" w:name="_Toc97624853"/>
      <w:bookmarkStart w:id="203" w:name="_Toc115016243"/>
      <w:bookmarkStart w:id="204" w:name="_Toc92998100"/>
      <w:bookmarkStart w:id="205" w:name="_Toc97623387"/>
      <w:bookmarkStart w:id="206" w:name="_Toc114909465"/>
      <w:bookmarkStart w:id="207" w:name="_Toc93564616"/>
      <w:bookmarkStart w:id="208" w:name="_Toc11201"/>
      <w:bookmarkStart w:id="209" w:name="_Toc30678"/>
      <w:r>
        <w:rPr>
          <w:rFonts w:hint="eastAsia" w:ascii="宋体" w:hAnsi="宋体" w:eastAsia="宋体"/>
          <w:color w:val="auto"/>
          <w:sz w:val="28"/>
          <w:szCs w:val="28"/>
          <w:highlight w:val="none"/>
        </w:rPr>
        <w:t>12</w:t>
      </w:r>
      <w:r>
        <w:rPr>
          <w:rFonts w:ascii="宋体" w:hAnsi="宋体" w:eastAsia="宋体"/>
          <w:color w:val="auto"/>
          <w:sz w:val="28"/>
          <w:szCs w:val="28"/>
          <w:highlight w:val="none"/>
        </w:rPr>
        <w:t>.</w:t>
      </w:r>
      <w:bookmarkEnd w:id="201"/>
      <w:bookmarkEnd w:id="202"/>
      <w:bookmarkEnd w:id="203"/>
      <w:bookmarkEnd w:id="204"/>
      <w:bookmarkEnd w:id="205"/>
      <w:bookmarkEnd w:id="206"/>
      <w:bookmarkEnd w:id="207"/>
      <w:r>
        <w:rPr>
          <w:rFonts w:ascii="宋体" w:hAnsi="宋体" w:eastAsia="宋体"/>
          <w:color w:val="auto"/>
          <w:sz w:val="28"/>
          <w:szCs w:val="28"/>
          <w:highlight w:val="none"/>
        </w:rPr>
        <w:t>中小企业、监狱企业及残疾人福利性单位</w:t>
      </w:r>
      <w:bookmarkEnd w:id="208"/>
      <w:bookmarkEnd w:id="209"/>
    </w:p>
    <w:p w14:paraId="3693107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12.1关于中小企业</w:t>
      </w:r>
    </w:p>
    <w:p w14:paraId="7ECB8A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12.1.1根据《关于印发&lt;政府采购促进中小企业发展管理办法&gt;的通知》（财库〔2020〕46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7319B7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12.1.2在政府采购活动中，供应商提供的货物、工程或者服务符合下列情形的，享受中小企业扶持政策：</w:t>
      </w:r>
    </w:p>
    <w:p w14:paraId="2606505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（一）在货物采购项目中，货物由中小企业制造，即货物由中小企业生产且使用该中小企业商号或者注册商标；</w:t>
      </w:r>
    </w:p>
    <w:p w14:paraId="72C6B4D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（二）在工程采购项目中，工程由中小企业承建，即工程施工单位为中小企业；</w:t>
      </w:r>
    </w:p>
    <w:p w14:paraId="30CEA7F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（三）在服务采购项目中，服务由中小企业承接，即提供服务的人员为中小企业依照《中华人民共和国劳动合同法》订立劳动合同的从业人员。</w:t>
      </w:r>
    </w:p>
    <w:p w14:paraId="026B9D4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在货物采购项目中，供应商提供的货物既有中小企业制造货物，也有大型企业制造货物的，不享受本办法规定的中小企业扶持政策。</w:t>
      </w:r>
    </w:p>
    <w:p w14:paraId="6DF6C2B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以联合体形式参加政府采购活动，联合体各方均为中小企业的，联合体视同中小企业。其中，联合体各方均为小微企业的，联合体视同小微企业。</w:t>
      </w:r>
    </w:p>
    <w:p w14:paraId="5D39514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12.1.3依据《政府采购促进中小企业发展管理办法》（财库〔2020〕46号）规定享受扶持政策获得政府采购合同的，小微企业不得将合同分包给大中型企业，中型企业不得将合同分包给大型企业。</w:t>
      </w:r>
    </w:p>
    <w:p w14:paraId="7CF5963E">
      <w:pPr>
        <w:pStyle w:val="4"/>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12.1.4中小企业参加政府采购活动，符合条件的供应商应根据下表所属行业填写《中小企业声明函》，否则不得享受相关中小企业扶持政策。</w:t>
      </w:r>
    </w:p>
    <w:tbl>
      <w:tblPr>
        <w:tblStyle w:val="3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6"/>
        <w:gridCol w:w="6008"/>
        <w:gridCol w:w="2400"/>
      </w:tblGrid>
      <w:tr w14:paraId="771C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736" w:type="dxa"/>
            <w:shd w:val="clear" w:color="auto" w:fill="D7D7D7"/>
            <w:tcMar>
              <w:top w:w="15" w:type="dxa"/>
              <w:left w:w="15" w:type="dxa"/>
              <w:right w:w="15" w:type="dxa"/>
            </w:tcMar>
            <w:vAlign w:val="center"/>
          </w:tcPr>
          <w:p w14:paraId="528E184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序号</w:t>
            </w:r>
          </w:p>
        </w:tc>
        <w:tc>
          <w:tcPr>
            <w:tcW w:w="6008" w:type="dxa"/>
            <w:shd w:val="clear" w:color="auto" w:fill="D7D7D7"/>
            <w:tcMar>
              <w:top w:w="15" w:type="dxa"/>
              <w:left w:w="15" w:type="dxa"/>
              <w:right w:w="15" w:type="dxa"/>
            </w:tcMar>
            <w:vAlign w:val="center"/>
          </w:tcPr>
          <w:p w14:paraId="029A80D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标的名称</w:t>
            </w:r>
          </w:p>
        </w:tc>
        <w:tc>
          <w:tcPr>
            <w:tcW w:w="2400" w:type="dxa"/>
            <w:shd w:val="clear" w:color="auto" w:fill="D7D7D7"/>
            <w:tcMar>
              <w:top w:w="15" w:type="dxa"/>
              <w:left w:w="15" w:type="dxa"/>
              <w:right w:w="15" w:type="dxa"/>
            </w:tcMar>
            <w:vAlign w:val="center"/>
          </w:tcPr>
          <w:p w14:paraId="63CDA28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所属行业</w:t>
            </w:r>
          </w:p>
        </w:tc>
      </w:tr>
      <w:tr w14:paraId="2F053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2880F06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6008" w:type="dxa"/>
            <w:tcMar>
              <w:top w:w="15" w:type="dxa"/>
              <w:left w:w="15" w:type="dxa"/>
              <w:right w:w="15" w:type="dxa"/>
            </w:tcMar>
            <w:vAlign w:val="center"/>
          </w:tcPr>
          <w:p w14:paraId="096FDFF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生物安全柜</w:t>
            </w:r>
          </w:p>
        </w:tc>
        <w:tc>
          <w:tcPr>
            <w:tcW w:w="2400" w:type="dxa"/>
            <w:tcMar>
              <w:top w:w="15" w:type="dxa"/>
              <w:left w:w="15" w:type="dxa"/>
              <w:right w:w="15" w:type="dxa"/>
            </w:tcMar>
            <w:vAlign w:val="center"/>
          </w:tcPr>
          <w:p w14:paraId="01B7DB33">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7C29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F57269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6008" w:type="dxa"/>
            <w:tcMar>
              <w:top w:w="15" w:type="dxa"/>
              <w:left w:w="15" w:type="dxa"/>
              <w:right w:w="15" w:type="dxa"/>
            </w:tcMar>
            <w:vAlign w:val="center"/>
          </w:tcPr>
          <w:p w14:paraId="361F5B1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气瓶柜</w:t>
            </w:r>
          </w:p>
        </w:tc>
        <w:tc>
          <w:tcPr>
            <w:tcW w:w="2400" w:type="dxa"/>
            <w:tcMar>
              <w:top w:w="15" w:type="dxa"/>
              <w:left w:w="15" w:type="dxa"/>
              <w:right w:w="15" w:type="dxa"/>
            </w:tcMar>
            <w:vAlign w:val="center"/>
          </w:tcPr>
          <w:p w14:paraId="51498A1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7527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4E64D693">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w:t>
            </w:r>
          </w:p>
        </w:tc>
        <w:tc>
          <w:tcPr>
            <w:tcW w:w="6008" w:type="dxa"/>
            <w:tcMar>
              <w:top w:w="15" w:type="dxa"/>
              <w:left w:w="15" w:type="dxa"/>
              <w:right w:w="15" w:type="dxa"/>
            </w:tcMar>
            <w:vAlign w:val="center"/>
          </w:tcPr>
          <w:p w14:paraId="26F0B77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洁净腔</w:t>
            </w:r>
          </w:p>
        </w:tc>
        <w:tc>
          <w:tcPr>
            <w:tcW w:w="2400" w:type="dxa"/>
            <w:tcMar>
              <w:top w:w="15" w:type="dxa"/>
              <w:left w:w="15" w:type="dxa"/>
              <w:right w:w="15" w:type="dxa"/>
            </w:tcMar>
            <w:vAlign w:val="center"/>
          </w:tcPr>
          <w:p w14:paraId="07440A0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4AF8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3D03E82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6008" w:type="dxa"/>
            <w:tcMar>
              <w:top w:w="15" w:type="dxa"/>
              <w:left w:w="15" w:type="dxa"/>
              <w:right w:w="15" w:type="dxa"/>
            </w:tcMar>
            <w:vAlign w:val="center"/>
          </w:tcPr>
          <w:p w14:paraId="5513E7E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紫外灭菌系统</w:t>
            </w:r>
          </w:p>
        </w:tc>
        <w:tc>
          <w:tcPr>
            <w:tcW w:w="2400" w:type="dxa"/>
            <w:tcMar>
              <w:top w:w="15" w:type="dxa"/>
              <w:left w:w="15" w:type="dxa"/>
              <w:right w:w="15" w:type="dxa"/>
            </w:tcMar>
            <w:vAlign w:val="center"/>
          </w:tcPr>
          <w:p w14:paraId="4F913A8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09A8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F091EC3">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5</w:t>
            </w:r>
          </w:p>
        </w:tc>
        <w:tc>
          <w:tcPr>
            <w:tcW w:w="6008" w:type="dxa"/>
            <w:tcMar>
              <w:top w:w="15" w:type="dxa"/>
              <w:left w:w="15" w:type="dxa"/>
              <w:right w:w="15" w:type="dxa"/>
            </w:tcMar>
            <w:vAlign w:val="center"/>
          </w:tcPr>
          <w:p w14:paraId="047329F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净化空调</w:t>
            </w:r>
          </w:p>
        </w:tc>
        <w:tc>
          <w:tcPr>
            <w:tcW w:w="2400" w:type="dxa"/>
            <w:tcMar>
              <w:top w:w="15" w:type="dxa"/>
              <w:left w:w="15" w:type="dxa"/>
              <w:right w:w="15" w:type="dxa"/>
            </w:tcMar>
            <w:vAlign w:val="center"/>
          </w:tcPr>
          <w:p w14:paraId="57FBED1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750A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5193AA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6</w:t>
            </w:r>
          </w:p>
        </w:tc>
        <w:tc>
          <w:tcPr>
            <w:tcW w:w="6008" w:type="dxa"/>
            <w:tcMar>
              <w:top w:w="15" w:type="dxa"/>
              <w:left w:w="15" w:type="dxa"/>
              <w:right w:w="15" w:type="dxa"/>
            </w:tcMar>
            <w:vAlign w:val="center"/>
          </w:tcPr>
          <w:p w14:paraId="5CD95ED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净化新风机</w:t>
            </w:r>
          </w:p>
        </w:tc>
        <w:tc>
          <w:tcPr>
            <w:tcW w:w="2400" w:type="dxa"/>
            <w:tcMar>
              <w:top w:w="15" w:type="dxa"/>
              <w:left w:w="15" w:type="dxa"/>
              <w:right w:w="15" w:type="dxa"/>
            </w:tcMar>
            <w:vAlign w:val="center"/>
          </w:tcPr>
          <w:p w14:paraId="0D6B0EB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4721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53DED5D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w:t>
            </w:r>
          </w:p>
        </w:tc>
        <w:tc>
          <w:tcPr>
            <w:tcW w:w="6008" w:type="dxa"/>
            <w:tcMar>
              <w:top w:w="15" w:type="dxa"/>
              <w:left w:w="15" w:type="dxa"/>
              <w:right w:w="15" w:type="dxa"/>
            </w:tcMar>
            <w:vAlign w:val="center"/>
          </w:tcPr>
          <w:p w14:paraId="3E77AD2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化学安全柜</w:t>
            </w:r>
          </w:p>
        </w:tc>
        <w:tc>
          <w:tcPr>
            <w:tcW w:w="2400" w:type="dxa"/>
            <w:tcMar>
              <w:top w:w="15" w:type="dxa"/>
              <w:left w:w="15" w:type="dxa"/>
              <w:right w:w="15" w:type="dxa"/>
            </w:tcMar>
            <w:vAlign w:val="center"/>
          </w:tcPr>
          <w:p w14:paraId="37AD7963">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0D7D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6FA81E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8</w:t>
            </w:r>
          </w:p>
        </w:tc>
        <w:tc>
          <w:tcPr>
            <w:tcW w:w="6008" w:type="dxa"/>
            <w:tcMar>
              <w:top w:w="15" w:type="dxa"/>
              <w:left w:w="15" w:type="dxa"/>
              <w:right w:w="15" w:type="dxa"/>
            </w:tcMar>
            <w:vAlign w:val="center"/>
          </w:tcPr>
          <w:p w14:paraId="43D8BD7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易制毒易制爆柜</w:t>
            </w:r>
          </w:p>
        </w:tc>
        <w:tc>
          <w:tcPr>
            <w:tcW w:w="2400" w:type="dxa"/>
            <w:tcMar>
              <w:top w:w="15" w:type="dxa"/>
              <w:left w:w="15" w:type="dxa"/>
              <w:right w:w="15" w:type="dxa"/>
            </w:tcMar>
            <w:vAlign w:val="center"/>
          </w:tcPr>
          <w:p w14:paraId="1D6DA8F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1F5A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0065107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9</w:t>
            </w:r>
          </w:p>
        </w:tc>
        <w:tc>
          <w:tcPr>
            <w:tcW w:w="6008" w:type="dxa"/>
            <w:tcMar>
              <w:top w:w="15" w:type="dxa"/>
              <w:left w:w="15" w:type="dxa"/>
              <w:right w:w="15" w:type="dxa"/>
            </w:tcMar>
            <w:vAlign w:val="center"/>
          </w:tcPr>
          <w:p w14:paraId="0C06E45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试剂及耗材柜</w:t>
            </w:r>
          </w:p>
        </w:tc>
        <w:tc>
          <w:tcPr>
            <w:tcW w:w="2400" w:type="dxa"/>
            <w:tcMar>
              <w:top w:w="15" w:type="dxa"/>
              <w:left w:w="15" w:type="dxa"/>
              <w:right w:w="15" w:type="dxa"/>
            </w:tcMar>
            <w:vAlign w:val="center"/>
          </w:tcPr>
          <w:p w14:paraId="3D38168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6CF4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21E8D55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6008" w:type="dxa"/>
            <w:tcMar>
              <w:top w:w="15" w:type="dxa"/>
              <w:left w:w="15" w:type="dxa"/>
              <w:right w:w="15" w:type="dxa"/>
            </w:tcMar>
            <w:vAlign w:val="center"/>
          </w:tcPr>
          <w:p w14:paraId="137FC06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排风机</w:t>
            </w:r>
          </w:p>
        </w:tc>
        <w:tc>
          <w:tcPr>
            <w:tcW w:w="2400" w:type="dxa"/>
            <w:tcMar>
              <w:top w:w="15" w:type="dxa"/>
              <w:left w:w="15" w:type="dxa"/>
              <w:right w:w="15" w:type="dxa"/>
            </w:tcMar>
            <w:vAlign w:val="center"/>
          </w:tcPr>
          <w:p w14:paraId="2BF3BD9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6542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3721C88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11</w:t>
            </w:r>
          </w:p>
        </w:tc>
        <w:tc>
          <w:tcPr>
            <w:tcW w:w="6008" w:type="dxa"/>
            <w:tcMar>
              <w:top w:w="15" w:type="dxa"/>
              <w:left w:w="15" w:type="dxa"/>
              <w:right w:w="15" w:type="dxa"/>
            </w:tcMar>
            <w:vAlign w:val="center"/>
          </w:tcPr>
          <w:p w14:paraId="05CB651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实验室安全监控器</w:t>
            </w:r>
          </w:p>
        </w:tc>
        <w:tc>
          <w:tcPr>
            <w:tcW w:w="2400" w:type="dxa"/>
            <w:tcMar>
              <w:top w:w="15" w:type="dxa"/>
              <w:left w:w="15" w:type="dxa"/>
              <w:right w:w="15" w:type="dxa"/>
            </w:tcMar>
            <w:vAlign w:val="center"/>
          </w:tcPr>
          <w:p w14:paraId="450F0DF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r w14:paraId="19B7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9502DA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12</w:t>
            </w:r>
          </w:p>
        </w:tc>
        <w:tc>
          <w:tcPr>
            <w:tcW w:w="6008" w:type="dxa"/>
            <w:tcMar>
              <w:top w:w="15" w:type="dxa"/>
              <w:left w:w="15" w:type="dxa"/>
              <w:right w:w="15" w:type="dxa"/>
            </w:tcMar>
            <w:vAlign w:val="center"/>
          </w:tcPr>
          <w:p w14:paraId="3792E49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门禁控制器</w:t>
            </w:r>
          </w:p>
        </w:tc>
        <w:tc>
          <w:tcPr>
            <w:tcW w:w="2400" w:type="dxa"/>
            <w:tcMar>
              <w:top w:w="15" w:type="dxa"/>
              <w:left w:w="15" w:type="dxa"/>
              <w:right w:w="15" w:type="dxa"/>
            </w:tcMar>
            <w:vAlign w:val="center"/>
          </w:tcPr>
          <w:p w14:paraId="78AE0D4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工业</w:t>
            </w:r>
          </w:p>
        </w:tc>
      </w:tr>
    </w:tbl>
    <w:p w14:paraId="1F560EA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12.1.5根据《关于进一步加大政府采购支持中小企业力度的通知》（财库〔2022〕19号），本项目针对小微企业报价给予评审中价格扣除，用扣除后的价格参与评审。残疾人福利性单位属于小型、微型企业、监狱企业的，不重复享受政策。</w:t>
      </w:r>
    </w:p>
    <w:p w14:paraId="5FBDC3B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12.2关于残疾人福利性单位：</w:t>
      </w:r>
    </w:p>
    <w:p w14:paraId="69B6A41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12.2.1根据《关于促进残疾人就业政府采购政策的通知》（财库〔2017〕141号）的规定，享受政府采购支持政策的残疾人福利性单位应当同时满足以下条件：</w:t>
      </w:r>
    </w:p>
    <w:p w14:paraId="0E5D8DB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（一）安置的残疾人占本单位在职职工人数的比例不低于25%（含25%），并且安置的残疾人人数不少于10人（含10人）；</w:t>
      </w:r>
    </w:p>
    <w:p w14:paraId="061B4B4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（二）依法与安置的每位残疾人签订了一年以上（含一年）的劳动合同或服务协议；</w:t>
      </w:r>
    </w:p>
    <w:p w14:paraId="10DF189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（三）为安置的每位残疾人按月足额缴纳了基本养老保险、基本医疗保险、失业保险、工伤保险和生育保险等社会保险费；</w:t>
      </w:r>
    </w:p>
    <w:p w14:paraId="5C28935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（四）通过银行等金融机构向安置的每位残疾人，按月支付了不低于单位所在区县适用的经省级人民政府批准的月最低工资标准的工资；</w:t>
      </w:r>
    </w:p>
    <w:p w14:paraId="76DC4A0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6BA8A2C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1069D9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12.2.2符合条件的残疾人福利性单位在参加政府采购活动时，应当按《三部门联合发布关于促进残疾人就业政府采购政策的通知》（财库〔2017〕141号）提供规定的《残疾人福利性单位声明函》，并对声明的真实性负责。</w:t>
      </w:r>
    </w:p>
    <w:p w14:paraId="43C1F86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12.2.3在政府采购活动中，残疾人福利性单位视同小型、微型企业，享受预留份额、评审中价格扣除等促进中小企业发展的政府采购政策。</w:t>
      </w:r>
      <w:bookmarkStart w:id="210" w:name="_Hlk92451014"/>
      <w:r>
        <w:rPr>
          <w:rFonts w:hint="eastAsia" w:ascii="宋体" w:hAnsi="宋体"/>
          <w:color w:val="auto"/>
          <w:sz w:val="24"/>
          <w:szCs w:val="24"/>
          <w:highlight w:val="none"/>
        </w:rPr>
        <w:t>残疾人福利性单位属于小型、微型企业、监狱企业的，不重复享受政策。</w:t>
      </w:r>
      <w:bookmarkEnd w:id="210"/>
    </w:p>
    <w:p w14:paraId="797177E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12.3关于监狱企业：</w:t>
      </w:r>
    </w:p>
    <w:p w14:paraId="2E311B7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12.3.1 依照&lt;财政部、司法部关于政府采购支持监狱企业发展有关问题的通知&gt;（财库〔2014〕68号）之规定，监狱企业应当符合以下条件：</w:t>
      </w:r>
    </w:p>
    <w:p w14:paraId="5FDAC7B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41912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12.3.3 监狱企业参加政府采购活动时，视同小型、微型企业，应当提供由省级以上监狱管理局、戒毒管理局（含新疆生产建设兵团）出具的属于监狱企业的证明文件。</w:t>
      </w:r>
    </w:p>
    <w:p w14:paraId="143E46E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12.3.4在政府采购活动中，监狱企业视同小型、微型企业，享受</w:t>
      </w:r>
      <w:r>
        <w:rPr>
          <w:rFonts w:hint="eastAsia"/>
          <w:color w:val="auto"/>
          <w:sz w:val="24"/>
          <w:highlight w:val="none"/>
        </w:rPr>
        <w:t>预留份额、</w:t>
      </w:r>
      <w:r>
        <w:rPr>
          <w:rFonts w:hint="eastAsia" w:ascii="宋体" w:hAnsi="宋体"/>
          <w:color w:val="auto"/>
          <w:sz w:val="24"/>
          <w:szCs w:val="24"/>
          <w:highlight w:val="none"/>
        </w:rPr>
        <w:t>评审中价格扣除等政府采购促进中小企业发展的政府采购政策。</w:t>
      </w:r>
    </w:p>
    <w:p w14:paraId="37026072">
      <w:pPr>
        <w:spacing w:line="360" w:lineRule="auto"/>
        <w:ind w:firstLine="480" w:firstLineChars="200"/>
        <w:rPr>
          <w:color w:val="auto"/>
          <w:sz w:val="24"/>
          <w:highlight w:val="none"/>
        </w:rPr>
      </w:pPr>
      <w:r>
        <w:rPr>
          <w:rFonts w:hint="eastAsia" w:ascii="宋体" w:hAnsi="宋体"/>
          <w:color w:val="auto"/>
          <w:sz w:val="24"/>
          <w:szCs w:val="24"/>
          <w:highlight w:val="none"/>
        </w:rPr>
        <w:t>12.4本项目是否专门面向中小企业预留采购份额见第一章《竞争性谈判公告》。</w:t>
      </w:r>
    </w:p>
    <w:p w14:paraId="5FF92B2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12.5采购标的对应的中小企业划分标准所属行业见《附件：统计上大中小微型企业划分标准》。</w:t>
      </w:r>
    </w:p>
    <w:p w14:paraId="3230F6B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12.6落实政府采购政策的价格调整：只有符合规定情形的，可以享受中小企业扶持政策，用扣除后的价格参加评审；否则，评审时价格不予扣除。</w:t>
      </w:r>
    </w:p>
    <w:p w14:paraId="29A866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12.6.1对于未预留份额专门面向中小企业采购的采购项目，以及预留份额项目中的非预留部分采购包，对小微企业报价给予10%的扣除，用扣除后的价格参加评审。</w:t>
      </w:r>
    </w:p>
    <w:p w14:paraId="60E4569F">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附件：统计上大中小微型企业划分标准</w:t>
      </w:r>
      <w:r>
        <w:rPr>
          <w:rFonts w:hint="eastAsia" w:ascii="宋体" w:hAnsi="宋体" w:cs="宋体"/>
          <w:b/>
          <w:bCs/>
          <w:color w:val="auto"/>
          <w:highlight w:val="none"/>
        </w:rPr>
        <w:drawing>
          <wp:inline distT="0" distB="0" distL="114300" distR="114300">
            <wp:extent cx="6439535" cy="8383905"/>
            <wp:effectExtent l="0" t="0" r="18415" b="17145"/>
            <wp:docPr id="7" name="图片 1" descr="中小微型企业划分办法附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中小微型企业划分办法附件_01"/>
                    <pic:cNvPicPr>
                      <a:picLocks noChangeAspect="1"/>
                    </pic:cNvPicPr>
                  </pic:nvPicPr>
                  <pic:blipFill>
                    <a:blip r:embed="rId21"/>
                    <a:srcRect l="6252" t="11151" r="6500" b="8553"/>
                    <a:stretch>
                      <a:fillRect/>
                    </a:stretch>
                  </pic:blipFill>
                  <pic:spPr>
                    <a:xfrm>
                      <a:off x="0" y="0"/>
                      <a:ext cx="6439535" cy="8383905"/>
                    </a:xfrm>
                    <a:prstGeom prst="rect">
                      <a:avLst/>
                    </a:prstGeom>
                    <a:noFill/>
                    <a:ln>
                      <a:noFill/>
                    </a:ln>
                  </pic:spPr>
                </pic:pic>
              </a:graphicData>
            </a:graphic>
          </wp:inline>
        </w:drawing>
      </w:r>
    </w:p>
    <w:p w14:paraId="2BF11768">
      <w:pPr>
        <w:rPr>
          <w:color w:val="auto"/>
          <w:highlight w:val="none"/>
        </w:rPr>
      </w:pPr>
      <w:r>
        <w:rPr>
          <w:color w:val="auto"/>
          <w:highlight w:val="none"/>
        </w:rPr>
        <w:br w:type="page"/>
      </w:r>
    </w:p>
    <w:p w14:paraId="434E6F3E">
      <w:pPr>
        <w:pStyle w:val="21"/>
        <w:tabs>
          <w:tab w:val="right" w:leader="dot" w:pos="9663"/>
        </w:tabs>
        <w:rPr>
          <w:color w:val="auto"/>
          <w:highlight w:val="none"/>
        </w:rPr>
      </w:pPr>
      <w:r>
        <w:rPr>
          <w:rFonts w:hint="eastAsia" w:eastAsia="等线"/>
          <w:color w:val="auto"/>
          <w:highlight w:val="none"/>
        </w:rPr>
        <w:drawing>
          <wp:inline distT="0" distB="0" distL="114300" distR="114300">
            <wp:extent cx="6115050" cy="6892290"/>
            <wp:effectExtent l="0" t="0" r="0" b="3810"/>
            <wp:docPr id="4" name="图片 2" descr="《国家统计局关于印发《统计上大中小微型企业划分办法（2017）》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国家统计局关于印发《统计上大中小微型企业划分办法（2017）》的通知》_05"/>
                    <pic:cNvPicPr>
                      <a:picLocks noChangeAspect="1"/>
                    </pic:cNvPicPr>
                  </pic:nvPicPr>
                  <pic:blipFill>
                    <a:blip r:embed="rId22"/>
                    <a:srcRect t="5550" b="14771"/>
                    <a:stretch>
                      <a:fillRect/>
                    </a:stretch>
                  </pic:blipFill>
                  <pic:spPr>
                    <a:xfrm>
                      <a:off x="0" y="0"/>
                      <a:ext cx="6115050" cy="6892290"/>
                    </a:xfrm>
                    <a:prstGeom prst="rect">
                      <a:avLst/>
                    </a:prstGeom>
                    <a:noFill/>
                    <a:ln>
                      <a:noFill/>
                    </a:ln>
                  </pic:spPr>
                </pic:pic>
              </a:graphicData>
            </a:graphic>
          </wp:inline>
        </w:drawing>
      </w:r>
    </w:p>
    <w:p w14:paraId="3AA174A3">
      <w:pPr>
        <w:pStyle w:val="3"/>
        <w:spacing w:before="0" w:after="0" w:line="360" w:lineRule="auto"/>
        <w:rPr>
          <w:rFonts w:ascii="宋体" w:hAnsi="宋体" w:eastAsia="宋体"/>
          <w:color w:val="auto"/>
          <w:sz w:val="24"/>
          <w:szCs w:val="24"/>
          <w:highlight w:val="none"/>
        </w:rPr>
      </w:pPr>
      <w:bookmarkStart w:id="211" w:name="_Toc16367"/>
      <w:bookmarkStart w:id="212" w:name="_Toc7326"/>
      <w:r>
        <w:rPr>
          <w:rFonts w:hint="eastAsia" w:ascii="宋体" w:hAnsi="宋体" w:eastAsia="宋体"/>
          <w:color w:val="auto"/>
          <w:sz w:val="28"/>
          <w:szCs w:val="28"/>
          <w:highlight w:val="none"/>
        </w:rPr>
        <w:t>13</w:t>
      </w:r>
      <w:r>
        <w:rPr>
          <w:rFonts w:ascii="宋体" w:hAnsi="宋体" w:eastAsia="宋体"/>
          <w:color w:val="auto"/>
          <w:sz w:val="28"/>
          <w:szCs w:val="28"/>
          <w:highlight w:val="none"/>
        </w:rPr>
        <w:t>.政府采购节能产品、环境标志产品</w:t>
      </w:r>
      <w:bookmarkEnd w:id="211"/>
      <w:bookmarkEnd w:id="212"/>
    </w:p>
    <w:p w14:paraId="705D127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22D1A9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19CCF4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13.3如本项目采购产品属于实施政府强制采购品目清单范围的节能产品，则供应商所报产品必须获得国家确定的认证机构出具的、处于有效期之内的节能产品认证证书，否则投标无效；</w:t>
      </w:r>
    </w:p>
    <w:p w14:paraId="370E9D4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13.4非政府强制采购的节能产品或环境标志产品，依据品目清单和认证证书实施政府优先采购。优先采购的具体规定见评审办法。</w:t>
      </w:r>
    </w:p>
    <w:p w14:paraId="054070A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若供应商在响应文件中未提供或未按要求提供产品经国家确定的参与实施政府采购节能产品认证机构或参与实施政府采购环境标志产品认证机构出具的、处于有效期之内的节能产品、环境标志产品认证证书，谈判小组在评审过程中将不予认可，由此造成的一切后果供应商自行承担。</w:t>
      </w:r>
    </w:p>
    <w:p w14:paraId="1B3DB71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13.5《节能产品政府采购品目清单》及《环境标志产品政府采购品目清单》可通过中国政府采购网（http://www.ccgp.gov.cn/ ）查阅、下载。</w:t>
      </w:r>
    </w:p>
    <w:p w14:paraId="5B1D96FA">
      <w:pPr>
        <w:spacing w:line="240" w:lineRule="exact"/>
        <w:rPr>
          <w:rFonts w:ascii="宋体" w:hAnsi="宋体" w:cs="宋体"/>
          <w:color w:val="auto"/>
          <w:highlight w:val="none"/>
        </w:rPr>
      </w:pPr>
      <w:r>
        <w:rPr>
          <w:rFonts w:hint="eastAsia" w:ascii="宋体" w:hAnsi="宋体" w:cs="宋体"/>
          <w:color w:val="auto"/>
          <w:sz w:val="32"/>
          <w:szCs w:val="32"/>
          <w:highlight w:val="none"/>
        </w:rPr>
        <w:br w:type="page"/>
      </w:r>
      <w:bookmarkStart w:id="213" w:name="_Toc21356"/>
      <w:bookmarkEnd w:id="213"/>
      <w:bookmarkStart w:id="214" w:name="_Toc31137"/>
      <w:bookmarkEnd w:id="214"/>
      <w:bookmarkStart w:id="215" w:name="_Toc5266"/>
    </w:p>
    <w:bookmarkEnd w:id="215"/>
    <w:p w14:paraId="2AF8AC84">
      <w:pPr>
        <w:pStyle w:val="2"/>
        <w:spacing w:before="0" w:after="0" w:line="360" w:lineRule="auto"/>
        <w:jc w:val="center"/>
        <w:rPr>
          <w:rFonts w:ascii="宋体" w:hAnsi="宋体" w:cs="宋体"/>
          <w:color w:val="auto"/>
          <w:highlight w:val="none"/>
        </w:rPr>
      </w:pPr>
      <w:bookmarkStart w:id="216" w:name="_Toc4204"/>
      <w:bookmarkStart w:id="217" w:name="_Toc15431"/>
      <w:r>
        <w:rPr>
          <w:rFonts w:hint="eastAsia" w:ascii="宋体" w:hAnsi="宋体" w:cs="宋体"/>
          <w:color w:val="auto"/>
          <w:highlight w:val="none"/>
        </w:rPr>
        <w:t>第三章 评审办法</w:t>
      </w:r>
      <w:bookmarkEnd w:id="216"/>
    </w:p>
    <w:p w14:paraId="10CF9288">
      <w:pPr>
        <w:spacing w:line="500" w:lineRule="exact"/>
        <w:ind w:firstLine="482" w:firstLineChars="20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一、谈判小组</w:t>
      </w:r>
    </w:p>
    <w:p w14:paraId="142F0389">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评审机构为谈判小组，谈判小组的组成见供应商须知前附表6.1.1。</w:t>
      </w:r>
    </w:p>
    <w:p w14:paraId="75AA2E6E">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二、采购人或者采购代理机构职责</w:t>
      </w:r>
    </w:p>
    <w:p w14:paraId="7333AF31">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采购人或者采购代理机构负责组织评审工作，并履行下列职责：</w:t>
      </w:r>
    </w:p>
    <w:p w14:paraId="572A8857">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(一)核对评审专家身份和采购人代表授权函，对评审专家在政府采购活动中的职责履行情况予以记录，并及时将有关违法违规行为向财政部门报告。</w:t>
      </w:r>
    </w:p>
    <w:p w14:paraId="304F82CC">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(二)宣布评审纪律。</w:t>
      </w:r>
    </w:p>
    <w:p w14:paraId="74CEF5F2">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(三)公布供应商名单，告知评审专家应当回避的情形。</w:t>
      </w:r>
    </w:p>
    <w:p w14:paraId="1791B98C">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(四)组织谈判小组推选评审组长，采购人代表不得担任组长。</w:t>
      </w:r>
    </w:p>
    <w:p w14:paraId="17D3B231">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(五)在评审期间采取必要的通讯管理措施，保证评审活动不受外界干扰。</w:t>
      </w:r>
    </w:p>
    <w:p w14:paraId="5E36C802">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(六)根据谈判小组的要求介绍政府采购相关政策法规、谈判文件。</w:t>
      </w:r>
    </w:p>
    <w:p w14:paraId="04484E9E">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(七)维护评审秩序，监督谈判小组依照谈判文件规定的评审程序、方法和标准进行独立评审，及时制止和纠正采购人代表、评审专家的倾向性言论或者违法违规行为。</w:t>
      </w:r>
    </w:p>
    <w:p w14:paraId="5EB58404">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(八)核对评审结果，有《政府采购非招标采购方式管理办法》（财政部第74号令）第二十一条规定情形的，要求谈判小组复核或者书面说明理由，谈判小组拒绝的，应予记录并向本级财政部门报告。</w:t>
      </w:r>
    </w:p>
    <w:p w14:paraId="4A920654">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(九)评审工作完成后，按照规定向评审专家支付劳务报酬和异地评审差旅费，不得向评审专家以外的其他人员支付评审劳务报酬。</w:t>
      </w:r>
    </w:p>
    <w:p w14:paraId="2C097F9F">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(十)处理与评审有关的其他事项。</w:t>
      </w:r>
    </w:p>
    <w:p w14:paraId="3C7F0287">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采购人可以在评审前说明项目背景和采购需求，说明内容不得含有歧视性、倾向性意见，不得超出谈判文件所述范围。说明应当提交书面材料，并随采购文件一并存档。</w:t>
      </w:r>
    </w:p>
    <w:p w14:paraId="2193523F">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三、谈判小组职责</w:t>
      </w:r>
    </w:p>
    <w:p w14:paraId="5DE8983B">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谈判小组负责具体评审事务，并独立履行下列职责：</w:t>
      </w:r>
    </w:p>
    <w:p w14:paraId="5E2AB620">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(一)审查、评价响应文件是否符合谈判文件的商务、技术等实质性要求。</w:t>
      </w:r>
    </w:p>
    <w:p w14:paraId="54C714FB">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(二)要求供应商对响应文件有关事项作出澄清或者说明。</w:t>
      </w:r>
    </w:p>
    <w:p w14:paraId="79E0DE91">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(三)对响应文件进行比较和评价。</w:t>
      </w:r>
    </w:p>
    <w:p w14:paraId="11341A3E">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(四)确定成交候选供应商名单，以及根据采购人委托直接确定成交供应商。</w:t>
      </w:r>
    </w:p>
    <w:p w14:paraId="778B2215">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(五)向采购人、采购代理机构或者有关部门报告评审中发现的违法行为。</w:t>
      </w:r>
    </w:p>
    <w:p w14:paraId="0532DEDF">
      <w:pPr>
        <w:pStyle w:val="13"/>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四、评审纪律</w:t>
      </w:r>
    </w:p>
    <w:p w14:paraId="4A2B3E49">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(一)对评审内容和评审过程要严格保密，不得向供应商或与该过程无关的其它人员泄露。</w:t>
      </w:r>
    </w:p>
    <w:p w14:paraId="3E65023C">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(二)评审期间的一切资料，包括评审意见、评审记录和评审结论，一律不得向外传和泄露。</w:t>
      </w:r>
    </w:p>
    <w:p w14:paraId="275264B2">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(三)任何属于响应文件审查、澄清、评价和比较的资料，不得向供应商或与该过程无关的其它人员泄露。</w:t>
      </w:r>
    </w:p>
    <w:p w14:paraId="30A86D81">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(四)所有资料(包括谈判文件、响应文件、评审表格及各种文字记录)在评审结束后均应分别整理、存档备查，任何人不得复制和保留。</w:t>
      </w:r>
    </w:p>
    <w:p w14:paraId="36D32229">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(五)评审期间，未经允许谈判小组以外的任何单位或部门不得参加评审和采访评审工作。</w:t>
      </w:r>
    </w:p>
    <w:p w14:paraId="4CE679B9">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(六)评审期间，评审人员不得外出，确需外出时应事先请假。</w:t>
      </w:r>
    </w:p>
    <w:p w14:paraId="583C00C7">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(七)评审期间，所有与会人员均不得私自以任何方式和供应商进行联系，需询问、澄清的问题由谈判小组统一组织办理。</w:t>
      </w:r>
    </w:p>
    <w:p w14:paraId="44D201AC">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(八)评审结束后，与会人员不得向外界透露评审人员的评审意见，如因此造成的后果由责任者承担。</w:t>
      </w:r>
    </w:p>
    <w:p w14:paraId="4F7240E4">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五、评审原则</w:t>
      </w:r>
    </w:p>
    <w:p w14:paraId="096D16E2">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评审将遵循下列原则：</w:t>
      </w:r>
    </w:p>
    <w:p w14:paraId="12A23FED">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(一)坚持公平、公正、科学、择优的原则，本着实事求是的精神，不带有任何主观意愿和偏见，认真负责地做好评审工作，公平、公正地对待每一个供应商。</w:t>
      </w:r>
    </w:p>
    <w:p w14:paraId="55901797">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(二)全面分析，综合评审。</w:t>
      </w:r>
    </w:p>
    <w:p w14:paraId="6853F481">
      <w:pPr>
        <w:pStyle w:val="1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(三)评审只对供应商的响应文件进行评审，响应文件以外的资料、信息不应作为评审的依据。</w:t>
      </w:r>
    </w:p>
    <w:p w14:paraId="25F546C3">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六、评审程序</w:t>
      </w:r>
    </w:p>
    <w:p w14:paraId="49220760">
      <w:pPr>
        <w:pStyle w:val="1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会议程序：检查响应文件的递交和密封情况→开启响应文件→核实谈判代表授权情况→抽取谈判顺序→谈判小组对所有响应文件进行资格审查和符合性审查→谈判小组分别与各供应商就谈判内容进行谈判→供应商在规定时间内递交最后报价→谈判小组按本项目规定成交标准向采购人推荐成交候选供应商。在谈判过程中，谈判小组可以根据谈判文件和谈判情况实质性变动采购需求中的技术、服务要求以及合同草案条款，但不得变动谈判文件中的其他内容。实质性变动的内容，须经采购人代表确认。</w:t>
      </w:r>
    </w:p>
    <w:p w14:paraId="02F03FA2">
      <w:pPr>
        <w:pStyle w:val="13"/>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(一)资格审查</w:t>
      </w:r>
    </w:p>
    <w:p w14:paraId="1C7D0DB8">
      <w:pPr>
        <w:pStyle w:val="1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谈判小组对各供应商的响应文件进行资格审查，以确定其是否满足谈判文件的实质性要求。</w:t>
      </w:r>
    </w:p>
    <w:p w14:paraId="7064C645">
      <w:pPr>
        <w:pStyle w:val="1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满足下列要求的响应文件才能通过资格审查，未通过资格审查的供应商将不进入符合性审查：</w:t>
      </w:r>
    </w:p>
    <w:p w14:paraId="3F964BC9">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1.满足《中华人民共和国政府采购法》第二十二条规定；</w:t>
      </w:r>
    </w:p>
    <w:p w14:paraId="57AC009A">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1.1具有独立承担民事责任的能力。提供法人或者其他组织的营业执照等证明文件。</w:t>
      </w:r>
    </w:p>
    <w:p w14:paraId="1EB23A7D">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1.2具有良好的商业信誉和健全的财务会计制度。供应商须提供财务状况报告，内容可为以下两者之一： </w:t>
      </w:r>
    </w:p>
    <w:p w14:paraId="046646BD">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①提供2023年或2024年经审计的财务报告（</w:t>
      </w:r>
      <w:r>
        <w:rPr>
          <w:rFonts w:hint="eastAsia" w:ascii="宋体" w:hAnsi="宋体" w:cs="宋体"/>
          <w:b/>
          <w:color w:val="auto"/>
          <w:kern w:val="2"/>
          <w:sz w:val="24"/>
          <w:szCs w:val="24"/>
          <w:highlight w:val="none"/>
        </w:rPr>
        <w:t>包括资产负债表、利润表、现金流量表、所有者权益变动表及其附注（执行小企业会计准则的可不提供所有者权益变动表）</w:t>
      </w:r>
      <w:r>
        <w:rPr>
          <w:rFonts w:hint="eastAsia" w:ascii="宋体" w:hAnsi="宋体" w:cs="宋体"/>
          <w:color w:val="auto"/>
          <w:kern w:val="2"/>
          <w:sz w:val="24"/>
          <w:szCs w:val="24"/>
          <w:highlight w:val="none"/>
        </w:rPr>
        <w:t>），新成立不满</w:t>
      </w:r>
      <w:r>
        <w:rPr>
          <w:rFonts w:hint="eastAsia" w:ascii="宋体" w:hAnsi="宋体" w:cs="宋体"/>
          <w:color w:val="auto"/>
          <w:kern w:val="2"/>
          <w:sz w:val="24"/>
          <w:szCs w:val="24"/>
          <w:highlight w:val="none"/>
          <w:u w:val="single"/>
        </w:rPr>
        <w:t>1</w:t>
      </w:r>
      <w:r>
        <w:rPr>
          <w:rFonts w:hint="eastAsia" w:ascii="宋体" w:hAnsi="宋体" w:cs="宋体"/>
          <w:color w:val="auto"/>
          <w:kern w:val="2"/>
          <w:sz w:val="24"/>
          <w:szCs w:val="24"/>
          <w:highlight w:val="none"/>
        </w:rPr>
        <w:t>年的供应商提供自成立至今的财务报表；</w:t>
      </w:r>
    </w:p>
    <w:p w14:paraId="59DCFAC8">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②提供自响应文件提交截止时间前三个月内基本开户银行出具的资信证明。</w:t>
      </w:r>
    </w:p>
    <w:p w14:paraId="4C4F12B9">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rPr>
        <w:t>1.3具有履行合同所必需的设备和专业技术能力。提供具备履行合同所必需的设备和专业技术能力的证明材料。</w:t>
      </w:r>
    </w:p>
    <w:p w14:paraId="55DF76E0">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1.4有依法缴纳税收和社会保障资金的良好记录。</w:t>
      </w:r>
    </w:p>
    <w:p w14:paraId="622DF87F">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1.4.1提供供应商缴税所属时间在2024年08月至本项目响应文件提交截止时间前任意2个月的税务局税收通用缴款书或银行电子缴税（费）凭证或税务局出具纳税情况的相关证明，依法免税的，应提供依法免税的相关证明文件（扫描件加盖供应商电子公章），至响应文件提交截止时间止成立不足2个月的供应商可提供相关情况说明（加盖供应商电子公章）；</w:t>
      </w:r>
    </w:p>
    <w:p w14:paraId="58C505C7">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1.4.2提供供应商缴费所属时间在2024年08月至本项目响应文件提交截止时间前任意2个月的社会保险费缴款书或银行电子缴税（费）凭证或社保管理部门出具的有效的缴款证明，依法免缴的，应提供依法免缴的相关证明文件（扫描件加盖供应商电子公章），至响应文件提交截止时间止成立不足2个月的供应商可提供相关情况说明（加盖供应商电子公章）；</w:t>
      </w:r>
    </w:p>
    <w:p w14:paraId="78EA856E">
      <w:pP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76A1D218">
      <w:pPr>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4688C8DE">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1.6.1单位负责人为同一人或者存在直接控股、管理关系的不同供应商，不得参加同一合同项下的政府采购活动。</w:t>
      </w:r>
    </w:p>
    <w:p w14:paraId="4AF223C0">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为采购项目提供整体设计、规范编制或者项目管理、监理、检测等服务的供应商，不得再参加该采购项目的其他采购活动。</w:t>
      </w:r>
    </w:p>
    <w:p w14:paraId="569105A2">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1.6.2供应商应在“信用中国”网站（www.creditchina.gov.cn）未被列入失信被执行人记录、重大税收违法失信主体且在中国政府采购网（www.ccgp.gov.cn）没有政府采购严重违法失信行为记录。</w:t>
      </w:r>
    </w:p>
    <w:p w14:paraId="2F48BEB3">
      <w:pPr>
        <w:widowControl w:val="0"/>
        <w:spacing w:line="360" w:lineRule="auto"/>
        <w:ind w:firstLine="480" w:firstLineChars="200"/>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2.落实政府采购政策需满足的资格要求：</w:t>
      </w:r>
      <w:r>
        <w:rPr>
          <w:rFonts w:hint="eastAsia" w:ascii="宋体" w:hAnsi="宋体" w:cs="宋体"/>
          <w:color w:val="auto"/>
          <w:sz w:val="24"/>
          <w:szCs w:val="24"/>
          <w:highlight w:val="none"/>
          <w:u w:val="single"/>
        </w:rPr>
        <w:t>本项目不属于专门面向中小企业采购项目。</w:t>
      </w:r>
    </w:p>
    <w:p w14:paraId="329F739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3.本项目的特定资格要求：本次采购不接受联合体谈判。</w:t>
      </w:r>
    </w:p>
    <w:p w14:paraId="547C257A">
      <w:pPr>
        <w:pStyle w:val="13"/>
        <w:spacing w:line="500" w:lineRule="exact"/>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(二)符合性审查</w:t>
      </w:r>
    </w:p>
    <w:p w14:paraId="664C9E43">
      <w:pPr>
        <w:pStyle w:val="1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谈判小组依据符合性评审标准对符合资格的供应商的响应文件进行符合性审查，有一项不符合评审标准的，谈判小组应当否决其谈判。</w:t>
      </w:r>
    </w:p>
    <w:p w14:paraId="32026234">
      <w:pPr>
        <w:pStyle w:val="13"/>
        <w:ind w:firstLine="0"/>
        <w:jc w:val="center"/>
        <w:rPr>
          <w:rFonts w:ascii="宋体" w:hAnsi="宋体" w:cs="宋体"/>
          <w:color w:val="auto"/>
          <w:sz w:val="24"/>
          <w:szCs w:val="24"/>
          <w:highlight w:val="none"/>
        </w:rPr>
      </w:pPr>
      <w:r>
        <w:rPr>
          <w:rFonts w:hint="eastAsia" w:ascii="宋体" w:hAnsi="宋体" w:cs="宋体"/>
          <w:b/>
          <w:color w:val="auto"/>
          <w:sz w:val="24"/>
          <w:szCs w:val="24"/>
          <w:highlight w:val="none"/>
        </w:rPr>
        <w:t>符合性审查表</w:t>
      </w:r>
    </w:p>
    <w:tbl>
      <w:tblPr>
        <w:tblStyle w:val="32"/>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410"/>
        <w:gridCol w:w="6020"/>
      </w:tblGrid>
      <w:tr w14:paraId="1022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526" w:type="dxa"/>
          </w:tcPr>
          <w:p w14:paraId="5F63C579">
            <w:pPr>
              <w:pStyle w:val="13"/>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2410" w:type="dxa"/>
          </w:tcPr>
          <w:p w14:paraId="5AD96437">
            <w:pPr>
              <w:pStyle w:val="13"/>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评审因素</w:t>
            </w:r>
          </w:p>
        </w:tc>
        <w:tc>
          <w:tcPr>
            <w:tcW w:w="6020" w:type="dxa"/>
          </w:tcPr>
          <w:p w14:paraId="01ABBA8E">
            <w:pPr>
              <w:pStyle w:val="13"/>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评审标准</w:t>
            </w:r>
          </w:p>
        </w:tc>
      </w:tr>
      <w:tr w14:paraId="52907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526" w:type="dxa"/>
            <w:vMerge w:val="restart"/>
            <w:vAlign w:val="center"/>
          </w:tcPr>
          <w:p w14:paraId="4BBD5540">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符合性评审标准</w:t>
            </w:r>
          </w:p>
        </w:tc>
        <w:tc>
          <w:tcPr>
            <w:tcW w:w="2410" w:type="dxa"/>
            <w:vAlign w:val="center"/>
          </w:tcPr>
          <w:p w14:paraId="27B8D8BA">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响应文件格式</w:t>
            </w:r>
          </w:p>
        </w:tc>
        <w:tc>
          <w:tcPr>
            <w:tcW w:w="6020" w:type="dxa"/>
            <w:vAlign w:val="center"/>
          </w:tcPr>
          <w:p w14:paraId="3638C022">
            <w:pPr>
              <w:pStyle w:val="13"/>
              <w:widowControl w:val="0"/>
              <w:ind w:firstLine="0"/>
              <w:rPr>
                <w:rFonts w:ascii="宋体" w:hAnsi="宋体" w:cs="宋体"/>
                <w:color w:val="auto"/>
                <w:sz w:val="24"/>
                <w:szCs w:val="24"/>
                <w:highlight w:val="none"/>
              </w:rPr>
            </w:pPr>
            <w:r>
              <w:rPr>
                <w:rFonts w:hint="eastAsia" w:ascii="宋体" w:hAnsi="宋体" w:cs="宋体"/>
                <w:color w:val="auto"/>
                <w:sz w:val="24"/>
                <w:szCs w:val="24"/>
                <w:highlight w:val="none"/>
              </w:rPr>
              <w:t>响应文件按第六章“响应文件格式”要求填写，内容完整且关键字迹清晰</w:t>
            </w:r>
          </w:p>
        </w:tc>
      </w:tr>
      <w:tr w14:paraId="28B2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tcPr>
          <w:p w14:paraId="45585098">
            <w:pPr>
              <w:pStyle w:val="13"/>
              <w:widowControl w:val="0"/>
              <w:ind w:firstLine="0"/>
              <w:jc w:val="center"/>
              <w:rPr>
                <w:rFonts w:ascii="宋体" w:hAnsi="宋体" w:cs="宋体"/>
                <w:color w:val="auto"/>
                <w:sz w:val="24"/>
                <w:szCs w:val="24"/>
                <w:highlight w:val="none"/>
              </w:rPr>
            </w:pPr>
          </w:p>
        </w:tc>
        <w:tc>
          <w:tcPr>
            <w:tcW w:w="2410" w:type="dxa"/>
            <w:vAlign w:val="center"/>
          </w:tcPr>
          <w:p w14:paraId="4D81B262">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响应文件签署、盖章</w:t>
            </w:r>
          </w:p>
        </w:tc>
        <w:tc>
          <w:tcPr>
            <w:tcW w:w="6020" w:type="dxa"/>
          </w:tcPr>
          <w:p w14:paraId="73AD6808">
            <w:pPr>
              <w:pStyle w:val="13"/>
              <w:widowControl w:val="0"/>
              <w:ind w:firstLine="0"/>
              <w:rPr>
                <w:rFonts w:ascii="宋体" w:hAnsi="宋体" w:cs="宋体"/>
                <w:color w:val="auto"/>
                <w:sz w:val="24"/>
                <w:szCs w:val="24"/>
                <w:highlight w:val="none"/>
              </w:rPr>
            </w:pPr>
            <w:r>
              <w:rPr>
                <w:rFonts w:hint="eastAsia" w:ascii="宋体" w:hAnsi="宋体" w:cs="宋体"/>
                <w:color w:val="auto"/>
                <w:sz w:val="24"/>
                <w:szCs w:val="24"/>
                <w:highlight w:val="none"/>
              </w:rPr>
              <w:t>按第六章“响应文件格式”要求在规定位置加盖单位公章、签字</w:t>
            </w:r>
          </w:p>
        </w:tc>
      </w:tr>
      <w:tr w14:paraId="6E7F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526" w:type="dxa"/>
            <w:vMerge w:val="continue"/>
          </w:tcPr>
          <w:p w14:paraId="6D933418">
            <w:pPr>
              <w:pStyle w:val="13"/>
              <w:widowControl w:val="0"/>
              <w:ind w:firstLine="0"/>
              <w:jc w:val="both"/>
              <w:rPr>
                <w:rFonts w:ascii="宋体" w:hAnsi="宋体" w:cs="宋体"/>
                <w:color w:val="auto"/>
                <w:sz w:val="24"/>
                <w:szCs w:val="24"/>
                <w:highlight w:val="none"/>
              </w:rPr>
            </w:pPr>
          </w:p>
        </w:tc>
        <w:tc>
          <w:tcPr>
            <w:tcW w:w="2410" w:type="dxa"/>
            <w:vAlign w:val="center"/>
          </w:tcPr>
          <w:p w14:paraId="6FFEA3EF">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谈判保证金</w:t>
            </w:r>
          </w:p>
        </w:tc>
        <w:tc>
          <w:tcPr>
            <w:tcW w:w="6020" w:type="dxa"/>
          </w:tcPr>
          <w:p w14:paraId="50F01CED">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符合第二章“供应商须知前附表”第3.4.1款规定</w:t>
            </w:r>
          </w:p>
        </w:tc>
      </w:tr>
      <w:tr w14:paraId="762A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tcPr>
          <w:p w14:paraId="018E5FA4">
            <w:pPr>
              <w:pStyle w:val="13"/>
              <w:widowControl w:val="0"/>
              <w:jc w:val="both"/>
              <w:rPr>
                <w:rFonts w:ascii="宋体" w:hAnsi="宋体" w:cs="宋体"/>
                <w:color w:val="auto"/>
                <w:sz w:val="24"/>
                <w:szCs w:val="24"/>
                <w:highlight w:val="none"/>
              </w:rPr>
            </w:pPr>
          </w:p>
        </w:tc>
        <w:tc>
          <w:tcPr>
            <w:tcW w:w="2410" w:type="dxa"/>
            <w:vAlign w:val="center"/>
          </w:tcPr>
          <w:p w14:paraId="562B8E5D">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谈判报价</w:t>
            </w:r>
          </w:p>
        </w:tc>
        <w:tc>
          <w:tcPr>
            <w:tcW w:w="6020" w:type="dxa"/>
          </w:tcPr>
          <w:p w14:paraId="30B9A94D">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符合第二章“供应商须知”第3.2项规定和第二章“供应商须知前附表”第3.2.3款规定</w:t>
            </w:r>
          </w:p>
        </w:tc>
      </w:tr>
      <w:tr w14:paraId="2EB8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526" w:type="dxa"/>
            <w:vMerge w:val="continue"/>
          </w:tcPr>
          <w:p w14:paraId="7749FA7C">
            <w:pPr>
              <w:pStyle w:val="13"/>
              <w:widowControl w:val="0"/>
              <w:jc w:val="both"/>
              <w:rPr>
                <w:rFonts w:ascii="宋体" w:hAnsi="宋体" w:cs="宋体"/>
                <w:color w:val="auto"/>
                <w:sz w:val="24"/>
                <w:szCs w:val="24"/>
                <w:highlight w:val="none"/>
              </w:rPr>
            </w:pPr>
          </w:p>
        </w:tc>
        <w:tc>
          <w:tcPr>
            <w:tcW w:w="2410" w:type="dxa"/>
            <w:vAlign w:val="center"/>
          </w:tcPr>
          <w:p w14:paraId="0A4C93D7">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谈判有效期</w:t>
            </w:r>
          </w:p>
        </w:tc>
        <w:tc>
          <w:tcPr>
            <w:tcW w:w="6020" w:type="dxa"/>
          </w:tcPr>
          <w:p w14:paraId="17CE472E">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符合第二章“供应商须知前附表”第3.3.1款规定</w:t>
            </w:r>
          </w:p>
        </w:tc>
      </w:tr>
      <w:tr w14:paraId="1C52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526" w:type="dxa"/>
            <w:vMerge w:val="continue"/>
          </w:tcPr>
          <w:p w14:paraId="7224024C">
            <w:pPr>
              <w:pStyle w:val="13"/>
              <w:widowControl w:val="0"/>
              <w:jc w:val="both"/>
              <w:rPr>
                <w:rFonts w:ascii="宋体" w:hAnsi="宋体" w:cs="宋体"/>
                <w:color w:val="auto"/>
                <w:sz w:val="24"/>
                <w:szCs w:val="24"/>
                <w:highlight w:val="none"/>
              </w:rPr>
            </w:pPr>
          </w:p>
        </w:tc>
        <w:tc>
          <w:tcPr>
            <w:tcW w:w="2410" w:type="dxa"/>
          </w:tcPr>
          <w:p w14:paraId="533AF2EC">
            <w:pPr>
              <w:pStyle w:val="13"/>
              <w:widowControl w:val="0"/>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交货期、质保期</w:t>
            </w:r>
          </w:p>
        </w:tc>
        <w:tc>
          <w:tcPr>
            <w:tcW w:w="6020" w:type="dxa"/>
          </w:tcPr>
          <w:p w14:paraId="29DACD79">
            <w:pPr>
              <w:pStyle w:val="13"/>
              <w:widowControl w:val="0"/>
              <w:ind w:firstLine="0"/>
              <w:jc w:val="both"/>
              <w:rPr>
                <w:rFonts w:ascii="宋体" w:hAnsi="宋体" w:cs="宋体"/>
                <w:bCs/>
                <w:color w:val="auto"/>
                <w:sz w:val="24"/>
                <w:szCs w:val="24"/>
                <w:highlight w:val="none"/>
              </w:rPr>
            </w:pPr>
            <w:r>
              <w:rPr>
                <w:rFonts w:hint="eastAsia" w:ascii="宋体" w:hAnsi="宋体" w:cs="宋体"/>
                <w:bCs/>
                <w:color w:val="auto"/>
                <w:sz w:val="24"/>
                <w:szCs w:val="24"/>
                <w:highlight w:val="none"/>
              </w:rPr>
              <w:t>符合第二章“供应商须知前附表”第1.3.2款规定</w:t>
            </w:r>
          </w:p>
        </w:tc>
      </w:tr>
      <w:tr w14:paraId="6C6F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526" w:type="dxa"/>
            <w:vMerge w:val="continue"/>
          </w:tcPr>
          <w:p w14:paraId="3787752C">
            <w:pPr>
              <w:pStyle w:val="13"/>
              <w:widowControl w:val="0"/>
              <w:jc w:val="both"/>
              <w:rPr>
                <w:rFonts w:ascii="宋体" w:hAnsi="宋体" w:cs="宋体"/>
                <w:color w:val="auto"/>
                <w:sz w:val="24"/>
                <w:szCs w:val="24"/>
                <w:highlight w:val="none"/>
              </w:rPr>
            </w:pPr>
          </w:p>
        </w:tc>
        <w:tc>
          <w:tcPr>
            <w:tcW w:w="2410" w:type="dxa"/>
          </w:tcPr>
          <w:p w14:paraId="1584EB07">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交货地点、交货方式</w:t>
            </w:r>
          </w:p>
        </w:tc>
        <w:tc>
          <w:tcPr>
            <w:tcW w:w="6020" w:type="dxa"/>
          </w:tcPr>
          <w:p w14:paraId="34E76D17">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符合第二章“供应商须知前附表”第1.3.3款规定</w:t>
            </w:r>
          </w:p>
        </w:tc>
      </w:tr>
      <w:tr w14:paraId="7E7D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526" w:type="dxa"/>
            <w:vMerge w:val="continue"/>
          </w:tcPr>
          <w:p w14:paraId="1654509D">
            <w:pPr>
              <w:pStyle w:val="13"/>
              <w:widowControl w:val="0"/>
              <w:jc w:val="both"/>
              <w:rPr>
                <w:rFonts w:ascii="宋体" w:hAnsi="宋体" w:cs="宋体"/>
                <w:color w:val="auto"/>
                <w:sz w:val="24"/>
                <w:szCs w:val="24"/>
                <w:highlight w:val="none"/>
              </w:rPr>
            </w:pPr>
          </w:p>
        </w:tc>
        <w:tc>
          <w:tcPr>
            <w:tcW w:w="2410" w:type="dxa"/>
          </w:tcPr>
          <w:p w14:paraId="5DCCF4E7">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付款方式</w:t>
            </w:r>
          </w:p>
        </w:tc>
        <w:tc>
          <w:tcPr>
            <w:tcW w:w="6020" w:type="dxa"/>
          </w:tcPr>
          <w:p w14:paraId="392D17D4">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符合第二章“供应商须知前附表”第11.4款规定</w:t>
            </w:r>
          </w:p>
        </w:tc>
      </w:tr>
      <w:tr w14:paraId="0203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26" w:type="dxa"/>
            <w:vMerge w:val="continue"/>
          </w:tcPr>
          <w:p w14:paraId="54F90CB4">
            <w:pPr>
              <w:pStyle w:val="13"/>
              <w:widowControl w:val="0"/>
              <w:jc w:val="both"/>
              <w:rPr>
                <w:rFonts w:ascii="宋体" w:hAnsi="宋体" w:cs="宋体"/>
                <w:color w:val="auto"/>
                <w:sz w:val="24"/>
                <w:szCs w:val="24"/>
                <w:highlight w:val="none"/>
              </w:rPr>
            </w:pPr>
          </w:p>
        </w:tc>
        <w:tc>
          <w:tcPr>
            <w:tcW w:w="2410" w:type="dxa"/>
          </w:tcPr>
          <w:p w14:paraId="63735B83">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highlight w:val="none"/>
              </w:rPr>
              <w:t>谈判内容</w:t>
            </w:r>
          </w:p>
        </w:tc>
        <w:tc>
          <w:tcPr>
            <w:tcW w:w="6020" w:type="dxa"/>
          </w:tcPr>
          <w:p w14:paraId="6D6A7BB0">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highlight w:val="none"/>
              </w:rPr>
              <w:t>供应商提供的货物无实质性遗漏</w:t>
            </w:r>
          </w:p>
        </w:tc>
      </w:tr>
      <w:tr w14:paraId="74A0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26" w:type="dxa"/>
            <w:vMerge w:val="continue"/>
          </w:tcPr>
          <w:p w14:paraId="0092F156">
            <w:pPr>
              <w:pStyle w:val="13"/>
              <w:widowControl w:val="0"/>
              <w:jc w:val="both"/>
              <w:rPr>
                <w:rFonts w:ascii="宋体" w:hAnsi="宋体" w:cs="宋体"/>
                <w:color w:val="auto"/>
                <w:sz w:val="24"/>
                <w:szCs w:val="24"/>
                <w:highlight w:val="none"/>
              </w:rPr>
            </w:pPr>
          </w:p>
        </w:tc>
        <w:tc>
          <w:tcPr>
            <w:tcW w:w="2410" w:type="dxa"/>
            <w:vAlign w:val="center"/>
          </w:tcPr>
          <w:p w14:paraId="589CBDE1">
            <w:pPr>
              <w:pStyle w:val="13"/>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highlight w:val="none"/>
              </w:rPr>
              <w:t>参数响应</w:t>
            </w:r>
          </w:p>
        </w:tc>
        <w:tc>
          <w:tcPr>
            <w:tcW w:w="6020" w:type="dxa"/>
          </w:tcPr>
          <w:p w14:paraId="66F98EAA">
            <w:pPr>
              <w:pStyle w:val="13"/>
              <w:widowControl w:val="0"/>
              <w:ind w:firstLine="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1.响应文件中针对谈判文件第五章《采购内容及要求》的“技术参数及性能要求”中标注五角星“★”条款不允许负偏离；</w:t>
            </w:r>
          </w:p>
          <w:p w14:paraId="01374F3A">
            <w:pPr>
              <w:pStyle w:val="13"/>
              <w:widowControl w:val="0"/>
              <w:ind w:firstLine="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2.响应文件中针对谈判文件第五章《采购内容及要求》的“技术参数及性能要求”中未标注五角星“★”条款允许2项以内（含2项）负偏离，否则，将被视为非实质性响应谈判文件</w:t>
            </w:r>
          </w:p>
        </w:tc>
      </w:tr>
      <w:tr w14:paraId="166F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tcPr>
          <w:p w14:paraId="46F72CD1">
            <w:pPr>
              <w:pStyle w:val="13"/>
              <w:widowControl w:val="0"/>
              <w:jc w:val="both"/>
              <w:rPr>
                <w:rFonts w:ascii="宋体" w:hAnsi="宋体" w:cs="宋体"/>
                <w:color w:val="auto"/>
                <w:sz w:val="24"/>
                <w:szCs w:val="24"/>
                <w:highlight w:val="none"/>
              </w:rPr>
            </w:pPr>
          </w:p>
        </w:tc>
        <w:tc>
          <w:tcPr>
            <w:tcW w:w="2410" w:type="dxa"/>
            <w:vAlign w:val="center"/>
          </w:tcPr>
          <w:p w14:paraId="20F7A747">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法定代表人授权委托书</w:t>
            </w:r>
          </w:p>
        </w:tc>
        <w:tc>
          <w:tcPr>
            <w:tcW w:w="6020" w:type="dxa"/>
          </w:tcPr>
          <w:p w14:paraId="33F19956">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法定代表人委托代理人谈判的，应附法定代表人授权委托书扫描件</w:t>
            </w:r>
          </w:p>
        </w:tc>
      </w:tr>
      <w:tr w14:paraId="7FA7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tcPr>
          <w:p w14:paraId="58F55AD0">
            <w:pPr>
              <w:pStyle w:val="13"/>
              <w:widowControl w:val="0"/>
              <w:jc w:val="both"/>
              <w:rPr>
                <w:rFonts w:ascii="宋体" w:hAnsi="宋体" w:cs="宋体"/>
                <w:color w:val="auto"/>
                <w:sz w:val="24"/>
                <w:szCs w:val="24"/>
                <w:highlight w:val="none"/>
              </w:rPr>
            </w:pPr>
          </w:p>
        </w:tc>
        <w:tc>
          <w:tcPr>
            <w:tcW w:w="2410" w:type="dxa"/>
            <w:vAlign w:val="center"/>
          </w:tcPr>
          <w:p w14:paraId="176E3939">
            <w:pPr>
              <w:widowControl w:val="0"/>
              <w:tabs>
                <w:tab w:val="left" w:pos="1260"/>
                <w:tab w:val="left" w:pos="1620"/>
              </w:tabs>
              <w:adjustRightInd w:val="0"/>
              <w:snapToGrid w:val="0"/>
              <w:jc w:val="center"/>
              <w:textAlignment w:val="baseline"/>
              <w:rPr>
                <w:rFonts w:ascii="宋体" w:hAnsi="宋体" w:cs="宋体"/>
                <w:color w:val="auto"/>
                <w:sz w:val="24"/>
                <w:szCs w:val="24"/>
                <w:highlight w:val="none"/>
              </w:rPr>
            </w:pPr>
            <w:r>
              <w:rPr>
                <w:rFonts w:hint="eastAsia" w:ascii="宋体" w:hAnsi="宋体" w:cs="宋体"/>
                <w:color w:val="auto"/>
                <w:sz w:val="24"/>
                <w:highlight w:val="none"/>
              </w:rPr>
              <w:t>其他无效情形</w:t>
            </w:r>
          </w:p>
        </w:tc>
        <w:tc>
          <w:tcPr>
            <w:tcW w:w="6020" w:type="dxa"/>
            <w:vAlign w:val="center"/>
          </w:tcPr>
          <w:p w14:paraId="50B3BB63">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(1)不同供应商的响应文件由同一单位或者个人编制；</w:t>
            </w:r>
          </w:p>
          <w:p w14:paraId="5B8F0F5B">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(2)不同供应商委托同一单位或者个人办理谈判事宜；</w:t>
            </w:r>
          </w:p>
          <w:p w14:paraId="5A28DBBC">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(3)不同供应商的响应文件载明的项目管理成员或者联系人员为同一人；</w:t>
            </w:r>
          </w:p>
          <w:p w14:paraId="51637CA6">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(4)不同供应商的响应文件异常一致或者谈判报价呈规律性差异；</w:t>
            </w:r>
          </w:p>
          <w:p w14:paraId="46E9977E">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(5)不同供应商的响应文件相互混装；</w:t>
            </w:r>
          </w:p>
          <w:p w14:paraId="00BE9FAC">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(6)不同供应商的谈判保证金从同一单位或者个人的账户转出；</w:t>
            </w:r>
          </w:p>
          <w:p w14:paraId="2E3CB120">
            <w:pPr>
              <w:pStyle w:val="13"/>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(7)法律、法规和谈判文件规定的其他无效情形。</w:t>
            </w:r>
          </w:p>
        </w:tc>
      </w:tr>
      <w:tr w14:paraId="348E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526" w:type="dxa"/>
            <w:vMerge w:val="continue"/>
          </w:tcPr>
          <w:p w14:paraId="4C48DA9C">
            <w:pPr>
              <w:pStyle w:val="13"/>
              <w:widowControl w:val="0"/>
              <w:jc w:val="both"/>
              <w:rPr>
                <w:rFonts w:ascii="宋体" w:hAnsi="宋体" w:cs="宋体"/>
                <w:color w:val="auto"/>
                <w:sz w:val="24"/>
                <w:szCs w:val="24"/>
                <w:highlight w:val="none"/>
              </w:rPr>
            </w:pPr>
          </w:p>
        </w:tc>
        <w:tc>
          <w:tcPr>
            <w:tcW w:w="2410" w:type="dxa"/>
          </w:tcPr>
          <w:p w14:paraId="2913FD85">
            <w:pPr>
              <w:pStyle w:val="13"/>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附加条件</w:t>
            </w:r>
          </w:p>
        </w:tc>
        <w:tc>
          <w:tcPr>
            <w:tcW w:w="6020" w:type="dxa"/>
          </w:tcPr>
          <w:p w14:paraId="073C56B2">
            <w:pPr>
              <w:pStyle w:val="13"/>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响应文件未含有采购人不能接受的附加条件</w:t>
            </w:r>
          </w:p>
        </w:tc>
      </w:tr>
    </w:tbl>
    <w:p w14:paraId="18621F00">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（三）谈判</w:t>
      </w:r>
    </w:p>
    <w:p w14:paraId="21790EC3">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谈判内容：采购需求、服务、价格等。</w:t>
      </w:r>
    </w:p>
    <w:p w14:paraId="6CD35F9A">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谈判小组所有成员应当集中与通过符合性审查的单一供应商分别进行谈判，供应商在规定时间内在政采云系统上传最后报价。</w:t>
      </w:r>
    </w:p>
    <w:p w14:paraId="31FBF7AF">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(四)澄清有关问题</w:t>
      </w:r>
    </w:p>
    <w:p w14:paraId="015B7D10">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1.响应文件内容澄清</w:t>
      </w:r>
    </w:p>
    <w:p w14:paraId="07D91D2F">
      <w:pPr>
        <w:pStyle w:val="1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对于响应文件中含义不明确、同类问题表述不一致或者有明显文字和计算错误的内容，谈判小组应当以书面形式要求供应商作出必要的澄清、说明或者补正。供应商的澄清、说明或者补正应当采用书面形式，并加盖单位公章，或者由法定代表人或其授权的代表签字。供应商的澄清、说明或者补正不得超出响应文件的范围或者改变响应文件的实质性内容。</w:t>
      </w:r>
    </w:p>
    <w:p w14:paraId="3D43E9E9">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2.报价不一致情形澄清</w:t>
      </w:r>
    </w:p>
    <w:p w14:paraId="6922118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响应文件报价出现前后不一致的，除谈判文件另有规定外，按照下列规定修正：</w:t>
      </w:r>
    </w:p>
    <w:p w14:paraId="0ACBC06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(1)响应文件中《报价表》内容与响应文件中相应内容不一致的，以《报价表》为准；</w:t>
      </w:r>
    </w:p>
    <w:p w14:paraId="49BFC11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(2)大写金额和小写金额不一致的，以大写金额为准；</w:t>
      </w:r>
    </w:p>
    <w:p w14:paraId="2B06193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(3)单价金额小数点或者百分比有明显错位的，以报价表的总价为准，并修改单价；</w:t>
      </w:r>
    </w:p>
    <w:p w14:paraId="41B5186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(4)总价金额与按单价汇总金额不一致的，以单价金额计算结果为准。</w:t>
      </w:r>
    </w:p>
    <w:p w14:paraId="6596FE38">
      <w:pPr>
        <w:pStyle w:val="1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同时出现两种以上不一致的，按照前款规定的顺序修正。修正后的报价经供应商确认后产生约束力，供应商不确认的，其谈判无效。</w:t>
      </w:r>
    </w:p>
    <w:p w14:paraId="62003B4E">
      <w:pPr>
        <w:pStyle w:val="13"/>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3.报价过低情形澄清</w:t>
      </w:r>
    </w:p>
    <w:p w14:paraId="5BD30438">
      <w:pPr>
        <w:pStyle w:val="13"/>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谈判小组认为供应商的报价(总价或单价)明显低于其他通过符合性审查供应商的报价(总价或单价)，有可能影响产品质量或者不能诚信履约的，应当要求其在评审现场合理的时间内提供书面说明，必要时提交相关证明材料；供应商不能证明其报价合理性的，谈判小组应当将其作为无效谈判处理。</w:t>
      </w:r>
    </w:p>
    <w:p w14:paraId="2BD3E8AE">
      <w:pPr>
        <w:spacing w:before="93" w:beforeLines="30" w:after="93" w:afterLines="30"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七、推荐</w:t>
      </w:r>
    </w:p>
    <w:p w14:paraId="360FBB07">
      <w:pPr>
        <w:autoSpaceDE w:val="0"/>
        <w:autoSpaceDN w:val="0"/>
        <w:spacing w:line="46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根据质量和服务均能满足谈判文件实质性要求，最后报价最低且在采购预算（最高限价）范围内的原则确定成交供应商。</w:t>
      </w:r>
    </w:p>
    <w:p w14:paraId="2B3A5B43">
      <w:pPr>
        <w:autoSpaceDE w:val="0"/>
        <w:autoSpaceDN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除采购人授权谈判小组直接确定成交人外，谈判小组应当从质量和服务均能满足谈判文件实质性响应的供应商中，按照最后报价由低到高的顺序提出3名以上成交候选人，并编写评审报告。</w:t>
      </w:r>
    </w:p>
    <w:p w14:paraId="3C39974D">
      <w:pPr>
        <w:autoSpaceDE w:val="0"/>
        <w:autoSpaceDN w:val="0"/>
        <w:spacing w:line="46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若在最后报价出现报价相同的情况，若存在节能环保产品参与谈判，优先采购节能环保产品。若不存在节能环保产品参与谈判，最终推荐结果由谈判小组进行记名投票表决。</w:t>
      </w:r>
    </w:p>
    <w:p w14:paraId="0B4E2F8B">
      <w:pPr>
        <w:autoSpaceDE w:val="0"/>
        <w:autoSpaceDN w:val="0"/>
        <w:spacing w:line="360" w:lineRule="auto"/>
        <w:ind w:firstLine="480" w:firstLineChars="200"/>
        <w:rPr>
          <w:rFonts w:ascii="宋体" w:hAnsi="宋体" w:cs="宋体"/>
          <w:color w:val="auto"/>
          <w:sz w:val="24"/>
          <w:szCs w:val="24"/>
          <w:highlight w:val="none"/>
        </w:rPr>
      </w:pPr>
    </w:p>
    <w:p w14:paraId="6AF2C353">
      <w:pPr>
        <w:pStyle w:val="2"/>
        <w:spacing w:before="0" w:after="0" w:line="360" w:lineRule="auto"/>
        <w:jc w:val="both"/>
        <w:rPr>
          <w:rFonts w:ascii="宋体" w:hAnsi="宋体" w:cs="宋体"/>
          <w:color w:val="auto"/>
          <w:highlight w:val="none"/>
        </w:rPr>
        <w:sectPr>
          <w:footerReference r:id="rId6" w:type="default"/>
          <w:pgSz w:w="11906" w:h="16838"/>
          <w:pgMar w:top="851" w:right="1134" w:bottom="1440" w:left="1133" w:header="851" w:footer="99" w:gutter="0"/>
          <w:pgNumType w:start="1"/>
          <w:cols w:space="720" w:num="1"/>
          <w:docGrid w:type="lines" w:linePitch="312" w:charSpace="0"/>
        </w:sectPr>
      </w:pPr>
    </w:p>
    <w:p w14:paraId="5E0A9784">
      <w:pPr>
        <w:pStyle w:val="2"/>
        <w:spacing w:before="0" w:after="0" w:line="360" w:lineRule="auto"/>
        <w:jc w:val="center"/>
        <w:rPr>
          <w:rFonts w:ascii="宋体" w:hAnsi="宋体" w:cs="宋体"/>
          <w:color w:val="auto"/>
          <w:highlight w:val="none"/>
        </w:rPr>
      </w:pPr>
      <w:bookmarkStart w:id="218" w:name="_Toc12421"/>
      <w:r>
        <w:rPr>
          <w:rFonts w:hint="eastAsia" w:ascii="宋体" w:hAnsi="宋体" w:cs="宋体"/>
          <w:color w:val="auto"/>
          <w:highlight w:val="none"/>
        </w:rPr>
        <w:t>第四章 合同草案条款及格式</w:t>
      </w:r>
      <w:bookmarkEnd w:id="218"/>
    </w:p>
    <w:p w14:paraId="03A5967C">
      <w:pPr>
        <w:rPr>
          <w:rFonts w:ascii="宋体" w:hAnsi="宋体" w:cs="宋体"/>
          <w:color w:val="auto"/>
          <w:highlight w:val="none"/>
        </w:rPr>
      </w:pPr>
      <w:r>
        <w:rPr>
          <w:rFonts w:hint="eastAsia" w:ascii="宋体" w:hAnsi="宋体" w:cs="宋体"/>
          <w:color w:val="auto"/>
          <w:highlight w:val="none"/>
        </w:rPr>
        <w:t xml:space="preserve"> </w:t>
      </w:r>
    </w:p>
    <w:bookmarkEnd w:id="217"/>
    <w:p w14:paraId="5AE46563">
      <w:pPr>
        <w:jc w:val="center"/>
        <w:rPr>
          <w:rFonts w:ascii="宋体" w:hAnsi="宋体" w:cs="宋体"/>
          <w:color w:val="auto"/>
          <w:sz w:val="24"/>
          <w:szCs w:val="24"/>
          <w:highlight w:val="none"/>
        </w:rPr>
      </w:pPr>
      <w:r>
        <w:rPr>
          <w:rFonts w:hint="eastAsia" w:ascii="宋体" w:hAnsi="宋体" w:cs="宋体"/>
          <w:color w:val="auto"/>
          <w:sz w:val="24"/>
          <w:szCs w:val="24"/>
          <w:highlight w:val="none"/>
        </w:rPr>
        <w:t>（以下合同内容仅供参考，具体合同内容以签订合同时甲乙双方商定为准）</w:t>
      </w:r>
    </w:p>
    <w:p w14:paraId="58692B33">
      <w:pPr>
        <w:spacing w:after="240"/>
        <w:rPr>
          <w:rFonts w:ascii="宋体" w:hAnsi="宋体" w:cs="宋体"/>
          <w:color w:val="auto"/>
          <w:sz w:val="24"/>
          <w:highlight w:val="none"/>
        </w:rPr>
      </w:pPr>
    </w:p>
    <w:p w14:paraId="099A8B36">
      <w:pPr>
        <w:spacing w:after="240"/>
        <w:rPr>
          <w:rFonts w:ascii="宋体" w:hAnsi="宋体" w:cs="宋体"/>
          <w:color w:val="auto"/>
          <w:sz w:val="24"/>
          <w:highlight w:val="none"/>
        </w:rPr>
      </w:pPr>
      <w:r>
        <w:rPr>
          <w:rFonts w:hint="eastAsia" w:ascii="宋体" w:hAnsi="宋体" w:cs="宋体"/>
          <w:color w:val="auto"/>
          <w:sz w:val="24"/>
          <w:highlight w:val="none"/>
        </w:rPr>
        <w:t>合同编号：             合同自编号：</w:t>
      </w:r>
      <w:r>
        <w:rPr>
          <w:rFonts w:hint="eastAsia" w:ascii="宋体" w:hAnsi="宋体" w:cs="宋体"/>
          <w:color w:val="auto"/>
          <w:sz w:val="18"/>
          <w:szCs w:val="18"/>
          <w:highlight w:val="none"/>
        </w:rPr>
        <w:t xml:space="preserve"> </w:t>
      </w:r>
      <w:r>
        <w:rPr>
          <w:rFonts w:hint="eastAsia" w:ascii="宋体" w:hAnsi="宋体" w:cs="宋体"/>
          <w:color w:val="auto"/>
          <w:sz w:val="18"/>
          <w:szCs w:val="18"/>
          <w:highlight w:val="none"/>
        </w:rPr>
        <w:tab/>
      </w:r>
      <w:r>
        <w:rPr>
          <w:rFonts w:hint="eastAsia" w:ascii="宋体" w:hAnsi="宋体" w:cs="宋体"/>
          <w:color w:val="auto"/>
          <w:sz w:val="18"/>
          <w:szCs w:val="18"/>
          <w:highlight w:val="none"/>
        </w:rPr>
        <w:t xml:space="preserve">      </w:t>
      </w:r>
      <w:r>
        <w:rPr>
          <w:rFonts w:hint="eastAsia" w:ascii="宋体" w:hAnsi="宋体" w:cs="宋体"/>
          <w:color w:val="auto"/>
          <w:sz w:val="24"/>
          <w:highlight w:val="none"/>
        </w:rPr>
        <w:t xml:space="preserve">项目编号：  </w:t>
      </w:r>
    </w:p>
    <w:p w14:paraId="1C6B57EA">
      <w:pPr>
        <w:spacing w:after="240"/>
        <w:rPr>
          <w:rFonts w:ascii="宋体" w:hAnsi="宋体" w:cs="宋体"/>
          <w:color w:val="auto"/>
          <w:sz w:val="24"/>
          <w:highlight w:val="none"/>
        </w:rPr>
      </w:pPr>
      <w:r>
        <w:rPr>
          <w:rFonts w:hint="eastAsia" w:ascii="宋体" w:hAnsi="宋体" w:cs="宋体"/>
          <w:color w:val="auto"/>
          <w:sz w:val="24"/>
          <w:highlight w:val="none"/>
        </w:rPr>
        <w:t>本合同须加盖甲乙双方骑缝章有效</w:t>
      </w:r>
    </w:p>
    <w:p w14:paraId="4EF6BCC3">
      <w:pPr>
        <w:spacing w:after="240"/>
        <w:rPr>
          <w:rFonts w:ascii="宋体" w:hAnsi="宋体" w:cs="宋体"/>
          <w:color w:val="auto"/>
          <w:sz w:val="18"/>
          <w:szCs w:val="18"/>
          <w:highlight w:val="none"/>
        </w:rPr>
      </w:pPr>
    </w:p>
    <w:p w14:paraId="562A2467">
      <w:pPr>
        <w:spacing w:after="240"/>
        <w:jc w:val="center"/>
        <w:rPr>
          <w:rFonts w:ascii="宋体" w:hAnsi="宋体" w:cs="宋体"/>
          <w:color w:val="auto"/>
          <w:sz w:val="39"/>
          <w:szCs w:val="39"/>
          <w:highlight w:val="none"/>
        </w:rPr>
      </w:pPr>
      <w:r>
        <w:rPr>
          <w:rFonts w:hint="eastAsia" w:ascii="宋体" w:hAnsi="宋体" w:cs="宋体"/>
          <w:color w:val="auto"/>
          <w:sz w:val="39"/>
          <w:szCs w:val="39"/>
          <w:highlight w:val="none"/>
        </w:rPr>
        <w:t>云南省省级政府采购</w:t>
      </w:r>
    </w:p>
    <w:p w14:paraId="51F9F4BB">
      <w:pPr>
        <w:spacing w:after="240"/>
        <w:jc w:val="center"/>
        <w:rPr>
          <w:rFonts w:ascii="宋体" w:hAnsi="宋体" w:cs="宋体"/>
          <w:color w:val="auto"/>
          <w:sz w:val="39"/>
          <w:szCs w:val="39"/>
          <w:highlight w:val="none"/>
        </w:rPr>
      </w:pPr>
    </w:p>
    <w:p w14:paraId="58F108D5">
      <w:pPr>
        <w:spacing w:after="240"/>
        <w:jc w:val="center"/>
        <w:rPr>
          <w:rFonts w:ascii="宋体" w:hAnsi="宋体" w:cs="宋体"/>
          <w:color w:val="auto"/>
          <w:sz w:val="18"/>
          <w:szCs w:val="18"/>
          <w:highlight w:val="none"/>
        </w:rPr>
      </w:pPr>
      <w:r>
        <w:rPr>
          <w:rFonts w:hint="eastAsia" w:ascii="宋体" w:hAnsi="宋体" w:cs="宋体"/>
          <w:color w:val="auto"/>
          <w:sz w:val="33"/>
          <w:szCs w:val="33"/>
          <w:highlight w:val="none"/>
        </w:rPr>
        <w:t>（委托采购）</w:t>
      </w:r>
      <w:r>
        <w:rPr>
          <w:rFonts w:hint="eastAsia" w:ascii="宋体" w:hAnsi="宋体" w:cs="宋体"/>
          <w:color w:val="auto"/>
          <w:sz w:val="18"/>
          <w:szCs w:val="18"/>
          <w:highlight w:val="none"/>
        </w:rPr>
        <w:t xml:space="preserve"> </w:t>
      </w:r>
    </w:p>
    <w:p w14:paraId="18860E29">
      <w:pPr>
        <w:spacing w:after="240"/>
        <w:jc w:val="both"/>
        <w:rPr>
          <w:rFonts w:ascii="宋体" w:hAnsi="宋体" w:cs="宋体"/>
          <w:color w:val="auto"/>
          <w:sz w:val="18"/>
          <w:szCs w:val="18"/>
          <w:highlight w:val="none"/>
        </w:rPr>
      </w:pPr>
    </w:p>
    <w:p w14:paraId="5CBEF97D">
      <w:pPr>
        <w:spacing w:after="240"/>
        <w:jc w:val="center"/>
        <w:rPr>
          <w:rFonts w:ascii="宋体" w:hAnsi="宋体" w:cs="宋体"/>
          <w:color w:val="auto"/>
          <w:sz w:val="18"/>
          <w:szCs w:val="18"/>
          <w:highlight w:val="none"/>
        </w:rPr>
      </w:pPr>
    </w:p>
    <w:p w14:paraId="74E162C6">
      <w:pPr>
        <w:spacing w:after="240"/>
        <w:jc w:val="center"/>
        <w:rPr>
          <w:rFonts w:ascii="宋体" w:hAnsi="宋体" w:cs="宋体"/>
          <w:color w:val="auto"/>
          <w:sz w:val="18"/>
          <w:szCs w:val="18"/>
          <w:highlight w:val="none"/>
        </w:rPr>
      </w:pPr>
      <w:r>
        <w:rPr>
          <w:rFonts w:hint="eastAsia" w:ascii="宋体" w:hAnsi="宋体" w:cs="宋体"/>
          <w:color w:val="auto"/>
          <w:sz w:val="63"/>
          <w:szCs w:val="63"/>
          <w:highlight w:val="none"/>
        </w:rPr>
        <w:t>合</w:t>
      </w:r>
      <w:r>
        <w:rPr>
          <w:rFonts w:hint="eastAsia" w:ascii="宋体" w:hAnsi="宋体" w:cs="宋体"/>
          <w:color w:val="auto"/>
          <w:sz w:val="18"/>
          <w:szCs w:val="18"/>
          <w:highlight w:val="none"/>
        </w:rPr>
        <w:t xml:space="preserve"> </w:t>
      </w:r>
    </w:p>
    <w:p w14:paraId="397504BA">
      <w:pPr>
        <w:spacing w:after="240"/>
        <w:jc w:val="center"/>
        <w:rPr>
          <w:rFonts w:ascii="宋体" w:hAnsi="宋体" w:cs="宋体"/>
          <w:color w:val="auto"/>
          <w:sz w:val="18"/>
          <w:szCs w:val="18"/>
          <w:highlight w:val="none"/>
        </w:rPr>
      </w:pPr>
      <w:r>
        <w:rPr>
          <w:rFonts w:hint="eastAsia" w:ascii="宋体" w:hAnsi="宋体" w:cs="宋体"/>
          <w:color w:val="auto"/>
          <w:sz w:val="63"/>
          <w:szCs w:val="63"/>
          <w:highlight w:val="none"/>
        </w:rPr>
        <w:t>同</w:t>
      </w:r>
    </w:p>
    <w:p w14:paraId="51CD4866">
      <w:pPr>
        <w:spacing w:after="240"/>
        <w:jc w:val="center"/>
        <w:rPr>
          <w:rFonts w:ascii="宋体" w:hAnsi="宋体" w:cs="宋体"/>
          <w:color w:val="auto"/>
          <w:sz w:val="18"/>
          <w:szCs w:val="18"/>
          <w:highlight w:val="none"/>
        </w:rPr>
      </w:pPr>
      <w:r>
        <w:rPr>
          <w:rFonts w:hint="eastAsia" w:ascii="宋体" w:hAnsi="宋体" w:cs="宋体"/>
          <w:color w:val="auto"/>
          <w:sz w:val="63"/>
          <w:szCs w:val="63"/>
          <w:highlight w:val="none"/>
        </w:rPr>
        <w:t>书</w:t>
      </w:r>
      <w:r>
        <w:rPr>
          <w:rFonts w:hint="eastAsia" w:ascii="宋体" w:hAnsi="宋体" w:cs="宋体"/>
          <w:color w:val="auto"/>
          <w:sz w:val="18"/>
          <w:szCs w:val="18"/>
          <w:highlight w:val="none"/>
        </w:rPr>
        <w:t xml:space="preserve"> </w:t>
      </w:r>
    </w:p>
    <w:p w14:paraId="35CCB8F5">
      <w:pPr>
        <w:spacing w:after="240"/>
        <w:jc w:val="both"/>
        <w:rPr>
          <w:rFonts w:ascii="宋体" w:hAnsi="宋体" w:cs="宋体"/>
          <w:color w:val="auto"/>
          <w:sz w:val="18"/>
          <w:szCs w:val="18"/>
          <w:highlight w:val="none"/>
        </w:rPr>
      </w:pPr>
    </w:p>
    <w:p w14:paraId="5491D9A3">
      <w:pPr>
        <w:spacing w:after="240"/>
        <w:jc w:val="center"/>
        <w:rPr>
          <w:rFonts w:ascii="宋体" w:hAnsi="宋体" w:cs="宋体"/>
          <w:color w:val="auto"/>
          <w:sz w:val="18"/>
          <w:szCs w:val="18"/>
          <w:highlight w:val="none"/>
        </w:rPr>
      </w:pPr>
    </w:p>
    <w:p w14:paraId="3BDBE687">
      <w:pPr>
        <w:spacing w:after="240"/>
        <w:jc w:val="center"/>
        <w:rPr>
          <w:rFonts w:ascii="宋体" w:hAnsi="宋体" w:cs="宋体"/>
          <w:color w:val="auto"/>
          <w:sz w:val="18"/>
          <w:szCs w:val="18"/>
          <w:highlight w:val="none"/>
        </w:rPr>
      </w:pPr>
      <w:r>
        <w:rPr>
          <w:rFonts w:hint="eastAsia" w:ascii="宋体" w:hAnsi="宋体" w:cs="宋体"/>
          <w:b/>
          <w:bCs/>
          <w:color w:val="auto"/>
          <w:sz w:val="27"/>
          <w:szCs w:val="27"/>
          <w:highlight w:val="none"/>
        </w:rPr>
        <w:t>签订地点:云南省昆明市</w:t>
      </w:r>
      <w:r>
        <w:rPr>
          <w:rFonts w:hint="eastAsia" w:ascii="宋体" w:hAnsi="宋体" w:cs="宋体"/>
          <w:color w:val="auto"/>
          <w:sz w:val="18"/>
          <w:szCs w:val="18"/>
          <w:highlight w:val="none"/>
        </w:rPr>
        <w:t xml:space="preserve"> </w:t>
      </w:r>
    </w:p>
    <w:p w14:paraId="426053D8">
      <w:pPr>
        <w:spacing w:after="240"/>
        <w:jc w:val="center"/>
        <w:rPr>
          <w:rFonts w:ascii="宋体" w:hAnsi="宋体" w:cs="宋体"/>
          <w:b/>
          <w:bCs/>
          <w:color w:val="auto"/>
          <w:sz w:val="27"/>
          <w:szCs w:val="27"/>
          <w:highlight w:val="none"/>
        </w:rPr>
      </w:pPr>
      <w:r>
        <w:rPr>
          <w:rFonts w:hint="eastAsia" w:ascii="宋体" w:hAnsi="宋体" w:cs="宋体"/>
          <w:b/>
          <w:bCs/>
          <w:color w:val="auto"/>
          <w:sz w:val="27"/>
          <w:szCs w:val="27"/>
          <w:highlight w:val="none"/>
        </w:rPr>
        <w:t xml:space="preserve">签订日期:202 年 月  日 </w:t>
      </w:r>
    </w:p>
    <w:p w14:paraId="0E6FD453">
      <w:pPr>
        <w:spacing w:after="240"/>
        <w:jc w:val="center"/>
        <w:rPr>
          <w:rFonts w:ascii="宋体" w:hAnsi="宋体" w:cs="宋体"/>
          <w:b/>
          <w:bCs/>
          <w:color w:val="auto"/>
          <w:sz w:val="27"/>
          <w:szCs w:val="27"/>
          <w:highlight w:val="none"/>
        </w:rPr>
      </w:pPr>
      <w:r>
        <w:rPr>
          <w:rFonts w:hint="eastAsia" w:ascii="宋体" w:hAnsi="宋体" w:cs="宋体"/>
          <w:b/>
          <w:bCs/>
          <w:color w:val="auto"/>
          <w:sz w:val="27"/>
          <w:szCs w:val="27"/>
          <w:highlight w:val="none"/>
        </w:rPr>
        <w:t xml:space="preserve">云南省财政厅 制 </w:t>
      </w:r>
    </w:p>
    <w:p w14:paraId="4CB3F263">
      <w:pPr>
        <w:spacing w:line="360" w:lineRule="auto"/>
        <w:ind w:firstLine="548" w:firstLineChars="202"/>
        <w:rPr>
          <w:rFonts w:ascii="宋体" w:hAnsi="宋体" w:cs="宋体"/>
          <w:b/>
          <w:bCs/>
          <w:color w:val="auto"/>
          <w:sz w:val="27"/>
          <w:szCs w:val="27"/>
          <w:highlight w:val="none"/>
        </w:rPr>
      </w:pPr>
      <w:r>
        <w:rPr>
          <w:rFonts w:hint="eastAsia" w:ascii="宋体" w:hAnsi="宋体" w:cs="宋体"/>
          <w:b/>
          <w:bCs/>
          <w:color w:val="auto"/>
          <w:sz w:val="27"/>
          <w:szCs w:val="27"/>
          <w:highlight w:val="none"/>
        </w:rPr>
        <w:br w:type="page"/>
      </w:r>
    </w:p>
    <w:p w14:paraId="7811D4C2">
      <w:pPr>
        <w:spacing w:line="360" w:lineRule="auto"/>
        <w:ind w:firstLine="548" w:firstLineChars="202"/>
        <w:rPr>
          <w:rFonts w:ascii="宋体" w:hAnsi="宋体" w:cs="宋体"/>
          <w:b/>
          <w:bCs/>
          <w:color w:val="auto"/>
          <w:sz w:val="27"/>
          <w:szCs w:val="27"/>
          <w:highlight w:val="none"/>
        </w:rPr>
      </w:pPr>
    </w:p>
    <w:p w14:paraId="173720CB">
      <w:pPr>
        <w:spacing w:line="360" w:lineRule="auto"/>
        <w:ind w:firstLine="548" w:firstLineChars="202"/>
        <w:rPr>
          <w:rFonts w:ascii="宋体" w:hAnsi="宋体" w:cs="宋体"/>
          <w:b/>
          <w:bCs/>
          <w:color w:val="auto"/>
          <w:sz w:val="27"/>
          <w:szCs w:val="27"/>
          <w:highlight w:val="none"/>
        </w:rPr>
      </w:pPr>
    </w:p>
    <w:p w14:paraId="1C4F306D">
      <w:pPr>
        <w:spacing w:line="360" w:lineRule="auto"/>
        <w:ind w:firstLine="484" w:firstLineChars="202"/>
        <w:rPr>
          <w:rFonts w:ascii="宋体" w:hAnsi="宋体" w:cs="宋体"/>
          <w:color w:val="auto"/>
          <w:sz w:val="24"/>
          <w:szCs w:val="24"/>
          <w:highlight w:val="none"/>
        </w:rPr>
      </w:pPr>
      <w:r>
        <w:rPr>
          <w:rFonts w:hint="eastAsia" w:ascii="宋体" w:hAnsi="宋体" w:cs="宋体"/>
          <w:color w:val="auto"/>
          <w:sz w:val="24"/>
          <w:szCs w:val="24"/>
          <w:highlight w:val="none"/>
        </w:rPr>
        <w:t>甲方（采购人公章）名    称：云南大学</w:t>
      </w:r>
    </w:p>
    <w:p w14:paraId="25A7C27D">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 xml:space="preserve">地    址： </w:t>
      </w:r>
    </w:p>
    <w:p w14:paraId="68B512FE">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 xml:space="preserve">邮    编： </w:t>
      </w:r>
    </w:p>
    <w:p w14:paraId="17F61B03">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5B638824">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项目（技术）负责人：</w:t>
      </w:r>
    </w:p>
    <w:p w14:paraId="5E6B0059">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 xml:space="preserve">电    话： </w:t>
      </w:r>
    </w:p>
    <w:p w14:paraId="656AD9A9">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开 户 银 行：</w:t>
      </w:r>
    </w:p>
    <w:p w14:paraId="6A6A61B3">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账    号：</w:t>
      </w:r>
    </w:p>
    <w:p w14:paraId="35C65463">
      <w:pPr>
        <w:spacing w:line="360" w:lineRule="auto"/>
        <w:ind w:left="2268" w:leftChars="1080"/>
        <w:rPr>
          <w:rFonts w:ascii="宋体" w:hAnsi="宋体" w:cs="宋体"/>
          <w:color w:val="auto"/>
          <w:sz w:val="24"/>
          <w:szCs w:val="24"/>
          <w:highlight w:val="none"/>
        </w:rPr>
      </w:pPr>
    </w:p>
    <w:p w14:paraId="472B92C1">
      <w:pPr>
        <w:spacing w:line="360" w:lineRule="auto"/>
        <w:ind w:left="2268" w:leftChars="1080"/>
        <w:rPr>
          <w:rFonts w:ascii="宋体" w:hAnsi="宋体" w:cs="宋体"/>
          <w:color w:val="auto"/>
          <w:sz w:val="24"/>
          <w:szCs w:val="24"/>
          <w:highlight w:val="none"/>
        </w:rPr>
      </w:pPr>
    </w:p>
    <w:p w14:paraId="617BC1E4">
      <w:pPr>
        <w:spacing w:line="360" w:lineRule="auto"/>
        <w:ind w:left="2268" w:leftChars="1080"/>
        <w:rPr>
          <w:rFonts w:ascii="宋体" w:hAnsi="宋体" w:cs="宋体"/>
          <w:color w:val="auto"/>
          <w:sz w:val="24"/>
          <w:szCs w:val="24"/>
          <w:highlight w:val="none"/>
        </w:rPr>
      </w:pPr>
    </w:p>
    <w:p w14:paraId="0DAE5FB2">
      <w:pPr>
        <w:spacing w:line="360" w:lineRule="auto"/>
        <w:ind w:left="2268" w:leftChars="1080"/>
        <w:rPr>
          <w:rFonts w:ascii="宋体" w:hAnsi="宋体" w:cs="宋体"/>
          <w:color w:val="auto"/>
          <w:sz w:val="24"/>
          <w:szCs w:val="24"/>
          <w:highlight w:val="none"/>
        </w:rPr>
      </w:pPr>
    </w:p>
    <w:p w14:paraId="37733E9B">
      <w:pPr>
        <w:spacing w:line="360" w:lineRule="auto"/>
        <w:ind w:left="2268" w:leftChars="1080"/>
        <w:rPr>
          <w:rFonts w:ascii="宋体" w:hAnsi="宋体" w:cs="宋体"/>
          <w:color w:val="auto"/>
          <w:sz w:val="24"/>
          <w:szCs w:val="24"/>
          <w:highlight w:val="none"/>
        </w:rPr>
      </w:pPr>
    </w:p>
    <w:p w14:paraId="4777761A">
      <w:pPr>
        <w:spacing w:line="360" w:lineRule="auto"/>
        <w:ind w:firstLine="484" w:firstLineChars="202"/>
        <w:rPr>
          <w:rFonts w:ascii="宋体" w:hAnsi="宋体" w:cs="宋体"/>
          <w:color w:val="auto"/>
          <w:sz w:val="24"/>
          <w:szCs w:val="24"/>
          <w:highlight w:val="none"/>
        </w:rPr>
      </w:pPr>
      <w:r>
        <w:rPr>
          <w:rFonts w:hint="eastAsia" w:ascii="宋体" w:hAnsi="宋体" w:cs="宋体"/>
          <w:color w:val="auto"/>
          <w:sz w:val="24"/>
          <w:szCs w:val="24"/>
          <w:highlight w:val="none"/>
        </w:rPr>
        <w:t xml:space="preserve">乙方（供应商公章）名    称： </w:t>
      </w:r>
    </w:p>
    <w:p w14:paraId="02822255">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地    址：</w:t>
      </w:r>
    </w:p>
    <w:p w14:paraId="510400ED">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邮    编：</w:t>
      </w:r>
    </w:p>
    <w:p w14:paraId="1EFE0DF5">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14:paraId="49CDDEAA">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委托代理人：                  </w:t>
      </w:r>
    </w:p>
    <w:p w14:paraId="26BDF2D7">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电话：</w:t>
      </w:r>
    </w:p>
    <w:p w14:paraId="28E506F0">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开户银行：</w:t>
      </w:r>
    </w:p>
    <w:p w14:paraId="5D94FFB9">
      <w:pPr>
        <w:spacing w:line="360" w:lineRule="auto"/>
        <w:ind w:left="2409" w:leftChars="1147"/>
        <w:rPr>
          <w:rFonts w:ascii="宋体" w:hAnsi="宋体" w:cs="宋体"/>
          <w:color w:val="auto"/>
          <w:sz w:val="24"/>
          <w:szCs w:val="24"/>
          <w:highlight w:val="none"/>
        </w:rPr>
      </w:pPr>
      <w:r>
        <w:rPr>
          <w:rFonts w:hint="eastAsia" w:ascii="宋体" w:hAnsi="宋体" w:cs="宋体"/>
          <w:color w:val="auto"/>
          <w:sz w:val="24"/>
          <w:szCs w:val="24"/>
          <w:highlight w:val="none"/>
        </w:rPr>
        <w:t>账    号：</w:t>
      </w:r>
    </w:p>
    <w:p w14:paraId="11CD3363">
      <w:pPr>
        <w:spacing w:line="360" w:lineRule="auto"/>
        <w:ind w:left="2268" w:leftChars="1080"/>
        <w:rPr>
          <w:rFonts w:ascii="宋体" w:hAnsi="宋体" w:cs="宋体"/>
          <w:vanish/>
          <w:color w:val="auto"/>
          <w:sz w:val="24"/>
          <w:szCs w:val="24"/>
          <w:highlight w:val="none"/>
        </w:rPr>
      </w:pPr>
    </w:p>
    <w:p w14:paraId="02C8D35C">
      <w:pPr>
        <w:spacing w:before="100" w:beforeAutospacing="1" w:after="100" w:afterAutospacing="1"/>
        <w:jc w:val="center"/>
        <w:rPr>
          <w:rFonts w:ascii="宋体" w:hAnsi="宋体" w:cs="宋体"/>
          <w:b/>
          <w:bCs/>
          <w:color w:val="auto"/>
          <w:sz w:val="27"/>
          <w:szCs w:val="27"/>
          <w:highlight w:val="none"/>
        </w:rPr>
        <w:sectPr>
          <w:footerReference r:id="rId7" w:type="default"/>
          <w:pgSz w:w="11906" w:h="16838"/>
          <w:pgMar w:top="851" w:right="1134" w:bottom="1440" w:left="1133" w:header="851" w:footer="99" w:gutter="0"/>
          <w:pgNumType w:start="26"/>
          <w:cols w:space="720" w:num="1"/>
          <w:docGrid w:type="lines" w:linePitch="312" w:charSpace="0"/>
        </w:sectPr>
      </w:pPr>
    </w:p>
    <w:p w14:paraId="48E7C715">
      <w:pPr>
        <w:spacing w:before="317" w:beforeLines="100" w:after="317" w:afterLines="100"/>
        <w:jc w:val="center"/>
        <w:rPr>
          <w:rFonts w:ascii="宋体" w:hAnsi="宋体" w:cs="宋体"/>
          <w:bCs/>
          <w:color w:val="auto"/>
          <w:sz w:val="44"/>
          <w:szCs w:val="44"/>
          <w:highlight w:val="none"/>
        </w:rPr>
      </w:pPr>
      <w:r>
        <w:rPr>
          <w:rFonts w:hint="eastAsia" w:ascii="宋体" w:hAnsi="宋体" w:cs="宋体"/>
          <w:bCs/>
          <w:color w:val="auto"/>
          <w:sz w:val="44"/>
          <w:szCs w:val="44"/>
          <w:highlight w:val="none"/>
        </w:rPr>
        <w:t>云南大学货物采购合同</w:t>
      </w:r>
    </w:p>
    <w:p w14:paraId="419A35AF">
      <w:pPr>
        <w:widowControl w:val="0"/>
        <w:tabs>
          <w:tab w:val="right" w:pos="8222"/>
        </w:tabs>
        <w:spacing w:line="440" w:lineRule="exact"/>
        <w:rPr>
          <w:rFonts w:ascii="宋体" w:hAnsi="宋体" w:cs="宋体"/>
          <w:bCs/>
          <w:color w:val="auto"/>
          <w:sz w:val="24"/>
          <w:highlight w:val="none"/>
        </w:rPr>
      </w:pPr>
      <w:r>
        <w:rPr>
          <w:rFonts w:hint="eastAsia" w:ascii="宋体" w:hAnsi="宋体" w:cs="宋体"/>
          <w:bCs/>
          <w:color w:val="auto"/>
          <w:sz w:val="24"/>
          <w:highlight w:val="none"/>
        </w:rPr>
        <w:t>计划编号：</w:t>
      </w:r>
      <w:r>
        <w:rPr>
          <w:rFonts w:hint="eastAsia" w:ascii="宋体" w:hAnsi="宋体" w:cs="宋体"/>
          <w:bCs/>
          <w:color w:val="auto"/>
          <w:sz w:val="24"/>
          <w:highlight w:val="none"/>
        </w:rPr>
        <w:tab/>
      </w:r>
      <w:r>
        <w:rPr>
          <w:rFonts w:hint="eastAsia" w:ascii="宋体" w:hAnsi="宋体" w:cs="宋体"/>
          <w:bCs/>
          <w:color w:val="auto"/>
          <w:sz w:val="24"/>
          <w:highlight w:val="none"/>
        </w:rPr>
        <w:t>合同编号：</w:t>
      </w:r>
    </w:p>
    <w:p w14:paraId="02462257">
      <w:pPr>
        <w:widowControl w:val="0"/>
        <w:spacing w:line="440" w:lineRule="exact"/>
        <w:rPr>
          <w:rFonts w:ascii="宋体" w:hAnsi="宋体" w:cs="宋体"/>
          <w:bCs/>
          <w:color w:val="auto"/>
          <w:sz w:val="24"/>
          <w:highlight w:val="none"/>
        </w:rPr>
      </w:pPr>
    </w:p>
    <w:p w14:paraId="3A50E219">
      <w:pPr>
        <w:widowControl w:val="0"/>
        <w:spacing w:line="440" w:lineRule="exact"/>
        <w:rPr>
          <w:rFonts w:ascii="宋体" w:hAnsi="宋体" w:cs="宋体"/>
          <w:bCs/>
          <w:color w:val="auto"/>
          <w:sz w:val="24"/>
          <w:highlight w:val="none"/>
        </w:rPr>
      </w:pPr>
      <w:r>
        <w:rPr>
          <w:rFonts w:hint="eastAsia" w:ascii="宋体" w:hAnsi="宋体" w:cs="宋体"/>
          <w:bCs/>
          <w:color w:val="auto"/>
          <w:sz w:val="24"/>
          <w:highlight w:val="none"/>
        </w:rPr>
        <w:t>采购方（甲方）：云南大学</w:t>
      </w:r>
    </w:p>
    <w:p w14:paraId="7CFC90ED">
      <w:pPr>
        <w:widowControl w:val="0"/>
        <w:spacing w:line="440" w:lineRule="exact"/>
        <w:rPr>
          <w:rFonts w:ascii="宋体" w:hAnsi="宋体" w:cs="宋体"/>
          <w:bCs/>
          <w:color w:val="auto"/>
          <w:highlight w:val="none"/>
        </w:rPr>
      </w:pPr>
      <w:r>
        <w:rPr>
          <w:rFonts w:hint="eastAsia" w:ascii="宋体" w:hAnsi="宋体" w:cs="宋体"/>
          <w:bCs/>
          <w:color w:val="auto"/>
          <w:sz w:val="24"/>
          <w:highlight w:val="none"/>
        </w:rPr>
        <w:t>统一社会信用代码：125300004312032649</w:t>
      </w:r>
    </w:p>
    <w:p w14:paraId="5A1D90B5">
      <w:pPr>
        <w:widowControl w:val="0"/>
        <w:spacing w:line="440" w:lineRule="exact"/>
        <w:rPr>
          <w:rFonts w:ascii="宋体" w:hAnsi="宋体" w:cs="宋体"/>
          <w:bCs/>
          <w:color w:val="auto"/>
          <w:sz w:val="24"/>
          <w:highlight w:val="none"/>
        </w:rPr>
      </w:pPr>
      <w:r>
        <w:rPr>
          <w:rFonts w:hint="eastAsia" w:ascii="宋体" w:hAnsi="宋体" w:cs="宋体"/>
          <w:bCs/>
          <w:color w:val="auto"/>
          <w:sz w:val="24"/>
          <w:highlight w:val="none"/>
        </w:rPr>
        <w:t>地址：昆明市翠湖北路2号</w:t>
      </w:r>
    </w:p>
    <w:p w14:paraId="42C11B7B">
      <w:pPr>
        <w:widowControl w:val="0"/>
        <w:spacing w:line="440" w:lineRule="exact"/>
        <w:rPr>
          <w:rFonts w:ascii="宋体" w:hAnsi="宋体" w:cs="宋体"/>
          <w:bCs/>
          <w:color w:val="auto"/>
          <w:sz w:val="24"/>
          <w:highlight w:val="none"/>
        </w:rPr>
      </w:pPr>
      <w:r>
        <w:rPr>
          <w:rFonts w:hint="eastAsia" w:ascii="宋体" w:hAnsi="宋体" w:cs="宋体"/>
          <w:bCs/>
          <w:color w:val="auto"/>
          <w:sz w:val="24"/>
          <w:highlight w:val="none"/>
        </w:rPr>
        <w:t>电话：0871-65032850</w:t>
      </w:r>
    </w:p>
    <w:p w14:paraId="07EA2CE8">
      <w:pPr>
        <w:widowControl w:val="0"/>
        <w:spacing w:line="440" w:lineRule="exact"/>
        <w:rPr>
          <w:rFonts w:ascii="宋体" w:hAnsi="宋体" w:cs="宋体"/>
          <w:bCs/>
          <w:color w:val="auto"/>
          <w:sz w:val="24"/>
          <w:highlight w:val="none"/>
        </w:rPr>
      </w:pPr>
    </w:p>
    <w:p w14:paraId="302B5C3A">
      <w:pPr>
        <w:widowControl w:val="0"/>
        <w:tabs>
          <w:tab w:val="right" w:pos="9639"/>
        </w:tabs>
        <w:spacing w:line="440" w:lineRule="exact"/>
        <w:rPr>
          <w:rFonts w:ascii="宋体" w:hAnsi="宋体" w:cs="宋体"/>
          <w:bCs/>
          <w:color w:val="auto"/>
          <w:sz w:val="24"/>
          <w:highlight w:val="none"/>
        </w:rPr>
      </w:pPr>
      <w:r>
        <w:rPr>
          <w:rFonts w:hint="eastAsia" w:ascii="宋体" w:hAnsi="宋体" w:cs="宋体"/>
          <w:bCs/>
          <w:color w:val="auto"/>
          <w:sz w:val="24"/>
          <w:highlight w:val="none"/>
        </w:rPr>
        <w:t>供货方（乙方）：</w:t>
      </w:r>
    </w:p>
    <w:p w14:paraId="65B74CDB">
      <w:pPr>
        <w:widowControl w:val="0"/>
        <w:spacing w:line="440" w:lineRule="exact"/>
        <w:rPr>
          <w:rFonts w:ascii="宋体" w:hAnsi="宋体" w:cs="宋体"/>
          <w:bCs/>
          <w:color w:val="auto"/>
          <w:highlight w:val="none"/>
        </w:rPr>
      </w:pPr>
      <w:r>
        <w:rPr>
          <w:rFonts w:hint="eastAsia" w:ascii="宋体" w:hAnsi="宋体" w:cs="宋体"/>
          <w:bCs/>
          <w:color w:val="auto"/>
          <w:sz w:val="24"/>
          <w:highlight w:val="none"/>
        </w:rPr>
        <w:t>统一社会信用代码：</w:t>
      </w:r>
    </w:p>
    <w:p w14:paraId="716C6950">
      <w:pPr>
        <w:widowControl w:val="0"/>
        <w:tabs>
          <w:tab w:val="right" w:pos="9639"/>
        </w:tabs>
        <w:spacing w:line="440" w:lineRule="exact"/>
        <w:rPr>
          <w:rFonts w:ascii="宋体" w:hAnsi="宋体" w:cs="宋体"/>
          <w:bCs/>
          <w:color w:val="auto"/>
          <w:sz w:val="24"/>
          <w:highlight w:val="none"/>
        </w:rPr>
      </w:pPr>
      <w:r>
        <w:rPr>
          <w:rFonts w:hint="eastAsia" w:ascii="宋体" w:hAnsi="宋体" w:cs="宋体"/>
          <w:bCs/>
          <w:color w:val="auto"/>
          <w:sz w:val="24"/>
          <w:highlight w:val="none"/>
        </w:rPr>
        <w:t>地址：</w:t>
      </w:r>
    </w:p>
    <w:p w14:paraId="237FFD41">
      <w:pPr>
        <w:widowControl w:val="0"/>
        <w:tabs>
          <w:tab w:val="right" w:pos="9639"/>
        </w:tabs>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电话： </w:t>
      </w:r>
    </w:p>
    <w:p w14:paraId="63CFF682">
      <w:pPr>
        <w:widowControl w:val="0"/>
        <w:spacing w:line="440" w:lineRule="exact"/>
        <w:ind w:firstLine="482" w:firstLineChars="200"/>
        <w:rPr>
          <w:rFonts w:ascii="宋体" w:hAnsi="宋体" w:cs="宋体"/>
          <w:b/>
          <w:color w:val="auto"/>
          <w:sz w:val="24"/>
          <w:highlight w:val="none"/>
        </w:rPr>
      </w:pPr>
    </w:p>
    <w:p w14:paraId="6AD8063F">
      <w:pPr>
        <w:widowControl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6B519986">
      <w:pPr>
        <w:widowControl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一、合同标的及要求</w:t>
      </w:r>
    </w:p>
    <w:p w14:paraId="00FA57D9">
      <w:pPr>
        <w:widowControl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（一）合同标的</w:t>
      </w:r>
    </w:p>
    <w:p w14:paraId="7EC66F21">
      <w:pPr>
        <w:widowControl w:val="0"/>
        <w:spacing w:line="440" w:lineRule="exact"/>
        <w:ind w:firstLine="480" w:firstLineChars="200"/>
        <w:rPr>
          <w:rFonts w:ascii="宋体" w:hAnsi="宋体" w:cs="宋体"/>
          <w:bCs/>
          <w:color w:val="auto"/>
          <w:sz w:val="24"/>
          <w:highlight w:val="none"/>
        </w:rPr>
      </w:pPr>
    </w:p>
    <w:p w14:paraId="7988447B">
      <w:pPr>
        <w:widowControl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（二）供货要求</w:t>
      </w:r>
    </w:p>
    <w:p w14:paraId="6A48E50E">
      <w:pPr>
        <w:widowControl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1.货物名称、规格型号、数量及价格：</w:t>
      </w:r>
    </w:p>
    <w:tbl>
      <w:tblPr>
        <w:tblStyle w:val="32"/>
        <w:tblW w:w="82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50"/>
        <w:gridCol w:w="1159"/>
        <w:gridCol w:w="2397"/>
        <w:gridCol w:w="784"/>
        <w:gridCol w:w="708"/>
        <w:gridCol w:w="1134"/>
        <w:gridCol w:w="1276"/>
      </w:tblGrid>
      <w:tr w14:paraId="43FEFB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750" w:type="dxa"/>
            <w:vAlign w:val="center"/>
          </w:tcPr>
          <w:p w14:paraId="43467CF6">
            <w:pPr>
              <w:pStyle w:val="16"/>
              <w:jc w:val="center"/>
              <w:rPr>
                <w:rFonts w:hAnsi="宋体" w:cs="宋体"/>
                <w:bCs/>
                <w:color w:val="auto"/>
                <w:highlight w:val="none"/>
              </w:rPr>
            </w:pPr>
            <w:r>
              <w:rPr>
                <w:rFonts w:hint="eastAsia" w:hAnsi="宋体" w:cs="宋体"/>
                <w:bCs/>
                <w:color w:val="auto"/>
                <w:highlight w:val="none"/>
              </w:rPr>
              <w:t>序号</w:t>
            </w:r>
          </w:p>
        </w:tc>
        <w:tc>
          <w:tcPr>
            <w:tcW w:w="1159" w:type="dxa"/>
            <w:vAlign w:val="center"/>
          </w:tcPr>
          <w:p w14:paraId="5E5090F8">
            <w:pPr>
              <w:pStyle w:val="16"/>
              <w:jc w:val="center"/>
              <w:rPr>
                <w:rFonts w:hAnsi="宋体" w:cs="宋体"/>
                <w:bCs/>
                <w:color w:val="auto"/>
                <w:highlight w:val="none"/>
              </w:rPr>
            </w:pPr>
            <w:r>
              <w:rPr>
                <w:rFonts w:hint="eastAsia" w:hAnsi="宋体" w:cs="宋体"/>
                <w:bCs/>
                <w:color w:val="auto"/>
                <w:highlight w:val="none"/>
              </w:rPr>
              <w:t>货物名称</w:t>
            </w:r>
          </w:p>
        </w:tc>
        <w:tc>
          <w:tcPr>
            <w:tcW w:w="2397" w:type="dxa"/>
            <w:vAlign w:val="center"/>
          </w:tcPr>
          <w:p w14:paraId="2B1E8F80">
            <w:pPr>
              <w:pStyle w:val="16"/>
              <w:jc w:val="center"/>
              <w:rPr>
                <w:rFonts w:hAnsi="宋体" w:cs="宋体"/>
                <w:bCs/>
                <w:color w:val="auto"/>
                <w:highlight w:val="none"/>
              </w:rPr>
            </w:pPr>
            <w:r>
              <w:rPr>
                <w:rFonts w:hint="eastAsia" w:hAnsi="宋体" w:cs="宋体"/>
                <w:bCs/>
                <w:color w:val="auto"/>
                <w:highlight w:val="none"/>
              </w:rPr>
              <w:t>规格型号、生产厂商/制造商名称</w:t>
            </w:r>
          </w:p>
        </w:tc>
        <w:tc>
          <w:tcPr>
            <w:tcW w:w="784" w:type="dxa"/>
            <w:vAlign w:val="center"/>
          </w:tcPr>
          <w:p w14:paraId="6BC34449">
            <w:pPr>
              <w:pStyle w:val="16"/>
              <w:jc w:val="center"/>
              <w:rPr>
                <w:rFonts w:hAnsi="宋体" w:cs="宋体"/>
                <w:bCs/>
                <w:color w:val="auto"/>
                <w:highlight w:val="none"/>
              </w:rPr>
            </w:pPr>
            <w:r>
              <w:rPr>
                <w:rFonts w:hint="eastAsia" w:hAnsi="宋体" w:cs="宋体"/>
                <w:bCs/>
                <w:color w:val="auto"/>
                <w:highlight w:val="none"/>
              </w:rPr>
              <w:t>数量</w:t>
            </w:r>
          </w:p>
        </w:tc>
        <w:tc>
          <w:tcPr>
            <w:tcW w:w="708" w:type="dxa"/>
            <w:vAlign w:val="center"/>
          </w:tcPr>
          <w:p w14:paraId="40BE5421">
            <w:pPr>
              <w:pStyle w:val="16"/>
              <w:jc w:val="center"/>
              <w:rPr>
                <w:rFonts w:hAnsi="宋体" w:cs="宋体"/>
                <w:bCs/>
                <w:color w:val="auto"/>
                <w:highlight w:val="none"/>
              </w:rPr>
            </w:pPr>
            <w:r>
              <w:rPr>
                <w:rFonts w:hint="eastAsia" w:hAnsi="宋体" w:cs="宋体"/>
                <w:bCs/>
                <w:color w:val="auto"/>
                <w:highlight w:val="none"/>
              </w:rPr>
              <w:t>单位</w:t>
            </w:r>
          </w:p>
        </w:tc>
        <w:tc>
          <w:tcPr>
            <w:tcW w:w="1134" w:type="dxa"/>
            <w:vAlign w:val="center"/>
          </w:tcPr>
          <w:p w14:paraId="0E59E95F">
            <w:pPr>
              <w:pStyle w:val="16"/>
              <w:jc w:val="center"/>
              <w:rPr>
                <w:rFonts w:hAnsi="宋体" w:cs="宋体"/>
                <w:bCs/>
                <w:color w:val="auto"/>
                <w:highlight w:val="none"/>
              </w:rPr>
            </w:pPr>
            <w:r>
              <w:rPr>
                <w:rFonts w:hint="eastAsia" w:hAnsi="宋体" w:cs="宋体"/>
                <w:bCs/>
                <w:color w:val="auto"/>
                <w:highlight w:val="none"/>
              </w:rPr>
              <w:t>单价（元）</w:t>
            </w:r>
          </w:p>
        </w:tc>
        <w:tc>
          <w:tcPr>
            <w:tcW w:w="1276" w:type="dxa"/>
            <w:vAlign w:val="center"/>
          </w:tcPr>
          <w:p w14:paraId="15B1F084">
            <w:pPr>
              <w:pStyle w:val="16"/>
              <w:jc w:val="center"/>
              <w:rPr>
                <w:rFonts w:hAnsi="宋体" w:cs="宋体"/>
                <w:bCs/>
                <w:color w:val="auto"/>
                <w:highlight w:val="none"/>
              </w:rPr>
            </w:pPr>
            <w:r>
              <w:rPr>
                <w:rFonts w:hint="eastAsia" w:hAnsi="宋体" w:cs="宋体"/>
                <w:bCs/>
                <w:color w:val="auto"/>
                <w:highlight w:val="none"/>
              </w:rPr>
              <w:t>小计（元）</w:t>
            </w:r>
          </w:p>
        </w:tc>
      </w:tr>
      <w:tr w14:paraId="2768C7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5349E887">
            <w:pPr>
              <w:jc w:val="center"/>
              <w:rPr>
                <w:rFonts w:ascii="宋体" w:hAnsi="宋体" w:cs="宋体"/>
                <w:bCs/>
                <w:color w:val="auto"/>
                <w:highlight w:val="none"/>
              </w:rPr>
            </w:pPr>
            <w:r>
              <w:rPr>
                <w:rFonts w:hint="eastAsia" w:ascii="宋体" w:hAnsi="宋体" w:cs="宋体"/>
                <w:bCs/>
                <w:color w:val="auto"/>
                <w:highlight w:val="none"/>
              </w:rPr>
              <w:t>1</w:t>
            </w:r>
          </w:p>
        </w:tc>
        <w:tc>
          <w:tcPr>
            <w:tcW w:w="1159" w:type="dxa"/>
            <w:vAlign w:val="center"/>
          </w:tcPr>
          <w:p w14:paraId="5B9BA148">
            <w:pPr>
              <w:spacing w:line="300" w:lineRule="exact"/>
              <w:ind w:firstLine="2" w:firstLineChars="1"/>
              <w:jc w:val="center"/>
              <w:rPr>
                <w:rFonts w:ascii="宋体" w:hAnsi="宋体" w:cs="宋体"/>
                <w:bCs/>
                <w:color w:val="auto"/>
                <w:highlight w:val="none"/>
              </w:rPr>
            </w:pPr>
          </w:p>
        </w:tc>
        <w:tc>
          <w:tcPr>
            <w:tcW w:w="2397" w:type="dxa"/>
            <w:vAlign w:val="center"/>
          </w:tcPr>
          <w:p w14:paraId="02CB3BEE">
            <w:pPr>
              <w:pStyle w:val="19"/>
              <w:jc w:val="center"/>
              <w:rPr>
                <w:rFonts w:ascii="宋体" w:hAnsi="宋体" w:cs="宋体"/>
                <w:bCs/>
                <w:color w:val="auto"/>
                <w:sz w:val="21"/>
                <w:szCs w:val="21"/>
                <w:highlight w:val="none"/>
              </w:rPr>
            </w:pPr>
          </w:p>
        </w:tc>
        <w:tc>
          <w:tcPr>
            <w:tcW w:w="784" w:type="dxa"/>
            <w:vAlign w:val="center"/>
          </w:tcPr>
          <w:p w14:paraId="20E0658D">
            <w:pPr>
              <w:spacing w:line="300" w:lineRule="exact"/>
              <w:ind w:firstLine="2" w:firstLineChars="1"/>
              <w:jc w:val="center"/>
              <w:rPr>
                <w:rFonts w:ascii="宋体" w:hAnsi="宋体" w:cs="宋体"/>
                <w:bCs/>
                <w:color w:val="auto"/>
                <w:highlight w:val="none"/>
              </w:rPr>
            </w:pPr>
          </w:p>
        </w:tc>
        <w:tc>
          <w:tcPr>
            <w:tcW w:w="708" w:type="dxa"/>
            <w:vAlign w:val="center"/>
          </w:tcPr>
          <w:p w14:paraId="1394B065">
            <w:pPr>
              <w:jc w:val="center"/>
              <w:rPr>
                <w:rFonts w:ascii="宋体" w:hAnsi="宋体" w:cs="宋体"/>
                <w:bCs/>
                <w:color w:val="auto"/>
                <w:highlight w:val="none"/>
              </w:rPr>
            </w:pPr>
          </w:p>
        </w:tc>
        <w:tc>
          <w:tcPr>
            <w:tcW w:w="1134" w:type="dxa"/>
            <w:vAlign w:val="center"/>
          </w:tcPr>
          <w:p w14:paraId="259C9BDC">
            <w:pPr>
              <w:pStyle w:val="16"/>
              <w:jc w:val="center"/>
              <w:rPr>
                <w:rFonts w:hAnsi="宋体" w:cs="宋体"/>
                <w:bCs/>
                <w:color w:val="auto"/>
                <w:highlight w:val="none"/>
              </w:rPr>
            </w:pPr>
          </w:p>
        </w:tc>
        <w:tc>
          <w:tcPr>
            <w:tcW w:w="1276" w:type="dxa"/>
            <w:vAlign w:val="center"/>
          </w:tcPr>
          <w:p w14:paraId="0FF9FD3A">
            <w:pPr>
              <w:pStyle w:val="16"/>
              <w:jc w:val="center"/>
              <w:rPr>
                <w:rFonts w:hAnsi="宋体" w:cs="宋体"/>
                <w:bCs/>
                <w:color w:val="auto"/>
                <w:highlight w:val="none"/>
              </w:rPr>
            </w:pPr>
          </w:p>
        </w:tc>
      </w:tr>
      <w:tr w14:paraId="5DAE47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79BBF53D">
            <w:pPr>
              <w:jc w:val="center"/>
              <w:rPr>
                <w:rFonts w:ascii="宋体" w:hAnsi="宋体" w:cs="宋体"/>
                <w:bCs/>
                <w:color w:val="auto"/>
                <w:highlight w:val="none"/>
              </w:rPr>
            </w:pPr>
            <w:r>
              <w:rPr>
                <w:rFonts w:hint="eastAsia" w:ascii="宋体" w:hAnsi="宋体" w:cs="宋体"/>
                <w:bCs/>
                <w:color w:val="auto"/>
                <w:highlight w:val="none"/>
              </w:rPr>
              <w:t>2</w:t>
            </w:r>
          </w:p>
        </w:tc>
        <w:tc>
          <w:tcPr>
            <w:tcW w:w="1159" w:type="dxa"/>
            <w:vAlign w:val="center"/>
          </w:tcPr>
          <w:p w14:paraId="607FEAAD">
            <w:pPr>
              <w:spacing w:line="300" w:lineRule="exact"/>
              <w:ind w:firstLine="2" w:firstLineChars="1"/>
              <w:jc w:val="center"/>
              <w:rPr>
                <w:rFonts w:ascii="宋体" w:hAnsi="宋体" w:cs="宋体"/>
                <w:bCs/>
                <w:color w:val="auto"/>
                <w:highlight w:val="none"/>
              </w:rPr>
            </w:pPr>
          </w:p>
        </w:tc>
        <w:tc>
          <w:tcPr>
            <w:tcW w:w="2397" w:type="dxa"/>
            <w:vAlign w:val="center"/>
          </w:tcPr>
          <w:p w14:paraId="5D46F583">
            <w:pPr>
              <w:pStyle w:val="19"/>
              <w:jc w:val="center"/>
              <w:rPr>
                <w:rFonts w:ascii="宋体" w:hAnsi="宋体" w:cs="宋体"/>
                <w:bCs/>
                <w:color w:val="auto"/>
                <w:sz w:val="21"/>
                <w:szCs w:val="21"/>
                <w:highlight w:val="none"/>
              </w:rPr>
            </w:pPr>
          </w:p>
        </w:tc>
        <w:tc>
          <w:tcPr>
            <w:tcW w:w="784" w:type="dxa"/>
            <w:vAlign w:val="center"/>
          </w:tcPr>
          <w:p w14:paraId="703EC77C">
            <w:pPr>
              <w:spacing w:line="300" w:lineRule="exact"/>
              <w:ind w:firstLine="2" w:firstLineChars="1"/>
              <w:jc w:val="center"/>
              <w:rPr>
                <w:rFonts w:ascii="宋体" w:hAnsi="宋体" w:cs="宋体"/>
                <w:bCs/>
                <w:color w:val="auto"/>
                <w:highlight w:val="none"/>
              </w:rPr>
            </w:pPr>
          </w:p>
        </w:tc>
        <w:tc>
          <w:tcPr>
            <w:tcW w:w="708" w:type="dxa"/>
            <w:vAlign w:val="center"/>
          </w:tcPr>
          <w:p w14:paraId="37C750D4">
            <w:pPr>
              <w:jc w:val="center"/>
              <w:rPr>
                <w:rFonts w:ascii="宋体" w:hAnsi="宋体" w:cs="宋体"/>
                <w:bCs/>
                <w:color w:val="auto"/>
                <w:highlight w:val="none"/>
              </w:rPr>
            </w:pPr>
          </w:p>
        </w:tc>
        <w:tc>
          <w:tcPr>
            <w:tcW w:w="1134" w:type="dxa"/>
            <w:vAlign w:val="center"/>
          </w:tcPr>
          <w:p w14:paraId="6148C3B9">
            <w:pPr>
              <w:pStyle w:val="16"/>
              <w:jc w:val="center"/>
              <w:rPr>
                <w:rFonts w:hAnsi="宋体" w:cs="宋体"/>
                <w:bCs/>
                <w:color w:val="auto"/>
                <w:highlight w:val="none"/>
              </w:rPr>
            </w:pPr>
          </w:p>
        </w:tc>
        <w:tc>
          <w:tcPr>
            <w:tcW w:w="1276" w:type="dxa"/>
            <w:vAlign w:val="center"/>
          </w:tcPr>
          <w:p w14:paraId="0F208894">
            <w:pPr>
              <w:pStyle w:val="16"/>
              <w:jc w:val="center"/>
              <w:rPr>
                <w:rFonts w:hAnsi="宋体" w:cs="宋体"/>
                <w:bCs/>
                <w:color w:val="auto"/>
                <w:highlight w:val="none"/>
              </w:rPr>
            </w:pPr>
          </w:p>
        </w:tc>
      </w:tr>
      <w:tr w14:paraId="7F0720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60A3A9F1">
            <w:pPr>
              <w:jc w:val="center"/>
              <w:rPr>
                <w:rFonts w:ascii="宋体" w:hAnsi="宋体" w:cs="宋体"/>
                <w:bCs/>
                <w:color w:val="auto"/>
                <w:highlight w:val="none"/>
              </w:rPr>
            </w:pPr>
            <w:r>
              <w:rPr>
                <w:rFonts w:hint="eastAsia" w:ascii="宋体" w:hAnsi="宋体" w:cs="宋体"/>
                <w:bCs/>
                <w:color w:val="auto"/>
                <w:highlight w:val="none"/>
              </w:rPr>
              <w:t>3</w:t>
            </w:r>
          </w:p>
        </w:tc>
        <w:tc>
          <w:tcPr>
            <w:tcW w:w="1159" w:type="dxa"/>
            <w:vAlign w:val="center"/>
          </w:tcPr>
          <w:p w14:paraId="484EA2D4">
            <w:pPr>
              <w:spacing w:line="300" w:lineRule="exact"/>
              <w:ind w:firstLine="2" w:firstLineChars="1"/>
              <w:jc w:val="center"/>
              <w:rPr>
                <w:rFonts w:ascii="宋体" w:hAnsi="宋体" w:cs="宋体"/>
                <w:bCs/>
                <w:color w:val="auto"/>
                <w:highlight w:val="none"/>
              </w:rPr>
            </w:pPr>
          </w:p>
        </w:tc>
        <w:tc>
          <w:tcPr>
            <w:tcW w:w="2397" w:type="dxa"/>
            <w:vAlign w:val="center"/>
          </w:tcPr>
          <w:p w14:paraId="1DEDD69E">
            <w:pPr>
              <w:pStyle w:val="19"/>
              <w:jc w:val="center"/>
              <w:rPr>
                <w:rFonts w:ascii="宋体" w:hAnsi="宋体" w:cs="宋体"/>
                <w:bCs/>
                <w:color w:val="auto"/>
                <w:sz w:val="21"/>
                <w:szCs w:val="21"/>
                <w:highlight w:val="none"/>
              </w:rPr>
            </w:pPr>
          </w:p>
        </w:tc>
        <w:tc>
          <w:tcPr>
            <w:tcW w:w="784" w:type="dxa"/>
            <w:vAlign w:val="center"/>
          </w:tcPr>
          <w:p w14:paraId="6099466B">
            <w:pPr>
              <w:spacing w:line="300" w:lineRule="exact"/>
              <w:ind w:firstLine="2" w:firstLineChars="1"/>
              <w:jc w:val="center"/>
              <w:rPr>
                <w:rFonts w:ascii="宋体" w:hAnsi="宋体" w:cs="宋体"/>
                <w:bCs/>
                <w:color w:val="auto"/>
                <w:highlight w:val="none"/>
              </w:rPr>
            </w:pPr>
          </w:p>
        </w:tc>
        <w:tc>
          <w:tcPr>
            <w:tcW w:w="708" w:type="dxa"/>
            <w:vAlign w:val="center"/>
          </w:tcPr>
          <w:p w14:paraId="7985A1B7">
            <w:pPr>
              <w:jc w:val="center"/>
              <w:rPr>
                <w:rFonts w:ascii="宋体" w:hAnsi="宋体" w:cs="宋体"/>
                <w:bCs/>
                <w:color w:val="auto"/>
                <w:highlight w:val="none"/>
              </w:rPr>
            </w:pPr>
          </w:p>
        </w:tc>
        <w:tc>
          <w:tcPr>
            <w:tcW w:w="1134" w:type="dxa"/>
            <w:vAlign w:val="center"/>
          </w:tcPr>
          <w:p w14:paraId="70AC790C">
            <w:pPr>
              <w:pStyle w:val="16"/>
              <w:jc w:val="center"/>
              <w:rPr>
                <w:rFonts w:hAnsi="宋体" w:cs="宋体"/>
                <w:bCs/>
                <w:color w:val="auto"/>
                <w:highlight w:val="none"/>
              </w:rPr>
            </w:pPr>
          </w:p>
        </w:tc>
        <w:tc>
          <w:tcPr>
            <w:tcW w:w="1276" w:type="dxa"/>
            <w:vAlign w:val="center"/>
          </w:tcPr>
          <w:p w14:paraId="0854796B">
            <w:pPr>
              <w:pStyle w:val="16"/>
              <w:jc w:val="center"/>
              <w:rPr>
                <w:rFonts w:hAnsi="宋体" w:cs="宋体"/>
                <w:bCs/>
                <w:color w:val="auto"/>
                <w:highlight w:val="none"/>
              </w:rPr>
            </w:pPr>
          </w:p>
        </w:tc>
      </w:tr>
      <w:tr w14:paraId="329851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0377B0CF">
            <w:pPr>
              <w:jc w:val="center"/>
              <w:rPr>
                <w:rFonts w:ascii="宋体" w:hAnsi="宋体" w:cs="宋体"/>
                <w:bCs/>
                <w:color w:val="auto"/>
                <w:highlight w:val="none"/>
              </w:rPr>
            </w:pPr>
            <w:r>
              <w:rPr>
                <w:rFonts w:hint="eastAsia" w:ascii="宋体" w:hAnsi="宋体" w:cs="宋体"/>
                <w:bCs/>
                <w:color w:val="auto"/>
                <w:highlight w:val="none"/>
              </w:rPr>
              <w:t>...</w:t>
            </w:r>
          </w:p>
        </w:tc>
        <w:tc>
          <w:tcPr>
            <w:tcW w:w="1159" w:type="dxa"/>
            <w:vAlign w:val="center"/>
          </w:tcPr>
          <w:p w14:paraId="54678CD5">
            <w:pPr>
              <w:spacing w:line="300" w:lineRule="exact"/>
              <w:ind w:firstLine="2" w:firstLineChars="1"/>
              <w:jc w:val="center"/>
              <w:rPr>
                <w:rFonts w:ascii="宋体" w:hAnsi="宋体" w:cs="宋体"/>
                <w:bCs/>
                <w:color w:val="auto"/>
                <w:highlight w:val="none"/>
              </w:rPr>
            </w:pPr>
          </w:p>
        </w:tc>
        <w:tc>
          <w:tcPr>
            <w:tcW w:w="2397" w:type="dxa"/>
            <w:vAlign w:val="center"/>
          </w:tcPr>
          <w:p w14:paraId="57D6A57E">
            <w:pPr>
              <w:pStyle w:val="19"/>
              <w:jc w:val="center"/>
              <w:rPr>
                <w:rFonts w:ascii="宋体" w:hAnsi="宋体" w:cs="宋体"/>
                <w:bCs/>
                <w:color w:val="auto"/>
                <w:sz w:val="21"/>
                <w:szCs w:val="21"/>
                <w:highlight w:val="none"/>
              </w:rPr>
            </w:pPr>
          </w:p>
        </w:tc>
        <w:tc>
          <w:tcPr>
            <w:tcW w:w="784" w:type="dxa"/>
            <w:vAlign w:val="center"/>
          </w:tcPr>
          <w:p w14:paraId="4CAFE5B0">
            <w:pPr>
              <w:spacing w:line="300" w:lineRule="exact"/>
              <w:ind w:firstLine="2" w:firstLineChars="1"/>
              <w:jc w:val="center"/>
              <w:rPr>
                <w:rFonts w:ascii="宋体" w:hAnsi="宋体" w:cs="宋体"/>
                <w:bCs/>
                <w:color w:val="auto"/>
                <w:highlight w:val="none"/>
              </w:rPr>
            </w:pPr>
          </w:p>
        </w:tc>
        <w:tc>
          <w:tcPr>
            <w:tcW w:w="708" w:type="dxa"/>
            <w:vAlign w:val="center"/>
          </w:tcPr>
          <w:p w14:paraId="0E5CAC6F">
            <w:pPr>
              <w:jc w:val="center"/>
              <w:rPr>
                <w:rFonts w:ascii="宋体" w:hAnsi="宋体" w:cs="宋体"/>
                <w:bCs/>
                <w:color w:val="auto"/>
                <w:highlight w:val="none"/>
              </w:rPr>
            </w:pPr>
          </w:p>
        </w:tc>
        <w:tc>
          <w:tcPr>
            <w:tcW w:w="1134" w:type="dxa"/>
            <w:vAlign w:val="center"/>
          </w:tcPr>
          <w:p w14:paraId="35246B0E">
            <w:pPr>
              <w:pStyle w:val="16"/>
              <w:jc w:val="center"/>
              <w:rPr>
                <w:rFonts w:hAnsi="宋体" w:cs="宋体"/>
                <w:bCs/>
                <w:color w:val="auto"/>
                <w:highlight w:val="none"/>
              </w:rPr>
            </w:pPr>
          </w:p>
        </w:tc>
        <w:tc>
          <w:tcPr>
            <w:tcW w:w="1276" w:type="dxa"/>
            <w:vAlign w:val="center"/>
          </w:tcPr>
          <w:p w14:paraId="488D4369">
            <w:pPr>
              <w:pStyle w:val="16"/>
              <w:jc w:val="center"/>
              <w:rPr>
                <w:rFonts w:hAnsi="宋体" w:cs="宋体"/>
                <w:bCs/>
                <w:color w:val="auto"/>
                <w:highlight w:val="none"/>
              </w:rPr>
            </w:pPr>
          </w:p>
        </w:tc>
      </w:tr>
      <w:tr w14:paraId="0856F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208" w:type="dxa"/>
            <w:gridSpan w:val="7"/>
            <w:vAlign w:val="center"/>
          </w:tcPr>
          <w:p w14:paraId="2CD13F31">
            <w:pPr>
              <w:pStyle w:val="16"/>
              <w:jc w:val="center"/>
              <w:rPr>
                <w:rFonts w:hAnsi="宋体" w:cs="宋体"/>
                <w:bCs/>
                <w:color w:val="auto"/>
                <w:szCs w:val="24"/>
                <w:highlight w:val="none"/>
              </w:rPr>
            </w:pPr>
            <w:r>
              <w:rPr>
                <w:rFonts w:hint="eastAsia" w:hAnsi="宋体" w:cs="宋体"/>
                <w:bCs/>
                <w:color w:val="auto"/>
                <w:highlight w:val="none"/>
              </w:rPr>
              <w:t>合计：           （元）</w:t>
            </w:r>
          </w:p>
        </w:tc>
      </w:tr>
    </w:tbl>
    <w:p w14:paraId="260CCAB5">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2.以上提供的货物（均含备品备件）具体技术参数和指标须符合本合同附件1中关于货物指数的要求。</w:t>
      </w:r>
    </w:p>
    <w:p w14:paraId="4FFCE643">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3.交货及项目实施进度要求：乙方按甲方或甲方用户单位指定的时间、地点及项目实施进度要求履行（签订合同后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日历天内完成全部设备的交货、安装及调试）。</w:t>
      </w:r>
    </w:p>
    <w:p w14:paraId="7BF21866">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二、合同总价</w:t>
      </w:r>
    </w:p>
    <w:p w14:paraId="09EA263D">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人民币小写：</w:t>
      </w:r>
      <w:r>
        <w:rPr>
          <w:rFonts w:hint="eastAsia" w:ascii="宋体" w:hAnsi="宋体" w:cs="宋体"/>
          <w:bCs/>
          <w:color w:val="auto"/>
          <w:sz w:val="24"/>
          <w:highlight w:val="none"/>
          <w:u w:val="single"/>
        </w:rPr>
        <w:t>￥   元</w:t>
      </w:r>
    </w:p>
    <w:p w14:paraId="70ADBF45">
      <w:pPr>
        <w:spacing w:line="440" w:lineRule="exact"/>
        <w:ind w:firstLine="480" w:firstLineChars="200"/>
        <w:rPr>
          <w:rFonts w:ascii="宋体" w:hAnsi="宋体" w:cs="宋体"/>
          <w:bCs/>
          <w:color w:val="auto"/>
          <w:sz w:val="24"/>
          <w:highlight w:val="none"/>
          <w:u w:val="single"/>
        </w:rPr>
      </w:pPr>
      <w:r>
        <w:rPr>
          <w:rFonts w:hint="eastAsia" w:ascii="宋体" w:hAnsi="宋体" w:cs="宋体"/>
          <w:bCs/>
          <w:color w:val="auto"/>
          <w:sz w:val="24"/>
          <w:highlight w:val="none"/>
        </w:rPr>
        <w:t>大写：</w:t>
      </w:r>
      <w:r>
        <w:rPr>
          <w:rFonts w:hint="eastAsia" w:ascii="宋体" w:hAnsi="宋体" w:cs="宋体"/>
          <w:bCs/>
          <w:color w:val="auto"/>
          <w:sz w:val="24"/>
          <w:highlight w:val="none"/>
          <w:u w:val="single"/>
        </w:rPr>
        <w:t xml:space="preserve">   元整 </w:t>
      </w:r>
    </w:p>
    <w:p w14:paraId="7253091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1026DC7E">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三、甲、乙双方的权利和义务</w:t>
      </w:r>
    </w:p>
    <w:p w14:paraId="7087FF6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（一）甲方的权利和义务</w:t>
      </w:r>
    </w:p>
    <w:p w14:paraId="50EED9BF">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1.甲方按本合同约定享有要求乙方提供货物及项目实施服务的权利。甲方用户单位（云南大学</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）有权对乙方提供的货物及项目实施服务进行监督。甲方用户单位联系人：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60B911F7">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2.甲方负责向乙方提供本合同货物及项目实施服务所必需的场地和环境。</w:t>
      </w:r>
    </w:p>
    <w:p w14:paraId="053C223E">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3.甲方负责组织成立验收组对乙方提供的本合同货物及项目实施服务进行验收并签署验收报告。</w:t>
      </w:r>
    </w:p>
    <w:p w14:paraId="4B7CE5A6">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4.甲方按照本合同的约定向乙方支付合同款项。</w:t>
      </w:r>
    </w:p>
    <w:p w14:paraId="751B08E0">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（二）乙方的权利和义务</w:t>
      </w:r>
    </w:p>
    <w:p w14:paraId="0C4E2C48">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1.乙方按本合同约定享有向甲方收取货款的权利。</w:t>
      </w:r>
    </w:p>
    <w:p w14:paraId="7723DBC6">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2.乙方保证按本合同约定提供合法合规的货物及项目实施服务，若涉及设备系统集成的，还应免费提供集成服务，并接受甲方及甲方用户单位的监督。</w:t>
      </w:r>
    </w:p>
    <w:p w14:paraId="59414309">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3.乙方应严格遵守投标、技术澄清、谈判、中标所承诺的一切规定和条款。</w:t>
      </w:r>
    </w:p>
    <w:p w14:paraId="1BBF581C">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4.乙方应积极配合甲方共同进行货物和项目实施服务的验收，并提供相关资料；本合同终止时，应将全部档案资料移交给甲方。</w:t>
      </w:r>
    </w:p>
    <w:p w14:paraId="0955D538">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5.乙方保证其提供的合同货物及项目实施服务不侵犯他人的专利权、商标权或其他知识产权,若因此而引起的纠纷及法律责任，由乙方全部负责承担；若甲方（包括用户单位）因此而遭受损失，乙方应向甲方进行赔偿。</w:t>
      </w:r>
    </w:p>
    <w:p w14:paraId="3127212D">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6.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6D2A5A3F">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7.乙方承担本项目实施过程中的全部安全责任，包括但不限于派出工作人员（包括但不限于运输人员、安装调试人员等）的人身安全和财产安全责任。</w:t>
      </w:r>
    </w:p>
    <w:p w14:paraId="3D5F318B">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8.乙方派出工作人员应遵守甲方的管理制度。乙方入校工作人员，须提前报甲方同意并备案，同时应向甲方申请办理相关入校手续；若有人员变动，须书面通知甲方，经甲方同意并备案后，方可更换。</w:t>
      </w:r>
    </w:p>
    <w:p w14:paraId="06DBD32F">
      <w:pPr>
        <w:adjustRightInd w:val="0"/>
        <w:snapToGri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9.如涉及施工的，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3C3CDD46">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四、售后服务标准及要求</w:t>
      </w:r>
    </w:p>
    <w:p w14:paraId="5C1E39D7">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本合同执行过程中，乙方应为甲方提供免费培训服务（培训内容、时间与地点以谈判响应文件为准），直到甲方必要的使用人员能正常使用为止，并指派专人负责与甲方联系售后服务事宜，为甲方提供及时有效的技术支持及服务。</w:t>
      </w:r>
    </w:p>
    <w:p w14:paraId="4F3F5C04">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2.售后服务联系地址和联系电话的变更，乙方应在第一时间及时书面通知甲方和甲方使用单位。</w:t>
      </w:r>
    </w:p>
    <w:p w14:paraId="599A05E8">
      <w:pPr>
        <w:autoSpaceDE w:val="0"/>
        <w:autoSpaceDN w:val="0"/>
        <w:adjustRightInd w:val="0"/>
        <w:spacing w:line="440" w:lineRule="exact"/>
        <w:ind w:firstLine="480" w:firstLineChars="200"/>
        <w:rPr>
          <w:rFonts w:ascii="宋体" w:hAnsi="宋体" w:cs="宋体"/>
          <w:color w:val="auto"/>
          <w:sz w:val="24"/>
          <w:highlight w:val="none"/>
        </w:rPr>
      </w:pPr>
      <w:r>
        <w:rPr>
          <w:rFonts w:hint="eastAsia" w:ascii="宋体" w:hAnsi="宋体" w:cs="宋体"/>
          <w:bCs/>
          <w:color w:val="auto"/>
          <w:sz w:val="24"/>
          <w:highlight w:val="none"/>
        </w:rPr>
        <w:t>3.乙方本项目售后服务联系人：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，联系电话：</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w:t>
      </w:r>
    </w:p>
    <w:p w14:paraId="5B5ADDEE">
      <w:pPr>
        <w:spacing w:line="44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4.乙方在本地的售后服务联系地址：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w:t>
      </w:r>
    </w:p>
    <w:p w14:paraId="2B34EC54">
      <w:pPr>
        <w:pStyle w:val="4"/>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5.乙方迁址或者变更联系人及联系方式的，应于变更后3日内书面通知甲方。否则，因联系方式的错误致使甲方无法联系而造成的不利后果均由乙方承担。</w:t>
      </w:r>
    </w:p>
    <w:p w14:paraId="4E7BEA3C">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6.货物验收合格后，在质量保证期内，所有货物保修服务方式均为乙方上门保修，即由乙方派员到货物使用现场维修，由此产生的一切费用均由乙方承担。</w:t>
      </w:r>
    </w:p>
    <w:p w14:paraId="47821CA6">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7.乙方应按照国家有关法律法规规章和“三包”规定，以及本合同或招投标文件所约定的服务承诺提供服务。</w:t>
      </w:r>
    </w:p>
    <w:p w14:paraId="21D9AB92">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8.质量保证期：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（若标的本身的质保期限大于该质量保证期，则执行标的本身的质保期限）。</w:t>
      </w:r>
    </w:p>
    <w:p w14:paraId="117F3F34">
      <w:pPr>
        <w:pStyle w:val="4"/>
        <w:spacing w:line="440" w:lineRule="exact"/>
        <w:ind w:firstLine="480"/>
        <w:rPr>
          <w:rFonts w:ascii="宋体" w:hAnsi="宋体" w:cs="宋体"/>
          <w:bCs/>
          <w:color w:val="auto"/>
          <w:highlight w:val="none"/>
        </w:rPr>
      </w:pPr>
      <w:r>
        <w:rPr>
          <w:rFonts w:hint="eastAsia" w:ascii="宋体" w:hAnsi="宋体" w:cs="宋体"/>
          <w:bCs/>
          <w:color w:val="auto"/>
          <w:sz w:val="24"/>
          <w:highlight w:val="none"/>
        </w:rPr>
        <w:t>9.质保期内，如设备或零部件因非人为因素岀现故障而造成短期停用时，则质保期和免费维修期相应顺延。如停用时间累计超过30天，则质保期重新计算。</w:t>
      </w:r>
    </w:p>
    <w:p w14:paraId="7DC982F1">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10.质量保证期后的货物维护由双方协商再定。</w:t>
      </w:r>
    </w:p>
    <w:p w14:paraId="729B43D8">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五、包装要求及验收标准</w:t>
      </w:r>
    </w:p>
    <w:p w14:paraId="651E7269">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（一）包装要求</w:t>
      </w:r>
    </w:p>
    <w:p w14:paraId="402941EB">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4C9706CC">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（二）项目验收</w:t>
      </w:r>
    </w:p>
    <w:p w14:paraId="39EF6793">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1.乙方交付的货物应当完全符合本合同以及采购文件所规定的货物、数量和规格要求。乙方提供的货物不符合采购文件和合同规定的，甲方有权拒收货物，由此引起的风险及责任，由乙方承担。</w:t>
      </w:r>
    </w:p>
    <w:p w14:paraId="73929D44">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2.货物的到货验收包括：型号、规格、数量。</w:t>
      </w:r>
    </w:p>
    <w:p w14:paraId="5D402AED">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524E76E7">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4.乙方对货物或系统进行安装调试、试运行。试运行结束后，根据云南大学相关管理规定开展验收工作。采购文件对验收期限另有规定的，从其约定。</w:t>
      </w:r>
    </w:p>
    <w:p w14:paraId="018026DE">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5.货物和系统调试验收的标准：按行业通行标准、厂方出厂标准、谈判文件要求和乙方文件的承诺，且不低于国家相关标准。若有样品，则须同时不低于样品标准及投标时的承诺。</w:t>
      </w:r>
    </w:p>
    <w:p w14:paraId="29362F9A">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6.验收时须提供质保期满后备品、备件、服务价格清单。</w:t>
      </w:r>
    </w:p>
    <w:p w14:paraId="20749F07">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7.采购文件中另有规定的，从其约定。</w:t>
      </w:r>
    </w:p>
    <w:p w14:paraId="60E8DDB1">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六、合同价款结算</w:t>
      </w:r>
    </w:p>
    <w:p w14:paraId="34B638D3">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（一）履约保证</w:t>
      </w:r>
    </w:p>
    <w:p w14:paraId="51FDCDFA">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1.本合同签订后10日内，乙方应向甲方缴纳合同总金额的5%作为履约保证金，缴纳履约保证金后才能办理货款支付手续。</w:t>
      </w:r>
    </w:p>
    <w:p w14:paraId="45D55A68">
      <w:pPr>
        <w:pStyle w:val="4"/>
        <w:widowControl w:val="0"/>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履约保证金需缴纳至以下账户：</w:t>
      </w:r>
    </w:p>
    <w:p w14:paraId="72C3D110">
      <w:pPr>
        <w:pStyle w:val="4"/>
        <w:widowControl w:val="0"/>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户名：云南大学</w:t>
      </w:r>
    </w:p>
    <w:p w14:paraId="5673D19B">
      <w:pPr>
        <w:pStyle w:val="4"/>
        <w:widowControl w:val="0"/>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开户行：交通银行昆明护国支行</w:t>
      </w:r>
    </w:p>
    <w:p w14:paraId="24DFAE5E">
      <w:pPr>
        <w:widowControl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账号：531078126010149120198</w:t>
      </w:r>
    </w:p>
    <w:p w14:paraId="025FACE1">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2.全部货物经甲方最终验收合格，且乙方无任何违约责任的，甲方无息退还乙方全部履约保证金；乙方存在违约行为的，甲方有权扣除部分或全部履约保证金抵扣乙方应支付的违约金。</w:t>
      </w:r>
    </w:p>
    <w:p w14:paraId="7EA86A43">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（二）本合同价款的支付办法</w:t>
      </w:r>
    </w:p>
    <w:p w14:paraId="7663B4D0">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1.本项目无预付款，甲方最终验收合格后30日内支付合同金额的100%至乙方指定银行账户。付款时乙方需提供增值税专用发票。乙方缴纳履约保证金是甲方付款的必要条件。</w:t>
      </w:r>
    </w:p>
    <w:p w14:paraId="0563A228">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2.乙方指定银行账户信息如下：</w:t>
      </w:r>
    </w:p>
    <w:p w14:paraId="538C9287">
      <w:pPr>
        <w:widowControl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开户名称： </w:t>
      </w:r>
    </w:p>
    <w:p w14:paraId="142E1385">
      <w:pPr>
        <w:widowControl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开户银行： </w:t>
      </w:r>
    </w:p>
    <w:p w14:paraId="1F45BFEC">
      <w:pPr>
        <w:pStyle w:val="4"/>
        <w:widowControl w:val="0"/>
        <w:spacing w:line="440" w:lineRule="exact"/>
        <w:ind w:firstLine="480"/>
        <w:rPr>
          <w:rFonts w:ascii="宋体" w:hAnsi="宋体" w:cs="宋体"/>
          <w:color w:val="auto"/>
          <w:sz w:val="24"/>
          <w:highlight w:val="none"/>
        </w:rPr>
      </w:pPr>
      <w:r>
        <w:rPr>
          <w:rFonts w:hint="eastAsia" w:ascii="宋体" w:hAnsi="宋体" w:cs="宋体"/>
          <w:color w:val="auto"/>
          <w:sz w:val="24"/>
          <w:highlight w:val="none"/>
        </w:rPr>
        <w:t>账号：</w:t>
      </w:r>
    </w:p>
    <w:p w14:paraId="37118A42">
      <w:pPr>
        <w:pStyle w:val="4"/>
        <w:widowControl w:val="0"/>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若乙方指定银行账户信息发生变更，乙方应在甲方付款前10个工作日书面告知甲方，否则乙方自行承担相关责任和后果。</w:t>
      </w:r>
    </w:p>
    <w:p w14:paraId="0EEE74CE">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3.若乙方存在违约行为，按本合同约定应向甲方支付违约金且履约保证金不足抵扣违约金的，则扣除乙方剩余应付违约金后的金额作为合同价款最终结算金额，并据此核定单价。</w:t>
      </w:r>
    </w:p>
    <w:p w14:paraId="144D1A28">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七、合同的变更必须经甲、乙双方协商一致，并按照相关的变更程序加以书面确认后方可进行。</w:t>
      </w:r>
    </w:p>
    <w:p w14:paraId="2C43DA2A">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八、违约责任</w:t>
      </w:r>
    </w:p>
    <w:p w14:paraId="6ECC0714">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甲方无正当理由拒收货物、拒付货款的，每逾期1天，甲方应向乙方支付合同总金额的5‰作为违约金。如甲方逾期30天以上（含本数）未按约定接收货物和支付合同价款的，甲方应向乙方支付合同总金额的30%作为违约金，同时乙方有权选择单方解除合同，解除合同的通知自到达甲方时生效。</w:t>
      </w:r>
    </w:p>
    <w:p w14:paraId="5221AD27">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乙方逾期交付货物的，每逾期1天，乙方应向甲方支付逾期交货部分合同总金额的5‰作为违约金；乙方支付迟延交货违约金并不免除乙方继续履行交货的义务。如乙方逾期交货达30天以上的（含本数），乙方应向甲方支付合同总金额的30%作为违约金，同时甲方有权选择解除合同，解除合同的通知自到达乙方时生效。</w:t>
      </w:r>
    </w:p>
    <w:p w14:paraId="46F82FA6">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3.若乙方不能按照合同约定提供货物的，则视为违约。乙方应向甲方支付合同总金额的30%作为违约金，同时甲方有权选择解除合同，解除合同的通知自到达乙方时生效。</w:t>
      </w:r>
    </w:p>
    <w:p w14:paraId="3E787F95">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708DA242">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5.在乙方承诺的或国家产品规定的质量保证期内（取两者中最长的期限），乙方未按本合同的规定和“服务承诺”提供伴随服务/售后服务的，除应继续提供伴随服务/售后服务外，还应按合同总金额的5%向甲方承担违约责任。</w:t>
      </w:r>
    </w:p>
    <w:p w14:paraId="6E1E868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6.质保期内若乙方未能实现售后服务承诺，学校除追究其违约责任外，还可以将相关情况上报上级主管部门。</w:t>
      </w:r>
    </w:p>
    <w:p w14:paraId="1406C84E">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7.甲乙双方中的任何一方还有其他违约行为的，违约一方应赔偿守约一方的损失。</w:t>
      </w:r>
    </w:p>
    <w:p w14:paraId="6316EF11">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19242545">
      <w:pPr>
        <w:spacing w:line="440" w:lineRule="exact"/>
        <w:ind w:firstLine="480" w:firstLineChars="200"/>
        <w:rPr>
          <w:rFonts w:ascii="宋体" w:hAnsi="宋体" w:cs="宋体"/>
          <w:bCs/>
          <w:color w:val="auto"/>
          <w:highlight w:val="none"/>
        </w:rPr>
      </w:pPr>
      <w:r>
        <w:rPr>
          <w:rFonts w:hint="eastAsia" w:ascii="宋体" w:hAnsi="宋体" w:cs="宋体"/>
          <w:bCs/>
          <w:color w:val="auto"/>
          <w:sz w:val="24"/>
          <w:highlight w:val="none"/>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3D5B406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九、甲方有权拒付合同价以外的任何费用；乙方有权拒绝合同整体范围以外的不合理条件。</w:t>
      </w:r>
    </w:p>
    <w:p w14:paraId="56023515">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十、除《中华人民共和国政府采购法》第49条、第50条第二款规定的情形外，本合同一经签订，甲、乙双方不得擅自变更、中止或终止合同。乙方不得擅自部分或全部转让其应履行的合同义务。</w:t>
      </w:r>
    </w:p>
    <w:p w14:paraId="611DAA2B">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十一、经甲、乙双方协商一致，可以就本合同中的相关事宜签订补充协议，但不得违反相关法律法规规定。</w:t>
      </w:r>
    </w:p>
    <w:p w14:paraId="248DCF35">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二、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47B01D72">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十三、本合同其他未尽事宜，按《中华人民共和国民法典》有关规定处理。</w:t>
      </w:r>
    </w:p>
    <w:p w14:paraId="026D20F8">
      <w:pPr>
        <w:pStyle w:val="4"/>
        <w:spacing w:line="440" w:lineRule="exact"/>
        <w:ind w:firstLine="480"/>
        <w:rPr>
          <w:rFonts w:ascii="宋体" w:hAnsi="宋体" w:cs="宋体"/>
          <w:color w:val="auto"/>
          <w:highlight w:val="none"/>
        </w:rPr>
      </w:pPr>
      <w:r>
        <w:rPr>
          <w:rFonts w:hint="eastAsia" w:ascii="宋体" w:hAnsi="宋体" w:cs="宋体"/>
          <w:bCs/>
          <w:color w:val="auto"/>
          <w:sz w:val="24"/>
          <w:highlight w:val="none"/>
        </w:rPr>
        <w:t>十四、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00044C49">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十五、本合同一式八份，甲方七份（含用于结算支付的一份），乙方一份。</w:t>
      </w:r>
    </w:p>
    <w:p w14:paraId="425DB8C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十六、本合同自签订之日起生效。</w:t>
      </w:r>
    </w:p>
    <w:p w14:paraId="0CB8785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十七、本合同不可分割之部分及解释顺序：</w:t>
      </w:r>
    </w:p>
    <w:p w14:paraId="1CBACC14">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1.合同及附件。</w:t>
      </w:r>
    </w:p>
    <w:p w14:paraId="281C5AD3">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2.服务承诺。</w:t>
      </w:r>
    </w:p>
    <w:p w14:paraId="3EC62AD6">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3.成交通知书。</w:t>
      </w:r>
    </w:p>
    <w:p w14:paraId="208DA3C5">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4.响应文件及澄清。</w:t>
      </w:r>
    </w:p>
    <w:p w14:paraId="138058B1">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5.竞争性谈判文件。</w:t>
      </w:r>
    </w:p>
    <w:p w14:paraId="1B3E8AEC">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6.甲、乙双方商定的其他文件。</w:t>
      </w:r>
    </w:p>
    <w:p w14:paraId="040A7B9B">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十八、合同签订地点：</w:t>
      </w:r>
      <w:r>
        <w:rPr>
          <w:rFonts w:hint="eastAsia" w:ascii="宋体" w:hAnsi="宋体" w:cs="宋体"/>
          <w:bCs/>
          <w:color w:val="auto"/>
          <w:sz w:val="24"/>
          <w:highlight w:val="none"/>
          <w:u w:val="single"/>
        </w:rPr>
        <w:t>云南省昆明市</w:t>
      </w:r>
      <w:r>
        <w:rPr>
          <w:rFonts w:hint="eastAsia" w:ascii="宋体" w:hAnsi="宋体" w:cs="宋体"/>
          <w:bCs/>
          <w:color w:val="auto"/>
          <w:sz w:val="24"/>
          <w:highlight w:val="none"/>
        </w:rPr>
        <w:t>。</w:t>
      </w:r>
    </w:p>
    <w:p w14:paraId="14EBAF1D">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十九、附件（有）</w:t>
      </w:r>
    </w:p>
    <w:p w14:paraId="73DAE5EF">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附件1.货物详细技术参数</w:t>
      </w:r>
    </w:p>
    <w:p w14:paraId="73E50F7C">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附件2.售后服务承诺</w:t>
      </w:r>
    </w:p>
    <w:p w14:paraId="34639626">
      <w:pPr>
        <w:spacing w:line="440" w:lineRule="exact"/>
        <w:rPr>
          <w:rFonts w:ascii="宋体" w:hAnsi="宋体" w:cs="宋体"/>
          <w:b/>
          <w:color w:val="auto"/>
          <w:sz w:val="24"/>
          <w:highlight w:val="none"/>
        </w:rPr>
      </w:pPr>
      <w:r>
        <w:rPr>
          <w:rFonts w:hint="eastAsia" w:ascii="宋体" w:hAnsi="宋体" w:cs="宋体"/>
          <w:b/>
          <w:color w:val="auto"/>
          <w:sz w:val="24"/>
          <w:highlight w:val="none"/>
        </w:rPr>
        <w:br w:type="page"/>
      </w:r>
    </w:p>
    <w:p w14:paraId="27985449">
      <w:pPr>
        <w:spacing w:line="200" w:lineRule="atLeast"/>
        <w:jc w:val="center"/>
        <w:rPr>
          <w:rFonts w:ascii="宋体" w:hAnsi="宋体" w:cs="宋体"/>
          <w:bCs/>
          <w:color w:val="auto"/>
          <w:sz w:val="24"/>
          <w:highlight w:val="none"/>
        </w:rPr>
      </w:pPr>
      <w:r>
        <w:rPr>
          <w:rFonts w:hint="eastAsia" w:ascii="宋体" w:hAnsi="宋体" w:cs="宋体"/>
          <w:bCs/>
          <w:color w:val="auto"/>
          <w:sz w:val="24"/>
          <w:highlight w:val="none"/>
        </w:rPr>
        <w:t>（以下无正文）</w:t>
      </w:r>
    </w:p>
    <w:p w14:paraId="7D751575">
      <w:pPr>
        <w:spacing w:line="200" w:lineRule="atLeast"/>
        <w:jc w:val="center"/>
        <w:rPr>
          <w:rFonts w:ascii="宋体" w:hAnsi="宋体" w:cs="宋体"/>
          <w:bCs/>
          <w:color w:val="auto"/>
          <w:sz w:val="24"/>
          <w:highlight w:val="none"/>
        </w:rPr>
      </w:pPr>
    </w:p>
    <w:p w14:paraId="234A8BB3">
      <w:pPr>
        <w:spacing w:line="200" w:lineRule="atLeast"/>
        <w:jc w:val="center"/>
        <w:rPr>
          <w:rFonts w:ascii="宋体" w:hAnsi="宋体" w:cs="宋体"/>
          <w:bCs/>
          <w:color w:val="auto"/>
          <w:sz w:val="24"/>
          <w:highlight w:val="none"/>
        </w:rPr>
      </w:pPr>
    </w:p>
    <w:p w14:paraId="43EEB67F">
      <w:pPr>
        <w:spacing w:line="360" w:lineRule="auto"/>
        <w:rPr>
          <w:rFonts w:ascii="宋体" w:hAnsi="宋体" w:cs="宋体"/>
          <w:bCs/>
          <w:color w:val="auto"/>
          <w:sz w:val="24"/>
          <w:highlight w:val="none"/>
        </w:rPr>
      </w:pPr>
      <w:r>
        <w:rPr>
          <w:rFonts w:hint="eastAsia" w:ascii="宋体" w:hAnsi="宋体" w:cs="宋体"/>
          <w:bCs/>
          <w:color w:val="auto"/>
          <w:sz w:val="24"/>
          <w:highlight w:val="none"/>
        </w:rPr>
        <w:t>采购方（甲方）：云南大学</w:t>
      </w:r>
    </w:p>
    <w:p w14:paraId="3713356A">
      <w:pPr>
        <w:spacing w:line="360" w:lineRule="auto"/>
        <w:rPr>
          <w:rFonts w:ascii="宋体" w:hAnsi="宋体" w:cs="宋体"/>
          <w:bCs/>
          <w:color w:val="auto"/>
          <w:sz w:val="24"/>
          <w:highlight w:val="none"/>
        </w:rPr>
      </w:pPr>
    </w:p>
    <w:p w14:paraId="77408494">
      <w:pPr>
        <w:tabs>
          <w:tab w:val="left" w:pos="5529"/>
        </w:tabs>
        <w:spacing w:line="360" w:lineRule="auto"/>
        <w:rPr>
          <w:rFonts w:ascii="宋体" w:hAnsi="宋体" w:cs="宋体"/>
          <w:bCs/>
          <w:color w:val="auto"/>
          <w:sz w:val="24"/>
          <w:highlight w:val="none"/>
        </w:rPr>
      </w:pPr>
      <w:r>
        <w:rPr>
          <w:rFonts w:hint="eastAsia" w:ascii="宋体" w:hAnsi="宋体" w:cs="宋体"/>
          <w:bCs/>
          <w:color w:val="auto"/>
          <w:sz w:val="24"/>
          <w:highlight w:val="none"/>
        </w:rPr>
        <w:t>法定代表人或委托代理人:</w:t>
      </w:r>
      <w:r>
        <w:rPr>
          <w:rFonts w:hint="eastAsia" w:ascii="宋体" w:hAnsi="宋体" w:cs="宋体"/>
          <w:bCs/>
          <w:color w:val="auto"/>
          <w:sz w:val="24"/>
          <w:highlight w:val="none"/>
        </w:rPr>
        <w:tab/>
      </w:r>
    </w:p>
    <w:p w14:paraId="1E16A829">
      <w:pPr>
        <w:tabs>
          <w:tab w:val="left" w:pos="5529"/>
        </w:tabs>
        <w:spacing w:line="360" w:lineRule="auto"/>
        <w:rPr>
          <w:rFonts w:ascii="宋体" w:hAnsi="宋体" w:cs="宋体"/>
          <w:bCs/>
          <w:color w:val="auto"/>
          <w:sz w:val="24"/>
          <w:highlight w:val="none"/>
        </w:rPr>
      </w:pPr>
      <w:r>
        <w:rPr>
          <w:rFonts w:hint="eastAsia" w:ascii="宋体" w:hAnsi="宋体" w:cs="宋体"/>
          <w:bCs/>
          <w:color w:val="auto"/>
          <w:sz w:val="24"/>
          <w:highlight w:val="none"/>
        </w:rPr>
        <w:tab/>
      </w:r>
    </w:p>
    <w:p w14:paraId="2ACEC6F1">
      <w:pPr>
        <w:tabs>
          <w:tab w:val="left" w:pos="5529"/>
        </w:tabs>
        <w:spacing w:line="360" w:lineRule="auto"/>
        <w:rPr>
          <w:rFonts w:ascii="宋体" w:hAnsi="宋体" w:cs="宋体"/>
          <w:bCs/>
          <w:color w:val="auto"/>
          <w:sz w:val="24"/>
          <w:highlight w:val="none"/>
        </w:rPr>
      </w:pPr>
      <w:r>
        <w:rPr>
          <w:rFonts w:hint="eastAsia" w:ascii="宋体" w:hAnsi="宋体" w:cs="宋体"/>
          <w:bCs/>
          <w:color w:val="auto"/>
          <w:sz w:val="24"/>
          <w:highlight w:val="none"/>
        </w:rPr>
        <w:t>电话：0871-65032850</w:t>
      </w:r>
      <w:r>
        <w:rPr>
          <w:rFonts w:hint="eastAsia" w:ascii="宋体" w:hAnsi="宋体" w:cs="宋体"/>
          <w:bCs/>
          <w:color w:val="auto"/>
          <w:sz w:val="24"/>
          <w:highlight w:val="none"/>
        </w:rPr>
        <w:tab/>
      </w:r>
      <w:r>
        <w:rPr>
          <w:rFonts w:hint="eastAsia" w:ascii="宋体" w:hAnsi="宋体" w:cs="宋体"/>
          <w:bCs/>
          <w:color w:val="auto"/>
          <w:sz w:val="24"/>
          <w:highlight w:val="none"/>
        </w:rPr>
        <w:t>传真：0871-65032850</w:t>
      </w:r>
    </w:p>
    <w:p w14:paraId="4B81644D">
      <w:pPr>
        <w:tabs>
          <w:tab w:val="left" w:pos="5529"/>
        </w:tabs>
        <w:spacing w:line="360" w:lineRule="auto"/>
        <w:rPr>
          <w:rFonts w:ascii="宋体" w:hAnsi="宋体" w:cs="宋体"/>
          <w:bCs/>
          <w:color w:val="auto"/>
          <w:sz w:val="24"/>
          <w:highlight w:val="none"/>
        </w:rPr>
      </w:pPr>
      <w:r>
        <w:rPr>
          <w:rFonts w:hint="eastAsia" w:ascii="宋体" w:hAnsi="宋体" w:cs="宋体"/>
          <w:bCs/>
          <w:color w:val="auto"/>
          <w:sz w:val="24"/>
          <w:highlight w:val="none"/>
        </w:rPr>
        <w:t>地址：昆明市翠湖北路2号</w:t>
      </w:r>
      <w:r>
        <w:rPr>
          <w:rFonts w:hint="eastAsia" w:ascii="宋体" w:hAnsi="宋体" w:cs="宋体"/>
          <w:bCs/>
          <w:color w:val="auto"/>
          <w:sz w:val="24"/>
          <w:highlight w:val="none"/>
        </w:rPr>
        <w:tab/>
      </w:r>
      <w:r>
        <w:rPr>
          <w:rFonts w:hint="eastAsia" w:ascii="宋体" w:hAnsi="宋体" w:cs="宋体"/>
          <w:bCs/>
          <w:color w:val="auto"/>
          <w:sz w:val="24"/>
          <w:highlight w:val="none"/>
        </w:rPr>
        <w:t>邮编：650091</w:t>
      </w:r>
    </w:p>
    <w:p w14:paraId="162368D3">
      <w:pPr>
        <w:tabs>
          <w:tab w:val="left" w:pos="5529"/>
        </w:tabs>
        <w:spacing w:line="360" w:lineRule="auto"/>
        <w:rPr>
          <w:rFonts w:ascii="宋体" w:hAnsi="宋体" w:cs="宋体"/>
          <w:bCs/>
          <w:color w:val="auto"/>
          <w:sz w:val="24"/>
          <w:highlight w:val="none"/>
        </w:rPr>
      </w:pPr>
      <w:r>
        <w:rPr>
          <w:rFonts w:hint="eastAsia" w:ascii="宋体" w:hAnsi="宋体" w:cs="宋体"/>
          <w:bCs/>
          <w:color w:val="auto"/>
          <w:sz w:val="24"/>
          <w:highlight w:val="none"/>
        </w:rPr>
        <w:t>签订日期：</w:t>
      </w:r>
      <w:r>
        <w:rPr>
          <w:rFonts w:hint="eastAsia" w:ascii="宋体" w:hAnsi="宋体" w:cs="宋体"/>
          <w:bCs/>
          <w:color w:val="auto"/>
          <w:sz w:val="24"/>
          <w:highlight w:val="none"/>
        </w:rPr>
        <w:tab/>
      </w:r>
    </w:p>
    <w:p w14:paraId="259C0FEE">
      <w:pPr>
        <w:spacing w:line="360" w:lineRule="auto"/>
        <w:rPr>
          <w:rFonts w:ascii="宋体" w:hAnsi="宋体" w:cs="宋体"/>
          <w:bCs/>
          <w:color w:val="auto"/>
          <w:sz w:val="24"/>
          <w:highlight w:val="none"/>
        </w:rPr>
      </w:pPr>
    </w:p>
    <w:p w14:paraId="58F3741F">
      <w:pPr>
        <w:pStyle w:val="67"/>
        <w:rPr>
          <w:rFonts w:ascii="宋体" w:hAnsi="宋体" w:cs="宋体"/>
          <w:bCs/>
          <w:color w:val="auto"/>
          <w:highlight w:val="none"/>
        </w:rPr>
      </w:pPr>
    </w:p>
    <w:p w14:paraId="72901ED9">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供货方（乙方）：  </w:t>
      </w:r>
    </w:p>
    <w:p w14:paraId="316F07C9">
      <w:pPr>
        <w:tabs>
          <w:tab w:val="left" w:pos="5529"/>
        </w:tabs>
        <w:spacing w:line="360" w:lineRule="auto"/>
        <w:rPr>
          <w:rFonts w:ascii="宋体" w:hAnsi="宋体" w:cs="宋体"/>
          <w:color w:val="auto"/>
          <w:sz w:val="24"/>
          <w:highlight w:val="none"/>
        </w:rPr>
      </w:pPr>
    </w:p>
    <w:p w14:paraId="4FF8897C">
      <w:pPr>
        <w:tabs>
          <w:tab w:val="left" w:pos="5529"/>
        </w:tabs>
        <w:spacing w:line="360" w:lineRule="auto"/>
        <w:rPr>
          <w:rFonts w:ascii="宋体" w:hAnsi="宋体" w:cs="宋体"/>
          <w:color w:val="auto"/>
          <w:sz w:val="24"/>
          <w:highlight w:val="none"/>
        </w:rPr>
      </w:pPr>
      <w:r>
        <w:rPr>
          <w:rFonts w:hint="eastAsia" w:ascii="宋体" w:hAnsi="宋体" w:cs="宋体"/>
          <w:color w:val="auto"/>
          <w:sz w:val="24"/>
          <w:highlight w:val="none"/>
        </w:rPr>
        <w:t>法定代表人或委托代理人:</w:t>
      </w:r>
      <w:r>
        <w:rPr>
          <w:rFonts w:hint="eastAsia" w:ascii="宋体" w:hAnsi="宋体" w:cs="宋体"/>
          <w:color w:val="auto"/>
          <w:sz w:val="24"/>
          <w:highlight w:val="none"/>
        </w:rPr>
        <w:tab/>
      </w:r>
      <w:r>
        <w:rPr>
          <w:rFonts w:hint="eastAsia" w:ascii="宋体" w:hAnsi="宋体" w:cs="宋体"/>
          <w:color w:val="auto"/>
          <w:sz w:val="24"/>
          <w:highlight w:val="none"/>
        </w:rPr>
        <w:t>经办人：</w:t>
      </w:r>
    </w:p>
    <w:p w14:paraId="24EB3684">
      <w:pPr>
        <w:tabs>
          <w:tab w:val="left" w:pos="5529"/>
        </w:tabs>
        <w:spacing w:line="360" w:lineRule="auto"/>
        <w:rPr>
          <w:rFonts w:ascii="宋体" w:hAnsi="宋体" w:cs="宋体"/>
          <w:color w:val="auto"/>
          <w:sz w:val="24"/>
          <w:highlight w:val="none"/>
        </w:rPr>
      </w:pPr>
      <w:r>
        <w:rPr>
          <w:rFonts w:hint="eastAsia" w:ascii="宋体" w:hAnsi="宋体" w:cs="宋体"/>
          <w:color w:val="auto"/>
          <w:sz w:val="24"/>
          <w:highlight w:val="none"/>
        </w:rPr>
        <w:tab/>
      </w:r>
    </w:p>
    <w:p w14:paraId="4E380604">
      <w:pPr>
        <w:tabs>
          <w:tab w:val="left" w:pos="5535"/>
        </w:tabs>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rPr>
          <w:rFonts w:hint="eastAsia" w:ascii="宋体" w:hAnsi="宋体" w:cs="宋体"/>
          <w:color w:val="auto"/>
          <w:sz w:val="24"/>
          <w:highlight w:val="none"/>
        </w:rPr>
        <w:tab/>
      </w:r>
      <w:r>
        <w:rPr>
          <w:rFonts w:hint="eastAsia" w:ascii="宋体" w:hAnsi="宋体" w:cs="宋体"/>
          <w:color w:val="auto"/>
          <w:sz w:val="24"/>
          <w:highlight w:val="none"/>
        </w:rPr>
        <w:t xml:space="preserve">传真： </w:t>
      </w:r>
    </w:p>
    <w:p w14:paraId="03E8EB6F">
      <w:pPr>
        <w:tabs>
          <w:tab w:val="left" w:pos="5529"/>
        </w:tabs>
        <w:spacing w:line="360" w:lineRule="auto"/>
        <w:rPr>
          <w:rFonts w:ascii="宋体" w:hAnsi="宋体" w:cs="宋体"/>
          <w:color w:val="auto"/>
          <w:sz w:val="24"/>
          <w:highlight w:val="none"/>
        </w:rPr>
      </w:pPr>
      <w:r>
        <w:rPr>
          <w:rFonts w:hint="eastAsia" w:ascii="宋体" w:hAnsi="宋体" w:cs="宋体"/>
          <w:color w:val="auto"/>
          <w:sz w:val="24"/>
          <w:highlight w:val="none"/>
        </w:rPr>
        <w:t>地址：                             邮编：</w:t>
      </w:r>
    </w:p>
    <w:p w14:paraId="7E95FB48">
      <w:pPr>
        <w:rPr>
          <w:rFonts w:ascii="宋体" w:hAnsi="宋体" w:cs="宋体"/>
          <w:color w:val="auto"/>
          <w:highlight w:val="none"/>
        </w:rPr>
      </w:pPr>
      <w:r>
        <w:rPr>
          <w:rFonts w:hint="eastAsia" w:ascii="宋体" w:hAnsi="宋体" w:cs="宋体"/>
          <w:color w:val="auto"/>
          <w:sz w:val="24"/>
          <w:highlight w:val="none"/>
        </w:rPr>
        <w:t>签订日期：</w:t>
      </w:r>
      <w:r>
        <w:rPr>
          <w:rFonts w:hint="eastAsia" w:ascii="宋体" w:hAnsi="宋体" w:cs="宋体"/>
          <w:color w:val="auto"/>
          <w:highlight w:val="none"/>
        </w:rPr>
        <w:br w:type="page"/>
      </w:r>
    </w:p>
    <w:p w14:paraId="7F75062E">
      <w:pPr>
        <w:pStyle w:val="2"/>
        <w:numPr>
          <w:ilvl w:val="0"/>
          <w:numId w:val="1"/>
        </w:numPr>
        <w:spacing w:before="0" w:after="0" w:line="720" w:lineRule="auto"/>
        <w:jc w:val="center"/>
        <w:rPr>
          <w:rFonts w:ascii="宋体" w:hAnsi="宋体" w:cs="宋体"/>
          <w:color w:val="auto"/>
          <w:highlight w:val="none"/>
        </w:rPr>
      </w:pPr>
      <w:r>
        <w:rPr>
          <w:rFonts w:hint="eastAsia" w:ascii="宋体" w:hAnsi="宋体" w:cs="宋体"/>
          <w:color w:val="auto"/>
          <w:highlight w:val="none"/>
        </w:rPr>
        <w:t xml:space="preserve"> </w:t>
      </w:r>
      <w:bookmarkStart w:id="219" w:name="_Toc12700"/>
      <w:r>
        <w:rPr>
          <w:rFonts w:hint="eastAsia" w:ascii="宋体" w:hAnsi="宋体" w:cs="宋体"/>
          <w:color w:val="auto"/>
          <w:highlight w:val="none"/>
        </w:rPr>
        <w:t>采购内容及要求</w:t>
      </w:r>
      <w:bookmarkEnd w:id="219"/>
    </w:p>
    <w:p w14:paraId="3A857D84">
      <w:pPr>
        <w:pStyle w:val="4"/>
        <w:spacing w:line="360" w:lineRule="auto"/>
        <w:ind w:firstLine="480"/>
        <w:rPr>
          <w:color w:val="auto"/>
          <w:sz w:val="24"/>
          <w:szCs w:val="24"/>
          <w:highlight w:val="none"/>
        </w:rPr>
      </w:pPr>
      <w:bookmarkStart w:id="220" w:name="_Toc19163"/>
      <w:bookmarkEnd w:id="220"/>
      <w:bookmarkStart w:id="221" w:name="_Toc17654"/>
      <w:bookmarkEnd w:id="221"/>
      <w:bookmarkStart w:id="222" w:name="_Toc24075"/>
      <w:r>
        <w:rPr>
          <w:rFonts w:hint="eastAsia"/>
          <w:color w:val="auto"/>
          <w:sz w:val="24"/>
          <w:szCs w:val="24"/>
          <w:highlight w:val="none"/>
        </w:rPr>
        <w:t>（一）采购标的需实现的功能或者目标，以及为落实政府采购政策需满足的要求；</w:t>
      </w:r>
    </w:p>
    <w:p w14:paraId="06A32525">
      <w:pPr>
        <w:pStyle w:val="4"/>
        <w:spacing w:line="360" w:lineRule="auto"/>
        <w:ind w:firstLine="480"/>
        <w:rPr>
          <w:color w:val="auto"/>
          <w:sz w:val="24"/>
          <w:szCs w:val="24"/>
          <w:highlight w:val="none"/>
        </w:rPr>
      </w:pPr>
      <w:r>
        <w:rPr>
          <w:rFonts w:hint="eastAsia"/>
          <w:color w:val="auto"/>
          <w:sz w:val="24"/>
          <w:szCs w:val="24"/>
          <w:highlight w:val="none"/>
        </w:rPr>
        <w:t>1.采购标的需实现的功能或者目标</w:t>
      </w:r>
    </w:p>
    <w:p w14:paraId="00F4D229">
      <w:pPr>
        <w:adjustRightInd w:val="0"/>
        <w:snapToGrid w:val="0"/>
        <w:spacing w:line="360" w:lineRule="auto"/>
        <w:ind w:firstLine="480" w:firstLineChars="200"/>
        <w:rPr>
          <w:color w:val="auto"/>
          <w:sz w:val="24"/>
          <w:szCs w:val="24"/>
          <w:highlight w:val="none"/>
        </w:rPr>
      </w:pPr>
      <w:r>
        <w:rPr>
          <w:rFonts w:hint="eastAsia" w:ascii="宋体" w:hAnsi="宋体" w:cs="宋体"/>
          <w:color w:val="auto"/>
          <w:sz w:val="24"/>
          <w:szCs w:val="24"/>
          <w:highlight w:val="none"/>
        </w:rPr>
        <w:t>本项目为云南大学药学院本科教学药理学实验室基本设备项目采购，采购生物安全柜4套、气瓶柜1套、洁净腔1套、紫外灭菌系统1套、净化空调1套、净化新风机1套、化学安全柜2套、易制毒易制爆柜2套、试剂及耗材柜10套、排风机1套、实验室安全监控器10套、门禁控制器6套。为满足50人本科教学配置，为药理学、细胞生物学、药学综合等实验课程添置相应教学设备。主要用于药理学实验建设洁净间和试剂耗材库房。本</w:t>
      </w:r>
      <w:r>
        <w:rPr>
          <w:rFonts w:hint="eastAsia" w:ascii="宋体" w:hAnsi="宋体" w:cs="宋体"/>
          <w:color w:val="auto"/>
          <w:sz w:val="24"/>
          <w:szCs w:val="24"/>
          <w:highlight w:val="none"/>
          <w:lang w:bidi="ar"/>
        </w:rPr>
        <w:t>项目</w:t>
      </w:r>
      <w:r>
        <w:rPr>
          <w:rFonts w:hint="eastAsia" w:ascii="宋体" w:hAnsi="宋体" w:cs="宋体"/>
          <w:color w:val="auto"/>
          <w:sz w:val="24"/>
          <w:szCs w:val="24"/>
          <w:highlight w:val="none"/>
        </w:rPr>
        <w:t>共设一个标段，供应商必须对所投项目所有内容作出完整唯一的谈判报价，不得缺项、漏项或出现无报价情况，否则按无效响应处理</w:t>
      </w:r>
      <w:r>
        <w:rPr>
          <w:rFonts w:hint="eastAsia"/>
          <w:color w:val="auto"/>
          <w:sz w:val="24"/>
          <w:szCs w:val="24"/>
          <w:highlight w:val="none"/>
        </w:rPr>
        <w:t>。本项目中如有属于国家强制节能环保要求的产品需严格按相关规定执行。</w:t>
      </w:r>
    </w:p>
    <w:p w14:paraId="68C79AA8">
      <w:pPr>
        <w:pStyle w:val="4"/>
        <w:spacing w:line="360" w:lineRule="auto"/>
        <w:ind w:firstLine="480"/>
        <w:rPr>
          <w:color w:val="auto"/>
          <w:sz w:val="24"/>
          <w:szCs w:val="24"/>
          <w:highlight w:val="none"/>
        </w:rPr>
      </w:pPr>
      <w:r>
        <w:rPr>
          <w:rFonts w:hint="eastAsia"/>
          <w:color w:val="auto"/>
          <w:sz w:val="24"/>
          <w:szCs w:val="24"/>
          <w:highlight w:val="none"/>
        </w:rPr>
        <w:t>2.为落实政府采购政策需满足的要求</w:t>
      </w:r>
    </w:p>
    <w:p w14:paraId="35092B27">
      <w:pPr>
        <w:pStyle w:val="4"/>
        <w:spacing w:line="360" w:lineRule="auto"/>
        <w:ind w:firstLine="480"/>
        <w:rPr>
          <w:color w:val="auto"/>
          <w:sz w:val="24"/>
          <w:szCs w:val="24"/>
          <w:highlight w:val="none"/>
        </w:rPr>
      </w:pPr>
      <w:r>
        <w:rPr>
          <w:rFonts w:hint="eastAsia"/>
          <w:color w:val="auto"/>
          <w:sz w:val="24"/>
          <w:szCs w:val="24"/>
          <w:highlight w:val="none"/>
        </w:rPr>
        <w:t>（1）促进中小企业发展政策:根据《政府采购促进中小企业发展管理办法》规定，本项目供应商所投产品为小型或微型企业生产的,应对提交的中小企业声明函的真实性负责,提交的中小企业声明函不真实的,应承担相应的法律责任。</w:t>
      </w:r>
    </w:p>
    <w:p w14:paraId="5FF29518">
      <w:pPr>
        <w:pStyle w:val="4"/>
        <w:spacing w:line="360" w:lineRule="auto"/>
        <w:ind w:firstLine="480"/>
        <w:rPr>
          <w:color w:val="auto"/>
          <w:sz w:val="24"/>
          <w:szCs w:val="24"/>
          <w:highlight w:val="none"/>
        </w:rPr>
      </w:pPr>
      <w:r>
        <w:rPr>
          <w:rFonts w:hint="eastAsia"/>
          <w:color w:val="auto"/>
          <w:sz w:val="24"/>
          <w:szCs w:val="24"/>
          <w:highlight w:val="none"/>
        </w:rPr>
        <w:t>（2）监狱企业扶持政策:供应商如为监狱企业将视同为小型或微型企业，符合条件的供应商应提供由省级以上监狱管理局、戒毒管理局(含新疆生产建设兵团)出具的属于监狱企业的证明文件。符合条件的供应商应对提交的属于监狱企业的证明文件的真实性负责，提交的监狱企业的证明文件不真实的，应承担相应的法律责任。</w:t>
      </w:r>
    </w:p>
    <w:p w14:paraId="4A8DA7F7">
      <w:pPr>
        <w:pStyle w:val="4"/>
        <w:spacing w:line="360" w:lineRule="auto"/>
        <w:ind w:firstLine="480"/>
        <w:rPr>
          <w:color w:val="auto"/>
          <w:sz w:val="24"/>
          <w:szCs w:val="24"/>
          <w:highlight w:val="none"/>
        </w:rPr>
      </w:pPr>
      <w:r>
        <w:rPr>
          <w:rFonts w:hint="eastAsia"/>
          <w:color w:val="auto"/>
          <w:sz w:val="24"/>
          <w:szCs w:val="24"/>
          <w:highlight w:val="none"/>
        </w:rPr>
        <w:t>（3）促进残疾人就业政府采购政策:根据《三部门联合发布关于促进残疾人就业政府采购政策的通知》(财库(2017)141号)规定，符合条件的残疾人福利性单位在参加本项目政府采购活动时，供应商应出具《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0C682896">
      <w:pPr>
        <w:pStyle w:val="4"/>
        <w:spacing w:line="360" w:lineRule="auto"/>
        <w:ind w:firstLine="480"/>
        <w:rPr>
          <w:color w:val="auto"/>
          <w:sz w:val="24"/>
          <w:szCs w:val="24"/>
          <w:highlight w:val="none"/>
        </w:rPr>
      </w:pPr>
      <w:r>
        <w:rPr>
          <w:rFonts w:hint="eastAsia"/>
          <w:color w:val="auto"/>
          <w:sz w:val="24"/>
          <w:szCs w:val="24"/>
          <w:highlight w:val="none"/>
        </w:rPr>
        <w:t>（4）按照“财政部发展改革委生态环境部市场监管总局关于调整优化节能产品、环境标志产品政府采购执行机制的通知”财库〔2019〕9号的规定执行。</w:t>
      </w:r>
    </w:p>
    <w:p w14:paraId="4CCB1E9E">
      <w:pPr>
        <w:pStyle w:val="4"/>
        <w:spacing w:line="360" w:lineRule="auto"/>
        <w:ind w:firstLine="480"/>
        <w:rPr>
          <w:color w:val="auto"/>
          <w:sz w:val="24"/>
          <w:szCs w:val="24"/>
          <w:highlight w:val="none"/>
        </w:rPr>
      </w:pPr>
      <w:r>
        <w:rPr>
          <w:rFonts w:hint="eastAsia"/>
          <w:color w:val="auto"/>
          <w:sz w:val="24"/>
          <w:szCs w:val="24"/>
          <w:highlight w:val="none"/>
        </w:rPr>
        <w:t>（二）采购标的需执行的国家相关标准、行业标准、地方标准或者其他标准、规范；</w:t>
      </w:r>
    </w:p>
    <w:p w14:paraId="3FA6E517">
      <w:pPr>
        <w:pStyle w:val="4"/>
        <w:spacing w:line="360" w:lineRule="auto"/>
        <w:ind w:firstLine="480"/>
        <w:rPr>
          <w:color w:val="auto"/>
          <w:sz w:val="24"/>
          <w:szCs w:val="24"/>
          <w:highlight w:val="none"/>
        </w:rPr>
        <w:sectPr>
          <w:headerReference r:id="rId8" w:type="default"/>
          <w:footerReference r:id="rId9" w:type="default"/>
          <w:pgSz w:w="11906" w:h="16838"/>
          <w:pgMar w:top="1440" w:right="1083" w:bottom="1440" w:left="1083" w:header="720" w:footer="720" w:gutter="0"/>
          <w:cols w:space="720" w:num="1"/>
          <w:docGrid w:type="lines" w:linePitch="317" w:charSpace="0"/>
        </w:sectPr>
      </w:pPr>
      <w:r>
        <w:rPr>
          <w:rFonts w:hint="eastAsia"/>
          <w:color w:val="auto"/>
          <w:sz w:val="24"/>
          <w:szCs w:val="24"/>
          <w:highlight w:val="none"/>
        </w:rPr>
        <w:t>符合国家相关标准、行业标准、地方标准或者其他标准、规范。</w:t>
      </w:r>
    </w:p>
    <w:p w14:paraId="5C04D1E7">
      <w:pPr>
        <w:pStyle w:val="4"/>
        <w:rPr>
          <w:color w:val="auto"/>
          <w:highlight w:val="none"/>
        </w:rPr>
      </w:pPr>
      <w:r>
        <w:rPr>
          <w:rFonts w:hint="eastAsia"/>
          <w:color w:val="auto"/>
          <w:highlight w:val="none"/>
        </w:rPr>
        <w:t>采购标的需满足的质量、安全、技术规格、物理特性等要求</w:t>
      </w:r>
    </w:p>
    <w:tbl>
      <w:tblPr>
        <w:tblStyle w:val="32"/>
        <w:tblW w:w="14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708"/>
        <w:gridCol w:w="1734"/>
        <w:gridCol w:w="11025"/>
      </w:tblGrid>
      <w:tr w14:paraId="0A1B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93" w:type="dxa"/>
            <w:shd w:val="clear" w:color="000000" w:fill="FFFFFF"/>
            <w:vAlign w:val="center"/>
          </w:tcPr>
          <w:p w14:paraId="44652F38">
            <w:pPr>
              <w:spacing w:line="360" w:lineRule="auto"/>
              <w:jc w:val="center"/>
              <w:rPr>
                <w:rFonts w:ascii="宋体" w:hAnsi="宋体" w:cs="宋体"/>
                <w:b/>
                <w:bCs/>
                <w:color w:val="auto"/>
                <w:spacing w:val="-20"/>
                <w:highlight w:val="none"/>
                <w:u w:val="none"/>
              </w:rPr>
            </w:pPr>
            <w:r>
              <w:rPr>
                <w:rFonts w:hint="eastAsia" w:ascii="宋体" w:hAnsi="宋体" w:cs="宋体"/>
                <w:b/>
                <w:bCs/>
                <w:color w:val="auto"/>
                <w:spacing w:val="-20"/>
                <w:highlight w:val="none"/>
                <w:u w:val="none"/>
              </w:rPr>
              <w:t>序号</w:t>
            </w:r>
          </w:p>
        </w:tc>
        <w:tc>
          <w:tcPr>
            <w:tcW w:w="708" w:type="dxa"/>
            <w:shd w:val="clear" w:color="000000" w:fill="FFFFFF"/>
            <w:vAlign w:val="center"/>
          </w:tcPr>
          <w:p w14:paraId="447F5343">
            <w:pPr>
              <w:spacing w:line="360" w:lineRule="auto"/>
              <w:jc w:val="center"/>
              <w:rPr>
                <w:rFonts w:ascii="宋体" w:hAnsi="宋体" w:cs="宋体"/>
                <w:b/>
                <w:bCs/>
                <w:color w:val="auto"/>
                <w:spacing w:val="-20"/>
                <w:highlight w:val="none"/>
                <w:u w:val="none"/>
              </w:rPr>
            </w:pPr>
            <w:r>
              <w:rPr>
                <w:rFonts w:hint="eastAsia" w:ascii="宋体" w:hAnsi="宋体" w:cs="宋体"/>
                <w:b/>
                <w:bCs/>
                <w:color w:val="auto"/>
                <w:spacing w:val="-20"/>
                <w:highlight w:val="none"/>
                <w:u w:val="none"/>
              </w:rPr>
              <w:t>标段</w:t>
            </w:r>
            <w:r>
              <w:rPr>
                <w:rFonts w:hint="eastAsia" w:ascii="宋体" w:hAnsi="宋体" w:cs="宋体"/>
                <w:b/>
                <w:bCs/>
                <w:color w:val="auto"/>
                <w:spacing w:val="-20"/>
                <w:highlight w:val="none"/>
                <w:u w:val="none"/>
              </w:rPr>
              <w:br w:type="textWrapping"/>
            </w:r>
            <w:r>
              <w:rPr>
                <w:rFonts w:hint="eastAsia" w:ascii="宋体" w:hAnsi="宋体" w:cs="宋体"/>
                <w:b/>
                <w:bCs/>
                <w:color w:val="auto"/>
                <w:spacing w:val="-20"/>
                <w:highlight w:val="none"/>
                <w:u w:val="none"/>
              </w:rPr>
              <w:t>代码</w:t>
            </w:r>
          </w:p>
        </w:tc>
        <w:tc>
          <w:tcPr>
            <w:tcW w:w="1734" w:type="dxa"/>
            <w:shd w:val="clear" w:color="000000" w:fill="FFFFFF"/>
            <w:vAlign w:val="center"/>
          </w:tcPr>
          <w:p w14:paraId="7BCC1C44">
            <w:pPr>
              <w:spacing w:line="360" w:lineRule="auto"/>
              <w:jc w:val="center"/>
              <w:rPr>
                <w:rFonts w:ascii="宋体" w:hAnsi="宋体" w:cs="宋体"/>
                <w:b/>
                <w:bCs/>
                <w:color w:val="auto"/>
                <w:spacing w:val="-20"/>
                <w:highlight w:val="none"/>
                <w:u w:val="none"/>
              </w:rPr>
            </w:pPr>
            <w:r>
              <w:rPr>
                <w:rFonts w:hint="eastAsia" w:ascii="宋体" w:hAnsi="宋体" w:cs="宋体"/>
                <w:b/>
                <w:bCs/>
                <w:color w:val="auto"/>
                <w:spacing w:val="-20"/>
                <w:highlight w:val="none"/>
                <w:u w:val="none"/>
              </w:rPr>
              <w:t>项目（产品）名称</w:t>
            </w:r>
          </w:p>
        </w:tc>
        <w:tc>
          <w:tcPr>
            <w:tcW w:w="11025" w:type="dxa"/>
            <w:shd w:val="clear" w:color="000000" w:fill="FFFFFF"/>
            <w:vAlign w:val="center"/>
          </w:tcPr>
          <w:p w14:paraId="60465545">
            <w:pPr>
              <w:spacing w:line="360" w:lineRule="auto"/>
              <w:jc w:val="center"/>
              <w:rPr>
                <w:rFonts w:ascii="宋体" w:hAnsi="宋体" w:cs="宋体"/>
                <w:b/>
                <w:bCs/>
                <w:color w:val="auto"/>
                <w:spacing w:val="-20"/>
                <w:highlight w:val="none"/>
                <w:u w:val="none"/>
              </w:rPr>
            </w:pPr>
            <w:r>
              <w:rPr>
                <w:rFonts w:hint="eastAsia" w:ascii="宋体" w:hAnsi="宋体" w:cs="宋体"/>
                <w:b/>
                <w:bCs/>
                <w:color w:val="auto"/>
                <w:spacing w:val="-20"/>
                <w:highlight w:val="none"/>
                <w:u w:val="none"/>
              </w:rPr>
              <w:t>技术参数及性能要求</w:t>
            </w:r>
          </w:p>
        </w:tc>
      </w:tr>
      <w:tr w14:paraId="523A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55E1B78D">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708" w:type="dxa"/>
            <w:shd w:val="clear" w:color="000000" w:fill="FFFFFF"/>
            <w:vAlign w:val="center"/>
          </w:tcPr>
          <w:p w14:paraId="0AEE4551">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48EE6336">
            <w:pPr>
              <w:rPr>
                <w:rFonts w:ascii="宋体" w:hAnsi="宋体" w:cs="宋体"/>
                <w:color w:val="auto"/>
                <w:highlight w:val="none"/>
                <w:u w:val="none"/>
              </w:rPr>
            </w:pPr>
            <w:r>
              <w:rPr>
                <w:rFonts w:hint="eastAsia"/>
                <w:color w:val="auto"/>
                <w:sz w:val="18"/>
                <w:szCs w:val="18"/>
                <w:highlight w:val="none"/>
                <w:u w:val="none"/>
              </w:rPr>
              <w:t>生物安全柜</w:t>
            </w:r>
          </w:p>
        </w:tc>
        <w:tc>
          <w:tcPr>
            <w:tcW w:w="11025" w:type="dxa"/>
            <w:shd w:val="clear" w:color="000000" w:fill="FFFFFF"/>
            <w:vAlign w:val="center"/>
          </w:tcPr>
          <w:p w14:paraId="3D4B9A9F">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一、生物安全柜</w:t>
            </w:r>
          </w:p>
          <w:p w14:paraId="36A18C27">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1.Ⅱ级A2型生物安全柜，30%气体外排，70%气体循环；</w:t>
            </w:r>
          </w:p>
          <w:p w14:paraId="1603A70D">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2</w:t>
            </w:r>
            <w:r>
              <w:rPr>
                <w:color w:val="auto"/>
                <w:sz w:val="18"/>
                <w:szCs w:val="18"/>
                <w:highlight w:val="none"/>
                <w:u w:val="none"/>
              </w:rPr>
              <w:t>.</w:t>
            </w:r>
            <w:r>
              <w:rPr>
                <w:rFonts w:hint="eastAsia"/>
                <w:color w:val="auto"/>
                <w:sz w:val="18"/>
                <w:szCs w:val="18"/>
                <w:highlight w:val="none"/>
                <w:u w:val="none"/>
              </w:rPr>
              <w:t>工作区宽度≥1580mm；</w:t>
            </w:r>
          </w:p>
          <w:p w14:paraId="28BF86AA">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3</w:t>
            </w:r>
            <w:r>
              <w:rPr>
                <w:color w:val="auto"/>
                <w:sz w:val="18"/>
                <w:szCs w:val="18"/>
                <w:highlight w:val="none"/>
                <w:u w:val="none"/>
              </w:rPr>
              <w:t>.</w:t>
            </w:r>
            <w:r>
              <w:rPr>
                <w:rFonts w:hint="eastAsia"/>
                <w:color w:val="auto"/>
                <w:sz w:val="18"/>
                <w:szCs w:val="18"/>
                <w:highlight w:val="none"/>
                <w:u w:val="none"/>
              </w:rPr>
              <w:t>前窗10度倾角设计，方便操作；</w:t>
            </w:r>
          </w:p>
          <w:p w14:paraId="51B2A9F0">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4</w:t>
            </w:r>
            <w:r>
              <w:rPr>
                <w:color w:val="auto"/>
                <w:sz w:val="18"/>
                <w:szCs w:val="18"/>
                <w:highlight w:val="none"/>
                <w:u w:val="none"/>
              </w:rPr>
              <w:t>.</w:t>
            </w:r>
            <w:r>
              <w:rPr>
                <w:rFonts w:hint="eastAsia"/>
                <w:color w:val="auto"/>
                <w:sz w:val="18"/>
                <w:szCs w:val="18"/>
                <w:highlight w:val="none"/>
                <w:u w:val="none"/>
              </w:rPr>
              <w:t>所有污染部位均应处于负压状态或被负压通道和负压通风系统包围；</w:t>
            </w:r>
          </w:p>
          <w:p w14:paraId="6A2ED658">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5</w:t>
            </w:r>
            <w:r>
              <w:rPr>
                <w:color w:val="auto"/>
                <w:sz w:val="18"/>
                <w:szCs w:val="18"/>
                <w:highlight w:val="none"/>
                <w:u w:val="none"/>
              </w:rPr>
              <w:t>.</w:t>
            </w:r>
            <w:r>
              <w:rPr>
                <w:rFonts w:hint="eastAsia"/>
                <w:color w:val="auto"/>
                <w:sz w:val="18"/>
                <w:szCs w:val="18"/>
                <w:highlight w:val="none"/>
                <w:u w:val="none"/>
              </w:rPr>
              <w:t>具有气流隔断技术，沿玻璃门上沿缝隙有负压气流阻断保护，防止工作区内外气体交互；</w:t>
            </w:r>
          </w:p>
          <w:p w14:paraId="1A21D793">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6</w:t>
            </w:r>
            <w:r>
              <w:rPr>
                <w:color w:val="auto"/>
                <w:sz w:val="18"/>
                <w:szCs w:val="18"/>
                <w:highlight w:val="none"/>
                <w:u w:val="none"/>
              </w:rPr>
              <w:t>.</w:t>
            </w:r>
            <w:r>
              <w:rPr>
                <w:rFonts w:hint="eastAsia"/>
                <w:color w:val="auto"/>
                <w:sz w:val="18"/>
                <w:szCs w:val="18"/>
                <w:highlight w:val="none"/>
                <w:u w:val="none"/>
              </w:rPr>
              <w:t>平板式工作台，一体成型；</w:t>
            </w:r>
          </w:p>
          <w:p w14:paraId="063E6492">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7</w:t>
            </w:r>
            <w:r>
              <w:rPr>
                <w:color w:val="auto"/>
                <w:sz w:val="18"/>
                <w:szCs w:val="18"/>
                <w:highlight w:val="none"/>
                <w:u w:val="none"/>
              </w:rPr>
              <w:t>.</w:t>
            </w:r>
            <w:r>
              <w:rPr>
                <w:rFonts w:hint="eastAsia"/>
                <w:color w:val="auto"/>
                <w:sz w:val="18"/>
                <w:szCs w:val="18"/>
                <w:highlight w:val="none"/>
                <w:u w:val="none"/>
              </w:rPr>
              <w:t>主过滤器：采用超高效过滤器ULPA，过滤效率99.9995%@0.12um，工作区洁净度等级10级；</w:t>
            </w:r>
          </w:p>
          <w:p w14:paraId="3A04CF42">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8</w:t>
            </w:r>
            <w:r>
              <w:rPr>
                <w:color w:val="auto"/>
                <w:sz w:val="18"/>
                <w:szCs w:val="18"/>
                <w:highlight w:val="none"/>
                <w:u w:val="none"/>
              </w:rPr>
              <w:t>.</w:t>
            </w:r>
            <w:r>
              <w:rPr>
                <w:rFonts w:hint="eastAsia"/>
                <w:color w:val="auto"/>
                <w:sz w:val="18"/>
                <w:szCs w:val="18"/>
                <w:highlight w:val="none"/>
                <w:u w:val="none"/>
              </w:rPr>
              <w:t>前窗玻璃：使用光学透视清晰、清洁和消毒时不对其产生负面影响，单层抗冲击性强的防紫外线钢化玻璃，单层玻璃厚度不低于6mm；玻璃门采用手动升降，不得采用电动升降玻璃门，防止突发断电无法关闭玻璃门；</w:t>
            </w:r>
          </w:p>
          <w:p w14:paraId="3F6D6575">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9</w:t>
            </w:r>
            <w:r>
              <w:rPr>
                <w:color w:val="auto"/>
                <w:sz w:val="18"/>
                <w:szCs w:val="18"/>
                <w:highlight w:val="none"/>
                <w:u w:val="none"/>
              </w:rPr>
              <w:t>.</w:t>
            </w:r>
            <w:r>
              <w:rPr>
                <w:rFonts w:hint="eastAsia"/>
                <w:color w:val="auto"/>
                <w:sz w:val="18"/>
                <w:szCs w:val="18"/>
                <w:highlight w:val="none"/>
                <w:u w:val="none"/>
              </w:rPr>
              <w:t>标配4只万向脚轮，4只底脚不锈钢材质，高度可调，调节螺栓内置，无裸露螺纹，清洁方便，防止微生物滋生；</w:t>
            </w:r>
          </w:p>
          <w:p w14:paraId="5C0C7F46">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10</w:t>
            </w:r>
            <w:r>
              <w:rPr>
                <w:color w:val="auto"/>
                <w:sz w:val="18"/>
                <w:szCs w:val="18"/>
                <w:highlight w:val="none"/>
                <w:u w:val="none"/>
              </w:rPr>
              <w:t>.</w:t>
            </w:r>
            <w:r>
              <w:rPr>
                <w:rFonts w:hint="eastAsia"/>
                <w:color w:val="auto"/>
                <w:sz w:val="18"/>
                <w:szCs w:val="18"/>
                <w:highlight w:val="none"/>
                <w:u w:val="none"/>
              </w:rPr>
              <w:t>负压通道专门设计异物过滤装置，防止纸屑等异物通过负压通道进入风机/过滤器影响产品正常运行；</w:t>
            </w:r>
          </w:p>
          <w:p w14:paraId="5EDAE975">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11</w:t>
            </w:r>
            <w:r>
              <w:rPr>
                <w:color w:val="auto"/>
                <w:sz w:val="18"/>
                <w:szCs w:val="18"/>
                <w:highlight w:val="none"/>
                <w:u w:val="none"/>
              </w:rPr>
              <w:t>.</w:t>
            </w:r>
            <w:r>
              <w:rPr>
                <w:rFonts w:hint="eastAsia"/>
                <w:color w:val="auto"/>
                <w:sz w:val="18"/>
                <w:szCs w:val="18"/>
                <w:highlight w:val="none"/>
                <w:u w:val="none"/>
              </w:rPr>
              <w:t>风机：高性能静音风机，提供稳定的气流模型和层流，高性能风机有效延长过滤器的使用寿命；</w:t>
            </w:r>
          </w:p>
          <w:p w14:paraId="0233EDCC">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12</w:t>
            </w:r>
            <w:r>
              <w:rPr>
                <w:color w:val="auto"/>
                <w:sz w:val="18"/>
                <w:szCs w:val="18"/>
                <w:highlight w:val="none"/>
                <w:u w:val="none"/>
              </w:rPr>
              <w:t>.</w:t>
            </w:r>
            <w:r>
              <w:rPr>
                <w:rFonts w:hint="eastAsia"/>
                <w:color w:val="auto"/>
                <w:sz w:val="18"/>
                <w:szCs w:val="18"/>
                <w:highlight w:val="none"/>
                <w:u w:val="none"/>
              </w:rPr>
              <w:t>风速：下降风速≥0.28m/s；流入风速≥0.55m/s；</w:t>
            </w:r>
          </w:p>
          <w:p w14:paraId="171FACA6">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13</w:t>
            </w:r>
            <w:r>
              <w:rPr>
                <w:color w:val="auto"/>
                <w:sz w:val="18"/>
                <w:szCs w:val="18"/>
                <w:highlight w:val="none"/>
                <w:u w:val="none"/>
              </w:rPr>
              <w:t>.</w:t>
            </w:r>
            <w:r>
              <w:rPr>
                <w:rFonts w:hint="eastAsia"/>
                <w:color w:val="auto"/>
                <w:sz w:val="18"/>
                <w:szCs w:val="18"/>
                <w:highlight w:val="none"/>
                <w:u w:val="none"/>
              </w:rPr>
              <w:t>人员保护：碘化钾法测试，前窗操作口的保护因子≥1×10</w:t>
            </w:r>
            <w:r>
              <w:rPr>
                <w:rFonts w:hint="eastAsia"/>
                <w:color w:val="auto"/>
                <w:sz w:val="18"/>
                <w:szCs w:val="18"/>
                <w:highlight w:val="none"/>
                <w:u w:val="none"/>
                <w:vertAlign w:val="superscript"/>
              </w:rPr>
              <w:t>5</w:t>
            </w:r>
            <w:r>
              <w:rPr>
                <w:rFonts w:hint="eastAsia"/>
                <w:color w:val="auto"/>
                <w:sz w:val="18"/>
                <w:szCs w:val="18"/>
                <w:highlight w:val="none"/>
                <w:u w:val="none"/>
              </w:rPr>
              <w:t>；</w:t>
            </w:r>
          </w:p>
          <w:p w14:paraId="00EAA787">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14</w:t>
            </w:r>
            <w:r>
              <w:rPr>
                <w:color w:val="auto"/>
                <w:sz w:val="18"/>
                <w:szCs w:val="18"/>
                <w:highlight w:val="none"/>
                <w:u w:val="none"/>
              </w:rPr>
              <w:t>.</w:t>
            </w:r>
            <w:r>
              <w:rPr>
                <w:rFonts w:hint="eastAsia"/>
                <w:color w:val="auto"/>
                <w:sz w:val="18"/>
                <w:szCs w:val="18"/>
                <w:highlight w:val="none"/>
                <w:u w:val="none"/>
              </w:rPr>
              <w:t>产品保护：用YY0569标准规定方法测试，在琼脂培养皿上的枯草芽孢杆菌芽孢不超过5CFU；</w:t>
            </w:r>
          </w:p>
          <w:p w14:paraId="30D5EF19">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15</w:t>
            </w:r>
            <w:r>
              <w:rPr>
                <w:color w:val="auto"/>
                <w:sz w:val="18"/>
                <w:szCs w:val="18"/>
                <w:highlight w:val="none"/>
                <w:u w:val="none"/>
              </w:rPr>
              <w:t>.</w:t>
            </w:r>
            <w:r>
              <w:rPr>
                <w:rFonts w:hint="eastAsia"/>
                <w:color w:val="auto"/>
                <w:sz w:val="18"/>
                <w:szCs w:val="18"/>
                <w:highlight w:val="none"/>
                <w:u w:val="none"/>
              </w:rPr>
              <w:t>交叉污染保护：用YY0569标准规定方法测试，在琼脂培养皿上的枯草芽孢杆菌芽孢不超过2CFU；</w:t>
            </w:r>
          </w:p>
          <w:p w14:paraId="53F834FB">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16</w:t>
            </w:r>
            <w:r>
              <w:rPr>
                <w:color w:val="auto"/>
                <w:sz w:val="18"/>
                <w:szCs w:val="18"/>
                <w:highlight w:val="none"/>
                <w:u w:val="none"/>
              </w:rPr>
              <w:t>.</w:t>
            </w:r>
            <w:r>
              <w:rPr>
                <w:rFonts w:hint="eastAsia"/>
                <w:color w:val="auto"/>
                <w:sz w:val="18"/>
                <w:szCs w:val="18"/>
                <w:highlight w:val="none"/>
                <w:u w:val="none"/>
              </w:rPr>
              <w:t>实时数字显示系统运行情况，其中下降气流流速和流入气流流速同时显示；显示进度0.01；</w:t>
            </w:r>
          </w:p>
          <w:p w14:paraId="11336EC9">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17</w:t>
            </w:r>
            <w:r>
              <w:rPr>
                <w:color w:val="auto"/>
                <w:sz w:val="18"/>
                <w:szCs w:val="18"/>
                <w:highlight w:val="none"/>
                <w:u w:val="none"/>
              </w:rPr>
              <w:t>.</w:t>
            </w:r>
            <w:r>
              <w:rPr>
                <w:rFonts w:hint="eastAsia"/>
                <w:color w:val="auto"/>
                <w:sz w:val="18"/>
                <w:szCs w:val="18"/>
                <w:highlight w:val="none"/>
                <w:u w:val="none"/>
              </w:rPr>
              <w:t>风压传感器可实时监测并显示正压区和负压区的压力，压力变化超限时自动声光报警。同时可实时监测过滤器阻力，数字显示过滤器剩余使用寿命，在使用寿命剩余10%时自动提示；</w:t>
            </w:r>
          </w:p>
          <w:p w14:paraId="13DD9DF1">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18</w:t>
            </w:r>
            <w:r>
              <w:rPr>
                <w:color w:val="auto"/>
                <w:sz w:val="18"/>
                <w:szCs w:val="18"/>
                <w:highlight w:val="none"/>
                <w:u w:val="none"/>
              </w:rPr>
              <w:t>.</w:t>
            </w:r>
            <w:r>
              <w:rPr>
                <w:rFonts w:hint="eastAsia"/>
                <w:color w:val="auto"/>
                <w:sz w:val="18"/>
                <w:szCs w:val="18"/>
                <w:highlight w:val="none"/>
                <w:u w:val="none"/>
              </w:rPr>
              <w:t>打开前窗后，紫外灯应自动关闭，风机、荧光灯自动开始运行；关闭前窗后，风机和荧光灯自动关闭；</w:t>
            </w:r>
          </w:p>
          <w:p w14:paraId="23975CC3">
            <w:pPr>
              <w:pStyle w:val="27"/>
              <w:spacing w:before="0" w:beforeAutospacing="0" w:after="0" w:afterAutospacing="0"/>
              <w:rPr>
                <w:color w:val="auto"/>
                <w:sz w:val="18"/>
                <w:szCs w:val="18"/>
                <w:highlight w:val="none"/>
                <w:u w:val="none"/>
              </w:rPr>
            </w:pPr>
            <w:r>
              <w:rPr>
                <w:rFonts w:hint="eastAsia" w:ascii="宋体" w:hAnsi="宋体" w:cs="宋体"/>
                <w:b/>
                <w:bCs/>
                <w:color w:val="auto"/>
                <w:highlight w:val="none"/>
                <w:u w:val="none"/>
              </w:rPr>
              <w:t>★</w:t>
            </w:r>
            <w:r>
              <w:rPr>
                <w:rFonts w:hint="eastAsia"/>
                <w:color w:val="auto"/>
                <w:sz w:val="18"/>
                <w:szCs w:val="18"/>
                <w:highlight w:val="none"/>
                <w:u w:val="none"/>
              </w:rPr>
              <w:t>19</w:t>
            </w:r>
            <w:r>
              <w:rPr>
                <w:color w:val="auto"/>
                <w:sz w:val="18"/>
                <w:szCs w:val="18"/>
                <w:highlight w:val="none"/>
                <w:u w:val="none"/>
              </w:rPr>
              <w:t>.</w:t>
            </w:r>
            <w:r>
              <w:rPr>
                <w:rFonts w:hint="eastAsia"/>
                <w:color w:val="auto"/>
                <w:sz w:val="18"/>
                <w:szCs w:val="18"/>
                <w:highlight w:val="none"/>
                <w:u w:val="none"/>
              </w:rPr>
              <w:t>一键式预约紫外灯消毒时间，在班前班后两个时段自动运行；只需预约一次，安全柜生命周期内无需再次预约，紫外灯按照预约时间自动开启消毒功能；</w:t>
            </w:r>
          </w:p>
          <w:p w14:paraId="71E11889">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20</w:t>
            </w:r>
            <w:r>
              <w:rPr>
                <w:color w:val="auto"/>
                <w:sz w:val="18"/>
                <w:szCs w:val="18"/>
                <w:highlight w:val="none"/>
                <w:u w:val="none"/>
              </w:rPr>
              <w:t>.</w:t>
            </w:r>
            <w:r>
              <w:rPr>
                <w:rFonts w:hint="eastAsia"/>
                <w:color w:val="auto"/>
                <w:sz w:val="18"/>
                <w:szCs w:val="18"/>
                <w:highlight w:val="none"/>
                <w:u w:val="none"/>
              </w:rPr>
              <w:t>有开门高度警示功能，开门超高或过低均有声光报警提示；</w:t>
            </w:r>
          </w:p>
          <w:p w14:paraId="5C730D50">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21</w:t>
            </w:r>
            <w:r>
              <w:rPr>
                <w:color w:val="auto"/>
                <w:sz w:val="18"/>
                <w:szCs w:val="18"/>
                <w:highlight w:val="none"/>
                <w:u w:val="none"/>
              </w:rPr>
              <w:t>.</w:t>
            </w:r>
            <w:r>
              <w:rPr>
                <w:rFonts w:hint="eastAsia"/>
                <w:color w:val="auto"/>
                <w:sz w:val="18"/>
                <w:szCs w:val="18"/>
                <w:highlight w:val="none"/>
                <w:u w:val="none"/>
              </w:rPr>
              <w:t>有监测气流波动功能，气流波动超过20%有声光报警提示；</w:t>
            </w:r>
          </w:p>
          <w:p w14:paraId="39066EC4">
            <w:pPr>
              <w:pStyle w:val="27"/>
              <w:spacing w:before="0" w:beforeAutospacing="0" w:after="0" w:afterAutospacing="0"/>
              <w:rPr>
                <w:color w:val="auto"/>
                <w:sz w:val="18"/>
                <w:szCs w:val="18"/>
                <w:highlight w:val="none"/>
                <w:u w:val="none"/>
              </w:rPr>
            </w:pPr>
            <w:r>
              <w:rPr>
                <w:rFonts w:hint="eastAsia"/>
                <w:color w:val="auto"/>
                <w:sz w:val="18"/>
                <w:szCs w:val="18"/>
                <w:highlight w:val="none"/>
                <w:u w:val="none"/>
              </w:rPr>
              <w:t>22</w:t>
            </w:r>
            <w:r>
              <w:rPr>
                <w:color w:val="auto"/>
                <w:sz w:val="18"/>
                <w:szCs w:val="18"/>
                <w:highlight w:val="none"/>
                <w:u w:val="none"/>
              </w:rPr>
              <w:t>.</w:t>
            </w:r>
            <w:r>
              <w:rPr>
                <w:rFonts w:hint="eastAsia"/>
                <w:color w:val="auto"/>
                <w:sz w:val="18"/>
                <w:szCs w:val="18"/>
                <w:highlight w:val="none"/>
                <w:u w:val="none"/>
              </w:rPr>
              <w:t>设备管理系统：列表显示用户姓名、用户类别（技术员/管理员/学生等）、联系电话、是否本实验室、是否本校（单位类型）等；可统计设备开机次数、总机时、对内开机次数、对内总机时、对外开机次数、对外总机时；可统计个人（技术员/管理员/学生等）开机次数、总机时；当使用时长超过关机提醒时间后，向管理员和当前使用人发微信通知；当设备到达当天时间点关机提醒时，向管理员和当前使用人发微信通知；供应商在供货时需提供满足以上技术参数的证明资料</w:t>
            </w:r>
          </w:p>
          <w:p w14:paraId="3AA55A9C">
            <w:pPr>
              <w:pStyle w:val="27"/>
              <w:numPr>
                <w:ilvl w:val="0"/>
                <w:numId w:val="0"/>
              </w:numPr>
              <w:spacing w:before="0" w:beforeAutospacing="0" w:after="0" w:afterAutospacing="0"/>
              <w:rPr>
                <w:color w:val="auto"/>
                <w:sz w:val="18"/>
                <w:szCs w:val="18"/>
                <w:highlight w:val="none"/>
                <w:u w:val="none"/>
              </w:rPr>
            </w:pPr>
            <w:r>
              <w:rPr>
                <w:rFonts w:hint="eastAsia"/>
                <w:color w:val="auto"/>
                <w:sz w:val="18"/>
                <w:szCs w:val="18"/>
                <w:highlight w:val="none"/>
                <w:u w:val="none"/>
                <w:lang w:val="en-US" w:eastAsia="zh-CN"/>
              </w:rPr>
              <w:t>23.</w:t>
            </w:r>
            <w:r>
              <w:rPr>
                <w:rFonts w:hint="eastAsia"/>
                <w:color w:val="auto"/>
                <w:sz w:val="18"/>
                <w:szCs w:val="18"/>
                <w:highlight w:val="none"/>
                <w:u w:val="none"/>
              </w:rPr>
              <w:t>有关门监测功能，未关严门有声光报警提示。</w:t>
            </w:r>
          </w:p>
          <w:p w14:paraId="1FC1AFD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二、每台生安柜需配实验室专用实验凳一把，实验凳具体要技术参数求如下：</w:t>
            </w:r>
          </w:p>
          <w:p w14:paraId="418EBEA6">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凳面技术参数要求：</w:t>
            </w:r>
          </w:p>
          <w:p w14:paraId="7D08D20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1.1 Polyurethane（PU聚氨基甲酸酯）环保、无毒、耐候性，抗疲劳性、耐化学药品性和耐温性、吸引降噪，防水防潮，耐老化，密度330-350kg/m³</w:t>
            </w:r>
          </w:p>
          <w:p w14:paraId="22A05E99">
            <w:pPr>
              <w:rPr>
                <w:rFonts w:ascii="宋体" w:hAnsi="宋体" w:cs="宋体"/>
                <w:color w:val="auto"/>
                <w:sz w:val="18"/>
                <w:szCs w:val="18"/>
                <w:highlight w:val="none"/>
                <w:u w:val="none"/>
              </w:rPr>
            </w:pPr>
            <w:r>
              <w:rPr>
                <w:rFonts w:hint="eastAsia" w:ascii="宋体" w:hAnsi="宋体"/>
                <w:color w:val="auto"/>
                <w:sz w:val="18"/>
                <w:szCs w:val="18"/>
                <w:highlight w:val="none"/>
                <w:u w:val="none"/>
              </w:rPr>
              <w:t>1.2</w:t>
            </w:r>
            <w:r>
              <w:rPr>
                <w:rFonts w:hint="eastAsia" w:ascii="宋体" w:hAnsi="宋体" w:cs="宋体"/>
                <w:color w:val="auto"/>
                <w:sz w:val="18"/>
                <w:szCs w:val="18"/>
                <w:highlight w:val="none"/>
                <w:u w:val="none"/>
              </w:rPr>
              <w:t>凳面： 座面直径≥390mm，厚度≥65mm，座面造型水滴纹防滑共有不小于80颗水滴从小到大依次排开，透气性佳，包裹感很好，防滑易打理。</w:t>
            </w:r>
          </w:p>
          <w:p w14:paraId="77FE973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1.3座面升降高度：480-630mm高度可调</w:t>
            </w:r>
          </w:p>
          <w:p w14:paraId="0BE20A2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1.4座底壳：采用圆弧型结构，座底壳下方设计宽≥30mm/深≥20mm凹槽造型（方便手提），稳固牢靠高承重无木板（零甲醛），内部镶嵌直径≥100mm/2mm厚/烤漆黑防爆铁板（国标）；</w:t>
            </w:r>
          </w:p>
          <w:p w14:paraId="176D0233">
            <w:pPr>
              <w:rPr>
                <w:rFonts w:ascii="宋体" w:hAnsi="宋体" w:cs="宋体"/>
                <w:color w:val="auto"/>
                <w:sz w:val="18"/>
                <w:szCs w:val="18"/>
                <w:highlight w:val="none"/>
                <w:u w:val="none"/>
              </w:rPr>
            </w:pPr>
            <w:r>
              <w:rPr>
                <w:rFonts w:hint="eastAsia" w:ascii="宋体" w:hAnsi="宋体"/>
                <w:color w:val="auto"/>
                <w:sz w:val="18"/>
                <w:szCs w:val="18"/>
                <w:highlight w:val="none"/>
                <w:u w:val="none"/>
              </w:rPr>
              <w:t>2</w:t>
            </w:r>
            <w:r>
              <w:rPr>
                <w:rFonts w:ascii="宋体" w:hAnsi="宋体"/>
                <w:color w:val="auto"/>
                <w:sz w:val="18"/>
                <w:szCs w:val="18"/>
                <w:highlight w:val="none"/>
                <w:u w:val="none"/>
              </w:rPr>
              <w:t>.</w:t>
            </w:r>
            <w:r>
              <w:rPr>
                <w:rFonts w:hint="eastAsia" w:ascii="宋体" w:hAnsi="宋体" w:cs="宋体"/>
                <w:color w:val="auto"/>
                <w:sz w:val="18"/>
                <w:szCs w:val="18"/>
                <w:highlight w:val="none"/>
                <w:u w:val="none"/>
              </w:rPr>
              <w:t>升降器：直径≥310mm圆形无忧按压，360°任意角度升降操作无死角；结合三角结构形成无忧操作增加效率，取消传统金属底盘采用座壳內镶式操作手柄应用杠杆原理一键升降座椅高度，</w:t>
            </w:r>
          </w:p>
          <w:p w14:paraId="1EC510A2">
            <w:pPr>
              <w:rPr>
                <w:rFonts w:ascii="宋体" w:hAnsi="宋体" w:cs="宋体"/>
                <w:color w:val="auto"/>
                <w:sz w:val="18"/>
                <w:szCs w:val="18"/>
                <w:highlight w:val="none"/>
                <w:u w:val="none"/>
              </w:rPr>
            </w:pPr>
            <w:r>
              <w:rPr>
                <w:rFonts w:hint="eastAsia" w:ascii="宋体" w:hAnsi="宋体"/>
                <w:color w:val="auto"/>
                <w:sz w:val="18"/>
                <w:szCs w:val="18"/>
                <w:highlight w:val="none"/>
                <w:u w:val="none"/>
              </w:rPr>
              <w:t>3</w:t>
            </w:r>
            <w:r>
              <w:rPr>
                <w:rFonts w:ascii="宋体" w:hAnsi="宋体"/>
                <w:color w:val="auto"/>
                <w:sz w:val="18"/>
                <w:szCs w:val="18"/>
                <w:highlight w:val="none"/>
                <w:u w:val="none"/>
              </w:rPr>
              <w:t>.</w:t>
            </w:r>
            <w:r>
              <w:rPr>
                <w:rFonts w:hint="eastAsia" w:ascii="宋体" w:hAnsi="宋体" w:cs="宋体"/>
                <w:color w:val="auto"/>
                <w:sz w:val="18"/>
                <w:szCs w:val="18"/>
                <w:highlight w:val="none"/>
                <w:u w:val="none"/>
              </w:rPr>
              <w:t>气压棒：安全升降≥12万次，在最高位置和最低位置各进行不少于60000次共计120000 次循环，测试旋转无异常，</w:t>
            </w:r>
          </w:p>
          <w:p w14:paraId="34543EE5">
            <w:pPr>
              <w:rPr>
                <w:rFonts w:ascii="宋体" w:hAnsi="宋体" w:cs="宋体"/>
                <w:color w:val="auto"/>
                <w:sz w:val="18"/>
                <w:szCs w:val="18"/>
                <w:highlight w:val="none"/>
                <w:u w:val="none"/>
              </w:rPr>
            </w:pPr>
            <w:r>
              <w:rPr>
                <w:rFonts w:hint="eastAsia" w:ascii="宋体" w:hAnsi="宋体"/>
                <w:color w:val="auto"/>
                <w:sz w:val="18"/>
                <w:szCs w:val="18"/>
                <w:highlight w:val="none"/>
                <w:u w:val="none"/>
              </w:rPr>
              <w:t>4</w:t>
            </w:r>
            <w:r>
              <w:rPr>
                <w:rFonts w:ascii="宋体" w:hAnsi="宋体"/>
                <w:color w:val="auto"/>
                <w:sz w:val="18"/>
                <w:szCs w:val="18"/>
                <w:highlight w:val="none"/>
                <w:u w:val="none"/>
              </w:rPr>
              <w:t>.</w:t>
            </w:r>
            <w:r>
              <w:rPr>
                <w:rFonts w:hint="eastAsia" w:ascii="宋体" w:hAnsi="宋体" w:cs="宋体"/>
                <w:color w:val="auto"/>
                <w:sz w:val="18"/>
                <w:szCs w:val="18"/>
                <w:highlight w:val="none"/>
                <w:u w:val="none"/>
              </w:rPr>
              <w:t>椅脚：五星平脚直径≥540mm，PA（尼龙）+GF（玻璃纤维）混合一体注塑成型，满足国标质量安全标准，底座静态载荷试验施加不小于11,120 N(2500 lbf.)的压力作用在垂直的基座中柱，保持不小于1分钟;整体结构无变形开裂，测试通过。</w:t>
            </w:r>
          </w:p>
          <w:p w14:paraId="419F069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椅轮：≥50mmPA尼龙材质表面PU软面，防滑耐磨静音对地板不造成伤害，承重≥400Kg；</w:t>
            </w:r>
          </w:p>
          <w:p w14:paraId="550A4B5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安装在椅脚上的轮子（可跟换固定轮、坐刹轮）耐久性测试座位上承重:≥122 kg （一个循环次数:≥2,000次在障碍片的表面上滚动和≥98,000次在无障碍的光滑表面上滚动）。</w:t>
            </w:r>
          </w:p>
          <w:p w14:paraId="130509B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三、维护设施改造要求</w:t>
            </w:r>
          </w:p>
          <w:p w14:paraId="4121DD3C">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1、包含满足设备用电的改造。</w:t>
            </w:r>
          </w:p>
          <w:p w14:paraId="1AF7F8D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需更换周边配套实验室的可视安全门，包括原有门的拆除及墙面的修复，且新配的安全门材质和颜色与本楼实验室的材质及颜色一致（详见附图，供应商可以派技术人员进行现场勘测，不作为投标的必要条件），材质为双面倍耐板材质，且门为子母门，规格尺寸≥1400*2100*45mm。包含合页、门锁及隐藏式闭门器要改为：安全可视门的门框为阳极氧化加厚铝合金材质，厚度≥1.5mm门页材质双面采用≥3mm厚倍耐板材质，中间夹层采用铝蜂窝，且门为子母门，规格尺寸≥1400*2100*45mm；包含合页、门锁及隐藏式闭门器，可配装门禁系统，共6套。</w:t>
            </w:r>
          </w:p>
          <w:p w14:paraId="63431E0B">
            <w:pPr>
              <w:rPr>
                <w:rFonts w:ascii="宋体" w:hAnsi="宋体" w:cs="宋体"/>
                <w:color w:val="auto"/>
                <w:sz w:val="18"/>
                <w:szCs w:val="18"/>
                <w:highlight w:val="none"/>
                <w:u w:val="none"/>
              </w:rPr>
            </w:pPr>
          </w:p>
          <w:p w14:paraId="7A08DC06">
            <w:pPr>
              <w:rPr>
                <w:rFonts w:ascii="宋体" w:hAnsi="宋体" w:cs="宋体"/>
                <w:color w:val="auto"/>
                <w:sz w:val="18"/>
                <w:szCs w:val="18"/>
                <w:highlight w:val="none"/>
                <w:u w:val="none"/>
              </w:rPr>
            </w:pPr>
            <w:r>
              <w:rPr>
                <w:rFonts w:ascii="宋体" w:hAnsi="宋体" w:cs="宋体"/>
                <w:color w:val="auto"/>
                <w:sz w:val="18"/>
                <w:szCs w:val="18"/>
                <w:highlight w:val="none"/>
                <w:u w:val="none"/>
              </w:rPr>
              <w:drawing>
                <wp:inline distT="0" distB="0" distL="0" distR="0">
                  <wp:extent cx="2146935" cy="3816985"/>
                  <wp:effectExtent l="0" t="0" r="5715" b="0"/>
                  <wp:docPr id="11" name="图片 11" descr="d:\Documents\xwechat_files\wxid_jvkisc1d4oh511_e56b\temp\RWTemp\2025-09\9f4ad27fbc357fbb647a1d8d4e162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Documents\xwechat_files\wxid_jvkisc1d4oh511_e56b\temp\RWTemp\2025-09\9f4ad27fbc357fbb647a1d8d4e16244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150690" cy="3823995"/>
                          </a:xfrm>
                          <a:prstGeom prst="rect">
                            <a:avLst/>
                          </a:prstGeom>
                          <a:noFill/>
                          <a:ln>
                            <a:noFill/>
                          </a:ln>
                        </pic:spPr>
                      </pic:pic>
                    </a:graphicData>
                  </a:graphic>
                </wp:inline>
              </w:drawing>
            </w:r>
            <w:r>
              <w:rPr>
                <w:rFonts w:ascii="宋体" w:hAnsi="宋体" w:cs="宋体"/>
                <w:color w:val="auto"/>
                <w:sz w:val="18"/>
                <w:szCs w:val="18"/>
                <w:highlight w:val="none"/>
                <w:u w:val="none"/>
              </w:rPr>
              <w:drawing>
                <wp:inline distT="0" distB="0" distL="0" distR="0">
                  <wp:extent cx="2159635" cy="3840480"/>
                  <wp:effectExtent l="0" t="0" r="0" b="7620"/>
                  <wp:docPr id="12" name="图片 12" descr="d:\Documents\xwechat_files\wxid_jvkisc1d4oh511_e56b\temp\RWTemp\2025-09\5c191e45c557c74e6c01e8175ef9c2bd\cfe8eca86173f050cf3a3931c77afc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Documents\xwechat_files\wxid_jvkisc1d4oh511_e56b\temp\RWTemp\2025-09\5c191e45c557c74e6c01e8175ef9c2bd\cfe8eca86173f050cf3a3931c77afc2e.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2165910" cy="3851057"/>
                          </a:xfrm>
                          <a:prstGeom prst="rect">
                            <a:avLst/>
                          </a:prstGeom>
                          <a:noFill/>
                          <a:ln>
                            <a:noFill/>
                          </a:ln>
                        </pic:spPr>
                      </pic:pic>
                    </a:graphicData>
                  </a:graphic>
                </wp:inline>
              </w:drawing>
            </w:r>
          </w:p>
          <w:p w14:paraId="7F8D0142">
            <w:pPr>
              <w:jc w:val="center"/>
              <w:rPr>
                <w:rFonts w:ascii="宋体" w:hAnsi="宋体" w:cs="宋体"/>
                <w:color w:val="auto"/>
                <w:sz w:val="18"/>
                <w:szCs w:val="18"/>
                <w:highlight w:val="none"/>
                <w:u w:val="none"/>
              </w:rPr>
            </w:pPr>
            <w:r>
              <w:rPr>
                <w:rFonts w:hint="eastAsia" w:ascii="宋体" w:hAnsi="宋体" w:cs="宋体"/>
                <w:color w:val="auto"/>
                <w:sz w:val="18"/>
                <w:szCs w:val="18"/>
                <w:highlight w:val="none"/>
                <w:u w:val="none"/>
              </w:rPr>
              <w:t>目前的情况和预期的效果</w:t>
            </w:r>
          </w:p>
          <w:p w14:paraId="65689E99">
            <w:pPr>
              <w:rPr>
                <w:rFonts w:ascii="宋体" w:hAnsi="宋体" w:cs="宋体"/>
                <w:color w:val="auto"/>
                <w:sz w:val="18"/>
                <w:szCs w:val="18"/>
                <w:highlight w:val="none"/>
                <w:u w:val="none"/>
              </w:rPr>
            </w:pPr>
          </w:p>
          <w:p w14:paraId="6CC7AEEC">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3.配置壁挂式304紧急冲淋器1套。包含给排水管路的对接。</w:t>
            </w:r>
          </w:p>
          <w:p w14:paraId="292558D3">
            <w:pPr>
              <w:spacing w:line="240" w:lineRule="exact"/>
              <w:rPr>
                <w:rFonts w:ascii="宋体" w:hAnsi="宋体" w:cs="宋体"/>
                <w:color w:val="auto"/>
                <w:highlight w:val="none"/>
                <w:u w:val="none"/>
              </w:rPr>
            </w:pPr>
            <w:r>
              <w:rPr>
                <w:rFonts w:hint="eastAsia" w:ascii="宋体" w:hAnsi="宋体" w:cs="宋体"/>
                <w:color w:val="auto"/>
                <w:highlight w:val="none"/>
                <w:u w:val="none"/>
              </w:rPr>
              <w:t xml:space="preserve"> </w:t>
            </w:r>
            <w:r>
              <w:rPr>
                <w:rFonts w:ascii="宋体" w:hAnsi="宋体" w:cs="宋体"/>
                <w:color w:val="auto"/>
                <w:highlight w:val="none"/>
                <w:u w:val="none"/>
              </w:rPr>
              <w:t xml:space="preserve"> </w:t>
            </w:r>
          </w:p>
        </w:tc>
      </w:tr>
      <w:tr w14:paraId="2AFF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4A6A990A">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2</w:t>
            </w:r>
          </w:p>
        </w:tc>
        <w:tc>
          <w:tcPr>
            <w:tcW w:w="708" w:type="dxa"/>
            <w:shd w:val="clear" w:color="000000" w:fill="FFFFFF"/>
            <w:vAlign w:val="center"/>
          </w:tcPr>
          <w:p w14:paraId="5AAB9F83">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716CEBEB">
            <w:pPr>
              <w:rPr>
                <w:rFonts w:ascii="宋体" w:hAnsi="宋体" w:cs="宋体"/>
                <w:color w:val="auto"/>
                <w:highlight w:val="none"/>
                <w:u w:val="none"/>
              </w:rPr>
            </w:pPr>
            <w:r>
              <w:rPr>
                <w:rFonts w:hint="eastAsia"/>
                <w:color w:val="auto"/>
                <w:sz w:val="18"/>
                <w:szCs w:val="18"/>
                <w:highlight w:val="none"/>
                <w:u w:val="none"/>
              </w:rPr>
              <w:t>气瓶柜</w:t>
            </w:r>
          </w:p>
        </w:tc>
        <w:tc>
          <w:tcPr>
            <w:tcW w:w="11025" w:type="dxa"/>
            <w:shd w:val="clear" w:color="000000" w:fill="FFFFFF"/>
            <w:vAlign w:val="center"/>
          </w:tcPr>
          <w:p w14:paraId="03531D4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1.柜体尺寸要求：可容纳2瓶50L标准气瓶的安全储存需求，外部尺寸：≥W900mm*D600mm*H2050mm，内部尺寸≥W752mm*D435mm*H1865mm</w:t>
            </w:r>
          </w:p>
          <w:p w14:paraId="75EC2723">
            <w:pPr>
              <w:rPr>
                <w:rFonts w:ascii="宋体" w:hAnsi="宋体" w:cs="宋体"/>
                <w:color w:val="auto"/>
                <w:sz w:val="18"/>
                <w:szCs w:val="18"/>
                <w:highlight w:val="none"/>
                <w:u w:val="none"/>
              </w:rPr>
            </w:pPr>
            <w:r>
              <w:rPr>
                <w:rFonts w:hint="eastAsia" w:ascii="宋体" w:hAnsi="宋体" w:cs="宋体"/>
                <w:b/>
                <w:bCs/>
                <w:color w:val="auto"/>
                <w:sz w:val="24"/>
                <w:szCs w:val="24"/>
                <w:highlight w:val="none"/>
                <w:u w:val="none"/>
              </w:rPr>
              <w:t>★</w:t>
            </w:r>
            <w:r>
              <w:rPr>
                <w:rFonts w:hint="eastAsia" w:ascii="宋体" w:hAnsi="宋体" w:cs="宋体"/>
                <w:color w:val="auto"/>
                <w:sz w:val="18"/>
                <w:szCs w:val="18"/>
                <w:highlight w:val="none"/>
                <w:u w:val="none"/>
              </w:rPr>
              <w:t>2.柜门结构要求：双开门，柜门配有防下坠装置和加强型抗冲击安全门锁，抗冲击50Kpa,以防止柜门变形，降低钢瓶在紧急情况下的冲击伤害性；</w:t>
            </w:r>
          </w:p>
          <w:p w14:paraId="55BA3E7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3.柜体结构和材质要求：采用多层结构设计，柜体外部采用裸厚（喷涂前）≥1.5mm镀锌钢板，底座采用采用裸厚（喷涂前）3.0mm镀锌钢板整体焊接而成，从而确保柜体结构稳定不变形，交货时将进行现场实测；</w:t>
            </w:r>
          </w:p>
          <w:p w14:paraId="39E91B8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柜体防火要求：整柜须采用多层防火、隔热结构设计，配置多层复合材质，整柜六面都须具备优良的防火性能，（不得采用单层钢板、双层钢板空气隔离、双层钢板中空填充物的防护方式），防火层总厚度≥60mm。</w:t>
            </w:r>
          </w:p>
          <w:p w14:paraId="2F4B0690">
            <w:pPr>
              <w:rPr>
                <w:rFonts w:ascii="宋体" w:hAnsi="宋体" w:cs="宋体"/>
                <w:color w:val="auto"/>
                <w:sz w:val="18"/>
                <w:szCs w:val="18"/>
                <w:highlight w:val="none"/>
                <w:u w:val="none"/>
              </w:rPr>
            </w:pPr>
            <w:r>
              <w:rPr>
                <w:rFonts w:hint="eastAsia" w:ascii="宋体" w:hAnsi="宋体" w:cs="宋体"/>
                <w:b/>
                <w:bCs/>
                <w:color w:val="auto"/>
                <w:sz w:val="24"/>
                <w:szCs w:val="24"/>
                <w:highlight w:val="none"/>
                <w:u w:val="none"/>
              </w:rPr>
              <w:t>★</w:t>
            </w:r>
            <w:r>
              <w:rPr>
                <w:rFonts w:hint="eastAsia" w:ascii="宋体" w:hAnsi="宋体" w:cs="宋体"/>
                <w:color w:val="auto"/>
                <w:sz w:val="18"/>
                <w:szCs w:val="18"/>
                <w:highlight w:val="none"/>
                <w:u w:val="none"/>
              </w:rPr>
              <w:t>5.通过国标或国际标准防火极限测试，整柜耐火等级≥30分钟，供应商提供第三方检测机构出具的防火检测报告复印件；</w:t>
            </w:r>
          </w:p>
          <w:p w14:paraId="679EFAB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6.柜体装卸踏板要求：柜体底板面离地面距离要求：≤50mm，并须设有高强度气瓶装卸斜踏板、气瓶固定座、高强度固定扎带等，能有效防止和降低气瓶更换过程的倾倒风险；</w:t>
            </w:r>
          </w:p>
          <w:p w14:paraId="7877484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7. 配防爆气路模块，标配为CO2气路模块气体浓度监控及报警装置，紧急切断器电磁阀/气动阀，3段式声光报警器，14.4英寸数据显示屏和集成模块，支持语音、输出端子等</w:t>
            </w:r>
          </w:p>
          <w:p w14:paraId="4E29B596">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8.柜体表面涂层要求：整柜表面采用具有很好的防尘、防锈、防潮性能并能最大限度降低腐蚀和湿气影响的，多层环氧树脂粉末防静电喷涂处理工艺</w:t>
            </w:r>
          </w:p>
          <w:p w14:paraId="4031F01A">
            <w:pPr>
              <w:spacing w:line="240" w:lineRule="exact"/>
              <w:rPr>
                <w:rFonts w:ascii="宋体" w:hAnsi="宋体" w:cs="宋体"/>
                <w:color w:val="auto"/>
                <w:highlight w:val="none"/>
                <w:u w:val="none"/>
              </w:rPr>
            </w:pPr>
            <w:r>
              <w:rPr>
                <w:rFonts w:hint="eastAsia" w:ascii="宋体" w:hAnsi="宋体" w:cs="宋体"/>
                <w:color w:val="auto"/>
                <w:sz w:val="18"/>
                <w:szCs w:val="18"/>
                <w:highlight w:val="none"/>
                <w:u w:val="none"/>
              </w:rPr>
              <w:t>9.柜外观要求：柜体出厂时须标贴有夜光目视化安全标识，从而确保在视线不好或紧急情况下同样能起到警示提醒作用，提供额外的安全保障。</w:t>
            </w:r>
          </w:p>
        </w:tc>
      </w:tr>
      <w:tr w14:paraId="45DE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39C587E5">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3</w:t>
            </w:r>
          </w:p>
        </w:tc>
        <w:tc>
          <w:tcPr>
            <w:tcW w:w="708" w:type="dxa"/>
            <w:shd w:val="clear" w:color="000000" w:fill="FFFFFF"/>
            <w:vAlign w:val="center"/>
          </w:tcPr>
          <w:p w14:paraId="76F97D68">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4463E75A">
            <w:pPr>
              <w:rPr>
                <w:rFonts w:ascii="宋体" w:hAnsi="宋体" w:cs="宋体"/>
                <w:color w:val="auto"/>
                <w:highlight w:val="none"/>
                <w:u w:val="none"/>
              </w:rPr>
            </w:pPr>
            <w:r>
              <w:rPr>
                <w:rFonts w:hint="eastAsia"/>
                <w:color w:val="auto"/>
                <w:sz w:val="18"/>
                <w:szCs w:val="18"/>
                <w:highlight w:val="none"/>
                <w:u w:val="none"/>
              </w:rPr>
              <w:t>洁净腔</w:t>
            </w:r>
          </w:p>
        </w:tc>
        <w:tc>
          <w:tcPr>
            <w:tcW w:w="11025" w:type="dxa"/>
            <w:shd w:val="clear" w:color="000000" w:fill="FFFFFF"/>
            <w:vAlign w:val="center"/>
          </w:tcPr>
          <w:p w14:paraId="2F5279E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1、腔体规格尺寸：6000x7750x2800mm(长宽高)</w:t>
            </w:r>
          </w:p>
          <w:p w14:paraId="4757D424">
            <w:pPr>
              <w:rPr>
                <w:rFonts w:ascii="宋体" w:hAnsi="宋体" w:cs="宋体"/>
                <w:color w:val="auto"/>
                <w:sz w:val="18"/>
                <w:szCs w:val="18"/>
                <w:highlight w:val="none"/>
                <w:u w:val="none"/>
              </w:rPr>
            </w:pPr>
            <w:r>
              <w:rPr>
                <w:rFonts w:hint="eastAsia" w:ascii="宋体" w:hAnsi="宋体" w:cs="宋体"/>
                <w:b/>
                <w:bCs/>
                <w:color w:val="auto"/>
                <w:sz w:val="24"/>
                <w:szCs w:val="24"/>
                <w:highlight w:val="none"/>
                <w:u w:val="none"/>
              </w:rPr>
              <w:t>★</w:t>
            </w:r>
            <w:r>
              <w:rPr>
                <w:rFonts w:hint="eastAsia" w:ascii="宋体" w:hAnsi="宋体" w:cs="宋体"/>
                <w:color w:val="auto"/>
                <w:sz w:val="18"/>
                <w:szCs w:val="18"/>
                <w:highlight w:val="none"/>
                <w:u w:val="none"/>
              </w:rPr>
              <w:t>2、腔体结构：采用装配式结构，考虑运输上楼方便，腔体在工厂预制加工成自由组合可拼装的模块；内部分隔成不同功能要求的独立的C级洁净实验空间。集成所有满足实验需求的电、气、洁净照明、紫外消毒、高效过滤、洁净传递窗、网络及工作台面等集成功能需求。供应商需提供洁净箱体的整体效果图及结构图。</w:t>
            </w:r>
          </w:p>
          <w:p w14:paraId="16812D2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3、腔体的环境要求：</w:t>
            </w:r>
          </w:p>
          <w:p w14:paraId="6B2C4B9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3.1 每个独立的洁净空间完全可独立运行，并严格按照C级洁净室要求进行设置，保证实验人员安全的同时实现快速建设部署，核心区域空间利用率高，每个空间都能能实现温湿度自动控制，每个独立空间设置可视化环境智能控制屏。</w:t>
            </w:r>
          </w:p>
          <w:p w14:paraId="30DEA56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3.2.依据医药工业洁净厂房设计标：尺寸≥0.5 um的悬浮粒子需≤352000粒/m</w:t>
            </w:r>
            <w:r>
              <w:rPr>
                <w:rFonts w:hint="eastAsia"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，尺寸≥5 um的悬浮粒子需≤2900粒/m</w:t>
            </w:r>
            <w:r>
              <w:rPr>
                <w:rFonts w:hint="eastAsia"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。检测结果需符合C级；温度需控制在20～24℃；湿度需控制在45～60%RH；沉降菌≤50（φ90mm） cfu/0.5小时；浮游菌≤100cfu/m³。</w:t>
            </w:r>
          </w:p>
          <w:p w14:paraId="76900CE5">
            <w:pPr>
              <w:rPr>
                <w:rFonts w:ascii="宋体" w:hAnsi="宋体" w:cs="宋体"/>
                <w:color w:val="auto"/>
                <w:sz w:val="18"/>
                <w:szCs w:val="18"/>
                <w:highlight w:val="none"/>
                <w:u w:val="none"/>
              </w:rPr>
            </w:pPr>
            <w:r>
              <w:rPr>
                <w:rFonts w:hint="eastAsia" w:ascii="宋体" w:hAnsi="宋体" w:cs="宋体"/>
                <w:b/>
                <w:bCs/>
                <w:color w:val="auto"/>
                <w:sz w:val="24"/>
                <w:szCs w:val="24"/>
                <w:highlight w:val="none"/>
                <w:u w:val="none"/>
              </w:rPr>
              <w:t>★</w:t>
            </w:r>
            <w:r>
              <w:rPr>
                <w:rFonts w:hint="eastAsia" w:ascii="宋体" w:hAnsi="宋体" w:cs="宋体"/>
                <w:color w:val="auto"/>
                <w:sz w:val="18"/>
                <w:szCs w:val="18"/>
                <w:highlight w:val="none"/>
                <w:u w:val="none"/>
              </w:rPr>
              <w:t>3</w:t>
            </w:r>
            <w:r>
              <w:rPr>
                <w:rFonts w:ascii="宋体" w:hAnsi="宋体" w:cs="宋体"/>
                <w:color w:val="auto"/>
                <w:sz w:val="18"/>
                <w:szCs w:val="18"/>
                <w:highlight w:val="none"/>
                <w:u w:val="none"/>
              </w:rPr>
              <w:t>.3</w:t>
            </w:r>
            <w:r>
              <w:rPr>
                <w:rFonts w:hint="eastAsia" w:ascii="宋体" w:hAnsi="宋体" w:cs="宋体"/>
                <w:color w:val="auto"/>
                <w:sz w:val="18"/>
                <w:szCs w:val="18"/>
                <w:highlight w:val="none"/>
                <w:u w:val="none"/>
              </w:rPr>
              <w:t xml:space="preserve">要求供应商在安装完毕验收前提供有CMA认定的权威第三方检测机构进行现场检测且检测点位不低于5个，并出具提供满足以上参数的合格检测报告，检测费用由包含在中标总价内                                                                    </w:t>
            </w:r>
          </w:p>
          <w:p w14:paraId="0B3FA3C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4、腔体模块材料要求</w:t>
            </w:r>
          </w:p>
          <w:p w14:paraId="547D431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4.1 腔体顶部和侧面均采用≥50mm厚实验室专用抗菌防腐防火净化板，内置玻镁及岩棉，抗菌效果好，具有良好的防火，防潮，防腐、防脱胶，高强度，保温，隔热，吸音等特点； </w:t>
            </w:r>
          </w:p>
          <w:p w14:paraId="5107D66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4.2腔体底部≥2.0mm厚同质透芯防腐耐磨天然橡腔地面，腔体底面与侧面的拼接应采用无缝连接；拼接处平滑均匀、整齐，表面平整、洁净，粘贴牢固，无空鼓，周边顺直；</w:t>
            </w:r>
          </w:p>
          <w:p w14:paraId="3781F95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4.3内阴阳角配洁净室专用圆弧形铝型材，保证箱体内部光滑无卫生死角，不积灰，不易 产生霉菌；</w:t>
            </w:r>
          </w:p>
          <w:p w14:paraId="4324517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4.4腔体进出门和可视窗采用抗菌净化板与钢化玻璃组装而成，保证箱体内的通透与采光效果；外窗按生物安全实验室要求设置为可通风结构；配置安全门便于仪器设备安放。且门必须采有洁净钢质门，双层钢板中间夹金属蜂窝，门的双面钢板厚度≥1mm，中间金属蜂窝，配置隐藏式闭门器以及304不锈钢合页及拉手、门锁；可视窗采用双层真空防火玻璃。</w:t>
            </w:r>
          </w:p>
          <w:p w14:paraId="2068438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4.5腔体内部缓冲隔间进出门具有互锁功能，通电后进出门不能同时开启，并在互锁门的附近设置紧急手动解除互锁开关，需要时，应可立即解除实验室门的互锁。                                     </w:t>
            </w:r>
          </w:p>
          <w:p w14:paraId="56F9486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4.6洁净腔内需配置实验所需要的全钢结构工作台</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 xml:space="preserve">3000*600*850mm至少3组，台面及柜体必须采用抗菌防腐材质，且工作台面厚度≥19mm ，整体设计无死角且易清洁，工作台底部与工作地面采用无缝拼接且配置实验室专用实验凳5把，材质要求同生安柜配套实验凳。 </w:t>
            </w:r>
          </w:p>
          <w:p w14:paraId="46B2A191">
            <w:pPr>
              <w:numPr>
                <w:ilvl w:val="0"/>
                <w:numId w:val="2"/>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不低于15m</w:t>
            </w:r>
            <w:r>
              <w:rPr>
                <w:rFonts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墙体拆除（含搬运及修复）、相应水电敷设。</w:t>
            </w:r>
          </w:p>
          <w:p w14:paraId="3F6700AC">
            <w:pPr>
              <w:numPr>
                <w:ilvl w:val="0"/>
                <w:numId w:val="2"/>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洁净腔体配置智能氧气浓度监测报警器并能并入学校智慧安全管理监平台。</w:t>
            </w:r>
          </w:p>
        </w:tc>
      </w:tr>
      <w:tr w14:paraId="6F07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014644BF">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4</w:t>
            </w:r>
          </w:p>
        </w:tc>
        <w:tc>
          <w:tcPr>
            <w:tcW w:w="708" w:type="dxa"/>
            <w:shd w:val="clear" w:color="000000" w:fill="FFFFFF"/>
            <w:vAlign w:val="center"/>
          </w:tcPr>
          <w:p w14:paraId="4212E7DE">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5FA648E8">
            <w:pPr>
              <w:rPr>
                <w:rFonts w:ascii="宋体" w:hAnsi="宋体" w:cs="宋体"/>
                <w:color w:val="auto"/>
                <w:highlight w:val="none"/>
                <w:u w:val="none"/>
              </w:rPr>
            </w:pPr>
            <w:r>
              <w:rPr>
                <w:rFonts w:hint="eastAsia"/>
                <w:color w:val="auto"/>
                <w:sz w:val="18"/>
                <w:szCs w:val="18"/>
                <w:highlight w:val="none"/>
                <w:u w:val="none"/>
              </w:rPr>
              <w:t>紫外灭菌系统</w:t>
            </w:r>
          </w:p>
        </w:tc>
        <w:tc>
          <w:tcPr>
            <w:tcW w:w="11025" w:type="dxa"/>
            <w:shd w:val="clear" w:color="000000" w:fill="FFFFFF"/>
            <w:vAlign w:val="center"/>
          </w:tcPr>
          <w:p w14:paraId="66B40AA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紫外灯的智能控制屏安装在实验室进门口处。主实验室平均照度在500lx以上,缓冲平均照度在200lx以上。</w:t>
            </w:r>
          </w:p>
          <w:p w14:paraId="394D9D8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紫外灯智能定时消毒控制器：</w:t>
            </w:r>
          </w:p>
          <w:p w14:paraId="0859EBA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1.采用尺寸≥4.0英寸电容型触摸屏，屏幕分辨率≥480*480，颜色应为RGB支持65K色，16位显示；支持全天候RS485通信，支持JPEG图片压缩、MP3音频、GIF动画等多媒体播放，支持扩展对接智能化系统控制。</w:t>
            </w:r>
          </w:p>
          <w:p w14:paraId="1A0346FC">
            <w:pPr>
              <w:rPr>
                <w:rFonts w:ascii="宋体" w:hAnsi="宋体" w:cs="宋体"/>
                <w:color w:val="auto"/>
                <w:highlight w:val="none"/>
                <w:u w:val="none"/>
              </w:rPr>
            </w:pPr>
            <w:r>
              <w:rPr>
                <w:rFonts w:hint="eastAsia" w:ascii="宋体" w:hAnsi="宋体" w:cs="宋体"/>
                <w:color w:val="auto"/>
                <w:sz w:val="18"/>
                <w:szCs w:val="18"/>
                <w:highlight w:val="none"/>
                <w:u w:val="none"/>
              </w:rPr>
              <w:t>2.消毒控制器作为实验室安全性能的把控的关键设备必须通过相关法规和标准检测，依据GB/T5226.1-2019《机械电气安全机械电气设备 第1部分:通用技术条件》等。应符合以下检测要点要求：安全性：该产品支持红外、微波人体感应器管理设置，在设置启动消毒时间内误开门与人误进入消毒区内自动报警自动关闭不超过0.5秒，设置消毒时间， 定时控制实验倒计时时间关闭紫外灯，精准控制不超过1秒。</w:t>
            </w:r>
          </w:p>
        </w:tc>
      </w:tr>
      <w:tr w14:paraId="24BAA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5D02F6E7">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5</w:t>
            </w:r>
          </w:p>
        </w:tc>
        <w:tc>
          <w:tcPr>
            <w:tcW w:w="708" w:type="dxa"/>
            <w:shd w:val="clear" w:color="000000" w:fill="FFFFFF"/>
            <w:vAlign w:val="center"/>
          </w:tcPr>
          <w:p w14:paraId="28CC3781">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06E7C27C">
            <w:pPr>
              <w:rPr>
                <w:rFonts w:ascii="宋体" w:hAnsi="宋体" w:cs="宋体"/>
                <w:color w:val="auto"/>
                <w:highlight w:val="none"/>
                <w:u w:val="none"/>
              </w:rPr>
            </w:pPr>
            <w:r>
              <w:rPr>
                <w:rFonts w:hint="eastAsia"/>
                <w:color w:val="auto"/>
                <w:sz w:val="18"/>
                <w:szCs w:val="18"/>
                <w:highlight w:val="none"/>
                <w:u w:val="none"/>
              </w:rPr>
              <w:t>净化空调</w:t>
            </w:r>
          </w:p>
        </w:tc>
        <w:tc>
          <w:tcPr>
            <w:tcW w:w="11025" w:type="dxa"/>
            <w:shd w:val="clear" w:color="000000" w:fill="FFFFFF"/>
          </w:tcPr>
          <w:p w14:paraId="30FEA23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新风风量≥2700m</w:t>
            </w:r>
            <w:r>
              <w:rPr>
                <w:rFonts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/h，回风风量≥2160m</w:t>
            </w:r>
            <w:r>
              <w:rPr>
                <w:rFonts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/h，新风风量≥540m</w:t>
            </w:r>
            <w:r>
              <w:rPr>
                <w:rFonts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/h，机外余压≥700Pa，电机功率≥2.2KW，制冷量≥14kw，制热量≥15.4kw</w:t>
            </w:r>
          </w:p>
          <w:p w14:paraId="75A9905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功能段排布：新风段、初中效过滤段(G4;F8)、直接蒸发段(直膨)、离心送风机段（进出风口均配法兰）</w:t>
            </w:r>
          </w:p>
          <w:p w14:paraId="5944088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一、技术要求 </w:t>
            </w:r>
          </w:p>
          <w:p w14:paraId="74031A6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1、室内机箱体结构</w:t>
            </w:r>
          </w:p>
          <w:p w14:paraId="287FED8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1.1 箱体框架及面板：箱体面板之间形成互锁结构，框架面板一体化，采用高精度铝合金型材配合高强度的隔热塑材，形成三维复合断冷桥结构，多重配合密封，保证无凝露，箱体面板采用内藏式螺栓结构紧固，方便拆装，螺栓或螺钉不外</w:t>
            </w:r>
          </w:p>
          <w:p w14:paraId="49BA916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露于箱体外部，杜绝冷桥。机组聚氨酯保温面板防火等级须达到B1级。</w:t>
            </w:r>
          </w:p>
          <w:p w14:paraId="2F41F6B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1.2 箱体面板要求采用复合式夹芯双层保温面板：外板表面采用≥0.5mm厚彩钢板，内板采用≥0.5mm优质镀锌板；采用的现场高压发泡阻燃型聚氨酯保温材料容重不小于52kg/m3，保温层厚度≥30mm。保温层与面板应结合牢固、无间隙，并应进行防腐处理。</w:t>
            </w:r>
          </w:p>
          <w:p w14:paraId="68A3245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1.3面板传热系数≤0.6w/m2K，为T2(M)级；热桥因子为TB1(M)级，≤0.9 W/(m2.K)，确保机组在任何工况下使用时机组外表面无凝露现象。机组应有足够的强度及气密性，机组箱体应有足够的设计强度，在机组内静压保持在1000Pa时变形小于0.5mm/m；</w:t>
            </w:r>
          </w:p>
          <w:p w14:paraId="1ABA6D35">
            <w:pPr>
              <w:rPr>
                <w:color w:val="auto"/>
                <w:highlight w:val="none"/>
                <w:u w:val="none"/>
              </w:rPr>
            </w:pPr>
            <w:r>
              <w:rPr>
                <w:rFonts w:hint="eastAsia" w:ascii="宋体" w:hAnsi="宋体" w:cs="宋体"/>
                <w:b/>
                <w:bCs/>
                <w:color w:val="auto"/>
                <w:sz w:val="24"/>
                <w:szCs w:val="24"/>
                <w:highlight w:val="none"/>
                <w:u w:val="none"/>
              </w:rPr>
              <w:t>★</w:t>
            </w:r>
            <w:r>
              <w:rPr>
                <w:rFonts w:hint="eastAsia" w:ascii="宋体" w:hAnsi="宋体" w:cs="宋体"/>
                <w:color w:val="auto"/>
                <w:sz w:val="18"/>
                <w:szCs w:val="18"/>
                <w:highlight w:val="none"/>
                <w:u w:val="none"/>
              </w:rPr>
              <w:t>1.4 整机漏风率：面板和框架的一体化发泡方式生产，要求采用多重密封结构，不能直接采用PE、PEF作保温和密封用，并需保证在额定工况下，机组内静压保持在1000Pa时，漏风率≤0.1%（按GB/T 14294-2008标准测定，并可以提供≥80000m³/h风量的机组的第三方检测报告。</w:t>
            </w:r>
          </w:p>
          <w:p w14:paraId="0A082BE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1.4 组合式空调机组需要满足3C或CE认证相关标准，并取得两者任意一个证书。</w:t>
            </w:r>
          </w:p>
          <w:p w14:paraId="369119F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2、内置风机</w:t>
            </w:r>
          </w:p>
          <w:p w14:paraId="51D02A1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2.1 风机采用双进风离心风机。</w:t>
            </w:r>
          </w:p>
          <w:p w14:paraId="7E303B3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2.2 叶轮和轴在制造厂内经静平衡和动平衡检测合格，交货时提供出厂检验合格报告。</w:t>
            </w:r>
          </w:p>
          <w:p w14:paraId="1C2A72A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2.3 风机壳体采用镀锌钢板一体成型技术设计，应有适当的厚度以避免产生振动及噪声。</w:t>
            </w:r>
          </w:p>
          <w:p w14:paraId="4475D5A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2.4轴承寿命基于ISO 281的L10标准，其寿命应不小于75,000小时。</w:t>
            </w:r>
          </w:p>
          <w:p w14:paraId="1ADCEAA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2.5 风机出口应设柔性短接，其材质应满足消防要求。</w:t>
            </w:r>
          </w:p>
          <w:p w14:paraId="411EB13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2.6 传动皮带内置于箱体内。</w:t>
            </w:r>
          </w:p>
          <w:p w14:paraId="3DDA9E2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 、电机</w:t>
            </w:r>
          </w:p>
          <w:p w14:paraId="6BF0346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3.1 电机应为耐湿热型的风冷全封闭异步电动机，绝缘等级不低于F级，防护等级不低于IP54。</w:t>
            </w:r>
          </w:p>
          <w:p w14:paraId="6D16804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3.2 电机应能在温度≤0℃，相对湿度≤90%的环境中存储和连续运行。</w:t>
            </w:r>
          </w:p>
          <w:p w14:paraId="35BA078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3.3 电机应方便安装、调整，与风机组成的机架应有双向调节功能，风机、电机通过刚度及强度极好的减振支架联成一个整体，电机在支架上的位置可以很方便地调节；风机在规定工况下运行时，箱体振动值（均方根速度）横向≤1.2mm/s，纵向≤1.1mm/s：电动机振动值（均方根速度）横向≤3.0mm/s，纵向≤2.5mm/s</w:t>
            </w:r>
          </w:p>
          <w:p w14:paraId="74E65A0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3.4机组噪音值应满足以下要求：当机组额定风量2000 - 5000m</w:t>
            </w:r>
            <w:r>
              <w:rPr>
                <w:rFonts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/h时，机组整体噪声声压级不超过65dB（A）</w:t>
            </w:r>
          </w:p>
          <w:p w14:paraId="58D7034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 换热器</w:t>
            </w:r>
          </w:p>
          <w:p w14:paraId="0DB606E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 铜管采用内螺纹优质紫铜管。</w:t>
            </w:r>
          </w:p>
          <w:p w14:paraId="5A47D5D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4.2 翅片采用国产优质铝箔制作，翅片片距1.80~2.60mm。应采用高效翅片型式,肋片整齐,片距均匀,无裂纹、毛刺。`</w:t>
            </w:r>
          </w:p>
          <w:p w14:paraId="0CBFE4A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4.3 气管及分液头采用铜管。</w:t>
            </w:r>
          </w:p>
          <w:p w14:paraId="221D27A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4.4 盘管采用铜管串铝翅片通过整体机械胀管连接而成，铜管与翅片间应紧密结合，以减少接触热阻。</w:t>
            </w:r>
          </w:p>
          <w:p w14:paraId="55B593B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4.5 接水盘：采用带坡度式错层干式水盘，排水段需带&gt;3%的斜向排水口的坡度设计，接水盘用厚度δ≥1.0mm，用厚度δ≥8mm的B1级PE材料保温。满足机组安装和使用要求。</w:t>
            </w:r>
          </w:p>
          <w:p w14:paraId="7D1F2E7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4.6 盘管测试压力不小于25kg/cm</w:t>
            </w:r>
            <w:r>
              <w:rPr>
                <w:rFonts w:ascii="宋体" w:hAnsi="宋体" w:cs="宋体"/>
                <w:color w:val="auto"/>
                <w:sz w:val="18"/>
                <w:szCs w:val="18"/>
                <w:highlight w:val="none"/>
                <w:u w:val="none"/>
                <w:vertAlign w:val="superscript"/>
              </w:rPr>
              <w:t>2</w:t>
            </w:r>
            <w:r>
              <w:rPr>
                <w:rFonts w:hint="eastAsia" w:ascii="宋体" w:hAnsi="宋体" w:cs="宋体"/>
                <w:color w:val="auto"/>
                <w:sz w:val="18"/>
                <w:szCs w:val="18"/>
                <w:highlight w:val="none"/>
                <w:u w:val="none"/>
              </w:rPr>
              <w:t>，满足规定的工作压力要求。</w:t>
            </w:r>
          </w:p>
          <w:p w14:paraId="6BACB82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4.7 通过换热盘管的迎面风速不超过2.5m/s，大于该风速应加装铝合金挡水板。</w:t>
            </w:r>
          </w:p>
          <w:p w14:paraId="7E0CB48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4.8 表冷器盘管应满足招标要求的技术参数，在设计时应考虑一定的安全系数，满足现场需求。</w:t>
            </w:r>
          </w:p>
          <w:p w14:paraId="2B819AD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5、室外机要求</w:t>
            </w:r>
          </w:p>
          <w:p w14:paraId="5D7D15E6">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5.1直膨设备可在宽环境温度范围稳定运行：①、制冷时应保证在环温高至40℃以上时稳定运行；②、热泵制热时应保证低温达-15℃稳定运行。专业净化场所使用的直膨设备应具备全年制冷能力。</w:t>
            </w:r>
          </w:p>
          <w:p w14:paraId="6A82856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5.2室外机为侧排或顶排风结构，机组外围须有外喷涂防腐金属面板保护，面板采用多层防腐喷涂保护，颜色为白色；</w:t>
            </w:r>
          </w:p>
          <w:p w14:paraId="213BF35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5.3压缩机须质保三年，管路须做减振弯，排气回气处均配有减震配重块，能很好减少管路振震；</w:t>
            </w:r>
          </w:p>
          <w:p w14:paraId="4BACD1E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5.4冷凝器采用铜管套亲水铝翅片冷凝器，冷凝风机采用顶送式轴流风机，风机排风口必须有黑色金属防护网罩，保证使用安全；</w:t>
            </w:r>
          </w:p>
          <w:p w14:paraId="68DCF46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5.5控制：机组包含独立的控制器，触摸屏手操器；</w:t>
            </w:r>
          </w:p>
          <w:p w14:paraId="788E819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5.6制热与融霜：机组采用四通换向阀，用于制冷和制热运行的切换。机组可选择智能化除霜或手动无条件除霜。</w:t>
            </w:r>
          </w:p>
          <w:p w14:paraId="47D1E9C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5.7具有系统高、低压保护、电源缺相、逆相、反相、过电压、欠电压保护，电流过流、过载等多项保护。</w:t>
            </w:r>
          </w:p>
          <w:p w14:paraId="73BDBFD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5.8机组冷媒为R410A，配电子膨胀阀。</w:t>
            </w:r>
          </w:p>
          <w:p w14:paraId="02CCB95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6、空调机组电气和控制</w:t>
            </w:r>
          </w:p>
          <w:p w14:paraId="39C25FD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6.1 机组自带控制系统，控制系统包括：智能控制器，≥7寸触摸屏手操器，含温度控制，风机变频控制（送风压力自动调频）、过滤器压差报警，风机欠风压差保护。控制、压缩机启停控制等。</w:t>
            </w:r>
          </w:p>
          <w:p w14:paraId="78034A8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6.2 室外机组内嵌电控箱,防腐喷涂设计。</w:t>
            </w:r>
          </w:p>
          <w:p w14:paraId="76063527">
            <w:pPr>
              <w:rPr>
                <w:rFonts w:ascii="宋体" w:hAnsi="宋体" w:cs="宋体"/>
                <w:color w:val="auto"/>
                <w:highlight w:val="none"/>
                <w:u w:val="none"/>
              </w:rPr>
            </w:pPr>
            <w:r>
              <w:rPr>
                <w:rFonts w:hint="eastAsia" w:ascii="宋体" w:hAnsi="宋体" w:cs="宋体"/>
                <w:color w:val="auto"/>
                <w:sz w:val="18"/>
                <w:szCs w:val="18"/>
                <w:highlight w:val="none"/>
                <w:u w:val="none"/>
              </w:rPr>
              <w:t>6.3 控制系统软件与空调机组同品牌</w:t>
            </w:r>
          </w:p>
        </w:tc>
      </w:tr>
      <w:tr w14:paraId="4A28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784BC2F6">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6</w:t>
            </w:r>
          </w:p>
        </w:tc>
        <w:tc>
          <w:tcPr>
            <w:tcW w:w="708" w:type="dxa"/>
            <w:shd w:val="clear" w:color="000000" w:fill="FFFFFF"/>
            <w:vAlign w:val="center"/>
          </w:tcPr>
          <w:p w14:paraId="70192ED3">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32BCCBF6">
            <w:pPr>
              <w:rPr>
                <w:rFonts w:ascii="宋体" w:hAnsi="宋体" w:cs="宋体"/>
                <w:color w:val="auto"/>
                <w:highlight w:val="none"/>
                <w:u w:val="none"/>
              </w:rPr>
            </w:pPr>
            <w:r>
              <w:rPr>
                <w:rFonts w:hint="eastAsia"/>
                <w:color w:val="auto"/>
                <w:sz w:val="18"/>
                <w:szCs w:val="18"/>
                <w:highlight w:val="none"/>
                <w:u w:val="none"/>
              </w:rPr>
              <w:t>净化新风机</w:t>
            </w:r>
          </w:p>
        </w:tc>
        <w:tc>
          <w:tcPr>
            <w:tcW w:w="11025" w:type="dxa"/>
            <w:shd w:val="clear" w:color="000000" w:fill="FFFFFF"/>
          </w:tcPr>
          <w:p w14:paraId="71BCF7F0">
            <w:pPr>
              <w:numPr>
                <w:ilvl w:val="0"/>
                <w:numId w:val="3"/>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要求采用箱式静音风机</w:t>
            </w:r>
          </w:p>
          <w:p w14:paraId="6CEADC00">
            <w:pPr>
              <w:numPr>
                <w:ilvl w:val="0"/>
                <w:numId w:val="3"/>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箱体采用铝合金金框架洁净彩钢板箱体板（或采用镀锌钢板一体成型箱体），配置检修门，带初效过滤装置</w:t>
            </w:r>
          </w:p>
          <w:p w14:paraId="5D00AF8E">
            <w:pPr>
              <w:numPr>
                <w:ilvl w:val="0"/>
                <w:numId w:val="3"/>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新风量≥2500m</w:t>
            </w:r>
            <w:r>
              <w:rPr>
                <w:rFonts w:hint="eastAsia" w:ascii="宋体" w:hAnsi="宋体" w:cs="宋体"/>
                <w:color w:val="auto"/>
                <w:sz w:val="18"/>
                <w:szCs w:val="18"/>
                <w:highlight w:val="none"/>
                <w:u w:val="none"/>
                <w:vertAlign w:val="superscript"/>
              </w:rPr>
              <w:t>3</w:t>
            </w:r>
            <w:r>
              <w:rPr>
                <w:rFonts w:hint="eastAsia" w:ascii="宋体" w:hAnsi="宋体" w:cs="宋体"/>
                <w:color w:val="auto"/>
                <w:sz w:val="18"/>
                <w:szCs w:val="18"/>
                <w:highlight w:val="none"/>
                <w:u w:val="none"/>
              </w:rPr>
              <w:t>/h，静压≥300Pa，功率≥0.75KW</w:t>
            </w:r>
          </w:p>
          <w:p w14:paraId="13194E58">
            <w:pPr>
              <w:numPr>
                <w:ilvl w:val="0"/>
                <w:numId w:val="3"/>
              </w:numPr>
              <w:rPr>
                <w:rFonts w:ascii="宋体" w:hAnsi="宋体" w:cs="宋体"/>
                <w:color w:val="auto"/>
                <w:sz w:val="18"/>
                <w:szCs w:val="18"/>
                <w:highlight w:val="none"/>
                <w:u w:val="none"/>
              </w:rPr>
            </w:pPr>
            <w:r>
              <w:rPr>
                <w:rFonts w:hint="eastAsia"/>
                <w:color w:val="auto"/>
                <w:sz w:val="18"/>
                <w:szCs w:val="18"/>
                <w:highlight w:val="none"/>
                <w:u w:val="none"/>
              </w:rPr>
              <w:t>噪音</w:t>
            </w:r>
            <w:r>
              <w:rPr>
                <w:rFonts w:hint="eastAsia" w:ascii="宋体" w:hAnsi="宋体" w:cs="宋体"/>
                <w:color w:val="auto"/>
                <w:sz w:val="18"/>
                <w:szCs w:val="18"/>
                <w:highlight w:val="none"/>
                <w:u w:val="none"/>
              </w:rPr>
              <w:t>≤65db</w:t>
            </w:r>
          </w:p>
          <w:p w14:paraId="255BDAC8">
            <w:pPr>
              <w:numPr>
                <w:ilvl w:val="0"/>
                <w:numId w:val="3"/>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配置及安装要求</w:t>
            </w:r>
          </w:p>
          <w:p w14:paraId="6327F65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5.1采用楼层百页窗口取风，包含开墙及修复、防雨防外墙渗漏处理</w:t>
            </w:r>
          </w:p>
          <w:p w14:paraId="08C148C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5.2配直PP送风管道及房间补风百叶，配置送风电动风阀及控制系统，新风与房间排风进行联动控制。含配套PP风管≥35m²，风管保温棉≥70m²、配套电动阀、手动阀、防火阀。                                    </w:t>
            </w:r>
          </w:p>
          <w:p w14:paraId="3049BDB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5.3要求抗震吊装方式</w:t>
            </w:r>
          </w:p>
          <w:p w14:paraId="28EA63E1">
            <w:pPr>
              <w:rPr>
                <w:rFonts w:ascii="宋体" w:hAnsi="宋体" w:cs="宋体"/>
                <w:color w:val="auto"/>
                <w:highlight w:val="none"/>
                <w:u w:val="none"/>
              </w:rPr>
            </w:pPr>
            <w:r>
              <w:rPr>
                <w:rFonts w:hint="eastAsia" w:ascii="宋体" w:hAnsi="宋体" w:cs="宋体"/>
                <w:color w:val="auto"/>
                <w:sz w:val="18"/>
                <w:szCs w:val="18"/>
                <w:highlight w:val="none"/>
                <w:u w:val="none"/>
              </w:rPr>
              <w:t>5.4保证风机正常运行的所有配套线缆及辅材。</w:t>
            </w:r>
          </w:p>
        </w:tc>
      </w:tr>
      <w:tr w14:paraId="20BA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42E9DAF3">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7</w:t>
            </w:r>
          </w:p>
        </w:tc>
        <w:tc>
          <w:tcPr>
            <w:tcW w:w="708" w:type="dxa"/>
            <w:shd w:val="clear" w:color="000000" w:fill="FFFFFF"/>
            <w:vAlign w:val="center"/>
          </w:tcPr>
          <w:p w14:paraId="1DB4DC41">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0EA2833F">
            <w:pPr>
              <w:rPr>
                <w:rFonts w:ascii="宋体" w:hAnsi="宋体" w:cs="宋体"/>
                <w:color w:val="auto"/>
                <w:highlight w:val="none"/>
                <w:u w:val="none"/>
              </w:rPr>
            </w:pPr>
            <w:r>
              <w:rPr>
                <w:rFonts w:hint="eastAsia"/>
                <w:color w:val="auto"/>
                <w:sz w:val="18"/>
                <w:szCs w:val="18"/>
                <w:highlight w:val="none"/>
                <w:u w:val="none"/>
              </w:rPr>
              <w:t>化学安全柜</w:t>
            </w:r>
          </w:p>
        </w:tc>
        <w:tc>
          <w:tcPr>
            <w:tcW w:w="11025" w:type="dxa"/>
            <w:shd w:val="clear" w:color="000000" w:fill="FFFFFF"/>
          </w:tcPr>
          <w:p w14:paraId="08AE586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外部尺寸≥W900mm*D600mm*H1950mm，内部尺寸≥W770mm*D44</w:t>
            </w:r>
            <w:r>
              <w:rPr>
                <w:rFonts w:ascii="宋体" w:hAnsi="宋体" w:cs="宋体"/>
                <w:color w:val="auto"/>
                <w:sz w:val="18"/>
                <w:szCs w:val="18"/>
                <w:highlight w:val="none"/>
                <w:u w:val="none"/>
              </w:rPr>
              <w:t>0</w:t>
            </w:r>
            <w:r>
              <w:rPr>
                <w:rFonts w:hint="eastAsia" w:ascii="宋体" w:hAnsi="宋体" w:cs="宋体"/>
                <w:color w:val="auto"/>
                <w:sz w:val="18"/>
                <w:szCs w:val="18"/>
                <w:highlight w:val="none"/>
                <w:u w:val="none"/>
              </w:rPr>
              <w:t>mm*H164</w:t>
            </w:r>
            <w:r>
              <w:rPr>
                <w:rFonts w:ascii="宋体" w:hAnsi="宋体" w:cs="宋体"/>
                <w:color w:val="auto"/>
                <w:sz w:val="18"/>
                <w:szCs w:val="18"/>
                <w:highlight w:val="none"/>
                <w:u w:val="none"/>
              </w:rPr>
              <w:t>0</w:t>
            </w:r>
            <w:r>
              <w:rPr>
                <w:rFonts w:hint="eastAsia" w:ascii="宋体" w:hAnsi="宋体" w:cs="宋体"/>
                <w:color w:val="auto"/>
                <w:sz w:val="18"/>
                <w:szCs w:val="18"/>
                <w:highlight w:val="none"/>
                <w:u w:val="none"/>
              </w:rPr>
              <w:t>mm</w:t>
            </w:r>
          </w:p>
          <w:p w14:paraId="236CCBB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采用多层结构设计，柜体外部采用裸厚（喷涂前）</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1.5mm镀锌钢板，底座采用采用裸厚（喷涂前）</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3.0mm镀锌钢板整体焊接而成，须提供生产厂家钢材实测厚度符合承诺函并加盖公章；</w:t>
            </w:r>
          </w:p>
          <w:p w14:paraId="215E6AE8">
            <w:pPr>
              <w:rPr>
                <w:rFonts w:ascii="宋体" w:hAnsi="宋体" w:cs="宋体"/>
                <w:color w:val="auto"/>
                <w:sz w:val="18"/>
                <w:szCs w:val="18"/>
                <w:highlight w:val="none"/>
                <w:u w:val="none"/>
              </w:rPr>
            </w:pPr>
            <w:r>
              <w:rPr>
                <w:rFonts w:hint="eastAsia" w:ascii="宋体" w:hAnsi="宋体" w:cs="宋体"/>
                <w:b/>
                <w:bCs/>
                <w:color w:val="auto"/>
                <w:sz w:val="24"/>
                <w:szCs w:val="24"/>
                <w:highlight w:val="none"/>
                <w:u w:val="none"/>
              </w:rPr>
              <w:t>★3</w:t>
            </w:r>
            <w:r>
              <w:rPr>
                <w:rFonts w:ascii="宋体" w:hAnsi="宋体" w:cs="宋体"/>
                <w:b/>
                <w:bCs/>
                <w:color w:val="auto"/>
                <w:sz w:val="24"/>
                <w:szCs w:val="24"/>
                <w:highlight w:val="none"/>
                <w:u w:val="none"/>
              </w:rPr>
              <w:t>.</w:t>
            </w:r>
            <w:r>
              <w:rPr>
                <w:rFonts w:hint="eastAsia" w:ascii="宋体" w:hAnsi="宋体" w:cs="宋体"/>
                <w:color w:val="auto"/>
                <w:sz w:val="18"/>
                <w:szCs w:val="18"/>
                <w:highlight w:val="none"/>
                <w:u w:val="none"/>
              </w:rPr>
              <w:t>整柜采用多层防火、隔热结构设计，配置多层防火、阻燃、隔热复合材质，整柜六面都须具备优良的防火、隔热性能，防火层总厚度≥45mm，整柜1000℃实测耐火时长90分钟，供应商需提供第三方权威检测机构出具的防火检测合格报告复印件，且第三方检测机构通过CMA或CNAS资质认可，且具有化学安全柜防火测试范围并有相关测试设备；</w:t>
            </w:r>
          </w:p>
          <w:p w14:paraId="52E62D5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柜体具有热感闭合防御系统，当环境温度超过50℃时，柜门能在20秒内自动关闭，当环境温度超过70℃时，阀门在20秒内自动关闭，当环境温度超过110℃时柜体六面能形成一个整体密闭空间；</w:t>
            </w:r>
          </w:p>
          <w:p w14:paraId="0CED0CD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柜内层板有三层活动，具有储漏层板，采用</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 xml:space="preserve">1.5mm 冷轧钢板材质，设有快插固定装置，可灵活调整层高，每层均可独立储漏，围边高 </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 xml:space="preserve">30mm，层板最高可承重 </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75KG/㎡，层板需并设有可调节防倾倒调节杆；</w:t>
            </w:r>
          </w:p>
          <w:p w14:paraId="03ED0C9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整柜表面采用防尘、防锈、防潮性能的多层环氧树脂粉末防静电喷涂工艺，柜门为警告黄，柜体为碳灰；</w:t>
            </w:r>
          </w:p>
          <w:p w14:paraId="7FFC04C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7</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柜体设有金属搭接结构的防静电外接连接端子</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2 个；</w:t>
            </w:r>
          </w:p>
          <w:p w14:paraId="74B4469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8</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柜体标贴有</w:t>
            </w:r>
            <w:r>
              <w:rPr>
                <w:rFonts w:ascii="宋体" w:hAnsi="宋体" w:cs="宋体"/>
                <w:color w:val="auto"/>
                <w:sz w:val="18"/>
                <w:szCs w:val="18"/>
                <w:highlight w:val="none"/>
                <w:u w:val="none"/>
              </w:rPr>
              <w:t>夜光</w:t>
            </w:r>
            <w:r>
              <w:rPr>
                <w:rFonts w:hint="eastAsia" w:ascii="宋体" w:hAnsi="宋体" w:cs="宋体"/>
                <w:color w:val="auto"/>
                <w:sz w:val="18"/>
                <w:szCs w:val="18"/>
                <w:highlight w:val="none"/>
                <w:u w:val="none"/>
              </w:rPr>
              <w:t>目视化安全标识；</w:t>
            </w:r>
          </w:p>
          <w:p w14:paraId="7EBBFF37">
            <w:pPr>
              <w:rPr>
                <w:rFonts w:ascii="宋体" w:hAnsi="宋体" w:cs="宋体"/>
                <w:color w:val="auto"/>
                <w:highlight w:val="none"/>
                <w:u w:val="none"/>
              </w:rPr>
            </w:pPr>
            <w:r>
              <w:rPr>
                <w:rFonts w:hint="eastAsia" w:ascii="宋体" w:hAnsi="宋体" w:cs="宋体"/>
                <w:color w:val="auto"/>
                <w:sz w:val="18"/>
                <w:szCs w:val="18"/>
                <w:highlight w:val="none"/>
                <w:u w:val="none"/>
              </w:rPr>
              <w:t>9</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含对应功率楼顶的通风设施、管道。</w:t>
            </w:r>
          </w:p>
        </w:tc>
      </w:tr>
      <w:tr w14:paraId="55F28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25425BF0">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8</w:t>
            </w:r>
          </w:p>
        </w:tc>
        <w:tc>
          <w:tcPr>
            <w:tcW w:w="708" w:type="dxa"/>
            <w:shd w:val="clear" w:color="000000" w:fill="FFFFFF"/>
            <w:vAlign w:val="center"/>
          </w:tcPr>
          <w:p w14:paraId="6F25FF22">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1263C987">
            <w:pPr>
              <w:rPr>
                <w:rFonts w:ascii="宋体" w:hAnsi="宋体" w:cs="宋体"/>
                <w:color w:val="auto"/>
                <w:highlight w:val="none"/>
                <w:u w:val="none"/>
              </w:rPr>
            </w:pPr>
            <w:r>
              <w:rPr>
                <w:rFonts w:hint="eastAsia"/>
                <w:color w:val="auto"/>
                <w:sz w:val="18"/>
                <w:szCs w:val="18"/>
                <w:highlight w:val="none"/>
                <w:u w:val="none"/>
              </w:rPr>
              <w:t>易制毒易制爆柜</w:t>
            </w:r>
          </w:p>
        </w:tc>
        <w:tc>
          <w:tcPr>
            <w:tcW w:w="11025" w:type="dxa"/>
            <w:shd w:val="clear" w:color="000000" w:fill="FFFFFF"/>
            <w:vAlign w:val="center"/>
          </w:tcPr>
          <w:p w14:paraId="2BFE9BD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1、尺寸：≥900*600*1950mm（宽*深*高）</w:t>
            </w:r>
          </w:p>
          <w:p w14:paraId="3DF9147C">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2、三层柜体结构，柜体采用裸厚（喷涂前）≥1.2mm钢板整体焊接而成，内部为耐腐蚀材质</w:t>
            </w:r>
          </w:p>
          <w:p w14:paraId="2832CE7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3、柜体激光一体焊接，正面侧面表面平整，均无任何焊接痕迹，内部增设加强结构</w:t>
            </w:r>
          </w:p>
          <w:p w14:paraId="1EE4649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4、左右柜门完全贴合，无门缝，挥发性气体不易扩散，外部火源不易进入</w:t>
            </w:r>
          </w:p>
          <w:p w14:paraId="1915756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5、柜体表面进行24h乙酸盐雾试验（ASS），外观完好无缺陷，达到10级，提供检测机构出具的检测报告</w:t>
            </w:r>
          </w:p>
          <w:p w14:paraId="609C0D4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6、具有远程监控触控设备服务实时声光报警服务系统。检测气体:可燃气体/有毒气体， 供电电源：DC36V (正常工作电压范围：10~30VDC)， 输出信号：显示+四线制4~20mA+继电器输出，继电器容量：一组开关量输出  声音强度： 85dB@1米处。主体材料：ADC12铝合金/316不锈钢。低报：当系统监控现场中的被测气体浓度达到或超过设定的低报值且低于高报值，控制器处于低报状态：数码管显示气体浓度值，同时低报指示灯亮，并发出声音报警信号。低报警继电器与总报警继电器闭合，控制外设工作。高报：当系统监控现场中的被测气体浓度达到或超过设定的高报值且低于超高报值，控制器处于高报状态：数码管显示气体浓度值，同时低报指示灯亮，并发出声音报警信号。低报警继电器与总报警继电器闭合，控制外设工作。</w:t>
            </w:r>
          </w:p>
          <w:p w14:paraId="17D9D88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7、柜门通过强度测试，在30Kg质量、开关10次试验下，开关灵便，无断裂、松动、磨损和变形。</w:t>
            </w:r>
          </w:p>
          <w:p w14:paraId="5363E2F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8、具有不锈钢长排铰链，开合度</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180°，铰链与门之间无明显缝隙，与顶盖间隙小于1.5mm；</w:t>
            </w:r>
          </w:p>
          <w:p w14:paraId="371DA1C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9、柜体内部设有≥50mm深的盛漏槽，防止泄漏化学品外溢；</w:t>
            </w:r>
          </w:p>
          <w:p w14:paraId="27D255B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10、柜体分别设有通风口并设有独立的阻火器，发生火灾时可阻止柜外火焰通过气道进入柜内。可根据化学品挥发气体密度可选择上下外接通风系统；</w:t>
            </w:r>
          </w:p>
          <w:p w14:paraId="6D95181C">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11、采用两把符合GA/T 73的机械防盗锁具，防静电设计，互不通开，实现双人双锁管理；</w:t>
            </w:r>
          </w:p>
          <w:p w14:paraId="3AD78BB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12、柜体设有静电接地端口，配备压铆螺丝方便连接静电接地导线；</w:t>
            </w:r>
          </w:p>
          <w:p w14:paraId="7AB3E3F5">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13、柜门上粘贴背胶警示性反光膜标签；</w:t>
            </w:r>
          </w:p>
          <w:p w14:paraId="4C5F414D">
            <w:pPr>
              <w:rPr>
                <w:rFonts w:ascii="宋体" w:hAnsi="宋体" w:cs="宋体"/>
                <w:color w:val="auto"/>
                <w:highlight w:val="none"/>
                <w:u w:val="none"/>
              </w:rPr>
            </w:pPr>
            <w:r>
              <w:rPr>
                <w:rFonts w:hint="eastAsia" w:ascii="宋体" w:hAnsi="宋体" w:cs="宋体"/>
                <w:color w:val="auto"/>
                <w:sz w:val="18"/>
                <w:szCs w:val="18"/>
                <w:highlight w:val="none"/>
                <w:u w:val="none"/>
              </w:rPr>
              <w:t>14、含所有管路、线缆及辅助设施。</w:t>
            </w:r>
          </w:p>
        </w:tc>
      </w:tr>
      <w:tr w14:paraId="4F67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6EAB6DB6">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9</w:t>
            </w:r>
          </w:p>
        </w:tc>
        <w:tc>
          <w:tcPr>
            <w:tcW w:w="708" w:type="dxa"/>
            <w:shd w:val="clear" w:color="000000" w:fill="FFFFFF"/>
            <w:vAlign w:val="center"/>
          </w:tcPr>
          <w:p w14:paraId="4E4A8F1B">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6D927BE2">
            <w:pPr>
              <w:rPr>
                <w:rFonts w:ascii="宋体" w:hAnsi="宋体" w:cs="宋体"/>
                <w:color w:val="auto"/>
                <w:highlight w:val="none"/>
                <w:u w:val="none"/>
              </w:rPr>
            </w:pPr>
            <w:r>
              <w:rPr>
                <w:rFonts w:hint="eastAsia"/>
                <w:color w:val="auto"/>
                <w:sz w:val="18"/>
                <w:szCs w:val="18"/>
                <w:highlight w:val="none"/>
                <w:u w:val="none"/>
              </w:rPr>
              <w:t>试剂及耗材柜</w:t>
            </w:r>
          </w:p>
        </w:tc>
        <w:tc>
          <w:tcPr>
            <w:tcW w:w="11025" w:type="dxa"/>
            <w:shd w:val="clear" w:color="000000" w:fill="FFFFFF"/>
            <w:vAlign w:val="center"/>
          </w:tcPr>
          <w:p w14:paraId="1142AFAC">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1、尺寸：≥900*450*1800mm（宽*深*高）·</w:t>
            </w:r>
          </w:p>
          <w:p w14:paraId="7387189B">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2、柜体采≥用8mm厚白色PP材质整体焊接而成，表面平整无焊点焊缝；</w:t>
            </w:r>
          </w:p>
          <w:p w14:paraId="0F8BB77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3、整柜采用聚丙烯（PP）材料制成，柜内无可见金属紧固件；</w:t>
            </w:r>
          </w:p>
          <w:p w14:paraId="4B3EB3E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4、柜门四周由≥16mm厚PP材质焊接而成，安全牢固</w:t>
            </w:r>
          </w:p>
          <w:p w14:paraId="1BDD44B8">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5、内嵌式PP合页，长度≥65mm开合顺畅，开合角度大于180°</w:t>
            </w:r>
          </w:p>
          <w:p w14:paraId="5170A14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6、锁壳内嵌两把回往复式锁具，实现双人双锁管理</w:t>
            </w:r>
          </w:p>
          <w:p w14:paraId="3FE73E4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7、一体注塑成型层板，提供≥10mm深的盛漏槽，单块层板承重100kg以上</w:t>
            </w:r>
          </w:p>
          <w:p w14:paraId="06A3444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8、每隔≥100mm层板高度可调，可调层数5层 </w:t>
            </w:r>
          </w:p>
          <w:p w14:paraId="354A02B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9、 柜体设有两块CCC认证玻璃，具有良好的防爆性能</w:t>
            </w:r>
          </w:p>
          <w:p w14:paraId="1A6D2511">
            <w:pPr>
              <w:numPr>
                <w:ilvl w:val="255"/>
                <w:numId w:val="0"/>
              </w:num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10、上下柜体独立，柜体左下右上和顶部可定制通风口，方便外接通风管道</w:t>
            </w:r>
          </w:p>
          <w:p w14:paraId="11457829">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11、pp材质的插孔与碰珠组成的专用门吸开合方便顺畅，经久耐用</w:t>
            </w:r>
          </w:p>
          <w:p w14:paraId="77A7C22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12、柜门上粘贴警示性标签，反光性能好，抗紫外线，不脱落不掉色</w:t>
            </w:r>
          </w:p>
          <w:p w14:paraId="4AD3FB1A">
            <w:pPr>
              <w:rPr>
                <w:rFonts w:ascii="宋体" w:hAnsi="宋体" w:cs="宋体"/>
                <w:color w:val="auto"/>
                <w:highlight w:val="none"/>
                <w:u w:val="none"/>
              </w:rPr>
            </w:pPr>
            <w:r>
              <w:rPr>
                <w:rFonts w:hint="eastAsia" w:ascii="宋体" w:hAnsi="宋体" w:cs="宋体"/>
                <w:color w:val="auto"/>
                <w:sz w:val="18"/>
                <w:szCs w:val="18"/>
                <w:highlight w:val="none"/>
                <w:u w:val="none"/>
              </w:rPr>
              <w:t>13、含对应通风设施、管道等。</w:t>
            </w:r>
          </w:p>
        </w:tc>
      </w:tr>
      <w:tr w14:paraId="3AA91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51CF3630">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10</w:t>
            </w:r>
          </w:p>
        </w:tc>
        <w:tc>
          <w:tcPr>
            <w:tcW w:w="708" w:type="dxa"/>
            <w:shd w:val="clear" w:color="000000" w:fill="FFFFFF"/>
            <w:vAlign w:val="center"/>
          </w:tcPr>
          <w:p w14:paraId="5ABDA09D">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71C06BA6">
            <w:pPr>
              <w:rPr>
                <w:rFonts w:ascii="宋体" w:hAnsi="宋体" w:cs="宋体"/>
                <w:color w:val="auto"/>
                <w:highlight w:val="none"/>
                <w:u w:val="none"/>
              </w:rPr>
            </w:pPr>
            <w:r>
              <w:rPr>
                <w:rFonts w:hint="eastAsia"/>
                <w:color w:val="auto"/>
                <w:sz w:val="18"/>
                <w:szCs w:val="18"/>
                <w:highlight w:val="none"/>
                <w:u w:val="none"/>
              </w:rPr>
              <w:t>排风机</w:t>
            </w:r>
          </w:p>
        </w:tc>
        <w:tc>
          <w:tcPr>
            <w:tcW w:w="11025" w:type="dxa"/>
            <w:shd w:val="clear" w:color="000000" w:fill="FFFFFF"/>
            <w:vAlign w:val="center"/>
          </w:tcPr>
          <w:p w14:paraId="10FA974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1、风量≥4000m3/h，静压≥480Pa，含配套PP风管≥45m²、配套电动阀、手动阀、防火阀以及控制系统；配套防腐304不锈钢电动阀、定风量阀、304不锈钢防火阀以及智能定时控制系统，并与房间新风进行联动控制。                                                                                2、风机采用以玻璃钢为基体的新型防爆材料和新技术，能有效防止静电产生和磁撞摩擦生热爆炸，增强了防爆性能，适用于易燃易爆气体、防爆要求高的区域工况排风。                                                                                     </w:t>
            </w:r>
          </w:p>
          <w:p w14:paraId="49A07728">
            <w:pPr>
              <w:rPr>
                <w:rFonts w:ascii="宋体" w:hAnsi="宋体" w:cs="宋体"/>
                <w:color w:val="auto"/>
                <w:sz w:val="18"/>
                <w:szCs w:val="18"/>
                <w:highlight w:val="none"/>
                <w:u w:val="none"/>
              </w:rPr>
            </w:pPr>
            <w:r>
              <w:rPr>
                <w:rFonts w:hint="eastAsia" w:ascii="宋体" w:hAnsi="宋体" w:cs="宋体"/>
                <w:b/>
                <w:bCs/>
                <w:color w:val="auto"/>
                <w:sz w:val="24"/>
                <w:szCs w:val="24"/>
                <w:highlight w:val="none"/>
                <w:u w:val="none"/>
              </w:rPr>
              <w:t>★</w:t>
            </w:r>
            <w:r>
              <w:rPr>
                <w:rFonts w:hint="eastAsia" w:ascii="宋体" w:hAnsi="宋体" w:cs="宋体"/>
                <w:color w:val="auto"/>
                <w:sz w:val="18"/>
                <w:szCs w:val="18"/>
                <w:highlight w:val="none"/>
                <w:u w:val="none"/>
              </w:rPr>
              <w:t xml:space="preserve">3、防爆玻璃钢离心风机具有第三方检测机构的玻璃钢样块检验报告和防爆合格证检验报告（供应商投标时需提供满足以上条件的证书或检测报告复印件）                                                                                          </w:t>
            </w:r>
          </w:p>
          <w:p w14:paraId="56875B1E">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4、防爆玻璃钢风机的配置</w:t>
            </w:r>
          </w:p>
          <w:p w14:paraId="33BE51D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4.1风机叶轮为悬臂闭式后倾离心式结构；</w:t>
            </w:r>
          </w:p>
          <w:p w14:paraId="1F2EBA8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4.2轴封：玻璃钢盘根密封或者玻璃钢氮气密封；</w:t>
            </w:r>
          </w:p>
          <w:p w14:paraId="5E85D484">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4.3传动方式：皮带传动或直联式传动（可根据实际情况选配）；</w:t>
            </w:r>
          </w:p>
          <w:p w14:paraId="45552AF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4.4外壳及叶轮材质：FRP耐酸碱(乙烯基脂树脂+泰山无碱玻璃纤维+石墨粉+碳纤维+耐有机树脂)制作， </w:t>
            </w:r>
          </w:p>
          <w:p w14:paraId="33DE36E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4.5轴心材质：45#钢；机架材质：钢材焊接经过抛丸除锈后喷涂处理；</w:t>
            </w:r>
          </w:p>
          <w:p w14:paraId="1C5BED3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4.6所有紧固件或螺丝与废气分离防止腐蚀，外部裸漏部分需采用帽套结构（避免松动）；</w:t>
            </w:r>
          </w:p>
          <w:p w14:paraId="0A4D6BD0">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4.7皮带：高张力型皮带（使用寿命一万小时以上）。（注：直联式风机无此配件）</w:t>
            </w:r>
          </w:p>
          <w:p w14:paraId="1E5CE6F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4.8皮带轮：美锥套免敲击拆装式（注：直联式风机无此配件）</w:t>
            </w:r>
          </w:p>
          <w:p w14:paraId="2C7E99AD">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4.9传动箱轴承：使用寿命十万小时以上（注：直联式风机无此配件）</w:t>
            </w:r>
          </w:p>
          <w:p w14:paraId="0C41F311">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4.10轴承座：机油冷却式（可选用油品标号“15#-40#”）（注：直联式风机无此配件）轴承温升：在轴承表面测得的轴承温度不得高于环境温度26°。</w:t>
            </w:r>
          </w:p>
          <w:p w14:paraId="4DBD6EB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4.11配套电机：电源380V、3相、50HZ、IP55、F级绝缘、B级温升考核；电机需带有玻璃钢材质的防雨罩。</w:t>
            </w:r>
          </w:p>
          <w:p w14:paraId="57538CE6">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4.12风机底部配置减振台及排水清理装置（PVC排水孔）；风机的转子要便于检查清理；风机需配备观察孔。</w:t>
            </w:r>
          </w:p>
          <w:p w14:paraId="27E82EA3">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4.13减震要求：隔振效率应≥85％。</w:t>
            </w:r>
          </w:p>
          <w:p w14:paraId="724BA652">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4.14减震器，相对底座(SS41+EPOXY（防锈）；</w:t>
            </w:r>
          </w:p>
          <w:p w14:paraId="4060122F">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4.15风机外观应色泽均匀，表面光滑，无裂纹、缺口、毛刺等缺陷，不允许存在直径3mm以上的气泡，且在50cm2区域内直径1-3mm的气泡不得多于1个。</w:t>
            </w:r>
          </w:p>
          <w:p w14:paraId="57317EE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4.16电机采用防爆变频电机，防爆等级DIIBT4或者DIICT4   </w:t>
            </w:r>
          </w:p>
          <w:p w14:paraId="3367C020">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5、配置不小于3套的球形吊装式消防灭火装置</w:t>
            </w:r>
          </w:p>
          <w:p w14:paraId="7D09ED76">
            <w:pPr>
              <w:spacing w:line="240" w:lineRule="exact"/>
              <w:rPr>
                <w:rFonts w:ascii="宋体" w:hAnsi="宋体" w:cs="宋体"/>
                <w:color w:val="auto"/>
                <w:highlight w:val="none"/>
                <w:u w:val="none"/>
              </w:rPr>
            </w:pPr>
            <w:r>
              <w:rPr>
                <w:rFonts w:hint="eastAsia" w:ascii="宋体" w:hAnsi="宋体" w:cs="宋体"/>
                <w:color w:val="auto"/>
                <w:sz w:val="18"/>
                <w:szCs w:val="18"/>
                <w:highlight w:val="none"/>
                <w:u w:val="none"/>
              </w:rPr>
              <w:t>6</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含所有安装的管路、电源线缆等。</w:t>
            </w:r>
          </w:p>
        </w:tc>
      </w:tr>
      <w:tr w14:paraId="2378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75F6B31F">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11</w:t>
            </w:r>
          </w:p>
        </w:tc>
        <w:tc>
          <w:tcPr>
            <w:tcW w:w="708" w:type="dxa"/>
            <w:shd w:val="clear" w:color="000000" w:fill="FFFFFF"/>
            <w:vAlign w:val="center"/>
          </w:tcPr>
          <w:p w14:paraId="5EBBACA0">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2AE21918">
            <w:pPr>
              <w:rPr>
                <w:rFonts w:ascii="宋体" w:hAnsi="宋体" w:cs="宋体"/>
                <w:color w:val="auto"/>
                <w:highlight w:val="none"/>
                <w:u w:val="none"/>
              </w:rPr>
            </w:pPr>
            <w:r>
              <w:rPr>
                <w:rFonts w:hint="eastAsia"/>
                <w:color w:val="auto"/>
                <w:sz w:val="18"/>
                <w:szCs w:val="18"/>
                <w:highlight w:val="none"/>
                <w:u w:val="none"/>
              </w:rPr>
              <w:t>实验室安全监控器</w:t>
            </w:r>
          </w:p>
        </w:tc>
        <w:tc>
          <w:tcPr>
            <w:tcW w:w="11025" w:type="dxa"/>
            <w:shd w:val="clear" w:color="000000" w:fill="FFFFFF"/>
            <w:vAlign w:val="center"/>
          </w:tcPr>
          <w:p w14:paraId="2F535183">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1.最高分辨率可达2560 × 1920 @20 fps</w:t>
            </w:r>
          </w:p>
          <w:p w14:paraId="76EB1607">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2.智能侦测：支持越界侦测，区域入侵侦测</w:t>
            </w:r>
          </w:p>
          <w:p w14:paraId="4C1B275A">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3.支持背光补偿，强光抑制，3D数字降噪，120 dB宽动态适应不同监控环境</w:t>
            </w:r>
          </w:p>
          <w:p w14:paraId="0AC0EE7D">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4.1个内置麦克风，高清拾音</w:t>
            </w:r>
          </w:p>
          <w:p w14:paraId="6D850E46">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5.支持白光/红外双补光，红外光最远可达50 m，白光最远可达30 m</w:t>
            </w:r>
          </w:p>
          <w:p w14:paraId="14A4F856">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6.符合IP66防尘防水设计，                                           </w:t>
            </w:r>
          </w:p>
          <w:p w14:paraId="01F3F6A4">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 xml:space="preserve">7.可靠性高含网络系统设备及吊装支架                                                                </w:t>
            </w:r>
          </w:p>
          <w:p w14:paraId="3462EFA9">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8.具有存储时长不低于6个月的硬盘存储设备</w:t>
            </w:r>
          </w:p>
          <w:p w14:paraId="1146C67C">
            <w:pPr>
              <w:spacing w:line="240" w:lineRule="exact"/>
              <w:rPr>
                <w:rFonts w:ascii="宋体" w:hAnsi="宋体" w:cs="宋体"/>
                <w:color w:val="auto"/>
                <w:highlight w:val="none"/>
                <w:u w:val="none"/>
              </w:rPr>
            </w:pPr>
            <w:r>
              <w:rPr>
                <w:rFonts w:ascii="宋体" w:hAnsi="宋体" w:cs="宋体"/>
                <w:color w:val="auto"/>
                <w:sz w:val="18"/>
                <w:szCs w:val="18"/>
                <w:highlight w:val="none"/>
                <w:u w:val="none"/>
              </w:rPr>
              <w:t>9.</w:t>
            </w:r>
            <w:r>
              <w:rPr>
                <w:rFonts w:hint="eastAsia" w:ascii="宋体" w:hAnsi="宋体" w:cs="宋体"/>
                <w:color w:val="auto"/>
                <w:sz w:val="18"/>
                <w:szCs w:val="18"/>
                <w:highlight w:val="none"/>
                <w:u w:val="none"/>
              </w:rPr>
              <w:t>含配套网络布线及辅材（须连接到主控室1101、距离约1</w:t>
            </w:r>
            <w:r>
              <w:rPr>
                <w:rFonts w:ascii="宋体" w:hAnsi="宋体" w:cs="宋体"/>
                <w:color w:val="auto"/>
                <w:sz w:val="18"/>
                <w:szCs w:val="18"/>
                <w:highlight w:val="none"/>
                <w:u w:val="none"/>
              </w:rPr>
              <w:t>500</w:t>
            </w:r>
            <w:r>
              <w:rPr>
                <w:rFonts w:hint="eastAsia" w:ascii="宋体" w:hAnsi="宋体" w:cs="宋体"/>
                <w:color w:val="auto"/>
                <w:sz w:val="18"/>
                <w:szCs w:val="18"/>
                <w:highlight w:val="none"/>
                <w:u w:val="none"/>
              </w:rPr>
              <w:t>m，并与现有系统匹配连接）</w:t>
            </w:r>
          </w:p>
        </w:tc>
      </w:tr>
      <w:tr w14:paraId="0B65A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shd w:val="clear" w:color="000000" w:fill="FFFFFF"/>
            <w:vAlign w:val="center"/>
          </w:tcPr>
          <w:p w14:paraId="0CF588D9">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12</w:t>
            </w:r>
          </w:p>
        </w:tc>
        <w:tc>
          <w:tcPr>
            <w:tcW w:w="708" w:type="dxa"/>
            <w:shd w:val="clear" w:color="000000" w:fill="FFFFFF"/>
            <w:vAlign w:val="center"/>
          </w:tcPr>
          <w:p w14:paraId="6CF0A7AE">
            <w:pPr>
              <w:jc w:val="center"/>
              <w:textAlignment w:val="center"/>
              <w:rPr>
                <w:rFonts w:ascii="宋体" w:hAnsi="宋体" w:cs="宋体"/>
                <w:color w:val="auto"/>
                <w:highlight w:val="none"/>
                <w:u w:val="none"/>
              </w:rPr>
            </w:pPr>
            <w:r>
              <w:rPr>
                <w:rFonts w:hint="eastAsia" w:ascii="宋体" w:hAnsi="宋体" w:cs="宋体"/>
                <w:color w:val="auto"/>
                <w:highlight w:val="none"/>
                <w:u w:val="none"/>
                <w:lang w:bidi="ar"/>
              </w:rPr>
              <w:t>1</w:t>
            </w:r>
          </w:p>
        </w:tc>
        <w:tc>
          <w:tcPr>
            <w:tcW w:w="1734" w:type="dxa"/>
            <w:shd w:val="clear" w:color="000000" w:fill="FFFFFF"/>
            <w:vAlign w:val="center"/>
          </w:tcPr>
          <w:p w14:paraId="352469E3">
            <w:pPr>
              <w:rPr>
                <w:rFonts w:ascii="宋体" w:hAnsi="宋体" w:cs="宋体"/>
                <w:color w:val="auto"/>
                <w:highlight w:val="none"/>
                <w:u w:val="none"/>
              </w:rPr>
            </w:pPr>
            <w:r>
              <w:rPr>
                <w:rFonts w:hint="eastAsia"/>
                <w:color w:val="auto"/>
                <w:sz w:val="18"/>
                <w:szCs w:val="18"/>
                <w:highlight w:val="none"/>
                <w:u w:val="none"/>
              </w:rPr>
              <w:t>门禁控制器</w:t>
            </w:r>
          </w:p>
        </w:tc>
        <w:tc>
          <w:tcPr>
            <w:tcW w:w="11025" w:type="dxa"/>
            <w:shd w:val="clear" w:color="000000" w:fill="FFFFFF"/>
            <w:vAlign w:val="center"/>
          </w:tcPr>
          <w:p w14:paraId="347BA70A">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1</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采用双核32位高速CPU，主频336MHZ及以上、32MBytes RAM，256MBytes Flash，控门继电器具备UL标准。</w:t>
            </w:r>
          </w:p>
          <w:p w14:paraId="23131547">
            <w:pPr>
              <w:rPr>
                <w:rFonts w:ascii="宋体" w:hAnsi="宋体" w:cs="宋体"/>
                <w:color w:val="auto"/>
                <w:sz w:val="18"/>
                <w:szCs w:val="18"/>
                <w:highlight w:val="none"/>
                <w:u w:val="none"/>
              </w:rPr>
            </w:pPr>
            <w:r>
              <w:rPr>
                <w:rFonts w:hint="eastAsia" w:ascii="宋体" w:hAnsi="宋体" w:cs="宋体"/>
                <w:color w:val="auto"/>
                <w:sz w:val="18"/>
                <w:szCs w:val="18"/>
                <w:highlight w:val="none"/>
                <w:u w:val="none"/>
              </w:rPr>
              <w:t>2</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可存储人员卡片</w:t>
            </w:r>
            <w:r>
              <w:rPr>
                <w:rFonts w:hint="eastAsia" w:ascii="华文宋体" w:hAnsi="华文宋体" w:eastAsia="华文宋体" w:cs="宋体"/>
                <w:color w:val="auto"/>
                <w:sz w:val="18"/>
                <w:szCs w:val="18"/>
                <w:highlight w:val="none"/>
                <w:u w:val="none"/>
              </w:rPr>
              <w:t>≥</w:t>
            </w:r>
            <w:r>
              <w:rPr>
                <w:rFonts w:hint="eastAsia" w:ascii="宋体" w:hAnsi="宋体" w:cs="宋体"/>
                <w:color w:val="auto"/>
                <w:sz w:val="18"/>
                <w:szCs w:val="18"/>
                <w:highlight w:val="none"/>
                <w:u w:val="none"/>
              </w:rPr>
              <w:t>60000张，并且支持扩容到100000张，支持指纹20000枚，脱机事件100000条。</w:t>
            </w:r>
          </w:p>
          <w:p w14:paraId="42755437">
            <w:pPr>
              <w:rPr>
                <w:rFonts w:ascii="宋体" w:hAnsi="宋体" w:cs="宋体"/>
                <w:color w:val="auto"/>
                <w:sz w:val="18"/>
                <w:szCs w:val="18"/>
                <w:highlight w:val="none"/>
                <w:u w:val="none"/>
              </w:rPr>
            </w:pPr>
            <w:r>
              <w:rPr>
                <w:rFonts w:ascii="宋体" w:hAnsi="宋体" w:cs="宋体"/>
                <w:color w:val="auto"/>
                <w:sz w:val="18"/>
                <w:szCs w:val="18"/>
                <w:highlight w:val="none"/>
                <w:u w:val="none"/>
              </w:rPr>
              <w:t>3.</w:t>
            </w:r>
            <w:r>
              <w:rPr>
                <w:rFonts w:hint="eastAsia" w:ascii="宋体" w:hAnsi="宋体" w:cs="宋体"/>
                <w:color w:val="auto"/>
                <w:sz w:val="18"/>
                <w:szCs w:val="18"/>
                <w:highlight w:val="none"/>
                <w:u w:val="none"/>
              </w:rPr>
              <w:t>指纹信息全部存储在门禁控制器，指纹读头采用485的方式和门禁控制器连接，指纹数据比对都在控制器后端进行，避免了个人指纹信息被非法分子盗用，并且控制器指纹存储达到20000枚，支持指纹容量的扩展。</w:t>
            </w:r>
          </w:p>
          <w:p w14:paraId="2D8D6132">
            <w:pPr>
              <w:spacing w:line="240" w:lineRule="exact"/>
              <w:rPr>
                <w:rFonts w:ascii="宋体" w:hAnsi="宋体" w:cs="宋体"/>
                <w:color w:val="auto"/>
                <w:sz w:val="18"/>
                <w:szCs w:val="18"/>
                <w:highlight w:val="none"/>
                <w:u w:val="none"/>
              </w:rPr>
            </w:pPr>
            <w:r>
              <w:rPr>
                <w:rFonts w:hint="eastAsia" w:ascii="宋体" w:hAnsi="宋体" w:cs="宋体"/>
                <w:color w:val="auto"/>
                <w:sz w:val="18"/>
                <w:szCs w:val="18"/>
                <w:highlight w:val="none"/>
                <w:u w:val="none"/>
              </w:rPr>
              <w:t>4</w:t>
            </w:r>
            <w:r>
              <w:rPr>
                <w:rFonts w:ascii="宋体" w:hAnsi="宋体" w:cs="宋体"/>
                <w:color w:val="auto"/>
                <w:sz w:val="18"/>
                <w:szCs w:val="18"/>
                <w:highlight w:val="none"/>
                <w:u w:val="none"/>
              </w:rPr>
              <w:t>.</w:t>
            </w:r>
            <w:r>
              <w:rPr>
                <w:rFonts w:hint="eastAsia" w:ascii="宋体" w:hAnsi="宋体" w:cs="宋体"/>
                <w:color w:val="auto"/>
                <w:sz w:val="18"/>
                <w:szCs w:val="18"/>
                <w:highlight w:val="none"/>
                <w:u w:val="none"/>
              </w:rPr>
              <w:t>门禁硬件具备看门狗功能，杜绝死机，各接口均具有过压，过流及反压保护。</w:t>
            </w:r>
          </w:p>
          <w:p w14:paraId="35F899F6">
            <w:pPr>
              <w:spacing w:line="240" w:lineRule="exact"/>
              <w:rPr>
                <w:rFonts w:ascii="宋体" w:hAnsi="宋体" w:cs="宋体"/>
                <w:color w:val="auto"/>
                <w:highlight w:val="none"/>
                <w:u w:val="none"/>
              </w:rPr>
            </w:pPr>
            <w:r>
              <w:rPr>
                <w:rFonts w:ascii="宋体" w:hAnsi="宋体" w:cs="宋体"/>
                <w:color w:val="auto"/>
                <w:sz w:val="18"/>
                <w:szCs w:val="18"/>
                <w:highlight w:val="none"/>
                <w:u w:val="none"/>
              </w:rPr>
              <w:t>5.</w:t>
            </w:r>
            <w:r>
              <w:rPr>
                <w:rFonts w:hint="eastAsia" w:ascii="宋体" w:hAnsi="宋体" w:cs="宋体"/>
                <w:color w:val="auto"/>
                <w:sz w:val="18"/>
                <w:szCs w:val="18"/>
                <w:highlight w:val="none"/>
                <w:u w:val="none"/>
              </w:rPr>
              <w:t>含网络系统设备及IC卡（须连接到主控室1101、距离约1</w:t>
            </w:r>
            <w:r>
              <w:rPr>
                <w:rFonts w:ascii="宋体" w:hAnsi="宋体" w:cs="宋体"/>
                <w:color w:val="auto"/>
                <w:sz w:val="18"/>
                <w:szCs w:val="18"/>
                <w:highlight w:val="none"/>
                <w:u w:val="none"/>
              </w:rPr>
              <w:t>500</w:t>
            </w:r>
            <w:r>
              <w:rPr>
                <w:rFonts w:hint="eastAsia" w:ascii="宋体" w:hAnsi="宋体" w:cs="宋体"/>
                <w:color w:val="auto"/>
                <w:sz w:val="18"/>
                <w:szCs w:val="18"/>
                <w:highlight w:val="none"/>
                <w:u w:val="none"/>
              </w:rPr>
              <w:t>m，并与现有系统匹配连接）</w:t>
            </w:r>
          </w:p>
        </w:tc>
      </w:tr>
    </w:tbl>
    <w:p w14:paraId="3FAED92E">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说明：1.各供应商提供的货物对谈判文件中第五章《采购内容及要求》的“技术参数及性能要求”中标注五角星“★”条款不允许负偏离，未标注五角星“★”条款允许2项以内（含2项）负偏离，否则，将被视为非实质性响应谈判文件。供应商必须对以上所有内容作出全面、真实的反映。“技术参数及性能要求”中标注五角星“★”条款参数为实质性技术参数，实质性技术参数在响应文件中必须提供最新技术支持资料支持技术要求偏离表应答（包括产品技术白皮书或检验报告或图纸或印刷宣传彩页或官方网站发布的技术资料截图，不接受供应商自行印刷、打印或者手写的技术支持资料），采购需求有证明材料要求的以采购需求要求为准。凡不符合上述要求的，视为无效技术支持资料。未明确要求提供证明材料且未标注五角星“★”条款参数的按偏离情况如实填写。</w:t>
      </w:r>
    </w:p>
    <w:p w14:paraId="59FB9D3B">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以上各项技术参数和性能要求如出现引用品牌、型号、某一特定的专利技术、商标、名称、设计、原产地或供应者等情况，则仅起参考作用。供应商可选用实质上“相当于”或“优于”该参考技术规格要求的产品投标，同时填写技术参数偏离说明。</w:t>
      </w:r>
    </w:p>
    <w:p w14:paraId="74C0940F">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供应商应严格按照《中华人民共和国政府采购法》《中华人民共和国政府采购法实施条例》等有关法律、法规的规定进行投标，合同签订后采购人将按照成交人响应文件中所投货物、工程或者服务进行验收，一旦发现虚假应标行为，取消该成交人的中标资格、撤销合同，并留追究其法律责任的权利。验收时，交付的产品必须与投标产品的品牌、型号、规格、技术参数、性能说明、生产厂家等各项内容一致，供应商在投标时务必认真核实并如实填写产品品牌、型号、规格、技术参数、性能说明、生产厂家等各项信息。所有的参数都要提供证明材料</w:t>
      </w:r>
    </w:p>
    <w:p w14:paraId="1A778C75">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（四）采购标的的数量、采购项目交付或者实施的时间和地点；</w:t>
      </w:r>
    </w:p>
    <w:p w14:paraId="4009C1F6">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1.采购标的的数量：见谈判公告</w:t>
      </w:r>
    </w:p>
    <w:p w14:paraId="77CBD479">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2.交货期：合同签订后30日历天内完成</w:t>
      </w:r>
    </w:p>
    <w:p w14:paraId="454AE5FD">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3.交货地点：采购人指定地点</w:t>
      </w:r>
    </w:p>
    <w:p w14:paraId="50C85478">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（五）采购标的需满足的服务标准、期限、效率等要求； </w:t>
      </w:r>
    </w:p>
    <w:p w14:paraId="26026D2F">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1.质保期：验收完成后不低于一年</w:t>
      </w:r>
    </w:p>
    <w:p w14:paraId="175E9F81">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2.售后要求：</w:t>
      </w:r>
    </w:p>
    <w:p w14:paraId="792C8632">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提供7*24小时服务，如产品发生故障或损坏时供应商在接收到采购人通知内1个小时之内须作出反应，采购人遇到使用及技术问题，供应商应在2小时内提供上门服务，并在到达现场后24小时内处理解决，如无法按时处理、解决的，需提供解决方案并征得采购人同意，未经得采购人同意且未处理解决问题的视为合同违约。供应商拖延或拒绝履行售后服务或履行售后服务不符合合同约定要求的，采购人有权另行委托第三方进行维修、维护、更换，所产生的费用由供应商承担，采购人有权追究供应商违约责任。</w:t>
      </w:r>
    </w:p>
    <w:p w14:paraId="7CB0AFD4">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（2）供应商应安排一名项目负责人，负责该项目的组织、沟通联络。负责人应随时保持电话畅通，能主动沟通配送情况以及提供意见或建议。</w:t>
      </w:r>
    </w:p>
    <w:p w14:paraId="7027C0BB">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（3）供应商负责按时将产品配送至采购人要求的指定地点，并搬运至指定位置。</w:t>
      </w:r>
    </w:p>
    <w:p w14:paraId="52BBC76A">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（4）对采购人进行技术培训（培训时间根据采购人安排，如采购人有需要培训，供应商不得拒绝）。</w:t>
      </w:r>
    </w:p>
    <w:p w14:paraId="45309907">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（六）采购标的的验收标准； </w:t>
      </w:r>
    </w:p>
    <w:p w14:paraId="3C47DDAD">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（1）设备验收：设备到达采购人指定地点后采购人统一初验是否符合合同要求；</w:t>
      </w:r>
    </w:p>
    <w:p w14:paraId="2A5D0009">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（2）项目验收：供应商负责设备安装和调试，完工后，采购人测试是否合格并满足技术要求；</w:t>
      </w:r>
    </w:p>
    <w:p w14:paraId="4383CDFB">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（3）实作性操作验收：设备是否正常运作12个月。</w:t>
      </w:r>
    </w:p>
    <w:p w14:paraId="07AD1D23">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（七）采购标的的其他技术、服务等要求。</w:t>
      </w:r>
    </w:p>
    <w:p w14:paraId="24FB8DA4">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1.成交单位需按指定的地点交货，必须达到合同约定的所有要求。</w:t>
      </w:r>
    </w:p>
    <w:p w14:paraId="4863AF29">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2.本项目执行过程中，乙方需指派专人负责与甲方联系售后服务事宜，为甲方提供及时有效的服务。</w:t>
      </w:r>
    </w:p>
    <w:p w14:paraId="5A7637EC">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3.售后服务联系地址和联系电话的变更，乙方应在第一时间及时书面通知甲方和甲方使用单位。</w:t>
      </w:r>
    </w:p>
    <w:p w14:paraId="4082F272">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4.货物验收合格后，在质量保证期内，所有货物保修服务方式均为乙方上门保修，即由乙方及时派员到货物使用现场维修，由此产生的一切费用均由乙方承担。</w:t>
      </w:r>
    </w:p>
    <w:p w14:paraId="7F655780">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5.售后服务：提供五年保修服务需要提供7×24全天候售后电话技术支持，所有部件（包含鼠标键盘显示器等）均提供下一个工作日上门更换/维修服务。</w:t>
      </w:r>
    </w:p>
    <w:p w14:paraId="4A5EAD29">
      <w:pPr>
        <w:pStyle w:val="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6.乙方应按照国家有关法律法规规章和“三包”规定，以及本合同或招投标文件所约定的服务承诺提供服务。</w:t>
      </w:r>
    </w:p>
    <w:p w14:paraId="6C1FE583">
      <w:pPr>
        <w:pStyle w:val="28"/>
        <w:rPr>
          <w:rFonts w:ascii="宋体" w:hAnsi="宋体" w:cs="宋体"/>
          <w:color w:val="auto"/>
          <w:kern w:val="44"/>
          <w:sz w:val="24"/>
          <w:szCs w:val="24"/>
          <w:highlight w:val="none"/>
        </w:rPr>
        <w:sectPr>
          <w:headerReference r:id="rId10" w:type="default"/>
          <w:pgSz w:w="16838" w:h="11906" w:orient="landscape"/>
          <w:pgMar w:top="1083" w:right="1440" w:bottom="1083" w:left="1440" w:header="720" w:footer="720" w:gutter="0"/>
          <w:cols w:space="720" w:num="1"/>
          <w:docGrid w:type="lines" w:linePitch="317" w:charSpace="0"/>
        </w:sectPr>
      </w:pPr>
    </w:p>
    <w:p w14:paraId="71C8CF2E">
      <w:pPr>
        <w:pStyle w:val="28"/>
        <w:rPr>
          <w:rFonts w:ascii="宋体" w:hAnsi="宋体" w:cs="宋体"/>
          <w:color w:val="auto"/>
          <w:highlight w:val="none"/>
        </w:rPr>
      </w:pPr>
      <w:bookmarkStart w:id="223" w:name="_Toc20062"/>
      <w:r>
        <w:rPr>
          <w:rFonts w:hint="eastAsia" w:ascii="宋体" w:hAnsi="宋体" w:cs="宋体"/>
          <w:color w:val="auto"/>
          <w:sz w:val="44"/>
          <w:highlight w:val="none"/>
        </w:rPr>
        <w:t>第六章 响应文件格式</w:t>
      </w:r>
      <w:bookmarkEnd w:id="222"/>
      <w:bookmarkEnd w:id="223"/>
    </w:p>
    <w:p w14:paraId="6B29B17E">
      <w:pPr>
        <w:rPr>
          <w:rFonts w:ascii="宋体" w:hAnsi="宋体" w:cs="宋体"/>
          <w:color w:val="auto"/>
          <w:highlight w:val="none"/>
        </w:rPr>
      </w:pPr>
      <w:r>
        <w:rPr>
          <w:rFonts w:hint="eastAsia" w:ascii="宋体" w:hAnsi="宋体" w:cs="宋体"/>
          <w:color w:val="auto"/>
          <w:highlight w:val="none"/>
        </w:rPr>
        <w:t xml:space="preserve"> </w:t>
      </w:r>
    </w:p>
    <w:p w14:paraId="02A24DBB">
      <w:pPr>
        <w:rPr>
          <w:rFonts w:ascii="宋体" w:hAnsi="宋体" w:cs="宋体"/>
          <w:color w:val="auto"/>
          <w:highlight w:val="none"/>
        </w:rPr>
      </w:pPr>
      <w:r>
        <w:rPr>
          <w:rFonts w:hint="eastAsia" w:ascii="宋体" w:hAnsi="宋体" w:cs="宋体"/>
          <w:color w:val="auto"/>
          <w:highlight w:val="none"/>
        </w:rPr>
        <w:t xml:space="preserve"> </w:t>
      </w:r>
    </w:p>
    <w:p w14:paraId="59EC073B">
      <w:pPr>
        <w:rPr>
          <w:rFonts w:ascii="宋体" w:hAnsi="宋体" w:cs="宋体"/>
          <w:color w:val="auto"/>
          <w:highlight w:val="none"/>
        </w:rPr>
      </w:pPr>
      <w:r>
        <w:rPr>
          <w:rFonts w:hint="eastAsia" w:ascii="宋体" w:hAnsi="宋体" w:cs="宋体"/>
          <w:color w:val="auto"/>
          <w:highlight w:val="none"/>
        </w:rPr>
        <w:t xml:space="preserve"> </w:t>
      </w:r>
    </w:p>
    <w:p w14:paraId="7A4005BE">
      <w:pPr>
        <w:rPr>
          <w:rFonts w:ascii="宋体" w:hAnsi="宋体" w:cs="宋体"/>
          <w:color w:val="auto"/>
          <w:highlight w:val="none"/>
        </w:rPr>
      </w:pPr>
      <w:r>
        <w:rPr>
          <w:rFonts w:hint="eastAsia" w:ascii="宋体" w:hAnsi="宋体" w:cs="宋体"/>
          <w:color w:val="auto"/>
          <w:highlight w:val="none"/>
        </w:rPr>
        <w:t xml:space="preserve"> </w:t>
      </w:r>
    </w:p>
    <w:p w14:paraId="0547AC45">
      <w:pPr>
        <w:spacing w:line="48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u w:val="single"/>
        </w:rPr>
        <w:t xml:space="preserve">                        </w:t>
      </w:r>
      <w:r>
        <w:rPr>
          <w:rFonts w:hint="eastAsia" w:ascii="宋体" w:hAnsi="宋体" w:cs="宋体"/>
          <w:b/>
          <w:bCs/>
          <w:color w:val="auto"/>
          <w:sz w:val="44"/>
          <w:szCs w:val="44"/>
          <w:highlight w:val="none"/>
        </w:rPr>
        <w:t xml:space="preserve">（项目名称） </w:t>
      </w:r>
    </w:p>
    <w:p w14:paraId="6D3160FE">
      <w:pPr>
        <w:spacing w:line="48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（项目编号：  ）</w:t>
      </w:r>
    </w:p>
    <w:p w14:paraId="54D81D87">
      <w:pPr>
        <w:rPr>
          <w:rFonts w:ascii="宋体" w:hAnsi="宋体" w:cs="宋体"/>
          <w:b/>
          <w:bCs/>
          <w:color w:val="auto"/>
          <w:sz w:val="44"/>
          <w:szCs w:val="44"/>
          <w:highlight w:val="none"/>
        </w:rPr>
      </w:pPr>
    </w:p>
    <w:p w14:paraId="2BBED2DC">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376590C6">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09D5D47B">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6F9D7DB9">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4D3DB8BF">
      <w:pPr>
        <w:spacing w:line="480" w:lineRule="auto"/>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响 应 文 件</w:t>
      </w:r>
    </w:p>
    <w:p w14:paraId="3045F4A9">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66498050">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1C1EB694">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1E90E002">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1EB1A6BE">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0E71E4A0">
      <w:pPr>
        <w:spacing w:line="480" w:lineRule="auto"/>
        <w:rPr>
          <w:rFonts w:ascii="宋体" w:hAnsi="宋体" w:cs="宋体"/>
          <w:b/>
          <w:bCs/>
          <w:color w:val="auto"/>
          <w:sz w:val="44"/>
          <w:szCs w:val="44"/>
          <w:highlight w:val="none"/>
        </w:rPr>
      </w:pPr>
      <w:bookmarkStart w:id="224" w:name="_Toc24434"/>
      <w:bookmarkEnd w:id="224"/>
    </w:p>
    <w:p w14:paraId="69C49494">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67100643">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72D8F0D9">
      <w:pPr>
        <w:ind w:firstLine="1968" w:firstLineChars="700"/>
        <w:rPr>
          <w:rFonts w:ascii="宋体" w:hAnsi="宋体" w:cs="宋体"/>
          <w:color w:val="auto"/>
          <w:sz w:val="28"/>
          <w:szCs w:val="28"/>
          <w:highlight w:val="none"/>
        </w:rPr>
        <w:sectPr>
          <w:headerReference r:id="rId11" w:type="default"/>
          <w:pgSz w:w="11906" w:h="16838"/>
          <w:pgMar w:top="1440" w:right="1083" w:bottom="1440" w:left="1083" w:header="720" w:footer="720" w:gutter="0"/>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16C8F3BF">
      <w:pPr>
        <w:rPr>
          <w:rFonts w:ascii="宋体" w:hAnsi="宋体" w:cs="宋体"/>
          <w:color w:val="auto"/>
          <w:szCs w:val="28"/>
          <w:highlight w:val="none"/>
        </w:rPr>
      </w:pPr>
    </w:p>
    <w:p w14:paraId="0DFFB9BE">
      <w:pPr>
        <w:rPr>
          <w:rFonts w:ascii="宋体" w:hAnsi="宋体" w:cs="宋体"/>
          <w:color w:val="auto"/>
          <w:szCs w:val="28"/>
          <w:highlight w:val="none"/>
        </w:rPr>
      </w:pPr>
    </w:p>
    <w:p w14:paraId="0B586EC7">
      <w:pPr>
        <w:rPr>
          <w:rFonts w:ascii="宋体" w:hAnsi="宋体" w:cs="宋体"/>
          <w:color w:val="auto"/>
          <w:szCs w:val="28"/>
          <w:highlight w:val="none"/>
        </w:rPr>
      </w:pPr>
    </w:p>
    <w:p w14:paraId="03AB5C04">
      <w:pPr>
        <w:rPr>
          <w:rFonts w:ascii="宋体" w:hAnsi="宋体" w:cs="宋体"/>
          <w:color w:val="auto"/>
          <w:szCs w:val="28"/>
          <w:highlight w:val="none"/>
        </w:rPr>
      </w:pPr>
    </w:p>
    <w:p w14:paraId="631EAC84">
      <w:pPr>
        <w:rPr>
          <w:rFonts w:ascii="宋体" w:hAnsi="宋体" w:cs="宋体"/>
          <w:color w:val="auto"/>
          <w:szCs w:val="28"/>
          <w:highlight w:val="none"/>
        </w:rPr>
      </w:pPr>
    </w:p>
    <w:p w14:paraId="143EC944">
      <w:pPr>
        <w:rPr>
          <w:rFonts w:ascii="宋体" w:hAnsi="宋体" w:cs="宋体"/>
          <w:color w:val="auto"/>
          <w:szCs w:val="28"/>
          <w:highlight w:val="none"/>
        </w:rPr>
      </w:pPr>
    </w:p>
    <w:p w14:paraId="0AC35EA7">
      <w:pPr>
        <w:rPr>
          <w:rFonts w:ascii="宋体" w:hAnsi="宋体" w:cs="宋体"/>
          <w:color w:val="auto"/>
          <w:szCs w:val="28"/>
          <w:highlight w:val="none"/>
        </w:rPr>
      </w:pPr>
    </w:p>
    <w:p w14:paraId="232AC1AF">
      <w:pPr>
        <w:rPr>
          <w:rFonts w:ascii="宋体" w:hAnsi="宋体" w:cs="宋体"/>
          <w:color w:val="auto"/>
          <w:szCs w:val="28"/>
          <w:highlight w:val="none"/>
        </w:rPr>
      </w:pPr>
    </w:p>
    <w:p w14:paraId="3C52A214">
      <w:pPr>
        <w:rPr>
          <w:rFonts w:ascii="宋体" w:hAnsi="宋体" w:cs="宋体"/>
          <w:color w:val="auto"/>
          <w:szCs w:val="28"/>
          <w:highlight w:val="none"/>
        </w:rPr>
      </w:pPr>
    </w:p>
    <w:p w14:paraId="0583651F">
      <w:pPr>
        <w:rPr>
          <w:rFonts w:ascii="宋体" w:hAnsi="宋体" w:cs="宋体"/>
          <w:color w:val="auto"/>
          <w:szCs w:val="28"/>
          <w:highlight w:val="none"/>
        </w:rPr>
      </w:pPr>
    </w:p>
    <w:p w14:paraId="28EA06AD">
      <w:pPr>
        <w:rPr>
          <w:rFonts w:ascii="宋体" w:hAnsi="宋体" w:cs="宋体"/>
          <w:color w:val="auto"/>
          <w:szCs w:val="28"/>
          <w:highlight w:val="none"/>
        </w:rPr>
      </w:pPr>
    </w:p>
    <w:p w14:paraId="087D6651">
      <w:pPr>
        <w:rPr>
          <w:rFonts w:ascii="宋体" w:hAnsi="宋体" w:cs="宋体"/>
          <w:color w:val="auto"/>
          <w:szCs w:val="28"/>
          <w:highlight w:val="none"/>
        </w:rPr>
      </w:pPr>
    </w:p>
    <w:p w14:paraId="0852D4D1">
      <w:pPr>
        <w:rPr>
          <w:rFonts w:ascii="宋体" w:hAnsi="宋体" w:cs="宋体"/>
          <w:color w:val="auto"/>
          <w:szCs w:val="28"/>
          <w:highlight w:val="none"/>
        </w:rPr>
      </w:pPr>
    </w:p>
    <w:p w14:paraId="6B3DC96D">
      <w:pPr>
        <w:rPr>
          <w:rFonts w:ascii="宋体" w:hAnsi="宋体" w:cs="宋体"/>
          <w:color w:val="auto"/>
          <w:szCs w:val="28"/>
          <w:highlight w:val="none"/>
        </w:rPr>
      </w:pPr>
    </w:p>
    <w:p w14:paraId="4374C90D">
      <w:pPr>
        <w:rPr>
          <w:rFonts w:ascii="宋体" w:hAnsi="宋体" w:cs="宋体"/>
          <w:color w:val="auto"/>
          <w:szCs w:val="28"/>
          <w:highlight w:val="none"/>
        </w:rPr>
      </w:pPr>
    </w:p>
    <w:p w14:paraId="12582ACE">
      <w:pPr>
        <w:rPr>
          <w:rFonts w:ascii="宋体" w:hAnsi="宋体" w:cs="宋体"/>
          <w:color w:val="auto"/>
          <w:szCs w:val="28"/>
          <w:highlight w:val="none"/>
        </w:rPr>
      </w:pPr>
    </w:p>
    <w:p w14:paraId="6CEFF8C6">
      <w:pPr>
        <w:rPr>
          <w:rFonts w:ascii="宋体" w:hAnsi="宋体" w:cs="宋体"/>
          <w:color w:val="auto"/>
          <w:szCs w:val="28"/>
          <w:highlight w:val="none"/>
        </w:rPr>
      </w:pPr>
    </w:p>
    <w:p w14:paraId="26CC78A1">
      <w:pPr>
        <w:rPr>
          <w:rFonts w:ascii="宋体" w:hAnsi="宋体" w:cs="宋体"/>
          <w:color w:val="auto"/>
          <w:szCs w:val="28"/>
          <w:highlight w:val="none"/>
        </w:rPr>
      </w:pPr>
    </w:p>
    <w:p w14:paraId="43ECB8C1">
      <w:pPr>
        <w:rPr>
          <w:rFonts w:ascii="宋体" w:hAnsi="宋体" w:cs="宋体"/>
          <w:color w:val="auto"/>
          <w:szCs w:val="28"/>
          <w:highlight w:val="none"/>
        </w:rPr>
      </w:pPr>
    </w:p>
    <w:p w14:paraId="08466C5F">
      <w:pPr>
        <w:jc w:val="center"/>
        <w:outlineLvl w:val="2"/>
        <w:rPr>
          <w:rFonts w:ascii="宋体" w:hAnsi="宋体" w:cs="宋体"/>
          <w:b/>
          <w:bCs/>
          <w:color w:val="auto"/>
          <w:sz w:val="44"/>
          <w:szCs w:val="44"/>
          <w:highlight w:val="none"/>
        </w:rPr>
      </w:pPr>
      <w:bookmarkStart w:id="225" w:name="_Toc2934"/>
      <w:bookmarkStart w:id="226" w:name="_Toc18453"/>
      <w:bookmarkStart w:id="227" w:name="_Toc3896297"/>
      <w:bookmarkStart w:id="228" w:name="_Toc23768"/>
      <w:r>
        <w:rPr>
          <w:rFonts w:hint="eastAsia" w:ascii="宋体" w:hAnsi="宋体" w:cs="宋体"/>
          <w:b/>
          <w:bCs/>
          <w:color w:val="auto"/>
          <w:sz w:val="44"/>
          <w:szCs w:val="44"/>
          <w:highlight w:val="none"/>
        </w:rPr>
        <w:t>资格审查部分</w:t>
      </w:r>
      <w:bookmarkEnd w:id="225"/>
      <w:bookmarkEnd w:id="226"/>
      <w:bookmarkEnd w:id="227"/>
    </w:p>
    <w:p w14:paraId="713F47DC">
      <w:pPr>
        <w:pStyle w:val="5"/>
        <w:spacing w:before="0" w:after="0" w:line="720" w:lineRule="auto"/>
        <w:rPr>
          <w:rFonts w:ascii="宋体" w:hAnsi="宋体" w:cs="宋体"/>
          <w:color w:val="auto"/>
          <w:szCs w:val="28"/>
          <w:highlight w:val="none"/>
        </w:rPr>
      </w:pPr>
      <w:r>
        <w:rPr>
          <w:rFonts w:hint="eastAsia" w:ascii="宋体" w:hAnsi="宋体" w:cs="宋体"/>
          <w:color w:val="auto"/>
          <w:szCs w:val="28"/>
          <w:highlight w:val="none"/>
        </w:rPr>
        <w:br w:type="page"/>
      </w:r>
      <w:bookmarkStart w:id="229" w:name="_Toc32710"/>
      <w:r>
        <w:rPr>
          <w:rFonts w:hint="eastAsia" w:ascii="宋体" w:hAnsi="宋体" w:cs="宋体"/>
          <w:color w:val="auto"/>
          <w:szCs w:val="28"/>
          <w:highlight w:val="none"/>
        </w:rPr>
        <w:t>一、具有独立承担民事责任的能力</w:t>
      </w:r>
      <w:bookmarkEnd w:id="228"/>
      <w:bookmarkEnd w:id="229"/>
    </w:p>
    <w:p w14:paraId="5D8BFF35">
      <w:pPr>
        <w:widowControl w:val="0"/>
        <w:spacing w:line="360" w:lineRule="auto"/>
        <w:ind w:firstLine="480" w:firstLineChars="200"/>
        <w:jc w:val="both"/>
        <w:rPr>
          <w:rFonts w:ascii="宋体" w:hAnsi="宋体" w:cs="宋体"/>
          <w:color w:val="auto"/>
          <w:kern w:val="2"/>
          <w:sz w:val="24"/>
          <w:szCs w:val="24"/>
          <w:highlight w:val="none"/>
          <w:lang w:bidi="ar"/>
        </w:rPr>
      </w:pPr>
      <w:bookmarkStart w:id="230" w:name="_Toc24593"/>
      <w:bookmarkEnd w:id="230"/>
      <w:bookmarkStart w:id="231" w:name="_Toc10328"/>
      <w:r>
        <w:rPr>
          <w:rFonts w:hint="eastAsia" w:ascii="宋体" w:hAnsi="宋体" w:cs="宋体"/>
          <w:color w:val="auto"/>
          <w:kern w:val="2"/>
          <w:sz w:val="24"/>
          <w:szCs w:val="24"/>
          <w:highlight w:val="none"/>
          <w:lang w:bidi="ar"/>
        </w:rPr>
        <w:t>具有独立承担民事责任的能力。提供法人或者其他组织的营业执照等证明文件。</w:t>
      </w:r>
    </w:p>
    <w:p w14:paraId="3A0E0C75">
      <w:pPr>
        <w:pStyle w:val="16"/>
        <w:tabs>
          <w:tab w:val="left" w:pos="5580"/>
        </w:tabs>
        <w:spacing w:line="360" w:lineRule="auto"/>
        <w:ind w:firstLine="480" w:firstLineChars="200"/>
        <w:rPr>
          <w:rFonts w:hAnsi="宋体" w:cs="宋体"/>
          <w:color w:val="auto"/>
          <w:sz w:val="24"/>
          <w:szCs w:val="24"/>
          <w:highlight w:val="none"/>
        </w:rPr>
      </w:pPr>
    </w:p>
    <w:bookmarkEnd w:id="231"/>
    <w:p w14:paraId="476BD138">
      <w:pPr>
        <w:pStyle w:val="5"/>
        <w:spacing w:before="0" w:after="0" w:line="720" w:lineRule="auto"/>
        <w:rPr>
          <w:rFonts w:ascii="宋体" w:hAnsi="宋体" w:cs="宋体"/>
          <w:color w:val="auto"/>
          <w:highlight w:val="none"/>
        </w:rPr>
      </w:pPr>
      <w:bookmarkStart w:id="232" w:name="_Toc24801"/>
      <w:bookmarkStart w:id="233" w:name="_Toc23678"/>
      <w:bookmarkStart w:id="234" w:name="_Toc20209"/>
      <w:bookmarkStart w:id="235" w:name="_Toc12033"/>
      <w:r>
        <w:rPr>
          <w:rFonts w:hint="eastAsia" w:ascii="宋体" w:hAnsi="宋体" w:cs="宋体"/>
          <w:color w:val="auto"/>
          <w:szCs w:val="28"/>
          <w:highlight w:val="none"/>
        </w:rPr>
        <w:t>二、具有良好的商业信誉和健全的财务会计制度</w:t>
      </w:r>
      <w:bookmarkEnd w:id="232"/>
      <w:bookmarkEnd w:id="233"/>
      <w:bookmarkEnd w:id="234"/>
      <w:bookmarkEnd w:id="235"/>
    </w:p>
    <w:p w14:paraId="3EAF455E">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供应商须提供财务状况报告，内容可为以下两者之一： </w:t>
      </w:r>
    </w:p>
    <w:p w14:paraId="6B764022">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①提供2023年或2024年经审计的财务报告（</w:t>
      </w:r>
      <w:r>
        <w:rPr>
          <w:rFonts w:hint="eastAsia" w:ascii="宋体" w:hAnsi="宋体" w:cs="宋体"/>
          <w:b/>
          <w:color w:val="auto"/>
          <w:kern w:val="2"/>
          <w:sz w:val="24"/>
          <w:szCs w:val="24"/>
          <w:highlight w:val="none"/>
        </w:rPr>
        <w:t>包括资产负债表、利润表、现金流量表、所有者权益变动表及其附注（执行小企业会计准则的可不提供所有者权益变动表）</w:t>
      </w:r>
      <w:r>
        <w:rPr>
          <w:rFonts w:hint="eastAsia" w:ascii="宋体" w:hAnsi="宋体" w:cs="宋体"/>
          <w:color w:val="auto"/>
          <w:kern w:val="2"/>
          <w:sz w:val="24"/>
          <w:szCs w:val="24"/>
          <w:highlight w:val="none"/>
        </w:rPr>
        <w:t>），新成立不满</w:t>
      </w:r>
      <w:r>
        <w:rPr>
          <w:rFonts w:hint="eastAsia" w:ascii="宋体" w:hAnsi="宋体" w:cs="宋体"/>
          <w:color w:val="auto"/>
          <w:kern w:val="2"/>
          <w:sz w:val="24"/>
          <w:szCs w:val="24"/>
          <w:highlight w:val="none"/>
          <w:u w:val="single"/>
        </w:rPr>
        <w:t>1</w:t>
      </w:r>
      <w:r>
        <w:rPr>
          <w:rFonts w:hint="eastAsia" w:ascii="宋体" w:hAnsi="宋体" w:cs="宋体"/>
          <w:color w:val="auto"/>
          <w:kern w:val="2"/>
          <w:sz w:val="24"/>
          <w:szCs w:val="24"/>
          <w:highlight w:val="none"/>
        </w:rPr>
        <w:t>年的供应商提供自成立至今的财务报表；</w:t>
      </w:r>
    </w:p>
    <w:p w14:paraId="4278BEC5">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②提供自响应文件提交截止时间前三个月内基本开户银行出具的资信证明。</w:t>
      </w:r>
    </w:p>
    <w:p w14:paraId="2031EEA8">
      <w:pPr>
        <w:widowControl w:val="0"/>
        <w:spacing w:line="360" w:lineRule="auto"/>
        <w:ind w:firstLine="420" w:firstLineChars="200"/>
        <w:jc w:val="both"/>
        <w:rPr>
          <w:rFonts w:ascii="宋体" w:hAnsi="宋体" w:cs="宋体"/>
          <w:color w:val="auto"/>
          <w:highlight w:val="none"/>
        </w:rPr>
      </w:pPr>
    </w:p>
    <w:p w14:paraId="4273B1FF">
      <w:pPr>
        <w:pStyle w:val="66"/>
        <w:ind w:firstLine="480" w:firstLineChars="200"/>
        <w:rPr>
          <w:rFonts w:ascii="宋体" w:hAnsi="宋体" w:eastAsia="宋体"/>
          <w:color w:val="auto"/>
          <w:sz w:val="24"/>
          <w:szCs w:val="24"/>
          <w:highlight w:val="none"/>
        </w:rPr>
      </w:pPr>
    </w:p>
    <w:p w14:paraId="67EE34EA">
      <w:pPr>
        <w:pStyle w:val="66"/>
        <w:ind w:firstLine="480" w:firstLineChars="200"/>
        <w:rPr>
          <w:rFonts w:ascii="宋体" w:hAnsi="宋体" w:eastAsia="宋体"/>
          <w:color w:val="auto"/>
          <w:sz w:val="24"/>
          <w:szCs w:val="24"/>
          <w:highlight w:val="none"/>
        </w:rPr>
      </w:pPr>
    </w:p>
    <w:p w14:paraId="54A85B27">
      <w:pPr>
        <w:pStyle w:val="66"/>
        <w:ind w:firstLine="480" w:firstLineChars="200"/>
        <w:rPr>
          <w:rFonts w:ascii="宋体" w:hAnsi="宋体" w:eastAsia="宋体"/>
          <w:color w:val="auto"/>
          <w:sz w:val="24"/>
          <w:szCs w:val="24"/>
          <w:highlight w:val="none"/>
        </w:rPr>
      </w:pPr>
    </w:p>
    <w:p w14:paraId="1B3141D7">
      <w:pPr>
        <w:pStyle w:val="5"/>
        <w:spacing w:before="0" w:after="0" w:line="720" w:lineRule="auto"/>
        <w:rPr>
          <w:rFonts w:ascii="宋体" w:hAnsi="宋体" w:cs="宋体"/>
          <w:color w:val="auto"/>
          <w:highlight w:val="none"/>
        </w:rPr>
      </w:pPr>
      <w:bookmarkStart w:id="236" w:name="_Toc18845"/>
      <w:bookmarkStart w:id="237" w:name="_Toc3896300"/>
      <w:bookmarkStart w:id="238" w:name="_Toc18607"/>
      <w:bookmarkStart w:id="239" w:name="_Toc32300"/>
      <w:bookmarkStart w:id="240" w:name="_Toc4095"/>
      <w:r>
        <w:rPr>
          <w:rFonts w:hint="eastAsia" w:ascii="宋体" w:hAnsi="宋体" w:cs="宋体"/>
          <w:color w:val="auto"/>
          <w:highlight w:val="none"/>
        </w:rPr>
        <w:t>三、</w:t>
      </w:r>
      <w:bookmarkEnd w:id="236"/>
      <w:bookmarkEnd w:id="237"/>
      <w:bookmarkEnd w:id="238"/>
      <w:bookmarkEnd w:id="239"/>
      <w:r>
        <w:rPr>
          <w:rFonts w:hint="eastAsia" w:ascii="宋体" w:hAnsi="宋体" w:cs="宋体"/>
          <w:color w:val="auto"/>
          <w:highlight w:val="none"/>
        </w:rPr>
        <w:t>具有履行合同所必需的设备和专业技术能力</w:t>
      </w:r>
      <w:bookmarkEnd w:id="240"/>
    </w:p>
    <w:p w14:paraId="611308DA">
      <w:pPr>
        <w:pStyle w:val="66"/>
        <w:ind w:firstLine="480" w:firstLineChars="200"/>
        <w:rPr>
          <w:rFonts w:ascii="宋体" w:hAnsi="宋体" w:eastAsia="宋体"/>
          <w:color w:val="auto"/>
          <w:kern w:val="2"/>
          <w:sz w:val="24"/>
          <w:szCs w:val="24"/>
          <w:highlight w:val="none"/>
          <w:lang w:bidi="ar"/>
        </w:rPr>
      </w:pPr>
      <w:bookmarkStart w:id="241" w:name="_Toc14504"/>
      <w:bookmarkEnd w:id="241"/>
      <w:bookmarkStart w:id="242" w:name="_Toc20341"/>
      <w:r>
        <w:rPr>
          <w:rFonts w:hint="eastAsia" w:ascii="宋体" w:hAnsi="宋体" w:eastAsia="宋体"/>
          <w:color w:val="auto"/>
          <w:kern w:val="2"/>
          <w:sz w:val="24"/>
          <w:szCs w:val="24"/>
          <w:highlight w:val="none"/>
          <w:lang w:bidi="ar"/>
        </w:rPr>
        <w:t>具有履行合同所必需的设备和专业技术能力。提供具备履行合同所必需的设备和专业技术能力的证明材料。</w:t>
      </w:r>
    </w:p>
    <w:p w14:paraId="5B5C76D8">
      <w:pPr>
        <w:pStyle w:val="66"/>
        <w:ind w:firstLine="480" w:firstLineChars="200"/>
        <w:rPr>
          <w:rFonts w:ascii="宋体" w:hAnsi="宋体" w:eastAsia="宋体"/>
          <w:color w:val="auto"/>
          <w:sz w:val="24"/>
          <w:szCs w:val="24"/>
          <w:highlight w:val="none"/>
        </w:rPr>
      </w:pPr>
    </w:p>
    <w:p w14:paraId="160E0340">
      <w:pPr>
        <w:pStyle w:val="66"/>
        <w:ind w:firstLine="480" w:firstLineChars="200"/>
        <w:rPr>
          <w:rFonts w:ascii="宋体" w:hAnsi="宋体" w:eastAsia="宋体"/>
          <w:color w:val="auto"/>
          <w:sz w:val="24"/>
          <w:szCs w:val="24"/>
          <w:highlight w:val="none"/>
        </w:rPr>
      </w:pPr>
    </w:p>
    <w:p w14:paraId="53F02657">
      <w:pPr>
        <w:rPr>
          <w:rFonts w:ascii="宋体" w:hAnsi="宋体"/>
          <w:color w:val="auto"/>
          <w:sz w:val="24"/>
          <w:szCs w:val="24"/>
          <w:highlight w:val="none"/>
        </w:rPr>
      </w:pPr>
      <w:r>
        <w:rPr>
          <w:rFonts w:ascii="宋体" w:hAnsi="宋体"/>
          <w:color w:val="auto"/>
          <w:sz w:val="24"/>
          <w:szCs w:val="24"/>
          <w:highlight w:val="none"/>
        </w:rPr>
        <w:br w:type="page"/>
      </w:r>
    </w:p>
    <w:p w14:paraId="03FEF93E">
      <w:pPr>
        <w:pStyle w:val="66"/>
        <w:ind w:firstLine="480" w:firstLineChars="200"/>
        <w:rPr>
          <w:rFonts w:ascii="宋体" w:hAnsi="宋体" w:eastAsia="宋体"/>
          <w:color w:val="auto"/>
          <w:sz w:val="24"/>
          <w:szCs w:val="24"/>
          <w:highlight w:val="none"/>
        </w:rPr>
      </w:pPr>
    </w:p>
    <w:bookmarkEnd w:id="242"/>
    <w:p w14:paraId="0A7B441F">
      <w:pPr>
        <w:pStyle w:val="5"/>
        <w:spacing w:before="0" w:after="0" w:line="720" w:lineRule="auto"/>
        <w:rPr>
          <w:rFonts w:ascii="宋体" w:hAnsi="宋体" w:cs="宋体"/>
          <w:color w:val="auto"/>
          <w:highlight w:val="none"/>
        </w:rPr>
      </w:pPr>
      <w:bookmarkStart w:id="243" w:name="_Toc8275"/>
      <w:bookmarkStart w:id="244" w:name="_Toc3896301"/>
      <w:bookmarkStart w:id="245" w:name="_Toc22678"/>
      <w:bookmarkStart w:id="246" w:name="_Toc14608"/>
      <w:bookmarkStart w:id="247" w:name="_Toc10087"/>
      <w:r>
        <w:rPr>
          <w:rFonts w:hint="eastAsia" w:ascii="宋体" w:hAnsi="宋体" w:cs="宋体"/>
          <w:color w:val="auto"/>
          <w:highlight w:val="none"/>
        </w:rPr>
        <w:t>四、</w:t>
      </w:r>
      <w:bookmarkEnd w:id="243"/>
      <w:bookmarkEnd w:id="244"/>
      <w:bookmarkEnd w:id="245"/>
      <w:bookmarkEnd w:id="246"/>
      <w:r>
        <w:rPr>
          <w:rFonts w:hint="eastAsia" w:ascii="宋体" w:hAnsi="宋体" w:cs="宋体"/>
          <w:color w:val="auto"/>
          <w:highlight w:val="none"/>
        </w:rPr>
        <w:t>有依法缴纳税收和社会保障资金的良好记录</w:t>
      </w:r>
      <w:bookmarkEnd w:id="247"/>
    </w:p>
    <w:p w14:paraId="145F6A14">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提供供应商缴税所属时间在2024年08月至本项目响应文件提交截止时间前任意2个月的税务局税收通用缴款书或银行电子缴税（费）凭证或税务局出具纳税情况的相关证明，依法免税的，应提供依法免税的相关证明文件（扫描件加盖供应商电子公章），至响应文件提交截止时间止成立不足2个月的供应商可提供相关情况说明（加盖供应商电子公章）；</w:t>
      </w:r>
    </w:p>
    <w:p w14:paraId="5F10C516">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提供供应商缴费所属时间在2024年08月至本项目响应文件提交截止时间前任意2个月的社会保险费缴款书或银行电子缴税（费）凭证或社保管理部门出具的有效的缴款证明，依法免缴的，应提供依法免缴的相关证明文件（扫描件加盖供应商电子公章），至响应文件提交截止时间止成立不足2个月的供应商可提供相关情况说明（加盖供应商电子公章）；</w:t>
      </w:r>
    </w:p>
    <w:p w14:paraId="476DE44A">
      <w:pPr>
        <w:spacing w:line="360" w:lineRule="auto"/>
        <w:ind w:firstLine="480" w:firstLineChars="200"/>
        <w:jc w:val="both"/>
        <w:rPr>
          <w:rFonts w:ascii="宋体" w:hAnsi="宋体" w:cs="宋体"/>
          <w:color w:val="auto"/>
          <w:kern w:val="2"/>
          <w:sz w:val="24"/>
          <w:szCs w:val="24"/>
          <w:highlight w:val="none"/>
          <w:lang w:bidi="ar"/>
        </w:rPr>
      </w:pPr>
    </w:p>
    <w:p w14:paraId="1B2D9BE4">
      <w:pPr>
        <w:spacing w:line="360" w:lineRule="auto"/>
        <w:jc w:val="center"/>
        <w:rPr>
          <w:rFonts w:ascii="宋体" w:hAnsi="宋体" w:cs="宋体"/>
          <w:color w:val="auto"/>
          <w:sz w:val="24"/>
          <w:szCs w:val="24"/>
          <w:highlight w:val="none"/>
        </w:rPr>
      </w:pPr>
    </w:p>
    <w:p w14:paraId="4D30A0DB">
      <w:pPr>
        <w:autoSpaceDE w:val="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0470365">
      <w:pPr>
        <w:pStyle w:val="5"/>
        <w:spacing w:before="0" w:after="0" w:line="720" w:lineRule="auto"/>
        <w:jc w:val="both"/>
        <w:rPr>
          <w:rFonts w:ascii="宋体" w:hAnsi="宋体" w:cs="宋体"/>
          <w:color w:val="auto"/>
          <w:highlight w:val="none"/>
        </w:rPr>
      </w:pPr>
      <w:bookmarkStart w:id="248" w:name="_Toc8069"/>
      <w:bookmarkEnd w:id="248"/>
      <w:r>
        <w:rPr>
          <w:rFonts w:hint="eastAsia" w:ascii="宋体" w:hAnsi="宋体" w:cs="宋体"/>
          <w:color w:val="auto"/>
          <w:highlight w:val="none"/>
        </w:rPr>
        <w:br w:type="page"/>
      </w:r>
      <w:bookmarkStart w:id="249" w:name="_Toc4022"/>
      <w:bookmarkEnd w:id="249"/>
      <w:bookmarkStart w:id="250" w:name="_Toc5534"/>
      <w:bookmarkStart w:id="251" w:name="_Toc11265"/>
      <w:bookmarkStart w:id="252" w:name="_Toc21948"/>
      <w:bookmarkStart w:id="253" w:name="_Toc24245"/>
      <w:bookmarkStart w:id="254" w:name="_Toc30512"/>
      <w:r>
        <w:rPr>
          <w:rFonts w:hint="eastAsia" w:ascii="宋体" w:hAnsi="宋体" w:cs="宋体"/>
          <w:color w:val="auto"/>
          <w:szCs w:val="28"/>
          <w:highlight w:val="none"/>
        </w:rPr>
        <w:t>五、</w:t>
      </w:r>
      <w:bookmarkEnd w:id="250"/>
      <w:bookmarkEnd w:id="251"/>
      <w:bookmarkEnd w:id="252"/>
      <w:r>
        <w:rPr>
          <w:rFonts w:hint="eastAsia" w:ascii="宋体" w:hAnsi="宋体" w:cs="宋体"/>
          <w:color w:val="auto"/>
          <w:szCs w:val="28"/>
          <w:highlight w:val="none"/>
        </w:rPr>
        <w:t>参加政府采购活动前三年内，在经营活动中没有重大违法记录</w:t>
      </w:r>
      <w:bookmarkEnd w:id="253"/>
    </w:p>
    <w:p w14:paraId="41520B5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2139C7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244DB52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（供应商自行承诺及说明，内容自拟）               </w:t>
      </w:r>
    </w:p>
    <w:p w14:paraId="5773010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21B7233">
      <w:pPr>
        <w:spacing w:line="360" w:lineRule="auto"/>
        <w:ind w:firstLine="480" w:firstLineChars="200"/>
        <w:rPr>
          <w:rFonts w:ascii="宋体" w:hAnsi="宋体" w:cs="宋体"/>
          <w:color w:val="auto"/>
          <w:sz w:val="24"/>
          <w:szCs w:val="24"/>
          <w:highlight w:val="none"/>
        </w:rPr>
      </w:pPr>
    </w:p>
    <w:p w14:paraId="3B14033E">
      <w:pPr>
        <w:spacing w:line="360" w:lineRule="auto"/>
        <w:ind w:firstLine="480" w:firstLineChars="200"/>
        <w:rPr>
          <w:rFonts w:ascii="宋体" w:hAnsi="宋体" w:cs="宋体"/>
          <w:color w:val="auto"/>
          <w:sz w:val="24"/>
          <w:szCs w:val="24"/>
          <w:highlight w:val="none"/>
        </w:rPr>
      </w:pPr>
    </w:p>
    <w:p w14:paraId="3B1E1CAC">
      <w:pPr>
        <w:spacing w:line="360" w:lineRule="auto"/>
        <w:ind w:firstLine="480" w:firstLineChars="200"/>
        <w:rPr>
          <w:rFonts w:ascii="宋体" w:hAnsi="宋体" w:cs="宋体"/>
          <w:color w:val="auto"/>
          <w:sz w:val="24"/>
          <w:szCs w:val="24"/>
          <w:highlight w:val="none"/>
        </w:rPr>
      </w:pPr>
    </w:p>
    <w:p w14:paraId="3D7C6D6A">
      <w:pPr>
        <w:ind w:firstLine="1205" w:firstLineChars="500"/>
        <w:rPr>
          <w:rFonts w:ascii="宋体" w:hAnsi="宋体" w:cs="宋体"/>
          <w:b/>
          <w:bCs/>
          <w:color w:val="auto"/>
          <w:sz w:val="24"/>
          <w:szCs w:val="24"/>
          <w:highlight w:val="none"/>
        </w:rPr>
      </w:pPr>
    </w:p>
    <w:p w14:paraId="2680D8C1">
      <w:pPr>
        <w:ind w:firstLine="1205" w:firstLineChars="500"/>
        <w:rPr>
          <w:rFonts w:ascii="宋体" w:hAnsi="宋体" w:cs="宋体"/>
          <w:b/>
          <w:bCs/>
          <w:color w:val="auto"/>
          <w:sz w:val="24"/>
          <w:szCs w:val="24"/>
          <w:highlight w:val="none"/>
        </w:rPr>
      </w:pPr>
    </w:p>
    <w:p w14:paraId="4B942076">
      <w:pPr>
        <w:ind w:firstLine="1205" w:firstLineChars="500"/>
        <w:rPr>
          <w:rFonts w:ascii="宋体" w:hAnsi="宋体" w:cs="宋体"/>
          <w:b/>
          <w:bCs/>
          <w:color w:val="auto"/>
          <w:sz w:val="24"/>
          <w:szCs w:val="24"/>
          <w:highlight w:val="none"/>
        </w:rPr>
      </w:pPr>
    </w:p>
    <w:p w14:paraId="7C5DE8B8">
      <w:pPr>
        <w:pStyle w:val="12"/>
        <w:rPr>
          <w:rFonts w:ascii="宋体" w:hAnsi="宋体" w:cs="宋体"/>
          <w:color w:val="auto"/>
          <w:highlight w:val="none"/>
        </w:rPr>
      </w:pPr>
    </w:p>
    <w:p w14:paraId="2227FBA0">
      <w:pPr>
        <w:ind w:firstLine="1205" w:firstLineChars="500"/>
        <w:rPr>
          <w:rFonts w:ascii="宋体" w:hAnsi="宋体" w:cs="宋体"/>
          <w:b/>
          <w:bCs/>
          <w:color w:val="auto"/>
          <w:sz w:val="24"/>
          <w:szCs w:val="24"/>
          <w:highlight w:val="none"/>
        </w:rPr>
      </w:pPr>
    </w:p>
    <w:p w14:paraId="6005ABC6">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供应商：</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7D4B56FA">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7E7AE5D6">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w:t>
      </w:r>
    </w:p>
    <w:p w14:paraId="0B5C0FC4">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5EB4CBD3">
      <w:pPr>
        <w:ind w:firstLine="1205" w:firstLineChars="500"/>
        <w:rPr>
          <w:rFonts w:ascii="宋体" w:hAnsi="宋体" w:cs="宋体"/>
          <w:color w:val="auto"/>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40AC37D2">
      <w:pPr>
        <w:ind w:firstLine="1687" w:firstLineChars="600"/>
        <w:rPr>
          <w:rFonts w:ascii="宋体" w:hAnsi="宋体" w:cs="宋体"/>
          <w:b/>
          <w:color w:val="auto"/>
          <w:sz w:val="28"/>
          <w:szCs w:val="28"/>
          <w:highlight w:val="none"/>
        </w:rPr>
      </w:pPr>
    </w:p>
    <w:p w14:paraId="38773329">
      <w:pPr>
        <w:pStyle w:val="12"/>
        <w:rPr>
          <w:rFonts w:ascii="宋体" w:hAnsi="宋体" w:cs="宋体"/>
          <w:b/>
          <w:color w:val="auto"/>
          <w:sz w:val="28"/>
          <w:szCs w:val="28"/>
          <w:highlight w:val="none"/>
        </w:rPr>
      </w:pPr>
    </w:p>
    <w:p w14:paraId="30BC0DD7">
      <w:pPr>
        <w:pStyle w:val="12"/>
        <w:rPr>
          <w:rFonts w:ascii="宋体" w:hAnsi="宋体" w:cs="宋体"/>
          <w:b/>
          <w:color w:val="auto"/>
          <w:sz w:val="28"/>
          <w:szCs w:val="28"/>
          <w:highlight w:val="none"/>
        </w:rPr>
      </w:pPr>
    </w:p>
    <w:p w14:paraId="31B7532F">
      <w:pPr>
        <w:pStyle w:val="12"/>
        <w:rPr>
          <w:rFonts w:ascii="宋体" w:hAnsi="宋体" w:cs="宋体"/>
          <w:b/>
          <w:color w:val="auto"/>
          <w:sz w:val="28"/>
          <w:szCs w:val="28"/>
          <w:highlight w:val="none"/>
        </w:rPr>
      </w:pPr>
    </w:p>
    <w:p w14:paraId="4E930C67">
      <w:pPr>
        <w:pStyle w:val="12"/>
        <w:rPr>
          <w:rFonts w:ascii="宋体" w:hAnsi="宋体" w:cs="宋体"/>
          <w:color w:val="auto"/>
          <w:sz w:val="24"/>
          <w:highlight w:val="none"/>
        </w:rPr>
      </w:pPr>
    </w:p>
    <w:p w14:paraId="72DEB4DC">
      <w:pPr>
        <w:pStyle w:val="12"/>
        <w:rPr>
          <w:rFonts w:ascii="宋体" w:hAnsi="宋体" w:cs="宋体"/>
          <w:color w:val="auto"/>
          <w:sz w:val="24"/>
          <w:highlight w:val="none"/>
        </w:rPr>
      </w:pPr>
    </w:p>
    <w:p w14:paraId="2F2972A3">
      <w:pPr>
        <w:pStyle w:val="12"/>
        <w:rPr>
          <w:rFonts w:ascii="宋体" w:hAnsi="宋体" w:cs="宋体"/>
          <w:color w:val="auto"/>
          <w:sz w:val="24"/>
          <w:highlight w:val="none"/>
        </w:rPr>
      </w:pPr>
    </w:p>
    <w:p w14:paraId="0BC481E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注：重大违法记录，是指供应商因违法经营受到刑事处罚或者责令停产停业、吊销许可证或者执照、较大数额罚款等行政处罚。</w:t>
      </w:r>
    </w:p>
    <w:bookmarkEnd w:id="254"/>
    <w:p w14:paraId="3A2B20E8">
      <w:pPr>
        <w:pStyle w:val="5"/>
        <w:spacing w:before="0" w:after="0" w:line="720" w:lineRule="auto"/>
        <w:rPr>
          <w:rFonts w:ascii="宋体" w:hAnsi="宋体" w:cs="宋体"/>
          <w:color w:val="auto"/>
          <w:highlight w:val="none"/>
        </w:rPr>
      </w:pPr>
      <w:r>
        <w:rPr>
          <w:rFonts w:hint="eastAsia" w:ascii="宋体" w:hAnsi="宋体" w:cs="宋体"/>
          <w:color w:val="auto"/>
          <w:highlight w:val="none"/>
        </w:rPr>
        <w:br w:type="page"/>
      </w:r>
      <w:bookmarkStart w:id="255" w:name="_Toc31273"/>
      <w:bookmarkStart w:id="256" w:name="_Toc29146"/>
      <w:bookmarkStart w:id="257" w:name="_Toc18329"/>
      <w:bookmarkStart w:id="258" w:name="_Toc3896305"/>
      <w:bookmarkStart w:id="259" w:name="_Toc20624"/>
      <w:r>
        <w:rPr>
          <w:rFonts w:hint="eastAsia" w:ascii="宋体" w:hAnsi="宋体" w:cs="宋体"/>
          <w:color w:val="auto"/>
          <w:highlight w:val="none"/>
        </w:rPr>
        <w:t>六、其他</w:t>
      </w:r>
      <w:bookmarkEnd w:id="255"/>
      <w:bookmarkEnd w:id="256"/>
      <w:bookmarkEnd w:id="257"/>
      <w:bookmarkEnd w:id="258"/>
      <w:bookmarkEnd w:id="259"/>
    </w:p>
    <w:p w14:paraId="6D559267">
      <w:pPr>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1.法律、行政法规规定的其他条件。</w:t>
      </w:r>
    </w:p>
    <w:p w14:paraId="013D2067">
      <w:pPr>
        <w:pStyle w:val="12"/>
        <w:ind w:firstLine="465"/>
        <w:rPr>
          <w:rFonts w:ascii="宋体" w:hAnsi="宋体" w:cs="宋体"/>
          <w:color w:val="auto"/>
          <w:kern w:val="0"/>
          <w:sz w:val="24"/>
          <w:highlight w:val="none"/>
        </w:rPr>
      </w:pPr>
      <w:r>
        <w:rPr>
          <w:rFonts w:hint="eastAsia" w:ascii="宋体" w:hAnsi="宋体" w:cs="宋体"/>
          <w:color w:val="auto"/>
          <w:kern w:val="0"/>
          <w:sz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color w:val="auto"/>
          <w:sz w:val="24"/>
          <w:highlight w:val="none"/>
        </w:rPr>
        <w:t>（提供承诺）</w:t>
      </w:r>
    </w:p>
    <w:p w14:paraId="57F682B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2.本项目的特定资格要求：本次采购不接受联合体谈判。</w:t>
      </w:r>
      <w:r>
        <w:rPr>
          <w:rFonts w:hint="eastAsia" w:ascii="宋体" w:hAnsi="宋体" w:cs="宋体"/>
          <w:color w:val="auto"/>
          <w:sz w:val="24"/>
          <w:highlight w:val="none"/>
        </w:rPr>
        <w:t>（提供承诺）</w:t>
      </w:r>
    </w:p>
    <w:p w14:paraId="45CD4A0D">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3.谈判文件要求及</w:t>
      </w:r>
      <w:r>
        <w:rPr>
          <w:rFonts w:hint="eastAsia" w:ascii="宋体" w:hAnsi="宋体" w:cs="宋体"/>
          <w:color w:val="auto"/>
          <w:sz w:val="24"/>
          <w:highlight w:val="none"/>
        </w:rPr>
        <w:t>供应商认为需要提交的其他资格证明材料</w:t>
      </w:r>
    </w:p>
    <w:p w14:paraId="29007334">
      <w:pPr>
        <w:spacing w:line="440" w:lineRule="exact"/>
        <w:rPr>
          <w:rStyle w:val="42"/>
          <w:rFonts w:ascii="宋体" w:hAnsi="宋体" w:cs="宋体"/>
          <w:color w:val="auto"/>
          <w:highlight w:val="none"/>
        </w:rPr>
      </w:pPr>
    </w:p>
    <w:p w14:paraId="3E54F442">
      <w:pPr>
        <w:rPr>
          <w:rFonts w:ascii="宋体" w:hAnsi="宋体" w:cs="宋体"/>
          <w:color w:val="auto"/>
          <w:highlight w:val="none"/>
        </w:rPr>
      </w:pPr>
      <w:r>
        <w:rPr>
          <w:rFonts w:hint="eastAsia" w:ascii="宋体" w:hAnsi="宋体" w:cs="宋体"/>
          <w:color w:val="auto"/>
          <w:szCs w:val="28"/>
          <w:highlight w:val="none"/>
        </w:rPr>
        <w:br w:type="page"/>
      </w:r>
    </w:p>
    <w:p w14:paraId="0BE405FF">
      <w:pPr>
        <w:rPr>
          <w:rFonts w:ascii="宋体" w:hAnsi="宋体" w:cs="宋体"/>
          <w:color w:val="auto"/>
          <w:sz w:val="24"/>
          <w:szCs w:val="24"/>
          <w:highlight w:val="none"/>
          <w:u w:val="single"/>
        </w:rPr>
      </w:pPr>
    </w:p>
    <w:p w14:paraId="1CAC7C69">
      <w:pP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50934D56">
      <w:pPr>
        <w:rPr>
          <w:rFonts w:ascii="宋体" w:hAnsi="宋体" w:cs="宋体"/>
          <w:b/>
          <w:bCs/>
          <w:color w:val="auto"/>
          <w:sz w:val="28"/>
          <w:szCs w:val="28"/>
          <w:highlight w:val="none"/>
        </w:rPr>
      </w:pPr>
    </w:p>
    <w:p w14:paraId="59BA3C06">
      <w:pPr>
        <w:rPr>
          <w:rFonts w:ascii="宋体" w:hAnsi="宋体" w:cs="宋体"/>
          <w:b/>
          <w:bCs/>
          <w:color w:val="auto"/>
          <w:sz w:val="28"/>
          <w:szCs w:val="28"/>
          <w:highlight w:val="none"/>
        </w:rPr>
      </w:pPr>
    </w:p>
    <w:p w14:paraId="57E8B85A">
      <w:pPr>
        <w:rPr>
          <w:rFonts w:ascii="宋体" w:hAnsi="宋体" w:cs="宋体"/>
          <w:b/>
          <w:bCs/>
          <w:color w:val="auto"/>
          <w:sz w:val="28"/>
          <w:szCs w:val="28"/>
          <w:highlight w:val="none"/>
        </w:rPr>
      </w:pPr>
    </w:p>
    <w:p w14:paraId="66FA905D">
      <w:pPr>
        <w:rPr>
          <w:rFonts w:ascii="宋体" w:hAnsi="宋体" w:cs="宋体"/>
          <w:b/>
          <w:bCs/>
          <w:color w:val="auto"/>
          <w:sz w:val="28"/>
          <w:szCs w:val="28"/>
          <w:highlight w:val="none"/>
        </w:rPr>
      </w:pPr>
    </w:p>
    <w:p w14:paraId="083FF789">
      <w:pPr>
        <w:rPr>
          <w:rFonts w:ascii="宋体" w:hAnsi="宋体" w:cs="宋体"/>
          <w:b/>
          <w:bCs/>
          <w:color w:val="auto"/>
          <w:sz w:val="28"/>
          <w:szCs w:val="28"/>
          <w:highlight w:val="none"/>
        </w:rPr>
      </w:pPr>
    </w:p>
    <w:p w14:paraId="26907900">
      <w:pPr>
        <w:rPr>
          <w:rFonts w:ascii="宋体" w:hAnsi="宋体" w:cs="宋体"/>
          <w:b/>
          <w:bCs/>
          <w:color w:val="auto"/>
          <w:sz w:val="28"/>
          <w:szCs w:val="28"/>
          <w:highlight w:val="none"/>
        </w:rPr>
      </w:pPr>
    </w:p>
    <w:p w14:paraId="2F027EE0">
      <w:pPr>
        <w:rPr>
          <w:rFonts w:ascii="宋体" w:hAnsi="宋体" w:cs="宋体"/>
          <w:b/>
          <w:bCs/>
          <w:color w:val="auto"/>
          <w:sz w:val="28"/>
          <w:szCs w:val="28"/>
          <w:highlight w:val="none"/>
        </w:rPr>
      </w:pPr>
    </w:p>
    <w:p w14:paraId="4446EAEE">
      <w:pPr>
        <w:rPr>
          <w:rFonts w:ascii="宋体" w:hAnsi="宋体" w:cs="宋体"/>
          <w:b/>
          <w:bCs/>
          <w:color w:val="auto"/>
          <w:sz w:val="28"/>
          <w:szCs w:val="28"/>
          <w:highlight w:val="none"/>
        </w:rPr>
      </w:pPr>
    </w:p>
    <w:p w14:paraId="5E89C16C">
      <w:pPr>
        <w:jc w:val="center"/>
        <w:outlineLvl w:val="2"/>
        <w:rPr>
          <w:rFonts w:ascii="宋体" w:hAnsi="宋体" w:cs="宋体"/>
          <w:b/>
          <w:bCs/>
          <w:color w:val="auto"/>
          <w:sz w:val="44"/>
          <w:szCs w:val="44"/>
          <w:highlight w:val="none"/>
        </w:rPr>
      </w:pPr>
      <w:bookmarkStart w:id="260" w:name="_Toc30177"/>
      <w:r>
        <w:rPr>
          <w:rFonts w:hint="eastAsia" w:ascii="宋体" w:hAnsi="宋体" w:cs="宋体"/>
          <w:b/>
          <w:bCs/>
          <w:color w:val="auto"/>
          <w:sz w:val="44"/>
          <w:szCs w:val="44"/>
          <w:highlight w:val="none"/>
        </w:rPr>
        <w:t>商务技术部分</w:t>
      </w:r>
      <w:bookmarkEnd w:id="260"/>
      <w:bookmarkStart w:id="261" w:name="_Toc10984"/>
      <w:bookmarkEnd w:id="261"/>
      <w:bookmarkStart w:id="262" w:name="_Toc28459"/>
      <w:bookmarkEnd w:id="262"/>
      <w:bookmarkStart w:id="263" w:name="_Toc15981"/>
      <w:bookmarkEnd w:id="263"/>
      <w:bookmarkStart w:id="264" w:name="_Toc31298"/>
      <w:bookmarkEnd w:id="264"/>
      <w:bookmarkStart w:id="265" w:name="_Toc29456"/>
    </w:p>
    <w:p w14:paraId="7A1F0F63">
      <w:pPr>
        <w:pStyle w:val="5"/>
        <w:widowControl/>
        <w:autoSpaceDE w:val="0"/>
        <w:spacing w:before="0" w:after="0" w:line="240" w:lineRule="auto"/>
        <w:rPr>
          <w:rFonts w:ascii="宋体" w:hAnsi="宋体" w:cs="宋体"/>
          <w:color w:val="auto"/>
          <w:szCs w:val="28"/>
          <w:highlight w:val="none"/>
        </w:rPr>
      </w:pPr>
      <w:r>
        <w:rPr>
          <w:rFonts w:hint="eastAsia" w:ascii="宋体" w:hAnsi="宋体" w:cs="宋体"/>
          <w:color w:val="auto"/>
          <w:szCs w:val="28"/>
          <w:highlight w:val="none"/>
        </w:rPr>
        <w:br w:type="page"/>
      </w:r>
      <w:bookmarkStart w:id="266" w:name="_Toc8686"/>
      <w:r>
        <w:rPr>
          <w:rFonts w:hint="eastAsia" w:ascii="宋体" w:hAnsi="宋体" w:cs="宋体"/>
          <w:color w:val="auto"/>
          <w:szCs w:val="28"/>
          <w:highlight w:val="none"/>
        </w:rPr>
        <w:t>一、初次报价表</w:t>
      </w:r>
      <w:bookmarkEnd w:id="265"/>
      <w:bookmarkEnd w:id="266"/>
    </w:p>
    <w:p w14:paraId="5C3FF761">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29B752D7">
      <w:pPr>
        <w:spacing w:line="480" w:lineRule="exact"/>
        <w:ind w:left="1400" w:hanging="1400" w:hangingChars="500"/>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3674E241">
      <w:pPr>
        <w:spacing w:line="480" w:lineRule="exact"/>
        <w:ind w:left="1200" w:hanging="1200" w:hangingChars="500"/>
        <w:rPr>
          <w:rFonts w:ascii="宋体" w:hAnsi="宋体" w:cs="宋体"/>
          <w:color w:val="auto"/>
          <w:sz w:val="24"/>
          <w:szCs w:val="24"/>
          <w:highlight w:val="none"/>
          <w:u w:val="singl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p>
    <w:p w14:paraId="16AB3EF4">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  </w:t>
      </w:r>
    </w:p>
    <w:tbl>
      <w:tblPr>
        <w:tblStyle w:val="32"/>
        <w:tblW w:w="4998" w:type="pct"/>
        <w:tblInd w:w="0" w:type="dxa"/>
        <w:tblLayout w:type="autofit"/>
        <w:tblCellMar>
          <w:top w:w="0" w:type="dxa"/>
          <w:left w:w="108" w:type="dxa"/>
          <w:bottom w:w="0" w:type="dxa"/>
          <w:right w:w="108" w:type="dxa"/>
        </w:tblCellMar>
      </w:tblPr>
      <w:tblGrid>
        <w:gridCol w:w="2368"/>
        <w:gridCol w:w="2138"/>
        <w:gridCol w:w="1789"/>
        <w:gridCol w:w="1895"/>
        <w:gridCol w:w="1762"/>
      </w:tblGrid>
      <w:tr w14:paraId="08611C3C">
        <w:tblPrEx>
          <w:tblCellMar>
            <w:top w:w="0" w:type="dxa"/>
            <w:left w:w="108" w:type="dxa"/>
            <w:bottom w:w="0" w:type="dxa"/>
            <w:right w:w="108" w:type="dxa"/>
          </w:tblCellMar>
        </w:tblPrEx>
        <w:trPr>
          <w:cantSplit/>
          <w:trHeight w:val="431" w:hRule="atLeast"/>
        </w:trPr>
        <w:tc>
          <w:tcPr>
            <w:tcW w:w="1190" w:type="pct"/>
            <w:vMerge w:val="restart"/>
            <w:tcBorders>
              <w:top w:val="single" w:color="auto" w:sz="4" w:space="0"/>
              <w:left w:val="single" w:color="auto" w:sz="4" w:space="0"/>
              <w:bottom w:val="single" w:color="auto" w:sz="4" w:space="0"/>
              <w:right w:val="single" w:color="auto" w:sz="4" w:space="0"/>
            </w:tcBorders>
            <w:vAlign w:val="center"/>
          </w:tcPr>
          <w:p w14:paraId="5DD8AA4C">
            <w:pPr>
              <w:adjustRightInd w:val="0"/>
              <w:snapToGrid w:val="0"/>
              <w:spacing w:line="44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谈判总价(元)</w:t>
            </w:r>
          </w:p>
        </w:tc>
        <w:tc>
          <w:tcPr>
            <w:tcW w:w="1074" w:type="pct"/>
            <w:vMerge w:val="restart"/>
            <w:tcBorders>
              <w:top w:val="single" w:color="auto" w:sz="4" w:space="0"/>
              <w:left w:val="nil"/>
              <w:bottom w:val="single" w:color="auto" w:sz="4" w:space="0"/>
              <w:right w:val="single" w:color="auto" w:sz="4" w:space="0"/>
            </w:tcBorders>
            <w:vAlign w:val="center"/>
          </w:tcPr>
          <w:p w14:paraId="6A929B6D">
            <w:pPr>
              <w:adjustRightInd w:val="0"/>
              <w:snapToGrid w:val="0"/>
              <w:spacing w:line="44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交货期</w:t>
            </w:r>
          </w:p>
        </w:tc>
        <w:tc>
          <w:tcPr>
            <w:tcW w:w="899" w:type="pct"/>
            <w:vMerge w:val="restart"/>
            <w:tcBorders>
              <w:top w:val="single" w:color="auto" w:sz="4" w:space="0"/>
              <w:left w:val="nil"/>
              <w:bottom w:val="single" w:color="auto" w:sz="4" w:space="0"/>
              <w:right w:val="single" w:color="auto" w:sz="4" w:space="0"/>
            </w:tcBorders>
            <w:vAlign w:val="center"/>
          </w:tcPr>
          <w:p w14:paraId="0FF42A16">
            <w:pPr>
              <w:adjustRightInd w:val="0"/>
              <w:snapToGrid w:val="0"/>
              <w:spacing w:line="44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质保期</w:t>
            </w:r>
          </w:p>
        </w:tc>
        <w:tc>
          <w:tcPr>
            <w:tcW w:w="1834" w:type="pct"/>
            <w:gridSpan w:val="2"/>
            <w:tcBorders>
              <w:top w:val="single" w:color="auto" w:sz="4" w:space="0"/>
              <w:left w:val="nil"/>
              <w:bottom w:val="single" w:color="auto" w:sz="4" w:space="0"/>
              <w:right w:val="single" w:color="auto" w:sz="4" w:space="0"/>
            </w:tcBorders>
            <w:vAlign w:val="center"/>
          </w:tcPr>
          <w:p w14:paraId="7662ADEE">
            <w:pPr>
              <w:adjustRightInd w:val="0"/>
              <w:snapToGrid w:val="0"/>
              <w:spacing w:line="44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谈判保证金</w:t>
            </w:r>
          </w:p>
        </w:tc>
      </w:tr>
      <w:tr w14:paraId="136E95D2">
        <w:tblPrEx>
          <w:tblCellMar>
            <w:top w:w="0" w:type="dxa"/>
            <w:left w:w="108" w:type="dxa"/>
            <w:bottom w:w="0" w:type="dxa"/>
            <w:right w:w="108" w:type="dxa"/>
          </w:tblCellMar>
        </w:tblPrEx>
        <w:trPr>
          <w:cantSplit/>
          <w:trHeight w:val="296" w:hRule="atLeast"/>
        </w:trPr>
        <w:tc>
          <w:tcPr>
            <w:tcW w:w="1190" w:type="pct"/>
            <w:vMerge w:val="continue"/>
            <w:tcBorders>
              <w:top w:val="single" w:color="auto" w:sz="4" w:space="0"/>
              <w:left w:val="single" w:color="auto" w:sz="4" w:space="0"/>
              <w:bottom w:val="single" w:color="auto" w:sz="4" w:space="0"/>
              <w:right w:val="single" w:color="auto" w:sz="4" w:space="0"/>
            </w:tcBorders>
            <w:vAlign w:val="center"/>
          </w:tcPr>
          <w:p w14:paraId="58A81AB5">
            <w:pPr>
              <w:rPr>
                <w:rFonts w:ascii="宋体" w:hAnsi="宋体" w:cs="宋体"/>
                <w:b/>
                <w:bCs/>
                <w:color w:val="auto"/>
                <w:kern w:val="2"/>
                <w:sz w:val="24"/>
                <w:szCs w:val="24"/>
                <w:highlight w:val="none"/>
              </w:rPr>
            </w:pPr>
          </w:p>
        </w:tc>
        <w:tc>
          <w:tcPr>
            <w:tcW w:w="1074" w:type="pct"/>
            <w:vMerge w:val="continue"/>
            <w:tcBorders>
              <w:top w:val="single" w:color="auto" w:sz="4" w:space="0"/>
              <w:left w:val="nil"/>
              <w:bottom w:val="single" w:color="auto" w:sz="4" w:space="0"/>
              <w:right w:val="single" w:color="auto" w:sz="4" w:space="0"/>
            </w:tcBorders>
            <w:vAlign w:val="center"/>
          </w:tcPr>
          <w:p w14:paraId="070159D1">
            <w:pPr>
              <w:rPr>
                <w:rFonts w:ascii="宋体" w:hAnsi="宋体" w:cs="宋体"/>
                <w:b/>
                <w:bCs/>
                <w:color w:val="auto"/>
                <w:kern w:val="2"/>
                <w:sz w:val="24"/>
                <w:szCs w:val="24"/>
                <w:highlight w:val="none"/>
              </w:rPr>
            </w:pPr>
          </w:p>
        </w:tc>
        <w:tc>
          <w:tcPr>
            <w:tcW w:w="899" w:type="pct"/>
            <w:vMerge w:val="continue"/>
            <w:tcBorders>
              <w:top w:val="single" w:color="auto" w:sz="4" w:space="0"/>
              <w:left w:val="nil"/>
              <w:bottom w:val="single" w:color="auto" w:sz="4" w:space="0"/>
              <w:right w:val="single" w:color="auto" w:sz="4" w:space="0"/>
            </w:tcBorders>
            <w:vAlign w:val="center"/>
          </w:tcPr>
          <w:p w14:paraId="3104E81B">
            <w:pPr>
              <w:rPr>
                <w:rFonts w:ascii="宋体" w:hAnsi="宋体" w:cs="宋体"/>
                <w:b/>
                <w:bCs/>
                <w:color w:val="auto"/>
                <w:kern w:val="2"/>
                <w:sz w:val="24"/>
                <w:szCs w:val="24"/>
                <w:highlight w:val="none"/>
              </w:rPr>
            </w:pPr>
          </w:p>
        </w:tc>
        <w:tc>
          <w:tcPr>
            <w:tcW w:w="952" w:type="pct"/>
            <w:tcBorders>
              <w:top w:val="single" w:color="auto" w:sz="4" w:space="0"/>
              <w:left w:val="nil"/>
              <w:bottom w:val="single" w:color="auto" w:sz="4" w:space="0"/>
              <w:right w:val="single" w:color="auto" w:sz="4" w:space="0"/>
            </w:tcBorders>
            <w:vAlign w:val="center"/>
          </w:tcPr>
          <w:p w14:paraId="7F29BBC3">
            <w:pPr>
              <w:adjustRightInd w:val="0"/>
              <w:snapToGrid w:val="0"/>
              <w:spacing w:line="44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形式</w:t>
            </w:r>
          </w:p>
        </w:tc>
        <w:tc>
          <w:tcPr>
            <w:tcW w:w="882" w:type="pct"/>
            <w:tcBorders>
              <w:top w:val="single" w:color="auto" w:sz="4" w:space="0"/>
              <w:left w:val="nil"/>
              <w:bottom w:val="single" w:color="auto" w:sz="4" w:space="0"/>
              <w:right w:val="single" w:color="auto" w:sz="4" w:space="0"/>
            </w:tcBorders>
            <w:vAlign w:val="center"/>
          </w:tcPr>
          <w:p w14:paraId="4F13EA51">
            <w:pPr>
              <w:adjustRightInd w:val="0"/>
              <w:snapToGrid w:val="0"/>
              <w:spacing w:line="44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金额(元)</w:t>
            </w:r>
          </w:p>
        </w:tc>
      </w:tr>
      <w:tr w14:paraId="18770D8E">
        <w:tblPrEx>
          <w:tblCellMar>
            <w:top w:w="0" w:type="dxa"/>
            <w:left w:w="108" w:type="dxa"/>
            <w:bottom w:w="0" w:type="dxa"/>
            <w:right w:w="108" w:type="dxa"/>
          </w:tblCellMar>
        </w:tblPrEx>
        <w:trPr>
          <w:cantSplit/>
          <w:trHeight w:val="1212" w:hRule="atLeast"/>
        </w:trPr>
        <w:tc>
          <w:tcPr>
            <w:tcW w:w="1190" w:type="pct"/>
            <w:tcBorders>
              <w:top w:val="single" w:color="auto" w:sz="4" w:space="0"/>
              <w:left w:val="single" w:color="auto" w:sz="4" w:space="0"/>
              <w:bottom w:val="single" w:color="auto" w:sz="4" w:space="0"/>
              <w:right w:val="single" w:color="auto" w:sz="4" w:space="0"/>
            </w:tcBorders>
            <w:vAlign w:val="center"/>
          </w:tcPr>
          <w:p w14:paraId="2FB7AD53">
            <w:pPr>
              <w:spacing w:line="460" w:lineRule="exact"/>
              <w:jc w:val="center"/>
              <w:rPr>
                <w:rFonts w:ascii="宋体" w:hAnsi="宋体" w:cs="宋体"/>
                <w:b/>
                <w:bCs/>
                <w:color w:val="auto"/>
                <w:kern w:val="2"/>
                <w:sz w:val="24"/>
                <w:szCs w:val="24"/>
                <w:highlight w:val="none"/>
              </w:rPr>
            </w:pPr>
          </w:p>
        </w:tc>
        <w:tc>
          <w:tcPr>
            <w:tcW w:w="1074" w:type="pct"/>
            <w:tcBorders>
              <w:top w:val="single" w:color="auto" w:sz="4" w:space="0"/>
              <w:left w:val="nil"/>
              <w:bottom w:val="single" w:color="auto" w:sz="4" w:space="0"/>
              <w:right w:val="single" w:color="auto" w:sz="4" w:space="0"/>
            </w:tcBorders>
            <w:vAlign w:val="center"/>
          </w:tcPr>
          <w:p w14:paraId="267CEC85">
            <w:pPr>
              <w:spacing w:line="460" w:lineRule="exact"/>
              <w:jc w:val="center"/>
              <w:rPr>
                <w:rFonts w:ascii="宋体" w:hAnsi="宋体" w:cs="宋体"/>
                <w:b/>
                <w:bCs/>
                <w:color w:val="auto"/>
                <w:kern w:val="2"/>
                <w:sz w:val="24"/>
                <w:szCs w:val="24"/>
                <w:highlight w:val="none"/>
              </w:rPr>
            </w:pPr>
          </w:p>
        </w:tc>
        <w:tc>
          <w:tcPr>
            <w:tcW w:w="899" w:type="pct"/>
            <w:tcBorders>
              <w:top w:val="single" w:color="auto" w:sz="4" w:space="0"/>
              <w:left w:val="nil"/>
              <w:bottom w:val="single" w:color="auto" w:sz="4" w:space="0"/>
              <w:right w:val="single" w:color="auto" w:sz="4" w:space="0"/>
            </w:tcBorders>
            <w:vAlign w:val="center"/>
          </w:tcPr>
          <w:p w14:paraId="71B1761B">
            <w:pPr>
              <w:spacing w:line="460" w:lineRule="exact"/>
              <w:jc w:val="center"/>
              <w:rPr>
                <w:rFonts w:ascii="宋体" w:hAnsi="宋体" w:cs="宋体"/>
                <w:b/>
                <w:bCs/>
                <w:color w:val="auto"/>
                <w:kern w:val="2"/>
                <w:sz w:val="24"/>
                <w:szCs w:val="24"/>
                <w:highlight w:val="none"/>
              </w:rPr>
            </w:pPr>
          </w:p>
        </w:tc>
        <w:tc>
          <w:tcPr>
            <w:tcW w:w="952" w:type="pct"/>
            <w:tcBorders>
              <w:top w:val="single" w:color="auto" w:sz="4" w:space="0"/>
              <w:left w:val="nil"/>
              <w:bottom w:val="single" w:color="auto" w:sz="4" w:space="0"/>
              <w:right w:val="single" w:color="auto" w:sz="4" w:space="0"/>
            </w:tcBorders>
            <w:vAlign w:val="center"/>
          </w:tcPr>
          <w:p w14:paraId="41BB270C">
            <w:pPr>
              <w:spacing w:line="460" w:lineRule="exact"/>
              <w:jc w:val="center"/>
              <w:rPr>
                <w:rFonts w:ascii="宋体" w:hAnsi="宋体" w:cs="宋体"/>
                <w:b/>
                <w:bCs/>
                <w:color w:val="auto"/>
                <w:kern w:val="2"/>
                <w:sz w:val="24"/>
                <w:szCs w:val="24"/>
                <w:highlight w:val="none"/>
              </w:rPr>
            </w:pPr>
          </w:p>
        </w:tc>
        <w:tc>
          <w:tcPr>
            <w:tcW w:w="882" w:type="pct"/>
            <w:tcBorders>
              <w:top w:val="single" w:color="auto" w:sz="4" w:space="0"/>
              <w:left w:val="nil"/>
              <w:bottom w:val="single" w:color="auto" w:sz="4" w:space="0"/>
              <w:right w:val="single" w:color="auto" w:sz="4" w:space="0"/>
            </w:tcBorders>
            <w:vAlign w:val="center"/>
          </w:tcPr>
          <w:p w14:paraId="29A8340D">
            <w:pPr>
              <w:spacing w:line="460" w:lineRule="exact"/>
              <w:jc w:val="center"/>
              <w:rPr>
                <w:rFonts w:ascii="宋体" w:hAnsi="宋体" w:cs="宋体"/>
                <w:b/>
                <w:bCs/>
                <w:color w:val="auto"/>
                <w:kern w:val="2"/>
                <w:sz w:val="24"/>
                <w:szCs w:val="24"/>
                <w:highlight w:val="none"/>
              </w:rPr>
            </w:pPr>
          </w:p>
        </w:tc>
      </w:tr>
      <w:tr w14:paraId="257A9B8B">
        <w:tblPrEx>
          <w:tblCellMar>
            <w:top w:w="0" w:type="dxa"/>
            <w:left w:w="108" w:type="dxa"/>
            <w:bottom w:w="0" w:type="dxa"/>
            <w:right w:w="108" w:type="dxa"/>
          </w:tblCellMar>
        </w:tblPrEx>
        <w:trPr>
          <w:cantSplit/>
          <w:trHeight w:val="1212"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20FBC1C0">
            <w:pPr>
              <w:spacing w:line="460" w:lineRule="exact"/>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谈判总价(大写):</w:t>
            </w:r>
          </w:p>
        </w:tc>
      </w:tr>
    </w:tbl>
    <w:p w14:paraId="5FB93D91">
      <w:pPr>
        <w:spacing w:line="420" w:lineRule="exact"/>
        <w:ind w:right="-309" w:rightChars="-147"/>
        <w:rPr>
          <w:rFonts w:ascii="宋体" w:hAnsi="宋体" w:cs="宋体"/>
          <w:b/>
          <w:color w:val="auto"/>
          <w:sz w:val="22"/>
          <w:szCs w:val="24"/>
          <w:highlight w:val="none"/>
        </w:rPr>
      </w:pPr>
      <w:r>
        <w:rPr>
          <w:rFonts w:hint="eastAsia" w:ascii="宋体" w:hAnsi="宋体" w:cs="宋体"/>
          <w:color w:val="auto"/>
          <w:sz w:val="28"/>
          <w:szCs w:val="28"/>
          <w:highlight w:val="none"/>
        </w:rPr>
        <w:t xml:space="preserve"> </w:t>
      </w:r>
      <w:r>
        <w:rPr>
          <w:rFonts w:hint="eastAsia" w:ascii="宋体" w:hAnsi="宋体" w:cs="宋体"/>
          <w:b/>
          <w:color w:val="auto"/>
          <w:sz w:val="22"/>
          <w:szCs w:val="24"/>
          <w:highlight w:val="none"/>
        </w:rPr>
        <w:t>注：如响应文件中初次报价表的报价与政采云系统上面填的报价不一致时，以响应文件中初次报价表的报价为准。最后报价以政采云系统上面填的最后报价为准。</w:t>
      </w:r>
    </w:p>
    <w:p w14:paraId="453FA9CE">
      <w:pPr>
        <w:spacing w:line="420" w:lineRule="exact"/>
        <w:ind w:right="-309" w:rightChars="-147"/>
        <w:rPr>
          <w:rFonts w:ascii="宋体" w:hAnsi="宋体" w:cs="宋体"/>
          <w:b/>
          <w:color w:val="auto"/>
          <w:highlight w:val="none"/>
        </w:rPr>
      </w:pPr>
    </w:p>
    <w:p w14:paraId="7D1DCC96">
      <w:pPr>
        <w:spacing w:line="600" w:lineRule="atLeast"/>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3AAF6109">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04C59A6F">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4E445259">
      <w:pPr>
        <w:ind w:firstLine="1968" w:firstLineChars="700"/>
        <w:rPr>
          <w:rFonts w:ascii="宋体" w:hAnsi="宋体" w:cs="宋体"/>
          <w:color w:val="auto"/>
          <w:sz w:val="28"/>
          <w:szCs w:val="28"/>
          <w:highlight w:val="none"/>
        </w:rPr>
        <w:sectPr>
          <w:footerReference r:id="rId12" w:type="default"/>
          <w:pgSz w:w="11906" w:h="16838"/>
          <w:pgMar w:top="1440" w:right="1083" w:bottom="1440" w:left="1083" w:header="720" w:footer="720" w:gutter="0"/>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588406E5">
      <w:pPr>
        <w:pStyle w:val="5"/>
        <w:widowControl/>
        <w:autoSpaceDE w:val="0"/>
        <w:spacing w:before="0" w:after="0" w:line="240" w:lineRule="auto"/>
        <w:rPr>
          <w:rFonts w:ascii="宋体" w:hAnsi="宋体" w:cs="宋体"/>
          <w:color w:val="auto"/>
          <w:szCs w:val="28"/>
          <w:highlight w:val="none"/>
        </w:rPr>
      </w:pPr>
      <w:bookmarkStart w:id="267" w:name="_Toc17435"/>
      <w:bookmarkEnd w:id="267"/>
      <w:bookmarkStart w:id="268" w:name="_Toc2521"/>
      <w:bookmarkStart w:id="269" w:name="_Toc25560"/>
      <w:r>
        <w:rPr>
          <w:rFonts w:hint="eastAsia" w:ascii="宋体" w:hAnsi="宋体" w:cs="宋体"/>
          <w:color w:val="auto"/>
          <w:szCs w:val="28"/>
          <w:highlight w:val="none"/>
        </w:rPr>
        <w:t>二、谈判函</w:t>
      </w:r>
      <w:bookmarkEnd w:id="268"/>
      <w:bookmarkEnd w:id="269"/>
    </w:p>
    <w:p w14:paraId="6DBA9101">
      <w:pPr>
        <w:spacing w:line="360" w:lineRule="auto"/>
        <w:rPr>
          <w:rFonts w:ascii="宋体" w:hAnsi="宋体" w:cs="宋体"/>
          <w:color w:val="auto"/>
          <w:sz w:val="24"/>
          <w:szCs w:val="24"/>
          <w:highlight w:val="none"/>
          <w:u w:val="single"/>
        </w:rPr>
      </w:pPr>
    </w:p>
    <w:p w14:paraId="2643EA0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294AF85D">
      <w:pPr>
        <w:autoSpaceDE w:val="0"/>
        <w:autoSpaceDN w:val="0"/>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(项目名称)谈判文件的全部内容，</w:t>
      </w:r>
      <w:r>
        <w:rPr>
          <w:rFonts w:hint="eastAsia" w:ascii="宋体" w:hAnsi="宋体" w:cs="宋体"/>
          <w:color w:val="auto"/>
          <w:sz w:val="24"/>
          <w:highlight w:val="none"/>
        </w:rPr>
        <w:t>且对谈判文件无任何异议，并愿意以“最终报价表”所填写的谈判总价，向你方提供谈判文件要求的货物和服务。</w:t>
      </w:r>
      <w:r>
        <w:rPr>
          <w:rFonts w:hint="eastAsia" w:ascii="宋体" w:hAnsi="宋体" w:cs="宋体"/>
          <w:color w:val="auto"/>
          <w:sz w:val="24"/>
          <w:szCs w:val="24"/>
          <w:highlight w:val="none"/>
        </w:rPr>
        <w:t xml:space="preserve">    </w:t>
      </w:r>
    </w:p>
    <w:p w14:paraId="6DE3DE0A">
      <w:pPr>
        <w:numPr>
          <w:ilvl w:val="0"/>
          <w:numId w:val="4"/>
        </w:num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我方承诺在谈判有效期内不修改或撤销响应文件。否则，你方可不予退还我方的谈判保证金。</w:t>
      </w:r>
    </w:p>
    <w:p w14:paraId="2B32634A">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2.本谈判的谈判有效期为自响应文件递交截止之日起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个日历天。</w:t>
      </w:r>
    </w:p>
    <w:p w14:paraId="670D4182">
      <w:pPr>
        <w:pStyle w:val="12"/>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3.我方承诺所提交的响应文件及有关资料是完整的、真实的、准确的和有效的，否则，我方承担由此造成的任何损失及引起的任何后果。</w:t>
      </w:r>
    </w:p>
    <w:p w14:paraId="1FF2A412">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4．如我方成交：</w:t>
      </w:r>
    </w:p>
    <w:p w14:paraId="421FF9EB">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（1）我方承诺在收到成交通知书后，在成交通知书规定的期限内与你方签订合同。</w:t>
      </w:r>
    </w:p>
    <w:p w14:paraId="5AD51530">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（2）我方承诺按合同约定的期限和地点，提供符合谈判文件要求的全部的货物（服务）。</w:t>
      </w:r>
    </w:p>
    <w:p w14:paraId="6897433B">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（3）除商务条款偏离表和技术规格偏离表列出的偏差外，我方响应谈判文件的全部要求。</w:t>
      </w:r>
    </w:p>
    <w:p w14:paraId="009FA91B">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0A45269D">
      <w:pPr>
        <w:pStyle w:val="12"/>
        <w:ind w:firstLine="480" w:firstLineChars="200"/>
        <w:rPr>
          <w:rFonts w:ascii="宋体" w:hAnsi="宋体" w:cs="宋体"/>
          <w:color w:val="auto"/>
          <w:kern w:val="0"/>
          <w:sz w:val="24"/>
          <w:highlight w:val="none"/>
        </w:rPr>
      </w:pPr>
    </w:p>
    <w:p w14:paraId="6BBB3CA7">
      <w:pPr>
        <w:spacing w:line="360" w:lineRule="auto"/>
        <w:ind w:firstLine="2891" w:firstLineChars="1200"/>
        <w:rPr>
          <w:rFonts w:ascii="宋体" w:hAnsi="宋体" w:cs="宋体"/>
          <w:b/>
          <w:bCs/>
          <w:color w:val="auto"/>
          <w:sz w:val="24"/>
          <w:szCs w:val="24"/>
          <w:highlight w:val="none"/>
        </w:rPr>
      </w:pPr>
      <w:r>
        <w:rPr>
          <w:rFonts w:hint="eastAsia" w:ascii="宋体" w:hAnsi="宋体" w:cs="宋体"/>
          <w:b/>
          <w:bCs/>
          <w:color w:val="auto"/>
          <w:sz w:val="24"/>
          <w:szCs w:val="24"/>
          <w:highlight w:val="none"/>
        </w:rPr>
        <w:t>供 应 商：</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0C901345">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w:t>
      </w:r>
    </w:p>
    <w:p w14:paraId="0A40BC39">
      <w:pPr>
        <w:spacing w:line="360" w:lineRule="auto"/>
        <w:ind w:left="2880"/>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地</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0A319DB0">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网</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6D80B299">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电</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话：</w:t>
      </w:r>
      <w:r>
        <w:rPr>
          <w:rFonts w:hint="eastAsia" w:ascii="宋体" w:hAnsi="宋体" w:cs="宋体"/>
          <w:b/>
          <w:bCs/>
          <w:color w:val="auto"/>
          <w:sz w:val="24"/>
          <w:szCs w:val="24"/>
          <w:highlight w:val="none"/>
          <w:u w:val="single"/>
        </w:rPr>
        <w:t xml:space="preserve">                                           </w:t>
      </w:r>
    </w:p>
    <w:p w14:paraId="17C4789E">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传</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真：</w:t>
      </w:r>
      <w:r>
        <w:rPr>
          <w:rFonts w:hint="eastAsia" w:ascii="宋体" w:hAnsi="宋体" w:cs="宋体"/>
          <w:b/>
          <w:bCs/>
          <w:color w:val="auto"/>
          <w:sz w:val="24"/>
          <w:szCs w:val="24"/>
          <w:highlight w:val="none"/>
          <w:u w:val="single"/>
        </w:rPr>
        <w:t xml:space="preserve">                                           </w:t>
      </w:r>
    </w:p>
    <w:p w14:paraId="73A3CA3F">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邮政编码：</w:t>
      </w:r>
      <w:r>
        <w:rPr>
          <w:rFonts w:hint="eastAsia" w:ascii="宋体" w:hAnsi="宋体" w:cs="宋体"/>
          <w:b/>
          <w:bCs/>
          <w:color w:val="auto"/>
          <w:sz w:val="24"/>
          <w:szCs w:val="24"/>
          <w:highlight w:val="none"/>
          <w:u w:val="single"/>
        </w:rPr>
        <w:t xml:space="preserve">                                         </w:t>
      </w:r>
    </w:p>
    <w:p w14:paraId="5BC24838">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日  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50CE14DA">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1429F328">
      <w:pPr>
        <w:spacing w:line="240" w:lineRule="exact"/>
        <w:rPr>
          <w:rFonts w:ascii="宋体" w:hAnsi="宋体" w:cs="宋体"/>
          <w:b/>
          <w:bCs/>
          <w:color w:val="auto"/>
          <w:sz w:val="44"/>
          <w:szCs w:val="44"/>
          <w:highlight w:val="none"/>
        </w:rPr>
      </w:pPr>
    </w:p>
    <w:p w14:paraId="0EF88CDB">
      <w:pPr>
        <w:pStyle w:val="5"/>
        <w:widowControl/>
        <w:autoSpaceDE w:val="0"/>
        <w:spacing w:before="0" w:after="0" w:line="360" w:lineRule="auto"/>
        <w:ind w:firstLine="562" w:firstLineChars="200"/>
        <w:rPr>
          <w:rFonts w:ascii="宋体" w:hAnsi="宋体" w:cs="宋体"/>
          <w:color w:val="auto"/>
          <w:szCs w:val="28"/>
          <w:highlight w:val="none"/>
        </w:rPr>
      </w:pPr>
      <w:bookmarkStart w:id="270" w:name="_Toc17119"/>
      <w:bookmarkEnd w:id="270"/>
      <w:bookmarkStart w:id="271" w:name="_Toc13197"/>
      <w:r>
        <w:rPr>
          <w:rFonts w:hint="eastAsia" w:ascii="宋体" w:hAnsi="宋体" w:cs="宋体"/>
          <w:color w:val="auto"/>
          <w:szCs w:val="28"/>
          <w:highlight w:val="none"/>
        </w:rPr>
        <w:br w:type="page"/>
      </w:r>
      <w:bookmarkStart w:id="272" w:name="_Toc8409"/>
      <w:r>
        <w:rPr>
          <w:rFonts w:hint="eastAsia" w:ascii="宋体" w:hAnsi="宋体" w:cs="宋体"/>
          <w:color w:val="auto"/>
          <w:szCs w:val="28"/>
          <w:highlight w:val="none"/>
        </w:rPr>
        <w:t>三、法定代表人(单位负责人)身份证明</w:t>
      </w:r>
      <w:bookmarkEnd w:id="271"/>
      <w:r>
        <w:rPr>
          <w:rFonts w:hint="eastAsia" w:ascii="宋体" w:hAnsi="宋体" w:cs="宋体"/>
          <w:color w:val="auto"/>
          <w:szCs w:val="28"/>
          <w:highlight w:val="none"/>
        </w:rPr>
        <w:t>书</w:t>
      </w:r>
      <w:bookmarkEnd w:id="272"/>
    </w:p>
    <w:p w14:paraId="27D57F4F">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7BEB5CB1">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5B6C4787">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326597CE">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2AC5FC09">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FB8CB1F">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300AAA28">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5F259C7">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 xml:space="preserve">                         </w:t>
      </w:r>
    </w:p>
    <w:p w14:paraId="3A254008">
      <w:pPr>
        <w:spacing w:line="360" w:lineRule="auto"/>
        <w:ind w:firstLine="480" w:firstLineChars="200"/>
        <w:rPr>
          <w:rFonts w:ascii="宋体" w:hAnsi="宋体" w:cs="宋体"/>
          <w:color w:val="auto"/>
          <w:sz w:val="24"/>
          <w:szCs w:val="24"/>
          <w:highlight w:val="none"/>
        </w:rPr>
      </w:pPr>
    </w:p>
    <w:p w14:paraId="6A984B5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p>
    <w:p w14:paraId="5028732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(供应商名称)的法定代表人(单位负责人)。</w:t>
      </w:r>
    </w:p>
    <w:p w14:paraId="7C5D244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特此证明。</w:t>
      </w:r>
    </w:p>
    <w:p w14:paraId="0BAA47FC">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101CF9DB">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附：法定代表人(单位负责人)身份证扫描件。</w:t>
      </w:r>
    </w:p>
    <w:p w14:paraId="14F30334">
      <w:pPr>
        <w:spacing w:line="360" w:lineRule="auto"/>
        <w:rPr>
          <w:rFonts w:ascii="宋体" w:hAnsi="宋体" w:cs="宋体"/>
          <w:color w:val="auto"/>
          <w:sz w:val="24"/>
          <w:szCs w:val="24"/>
          <w:highlight w:val="none"/>
        </w:rPr>
      </w:pPr>
    </w:p>
    <w:p w14:paraId="1CD572DE">
      <w:pPr>
        <w:pStyle w:val="12"/>
        <w:rPr>
          <w:rFonts w:ascii="宋体" w:hAnsi="宋体" w:cs="宋体"/>
          <w:color w:val="auto"/>
          <w:highlight w:val="none"/>
        </w:rPr>
      </w:pPr>
    </w:p>
    <w:p w14:paraId="182E2B3C">
      <w:pPr>
        <w:spacing w:line="360" w:lineRule="auto"/>
        <w:ind w:left="4480"/>
        <w:jc w:val="both"/>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156CA2A8">
      <w:pPr>
        <w:spacing w:line="360" w:lineRule="auto"/>
        <w:ind w:left="4480"/>
        <w:jc w:val="both"/>
        <w:rPr>
          <w:rFonts w:ascii="宋体" w:hAnsi="宋体" w:cs="宋体"/>
          <w:b/>
          <w:color w:val="auto"/>
          <w:sz w:val="24"/>
          <w:szCs w:val="24"/>
          <w:highlight w:val="none"/>
        </w:rPr>
      </w:pPr>
      <w:r>
        <w:rPr>
          <w:rFonts w:hint="eastAsia" w:ascii="宋体" w:hAnsi="宋体" w:cs="宋体"/>
          <w:b/>
          <w:color w:val="auto"/>
          <w:sz w:val="24"/>
          <w:szCs w:val="24"/>
          <w:highlight w:val="none"/>
        </w:rPr>
        <w:t>供应商：</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75DCC27B">
      <w:pPr>
        <w:spacing w:line="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5C52C214">
      <w:pPr>
        <w:spacing w:line="2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6D548586">
      <w:pPr>
        <w:spacing w:line="2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7CA295B2">
      <w:pPr>
        <w:wordWrap w:val="0"/>
        <w:ind w:right="480"/>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5ADE524C">
      <w:pPr>
        <w:wordWrap w:val="0"/>
        <w:ind w:right="480"/>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                       日  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009F0188">
      <w:pPr>
        <w:spacing w:line="360" w:lineRule="auto"/>
        <w:ind w:firstLine="5760" w:firstLineChars="240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170C6113">
      <w:pPr>
        <w:spacing w:line="20" w:lineRule="exact"/>
        <w:rPr>
          <w:rFonts w:ascii="宋体" w:hAnsi="宋体" w:cs="宋体"/>
          <w:b/>
          <w:bCs/>
          <w:color w:val="auto"/>
          <w:sz w:val="44"/>
          <w:szCs w:val="44"/>
          <w:highlight w:val="none"/>
        </w:rPr>
      </w:pPr>
      <w:r>
        <w:rPr>
          <w:rFonts w:hint="eastAsia" w:ascii="宋体" w:hAnsi="宋体" w:cs="宋体"/>
          <w:color w:val="auto"/>
          <w:highlight w:val="none"/>
        </w:rPr>
        <w:t xml:space="preserve">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14:paraId="47AD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39" w:type="dxa"/>
            <w:vAlign w:val="center"/>
          </w:tcPr>
          <w:p w14:paraId="31C86877">
            <w:pPr>
              <w:widowControl w:val="0"/>
              <w:spacing w:before="317" w:beforeLines="100" w:after="317" w:afterLines="100" w:line="600" w:lineRule="exact"/>
              <w:jc w:val="center"/>
              <w:rPr>
                <w:rFonts w:ascii="宋体" w:hAnsi="宋体" w:cs="宋体"/>
                <w:color w:val="auto"/>
                <w:highlight w:val="none"/>
              </w:rPr>
            </w:pPr>
            <w:bookmarkStart w:id="273" w:name="_Toc15398"/>
            <w:bookmarkEnd w:id="273"/>
            <w:bookmarkStart w:id="274" w:name="_Toc31847"/>
            <w:bookmarkEnd w:id="274"/>
            <w:bookmarkStart w:id="275" w:name="_Toc23744"/>
            <w:r>
              <w:rPr>
                <w:rFonts w:hint="eastAsia" w:ascii="宋体" w:hAnsi="宋体" w:cs="宋体"/>
                <w:color w:val="auto"/>
                <w:sz w:val="24"/>
                <w:szCs w:val="24"/>
                <w:highlight w:val="none"/>
              </w:rPr>
              <w:t>附：法定代表人身份证正反/面</w:t>
            </w:r>
          </w:p>
        </w:tc>
      </w:tr>
    </w:tbl>
    <w:p w14:paraId="207ECCB5">
      <w:pPr>
        <w:pStyle w:val="5"/>
        <w:widowControl/>
        <w:autoSpaceDE w:val="0"/>
        <w:spacing w:before="0" w:after="0" w:line="360" w:lineRule="auto"/>
        <w:ind w:firstLine="562" w:firstLineChars="200"/>
        <w:rPr>
          <w:rFonts w:ascii="宋体" w:hAnsi="宋体" w:cs="宋体"/>
          <w:color w:val="auto"/>
          <w:szCs w:val="28"/>
          <w:highlight w:val="none"/>
        </w:rPr>
      </w:pPr>
      <w:r>
        <w:rPr>
          <w:rFonts w:hint="eastAsia" w:ascii="宋体" w:hAnsi="宋体" w:cs="宋体"/>
          <w:color w:val="auto"/>
          <w:szCs w:val="28"/>
          <w:highlight w:val="none"/>
        </w:rPr>
        <w:br w:type="page"/>
      </w:r>
      <w:bookmarkStart w:id="276" w:name="_Toc8905"/>
      <w:r>
        <w:rPr>
          <w:rFonts w:hint="eastAsia" w:ascii="宋体" w:hAnsi="宋体" w:cs="宋体"/>
          <w:color w:val="auto"/>
          <w:szCs w:val="28"/>
          <w:highlight w:val="none"/>
        </w:rPr>
        <w:t>四、授权委托书</w:t>
      </w:r>
      <w:bookmarkEnd w:id="275"/>
      <w:bookmarkEnd w:id="276"/>
    </w:p>
    <w:p w14:paraId="4C084255">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400877AE">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65E627C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(供应商名称)的法定代表人(单位负责人)，现委托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(姓名)为我方代理人。代理人根据授权，以我方名义签署、澄清、说明、补正、撤回、修改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（项目名称）响应文件、签订合同和处理有关事宜，其法律后果由我方承担。</w:t>
      </w:r>
    </w:p>
    <w:p w14:paraId="2578A2D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代理人无转委托权。</w:t>
      </w:r>
    </w:p>
    <w:p w14:paraId="6983923E">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供 应 商：</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60995388">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法定代表人(单位负责人)：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(电子签名)</w:t>
      </w:r>
    </w:p>
    <w:p w14:paraId="033FEA42">
      <w:pPr>
        <w:autoSpaceDE w:val="0"/>
        <w:autoSpaceDN w:val="0"/>
        <w:adjustRightInd w:val="0"/>
        <w:spacing w:line="360" w:lineRule="auto"/>
        <w:ind w:firstLine="3373" w:firstLineChars="1400"/>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身份证号码：</w:t>
      </w:r>
      <w:r>
        <w:rPr>
          <w:rFonts w:hint="eastAsia" w:ascii="宋体" w:hAnsi="宋体" w:cs="宋体"/>
          <w:b/>
          <w:bCs/>
          <w:color w:val="auto"/>
          <w:sz w:val="24"/>
          <w:szCs w:val="24"/>
          <w:highlight w:val="none"/>
          <w:u w:val="single"/>
        </w:rPr>
        <w:t xml:space="preserve">                            </w:t>
      </w:r>
    </w:p>
    <w:p w14:paraId="2DFB0EB4">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委托代理人：</w:t>
      </w:r>
      <w:r>
        <w:rPr>
          <w:rFonts w:hint="eastAsia" w:ascii="宋体" w:hAnsi="宋体" w:cs="宋体"/>
          <w:b/>
          <w:color w:val="auto"/>
          <w:sz w:val="24"/>
          <w:szCs w:val="24"/>
          <w:highlight w:val="none"/>
          <w:u w:val="single"/>
        </w:rPr>
        <w:t xml:space="preserve">                       </w:t>
      </w:r>
    </w:p>
    <w:p w14:paraId="31543E50">
      <w:pPr>
        <w:autoSpaceDE w:val="0"/>
        <w:autoSpaceDN w:val="0"/>
        <w:adjustRightInd w:val="0"/>
        <w:spacing w:line="360" w:lineRule="auto"/>
        <w:ind w:firstLine="3373" w:firstLineChars="1400"/>
        <w:rPr>
          <w:rFonts w:ascii="宋体" w:hAnsi="宋体" w:cs="宋体"/>
          <w:color w:val="auto"/>
          <w:highlight w:val="none"/>
        </w:rPr>
      </w:pPr>
      <w:r>
        <w:rPr>
          <w:rFonts w:hint="eastAsia" w:ascii="宋体" w:hAnsi="宋体" w:cs="宋体"/>
          <w:b/>
          <w:bCs/>
          <w:color w:val="auto"/>
          <w:sz w:val="24"/>
          <w:highlight w:val="none"/>
        </w:rPr>
        <w:t>身份证号码：</w:t>
      </w:r>
      <w:r>
        <w:rPr>
          <w:rFonts w:hint="eastAsia" w:ascii="宋体" w:hAnsi="宋体" w:cs="宋体"/>
          <w:b/>
          <w:bCs/>
          <w:color w:val="auto"/>
          <w:sz w:val="24"/>
          <w:highlight w:val="none"/>
          <w:u w:val="single"/>
        </w:rPr>
        <w:t xml:space="preserve">                            </w:t>
      </w:r>
    </w:p>
    <w:p w14:paraId="707C01F6">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489282CA">
      <w:pPr>
        <w:spacing w:line="360" w:lineRule="auto"/>
        <w:ind w:firstLine="482" w:firstLineChars="200"/>
        <w:rPr>
          <w:rFonts w:ascii="宋体" w:hAnsi="宋体" w:cs="宋体"/>
          <w:color w:val="auto"/>
          <w:highlight w:val="none"/>
        </w:rPr>
      </w:pPr>
      <w:r>
        <w:rPr>
          <w:rFonts w:hint="eastAsia" w:ascii="宋体" w:hAnsi="宋体" w:cs="宋体"/>
          <w:b/>
          <w:color w:val="auto"/>
          <w:sz w:val="24"/>
          <w:szCs w:val="24"/>
          <w:highlight w:val="none"/>
        </w:rPr>
        <w:t>注：</w:t>
      </w:r>
      <w:r>
        <w:rPr>
          <w:rFonts w:hint="eastAsia" w:ascii="宋体" w:hAnsi="宋体" w:cs="宋体"/>
          <w:b/>
          <w:color w:val="auto"/>
          <w:sz w:val="24"/>
          <w:highlight w:val="none"/>
        </w:rPr>
        <w:t>附授权委托代理人身份证扫描件，如由法定代表人亲自签署</w:t>
      </w:r>
      <w:r>
        <w:rPr>
          <w:rFonts w:hint="eastAsia" w:ascii="宋体" w:hAnsi="宋体" w:cs="宋体"/>
          <w:b/>
          <w:bCs/>
          <w:color w:val="auto"/>
          <w:sz w:val="24"/>
          <w:highlight w:val="none"/>
        </w:rPr>
        <w:t>响应文件</w:t>
      </w:r>
      <w:r>
        <w:rPr>
          <w:rFonts w:hint="eastAsia" w:ascii="宋体" w:hAnsi="宋体" w:cs="宋体"/>
          <w:b/>
          <w:color w:val="auto"/>
          <w:sz w:val="24"/>
          <w:highlight w:val="none"/>
        </w:rPr>
        <w:t>并参与相关活动，则不需要办理授权。如由被授权的代理人签署上述文件，则必须按本格式规定填报并提交授权书，否则被授权的代理人将不被认可。</w:t>
      </w:r>
    </w:p>
    <w:tbl>
      <w:tblPr>
        <w:tblStyle w:val="32"/>
        <w:tblpPr w:leftFromText="180" w:rightFromText="180" w:vertAnchor="text" w:horzAnchor="page" w:tblpX="1081" w:tblpY="32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14:paraId="66E9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39" w:type="dxa"/>
            <w:vAlign w:val="center"/>
          </w:tcPr>
          <w:p w14:paraId="695DA32E">
            <w:pPr>
              <w:widowControl w:val="0"/>
              <w:spacing w:before="317" w:beforeLines="100" w:after="317" w:afterLines="100" w:line="600" w:lineRule="exact"/>
              <w:jc w:val="center"/>
              <w:rPr>
                <w:rFonts w:ascii="宋体" w:hAnsi="宋体" w:cs="宋体"/>
                <w:color w:val="auto"/>
                <w:highlight w:val="none"/>
              </w:rPr>
            </w:pPr>
            <w:r>
              <w:rPr>
                <w:rFonts w:hint="eastAsia" w:ascii="宋体" w:hAnsi="宋体" w:cs="宋体"/>
                <w:color w:val="auto"/>
                <w:sz w:val="24"/>
                <w:szCs w:val="24"/>
                <w:highlight w:val="none"/>
              </w:rPr>
              <w:t>附：委托代理人身份证正反/面</w:t>
            </w:r>
          </w:p>
        </w:tc>
      </w:tr>
    </w:tbl>
    <w:p w14:paraId="66BF2A92">
      <w:pPr>
        <w:spacing w:line="24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r>
    </w:p>
    <w:p w14:paraId="76D2ADB1">
      <w:pPr>
        <w:pStyle w:val="5"/>
        <w:widowControl/>
        <w:autoSpaceDE w:val="0"/>
        <w:spacing w:before="0" w:after="0" w:line="360" w:lineRule="auto"/>
        <w:ind w:firstLine="562" w:firstLineChars="200"/>
        <w:rPr>
          <w:rFonts w:ascii="宋体" w:hAnsi="宋体" w:cs="宋体"/>
          <w:color w:val="auto"/>
          <w:szCs w:val="28"/>
          <w:highlight w:val="none"/>
        </w:rPr>
      </w:pPr>
      <w:bookmarkStart w:id="277" w:name="_Toc25271"/>
      <w:bookmarkEnd w:id="277"/>
      <w:bookmarkStart w:id="278" w:name="_Toc26620"/>
      <w:bookmarkEnd w:id="278"/>
      <w:bookmarkStart w:id="279" w:name="_Toc19510"/>
      <w:bookmarkStart w:id="280" w:name="_Toc28301"/>
      <w:bookmarkStart w:id="281" w:name="_Toc28613"/>
      <w:r>
        <w:rPr>
          <w:rFonts w:hint="eastAsia" w:ascii="宋体" w:hAnsi="宋体" w:cs="宋体"/>
          <w:color w:val="auto"/>
          <w:szCs w:val="28"/>
          <w:highlight w:val="none"/>
        </w:rPr>
        <w:t>五、供应商基本情况表</w:t>
      </w:r>
      <w:bookmarkEnd w:id="279"/>
      <w:bookmarkEnd w:id="280"/>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02F9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A954DA5">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供应商名称</w:t>
            </w:r>
          </w:p>
        </w:tc>
        <w:tc>
          <w:tcPr>
            <w:tcW w:w="7457" w:type="dxa"/>
            <w:gridSpan w:val="4"/>
            <w:tcBorders>
              <w:top w:val="single" w:color="auto" w:sz="4" w:space="0"/>
              <w:left w:val="nil"/>
              <w:bottom w:val="single" w:color="auto" w:sz="4" w:space="0"/>
              <w:right w:val="single" w:color="auto" w:sz="4" w:space="0"/>
            </w:tcBorders>
            <w:vAlign w:val="center"/>
          </w:tcPr>
          <w:p w14:paraId="2087C3C9">
            <w:pPr>
              <w:spacing w:line="440" w:lineRule="exact"/>
              <w:jc w:val="center"/>
              <w:rPr>
                <w:rFonts w:ascii="宋体" w:hAnsi="宋体" w:cs="宋体"/>
                <w:color w:val="auto"/>
                <w:sz w:val="24"/>
                <w:szCs w:val="24"/>
                <w:highlight w:val="none"/>
              </w:rPr>
            </w:pPr>
          </w:p>
        </w:tc>
      </w:tr>
      <w:tr w14:paraId="7923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8E4C75E">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4071" w:type="dxa"/>
            <w:gridSpan w:val="2"/>
            <w:tcBorders>
              <w:top w:val="single" w:color="auto" w:sz="4" w:space="0"/>
              <w:left w:val="nil"/>
              <w:bottom w:val="single" w:color="auto" w:sz="4" w:space="0"/>
              <w:right w:val="single" w:color="auto" w:sz="4" w:space="0"/>
            </w:tcBorders>
            <w:vAlign w:val="center"/>
          </w:tcPr>
          <w:p w14:paraId="61799D01">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33BC4C82">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vAlign w:val="center"/>
          </w:tcPr>
          <w:p w14:paraId="79A32786">
            <w:pPr>
              <w:spacing w:line="440" w:lineRule="exact"/>
              <w:jc w:val="center"/>
              <w:rPr>
                <w:rFonts w:ascii="宋体" w:hAnsi="宋体" w:cs="宋体"/>
                <w:color w:val="auto"/>
                <w:sz w:val="24"/>
                <w:szCs w:val="24"/>
                <w:highlight w:val="none"/>
              </w:rPr>
            </w:pPr>
          </w:p>
        </w:tc>
      </w:tr>
      <w:tr w14:paraId="601B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FB46ED0">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7457" w:type="dxa"/>
            <w:gridSpan w:val="4"/>
            <w:tcBorders>
              <w:top w:val="single" w:color="auto" w:sz="4" w:space="0"/>
              <w:left w:val="nil"/>
              <w:bottom w:val="single" w:color="auto" w:sz="4" w:space="0"/>
              <w:right w:val="single" w:color="auto" w:sz="4" w:space="0"/>
            </w:tcBorders>
            <w:vAlign w:val="center"/>
          </w:tcPr>
          <w:p w14:paraId="5247A1C2">
            <w:pPr>
              <w:spacing w:line="440" w:lineRule="exact"/>
              <w:jc w:val="center"/>
              <w:rPr>
                <w:rFonts w:ascii="宋体" w:hAnsi="宋体" w:cs="宋体"/>
                <w:color w:val="auto"/>
                <w:sz w:val="24"/>
                <w:szCs w:val="24"/>
                <w:highlight w:val="none"/>
              </w:rPr>
            </w:pPr>
          </w:p>
        </w:tc>
      </w:tr>
      <w:tr w14:paraId="5ED7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4D6519C">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4071" w:type="dxa"/>
            <w:gridSpan w:val="2"/>
            <w:tcBorders>
              <w:top w:val="single" w:color="auto" w:sz="4" w:space="0"/>
              <w:left w:val="nil"/>
              <w:bottom w:val="single" w:color="auto" w:sz="4" w:space="0"/>
              <w:right w:val="single" w:color="auto" w:sz="4" w:space="0"/>
            </w:tcBorders>
            <w:vAlign w:val="center"/>
          </w:tcPr>
          <w:p w14:paraId="0E6E35F0">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26F3247E">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vAlign w:val="center"/>
          </w:tcPr>
          <w:p w14:paraId="181667B6">
            <w:pPr>
              <w:spacing w:line="440" w:lineRule="exact"/>
              <w:jc w:val="center"/>
              <w:rPr>
                <w:rFonts w:ascii="宋体" w:hAnsi="宋体" w:cs="宋体"/>
                <w:color w:val="auto"/>
                <w:sz w:val="24"/>
                <w:szCs w:val="24"/>
                <w:highlight w:val="none"/>
              </w:rPr>
            </w:pPr>
          </w:p>
        </w:tc>
      </w:tr>
      <w:tr w14:paraId="7940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1705E069">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350" w:type="dxa"/>
            <w:tcBorders>
              <w:top w:val="single" w:color="auto" w:sz="4" w:space="0"/>
              <w:left w:val="nil"/>
              <w:bottom w:val="single" w:color="auto" w:sz="4" w:space="0"/>
              <w:right w:val="single" w:color="auto" w:sz="4" w:space="0"/>
            </w:tcBorders>
            <w:vAlign w:val="center"/>
          </w:tcPr>
          <w:p w14:paraId="4B6686C6">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721" w:type="dxa"/>
            <w:tcBorders>
              <w:top w:val="single" w:color="auto" w:sz="4" w:space="0"/>
              <w:left w:val="nil"/>
              <w:bottom w:val="single" w:color="auto" w:sz="4" w:space="0"/>
              <w:right w:val="single" w:color="auto" w:sz="4" w:space="0"/>
            </w:tcBorders>
            <w:vAlign w:val="center"/>
          </w:tcPr>
          <w:p w14:paraId="5E7E541C">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6634F5E5">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73E9034D">
            <w:pPr>
              <w:spacing w:line="440" w:lineRule="exact"/>
              <w:jc w:val="center"/>
              <w:rPr>
                <w:rFonts w:ascii="宋体" w:hAnsi="宋体" w:cs="宋体"/>
                <w:color w:val="auto"/>
                <w:sz w:val="24"/>
                <w:szCs w:val="24"/>
                <w:highlight w:val="none"/>
              </w:rPr>
            </w:pPr>
          </w:p>
        </w:tc>
      </w:tr>
      <w:tr w14:paraId="61F0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5AD602A2">
            <w:pPr>
              <w:widowControl w:val="0"/>
              <w:jc w:val="both"/>
              <w:rPr>
                <w:rFonts w:ascii="宋体" w:hAnsi="宋体" w:cs="宋体"/>
                <w:color w:val="auto"/>
                <w:kern w:val="2"/>
                <w:sz w:val="24"/>
                <w:szCs w:val="24"/>
                <w:highlight w:val="none"/>
              </w:rPr>
            </w:pPr>
          </w:p>
        </w:tc>
        <w:tc>
          <w:tcPr>
            <w:tcW w:w="1350" w:type="dxa"/>
            <w:tcBorders>
              <w:top w:val="single" w:color="auto" w:sz="4" w:space="0"/>
              <w:left w:val="nil"/>
              <w:bottom w:val="single" w:color="auto" w:sz="4" w:space="0"/>
              <w:right w:val="single" w:color="auto" w:sz="4" w:space="0"/>
            </w:tcBorders>
            <w:vAlign w:val="center"/>
          </w:tcPr>
          <w:p w14:paraId="200F1CAE">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721" w:type="dxa"/>
            <w:tcBorders>
              <w:top w:val="single" w:color="auto" w:sz="4" w:space="0"/>
              <w:left w:val="nil"/>
              <w:bottom w:val="single" w:color="auto" w:sz="4" w:space="0"/>
              <w:right w:val="single" w:color="auto" w:sz="4" w:space="0"/>
            </w:tcBorders>
            <w:vAlign w:val="center"/>
          </w:tcPr>
          <w:p w14:paraId="5DC99CB1">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2CC23BD4">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vAlign w:val="center"/>
          </w:tcPr>
          <w:p w14:paraId="7E470128">
            <w:pPr>
              <w:spacing w:line="440" w:lineRule="exact"/>
              <w:jc w:val="center"/>
              <w:rPr>
                <w:rFonts w:ascii="宋体" w:hAnsi="宋体" w:cs="宋体"/>
                <w:color w:val="auto"/>
                <w:sz w:val="24"/>
                <w:szCs w:val="24"/>
                <w:highlight w:val="none"/>
              </w:rPr>
            </w:pPr>
          </w:p>
        </w:tc>
      </w:tr>
      <w:tr w14:paraId="6C35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65A26DC8">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14:paraId="3898CC91">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(单位负责人)</w:t>
            </w:r>
          </w:p>
        </w:tc>
        <w:tc>
          <w:tcPr>
            <w:tcW w:w="1350" w:type="dxa"/>
            <w:tcBorders>
              <w:top w:val="single" w:color="auto" w:sz="4" w:space="0"/>
              <w:left w:val="nil"/>
              <w:bottom w:val="single" w:color="auto" w:sz="4" w:space="0"/>
              <w:right w:val="single" w:color="auto" w:sz="4" w:space="0"/>
            </w:tcBorders>
            <w:vAlign w:val="center"/>
          </w:tcPr>
          <w:p w14:paraId="55BEBB29">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2721" w:type="dxa"/>
            <w:tcBorders>
              <w:top w:val="single" w:color="auto" w:sz="4" w:space="0"/>
              <w:left w:val="nil"/>
              <w:bottom w:val="single" w:color="auto" w:sz="4" w:space="0"/>
              <w:right w:val="single" w:color="auto" w:sz="4" w:space="0"/>
            </w:tcBorders>
            <w:vAlign w:val="center"/>
          </w:tcPr>
          <w:p w14:paraId="5B061C4E">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4EFD0FC8">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0C09BD66">
            <w:pPr>
              <w:spacing w:line="440" w:lineRule="exact"/>
              <w:jc w:val="center"/>
              <w:rPr>
                <w:rFonts w:ascii="宋体" w:hAnsi="宋体" w:cs="宋体"/>
                <w:color w:val="auto"/>
                <w:sz w:val="24"/>
                <w:szCs w:val="24"/>
                <w:highlight w:val="none"/>
              </w:rPr>
            </w:pPr>
          </w:p>
        </w:tc>
      </w:tr>
      <w:tr w14:paraId="0C4A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E1E55EC">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供应商须知要求供应商需具有的各类资质证书(若有)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5B0EC697">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类型：                等级：                 证书号：</w:t>
            </w:r>
          </w:p>
        </w:tc>
      </w:tr>
      <w:tr w14:paraId="0693E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FAE6064">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367DC1C0">
            <w:pPr>
              <w:spacing w:line="440" w:lineRule="exact"/>
              <w:jc w:val="center"/>
              <w:rPr>
                <w:rFonts w:ascii="宋体" w:hAnsi="宋体" w:cs="宋体"/>
                <w:color w:val="auto"/>
                <w:sz w:val="24"/>
                <w:szCs w:val="24"/>
                <w:highlight w:val="none"/>
              </w:rPr>
            </w:pPr>
          </w:p>
        </w:tc>
      </w:tr>
      <w:tr w14:paraId="23B6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689A290">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7DAE49D8">
            <w:pPr>
              <w:spacing w:line="440" w:lineRule="exact"/>
              <w:jc w:val="center"/>
              <w:rPr>
                <w:rFonts w:ascii="宋体" w:hAnsi="宋体" w:cs="宋体"/>
                <w:color w:val="auto"/>
                <w:sz w:val="24"/>
                <w:szCs w:val="24"/>
                <w:highlight w:val="none"/>
              </w:rPr>
            </w:pPr>
          </w:p>
        </w:tc>
      </w:tr>
      <w:tr w14:paraId="199A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93E84A0">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供应商关联企业情况(包括但不限于与供应商法定代表人(单位负责人)为同一人或者存在控股、管理关系的不同单位)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vAlign w:val="center"/>
          </w:tcPr>
          <w:p w14:paraId="5761E83C">
            <w:pPr>
              <w:spacing w:line="440" w:lineRule="exact"/>
              <w:jc w:val="center"/>
              <w:rPr>
                <w:rFonts w:ascii="宋体" w:hAnsi="宋体" w:cs="宋体"/>
                <w:color w:val="auto"/>
                <w:sz w:val="24"/>
                <w:szCs w:val="24"/>
                <w:highlight w:val="none"/>
              </w:rPr>
            </w:pPr>
          </w:p>
        </w:tc>
      </w:tr>
      <w:tr w14:paraId="0561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D02CBAB">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457" w:type="dxa"/>
            <w:gridSpan w:val="4"/>
            <w:tcBorders>
              <w:top w:val="single" w:color="auto" w:sz="4" w:space="0"/>
              <w:left w:val="nil"/>
              <w:bottom w:val="single" w:color="auto" w:sz="4" w:space="0"/>
              <w:right w:val="single" w:color="auto" w:sz="4" w:space="0"/>
            </w:tcBorders>
            <w:vAlign w:val="center"/>
          </w:tcPr>
          <w:p w14:paraId="42ED7D2D">
            <w:pPr>
              <w:spacing w:line="440" w:lineRule="exact"/>
              <w:jc w:val="center"/>
              <w:rPr>
                <w:rFonts w:ascii="宋体" w:hAnsi="宋体" w:cs="宋体"/>
                <w:color w:val="auto"/>
                <w:sz w:val="24"/>
                <w:szCs w:val="24"/>
                <w:highlight w:val="none"/>
              </w:rPr>
            </w:pPr>
          </w:p>
        </w:tc>
      </w:tr>
    </w:tbl>
    <w:p w14:paraId="293216D8">
      <w:pPr>
        <w:spacing w:line="240" w:lineRule="exact"/>
        <w:rPr>
          <w:rFonts w:ascii="宋体" w:hAnsi="宋体" w:cs="宋体"/>
          <w:color w:val="auto"/>
          <w:sz w:val="24"/>
          <w:szCs w:val="24"/>
          <w:highlight w:val="none"/>
        </w:rPr>
      </w:pPr>
    </w:p>
    <w:p w14:paraId="3C0698C7">
      <w:pPr>
        <w:spacing w:line="320" w:lineRule="exact"/>
        <w:rPr>
          <w:rFonts w:ascii="宋体" w:hAnsi="宋体" w:cs="宋体"/>
          <w:b/>
          <w:bCs/>
          <w:color w:val="auto"/>
          <w:sz w:val="44"/>
          <w:szCs w:val="44"/>
          <w:highlight w:val="none"/>
        </w:rPr>
      </w:pPr>
      <w:r>
        <w:rPr>
          <w:rFonts w:hint="eastAsia" w:ascii="宋体" w:hAnsi="宋体" w:cs="宋体"/>
          <w:color w:val="auto"/>
          <w:sz w:val="24"/>
          <w:szCs w:val="24"/>
          <w:highlight w:val="none"/>
        </w:rPr>
        <w:t>注：供应商应根据谈判文件要求在本表后附相关证明材料，如资质证书(若有)、开户许可证或基本存款账户信息等。</w:t>
      </w:r>
    </w:p>
    <w:p w14:paraId="2EF4C997">
      <w:pPr>
        <w:pStyle w:val="5"/>
        <w:widowControl/>
        <w:autoSpaceDE w:val="0"/>
        <w:spacing w:before="0" w:after="0" w:line="360" w:lineRule="auto"/>
        <w:rPr>
          <w:rFonts w:ascii="宋体" w:hAnsi="宋体" w:cs="宋体"/>
          <w:color w:val="auto"/>
          <w:szCs w:val="28"/>
          <w:highlight w:val="none"/>
        </w:rPr>
      </w:pPr>
      <w:r>
        <w:rPr>
          <w:rFonts w:hint="eastAsia" w:ascii="宋体" w:hAnsi="宋体" w:cs="宋体"/>
          <w:color w:val="auto"/>
          <w:szCs w:val="28"/>
          <w:highlight w:val="none"/>
        </w:rPr>
        <w:br w:type="page"/>
      </w:r>
      <w:bookmarkStart w:id="282" w:name="_Toc24888"/>
      <w:r>
        <w:rPr>
          <w:rFonts w:hint="eastAsia" w:ascii="宋体" w:hAnsi="宋体" w:cs="宋体"/>
          <w:color w:val="auto"/>
          <w:szCs w:val="28"/>
          <w:highlight w:val="none"/>
        </w:rPr>
        <w:t>六、谈判保证金</w:t>
      </w:r>
      <w:bookmarkEnd w:id="281"/>
      <w:bookmarkEnd w:id="282"/>
    </w:p>
    <w:p w14:paraId="2F2F22D4">
      <w:pPr>
        <w:autoSpaceDE w:val="0"/>
        <w:spacing w:line="240" w:lineRule="exact"/>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1E575566">
      <w:pPr>
        <w:spacing w:before="120" w:after="12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供应商提交的谈判保证金应采用谈判文件中规定的形式，并在此提供相应凭证的扫描件。</w:t>
      </w:r>
    </w:p>
    <w:p w14:paraId="2A16340B">
      <w:pPr>
        <w:autoSpaceDE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20E599F1">
      <w:pPr>
        <w:autoSpaceDE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B1D52FC">
      <w:pPr>
        <w:pStyle w:val="5"/>
        <w:widowControl/>
        <w:autoSpaceDE w:val="0"/>
        <w:spacing w:before="0" w:after="0" w:line="240" w:lineRule="auto"/>
        <w:rPr>
          <w:rFonts w:ascii="宋体" w:hAnsi="宋体" w:cs="宋体"/>
          <w:color w:val="auto"/>
          <w:szCs w:val="28"/>
          <w:highlight w:val="none"/>
        </w:rPr>
      </w:pPr>
      <w:bookmarkStart w:id="283" w:name="_Toc23543"/>
      <w:bookmarkEnd w:id="283"/>
      <w:bookmarkStart w:id="284" w:name="_Toc25087"/>
      <w:r>
        <w:rPr>
          <w:rFonts w:hint="eastAsia" w:ascii="宋体" w:hAnsi="宋体" w:cs="宋体"/>
          <w:color w:val="auto"/>
          <w:szCs w:val="28"/>
          <w:highlight w:val="none"/>
        </w:rPr>
        <w:br w:type="page"/>
      </w:r>
      <w:bookmarkStart w:id="285" w:name="_Toc26434"/>
      <w:r>
        <w:rPr>
          <w:rFonts w:hint="eastAsia" w:ascii="宋体" w:hAnsi="宋体" w:cs="宋体"/>
          <w:color w:val="auto"/>
          <w:szCs w:val="28"/>
          <w:highlight w:val="none"/>
        </w:rPr>
        <w:t>七、商务条款偏离表和</w:t>
      </w:r>
      <w:bookmarkEnd w:id="284"/>
      <w:r>
        <w:rPr>
          <w:rFonts w:hint="eastAsia" w:ascii="宋体" w:hAnsi="宋体" w:cs="宋体"/>
          <w:color w:val="auto"/>
          <w:szCs w:val="28"/>
          <w:highlight w:val="none"/>
        </w:rPr>
        <w:t>技术规格偏离表</w:t>
      </w:r>
      <w:bookmarkEnd w:id="285"/>
    </w:p>
    <w:p w14:paraId="406B4C3F">
      <w:pPr>
        <w:autoSpaceDE w:val="0"/>
        <w:spacing w:line="360" w:lineRule="auto"/>
        <w:rPr>
          <w:rFonts w:ascii="宋体" w:hAnsi="宋体" w:cs="宋体"/>
          <w:color w:val="auto"/>
          <w:sz w:val="24"/>
          <w:szCs w:val="24"/>
          <w:highlight w:val="none"/>
        </w:rPr>
      </w:pPr>
    </w:p>
    <w:p w14:paraId="063B6D19">
      <w:pPr>
        <w:autoSpaceDE w:val="0"/>
        <w:spacing w:line="360" w:lineRule="auto"/>
        <w:ind w:firstLine="241" w:firstLineChars="1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(一)商务条款偏离表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74"/>
        <w:gridCol w:w="2418"/>
        <w:gridCol w:w="2419"/>
        <w:gridCol w:w="825"/>
        <w:gridCol w:w="825"/>
      </w:tblGrid>
      <w:tr w14:paraId="561F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B214A06">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 号</w:t>
            </w:r>
          </w:p>
        </w:tc>
        <w:tc>
          <w:tcPr>
            <w:tcW w:w="2174" w:type="dxa"/>
            <w:tcBorders>
              <w:top w:val="single" w:color="auto" w:sz="4" w:space="0"/>
              <w:left w:val="nil"/>
              <w:bottom w:val="single" w:color="auto" w:sz="4" w:space="0"/>
              <w:right w:val="single" w:color="auto" w:sz="4" w:space="0"/>
            </w:tcBorders>
            <w:vAlign w:val="center"/>
          </w:tcPr>
          <w:p w14:paraId="0435305D">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谈判文件条款号</w:t>
            </w:r>
          </w:p>
        </w:tc>
        <w:tc>
          <w:tcPr>
            <w:tcW w:w="2418" w:type="dxa"/>
            <w:tcBorders>
              <w:top w:val="single" w:color="auto" w:sz="4" w:space="0"/>
              <w:left w:val="nil"/>
              <w:bottom w:val="single" w:color="auto" w:sz="4" w:space="0"/>
              <w:right w:val="single" w:color="auto" w:sz="4" w:space="0"/>
            </w:tcBorders>
            <w:vAlign w:val="center"/>
          </w:tcPr>
          <w:p w14:paraId="211A692E">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谈判文件的商务条款内容</w:t>
            </w:r>
          </w:p>
        </w:tc>
        <w:tc>
          <w:tcPr>
            <w:tcW w:w="2419" w:type="dxa"/>
            <w:tcBorders>
              <w:top w:val="single" w:color="auto" w:sz="4" w:space="0"/>
              <w:left w:val="nil"/>
              <w:bottom w:val="single" w:color="auto" w:sz="4" w:space="0"/>
              <w:right w:val="single" w:color="auto" w:sz="4" w:space="0"/>
            </w:tcBorders>
            <w:vAlign w:val="center"/>
          </w:tcPr>
          <w:p w14:paraId="3421C93F">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响应文件的商务条款响应情况</w:t>
            </w:r>
          </w:p>
        </w:tc>
        <w:tc>
          <w:tcPr>
            <w:tcW w:w="825" w:type="dxa"/>
            <w:tcBorders>
              <w:top w:val="single" w:color="auto" w:sz="4" w:space="0"/>
              <w:left w:val="nil"/>
              <w:bottom w:val="single" w:color="auto" w:sz="4" w:space="0"/>
              <w:right w:val="single" w:color="auto" w:sz="4" w:space="0"/>
            </w:tcBorders>
            <w:vAlign w:val="center"/>
          </w:tcPr>
          <w:p w14:paraId="7B653F56">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vAlign w:val="center"/>
          </w:tcPr>
          <w:p w14:paraId="3731F888">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说明</w:t>
            </w:r>
          </w:p>
        </w:tc>
      </w:tr>
      <w:tr w14:paraId="697B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6DAD7E91">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74" w:type="dxa"/>
            <w:tcBorders>
              <w:top w:val="single" w:color="auto" w:sz="4" w:space="0"/>
              <w:left w:val="nil"/>
              <w:bottom w:val="single" w:color="auto" w:sz="4" w:space="0"/>
              <w:right w:val="single" w:color="auto" w:sz="4" w:space="0"/>
            </w:tcBorders>
            <w:vAlign w:val="center"/>
          </w:tcPr>
          <w:p w14:paraId="333C3262">
            <w:pPr>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“供应商须知前附表”第1.3.2款</w:t>
            </w:r>
          </w:p>
        </w:tc>
        <w:tc>
          <w:tcPr>
            <w:tcW w:w="2418" w:type="dxa"/>
            <w:tcBorders>
              <w:top w:val="single" w:color="auto" w:sz="4" w:space="0"/>
              <w:left w:val="nil"/>
              <w:bottom w:val="single" w:color="auto" w:sz="4" w:space="0"/>
              <w:right w:val="single" w:color="auto" w:sz="4" w:space="0"/>
            </w:tcBorders>
            <w:vAlign w:val="center"/>
          </w:tcPr>
          <w:p w14:paraId="72DDCEF2">
            <w:pPr>
              <w:jc w:val="both"/>
              <w:rPr>
                <w:rFonts w:ascii="宋体" w:hAnsi="宋体" w:cs="宋体"/>
                <w:color w:val="auto"/>
                <w:sz w:val="24"/>
                <w:szCs w:val="24"/>
                <w:highlight w:val="none"/>
              </w:rPr>
            </w:pPr>
            <w:r>
              <w:rPr>
                <w:rFonts w:hint="eastAsia" w:ascii="宋体" w:hAnsi="宋体" w:cs="宋体"/>
                <w:color w:val="auto"/>
                <w:sz w:val="24"/>
                <w:szCs w:val="24"/>
                <w:highlight w:val="none"/>
              </w:rPr>
              <w:t>交货期：合同签订后30日历天内完成</w:t>
            </w:r>
          </w:p>
        </w:tc>
        <w:tc>
          <w:tcPr>
            <w:tcW w:w="2419" w:type="dxa"/>
            <w:tcBorders>
              <w:top w:val="single" w:color="auto" w:sz="4" w:space="0"/>
              <w:left w:val="nil"/>
              <w:bottom w:val="single" w:color="auto" w:sz="4" w:space="0"/>
              <w:right w:val="single" w:color="auto" w:sz="4" w:space="0"/>
            </w:tcBorders>
            <w:vAlign w:val="center"/>
          </w:tcPr>
          <w:p w14:paraId="1BC5F496">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22708A34">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202097D">
            <w:pPr>
              <w:jc w:val="center"/>
              <w:rPr>
                <w:rFonts w:ascii="宋体" w:hAnsi="宋体" w:cs="宋体"/>
                <w:color w:val="auto"/>
                <w:sz w:val="24"/>
                <w:szCs w:val="24"/>
                <w:highlight w:val="none"/>
              </w:rPr>
            </w:pPr>
          </w:p>
        </w:tc>
      </w:tr>
      <w:tr w14:paraId="7C988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6DF21BDD">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174" w:type="dxa"/>
            <w:tcBorders>
              <w:top w:val="single" w:color="auto" w:sz="4" w:space="0"/>
              <w:left w:val="nil"/>
              <w:bottom w:val="single" w:color="auto" w:sz="4" w:space="0"/>
              <w:right w:val="single" w:color="auto" w:sz="4" w:space="0"/>
            </w:tcBorders>
            <w:vAlign w:val="center"/>
          </w:tcPr>
          <w:p w14:paraId="14148655">
            <w:pPr>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“供应商须知前附表”第1.3.2款</w:t>
            </w:r>
          </w:p>
        </w:tc>
        <w:tc>
          <w:tcPr>
            <w:tcW w:w="2418" w:type="dxa"/>
            <w:tcBorders>
              <w:top w:val="single" w:color="auto" w:sz="4" w:space="0"/>
              <w:left w:val="nil"/>
              <w:bottom w:val="single" w:color="auto" w:sz="4" w:space="0"/>
              <w:right w:val="single" w:color="auto" w:sz="4" w:space="0"/>
            </w:tcBorders>
            <w:vAlign w:val="center"/>
          </w:tcPr>
          <w:p w14:paraId="6002E179">
            <w:pPr>
              <w:jc w:val="center"/>
              <w:rPr>
                <w:rFonts w:ascii="宋体" w:hAnsi="宋体" w:cs="宋体"/>
                <w:color w:val="auto"/>
                <w:sz w:val="24"/>
                <w:szCs w:val="24"/>
                <w:highlight w:val="none"/>
              </w:rPr>
            </w:pPr>
            <w:r>
              <w:rPr>
                <w:rFonts w:hint="eastAsia" w:ascii="宋体" w:hAnsi="宋体" w:cs="宋体"/>
                <w:color w:val="auto"/>
                <w:sz w:val="24"/>
                <w:szCs w:val="24"/>
                <w:highlight w:val="none"/>
              </w:rPr>
              <w:t>质保期：验收完成后不低于一年。</w:t>
            </w:r>
          </w:p>
        </w:tc>
        <w:tc>
          <w:tcPr>
            <w:tcW w:w="2419" w:type="dxa"/>
            <w:tcBorders>
              <w:top w:val="single" w:color="auto" w:sz="4" w:space="0"/>
              <w:left w:val="nil"/>
              <w:bottom w:val="single" w:color="auto" w:sz="4" w:space="0"/>
              <w:right w:val="single" w:color="auto" w:sz="4" w:space="0"/>
            </w:tcBorders>
            <w:vAlign w:val="center"/>
          </w:tcPr>
          <w:p w14:paraId="11BE897A">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E9DB0C9">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33A62B8">
            <w:pPr>
              <w:jc w:val="center"/>
              <w:rPr>
                <w:rFonts w:ascii="宋体" w:hAnsi="宋体" w:cs="宋体"/>
                <w:color w:val="auto"/>
                <w:sz w:val="24"/>
                <w:szCs w:val="24"/>
                <w:highlight w:val="none"/>
              </w:rPr>
            </w:pPr>
          </w:p>
        </w:tc>
      </w:tr>
      <w:tr w14:paraId="62B96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DEBEE61">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174" w:type="dxa"/>
            <w:tcBorders>
              <w:top w:val="single" w:color="auto" w:sz="4" w:space="0"/>
              <w:left w:val="nil"/>
              <w:bottom w:val="single" w:color="auto" w:sz="4" w:space="0"/>
              <w:right w:val="single" w:color="auto" w:sz="4" w:space="0"/>
            </w:tcBorders>
            <w:vAlign w:val="center"/>
          </w:tcPr>
          <w:p w14:paraId="68664330">
            <w:pPr>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“供应商须知前附表”第1.3.3款</w:t>
            </w:r>
          </w:p>
        </w:tc>
        <w:tc>
          <w:tcPr>
            <w:tcW w:w="2418" w:type="dxa"/>
            <w:tcBorders>
              <w:top w:val="single" w:color="auto" w:sz="4" w:space="0"/>
              <w:left w:val="nil"/>
              <w:bottom w:val="single" w:color="auto" w:sz="4" w:space="0"/>
              <w:right w:val="single" w:color="auto" w:sz="4" w:space="0"/>
            </w:tcBorders>
            <w:vAlign w:val="center"/>
          </w:tcPr>
          <w:p w14:paraId="5ACEAA55">
            <w:pPr>
              <w:jc w:val="center"/>
              <w:rPr>
                <w:rFonts w:ascii="宋体" w:hAnsi="宋体" w:cs="宋体"/>
                <w:color w:val="auto"/>
                <w:sz w:val="24"/>
                <w:szCs w:val="24"/>
                <w:highlight w:val="none"/>
              </w:rPr>
            </w:pPr>
            <w:r>
              <w:rPr>
                <w:rFonts w:hint="eastAsia" w:ascii="宋体" w:hAnsi="宋体" w:cs="宋体"/>
                <w:color w:val="auto"/>
                <w:sz w:val="24"/>
                <w:szCs w:val="24"/>
                <w:highlight w:val="none"/>
              </w:rPr>
              <w:t>交货地点：采购人指定地点</w:t>
            </w:r>
          </w:p>
        </w:tc>
        <w:tc>
          <w:tcPr>
            <w:tcW w:w="2419" w:type="dxa"/>
            <w:tcBorders>
              <w:top w:val="single" w:color="auto" w:sz="4" w:space="0"/>
              <w:left w:val="nil"/>
              <w:bottom w:val="single" w:color="auto" w:sz="4" w:space="0"/>
              <w:right w:val="single" w:color="auto" w:sz="4" w:space="0"/>
            </w:tcBorders>
            <w:vAlign w:val="center"/>
          </w:tcPr>
          <w:p w14:paraId="735425A5">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01163EF">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2F9B3942">
            <w:pPr>
              <w:jc w:val="center"/>
              <w:rPr>
                <w:rFonts w:ascii="宋体" w:hAnsi="宋体" w:cs="宋体"/>
                <w:color w:val="auto"/>
                <w:sz w:val="24"/>
                <w:szCs w:val="24"/>
                <w:highlight w:val="none"/>
              </w:rPr>
            </w:pPr>
          </w:p>
        </w:tc>
      </w:tr>
      <w:tr w14:paraId="6556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194028B">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174" w:type="dxa"/>
            <w:tcBorders>
              <w:top w:val="single" w:color="auto" w:sz="4" w:space="0"/>
              <w:left w:val="nil"/>
              <w:bottom w:val="single" w:color="auto" w:sz="4" w:space="0"/>
              <w:right w:val="single" w:color="auto" w:sz="4" w:space="0"/>
            </w:tcBorders>
            <w:vAlign w:val="center"/>
          </w:tcPr>
          <w:p w14:paraId="4F27DC4A">
            <w:pPr>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“供应商须知前附表”第1.3.3款</w:t>
            </w:r>
          </w:p>
        </w:tc>
        <w:tc>
          <w:tcPr>
            <w:tcW w:w="2418" w:type="dxa"/>
            <w:tcBorders>
              <w:top w:val="single" w:color="auto" w:sz="4" w:space="0"/>
              <w:left w:val="nil"/>
              <w:bottom w:val="single" w:color="auto" w:sz="4" w:space="0"/>
              <w:right w:val="single" w:color="auto" w:sz="4" w:space="0"/>
            </w:tcBorders>
            <w:vAlign w:val="center"/>
          </w:tcPr>
          <w:p w14:paraId="12A51F43">
            <w:pPr>
              <w:jc w:val="center"/>
              <w:rPr>
                <w:rFonts w:ascii="宋体" w:hAnsi="宋体" w:cs="宋体"/>
                <w:color w:val="auto"/>
                <w:sz w:val="24"/>
                <w:szCs w:val="24"/>
                <w:highlight w:val="none"/>
              </w:rPr>
            </w:pPr>
            <w:r>
              <w:rPr>
                <w:rFonts w:hint="eastAsia" w:ascii="宋体" w:hAnsi="宋体" w:cs="宋体"/>
                <w:color w:val="auto"/>
                <w:sz w:val="24"/>
                <w:szCs w:val="24"/>
                <w:highlight w:val="none"/>
              </w:rPr>
              <w:t>交货方式：</w:t>
            </w:r>
            <w:r>
              <w:rPr>
                <w:rFonts w:hint="eastAsia" w:ascii="宋体" w:hAnsi="宋体" w:cs="宋体"/>
                <w:color w:val="auto"/>
                <w:sz w:val="24"/>
                <w:highlight w:val="none"/>
                <w:u w:val="single"/>
              </w:rPr>
              <w:t>现场交货</w:t>
            </w:r>
          </w:p>
        </w:tc>
        <w:tc>
          <w:tcPr>
            <w:tcW w:w="2419" w:type="dxa"/>
            <w:tcBorders>
              <w:top w:val="single" w:color="auto" w:sz="4" w:space="0"/>
              <w:left w:val="nil"/>
              <w:bottom w:val="single" w:color="auto" w:sz="4" w:space="0"/>
              <w:right w:val="single" w:color="auto" w:sz="4" w:space="0"/>
            </w:tcBorders>
            <w:vAlign w:val="center"/>
          </w:tcPr>
          <w:p w14:paraId="404332BF">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20186A32">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4586487">
            <w:pPr>
              <w:jc w:val="center"/>
              <w:rPr>
                <w:rFonts w:ascii="宋体" w:hAnsi="宋体" w:cs="宋体"/>
                <w:color w:val="auto"/>
                <w:sz w:val="24"/>
                <w:szCs w:val="24"/>
                <w:highlight w:val="none"/>
              </w:rPr>
            </w:pPr>
          </w:p>
        </w:tc>
      </w:tr>
      <w:tr w14:paraId="4180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4B459BA">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174" w:type="dxa"/>
            <w:tcBorders>
              <w:top w:val="single" w:color="auto" w:sz="4" w:space="0"/>
              <w:left w:val="nil"/>
              <w:bottom w:val="single" w:color="auto" w:sz="4" w:space="0"/>
              <w:right w:val="single" w:color="auto" w:sz="4" w:space="0"/>
            </w:tcBorders>
            <w:vAlign w:val="center"/>
          </w:tcPr>
          <w:p w14:paraId="0A892965">
            <w:pPr>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“供应商须知前附表”第3.3.1款</w:t>
            </w:r>
          </w:p>
        </w:tc>
        <w:tc>
          <w:tcPr>
            <w:tcW w:w="2418" w:type="dxa"/>
            <w:tcBorders>
              <w:top w:val="single" w:color="auto" w:sz="4" w:space="0"/>
              <w:left w:val="nil"/>
              <w:bottom w:val="single" w:color="auto" w:sz="4" w:space="0"/>
              <w:right w:val="single" w:color="auto" w:sz="4" w:space="0"/>
            </w:tcBorders>
            <w:vAlign w:val="center"/>
          </w:tcPr>
          <w:p w14:paraId="1EB39029">
            <w:pPr>
              <w:jc w:val="center"/>
              <w:rPr>
                <w:rFonts w:ascii="宋体" w:hAnsi="宋体" w:cs="宋体"/>
                <w:color w:val="auto"/>
                <w:sz w:val="24"/>
                <w:szCs w:val="24"/>
                <w:highlight w:val="none"/>
              </w:rPr>
            </w:pPr>
            <w:r>
              <w:rPr>
                <w:rFonts w:hint="eastAsia" w:ascii="宋体" w:hAnsi="宋体" w:cs="宋体"/>
                <w:color w:val="auto"/>
                <w:sz w:val="24"/>
                <w:szCs w:val="24"/>
                <w:highlight w:val="none"/>
              </w:rPr>
              <w:t>谈判有效期:</w:t>
            </w:r>
            <w:r>
              <w:rPr>
                <w:rFonts w:hint="eastAsia" w:ascii="宋体" w:hAnsi="宋体" w:cs="宋体"/>
                <w:color w:val="auto"/>
                <w:kern w:val="2"/>
                <w:sz w:val="24"/>
                <w:szCs w:val="24"/>
                <w:highlight w:val="none"/>
              </w:rPr>
              <w:t>谈判有效期为</w:t>
            </w:r>
            <w:r>
              <w:rPr>
                <w:rFonts w:hint="eastAsia" w:ascii="宋体" w:hAnsi="宋体" w:cs="宋体"/>
                <w:color w:val="auto"/>
                <w:kern w:val="2"/>
                <w:sz w:val="24"/>
                <w:szCs w:val="24"/>
                <w:highlight w:val="none"/>
                <w:u w:val="single"/>
              </w:rPr>
              <w:t xml:space="preserve"> 90 </w:t>
            </w:r>
            <w:r>
              <w:rPr>
                <w:rFonts w:hint="eastAsia" w:ascii="宋体" w:hAnsi="宋体" w:cs="宋体"/>
                <w:color w:val="auto"/>
                <w:kern w:val="2"/>
                <w:sz w:val="24"/>
                <w:szCs w:val="24"/>
                <w:highlight w:val="none"/>
              </w:rPr>
              <w:t>日历天(从响应文件递交截止时间算起)</w:t>
            </w:r>
          </w:p>
        </w:tc>
        <w:tc>
          <w:tcPr>
            <w:tcW w:w="2419" w:type="dxa"/>
            <w:tcBorders>
              <w:top w:val="single" w:color="auto" w:sz="4" w:space="0"/>
              <w:left w:val="nil"/>
              <w:bottom w:val="single" w:color="auto" w:sz="4" w:space="0"/>
              <w:right w:val="single" w:color="auto" w:sz="4" w:space="0"/>
            </w:tcBorders>
            <w:vAlign w:val="center"/>
          </w:tcPr>
          <w:p w14:paraId="30CA09D9">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2B5BDD92">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521442D1">
            <w:pPr>
              <w:jc w:val="center"/>
              <w:rPr>
                <w:rFonts w:ascii="宋体" w:hAnsi="宋体" w:cs="宋体"/>
                <w:color w:val="auto"/>
                <w:sz w:val="24"/>
                <w:szCs w:val="24"/>
                <w:highlight w:val="none"/>
              </w:rPr>
            </w:pPr>
          </w:p>
        </w:tc>
      </w:tr>
      <w:tr w14:paraId="0618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BB5B236">
            <w:pPr>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2174" w:type="dxa"/>
            <w:tcBorders>
              <w:top w:val="single" w:color="auto" w:sz="4" w:space="0"/>
              <w:left w:val="nil"/>
              <w:bottom w:val="single" w:color="auto" w:sz="4" w:space="0"/>
              <w:right w:val="single" w:color="auto" w:sz="4" w:space="0"/>
            </w:tcBorders>
            <w:vAlign w:val="center"/>
          </w:tcPr>
          <w:p w14:paraId="1464B541">
            <w:pPr>
              <w:jc w:val="center"/>
              <w:rPr>
                <w:rFonts w:ascii="宋体" w:hAnsi="宋体" w:cs="宋体"/>
                <w:color w:val="auto"/>
                <w:sz w:val="24"/>
                <w:szCs w:val="24"/>
                <w:highlight w:val="none"/>
              </w:rPr>
            </w:pPr>
            <w:r>
              <w:rPr>
                <w:rFonts w:hint="eastAsia" w:ascii="宋体" w:hAnsi="宋体" w:cs="宋体"/>
                <w:color w:val="auto"/>
                <w:sz w:val="24"/>
                <w:szCs w:val="24"/>
                <w:highlight w:val="none"/>
              </w:rPr>
              <w:t>“供应商须知前附表”第11.4款</w:t>
            </w:r>
          </w:p>
        </w:tc>
        <w:tc>
          <w:tcPr>
            <w:tcW w:w="2418" w:type="dxa"/>
            <w:tcBorders>
              <w:top w:val="single" w:color="auto" w:sz="4" w:space="0"/>
              <w:left w:val="nil"/>
              <w:bottom w:val="single" w:color="auto" w:sz="4" w:space="0"/>
              <w:right w:val="single" w:color="auto" w:sz="4" w:space="0"/>
            </w:tcBorders>
            <w:vAlign w:val="center"/>
          </w:tcPr>
          <w:p w14:paraId="78620B41">
            <w:pPr>
              <w:jc w:val="center"/>
              <w:rPr>
                <w:rFonts w:ascii="宋体" w:hAnsi="宋体" w:cs="宋体"/>
                <w:color w:val="auto"/>
                <w:sz w:val="24"/>
                <w:szCs w:val="24"/>
                <w:highlight w:val="none"/>
              </w:rPr>
            </w:pPr>
            <w:r>
              <w:rPr>
                <w:rFonts w:hint="eastAsia" w:ascii="宋体" w:hAnsi="宋体" w:cs="宋体"/>
                <w:color w:val="auto"/>
                <w:kern w:val="2"/>
                <w:sz w:val="24"/>
                <w:szCs w:val="24"/>
                <w:highlight w:val="none"/>
              </w:rPr>
              <w:t>付款方式：</w:t>
            </w:r>
            <w:r>
              <w:rPr>
                <w:rFonts w:hint="eastAsia" w:ascii="宋体" w:hAnsi="宋体" w:cs="宋体"/>
                <w:color w:val="auto"/>
                <w:sz w:val="24"/>
                <w:szCs w:val="24"/>
                <w:highlight w:val="none"/>
              </w:rPr>
              <w:t>本项目无预付款，甲方最终验收合格后30日内支付合同金额的100%至乙方指定银行账户。付款时乙方需提供增值税专用发票。乙方缴纳履约保证金是甲方付款的必要条件。</w:t>
            </w:r>
          </w:p>
        </w:tc>
        <w:tc>
          <w:tcPr>
            <w:tcW w:w="2419" w:type="dxa"/>
            <w:tcBorders>
              <w:top w:val="single" w:color="auto" w:sz="4" w:space="0"/>
              <w:left w:val="nil"/>
              <w:bottom w:val="single" w:color="auto" w:sz="4" w:space="0"/>
              <w:right w:val="single" w:color="auto" w:sz="4" w:space="0"/>
            </w:tcBorders>
            <w:vAlign w:val="center"/>
          </w:tcPr>
          <w:p w14:paraId="11EC1413">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25F62D8F">
            <w:pPr>
              <w:jc w:val="center"/>
              <w:rPr>
                <w:rFonts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3910FB8B">
            <w:pPr>
              <w:jc w:val="center"/>
              <w:rPr>
                <w:rFonts w:ascii="宋体" w:hAnsi="宋体" w:cs="宋体"/>
                <w:color w:val="auto"/>
                <w:sz w:val="24"/>
                <w:szCs w:val="24"/>
                <w:highlight w:val="none"/>
              </w:rPr>
            </w:pPr>
          </w:p>
        </w:tc>
      </w:tr>
    </w:tbl>
    <w:p w14:paraId="56594C95">
      <w:pPr>
        <w:pStyle w:val="12"/>
        <w:rPr>
          <w:rFonts w:ascii="宋体" w:hAnsi="宋体" w:cs="宋体"/>
          <w:color w:val="auto"/>
          <w:sz w:val="24"/>
          <w:highlight w:val="none"/>
        </w:rPr>
      </w:pPr>
    </w:p>
    <w:p w14:paraId="2B62B684">
      <w:pPr>
        <w:spacing w:before="158" w:beforeLines="50"/>
        <w:rPr>
          <w:rFonts w:ascii="宋体" w:hAnsi="宋体" w:cs="宋体"/>
          <w:color w:val="auto"/>
          <w:sz w:val="24"/>
          <w:szCs w:val="24"/>
          <w:highlight w:val="none"/>
        </w:rPr>
      </w:pPr>
    </w:p>
    <w:p w14:paraId="5FEC9DBF">
      <w:pPr>
        <w:spacing w:before="158" w:beforeLines="50" w:line="360" w:lineRule="auto"/>
        <w:ind w:firstLine="241" w:firstLineChars="1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r>
        <w:rPr>
          <w:rFonts w:hint="eastAsia" w:ascii="宋体" w:hAnsi="宋体" w:cs="宋体"/>
          <w:b/>
          <w:bCs/>
          <w:color w:val="auto"/>
          <w:sz w:val="24"/>
          <w:szCs w:val="24"/>
          <w:highlight w:val="none"/>
        </w:rPr>
        <w:t>(二)技术规格偏离表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912"/>
        <w:gridCol w:w="1839"/>
        <w:gridCol w:w="1593"/>
        <w:gridCol w:w="1500"/>
        <w:gridCol w:w="750"/>
        <w:gridCol w:w="975"/>
      </w:tblGrid>
      <w:tr w14:paraId="321F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67" w:type="dxa"/>
            <w:vAlign w:val="center"/>
          </w:tcPr>
          <w:p w14:paraId="0FC8F950">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912" w:type="dxa"/>
            <w:vAlign w:val="center"/>
          </w:tcPr>
          <w:p w14:paraId="7C562CD7">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货物名称</w:t>
            </w:r>
          </w:p>
        </w:tc>
        <w:tc>
          <w:tcPr>
            <w:tcW w:w="1839" w:type="dxa"/>
            <w:vAlign w:val="center"/>
          </w:tcPr>
          <w:p w14:paraId="1B4AB118">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谈判文件条款号</w:t>
            </w:r>
          </w:p>
        </w:tc>
        <w:tc>
          <w:tcPr>
            <w:tcW w:w="1593" w:type="dxa"/>
            <w:vAlign w:val="center"/>
          </w:tcPr>
          <w:p w14:paraId="1DDCCD89">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谈判文件技术规格及要求</w:t>
            </w:r>
          </w:p>
        </w:tc>
        <w:tc>
          <w:tcPr>
            <w:tcW w:w="1500" w:type="dxa"/>
            <w:vAlign w:val="center"/>
          </w:tcPr>
          <w:p w14:paraId="43B35423">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响应文件技术规格及要求</w:t>
            </w:r>
          </w:p>
        </w:tc>
        <w:tc>
          <w:tcPr>
            <w:tcW w:w="750" w:type="dxa"/>
            <w:vAlign w:val="center"/>
          </w:tcPr>
          <w:p w14:paraId="539EFE82">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偏离情况</w:t>
            </w:r>
          </w:p>
        </w:tc>
        <w:tc>
          <w:tcPr>
            <w:tcW w:w="975" w:type="dxa"/>
            <w:vAlign w:val="center"/>
          </w:tcPr>
          <w:p w14:paraId="36C7A4E5">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说明</w:t>
            </w:r>
          </w:p>
        </w:tc>
      </w:tr>
      <w:tr w14:paraId="48636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67" w:type="dxa"/>
            <w:vAlign w:val="center"/>
          </w:tcPr>
          <w:p w14:paraId="2D8360A2">
            <w:pPr>
              <w:spacing w:line="480" w:lineRule="exact"/>
              <w:jc w:val="center"/>
              <w:rPr>
                <w:rFonts w:ascii="宋体" w:hAnsi="宋体" w:cs="宋体"/>
                <w:color w:val="auto"/>
                <w:sz w:val="24"/>
                <w:szCs w:val="24"/>
                <w:highlight w:val="none"/>
              </w:rPr>
            </w:pPr>
          </w:p>
        </w:tc>
        <w:tc>
          <w:tcPr>
            <w:tcW w:w="1912" w:type="dxa"/>
          </w:tcPr>
          <w:p w14:paraId="2BE3D0E3">
            <w:pPr>
              <w:spacing w:line="480" w:lineRule="exact"/>
              <w:rPr>
                <w:rFonts w:ascii="宋体" w:hAnsi="宋体" w:cs="宋体"/>
                <w:color w:val="auto"/>
                <w:sz w:val="24"/>
                <w:szCs w:val="24"/>
                <w:highlight w:val="none"/>
              </w:rPr>
            </w:pPr>
          </w:p>
        </w:tc>
        <w:tc>
          <w:tcPr>
            <w:tcW w:w="1839" w:type="dxa"/>
          </w:tcPr>
          <w:p w14:paraId="4E4596B2">
            <w:pPr>
              <w:spacing w:line="480" w:lineRule="exact"/>
              <w:rPr>
                <w:rFonts w:ascii="宋体" w:hAnsi="宋体" w:cs="宋体"/>
                <w:color w:val="auto"/>
                <w:sz w:val="24"/>
                <w:szCs w:val="24"/>
                <w:highlight w:val="none"/>
              </w:rPr>
            </w:pPr>
          </w:p>
        </w:tc>
        <w:tc>
          <w:tcPr>
            <w:tcW w:w="1593" w:type="dxa"/>
          </w:tcPr>
          <w:p w14:paraId="7A89D0A3">
            <w:pPr>
              <w:spacing w:line="480" w:lineRule="exact"/>
              <w:rPr>
                <w:rFonts w:ascii="宋体" w:hAnsi="宋体" w:cs="宋体"/>
                <w:color w:val="auto"/>
                <w:sz w:val="24"/>
                <w:szCs w:val="24"/>
                <w:highlight w:val="none"/>
              </w:rPr>
            </w:pPr>
          </w:p>
        </w:tc>
        <w:tc>
          <w:tcPr>
            <w:tcW w:w="1500" w:type="dxa"/>
          </w:tcPr>
          <w:p w14:paraId="314FE338">
            <w:pPr>
              <w:spacing w:line="480" w:lineRule="exact"/>
              <w:rPr>
                <w:rFonts w:ascii="宋体" w:hAnsi="宋体" w:cs="宋体"/>
                <w:color w:val="auto"/>
                <w:sz w:val="24"/>
                <w:szCs w:val="24"/>
                <w:highlight w:val="none"/>
              </w:rPr>
            </w:pPr>
          </w:p>
        </w:tc>
        <w:tc>
          <w:tcPr>
            <w:tcW w:w="750" w:type="dxa"/>
          </w:tcPr>
          <w:p w14:paraId="6DD426D7">
            <w:pPr>
              <w:spacing w:line="480" w:lineRule="exact"/>
              <w:rPr>
                <w:rFonts w:ascii="宋体" w:hAnsi="宋体" w:cs="宋体"/>
                <w:color w:val="auto"/>
                <w:sz w:val="24"/>
                <w:szCs w:val="24"/>
                <w:highlight w:val="none"/>
              </w:rPr>
            </w:pPr>
          </w:p>
        </w:tc>
        <w:tc>
          <w:tcPr>
            <w:tcW w:w="975" w:type="dxa"/>
          </w:tcPr>
          <w:p w14:paraId="3BE490EE">
            <w:pPr>
              <w:spacing w:line="480" w:lineRule="exact"/>
              <w:rPr>
                <w:rFonts w:ascii="宋体" w:hAnsi="宋体" w:cs="宋体"/>
                <w:color w:val="auto"/>
                <w:sz w:val="24"/>
                <w:szCs w:val="24"/>
                <w:highlight w:val="none"/>
              </w:rPr>
            </w:pPr>
          </w:p>
        </w:tc>
      </w:tr>
      <w:tr w14:paraId="7756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67" w:type="dxa"/>
            <w:vAlign w:val="center"/>
          </w:tcPr>
          <w:p w14:paraId="13046097">
            <w:pPr>
              <w:spacing w:line="480" w:lineRule="exact"/>
              <w:jc w:val="center"/>
              <w:rPr>
                <w:rFonts w:ascii="宋体" w:hAnsi="宋体" w:cs="宋体"/>
                <w:color w:val="auto"/>
                <w:sz w:val="24"/>
                <w:szCs w:val="24"/>
                <w:highlight w:val="none"/>
              </w:rPr>
            </w:pPr>
          </w:p>
        </w:tc>
        <w:tc>
          <w:tcPr>
            <w:tcW w:w="1912" w:type="dxa"/>
          </w:tcPr>
          <w:p w14:paraId="2ACBCC2D">
            <w:pPr>
              <w:spacing w:line="480" w:lineRule="exact"/>
              <w:rPr>
                <w:rFonts w:ascii="宋体" w:hAnsi="宋体" w:cs="宋体"/>
                <w:color w:val="auto"/>
                <w:sz w:val="24"/>
                <w:szCs w:val="24"/>
                <w:highlight w:val="none"/>
              </w:rPr>
            </w:pPr>
          </w:p>
        </w:tc>
        <w:tc>
          <w:tcPr>
            <w:tcW w:w="1839" w:type="dxa"/>
          </w:tcPr>
          <w:p w14:paraId="24548868">
            <w:pPr>
              <w:spacing w:line="480" w:lineRule="exact"/>
              <w:rPr>
                <w:rFonts w:ascii="宋体" w:hAnsi="宋体" w:cs="宋体"/>
                <w:color w:val="auto"/>
                <w:sz w:val="24"/>
                <w:szCs w:val="24"/>
                <w:highlight w:val="none"/>
              </w:rPr>
            </w:pPr>
          </w:p>
        </w:tc>
        <w:tc>
          <w:tcPr>
            <w:tcW w:w="1593" w:type="dxa"/>
          </w:tcPr>
          <w:p w14:paraId="75D9845D">
            <w:pPr>
              <w:spacing w:line="480" w:lineRule="exact"/>
              <w:rPr>
                <w:rFonts w:ascii="宋体" w:hAnsi="宋体" w:cs="宋体"/>
                <w:color w:val="auto"/>
                <w:sz w:val="24"/>
                <w:szCs w:val="24"/>
                <w:highlight w:val="none"/>
              </w:rPr>
            </w:pPr>
          </w:p>
        </w:tc>
        <w:tc>
          <w:tcPr>
            <w:tcW w:w="1500" w:type="dxa"/>
          </w:tcPr>
          <w:p w14:paraId="2E5FE041">
            <w:pPr>
              <w:spacing w:line="480" w:lineRule="exact"/>
              <w:rPr>
                <w:rFonts w:ascii="宋体" w:hAnsi="宋体" w:cs="宋体"/>
                <w:color w:val="auto"/>
                <w:sz w:val="24"/>
                <w:szCs w:val="24"/>
                <w:highlight w:val="none"/>
              </w:rPr>
            </w:pPr>
          </w:p>
        </w:tc>
        <w:tc>
          <w:tcPr>
            <w:tcW w:w="750" w:type="dxa"/>
          </w:tcPr>
          <w:p w14:paraId="0FA38F77">
            <w:pPr>
              <w:spacing w:line="480" w:lineRule="exact"/>
              <w:rPr>
                <w:rFonts w:ascii="宋体" w:hAnsi="宋体" w:cs="宋体"/>
                <w:color w:val="auto"/>
                <w:sz w:val="24"/>
                <w:szCs w:val="24"/>
                <w:highlight w:val="none"/>
              </w:rPr>
            </w:pPr>
          </w:p>
        </w:tc>
        <w:tc>
          <w:tcPr>
            <w:tcW w:w="975" w:type="dxa"/>
          </w:tcPr>
          <w:p w14:paraId="3224B43A">
            <w:pPr>
              <w:spacing w:line="480" w:lineRule="exact"/>
              <w:rPr>
                <w:rFonts w:ascii="宋体" w:hAnsi="宋体" w:cs="宋体"/>
                <w:color w:val="auto"/>
                <w:sz w:val="24"/>
                <w:szCs w:val="24"/>
                <w:highlight w:val="none"/>
              </w:rPr>
            </w:pPr>
          </w:p>
        </w:tc>
      </w:tr>
      <w:tr w14:paraId="02A36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67" w:type="dxa"/>
            <w:vAlign w:val="center"/>
          </w:tcPr>
          <w:p w14:paraId="1D24D0E9">
            <w:pPr>
              <w:spacing w:line="480" w:lineRule="exact"/>
              <w:jc w:val="center"/>
              <w:rPr>
                <w:rFonts w:ascii="宋体" w:hAnsi="宋体" w:cs="宋体"/>
                <w:color w:val="auto"/>
                <w:sz w:val="24"/>
                <w:szCs w:val="24"/>
                <w:highlight w:val="none"/>
              </w:rPr>
            </w:pPr>
          </w:p>
        </w:tc>
        <w:tc>
          <w:tcPr>
            <w:tcW w:w="1912" w:type="dxa"/>
          </w:tcPr>
          <w:p w14:paraId="2BA7984E">
            <w:pPr>
              <w:spacing w:line="480" w:lineRule="exact"/>
              <w:rPr>
                <w:rFonts w:ascii="宋体" w:hAnsi="宋体" w:cs="宋体"/>
                <w:color w:val="auto"/>
                <w:sz w:val="24"/>
                <w:szCs w:val="24"/>
                <w:highlight w:val="none"/>
              </w:rPr>
            </w:pPr>
          </w:p>
        </w:tc>
        <w:tc>
          <w:tcPr>
            <w:tcW w:w="1839" w:type="dxa"/>
          </w:tcPr>
          <w:p w14:paraId="6109FE78">
            <w:pPr>
              <w:spacing w:line="480" w:lineRule="exact"/>
              <w:rPr>
                <w:rFonts w:ascii="宋体" w:hAnsi="宋体" w:cs="宋体"/>
                <w:color w:val="auto"/>
                <w:sz w:val="24"/>
                <w:szCs w:val="24"/>
                <w:highlight w:val="none"/>
              </w:rPr>
            </w:pPr>
          </w:p>
        </w:tc>
        <w:tc>
          <w:tcPr>
            <w:tcW w:w="1593" w:type="dxa"/>
          </w:tcPr>
          <w:p w14:paraId="57D5A33D">
            <w:pPr>
              <w:spacing w:line="480" w:lineRule="exact"/>
              <w:rPr>
                <w:rFonts w:ascii="宋体" w:hAnsi="宋体" w:cs="宋体"/>
                <w:color w:val="auto"/>
                <w:sz w:val="24"/>
                <w:szCs w:val="24"/>
                <w:highlight w:val="none"/>
              </w:rPr>
            </w:pPr>
          </w:p>
        </w:tc>
        <w:tc>
          <w:tcPr>
            <w:tcW w:w="1500" w:type="dxa"/>
          </w:tcPr>
          <w:p w14:paraId="7C6EF846">
            <w:pPr>
              <w:spacing w:line="480" w:lineRule="exact"/>
              <w:rPr>
                <w:rFonts w:ascii="宋体" w:hAnsi="宋体" w:cs="宋体"/>
                <w:color w:val="auto"/>
                <w:sz w:val="24"/>
                <w:szCs w:val="24"/>
                <w:highlight w:val="none"/>
              </w:rPr>
            </w:pPr>
          </w:p>
        </w:tc>
        <w:tc>
          <w:tcPr>
            <w:tcW w:w="750" w:type="dxa"/>
          </w:tcPr>
          <w:p w14:paraId="2CCDF724">
            <w:pPr>
              <w:spacing w:line="480" w:lineRule="exact"/>
              <w:rPr>
                <w:rFonts w:ascii="宋体" w:hAnsi="宋体" w:cs="宋体"/>
                <w:color w:val="auto"/>
                <w:sz w:val="24"/>
                <w:szCs w:val="24"/>
                <w:highlight w:val="none"/>
              </w:rPr>
            </w:pPr>
          </w:p>
        </w:tc>
        <w:tc>
          <w:tcPr>
            <w:tcW w:w="975" w:type="dxa"/>
          </w:tcPr>
          <w:p w14:paraId="72CB6152">
            <w:pPr>
              <w:spacing w:line="480" w:lineRule="exact"/>
              <w:rPr>
                <w:rFonts w:ascii="宋体" w:hAnsi="宋体" w:cs="宋体"/>
                <w:color w:val="auto"/>
                <w:sz w:val="24"/>
                <w:szCs w:val="24"/>
                <w:highlight w:val="none"/>
              </w:rPr>
            </w:pPr>
          </w:p>
        </w:tc>
      </w:tr>
      <w:tr w14:paraId="2295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67" w:type="dxa"/>
            <w:vAlign w:val="center"/>
          </w:tcPr>
          <w:p w14:paraId="046C64AD">
            <w:pPr>
              <w:spacing w:line="480" w:lineRule="exact"/>
              <w:jc w:val="center"/>
              <w:rPr>
                <w:rFonts w:ascii="宋体" w:hAnsi="宋体" w:cs="宋体"/>
                <w:color w:val="auto"/>
                <w:sz w:val="24"/>
                <w:szCs w:val="24"/>
                <w:highlight w:val="none"/>
              </w:rPr>
            </w:pPr>
          </w:p>
        </w:tc>
        <w:tc>
          <w:tcPr>
            <w:tcW w:w="1912" w:type="dxa"/>
          </w:tcPr>
          <w:p w14:paraId="1CDAB475">
            <w:pPr>
              <w:spacing w:line="480" w:lineRule="exact"/>
              <w:rPr>
                <w:rFonts w:ascii="宋体" w:hAnsi="宋体" w:cs="宋体"/>
                <w:color w:val="auto"/>
                <w:sz w:val="24"/>
                <w:szCs w:val="24"/>
                <w:highlight w:val="none"/>
              </w:rPr>
            </w:pPr>
          </w:p>
        </w:tc>
        <w:tc>
          <w:tcPr>
            <w:tcW w:w="1839" w:type="dxa"/>
          </w:tcPr>
          <w:p w14:paraId="0C3D33E6">
            <w:pPr>
              <w:spacing w:line="480" w:lineRule="exact"/>
              <w:rPr>
                <w:rFonts w:ascii="宋体" w:hAnsi="宋体" w:cs="宋体"/>
                <w:color w:val="auto"/>
                <w:sz w:val="24"/>
                <w:szCs w:val="24"/>
                <w:highlight w:val="none"/>
              </w:rPr>
            </w:pPr>
          </w:p>
        </w:tc>
        <w:tc>
          <w:tcPr>
            <w:tcW w:w="1593" w:type="dxa"/>
          </w:tcPr>
          <w:p w14:paraId="256A23DD">
            <w:pPr>
              <w:spacing w:line="480" w:lineRule="exact"/>
              <w:rPr>
                <w:rFonts w:ascii="宋体" w:hAnsi="宋体" w:cs="宋体"/>
                <w:color w:val="auto"/>
                <w:sz w:val="24"/>
                <w:szCs w:val="24"/>
                <w:highlight w:val="none"/>
              </w:rPr>
            </w:pPr>
          </w:p>
        </w:tc>
        <w:tc>
          <w:tcPr>
            <w:tcW w:w="1500" w:type="dxa"/>
          </w:tcPr>
          <w:p w14:paraId="29236E0B">
            <w:pPr>
              <w:spacing w:line="480" w:lineRule="exact"/>
              <w:rPr>
                <w:rFonts w:ascii="宋体" w:hAnsi="宋体" w:cs="宋体"/>
                <w:color w:val="auto"/>
                <w:sz w:val="24"/>
                <w:szCs w:val="24"/>
                <w:highlight w:val="none"/>
              </w:rPr>
            </w:pPr>
          </w:p>
        </w:tc>
        <w:tc>
          <w:tcPr>
            <w:tcW w:w="750" w:type="dxa"/>
          </w:tcPr>
          <w:p w14:paraId="1165B769">
            <w:pPr>
              <w:spacing w:line="480" w:lineRule="exact"/>
              <w:rPr>
                <w:rFonts w:ascii="宋体" w:hAnsi="宋体" w:cs="宋体"/>
                <w:color w:val="auto"/>
                <w:sz w:val="24"/>
                <w:szCs w:val="24"/>
                <w:highlight w:val="none"/>
              </w:rPr>
            </w:pPr>
          </w:p>
        </w:tc>
        <w:tc>
          <w:tcPr>
            <w:tcW w:w="975" w:type="dxa"/>
          </w:tcPr>
          <w:p w14:paraId="48077A60">
            <w:pPr>
              <w:spacing w:line="480" w:lineRule="exact"/>
              <w:rPr>
                <w:rFonts w:ascii="宋体" w:hAnsi="宋体" w:cs="宋体"/>
                <w:color w:val="auto"/>
                <w:sz w:val="24"/>
                <w:szCs w:val="24"/>
                <w:highlight w:val="none"/>
              </w:rPr>
            </w:pPr>
          </w:p>
        </w:tc>
      </w:tr>
      <w:tr w14:paraId="399D9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67" w:type="dxa"/>
            <w:vAlign w:val="center"/>
          </w:tcPr>
          <w:p w14:paraId="0D37F068">
            <w:pPr>
              <w:spacing w:line="480" w:lineRule="exact"/>
              <w:jc w:val="center"/>
              <w:rPr>
                <w:rFonts w:ascii="宋体" w:hAnsi="宋体" w:cs="宋体"/>
                <w:color w:val="auto"/>
                <w:sz w:val="24"/>
                <w:szCs w:val="24"/>
                <w:highlight w:val="none"/>
              </w:rPr>
            </w:pPr>
          </w:p>
        </w:tc>
        <w:tc>
          <w:tcPr>
            <w:tcW w:w="1912" w:type="dxa"/>
          </w:tcPr>
          <w:p w14:paraId="4DBBEA61">
            <w:pPr>
              <w:spacing w:line="480" w:lineRule="exact"/>
              <w:rPr>
                <w:rFonts w:ascii="宋体" w:hAnsi="宋体" w:cs="宋体"/>
                <w:color w:val="auto"/>
                <w:sz w:val="24"/>
                <w:szCs w:val="24"/>
                <w:highlight w:val="none"/>
              </w:rPr>
            </w:pPr>
          </w:p>
        </w:tc>
        <w:tc>
          <w:tcPr>
            <w:tcW w:w="1839" w:type="dxa"/>
          </w:tcPr>
          <w:p w14:paraId="4F9E5A07">
            <w:pPr>
              <w:spacing w:line="480" w:lineRule="exact"/>
              <w:rPr>
                <w:rFonts w:ascii="宋体" w:hAnsi="宋体" w:cs="宋体"/>
                <w:color w:val="auto"/>
                <w:sz w:val="24"/>
                <w:szCs w:val="24"/>
                <w:highlight w:val="none"/>
              </w:rPr>
            </w:pPr>
          </w:p>
        </w:tc>
        <w:tc>
          <w:tcPr>
            <w:tcW w:w="1593" w:type="dxa"/>
          </w:tcPr>
          <w:p w14:paraId="0FAAC2C7">
            <w:pPr>
              <w:spacing w:line="480" w:lineRule="exact"/>
              <w:rPr>
                <w:rFonts w:ascii="宋体" w:hAnsi="宋体" w:cs="宋体"/>
                <w:color w:val="auto"/>
                <w:sz w:val="24"/>
                <w:szCs w:val="24"/>
                <w:highlight w:val="none"/>
              </w:rPr>
            </w:pPr>
          </w:p>
        </w:tc>
        <w:tc>
          <w:tcPr>
            <w:tcW w:w="1500" w:type="dxa"/>
          </w:tcPr>
          <w:p w14:paraId="32DA1C4F">
            <w:pPr>
              <w:spacing w:line="480" w:lineRule="exact"/>
              <w:rPr>
                <w:rFonts w:ascii="宋体" w:hAnsi="宋体" w:cs="宋体"/>
                <w:color w:val="auto"/>
                <w:sz w:val="24"/>
                <w:szCs w:val="24"/>
                <w:highlight w:val="none"/>
              </w:rPr>
            </w:pPr>
          </w:p>
        </w:tc>
        <w:tc>
          <w:tcPr>
            <w:tcW w:w="750" w:type="dxa"/>
          </w:tcPr>
          <w:p w14:paraId="67BF29BE">
            <w:pPr>
              <w:spacing w:line="480" w:lineRule="exact"/>
              <w:rPr>
                <w:rFonts w:ascii="宋体" w:hAnsi="宋体" w:cs="宋体"/>
                <w:color w:val="auto"/>
                <w:sz w:val="24"/>
                <w:szCs w:val="24"/>
                <w:highlight w:val="none"/>
              </w:rPr>
            </w:pPr>
          </w:p>
        </w:tc>
        <w:tc>
          <w:tcPr>
            <w:tcW w:w="975" w:type="dxa"/>
          </w:tcPr>
          <w:p w14:paraId="1E1818AF">
            <w:pPr>
              <w:spacing w:line="480" w:lineRule="exact"/>
              <w:rPr>
                <w:rFonts w:ascii="宋体" w:hAnsi="宋体" w:cs="宋体"/>
                <w:color w:val="auto"/>
                <w:sz w:val="24"/>
                <w:szCs w:val="24"/>
                <w:highlight w:val="none"/>
              </w:rPr>
            </w:pPr>
          </w:p>
        </w:tc>
      </w:tr>
    </w:tbl>
    <w:p w14:paraId="65916BEC">
      <w:pPr>
        <w:pStyle w:val="16"/>
        <w:snapToGrid w:val="0"/>
        <w:spacing w:line="360" w:lineRule="auto"/>
        <w:rPr>
          <w:rFonts w:hAnsi="宋体" w:cs="宋体"/>
          <w:color w:val="auto"/>
          <w:highlight w:val="none"/>
        </w:rPr>
      </w:pPr>
      <w:r>
        <w:rPr>
          <w:rFonts w:hint="eastAsia" w:hAnsi="宋体" w:cs="宋体"/>
          <w:b/>
          <w:bCs/>
          <w:color w:val="auto"/>
          <w:szCs w:val="21"/>
          <w:highlight w:val="none"/>
        </w:rPr>
        <w:t>注：各供应商提供的货物对谈判文件中第五章《采购内容及要求》的“技术参数及性能要求”中标注五角星“★”条款不允许负偏离，未标注五角星“★”条款允许2项以内（含2项）负偏离，否则，将被视为非实质性响应谈判文件。供应商必须对以上所有内容作出全面、真实的反映。“技术参数及性能要求”中标注五角星“★”条款参数为实质性技术参数，实质性技术参数在响应文件中必须提供最新技术支持资料支持技术要求偏离表应答（包括产品技术白皮书或检验报告或图纸或印刷宣传彩页，不接受供应商自行印刷、打印或者手写的技术支持资料），采购需求有证明材料要求的以采购需求要求为准。凡不符合上述要求的，视为无效技术支持资料。未明确要求提供证明材料且未标注五角星“★”条款参数的按偏离情况如实填写。</w:t>
      </w:r>
    </w:p>
    <w:p w14:paraId="707D5B03">
      <w:pPr>
        <w:autoSpaceDE w:val="0"/>
        <w:spacing w:line="360" w:lineRule="auto"/>
        <w:rPr>
          <w:rFonts w:ascii="宋体" w:hAnsi="宋体" w:cs="宋体"/>
          <w:color w:val="auto"/>
          <w:sz w:val="24"/>
          <w:szCs w:val="24"/>
          <w:highlight w:val="none"/>
        </w:rPr>
      </w:pPr>
    </w:p>
    <w:p w14:paraId="1980A309">
      <w:pPr>
        <w:ind w:firstLine="1968" w:firstLineChars="700"/>
        <w:rPr>
          <w:rFonts w:ascii="宋体" w:hAnsi="宋体" w:cs="宋体"/>
          <w:b/>
          <w:color w:val="auto"/>
          <w:sz w:val="28"/>
          <w:szCs w:val="28"/>
          <w:highlight w:val="none"/>
        </w:rPr>
      </w:pPr>
      <w:bookmarkStart w:id="286" w:name="_Toc14236"/>
      <w:bookmarkEnd w:id="286"/>
      <w:bookmarkStart w:id="287" w:name="_Toc29437"/>
      <w:r>
        <w:rPr>
          <w:rFonts w:hint="eastAsia" w:ascii="宋体" w:hAnsi="宋体" w:cs="宋体"/>
          <w:b/>
          <w:color w:val="auto"/>
          <w:sz w:val="28"/>
          <w:szCs w:val="28"/>
          <w:highlight w:val="none"/>
        </w:rPr>
        <w:t>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4BD57DA2">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6B3BB5CE">
      <w:pPr>
        <w:ind w:firstLine="1968" w:firstLineChars="700"/>
        <w:rPr>
          <w:rFonts w:ascii="宋体" w:hAnsi="宋体" w:cs="宋体"/>
          <w:color w:val="auto"/>
          <w:sz w:val="28"/>
          <w:szCs w:val="28"/>
          <w:highlight w:val="none"/>
        </w:rPr>
        <w:sectPr>
          <w:footerReference r:id="rId13" w:type="default"/>
          <w:pgSz w:w="11906" w:h="16838"/>
          <w:pgMar w:top="1440" w:right="1083" w:bottom="1440" w:left="1083" w:header="720" w:footer="720" w:gutter="0"/>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318F979B">
      <w:pPr>
        <w:pStyle w:val="5"/>
        <w:widowControl/>
        <w:autoSpaceDE w:val="0"/>
        <w:spacing w:before="0" w:after="0" w:line="240" w:lineRule="auto"/>
        <w:rPr>
          <w:rFonts w:ascii="宋体" w:hAnsi="宋体" w:cs="宋体"/>
          <w:color w:val="auto"/>
          <w:highlight w:val="none"/>
        </w:rPr>
      </w:pPr>
      <w:bookmarkStart w:id="288" w:name="_Toc23347"/>
      <w:r>
        <w:rPr>
          <w:rFonts w:hint="eastAsia" w:ascii="宋体" w:hAnsi="宋体" w:cs="宋体"/>
          <w:color w:val="auto"/>
          <w:szCs w:val="28"/>
          <w:highlight w:val="none"/>
        </w:rPr>
        <w:t>八、</w:t>
      </w:r>
      <w:bookmarkEnd w:id="287"/>
      <w:r>
        <w:rPr>
          <w:rFonts w:hint="eastAsia" w:ascii="宋体" w:hAnsi="宋体" w:cs="宋体"/>
          <w:color w:val="auto"/>
          <w:szCs w:val="28"/>
          <w:highlight w:val="none"/>
        </w:rPr>
        <w:t>分项报价表</w:t>
      </w:r>
      <w:bookmarkEnd w:id="288"/>
    </w:p>
    <w:p w14:paraId="25514A0D">
      <w:pPr>
        <w:pStyle w:val="16"/>
        <w:rPr>
          <w:rFonts w:hAnsi="宋体" w:cs="宋体"/>
          <w:color w:val="auto"/>
          <w:sz w:val="24"/>
          <w:szCs w:val="24"/>
          <w:highlight w:val="none"/>
        </w:rPr>
      </w:pPr>
      <w:r>
        <w:rPr>
          <w:rFonts w:hint="eastAsia" w:hAnsi="宋体" w:cs="宋体"/>
          <w:color w:val="auto"/>
          <w:sz w:val="24"/>
          <w:szCs w:val="24"/>
          <w:highlight w:val="none"/>
        </w:rPr>
        <w:t xml:space="preserve">项目名称:                      </w:t>
      </w:r>
    </w:p>
    <w:p w14:paraId="061D7E77">
      <w:pPr>
        <w:rPr>
          <w:rFonts w:ascii="宋体" w:hAnsi="宋体" w:cs="宋体"/>
          <w:b/>
          <w:bCs/>
          <w:color w:val="auto"/>
          <w:sz w:val="24"/>
          <w:szCs w:val="24"/>
          <w:highlight w:val="none"/>
        </w:rPr>
      </w:pPr>
      <w:r>
        <w:rPr>
          <w:rFonts w:hint="eastAsia" w:ascii="宋体" w:hAnsi="宋体" w:cs="宋体"/>
          <w:color w:val="auto"/>
          <w:sz w:val="24"/>
          <w:szCs w:val="24"/>
          <w:highlight w:val="none"/>
        </w:rPr>
        <w:t xml:space="preserve">项目编号:  </w:t>
      </w:r>
    </w:p>
    <w:tbl>
      <w:tblPr>
        <w:tblStyle w:val="32"/>
        <w:tblW w:w="4989" w:type="pct"/>
        <w:tblInd w:w="0" w:type="dxa"/>
        <w:tblLayout w:type="fixed"/>
        <w:tblCellMar>
          <w:top w:w="0" w:type="dxa"/>
          <w:left w:w="108" w:type="dxa"/>
          <w:bottom w:w="0" w:type="dxa"/>
          <w:right w:w="108" w:type="dxa"/>
        </w:tblCellMar>
      </w:tblPr>
      <w:tblGrid>
        <w:gridCol w:w="558"/>
        <w:gridCol w:w="494"/>
        <w:gridCol w:w="752"/>
        <w:gridCol w:w="1428"/>
        <w:gridCol w:w="570"/>
        <w:gridCol w:w="664"/>
        <w:gridCol w:w="1381"/>
        <w:gridCol w:w="449"/>
        <w:gridCol w:w="628"/>
        <w:gridCol w:w="525"/>
        <w:gridCol w:w="525"/>
        <w:gridCol w:w="934"/>
        <w:gridCol w:w="1025"/>
      </w:tblGrid>
      <w:tr w14:paraId="701A7A9B">
        <w:tblPrEx>
          <w:tblCellMar>
            <w:top w:w="0" w:type="dxa"/>
            <w:left w:w="108" w:type="dxa"/>
            <w:bottom w:w="0" w:type="dxa"/>
            <w:right w:w="108" w:type="dxa"/>
          </w:tblCellMar>
        </w:tblPrEx>
        <w:trPr>
          <w:trHeight w:val="300"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BFB145">
            <w:pPr>
              <w:jc w:val="center"/>
              <w:textAlignment w:val="center"/>
              <w:rPr>
                <w:rFonts w:ascii="宋体" w:hAnsi="宋体" w:cs="宋体"/>
                <w:b/>
                <w:bCs/>
                <w:color w:val="auto"/>
                <w:highlight w:val="none"/>
              </w:rPr>
            </w:pPr>
            <w:r>
              <w:rPr>
                <w:rFonts w:hint="eastAsia" w:ascii="宋体" w:hAnsi="宋体" w:cs="宋体"/>
                <w:b/>
                <w:bCs/>
                <w:color w:val="auto"/>
                <w:highlight w:val="none"/>
                <w:lang w:bidi="ar"/>
              </w:rPr>
              <w:t>序号</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2210A8">
            <w:pPr>
              <w:jc w:val="center"/>
              <w:textAlignment w:val="center"/>
              <w:rPr>
                <w:rFonts w:ascii="宋体" w:hAnsi="宋体" w:cs="宋体"/>
                <w:b/>
                <w:bCs/>
                <w:color w:val="auto"/>
                <w:highlight w:val="none"/>
              </w:rPr>
            </w:pPr>
            <w:r>
              <w:rPr>
                <w:rFonts w:hint="eastAsia" w:ascii="宋体" w:hAnsi="宋体" w:cs="宋体"/>
                <w:b/>
                <w:bCs/>
                <w:color w:val="auto"/>
                <w:highlight w:val="none"/>
                <w:lang w:bidi="ar"/>
              </w:rPr>
              <w:t>标段代码</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CBE338F">
            <w:pPr>
              <w:jc w:val="center"/>
              <w:textAlignment w:val="center"/>
              <w:rPr>
                <w:rFonts w:ascii="宋体" w:hAnsi="宋体" w:cs="宋体"/>
                <w:b/>
                <w:bCs/>
                <w:color w:val="auto"/>
                <w:highlight w:val="none"/>
              </w:rPr>
            </w:pPr>
            <w:r>
              <w:rPr>
                <w:rFonts w:hint="eastAsia" w:ascii="宋体" w:hAnsi="宋体" w:cs="宋体"/>
                <w:b/>
                <w:bCs/>
                <w:color w:val="auto"/>
                <w:highlight w:val="none"/>
                <w:lang w:bidi="ar"/>
              </w:rPr>
              <w:t>是否允许进口</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CFCA217">
            <w:pPr>
              <w:jc w:val="center"/>
              <w:textAlignment w:val="center"/>
              <w:rPr>
                <w:rFonts w:ascii="宋体" w:hAnsi="宋体" w:cs="宋体"/>
                <w:b/>
                <w:bCs/>
                <w:color w:val="auto"/>
                <w:highlight w:val="none"/>
              </w:rPr>
            </w:pPr>
            <w:r>
              <w:rPr>
                <w:rFonts w:hint="eastAsia" w:ascii="宋体" w:hAnsi="宋体" w:cs="宋体"/>
                <w:b/>
                <w:bCs/>
                <w:color w:val="auto"/>
                <w:highlight w:val="none"/>
              </w:rPr>
              <w:t>项目（产品）名称</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365789A">
            <w:pPr>
              <w:jc w:val="center"/>
              <w:textAlignment w:val="center"/>
              <w:rPr>
                <w:rFonts w:ascii="宋体" w:hAnsi="宋体" w:cs="宋体"/>
                <w:b/>
                <w:bCs/>
                <w:color w:val="auto"/>
                <w:highlight w:val="none"/>
              </w:rPr>
            </w:pPr>
            <w:r>
              <w:rPr>
                <w:rFonts w:hint="eastAsia" w:ascii="宋体" w:hAnsi="宋体" w:cs="宋体"/>
                <w:b/>
                <w:bCs/>
                <w:color w:val="auto"/>
                <w:highlight w:val="none"/>
                <w:lang w:bidi="ar"/>
              </w:rPr>
              <w:t>数量</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DAB0ED3">
            <w:pPr>
              <w:jc w:val="center"/>
              <w:textAlignment w:val="center"/>
              <w:rPr>
                <w:rFonts w:ascii="宋体" w:hAnsi="宋体" w:cs="宋体"/>
                <w:b/>
                <w:bCs/>
                <w:color w:val="auto"/>
                <w:highlight w:val="none"/>
              </w:rPr>
            </w:pPr>
            <w:r>
              <w:rPr>
                <w:rFonts w:hint="eastAsia" w:ascii="宋体" w:hAnsi="宋体" w:cs="宋体"/>
                <w:b/>
                <w:bCs/>
                <w:color w:val="auto"/>
                <w:highlight w:val="none"/>
                <w:lang w:bidi="ar"/>
              </w:rPr>
              <w:t>计量单位</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4EA8565">
            <w:pPr>
              <w:jc w:val="center"/>
              <w:textAlignment w:val="center"/>
              <w:rPr>
                <w:rFonts w:ascii="宋体" w:hAnsi="宋体" w:cs="宋体"/>
                <w:b/>
                <w:bCs/>
                <w:color w:val="auto"/>
                <w:highlight w:val="none"/>
              </w:rPr>
            </w:pPr>
            <w:r>
              <w:rPr>
                <w:rFonts w:hint="eastAsia" w:ascii="宋体" w:hAnsi="宋体" w:cs="宋体"/>
                <w:b/>
                <w:bCs/>
                <w:color w:val="auto"/>
                <w:highlight w:val="none"/>
                <w:lang w:bidi="ar"/>
              </w:rPr>
              <w:t>最高单价限价(元)</w:t>
            </w:r>
          </w:p>
        </w:tc>
        <w:tc>
          <w:tcPr>
            <w:tcW w:w="226" w:type="pct"/>
            <w:tcBorders>
              <w:top w:val="single" w:color="000000" w:sz="4" w:space="0"/>
              <w:left w:val="single" w:color="000000" w:sz="4" w:space="0"/>
              <w:bottom w:val="single" w:color="000000" w:sz="4" w:space="0"/>
              <w:right w:val="single" w:color="000000" w:sz="4" w:space="0"/>
            </w:tcBorders>
            <w:vAlign w:val="center"/>
          </w:tcPr>
          <w:p w14:paraId="4EECBBCD">
            <w:pPr>
              <w:pStyle w:val="16"/>
              <w:jc w:val="center"/>
              <w:rPr>
                <w:rFonts w:hAnsi="宋体" w:cs="宋体"/>
                <w:b/>
                <w:bCs/>
                <w:color w:val="auto"/>
                <w:szCs w:val="21"/>
                <w:highlight w:val="none"/>
              </w:rPr>
            </w:pPr>
            <w:r>
              <w:rPr>
                <w:rFonts w:hint="eastAsia" w:hAnsi="宋体" w:cs="宋体"/>
                <w:b/>
                <w:bCs/>
                <w:color w:val="auto"/>
                <w:szCs w:val="21"/>
                <w:highlight w:val="none"/>
              </w:rPr>
              <w:t>品牌</w:t>
            </w:r>
          </w:p>
        </w:tc>
        <w:tc>
          <w:tcPr>
            <w:tcW w:w="316" w:type="pct"/>
            <w:tcBorders>
              <w:top w:val="single" w:color="000000" w:sz="4" w:space="0"/>
              <w:left w:val="single" w:color="000000" w:sz="4" w:space="0"/>
              <w:bottom w:val="single" w:color="000000" w:sz="4" w:space="0"/>
              <w:right w:val="single" w:color="000000" w:sz="4" w:space="0"/>
            </w:tcBorders>
            <w:vAlign w:val="center"/>
          </w:tcPr>
          <w:p w14:paraId="3C5B39EF">
            <w:pPr>
              <w:pStyle w:val="16"/>
              <w:jc w:val="center"/>
              <w:rPr>
                <w:rFonts w:hAnsi="宋体" w:cs="宋体"/>
                <w:b/>
                <w:bCs/>
                <w:color w:val="auto"/>
                <w:szCs w:val="21"/>
                <w:highlight w:val="none"/>
              </w:rPr>
            </w:pPr>
            <w:r>
              <w:rPr>
                <w:rFonts w:hint="eastAsia" w:hAnsi="宋体" w:cs="宋体"/>
                <w:b/>
                <w:bCs/>
                <w:color w:val="auto"/>
                <w:szCs w:val="21"/>
                <w:highlight w:val="none"/>
              </w:rPr>
              <w:t>型号和规格</w:t>
            </w:r>
          </w:p>
        </w:tc>
        <w:tc>
          <w:tcPr>
            <w:tcW w:w="264" w:type="pct"/>
            <w:tcBorders>
              <w:top w:val="single" w:color="000000" w:sz="4" w:space="0"/>
              <w:left w:val="single" w:color="000000" w:sz="4" w:space="0"/>
              <w:bottom w:val="single" w:color="000000" w:sz="4" w:space="0"/>
              <w:right w:val="single" w:color="000000" w:sz="4" w:space="0"/>
            </w:tcBorders>
            <w:vAlign w:val="center"/>
          </w:tcPr>
          <w:p w14:paraId="0BE20B37">
            <w:pPr>
              <w:pStyle w:val="16"/>
              <w:jc w:val="center"/>
              <w:rPr>
                <w:rFonts w:hAnsi="宋体" w:cs="宋体"/>
                <w:b/>
                <w:bCs/>
                <w:color w:val="auto"/>
                <w:szCs w:val="21"/>
                <w:highlight w:val="none"/>
              </w:rPr>
            </w:pPr>
            <w:r>
              <w:rPr>
                <w:rFonts w:hint="eastAsia" w:hAnsi="宋体" w:cs="宋体"/>
                <w:b/>
                <w:bCs/>
                <w:color w:val="auto"/>
                <w:szCs w:val="21"/>
                <w:highlight w:val="none"/>
              </w:rPr>
              <w:t>原产地</w:t>
            </w:r>
          </w:p>
        </w:tc>
        <w:tc>
          <w:tcPr>
            <w:tcW w:w="264" w:type="pct"/>
            <w:tcBorders>
              <w:top w:val="single" w:color="000000" w:sz="4" w:space="0"/>
              <w:left w:val="single" w:color="000000" w:sz="4" w:space="0"/>
              <w:bottom w:val="single" w:color="000000" w:sz="4" w:space="0"/>
              <w:right w:val="single" w:color="000000" w:sz="4" w:space="0"/>
            </w:tcBorders>
            <w:vAlign w:val="center"/>
          </w:tcPr>
          <w:p w14:paraId="789649CD">
            <w:pPr>
              <w:pStyle w:val="16"/>
              <w:jc w:val="center"/>
              <w:rPr>
                <w:rFonts w:hAnsi="宋体" w:cs="宋体"/>
                <w:b/>
                <w:bCs/>
                <w:color w:val="auto"/>
                <w:szCs w:val="21"/>
                <w:highlight w:val="none"/>
              </w:rPr>
            </w:pPr>
            <w:r>
              <w:rPr>
                <w:rFonts w:hint="eastAsia" w:hAnsi="宋体" w:cs="宋体"/>
                <w:b/>
                <w:bCs/>
                <w:color w:val="auto"/>
                <w:szCs w:val="21"/>
                <w:highlight w:val="none"/>
              </w:rPr>
              <w:t>制造商名称</w:t>
            </w:r>
          </w:p>
        </w:tc>
        <w:tc>
          <w:tcPr>
            <w:tcW w:w="470"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C7EC97A">
            <w:pPr>
              <w:pStyle w:val="16"/>
              <w:jc w:val="center"/>
              <w:rPr>
                <w:rFonts w:hAnsi="宋体" w:cs="宋体"/>
                <w:b/>
                <w:bCs/>
                <w:color w:val="auto"/>
                <w:szCs w:val="21"/>
                <w:highlight w:val="none"/>
              </w:rPr>
            </w:pPr>
            <w:r>
              <w:rPr>
                <w:rFonts w:hint="eastAsia" w:hAnsi="宋体" w:cs="宋体"/>
                <w:b/>
                <w:bCs/>
                <w:color w:val="auto"/>
                <w:szCs w:val="21"/>
                <w:highlight w:val="none"/>
              </w:rPr>
              <w:t>谈判单价（元）</w:t>
            </w:r>
          </w:p>
        </w:tc>
        <w:tc>
          <w:tcPr>
            <w:tcW w:w="510"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03A425">
            <w:pPr>
              <w:pStyle w:val="16"/>
              <w:jc w:val="center"/>
              <w:rPr>
                <w:rFonts w:hAnsi="宋体" w:cs="宋体"/>
                <w:b/>
                <w:bCs/>
                <w:color w:val="auto"/>
                <w:szCs w:val="21"/>
                <w:highlight w:val="none"/>
              </w:rPr>
            </w:pPr>
            <w:r>
              <w:rPr>
                <w:rFonts w:hint="eastAsia" w:hAnsi="宋体" w:cs="宋体"/>
                <w:b/>
                <w:bCs/>
                <w:color w:val="auto"/>
                <w:szCs w:val="21"/>
                <w:highlight w:val="none"/>
              </w:rPr>
              <w:t>谈判合价（元）</w:t>
            </w:r>
          </w:p>
        </w:tc>
      </w:tr>
      <w:tr w14:paraId="77965002">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4B3F8CF">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CB5E112">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69A6DBB">
            <w:pPr>
              <w:jc w:val="center"/>
              <w:rPr>
                <w:rFonts w:ascii="宋体" w:hAnsi="宋体" w:cs="宋体"/>
                <w:color w:val="auto"/>
                <w:highlight w:val="none"/>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206940C">
            <w:pPr>
              <w:jc w:val="center"/>
              <w:textAlignment w:val="center"/>
              <w:rPr>
                <w:rFonts w:ascii="宋体" w:hAnsi="宋体" w:cs="宋体"/>
                <w:color w:val="auto"/>
                <w:highlight w:val="none"/>
              </w:rPr>
            </w:pPr>
            <w:r>
              <w:rPr>
                <w:rFonts w:hint="eastAsia" w:ascii="宋体" w:hAnsi="宋体" w:cs="宋体"/>
                <w:color w:val="auto"/>
                <w:highlight w:val="none"/>
                <w:lang w:bidi="ar"/>
              </w:rPr>
              <w:t>生物安全柜</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5549088">
            <w:pPr>
              <w:jc w:val="center"/>
              <w:textAlignment w:val="center"/>
              <w:rPr>
                <w:rFonts w:ascii="宋体" w:hAnsi="宋体" w:cs="宋体"/>
                <w:color w:val="auto"/>
                <w:highlight w:val="none"/>
              </w:rPr>
            </w:pPr>
            <w:r>
              <w:rPr>
                <w:rFonts w:hint="eastAsia" w:ascii="宋体" w:hAnsi="宋体" w:cs="宋体"/>
                <w:color w:val="auto"/>
                <w:highlight w:val="none"/>
                <w:lang w:bidi="ar"/>
              </w:rPr>
              <w:t>4</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770A693">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C903A73">
            <w:pPr>
              <w:jc w:val="right"/>
              <w:textAlignment w:val="center"/>
              <w:rPr>
                <w:rFonts w:ascii="宋体" w:hAnsi="宋体" w:cs="宋体"/>
                <w:color w:val="auto"/>
                <w:highlight w:val="none"/>
              </w:rPr>
            </w:pPr>
            <w:r>
              <w:rPr>
                <w:rFonts w:hint="eastAsia" w:ascii="宋体" w:hAnsi="宋体" w:cs="宋体"/>
                <w:color w:val="auto"/>
                <w:highlight w:val="none"/>
                <w:lang w:bidi="ar"/>
              </w:rPr>
              <w:t>75,000.00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5C01BD">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CF3CA6">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A4960F">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F4901">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255652">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D42073">
            <w:pPr>
              <w:jc w:val="center"/>
              <w:rPr>
                <w:rFonts w:ascii="宋体" w:hAnsi="宋体" w:cs="宋体"/>
                <w:color w:val="auto"/>
                <w:highlight w:val="none"/>
              </w:rPr>
            </w:pPr>
          </w:p>
        </w:tc>
      </w:tr>
      <w:tr w14:paraId="00684CA2">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4C7C4BB">
            <w:pPr>
              <w:jc w:val="center"/>
              <w:textAlignment w:val="center"/>
              <w:rPr>
                <w:rFonts w:ascii="宋体" w:hAnsi="宋体" w:cs="宋体"/>
                <w:color w:val="auto"/>
                <w:highlight w:val="none"/>
                <w:lang w:bidi="ar"/>
              </w:rPr>
            </w:pPr>
            <w:r>
              <w:rPr>
                <w:rFonts w:hint="eastAsia" w:ascii="宋体" w:hAnsi="宋体" w:cs="宋体"/>
                <w:color w:val="auto"/>
                <w:highlight w:val="none"/>
                <w:lang w:bidi="ar"/>
              </w:rPr>
              <w:t>2</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79F52B4">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ECED4AB">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E0D983F">
            <w:pPr>
              <w:jc w:val="center"/>
              <w:textAlignment w:val="center"/>
              <w:rPr>
                <w:rFonts w:ascii="宋体" w:hAnsi="宋体" w:cs="宋体"/>
                <w:color w:val="auto"/>
                <w:highlight w:val="none"/>
              </w:rPr>
            </w:pPr>
            <w:r>
              <w:rPr>
                <w:rFonts w:hint="eastAsia" w:ascii="宋体" w:hAnsi="宋体" w:cs="宋体"/>
                <w:color w:val="auto"/>
                <w:highlight w:val="none"/>
                <w:lang w:bidi="ar"/>
              </w:rPr>
              <w:t>气瓶柜</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52308D">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D5A31D8">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173F67B">
            <w:pPr>
              <w:jc w:val="right"/>
              <w:textAlignment w:val="center"/>
              <w:rPr>
                <w:rFonts w:ascii="宋体" w:hAnsi="宋体" w:cs="宋体"/>
                <w:color w:val="auto"/>
                <w:highlight w:val="none"/>
              </w:rPr>
            </w:pPr>
            <w:r>
              <w:rPr>
                <w:rFonts w:hint="eastAsia" w:ascii="宋体" w:hAnsi="宋体" w:cs="宋体"/>
                <w:color w:val="auto"/>
                <w:highlight w:val="none"/>
                <w:lang w:bidi="ar"/>
              </w:rPr>
              <w:t>18,500.00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F3E832">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68A072">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8B2958">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8C8707">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090525">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6D7A81">
            <w:pPr>
              <w:jc w:val="center"/>
              <w:rPr>
                <w:rFonts w:ascii="宋体" w:hAnsi="宋体" w:cs="宋体"/>
                <w:color w:val="auto"/>
                <w:highlight w:val="none"/>
              </w:rPr>
            </w:pPr>
          </w:p>
        </w:tc>
      </w:tr>
      <w:tr w14:paraId="0E17FAFD">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3B90A3E">
            <w:pPr>
              <w:jc w:val="center"/>
              <w:textAlignment w:val="center"/>
              <w:rPr>
                <w:rFonts w:ascii="宋体" w:hAnsi="宋体" w:cs="宋体"/>
                <w:color w:val="auto"/>
                <w:highlight w:val="none"/>
                <w:lang w:bidi="ar"/>
              </w:rPr>
            </w:pPr>
            <w:r>
              <w:rPr>
                <w:rFonts w:hint="eastAsia" w:ascii="宋体" w:hAnsi="宋体" w:cs="宋体"/>
                <w:color w:val="auto"/>
                <w:highlight w:val="none"/>
                <w:lang w:bidi="ar"/>
              </w:rPr>
              <w:t>3</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B038D79">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BDC57F2">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9A58302">
            <w:pPr>
              <w:jc w:val="center"/>
              <w:textAlignment w:val="center"/>
              <w:rPr>
                <w:rFonts w:ascii="宋体" w:hAnsi="宋体" w:cs="宋体"/>
                <w:color w:val="auto"/>
                <w:highlight w:val="none"/>
              </w:rPr>
            </w:pPr>
            <w:r>
              <w:rPr>
                <w:rFonts w:hint="eastAsia" w:ascii="宋体" w:hAnsi="宋体" w:cs="宋体"/>
                <w:color w:val="auto"/>
                <w:highlight w:val="none"/>
                <w:lang w:bidi="ar"/>
              </w:rPr>
              <w:t>洁净腔</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27D4093">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B5764C4">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3C25C2A">
            <w:pPr>
              <w:jc w:val="right"/>
              <w:textAlignment w:val="center"/>
              <w:rPr>
                <w:rFonts w:ascii="宋体" w:hAnsi="宋体" w:cs="宋体"/>
                <w:color w:val="auto"/>
                <w:highlight w:val="none"/>
              </w:rPr>
            </w:pPr>
            <w:r>
              <w:rPr>
                <w:rFonts w:hint="eastAsia" w:ascii="宋体" w:hAnsi="宋体" w:cs="宋体"/>
                <w:color w:val="auto"/>
                <w:highlight w:val="none"/>
                <w:lang w:bidi="ar"/>
              </w:rPr>
              <w:t>188,000.00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0A2521">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73C8A5">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AAF9A1">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E1C88D">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13EB4D">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A63EB3">
            <w:pPr>
              <w:jc w:val="center"/>
              <w:rPr>
                <w:rFonts w:ascii="宋体" w:hAnsi="宋体" w:cs="宋体"/>
                <w:color w:val="auto"/>
                <w:highlight w:val="none"/>
              </w:rPr>
            </w:pPr>
          </w:p>
        </w:tc>
      </w:tr>
      <w:tr w14:paraId="1A1EE036">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1D4170C">
            <w:pPr>
              <w:jc w:val="center"/>
              <w:textAlignment w:val="center"/>
              <w:rPr>
                <w:rFonts w:ascii="宋体" w:hAnsi="宋体" w:cs="宋体"/>
                <w:color w:val="auto"/>
                <w:highlight w:val="none"/>
                <w:lang w:bidi="ar"/>
              </w:rPr>
            </w:pPr>
            <w:r>
              <w:rPr>
                <w:rFonts w:hint="eastAsia" w:ascii="宋体" w:hAnsi="宋体" w:cs="宋体"/>
                <w:color w:val="auto"/>
                <w:highlight w:val="none"/>
                <w:lang w:bidi="ar"/>
              </w:rPr>
              <w:t>4</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A8E3DFF">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27E6971">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35D90EF">
            <w:pPr>
              <w:jc w:val="center"/>
              <w:textAlignment w:val="center"/>
              <w:rPr>
                <w:rFonts w:ascii="宋体" w:hAnsi="宋体" w:cs="宋体"/>
                <w:color w:val="auto"/>
                <w:highlight w:val="none"/>
              </w:rPr>
            </w:pPr>
            <w:r>
              <w:rPr>
                <w:rFonts w:hint="eastAsia" w:ascii="宋体" w:hAnsi="宋体" w:cs="宋体"/>
                <w:color w:val="auto"/>
                <w:highlight w:val="none"/>
                <w:lang w:bidi="ar"/>
              </w:rPr>
              <w:t>紫外灭菌系统</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E226ED4">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AFB6DD4">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3BD5C32">
            <w:pPr>
              <w:jc w:val="right"/>
              <w:textAlignment w:val="center"/>
              <w:rPr>
                <w:rFonts w:ascii="宋体" w:hAnsi="宋体" w:cs="宋体"/>
                <w:color w:val="auto"/>
                <w:highlight w:val="none"/>
              </w:rPr>
            </w:pPr>
            <w:r>
              <w:rPr>
                <w:rFonts w:hint="eastAsia" w:ascii="宋体" w:hAnsi="宋体" w:cs="宋体"/>
                <w:color w:val="auto"/>
                <w:highlight w:val="none"/>
                <w:lang w:bidi="ar"/>
              </w:rPr>
              <w:t>29,000.00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D9DA6A">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E10699">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8A1272">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687C06">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E8053B">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C4EBC9">
            <w:pPr>
              <w:jc w:val="center"/>
              <w:rPr>
                <w:rFonts w:ascii="宋体" w:hAnsi="宋体" w:cs="宋体"/>
                <w:color w:val="auto"/>
                <w:highlight w:val="none"/>
              </w:rPr>
            </w:pPr>
          </w:p>
        </w:tc>
      </w:tr>
      <w:tr w14:paraId="10A02917">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DD30457">
            <w:pPr>
              <w:jc w:val="center"/>
              <w:textAlignment w:val="center"/>
              <w:rPr>
                <w:rFonts w:ascii="宋体" w:hAnsi="宋体" w:cs="宋体"/>
                <w:color w:val="auto"/>
                <w:highlight w:val="none"/>
                <w:lang w:bidi="ar"/>
              </w:rPr>
            </w:pPr>
            <w:r>
              <w:rPr>
                <w:rFonts w:hint="eastAsia" w:ascii="宋体" w:hAnsi="宋体" w:cs="宋体"/>
                <w:color w:val="auto"/>
                <w:highlight w:val="none"/>
                <w:lang w:bidi="ar"/>
              </w:rPr>
              <w:t>5</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BDBFC55">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02A0189">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8E3B0DB">
            <w:pPr>
              <w:jc w:val="center"/>
              <w:textAlignment w:val="center"/>
              <w:rPr>
                <w:rFonts w:ascii="宋体" w:hAnsi="宋体" w:cs="宋体"/>
                <w:color w:val="auto"/>
                <w:highlight w:val="none"/>
              </w:rPr>
            </w:pPr>
            <w:r>
              <w:rPr>
                <w:rFonts w:hint="eastAsia" w:ascii="宋体" w:hAnsi="宋体" w:cs="宋体"/>
                <w:color w:val="auto"/>
                <w:highlight w:val="none"/>
                <w:lang w:bidi="ar"/>
              </w:rPr>
              <w:t>净化空调</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F085EFE">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64C004B">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0946BCA">
            <w:pPr>
              <w:jc w:val="right"/>
              <w:textAlignment w:val="center"/>
              <w:rPr>
                <w:rFonts w:ascii="宋体" w:hAnsi="宋体" w:cs="宋体"/>
                <w:color w:val="auto"/>
                <w:highlight w:val="none"/>
              </w:rPr>
            </w:pPr>
            <w:r>
              <w:rPr>
                <w:rFonts w:hint="eastAsia" w:ascii="宋体" w:hAnsi="宋体" w:cs="宋体"/>
                <w:color w:val="auto"/>
                <w:highlight w:val="none"/>
                <w:lang w:bidi="ar"/>
              </w:rPr>
              <w:t>76,000.00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539BD4">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EF53B2">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2C25FC">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8CEE45">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485790">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B23B21">
            <w:pPr>
              <w:jc w:val="center"/>
              <w:rPr>
                <w:rFonts w:ascii="宋体" w:hAnsi="宋体" w:cs="宋体"/>
                <w:color w:val="auto"/>
                <w:highlight w:val="none"/>
              </w:rPr>
            </w:pPr>
          </w:p>
        </w:tc>
      </w:tr>
      <w:tr w14:paraId="7729E28F">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D3FBD03">
            <w:pPr>
              <w:jc w:val="center"/>
              <w:textAlignment w:val="center"/>
              <w:rPr>
                <w:rFonts w:ascii="宋体" w:hAnsi="宋体" w:cs="宋体"/>
                <w:color w:val="auto"/>
                <w:highlight w:val="none"/>
                <w:lang w:bidi="ar"/>
              </w:rPr>
            </w:pPr>
            <w:r>
              <w:rPr>
                <w:rFonts w:hint="eastAsia" w:ascii="宋体" w:hAnsi="宋体" w:cs="宋体"/>
                <w:color w:val="auto"/>
                <w:highlight w:val="none"/>
                <w:lang w:bidi="ar"/>
              </w:rPr>
              <w:t>6</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F1D8823">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CB16A8B">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489BD8B">
            <w:pPr>
              <w:jc w:val="center"/>
              <w:textAlignment w:val="center"/>
              <w:rPr>
                <w:rFonts w:ascii="宋体" w:hAnsi="宋体" w:cs="宋体"/>
                <w:color w:val="auto"/>
                <w:highlight w:val="none"/>
              </w:rPr>
            </w:pPr>
            <w:r>
              <w:rPr>
                <w:rFonts w:hint="eastAsia" w:ascii="宋体" w:hAnsi="宋体" w:cs="宋体"/>
                <w:color w:val="auto"/>
                <w:highlight w:val="none"/>
                <w:lang w:bidi="ar"/>
              </w:rPr>
              <w:t>净化新风机</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578A5D1">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9ED92EF">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5C08AA6">
            <w:pPr>
              <w:jc w:val="right"/>
              <w:textAlignment w:val="center"/>
              <w:rPr>
                <w:rFonts w:ascii="宋体" w:hAnsi="宋体" w:cs="宋体"/>
                <w:color w:val="auto"/>
                <w:highlight w:val="none"/>
              </w:rPr>
            </w:pPr>
            <w:r>
              <w:rPr>
                <w:rFonts w:hint="eastAsia" w:ascii="宋体" w:hAnsi="宋体" w:cs="宋体"/>
                <w:color w:val="auto"/>
                <w:highlight w:val="none"/>
                <w:lang w:bidi="ar"/>
              </w:rPr>
              <w:t>47,800.00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7E5245">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982496">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7BB4F6">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39660F">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1A93DE">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39D50F">
            <w:pPr>
              <w:jc w:val="center"/>
              <w:rPr>
                <w:rFonts w:ascii="宋体" w:hAnsi="宋体" w:cs="宋体"/>
                <w:color w:val="auto"/>
                <w:highlight w:val="none"/>
              </w:rPr>
            </w:pPr>
          </w:p>
        </w:tc>
      </w:tr>
      <w:tr w14:paraId="27A7A8AC">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BE76CC6">
            <w:pPr>
              <w:jc w:val="center"/>
              <w:textAlignment w:val="center"/>
              <w:rPr>
                <w:rFonts w:ascii="宋体" w:hAnsi="宋体" w:cs="宋体"/>
                <w:color w:val="auto"/>
                <w:highlight w:val="none"/>
                <w:lang w:bidi="ar"/>
              </w:rPr>
            </w:pPr>
            <w:r>
              <w:rPr>
                <w:rFonts w:hint="eastAsia" w:ascii="宋体" w:hAnsi="宋体" w:cs="宋体"/>
                <w:color w:val="auto"/>
                <w:highlight w:val="none"/>
                <w:lang w:bidi="ar"/>
              </w:rPr>
              <w:t>7</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6392C8E">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BB991E1">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20474B7">
            <w:pPr>
              <w:jc w:val="center"/>
              <w:textAlignment w:val="center"/>
              <w:rPr>
                <w:rFonts w:ascii="宋体" w:hAnsi="宋体" w:cs="宋体"/>
                <w:color w:val="auto"/>
                <w:highlight w:val="none"/>
              </w:rPr>
            </w:pPr>
            <w:r>
              <w:rPr>
                <w:rFonts w:hint="eastAsia" w:ascii="宋体" w:hAnsi="宋体" w:cs="宋体"/>
                <w:color w:val="auto"/>
                <w:highlight w:val="none"/>
                <w:lang w:bidi="ar"/>
              </w:rPr>
              <w:t>化学安全柜</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F35AA23">
            <w:pPr>
              <w:jc w:val="center"/>
              <w:textAlignment w:val="center"/>
              <w:rPr>
                <w:rFonts w:ascii="宋体" w:hAnsi="宋体" w:cs="宋体"/>
                <w:color w:val="auto"/>
                <w:highlight w:val="none"/>
              </w:rPr>
            </w:pPr>
            <w:r>
              <w:rPr>
                <w:rFonts w:hint="eastAsia" w:ascii="宋体" w:hAnsi="宋体" w:cs="宋体"/>
                <w:color w:val="auto"/>
                <w:highlight w:val="none"/>
                <w:lang w:bidi="ar"/>
              </w:rPr>
              <w:t>2</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1677D3">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409D32C">
            <w:pPr>
              <w:jc w:val="right"/>
              <w:textAlignment w:val="center"/>
              <w:rPr>
                <w:rFonts w:ascii="宋体" w:hAnsi="宋体" w:cs="宋体"/>
                <w:color w:val="auto"/>
                <w:highlight w:val="none"/>
              </w:rPr>
            </w:pPr>
            <w:r>
              <w:rPr>
                <w:rFonts w:hint="eastAsia" w:ascii="宋体" w:hAnsi="宋体" w:cs="宋体"/>
                <w:color w:val="auto"/>
                <w:highlight w:val="none"/>
                <w:lang w:bidi="ar"/>
              </w:rPr>
              <w:t>16,500.00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A8649">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017B61">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DFFA5B">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CD5B39">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C95A82">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AF155C">
            <w:pPr>
              <w:jc w:val="center"/>
              <w:rPr>
                <w:rFonts w:ascii="宋体" w:hAnsi="宋体" w:cs="宋体"/>
                <w:color w:val="auto"/>
                <w:highlight w:val="none"/>
              </w:rPr>
            </w:pPr>
          </w:p>
        </w:tc>
      </w:tr>
      <w:tr w14:paraId="4EE15159">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F708DBF">
            <w:pPr>
              <w:jc w:val="center"/>
              <w:textAlignment w:val="center"/>
              <w:rPr>
                <w:rFonts w:ascii="宋体" w:hAnsi="宋体" w:cs="宋体"/>
                <w:color w:val="auto"/>
                <w:highlight w:val="none"/>
                <w:lang w:bidi="ar"/>
              </w:rPr>
            </w:pPr>
            <w:r>
              <w:rPr>
                <w:rFonts w:hint="eastAsia" w:ascii="宋体" w:hAnsi="宋体" w:cs="宋体"/>
                <w:color w:val="auto"/>
                <w:highlight w:val="none"/>
                <w:lang w:bidi="ar"/>
              </w:rPr>
              <w:t>8</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85277FB">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9DF6149">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FEBC31E">
            <w:pPr>
              <w:jc w:val="center"/>
              <w:textAlignment w:val="center"/>
              <w:rPr>
                <w:rFonts w:ascii="宋体" w:hAnsi="宋体" w:cs="宋体"/>
                <w:color w:val="auto"/>
                <w:highlight w:val="none"/>
              </w:rPr>
            </w:pPr>
            <w:r>
              <w:rPr>
                <w:rFonts w:hint="eastAsia" w:ascii="宋体" w:hAnsi="宋体" w:cs="宋体"/>
                <w:color w:val="auto"/>
                <w:highlight w:val="none"/>
                <w:lang w:bidi="ar"/>
              </w:rPr>
              <w:t>易制毒易制爆柜</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D7EF936">
            <w:pPr>
              <w:jc w:val="center"/>
              <w:textAlignment w:val="center"/>
              <w:rPr>
                <w:rFonts w:ascii="宋体" w:hAnsi="宋体" w:cs="宋体"/>
                <w:color w:val="auto"/>
                <w:highlight w:val="none"/>
              </w:rPr>
            </w:pPr>
            <w:r>
              <w:rPr>
                <w:rFonts w:hint="eastAsia" w:ascii="宋体" w:hAnsi="宋体" w:cs="宋体"/>
                <w:color w:val="auto"/>
                <w:highlight w:val="none"/>
                <w:lang w:bidi="ar"/>
              </w:rPr>
              <w:t>2</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8CDADAB">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4E37322">
            <w:pPr>
              <w:jc w:val="right"/>
              <w:textAlignment w:val="center"/>
              <w:rPr>
                <w:rFonts w:ascii="宋体" w:hAnsi="宋体" w:cs="宋体"/>
                <w:color w:val="auto"/>
                <w:highlight w:val="none"/>
              </w:rPr>
            </w:pPr>
            <w:r>
              <w:rPr>
                <w:rFonts w:hint="eastAsia" w:ascii="宋体" w:hAnsi="宋体" w:cs="宋体"/>
                <w:color w:val="auto"/>
                <w:highlight w:val="none"/>
                <w:lang w:bidi="ar"/>
              </w:rPr>
              <w:t>19,500.00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69925">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D6082C">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DA504">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7D355">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CF6502">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58FE80">
            <w:pPr>
              <w:jc w:val="center"/>
              <w:rPr>
                <w:rFonts w:ascii="宋体" w:hAnsi="宋体" w:cs="宋体"/>
                <w:color w:val="auto"/>
                <w:highlight w:val="none"/>
              </w:rPr>
            </w:pPr>
          </w:p>
        </w:tc>
      </w:tr>
      <w:tr w14:paraId="47DD5C68">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95C0DB8">
            <w:pPr>
              <w:jc w:val="center"/>
              <w:textAlignment w:val="center"/>
              <w:rPr>
                <w:rFonts w:ascii="宋体" w:hAnsi="宋体" w:cs="宋体"/>
                <w:color w:val="auto"/>
                <w:highlight w:val="none"/>
                <w:lang w:bidi="ar"/>
              </w:rPr>
            </w:pPr>
            <w:r>
              <w:rPr>
                <w:rFonts w:hint="eastAsia" w:ascii="宋体" w:hAnsi="宋体" w:cs="宋体"/>
                <w:color w:val="auto"/>
                <w:highlight w:val="none"/>
                <w:lang w:bidi="ar"/>
              </w:rPr>
              <w:t>9</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25BEB8B">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A4E111A">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E8F4134">
            <w:pPr>
              <w:jc w:val="center"/>
              <w:textAlignment w:val="center"/>
              <w:rPr>
                <w:rFonts w:ascii="宋体" w:hAnsi="宋体" w:cs="宋体"/>
                <w:color w:val="auto"/>
                <w:highlight w:val="none"/>
              </w:rPr>
            </w:pPr>
            <w:r>
              <w:rPr>
                <w:rFonts w:hint="eastAsia" w:ascii="宋体" w:hAnsi="宋体" w:cs="宋体"/>
                <w:color w:val="auto"/>
                <w:highlight w:val="none"/>
                <w:lang w:bidi="ar"/>
              </w:rPr>
              <w:t>试剂及耗材柜</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84AD19E">
            <w:pPr>
              <w:jc w:val="center"/>
              <w:textAlignment w:val="center"/>
              <w:rPr>
                <w:rFonts w:ascii="宋体" w:hAnsi="宋体" w:cs="宋体"/>
                <w:color w:val="auto"/>
                <w:highlight w:val="none"/>
              </w:rPr>
            </w:pPr>
            <w:r>
              <w:rPr>
                <w:rFonts w:hint="eastAsia" w:ascii="宋体" w:hAnsi="宋体" w:cs="宋体"/>
                <w:color w:val="auto"/>
                <w:highlight w:val="none"/>
                <w:lang w:bidi="ar"/>
              </w:rPr>
              <w:t>10</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C882733">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351A0F8">
            <w:pPr>
              <w:jc w:val="right"/>
              <w:textAlignment w:val="center"/>
              <w:rPr>
                <w:rFonts w:ascii="宋体" w:hAnsi="宋体" w:cs="宋体"/>
                <w:color w:val="auto"/>
                <w:highlight w:val="none"/>
              </w:rPr>
            </w:pPr>
            <w:r>
              <w:rPr>
                <w:rFonts w:hint="eastAsia" w:ascii="宋体" w:hAnsi="宋体" w:cs="宋体"/>
                <w:color w:val="auto"/>
                <w:highlight w:val="none"/>
                <w:lang w:bidi="ar"/>
              </w:rPr>
              <w:t>12,000.00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9F497D">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16D38B">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6A37B1">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1F560F">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757AEA">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8A63A1">
            <w:pPr>
              <w:jc w:val="center"/>
              <w:rPr>
                <w:rFonts w:ascii="宋体" w:hAnsi="宋体" w:cs="宋体"/>
                <w:color w:val="auto"/>
                <w:highlight w:val="none"/>
              </w:rPr>
            </w:pPr>
          </w:p>
        </w:tc>
      </w:tr>
      <w:tr w14:paraId="6176CE13">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18D9608">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10</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9FF5CE">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8B334F7">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2B0EFAE">
            <w:pPr>
              <w:jc w:val="center"/>
              <w:textAlignment w:val="center"/>
              <w:rPr>
                <w:rFonts w:ascii="宋体" w:hAnsi="宋体" w:cs="宋体"/>
                <w:color w:val="auto"/>
                <w:highlight w:val="none"/>
              </w:rPr>
            </w:pPr>
            <w:r>
              <w:rPr>
                <w:rFonts w:hint="eastAsia" w:ascii="宋体" w:hAnsi="宋体" w:cs="宋体"/>
                <w:color w:val="auto"/>
                <w:highlight w:val="none"/>
                <w:lang w:bidi="ar"/>
              </w:rPr>
              <w:t>排风机</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D7AC93A">
            <w:pPr>
              <w:jc w:val="center"/>
              <w:textAlignment w:val="center"/>
              <w:rPr>
                <w:rFonts w:ascii="宋体" w:hAnsi="宋体" w:cs="宋体"/>
                <w:color w:val="auto"/>
                <w:highlight w:val="none"/>
              </w:rPr>
            </w:pPr>
            <w:r>
              <w:rPr>
                <w:rFonts w:hint="eastAsia" w:ascii="宋体" w:hAnsi="宋体" w:cs="宋体"/>
                <w:color w:val="auto"/>
                <w:highlight w:val="none"/>
                <w:lang w:bidi="ar"/>
              </w:rPr>
              <w:t>1</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03F7117">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3C40C53">
            <w:pPr>
              <w:jc w:val="right"/>
              <w:textAlignment w:val="center"/>
              <w:rPr>
                <w:rFonts w:ascii="宋体" w:hAnsi="宋体" w:cs="宋体"/>
                <w:color w:val="auto"/>
                <w:highlight w:val="none"/>
              </w:rPr>
            </w:pPr>
            <w:r>
              <w:rPr>
                <w:rFonts w:hint="eastAsia" w:ascii="宋体" w:hAnsi="宋体" w:cs="宋体"/>
                <w:color w:val="auto"/>
                <w:highlight w:val="none"/>
                <w:lang w:bidi="ar"/>
              </w:rPr>
              <w:t>39,500.00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DB0FF8">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500F7F">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661E0B">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86D552">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3C763B">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12F7E4">
            <w:pPr>
              <w:jc w:val="center"/>
              <w:rPr>
                <w:rFonts w:ascii="宋体" w:hAnsi="宋体" w:cs="宋体"/>
                <w:color w:val="auto"/>
                <w:highlight w:val="none"/>
              </w:rPr>
            </w:pPr>
          </w:p>
        </w:tc>
      </w:tr>
      <w:tr w14:paraId="0B71536E">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4F7B89A">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11</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C22D47">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F2B35A1">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E2CA883">
            <w:pPr>
              <w:jc w:val="center"/>
              <w:textAlignment w:val="center"/>
              <w:rPr>
                <w:rFonts w:ascii="宋体" w:hAnsi="宋体" w:cs="宋体"/>
                <w:color w:val="auto"/>
                <w:highlight w:val="none"/>
              </w:rPr>
            </w:pPr>
            <w:r>
              <w:rPr>
                <w:rFonts w:hint="eastAsia" w:ascii="宋体" w:hAnsi="宋体" w:cs="宋体"/>
                <w:color w:val="auto"/>
                <w:highlight w:val="none"/>
                <w:lang w:bidi="ar"/>
              </w:rPr>
              <w:t>实验室安全监控器</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8A97E84">
            <w:pPr>
              <w:jc w:val="center"/>
              <w:textAlignment w:val="center"/>
              <w:rPr>
                <w:rFonts w:ascii="宋体" w:hAnsi="宋体" w:cs="宋体"/>
                <w:color w:val="auto"/>
                <w:highlight w:val="none"/>
              </w:rPr>
            </w:pPr>
            <w:r>
              <w:rPr>
                <w:rFonts w:hint="eastAsia" w:ascii="宋体" w:hAnsi="宋体" w:cs="宋体"/>
                <w:color w:val="auto"/>
                <w:highlight w:val="none"/>
                <w:lang w:bidi="ar"/>
              </w:rPr>
              <w:t>10</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9E35D87">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1FB13F7">
            <w:pPr>
              <w:jc w:val="right"/>
              <w:textAlignment w:val="center"/>
              <w:rPr>
                <w:rFonts w:ascii="宋体" w:hAnsi="宋体" w:cs="宋体"/>
                <w:color w:val="auto"/>
                <w:highlight w:val="none"/>
              </w:rPr>
            </w:pPr>
            <w:r>
              <w:rPr>
                <w:rFonts w:hint="eastAsia" w:ascii="宋体" w:hAnsi="宋体" w:cs="宋体"/>
                <w:color w:val="auto"/>
                <w:highlight w:val="none"/>
                <w:lang w:bidi="ar"/>
              </w:rPr>
              <w:t>3,500.00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C0951F">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54120E">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7117B3">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C4B289">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C67D4F">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BD9AD">
            <w:pPr>
              <w:jc w:val="center"/>
              <w:rPr>
                <w:rFonts w:ascii="宋体" w:hAnsi="宋体" w:cs="宋体"/>
                <w:color w:val="auto"/>
                <w:highlight w:val="none"/>
              </w:rPr>
            </w:pPr>
          </w:p>
        </w:tc>
      </w:tr>
      <w:tr w14:paraId="3A597992">
        <w:tblPrEx>
          <w:tblCellMar>
            <w:top w:w="0" w:type="dxa"/>
            <w:left w:w="108" w:type="dxa"/>
            <w:bottom w:w="0" w:type="dxa"/>
            <w:right w:w="108" w:type="dxa"/>
          </w:tblCellMar>
        </w:tblPrEx>
        <w:trPr>
          <w:trHeight w:val="564" w:hRule="atLeast"/>
        </w:trPr>
        <w:tc>
          <w:tcPr>
            <w:tcW w:w="28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17B1F93">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12</w:t>
            </w:r>
          </w:p>
        </w:tc>
        <w:tc>
          <w:tcPr>
            <w:tcW w:w="24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4FB8FBA">
            <w:pPr>
              <w:jc w:val="center"/>
              <w:textAlignment w:val="center"/>
              <w:rPr>
                <w:rFonts w:ascii="宋体" w:hAnsi="宋体" w:cs="宋体"/>
                <w:color w:val="auto"/>
                <w:highlight w:val="none"/>
                <w:lang w:bidi="ar"/>
              </w:rPr>
            </w:pPr>
            <w:r>
              <w:rPr>
                <w:rFonts w:hint="eastAsia" w:ascii="宋体" w:hAnsi="宋体" w:cs="宋体"/>
                <w:color w:val="auto"/>
                <w:highlight w:val="none"/>
                <w:lang w:bidi="ar"/>
              </w:rPr>
              <w:t>1</w:t>
            </w:r>
          </w:p>
        </w:tc>
        <w:tc>
          <w:tcPr>
            <w:tcW w:w="37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5446014">
            <w:pPr>
              <w:jc w:val="center"/>
              <w:rPr>
                <w:rFonts w:ascii="宋体" w:hAnsi="宋体" w:cs="宋体"/>
                <w:color w:val="auto"/>
                <w:highlight w:val="none"/>
                <w:lang w:bidi="ar"/>
              </w:rPr>
            </w:pPr>
            <w:r>
              <w:rPr>
                <w:rFonts w:hint="eastAsia" w:ascii="宋体" w:hAnsi="宋体" w:cs="宋体"/>
                <w:color w:val="auto"/>
                <w:highlight w:val="none"/>
                <w:lang w:bidi="ar"/>
              </w:rPr>
              <w:t>否</w:t>
            </w:r>
          </w:p>
        </w:tc>
        <w:tc>
          <w:tcPr>
            <w:tcW w:w="7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7FF4223">
            <w:pPr>
              <w:jc w:val="center"/>
              <w:textAlignment w:val="center"/>
              <w:rPr>
                <w:rFonts w:ascii="宋体" w:hAnsi="宋体" w:cs="宋体"/>
                <w:color w:val="auto"/>
                <w:highlight w:val="none"/>
              </w:rPr>
            </w:pPr>
            <w:r>
              <w:rPr>
                <w:rFonts w:hint="eastAsia" w:ascii="宋体" w:hAnsi="宋体" w:cs="宋体"/>
                <w:color w:val="auto"/>
                <w:highlight w:val="none"/>
                <w:lang w:bidi="ar"/>
              </w:rPr>
              <w:t>门禁控制器</w:t>
            </w:r>
          </w:p>
        </w:tc>
        <w:tc>
          <w:tcPr>
            <w:tcW w:w="28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AB2D5C">
            <w:pPr>
              <w:jc w:val="center"/>
              <w:textAlignment w:val="center"/>
              <w:rPr>
                <w:rFonts w:ascii="宋体" w:hAnsi="宋体" w:cs="宋体"/>
                <w:color w:val="auto"/>
                <w:highlight w:val="none"/>
              </w:rPr>
            </w:pPr>
            <w:r>
              <w:rPr>
                <w:rFonts w:hint="eastAsia" w:ascii="宋体" w:hAnsi="宋体" w:cs="宋体"/>
                <w:color w:val="auto"/>
                <w:highlight w:val="none"/>
                <w:lang w:bidi="ar"/>
              </w:rPr>
              <w:t>6</w:t>
            </w:r>
          </w:p>
        </w:tc>
        <w:tc>
          <w:tcPr>
            <w:tcW w:w="334"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40B2BC1">
            <w:pPr>
              <w:jc w:val="center"/>
              <w:textAlignment w:val="center"/>
              <w:rPr>
                <w:rFonts w:ascii="宋体" w:hAnsi="宋体" w:cs="宋体"/>
                <w:color w:val="auto"/>
                <w:highlight w:val="none"/>
              </w:rPr>
            </w:pPr>
            <w:r>
              <w:rPr>
                <w:rFonts w:hint="eastAsia" w:ascii="宋体" w:hAnsi="宋体" w:cs="宋体"/>
                <w:color w:val="auto"/>
                <w:highlight w:val="none"/>
                <w:lang w:bidi="ar"/>
              </w:rPr>
              <w:t>套</w:t>
            </w:r>
          </w:p>
        </w:tc>
        <w:tc>
          <w:tcPr>
            <w:tcW w:w="6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5A2002E">
            <w:pPr>
              <w:jc w:val="right"/>
              <w:textAlignment w:val="center"/>
              <w:rPr>
                <w:rFonts w:ascii="宋体" w:hAnsi="宋体" w:cs="宋体"/>
                <w:color w:val="auto"/>
                <w:highlight w:val="none"/>
              </w:rPr>
            </w:pPr>
            <w:r>
              <w:rPr>
                <w:rFonts w:hint="eastAsia" w:ascii="宋体" w:hAnsi="宋体" w:cs="宋体"/>
                <w:color w:val="auto"/>
                <w:highlight w:val="none"/>
                <w:lang w:bidi="ar"/>
              </w:rPr>
              <w:t>8,200.00</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31E770">
            <w:pPr>
              <w:jc w:val="center"/>
              <w:textAlignment w:val="center"/>
              <w:rPr>
                <w:rFonts w:ascii="宋体" w:hAnsi="宋体" w:cs="宋体"/>
                <w:color w:val="auto"/>
                <w:highlight w:val="none"/>
              </w:rPr>
            </w:pP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E02580">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24B9F6">
            <w:pPr>
              <w:jc w:val="center"/>
              <w:rPr>
                <w:rFonts w:ascii="宋体" w:hAnsi="宋体" w:cs="宋体"/>
                <w:color w:val="auto"/>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24CF51">
            <w:pPr>
              <w:jc w:val="center"/>
              <w:rPr>
                <w:rFonts w:ascii="宋体" w:hAnsi="宋体" w:cs="宋体"/>
                <w:color w:val="auto"/>
                <w:highlight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6BA95D">
            <w:pPr>
              <w:jc w:val="center"/>
              <w:rPr>
                <w:rFonts w:ascii="宋体" w:hAnsi="宋体" w:cs="宋体"/>
                <w:color w:val="auto"/>
                <w:highlight w:val="none"/>
              </w:rPr>
            </w:pP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866921">
            <w:pPr>
              <w:jc w:val="center"/>
              <w:rPr>
                <w:rFonts w:ascii="宋体" w:hAnsi="宋体" w:cs="宋体"/>
                <w:color w:val="auto"/>
                <w:highlight w:val="none"/>
              </w:rPr>
            </w:pPr>
          </w:p>
        </w:tc>
      </w:tr>
      <w:tr w14:paraId="4698B498">
        <w:tblPrEx>
          <w:tblCellMar>
            <w:top w:w="0" w:type="dxa"/>
            <w:left w:w="108" w:type="dxa"/>
            <w:bottom w:w="0" w:type="dxa"/>
            <w:right w:w="108" w:type="dxa"/>
          </w:tblCellMar>
        </w:tblPrEx>
        <w:trPr>
          <w:trHeight w:val="460" w:hRule="atLeast"/>
        </w:trPr>
        <w:tc>
          <w:tcPr>
            <w:tcW w:w="5000" w:type="pct"/>
            <w:gridSpan w:val="13"/>
            <w:tcBorders>
              <w:top w:val="single" w:color="000000" w:sz="4" w:space="0"/>
              <w:left w:val="single" w:color="000000" w:sz="4" w:space="0"/>
              <w:bottom w:val="single" w:color="000000" w:sz="4" w:space="0"/>
              <w:right w:val="single" w:color="000000" w:sz="4" w:space="0"/>
            </w:tcBorders>
            <w:shd w:val="clear" w:color="000000" w:fill="FFFFFF"/>
            <w:vAlign w:val="center"/>
          </w:tcPr>
          <w:p w14:paraId="20D61AF2">
            <w:pPr>
              <w:jc w:val="center"/>
              <w:rPr>
                <w:rFonts w:ascii="宋体" w:hAnsi="宋体" w:cs="宋体"/>
                <w:color w:val="auto"/>
                <w:highlight w:val="none"/>
                <w:lang w:bidi="ar"/>
              </w:rPr>
            </w:pPr>
            <w:r>
              <w:rPr>
                <w:rFonts w:hint="eastAsia" w:ascii="宋体" w:hAnsi="宋体" w:cs="宋体"/>
                <w:bCs/>
                <w:color w:val="auto"/>
                <w:highlight w:val="none"/>
              </w:rPr>
              <w:t>谈判总报价：</w:t>
            </w:r>
            <w:r>
              <w:rPr>
                <w:rFonts w:hint="eastAsia" w:ascii="宋体" w:hAnsi="宋体" w:cs="宋体"/>
                <w:bCs/>
                <w:color w:val="auto"/>
                <w:highlight w:val="none"/>
                <w:u w:val="single"/>
              </w:rPr>
              <w:t xml:space="preserve">      </w:t>
            </w:r>
            <w:r>
              <w:rPr>
                <w:rFonts w:hint="eastAsia" w:ascii="宋体" w:hAnsi="宋体" w:cs="宋体"/>
                <w:bCs/>
                <w:color w:val="auto"/>
                <w:highlight w:val="none"/>
              </w:rPr>
              <w:t>元</w:t>
            </w:r>
          </w:p>
        </w:tc>
      </w:tr>
    </w:tbl>
    <w:p w14:paraId="37DD3891">
      <w:pPr>
        <w:pStyle w:val="16"/>
        <w:ind w:firstLine="422" w:firstLineChars="200"/>
        <w:rPr>
          <w:rFonts w:hAnsi="宋体" w:cs="宋体"/>
          <w:b/>
          <w:color w:val="auto"/>
          <w:highlight w:val="none"/>
        </w:rPr>
      </w:pPr>
      <w:r>
        <w:rPr>
          <w:rFonts w:hint="eastAsia" w:hAnsi="宋体" w:cs="宋体"/>
          <w:b/>
          <w:color w:val="auto"/>
          <w:highlight w:val="none"/>
        </w:rPr>
        <w:t>备注：</w:t>
      </w:r>
    </w:p>
    <w:p w14:paraId="3DB3D86E">
      <w:pPr>
        <w:pStyle w:val="16"/>
        <w:ind w:firstLine="422" w:firstLineChars="200"/>
        <w:rPr>
          <w:rFonts w:hAnsi="宋体" w:cs="宋体"/>
          <w:b/>
          <w:color w:val="auto"/>
          <w:highlight w:val="none"/>
        </w:rPr>
      </w:pPr>
      <w:r>
        <w:rPr>
          <w:rFonts w:hint="eastAsia" w:hAnsi="宋体" w:cs="宋体"/>
          <w:b/>
          <w:color w:val="auto"/>
          <w:highlight w:val="none"/>
        </w:rPr>
        <w:t>1.供应商的报价（单价、合价及总价）均不得超过预算单价及预算金额、最高限价！！！！</w:t>
      </w:r>
    </w:p>
    <w:p w14:paraId="51AE5F07">
      <w:pPr>
        <w:pStyle w:val="16"/>
        <w:ind w:firstLine="422" w:firstLineChars="200"/>
        <w:rPr>
          <w:rFonts w:hAnsi="宋体" w:cs="宋体"/>
          <w:b/>
          <w:color w:val="auto"/>
          <w:highlight w:val="none"/>
        </w:rPr>
      </w:pPr>
      <w:r>
        <w:rPr>
          <w:rFonts w:hint="eastAsia" w:hAnsi="宋体" w:cs="宋体"/>
          <w:b/>
          <w:color w:val="auto"/>
          <w:highlight w:val="none"/>
        </w:rPr>
        <w:t>2.谈判报价包括报价应为人民币含税价（元），包括货物设计、制造、包装、仓储、运输、安装、代理费、杂费（含验收等费用）、验收合格之前及保修期内应提交的备品备件发生的所有费用，也包含乙方应当提供的伴随服务/售后服务费用，以及甲方指定地点统一交货费用，并不得再有其他费用,否则甲方有权拒付。在合同期内采购人不接受任何方式的调价申请。</w:t>
      </w:r>
    </w:p>
    <w:p w14:paraId="152C744B">
      <w:pPr>
        <w:pStyle w:val="16"/>
        <w:ind w:firstLine="422" w:firstLineChars="200"/>
        <w:rPr>
          <w:rFonts w:hAnsi="宋体" w:cs="宋体"/>
          <w:b/>
          <w:color w:val="auto"/>
          <w:highlight w:val="none"/>
        </w:rPr>
      </w:pPr>
      <w:r>
        <w:rPr>
          <w:rFonts w:hint="eastAsia" w:hAnsi="宋体" w:cs="宋体"/>
          <w:b/>
          <w:color w:val="auto"/>
          <w:highlight w:val="none"/>
        </w:rPr>
        <w:t>3.表格不可擅自调整，否则其响应文件作无效响应处理。</w:t>
      </w:r>
    </w:p>
    <w:p w14:paraId="425665E7">
      <w:pPr>
        <w:spacing w:line="360" w:lineRule="exact"/>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0ECF82DF">
      <w:pPr>
        <w:spacing w:line="360" w:lineRule="exact"/>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5B293CA0">
      <w:pPr>
        <w:spacing w:line="360" w:lineRule="exact"/>
        <w:ind w:firstLine="1687" w:firstLineChars="600"/>
        <w:rPr>
          <w:rFonts w:ascii="宋体" w:hAnsi="宋体" w:cs="宋体"/>
          <w:color w:val="auto"/>
          <w:sz w:val="28"/>
          <w:szCs w:val="28"/>
          <w:highlight w:val="none"/>
        </w:rPr>
        <w:sectPr>
          <w:headerReference r:id="rId14" w:type="default"/>
          <w:footerReference r:id="rId15" w:type="default"/>
          <w:pgSz w:w="11906" w:h="16838"/>
          <w:pgMar w:top="1440" w:right="1083" w:bottom="1440" w:left="1083" w:header="720" w:footer="720" w:gutter="0"/>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0A971DF6">
      <w:pPr>
        <w:pStyle w:val="5"/>
        <w:widowControl/>
        <w:autoSpaceDE w:val="0"/>
        <w:spacing w:before="0" w:after="0" w:line="240" w:lineRule="auto"/>
        <w:rPr>
          <w:rFonts w:ascii="宋体" w:hAnsi="宋体" w:cs="宋体"/>
          <w:color w:val="auto"/>
          <w:szCs w:val="28"/>
          <w:highlight w:val="none"/>
        </w:rPr>
      </w:pPr>
      <w:bookmarkStart w:id="289" w:name="_Toc15277"/>
      <w:bookmarkEnd w:id="289"/>
      <w:bookmarkStart w:id="290" w:name="_Toc10610"/>
      <w:bookmarkEnd w:id="290"/>
      <w:bookmarkStart w:id="291" w:name="_Toc19613"/>
      <w:bookmarkStart w:id="292" w:name="_Toc5488"/>
      <w:r>
        <w:rPr>
          <w:rFonts w:hint="eastAsia" w:ascii="宋体" w:hAnsi="宋体" w:cs="宋体"/>
          <w:color w:val="auto"/>
          <w:szCs w:val="28"/>
          <w:highlight w:val="none"/>
        </w:rPr>
        <w:t>九、类似项目业绩表</w:t>
      </w:r>
      <w:bookmarkEnd w:id="291"/>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1F7D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6D9178DB">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2107" w:type="dxa"/>
            <w:vAlign w:val="center"/>
          </w:tcPr>
          <w:p w14:paraId="0EAB8ABC">
            <w:pPr>
              <w:jc w:val="center"/>
              <w:rPr>
                <w:rFonts w:ascii="宋体" w:hAnsi="宋体" w:cs="宋体"/>
                <w:color w:val="auto"/>
                <w:sz w:val="24"/>
                <w:highlight w:val="none"/>
              </w:rPr>
            </w:pPr>
            <w:r>
              <w:rPr>
                <w:rFonts w:hint="eastAsia" w:ascii="宋体" w:hAnsi="宋体" w:cs="宋体"/>
                <w:color w:val="auto"/>
                <w:sz w:val="24"/>
                <w:highlight w:val="none"/>
              </w:rPr>
              <w:t>合同名称</w:t>
            </w:r>
          </w:p>
        </w:tc>
        <w:tc>
          <w:tcPr>
            <w:tcW w:w="1254" w:type="dxa"/>
            <w:vAlign w:val="center"/>
          </w:tcPr>
          <w:p w14:paraId="0D3CB595">
            <w:pPr>
              <w:jc w:val="center"/>
              <w:rPr>
                <w:rFonts w:ascii="宋体" w:hAnsi="宋体" w:cs="宋体"/>
                <w:color w:val="auto"/>
                <w:sz w:val="24"/>
                <w:highlight w:val="none"/>
              </w:rPr>
            </w:pPr>
            <w:r>
              <w:rPr>
                <w:rFonts w:hint="eastAsia" w:ascii="宋体" w:hAnsi="宋体" w:cs="宋体"/>
                <w:color w:val="auto"/>
                <w:sz w:val="24"/>
                <w:highlight w:val="none"/>
              </w:rPr>
              <w:t>合同总价</w:t>
            </w:r>
            <w:r>
              <w:rPr>
                <w:rFonts w:hint="eastAsia" w:ascii="宋体" w:hAnsi="宋体" w:cs="宋体"/>
                <w:color w:val="auto"/>
                <w:sz w:val="24"/>
                <w:szCs w:val="24"/>
                <w:highlight w:val="none"/>
              </w:rPr>
              <w:t>（元）</w:t>
            </w:r>
          </w:p>
        </w:tc>
        <w:tc>
          <w:tcPr>
            <w:tcW w:w="1685" w:type="dxa"/>
            <w:vAlign w:val="center"/>
          </w:tcPr>
          <w:p w14:paraId="092C5318">
            <w:pPr>
              <w:jc w:val="center"/>
              <w:rPr>
                <w:rFonts w:ascii="宋体" w:hAnsi="宋体" w:cs="宋体"/>
                <w:color w:val="auto"/>
                <w:sz w:val="24"/>
                <w:highlight w:val="none"/>
              </w:rPr>
            </w:pPr>
            <w:r>
              <w:rPr>
                <w:rFonts w:hint="eastAsia" w:ascii="宋体" w:hAnsi="宋体" w:cs="宋体"/>
                <w:color w:val="auto"/>
                <w:sz w:val="24"/>
                <w:highlight w:val="none"/>
              </w:rPr>
              <w:t>使用单位名称</w:t>
            </w:r>
          </w:p>
        </w:tc>
        <w:tc>
          <w:tcPr>
            <w:tcW w:w="1442" w:type="dxa"/>
          </w:tcPr>
          <w:p w14:paraId="6B8E0A7C">
            <w:pPr>
              <w:jc w:val="center"/>
              <w:rPr>
                <w:rFonts w:ascii="宋体" w:hAnsi="宋体" w:cs="宋体"/>
                <w:color w:val="auto"/>
                <w:sz w:val="24"/>
                <w:highlight w:val="none"/>
              </w:rPr>
            </w:pPr>
            <w:r>
              <w:rPr>
                <w:rFonts w:hint="eastAsia" w:ascii="宋体" w:hAnsi="宋体" w:cs="宋体"/>
                <w:color w:val="auto"/>
                <w:sz w:val="24"/>
                <w:highlight w:val="none"/>
              </w:rPr>
              <w:t>使用单位联系人及联系电话</w:t>
            </w:r>
          </w:p>
        </w:tc>
        <w:tc>
          <w:tcPr>
            <w:tcW w:w="1442" w:type="dxa"/>
            <w:vAlign w:val="center"/>
          </w:tcPr>
          <w:p w14:paraId="58E6DDCE">
            <w:pPr>
              <w:jc w:val="center"/>
              <w:rPr>
                <w:rFonts w:ascii="宋体" w:hAnsi="宋体" w:cs="宋体"/>
                <w:color w:val="auto"/>
                <w:sz w:val="24"/>
                <w:highlight w:val="none"/>
              </w:rPr>
            </w:pPr>
            <w:r>
              <w:rPr>
                <w:rFonts w:hint="eastAsia" w:ascii="宋体" w:hAnsi="宋体" w:cs="宋体"/>
                <w:color w:val="auto"/>
                <w:sz w:val="24"/>
                <w:highlight w:val="none"/>
              </w:rPr>
              <w:t>签订合同时间</w:t>
            </w:r>
          </w:p>
        </w:tc>
        <w:tc>
          <w:tcPr>
            <w:tcW w:w="1049" w:type="dxa"/>
            <w:vAlign w:val="center"/>
          </w:tcPr>
          <w:p w14:paraId="2D0B7CB2">
            <w:pPr>
              <w:jc w:val="center"/>
              <w:rPr>
                <w:rFonts w:ascii="宋体" w:hAnsi="宋体" w:cs="宋体"/>
                <w:color w:val="auto"/>
                <w:sz w:val="24"/>
                <w:highlight w:val="none"/>
              </w:rPr>
            </w:pPr>
            <w:r>
              <w:rPr>
                <w:rFonts w:hint="eastAsia" w:ascii="宋体" w:hAnsi="宋体" w:cs="宋体"/>
                <w:color w:val="auto"/>
                <w:sz w:val="24"/>
                <w:highlight w:val="none"/>
              </w:rPr>
              <w:t>备注</w:t>
            </w:r>
          </w:p>
        </w:tc>
      </w:tr>
      <w:tr w14:paraId="6EB9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86B444C">
            <w:pPr>
              <w:jc w:val="center"/>
              <w:rPr>
                <w:rFonts w:ascii="宋体" w:hAnsi="宋体" w:cs="宋体"/>
                <w:color w:val="auto"/>
                <w:sz w:val="24"/>
                <w:highlight w:val="none"/>
              </w:rPr>
            </w:pPr>
            <w:r>
              <w:rPr>
                <w:rFonts w:hint="eastAsia" w:ascii="宋体" w:hAnsi="宋体" w:cs="宋体"/>
                <w:color w:val="auto"/>
                <w:sz w:val="24"/>
                <w:highlight w:val="none"/>
              </w:rPr>
              <w:t>1</w:t>
            </w:r>
          </w:p>
        </w:tc>
        <w:tc>
          <w:tcPr>
            <w:tcW w:w="2107" w:type="dxa"/>
            <w:vAlign w:val="center"/>
          </w:tcPr>
          <w:p w14:paraId="66969A81">
            <w:pPr>
              <w:jc w:val="center"/>
              <w:rPr>
                <w:rFonts w:ascii="宋体" w:hAnsi="宋体" w:cs="宋体"/>
                <w:color w:val="auto"/>
                <w:sz w:val="24"/>
                <w:highlight w:val="none"/>
              </w:rPr>
            </w:pPr>
          </w:p>
        </w:tc>
        <w:tc>
          <w:tcPr>
            <w:tcW w:w="1254" w:type="dxa"/>
            <w:vAlign w:val="center"/>
          </w:tcPr>
          <w:p w14:paraId="70B1DAC4">
            <w:pPr>
              <w:jc w:val="center"/>
              <w:rPr>
                <w:rFonts w:ascii="宋体" w:hAnsi="宋体" w:cs="宋体"/>
                <w:color w:val="auto"/>
                <w:sz w:val="24"/>
                <w:highlight w:val="none"/>
              </w:rPr>
            </w:pPr>
          </w:p>
        </w:tc>
        <w:tc>
          <w:tcPr>
            <w:tcW w:w="1685" w:type="dxa"/>
            <w:vAlign w:val="center"/>
          </w:tcPr>
          <w:p w14:paraId="3B211E89">
            <w:pPr>
              <w:jc w:val="center"/>
              <w:rPr>
                <w:rFonts w:ascii="宋体" w:hAnsi="宋体" w:cs="宋体"/>
                <w:color w:val="auto"/>
                <w:sz w:val="24"/>
                <w:highlight w:val="none"/>
              </w:rPr>
            </w:pPr>
          </w:p>
        </w:tc>
        <w:tc>
          <w:tcPr>
            <w:tcW w:w="1442" w:type="dxa"/>
          </w:tcPr>
          <w:p w14:paraId="73A5C0F2">
            <w:pPr>
              <w:jc w:val="center"/>
              <w:rPr>
                <w:rFonts w:ascii="宋体" w:hAnsi="宋体" w:cs="宋体"/>
                <w:color w:val="auto"/>
                <w:sz w:val="24"/>
                <w:highlight w:val="none"/>
              </w:rPr>
            </w:pPr>
          </w:p>
        </w:tc>
        <w:tc>
          <w:tcPr>
            <w:tcW w:w="1442" w:type="dxa"/>
            <w:vAlign w:val="center"/>
          </w:tcPr>
          <w:p w14:paraId="2AC219FF">
            <w:pPr>
              <w:jc w:val="center"/>
              <w:rPr>
                <w:rFonts w:ascii="宋体" w:hAnsi="宋体" w:cs="宋体"/>
                <w:color w:val="auto"/>
                <w:sz w:val="24"/>
                <w:highlight w:val="none"/>
              </w:rPr>
            </w:pPr>
          </w:p>
        </w:tc>
        <w:tc>
          <w:tcPr>
            <w:tcW w:w="1049" w:type="dxa"/>
            <w:vAlign w:val="center"/>
          </w:tcPr>
          <w:p w14:paraId="266879F7">
            <w:pPr>
              <w:jc w:val="center"/>
              <w:rPr>
                <w:rFonts w:ascii="宋体" w:hAnsi="宋体" w:cs="宋体"/>
                <w:color w:val="auto"/>
                <w:sz w:val="24"/>
                <w:highlight w:val="none"/>
              </w:rPr>
            </w:pPr>
          </w:p>
        </w:tc>
      </w:tr>
      <w:tr w14:paraId="2057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7B9F3469">
            <w:pPr>
              <w:jc w:val="center"/>
              <w:rPr>
                <w:rFonts w:ascii="宋体" w:hAnsi="宋体" w:cs="宋体"/>
                <w:color w:val="auto"/>
                <w:sz w:val="24"/>
                <w:highlight w:val="none"/>
              </w:rPr>
            </w:pPr>
            <w:r>
              <w:rPr>
                <w:rFonts w:hint="eastAsia" w:ascii="宋体" w:hAnsi="宋体" w:cs="宋体"/>
                <w:color w:val="auto"/>
                <w:sz w:val="24"/>
                <w:highlight w:val="none"/>
              </w:rPr>
              <w:t>2</w:t>
            </w:r>
          </w:p>
        </w:tc>
        <w:tc>
          <w:tcPr>
            <w:tcW w:w="2107" w:type="dxa"/>
            <w:vAlign w:val="center"/>
          </w:tcPr>
          <w:p w14:paraId="19B59974">
            <w:pPr>
              <w:jc w:val="center"/>
              <w:rPr>
                <w:rFonts w:ascii="宋体" w:hAnsi="宋体" w:cs="宋体"/>
                <w:color w:val="auto"/>
                <w:sz w:val="24"/>
                <w:highlight w:val="none"/>
              </w:rPr>
            </w:pPr>
          </w:p>
        </w:tc>
        <w:tc>
          <w:tcPr>
            <w:tcW w:w="1254" w:type="dxa"/>
            <w:vAlign w:val="center"/>
          </w:tcPr>
          <w:p w14:paraId="38B40861">
            <w:pPr>
              <w:jc w:val="center"/>
              <w:rPr>
                <w:rFonts w:ascii="宋体" w:hAnsi="宋体" w:cs="宋体"/>
                <w:color w:val="auto"/>
                <w:sz w:val="24"/>
                <w:highlight w:val="none"/>
              </w:rPr>
            </w:pPr>
          </w:p>
        </w:tc>
        <w:tc>
          <w:tcPr>
            <w:tcW w:w="1685" w:type="dxa"/>
            <w:vAlign w:val="center"/>
          </w:tcPr>
          <w:p w14:paraId="37626A17">
            <w:pPr>
              <w:rPr>
                <w:rFonts w:ascii="宋体" w:hAnsi="宋体" w:cs="宋体"/>
                <w:color w:val="auto"/>
                <w:sz w:val="24"/>
                <w:highlight w:val="none"/>
              </w:rPr>
            </w:pPr>
            <w:r>
              <w:rPr>
                <w:rFonts w:hint="eastAsia" w:ascii="宋体" w:hAnsi="宋体" w:cs="宋体"/>
                <w:color w:val="auto"/>
                <w:sz w:val="24"/>
                <w:highlight w:val="none"/>
              </w:rPr>
              <w:t xml:space="preserve">      </w:t>
            </w:r>
          </w:p>
        </w:tc>
        <w:tc>
          <w:tcPr>
            <w:tcW w:w="1442" w:type="dxa"/>
          </w:tcPr>
          <w:p w14:paraId="0EEE5674">
            <w:pPr>
              <w:jc w:val="center"/>
              <w:rPr>
                <w:rFonts w:ascii="宋体" w:hAnsi="宋体" w:cs="宋体"/>
                <w:color w:val="auto"/>
                <w:sz w:val="24"/>
                <w:highlight w:val="none"/>
              </w:rPr>
            </w:pPr>
          </w:p>
        </w:tc>
        <w:tc>
          <w:tcPr>
            <w:tcW w:w="1442" w:type="dxa"/>
            <w:vAlign w:val="center"/>
          </w:tcPr>
          <w:p w14:paraId="52579DB8">
            <w:pPr>
              <w:jc w:val="center"/>
              <w:rPr>
                <w:rFonts w:ascii="宋体" w:hAnsi="宋体" w:cs="宋体"/>
                <w:color w:val="auto"/>
                <w:sz w:val="24"/>
                <w:highlight w:val="none"/>
              </w:rPr>
            </w:pPr>
          </w:p>
        </w:tc>
        <w:tc>
          <w:tcPr>
            <w:tcW w:w="1049" w:type="dxa"/>
            <w:vAlign w:val="center"/>
          </w:tcPr>
          <w:p w14:paraId="1164FE02">
            <w:pPr>
              <w:jc w:val="center"/>
              <w:rPr>
                <w:rFonts w:ascii="宋体" w:hAnsi="宋体" w:cs="宋体"/>
                <w:color w:val="auto"/>
                <w:sz w:val="24"/>
                <w:highlight w:val="none"/>
              </w:rPr>
            </w:pPr>
          </w:p>
        </w:tc>
      </w:tr>
      <w:tr w14:paraId="38315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5CFE3440">
            <w:pPr>
              <w:jc w:val="center"/>
              <w:rPr>
                <w:rFonts w:ascii="宋体" w:hAnsi="宋体" w:cs="宋体"/>
                <w:color w:val="auto"/>
                <w:sz w:val="24"/>
                <w:highlight w:val="none"/>
              </w:rPr>
            </w:pPr>
            <w:r>
              <w:rPr>
                <w:rFonts w:hint="eastAsia" w:ascii="宋体" w:hAnsi="宋体" w:cs="宋体"/>
                <w:color w:val="auto"/>
                <w:sz w:val="24"/>
                <w:highlight w:val="none"/>
              </w:rPr>
              <w:t>3</w:t>
            </w:r>
          </w:p>
        </w:tc>
        <w:tc>
          <w:tcPr>
            <w:tcW w:w="2107" w:type="dxa"/>
            <w:vAlign w:val="center"/>
          </w:tcPr>
          <w:p w14:paraId="2DE88F62">
            <w:pPr>
              <w:jc w:val="center"/>
              <w:rPr>
                <w:rFonts w:ascii="宋体" w:hAnsi="宋体" w:cs="宋体"/>
                <w:color w:val="auto"/>
                <w:sz w:val="24"/>
                <w:highlight w:val="none"/>
              </w:rPr>
            </w:pPr>
          </w:p>
        </w:tc>
        <w:tc>
          <w:tcPr>
            <w:tcW w:w="1254" w:type="dxa"/>
            <w:vAlign w:val="center"/>
          </w:tcPr>
          <w:p w14:paraId="07FADACB">
            <w:pPr>
              <w:jc w:val="center"/>
              <w:rPr>
                <w:rFonts w:ascii="宋体" w:hAnsi="宋体" w:cs="宋体"/>
                <w:color w:val="auto"/>
                <w:sz w:val="24"/>
                <w:highlight w:val="none"/>
              </w:rPr>
            </w:pPr>
          </w:p>
        </w:tc>
        <w:tc>
          <w:tcPr>
            <w:tcW w:w="1685" w:type="dxa"/>
            <w:vAlign w:val="center"/>
          </w:tcPr>
          <w:p w14:paraId="159C7357">
            <w:pPr>
              <w:jc w:val="center"/>
              <w:rPr>
                <w:rFonts w:ascii="宋体" w:hAnsi="宋体" w:cs="宋体"/>
                <w:color w:val="auto"/>
                <w:sz w:val="24"/>
                <w:highlight w:val="none"/>
              </w:rPr>
            </w:pPr>
          </w:p>
        </w:tc>
        <w:tc>
          <w:tcPr>
            <w:tcW w:w="1442" w:type="dxa"/>
          </w:tcPr>
          <w:p w14:paraId="58043AB2">
            <w:pPr>
              <w:jc w:val="center"/>
              <w:rPr>
                <w:rFonts w:ascii="宋体" w:hAnsi="宋体" w:cs="宋体"/>
                <w:color w:val="auto"/>
                <w:sz w:val="24"/>
                <w:highlight w:val="none"/>
              </w:rPr>
            </w:pPr>
          </w:p>
        </w:tc>
        <w:tc>
          <w:tcPr>
            <w:tcW w:w="1442" w:type="dxa"/>
            <w:vAlign w:val="center"/>
          </w:tcPr>
          <w:p w14:paraId="38F7D29D">
            <w:pPr>
              <w:jc w:val="center"/>
              <w:rPr>
                <w:rFonts w:ascii="宋体" w:hAnsi="宋体" w:cs="宋体"/>
                <w:color w:val="auto"/>
                <w:sz w:val="24"/>
                <w:highlight w:val="none"/>
              </w:rPr>
            </w:pPr>
          </w:p>
        </w:tc>
        <w:tc>
          <w:tcPr>
            <w:tcW w:w="1049" w:type="dxa"/>
            <w:vAlign w:val="center"/>
          </w:tcPr>
          <w:p w14:paraId="5348069A">
            <w:pPr>
              <w:jc w:val="center"/>
              <w:rPr>
                <w:rFonts w:ascii="宋体" w:hAnsi="宋体" w:cs="宋体"/>
                <w:color w:val="auto"/>
                <w:sz w:val="24"/>
                <w:highlight w:val="none"/>
              </w:rPr>
            </w:pPr>
          </w:p>
        </w:tc>
      </w:tr>
      <w:tr w14:paraId="10B4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73AB0989">
            <w:pPr>
              <w:jc w:val="center"/>
              <w:rPr>
                <w:rFonts w:ascii="宋体" w:hAnsi="宋体" w:cs="宋体"/>
                <w:color w:val="auto"/>
                <w:sz w:val="24"/>
                <w:highlight w:val="none"/>
              </w:rPr>
            </w:pPr>
            <w:r>
              <w:rPr>
                <w:rFonts w:hint="eastAsia" w:ascii="宋体" w:hAnsi="宋体" w:cs="宋体"/>
                <w:color w:val="auto"/>
                <w:sz w:val="24"/>
                <w:highlight w:val="none"/>
              </w:rPr>
              <w:t>4</w:t>
            </w:r>
          </w:p>
        </w:tc>
        <w:tc>
          <w:tcPr>
            <w:tcW w:w="2107" w:type="dxa"/>
            <w:vAlign w:val="center"/>
          </w:tcPr>
          <w:p w14:paraId="78E12913">
            <w:pPr>
              <w:jc w:val="center"/>
              <w:rPr>
                <w:rFonts w:ascii="宋体" w:hAnsi="宋体" w:cs="宋体"/>
                <w:color w:val="auto"/>
                <w:sz w:val="24"/>
                <w:highlight w:val="none"/>
              </w:rPr>
            </w:pPr>
          </w:p>
        </w:tc>
        <w:tc>
          <w:tcPr>
            <w:tcW w:w="1254" w:type="dxa"/>
            <w:vAlign w:val="center"/>
          </w:tcPr>
          <w:p w14:paraId="52BE724A">
            <w:pPr>
              <w:jc w:val="center"/>
              <w:rPr>
                <w:rFonts w:ascii="宋体" w:hAnsi="宋体" w:cs="宋体"/>
                <w:color w:val="auto"/>
                <w:sz w:val="24"/>
                <w:highlight w:val="none"/>
              </w:rPr>
            </w:pPr>
          </w:p>
        </w:tc>
        <w:tc>
          <w:tcPr>
            <w:tcW w:w="1685" w:type="dxa"/>
            <w:vAlign w:val="center"/>
          </w:tcPr>
          <w:p w14:paraId="71FFE055">
            <w:pPr>
              <w:jc w:val="center"/>
              <w:rPr>
                <w:rFonts w:ascii="宋体" w:hAnsi="宋体" w:cs="宋体"/>
                <w:color w:val="auto"/>
                <w:sz w:val="24"/>
                <w:highlight w:val="none"/>
              </w:rPr>
            </w:pPr>
          </w:p>
        </w:tc>
        <w:tc>
          <w:tcPr>
            <w:tcW w:w="1442" w:type="dxa"/>
          </w:tcPr>
          <w:p w14:paraId="76C6A7A2">
            <w:pPr>
              <w:jc w:val="center"/>
              <w:rPr>
                <w:rFonts w:ascii="宋体" w:hAnsi="宋体" w:cs="宋体"/>
                <w:color w:val="auto"/>
                <w:sz w:val="24"/>
                <w:highlight w:val="none"/>
              </w:rPr>
            </w:pPr>
          </w:p>
        </w:tc>
        <w:tc>
          <w:tcPr>
            <w:tcW w:w="1442" w:type="dxa"/>
            <w:vAlign w:val="center"/>
          </w:tcPr>
          <w:p w14:paraId="49F06CCE">
            <w:pPr>
              <w:jc w:val="center"/>
              <w:rPr>
                <w:rFonts w:ascii="宋体" w:hAnsi="宋体" w:cs="宋体"/>
                <w:color w:val="auto"/>
                <w:sz w:val="24"/>
                <w:highlight w:val="none"/>
              </w:rPr>
            </w:pPr>
          </w:p>
        </w:tc>
        <w:tc>
          <w:tcPr>
            <w:tcW w:w="1049" w:type="dxa"/>
            <w:vAlign w:val="center"/>
          </w:tcPr>
          <w:p w14:paraId="20BCE901">
            <w:pPr>
              <w:jc w:val="center"/>
              <w:rPr>
                <w:rFonts w:ascii="宋体" w:hAnsi="宋体" w:cs="宋体"/>
                <w:color w:val="auto"/>
                <w:sz w:val="24"/>
                <w:highlight w:val="none"/>
              </w:rPr>
            </w:pPr>
          </w:p>
        </w:tc>
      </w:tr>
      <w:tr w14:paraId="0643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43A9F948">
            <w:pPr>
              <w:jc w:val="center"/>
              <w:rPr>
                <w:rFonts w:ascii="宋体" w:hAnsi="宋体" w:cs="宋体"/>
                <w:color w:val="auto"/>
                <w:sz w:val="24"/>
                <w:highlight w:val="none"/>
              </w:rPr>
            </w:pPr>
            <w:r>
              <w:rPr>
                <w:rFonts w:hint="eastAsia" w:ascii="宋体" w:hAnsi="宋体" w:cs="宋体"/>
                <w:color w:val="auto"/>
                <w:sz w:val="24"/>
                <w:highlight w:val="none"/>
              </w:rPr>
              <w:t>5</w:t>
            </w:r>
          </w:p>
        </w:tc>
        <w:tc>
          <w:tcPr>
            <w:tcW w:w="2107" w:type="dxa"/>
            <w:vAlign w:val="center"/>
          </w:tcPr>
          <w:p w14:paraId="6B168BF7">
            <w:pPr>
              <w:jc w:val="center"/>
              <w:rPr>
                <w:rFonts w:ascii="宋体" w:hAnsi="宋体" w:cs="宋体"/>
                <w:color w:val="auto"/>
                <w:sz w:val="24"/>
                <w:highlight w:val="none"/>
              </w:rPr>
            </w:pPr>
          </w:p>
        </w:tc>
        <w:tc>
          <w:tcPr>
            <w:tcW w:w="1254" w:type="dxa"/>
            <w:vAlign w:val="center"/>
          </w:tcPr>
          <w:p w14:paraId="01AA0ED8">
            <w:pPr>
              <w:jc w:val="center"/>
              <w:rPr>
                <w:rFonts w:ascii="宋体" w:hAnsi="宋体" w:cs="宋体"/>
                <w:color w:val="auto"/>
                <w:sz w:val="24"/>
                <w:highlight w:val="none"/>
              </w:rPr>
            </w:pPr>
          </w:p>
        </w:tc>
        <w:tc>
          <w:tcPr>
            <w:tcW w:w="1685" w:type="dxa"/>
            <w:vAlign w:val="center"/>
          </w:tcPr>
          <w:p w14:paraId="38D6292B">
            <w:pPr>
              <w:jc w:val="center"/>
              <w:rPr>
                <w:rFonts w:ascii="宋体" w:hAnsi="宋体" w:cs="宋体"/>
                <w:color w:val="auto"/>
                <w:sz w:val="24"/>
                <w:highlight w:val="none"/>
              </w:rPr>
            </w:pPr>
          </w:p>
        </w:tc>
        <w:tc>
          <w:tcPr>
            <w:tcW w:w="1442" w:type="dxa"/>
          </w:tcPr>
          <w:p w14:paraId="311359C8">
            <w:pPr>
              <w:jc w:val="center"/>
              <w:rPr>
                <w:rFonts w:ascii="宋体" w:hAnsi="宋体" w:cs="宋体"/>
                <w:color w:val="auto"/>
                <w:sz w:val="24"/>
                <w:highlight w:val="none"/>
              </w:rPr>
            </w:pPr>
          </w:p>
        </w:tc>
        <w:tc>
          <w:tcPr>
            <w:tcW w:w="1442" w:type="dxa"/>
            <w:vAlign w:val="center"/>
          </w:tcPr>
          <w:p w14:paraId="099A09A0">
            <w:pPr>
              <w:jc w:val="center"/>
              <w:rPr>
                <w:rFonts w:ascii="宋体" w:hAnsi="宋体" w:cs="宋体"/>
                <w:color w:val="auto"/>
                <w:sz w:val="24"/>
                <w:highlight w:val="none"/>
              </w:rPr>
            </w:pPr>
          </w:p>
        </w:tc>
        <w:tc>
          <w:tcPr>
            <w:tcW w:w="1049" w:type="dxa"/>
            <w:vAlign w:val="center"/>
          </w:tcPr>
          <w:p w14:paraId="27ADA7D2">
            <w:pPr>
              <w:jc w:val="center"/>
              <w:rPr>
                <w:rFonts w:ascii="宋体" w:hAnsi="宋体" w:cs="宋体"/>
                <w:color w:val="auto"/>
                <w:sz w:val="24"/>
                <w:highlight w:val="none"/>
              </w:rPr>
            </w:pPr>
          </w:p>
        </w:tc>
      </w:tr>
      <w:tr w14:paraId="28C0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45ACA982">
            <w:pPr>
              <w:jc w:val="center"/>
              <w:rPr>
                <w:rFonts w:ascii="宋体" w:hAnsi="宋体" w:cs="宋体"/>
                <w:color w:val="auto"/>
                <w:sz w:val="24"/>
                <w:highlight w:val="none"/>
              </w:rPr>
            </w:pPr>
            <w:r>
              <w:rPr>
                <w:rFonts w:hint="eastAsia" w:ascii="宋体" w:hAnsi="宋体" w:cs="宋体"/>
                <w:color w:val="auto"/>
                <w:sz w:val="24"/>
                <w:highlight w:val="none"/>
              </w:rPr>
              <w:t>…</w:t>
            </w:r>
          </w:p>
        </w:tc>
        <w:tc>
          <w:tcPr>
            <w:tcW w:w="2107" w:type="dxa"/>
            <w:vAlign w:val="center"/>
          </w:tcPr>
          <w:p w14:paraId="748A2C1F">
            <w:pPr>
              <w:jc w:val="center"/>
              <w:rPr>
                <w:rFonts w:ascii="宋体" w:hAnsi="宋体" w:cs="宋体"/>
                <w:color w:val="auto"/>
                <w:sz w:val="24"/>
                <w:highlight w:val="none"/>
              </w:rPr>
            </w:pPr>
          </w:p>
        </w:tc>
        <w:tc>
          <w:tcPr>
            <w:tcW w:w="1254" w:type="dxa"/>
            <w:vAlign w:val="center"/>
          </w:tcPr>
          <w:p w14:paraId="414C90E0">
            <w:pPr>
              <w:jc w:val="center"/>
              <w:rPr>
                <w:rFonts w:ascii="宋体" w:hAnsi="宋体" w:cs="宋体"/>
                <w:color w:val="auto"/>
                <w:sz w:val="24"/>
                <w:highlight w:val="none"/>
              </w:rPr>
            </w:pPr>
          </w:p>
        </w:tc>
        <w:tc>
          <w:tcPr>
            <w:tcW w:w="1685" w:type="dxa"/>
            <w:vAlign w:val="center"/>
          </w:tcPr>
          <w:p w14:paraId="150FC438">
            <w:pPr>
              <w:jc w:val="center"/>
              <w:rPr>
                <w:rFonts w:ascii="宋体" w:hAnsi="宋体" w:cs="宋体"/>
                <w:color w:val="auto"/>
                <w:sz w:val="24"/>
                <w:highlight w:val="none"/>
              </w:rPr>
            </w:pPr>
          </w:p>
        </w:tc>
        <w:tc>
          <w:tcPr>
            <w:tcW w:w="1442" w:type="dxa"/>
          </w:tcPr>
          <w:p w14:paraId="29083B66">
            <w:pPr>
              <w:jc w:val="center"/>
              <w:rPr>
                <w:rFonts w:ascii="宋体" w:hAnsi="宋体" w:cs="宋体"/>
                <w:color w:val="auto"/>
                <w:sz w:val="24"/>
                <w:highlight w:val="none"/>
              </w:rPr>
            </w:pPr>
          </w:p>
        </w:tc>
        <w:tc>
          <w:tcPr>
            <w:tcW w:w="1442" w:type="dxa"/>
            <w:vAlign w:val="center"/>
          </w:tcPr>
          <w:p w14:paraId="56C19F0C">
            <w:pPr>
              <w:jc w:val="center"/>
              <w:rPr>
                <w:rFonts w:ascii="宋体" w:hAnsi="宋体" w:cs="宋体"/>
                <w:color w:val="auto"/>
                <w:sz w:val="24"/>
                <w:highlight w:val="none"/>
              </w:rPr>
            </w:pPr>
          </w:p>
        </w:tc>
        <w:tc>
          <w:tcPr>
            <w:tcW w:w="1049" w:type="dxa"/>
            <w:vAlign w:val="center"/>
          </w:tcPr>
          <w:p w14:paraId="223752D8">
            <w:pPr>
              <w:jc w:val="center"/>
              <w:rPr>
                <w:rFonts w:ascii="宋体" w:hAnsi="宋体" w:cs="宋体"/>
                <w:color w:val="auto"/>
                <w:sz w:val="24"/>
                <w:highlight w:val="none"/>
              </w:rPr>
            </w:pPr>
          </w:p>
        </w:tc>
      </w:tr>
    </w:tbl>
    <w:p w14:paraId="3AF3214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注：供应商提供相应的证明文件（供应商提供供货合同或中标/成交通知书等扫描件）。</w:t>
      </w:r>
    </w:p>
    <w:p w14:paraId="13C70B0E">
      <w:pPr>
        <w:ind w:firstLine="482" w:firstLineChars="200"/>
        <w:rPr>
          <w:rFonts w:ascii="宋体" w:hAnsi="宋体" w:cs="宋体"/>
          <w:b/>
          <w:color w:val="auto"/>
          <w:sz w:val="24"/>
          <w:szCs w:val="24"/>
          <w:highlight w:val="none"/>
        </w:rPr>
      </w:pPr>
    </w:p>
    <w:p w14:paraId="4FE6B81A">
      <w:pPr>
        <w:ind w:firstLine="1687" w:firstLineChars="600"/>
        <w:rPr>
          <w:rFonts w:ascii="宋体" w:hAnsi="宋体" w:cs="宋体"/>
          <w:b/>
          <w:color w:val="auto"/>
          <w:sz w:val="28"/>
          <w:szCs w:val="28"/>
          <w:highlight w:val="none"/>
        </w:rPr>
      </w:pPr>
    </w:p>
    <w:p w14:paraId="2AB54FC6">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016CDF80">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16C73A73">
      <w:pPr>
        <w:ind w:firstLine="1968" w:firstLineChars="700"/>
        <w:rPr>
          <w:rFonts w:ascii="宋体" w:hAnsi="宋体" w:cs="宋体"/>
          <w:color w:val="auto"/>
          <w:sz w:val="28"/>
          <w:szCs w:val="28"/>
          <w:highlight w:val="none"/>
        </w:rPr>
        <w:sectPr>
          <w:headerReference r:id="rId16" w:type="default"/>
          <w:pgSz w:w="11906" w:h="16838"/>
          <w:pgMar w:top="1440" w:right="1083" w:bottom="1440" w:left="1083" w:header="720" w:footer="720" w:gutter="0"/>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bookmarkEnd w:id="292"/>
    <w:p w14:paraId="776302B2">
      <w:pPr>
        <w:pStyle w:val="5"/>
        <w:widowControl/>
        <w:autoSpaceDE w:val="0"/>
        <w:spacing w:before="0" w:after="0" w:line="360" w:lineRule="auto"/>
        <w:ind w:firstLine="562" w:firstLineChars="200"/>
        <w:rPr>
          <w:rFonts w:ascii="宋体" w:hAnsi="宋体" w:cs="宋体"/>
          <w:color w:val="auto"/>
          <w:szCs w:val="28"/>
          <w:highlight w:val="none"/>
        </w:rPr>
      </w:pPr>
      <w:bookmarkStart w:id="293" w:name="_Toc12890"/>
      <w:r>
        <w:rPr>
          <w:rFonts w:hint="eastAsia" w:ascii="宋体" w:hAnsi="宋体" w:cs="宋体"/>
          <w:color w:val="auto"/>
          <w:szCs w:val="28"/>
          <w:highlight w:val="none"/>
        </w:rPr>
        <w:t>十、售后服务</w:t>
      </w:r>
      <w:bookmarkEnd w:id="293"/>
    </w:p>
    <w:p w14:paraId="59296C32">
      <w:pPr>
        <w:spacing w:line="360" w:lineRule="auto"/>
        <w:ind w:left="283" w:leftChars="135"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详细说明提供售后服务支持的能力，包括但不限于以下内容：</w:t>
      </w:r>
    </w:p>
    <w:p w14:paraId="3DEB3AE2">
      <w:pPr>
        <w:spacing w:line="360" w:lineRule="auto"/>
        <w:ind w:left="283" w:leftChars="135"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服务机构（名称、地址、联系人和联系方式）、人员情况，故障响应时间、售后服务时间、备品备件供应能力、培训情况、保障措施及违约责任承诺等。</w:t>
      </w:r>
    </w:p>
    <w:p w14:paraId="0E13605C">
      <w:pPr>
        <w:spacing w:line="360" w:lineRule="auto"/>
        <w:rPr>
          <w:rFonts w:ascii="宋体" w:hAnsi="宋体" w:cs="宋体"/>
          <w:color w:val="auto"/>
          <w:sz w:val="24"/>
          <w:szCs w:val="24"/>
          <w:highlight w:val="none"/>
        </w:rPr>
      </w:pPr>
    </w:p>
    <w:p w14:paraId="63711FA6">
      <w:pPr>
        <w:ind w:firstLine="482" w:firstLineChars="200"/>
        <w:rPr>
          <w:rFonts w:ascii="宋体" w:hAnsi="宋体" w:cs="宋体"/>
          <w:b/>
          <w:color w:val="auto"/>
          <w:sz w:val="24"/>
          <w:szCs w:val="24"/>
          <w:highlight w:val="none"/>
        </w:rPr>
      </w:pPr>
    </w:p>
    <w:p w14:paraId="6C0E040F">
      <w:pPr>
        <w:ind w:firstLine="1687" w:firstLineChars="600"/>
        <w:rPr>
          <w:rFonts w:ascii="宋体" w:hAnsi="宋体" w:cs="宋体"/>
          <w:b/>
          <w:color w:val="auto"/>
          <w:sz w:val="28"/>
          <w:szCs w:val="28"/>
          <w:highlight w:val="none"/>
        </w:rPr>
      </w:pPr>
    </w:p>
    <w:p w14:paraId="7D02D600">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745E1AA7">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37C291FC">
      <w:pPr>
        <w:ind w:firstLine="1968" w:firstLineChars="700"/>
        <w:rPr>
          <w:rFonts w:ascii="宋体" w:hAnsi="宋体" w:cs="宋体"/>
          <w:b/>
          <w:color w:val="auto"/>
          <w:sz w:val="28"/>
          <w:szCs w:val="28"/>
          <w:highlight w:val="none"/>
        </w:r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0D96ABA0">
      <w:pPr>
        <w:pStyle w:val="5"/>
        <w:widowControl/>
        <w:autoSpaceDE w:val="0"/>
        <w:spacing w:before="0" w:after="0" w:line="360" w:lineRule="auto"/>
        <w:ind w:firstLine="560" w:firstLineChars="200"/>
        <w:rPr>
          <w:rFonts w:ascii="宋体" w:hAnsi="宋体" w:cs="宋体"/>
          <w:color w:val="auto"/>
          <w:szCs w:val="28"/>
          <w:highlight w:val="none"/>
        </w:rPr>
      </w:pPr>
      <w:r>
        <w:rPr>
          <w:rFonts w:hint="eastAsia" w:ascii="宋体" w:hAnsi="宋体" w:cs="宋体"/>
          <w:b w:val="0"/>
          <w:color w:val="auto"/>
          <w:szCs w:val="28"/>
          <w:highlight w:val="none"/>
        </w:rPr>
        <w:br w:type="page"/>
      </w:r>
      <w:bookmarkStart w:id="294" w:name="_Toc12807"/>
      <w:bookmarkStart w:id="295" w:name="_Toc11815"/>
      <w:r>
        <w:rPr>
          <w:rFonts w:hint="eastAsia" w:ascii="宋体" w:hAnsi="宋体" w:cs="宋体"/>
          <w:color w:val="auto"/>
          <w:szCs w:val="28"/>
          <w:highlight w:val="none"/>
        </w:rPr>
        <w:t>十一、</w:t>
      </w:r>
      <w:bookmarkEnd w:id="294"/>
      <w:r>
        <w:rPr>
          <w:rFonts w:hint="eastAsia" w:ascii="宋体" w:hAnsi="宋体" w:cs="宋体"/>
          <w:color w:val="auto"/>
          <w:szCs w:val="28"/>
          <w:highlight w:val="none"/>
        </w:rPr>
        <w:t>质量保证及保障承诺</w:t>
      </w:r>
      <w:bookmarkEnd w:id="295"/>
    </w:p>
    <w:p w14:paraId="787BCB96">
      <w:pPr>
        <w:spacing w:before="78" w:line="219" w:lineRule="auto"/>
        <w:ind w:firstLine="460"/>
        <w:jc w:val="center"/>
        <w:rPr>
          <w:rFonts w:ascii="宋体" w:hAnsi="宋体" w:cs="宋体"/>
          <w:color w:val="auto"/>
          <w:highlight w:val="none"/>
        </w:rPr>
      </w:pPr>
      <w:r>
        <w:rPr>
          <w:rFonts w:hint="eastAsia" w:ascii="宋体" w:hAnsi="宋体" w:cs="宋体"/>
          <w:color w:val="auto"/>
          <w:spacing w:val="-5"/>
          <w:sz w:val="24"/>
          <w:szCs w:val="24"/>
          <w:highlight w:val="none"/>
        </w:rPr>
        <w:t>（格式自拟）</w:t>
      </w:r>
    </w:p>
    <w:p w14:paraId="5EB9CB94">
      <w:pPr>
        <w:pStyle w:val="12"/>
        <w:rPr>
          <w:rFonts w:ascii="宋体" w:hAnsi="宋体" w:cs="宋体"/>
          <w:color w:val="auto"/>
          <w:highlight w:val="none"/>
        </w:rPr>
      </w:pPr>
    </w:p>
    <w:p w14:paraId="0979B7B0">
      <w:pPr>
        <w:pStyle w:val="5"/>
        <w:widowControl/>
        <w:autoSpaceDE w:val="0"/>
        <w:spacing w:before="0" w:after="0" w:line="360" w:lineRule="auto"/>
        <w:ind w:firstLine="562" w:firstLineChars="200"/>
        <w:rPr>
          <w:rFonts w:ascii="宋体" w:hAnsi="宋体" w:cs="宋体"/>
          <w:color w:val="auto"/>
          <w:szCs w:val="28"/>
          <w:highlight w:val="none"/>
        </w:rPr>
      </w:pPr>
      <w:bookmarkStart w:id="296" w:name="_Toc25322"/>
      <w:r>
        <w:rPr>
          <w:rFonts w:hint="eastAsia" w:ascii="宋体" w:hAnsi="宋体" w:cs="宋体"/>
          <w:color w:val="auto"/>
          <w:szCs w:val="28"/>
          <w:highlight w:val="none"/>
        </w:rPr>
        <w:t>十二、供货实施及安装调试方案</w:t>
      </w:r>
      <w:bookmarkEnd w:id="296"/>
    </w:p>
    <w:p w14:paraId="02BBEF52">
      <w:pPr>
        <w:spacing w:before="78" w:line="219" w:lineRule="auto"/>
        <w:ind w:firstLine="460"/>
        <w:jc w:val="center"/>
        <w:rPr>
          <w:rFonts w:ascii="宋体" w:hAnsi="宋体" w:cs="宋体"/>
          <w:color w:val="auto"/>
          <w:sz w:val="28"/>
          <w:szCs w:val="28"/>
          <w:highlight w:val="none"/>
        </w:rPr>
      </w:pPr>
      <w:r>
        <w:rPr>
          <w:rFonts w:hint="eastAsia" w:ascii="宋体" w:hAnsi="宋体" w:cs="宋体"/>
          <w:color w:val="auto"/>
          <w:spacing w:val="-5"/>
          <w:sz w:val="24"/>
          <w:szCs w:val="24"/>
          <w:highlight w:val="none"/>
        </w:rPr>
        <w:t>（格式自拟）</w:t>
      </w:r>
    </w:p>
    <w:p w14:paraId="47198E52">
      <w:pPr>
        <w:pStyle w:val="12"/>
        <w:rPr>
          <w:rFonts w:ascii="宋体" w:hAnsi="宋体" w:cs="宋体"/>
          <w:color w:val="auto"/>
          <w:highlight w:val="none"/>
        </w:rPr>
      </w:pPr>
    </w:p>
    <w:p w14:paraId="7C62D133">
      <w:pPr>
        <w:pStyle w:val="5"/>
        <w:widowControl/>
        <w:autoSpaceDE w:val="0"/>
        <w:spacing w:before="0" w:after="0" w:line="240" w:lineRule="auto"/>
        <w:ind w:firstLine="562" w:firstLineChars="200"/>
        <w:rPr>
          <w:rFonts w:ascii="宋体" w:hAnsi="宋体" w:cs="宋体"/>
          <w:color w:val="auto"/>
          <w:szCs w:val="28"/>
          <w:highlight w:val="none"/>
        </w:rPr>
      </w:pPr>
      <w:bookmarkStart w:id="297" w:name="_Toc32403"/>
      <w:r>
        <w:rPr>
          <w:rFonts w:hint="eastAsia" w:ascii="宋体" w:hAnsi="宋体" w:cs="宋体"/>
          <w:color w:val="auto"/>
          <w:szCs w:val="28"/>
          <w:highlight w:val="none"/>
        </w:rPr>
        <w:t>十三、其他资料</w:t>
      </w:r>
      <w:bookmarkEnd w:id="297"/>
    </w:p>
    <w:p w14:paraId="71FA29EC">
      <w:pPr>
        <w:spacing w:before="158" w:beforeLines="50"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(一)供应商能享受政策优惠的证明材料</w:t>
      </w:r>
    </w:p>
    <w:p w14:paraId="6075D22A">
      <w:pPr>
        <w:spacing w:before="158" w:beforeLines="50"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(二)谈判文件要求提交的其他资料</w:t>
      </w:r>
    </w:p>
    <w:p w14:paraId="5852F13D">
      <w:pPr>
        <w:spacing w:before="158" w:beforeLines="50"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(三)供应商认为需要提交的其他资料</w:t>
      </w:r>
    </w:p>
    <w:p w14:paraId="40CD5FD8">
      <w:pPr>
        <w:widowControl w:val="0"/>
        <w:spacing w:line="480" w:lineRule="auto"/>
        <w:ind w:firstLine="560" w:firstLineChars="200"/>
        <w:jc w:val="center"/>
        <w:rPr>
          <w:rFonts w:ascii="宋体" w:hAnsi="宋体" w:cs="宋体"/>
          <w:b/>
          <w:color w:val="auto"/>
          <w:sz w:val="24"/>
          <w:szCs w:val="24"/>
          <w:highlight w:val="none"/>
          <w:shd w:val="clear" w:color="auto" w:fill="FFFFFF"/>
        </w:rPr>
      </w:pPr>
      <w:r>
        <w:rPr>
          <w:rFonts w:hint="eastAsia" w:ascii="宋体" w:hAnsi="宋体" w:cs="宋体"/>
          <w:color w:val="auto"/>
          <w:sz w:val="28"/>
          <w:szCs w:val="28"/>
          <w:highlight w:val="none"/>
        </w:rPr>
        <w:br w:type="page"/>
      </w:r>
      <w:r>
        <w:rPr>
          <w:rFonts w:hint="eastAsia" w:ascii="宋体" w:hAnsi="宋体" w:cs="宋体"/>
          <w:b/>
          <w:color w:val="auto"/>
          <w:sz w:val="24"/>
          <w:szCs w:val="24"/>
          <w:highlight w:val="none"/>
          <w:shd w:val="clear" w:color="auto" w:fill="FFFFFF"/>
        </w:rPr>
        <w:t>中小企业声明函(货物)</w:t>
      </w:r>
    </w:p>
    <w:p w14:paraId="3F494C7C">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本公司（联合体)郑重声明，根据《政府采购促进中小企业发展管理办法》(财库( 2020 )46号)的规定，本公司(联合体)参加</w:t>
      </w:r>
      <w:r>
        <w:rPr>
          <w:rFonts w:hint="eastAsia" w:ascii="宋体" w:hAnsi="宋体" w:cs="宋体"/>
          <w:color w:val="auto"/>
          <w:sz w:val="24"/>
          <w:szCs w:val="24"/>
          <w:highlight w:val="none"/>
          <w:u w:val="single"/>
          <w:shd w:val="clear" w:color="auto" w:fill="FFFFFF"/>
        </w:rPr>
        <w:t xml:space="preserve">       (单位名称) </w:t>
      </w:r>
      <w:r>
        <w:rPr>
          <w:rFonts w:hint="eastAsia" w:ascii="宋体" w:hAnsi="宋体" w:cs="宋体"/>
          <w:color w:val="auto"/>
          <w:sz w:val="24"/>
          <w:szCs w:val="24"/>
          <w:highlight w:val="none"/>
          <w:shd w:val="clear" w:color="auto" w:fill="FFFFFF"/>
        </w:rPr>
        <w:t>的</w:t>
      </w:r>
      <w:r>
        <w:rPr>
          <w:rFonts w:hint="eastAsia" w:ascii="宋体" w:hAnsi="宋体" w:cs="宋体"/>
          <w:color w:val="auto"/>
          <w:sz w:val="24"/>
          <w:szCs w:val="24"/>
          <w:highlight w:val="none"/>
          <w:u w:val="single"/>
          <w:shd w:val="clear" w:color="auto" w:fill="FFFFFF"/>
        </w:rPr>
        <w:t xml:space="preserve">    (项目名称)</w:t>
      </w:r>
      <w:r>
        <w:rPr>
          <w:rFonts w:hint="eastAsia" w:ascii="宋体" w:hAnsi="宋体" w:cs="宋体"/>
          <w:color w:val="auto"/>
          <w:sz w:val="24"/>
          <w:szCs w:val="24"/>
          <w:highlight w:val="none"/>
          <w:shd w:val="clear" w:color="auto" w:fill="FFFFFF"/>
        </w:rPr>
        <w:t>采购活动，提供的货物全部由符合政策要求的中小企业制造。相关企业(含联合体中的中小企业、签订分包意向协议的中小企业)的具体情况如下:</w:t>
      </w:r>
    </w:p>
    <w:p w14:paraId="17EAD749">
      <w:pPr>
        <w:widowControl w:val="0"/>
        <w:spacing w:line="480" w:lineRule="auto"/>
        <w:ind w:firstLine="480" w:firstLineChars="2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 </w:t>
      </w:r>
      <w:r>
        <w:rPr>
          <w:rFonts w:hint="eastAsia" w:ascii="宋体" w:hAnsi="宋体" w:cs="宋体"/>
          <w:color w:val="auto"/>
          <w:sz w:val="24"/>
          <w:szCs w:val="24"/>
          <w:highlight w:val="none"/>
          <w:u w:val="single"/>
          <w:shd w:val="clear" w:color="auto" w:fill="FFFFFF"/>
        </w:rPr>
        <w:t xml:space="preserve">       (标的名称)</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工业 (采购文件中明确的所属行业)</w:t>
      </w:r>
      <w:r>
        <w:rPr>
          <w:rFonts w:hint="eastAsia" w:ascii="宋体" w:hAnsi="宋体" w:cs="宋体"/>
          <w:color w:val="auto"/>
          <w:sz w:val="24"/>
          <w:szCs w:val="24"/>
          <w:highlight w:val="none"/>
          <w:shd w:val="clear" w:color="auto" w:fill="FFFFFF"/>
        </w:rPr>
        <w:t>行业；制造商为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万元，资产总额为___ 万元</w:t>
      </w:r>
      <w:r>
        <w:rPr>
          <w:rFonts w:hint="eastAsia" w:ascii="宋体" w:hAnsi="宋体" w:cs="宋体"/>
          <w:color w:val="auto"/>
          <w:sz w:val="24"/>
          <w:szCs w:val="24"/>
          <w:highlight w:val="none"/>
          <w:shd w:val="clear" w:color="auto" w:fill="FFFFFF"/>
          <w:vertAlign w:val="superscript"/>
        </w:rPr>
        <w:t>1</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（中型企业、小型企业、微型企业）</w:t>
      </w:r>
      <w:r>
        <w:rPr>
          <w:rFonts w:hint="eastAsia" w:ascii="宋体" w:hAnsi="宋体" w:cs="宋体"/>
          <w:color w:val="auto"/>
          <w:sz w:val="24"/>
          <w:szCs w:val="24"/>
          <w:highlight w:val="none"/>
          <w:shd w:val="clear" w:color="auto" w:fill="FFFFFF"/>
        </w:rPr>
        <w:t>；</w:t>
      </w:r>
    </w:p>
    <w:p w14:paraId="7D306040">
      <w:pPr>
        <w:widowControl w:val="0"/>
        <w:spacing w:line="36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w:t>
      </w:r>
      <w:r>
        <w:rPr>
          <w:rFonts w:hint="eastAsia" w:ascii="宋体" w:hAnsi="宋体" w:cs="宋体"/>
          <w:color w:val="auto"/>
          <w:sz w:val="24"/>
          <w:szCs w:val="24"/>
          <w:highlight w:val="none"/>
          <w:u w:val="single"/>
          <w:shd w:val="clear" w:color="auto" w:fill="FFFFFF"/>
        </w:rPr>
        <w:t xml:space="preserve">      （标的名称)</w:t>
      </w:r>
      <w:r>
        <w:rPr>
          <w:rFonts w:hint="eastAsia" w:ascii="宋体" w:hAnsi="宋体" w:cs="宋体"/>
          <w:color w:val="auto"/>
          <w:sz w:val="24"/>
          <w:szCs w:val="24"/>
          <w:highlight w:val="none"/>
          <w:shd w:val="clear" w:color="auto" w:fill="FFFFFF"/>
        </w:rPr>
        <w:t>， 属于</w:t>
      </w:r>
      <w:r>
        <w:rPr>
          <w:rFonts w:hint="eastAsia" w:ascii="宋体" w:hAnsi="宋体" w:cs="宋体"/>
          <w:color w:val="auto"/>
          <w:sz w:val="24"/>
          <w:szCs w:val="24"/>
          <w:highlight w:val="none"/>
          <w:u w:val="single"/>
          <w:shd w:val="clear" w:color="auto" w:fill="FFFFFF"/>
        </w:rPr>
        <w:t xml:space="preserve"> 工业（采购文件中明确的所属行业)</w:t>
      </w:r>
      <w:r>
        <w:rPr>
          <w:rFonts w:hint="eastAsia" w:ascii="宋体" w:hAnsi="宋体" w:cs="宋体"/>
          <w:color w:val="auto"/>
          <w:sz w:val="24"/>
          <w:szCs w:val="24"/>
          <w:highlight w:val="none"/>
          <w:shd w:val="clear" w:color="auto" w:fill="FFFFFF"/>
        </w:rPr>
        <w:t>行业；制造商为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 资产总额为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万元，属于</w:t>
      </w:r>
      <w:r>
        <w:rPr>
          <w:rFonts w:hint="eastAsia" w:ascii="宋体" w:hAnsi="宋体" w:cs="宋体"/>
          <w:color w:val="auto"/>
          <w:sz w:val="24"/>
          <w:szCs w:val="24"/>
          <w:highlight w:val="none"/>
          <w:u w:val="single"/>
          <w:shd w:val="clear" w:color="auto" w:fill="FFFFFF"/>
        </w:rPr>
        <w:t xml:space="preserve">   （中型企业、 小型企业、微型企业)</w:t>
      </w:r>
      <w:r>
        <w:rPr>
          <w:rFonts w:hint="eastAsia" w:ascii="宋体" w:hAnsi="宋体" w:cs="宋体"/>
          <w:color w:val="auto"/>
          <w:sz w:val="24"/>
          <w:szCs w:val="24"/>
          <w:highlight w:val="none"/>
          <w:shd w:val="clear" w:color="auto" w:fill="FFFFFF"/>
        </w:rPr>
        <w:t>；</w:t>
      </w:r>
    </w:p>
    <w:p w14:paraId="2CA99392">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w:t>
      </w:r>
    </w:p>
    <w:p w14:paraId="656E8E80">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以上企业，不属于大企业的分支机构，不存在控股股东为大企业的情形，也不存在与大企业的负责人为同一人的情形。</w:t>
      </w:r>
    </w:p>
    <w:p w14:paraId="6B7B8A43">
      <w:pPr>
        <w:widowControl w:val="0"/>
        <w:spacing w:line="480" w:lineRule="auto"/>
        <w:ind w:firstLine="480" w:firstLineChars="2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本企业对上述声明内容的真实性负责。如有虛假，将依法承担相应责任。</w:t>
      </w:r>
    </w:p>
    <w:p w14:paraId="651665EE">
      <w:pPr>
        <w:spacing w:line="480" w:lineRule="auto"/>
        <w:ind w:left="3360" w:hanging="3360" w:hangingChars="1400"/>
        <w:jc w:val="center"/>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企业名称(盖章):</w:t>
      </w:r>
    </w:p>
    <w:p w14:paraId="0D016335">
      <w:pPr>
        <w:spacing w:line="480" w:lineRule="auto"/>
        <w:ind w:left="3352" w:leftChars="1596" w:firstLine="720" w:firstLineChars="3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日 期:</w:t>
      </w:r>
    </w:p>
    <w:p w14:paraId="47BEB94C">
      <w:pPr>
        <w:spacing w:line="480" w:lineRule="auto"/>
        <w:jc w:val="both"/>
        <w:rPr>
          <w:rFonts w:ascii="宋体" w:hAnsi="宋体" w:cs="宋体"/>
          <w:color w:val="auto"/>
          <w:sz w:val="24"/>
          <w:szCs w:val="24"/>
          <w:highlight w:val="none"/>
          <w:u w:val="single"/>
          <w:shd w:val="clear" w:color="auto" w:fill="FFFFFF"/>
        </w:rPr>
      </w:pPr>
      <w:r>
        <w:rPr>
          <w:rFonts w:hint="eastAsia" w:ascii="宋体" w:hAnsi="宋体" w:cs="宋体"/>
          <w:color w:val="auto"/>
          <w:sz w:val="24"/>
          <w:szCs w:val="24"/>
          <w:highlight w:val="none"/>
          <w:u w:val="single"/>
          <w:shd w:val="clear" w:color="auto" w:fill="FFFFFF"/>
        </w:rPr>
        <w:t xml:space="preserve">                   </w:t>
      </w:r>
    </w:p>
    <w:p w14:paraId="756EE716">
      <w:pPr>
        <w:spacing w:line="480" w:lineRule="auto"/>
        <w:rPr>
          <w:rFonts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vertAlign w:val="superscript"/>
        </w:rPr>
        <w:t>1</w:t>
      </w:r>
      <w:r>
        <w:rPr>
          <w:rFonts w:hint="eastAsia" w:ascii="宋体" w:hAnsi="宋体" w:cs="宋体"/>
          <w:color w:val="auto"/>
          <w:sz w:val="18"/>
          <w:szCs w:val="18"/>
          <w:highlight w:val="none"/>
          <w:shd w:val="clear" w:color="auto" w:fill="FFFFFF"/>
        </w:rPr>
        <w:t>从业人员、营业收入、资产总额填报上一年度数据，无上一年度数据的新成立企业可不填报。</w:t>
      </w:r>
    </w:p>
    <w:p w14:paraId="7DC57528">
      <w:pPr>
        <w:spacing w:line="480" w:lineRule="auto"/>
        <w:jc w:val="center"/>
        <w:rPr>
          <w:rFonts w:ascii="宋体" w:hAnsi="宋体" w:cs="宋体"/>
          <w:b/>
          <w:color w:val="auto"/>
          <w:spacing w:val="6"/>
          <w:sz w:val="30"/>
          <w:szCs w:val="30"/>
          <w:highlight w:val="none"/>
        </w:rPr>
      </w:pPr>
      <w:r>
        <w:rPr>
          <w:rFonts w:hint="eastAsia" w:ascii="宋体" w:hAnsi="宋体" w:cs="宋体"/>
          <w:color w:val="auto"/>
          <w:highlight w:val="none"/>
        </w:rPr>
        <w:br w:type="page"/>
      </w:r>
      <w:r>
        <w:rPr>
          <w:rFonts w:hint="eastAsia" w:ascii="宋体" w:hAnsi="宋体" w:cs="宋体"/>
          <w:b/>
          <w:bCs/>
          <w:color w:val="auto"/>
          <w:sz w:val="24"/>
          <w:szCs w:val="24"/>
          <w:highlight w:val="none"/>
          <w:shd w:val="clear" w:color="auto" w:fill="FFFFFF"/>
        </w:rPr>
        <w:t>残疾人福利性单位声明函格式</w:t>
      </w:r>
    </w:p>
    <w:p w14:paraId="1921D32C">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D84B829">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3851847B">
      <w:pPr>
        <w:spacing w:line="588" w:lineRule="exact"/>
        <w:ind w:firstLine="504" w:firstLineChars="200"/>
        <w:rPr>
          <w:rFonts w:ascii="宋体" w:hAnsi="宋体" w:cs="宋体"/>
          <w:color w:val="auto"/>
          <w:spacing w:val="6"/>
          <w:sz w:val="24"/>
          <w:szCs w:val="24"/>
          <w:highlight w:val="none"/>
        </w:rPr>
      </w:pPr>
    </w:p>
    <w:p w14:paraId="0B44DD27">
      <w:pPr>
        <w:spacing w:line="588" w:lineRule="exact"/>
        <w:ind w:firstLine="504" w:firstLineChars="200"/>
        <w:rPr>
          <w:rFonts w:ascii="宋体" w:hAnsi="宋体" w:cs="宋体"/>
          <w:color w:val="auto"/>
          <w:spacing w:val="6"/>
          <w:sz w:val="24"/>
          <w:szCs w:val="24"/>
          <w:highlight w:val="none"/>
        </w:rPr>
      </w:pPr>
    </w:p>
    <w:p w14:paraId="448CE054">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单位名称（盖章）：</w:t>
      </w:r>
    </w:p>
    <w:p w14:paraId="1518C0C7">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01368FAC">
      <w:pPr>
        <w:tabs>
          <w:tab w:val="left" w:pos="4860"/>
        </w:tabs>
        <w:spacing w:line="588" w:lineRule="exact"/>
        <w:ind w:right="1560"/>
        <w:jc w:val="both"/>
        <w:rPr>
          <w:rFonts w:ascii="宋体" w:hAnsi="宋体" w:cs="宋体"/>
          <w:color w:val="auto"/>
          <w:spacing w:val="6"/>
          <w:sz w:val="24"/>
          <w:szCs w:val="24"/>
          <w:highlight w:val="none"/>
        </w:rPr>
      </w:pPr>
    </w:p>
    <w:p w14:paraId="6D6D7869">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r>
        <w:rPr>
          <w:rFonts w:hint="eastAsia" w:ascii="宋体" w:hAnsi="宋体" w:cs="宋体"/>
          <w:b/>
          <w:bCs/>
          <w:color w:val="auto"/>
          <w:sz w:val="24"/>
          <w:szCs w:val="24"/>
          <w:highlight w:val="none"/>
          <w:shd w:val="clear" w:color="auto" w:fill="FFFFFF"/>
        </w:rPr>
        <w:t>监狱企业证明文件格式</w:t>
      </w:r>
    </w:p>
    <w:p w14:paraId="037B9D33">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381246">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监狱企业参加政府采购活动时，应当提供由省级以上监狱管理局、戒毒管理局（含新疆生产建设兵团）出具的属于监狱企业的证明文件。</w:t>
      </w:r>
    </w:p>
    <w:p w14:paraId="201570E8">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237B5931">
      <w:pPr>
        <w:spacing w:line="480" w:lineRule="auto"/>
        <w:ind w:firstLine="480" w:firstLineChars="200"/>
        <w:rPr>
          <w:rFonts w:ascii="宋体" w:hAnsi="宋体" w:cs="宋体"/>
          <w:color w:val="auto"/>
          <w:sz w:val="24"/>
          <w:szCs w:val="24"/>
          <w:highlight w:val="none"/>
        </w:rPr>
      </w:pPr>
    </w:p>
    <w:p w14:paraId="6E745375">
      <w:pPr>
        <w:pStyle w:val="12"/>
        <w:ind w:firstLine="420" w:firstLineChars="200"/>
        <w:rPr>
          <w:rFonts w:ascii="宋体" w:hAnsi="宋体" w:cs="宋体"/>
          <w:color w:val="auto"/>
          <w:szCs w:val="21"/>
          <w:highlight w:val="none"/>
        </w:rPr>
      </w:pPr>
      <w:r>
        <w:rPr>
          <w:rFonts w:hint="eastAsia" w:ascii="宋体" w:hAnsi="宋体" w:cs="宋体"/>
          <w:color w:val="auto"/>
          <w:highlight w:val="none"/>
        </w:rPr>
        <w:t>注：符合条件的监狱企业在参加政府采购活动时，应当按《财政部 司法部关于政府采购支持监狱企业发展有关问题的通知》（财库[2014]68 号）提供规定的《监狱企业证明文件》，并对证明文件的真实性负责。</w:t>
      </w:r>
    </w:p>
    <w:p w14:paraId="4D522AF9">
      <w:pPr>
        <w:pStyle w:val="12"/>
        <w:rPr>
          <w:rFonts w:ascii="宋体" w:hAnsi="宋体" w:cs="宋体"/>
          <w:color w:val="auto"/>
          <w:highlight w:val="none"/>
        </w:rPr>
      </w:pPr>
    </w:p>
    <w:p w14:paraId="23EB87FE">
      <w:pPr>
        <w:spacing w:before="158" w:beforeLines="50" w:line="360" w:lineRule="auto"/>
        <w:ind w:firstLine="720" w:firstLineChars="300"/>
        <w:rPr>
          <w:rFonts w:ascii="宋体" w:hAnsi="宋体" w:cs="宋体"/>
          <w:color w:val="auto"/>
          <w:sz w:val="24"/>
          <w:szCs w:val="24"/>
          <w:highlight w:val="none"/>
        </w:rPr>
      </w:pPr>
    </w:p>
    <w:p w14:paraId="24256D8C">
      <w:pPr>
        <w:spacing w:before="158" w:beforeLines="50" w:line="360" w:lineRule="auto"/>
        <w:ind w:firstLine="720" w:firstLineChars="300"/>
        <w:rPr>
          <w:rFonts w:ascii="宋体" w:hAnsi="宋体" w:cs="宋体"/>
          <w:color w:val="auto"/>
          <w:sz w:val="24"/>
          <w:szCs w:val="24"/>
          <w:highlight w:val="none"/>
        </w:rPr>
      </w:pPr>
    </w:p>
    <w:p w14:paraId="2E94A954">
      <w:pPr>
        <w:pStyle w:val="12"/>
        <w:rPr>
          <w:rFonts w:ascii="宋体" w:hAnsi="宋体" w:cs="宋体"/>
          <w:color w:val="auto"/>
          <w:szCs w:val="21"/>
          <w:highlight w:val="none"/>
        </w:rPr>
      </w:pPr>
    </w:p>
    <w:p w14:paraId="4C1A8211">
      <w:pPr>
        <w:rPr>
          <w:rFonts w:ascii="宋体" w:hAnsi="宋体" w:cs="宋体"/>
          <w:color w:val="auto"/>
          <w:highlight w:val="none"/>
        </w:rPr>
      </w:pPr>
    </w:p>
    <w:sectPr>
      <w:headerReference r:id="rId17" w:type="default"/>
      <w:footerReference r:id="rId18" w:type="default"/>
      <w:pgSz w:w="11906" w:h="16838"/>
      <w:pgMar w:top="1440" w:right="1083" w:bottom="1440" w:left="1083" w:header="720" w:footer="720"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imes">
    <w:altName w:val="Times New Roman"/>
    <w:panose1 w:val="02020603050405020304"/>
    <w:charset w:val="00"/>
    <w:family w:val="roman"/>
    <w:pitch w:val="default"/>
    <w:sig w:usb0="00000000" w:usb1="00000000" w:usb2="00000009" w:usb3="00000000" w:csb0="000001F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华文宋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3EA8">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C2BAD">
    <w:pPr>
      <w:pStyle w:val="19"/>
    </w:pPr>
    <w:r>
      <mc:AlternateContent>
        <mc:Choice Requires="wps">
          <w:drawing>
            <wp:anchor distT="0" distB="0" distL="114300" distR="114300" simplePos="0" relativeHeight="251663360" behindDoc="0" locked="0" layoutInCell="1" allowOverlap="1">
              <wp:simplePos x="0" y="0"/>
              <wp:positionH relativeFrom="margin">
                <wp:posOffset>3031490</wp:posOffset>
              </wp:positionH>
              <wp:positionV relativeFrom="paragraph">
                <wp:posOffset>-709930</wp:posOffset>
              </wp:positionV>
              <wp:extent cx="57785" cy="131445"/>
              <wp:effectExtent l="0" t="0" r="1270" b="0"/>
              <wp:wrapNone/>
              <wp:docPr id="1651490444" name="文本框 37"/>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1B2775B5">
                          <w:pPr>
                            <w:pStyle w:val="19"/>
                          </w:pPr>
                          <w:r>
                            <w:fldChar w:fldCharType="begin"/>
                          </w:r>
                          <w:r>
                            <w:instrText xml:space="preserve"> PAGE  \* MERGEFORMAT </w:instrText>
                          </w:r>
                          <w:r>
                            <w:fldChar w:fldCharType="separate"/>
                          </w:r>
                          <w:r>
                            <w:t>25</w:t>
                          </w:r>
                          <w:r>
                            <w:fldChar w:fldCharType="end"/>
                          </w:r>
                        </w:p>
                      </w:txbxContent>
                    </wps:txbx>
                    <wps:bodyPr rot="0" vert="horz" wrap="none" lIns="0" tIns="0" rIns="0" bIns="0" anchor="t" anchorCtr="0" upright="1">
                      <a:spAutoFit/>
                    </wps:bodyPr>
                  </wps:wsp>
                </a:graphicData>
              </a:graphic>
            </wp:anchor>
          </w:drawing>
        </mc:Choice>
        <mc:Fallback>
          <w:pict>
            <v:shape id="文本框 37" o:spid="_x0000_s1026" o:spt="202" type="#_x0000_t202" style="position:absolute;left:0pt;margin-left:238.7pt;margin-top:-55.9pt;height:10.35pt;width:4.55pt;mso-position-horizontal-relative:margin;mso-wrap-style:none;z-index:251663360;mso-width-relative:page;mso-height-relative:page;" filled="f" stroked="f" coordsize="21600,21600" o:gfxdata="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Za9sw1wAAAAwBAAAPAAAAAAAA&#10;AAEAIAAAACIAAABkcnMvZG93bnJldi54bWxQSwECFAAUAAAACACHTuJAw+00FRMCAAALBAAADgAA&#10;AAAAAAABACAAAAAmAQAAZHJzL2Uyb0RvYy54bWxQSwUGAAAAAAYABgBZAQAAqwUAAAAA&#10;">
              <v:fill on="f" focussize="0,0"/>
              <v:stroke on="f"/>
              <v:imagedata o:title=""/>
              <o:lock v:ext="edit" aspectratio="f"/>
              <v:textbox inset="0mm,0mm,0mm,0mm" style="mso-fit-shape-to-text:t;">
                <w:txbxContent>
                  <w:p w14:paraId="1B2775B5">
                    <w:pPr>
                      <w:pStyle w:val="1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0D1FF">
    <w:pPr>
      <w:pStyle w:val="19"/>
    </w:pPr>
    <w:r>
      <mc:AlternateContent>
        <mc:Choice Requires="wps">
          <w:drawing>
            <wp:anchor distT="0" distB="0" distL="114300" distR="114300" simplePos="0" relativeHeight="251665408" behindDoc="0" locked="0" layoutInCell="1" allowOverlap="1">
              <wp:simplePos x="0" y="0"/>
              <wp:positionH relativeFrom="margin">
                <wp:posOffset>2942590</wp:posOffset>
              </wp:positionH>
              <wp:positionV relativeFrom="paragraph">
                <wp:posOffset>-130810</wp:posOffset>
              </wp:positionV>
              <wp:extent cx="114935" cy="131445"/>
              <wp:effectExtent l="4445" t="3810" r="4445" b="0"/>
              <wp:wrapNone/>
              <wp:docPr id="1507248675" name="文本框 4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70B3AABE">
                          <w:pPr>
                            <w:pStyle w:val="19"/>
                          </w:pPr>
                          <w:r>
                            <w:fldChar w:fldCharType="begin"/>
                          </w:r>
                          <w:r>
                            <w:instrText xml:space="preserve"> PAGE  \* MERGEFORMAT </w:instrText>
                          </w:r>
                          <w:r>
                            <w:fldChar w:fldCharType="separate"/>
                          </w:r>
                          <w:r>
                            <w:t>26</w:t>
                          </w:r>
                          <w:r>
                            <w:fldChar w:fldCharType="end"/>
                          </w:r>
                        </w:p>
                      </w:txbxContent>
                    </wps:txbx>
                    <wps:bodyPr rot="0" vert="horz" wrap="none" lIns="0" tIns="0" rIns="0" bIns="0" anchor="t" anchorCtr="0" upright="1">
                      <a:spAutoFit/>
                    </wps:bodyPr>
                  </wps:wsp>
                </a:graphicData>
              </a:graphic>
            </wp:anchor>
          </w:drawing>
        </mc:Choice>
        <mc:Fallback>
          <w:pict>
            <v:shape id="文本框 42" o:spid="_x0000_s1026" o:spt="202" type="#_x0000_t202" style="position:absolute;left:0pt;margin-left:231.7pt;margin-top:-10.3pt;height:10.35pt;width:9.05pt;mso-position-horizontal-relative:margin;mso-wrap-style:none;z-index:251665408;mso-width-relative:page;mso-height-relative:page;" filled="f" stroked="f" coordsize="21600,21600" o:gfxdata="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FxtU/VAAAACAEAAA8AAAAA&#10;AAAAAQAgAAAAIgAAAGRycy9kb3ducmV2LnhtbFBLAQIUABQAAAAIAIdO4kCFJ04CFwIAABoEAAAO&#10;AAAAAAAAAAEAIAAAACQBAABkcnMvZTJvRG9jLnhtbFBLBQYAAAAABgAGAFkBAACtBQAAAAA=&#10;">
              <v:fill on="f" focussize="0,0"/>
              <v:stroke on="f"/>
              <v:imagedata o:title=""/>
              <o:lock v:ext="edit" aspectratio="f"/>
              <v:textbox inset="0mm,0mm,0mm,0mm" style="mso-fit-shape-to-text:t;">
                <w:txbxContent>
                  <w:p w14:paraId="70B3AABE">
                    <w:pPr>
                      <w:pStyle w:val="1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30116">
    <w:pPr>
      <w:pStyle w:val="19"/>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1270" b="2540"/>
              <wp:wrapNone/>
              <wp:docPr id="484007020" name="文本框 3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00A13982">
                          <w:pPr>
                            <w:pStyle w:val="19"/>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32"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D5X5J0AAAAAMBAAAPAAAAAAAAAAEAIAAAACIA&#10;AABkcnMvZG93bnJldi54bWxQSwECFAAUAAAACACHTuJAEexx6xECAAALBAAADgAAAAAAAAABACAA&#10;AAAfAQAAZHJzL2Uyb0RvYy54bWxQSwUGAAAAAAYABgBZAQAAogUAAAAA&#10;">
              <v:fill on="f" focussize="0,0"/>
              <v:stroke on="f"/>
              <v:imagedata o:title=""/>
              <o:lock v:ext="edit" aspectratio="f"/>
              <v:textbox inset="0mm,0mm,0mm,0mm" style="mso-fit-shape-to-text:t;">
                <w:txbxContent>
                  <w:p w14:paraId="00A13982">
                    <w:pPr>
                      <w:pStyle w:val="19"/>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v:shape>
          </w:pict>
        </mc:Fallback>
      </mc:AlternateContent>
    </w:r>
  </w:p>
  <w:p w14:paraId="0587C4B3">
    <w:pPr>
      <w:pStyle w:val="19"/>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561F">
    <w:pPr>
      <w:pStyle w:val="1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1270" b="2540"/>
              <wp:wrapNone/>
              <wp:docPr id="82891337" name="文本框 30"/>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0B0EE47E">
                          <w:pPr>
                            <w:pStyle w:val="19"/>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30"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V+SdAAAAADAQAADwAAAAAAAAABACAA&#10;AAAiAAAAZHJzL2Rvd25yZXYueG1sUEsBAhQAFAAAAAgAh07iQL1rG5QVAgAAGAQAAA4AAAAAAAAA&#10;AQAgAAAAHwEAAGRycy9lMm9Eb2MueG1sUEsFBgAAAAAGAAYAWQEAAKYFAAAAAA==&#10;">
              <v:fill on="f" focussize="0,0"/>
              <v:stroke on="f"/>
              <v:imagedata o:title=""/>
              <o:lock v:ext="edit" aspectratio="f"/>
              <v:textbox inset="0mm,0mm,0mm,0mm" style="mso-fit-shape-to-text:t;">
                <w:txbxContent>
                  <w:p w14:paraId="0B0EE47E">
                    <w:pPr>
                      <w:pStyle w:val="19"/>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v:textbox>
            </v:shape>
          </w:pict>
        </mc:Fallback>
      </mc:AlternateContent>
    </w:r>
  </w:p>
  <w:p w14:paraId="5BEBE3E6">
    <w:pPr>
      <w:pStyle w:val="1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0C173">
    <w:pPr>
      <w:pStyle w:val="1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270" b="2540"/>
              <wp:wrapNone/>
              <wp:docPr id="2063587670"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5C13F8FB">
                          <w:pPr>
                            <w:pStyle w:val="19"/>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D5X5J0AAAAAMBAAAPAAAAAAAAAAEA&#10;IAAAACIAAABkcnMvZG93bnJldi54bWxQSwECFAAUAAAACACHTuJApOcH7RcCAAAaBAAADgAAAAAA&#10;AAABACAAAAAfAQAAZHJzL2Uyb0RvYy54bWxQSwUGAAAAAAYABgBZAQAAqAUAAAAA&#10;">
              <v:fill on="f" focussize="0,0"/>
              <v:stroke on="f"/>
              <v:imagedata o:title=""/>
              <o:lock v:ext="edit" aspectratio="f"/>
              <v:textbox inset="0mm,0mm,0mm,0mm" style="mso-fit-shape-to-text:t;">
                <w:txbxContent>
                  <w:p w14:paraId="5C13F8FB">
                    <w:pPr>
                      <w:pStyle w:val="19"/>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v:textbox>
            </v:shape>
          </w:pict>
        </mc:Fallback>
      </mc:AlternateContent>
    </w:r>
  </w:p>
  <w:p w14:paraId="5B0819E1">
    <w:pPr>
      <w:pStyle w:val="19"/>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B7029">
    <w:pPr>
      <w:pStyle w:val="1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70" b="2540"/>
              <wp:wrapNone/>
              <wp:docPr id="1146183550" name="文本框 28"/>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658FE137">
                          <w:pPr>
                            <w:pStyle w:val="19"/>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8"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PlfknQAAAAAwEAAA8AAAAAAAAAAQAg&#10;AAAAIgAAAGRycy9kb3ducmV2LnhtbFBLAQIUABQAAAAIAIdO4kBjZjTUFgIAABoEAAAOAAAAAAAA&#10;AAEAIAAAAB8BAABkcnMvZTJvRG9jLnhtbFBLBQYAAAAABgAGAFkBAACnBQAAAAA=&#10;">
              <v:fill on="f" focussize="0,0"/>
              <v:stroke on="f"/>
              <v:imagedata o:title=""/>
              <o:lock v:ext="edit" aspectratio="f"/>
              <v:textbox inset="0mm,0mm,0mm,0mm" style="mso-fit-shape-to-text:t;">
                <w:txbxContent>
                  <w:p w14:paraId="658FE137">
                    <w:pPr>
                      <w:pStyle w:val="19"/>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v:textbox>
            </v:shape>
          </w:pict>
        </mc:Fallback>
      </mc:AlternateContent>
    </w:r>
  </w:p>
  <w:p w14:paraId="4DAA1D03">
    <w:pPr>
      <w:pStyle w:val="19"/>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731E7">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1270" b="2540"/>
              <wp:wrapNone/>
              <wp:docPr id="1239400348" name="文本框 2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60B91ABD">
                          <w:pPr>
                            <w:pStyle w:val="19"/>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2"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D5X5J0AAAAAMBAAAPAAAAAAAAAAEA&#10;IAAAACIAAABkcnMvZG93bnJldi54bWxQSwECFAAUAAAACACHTuJA/esDFxcCAAAaBAAADgAAAAAA&#10;AAABACAAAAAfAQAAZHJzL2Uyb0RvYy54bWxQSwUGAAAAAAYABgBZAQAAqAUAAAAA&#10;">
              <v:fill on="f" focussize="0,0"/>
              <v:stroke on="f"/>
              <v:imagedata o:title=""/>
              <o:lock v:ext="edit" aspectratio="f"/>
              <v:textbox inset="0mm,0mm,0mm,0mm" style="mso-fit-shape-to-text:t;">
                <w:txbxContent>
                  <w:p w14:paraId="60B91ABD">
                    <w:pPr>
                      <w:pStyle w:val="19"/>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v:textbox>
            </v:shape>
          </w:pict>
        </mc:Fallback>
      </mc:AlternateContent>
    </w:r>
  </w:p>
  <w:p w14:paraId="5CFEC262">
    <w:pPr>
      <w:pStyle w:val="1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1718C">
    <w:pPr>
      <w:pStyle w:val="20"/>
      <w:pBdr>
        <w:bottom w:val="single" w:color="auto" w:sz="4" w:space="1"/>
      </w:pBdr>
      <w:jc w:val="both"/>
    </w:pPr>
    <w:r>
      <w:rPr>
        <w:rFonts w:hint="eastAsia" w:ascii="宋体" w:hAnsi="宋体"/>
        <w:sz w:val="44"/>
        <w:szCs w:val="44"/>
      </w:rPr>
      <w:drawing>
        <wp:inline distT="0" distB="0" distL="0" distR="0">
          <wp:extent cx="133985" cy="140970"/>
          <wp:effectExtent l="0" t="0" r="0" b="0"/>
          <wp:docPr id="2" name="图片 1"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透明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3985" cy="14097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BE03D">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56350">
    <w:pPr>
      <w:pStyle w:val="20"/>
      <w:pBdr>
        <w:bottom w:val="single" w:color="auto" w:sz="4" w:space="1"/>
      </w:pBdr>
      <w:jc w:val="both"/>
    </w:pPr>
    <w:r>
      <w:rPr>
        <w:rFonts w:hint="eastAsia" w:ascii="宋体" w:hAnsi="宋体"/>
        <w:sz w:val="44"/>
        <w:szCs w:val="44"/>
      </w:rPr>
      <w:drawing>
        <wp:inline distT="0" distB="0" distL="0" distR="0">
          <wp:extent cx="133985" cy="140970"/>
          <wp:effectExtent l="0" t="0" r="0" b="0"/>
          <wp:docPr id="3" name="图片 9"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透明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3985" cy="14097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B9346">
    <w:pPr>
      <w:pStyle w:val="20"/>
      <w:pBdr>
        <w:bottom w:val="single" w:color="auto" w:sz="4" w:space="1"/>
      </w:pBdr>
      <w:jc w:val="both"/>
    </w:pPr>
    <w:r>
      <w:rPr>
        <w:rFonts w:hint="eastAsia" w:ascii="宋体" w:hAnsi="宋体"/>
        <w:sz w:val="44"/>
        <w:szCs w:val="44"/>
      </w:rPr>
      <w:drawing>
        <wp:inline distT="0" distB="0" distL="0" distR="0">
          <wp:extent cx="133985" cy="140970"/>
          <wp:effectExtent l="0" t="0" r="0" b="0"/>
          <wp:docPr id="5" name="图片 8"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透明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3985" cy="14097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谈判文件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3862E">
    <w:pPr>
      <w:pStyle w:val="20"/>
      <w:pBdr>
        <w:bottom w:val="single" w:color="auto" w:sz="4" w:space="1"/>
      </w:pBdr>
      <w:jc w:val="both"/>
    </w:pPr>
    <w:r>
      <w:rPr>
        <w:rFonts w:hint="eastAsia" w:ascii="宋体" w:hAnsi="宋体"/>
        <w:sz w:val="44"/>
        <w:szCs w:val="44"/>
      </w:rPr>
      <w:drawing>
        <wp:inline distT="0" distB="0" distL="0" distR="0">
          <wp:extent cx="133985" cy="140970"/>
          <wp:effectExtent l="0" t="0" r="18415" b="11430"/>
          <wp:docPr id="8" name="图片 8"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透明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3985" cy="14097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谈判文件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E14C">
    <w:pPr>
      <w:pStyle w:val="20"/>
      <w:wordWrap w:val="0"/>
      <w:jc w:val="right"/>
    </w:pPr>
    <w:r>
      <w:drawing>
        <wp:anchor distT="0" distB="0" distL="114300" distR="114300" simplePos="0" relativeHeight="251663360" behindDoc="0" locked="0" layoutInCell="1" allowOverlap="0">
          <wp:simplePos x="0" y="0"/>
          <wp:positionH relativeFrom="column">
            <wp:posOffset>-3175</wp:posOffset>
          </wp:positionH>
          <wp:positionV relativeFrom="line">
            <wp:posOffset>-635</wp:posOffset>
          </wp:positionV>
          <wp:extent cx="219075" cy="247650"/>
          <wp:effectExtent l="0" t="0" r="0" b="0"/>
          <wp:wrapSquare wrapText="bothSides"/>
          <wp:docPr id="1497689952" name="图片 27" descr="wps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89952" name="图片 27" descr="wps75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9075" cy="247650"/>
                  </a:xfrm>
                  <a:prstGeom prst="rect">
                    <a:avLst/>
                  </a:prstGeom>
                  <a:noFill/>
                  <a:ln>
                    <a:noFill/>
                  </a:ln>
                </pic:spPr>
              </pic:pic>
            </a:graphicData>
          </a:graphic>
        </wp:anchor>
      </w:drawing>
    </w:r>
    <w:r>
      <w:rPr>
        <w:rFonts w:hint="eastAsia" w:ascii="宋体" w:hAnsi="宋体"/>
        <w:b/>
        <w:bCs/>
        <w:sz w:val="21"/>
        <w:szCs w:val="21"/>
      </w:rPr>
      <w:t xml:space="preserve">云南元大工程咨询有限责任公司 </w:t>
    </w:r>
    <w:r>
      <w:rPr>
        <w:rFonts w:ascii="宋体" w:hAnsi="宋体"/>
        <w:b/>
        <w:bCs/>
        <w:sz w:val="21"/>
        <w:szCs w:val="21"/>
      </w:rPr>
      <w:t xml:space="preserve">                         </w:t>
    </w:r>
    <w:r>
      <w:rPr>
        <w:rFonts w:hint="eastAsia" w:ascii="宋体" w:hAnsi="宋体"/>
        <w:b/>
        <w:bCs/>
        <w:sz w:val="21"/>
        <w:szCs w:val="21"/>
      </w:rPr>
      <w:t xml:space="preserve">   </w:t>
    </w:r>
    <w:r>
      <w:rPr>
        <w:rFonts w:hint="eastAsia"/>
        <w:b/>
        <w:bCs/>
        <w:sz w:val="21"/>
        <w:szCs w:val="21"/>
      </w:rPr>
      <w:t xml:space="preserve">                         </w:t>
    </w:r>
    <w:r>
      <w:rPr>
        <w:rFonts w:hint="eastAsia" w:ascii="宋体" w:hAnsi="宋体"/>
        <w:b/>
        <w:bCs/>
        <w:color w:val="000000"/>
        <w:sz w:val="21"/>
        <w:szCs w:val="21"/>
      </w:rPr>
      <w:t>谈判文件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A330">
    <w:pPr>
      <w:pStyle w:val="20"/>
      <w:jc w:val="right"/>
    </w:pPr>
    <w:r>
      <w:drawing>
        <wp:anchor distT="0" distB="0" distL="114300" distR="114300" simplePos="0" relativeHeight="251664384" behindDoc="0" locked="0" layoutInCell="1" allowOverlap="0">
          <wp:simplePos x="0" y="0"/>
          <wp:positionH relativeFrom="column">
            <wp:posOffset>-3175</wp:posOffset>
          </wp:positionH>
          <wp:positionV relativeFrom="line">
            <wp:posOffset>-635</wp:posOffset>
          </wp:positionV>
          <wp:extent cx="219075" cy="247650"/>
          <wp:effectExtent l="0" t="0" r="0" b="0"/>
          <wp:wrapSquare wrapText="bothSides"/>
          <wp:docPr id="789399896" name="图片 27" descr="wps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99896" name="图片 27" descr="wps75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9075" cy="247650"/>
                  </a:xfrm>
                  <a:prstGeom prst="rect">
                    <a:avLst/>
                  </a:prstGeom>
                  <a:noFill/>
                  <a:ln>
                    <a:noFill/>
                  </a:ln>
                </pic:spPr>
              </pic:pic>
            </a:graphicData>
          </a:graphic>
        </wp:anchor>
      </w:drawing>
    </w:r>
    <w:r>
      <w:rPr>
        <w:rFonts w:hint="eastAsia" w:ascii="宋体" w:hAnsi="宋体"/>
        <w:b/>
        <w:bCs/>
        <w:sz w:val="21"/>
        <w:szCs w:val="21"/>
      </w:rPr>
      <w:t>云南元大工程咨询有限责任公司</w:t>
    </w:r>
    <w:r>
      <w:rPr>
        <w:rFonts w:hint="eastAsia"/>
        <w:b/>
        <w:bCs/>
        <w:sz w:val="21"/>
        <w:szCs w:val="21"/>
      </w:rPr>
      <w:t xml:space="preserve">            </w:t>
    </w:r>
    <w:r>
      <w:rPr>
        <w:b/>
        <w:bCs/>
        <w:sz w:val="21"/>
        <w:szCs w:val="21"/>
      </w:rPr>
      <w:t xml:space="preserve">   </w:t>
    </w:r>
    <w:r>
      <w:rPr>
        <w:rFonts w:hint="eastAsia"/>
        <w:b/>
        <w:bCs/>
        <w:sz w:val="21"/>
        <w:szCs w:val="21"/>
      </w:rPr>
      <w:t xml:space="preserve">                                      </w:t>
    </w:r>
    <w:r>
      <w:rPr>
        <w:rFonts w:hint="eastAsia" w:ascii="宋体" w:hAnsi="宋体"/>
        <w:b/>
        <w:bCs/>
        <w:color w:val="000000"/>
        <w:sz w:val="21"/>
        <w:szCs w:val="21"/>
      </w:rPr>
      <w:t>谈判文件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A9A03">
    <w:pPr>
      <w:pStyle w:val="20"/>
      <w:jc w:val="both"/>
    </w:pPr>
    <w:r>
      <w:rPr>
        <w:rFonts w:hint="eastAsia" w:ascii="宋体" w:hAnsi="宋体"/>
        <w:sz w:val="44"/>
        <w:szCs w:val="44"/>
      </w:rPr>
      <w:drawing>
        <wp:inline distT="0" distB="0" distL="0" distR="0">
          <wp:extent cx="133985" cy="140970"/>
          <wp:effectExtent l="0" t="0" r="0" b="0"/>
          <wp:docPr id="6" name="图片 3"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透明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3985" cy="14097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b/>
        <w:bCs/>
        <w:sz w:val="21"/>
        <w:szCs w:val="21"/>
      </w:rPr>
      <w:t xml:space="preserve">     </w:t>
    </w:r>
    <w:r>
      <w:rPr>
        <w:rFonts w:hint="eastAsia"/>
        <w:b/>
        <w:bCs/>
        <w:sz w:val="21"/>
        <w:szCs w:val="21"/>
      </w:rPr>
      <w:t xml:space="preserve">         </w:t>
    </w:r>
    <w:r>
      <w:rPr>
        <w:rFonts w:hint="eastAsia" w:ascii="宋体" w:hAnsi="宋体"/>
        <w:b/>
        <w:bCs/>
        <w:color w:val="000000"/>
        <w:sz w:val="21"/>
        <w:szCs w:val="21"/>
      </w:rPr>
      <w:t>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1A99D2"/>
    <w:multiLevelType w:val="singleLevel"/>
    <w:tmpl w:val="B41A99D2"/>
    <w:lvl w:ilvl="0" w:tentative="0">
      <w:start w:val="5"/>
      <w:numFmt w:val="decimal"/>
      <w:suff w:val="nothing"/>
      <w:lvlText w:val="%1、"/>
      <w:lvlJc w:val="left"/>
    </w:lvl>
  </w:abstractNum>
  <w:abstractNum w:abstractNumId="1">
    <w:nsid w:val="F820A9DB"/>
    <w:multiLevelType w:val="singleLevel"/>
    <w:tmpl w:val="F820A9DB"/>
    <w:lvl w:ilvl="0" w:tentative="0">
      <w:start w:val="1"/>
      <w:numFmt w:val="decimal"/>
      <w:suff w:val="nothing"/>
      <w:lvlText w:val="%1、"/>
      <w:lvlJc w:val="left"/>
    </w:lvl>
  </w:abstractNum>
  <w:abstractNum w:abstractNumId="2">
    <w:nsid w:val="216BE14E"/>
    <w:multiLevelType w:val="singleLevel"/>
    <w:tmpl w:val="216BE14E"/>
    <w:lvl w:ilvl="0" w:tentative="0">
      <w:start w:val="1"/>
      <w:numFmt w:val="decimal"/>
      <w:lvlText w:val="%1."/>
      <w:lvlJc w:val="left"/>
      <w:pPr>
        <w:tabs>
          <w:tab w:val="left" w:pos="312"/>
        </w:tabs>
      </w:pPr>
    </w:lvl>
  </w:abstractNum>
  <w:abstractNum w:abstractNumId="3">
    <w:nsid w:val="36CA5F8B"/>
    <w:multiLevelType w:val="singleLevel"/>
    <w:tmpl w:val="36CA5F8B"/>
    <w:lvl w:ilvl="0" w:tentative="0">
      <w:start w:val="5"/>
      <w:numFmt w:val="chineseCounting"/>
      <w:suff w:val="space"/>
      <w:lvlText w:val="第%1章"/>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M2Q1YTc5YzkwOWYxZjUyNzNiNmYwZGY5NjY5NzYifQ=="/>
  </w:docVars>
  <w:rsids>
    <w:rsidRoot w:val="001A07FD"/>
    <w:rsid w:val="00005116"/>
    <w:rsid w:val="00005982"/>
    <w:rsid w:val="00021FEA"/>
    <w:rsid w:val="00030F55"/>
    <w:rsid w:val="00031023"/>
    <w:rsid w:val="00034164"/>
    <w:rsid w:val="00047E90"/>
    <w:rsid w:val="000636B3"/>
    <w:rsid w:val="000667B0"/>
    <w:rsid w:val="00070BF8"/>
    <w:rsid w:val="0007323B"/>
    <w:rsid w:val="000815F4"/>
    <w:rsid w:val="00084ABE"/>
    <w:rsid w:val="0009057F"/>
    <w:rsid w:val="000A2500"/>
    <w:rsid w:val="000A36EF"/>
    <w:rsid w:val="000A3744"/>
    <w:rsid w:val="000B0B78"/>
    <w:rsid w:val="000B608D"/>
    <w:rsid w:val="000B6A7C"/>
    <w:rsid w:val="000B736F"/>
    <w:rsid w:val="000C10D2"/>
    <w:rsid w:val="000D0527"/>
    <w:rsid w:val="000F25D7"/>
    <w:rsid w:val="000F4007"/>
    <w:rsid w:val="000F404E"/>
    <w:rsid w:val="000F4930"/>
    <w:rsid w:val="000F5043"/>
    <w:rsid w:val="000F56B1"/>
    <w:rsid w:val="00105206"/>
    <w:rsid w:val="00137D2A"/>
    <w:rsid w:val="001444E5"/>
    <w:rsid w:val="00146907"/>
    <w:rsid w:val="00150A6F"/>
    <w:rsid w:val="001532F3"/>
    <w:rsid w:val="00153B29"/>
    <w:rsid w:val="00154B1B"/>
    <w:rsid w:val="00156A10"/>
    <w:rsid w:val="0016052D"/>
    <w:rsid w:val="0016301C"/>
    <w:rsid w:val="00166495"/>
    <w:rsid w:val="00180065"/>
    <w:rsid w:val="00181126"/>
    <w:rsid w:val="00181627"/>
    <w:rsid w:val="00182CB0"/>
    <w:rsid w:val="00183505"/>
    <w:rsid w:val="00190AF6"/>
    <w:rsid w:val="001A0144"/>
    <w:rsid w:val="001A07FD"/>
    <w:rsid w:val="001A0F4F"/>
    <w:rsid w:val="001A47FC"/>
    <w:rsid w:val="001A48A1"/>
    <w:rsid w:val="001A5CCC"/>
    <w:rsid w:val="001B4CA4"/>
    <w:rsid w:val="001B4EA4"/>
    <w:rsid w:val="001B7434"/>
    <w:rsid w:val="001C3997"/>
    <w:rsid w:val="001C3FB0"/>
    <w:rsid w:val="001D04EA"/>
    <w:rsid w:val="001D7A90"/>
    <w:rsid w:val="001E1161"/>
    <w:rsid w:val="001E534D"/>
    <w:rsid w:val="001E74DE"/>
    <w:rsid w:val="001F3CBA"/>
    <w:rsid w:val="001F6915"/>
    <w:rsid w:val="00204378"/>
    <w:rsid w:val="00206471"/>
    <w:rsid w:val="00206B98"/>
    <w:rsid w:val="00220B80"/>
    <w:rsid w:val="002217B1"/>
    <w:rsid w:val="00221880"/>
    <w:rsid w:val="00222129"/>
    <w:rsid w:val="002235B9"/>
    <w:rsid w:val="00225219"/>
    <w:rsid w:val="002265AE"/>
    <w:rsid w:val="00240A77"/>
    <w:rsid w:val="00250304"/>
    <w:rsid w:val="00251BAA"/>
    <w:rsid w:val="0025648A"/>
    <w:rsid w:val="0026016A"/>
    <w:rsid w:val="0026211F"/>
    <w:rsid w:val="002653FA"/>
    <w:rsid w:val="0028205C"/>
    <w:rsid w:val="002836AC"/>
    <w:rsid w:val="00283E74"/>
    <w:rsid w:val="00287A6E"/>
    <w:rsid w:val="00292EE0"/>
    <w:rsid w:val="002932BF"/>
    <w:rsid w:val="0029475B"/>
    <w:rsid w:val="0029522A"/>
    <w:rsid w:val="00295A4A"/>
    <w:rsid w:val="002A5E25"/>
    <w:rsid w:val="002A6985"/>
    <w:rsid w:val="002B18A0"/>
    <w:rsid w:val="002C29D2"/>
    <w:rsid w:val="002D0E80"/>
    <w:rsid w:val="002D3A51"/>
    <w:rsid w:val="002E39A0"/>
    <w:rsid w:val="003037B0"/>
    <w:rsid w:val="003076C7"/>
    <w:rsid w:val="00323AF1"/>
    <w:rsid w:val="00324338"/>
    <w:rsid w:val="003347CA"/>
    <w:rsid w:val="00335773"/>
    <w:rsid w:val="00336949"/>
    <w:rsid w:val="00344BEF"/>
    <w:rsid w:val="00346AC4"/>
    <w:rsid w:val="0036146A"/>
    <w:rsid w:val="00363903"/>
    <w:rsid w:val="003645B5"/>
    <w:rsid w:val="0036471C"/>
    <w:rsid w:val="003765A4"/>
    <w:rsid w:val="003815C9"/>
    <w:rsid w:val="00381BBB"/>
    <w:rsid w:val="00390E93"/>
    <w:rsid w:val="003A249C"/>
    <w:rsid w:val="003A5239"/>
    <w:rsid w:val="003A5C86"/>
    <w:rsid w:val="003A7AD2"/>
    <w:rsid w:val="003B4871"/>
    <w:rsid w:val="003C0EF9"/>
    <w:rsid w:val="003C360A"/>
    <w:rsid w:val="003C4CCE"/>
    <w:rsid w:val="003D04E4"/>
    <w:rsid w:val="003D1530"/>
    <w:rsid w:val="003D345E"/>
    <w:rsid w:val="003D367C"/>
    <w:rsid w:val="003D4662"/>
    <w:rsid w:val="003E46C2"/>
    <w:rsid w:val="003E4844"/>
    <w:rsid w:val="003E4D91"/>
    <w:rsid w:val="00400540"/>
    <w:rsid w:val="00403DF1"/>
    <w:rsid w:val="00403F20"/>
    <w:rsid w:val="00413FFC"/>
    <w:rsid w:val="00416232"/>
    <w:rsid w:val="004236D7"/>
    <w:rsid w:val="004271AC"/>
    <w:rsid w:val="00427926"/>
    <w:rsid w:val="00427FC7"/>
    <w:rsid w:val="0044481D"/>
    <w:rsid w:val="00457CAF"/>
    <w:rsid w:val="00460D13"/>
    <w:rsid w:val="00476A0A"/>
    <w:rsid w:val="00481D6F"/>
    <w:rsid w:val="00483E43"/>
    <w:rsid w:val="004A08E4"/>
    <w:rsid w:val="004A1EB8"/>
    <w:rsid w:val="004A2083"/>
    <w:rsid w:val="004A4718"/>
    <w:rsid w:val="004B0901"/>
    <w:rsid w:val="004B6AA1"/>
    <w:rsid w:val="004D3747"/>
    <w:rsid w:val="004D49F0"/>
    <w:rsid w:val="004E09D1"/>
    <w:rsid w:val="004F0111"/>
    <w:rsid w:val="004F0EE7"/>
    <w:rsid w:val="004F18B7"/>
    <w:rsid w:val="004F36C3"/>
    <w:rsid w:val="004F475F"/>
    <w:rsid w:val="005045E6"/>
    <w:rsid w:val="0050656D"/>
    <w:rsid w:val="005065F5"/>
    <w:rsid w:val="00514C00"/>
    <w:rsid w:val="00520C50"/>
    <w:rsid w:val="0052125C"/>
    <w:rsid w:val="005258C3"/>
    <w:rsid w:val="00532270"/>
    <w:rsid w:val="00535B29"/>
    <w:rsid w:val="005444BE"/>
    <w:rsid w:val="00544973"/>
    <w:rsid w:val="005451A9"/>
    <w:rsid w:val="00545205"/>
    <w:rsid w:val="00551AB9"/>
    <w:rsid w:val="0055252C"/>
    <w:rsid w:val="00567EAC"/>
    <w:rsid w:val="00572B7B"/>
    <w:rsid w:val="00573201"/>
    <w:rsid w:val="00575924"/>
    <w:rsid w:val="00577F97"/>
    <w:rsid w:val="00583614"/>
    <w:rsid w:val="00583D45"/>
    <w:rsid w:val="00585E76"/>
    <w:rsid w:val="005872F4"/>
    <w:rsid w:val="005901D2"/>
    <w:rsid w:val="00593C75"/>
    <w:rsid w:val="00594F44"/>
    <w:rsid w:val="005B2E89"/>
    <w:rsid w:val="005B3C7B"/>
    <w:rsid w:val="005C306A"/>
    <w:rsid w:val="005C35C3"/>
    <w:rsid w:val="005D2F85"/>
    <w:rsid w:val="005D3E3B"/>
    <w:rsid w:val="005E07F4"/>
    <w:rsid w:val="005E2AF9"/>
    <w:rsid w:val="005E43B7"/>
    <w:rsid w:val="005F455E"/>
    <w:rsid w:val="00603E36"/>
    <w:rsid w:val="006075C8"/>
    <w:rsid w:val="00611A6B"/>
    <w:rsid w:val="00621A45"/>
    <w:rsid w:val="00626F22"/>
    <w:rsid w:val="00641F2F"/>
    <w:rsid w:val="006468C5"/>
    <w:rsid w:val="00651DF4"/>
    <w:rsid w:val="00652F62"/>
    <w:rsid w:val="00655DFB"/>
    <w:rsid w:val="00657562"/>
    <w:rsid w:val="0066122C"/>
    <w:rsid w:val="00666A55"/>
    <w:rsid w:val="00667CEF"/>
    <w:rsid w:val="00670328"/>
    <w:rsid w:val="00670B46"/>
    <w:rsid w:val="00674D6A"/>
    <w:rsid w:val="00686B3F"/>
    <w:rsid w:val="00687647"/>
    <w:rsid w:val="00692A7F"/>
    <w:rsid w:val="006945A9"/>
    <w:rsid w:val="00695DF2"/>
    <w:rsid w:val="006A19D8"/>
    <w:rsid w:val="006A4E76"/>
    <w:rsid w:val="006A5253"/>
    <w:rsid w:val="006A5422"/>
    <w:rsid w:val="006A6C89"/>
    <w:rsid w:val="006A7F36"/>
    <w:rsid w:val="006B7F73"/>
    <w:rsid w:val="006C1FEC"/>
    <w:rsid w:val="006C504A"/>
    <w:rsid w:val="006D45D9"/>
    <w:rsid w:val="006E341B"/>
    <w:rsid w:val="006F0122"/>
    <w:rsid w:val="006F0B2B"/>
    <w:rsid w:val="006F2507"/>
    <w:rsid w:val="006F6365"/>
    <w:rsid w:val="006F7843"/>
    <w:rsid w:val="00704E50"/>
    <w:rsid w:val="00710E29"/>
    <w:rsid w:val="007115E2"/>
    <w:rsid w:val="00712466"/>
    <w:rsid w:val="007127FA"/>
    <w:rsid w:val="0072341E"/>
    <w:rsid w:val="00724AAB"/>
    <w:rsid w:val="0072698D"/>
    <w:rsid w:val="00730E7A"/>
    <w:rsid w:val="007316A4"/>
    <w:rsid w:val="0074643B"/>
    <w:rsid w:val="00754D31"/>
    <w:rsid w:val="00761E55"/>
    <w:rsid w:val="0076326C"/>
    <w:rsid w:val="00764889"/>
    <w:rsid w:val="00777DDD"/>
    <w:rsid w:val="007878A9"/>
    <w:rsid w:val="00794E47"/>
    <w:rsid w:val="007A1F43"/>
    <w:rsid w:val="007A63C4"/>
    <w:rsid w:val="007B12B9"/>
    <w:rsid w:val="007C4147"/>
    <w:rsid w:val="007C49FC"/>
    <w:rsid w:val="007D7AF6"/>
    <w:rsid w:val="007E0281"/>
    <w:rsid w:val="007E0843"/>
    <w:rsid w:val="007E1149"/>
    <w:rsid w:val="007F003D"/>
    <w:rsid w:val="007F4BC6"/>
    <w:rsid w:val="00800A45"/>
    <w:rsid w:val="00802276"/>
    <w:rsid w:val="008114DB"/>
    <w:rsid w:val="00816F9A"/>
    <w:rsid w:val="00851CF5"/>
    <w:rsid w:val="00876887"/>
    <w:rsid w:val="00897C3E"/>
    <w:rsid w:val="008A3237"/>
    <w:rsid w:val="008A558A"/>
    <w:rsid w:val="008C23E5"/>
    <w:rsid w:val="008C76AD"/>
    <w:rsid w:val="008C785C"/>
    <w:rsid w:val="008D29D8"/>
    <w:rsid w:val="008D53F1"/>
    <w:rsid w:val="008E7BDB"/>
    <w:rsid w:val="008F3416"/>
    <w:rsid w:val="008F3EC5"/>
    <w:rsid w:val="00902014"/>
    <w:rsid w:val="00905263"/>
    <w:rsid w:val="00905380"/>
    <w:rsid w:val="00910138"/>
    <w:rsid w:val="00913714"/>
    <w:rsid w:val="00916252"/>
    <w:rsid w:val="00917BE4"/>
    <w:rsid w:val="00922705"/>
    <w:rsid w:val="00930944"/>
    <w:rsid w:val="009315B5"/>
    <w:rsid w:val="00933C58"/>
    <w:rsid w:val="00934E28"/>
    <w:rsid w:val="0093571B"/>
    <w:rsid w:val="0094064C"/>
    <w:rsid w:val="00940EB2"/>
    <w:rsid w:val="00947A94"/>
    <w:rsid w:val="009513BF"/>
    <w:rsid w:val="009514BC"/>
    <w:rsid w:val="0095495E"/>
    <w:rsid w:val="00955A1A"/>
    <w:rsid w:val="00961922"/>
    <w:rsid w:val="00964DD0"/>
    <w:rsid w:val="009773B4"/>
    <w:rsid w:val="00981FE0"/>
    <w:rsid w:val="00990F28"/>
    <w:rsid w:val="009A0DE6"/>
    <w:rsid w:val="009A5370"/>
    <w:rsid w:val="009A6795"/>
    <w:rsid w:val="009B3481"/>
    <w:rsid w:val="009B3FC3"/>
    <w:rsid w:val="009C1CE3"/>
    <w:rsid w:val="009C4F2B"/>
    <w:rsid w:val="009C6BDD"/>
    <w:rsid w:val="009D5888"/>
    <w:rsid w:val="009E1247"/>
    <w:rsid w:val="009E66CD"/>
    <w:rsid w:val="009F5468"/>
    <w:rsid w:val="00A012AB"/>
    <w:rsid w:val="00A066DE"/>
    <w:rsid w:val="00A12ACE"/>
    <w:rsid w:val="00A20276"/>
    <w:rsid w:val="00A22F05"/>
    <w:rsid w:val="00A26687"/>
    <w:rsid w:val="00A36387"/>
    <w:rsid w:val="00A41A68"/>
    <w:rsid w:val="00A42819"/>
    <w:rsid w:val="00A477BB"/>
    <w:rsid w:val="00A51BE6"/>
    <w:rsid w:val="00A55C75"/>
    <w:rsid w:val="00A62003"/>
    <w:rsid w:val="00A64619"/>
    <w:rsid w:val="00A67010"/>
    <w:rsid w:val="00A672EE"/>
    <w:rsid w:val="00A72423"/>
    <w:rsid w:val="00A73EA0"/>
    <w:rsid w:val="00A748D7"/>
    <w:rsid w:val="00A87E4D"/>
    <w:rsid w:val="00A925BA"/>
    <w:rsid w:val="00AB0D9C"/>
    <w:rsid w:val="00AB1097"/>
    <w:rsid w:val="00AB1AC6"/>
    <w:rsid w:val="00AD108F"/>
    <w:rsid w:val="00AD64BB"/>
    <w:rsid w:val="00AF657D"/>
    <w:rsid w:val="00AF7631"/>
    <w:rsid w:val="00B01A41"/>
    <w:rsid w:val="00B06C3B"/>
    <w:rsid w:val="00B20A6D"/>
    <w:rsid w:val="00B2159B"/>
    <w:rsid w:val="00B34228"/>
    <w:rsid w:val="00B35AA1"/>
    <w:rsid w:val="00B378EE"/>
    <w:rsid w:val="00B534A7"/>
    <w:rsid w:val="00B603D4"/>
    <w:rsid w:val="00B62D8A"/>
    <w:rsid w:val="00B64EFC"/>
    <w:rsid w:val="00B704C4"/>
    <w:rsid w:val="00B7266A"/>
    <w:rsid w:val="00B82CD2"/>
    <w:rsid w:val="00B855C2"/>
    <w:rsid w:val="00B9084C"/>
    <w:rsid w:val="00B9178E"/>
    <w:rsid w:val="00B94002"/>
    <w:rsid w:val="00BA6A59"/>
    <w:rsid w:val="00BB2280"/>
    <w:rsid w:val="00BB4DAE"/>
    <w:rsid w:val="00BB67C4"/>
    <w:rsid w:val="00BB7739"/>
    <w:rsid w:val="00BC2A76"/>
    <w:rsid w:val="00BC73AB"/>
    <w:rsid w:val="00BD05C3"/>
    <w:rsid w:val="00BD0D8D"/>
    <w:rsid w:val="00BD79AC"/>
    <w:rsid w:val="00BE0E8C"/>
    <w:rsid w:val="00BF04A0"/>
    <w:rsid w:val="00BF1829"/>
    <w:rsid w:val="00BF4399"/>
    <w:rsid w:val="00C00557"/>
    <w:rsid w:val="00C0610C"/>
    <w:rsid w:val="00C108A1"/>
    <w:rsid w:val="00C13FE8"/>
    <w:rsid w:val="00C14DED"/>
    <w:rsid w:val="00C164B3"/>
    <w:rsid w:val="00C22632"/>
    <w:rsid w:val="00C32331"/>
    <w:rsid w:val="00C344EF"/>
    <w:rsid w:val="00C34B8B"/>
    <w:rsid w:val="00C35BF6"/>
    <w:rsid w:val="00C4400B"/>
    <w:rsid w:val="00C47A55"/>
    <w:rsid w:val="00C50B1A"/>
    <w:rsid w:val="00C57E14"/>
    <w:rsid w:val="00C61887"/>
    <w:rsid w:val="00C630B7"/>
    <w:rsid w:val="00C80209"/>
    <w:rsid w:val="00C8375F"/>
    <w:rsid w:val="00C847C8"/>
    <w:rsid w:val="00C8508A"/>
    <w:rsid w:val="00C942E6"/>
    <w:rsid w:val="00CA6920"/>
    <w:rsid w:val="00CB2995"/>
    <w:rsid w:val="00CC6268"/>
    <w:rsid w:val="00CD7D5B"/>
    <w:rsid w:val="00CE112A"/>
    <w:rsid w:val="00CE213C"/>
    <w:rsid w:val="00D0774B"/>
    <w:rsid w:val="00D12064"/>
    <w:rsid w:val="00D14B99"/>
    <w:rsid w:val="00D17794"/>
    <w:rsid w:val="00D323F0"/>
    <w:rsid w:val="00D328BB"/>
    <w:rsid w:val="00D4070C"/>
    <w:rsid w:val="00D47F3C"/>
    <w:rsid w:val="00D71F18"/>
    <w:rsid w:val="00D8230E"/>
    <w:rsid w:val="00D84A70"/>
    <w:rsid w:val="00D8505F"/>
    <w:rsid w:val="00D8741D"/>
    <w:rsid w:val="00D90D2A"/>
    <w:rsid w:val="00D910DC"/>
    <w:rsid w:val="00D9745C"/>
    <w:rsid w:val="00DA54D2"/>
    <w:rsid w:val="00DC1EA8"/>
    <w:rsid w:val="00DC2744"/>
    <w:rsid w:val="00DD2B3D"/>
    <w:rsid w:val="00DD3BD2"/>
    <w:rsid w:val="00DE0969"/>
    <w:rsid w:val="00DE0B0B"/>
    <w:rsid w:val="00DE4940"/>
    <w:rsid w:val="00DE6412"/>
    <w:rsid w:val="00DF21C5"/>
    <w:rsid w:val="00DF4F48"/>
    <w:rsid w:val="00DF506A"/>
    <w:rsid w:val="00DF5B6C"/>
    <w:rsid w:val="00DF5B75"/>
    <w:rsid w:val="00DF7EB5"/>
    <w:rsid w:val="00E04CED"/>
    <w:rsid w:val="00E104B6"/>
    <w:rsid w:val="00E15015"/>
    <w:rsid w:val="00E354EA"/>
    <w:rsid w:val="00E37A73"/>
    <w:rsid w:val="00E44912"/>
    <w:rsid w:val="00E51225"/>
    <w:rsid w:val="00E52E32"/>
    <w:rsid w:val="00E60B1A"/>
    <w:rsid w:val="00E618B4"/>
    <w:rsid w:val="00E63AD2"/>
    <w:rsid w:val="00E6646C"/>
    <w:rsid w:val="00E664C0"/>
    <w:rsid w:val="00E72790"/>
    <w:rsid w:val="00E738EF"/>
    <w:rsid w:val="00E82BF6"/>
    <w:rsid w:val="00E846A6"/>
    <w:rsid w:val="00E928F4"/>
    <w:rsid w:val="00E9603E"/>
    <w:rsid w:val="00E964D4"/>
    <w:rsid w:val="00EA04F9"/>
    <w:rsid w:val="00EA07ED"/>
    <w:rsid w:val="00EB3246"/>
    <w:rsid w:val="00EB4CB8"/>
    <w:rsid w:val="00ED56AF"/>
    <w:rsid w:val="00ED6C82"/>
    <w:rsid w:val="00EE05CE"/>
    <w:rsid w:val="00EE0DA6"/>
    <w:rsid w:val="00EE1CA1"/>
    <w:rsid w:val="00EE3941"/>
    <w:rsid w:val="00EE51DA"/>
    <w:rsid w:val="00EF1E98"/>
    <w:rsid w:val="00F0112B"/>
    <w:rsid w:val="00F04FBF"/>
    <w:rsid w:val="00F05308"/>
    <w:rsid w:val="00F063CD"/>
    <w:rsid w:val="00F103F2"/>
    <w:rsid w:val="00F148CE"/>
    <w:rsid w:val="00F24F42"/>
    <w:rsid w:val="00F251F0"/>
    <w:rsid w:val="00F31484"/>
    <w:rsid w:val="00F41125"/>
    <w:rsid w:val="00F42D5A"/>
    <w:rsid w:val="00F449E2"/>
    <w:rsid w:val="00F46ABE"/>
    <w:rsid w:val="00F520D3"/>
    <w:rsid w:val="00F5470F"/>
    <w:rsid w:val="00F649EE"/>
    <w:rsid w:val="00F65597"/>
    <w:rsid w:val="00F655E1"/>
    <w:rsid w:val="00F6602B"/>
    <w:rsid w:val="00F674E2"/>
    <w:rsid w:val="00F67E4D"/>
    <w:rsid w:val="00F756B1"/>
    <w:rsid w:val="00F774D7"/>
    <w:rsid w:val="00F817BF"/>
    <w:rsid w:val="00F830F4"/>
    <w:rsid w:val="00F87C10"/>
    <w:rsid w:val="00FA4227"/>
    <w:rsid w:val="00FB003B"/>
    <w:rsid w:val="00FB007A"/>
    <w:rsid w:val="00FC3179"/>
    <w:rsid w:val="00FC70E2"/>
    <w:rsid w:val="00FD3A01"/>
    <w:rsid w:val="00FD5368"/>
    <w:rsid w:val="00FE100D"/>
    <w:rsid w:val="00FE7075"/>
    <w:rsid w:val="00FF7F67"/>
    <w:rsid w:val="010974DF"/>
    <w:rsid w:val="010F4B69"/>
    <w:rsid w:val="01106F4B"/>
    <w:rsid w:val="0130676A"/>
    <w:rsid w:val="01375E41"/>
    <w:rsid w:val="013B7A72"/>
    <w:rsid w:val="013D6DC9"/>
    <w:rsid w:val="013E24BF"/>
    <w:rsid w:val="01416D8C"/>
    <w:rsid w:val="014A5851"/>
    <w:rsid w:val="014E3FCF"/>
    <w:rsid w:val="01542E3B"/>
    <w:rsid w:val="01585BB8"/>
    <w:rsid w:val="015A204F"/>
    <w:rsid w:val="015E2B12"/>
    <w:rsid w:val="01666F1F"/>
    <w:rsid w:val="016A0CC6"/>
    <w:rsid w:val="016D7475"/>
    <w:rsid w:val="01735F4B"/>
    <w:rsid w:val="017D3325"/>
    <w:rsid w:val="018569B4"/>
    <w:rsid w:val="018A0410"/>
    <w:rsid w:val="018C6445"/>
    <w:rsid w:val="01B871C0"/>
    <w:rsid w:val="01CC4933"/>
    <w:rsid w:val="01CC654C"/>
    <w:rsid w:val="01DC58DF"/>
    <w:rsid w:val="01E26AB1"/>
    <w:rsid w:val="01E71F06"/>
    <w:rsid w:val="01EF5D98"/>
    <w:rsid w:val="01F01BD2"/>
    <w:rsid w:val="01F46458"/>
    <w:rsid w:val="01F61E85"/>
    <w:rsid w:val="01FE0A2C"/>
    <w:rsid w:val="0201658D"/>
    <w:rsid w:val="02072DF4"/>
    <w:rsid w:val="021378DB"/>
    <w:rsid w:val="021F4076"/>
    <w:rsid w:val="02215E17"/>
    <w:rsid w:val="02247C30"/>
    <w:rsid w:val="02261066"/>
    <w:rsid w:val="02345DAF"/>
    <w:rsid w:val="02390770"/>
    <w:rsid w:val="02483A5D"/>
    <w:rsid w:val="025E3B16"/>
    <w:rsid w:val="02693BD4"/>
    <w:rsid w:val="02793C5B"/>
    <w:rsid w:val="027B63D7"/>
    <w:rsid w:val="02836DE2"/>
    <w:rsid w:val="029B6E90"/>
    <w:rsid w:val="02A26030"/>
    <w:rsid w:val="02A3377A"/>
    <w:rsid w:val="02AA6756"/>
    <w:rsid w:val="02AD3D3A"/>
    <w:rsid w:val="02AD3D85"/>
    <w:rsid w:val="02AE6FF2"/>
    <w:rsid w:val="02B05949"/>
    <w:rsid w:val="02B07F0A"/>
    <w:rsid w:val="02B40E10"/>
    <w:rsid w:val="02B5709C"/>
    <w:rsid w:val="02B67502"/>
    <w:rsid w:val="02B964A5"/>
    <w:rsid w:val="02C37979"/>
    <w:rsid w:val="02C52D11"/>
    <w:rsid w:val="02C72207"/>
    <w:rsid w:val="02CA6F70"/>
    <w:rsid w:val="02D15CAB"/>
    <w:rsid w:val="02D57887"/>
    <w:rsid w:val="02DC556E"/>
    <w:rsid w:val="02E5129A"/>
    <w:rsid w:val="02E75054"/>
    <w:rsid w:val="02E93C7C"/>
    <w:rsid w:val="02EE68FF"/>
    <w:rsid w:val="02F04DD7"/>
    <w:rsid w:val="02F46B94"/>
    <w:rsid w:val="03016A60"/>
    <w:rsid w:val="03093A07"/>
    <w:rsid w:val="03120381"/>
    <w:rsid w:val="03153165"/>
    <w:rsid w:val="031846AA"/>
    <w:rsid w:val="03257081"/>
    <w:rsid w:val="03305546"/>
    <w:rsid w:val="03337D3C"/>
    <w:rsid w:val="03347BA5"/>
    <w:rsid w:val="03374F65"/>
    <w:rsid w:val="03465DA8"/>
    <w:rsid w:val="03492D12"/>
    <w:rsid w:val="034C68F5"/>
    <w:rsid w:val="034F0A40"/>
    <w:rsid w:val="035241DD"/>
    <w:rsid w:val="035473D0"/>
    <w:rsid w:val="03547F3F"/>
    <w:rsid w:val="035962AC"/>
    <w:rsid w:val="0360752C"/>
    <w:rsid w:val="03630548"/>
    <w:rsid w:val="0366170B"/>
    <w:rsid w:val="036E4DF2"/>
    <w:rsid w:val="036F73CC"/>
    <w:rsid w:val="0375678B"/>
    <w:rsid w:val="037B422A"/>
    <w:rsid w:val="038D0696"/>
    <w:rsid w:val="038E5359"/>
    <w:rsid w:val="03930F87"/>
    <w:rsid w:val="03960CFA"/>
    <w:rsid w:val="039D36DA"/>
    <w:rsid w:val="03A861F3"/>
    <w:rsid w:val="03AC50CD"/>
    <w:rsid w:val="03B20756"/>
    <w:rsid w:val="03B23C58"/>
    <w:rsid w:val="03B35A38"/>
    <w:rsid w:val="03B45169"/>
    <w:rsid w:val="03B95FF4"/>
    <w:rsid w:val="03C122B1"/>
    <w:rsid w:val="03C15054"/>
    <w:rsid w:val="03CF7C42"/>
    <w:rsid w:val="03D97465"/>
    <w:rsid w:val="03DF1EFE"/>
    <w:rsid w:val="03FE7EAB"/>
    <w:rsid w:val="040354C1"/>
    <w:rsid w:val="040445FD"/>
    <w:rsid w:val="040719FE"/>
    <w:rsid w:val="04090A66"/>
    <w:rsid w:val="040E4806"/>
    <w:rsid w:val="040F2893"/>
    <w:rsid w:val="041812F0"/>
    <w:rsid w:val="041B68E1"/>
    <w:rsid w:val="04254EF7"/>
    <w:rsid w:val="04255BC3"/>
    <w:rsid w:val="04316766"/>
    <w:rsid w:val="04332B08"/>
    <w:rsid w:val="043707EE"/>
    <w:rsid w:val="043D3974"/>
    <w:rsid w:val="04474A49"/>
    <w:rsid w:val="044860D7"/>
    <w:rsid w:val="044E2BE0"/>
    <w:rsid w:val="045E5D63"/>
    <w:rsid w:val="04634D8F"/>
    <w:rsid w:val="046D155D"/>
    <w:rsid w:val="04742E94"/>
    <w:rsid w:val="047C2A5E"/>
    <w:rsid w:val="047F15EC"/>
    <w:rsid w:val="04874F74"/>
    <w:rsid w:val="04935CE7"/>
    <w:rsid w:val="04A11F79"/>
    <w:rsid w:val="04A313BF"/>
    <w:rsid w:val="04A51EC4"/>
    <w:rsid w:val="04B11C19"/>
    <w:rsid w:val="04BA3A86"/>
    <w:rsid w:val="04BB3CBA"/>
    <w:rsid w:val="04BF2CB8"/>
    <w:rsid w:val="04C7198E"/>
    <w:rsid w:val="04CE7705"/>
    <w:rsid w:val="04D94F44"/>
    <w:rsid w:val="04DB4128"/>
    <w:rsid w:val="04DC1BC8"/>
    <w:rsid w:val="04DF3800"/>
    <w:rsid w:val="04E24BE1"/>
    <w:rsid w:val="04F75026"/>
    <w:rsid w:val="04F90CBC"/>
    <w:rsid w:val="04F95927"/>
    <w:rsid w:val="04FA3462"/>
    <w:rsid w:val="0500541D"/>
    <w:rsid w:val="050354D7"/>
    <w:rsid w:val="051162FA"/>
    <w:rsid w:val="05223E27"/>
    <w:rsid w:val="052851DF"/>
    <w:rsid w:val="052B23E6"/>
    <w:rsid w:val="05321753"/>
    <w:rsid w:val="05376C84"/>
    <w:rsid w:val="05391F80"/>
    <w:rsid w:val="053E3845"/>
    <w:rsid w:val="05412745"/>
    <w:rsid w:val="054779AD"/>
    <w:rsid w:val="054E74F8"/>
    <w:rsid w:val="0556011D"/>
    <w:rsid w:val="05584F57"/>
    <w:rsid w:val="055C2EC6"/>
    <w:rsid w:val="056A2976"/>
    <w:rsid w:val="056F38EF"/>
    <w:rsid w:val="057768BF"/>
    <w:rsid w:val="05880374"/>
    <w:rsid w:val="058B1B02"/>
    <w:rsid w:val="058F0E70"/>
    <w:rsid w:val="058F2C9F"/>
    <w:rsid w:val="058F67EC"/>
    <w:rsid w:val="05AA7E70"/>
    <w:rsid w:val="05B21DE2"/>
    <w:rsid w:val="05B872DF"/>
    <w:rsid w:val="05BB5A50"/>
    <w:rsid w:val="05C94E2E"/>
    <w:rsid w:val="05C96854"/>
    <w:rsid w:val="05CB2D33"/>
    <w:rsid w:val="05D9628A"/>
    <w:rsid w:val="05EA3BDD"/>
    <w:rsid w:val="05EC0BBF"/>
    <w:rsid w:val="05F159E2"/>
    <w:rsid w:val="05F921F6"/>
    <w:rsid w:val="05F9301F"/>
    <w:rsid w:val="05FF3C1A"/>
    <w:rsid w:val="06062A3D"/>
    <w:rsid w:val="06073788"/>
    <w:rsid w:val="06075FEC"/>
    <w:rsid w:val="060D49F6"/>
    <w:rsid w:val="06112B3C"/>
    <w:rsid w:val="06167EA8"/>
    <w:rsid w:val="06174487"/>
    <w:rsid w:val="06215539"/>
    <w:rsid w:val="06327517"/>
    <w:rsid w:val="06351482"/>
    <w:rsid w:val="0638780A"/>
    <w:rsid w:val="063E0DE6"/>
    <w:rsid w:val="064176D8"/>
    <w:rsid w:val="06454C97"/>
    <w:rsid w:val="06491398"/>
    <w:rsid w:val="065710C2"/>
    <w:rsid w:val="06584D4D"/>
    <w:rsid w:val="066C038E"/>
    <w:rsid w:val="067B5E2B"/>
    <w:rsid w:val="067C1522"/>
    <w:rsid w:val="067D59FE"/>
    <w:rsid w:val="067E56C6"/>
    <w:rsid w:val="068122F5"/>
    <w:rsid w:val="06837E4F"/>
    <w:rsid w:val="06843D48"/>
    <w:rsid w:val="06927983"/>
    <w:rsid w:val="06975731"/>
    <w:rsid w:val="069B626B"/>
    <w:rsid w:val="069C25C5"/>
    <w:rsid w:val="069C5DA9"/>
    <w:rsid w:val="06AA57CC"/>
    <w:rsid w:val="06B95C2A"/>
    <w:rsid w:val="06C3703E"/>
    <w:rsid w:val="06C614AC"/>
    <w:rsid w:val="06C64729"/>
    <w:rsid w:val="06CD0047"/>
    <w:rsid w:val="06CE342C"/>
    <w:rsid w:val="06D2524A"/>
    <w:rsid w:val="06D43DFA"/>
    <w:rsid w:val="06DA069E"/>
    <w:rsid w:val="06E1356E"/>
    <w:rsid w:val="06E51995"/>
    <w:rsid w:val="06EA3E03"/>
    <w:rsid w:val="06F42009"/>
    <w:rsid w:val="06F85DFF"/>
    <w:rsid w:val="06F9147E"/>
    <w:rsid w:val="07041C7C"/>
    <w:rsid w:val="07090318"/>
    <w:rsid w:val="070B081D"/>
    <w:rsid w:val="07165BB5"/>
    <w:rsid w:val="071664CB"/>
    <w:rsid w:val="07195698"/>
    <w:rsid w:val="0730654F"/>
    <w:rsid w:val="073D207A"/>
    <w:rsid w:val="074A1497"/>
    <w:rsid w:val="074A49E1"/>
    <w:rsid w:val="074E2E85"/>
    <w:rsid w:val="07515BF5"/>
    <w:rsid w:val="075850A0"/>
    <w:rsid w:val="076003DE"/>
    <w:rsid w:val="0760628E"/>
    <w:rsid w:val="07611262"/>
    <w:rsid w:val="076B3425"/>
    <w:rsid w:val="076D5A34"/>
    <w:rsid w:val="0776142E"/>
    <w:rsid w:val="07764244"/>
    <w:rsid w:val="07821B47"/>
    <w:rsid w:val="0783049C"/>
    <w:rsid w:val="07852DBD"/>
    <w:rsid w:val="07865140"/>
    <w:rsid w:val="07870AFB"/>
    <w:rsid w:val="078748AB"/>
    <w:rsid w:val="078B665C"/>
    <w:rsid w:val="07A7448A"/>
    <w:rsid w:val="07AC3018"/>
    <w:rsid w:val="07BA0B8A"/>
    <w:rsid w:val="07BE249F"/>
    <w:rsid w:val="07BF409F"/>
    <w:rsid w:val="07CF3C47"/>
    <w:rsid w:val="07D76651"/>
    <w:rsid w:val="07DA2045"/>
    <w:rsid w:val="07DC0946"/>
    <w:rsid w:val="07DD06DB"/>
    <w:rsid w:val="07DD5905"/>
    <w:rsid w:val="07DF26DB"/>
    <w:rsid w:val="07E239CC"/>
    <w:rsid w:val="07E53475"/>
    <w:rsid w:val="07FC2E74"/>
    <w:rsid w:val="07FE79CD"/>
    <w:rsid w:val="08015504"/>
    <w:rsid w:val="080E7859"/>
    <w:rsid w:val="080F1AFD"/>
    <w:rsid w:val="081114EF"/>
    <w:rsid w:val="08275E9F"/>
    <w:rsid w:val="0828705D"/>
    <w:rsid w:val="083927E4"/>
    <w:rsid w:val="083C4608"/>
    <w:rsid w:val="08436517"/>
    <w:rsid w:val="084C154B"/>
    <w:rsid w:val="084F0A17"/>
    <w:rsid w:val="085A3CC5"/>
    <w:rsid w:val="08627391"/>
    <w:rsid w:val="086A114C"/>
    <w:rsid w:val="086E4FBF"/>
    <w:rsid w:val="08711291"/>
    <w:rsid w:val="087466EA"/>
    <w:rsid w:val="089A6A2E"/>
    <w:rsid w:val="08A676CB"/>
    <w:rsid w:val="08AA0C7F"/>
    <w:rsid w:val="08B35527"/>
    <w:rsid w:val="08C62846"/>
    <w:rsid w:val="08C95534"/>
    <w:rsid w:val="08CE0693"/>
    <w:rsid w:val="08CE1601"/>
    <w:rsid w:val="08DE3382"/>
    <w:rsid w:val="08F531DA"/>
    <w:rsid w:val="08F6361B"/>
    <w:rsid w:val="08F77308"/>
    <w:rsid w:val="08FC6DBB"/>
    <w:rsid w:val="08FF6095"/>
    <w:rsid w:val="09045AED"/>
    <w:rsid w:val="09055F84"/>
    <w:rsid w:val="09060B75"/>
    <w:rsid w:val="090653B1"/>
    <w:rsid w:val="09132149"/>
    <w:rsid w:val="09207898"/>
    <w:rsid w:val="09246B7F"/>
    <w:rsid w:val="0926197A"/>
    <w:rsid w:val="092A4C4E"/>
    <w:rsid w:val="092D395B"/>
    <w:rsid w:val="092F19E3"/>
    <w:rsid w:val="0933304B"/>
    <w:rsid w:val="09344E19"/>
    <w:rsid w:val="09370A52"/>
    <w:rsid w:val="093D4693"/>
    <w:rsid w:val="093D51B4"/>
    <w:rsid w:val="0946583B"/>
    <w:rsid w:val="09541C7A"/>
    <w:rsid w:val="095504DD"/>
    <w:rsid w:val="09647EC4"/>
    <w:rsid w:val="09766ACB"/>
    <w:rsid w:val="097C26BF"/>
    <w:rsid w:val="0980626C"/>
    <w:rsid w:val="098D628F"/>
    <w:rsid w:val="098E7098"/>
    <w:rsid w:val="098F50FF"/>
    <w:rsid w:val="09905A49"/>
    <w:rsid w:val="09924AB2"/>
    <w:rsid w:val="0998486F"/>
    <w:rsid w:val="09996199"/>
    <w:rsid w:val="099A09F7"/>
    <w:rsid w:val="099C619C"/>
    <w:rsid w:val="09B25C8F"/>
    <w:rsid w:val="09B37AEC"/>
    <w:rsid w:val="09B50186"/>
    <w:rsid w:val="09C51231"/>
    <w:rsid w:val="09C72651"/>
    <w:rsid w:val="09CC05C4"/>
    <w:rsid w:val="09D23279"/>
    <w:rsid w:val="09D26061"/>
    <w:rsid w:val="09D37A01"/>
    <w:rsid w:val="09E23085"/>
    <w:rsid w:val="09EF5595"/>
    <w:rsid w:val="09F1006B"/>
    <w:rsid w:val="09FE7367"/>
    <w:rsid w:val="0A07135F"/>
    <w:rsid w:val="0A116CF4"/>
    <w:rsid w:val="0A1B5351"/>
    <w:rsid w:val="0A1C7EC9"/>
    <w:rsid w:val="0A1D27BA"/>
    <w:rsid w:val="0A2363B0"/>
    <w:rsid w:val="0A26442A"/>
    <w:rsid w:val="0A287FA0"/>
    <w:rsid w:val="0A2A0524"/>
    <w:rsid w:val="0A2C0D3B"/>
    <w:rsid w:val="0A2E5E53"/>
    <w:rsid w:val="0A310F18"/>
    <w:rsid w:val="0A340E0D"/>
    <w:rsid w:val="0A341682"/>
    <w:rsid w:val="0A3838AE"/>
    <w:rsid w:val="0A3F14EC"/>
    <w:rsid w:val="0A51683C"/>
    <w:rsid w:val="0A522D71"/>
    <w:rsid w:val="0A5656B2"/>
    <w:rsid w:val="0A575ECE"/>
    <w:rsid w:val="0A5B1BB3"/>
    <w:rsid w:val="0A5E482E"/>
    <w:rsid w:val="0A6B6E10"/>
    <w:rsid w:val="0A74270F"/>
    <w:rsid w:val="0A7B0C26"/>
    <w:rsid w:val="0A810269"/>
    <w:rsid w:val="0A8C6A20"/>
    <w:rsid w:val="0A9713FA"/>
    <w:rsid w:val="0A9A72F3"/>
    <w:rsid w:val="0A9F3C9B"/>
    <w:rsid w:val="0AB441B1"/>
    <w:rsid w:val="0ABA39F1"/>
    <w:rsid w:val="0ABB4D47"/>
    <w:rsid w:val="0ABB708E"/>
    <w:rsid w:val="0ACD1AA9"/>
    <w:rsid w:val="0AE20490"/>
    <w:rsid w:val="0AE94F91"/>
    <w:rsid w:val="0AEC57C6"/>
    <w:rsid w:val="0AF50251"/>
    <w:rsid w:val="0AFC4CD1"/>
    <w:rsid w:val="0AFC55BB"/>
    <w:rsid w:val="0B0005A1"/>
    <w:rsid w:val="0B194C41"/>
    <w:rsid w:val="0B224DC6"/>
    <w:rsid w:val="0B2427D9"/>
    <w:rsid w:val="0B2554AC"/>
    <w:rsid w:val="0B2F469F"/>
    <w:rsid w:val="0B38329D"/>
    <w:rsid w:val="0B396B39"/>
    <w:rsid w:val="0B410063"/>
    <w:rsid w:val="0B586D3B"/>
    <w:rsid w:val="0B5948DD"/>
    <w:rsid w:val="0B5A630E"/>
    <w:rsid w:val="0B5C5BE2"/>
    <w:rsid w:val="0B5F1DC7"/>
    <w:rsid w:val="0B5F56D3"/>
    <w:rsid w:val="0B605F4D"/>
    <w:rsid w:val="0B6A0996"/>
    <w:rsid w:val="0B6E5916"/>
    <w:rsid w:val="0B6F7971"/>
    <w:rsid w:val="0B7B2078"/>
    <w:rsid w:val="0B8259FB"/>
    <w:rsid w:val="0B8B19A4"/>
    <w:rsid w:val="0B9C0630"/>
    <w:rsid w:val="0BA340B9"/>
    <w:rsid w:val="0BA8074F"/>
    <w:rsid w:val="0BAA2594"/>
    <w:rsid w:val="0BB645A8"/>
    <w:rsid w:val="0BBC0DC9"/>
    <w:rsid w:val="0BBC72FE"/>
    <w:rsid w:val="0BC154BD"/>
    <w:rsid w:val="0BC26AAB"/>
    <w:rsid w:val="0BC41E02"/>
    <w:rsid w:val="0BC8196A"/>
    <w:rsid w:val="0BC93196"/>
    <w:rsid w:val="0BDB744F"/>
    <w:rsid w:val="0BDC33FE"/>
    <w:rsid w:val="0BDC743A"/>
    <w:rsid w:val="0BDE5B50"/>
    <w:rsid w:val="0BE2426F"/>
    <w:rsid w:val="0BE85DDD"/>
    <w:rsid w:val="0BED400E"/>
    <w:rsid w:val="0BF342E1"/>
    <w:rsid w:val="0BF66F00"/>
    <w:rsid w:val="0BF84DC8"/>
    <w:rsid w:val="0BF977FE"/>
    <w:rsid w:val="0BFC6861"/>
    <w:rsid w:val="0C003A87"/>
    <w:rsid w:val="0C004624"/>
    <w:rsid w:val="0C0C03C9"/>
    <w:rsid w:val="0C123F38"/>
    <w:rsid w:val="0C127856"/>
    <w:rsid w:val="0C1720C8"/>
    <w:rsid w:val="0C190A0A"/>
    <w:rsid w:val="0C1F3477"/>
    <w:rsid w:val="0C215BD8"/>
    <w:rsid w:val="0C237C93"/>
    <w:rsid w:val="0C2462E1"/>
    <w:rsid w:val="0C27273B"/>
    <w:rsid w:val="0C2D7534"/>
    <w:rsid w:val="0C316782"/>
    <w:rsid w:val="0C3C3CA0"/>
    <w:rsid w:val="0C3F3A46"/>
    <w:rsid w:val="0C4018D0"/>
    <w:rsid w:val="0C405E13"/>
    <w:rsid w:val="0C4C692D"/>
    <w:rsid w:val="0C4D1731"/>
    <w:rsid w:val="0C524FEC"/>
    <w:rsid w:val="0C556C9B"/>
    <w:rsid w:val="0C572BD3"/>
    <w:rsid w:val="0C5730C1"/>
    <w:rsid w:val="0C64251E"/>
    <w:rsid w:val="0C691AB4"/>
    <w:rsid w:val="0C6C4136"/>
    <w:rsid w:val="0C7120BA"/>
    <w:rsid w:val="0C7340B1"/>
    <w:rsid w:val="0C743DEB"/>
    <w:rsid w:val="0C7567F0"/>
    <w:rsid w:val="0C7D57C5"/>
    <w:rsid w:val="0C801498"/>
    <w:rsid w:val="0C82275E"/>
    <w:rsid w:val="0C836D6B"/>
    <w:rsid w:val="0C890893"/>
    <w:rsid w:val="0C8B3D27"/>
    <w:rsid w:val="0C8D251A"/>
    <w:rsid w:val="0C90777F"/>
    <w:rsid w:val="0C916659"/>
    <w:rsid w:val="0C9B1C08"/>
    <w:rsid w:val="0CA77331"/>
    <w:rsid w:val="0CAF5B76"/>
    <w:rsid w:val="0CB35CD6"/>
    <w:rsid w:val="0CBD341E"/>
    <w:rsid w:val="0CC02714"/>
    <w:rsid w:val="0CC223BD"/>
    <w:rsid w:val="0CC32094"/>
    <w:rsid w:val="0CCC323C"/>
    <w:rsid w:val="0CD61C5E"/>
    <w:rsid w:val="0CDA2B45"/>
    <w:rsid w:val="0CE005BA"/>
    <w:rsid w:val="0CE92E2F"/>
    <w:rsid w:val="0CF238D9"/>
    <w:rsid w:val="0CF3265F"/>
    <w:rsid w:val="0CF54C18"/>
    <w:rsid w:val="0CFB7D5D"/>
    <w:rsid w:val="0D0105C4"/>
    <w:rsid w:val="0D020CCB"/>
    <w:rsid w:val="0D0676A4"/>
    <w:rsid w:val="0D190F81"/>
    <w:rsid w:val="0D1D58C9"/>
    <w:rsid w:val="0D262447"/>
    <w:rsid w:val="0D2B3F36"/>
    <w:rsid w:val="0D3136F1"/>
    <w:rsid w:val="0D3333F8"/>
    <w:rsid w:val="0D361020"/>
    <w:rsid w:val="0D423EAE"/>
    <w:rsid w:val="0D472E3C"/>
    <w:rsid w:val="0D5261BF"/>
    <w:rsid w:val="0D57246E"/>
    <w:rsid w:val="0D673322"/>
    <w:rsid w:val="0D6734E3"/>
    <w:rsid w:val="0D6E4804"/>
    <w:rsid w:val="0D7D2A79"/>
    <w:rsid w:val="0D7D3E0F"/>
    <w:rsid w:val="0D8200F5"/>
    <w:rsid w:val="0D86133A"/>
    <w:rsid w:val="0D893804"/>
    <w:rsid w:val="0D8D3537"/>
    <w:rsid w:val="0DA44C4F"/>
    <w:rsid w:val="0DA63D3D"/>
    <w:rsid w:val="0DAC0338"/>
    <w:rsid w:val="0DAC7CEF"/>
    <w:rsid w:val="0DAD62D1"/>
    <w:rsid w:val="0DBB4523"/>
    <w:rsid w:val="0DC44BEA"/>
    <w:rsid w:val="0DC906B2"/>
    <w:rsid w:val="0DD265EC"/>
    <w:rsid w:val="0DD43F77"/>
    <w:rsid w:val="0DDF4F23"/>
    <w:rsid w:val="0DE805D5"/>
    <w:rsid w:val="0DFE3130"/>
    <w:rsid w:val="0E052416"/>
    <w:rsid w:val="0E20647A"/>
    <w:rsid w:val="0E211365"/>
    <w:rsid w:val="0E2B77B0"/>
    <w:rsid w:val="0E304F48"/>
    <w:rsid w:val="0E33779F"/>
    <w:rsid w:val="0E342E47"/>
    <w:rsid w:val="0E3E07E5"/>
    <w:rsid w:val="0E44758C"/>
    <w:rsid w:val="0E4504CC"/>
    <w:rsid w:val="0E4D0FC1"/>
    <w:rsid w:val="0E511DEE"/>
    <w:rsid w:val="0E5753B1"/>
    <w:rsid w:val="0E5B222E"/>
    <w:rsid w:val="0E6370CE"/>
    <w:rsid w:val="0E67321C"/>
    <w:rsid w:val="0E7C4A82"/>
    <w:rsid w:val="0E8C34CC"/>
    <w:rsid w:val="0E8E520D"/>
    <w:rsid w:val="0E8F336A"/>
    <w:rsid w:val="0E8F359F"/>
    <w:rsid w:val="0E917529"/>
    <w:rsid w:val="0EB75DD5"/>
    <w:rsid w:val="0EC21820"/>
    <w:rsid w:val="0EC25A79"/>
    <w:rsid w:val="0EC345DF"/>
    <w:rsid w:val="0EC6347F"/>
    <w:rsid w:val="0ECA7B73"/>
    <w:rsid w:val="0ECD648E"/>
    <w:rsid w:val="0EDA7ABD"/>
    <w:rsid w:val="0EE16478"/>
    <w:rsid w:val="0EE8214A"/>
    <w:rsid w:val="0EE9317A"/>
    <w:rsid w:val="0EF73FC3"/>
    <w:rsid w:val="0F000C96"/>
    <w:rsid w:val="0F030982"/>
    <w:rsid w:val="0F0F50B1"/>
    <w:rsid w:val="0F1D7D7F"/>
    <w:rsid w:val="0F266F83"/>
    <w:rsid w:val="0F292A93"/>
    <w:rsid w:val="0F2B39D9"/>
    <w:rsid w:val="0F332828"/>
    <w:rsid w:val="0F383593"/>
    <w:rsid w:val="0F3C7A41"/>
    <w:rsid w:val="0F517B66"/>
    <w:rsid w:val="0F5346EB"/>
    <w:rsid w:val="0F565E8D"/>
    <w:rsid w:val="0F5E2F7D"/>
    <w:rsid w:val="0F67724C"/>
    <w:rsid w:val="0F6B43C5"/>
    <w:rsid w:val="0F7113C1"/>
    <w:rsid w:val="0F76462C"/>
    <w:rsid w:val="0F767D88"/>
    <w:rsid w:val="0F7958FE"/>
    <w:rsid w:val="0F7E4C32"/>
    <w:rsid w:val="0F895627"/>
    <w:rsid w:val="0F8B0C31"/>
    <w:rsid w:val="0F927664"/>
    <w:rsid w:val="0FA04150"/>
    <w:rsid w:val="0FA40C23"/>
    <w:rsid w:val="0FB7141D"/>
    <w:rsid w:val="0FB72367"/>
    <w:rsid w:val="0FB73E77"/>
    <w:rsid w:val="0FB9413C"/>
    <w:rsid w:val="0FBA3158"/>
    <w:rsid w:val="0FC47664"/>
    <w:rsid w:val="0FED0854"/>
    <w:rsid w:val="0FED3576"/>
    <w:rsid w:val="0FF63E22"/>
    <w:rsid w:val="0FFD41BD"/>
    <w:rsid w:val="0FFD5200"/>
    <w:rsid w:val="10077A80"/>
    <w:rsid w:val="10211950"/>
    <w:rsid w:val="10213F6E"/>
    <w:rsid w:val="103247B3"/>
    <w:rsid w:val="104071D9"/>
    <w:rsid w:val="104249B8"/>
    <w:rsid w:val="1042731E"/>
    <w:rsid w:val="104273D7"/>
    <w:rsid w:val="10445B9A"/>
    <w:rsid w:val="10494F32"/>
    <w:rsid w:val="104C53C2"/>
    <w:rsid w:val="104E5594"/>
    <w:rsid w:val="10560D06"/>
    <w:rsid w:val="10640B9B"/>
    <w:rsid w:val="10651D23"/>
    <w:rsid w:val="10655C5D"/>
    <w:rsid w:val="10673933"/>
    <w:rsid w:val="107D2DBA"/>
    <w:rsid w:val="109E5FEF"/>
    <w:rsid w:val="10BA0DCE"/>
    <w:rsid w:val="10C20B10"/>
    <w:rsid w:val="10C3101B"/>
    <w:rsid w:val="10C876B1"/>
    <w:rsid w:val="10CA34E1"/>
    <w:rsid w:val="10CE5C82"/>
    <w:rsid w:val="10CF5463"/>
    <w:rsid w:val="10D25FC1"/>
    <w:rsid w:val="10D26878"/>
    <w:rsid w:val="10D61857"/>
    <w:rsid w:val="10DA4B72"/>
    <w:rsid w:val="10DD09CE"/>
    <w:rsid w:val="10E8616A"/>
    <w:rsid w:val="10ED1D0E"/>
    <w:rsid w:val="10EE684F"/>
    <w:rsid w:val="10F16587"/>
    <w:rsid w:val="10F535D3"/>
    <w:rsid w:val="11082CF7"/>
    <w:rsid w:val="11153FC3"/>
    <w:rsid w:val="111D7E38"/>
    <w:rsid w:val="1123195D"/>
    <w:rsid w:val="112F1AD4"/>
    <w:rsid w:val="113F126E"/>
    <w:rsid w:val="11417169"/>
    <w:rsid w:val="115600D4"/>
    <w:rsid w:val="115920CE"/>
    <w:rsid w:val="11647B2C"/>
    <w:rsid w:val="1174468E"/>
    <w:rsid w:val="117C32EA"/>
    <w:rsid w:val="118834E8"/>
    <w:rsid w:val="11986AE1"/>
    <w:rsid w:val="119908C2"/>
    <w:rsid w:val="119E09B8"/>
    <w:rsid w:val="119F3FEA"/>
    <w:rsid w:val="11B1006A"/>
    <w:rsid w:val="11B62D7E"/>
    <w:rsid w:val="11C02D2E"/>
    <w:rsid w:val="11C47BD2"/>
    <w:rsid w:val="11C605E7"/>
    <w:rsid w:val="11D37EA7"/>
    <w:rsid w:val="11D706B9"/>
    <w:rsid w:val="11D72CBF"/>
    <w:rsid w:val="11E90B6B"/>
    <w:rsid w:val="11ED3D2F"/>
    <w:rsid w:val="11F400C8"/>
    <w:rsid w:val="11F538AA"/>
    <w:rsid w:val="11F67003"/>
    <w:rsid w:val="11F81593"/>
    <w:rsid w:val="12011716"/>
    <w:rsid w:val="1203277A"/>
    <w:rsid w:val="1206792D"/>
    <w:rsid w:val="121060EF"/>
    <w:rsid w:val="1228182C"/>
    <w:rsid w:val="1230418C"/>
    <w:rsid w:val="12312169"/>
    <w:rsid w:val="124368EB"/>
    <w:rsid w:val="12455342"/>
    <w:rsid w:val="124D097B"/>
    <w:rsid w:val="12555A81"/>
    <w:rsid w:val="12566960"/>
    <w:rsid w:val="1259358F"/>
    <w:rsid w:val="12594D28"/>
    <w:rsid w:val="125C0F94"/>
    <w:rsid w:val="125F732C"/>
    <w:rsid w:val="12665399"/>
    <w:rsid w:val="127220C8"/>
    <w:rsid w:val="12735809"/>
    <w:rsid w:val="127C1D9A"/>
    <w:rsid w:val="12823F18"/>
    <w:rsid w:val="12861640"/>
    <w:rsid w:val="128A1CAF"/>
    <w:rsid w:val="129530C6"/>
    <w:rsid w:val="129659CF"/>
    <w:rsid w:val="129F3C34"/>
    <w:rsid w:val="12A1706C"/>
    <w:rsid w:val="12A27DC3"/>
    <w:rsid w:val="12A56C60"/>
    <w:rsid w:val="12AC1D5A"/>
    <w:rsid w:val="12AF17AA"/>
    <w:rsid w:val="12B508B1"/>
    <w:rsid w:val="12B65B63"/>
    <w:rsid w:val="12B7019C"/>
    <w:rsid w:val="12CB4575"/>
    <w:rsid w:val="12CF5487"/>
    <w:rsid w:val="12D42F3C"/>
    <w:rsid w:val="12D4727E"/>
    <w:rsid w:val="12D71F2E"/>
    <w:rsid w:val="12E31BDE"/>
    <w:rsid w:val="12E83881"/>
    <w:rsid w:val="12EC7AE9"/>
    <w:rsid w:val="13017E87"/>
    <w:rsid w:val="13063F06"/>
    <w:rsid w:val="13071595"/>
    <w:rsid w:val="130E780C"/>
    <w:rsid w:val="13117D70"/>
    <w:rsid w:val="131A335A"/>
    <w:rsid w:val="13313BF8"/>
    <w:rsid w:val="13425FE7"/>
    <w:rsid w:val="135720BE"/>
    <w:rsid w:val="135E44C2"/>
    <w:rsid w:val="13646528"/>
    <w:rsid w:val="137131BB"/>
    <w:rsid w:val="1372190B"/>
    <w:rsid w:val="137A683C"/>
    <w:rsid w:val="1384637C"/>
    <w:rsid w:val="138B328C"/>
    <w:rsid w:val="138C5731"/>
    <w:rsid w:val="13903825"/>
    <w:rsid w:val="139C5FF5"/>
    <w:rsid w:val="139D1015"/>
    <w:rsid w:val="13A37472"/>
    <w:rsid w:val="13A9686B"/>
    <w:rsid w:val="13B04A88"/>
    <w:rsid w:val="13B84F5A"/>
    <w:rsid w:val="13BB1CF9"/>
    <w:rsid w:val="13C46C25"/>
    <w:rsid w:val="13C54FC2"/>
    <w:rsid w:val="13C83C17"/>
    <w:rsid w:val="13CD3FA3"/>
    <w:rsid w:val="13D645AE"/>
    <w:rsid w:val="13DD3F4F"/>
    <w:rsid w:val="13DE2A6A"/>
    <w:rsid w:val="14015347"/>
    <w:rsid w:val="140D6D71"/>
    <w:rsid w:val="141E0717"/>
    <w:rsid w:val="14264865"/>
    <w:rsid w:val="14297453"/>
    <w:rsid w:val="143907F8"/>
    <w:rsid w:val="143E5B17"/>
    <w:rsid w:val="144B12F1"/>
    <w:rsid w:val="14540C19"/>
    <w:rsid w:val="145C30F7"/>
    <w:rsid w:val="145D40F9"/>
    <w:rsid w:val="14612D96"/>
    <w:rsid w:val="146429B0"/>
    <w:rsid w:val="146733DC"/>
    <w:rsid w:val="146F51D9"/>
    <w:rsid w:val="148963AA"/>
    <w:rsid w:val="14A500FA"/>
    <w:rsid w:val="14B25F3D"/>
    <w:rsid w:val="14B47C73"/>
    <w:rsid w:val="14B74712"/>
    <w:rsid w:val="14BD517C"/>
    <w:rsid w:val="14CF2F4A"/>
    <w:rsid w:val="14D13D24"/>
    <w:rsid w:val="14DF0BA2"/>
    <w:rsid w:val="14E13ABE"/>
    <w:rsid w:val="14E37173"/>
    <w:rsid w:val="14EC111C"/>
    <w:rsid w:val="14F2438D"/>
    <w:rsid w:val="14FD260F"/>
    <w:rsid w:val="15060D13"/>
    <w:rsid w:val="1508059A"/>
    <w:rsid w:val="150A0F40"/>
    <w:rsid w:val="150A1CAF"/>
    <w:rsid w:val="15115FBE"/>
    <w:rsid w:val="151D606D"/>
    <w:rsid w:val="151E58BF"/>
    <w:rsid w:val="152006F0"/>
    <w:rsid w:val="152864F1"/>
    <w:rsid w:val="152A4D86"/>
    <w:rsid w:val="152D0EAD"/>
    <w:rsid w:val="153134EF"/>
    <w:rsid w:val="153426C4"/>
    <w:rsid w:val="15412E70"/>
    <w:rsid w:val="15457C9B"/>
    <w:rsid w:val="15474C21"/>
    <w:rsid w:val="154B3B30"/>
    <w:rsid w:val="154C5769"/>
    <w:rsid w:val="15546DA1"/>
    <w:rsid w:val="155B51EC"/>
    <w:rsid w:val="155D63FE"/>
    <w:rsid w:val="1566616E"/>
    <w:rsid w:val="158A0510"/>
    <w:rsid w:val="15962639"/>
    <w:rsid w:val="159E2632"/>
    <w:rsid w:val="15A018BF"/>
    <w:rsid w:val="15A24385"/>
    <w:rsid w:val="15A31535"/>
    <w:rsid w:val="15A4548C"/>
    <w:rsid w:val="15A75661"/>
    <w:rsid w:val="15A85EC8"/>
    <w:rsid w:val="15A91D18"/>
    <w:rsid w:val="15B209BE"/>
    <w:rsid w:val="15B51FBB"/>
    <w:rsid w:val="15BB6C7B"/>
    <w:rsid w:val="15C87753"/>
    <w:rsid w:val="15D41C79"/>
    <w:rsid w:val="15D84B69"/>
    <w:rsid w:val="15DB3018"/>
    <w:rsid w:val="15DD706A"/>
    <w:rsid w:val="15E85EA3"/>
    <w:rsid w:val="15EB5EE4"/>
    <w:rsid w:val="15EC04AB"/>
    <w:rsid w:val="15EC2259"/>
    <w:rsid w:val="15F31839"/>
    <w:rsid w:val="15F92014"/>
    <w:rsid w:val="15FD4136"/>
    <w:rsid w:val="16021A7C"/>
    <w:rsid w:val="1608552B"/>
    <w:rsid w:val="160F1A18"/>
    <w:rsid w:val="16105D65"/>
    <w:rsid w:val="161B6D47"/>
    <w:rsid w:val="16293AFD"/>
    <w:rsid w:val="162A45AF"/>
    <w:rsid w:val="163663F7"/>
    <w:rsid w:val="163F32EB"/>
    <w:rsid w:val="163F36C3"/>
    <w:rsid w:val="164B5453"/>
    <w:rsid w:val="165364C3"/>
    <w:rsid w:val="165A2BDE"/>
    <w:rsid w:val="16636CE1"/>
    <w:rsid w:val="166E0A8A"/>
    <w:rsid w:val="166F1D3D"/>
    <w:rsid w:val="16706B4D"/>
    <w:rsid w:val="16710DF6"/>
    <w:rsid w:val="1673768F"/>
    <w:rsid w:val="16752821"/>
    <w:rsid w:val="16792576"/>
    <w:rsid w:val="16797F90"/>
    <w:rsid w:val="16806552"/>
    <w:rsid w:val="16826733"/>
    <w:rsid w:val="168523D3"/>
    <w:rsid w:val="168B4CC3"/>
    <w:rsid w:val="1692495E"/>
    <w:rsid w:val="169C5152"/>
    <w:rsid w:val="169F73DB"/>
    <w:rsid w:val="16A100CA"/>
    <w:rsid w:val="16AA4DAF"/>
    <w:rsid w:val="16AD1756"/>
    <w:rsid w:val="16AE01A6"/>
    <w:rsid w:val="16B23F2C"/>
    <w:rsid w:val="16B943F6"/>
    <w:rsid w:val="16D04FC6"/>
    <w:rsid w:val="16D15FD8"/>
    <w:rsid w:val="16D33E72"/>
    <w:rsid w:val="16D7709E"/>
    <w:rsid w:val="16D91158"/>
    <w:rsid w:val="16DA7D18"/>
    <w:rsid w:val="16E97EF9"/>
    <w:rsid w:val="16F10E05"/>
    <w:rsid w:val="16F5440C"/>
    <w:rsid w:val="17006251"/>
    <w:rsid w:val="170B17C5"/>
    <w:rsid w:val="17137909"/>
    <w:rsid w:val="171A0E17"/>
    <w:rsid w:val="171B65B0"/>
    <w:rsid w:val="171E24D6"/>
    <w:rsid w:val="171E475F"/>
    <w:rsid w:val="172E4346"/>
    <w:rsid w:val="172F21CF"/>
    <w:rsid w:val="17312619"/>
    <w:rsid w:val="17384267"/>
    <w:rsid w:val="173C231E"/>
    <w:rsid w:val="173F2DB2"/>
    <w:rsid w:val="17477185"/>
    <w:rsid w:val="1748044E"/>
    <w:rsid w:val="174D23F4"/>
    <w:rsid w:val="175005C5"/>
    <w:rsid w:val="17532E5E"/>
    <w:rsid w:val="175937E0"/>
    <w:rsid w:val="1759391E"/>
    <w:rsid w:val="176A54AD"/>
    <w:rsid w:val="176F1347"/>
    <w:rsid w:val="1780603B"/>
    <w:rsid w:val="17A245DC"/>
    <w:rsid w:val="17A61C6F"/>
    <w:rsid w:val="17AA5F28"/>
    <w:rsid w:val="17B0594D"/>
    <w:rsid w:val="17B27A9B"/>
    <w:rsid w:val="17B926ED"/>
    <w:rsid w:val="17BA79E2"/>
    <w:rsid w:val="17BC4772"/>
    <w:rsid w:val="17D12728"/>
    <w:rsid w:val="17D24DD8"/>
    <w:rsid w:val="17E60A7A"/>
    <w:rsid w:val="17EF54C7"/>
    <w:rsid w:val="17F07560"/>
    <w:rsid w:val="17F84D97"/>
    <w:rsid w:val="17FB38A2"/>
    <w:rsid w:val="18030739"/>
    <w:rsid w:val="180856DA"/>
    <w:rsid w:val="18090844"/>
    <w:rsid w:val="180C0AFD"/>
    <w:rsid w:val="18117B13"/>
    <w:rsid w:val="181870D4"/>
    <w:rsid w:val="18187CDE"/>
    <w:rsid w:val="182251D3"/>
    <w:rsid w:val="182E5E4C"/>
    <w:rsid w:val="1833144C"/>
    <w:rsid w:val="183D3984"/>
    <w:rsid w:val="183E096C"/>
    <w:rsid w:val="18481567"/>
    <w:rsid w:val="184F2CDA"/>
    <w:rsid w:val="18685DE7"/>
    <w:rsid w:val="186A2283"/>
    <w:rsid w:val="186B1B5B"/>
    <w:rsid w:val="1876019B"/>
    <w:rsid w:val="187C0DEA"/>
    <w:rsid w:val="187E71CC"/>
    <w:rsid w:val="188365CF"/>
    <w:rsid w:val="18892030"/>
    <w:rsid w:val="189F6C54"/>
    <w:rsid w:val="18A73433"/>
    <w:rsid w:val="18A763D9"/>
    <w:rsid w:val="18AB19DB"/>
    <w:rsid w:val="18AD51D7"/>
    <w:rsid w:val="18AE530D"/>
    <w:rsid w:val="18D11090"/>
    <w:rsid w:val="18D25C5F"/>
    <w:rsid w:val="18D6391C"/>
    <w:rsid w:val="18DB65A0"/>
    <w:rsid w:val="18E03DC5"/>
    <w:rsid w:val="18EA00FB"/>
    <w:rsid w:val="18F46A0A"/>
    <w:rsid w:val="18FA3995"/>
    <w:rsid w:val="18FB18A2"/>
    <w:rsid w:val="18FB50F2"/>
    <w:rsid w:val="190A14A1"/>
    <w:rsid w:val="19161AC1"/>
    <w:rsid w:val="191F1517"/>
    <w:rsid w:val="19234C01"/>
    <w:rsid w:val="19273717"/>
    <w:rsid w:val="192D0E31"/>
    <w:rsid w:val="192E2A29"/>
    <w:rsid w:val="192E7999"/>
    <w:rsid w:val="1933023C"/>
    <w:rsid w:val="19354C84"/>
    <w:rsid w:val="19584C54"/>
    <w:rsid w:val="195949B2"/>
    <w:rsid w:val="19677EDB"/>
    <w:rsid w:val="19681C0E"/>
    <w:rsid w:val="19687E48"/>
    <w:rsid w:val="197F2511"/>
    <w:rsid w:val="198A612F"/>
    <w:rsid w:val="19901583"/>
    <w:rsid w:val="19903A06"/>
    <w:rsid w:val="199E560F"/>
    <w:rsid w:val="199E7A91"/>
    <w:rsid w:val="19B11352"/>
    <w:rsid w:val="19CA2ECA"/>
    <w:rsid w:val="19CB2EF4"/>
    <w:rsid w:val="19D87405"/>
    <w:rsid w:val="19E055A8"/>
    <w:rsid w:val="19E0599C"/>
    <w:rsid w:val="19F11A9A"/>
    <w:rsid w:val="1A036BA3"/>
    <w:rsid w:val="1A0B43D6"/>
    <w:rsid w:val="1A241336"/>
    <w:rsid w:val="1A31116E"/>
    <w:rsid w:val="1A311711"/>
    <w:rsid w:val="1A3E158C"/>
    <w:rsid w:val="1A401B3F"/>
    <w:rsid w:val="1A4101E8"/>
    <w:rsid w:val="1A4F3D41"/>
    <w:rsid w:val="1A5E03C2"/>
    <w:rsid w:val="1A5E2B30"/>
    <w:rsid w:val="1A5F6BF6"/>
    <w:rsid w:val="1A626F8D"/>
    <w:rsid w:val="1A644AB4"/>
    <w:rsid w:val="1A67697A"/>
    <w:rsid w:val="1A6B29D9"/>
    <w:rsid w:val="1A6E5D76"/>
    <w:rsid w:val="1A716BEE"/>
    <w:rsid w:val="1A7421CF"/>
    <w:rsid w:val="1A7936B8"/>
    <w:rsid w:val="1A8A0F34"/>
    <w:rsid w:val="1A9E0C15"/>
    <w:rsid w:val="1A9F4369"/>
    <w:rsid w:val="1AA743DD"/>
    <w:rsid w:val="1AA96E85"/>
    <w:rsid w:val="1AAA519D"/>
    <w:rsid w:val="1AB50EE5"/>
    <w:rsid w:val="1AB6087E"/>
    <w:rsid w:val="1AC31C19"/>
    <w:rsid w:val="1AD054F8"/>
    <w:rsid w:val="1AD4046B"/>
    <w:rsid w:val="1ADD03C2"/>
    <w:rsid w:val="1AE45BF4"/>
    <w:rsid w:val="1AE56801"/>
    <w:rsid w:val="1AE6196C"/>
    <w:rsid w:val="1AE678CE"/>
    <w:rsid w:val="1AE946EE"/>
    <w:rsid w:val="1AEE5D74"/>
    <w:rsid w:val="1AF62694"/>
    <w:rsid w:val="1AFA67BD"/>
    <w:rsid w:val="1AFD7373"/>
    <w:rsid w:val="1B090710"/>
    <w:rsid w:val="1B0911B7"/>
    <w:rsid w:val="1B0A5DC1"/>
    <w:rsid w:val="1B0D0F4D"/>
    <w:rsid w:val="1B0E73B3"/>
    <w:rsid w:val="1B11251A"/>
    <w:rsid w:val="1B1D3DDF"/>
    <w:rsid w:val="1B1F5435"/>
    <w:rsid w:val="1B2916E5"/>
    <w:rsid w:val="1B40507B"/>
    <w:rsid w:val="1B506076"/>
    <w:rsid w:val="1B510DF9"/>
    <w:rsid w:val="1B5A5883"/>
    <w:rsid w:val="1B5F7FA7"/>
    <w:rsid w:val="1B63668C"/>
    <w:rsid w:val="1B6A5BD2"/>
    <w:rsid w:val="1B75252A"/>
    <w:rsid w:val="1B773D4F"/>
    <w:rsid w:val="1B7845A9"/>
    <w:rsid w:val="1B7C14A1"/>
    <w:rsid w:val="1B821D08"/>
    <w:rsid w:val="1B862833"/>
    <w:rsid w:val="1B873499"/>
    <w:rsid w:val="1B8F4135"/>
    <w:rsid w:val="1B8F46A0"/>
    <w:rsid w:val="1B96294F"/>
    <w:rsid w:val="1B9D26B5"/>
    <w:rsid w:val="1BA0432B"/>
    <w:rsid w:val="1BA2775B"/>
    <w:rsid w:val="1BB77278"/>
    <w:rsid w:val="1BBA7D60"/>
    <w:rsid w:val="1BBD42C5"/>
    <w:rsid w:val="1BBE4EC6"/>
    <w:rsid w:val="1BC83389"/>
    <w:rsid w:val="1BCD5396"/>
    <w:rsid w:val="1BD029B6"/>
    <w:rsid w:val="1BD46CB0"/>
    <w:rsid w:val="1BD5178C"/>
    <w:rsid w:val="1BD97A80"/>
    <w:rsid w:val="1BDB5678"/>
    <w:rsid w:val="1BE71058"/>
    <w:rsid w:val="1BEB4C2C"/>
    <w:rsid w:val="1BEB7AB6"/>
    <w:rsid w:val="1BF27CCF"/>
    <w:rsid w:val="1BFA3269"/>
    <w:rsid w:val="1C0434B2"/>
    <w:rsid w:val="1C056ECA"/>
    <w:rsid w:val="1C130734"/>
    <w:rsid w:val="1C157D90"/>
    <w:rsid w:val="1C1F6CF4"/>
    <w:rsid w:val="1C216234"/>
    <w:rsid w:val="1C2B7889"/>
    <w:rsid w:val="1C2D1A82"/>
    <w:rsid w:val="1C3B7046"/>
    <w:rsid w:val="1C3D13EB"/>
    <w:rsid w:val="1C4C143F"/>
    <w:rsid w:val="1C617A22"/>
    <w:rsid w:val="1C65129F"/>
    <w:rsid w:val="1C6B037B"/>
    <w:rsid w:val="1C6E2DCC"/>
    <w:rsid w:val="1C7437E0"/>
    <w:rsid w:val="1C7D08AC"/>
    <w:rsid w:val="1C7F13F7"/>
    <w:rsid w:val="1C803DBA"/>
    <w:rsid w:val="1C843076"/>
    <w:rsid w:val="1C8B02A0"/>
    <w:rsid w:val="1C8F2CAC"/>
    <w:rsid w:val="1C945E62"/>
    <w:rsid w:val="1C95113D"/>
    <w:rsid w:val="1C9B54DF"/>
    <w:rsid w:val="1C9D605B"/>
    <w:rsid w:val="1CAB6E93"/>
    <w:rsid w:val="1CB75B94"/>
    <w:rsid w:val="1CB772D9"/>
    <w:rsid w:val="1CBB5035"/>
    <w:rsid w:val="1CBD4564"/>
    <w:rsid w:val="1CBE5564"/>
    <w:rsid w:val="1CBF2214"/>
    <w:rsid w:val="1CC0422B"/>
    <w:rsid w:val="1CC32328"/>
    <w:rsid w:val="1CCA246C"/>
    <w:rsid w:val="1CCC703D"/>
    <w:rsid w:val="1CCF5FD5"/>
    <w:rsid w:val="1CD63CAB"/>
    <w:rsid w:val="1CD7749A"/>
    <w:rsid w:val="1CD840AA"/>
    <w:rsid w:val="1CE20E79"/>
    <w:rsid w:val="1CE767B2"/>
    <w:rsid w:val="1CF10230"/>
    <w:rsid w:val="1CF466F3"/>
    <w:rsid w:val="1CFA1714"/>
    <w:rsid w:val="1CFC7D16"/>
    <w:rsid w:val="1D040938"/>
    <w:rsid w:val="1D065F12"/>
    <w:rsid w:val="1D0E580F"/>
    <w:rsid w:val="1D0F4A6C"/>
    <w:rsid w:val="1D1518E9"/>
    <w:rsid w:val="1D1722B1"/>
    <w:rsid w:val="1D201BEC"/>
    <w:rsid w:val="1D2A5313"/>
    <w:rsid w:val="1D3842C6"/>
    <w:rsid w:val="1D405181"/>
    <w:rsid w:val="1D4961E3"/>
    <w:rsid w:val="1D4A21D9"/>
    <w:rsid w:val="1D504FA4"/>
    <w:rsid w:val="1D5507B0"/>
    <w:rsid w:val="1D590610"/>
    <w:rsid w:val="1D5C1E36"/>
    <w:rsid w:val="1D5E0613"/>
    <w:rsid w:val="1D5F7214"/>
    <w:rsid w:val="1D725739"/>
    <w:rsid w:val="1D846372"/>
    <w:rsid w:val="1D893627"/>
    <w:rsid w:val="1D975171"/>
    <w:rsid w:val="1D982D0D"/>
    <w:rsid w:val="1D9A525B"/>
    <w:rsid w:val="1D9D356A"/>
    <w:rsid w:val="1D9E440E"/>
    <w:rsid w:val="1DAC3AA0"/>
    <w:rsid w:val="1DB37CFA"/>
    <w:rsid w:val="1DBD5182"/>
    <w:rsid w:val="1DC82412"/>
    <w:rsid w:val="1DE12565"/>
    <w:rsid w:val="1DEA0685"/>
    <w:rsid w:val="1DEC327A"/>
    <w:rsid w:val="1DEF076F"/>
    <w:rsid w:val="1DF92447"/>
    <w:rsid w:val="1E036FCE"/>
    <w:rsid w:val="1E05475B"/>
    <w:rsid w:val="1E0C16EA"/>
    <w:rsid w:val="1E0C2701"/>
    <w:rsid w:val="1E0E6AFA"/>
    <w:rsid w:val="1E0F7022"/>
    <w:rsid w:val="1E1C3098"/>
    <w:rsid w:val="1E1D398A"/>
    <w:rsid w:val="1E37321D"/>
    <w:rsid w:val="1E3A3838"/>
    <w:rsid w:val="1E4104FD"/>
    <w:rsid w:val="1E4163FC"/>
    <w:rsid w:val="1E4241EF"/>
    <w:rsid w:val="1E4419FE"/>
    <w:rsid w:val="1E4E1A57"/>
    <w:rsid w:val="1E4E34C7"/>
    <w:rsid w:val="1E4E4A3D"/>
    <w:rsid w:val="1E581686"/>
    <w:rsid w:val="1E5B4AA6"/>
    <w:rsid w:val="1E6500BF"/>
    <w:rsid w:val="1E690A57"/>
    <w:rsid w:val="1E6E0489"/>
    <w:rsid w:val="1E6F7DA5"/>
    <w:rsid w:val="1E723FC9"/>
    <w:rsid w:val="1E74426A"/>
    <w:rsid w:val="1E82066D"/>
    <w:rsid w:val="1E850848"/>
    <w:rsid w:val="1E943E4C"/>
    <w:rsid w:val="1E987366"/>
    <w:rsid w:val="1E9F7682"/>
    <w:rsid w:val="1EAD1493"/>
    <w:rsid w:val="1EB82435"/>
    <w:rsid w:val="1EBA2573"/>
    <w:rsid w:val="1EBF0ACA"/>
    <w:rsid w:val="1EC13999"/>
    <w:rsid w:val="1EC25CD2"/>
    <w:rsid w:val="1EC75611"/>
    <w:rsid w:val="1ECA08DA"/>
    <w:rsid w:val="1ECA4FED"/>
    <w:rsid w:val="1ED36602"/>
    <w:rsid w:val="1ED3667D"/>
    <w:rsid w:val="1ED460BE"/>
    <w:rsid w:val="1ED918F0"/>
    <w:rsid w:val="1EDF6C2C"/>
    <w:rsid w:val="1EE06C8F"/>
    <w:rsid w:val="1EE91A2B"/>
    <w:rsid w:val="1EEB5D4D"/>
    <w:rsid w:val="1EED6E50"/>
    <w:rsid w:val="1EED77D2"/>
    <w:rsid w:val="1EF24653"/>
    <w:rsid w:val="1EF24C05"/>
    <w:rsid w:val="1EF97345"/>
    <w:rsid w:val="1EFA6C70"/>
    <w:rsid w:val="1F0B23BC"/>
    <w:rsid w:val="1F0C0694"/>
    <w:rsid w:val="1F147ED5"/>
    <w:rsid w:val="1F181798"/>
    <w:rsid w:val="1F1D0099"/>
    <w:rsid w:val="1F233E4E"/>
    <w:rsid w:val="1F247CB0"/>
    <w:rsid w:val="1F26453C"/>
    <w:rsid w:val="1F2A6433"/>
    <w:rsid w:val="1F340EE4"/>
    <w:rsid w:val="1F3472CB"/>
    <w:rsid w:val="1F3B0C11"/>
    <w:rsid w:val="1F3F7B73"/>
    <w:rsid w:val="1F413615"/>
    <w:rsid w:val="1F44301F"/>
    <w:rsid w:val="1F467EB2"/>
    <w:rsid w:val="1F4B15BC"/>
    <w:rsid w:val="1F506314"/>
    <w:rsid w:val="1F5533D5"/>
    <w:rsid w:val="1F5B0028"/>
    <w:rsid w:val="1F5F4BB7"/>
    <w:rsid w:val="1F635BD5"/>
    <w:rsid w:val="1F642E60"/>
    <w:rsid w:val="1F6E6A36"/>
    <w:rsid w:val="1F7C18CF"/>
    <w:rsid w:val="1F8507F5"/>
    <w:rsid w:val="1F903753"/>
    <w:rsid w:val="1F9610B3"/>
    <w:rsid w:val="1F9772EB"/>
    <w:rsid w:val="1F9B1D74"/>
    <w:rsid w:val="1FA318D5"/>
    <w:rsid w:val="1FA7646C"/>
    <w:rsid w:val="1FAD0CAB"/>
    <w:rsid w:val="1FB13D6B"/>
    <w:rsid w:val="1FB47A2F"/>
    <w:rsid w:val="1FB7103A"/>
    <w:rsid w:val="1FBA2CF7"/>
    <w:rsid w:val="1FE52321"/>
    <w:rsid w:val="1FE70D17"/>
    <w:rsid w:val="1FF5147F"/>
    <w:rsid w:val="20014E73"/>
    <w:rsid w:val="20036D5E"/>
    <w:rsid w:val="20076AE7"/>
    <w:rsid w:val="200F54C2"/>
    <w:rsid w:val="20197940"/>
    <w:rsid w:val="201A79C5"/>
    <w:rsid w:val="20410870"/>
    <w:rsid w:val="204131A1"/>
    <w:rsid w:val="204B16C3"/>
    <w:rsid w:val="20526B67"/>
    <w:rsid w:val="20653333"/>
    <w:rsid w:val="20677BEA"/>
    <w:rsid w:val="206C2809"/>
    <w:rsid w:val="206E7D70"/>
    <w:rsid w:val="206F43D6"/>
    <w:rsid w:val="20791826"/>
    <w:rsid w:val="207E424C"/>
    <w:rsid w:val="207F53D7"/>
    <w:rsid w:val="208828C6"/>
    <w:rsid w:val="208E288A"/>
    <w:rsid w:val="20945EC6"/>
    <w:rsid w:val="20A929C8"/>
    <w:rsid w:val="20B36E9E"/>
    <w:rsid w:val="20B53B26"/>
    <w:rsid w:val="20C841BD"/>
    <w:rsid w:val="20D2281D"/>
    <w:rsid w:val="20D55B41"/>
    <w:rsid w:val="20D95B86"/>
    <w:rsid w:val="20DC2A39"/>
    <w:rsid w:val="20EA676A"/>
    <w:rsid w:val="20EB0D84"/>
    <w:rsid w:val="20ED6CE8"/>
    <w:rsid w:val="20F30FEF"/>
    <w:rsid w:val="20FE3FDE"/>
    <w:rsid w:val="21192317"/>
    <w:rsid w:val="211F5960"/>
    <w:rsid w:val="21290A58"/>
    <w:rsid w:val="21290B7B"/>
    <w:rsid w:val="21321A13"/>
    <w:rsid w:val="21390795"/>
    <w:rsid w:val="213F1DD6"/>
    <w:rsid w:val="214178FD"/>
    <w:rsid w:val="21420D02"/>
    <w:rsid w:val="214404C9"/>
    <w:rsid w:val="2147236C"/>
    <w:rsid w:val="21490C41"/>
    <w:rsid w:val="214C011E"/>
    <w:rsid w:val="214E496B"/>
    <w:rsid w:val="215C3726"/>
    <w:rsid w:val="215C78D1"/>
    <w:rsid w:val="2164183D"/>
    <w:rsid w:val="217355DC"/>
    <w:rsid w:val="21813113"/>
    <w:rsid w:val="218615EC"/>
    <w:rsid w:val="21883C8D"/>
    <w:rsid w:val="218C2F9C"/>
    <w:rsid w:val="219A43F9"/>
    <w:rsid w:val="21A56AF5"/>
    <w:rsid w:val="21D57101"/>
    <w:rsid w:val="21D90464"/>
    <w:rsid w:val="21E13C58"/>
    <w:rsid w:val="21E5308A"/>
    <w:rsid w:val="21E761D0"/>
    <w:rsid w:val="220138FF"/>
    <w:rsid w:val="22020F9C"/>
    <w:rsid w:val="22033DA0"/>
    <w:rsid w:val="220F5C44"/>
    <w:rsid w:val="22153CEF"/>
    <w:rsid w:val="222B0537"/>
    <w:rsid w:val="22311C10"/>
    <w:rsid w:val="22492D50"/>
    <w:rsid w:val="224A108D"/>
    <w:rsid w:val="224A76E8"/>
    <w:rsid w:val="224C3665"/>
    <w:rsid w:val="224E530E"/>
    <w:rsid w:val="227118C4"/>
    <w:rsid w:val="2276070E"/>
    <w:rsid w:val="227A2634"/>
    <w:rsid w:val="228D2F50"/>
    <w:rsid w:val="2294211F"/>
    <w:rsid w:val="229A7EDD"/>
    <w:rsid w:val="229D7DDD"/>
    <w:rsid w:val="229F7197"/>
    <w:rsid w:val="22A0444E"/>
    <w:rsid w:val="22A14878"/>
    <w:rsid w:val="22AE0860"/>
    <w:rsid w:val="22B365D8"/>
    <w:rsid w:val="22BC0F4A"/>
    <w:rsid w:val="22C14C18"/>
    <w:rsid w:val="22C2698E"/>
    <w:rsid w:val="22C348E5"/>
    <w:rsid w:val="22CD43A7"/>
    <w:rsid w:val="22CF2FA9"/>
    <w:rsid w:val="22D32D50"/>
    <w:rsid w:val="22D410CC"/>
    <w:rsid w:val="22E267F9"/>
    <w:rsid w:val="22E448F2"/>
    <w:rsid w:val="22E74844"/>
    <w:rsid w:val="22EB7249"/>
    <w:rsid w:val="22F9367A"/>
    <w:rsid w:val="2304000A"/>
    <w:rsid w:val="230A382B"/>
    <w:rsid w:val="230D23E7"/>
    <w:rsid w:val="230D3B9D"/>
    <w:rsid w:val="23163498"/>
    <w:rsid w:val="232205E3"/>
    <w:rsid w:val="232240F6"/>
    <w:rsid w:val="232474D6"/>
    <w:rsid w:val="23316CB4"/>
    <w:rsid w:val="23390503"/>
    <w:rsid w:val="233B27C1"/>
    <w:rsid w:val="23505039"/>
    <w:rsid w:val="235F5429"/>
    <w:rsid w:val="23632BB8"/>
    <w:rsid w:val="23640FB0"/>
    <w:rsid w:val="23642049"/>
    <w:rsid w:val="23645FC0"/>
    <w:rsid w:val="2368268D"/>
    <w:rsid w:val="23690890"/>
    <w:rsid w:val="2371139D"/>
    <w:rsid w:val="23797F46"/>
    <w:rsid w:val="23836902"/>
    <w:rsid w:val="23872CE5"/>
    <w:rsid w:val="238B3535"/>
    <w:rsid w:val="238C3EED"/>
    <w:rsid w:val="238C6B76"/>
    <w:rsid w:val="23932D62"/>
    <w:rsid w:val="23995E62"/>
    <w:rsid w:val="239E5DAB"/>
    <w:rsid w:val="23A2741C"/>
    <w:rsid w:val="23AE0B4E"/>
    <w:rsid w:val="23B52D71"/>
    <w:rsid w:val="23BF14A7"/>
    <w:rsid w:val="23C24044"/>
    <w:rsid w:val="23CD3C1F"/>
    <w:rsid w:val="23CF05F8"/>
    <w:rsid w:val="23D06E28"/>
    <w:rsid w:val="23D108F4"/>
    <w:rsid w:val="23D2373C"/>
    <w:rsid w:val="23D30F57"/>
    <w:rsid w:val="23D427EC"/>
    <w:rsid w:val="23D52455"/>
    <w:rsid w:val="23E30FB9"/>
    <w:rsid w:val="23E55BB7"/>
    <w:rsid w:val="23E86947"/>
    <w:rsid w:val="23EB0E0A"/>
    <w:rsid w:val="23F93412"/>
    <w:rsid w:val="24003E36"/>
    <w:rsid w:val="24025F67"/>
    <w:rsid w:val="24026973"/>
    <w:rsid w:val="24030148"/>
    <w:rsid w:val="24082FFD"/>
    <w:rsid w:val="2414451E"/>
    <w:rsid w:val="241729C7"/>
    <w:rsid w:val="242A4E60"/>
    <w:rsid w:val="242B006B"/>
    <w:rsid w:val="242B6642"/>
    <w:rsid w:val="242C4A12"/>
    <w:rsid w:val="24306CB0"/>
    <w:rsid w:val="2435126F"/>
    <w:rsid w:val="24360D1A"/>
    <w:rsid w:val="243E2796"/>
    <w:rsid w:val="243F33CD"/>
    <w:rsid w:val="24473F3B"/>
    <w:rsid w:val="24540554"/>
    <w:rsid w:val="245711E5"/>
    <w:rsid w:val="245A2573"/>
    <w:rsid w:val="245C6C30"/>
    <w:rsid w:val="24626C85"/>
    <w:rsid w:val="24691C87"/>
    <w:rsid w:val="246B71DD"/>
    <w:rsid w:val="24804C37"/>
    <w:rsid w:val="248165DC"/>
    <w:rsid w:val="248E5040"/>
    <w:rsid w:val="249D0F40"/>
    <w:rsid w:val="249E0E55"/>
    <w:rsid w:val="24A14FD2"/>
    <w:rsid w:val="24A368A1"/>
    <w:rsid w:val="24AE0576"/>
    <w:rsid w:val="24B842AD"/>
    <w:rsid w:val="24BD6B45"/>
    <w:rsid w:val="24CC50D0"/>
    <w:rsid w:val="24CD4D69"/>
    <w:rsid w:val="24D556FF"/>
    <w:rsid w:val="24DB4FFF"/>
    <w:rsid w:val="24E567F1"/>
    <w:rsid w:val="24F87B69"/>
    <w:rsid w:val="24FC4ED2"/>
    <w:rsid w:val="25023CB2"/>
    <w:rsid w:val="250A6D88"/>
    <w:rsid w:val="2512161D"/>
    <w:rsid w:val="251A608E"/>
    <w:rsid w:val="251D24AE"/>
    <w:rsid w:val="252129F0"/>
    <w:rsid w:val="25223DB4"/>
    <w:rsid w:val="25244912"/>
    <w:rsid w:val="252657F0"/>
    <w:rsid w:val="252C75B8"/>
    <w:rsid w:val="253359F2"/>
    <w:rsid w:val="25384E31"/>
    <w:rsid w:val="253F67E1"/>
    <w:rsid w:val="254B4B18"/>
    <w:rsid w:val="254C6617"/>
    <w:rsid w:val="25514417"/>
    <w:rsid w:val="25567657"/>
    <w:rsid w:val="25622A5F"/>
    <w:rsid w:val="2572244F"/>
    <w:rsid w:val="257738AF"/>
    <w:rsid w:val="257F4A05"/>
    <w:rsid w:val="259E71CD"/>
    <w:rsid w:val="259F45C7"/>
    <w:rsid w:val="25A662D7"/>
    <w:rsid w:val="25A86E75"/>
    <w:rsid w:val="25AE2938"/>
    <w:rsid w:val="25B31D75"/>
    <w:rsid w:val="25B62DE4"/>
    <w:rsid w:val="25BB0385"/>
    <w:rsid w:val="25BC2871"/>
    <w:rsid w:val="25C054D5"/>
    <w:rsid w:val="25C66DBF"/>
    <w:rsid w:val="25CA0921"/>
    <w:rsid w:val="25CB0C18"/>
    <w:rsid w:val="25D13AEB"/>
    <w:rsid w:val="25E2769B"/>
    <w:rsid w:val="25E82A3D"/>
    <w:rsid w:val="25EB34F5"/>
    <w:rsid w:val="25FA451E"/>
    <w:rsid w:val="260439C2"/>
    <w:rsid w:val="261D13BC"/>
    <w:rsid w:val="262617F7"/>
    <w:rsid w:val="262B6CE7"/>
    <w:rsid w:val="26355224"/>
    <w:rsid w:val="263D7662"/>
    <w:rsid w:val="26455B3C"/>
    <w:rsid w:val="26481395"/>
    <w:rsid w:val="26491D5B"/>
    <w:rsid w:val="26533FE8"/>
    <w:rsid w:val="26564D95"/>
    <w:rsid w:val="26635755"/>
    <w:rsid w:val="26663282"/>
    <w:rsid w:val="266C407E"/>
    <w:rsid w:val="266D5DB7"/>
    <w:rsid w:val="266F1818"/>
    <w:rsid w:val="26776AED"/>
    <w:rsid w:val="26784417"/>
    <w:rsid w:val="26831E62"/>
    <w:rsid w:val="26873A39"/>
    <w:rsid w:val="26886279"/>
    <w:rsid w:val="26886841"/>
    <w:rsid w:val="26886FB3"/>
    <w:rsid w:val="268C4B6E"/>
    <w:rsid w:val="268F769A"/>
    <w:rsid w:val="26907D50"/>
    <w:rsid w:val="269C2A2E"/>
    <w:rsid w:val="269F0E4A"/>
    <w:rsid w:val="26A96406"/>
    <w:rsid w:val="26AE3074"/>
    <w:rsid w:val="26B038E9"/>
    <w:rsid w:val="26C32B62"/>
    <w:rsid w:val="26C61FE4"/>
    <w:rsid w:val="26CA7121"/>
    <w:rsid w:val="26D54139"/>
    <w:rsid w:val="26DE480D"/>
    <w:rsid w:val="26E42734"/>
    <w:rsid w:val="26E44D57"/>
    <w:rsid w:val="26E524AA"/>
    <w:rsid w:val="26E7311A"/>
    <w:rsid w:val="26EE1993"/>
    <w:rsid w:val="26EE3EA9"/>
    <w:rsid w:val="270D2469"/>
    <w:rsid w:val="271725DF"/>
    <w:rsid w:val="271B7370"/>
    <w:rsid w:val="271C25AF"/>
    <w:rsid w:val="271D191F"/>
    <w:rsid w:val="271E248E"/>
    <w:rsid w:val="27223D2C"/>
    <w:rsid w:val="2725381D"/>
    <w:rsid w:val="272969A2"/>
    <w:rsid w:val="27316337"/>
    <w:rsid w:val="27494C9F"/>
    <w:rsid w:val="2756711B"/>
    <w:rsid w:val="27571033"/>
    <w:rsid w:val="275C3ED9"/>
    <w:rsid w:val="275D10E9"/>
    <w:rsid w:val="27602319"/>
    <w:rsid w:val="27627383"/>
    <w:rsid w:val="276621D4"/>
    <w:rsid w:val="276655F9"/>
    <w:rsid w:val="2774770C"/>
    <w:rsid w:val="277664C2"/>
    <w:rsid w:val="277E6196"/>
    <w:rsid w:val="27902370"/>
    <w:rsid w:val="279132F5"/>
    <w:rsid w:val="279273E5"/>
    <w:rsid w:val="279957D8"/>
    <w:rsid w:val="279A5F86"/>
    <w:rsid w:val="27A512B4"/>
    <w:rsid w:val="27AA5AD0"/>
    <w:rsid w:val="27AC3F4C"/>
    <w:rsid w:val="27B11BCE"/>
    <w:rsid w:val="27B22C99"/>
    <w:rsid w:val="27B37CFF"/>
    <w:rsid w:val="27C83884"/>
    <w:rsid w:val="27D75754"/>
    <w:rsid w:val="27DD44BD"/>
    <w:rsid w:val="27DE44F3"/>
    <w:rsid w:val="27E00E49"/>
    <w:rsid w:val="27E025E3"/>
    <w:rsid w:val="27E31C81"/>
    <w:rsid w:val="27E34FFB"/>
    <w:rsid w:val="27E56B08"/>
    <w:rsid w:val="27E87EB2"/>
    <w:rsid w:val="27F356C9"/>
    <w:rsid w:val="27F843F9"/>
    <w:rsid w:val="27FC037A"/>
    <w:rsid w:val="27FC77A0"/>
    <w:rsid w:val="280011EB"/>
    <w:rsid w:val="28077C52"/>
    <w:rsid w:val="280A77E0"/>
    <w:rsid w:val="280E42B1"/>
    <w:rsid w:val="28125B4F"/>
    <w:rsid w:val="28165B2E"/>
    <w:rsid w:val="28273885"/>
    <w:rsid w:val="2832361F"/>
    <w:rsid w:val="283D2A0E"/>
    <w:rsid w:val="283D65AE"/>
    <w:rsid w:val="283F090E"/>
    <w:rsid w:val="2847022F"/>
    <w:rsid w:val="284C53A3"/>
    <w:rsid w:val="28537D18"/>
    <w:rsid w:val="285904B0"/>
    <w:rsid w:val="285B2563"/>
    <w:rsid w:val="28633F56"/>
    <w:rsid w:val="286A598B"/>
    <w:rsid w:val="286B34B1"/>
    <w:rsid w:val="286C5825"/>
    <w:rsid w:val="28800D94"/>
    <w:rsid w:val="2884790D"/>
    <w:rsid w:val="288904C9"/>
    <w:rsid w:val="28974527"/>
    <w:rsid w:val="289B7222"/>
    <w:rsid w:val="28A011E1"/>
    <w:rsid w:val="28A048D2"/>
    <w:rsid w:val="28A33108"/>
    <w:rsid w:val="28A42A77"/>
    <w:rsid w:val="28A51801"/>
    <w:rsid w:val="28AA34FB"/>
    <w:rsid w:val="28B175BD"/>
    <w:rsid w:val="28B9156D"/>
    <w:rsid w:val="28BA5168"/>
    <w:rsid w:val="28BB4BB3"/>
    <w:rsid w:val="28C6693F"/>
    <w:rsid w:val="28C72AD9"/>
    <w:rsid w:val="28C85178"/>
    <w:rsid w:val="28DC6197"/>
    <w:rsid w:val="28F20CD2"/>
    <w:rsid w:val="28F32944"/>
    <w:rsid w:val="28FD64D7"/>
    <w:rsid w:val="290D35E1"/>
    <w:rsid w:val="29121205"/>
    <w:rsid w:val="29153DEE"/>
    <w:rsid w:val="292909F1"/>
    <w:rsid w:val="293107D2"/>
    <w:rsid w:val="293B409C"/>
    <w:rsid w:val="293B7327"/>
    <w:rsid w:val="29423EF2"/>
    <w:rsid w:val="29464ACE"/>
    <w:rsid w:val="29525FFA"/>
    <w:rsid w:val="29587DFA"/>
    <w:rsid w:val="29592BB1"/>
    <w:rsid w:val="295E36CF"/>
    <w:rsid w:val="296177A4"/>
    <w:rsid w:val="2965703F"/>
    <w:rsid w:val="296A3063"/>
    <w:rsid w:val="296D5688"/>
    <w:rsid w:val="296E3DDF"/>
    <w:rsid w:val="29703302"/>
    <w:rsid w:val="297154B3"/>
    <w:rsid w:val="297A56A8"/>
    <w:rsid w:val="298C5D80"/>
    <w:rsid w:val="2990451B"/>
    <w:rsid w:val="299F0E1D"/>
    <w:rsid w:val="29A205DE"/>
    <w:rsid w:val="29AA5B4C"/>
    <w:rsid w:val="29AE6870"/>
    <w:rsid w:val="29B26810"/>
    <w:rsid w:val="29BA5809"/>
    <w:rsid w:val="29BB46D0"/>
    <w:rsid w:val="29C64E2E"/>
    <w:rsid w:val="29CC6FC1"/>
    <w:rsid w:val="29CD6057"/>
    <w:rsid w:val="29D1351A"/>
    <w:rsid w:val="29D22306"/>
    <w:rsid w:val="29D23DD9"/>
    <w:rsid w:val="29D73B83"/>
    <w:rsid w:val="29EA7835"/>
    <w:rsid w:val="29EE6E5C"/>
    <w:rsid w:val="29F642BA"/>
    <w:rsid w:val="29F90942"/>
    <w:rsid w:val="29F925DD"/>
    <w:rsid w:val="29F950BF"/>
    <w:rsid w:val="29FE44DD"/>
    <w:rsid w:val="29FF2DE0"/>
    <w:rsid w:val="2A025CA4"/>
    <w:rsid w:val="2A0E64DD"/>
    <w:rsid w:val="2A120A71"/>
    <w:rsid w:val="2A131E21"/>
    <w:rsid w:val="2A17684F"/>
    <w:rsid w:val="2A192D9F"/>
    <w:rsid w:val="2A1A0CA3"/>
    <w:rsid w:val="2A1D16D1"/>
    <w:rsid w:val="2A1E360D"/>
    <w:rsid w:val="2A1F7557"/>
    <w:rsid w:val="2A272C3F"/>
    <w:rsid w:val="2A3215FA"/>
    <w:rsid w:val="2A3D1040"/>
    <w:rsid w:val="2A3D200C"/>
    <w:rsid w:val="2A407BE7"/>
    <w:rsid w:val="2A462E4E"/>
    <w:rsid w:val="2A4717DC"/>
    <w:rsid w:val="2A5B1EFD"/>
    <w:rsid w:val="2A5F2BA2"/>
    <w:rsid w:val="2A6A463C"/>
    <w:rsid w:val="2A6B4CF3"/>
    <w:rsid w:val="2A733AA5"/>
    <w:rsid w:val="2A7409D2"/>
    <w:rsid w:val="2A742098"/>
    <w:rsid w:val="2A7E0895"/>
    <w:rsid w:val="2A7F4D44"/>
    <w:rsid w:val="2A7F65E1"/>
    <w:rsid w:val="2A8A6BFC"/>
    <w:rsid w:val="2A8B7A34"/>
    <w:rsid w:val="2A8B7E3A"/>
    <w:rsid w:val="2A94182E"/>
    <w:rsid w:val="2A967FBC"/>
    <w:rsid w:val="2A996835"/>
    <w:rsid w:val="2A9C0585"/>
    <w:rsid w:val="2A9C66BF"/>
    <w:rsid w:val="2A9C76F4"/>
    <w:rsid w:val="2AA5589B"/>
    <w:rsid w:val="2AA70F7A"/>
    <w:rsid w:val="2AA902C1"/>
    <w:rsid w:val="2AA92E5D"/>
    <w:rsid w:val="2AAD733F"/>
    <w:rsid w:val="2AC22ABA"/>
    <w:rsid w:val="2AC359CA"/>
    <w:rsid w:val="2ACF5F79"/>
    <w:rsid w:val="2AD20567"/>
    <w:rsid w:val="2AD40439"/>
    <w:rsid w:val="2AD405B4"/>
    <w:rsid w:val="2AD636E3"/>
    <w:rsid w:val="2ADE1A3A"/>
    <w:rsid w:val="2ADE501D"/>
    <w:rsid w:val="2AE046A9"/>
    <w:rsid w:val="2AE5634E"/>
    <w:rsid w:val="2AE843C2"/>
    <w:rsid w:val="2AF03F94"/>
    <w:rsid w:val="2AF1578A"/>
    <w:rsid w:val="2AF54800"/>
    <w:rsid w:val="2B045717"/>
    <w:rsid w:val="2B124AAA"/>
    <w:rsid w:val="2B217AF7"/>
    <w:rsid w:val="2B237F61"/>
    <w:rsid w:val="2B256729"/>
    <w:rsid w:val="2B2C7381"/>
    <w:rsid w:val="2B2F4C6A"/>
    <w:rsid w:val="2B356B66"/>
    <w:rsid w:val="2B436D63"/>
    <w:rsid w:val="2B4749DA"/>
    <w:rsid w:val="2B485E04"/>
    <w:rsid w:val="2B4A732D"/>
    <w:rsid w:val="2B604AAA"/>
    <w:rsid w:val="2B614186"/>
    <w:rsid w:val="2B6233E8"/>
    <w:rsid w:val="2B683CD8"/>
    <w:rsid w:val="2B701A9A"/>
    <w:rsid w:val="2B7645A4"/>
    <w:rsid w:val="2B78024E"/>
    <w:rsid w:val="2B80401C"/>
    <w:rsid w:val="2B823A00"/>
    <w:rsid w:val="2B9204AA"/>
    <w:rsid w:val="2B9569B0"/>
    <w:rsid w:val="2B9D0D74"/>
    <w:rsid w:val="2B9E0F77"/>
    <w:rsid w:val="2BA2070E"/>
    <w:rsid w:val="2BA23C05"/>
    <w:rsid w:val="2BA364FA"/>
    <w:rsid w:val="2BAA5FAA"/>
    <w:rsid w:val="2BB86AF1"/>
    <w:rsid w:val="2BBD1B76"/>
    <w:rsid w:val="2BC0427F"/>
    <w:rsid w:val="2BC94187"/>
    <w:rsid w:val="2BCD636C"/>
    <w:rsid w:val="2BD01B21"/>
    <w:rsid w:val="2BDA1365"/>
    <w:rsid w:val="2BDC196B"/>
    <w:rsid w:val="2BE934F0"/>
    <w:rsid w:val="2BE95597"/>
    <w:rsid w:val="2BF621E2"/>
    <w:rsid w:val="2BFB7E49"/>
    <w:rsid w:val="2C011E18"/>
    <w:rsid w:val="2C030F60"/>
    <w:rsid w:val="2C082A04"/>
    <w:rsid w:val="2C0B3D13"/>
    <w:rsid w:val="2C1048F5"/>
    <w:rsid w:val="2C1051E7"/>
    <w:rsid w:val="2C112BB3"/>
    <w:rsid w:val="2C162F47"/>
    <w:rsid w:val="2C1B2283"/>
    <w:rsid w:val="2C1E7C3A"/>
    <w:rsid w:val="2C24291A"/>
    <w:rsid w:val="2C3040DF"/>
    <w:rsid w:val="2C336E27"/>
    <w:rsid w:val="2C3C1309"/>
    <w:rsid w:val="2C42026C"/>
    <w:rsid w:val="2C464EB8"/>
    <w:rsid w:val="2C49519C"/>
    <w:rsid w:val="2C4D53DA"/>
    <w:rsid w:val="2C575892"/>
    <w:rsid w:val="2C5A286A"/>
    <w:rsid w:val="2C5B065F"/>
    <w:rsid w:val="2C5C6C9B"/>
    <w:rsid w:val="2C633786"/>
    <w:rsid w:val="2C651A3C"/>
    <w:rsid w:val="2C654010"/>
    <w:rsid w:val="2C691C5B"/>
    <w:rsid w:val="2C6E3EE3"/>
    <w:rsid w:val="2C730F5D"/>
    <w:rsid w:val="2C740550"/>
    <w:rsid w:val="2C743F88"/>
    <w:rsid w:val="2C7953B4"/>
    <w:rsid w:val="2C8433C2"/>
    <w:rsid w:val="2C8525C3"/>
    <w:rsid w:val="2C862667"/>
    <w:rsid w:val="2C8B7151"/>
    <w:rsid w:val="2C8E3C12"/>
    <w:rsid w:val="2C950AFD"/>
    <w:rsid w:val="2C970CA7"/>
    <w:rsid w:val="2CA27F24"/>
    <w:rsid w:val="2CA6175D"/>
    <w:rsid w:val="2CA707FF"/>
    <w:rsid w:val="2CAD2974"/>
    <w:rsid w:val="2CB15D8C"/>
    <w:rsid w:val="2CC04B44"/>
    <w:rsid w:val="2CCC3A8A"/>
    <w:rsid w:val="2CCD5B3C"/>
    <w:rsid w:val="2CD25FF6"/>
    <w:rsid w:val="2CD6501A"/>
    <w:rsid w:val="2CE069DA"/>
    <w:rsid w:val="2CE8284E"/>
    <w:rsid w:val="2CEA2372"/>
    <w:rsid w:val="2CEB4EE3"/>
    <w:rsid w:val="2CEC5831"/>
    <w:rsid w:val="2CF85B39"/>
    <w:rsid w:val="2D1234FB"/>
    <w:rsid w:val="2D184CBE"/>
    <w:rsid w:val="2D225E32"/>
    <w:rsid w:val="2D2816D8"/>
    <w:rsid w:val="2D2A5CD1"/>
    <w:rsid w:val="2D2B5CE5"/>
    <w:rsid w:val="2D310C8C"/>
    <w:rsid w:val="2D3270DB"/>
    <w:rsid w:val="2D4459A4"/>
    <w:rsid w:val="2D46629B"/>
    <w:rsid w:val="2D656C20"/>
    <w:rsid w:val="2D6575EC"/>
    <w:rsid w:val="2D6B5FF8"/>
    <w:rsid w:val="2D7153BC"/>
    <w:rsid w:val="2D7C6E5F"/>
    <w:rsid w:val="2DA21756"/>
    <w:rsid w:val="2DAA3BFC"/>
    <w:rsid w:val="2DAA6907"/>
    <w:rsid w:val="2DB23579"/>
    <w:rsid w:val="2DB44FD8"/>
    <w:rsid w:val="2DB63D6A"/>
    <w:rsid w:val="2DCE28FC"/>
    <w:rsid w:val="2DD33A33"/>
    <w:rsid w:val="2DD5339A"/>
    <w:rsid w:val="2DD862A4"/>
    <w:rsid w:val="2DD970F1"/>
    <w:rsid w:val="2DDC3D01"/>
    <w:rsid w:val="2DE079CF"/>
    <w:rsid w:val="2DE2461C"/>
    <w:rsid w:val="2DE2701D"/>
    <w:rsid w:val="2DE34026"/>
    <w:rsid w:val="2DED7DFA"/>
    <w:rsid w:val="2DF939FD"/>
    <w:rsid w:val="2E010F22"/>
    <w:rsid w:val="2E014A7A"/>
    <w:rsid w:val="2E0507F6"/>
    <w:rsid w:val="2E0A760D"/>
    <w:rsid w:val="2E0B6186"/>
    <w:rsid w:val="2E0D76F4"/>
    <w:rsid w:val="2E430E39"/>
    <w:rsid w:val="2E432091"/>
    <w:rsid w:val="2E48750F"/>
    <w:rsid w:val="2E4B5A0E"/>
    <w:rsid w:val="2E4E2BC8"/>
    <w:rsid w:val="2E534CCE"/>
    <w:rsid w:val="2E5C008E"/>
    <w:rsid w:val="2E5E5D0F"/>
    <w:rsid w:val="2E786928"/>
    <w:rsid w:val="2E797AB3"/>
    <w:rsid w:val="2E7F46DA"/>
    <w:rsid w:val="2E813902"/>
    <w:rsid w:val="2E861E29"/>
    <w:rsid w:val="2E872E3D"/>
    <w:rsid w:val="2E8F38D6"/>
    <w:rsid w:val="2E9345AB"/>
    <w:rsid w:val="2E9921C7"/>
    <w:rsid w:val="2E996742"/>
    <w:rsid w:val="2EA11458"/>
    <w:rsid w:val="2EA27501"/>
    <w:rsid w:val="2EA36470"/>
    <w:rsid w:val="2EA40F80"/>
    <w:rsid w:val="2EAE1185"/>
    <w:rsid w:val="2EB406CC"/>
    <w:rsid w:val="2EB51BB6"/>
    <w:rsid w:val="2EC21951"/>
    <w:rsid w:val="2EC50D4B"/>
    <w:rsid w:val="2ECC611B"/>
    <w:rsid w:val="2EDA32F0"/>
    <w:rsid w:val="2EDA3E8E"/>
    <w:rsid w:val="2EDA55A5"/>
    <w:rsid w:val="2EE40C4C"/>
    <w:rsid w:val="2EF364C2"/>
    <w:rsid w:val="2EF56EE3"/>
    <w:rsid w:val="2EFA4801"/>
    <w:rsid w:val="2F005A99"/>
    <w:rsid w:val="2F01313C"/>
    <w:rsid w:val="2F03725B"/>
    <w:rsid w:val="2F042284"/>
    <w:rsid w:val="2F066438"/>
    <w:rsid w:val="2F103761"/>
    <w:rsid w:val="2F251F8C"/>
    <w:rsid w:val="2F2D5882"/>
    <w:rsid w:val="2F320664"/>
    <w:rsid w:val="2F344610"/>
    <w:rsid w:val="2F3517DE"/>
    <w:rsid w:val="2F3762E5"/>
    <w:rsid w:val="2F395B2B"/>
    <w:rsid w:val="2F3D3B9C"/>
    <w:rsid w:val="2F3D71A1"/>
    <w:rsid w:val="2F405C8F"/>
    <w:rsid w:val="2F4525F6"/>
    <w:rsid w:val="2F5644FF"/>
    <w:rsid w:val="2F566BAD"/>
    <w:rsid w:val="2F627A6E"/>
    <w:rsid w:val="2F6D7B0F"/>
    <w:rsid w:val="2F6E689D"/>
    <w:rsid w:val="2F924CF6"/>
    <w:rsid w:val="2F9C312F"/>
    <w:rsid w:val="2F9C6B51"/>
    <w:rsid w:val="2FA14E9F"/>
    <w:rsid w:val="2FA855E5"/>
    <w:rsid w:val="2FC34275"/>
    <w:rsid w:val="2FDB3AD2"/>
    <w:rsid w:val="2FDC2BFB"/>
    <w:rsid w:val="2FDD3AA9"/>
    <w:rsid w:val="2FDE3265"/>
    <w:rsid w:val="2FEA19BD"/>
    <w:rsid w:val="2FF93D83"/>
    <w:rsid w:val="2FFA2F0A"/>
    <w:rsid w:val="300A7A53"/>
    <w:rsid w:val="3018672B"/>
    <w:rsid w:val="301D1CA0"/>
    <w:rsid w:val="3027619F"/>
    <w:rsid w:val="302B69D3"/>
    <w:rsid w:val="302C3041"/>
    <w:rsid w:val="302E4277"/>
    <w:rsid w:val="30354AD0"/>
    <w:rsid w:val="3038167C"/>
    <w:rsid w:val="303C2806"/>
    <w:rsid w:val="30402A75"/>
    <w:rsid w:val="30467B28"/>
    <w:rsid w:val="30481219"/>
    <w:rsid w:val="30593A52"/>
    <w:rsid w:val="305940FD"/>
    <w:rsid w:val="305C5377"/>
    <w:rsid w:val="306B7AE0"/>
    <w:rsid w:val="3071032F"/>
    <w:rsid w:val="30711C90"/>
    <w:rsid w:val="307556CD"/>
    <w:rsid w:val="307B5C11"/>
    <w:rsid w:val="30884C0A"/>
    <w:rsid w:val="30957205"/>
    <w:rsid w:val="30972B8C"/>
    <w:rsid w:val="30981DAD"/>
    <w:rsid w:val="309C445C"/>
    <w:rsid w:val="30BD2FFD"/>
    <w:rsid w:val="30C97165"/>
    <w:rsid w:val="30CD1A3E"/>
    <w:rsid w:val="30E51454"/>
    <w:rsid w:val="30E608E3"/>
    <w:rsid w:val="30F32296"/>
    <w:rsid w:val="30F77FF5"/>
    <w:rsid w:val="30FE3126"/>
    <w:rsid w:val="3101110A"/>
    <w:rsid w:val="31081F14"/>
    <w:rsid w:val="310C1627"/>
    <w:rsid w:val="311606E0"/>
    <w:rsid w:val="3116221C"/>
    <w:rsid w:val="312A0FB5"/>
    <w:rsid w:val="313703D4"/>
    <w:rsid w:val="31435E7E"/>
    <w:rsid w:val="31454093"/>
    <w:rsid w:val="314F3F2F"/>
    <w:rsid w:val="31540BBC"/>
    <w:rsid w:val="315C7DFC"/>
    <w:rsid w:val="315E1885"/>
    <w:rsid w:val="315E509F"/>
    <w:rsid w:val="31600CAE"/>
    <w:rsid w:val="316767CD"/>
    <w:rsid w:val="316F553D"/>
    <w:rsid w:val="317C6EC4"/>
    <w:rsid w:val="317E0F6C"/>
    <w:rsid w:val="318329F8"/>
    <w:rsid w:val="318C0616"/>
    <w:rsid w:val="31907626"/>
    <w:rsid w:val="319606F5"/>
    <w:rsid w:val="319C5DFB"/>
    <w:rsid w:val="319D7433"/>
    <w:rsid w:val="31A81FEB"/>
    <w:rsid w:val="31AC549E"/>
    <w:rsid w:val="31B3314F"/>
    <w:rsid w:val="31B457D3"/>
    <w:rsid w:val="31B804D9"/>
    <w:rsid w:val="31BE7C7B"/>
    <w:rsid w:val="31C40A54"/>
    <w:rsid w:val="31D2079F"/>
    <w:rsid w:val="31E22F4B"/>
    <w:rsid w:val="31E51A73"/>
    <w:rsid w:val="31E6099A"/>
    <w:rsid w:val="31E92DD9"/>
    <w:rsid w:val="31EC0661"/>
    <w:rsid w:val="31EE5DA7"/>
    <w:rsid w:val="31F434B3"/>
    <w:rsid w:val="31FA3E15"/>
    <w:rsid w:val="320A693D"/>
    <w:rsid w:val="320F4EAD"/>
    <w:rsid w:val="320F5741"/>
    <w:rsid w:val="3213790C"/>
    <w:rsid w:val="321444D2"/>
    <w:rsid w:val="32244109"/>
    <w:rsid w:val="32261397"/>
    <w:rsid w:val="322D5174"/>
    <w:rsid w:val="32323931"/>
    <w:rsid w:val="32356386"/>
    <w:rsid w:val="323C4918"/>
    <w:rsid w:val="323D419D"/>
    <w:rsid w:val="324A4836"/>
    <w:rsid w:val="32531849"/>
    <w:rsid w:val="32622747"/>
    <w:rsid w:val="32671C48"/>
    <w:rsid w:val="326A20D3"/>
    <w:rsid w:val="32701994"/>
    <w:rsid w:val="32781D39"/>
    <w:rsid w:val="327A531D"/>
    <w:rsid w:val="32806122"/>
    <w:rsid w:val="328B290A"/>
    <w:rsid w:val="32901F1E"/>
    <w:rsid w:val="32960425"/>
    <w:rsid w:val="32A13F64"/>
    <w:rsid w:val="32A63A63"/>
    <w:rsid w:val="32A74F77"/>
    <w:rsid w:val="32AF7663"/>
    <w:rsid w:val="32B0079C"/>
    <w:rsid w:val="32B56787"/>
    <w:rsid w:val="32B80FE0"/>
    <w:rsid w:val="32BC6F66"/>
    <w:rsid w:val="32C616AF"/>
    <w:rsid w:val="32CD20E1"/>
    <w:rsid w:val="32CD7482"/>
    <w:rsid w:val="32D3412D"/>
    <w:rsid w:val="32EF4CA4"/>
    <w:rsid w:val="32FB3538"/>
    <w:rsid w:val="33012173"/>
    <w:rsid w:val="33121D46"/>
    <w:rsid w:val="33152997"/>
    <w:rsid w:val="33170AD4"/>
    <w:rsid w:val="331C7249"/>
    <w:rsid w:val="331E6519"/>
    <w:rsid w:val="331F1BF8"/>
    <w:rsid w:val="33254A0D"/>
    <w:rsid w:val="3326212D"/>
    <w:rsid w:val="332A16B7"/>
    <w:rsid w:val="334E278D"/>
    <w:rsid w:val="33501410"/>
    <w:rsid w:val="337656C6"/>
    <w:rsid w:val="337A10E7"/>
    <w:rsid w:val="337D30D2"/>
    <w:rsid w:val="337E2A6C"/>
    <w:rsid w:val="338874CA"/>
    <w:rsid w:val="339047DC"/>
    <w:rsid w:val="339174E4"/>
    <w:rsid w:val="33922BA4"/>
    <w:rsid w:val="3395257E"/>
    <w:rsid w:val="33962013"/>
    <w:rsid w:val="33977CCF"/>
    <w:rsid w:val="339877B9"/>
    <w:rsid w:val="339C1778"/>
    <w:rsid w:val="339D721B"/>
    <w:rsid w:val="33AE06F6"/>
    <w:rsid w:val="33BB3369"/>
    <w:rsid w:val="33BD487F"/>
    <w:rsid w:val="33BE22DC"/>
    <w:rsid w:val="33BE5883"/>
    <w:rsid w:val="33C1244A"/>
    <w:rsid w:val="33D4324C"/>
    <w:rsid w:val="33D564A5"/>
    <w:rsid w:val="33DF67D8"/>
    <w:rsid w:val="33EC331A"/>
    <w:rsid w:val="33EC6FB6"/>
    <w:rsid w:val="33FB5FA1"/>
    <w:rsid w:val="340545E0"/>
    <w:rsid w:val="340A74A4"/>
    <w:rsid w:val="340D6A5E"/>
    <w:rsid w:val="342B004A"/>
    <w:rsid w:val="34374760"/>
    <w:rsid w:val="343A2C67"/>
    <w:rsid w:val="345901E2"/>
    <w:rsid w:val="345B0C87"/>
    <w:rsid w:val="345B612A"/>
    <w:rsid w:val="34610E0E"/>
    <w:rsid w:val="346A7F48"/>
    <w:rsid w:val="34715D83"/>
    <w:rsid w:val="34776B38"/>
    <w:rsid w:val="347D0F19"/>
    <w:rsid w:val="3482291E"/>
    <w:rsid w:val="348A53AC"/>
    <w:rsid w:val="348A615B"/>
    <w:rsid w:val="348D5440"/>
    <w:rsid w:val="34960CBE"/>
    <w:rsid w:val="34996154"/>
    <w:rsid w:val="349A69EF"/>
    <w:rsid w:val="34A80CF3"/>
    <w:rsid w:val="34AA4679"/>
    <w:rsid w:val="34AE1165"/>
    <w:rsid w:val="34C3798A"/>
    <w:rsid w:val="34C41DDC"/>
    <w:rsid w:val="34C52EA2"/>
    <w:rsid w:val="34C60D9C"/>
    <w:rsid w:val="34DB32BB"/>
    <w:rsid w:val="34E16FD5"/>
    <w:rsid w:val="34F35D01"/>
    <w:rsid w:val="35002A15"/>
    <w:rsid w:val="350725B6"/>
    <w:rsid w:val="350E71C0"/>
    <w:rsid w:val="35102070"/>
    <w:rsid w:val="35124A0D"/>
    <w:rsid w:val="351B2D65"/>
    <w:rsid w:val="351B43C7"/>
    <w:rsid w:val="352670DE"/>
    <w:rsid w:val="353B229C"/>
    <w:rsid w:val="354658AF"/>
    <w:rsid w:val="35497AB7"/>
    <w:rsid w:val="355D6155"/>
    <w:rsid w:val="355F0732"/>
    <w:rsid w:val="35691009"/>
    <w:rsid w:val="356A7CFF"/>
    <w:rsid w:val="356C3F81"/>
    <w:rsid w:val="356D3631"/>
    <w:rsid w:val="356E1072"/>
    <w:rsid w:val="356F6271"/>
    <w:rsid w:val="35703816"/>
    <w:rsid w:val="35764F4A"/>
    <w:rsid w:val="3579545F"/>
    <w:rsid w:val="357D172C"/>
    <w:rsid w:val="35812D9B"/>
    <w:rsid w:val="358304AB"/>
    <w:rsid w:val="358B4988"/>
    <w:rsid w:val="359F7869"/>
    <w:rsid w:val="35A160DC"/>
    <w:rsid w:val="35A20420"/>
    <w:rsid w:val="35A5058B"/>
    <w:rsid w:val="35B36EFA"/>
    <w:rsid w:val="35BC4B27"/>
    <w:rsid w:val="35BD2792"/>
    <w:rsid w:val="35BE2E72"/>
    <w:rsid w:val="35C94AEF"/>
    <w:rsid w:val="35E37515"/>
    <w:rsid w:val="35E40A76"/>
    <w:rsid w:val="35E65FA8"/>
    <w:rsid w:val="35F60392"/>
    <w:rsid w:val="35FA51A5"/>
    <w:rsid w:val="35FB502F"/>
    <w:rsid w:val="35FD3490"/>
    <w:rsid w:val="360E03C8"/>
    <w:rsid w:val="360E16AE"/>
    <w:rsid w:val="36176647"/>
    <w:rsid w:val="363357CB"/>
    <w:rsid w:val="363E58CF"/>
    <w:rsid w:val="364066FB"/>
    <w:rsid w:val="36495C0A"/>
    <w:rsid w:val="364F5A2A"/>
    <w:rsid w:val="365519F4"/>
    <w:rsid w:val="36595DF6"/>
    <w:rsid w:val="36614384"/>
    <w:rsid w:val="366204B8"/>
    <w:rsid w:val="36631CA0"/>
    <w:rsid w:val="36717C5A"/>
    <w:rsid w:val="36774942"/>
    <w:rsid w:val="36881634"/>
    <w:rsid w:val="368C76FA"/>
    <w:rsid w:val="368F76FA"/>
    <w:rsid w:val="36923F9D"/>
    <w:rsid w:val="36A22B40"/>
    <w:rsid w:val="36A5159C"/>
    <w:rsid w:val="36AE02C6"/>
    <w:rsid w:val="36B12624"/>
    <w:rsid w:val="36B25387"/>
    <w:rsid w:val="36B660E9"/>
    <w:rsid w:val="36B67FED"/>
    <w:rsid w:val="36B71B89"/>
    <w:rsid w:val="36C11E30"/>
    <w:rsid w:val="36D925A0"/>
    <w:rsid w:val="36DA62AB"/>
    <w:rsid w:val="36E53AF8"/>
    <w:rsid w:val="36F101A1"/>
    <w:rsid w:val="37060463"/>
    <w:rsid w:val="370A5E5F"/>
    <w:rsid w:val="370D0235"/>
    <w:rsid w:val="37143AAA"/>
    <w:rsid w:val="371B3B52"/>
    <w:rsid w:val="37284F6C"/>
    <w:rsid w:val="37362EDC"/>
    <w:rsid w:val="373B1EBD"/>
    <w:rsid w:val="374B2493"/>
    <w:rsid w:val="374E59E2"/>
    <w:rsid w:val="37520F54"/>
    <w:rsid w:val="37570BCB"/>
    <w:rsid w:val="375B67B8"/>
    <w:rsid w:val="375E466B"/>
    <w:rsid w:val="37661CB3"/>
    <w:rsid w:val="376C22F6"/>
    <w:rsid w:val="376D21A7"/>
    <w:rsid w:val="377071F8"/>
    <w:rsid w:val="37707FE0"/>
    <w:rsid w:val="37717766"/>
    <w:rsid w:val="37727E4D"/>
    <w:rsid w:val="3773519C"/>
    <w:rsid w:val="377452B8"/>
    <w:rsid w:val="37773CD2"/>
    <w:rsid w:val="37833B5A"/>
    <w:rsid w:val="37894E57"/>
    <w:rsid w:val="378F792B"/>
    <w:rsid w:val="37921EAB"/>
    <w:rsid w:val="37976D95"/>
    <w:rsid w:val="37A21FE2"/>
    <w:rsid w:val="37AF3A9B"/>
    <w:rsid w:val="37B6473E"/>
    <w:rsid w:val="37C61413"/>
    <w:rsid w:val="37D71B9E"/>
    <w:rsid w:val="37D95BC3"/>
    <w:rsid w:val="37DB1B4A"/>
    <w:rsid w:val="37E003BA"/>
    <w:rsid w:val="37EA3D1D"/>
    <w:rsid w:val="37F61275"/>
    <w:rsid w:val="37FE4657"/>
    <w:rsid w:val="38032ADD"/>
    <w:rsid w:val="380F70A0"/>
    <w:rsid w:val="38181651"/>
    <w:rsid w:val="381A129D"/>
    <w:rsid w:val="381B3AE1"/>
    <w:rsid w:val="384445D2"/>
    <w:rsid w:val="38466BC9"/>
    <w:rsid w:val="385979C8"/>
    <w:rsid w:val="385C0050"/>
    <w:rsid w:val="38621032"/>
    <w:rsid w:val="386C17FE"/>
    <w:rsid w:val="386F71C2"/>
    <w:rsid w:val="38864EE1"/>
    <w:rsid w:val="388D26FF"/>
    <w:rsid w:val="388F4CEB"/>
    <w:rsid w:val="389007B4"/>
    <w:rsid w:val="389525C6"/>
    <w:rsid w:val="389C3F60"/>
    <w:rsid w:val="389E28DB"/>
    <w:rsid w:val="38A256ED"/>
    <w:rsid w:val="38B0624E"/>
    <w:rsid w:val="38B4706D"/>
    <w:rsid w:val="38B60D7F"/>
    <w:rsid w:val="38B6531C"/>
    <w:rsid w:val="38BA0EE3"/>
    <w:rsid w:val="38BA4416"/>
    <w:rsid w:val="38C10BE9"/>
    <w:rsid w:val="38C4603C"/>
    <w:rsid w:val="38D45CEE"/>
    <w:rsid w:val="38DE687A"/>
    <w:rsid w:val="38E1369C"/>
    <w:rsid w:val="38E928FC"/>
    <w:rsid w:val="38F02352"/>
    <w:rsid w:val="38F23E2D"/>
    <w:rsid w:val="38F60C3D"/>
    <w:rsid w:val="38FE7A29"/>
    <w:rsid w:val="390078F4"/>
    <w:rsid w:val="391754AA"/>
    <w:rsid w:val="391E4E21"/>
    <w:rsid w:val="391F67F6"/>
    <w:rsid w:val="39236CE5"/>
    <w:rsid w:val="39251316"/>
    <w:rsid w:val="39273592"/>
    <w:rsid w:val="392B6496"/>
    <w:rsid w:val="39312A65"/>
    <w:rsid w:val="39404B30"/>
    <w:rsid w:val="3943543F"/>
    <w:rsid w:val="394F4956"/>
    <w:rsid w:val="39585980"/>
    <w:rsid w:val="395B4F36"/>
    <w:rsid w:val="395E4931"/>
    <w:rsid w:val="39614E4F"/>
    <w:rsid w:val="3962445C"/>
    <w:rsid w:val="39652C73"/>
    <w:rsid w:val="396B1E38"/>
    <w:rsid w:val="39730397"/>
    <w:rsid w:val="39800ACE"/>
    <w:rsid w:val="39980CE2"/>
    <w:rsid w:val="399D7386"/>
    <w:rsid w:val="39AA339F"/>
    <w:rsid w:val="39AB53AE"/>
    <w:rsid w:val="39B83678"/>
    <w:rsid w:val="39CE564E"/>
    <w:rsid w:val="39CF6C2E"/>
    <w:rsid w:val="39D0636E"/>
    <w:rsid w:val="39D17CDD"/>
    <w:rsid w:val="39D76BF8"/>
    <w:rsid w:val="39E15771"/>
    <w:rsid w:val="39F44362"/>
    <w:rsid w:val="39F62389"/>
    <w:rsid w:val="39F63B7B"/>
    <w:rsid w:val="39FF1CFC"/>
    <w:rsid w:val="3A035D99"/>
    <w:rsid w:val="3A0E4679"/>
    <w:rsid w:val="3A185146"/>
    <w:rsid w:val="3A1B7A36"/>
    <w:rsid w:val="3A1E4827"/>
    <w:rsid w:val="3A1F2B4F"/>
    <w:rsid w:val="3A220E5F"/>
    <w:rsid w:val="3A222B60"/>
    <w:rsid w:val="3A2644AB"/>
    <w:rsid w:val="3A30298D"/>
    <w:rsid w:val="3A3C1A7E"/>
    <w:rsid w:val="3A3C7D6C"/>
    <w:rsid w:val="3A3D6E67"/>
    <w:rsid w:val="3A4324AB"/>
    <w:rsid w:val="3A4936E3"/>
    <w:rsid w:val="3A4F7A71"/>
    <w:rsid w:val="3A512287"/>
    <w:rsid w:val="3A58374B"/>
    <w:rsid w:val="3A5941F6"/>
    <w:rsid w:val="3A596DA8"/>
    <w:rsid w:val="3A5A1D9E"/>
    <w:rsid w:val="3A5A6C2B"/>
    <w:rsid w:val="3A5B22E9"/>
    <w:rsid w:val="3A5E32F8"/>
    <w:rsid w:val="3A611DF3"/>
    <w:rsid w:val="3A624674"/>
    <w:rsid w:val="3A6D130B"/>
    <w:rsid w:val="3A6D58D7"/>
    <w:rsid w:val="3A714BF8"/>
    <w:rsid w:val="3A7572A8"/>
    <w:rsid w:val="3A7B60FF"/>
    <w:rsid w:val="3A7F656F"/>
    <w:rsid w:val="3A821898"/>
    <w:rsid w:val="3A83464D"/>
    <w:rsid w:val="3A841F02"/>
    <w:rsid w:val="3A9155E6"/>
    <w:rsid w:val="3A954B7A"/>
    <w:rsid w:val="3A970136"/>
    <w:rsid w:val="3A9B50DC"/>
    <w:rsid w:val="3A9C4E84"/>
    <w:rsid w:val="3AA11C63"/>
    <w:rsid w:val="3AA35C36"/>
    <w:rsid w:val="3AA9087F"/>
    <w:rsid w:val="3AAA4AD8"/>
    <w:rsid w:val="3AB331C1"/>
    <w:rsid w:val="3AB37C0B"/>
    <w:rsid w:val="3AB54119"/>
    <w:rsid w:val="3ABF1B5A"/>
    <w:rsid w:val="3AC07099"/>
    <w:rsid w:val="3AC90541"/>
    <w:rsid w:val="3AD0154B"/>
    <w:rsid w:val="3AD26502"/>
    <w:rsid w:val="3AD32BE2"/>
    <w:rsid w:val="3AD735A4"/>
    <w:rsid w:val="3ADB5B92"/>
    <w:rsid w:val="3AE335C6"/>
    <w:rsid w:val="3AED053C"/>
    <w:rsid w:val="3AEF7F72"/>
    <w:rsid w:val="3AF56227"/>
    <w:rsid w:val="3AF657E1"/>
    <w:rsid w:val="3AF97E01"/>
    <w:rsid w:val="3B0032A7"/>
    <w:rsid w:val="3B03752F"/>
    <w:rsid w:val="3B0F2390"/>
    <w:rsid w:val="3B1220C7"/>
    <w:rsid w:val="3B2E0A9A"/>
    <w:rsid w:val="3B360092"/>
    <w:rsid w:val="3B3907D8"/>
    <w:rsid w:val="3B390DFB"/>
    <w:rsid w:val="3B3E7FD4"/>
    <w:rsid w:val="3B4278FE"/>
    <w:rsid w:val="3B44637B"/>
    <w:rsid w:val="3B4B0135"/>
    <w:rsid w:val="3B4E4053"/>
    <w:rsid w:val="3B506C62"/>
    <w:rsid w:val="3B5C7688"/>
    <w:rsid w:val="3B5F7815"/>
    <w:rsid w:val="3B62588A"/>
    <w:rsid w:val="3B6413E7"/>
    <w:rsid w:val="3B8D6917"/>
    <w:rsid w:val="3B98772E"/>
    <w:rsid w:val="3BA40788"/>
    <w:rsid w:val="3BB02276"/>
    <w:rsid w:val="3BB3643D"/>
    <w:rsid w:val="3BB41E71"/>
    <w:rsid w:val="3BBC1A25"/>
    <w:rsid w:val="3BC56E05"/>
    <w:rsid w:val="3BD938AF"/>
    <w:rsid w:val="3BDF0887"/>
    <w:rsid w:val="3BE12208"/>
    <w:rsid w:val="3BE2776B"/>
    <w:rsid w:val="3BE45065"/>
    <w:rsid w:val="3BE97C25"/>
    <w:rsid w:val="3BF847AA"/>
    <w:rsid w:val="3BFA0259"/>
    <w:rsid w:val="3C0309FF"/>
    <w:rsid w:val="3C042E3E"/>
    <w:rsid w:val="3C072663"/>
    <w:rsid w:val="3C0B2E45"/>
    <w:rsid w:val="3C164924"/>
    <w:rsid w:val="3C1A4E8D"/>
    <w:rsid w:val="3C1F76F3"/>
    <w:rsid w:val="3C2841B0"/>
    <w:rsid w:val="3C296777"/>
    <w:rsid w:val="3C3814A4"/>
    <w:rsid w:val="3C3C186F"/>
    <w:rsid w:val="3C3D7E2F"/>
    <w:rsid w:val="3C450BC5"/>
    <w:rsid w:val="3C47574F"/>
    <w:rsid w:val="3C4A7FFB"/>
    <w:rsid w:val="3C5110CE"/>
    <w:rsid w:val="3C5B6580"/>
    <w:rsid w:val="3C5F6CCB"/>
    <w:rsid w:val="3C6242D8"/>
    <w:rsid w:val="3C784DBC"/>
    <w:rsid w:val="3C7923FD"/>
    <w:rsid w:val="3C7E21FC"/>
    <w:rsid w:val="3C835139"/>
    <w:rsid w:val="3C8A607F"/>
    <w:rsid w:val="3C8E55CD"/>
    <w:rsid w:val="3C8E5872"/>
    <w:rsid w:val="3C913F59"/>
    <w:rsid w:val="3C943C7F"/>
    <w:rsid w:val="3C9D3203"/>
    <w:rsid w:val="3C9E76A6"/>
    <w:rsid w:val="3C9E7D39"/>
    <w:rsid w:val="3C9F5433"/>
    <w:rsid w:val="3CA05E3F"/>
    <w:rsid w:val="3CA60FF0"/>
    <w:rsid w:val="3CAF5049"/>
    <w:rsid w:val="3CB02FDD"/>
    <w:rsid w:val="3CBB1817"/>
    <w:rsid w:val="3CC037D9"/>
    <w:rsid w:val="3CCB40C7"/>
    <w:rsid w:val="3CCC3FAB"/>
    <w:rsid w:val="3CD20233"/>
    <w:rsid w:val="3CD23409"/>
    <w:rsid w:val="3CDA5E44"/>
    <w:rsid w:val="3CDF248B"/>
    <w:rsid w:val="3CF80F5E"/>
    <w:rsid w:val="3CFA11B8"/>
    <w:rsid w:val="3D061853"/>
    <w:rsid w:val="3D083D85"/>
    <w:rsid w:val="3D094A3E"/>
    <w:rsid w:val="3D107860"/>
    <w:rsid w:val="3D151C67"/>
    <w:rsid w:val="3D183C46"/>
    <w:rsid w:val="3D2346F2"/>
    <w:rsid w:val="3D265174"/>
    <w:rsid w:val="3D2B7651"/>
    <w:rsid w:val="3D2C6DEC"/>
    <w:rsid w:val="3D37175C"/>
    <w:rsid w:val="3D3F7B7E"/>
    <w:rsid w:val="3D415BFE"/>
    <w:rsid w:val="3D423BCE"/>
    <w:rsid w:val="3D4258BF"/>
    <w:rsid w:val="3D464AD9"/>
    <w:rsid w:val="3D466470"/>
    <w:rsid w:val="3D49733B"/>
    <w:rsid w:val="3D531698"/>
    <w:rsid w:val="3D5F59D0"/>
    <w:rsid w:val="3D631F45"/>
    <w:rsid w:val="3D7C7BEC"/>
    <w:rsid w:val="3D8922D3"/>
    <w:rsid w:val="3D953406"/>
    <w:rsid w:val="3D9745C5"/>
    <w:rsid w:val="3D980D16"/>
    <w:rsid w:val="3D9831E5"/>
    <w:rsid w:val="3D9B1367"/>
    <w:rsid w:val="3DA638E7"/>
    <w:rsid w:val="3DA71209"/>
    <w:rsid w:val="3DC65B08"/>
    <w:rsid w:val="3DC76F84"/>
    <w:rsid w:val="3DC945C0"/>
    <w:rsid w:val="3DCE0347"/>
    <w:rsid w:val="3DCF044A"/>
    <w:rsid w:val="3DED7C84"/>
    <w:rsid w:val="3DFF18B0"/>
    <w:rsid w:val="3E012F06"/>
    <w:rsid w:val="3E0516F6"/>
    <w:rsid w:val="3E0603A2"/>
    <w:rsid w:val="3E062C93"/>
    <w:rsid w:val="3E0E1FAB"/>
    <w:rsid w:val="3E1667F0"/>
    <w:rsid w:val="3E1A07C5"/>
    <w:rsid w:val="3E1C3D68"/>
    <w:rsid w:val="3E225D40"/>
    <w:rsid w:val="3E25375E"/>
    <w:rsid w:val="3E257108"/>
    <w:rsid w:val="3E297DA1"/>
    <w:rsid w:val="3E2A2C0A"/>
    <w:rsid w:val="3E2E03FF"/>
    <w:rsid w:val="3E370EFE"/>
    <w:rsid w:val="3E37784B"/>
    <w:rsid w:val="3E381EA5"/>
    <w:rsid w:val="3E3846AB"/>
    <w:rsid w:val="3E3A1CCC"/>
    <w:rsid w:val="3E413B9C"/>
    <w:rsid w:val="3E4A4CB2"/>
    <w:rsid w:val="3E4E7D71"/>
    <w:rsid w:val="3E4F147F"/>
    <w:rsid w:val="3E525674"/>
    <w:rsid w:val="3E582FF2"/>
    <w:rsid w:val="3E5A3610"/>
    <w:rsid w:val="3E616240"/>
    <w:rsid w:val="3E63157B"/>
    <w:rsid w:val="3E672C02"/>
    <w:rsid w:val="3E6E6515"/>
    <w:rsid w:val="3E701366"/>
    <w:rsid w:val="3E702BB8"/>
    <w:rsid w:val="3E734F63"/>
    <w:rsid w:val="3E807C4C"/>
    <w:rsid w:val="3E810402"/>
    <w:rsid w:val="3E8310AF"/>
    <w:rsid w:val="3E9514AF"/>
    <w:rsid w:val="3EA5158F"/>
    <w:rsid w:val="3EB761D7"/>
    <w:rsid w:val="3EBD617F"/>
    <w:rsid w:val="3EC40C65"/>
    <w:rsid w:val="3ECB1717"/>
    <w:rsid w:val="3ED92DDA"/>
    <w:rsid w:val="3EE7761A"/>
    <w:rsid w:val="3EF17DA4"/>
    <w:rsid w:val="3EF2332E"/>
    <w:rsid w:val="3EF56437"/>
    <w:rsid w:val="3EFB3F1D"/>
    <w:rsid w:val="3EFB607B"/>
    <w:rsid w:val="3EFF7197"/>
    <w:rsid w:val="3EFF7CE6"/>
    <w:rsid w:val="3F035498"/>
    <w:rsid w:val="3F055C54"/>
    <w:rsid w:val="3F0C5BCE"/>
    <w:rsid w:val="3F114F57"/>
    <w:rsid w:val="3F117156"/>
    <w:rsid w:val="3F1A14AA"/>
    <w:rsid w:val="3F1D2AEF"/>
    <w:rsid w:val="3F201122"/>
    <w:rsid w:val="3F22062E"/>
    <w:rsid w:val="3F2521B4"/>
    <w:rsid w:val="3F2B0046"/>
    <w:rsid w:val="3F2E2ED1"/>
    <w:rsid w:val="3F2F40D7"/>
    <w:rsid w:val="3F303FAB"/>
    <w:rsid w:val="3F3222E3"/>
    <w:rsid w:val="3F352F72"/>
    <w:rsid w:val="3F3774CD"/>
    <w:rsid w:val="3F416176"/>
    <w:rsid w:val="3F4A5777"/>
    <w:rsid w:val="3F532102"/>
    <w:rsid w:val="3F576FA1"/>
    <w:rsid w:val="3F580906"/>
    <w:rsid w:val="3F583C4D"/>
    <w:rsid w:val="3F5A3EFB"/>
    <w:rsid w:val="3F7006D6"/>
    <w:rsid w:val="3F79679A"/>
    <w:rsid w:val="3F9908B0"/>
    <w:rsid w:val="3FA367A0"/>
    <w:rsid w:val="3FA4757D"/>
    <w:rsid w:val="3FA84EB2"/>
    <w:rsid w:val="3FA85DB5"/>
    <w:rsid w:val="3FA97B5F"/>
    <w:rsid w:val="3FAA7193"/>
    <w:rsid w:val="3FAD4B3B"/>
    <w:rsid w:val="3FB34E43"/>
    <w:rsid w:val="3FC0345D"/>
    <w:rsid w:val="3FC0576C"/>
    <w:rsid w:val="3FC24499"/>
    <w:rsid w:val="3FC96CE0"/>
    <w:rsid w:val="3FD00372"/>
    <w:rsid w:val="3FD4498A"/>
    <w:rsid w:val="3FD64800"/>
    <w:rsid w:val="3FDA5EAF"/>
    <w:rsid w:val="3FDC701A"/>
    <w:rsid w:val="3FE0553B"/>
    <w:rsid w:val="3FE07E89"/>
    <w:rsid w:val="3FE11A0A"/>
    <w:rsid w:val="3FE135FB"/>
    <w:rsid w:val="3FE221D2"/>
    <w:rsid w:val="3FE74CCD"/>
    <w:rsid w:val="3FE87D28"/>
    <w:rsid w:val="3FEA089A"/>
    <w:rsid w:val="3FEE60A4"/>
    <w:rsid w:val="3FEF6D26"/>
    <w:rsid w:val="3FF54F69"/>
    <w:rsid w:val="3FF65312"/>
    <w:rsid w:val="3FFA44C9"/>
    <w:rsid w:val="3FFD1158"/>
    <w:rsid w:val="40000562"/>
    <w:rsid w:val="400969C4"/>
    <w:rsid w:val="400A5241"/>
    <w:rsid w:val="401A368E"/>
    <w:rsid w:val="40200EC2"/>
    <w:rsid w:val="40376069"/>
    <w:rsid w:val="40387BC5"/>
    <w:rsid w:val="403D4406"/>
    <w:rsid w:val="403E6AA8"/>
    <w:rsid w:val="40400879"/>
    <w:rsid w:val="40402847"/>
    <w:rsid w:val="404C0609"/>
    <w:rsid w:val="40502545"/>
    <w:rsid w:val="40503261"/>
    <w:rsid w:val="405D53FA"/>
    <w:rsid w:val="40612A0F"/>
    <w:rsid w:val="406435E5"/>
    <w:rsid w:val="40657EEF"/>
    <w:rsid w:val="40670C95"/>
    <w:rsid w:val="407D3A7F"/>
    <w:rsid w:val="407D753B"/>
    <w:rsid w:val="40806E1B"/>
    <w:rsid w:val="40906E9B"/>
    <w:rsid w:val="409207A7"/>
    <w:rsid w:val="40940958"/>
    <w:rsid w:val="409770CA"/>
    <w:rsid w:val="40A56E0D"/>
    <w:rsid w:val="40AF5A59"/>
    <w:rsid w:val="40BA51BE"/>
    <w:rsid w:val="40BD00BB"/>
    <w:rsid w:val="40CF62C5"/>
    <w:rsid w:val="40D47D85"/>
    <w:rsid w:val="40E90A23"/>
    <w:rsid w:val="40EE51A8"/>
    <w:rsid w:val="40F20B1F"/>
    <w:rsid w:val="40F66275"/>
    <w:rsid w:val="40F86916"/>
    <w:rsid w:val="40FA321B"/>
    <w:rsid w:val="40FF0DBB"/>
    <w:rsid w:val="4101607F"/>
    <w:rsid w:val="41022D94"/>
    <w:rsid w:val="41071E12"/>
    <w:rsid w:val="41082DC3"/>
    <w:rsid w:val="412170B1"/>
    <w:rsid w:val="41301C9A"/>
    <w:rsid w:val="41341E40"/>
    <w:rsid w:val="413A53EA"/>
    <w:rsid w:val="413E270C"/>
    <w:rsid w:val="414214F9"/>
    <w:rsid w:val="4149251B"/>
    <w:rsid w:val="415037DD"/>
    <w:rsid w:val="41516E08"/>
    <w:rsid w:val="41526D4A"/>
    <w:rsid w:val="415F730C"/>
    <w:rsid w:val="41621B71"/>
    <w:rsid w:val="41652D3C"/>
    <w:rsid w:val="416F7716"/>
    <w:rsid w:val="41811A80"/>
    <w:rsid w:val="418C5377"/>
    <w:rsid w:val="418D7C08"/>
    <w:rsid w:val="419165DA"/>
    <w:rsid w:val="41AA0EFE"/>
    <w:rsid w:val="41B3723D"/>
    <w:rsid w:val="41C65E0E"/>
    <w:rsid w:val="41C954F1"/>
    <w:rsid w:val="41CE268F"/>
    <w:rsid w:val="41D942B4"/>
    <w:rsid w:val="41DB4DAC"/>
    <w:rsid w:val="41EE1F6D"/>
    <w:rsid w:val="41F45941"/>
    <w:rsid w:val="41FC7345"/>
    <w:rsid w:val="41FF7A7E"/>
    <w:rsid w:val="42055BCF"/>
    <w:rsid w:val="42062C90"/>
    <w:rsid w:val="420D35D1"/>
    <w:rsid w:val="42124FEB"/>
    <w:rsid w:val="421E19DD"/>
    <w:rsid w:val="42201ADB"/>
    <w:rsid w:val="42243ADD"/>
    <w:rsid w:val="4226140E"/>
    <w:rsid w:val="42262641"/>
    <w:rsid w:val="42297B93"/>
    <w:rsid w:val="422D7D03"/>
    <w:rsid w:val="42387360"/>
    <w:rsid w:val="42391243"/>
    <w:rsid w:val="42496300"/>
    <w:rsid w:val="424E09DB"/>
    <w:rsid w:val="424F14CB"/>
    <w:rsid w:val="4255690C"/>
    <w:rsid w:val="425830C6"/>
    <w:rsid w:val="425C6098"/>
    <w:rsid w:val="42646511"/>
    <w:rsid w:val="4265214F"/>
    <w:rsid w:val="426703CA"/>
    <w:rsid w:val="426724A2"/>
    <w:rsid w:val="428D023C"/>
    <w:rsid w:val="428D0369"/>
    <w:rsid w:val="429007CB"/>
    <w:rsid w:val="42943098"/>
    <w:rsid w:val="429953F0"/>
    <w:rsid w:val="42A826E7"/>
    <w:rsid w:val="42AE6807"/>
    <w:rsid w:val="42C30985"/>
    <w:rsid w:val="42CE5721"/>
    <w:rsid w:val="42D83185"/>
    <w:rsid w:val="42DA1044"/>
    <w:rsid w:val="42DC702D"/>
    <w:rsid w:val="42E04F76"/>
    <w:rsid w:val="42E27E52"/>
    <w:rsid w:val="42F867E3"/>
    <w:rsid w:val="42F96836"/>
    <w:rsid w:val="42FC1238"/>
    <w:rsid w:val="42FE0D52"/>
    <w:rsid w:val="43081AD9"/>
    <w:rsid w:val="431812F7"/>
    <w:rsid w:val="43271B07"/>
    <w:rsid w:val="43280811"/>
    <w:rsid w:val="432C3CE4"/>
    <w:rsid w:val="432F2506"/>
    <w:rsid w:val="43340E51"/>
    <w:rsid w:val="43381992"/>
    <w:rsid w:val="433F23BF"/>
    <w:rsid w:val="43501147"/>
    <w:rsid w:val="43621575"/>
    <w:rsid w:val="436624A8"/>
    <w:rsid w:val="43666F3B"/>
    <w:rsid w:val="436C0A55"/>
    <w:rsid w:val="436D064B"/>
    <w:rsid w:val="43726256"/>
    <w:rsid w:val="4374496F"/>
    <w:rsid w:val="437460FA"/>
    <w:rsid w:val="437873B0"/>
    <w:rsid w:val="437B05F4"/>
    <w:rsid w:val="437D5D97"/>
    <w:rsid w:val="43837506"/>
    <w:rsid w:val="438B5FFE"/>
    <w:rsid w:val="43AF03C9"/>
    <w:rsid w:val="43B12337"/>
    <w:rsid w:val="43B14470"/>
    <w:rsid w:val="43B43EDE"/>
    <w:rsid w:val="43B47D4C"/>
    <w:rsid w:val="43C471BD"/>
    <w:rsid w:val="43CB16B2"/>
    <w:rsid w:val="43CC709D"/>
    <w:rsid w:val="43D67F21"/>
    <w:rsid w:val="43DF7E96"/>
    <w:rsid w:val="43E04F09"/>
    <w:rsid w:val="43E17880"/>
    <w:rsid w:val="43E30165"/>
    <w:rsid w:val="43E4084E"/>
    <w:rsid w:val="43E800C6"/>
    <w:rsid w:val="43F44EE7"/>
    <w:rsid w:val="43F52C05"/>
    <w:rsid w:val="43FB7DF3"/>
    <w:rsid w:val="43FC346C"/>
    <w:rsid w:val="440E5844"/>
    <w:rsid w:val="44117846"/>
    <w:rsid w:val="441227E9"/>
    <w:rsid w:val="441E69CC"/>
    <w:rsid w:val="44257D8E"/>
    <w:rsid w:val="442A5D06"/>
    <w:rsid w:val="442E5908"/>
    <w:rsid w:val="44354C47"/>
    <w:rsid w:val="44512364"/>
    <w:rsid w:val="44560305"/>
    <w:rsid w:val="446636C5"/>
    <w:rsid w:val="446D5C8A"/>
    <w:rsid w:val="446E021C"/>
    <w:rsid w:val="446E63AB"/>
    <w:rsid w:val="447D1640"/>
    <w:rsid w:val="4480296D"/>
    <w:rsid w:val="448166E9"/>
    <w:rsid w:val="448678B2"/>
    <w:rsid w:val="44880858"/>
    <w:rsid w:val="448E51CC"/>
    <w:rsid w:val="449848C7"/>
    <w:rsid w:val="44AF3BE5"/>
    <w:rsid w:val="44AF4BA1"/>
    <w:rsid w:val="44B253BE"/>
    <w:rsid w:val="44B2632E"/>
    <w:rsid w:val="44B2697E"/>
    <w:rsid w:val="44B55895"/>
    <w:rsid w:val="44BC1818"/>
    <w:rsid w:val="44BC1ADC"/>
    <w:rsid w:val="44BC6084"/>
    <w:rsid w:val="44C33C1C"/>
    <w:rsid w:val="44C77FE4"/>
    <w:rsid w:val="44CD16F1"/>
    <w:rsid w:val="44CE7E45"/>
    <w:rsid w:val="44D11736"/>
    <w:rsid w:val="44D55756"/>
    <w:rsid w:val="44E00E0F"/>
    <w:rsid w:val="44E132FE"/>
    <w:rsid w:val="44F70F49"/>
    <w:rsid w:val="44FA379B"/>
    <w:rsid w:val="44FA649B"/>
    <w:rsid w:val="44FB7CD7"/>
    <w:rsid w:val="44FE7B0F"/>
    <w:rsid w:val="450939CD"/>
    <w:rsid w:val="450B3CA0"/>
    <w:rsid w:val="4510454F"/>
    <w:rsid w:val="45185AF4"/>
    <w:rsid w:val="45206383"/>
    <w:rsid w:val="45234637"/>
    <w:rsid w:val="452D38D3"/>
    <w:rsid w:val="452E731E"/>
    <w:rsid w:val="453E4193"/>
    <w:rsid w:val="454014DC"/>
    <w:rsid w:val="454255CA"/>
    <w:rsid w:val="45462E84"/>
    <w:rsid w:val="45577395"/>
    <w:rsid w:val="4561316A"/>
    <w:rsid w:val="45633AE3"/>
    <w:rsid w:val="45641991"/>
    <w:rsid w:val="45644225"/>
    <w:rsid w:val="4584775C"/>
    <w:rsid w:val="458A0FC3"/>
    <w:rsid w:val="458D045E"/>
    <w:rsid w:val="45916EEF"/>
    <w:rsid w:val="459563A2"/>
    <w:rsid w:val="45A20CE2"/>
    <w:rsid w:val="45A81950"/>
    <w:rsid w:val="45AB2840"/>
    <w:rsid w:val="45AB71DA"/>
    <w:rsid w:val="45B92244"/>
    <w:rsid w:val="45BE4FDB"/>
    <w:rsid w:val="45BE62C2"/>
    <w:rsid w:val="45C0705E"/>
    <w:rsid w:val="45DE130F"/>
    <w:rsid w:val="45E42F61"/>
    <w:rsid w:val="45E600A3"/>
    <w:rsid w:val="45F01DCD"/>
    <w:rsid w:val="45F36B68"/>
    <w:rsid w:val="45F62E65"/>
    <w:rsid w:val="45FD74ED"/>
    <w:rsid w:val="46050349"/>
    <w:rsid w:val="460B16A1"/>
    <w:rsid w:val="46206E94"/>
    <w:rsid w:val="46221289"/>
    <w:rsid w:val="4626014D"/>
    <w:rsid w:val="462E75A6"/>
    <w:rsid w:val="46324558"/>
    <w:rsid w:val="46365564"/>
    <w:rsid w:val="46382CF3"/>
    <w:rsid w:val="463E4B6F"/>
    <w:rsid w:val="464B1905"/>
    <w:rsid w:val="4658217D"/>
    <w:rsid w:val="4661099F"/>
    <w:rsid w:val="466C778C"/>
    <w:rsid w:val="4670530F"/>
    <w:rsid w:val="46AB4DBE"/>
    <w:rsid w:val="46AC31BB"/>
    <w:rsid w:val="46AF5FB8"/>
    <w:rsid w:val="46AF7D4D"/>
    <w:rsid w:val="46B35B9F"/>
    <w:rsid w:val="46BF115D"/>
    <w:rsid w:val="46C44CB7"/>
    <w:rsid w:val="46C5380C"/>
    <w:rsid w:val="46C96A6C"/>
    <w:rsid w:val="46CB603F"/>
    <w:rsid w:val="46D21F34"/>
    <w:rsid w:val="46F100B8"/>
    <w:rsid w:val="46F25A39"/>
    <w:rsid w:val="46FA7FB8"/>
    <w:rsid w:val="47002DEF"/>
    <w:rsid w:val="47037841"/>
    <w:rsid w:val="470B0531"/>
    <w:rsid w:val="471F3210"/>
    <w:rsid w:val="47336C6F"/>
    <w:rsid w:val="47395FCA"/>
    <w:rsid w:val="473B6802"/>
    <w:rsid w:val="47402DAA"/>
    <w:rsid w:val="474750DC"/>
    <w:rsid w:val="474C107E"/>
    <w:rsid w:val="474C419A"/>
    <w:rsid w:val="474E6907"/>
    <w:rsid w:val="474E7A5D"/>
    <w:rsid w:val="47567017"/>
    <w:rsid w:val="475E0087"/>
    <w:rsid w:val="47613FA5"/>
    <w:rsid w:val="476140B1"/>
    <w:rsid w:val="476269FC"/>
    <w:rsid w:val="47666D38"/>
    <w:rsid w:val="47763FFA"/>
    <w:rsid w:val="4780263C"/>
    <w:rsid w:val="478104EB"/>
    <w:rsid w:val="478839AE"/>
    <w:rsid w:val="47896D4F"/>
    <w:rsid w:val="47925A1B"/>
    <w:rsid w:val="47982A36"/>
    <w:rsid w:val="47A21D03"/>
    <w:rsid w:val="47AC4635"/>
    <w:rsid w:val="47AD79A7"/>
    <w:rsid w:val="47B45F77"/>
    <w:rsid w:val="47B601F9"/>
    <w:rsid w:val="47BE2659"/>
    <w:rsid w:val="47BE6D02"/>
    <w:rsid w:val="47C65B11"/>
    <w:rsid w:val="47C80021"/>
    <w:rsid w:val="47CC159F"/>
    <w:rsid w:val="47D31B17"/>
    <w:rsid w:val="47D64E19"/>
    <w:rsid w:val="47DD2D70"/>
    <w:rsid w:val="47E335C5"/>
    <w:rsid w:val="47EB1A07"/>
    <w:rsid w:val="47F00544"/>
    <w:rsid w:val="47F82CF2"/>
    <w:rsid w:val="47FA38B9"/>
    <w:rsid w:val="48012D70"/>
    <w:rsid w:val="48025CD6"/>
    <w:rsid w:val="480712F5"/>
    <w:rsid w:val="481A44CD"/>
    <w:rsid w:val="482149DA"/>
    <w:rsid w:val="48254FD3"/>
    <w:rsid w:val="4826335E"/>
    <w:rsid w:val="482A6A56"/>
    <w:rsid w:val="482B071A"/>
    <w:rsid w:val="482B534E"/>
    <w:rsid w:val="482C45B3"/>
    <w:rsid w:val="483639D2"/>
    <w:rsid w:val="483C2771"/>
    <w:rsid w:val="48492230"/>
    <w:rsid w:val="484D4424"/>
    <w:rsid w:val="485C4105"/>
    <w:rsid w:val="48652AF4"/>
    <w:rsid w:val="48725180"/>
    <w:rsid w:val="487E153D"/>
    <w:rsid w:val="48802857"/>
    <w:rsid w:val="488131C5"/>
    <w:rsid w:val="48817770"/>
    <w:rsid w:val="488D31C1"/>
    <w:rsid w:val="488E4926"/>
    <w:rsid w:val="48971C07"/>
    <w:rsid w:val="489A5DAA"/>
    <w:rsid w:val="48A27CAA"/>
    <w:rsid w:val="48A31B88"/>
    <w:rsid w:val="48AE321A"/>
    <w:rsid w:val="48BE2CF0"/>
    <w:rsid w:val="48C15D8D"/>
    <w:rsid w:val="48C25955"/>
    <w:rsid w:val="48C955E5"/>
    <w:rsid w:val="48CA6810"/>
    <w:rsid w:val="48D13B36"/>
    <w:rsid w:val="48DA439B"/>
    <w:rsid w:val="48E22F20"/>
    <w:rsid w:val="48E44E43"/>
    <w:rsid w:val="48E4724D"/>
    <w:rsid w:val="48E53924"/>
    <w:rsid w:val="48E63F8B"/>
    <w:rsid w:val="48EF0F23"/>
    <w:rsid w:val="48FB4BC3"/>
    <w:rsid w:val="48FB5804"/>
    <w:rsid w:val="49086D1B"/>
    <w:rsid w:val="49140B7D"/>
    <w:rsid w:val="4915791B"/>
    <w:rsid w:val="491C3076"/>
    <w:rsid w:val="491E3686"/>
    <w:rsid w:val="49324DD3"/>
    <w:rsid w:val="49384514"/>
    <w:rsid w:val="4939707B"/>
    <w:rsid w:val="493E5E9C"/>
    <w:rsid w:val="49414B4F"/>
    <w:rsid w:val="494A552B"/>
    <w:rsid w:val="495077AD"/>
    <w:rsid w:val="49532CF3"/>
    <w:rsid w:val="49581E86"/>
    <w:rsid w:val="495913D8"/>
    <w:rsid w:val="495D7302"/>
    <w:rsid w:val="496607B9"/>
    <w:rsid w:val="496C36CB"/>
    <w:rsid w:val="496D2BF3"/>
    <w:rsid w:val="49825EA3"/>
    <w:rsid w:val="499046CE"/>
    <w:rsid w:val="499402FE"/>
    <w:rsid w:val="499B6E75"/>
    <w:rsid w:val="49A13026"/>
    <w:rsid w:val="49A81F15"/>
    <w:rsid w:val="49B02FC2"/>
    <w:rsid w:val="49B07C49"/>
    <w:rsid w:val="49B24B36"/>
    <w:rsid w:val="49B75C9A"/>
    <w:rsid w:val="49BA3A93"/>
    <w:rsid w:val="49BC5080"/>
    <w:rsid w:val="49BD004C"/>
    <w:rsid w:val="49BE7C01"/>
    <w:rsid w:val="49BF6B4D"/>
    <w:rsid w:val="49C97028"/>
    <w:rsid w:val="49CA5515"/>
    <w:rsid w:val="49DA5740"/>
    <w:rsid w:val="49DB093F"/>
    <w:rsid w:val="49DC0B0E"/>
    <w:rsid w:val="49DE64CC"/>
    <w:rsid w:val="49E13015"/>
    <w:rsid w:val="49EB5DA8"/>
    <w:rsid w:val="49F00F52"/>
    <w:rsid w:val="49FD72CF"/>
    <w:rsid w:val="4A122E59"/>
    <w:rsid w:val="4A235C8A"/>
    <w:rsid w:val="4A292935"/>
    <w:rsid w:val="4A2E07EE"/>
    <w:rsid w:val="4A33120A"/>
    <w:rsid w:val="4A35109E"/>
    <w:rsid w:val="4A360ACF"/>
    <w:rsid w:val="4A377A65"/>
    <w:rsid w:val="4A385EDB"/>
    <w:rsid w:val="4A397CF0"/>
    <w:rsid w:val="4A3E5075"/>
    <w:rsid w:val="4A3E5F17"/>
    <w:rsid w:val="4A406CB4"/>
    <w:rsid w:val="4A471EB8"/>
    <w:rsid w:val="4A49367A"/>
    <w:rsid w:val="4A4A7180"/>
    <w:rsid w:val="4A4B1117"/>
    <w:rsid w:val="4A4D16C6"/>
    <w:rsid w:val="4A6320A6"/>
    <w:rsid w:val="4A6C457F"/>
    <w:rsid w:val="4A8C7C76"/>
    <w:rsid w:val="4AAB34BB"/>
    <w:rsid w:val="4AAF54B1"/>
    <w:rsid w:val="4AB00AB1"/>
    <w:rsid w:val="4AB26985"/>
    <w:rsid w:val="4AB838E8"/>
    <w:rsid w:val="4ABE4768"/>
    <w:rsid w:val="4AC34B56"/>
    <w:rsid w:val="4AD11442"/>
    <w:rsid w:val="4AD31BF7"/>
    <w:rsid w:val="4AD85CF3"/>
    <w:rsid w:val="4AE12695"/>
    <w:rsid w:val="4AE5063F"/>
    <w:rsid w:val="4AEB4287"/>
    <w:rsid w:val="4AF018C8"/>
    <w:rsid w:val="4AF201D5"/>
    <w:rsid w:val="4AF87CD0"/>
    <w:rsid w:val="4AFD1ED3"/>
    <w:rsid w:val="4B052044"/>
    <w:rsid w:val="4B124BB6"/>
    <w:rsid w:val="4B162370"/>
    <w:rsid w:val="4B1969EA"/>
    <w:rsid w:val="4B1F1402"/>
    <w:rsid w:val="4B221C9D"/>
    <w:rsid w:val="4B2373E8"/>
    <w:rsid w:val="4B247B19"/>
    <w:rsid w:val="4B28699B"/>
    <w:rsid w:val="4B30654A"/>
    <w:rsid w:val="4B313770"/>
    <w:rsid w:val="4B3376E2"/>
    <w:rsid w:val="4B337729"/>
    <w:rsid w:val="4B415F6D"/>
    <w:rsid w:val="4B547658"/>
    <w:rsid w:val="4B5847DE"/>
    <w:rsid w:val="4B5F2399"/>
    <w:rsid w:val="4B6553FB"/>
    <w:rsid w:val="4B742639"/>
    <w:rsid w:val="4B882FC6"/>
    <w:rsid w:val="4B8938A4"/>
    <w:rsid w:val="4B8A0B69"/>
    <w:rsid w:val="4B8A6570"/>
    <w:rsid w:val="4B8F5831"/>
    <w:rsid w:val="4B947A37"/>
    <w:rsid w:val="4B990B42"/>
    <w:rsid w:val="4BA47014"/>
    <w:rsid w:val="4BA56AD4"/>
    <w:rsid w:val="4BAA58CE"/>
    <w:rsid w:val="4BB560F4"/>
    <w:rsid w:val="4BB64CD0"/>
    <w:rsid w:val="4BC12085"/>
    <w:rsid w:val="4BC22D03"/>
    <w:rsid w:val="4BC4030C"/>
    <w:rsid w:val="4BC41A56"/>
    <w:rsid w:val="4BC859C1"/>
    <w:rsid w:val="4BD40AAB"/>
    <w:rsid w:val="4BD42F98"/>
    <w:rsid w:val="4BE84CBE"/>
    <w:rsid w:val="4BEB2C94"/>
    <w:rsid w:val="4BF1099C"/>
    <w:rsid w:val="4BF623B0"/>
    <w:rsid w:val="4BF86D6D"/>
    <w:rsid w:val="4BFA02D7"/>
    <w:rsid w:val="4BFB0607"/>
    <w:rsid w:val="4C0007D3"/>
    <w:rsid w:val="4C00522E"/>
    <w:rsid w:val="4C051F8F"/>
    <w:rsid w:val="4C08466C"/>
    <w:rsid w:val="4C085165"/>
    <w:rsid w:val="4C12207D"/>
    <w:rsid w:val="4C1471C6"/>
    <w:rsid w:val="4C152CAE"/>
    <w:rsid w:val="4C1604D1"/>
    <w:rsid w:val="4C1C0555"/>
    <w:rsid w:val="4C27778C"/>
    <w:rsid w:val="4C28045F"/>
    <w:rsid w:val="4C353FDB"/>
    <w:rsid w:val="4C3F1A17"/>
    <w:rsid w:val="4C3F668A"/>
    <w:rsid w:val="4C4125D9"/>
    <w:rsid w:val="4C4437AE"/>
    <w:rsid w:val="4C4E5B23"/>
    <w:rsid w:val="4C50471A"/>
    <w:rsid w:val="4C534C86"/>
    <w:rsid w:val="4C563842"/>
    <w:rsid w:val="4C5D11D7"/>
    <w:rsid w:val="4C5D7740"/>
    <w:rsid w:val="4C5E3199"/>
    <w:rsid w:val="4C5E6ACF"/>
    <w:rsid w:val="4C6360FB"/>
    <w:rsid w:val="4C6B2FE2"/>
    <w:rsid w:val="4C787885"/>
    <w:rsid w:val="4C7D7F97"/>
    <w:rsid w:val="4C7E409F"/>
    <w:rsid w:val="4C807EFC"/>
    <w:rsid w:val="4C831751"/>
    <w:rsid w:val="4C921493"/>
    <w:rsid w:val="4C96075E"/>
    <w:rsid w:val="4C960838"/>
    <w:rsid w:val="4CB210AA"/>
    <w:rsid w:val="4CB4376C"/>
    <w:rsid w:val="4CBD0B1F"/>
    <w:rsid w:val="4CC22A4A"/>
    <w:rsid w:val="4CC64FB8"/>
    <w:rsid w:val="4CCA40FA"/>
    <w:rsid w:val="4CE87889"/>
    <w:rsid w:val="4CED710E"/>
    <w:rsid w:val="4CF17AA4"/>
    <w:rsid w:val="4CF87AFD"/>
    <w:rsid w:val="4D003857"/>
    <w:rsid w:val="4D05521E"/>
    <w:rsid w:val="4D076FF3"/>
    <w:rsid w:val="4D08414A"/>
    <w:rsid w:val="4D092506"/>
    <w:rsid w:val="4D0C5A9D"/>
    <w:rsid w:val="4D1675E0"/>
    <w:rsid w:val="4D200666"/>
    <w:rsid w:val="4D200A57"/>
    <w:rsid w:val="4D376295"/>
    <w:rsid w:val="4D3A7012"/>
    <w:rsid w:val="4D3D19D7"/>
    <w:rsid w:val="4D451508"/>
    <w:rsid w:val="4D47346B"/>
    <w:rsid w:val="4D495DF4"/>
    <w:rsid w:val="4D581CBD"/>
    <w:rsid w:val="4D584533"/>
    <w:rsid w:val="4D5B5DAF"/>
    <w:rsid w:val="4D69316A"/>
    <w:rsid w:val="4D697710"/>
    <w:rsid w:val="4D785A58"/>
    <w:rsid w:val="4D853E44"/>
    <w:rsid w:val="4D8744C7"/>
    <w:rsid w:val="4D8C148F"/>
    <w:rsid w:val="4D970124"/>
    <w:rsid w:val="4D992749"/>
    <w:rsid w:val="4D9E773D"/>
    <w:rsid w:val="4DBA440F"/>
    <w:rsid w:val="4DC2477B"/>
    <w:rsid w:val="4DC37AAD"/>
    <w:rsid w:val="4DD03A81"/>
    <w:rsid w:val="4DD54DA5"/>
    <w:rsid w:val="4DDE55E1"/>
    <w:rsid w:val="4DDF5C24"/>
    <w:rsid w:val="4DE1012A"/>
    <w:rsid w:val="4DE56472"/>
    <w:rsid w:val="4DE56AA4"/>
    <w:rsid w:val="4DEA16B8"/>
    <w:rsid w:val="4DEE0EA3"/>
    <w:rsid w:val="4DF17ECD"/>
    <w:rsid w:val="4DF65554"/>
    <w:rsid w:val="4DFA077E"/>
    <w:rsid w:val="4DFC1243"/>
    <w:rsid w:val="4E02229A"/>
    <w:rsid w:val="4E037EE6"/>
    <w:rsid w:val="4E074FCD"/>
    <w:rsid w:val="4E132BF4"/>
    <w:rsid w:val="4E162BA9"/>
    <w:rsid w:val="4E1E0460"/>
    <w:rsid w:val="4E1F2098"/>
    <w:rsid w:val="4E245FCD"/>
    <w:rsid w:val="4E2A37D7"/>
    <w:rsid w:val="4E2F4F0E"/>
    <w:rsid w:val="4E3F0D8B"/>
    <w:rsid w:val="4E452F68"/>
    <w:rsid w:val="4E485577"/>
    <w:rsid w:val="4E4F602D"/>
    <w:rsid w:val="4E521DCC"/>
    <w:rsid w:val="4E556430"/>
    <w:rsid w:val="4E563A79"/>
    <w:rsid w:val="4E5D37BF"/>
    <w:rsid w:val="4E5E7854"/>
    <w:rsid w:val="4E60113A"/>
    <w:rsid w:val="4E7C40A4"/>
    <w:rsid w:val="4E8267E7"/>
    <w:rsid w:val="4E826B8B"/>
    <w:rsid w:val="4E915C83"/>
    <w:rsid w:val="4E920755"/>
    <w:rsid w:val="4E980798"/>
    <w:rsid w:val="4E9A5427"/>
    <w:rsid w:val="4E9A7B73"/>
    <w:rsid w:val="4E9E6AA4"/>
    <w:rsid w:val="4EA244DC"/>
    <w:rsid w:val="4EA3784C"/>
    <w:rsid w:val="4EAA20F8"/>
    <w:rsid w:val="4EAE7364"/>
    <w:rsid w:val="4EB83A26"/>
    <w:rsid w:val="4EB951BF"/>
    <w:rsid w:val="4EBB7642"/>
    <w:rsid w:val="4EBF6B54"/>
    <w:rsid w:val="4EC02D2A"/>
    <w:rsid w:val="4EC0678A"/>
    <w:rsid w:val="4EC16EB7"/>
    <w:rsid w:val="4EC935CE"/>
    <w:rsid w:val="4ECA01F9"/>
    <w:rsid w:val="4ECD2EF2"/>
    <w:rsid w:val="4ED11C95"/>
    <w:rsid w:val="4ED15594"/>
    <w:rsid w:val="4ED54876"/>
    <w:rsid w:val="4EDC019B"/>
    <w:rsid w:val="4EDD798C"/>
    <w:rsid w:val="4EE06127"/>
    <w:rsid w:val="4EE27137"/>
    <w:rsid w:val="4EEB6A39"/>
    <w:rsid w:val="4EF44D23"/>
    <w:rsid w:val="4EF844EA"/>
    <w:rsid w:val="4EFB744F"/>
    <w:rsid w:val="4EFC3112"/>
    <w:rsid w:val="4EFD1701"/>
    <w:rsid w:val="4EFF66FB"/>
    <w:rsid w:val="4F040683"/>
    <w:rsid w:val="4F0F14A5"/>
    <w:rsid w:val="4F130C17"/>
    <w:rsid w:val="4F166D4A"/>
    <w:rsid w:val="4F270D2D"/>
    <w:rsid w:val="4F2737C5"/>
    <w:rsid w:val="4F2F3849"/>
    <w:rsid w:val="4F31723C"/>
    <w:rsid w:val="4F340C63"/>
    <w:rsid w:val="4F39639C"/>
    <w:rsid w:val="4F3E1BA7"/>
    <w:rsid w:val="4F527868"/>
    <w:rsid w:val="4F622668"/>
    <w:rsid w:val="4F6709AC"/>
    <w:rsid w:val="4F6D642E"/>
    <w:rsid w:val="4F6F762E"/>
    <w:rsid w:val="4F767689"/>
    <w:rsid w:val="4F7A1B88"/>
    <w:rsid w:val="4F8D2716"/>
    <w:rsid w:val="4F926827"/>
    <w:rsid w:val="4F98633D"/>
    <w:rsid w:val="4FA4623D"/>
    <w:rsid w:val="4FA86461"/>
    <w:rsid w:val="4FAA16EE"/>
    <w:rsid w:val="4FAB620C"/>
    <w:rsid w:val="4FB25D36"/>
    <w:rsid w:val="4FB55FF8"/>
    <w:rsid w:val="4FCF79B6"/>
    <w:rsid w:val="4FE06869"/>
    <w:rsid w:val="4FE6773D"/>
    <w:rsid w:val="4FE9200A"/>
    <w:rsid w:val="4FEF5456"/>
    <w:rsid w:val="4FF42752"/>
    <w:rsid w:val="4FF67560"/>
    <w:rsid w:val="4FF87BDA"/>
    <w:rsid w:val="4FFD4205"/>
    <w:rsid w:val="4FFF5603"/>
    <w:rsid w:val="500035DB"/>
    <w:rsid w:val="500554BB"/>
    <w:rsid w:val="50082791"/>
    <w:rsid w:val="500A21E7"/>
    <w:rsid w:val="500C52D1"/>
    <w:rsid w:val="5010424F"/>
    <w:rsid w:val="502318E5"/>
    <w:rsid w:val="502456DC"/>
    <w:rsid w:val="502E1C8A"/>
    <w:rsid w:val="502E37C2"/>
    <w:rsid w:val="504967D4"/>
    <w:rsid w:val="504C56EA"/>
    <w:rsid w:val="50523597"/>
    <w:rsid w:val="50537E95"/>
    <w:rsid w:val="50583896"/>
    <w:rsid w:val="50585CC6"/>
    <w:rsid w:val="5059113E"/>
    <w:rsid w:val="506871A6"/>
    <w:rsid w:val="506B39C8"/>
    <w:rsid w:val="507469A0"/>
    <w:rsid w:val="50757758"/>
    <w:rsid w:val="507E4835"/>
    <w:rsid w:val="50807FAC"/>
    <w:rsid w:val="508159F6"/>
    <w:rsid w:val="50841FF1"/>
    <w:rsid w:val="50984F92"/>
    <w:rsid w:val="50A07C67"/>
    <w:rsid w:val="50A224C3"/>
    <w:rsid w:val="50AC4DAF"/>
    <w:rsid w:val="50B568B9"/>
    <w:rsid w:val="50B67B9B"/>
    <w:rsid w:val="50B926E0"/>
    <w:rsid w:val="50BD0B56"/>
    <w:rsid w:val="50C069B4"/>
    <w:rsid w:val="50C705E7"/>
    <w:rsid w:val="50D101AA"/>
    <w:rsid w:val="50D44C95"/>
    <w:rsid w:val="50D71075"/>
    <w:rsid w:val="50E32A6C"/>
    <w:rsid w:val="50E93B81"/>
    <w:rsid w:val="50EF38A7"/>
    <w:rsid w:val="51020851"/>
    <w:rsid w:val="510530E4"/>
    <w:rsid w:val="510936E3"/>
    <w:rsid w:val="510D3CD7"/>
    <w:rsid w:val="51161C4E"/>
    <w:rsid w:val="511848E8"/>
    <w:rsid w:val="51205736"/>
    <w:rsid w:val="51233C16"/>
    <w:rsid w:val="51242D1A"/>
    <w:rsid w:val="51275130"/>
    <w:rsid w:val="51332596"/>
    <w:rsid w:val="513445B7"/>
    <w:rsid w:val="51360B87"/>
    <w:rsid w:val="513938C9"/>
    <w:rsid w:val="51394095"/>
    <w:rsid w:val="513A2A02"/>
    <w:rsid w:val="513E3F26"/>
    <w:rsid w:val="51401058"/>
    <w:rsid w:val="514E5AEA"/>
    <w:rsid w:val="5156081F"/>
    <w:rsid w:val="51593B78"/>
    <w:rsid w:val="515F1555"/>
    <w:rsid w:val="51657342"/>
    <w:rsid w:val="51722A42"/>
    <w:rsid w:val="51733613"/>
    <w:rsid w:val="5173706F"/>
    <w:rsid w:val="51774780"/>
    <w:rsid w:val="517A638F"/>
    <w:rsid w:val="51853637"/>
    <w:rsid w:val="518A2050"/>
    <w:rsid w:val="518D1F26"/>
    <w:rsid w:val="518F602D"/>
    <w:rsid w:val="519E2B14"/>
    <w:rsid w:val="51A055DC"/>
    <w:rsid w:val="51AA5DE3"/>
    <w:rsid w:val="51AC6764"/>
    <w:rsid w:val="51AD4B3B"/>
    <w:rsid w:val="51B52056"/>
    <w:rsid w:val="51B74F5A"/>
    <w:rsid w:val="51BA678C"/>
    <w:rsid w:val="51C36CCB"/>
    <w:rsid w:val="51C471B1"/>
    <w:rsid w:val="51CA613D"/>
    <w:rsid w:val="51CD4E26"/>
    <w:rsid w:val="51DA6E3C"/>
    <w:rsid w:val="51DB1C8D"/>
    <w:rsid w:val="51E137D4"/>
    <w:rsid w:val="51E82B6A"/>
    <w:rsid w:val="51EA4CB0"/>
    <w:rsid w:val="51EC1D13"/>
    <w:rsid w:val="51EE435D"/>
    <w:rsid w:val="52000617"/>
    <w:rsid w:val="520A4783"/>
    <w:rsid w:val="520D4FCD"/>
    <w:rsid w:val="520E4EF5"/>
    <w:rsid w:val="520F69D2"/>
    <w:rsid w:val="52145799"/>
    <w:rsid w:val="52156474"/>
    <w:rsid w:val="521570C5"/>
    <w:rsid w:val="521D24AF"/>
    <w:rsid w:val="52242841"/>
    <w:rsid w:val="52262073"/>
    <w:rsid w:val="52277D53"/>
    <w:rsid w:val="522B352E"/>
    <w:rsid w:val="522F41A9"/>
    <w:rsid w:val="523E6D57"/>
    <w:rsid w:val="52417FCE"/>
    <w:rsid w:val="52426772"/>
    <w:rsid w:val="52474E72"/>
    <w:rsid w:val="52517014"/>
    <w:rsid w:val="525E1819"/>
    <w:rsid w:val="52656D4B"/>
    <w:rsid w:val="52690A8A"/>
    <w:rsid w:val="52702CC3"/>
    <w:rsid w:val="52741030"/>
    <w:rsid w:val="527C0553"/>
    <w:rsid w:val="52831C5B"/>
    <w:rsid w:val="52994479"/>
    <w:rsid w:val="529C269F"/>
    <w:rsid w:val="529C787B"/>
    <w:rsid w:val="52A118F2"/>
    <w:rsid w:val="52A62910"/>
    <w:rsid w:val="52AC196F"/>
    <w:rsid w:val="52AC6214"/>
    <w:rsid w:val="52B2306C"/>
    <w:rsid w:val="52B5075F"/>
    <w:rsid w:val="52B64958"/>
    <w:rsid w:val="52BB751E"/>
    <w:rsid w:val="52BF0C6B"/>
    <w:rsid w:val="52BF7616"/>
    <w:rsid w:val="52D302DE"/>
    <w:rsid w:val="52DB37D2"/>
    <w:rsid w:val="52E112D6"/>
    <w:rsid w:val="52EF771A"/>
    <w:rsid w:val="52F23609"/>
    <w:rsid w:val="52F725D3"/>
    <w:rsid w:val="52FC2F41"/>
    <w:rsid w:val="5308362A"/>
    <w:rsid w:val="530D6D8F"/>
    <w:rsid w:val="53112AAE"/>
    <w:rsid w:val="53155FA7"/>
    <w:rsid w:val="5319574D"/>
    <w:rsid w:val="53243A84"/>
    <w:rsid w:val="5327626E"/>
    <w:rsid w:val="532B7DCE"/>
    <w:rsid w:val="532C2893"/>
    <w:rsid w:val="532E7557"/>
    <w:rsid w:val="53315C4B"/>
    <w:rsid w:val="533A00AA"/>
    <w:rsid w:val="533C7D22"/>
    <w:rsid w:val="53476182"/>
    <w:rsid w:val="534F7E64"/>
    <w:rsid w:val="53575365"/>
    <w:rsid w:val="536F51A3"/>
    <w:rsid w:val="537321AC"/>
    <w:rsid w:val="53743ED1"/>
    <w:rsid w:val="53752E08"/>
    <w:rsid w:val="537D120F"/>
    <w:rsid w:val="53860915"/>
    <w:rsid w:val="538879EC"/>
    <w:rsid w:val="53920585"/>
    <w:rsid w:val="5396301E"/>
    <w:rsid w:val="539831F9"/>
    <w:rsid w:val="539A41B3"/>
    <w:rsid w:val="53A87319"/>
    <w:rsid w:val="53AA17A9"/>
    <w:rsid w:val="53AD4DCF"/>
    <w:rsid w:val="53B842AC"/>
    <w:rsid w:val="53BB5C95"/>
    <w:rsid w:val="53BE5711"/>
    <w:rsid w:val="53C27E1D"/>
    <w:rsid w:val="53C42C43"/>
    <w:rsid w:val="53CB12B0"/>
    <w:rsid w:val="53D5288C"/>
    <w:rsid w:val="53D619C2"/>
    <w:rsid w:val="53E2021C"/>
    <w:rsid w:val="53EC1ECF"/>
    <w:rsid w:val="53EC7282"/>
    <w:rsid w:val="53F17173"/>
    <w:rsid w:val="53F74AF6"/>
    <w:rsid w:val="53FD311C"/>
    <w:rsid w:val="53FD3B90"/>
    <w:rsid w:val="54084EF7"/>
    <w:rsid w:val="540A305C"/>
    <w:rsid w:val="5410110C"/>
    <w:rsid w:val="54131912"/>
    <w:rsid w:val="541C1529"/>
    <w:rsid w:val="54222228"/>
    <w:rsid w:val="5422763A"/>
    <w:rsid w:val="542A4CF1"/>
    <w:rsid w:val="54393B83"/>
    <w:rsid w:val="54442340"/>
    <w:rsid w:val="544615CD"/>
    <w:rsid w:val="54510C43"/>
    <w:rsid w:val="54517EF0"/>
    <w:rsid w:val="54521272"/>
    <w:rsid w:val="54521A63"/>
    <w:rsid w:val="5456526D"/>
    <w:rsid w:val="546135C3"/>
    <w:rsid w:val="546B3A7C"/>
    <w:rsid w:val="546E71A0"/>
    <w:rsid w:val="547145DD"/>
    <w:rsid w:val="547609DD"/>
    <w:rsid w:val="547B5D3D"/>
    <w:rsid w:val="5482229F"/>
    <w:rsid w:val="5482587D"/>
    <w:rsid w:val="548341C1"/>
    <w:rsid w:val="5484104F"/>
    <w:rsid w:val="54886400"/>
    <w:rsid w:val="54922940"/>
    <w:rsid w:val="54923C71"/>
    <w:rsid w:val="54A75B90"/>
    <w:rsid w:val="54AA545F"/>
    <w:rsid w:val="54AE280E"/>
    <w:rsid w:val="54B3060F"/>
    <w:rsid w:val="54B40DB1"/>
    <w:rsid w:val="54B4518C"/>
    <w:rsid w:val="54B95A1A"/>
    <w:rsid w:val="54C23274"/>
    <w:rsid w:val="54C85664"/>
    <w:rsid w:val="54CA3430"/>
    <w:rsid w:val="54D26341"/>
    <w:rsid w:val="54D45BC4"/>
    <w:rsid w:val="54DB49C4"/>
    <w:rsid w:val="54DC1C2B"/>
    <w:rsid w:val="54DE1184"/>
    <w:rsid w:val="54DE7576"/>
    <w:rsid w:val="54E212F4"/>
    <w:rsid w:val="54E92EA3"/>
    <w:rsid w:val="54F50023"/>
    <w:rsid w:val="54FB018C"/>
    <w:rsid w:val="55003BFE"/>
    <w:rsid w:val="550109C1"/>
    <w:rsid w:val="55054110"/>
    <w:rsid w:val="5508132B"/>
    <w:rsid w:val="55100B6A"/>
    <w:rsid w:val="55122FCC"/>
    <w:rsid w:val="55131049"/>
    <w:rsid w:val="55164C9A"/>
    <w:rsid w:val="551A15C6"/>
    <w:rsid w:val="551F2C7C"/>
    <w:rsid w:val="552159C7"/>
    <w:rsid w:val="55297EF7"/>
    <w:rsid w:val="552F12F5"/>
    <w:rsid w:val="553A18C8"/>
    <w:rsid w:val="553F43DA"/>
    <w:rsid w:val="5546256D"/>
    <w:rsid w:val="554973CD"/>
    <w:rsid w:val="554A20C2"/>
    <w:rsid w:val="5559450E"/>
    <w:rsid w:val="555946AB"/>
    <w:rsid w:val="555B76AC"/>
    <w:rsid w:val="555C3C55"/>
    <w:rsid w:val="555C3E9A"/>
    <w:rsid w:val="556100F8"/>
    <w:rsid w:val="55627B08"/>
    <w:rsid w:val="5565088E"/>
    <w:rsid w:val="556D2C0F"/>
    <w:rsid w:val="556F7375"/>
    <w:rsid w:val="55721481"/>
    <w:rsid w:val="557702C4"/>
    <w:rsid w:val="5579157E"/>
    <w:rsid w:val="55805F3E"/>
    <w:rsid w:val="558D4839"/>
    <w:rsid w:val="55911E19"/>
    <w:rsid w:val="559601F5"/>
    <w:rsid w:val="559B253D"/>
    <w:rsid w:val="559E2967"/>
    <w:rsid w:val="559F620B"/>
    <w:rsid w:val="55A03621"/>
    <w:rsid w:val="55A17B91"/>
    <w:rsid w:val="55A82D9F"/>
    <w:rsid w:val="55AD5540"/>
    <w:rsid w:val="55BB3061"/>
    <w:rsid w:val="55C37CDE"/>
    <w:rsid w:val="55D02A22"/>
    <w:rsid w:val="55D22539"/>
    <w:rsid w:val="55E34C3E"/>
    <w:rsid w:val="55E53845"/>
    <w:rsid w:val="55E61A70"/>
    <w:rsid w:val="55E72583"/>
    <w:rsid w:val="55F720C6"/>
    <w:rsid w:val="5604091D"/>
    <w:rsid w:val="5607285D"/>
    <w:rsid w:val="560F2F20"/>
    <w:rsid w:val="56120991"/>
    <w:rsid w:val="562D50DC"/>
    <w:rsid w:val="563939E4"/>
    <w:rsid w:val="563D46B2"/>
    <w:rsid w:val="56457704"/>
    <w:rsid w:val="5648287B"/>
    <w:rsid w:val="564D4072"/>
    <w:rsid w:val="5652284C"/>
    <w:rsid w:val="5658153C"/>
    <w:rsid w:val="565876C6"/>
    <w:rsid w:val="5667179F"/>
    <w:rsid w:val="5669552B"/>
    <w:rsid w:val="56756FEE"/>
    <w:rsid w:val="567A14B2"/>
    <w:rsid w:val="568911A2"/>
    <w:rsid w:val="568A0153"/>
    <w:rsid w:val="568B0655"/>
    <w:rsid w:val="568F6105"/>
    <w:rsid w:val="56910990"/>
    <w:rsid w:val="569340BF"/>
    <w:rsid w:val="569D532D"/>
    <w:rsid w:val="569D7032"/>
    <w:rsid w:val="56A26CA4"/>
    <w:rsid w:val="56A769A9"/>
    <w:rsid w:val="56A8690E"/>
    <w:rsid w:val="56A90163"/>
    <w:rsid w:val="56AD22B9"/>
    <w:rsid w:val="56BA554A"/>
    <w:rsid w:val="56BE294C"/>
    <w:rsid w:val="56C768C1"/>
    <w:rsid w:val="56CB20C5"/>
    <w:rsid w:val="56CF17A9"/>
    <w:rsid w:val="56DE774E"/>
    <w:rsid w:val="56E34743"/>
    <w:rsid w:val="56ED3AE9"/>
    <w:rsid w:val="56EF6AA9"/>
    <w:rsid w:val="56F232A6"/>
    <w:rsid w:val="56F568B5"/>
    <w:rsid w:val="56FB3DE8"/>
    <w:rsid w:val="57045241"/>
    <w:rsid w:val="57101D0B"/>
    <w:rsid w:val="57131037"/>
    <w:rsid w:val="573556C2"/>
    <w:rsid w:val="574014E1"/>
    <w:rsid w:val="575632CC"/>
    <w:rsid w:val="57606F87"/>
    <w:rsid w:val="5778511F"/>
    <w:rsid w:val="577A6D2E"/>
    <w:rsid w:val="577E0893"/>
    <w:rsid w:val="577F0575"/>
    <w:rsid w:val="578840B1"/>
    <w:rsid w:val="578C5C62"/>
    <w:rsid w:val="57917555"/>
    <w:rsid w:val="57945726"/>
    <w:rsid w:val="57985560"/>
    <w:rsid w:val="579D34A4"/>
    <w:rsid w:val="57AC7F76"/>
    <w:rsid w:val="57B17ABA"/>
    <w:rsid w:val="57B37249"/>
    <w:rsid w:val="57B528A1"/>
    <w:rsid w:val="57BE68AA"/>
    <w:rsid w:val="57BF6AF8"/>
    <w:rsid w:val="57C969E3"/>
    <w:rsid w:val="57D57D2F"/>
    <w:rsid w:val="57D60714"/>
    <w:rsid w:val="57D94111"/>
    <w:rsid w:val="57DC2BAD"/>
    <w:rsid w:val="57F15865"/>
    <w:rsid w:val="57F67D0A"/>
    <w:rsid w:val="57FF2C6E"/>
    <w:rsid w:val="580112DD"/>
    <w:rsid w:val="58057B99"/>
    <w:rsid w:val="580815FA"/>
    <w:rsid w:val="5808676D"/>
    <w:rsid w:val="58201D40"/>
    <w:rsid w:val="58374AF3"/>
    <w:rsid w:val="583A3C22"/>
    <w:rsid w:val="58430D07"/>
    <w:rsid w:val="584326B5"/>
    <w:rsid w:val="586846EF"/>
    <w:rsid w:val="586D2962"/>
    <w:rsid w:val="5872759C"/>
    <w:rsid w:val="58872F30"/>
    <w:rsid w:val="588B353C"/>
    <w:rsid w:val="588B7142"/>
    <w:rsid w:val="589B5B49"/>
    <w:rsid w:val="589E3418"/>
    <w:rsid w:val="589E7E5F"/>
    <w:rsid w:val="58AB0E67"/>
    <w:rsid w:val="58AF3175"/>
    <w:rsid w:val="58B67BEB"/>
    <w:rsid w:val="58C00689"/>
    <w:rsid w:val="58CC7366"/>
    <w:rsid w:val="58D63A49"/>
    <w:rsid w:val="58DF2335"/>
    <w:rsid w:val="58E3120B"/>
    <w:rsid w:val="58E617C2"/>
    <w:rsid w:val="58ED24DC"/>
    <w:rsid w:val="58ED38EB"/>
    <w:rsid w:val="58EE7F4C"/>
    <w:rsid w:val="58F46DEA"/>
    <w:rsid w:val="58FB7105"/>
    <w:rsid w:val="59007862"/>
    <w:rsid w:val="590B158E"/>
    <w:rsid w:val="590E496B"/>
    <w:rsid w:val="59107FD3"/>
    <w:rsid w:val="591401BA"/>
    <w:rsid w:val="591B38CF"/>
    <w:rsid w:val="59283577"/>
    <w:rsid w:val="592C532E"/>
    <w:rsid w:val="592D4E59"/>
    <w:rsid w:val="59362924"/>
    <w:rsid w:val="59495D0A"/>
    <w:rsid w:val="594A0F1E"/>
    <w:rsid w:val="594B2650"/>
    <w:rsid w:val="59550077"/>
    <w:rsid w:val="59695B0E"/>
    <w:rsid w:val="597900D1"/>
    <w:rsid w:val="597933D0"/>
    <w:rsid w:val="5984766D"/>
    <w:rsid w:val="59847993"/>
    <w:rsid w:val="598D1CE2"/>
    <w:rsid w:val="59915B0A"/>
    <w:rsid w:val="59941933"/>
    <w:rsid w:val="59A114F8"/>
    <w:rsid w:val="59A3309B"/>
    <w:rsid w:val="59A815C0"/>
    <w:rsid w:val="59AD460E"/>
    <w:rsid w:val="59B764D9"/>
    <w:rsid w:val="59BA7DD3"/>
    <w:rsid w:val="59BF0470"/>
    <w:rsid w:val="59C12B00"/>
    <w:rsid w:val="59C4289D"/>
    <w:rsid w:val="59C5315A"/>
    <w:rsid w:val="59C85BBA"/>
    <w:rsid w:val="59DA1A0D"/>
    <w:rsid w:val="59DF73D7"/>
    <w:rsid w:val="59E01997"/>
    <w:rsid w:val="59F112FE"/>
    <w:rsid w:val="59F26158"/>
    <w:rsid w:val="59FA1FEC"/>
    <w:rsid w:val="5A0C522E"/>
    <w:rsid w:val="5A0C7EEC"/>
    <w:rsid w:val="5A136829"/>
    <w:rsid w:val="5A143FBA"/>
    <w:rsid w:val="5A2643CB"/>
    <w:rsid w:val="5A2903ED"/>
    <w:rsid w:val="5A29356A"/>
    <w:rsid w:val="5A2B5D9B"/>
    <w:rsid w:val="5A3317D1"/>
    <w:rsid w:val="5A397DDF"/>
    <w:rsid w:val="5A4D708A"/>
    <w:rsid w:val="5A665545"/>
    <w:rsid w:val="5A761225"/>
    <w:rsid w:val="5A8A4153"/>
    <w:rsid w:val="5A8F4ABF"/>
    <w:rsid w:val="5A9038A8"/>
    <w:rsid w:val="5A9A35FE"/>
    <w:rsid w:val="5A9A56C1"/>
    <w:rsid w:val="5AB346C0"/>
    <w:rsid w:val="5AB62857"/>
    <w:rsid w:val="5AB67988"/>
    <w:rsid w:val="5AB91724"/>
    <w:rsid w:val="5ABC17C7"/>
    <w:rsid w:val="5ABF7D64"/>
    <w:rsid w:val="5ACA5953"/>
    <w:rsid w:val="5ACB3A4A"/>
    <w:rsid w:val="5ACF19E6"/>
    <w:rsid w:val="5AD47477"/>
    <w:rsid w:val="5AE3217B"/>
    <w:rsid w:val="5AE57817"/>
    <w:rsid w:val="5AE60D3F"/>
    <w:rsid w:val="5AE70490"/>
    <w:rsid w:val="5B060ADB"/>
    <w:rsid w:val="5B06430D"/>
    <w:rsid w:val="5B0C1DEE"/>
    <w:rsid w:val="5B173253"/>
    <w:rsid w:val="5B26453F"/>
    <w:rsid w:val="5B2A00B2"/>
    <w:rsid w:val="5B2A49AD"/>
    <w:rsid w:val="5B3A4183"/>
    <w:rsid w:val="5B43724B"/>
    <w:rsid w:val="5B59062D"/>
    <w:rsid w:val="5B5B5066"/>
    <w:rsid w:val="5B6451A6"/>
    <w:rsid w:val="5B74148E"/>
    <w:rsid w:val="5B75731B"/>
    <w:rsid w:val="5B7A6F8C"/>
    <w:rsid w:val="5B7E1EB2"/>
    <w:rsid w:val="5B847D3D"/>
    <w:rsid w:val="5B861444"/>
    <w:rsid w:val="5B8A50DE"/>
    <w:rsid w:val="5B912B50"/>
    <w:rsid w:val="5B953ED2"/>
    <w:rsid w:val="5B993928"/>
    <w:rsid w:val="5B9955E8"/>
    <w:rsid w:val="5B9A5925"/>
    <w:rsid w:val="5B9B4306"/>
    <w:rsid w:val="5B9E436E"/>
    <w:rsid w:val="5BA13C73"/>
    <w:rsid w:val="5BAA0E05"/>
    <w:rsid w:val="5BB3110B"/>
    <w:rsid w:val="5BB50DF9"/>
    <w:rsid w:val="5BB605E2"/>
    <w:rsid w:val="5BC2290D"/>
    <w:rsid w:val="5BC90992"/>
    <w:rsid w:val="5BCB2B90"/>
    <w:rsid w:val="5BD81FA8"/>
    <w:rsid w:val="5BED5D88"/>
    <w:rsid w:val="5BF204A7"/>
    <w:rsid w:val="5BF53049"/>
    <w:rsid w:val="5BF53B3D"/>
    <w:rsid w:val="5BFB7164"/>
    <w:rsid w:val="5BFC14FC"/>
    <w:rsid w:val="5C0B1C47"/>
    <w:rsid w:val="5C0B2E25"/>
    <w:rsid w:val="5C17648D"/>
    <w:rsid w:val="5C1A310B"/>
    <w:rsid w:val="5C1A753A"/>
    <w:rsid w:val="5C202F01"/>
    <w:rsid w:val="5C236E8E"/>
    <w:rsid w:val="5C312060"/>
    <w:rsid w:val="5C392920"/>
    <w:rsid w:val="5C410435"/>
    <w:rsid w:val="5C461A91"/>
    <w:rsid w:val="5C4639E1"/>
    <w:rsid w:val="5C497FA1"/>
    <w:rsid w:val="5C4B31E1"/>
    <w:rsid w:val="5C4B3F8B"/>
    <w:rsid w:val="5C583E24"/>
    <w:rsid w:val="5C60208A"/>
    <w:rsid w:val="5C613225"/>
    <w:rsid w:val="5C66535C"/>
    <w:rsid w:val="5C6D424E"/>
    <w:rsid w:val="5C727C32"/>
    <w:rsid w:val="5C7731CC"/>
    <w:rsid w:val="5C774020"/>
    <w:rsid w:val="5C8275E0"/>
    <w:rsid w:val="5C836D63"/>
    <w:rsid w:val="5C847D9F"/>
    <w:rsid w:val="5C8A0E37"/>
    <w:rsid w:val="5C93198C"/>
    <w:rsid w:val="5C98042B"/>
    <w:rsid w:val="5C9913E2"/>
    <w:rsid w:val="5CA02043"/>
    <w:rsid w:val="5CA66466"/>
    <w:rsid w:val="5CAD630E"/>
    <w:rsid w:val="5CB33015"/>
    <w:rsid w:val="5CB46F5A"/>
    <w:rsid w:val="5CB7639B"/>
    <w:rsid w:val="5CD91E24"/>
    <w:rsid w:val="5CDE0C87"/>
    <w:rsid w:val="5CDF1DCE"/>
    <w:rsid w:val="5CE33758"/>
    <w:rsid w:val="5CE772FA"/>
    <w:rsid w:val="5CE96194"/>
    <w:rsid w:val="5CF319DE"/>
    <w:rsid w:val="5CF50E0C"/>
    <w:rsid w:val="5CFA2EAA"/>
    <w:rsid w:val="5D041404"/>
    <w:rsid w:val="5D05702F"/>
    <w:rsid w:val="5D0819AF"/>
    <w:rsid w:val="5D0B3DB3"/>
    <w:rsid w:val="5D131B22"/>
    <w:rsid w:val="5D15609A"/>
    <w:rsid w:val="5D1F0193"/>
    <w:rsid w:val="5D243C94"/>
    <w:rsid w:val="5D246DB0"/>
    <w:rsid w:val="5D264973"/>
    <w:rsid w:val="5D283218"/>
    <w:rsid w:val="5D2A41F3"/>
    <w:rsid w:val="5D34772A"/>
    <w:rsid w:val="5D3C3250"/>
    <w:rsid w:val="5D3E70CC"/>
    <w:rsid w:val="5D412E9E"/>
    <w:rsid w:val="5D503C55"/>
    <w:rsid w:val="5D5531B4"/>
    <w:rsid w:val="5D56239D"/>
    <w:rsid w:val="5D5A7075"/>
    <w:rsid w:val="5D5D3619"/>
    <w:rsid w:val="5D5E4BD3"/>
    <w:rsid w:val="5D610FBA"/>
    <w:rsid w:val="5D73062F"/>
    <w:rsid w:val="5D7519FB"/>
    <w:rsid w:val="5D754359"/>
    <w:rsid w:val="5D7D61FF"/>
    <w:rsid w:val="5D7E072C"/>
    <w:rsid w:val="5D7F5B3F"/>
    <w:rsid w:val="5D8374DA"/>
    <w:rsid w:val="5D9043C5"/>
    <w:rsid w:val="5D917380"/>
    <w:rsid w:val="5D93012F"/>
    <w:rsid w:val="5D976281"/>
    <w:rsid w:val="5D9A1980"/>
    <w:rsid w:val="5D9F66F5"/>
    <w:rsid w:val="5DBF03EB"/>
    <w:rsid w:val="5DBF5867"/>
    <w:rsid w:val="5DBF740D"/>
    <w:rsid w:val="5DC04997"/>
    <w:rsid w:val="5DC53591"/>
    <w:rsid w:val="5DC85744"/>
    <w:rsid w:val="5DCF2F34"/>
    <w:rsid w:val="5DD2534B"/>
    <w:rsid w:val="5DE625F5"/>
    <w:rsid w:val="5DEB2D6E"/>
    <w:rsid w:val="5DF23751"/>
    <w:rsid w:val="5DF85FBA"/>
    <w:rsid w:val="5DFC2939"/>
    <w:rsid w:val="5E027BA8"/>
    <w:rsid w:val="5E0A0BB4"/>
    <w:rsid w:val="5E0A3A10"/>
    <w:rsid w:val="5E2860C8"/>
    <w:rsid w:val="5E2A0754"/>
    <w:rsid w:val="5E2B3F5E"/>
    <w:rsid w:val="5E38018F"/>
    <w:rsid w:val="5E384323"/>
    <w:rsid w:val="5E3B2009"/>
    <w:rsid w:val="5E3B3903"/>
    <w:rsid w:val="5E3C3CAB"/>
    <w:rsid w:val="5E3E2839"/>
    <w:rsid w:val="5E425E09"/>
    <w:rsid w:val="5E445E81"/>
    <w:rsid w:val="5E4E3305"/>
    <w:rsid w:val="5E561E50"/>
    <w:rsid w:val="5E6D2BC6"/>
    <w:rsid w:val="5E7516A9"/>
    <w:rsid w:val="5E757973"/>
    <w:rsid w:val="5E8B5B78"/>
    <w:rsid w:val="5E8D40BB"/>
    <w:rsid w:val="5E912506"/>
    <w:rsid w:val="5EA0790D"/>
    <w:rsid w:val="5EA20FD9"/>
    <w:rsid w:val="5EA96EBE"/>
    <w:rsid w:val="5EAC37CE"/>
    <w:rsid w:val="5EB47C6B"/>
    <w:rsid w:val="5EB505C8"/>
    <w:rsid w:val="5EB97BFE"/>
    <w:rsid w:val="5EBB4529"/>
    <w:rsid w:val="5EBC4050"/>
    <w:rsid w:val="5EBD6D92"/>
    <w:rsid w:val="5EC96260"/>
    <w:rsid w:val="5ECE4AD3"/>
    <w:rsid w:val="5ED90A4F"/>
    <w:rsid w:val="5EDB5760"/>
    <w:rsid w:val="5EF04834"/>
    <w:rsid w:val="5EF77A28"/>
    <w:rsid w:val="5EFA508F"/>
    <w:rsid w:val="5F1119B5"/>
    <w:rsid w:val="5F1A537B"/>
    <w:rsid w:val="5F1D3DA3"/>
    <w:rsid w:val="5F207D18"/>
    <w:rsid w:val="5F22545D"/>
    <w:rsid w:val="5F24765D"/>
    <w:rsid w:val="5F290D15"/>
    <w:rsid w:val="5F2B466E"/>
    <w:rsid w:val="5F4209AC"/>
    <w:rsid w:val="5F424C71"/>
    <w:rsid w:val="5F432EAB"/>
    <w:rsid w:val="5F4420C1"/>
    <w:rsid w:val="5F4E1724"/>
    <w:rsid w:val="5F58372D"/>
    <w:rsid w:val="5F5C17A0"/>
    <w:rsid w:val="5F654B11"/>
    <w:rsid w:val="5F6649D0"/>
    <w:rsid w:val="5F67640E"/>
    <w:rsid w:val="5F755CC4"/>
    <w:rsid w:val="5F7A430A"/>
    <w:rsid w:val="5F7F18C1"/>
    <w:rsid w:val="5F8124DD"/>
    <w:rsid w:val="5F8B58BB"/>
    <w:rsid w:val="5F903222"/>
    <w:rsid w:val="5F94225B"/>
    <w:rsid w:val="5F9840E4"/>
    <w:rsid w:val="5FA531E3"/>
    <w:rsid w:val="5FAB0881"/>
    <w:rsid w:val="5FB872AD"/>
    <w:rsid w:val="5FBA585B"/>
    <w:rsid w:val="5FC111DF"/>
    <w:rsid w:val="5FC14DD5"/>
    <w:rsid w:val="5FC634BE"/>
    <w:rsid w:val="5FCD1D80"/>
    <w:rsid w:val="5FD6077A"/>
    <w:rsid w:val="5FD91EC4"/>
    <w:rsid w:val="5FDA00BB"/>
    <w:rsid w:val="5FDC6830"/>
    <w:rsid w:val="5FE57F90"/>
    <w:rsid w:val="5FF842D2"/>
    <w:rsid w:val="5FF96B92"/>
    <w:rsid w:val="5FFF6B3B"/>
    <w:rsid w:val="60010018"/>
    <w:rsid w:val="60033EF8"/>
    <w:rsid w:val="60103832"/>
    <w:rsid w:val="6011375B"/>
    <w:rsid w:val="60170FDD"/>
    <w:rsid w:val="601A4CAC"/>
    <w:rsid w:val="602A33E5"/>
    <w:rsid w:val="602D12EB"/>
    <w:rsid w:val="602D6562"/>
    <w:rsid w:val="60354303"/>
    <w:rsid w:val="60381E7E"/>
    <w:rsid w:val="603B39E3"/>
    <w:rsid w:val="603B4F3C"/>
    <w:rsid w:val="603D123C"/>
    <w:rsid w:val="60405096"/>
    <w:rsid w:val="60430916"/>
    <w:rsid w:val="60433F1A"/>
    <w:rsid w:val="604638DA"/>
    <w:rsid w:val="604B2C00"/>
    <w:rsid w:val="60531BBE"/>
    <w:rsid w:val="605A2653"/>
    <w:rsid w:val="605B16EF"/>
    <w:rsid w:val="606030AA"/>
    <w:rsid w:val="60643273"/>
    <w:rsid w:val="607029FA"/>
    <w:rsid w:val="60820079"/>
    <w:rsid w:val="60866FAA"/>
    <w:rsid w:val="608951D9"/>
    <w:rsid w:val="608A3E83"/>
    <w:rsid w:val="60911AB1"/>
    <w:rsid w:val="60914E6D"/>
    <w:rsid w:val="609414E9"/>
    <w:rsid w:val="609D4A67"/>
    <w:rsid w:val="60AB53BD"/>
    <w:rsid w:val="60AE1332"/>
    <w:rsid w:val="60B06382"/>
    <w:rsid w:val="60B238E8"/>
    <w:rsid w:val="60C56A58"/>
    <w:rsid w:val="60CD4D70"/>
    <w:rsid w:val="60D05951"/>
    <w:rsid w:val="60D50E41"/>
    <w:rsid w:val="60E40FCB"/>
    <w:rsid w:val="60E727D0"/>
    <w:rsid w:val="60F431B6"/>
    <w:rsid w:val="60F80E08"/>
    <w:rsid w:val="60F80F7E"/>
    <w:rsid w:val="61101393"/>
    <w:rsid w:val="6117277E"/>
    <w:rsid w:val="613624C4"/>
    <w:rsid w:val="613B28D7"/>
    <w:rsid w:val="613C2142"/>
    <w:rsid w:val="61411BD9"/>
    <w:rsid w:val="6144456B"/>
    <w:rsid w:val="61520F1C"/>
    <w:rsid w:val="615858BA"/>
    <w:rsid w:val="615C2A71"/>
    <w:rsid w:val="6160403F"/>
    <w:rsid w:val="61620211"/>
    <w:rsid w:val="61647FDF"/>
    <w:rsid w:val="616D3F1F"/>
    <w:rsid w:val="616F7D6C"/>
    <w:rsid w:val="617B185C"/>
    <w:rsid w:val="6182718B"/>
    <w:rsid w:val="61880512"/>
    <w:rsid w:val="618B6600"/>
    <w:rsid w:val="618F3B50"/>
    <w:rsid w:val="619176D1"/>
    <w:rsid w:val="6195428F"/>
    <w:rsid w:val="619B1D96"/>
    <w:rsid w:val="619E3328"/>
    <w:rsid w:val="61A84FD3"/>
    <w:rsid w:val="61AD6547"/>
    <w:rsid w:val="61B629E5"/>
    <w:rsid w:val="61BA64FF"/>
    <w:rsid w:val="61BE455F"/>
    <w:rsid w:val="61C16E98"/>
    <w:rsid w:val="61CC3C3E"/>
    <w:rsid w:val="61D2367E"/>
    <w:rsid w:val="61D47155"/>
    <w:rsid w:val="61D67110"/>
    <w:rsid w:val="61D758C9"/>
    <w:rsid w:val="61E044C2"/>
    <w:rsid w:val="61E54BC6"/>
    <w:rsid w:val="61E61E86"/>
    <w:rsid w:val="61F01861"/>
    <w:rsid w:val="61F14599"/>
    <w:rsid w:val="61FA0D76"/>
    <w:rsid w:val="61FD12D7"/>
    <w:rsid w:val="6202633D"/>
    <w:rsid w:val="62067684"/>
    <w:rsid w:val="62072558"/>
    <w:rsid w:val="620956CC"/>
    <w:rsid w:val="620B0F65"/>
    <w:rsid w:val="620B564C"/>
    <w:rsid w:val="620D48D5"/>
    <w:rsid w:val="62125C14"/>
    <w:rsid w:val="622802D4"/>
    <w:rsid w:val="622C60B8"/>
    <w:rsid w:val="622F0784"/>
    <w:rsid w:val="62365A7B"/>
    <w:rsid w:val="62421627"/>
    <w:rsid w:val="62434609"/>
    <w:rsid w:val="624779E5"/>
    <w:rsid w:val="62487455"/>
    <w:rsid w:val="624A7EEB"/>
    <w:rsid w:val="62516C98"/>
    <w:rsid w:val="625A4EAE"/>
    <w:rsid w:val="62632E08"/>
    <w:rsid w:val="626544F2"/>
    <w:rsid w:val="627358D5"/>
    <w:rsid w:val="6276629E"/>
    <w:rsid w:val="627F535F"/>
    <w:rsid w:val="62861B77"/>
    <w:rsid w:val="6287237F"/>
    <w:rsid w:val="628841ED"/>
    <w:rsid w:val="62894017"/>
    <w:rsid w:val="628D497B"/>
    <w:rsid w:val="62915BF9"/>
    <w:rsid w:val="62935911"/>
    <w:rsid w:val="629F4FFC"/>
    <w:rsid w:val="62AE35A5"/>
    <w:rsid w:val="62AF758F"/>
    <w:rsid w:val="62B74707"/>
    <w:rsid w:val="62C4751A"/>
    <w:rsid w:val="62C50258"/>
    <w:rsid w:val="62C70051"/>
    <w:rsid w:val="62CC1A55"/>
    <w:rsid w:val="62D033D7"/>
    <w:rsid w:val="62D24E91"/>
    <w:rsid w:val="62D56E87"/>
    <w:rsid w:val="62D64631"/>
    <w:rsid w:val="62DB42A1"/>
    <w:rsid w:val="62DC7633"/>
    <w:rsid w:val="62E4189E"/>
    <w:rsid w:val="62EE67EA"/>
    <w:rsid w:val="62F12229"/>
    <w:rsid w:val="6300533B"/>
    <w:rsid w:val="63005D3D"/>
    <w:rsid w:val="630F3E93"/>
    <w:rsid w:val="631779FB"/>
    <w:rsid w:val="63181EE7"/>
    <w:rsid w:val="631D0BDB"/>
    <w:rsid w:val="632150B7"/>
    <w:rsid w:val="63282367"/>
    <w:rsid w:val="63292FE2"/>
    <w:rsid w:val="633964F5"/>
    <w:rsid w:val="633E4EBA"/>
    <w:rsid w:val="6340727D"/>
    <w:rsid w:val="634250D9"/>
    <w:rsid w:val="63436FC8"/>
    <w:rsid w:val="634B54BD"/>
    <w:rsid w:val="634B676D"/>
    <w:rsid w:val="634E6CAB"/>
    <w:rsid w:val="634F4786"/>
    <w:rsid w:val="636176EE"/>
    <w:rsid w:val="63654F5B"/>
    <w:rsid w:val="6365621B"/>
    <w:rsid w:val="63690152"/>
    <w:rsid w:val="636B401B"/>
    <w:rsid w:val="636D5B47"/>
    <w:rsid w:val="637356EA"/>
    <w:rsid w:val="63743354"/>
    <w:rsid w:val="63774C12"/>
    <w:rsid w:val="637A1D49"/>
    <w:rsid w:val="637D4470"/>
    <w:rsid w:val="63827325"/>
    <w:rsid w:val="638A3FB7"/>
    <w:rsid w:val="63AB6274"/>
    <w:rsid w:val="63B252AA"/>
    <w:rsid w:val="63B268A4"/>
    <w:rsid w:val="63BF01CA"/>
    <w:rsid w:val="63C26F97"/>
    <w:rsid w:val="63CA60A7"/>
    <w:rsid w:val="63D81139"/>
    <w:rsid w:val="63DA30BD"/>
    <w:rsid w:val="63DE1E1F"/>
    <w:rsid w:val="63DF7591"/>
    <w:rsid w:val="64081F0B"/>
    <w:rsid w:val="640A7E6F"/>
    <w:rsid w:val="640D5592"/>
    <w:rsid w:val="640F111D"/>
    <w:rsid w:val="6415471B"/>
    <w:rsid w:val="64184A94"/>
    <w:rsid w:val="641C62B2"/>
    <w:rsid w:val="641C6342"/>
    <w:rsid w:val="641D5D90"/>
    <w:rsid w:val="642A4A6F"/>
    <w:rsid w:val="642A69E2"/>
    <w:rsid w:val="642E14F0"/>
    <w:rsid w:val="643423CE"/>
    <w:rsid w:val="644106C9"/>
    <w:rsid w:val="64487864"/>
    <w:rsid w:val="644B7717"/>
    <w:rsid w:val="6455416E"/>
    <w:rsid w:val="645A2BDF"/>
    <w:rsid w:val="645E43AA"/>
    <w:rsid w:val="64675F8C"/>
    <w:rsid w:val="646908DC"/>
    <w:rsid w:val="64691297"/>
    <w:rsid w:val="647E2BEE"/>
    <w:rsid w:val="64821DEA"/>
    <w:rsid w:val="6484560E"/>
    <w:rsid w:val="648834FC"/>
    <w:rsid w:val="64933326"/>
    <w:rsid w:val="649A0BB7"/>
    <w:rsid w:val="649E604B"/>
    <w:rsid w:val="64A20B38"/>
    <w:rsid w:val="64A25691"/>
    <w:rsid w:val="64B132E4"/>
    <w:rsid w:val="64B47BFE"/>
    <w:rsid w:val="64BF5725"/>
    <w:rsid w:val="64C202A5"/>
    <w:rsid w:val="64C52170"/>
    <w:rsid w:val="64C82295"/>
    <w:rsid w:val="64CD091C"/>
    <w:rsid w:val="64CF6384"/>
    <w:rsid w:val="64D578D7"/>
    <w:rsid w:val="64D72494"/>
    <w:rsid w:val="64D76205"/>
    <w:rsid w:val="64D9683E"/>
    <w:rsid w:val="64E2648D"/>
    <w:rsid w:val="64E45FE6"/>
    <w:rsid w:val="64EA01BF"/>
    <w:rsid w:val="64EE4C72"/>
    <w:rsid w:val="64EF2F60"/>
    <w:rsid w:val="64F6737C"/>
    <w:rsid w:val="650A3BF1"/>
    <w:rsid w:val="650A6B91"/>
    <w:rsid w:val="650A7524"/>
    <w:rsid w:val="650C1046"/>
    <w:rsid w:val="650C1B96"/>
    <w:rsid w:val="650C3283"/>
    <w:rsid w:val="65146114"/>
    <w:rsid w:val="651B2C2A"/>
    <w:rsid w:val="652930F2"/>
    <w:rsid w:val="65305B8D"/>
    <w:rsid w:val="653921B1"/>
    <w:rsid w:val="653C59A6"/>
    <w:rsid w:val="653E5583"/>
    <w:rsid w:val="653F64B5"/>
    <w:rsid w:val="65442CBA"/>
    <w:rsid w:val="65513C14"/>
    <w:rsid w:val="65584095"/>
    <w:rsid w:val="65631397"/>
    <w:rsid w:val="656514DA"/>
    <w:rsid w:val="65707C2C"/>
    <w:rsid w:val="6572029D"/>
    <w:rsid w:val="65741979"/>
    <w:rsid w:val="65744A4C"/>
    <w:rsid w:val="65752392"/>
    <w:rsid w:val="657F2E63"/>
    <w:rsid w:val="65853AE9"/>
    <w:rsid w:val="658729D1"/>
    <w:rsid w:val="658D62E6"/>
    <w:rsid w:val="659805C0"/>
    <w:rsid w:val="659A1697"/>
    <w:rsid w:val="659D1B27"/>
    <w:rsid w:val="65A5705B"/>
    <w:rsid w:val="65A87423"/>
    <w:rsid w:val="65AA4C86"/>
    <w:rsid w:val="65B43AEC"/>
    <w:rsid w:val="65BB400B"/>
    <w:rsid w:val="65CE0C9E"/>
    <w:rsid w:val="65DB009A"/>
    <w:rsid w:val="65DD32BC"/>
    <w:rsid w:val="65E21CCA"/>
    <w:rsid w:val="65E816C2"/>
    <w:rsid w:val="65EC32E5"/>
    <w:rsid w:val="65F061C8"/>
    <w:rsid w:val="65F441B3"/>
    <w:rsid w:val="65FD4589"/>
    <w:rsid w:val="65FF7A90"/>
    <w:rsid w:val="66003EE4"/>
    <w:rsid w:val="66070283"/>
    <w:rsid w:val="660B3E3D"/>
    <w:rsid w:val="660C6E9F"/>
    <w:rsid w:val="66191177"/>
    <w:rsid w:val="6619154B"/>
    <w:rsid w:val="66255BFF"/>
    <w:rsid w:val="662639BA"/>
    <w:rsid w:val="662B77A0"/>
    <w:rsid w:val="662F01E1"/>
    <w:rsid w:val="6630148C"/>
    <w:rsid w:val="66447EBD"/>
    <w:rsid w:val="66475647"/>
    <w:rsid w:val="664775F0"/>
    <w:rsid w:val="664B6F71"/>
    <w:rsid w:val="664E23DC"/>
    <w:rsid w:val="664E2757"/>
    <w:rsid w:val="664F3D0B"/>
    <w:rsid w:val="6652062B"/>
    <w:rsid w:val="665925BF"/>
    <w:rsid w:val="665C1474"/>
    <w:rsid w:val="66615364"/>
    <w:rsid w:val="66731E80"/>
    <w:rsid w:val="66831332"/>
    <w:rsid w:val="6684638D"/>
    <w:rsid w:val="66860FFF"/>
    <w:rsid w:val="668F2D4B"/>
    <w:rsid w:val="6697363C"/>
    <w:rsid w:val="66A75076"/>
    <w:rsid w:val="66D13795"/>
    <w:rsid w:val="66D7487B"/>
    <w:rsid w:val="66E5153A"/>
    <w:rsid w:val="66E71872"/>
    <w:rsid w:val="66F2311B"/>
    <w:rsid w:val="66F66060"/>
    <w:rsid w:val="66F66888"/>
    <w:rsid w:val="66F727EF"/>
    <w:rsid w:val="66F77E3C"/>
    <w:rsid w:val="66F8124E"/>
    <w:rsid w:val="66FD3534"/>
    <w:rsid w:val="66FF280D"/>
    <w:rsid w:val="66FF5A8F"/>
    <w:rsid w:val="670D6659"/>
    <w:rsid w:val="671026CD"/>
    <w:rsid w:val="671A2E3A"/>
    <w:rsid w:val="671B753A"/>
    <w:rsid w:val="672226B7"/>
    <w:rsid w:val="6724186C"/>
    <w:rsid w:val="6728770F"/>
    <w:rsid w:val="672D4731"/>
    <w:rsid w:val="672F3320"/>
    <w:rsid w:val="673858C6"/>
    <w:rsid w:val="673C7357"/>
    <w:rsid w:val="674C7A41"/>
    <w:rsid w:val="674E7649"/>
    <w:rsid w:val="6755619C"/>
    <w:rsid w:val="67560FE1"/>
    <w:rsid w:val="675B102C"/>
    <w:rsid w:val="675B7579"/>
    <w:rsid w:val="675D55A7"/>
    <w:rsid w:val="675F2192"/>
    <w:rsid w:val="676845C8"/>
    <w:rsid w:val="676B1118"/>
    <w:rsid w:val="676B22CD"/>
    <w:rsid w:val="67746652"/>
    <w:rsid w:val="677A47BB"/>
    <w:rsid w:val="677B3668"/>
    <w:rsid w:val="677C15A0"/>
    <w:rsid w:val="677F65D8"/>
    <w:rsid w:val="67802EFA"/>
    <w:rsid w:val="678802ED"/>
    <w:rsid w:val="67961046"/>
    <w:rsid w:val="67980139"/>
    <w:rsid w:val="679876DF"/>
    <w:rsid w:val="679B2F2F"/>
    <w:rsid w:val="67A23989"/>
    <w:rsid w:val="67A74E48"/>
    <w:rsid w:val="67B52822"/>
    <w:rsid w:val="67C1688A"/>
    <w:rsid w:val="67CA36CD"/>
    <w:rsid w:val="67CB5AE3"/>
    <w:rsid w:val="67CB7E43"/>
    <w:rsid w:val="67D01EEE"/>
    <w:rsid w:val="67D05F56"/>
    <w:rsid w:val="67D11F53"/>
    <w:rsid w:val="67DF56A4"/>
    <w:rsid w:val="67E01BA5"/>
    <w:rsid w:val="67E03808"/>
    <w:rsid w:val="67E97759"/>
    <w:rsid w:val="67EB0B9E"/>
    <w:rsid w:val="68006EC8"/>
    <w:rsid w:val="681346F9"/>
    <w:rsid w:val="68160DEC"/>
    <w:rsid w:val="68295146"/>
    <w:rsid w:val="682B0D20"/>
    <w:rsid w:val="6836153B"/>
    <w:rsid w:val="683A21CA"/>
    <w:rsid w:val="683E1810"/>
    <w:rsid w:val="683E47B8"/>
    <w:rsid w:val="683F7AD2"/>
    <w:rsid w:val="6840762F"/>
    <w:rsid w:val="68420858"/>
    <w:rsid w:val="68444971"/>
    <w:rsid w:val="684921C0"/>
    <w:rsid w:val="684B55E1"/>
    <w:rsid w:val="685112E9"/>
    <w:rsid w:val="68514113"/>
    <w:rsid w:val="685F0A3E"/>
    <w:rsid w:val="68607763"/>
    <w:rsid w:val="686C4C12"/>
    <w:rsid w:val="686F092D"/>
    <w:rsid w:val="6874626F"/>
    <w:rsid w:val="68757459"/>
    <w:rsid w:val="68794E8B"/>
    <w:rsid w:val="687B1AA8"/>
    <w:rsid w:val="687F00C0"/>
    <w:rsid w:val="6890596A"/>
    <w:rsid w:val="68941AA2"/>
    <w:rsid w:val="689533A1"/>
    <w:rsid w:val="6895507A"/>
    <w:rsid w:val="68965998"/>
    <w:rsid w:val="689662FB"/>
    <w:rsid w:val="689D2BEF"/>
    <w:rsid w:val="689F675E"/>
    <w:rsid w:val="68A20A77"/>
    <w:rsid w:val="68A5620C"/>
    <w:rsid w:val="68B27D65"/>
    <w:rsid w:val="68BE495C"/>
    <w:rsid w:val="68CD0A14"/>
    <w:rsid w:val="68D3413B"/>
    <w:rsid w:val="68D35B80"/>
    <w:rsid w:val="68D75378"/>
    <w:rsid w:val="68EA3C2B"/>
    <w:rsid w:val="68F7266A"/>
    <w:rsid w:val="68FD6E33"/>
    <w:rsid w:val="6903697B"/>
    <w:rsid w:val="691B586A"/>
    <w:rsid w:val="691E41B2"/>
    <w:rsid w:val="692B6129"/>
    <w:rsid w:val="692F6AA9"/>
    <w:rsid w:val="69332C99"/>
    <w:rsid w:val="69341180"/>
    <w:rsid w:val="6934737D"/>
    <w:rsid w:val="693518FB"/>
    <w:rsid w:val="693A7736"/>
    <w:rsid w:val="693C7BB9"/>
    <w:rsid w:val="693F7551"/>
    <w:rsid w:val="69440784"/>
    <w:rsid w:val="69465531"/>
    <w:rsid w:val="6947220C"/>
    <w:rsid w:val="69482477"/>
    <w:rsid w:val="69560380"/>
    <w:rsid w:val="695738BD"/>
    <w:rsid w:val="695D7D9C"/>
    <w:rsid w:val="697E134C"/>
    <w:rsid w:val="69A52143"/>
    <w:rsid w:val="69B4541D"/>
    <w:rsid w:val="69BA0787"/>
    <w:rsid w:val="69BB50CC"/>
    <w:rsid w:val="69BC5770"/>
    <w:rsid w:val="69C4397C"/>
    <w:rsid w:val="69CB3757"/>
    <w:rsid w:val="69CF221A"/>
    <w:rsid w:val="69CF257E"/>
    <w:rsid w:val="69D71C14"/>
    <w:rsid w:val="69D96B71"/>
    <w:rsid w:val="69E11ACF"/>
    <w:rsid w:val="69E70017"/>
    <w:rsid w:val="69E74168"/>
    <w:rsid w:val="69E90419"/>
    <w:rsid w:val="69ED4E05"/>
    <w:rsid w:val="69FD3A97"/>
    <w:rsid w:val="6A034FCE"/>
    <w:rsid w:val="6A07144C"/>
    <w:rsid w:val="6A0C65D5"/>
    <w:rsid w:val="6A0E7AE3"/>
    <w:rsid w:val="6A144D11"/>
    <w:rsid w:val="6A171A02"/>
    <w:rsid w:val="6A1908E3"/>
    <w:rsid w:val="6A1D1985"/>
    <w:rsid w:val="6A1E0C4C"/>
    <w:rsid w:val="6A2076C3"/>
    <w:rsid w:val="6A240F66"/>
    <w:rsid w:val="6A3047AA"/>
    <w:rsid w:val="6A381952"/>
    <w:rsid w:val="6A420882"/>
    <w:rsid w:val="6A436049"/>
    <w:rsid w:val="6A4A6A21"/>
    <w:rsid w:val="6A4E7B99"/>
    <w:rsid w:val="6A523FB5"/>
    <w:rsid w:val="6A525926"/>
    <w:rsid w:val="6A5273D1"/>
    <w:rsid w:val="6A543885"/>
    <w:rsid w:val="6A57091D"/>
    <w:rsid w:val="6A6910C1"/>
    <w:rsid w:val="6A7171D7"/>
    <w:rsid w:val="6A750AE2"/>
    <w:rsid w:val="6A782BBF"/>
    <w:rsid w:val="6A803564"/>
    <w:rsid w:val="6A88614A"/>
    <w:rsid w:val="6A8A5C7F"/>
    <w:rsid w:val="6A8D7B0B"/>
    <w:rsid w:val="6A8F16D0"/>
    <w:rsid w:val="6A903F85"/>
    <w:rsid w:val="6A9D776B"/>
    <w:rsid w:val="6A9F22CE"/>
    <w:rsid w:val="6AAD3DCE"/>
    <w:rsid w:val="6ABC585C"/>
    <w:rsid w:val="6ABD0EED"/>
    <w:rsid w:val="6AC133C0"/>
    <w:rsid w:val="6AC974D8"/>
    <w:rsid w:val="6ACF3D34"/>
    <w:rsid w:val="6AD30254"/>
    <w:rsid w:val="6AD64D5C"/>
    <w:rsid w:val="6AD77D3B"/>
    <w:rsid w:val="6AD85FE7"/>
    <w:rsid w:val="6AD87AE0"/>
    <w:rsid w:val="6AD93742"/>
    <w:rsid w:val="6AE875B9"/>
    <w:rsid w:val="6AEB7E41"/>
    <w:rsid w:val="6AED195F"/>
    <w:rsid w:val="6AED3F22"/>
    <w:rsid w:val="6AEE0ED6"/>
    <w:rsid w:val="6AEE38D8"/>
    <w:rsid w:val="6AF200A6"/>
    <w:rsid w:val="6AF512F4"/>
    <w:rsid w:val="6AF9600E"/>
    <w:rsid w:val="6AFB68EC"/>
    <w:rsid w:val="6AFD51CF"/>
    <w:rsid w:val="6AFD5828"/>
    <w:rsid w:val="6B0C4EA8"/>
    <w:rsid w:val="6B1A4248"/>
    <w:rsid w:val="6B1E7C2F"/>
    <w:rsid w:val="6B2016EB"/>
    <w:rsid w:val="6B2018FE"/>
    <w:rsid w:val="6B202B98"/>
    <w:rsid w:val="6B2F380D"/>
    <w:rsid w:val="6B337D77"/>
    <w:rsid w:val="6B370BDA"/>
    <w:rsid w:val="6B451619"/>
    <w:rsid w:val="6B4F2441"/>
    <w:rsid w:val="6B5837AB"/>
    <w:rsid w:val="6B6429DD"/>
    <w:rsid w:val="6B661536"/>
    <w:rsid w:val="6B673E74"/>
    <w:rsid w:val="6B6C6E76"/>
    <w:rsid w:val="6B743A82"/>
    <w:rsid w:val="6B7F1B93"/>
    <w:rsid w:val="6B883FF8"/>
    <w:rsid w:val="6B8D46FD"/>
    <w:rsid w:val="6B8E7A00"/>
    <w:rsid w:val="6B904C01"/>
    <w:rsid w:val="6B926010"/>
    <w:rsid w:val="6B931943"/>
    <w:rsid w:val="6B9419A4"/>
    <w:rsid w:val="6B970D25"/>
    <w:rsid w:val="6B9C6539"/>
    <w:rsid w:val="6B9F6E02"/>
    <w:rsid w:val="6BA31BB1"/>
    <w:rsid w:val="6BA5131C"/>
    <w:rsid w:val="6BAA7061"/>
    <w:rsid w:val="6BBA1542"/>
    <w:rsid w:val="6BBD6A19"/>
    <w:rsid w:val="6BC26511"/>
    <w:rsid w:val="6BC951EB"/>
    <w:rsid w:val="6BC9782A"/>
    <w:rsid w:val="6BCF454E"/>
    <w:rsid w:val="6BD565AB"/>
    <w:rsid w:val="6BDB3A77"/>
    <w:rsid w:val="6BE52720"/>
    <w:rsid w:val="6BF27AA5"/>
    <w:rsid w:val="6BF94813"/>
    <w:rsid w:val="6C116FC8"/>
    <w:rsid w:val="6C1F3FF4"/>
    <w:rsid w:val="6C3111D6"/>
    <w:rsid w:val="6C312507"/>
    <w:rsid w:val="6C3702A4"/>
    <w:rsid w:val="6C394FC3"/>
    <w:rsid w:val="6C3D0992"/>
    <w:rsid w:val="6C441988"/>
    <w:rsid w:val="6C467A32"/>
    <w:rsid w:val="6C481D33"/>
    <w:rsid w:val="6C492842"/>
    <w:rsid w:val="6C4A6009"/>
    <w:rsid w:val="6C4F21FC"/>
    <w:rsid w:val="6C570557"/>
    <w:rsid w:val="6C735652"/>
    <w:rsid w:val="6C7F5660"/>
    <w:rsid w:val="6C851344"/>
    <w:rsid w:val="6C857B97"/>
    <w:rsid w:val="6C891D4F"/>
    <w:rsid w:val="6C8A2C02"/>
    <w:rsid w:val="6C976618"/>
    <w:rsid w:val="6CA21B6A"/>
    <w:rsid w:val="6CA95E8E"/>
    <w:rsid w:val="6CAD5319"/>
    <w:rsid w:val="6CAF490C"/>
    <w:rsid w:val="6CB04EC5"/>
    <w:rsid w:val="6CBD2908"/>
    <w:rsid w:val="6CC12C6C"/>
    <w:rsid w:val="6CC9331B"/>
    <w:rsid w:val="6CD401EC"/>
    <w:rsid w:val="6CE9267E"/>
    <w:rsid w:val="6CED230E"/>
    <w:rsid w:val="6CED2B28"/>
    <w:rsid w:val="6CF03AEE"/>
    <w:rsid w:val="6CF3094C"/>
    <w:rsid w:val="6CF91D8C"/>
    <w:rsid w:val="6D051620"/>
    <w:rsid w:val="6D075075"/>
    <w:rsid w:val="6D08270F"/>
    <w:rsid w:val="6D1652A1"/>
    <w:rsid w:val="6D1949C9"/>
    <w:rsid w:val="6D1C4347"/>
    <w:rsid w:val="6D23603C"/>
    <w:rsid w:val="6D2A4F0D"/>
    <w:rsid w:val="6D2C31D6"/>
    <w:rsid w:val="6D330529"/>
    <w:rsid w:val="6D3C511D"/>
    <w:rsid w:val="6D3F766C"/>
    <w:rsid w:val="6D5652DD"/>
    <w:rsid w:val="6D5768B7"/>
    <w:rsid w:val="6D5A3393"/>
    <w:rsid w:val="6D683D05"/>
    <w:rsid w:val="6D6A2C2F"/>
    <w:rsid w:val="6D6B5B7D"/>
    <w:rsid w:val="6D6F77F1"/>
    <w:rsid w:val="6D7C77B7"/>
    <w:rsid w:val="6D7E02BC"/>
    <w:rsid w:val="6D7E5FDA"/>
    <w:rsid w:val="6D8048D6"/>
    <w:rsid w:val="6D8220DA"/>
    <w:rsid w:val="6D8D385C"/>
    <w:rsid w:val="6D8E4518"/>
    <w:rsid w:val="6D951ED6"/>
    <w:rsid w:val="6D9B1CAE"/>
    <w:rsid w:val="6D9B756E"/>
    <w:rsid w:val="6DA27507"/>
    <w:rsid w:val="6DB207D0"/>
    <w:rsid w:val="6DBC5712"/>
    <w:rsid w:val="6DBE64B8"/>
    <w:rsid w:val="6DCC6136"/>
    <w:rsid w:val="6DD8502D"/>
    <w:rsid w:val="6DDC381E"/>
    <w:rsid w:val="6DE005A7"/>
    <w:rsid w:val="6DE24784"/>
    <w:rsid w:val="6DE32556"/>
    <w:rsid w:val="6DE42232"/>
    <w:rsid w:val="6DE925CC"/>
    <w:rsid w:val="6DE9770C"/>
    <w:rsid w:val="6DF63386"/>
    <w:rsid w:val="6E0018F5"/>
    <w:rsid w:val="6E0C43BB"/>
    <w:rsid w:val="6E115DE8"/>
    <w:rsid w:val="6E142D35"/>
    <w:rsid w:val="6E151D5A"/>
    <w:rsid w:val="6E171279"/>
    <w:rsid w:val="6E1F4036"/>
    <w:rsid w:val="6E2128BE"/>
    <w:rsid w:val="6E246E46"/>
    <w:rsid w:val="6E297B9D"/>
    <w:rsid w:val="6E2F1C57"/>
    <w:rsid w:val="6E3418C4"/>
    <w:rsid w:val="6E533829"/>
    <w:rsid w:val="6E5D013A"/>
    <w:rsid w:val="6E605C81"/>
    <w:rsid w:val="6E614566"/>
    <w:rsid w:val="6E712C93"/>
    <w:rsid w:val="6E7837FF"/>
    <w:rsid w:val="6E7B658E"/>
    <w:rsid w:val="6E8E2CF2"/>
    <w:rsid w:val="6E8E6E5B"/>
    <w:rsid w:val="6E94767F"/>
    <w:rsid w:val="6E991824"/>
    <w:rsid w:val="6E9947B3"/>
    <w:rsid w:val="6E9A775F"/>
    <w:rsid w:val="6E9E3FA6"/>
    <w:rsid w:val="6E9F03D8"/>
    <w:rsid w:val="6EB650EC"/>
    <w:rsid w:val="6EBF45C8"/>
    <w:rsid w:val="6EC06586"/>
    <w:rsid w:val="6EC627BC"/>
    <w:rsid w:val="6ED042F3"/>
    <w:rsid w:val="6EDF562C"/>
    <w:rsid w:val="6EE3488B"/>
    <w:rsid w:val="6EEA2389"/>
    <w:rsid w:val="6EF1606D"/>
    <w:rsid w:val="6EF71452"/>
    <w:rsid w:val="6EF8049C"/>
    <w:rsid w:val="6EF86CF7"/>
    <w:rsid w:val="6EFB1A58"/>
    <w:rsid w:val="6F036E5D"/>
    <w:rsid w:val="6F050BC0"/>
    <w:rsid w:val="6F097FDF"/>
    <w:rsid w:val="6F0D1CD6"/>
    <w:rsid w:val="6F0F4C4D"/>
    <w:rsid w:val="6F1632A2"/>
    <w:rsid w:val="6F1B6F81"/>
    <w:rsid w:val="6F1E7E69"/>
    <w:rsid w:val="6F2868C8"/>
    <w:rsid w:val="6F293789"/>
    <w:rsid w:val="6F2B0496"/>
    <w:rsid w:val="6F2C5348"/>
    <w:rsid w:val="6F2F090E"/>
    <w:rsid w:val="6F3177DA"/>
    <w:rsid w:val="6F324291"/>
    <w:rsid w:val="6F433E0D"/>
    <w:rsid w:val="6F440A27"/>
    <w:rsid w:val="6F4C4C5B"/>
    <w:rsid w:val="6F5615D5"/>
    <w:rsid w:val="6F5942E0"/>
    <w:rsid w:val="6F5F2937"/>
    <w:rsid w:val="6F6B7A4C"/>
    <w:rsid w:val="6F6E46E3"/>
    <w:rsid w:val="6F845B49"/>
    <w:rsid w:val="6F882B72"/>
    <w:rsid w:val="6F8D6EEC"/>
    <w:rsid w:val="6F8F4E86"/>
    <w:rsid w:val="6F986339"/>
    <w:rsid w:val="6FB62831"/>
    <w:rsid w:val="6FB63D4C"/>
    <w:rsid w:val="6FB64E3E"/>
    <w:rsid w:val="6FBD0418"/>
    <w:rsid w:val="6FC00934"/>
    <w:rsid w:val="6FC048BC"/>
    <w:rsid w:val="6FC70A73"/>
    <w:rsid w:val="6FCB24DF"/>
    <w:rsid w:val="6FCE7B7A"/>
    <w:rsid w:val="6FD5651B"/>
    <w:rsid w:val="6FD66065"/>
    <w:rsid w:val="6FD7411F"/>
    <w:rsid w:val="6FDD4897"/>
    <w:rsid w:val="6FEA1419"/>
    <w:rsid w:val="6FEF0689"/>
    <w:rsid w:val="6FFD46A9"/>
    <w:rsid w:val="70041191"/>
    <w:rsid w:val="70055A2E"/>
    <w:rsid w:val="70094861"/>
    <w:rsid w:val="700A50BB"/>
    <w:rsid w:val="70116EF3"/>
    <w:rsid w:val="701A5543"/>
    <w:rsid w:val="70271646"/>
    <w:rsid w:val="702A3801"/>
    <w:rsid w:val="70445721"/>
    <w:rsid w:val="70532079"/>
    <w:rsid w:val="705423B6"/>
    <w:rsid w:val="706F76FE"/>
    <w:rsid w:val="707137F1"/>
    <w:rsid w:val="70732A2D"/>
    <w:rsid w:val="70766CF4"/>
    <w:rsid w:val="70793012"/>
    <w:rsid w:val="70803921"/>
    <w:rsid w:val="70881160"/>
    <w:rsid w:val="708D466D"/>
    <w:rsid w:val="70904285"/>
    <w:rsid w:val="7096018B"/>
    <w:rsid w:val="7098290A"/>
    <w:rsid w:val="70983EB2"/>
    <w:rsid w:val="709D2060"/>
    <w:rsid w:val="70AA0F73"/>
    <w:rsid w:val="70B227A5"/>
    <w:rsid w:val="70B84826"/>
    <w:rsid w:val="70C25F11"/>
    <w:rsid w:val="70C75C1B"/>
    <w:rsid w:val="70CB4C66"/>
    <w:rsid w:val="70D07E34"/>
    <w:rsid w:val="70D1066A"/>
    <w:rsid w:val="70D14DB1"/>
    <w:rsid w:val="70D16F57"/>
    <w:rsid w:val="70DE2209"/>
    <w:rsid w:val="70DF3249"/>
    <w:rsid w:val="70E06E29"/>
    <w:rsid w:val="70EC5AB1"/>
    <w:rsid w:val="70F0560F"/>
    <w:rsid w:val="70F72A90"/>
    <w:rsid w:val="70F93503"/>
    <w:rsid w:val="70FB2298"/>
    <w:rsid w:val="710362F6"/>
    <w:rsid w:val="71073280"/>
    <w:rsid w:val="71092F0B"/>
    <w:rsid w:val="71184DA3"/>
    <w:rsid w:val="711C3351"/>
    <w:rsid w:val="71276BFD"/>
    <w:rsid w:val="712C665B"/>
    <w:rsid w:val="713A50AD"/>
    <w:rsid w:val="713E37CA"/>
    <w:rsid w:val="71415607"/>
    <w:rsid w:val="71480353"/>
    <w:rsid w:val="71497D42"/>
    <w:rsid w:val="714E0C12"/>
    <w:rsid w:val="71533507"/>
    <w:rsid w:val="716B53BA"/>
    <w:rsid w:val="716C7460"/>
    <w:rsid w:val="71811901"/>
    <w:rsid w:val="71815A56"/>
    <w:rsid w:val="718657BA"/>
    <w:rsid w:val="718A2D0C"/>
    <w:rsid w:val="718C51B4"/>
    <w:rsid w:val="71914168"/>
    <w:rsid w:val="71940B11"/>
    <w:rsid w:val="719C0C58"/>
    <w:rsid w:val="71AD4DCE"/>
    <w:rsid w:val="71B61B68"/>
    <w:rsid w:val="71BC3A02"/>
    <w:rsid w:val="71BC7B23"/>
    <w:rsid w:val="71C52870"/>
    <w:rsid w:val="71CA2F8E"/>
    <w:rsid w:val="71CB1C7C"/>
    <w:rsid w:val="71CB2952"/>
    <w:rsid w:val="71D04246"/>
    <w:rsid w:val="71D747B4"/>
    <w:rsid w:val="71D93505"/>
    <w:rsid w:val="71E70440"/>
    <w:rsid w:val="71FF242D"/>
    <w:rsid w:val="7201728A"/>
    <w:rsid w:val="720965F3"/>
    <w:rsid w:val="72155B21"/>
    <w:rsid w:val="721D249D"/>
    <w:rsid w:val="72203D1C"/>
    <w:rsid w:val="72342D06"/>
    <w:rsid w:val="72362B15"/>
    <w:rsid w:val="72380611"/>
    <w:rsid w:val="72394BFF"/>
    <w:rsid w:val="723A1D4B"/>
    <w:rsid w:val="723C28FC"/>
    <w:rsid w:val="723F0DBE"/>
    <w:rsid w:val="723F67BB"/>
    <w:rsid w:val="7245554A"/>
    <w:rsid w:val="72556D83"/>
    <w:rsid w:val="72580CA4"/>
    <w:rsid w:val="725839D3"/>
    <w:rsid w:val="72621A7F"/>
    <w:rsid w:val="726D6CAB"/>
    <w:rsid w:val="726F29FF"/>
    <w:rsid w:val="72700DF5"/>
    <w:rsid w:val="72705CB2"/>
    <w:rsid w:val="72711126"/>
    <w:rsid w:val="7272140A"/>
    <w:rsid w:val="72732F9F"/>
    <w:rsid w:val="727A7C8D"/>
    <w:rsid w:val="727B319C"/>
    <w:rsid w:val="72811CEE"/>
    <w:rsid w:val="72874010"/>
    <w:rsid w:val="728D52EF"/>
    <w:rsid w:val="72945A53"/>
    <w:rsid w:val="72A603C4"/>
    <w:rsid w:val="72B047B2"/>
    <w:rsid w:val="72B412FC"/>
    <w:rsid w:val="72BD7A32"/>
    <w:rsid w:val="72C31B2D"/>
    <w:rsid w:val="72C8493B"/>
    <w:rsid w:val="72CB2CD0"/>
    <w:rsid w:val="72CD144E"/>
    <w:rsid w:val="72D57966"/>
    <w:rsid w:val="72D707C7"/>
    <w:rsid w:val="72DD01BE"/>
    <w:rsid w:val="72DD1BDE"/>
    <w:rsid w:val="72E316E7"/>
    <w:rsid w:val="72E44DF3"/>
    <w:rsid w:val="72E70F53"/>
    <w:rsid w:val="72F73362"/>
    <w:rsid w:val="72FA752B"/>
    <w:rsid w:val="72FD6392"/>
    <w:rsid w:val="7318110C"/>
    <w:rsid w:val="731A4C2B"/>
    <w:rsid w:val="73213812"/>
    <w:rsid w:val="732B1540"/>
    <w:rsid w:val="732F34C5"/>
    <w:rsid w:val="733C60FD"/>
    <w:rsid w:val="7348540A"/>
    <w:rsid w:val="73495B32"/>
    <w:rsid w:val="734B54A4"/>
    <w:rsid w:val="73573F8E"/>
    <w:rsid w:val="735A3627"/>
    <w:rsid w:val="7364132F"/>
    <w:rsid w:val="73666F58"/>
    <w:rsid w:val="736953A2"/>
    <w:rsid w:val="736A7CFF"/>
    <w:rsid w:val="73774085"/>
    <w:rsid w:val="73794503"/>
    <w:rsid w:val="737C169B"/>
    <w:rsid w:val="73892637"/>
    <w:rsid w:val="738D49B5"/>
    <w:rsid w:val="738E14FD"/>
    <w:rsid w:val="73A6581B"/>
    <w:rsid w:val="73A83217"/>
    <w:rsid w:val="73AE1BE5"/>
    <w:rsid w:val="73AF37DA"/>
    <w:rsid w:val="73B344B6"/>
    <w:rsid w:val="73BD1EB7"/>
    <w:rsid w:val="73C876E1"/>
    <w:rsid w:val="73CB1409"/>
    <w:rsid w:val="73CE790A"/>
    <w:rsid w:val="73D1313E"/>
    <w:rsid w:val="73D23222"/>
    <w:rsid w:val="73E003D1"/>
    <w:rsid w:val="73E23B6D"/>
    <w:rsid w:val="73F50BF9"/>
    <w:rsid w:val="73FB375D"/>
    <w:rsid w:val="740272D5"/>
    <w:rsid w:val="740A2C9B"/>
    <w:rsid w:val="740B3EAE"/>
    <w:rsid w:val="740C0D95"/>
    <w:rsid w:val="740D0733"/>
    <w:rsid w:val="740E228F"/>
    <w:rsid w:val="740E7F30"/>
    <w:rsid w:val="741C0D36"/>
    <w:rsid w:val="741C619B"/>
    <w:rsid w:val="74221EBD"/>
    <w:rsid w:val="74295BD7"/>
    <w:rsid w:val="743562A5"/>
    <w:rsid w:val="74363F40"/>
    <w:rsid w:val="7437463E"/>
    <w:rsid w:val="74392A0E"/>
    <w:rsid w:val="743D0F07"/>
    <w:rsid w:val="743F5511"/>
    <w:rsid w:val="7443745B"/>
    <w:rsid w:val="744B103D"/>
    <w:rsid w:val="74552352"/>
    <w:rsid w:val="745B0F15"/>
    <w:rsid w:val="7462615E"/>
    <w:rsid w:val="74632A5E"/>
    <w:rsid w:val="746E7D68"/>
    <w:rsid w:val="7470586B"/>
    <w:rsid w:val="7478139A"/>
    <w:rsid w:val="748162CE"/>
    <w:rsid w:val="748202F8"/>
    <w:rsid w:val="74834279"/>
    <w:rsid w:val="74877914"/>
    <w:rsid w:val="749642FF"/>
    <w:rsid w:val="749811BB"/>
    <w:rsid w:val="749D23FA"/>
    <w:rsid w:val="74B32834"/>
    <w:rsid w:val="74BC310B"/>
    <w:rsid w:val="74BC781F"/>
    <w:rsid w:val="74BF4B59"/>
    <w:rsid w:val="74C65346"/>
    <w:rsid w:val="74D0590E"/>
    <w:rsid w:val="74D97635"/>
    <w:rsid w:val="74E97B45"/>
    <w:rsid w:val="74EF2AE7"/>
    <w:rsid w:val="74F016BD"/>
    <w:rsid w:val="75066890"/>
    <w:rsid w:val="750F1CF5"/>
    <w:rsid w:val="751F3575"/>
    <w:rsid w:val="752000AC"/>
    <w:rsid w:val="75220300"/>
    <w:rsid w:val="75222C62"/>
    <w:rsid w:val="752539F4"/>
    <w:rsid w:val="752C6330"/>
    <w:rsid w:val="75337796"/>
    <w:rsid w:val="75381CB1"/>
    <w:rsid w:val="753B51DD"/>
    <w:rsid w:val="753C6ECE"/>
    <w:rsid w:val="753F5DA7"/>
    <w:rsid w:val="754108DA"/>
    <w:rsid w:val="75453D02"/>
    <w:rsid w:val="754629E6"/>
    <w:rsid w:val="754A0877"/>
    <w:rsid w:val="75521659"/>
    <w:rsid w:val="75533FDA"/>
    <w:rsid w:val="75581C24"/>
    <w:rsid w:val="756B7033"/>
    <w:rsid w:val="756C0ECD"/>
    <w:rsid w:val="757728D2"/>
    <w:rsid w:val="758E2AA6"/>
    <w:rsid w:val="759115EC"/>
    <w:rsid w:val="75913ABF"/>
    <w:rsid w:val="759F3282"/>
    <w:rsid w:val="75A212FA"/>
    <w:rsid w:val="75A44ED9"/>
    <w:rsid w:val="75A46D13"/>
    <w:rsid w:val="75A7723F"/>
    <w:rsid w:val="75AB1E72"/>
    <w:rsid w:val="75B60ECF"/>
    <w:rsid w:val="75B64F3F"/>
    <w:rsid w:val="75B855D5"/>
    <w:rsid w:val="75BB4895"/>
    <w:rsid w:val="75C87B64"/>
    <w:rsid w:val="75CA2C48"/>
    <w:rsid w:val="75D106D7"/>
    <w:rsid w:val="75D66DBB"/>
    <w:rsid w:val="75D831F0"/>
    <w:rsid w:val="75E1615B"/>
    <w:rsid w:val="75F2380A"/>
    <w:rsid w:val="75F45EF4"/>
    <w:rsid w:val="75F776FF"/>
    <w:rsid w:val="760D5CD0"/>
    <w:rsid w:val="761806BD"/>
    <w:rsid w:val="76227E09"/>
    <w:rsid w:val="76276092"/>
    <w:rsid w:val="76295220"/>
    <w:rsid w:val="762A60A0"/>
    <w:rsid w:val="762A6A1E"/>
    <w:rsid w:val="762D0EFC"/>
    <w:rsid w:val="7634605A"/>
    <w:rsid w:val="76436971"/>
    <w:rsid w:val="76492863"/>
    <w:rsid w:val="764D2D48"/>
    <w:rsid w:val="7652295A"/>
    <w:rsid w:val="765859FE"/>
    <w:rsid w:val="76591F00"/>
    <w:rsid w:val="765B28D5"/>
    <w:rsid w:val="765C6931"/>
    <w:rsid w:val="765D3D11"/>
    <w:rsid w:val="76641FF3"/>
    <w:rsid w:val="766C76F7"/>
    <w:rsid w:val="76734F12"/>
    <w:rsid w:val="76760B78"/>
    <w:rsid w:val="767A41FC"/>
    <w:rsid w:val="767D1A60"/>
    <w:rsid w:val="76834910"/>
    <w:rsid w:val="76854545"/>
    <w:rsid w:val="768F064E"/>
    <w:rsid w:val="769E62A4"/>
    <w:rsid w:val="76A01B45"/>
    <w:rsid w:val="76A52F87"/>
    <w:rsid w:val="76A62318"/>
    <w:rsid w:val="76AB4FFB"/>
    <w:rsid w:val="76AD22C2"/>
    <w:rsid w:val="76C84031"/>
    <w:rsid w:val="76CA2B96"/>
    <w:rsid w:val="76D44634"/>
    <w:rsid w:val="76D654E3"/>
    <w:rsid w:val="76D854CF"/>
    <w:rsid w:val="76E11B21"/>
    <w:rsid w:val="76E349A4"/>
    <w:rsid w:val="76E54A7F"/>
    <w:rsid w:val="76F4274E"/>
    <w:rsid w:val="76F468C1"/>
    <w:rsid w:val="77057AC7"/>
    <w:rsid w:val="77176176"/>
    <w:rsid w:val="77184DBB"/>
    <w:rsid w:val="77273EF9"/>
    <w:rsid w:val="772B7C4A"/>
    <w:rsid w:val="7734151B"/>
    <w:rsid w:val="77353F3A"/>
    <w:rsid w:val="77355FF8"/>
    <w:rsid w:val="773B3B6C"/>
    <w:rsid w:val="773E690B"/>
    <w:rsid w:val="77400703"/>
    <w:rsid w:val="77500EB3"/>
    <w:rsid w:val="7756121A"/>
    <w:rsid w:val="7758133C"/>
    <w:rsid w:val="775B1CAC"/>
    <w:rsid w:val="775B68E4"/>
    <w:rsid w:val="77606A50"/>
    <w:rsid w:val="7763584A"/>
    <w:rsid w:val="77636B63"/>
    <w:rsid w:val="776D5ECB"/>
    <w:rsid w:val="777668F5"/>
    <w:rsid w:val="777961A2"/>
    <w:rsid w:val="777B48D8"/>
    <w:rsid w:val="777B6635"/>
    <w:rsid w:val="777E21DF"/>
    <w:rsid w:val="777F7BCB"/>
    <w:rsid w:val="7785679F"/>
    <w:rsid w:val="77895E8A"/>
    <w:rsid w:val="77A00DF4"/>
    <w:rsid w:val="77A15356"/>
    <w:rsid w:val="77A46DFD"/>
    <w:rsid w:val="77A92C7B"/>
    <w:rsid w:val="77AE3264"/>
    <w:rsid w:val="77B656B2"/>
    <w:rsid w:val="77B935E5"/>
    <w:rsid w:val="77BC6466"/>
    <w:rsid w:val="77D77B93"/>
    <w:rsid w:val="77DD44B1"/>
    <w:rsid w:val="77E03B10"/>
    <w:rsid w:val="77EE0CEA"/>
    <w:rsid w:val="77EF091C"/>
    <w:rsid w:val="77F109E8"/>
    <w:rsid w:val="77F56FD2"/>
    <w:rsid w:val="77FE37C0"/>
    <w:rsid w:val="780E2EA0"/>
    <w:rsid w:val="781267D6"/>
    <w:rsid w:val="781A6637"/>
    <w:rsid w:val="78213EEA"/>
    <w:rsid w:val="782A457F"/>
    <w:rsid w:val="782E3B07"/>
    <w:rsid w:val="78335386"/>
    <w:rsid w:val="783B305E"/>
    <w:rsid w:val="783D7A4E"/>
    <w:rsid w:val="783E55CA"/>
    <w:rsid w:val="784502D5"/>
    <w:rsid w:val="784758CF"/>
    <w:rsid w:val="784937C3"/>
    <w:rsid w:val="784C03FC"/>
    <w:rsid w:val="784E3B4B"/>
    <w:rsid w:val="7857163D"/>
    <w:rsid w:val="785A41C8"/>
    <w:rsid w:val="785C7C68"/>
    <w:rsid w:val="7861169D"/>
    <w:rsid w:val="786609D2"/>
    <w:rsid w:val="78671B47"/>
    <w:rsid w:val="78693FFC"/>
    <w:rsid w:val="78743A84"/>
    <w:rsid w:val="787F34C3"/>
    <w:rsid w:val="78811BD8"/>
    <w:rsid w:val="78862191"/>
    <w:rsid w:val="78864B66"/>
    <w:rsid w:val="788823C6"/>
    <w:rsid w:val="78920B5A"/>
    <w:rsid w:val="78954C16"/>
    <w:rsid w:val="7898512E"/>
    <w:rsid w:val="78990247"/>
    <w:rsid w:val="789B6C35"/>
    <w:rsid w:val="78A75ED7"/>
    <w:rsid w:val="78B6638E"/>
    <w:rsid w:val="78C347C2"/>
    <w:rsid w:val="78C410EC"/>
    <w:rsid w:val="78C62E83"/>
    <w:rsid w:val="78CE0448"/>
    <w:rsid w:val="78D05AFB"/>
    <w:rsid w:val="78D5211B"/>
    <w:rsid w:val="78E97A5B"/>
    <w:rsid w:val="78EA52F9"/>
    <w:rsid w:val="78EB4180"/>
    <w:rsid w:val="78EC73CE"/>
    <w:rsid w:val="78FD39FA"/>
    <w:rsid w:val="790B0C35"/>
    <w:rsid w:val="79176E9E"/>
    <w:rsid w:val="792B1C50"/>
    <w:rsid w:val="792C0101"/>
    <w:rsid w:val="792D0F75"/>
    <w:rsid w:val="79375CA0"/>
    <w:rsid w:val="79443176"/>
    <w:rsid w:val="79447590"/>
    <w:rsid w:val="794637B7"/>
    <w:rsid w:val="794A5D98"/>
    <w:rsid w:val="79501B57"/>
    <w:rsid w:val="79595B42"/>
    <w:rsid w:val="7969495B"/>
    <w:rsid w:val="796D02E5"/>
    <w:rsid w:val="797A140D"/>
    <w:rsid w:val="797B0594"/>
    <w:rsid w:val="797D7D49"/>
    <w:rsid w:val="79846BBF"/>
    <w:rsid w:val="799D3504"/>
    <w:rsid w:val="799F0BFC"/>
    <w:rsid w:val="79A143D1"/>
    <w:rsid w:val="79A872C0"/>
    <w:rsid w:val="79B00387"/>
    <w:rsid w:val="79B13DC0"/>
    <w:rsid w:val="79B17F93"/>
    <w:rsid w:val="79CB4676"/>
    <w:rsid w:val="79CC73D5"/>
    <w:rsid w:val="79CD74FE"/>
    <w:rsid w:val="79D033A0"/>
    <w:rsid w:val="79D5076B"/>
    <w:rsid w:val="79D55C9B"/>
    <w:rsid w:val="79D87769"/>
    <w:rsid w:val="79DE28E7"/>
    <w:rsid w:val="79E370AE"/>
    <w:rsid w:val="79E65A0C"/>
    <w:rsid w:val="79EB1840"/>
    <w:rsid w:val="79EF70E4"/>
    <w:rsid w:val="79F3603F"/>
    <w:rsid w:val="79FB0B3C"/>
    <w:rsid w:val="7A0467B1"/>
    <w:rsid w:val="7A0744D1"/>
    <w:rsid w:val="7A0C60E7"/>
    <w:rsid w:val="7A1258C5"/>
    <w:rsid w:val="7A260A8F"/>
    <w:rsid w:val="7A3C369B"/>
    <w:rsid w:val="7A3F2AE4"/>
    <w:rsid w:val="7A436F7C"/>
    <w:rsid w:val="7A467EA8"/>
    <w:rsid w:val="7A5A4E87"/>
    <w:rsid w:val="7A670DC1"/>
    <w:rsid w:val="7A6C57E5"/>
    <w:rsid w:val="7A6F5ED5"/>
    <w:rsid w:val="7A774DAF"/>
    <w:rsid w:val="7A7F15E3"/>
    <w:rsid w:val="7A83138F"/>
    <w:rsid w:val="7A940F25"/>
    <w:rsid w:val="7A9462B6"/>
    <w:rsid w:val="7A961A4D"/>
    <w:rsid w:val="7A9B2D4F"/>
    <w:rsid w:val="7AB363D7"/>
    <w:rsid w:val="7AB54D14"/>
    <w:rsid w:val="7AB67D8C"/>
    <w:rsid w:val="7AC14589"/>
    <w:rsid w:val="7AC83FC8"/>
    <w:rsid w:val="7ACB43A1"/>
    <w:rsid w:val="7ACE310B"/>
    <w:rsid w:val="7ACE6E75"/>
    <w:rsid w:val="7AE82445"/>
    <w:rsid w:val="7AF0377F"/>
    <w:rsid w:val="7AFD6738"/>
    <w:rsid w:val="7B106685"/>
    <w:rsid w:val="7B12357C"/>
    <w:rsid w:val="7B195822"/>
    <w:rsid w:val="7B1E559E"/>
    <w:rsid w:val="7B363A52"/>
    <w:rsid w:val="7B3F1555"/>
    <w:rsid w:val="7B4600E8"/>
    <w:rsid w:val="7B507E0D"/>
    <w:rsid w:val="7B5764AF"/>
    <w:rsid w:val="7B660E1E"/>
    <w:rsid w:val="7B6A39F0"/>
    <w:rsid w:val="7B714987"/>
    <w:rsid w:val="7B744F90"/>
    <w:rsid w:val="7B75551A"/>
    <w:rsid w:val="7B821168"/>
    <w:rsid w:val="7B8C4DF0"/>
    <w:rsid w:val="7B8E1F50"/>
    <w:rsid w:val="7B903451"/>
    <w:rsid w:val="7B97514F"/>
    <w:rsid w:val="7B99368A"/>
    <w:rsid w:val="7B9E07F1"/>
    <w:rsid w:val="7BA040F1"/>
    <w:rsid w:val="7BA47084"/>
    <w:rsid w:val="7BA54215"/>
    <w:rsid w:val="7BAA1F2C"/>
    <w:rsid w:val="7BB57E40"/>
    <w:rsid w:val="7BB7779F"/>
    <w:rsid w:val="7BBE732B"/>
    <w:rsid w:val="7BCB0D94"/>
    <w:rsid w:val="7BD12079"/>
    <w:rsid w:val="7BD44407"/>
    <w:rsid w:val="7BE026AA"/>
    <w:rsid w:val="7BE36225"/>
    <w:rsid w:val="7BE455E9"/>
    <w:rsid w:val="7BE839B7"/>
    <w:rsid w:val="7BEB4059"/>
    <w:rsid w:val="7BED4CCC"/>
    <w:rsid w:val="7BEE1668"/>
    <w:rsid w:val="7BF04785"/>
    <w:rsid w:val="7C1B4269"/>
    <w:rsid w:val="7C1D1AC9"/>
    <w:rsid w:val="7C232DD9"/>
    <w:rsid w:val="7C2D3E7B"/>
    <w:rsid w:val="7C2D5C29"/>
    <w:rsid w:val="7C314D89"/>
    <w:rsid w:val="7C326A1F"/>
    <w:rsid w:val="7C3364BB"/>
    <w:rsid w:val="7C410D3A"/>
    <w:rsid w:val="7C417E9E"/>
    <w:rsid w:val="7C446A13"/>
    <w:rsid w:val="7C4934A5"/>
    <w:rsid w:val="7C4A0658"/>
    <w:rsid w:val="7C4B536B"/>
    <w:rsid w:val="7C58030D"/>
    <w:rsid w:val="7C664EC1"/>
    <w:rsid w:val="7C6E1727"/>
    <w:rsid w:val="7C78742B"/>
    <w:rsid w:val="7C873497"/>
    <w:rsid w:val="7C8768C5"/>
    <w:rsid w:val="7C881B73"/>
    <w:rsid w:val="7C8A5C27"/>
    <w:rsid w:val="7C8B5447"/>
    <w:rsid w:val="7C932453"/>
    <w:rsid w:val="7C934DE7"/>
    <w:rsid w:val="7C953BE3"/>
    <w:rsid w:val="7C9D54D2"/>
    <w:rsid w:val="7CA2449E"/>
    <w:rsid w:val="7CAD45BC"/>
    <w:rsid w:val="7CB116A9"/>
    <w:rsid w:val="7CB127A0"/>
    <w:rsid w:val="7CB2301F"/>
    <w:rsid w:val="7CBE3A51"/>
    <w:rsid w:val="7CC05BC2"/>
    <w:rsid w:val="7CC87BC1"/>
    <w:rsid w:val="7CD132A4"/>
    <w:rsid w:val="7CD92172"/>
    <w:rsid w:val="7CE25338"/>
    <w:rsid w:val="7CEB1193"/>
    <w:rsid w:val="7CF02985"/>
    <w:rsid w:val="7CF84B94"/>
    <w:rsid w:val="7D030A4F"/>
    <w:rsid w:val="7D056582"/>
    <w:rsid w:val="7D0C5E81"/>
    <w:rsid w:val="7D176B5E"/>
    <w:rsid w:val="7D1961AD"/>
    <w:rsid w:val="7D2C0077"/>
    <w:rsid w:val="7D2C0EC1"/>
    <w:rsid w:val="7D2C20B6"/>
    <w:rsid w:val="7D332EF4"/>
    <w:rsid w:val="7D34140C"/>
    <w:rsid w:val="7D393DF7"/>
    <w:rsid w:val="7D3F79BB"/>
    <w:rsid w:val="7D4352DB"/>
    <w:rsid w:val="7D4B0519"/>
    <w:rsid w:val="7D4F5A86"/>
    <w:rsid w:val="7D5250FF"/>
    <w:rsid w:val="7D5721C5"/>
    <w:rsid w:val="7D5D262F"/>
    <w:rsid w:val="7D7A4997"/>
    <w:rsid w:val="7D7C34F2"/>
    <w:rsid w:val="7D843283"/>
    <w:rsid w:val="7D8B036D"/>
    <w:rsid w:val="7D8E1A04"/>
    <w:rsid w:val="7D91049C"/>
    <w:rsid w:val="7D925CA6"/>
    <w:rsid w:val="7DA76092"/>
    <w:rsid w:val="7DB62A23"/>
    <w:rsid w:val="7DC40AC5"/>
    <w:rsid w:val="7DC55815"/>
    <w:rsid w:val="7DCA7547"/>
    <w:rsid w:val="7DD24A07"/>
    <w:rsid w:val="7DD35299"/>
    <w:rsid w:val="7DD412D2"/>
    <w:rsid w:val="7DD47685"/>
    <w:rsid w:val="7DD6794C"/>
    <w:rsid w:val="7DDC707F"/>
    <w:rsid w:val="7DE11004"/>
    <w:rsid w:val="7DE2584F"/>
    <w:rsid w:val="7DE37E98"/>
    <w:rsid w:val="7DEA643C"/>
    <w:rsid w:val="7DEB5EEA"/>
    <w:rsid w:val="7DF17F81"/>
    <w:rsid w:val="7DFF788D"/>
    <w:rsid w:val="7E01023E"/>
    <w:rsid w:val="7E0263DA"/>
    <w:rsid w:val="7E061337"/>
    <w:rsid w:val="7E0B0110"/>
    <w:rsid w:val="7E0C410B"/>
    <w:rsid w:val="7E0D5661"/>
    <w:rsid w:val="7E105CE8"/>
    <w:rsid w:val="7E2F3159"/>
    <w:rsid w:val="7E340F89"/>
    <w:rsid w:val="7E4048AC"/>
    <w:rsid w:val="7E48758C"/>
    <w:rsid w:val="7E49178E"/>
    <w:rsid w:val="7E510BDD"/>
    <w:rsid w:val="7E536C69"/>
    <w:rsid w:val="7E5D449D"/>
    <w:rsid w:val="7E5F3432"/>
    <w:rsid w:val="7E602721"/>
    <w:rsid w:val="7E607448"/>
    <w:rsid w:val="7E623997"/>
    <w:rsid w:val="7E6512BF"/>
    <w:rsid w:val="7E675E9D"/>
    <w:rsid w:val="7E7136CC"/>
    <w:rsid w:val="7E740F7D"/>
    <w:rsid w:val="7E744041"/>
    <w:rsid w:val="7E76359A"/>
    <w:rsid w:val="7E763966"/>
    <w:rsid w:val="7E8055E4"/>
    <w:rsid w:val="7E815EE3"/>
    <w:rsid w:val="7E852C56"/>
    <w:rsid w:val="7E873097"/>
    <w:rsid w:val="7E8A7EF6"/>
    <w:rsid w:val="7EA30E25"/>
    <w:rsid w:val="7EA65DA5"/>
    <w:rsid w:val="7EAD2F22"/>
    <w:rsid w:val="7EAF7397"/>
    <w:rsid w:val="7EB07BF7"/>
    <w:rsid w:val="7EB67F24"/>
    <w:rsid w:val="7EBB39C0"/>
    <w:rsid w:val="7EBB57F9"/>
    <w:rsid w:val="7EC01797"/>
    <w:rsid w:val="7EC07259"/>
    <w:rsid w:val="7EC60FC9"/>
    <w:rsid w:val="7EDA0B2E"/>
    <w:rsid w:val="7EDB7D56"/>
    <w:rsid w:val="7EDD7534"/>
    <w:rsid w:val="7EE44903"/>
    <w:rsid w:val="7EEE656E"/>
    <w:rsid w:val="7EFA764E"/>
    <w:rsid w:val="7F011DF8"/>
    <w:rsid w:val="7F070D07"/>
    <w:rsid w:val="7F1255AA"/>
    <w:rsid w:val="7F1F284B"/>
    <w:rsid w:val="7F257AF9"/>
    <w:rsid w:val="7F2D7CEE"/>
    <w:rsid w:val="7F3215EA"/>
    <w:rsid w:val="7F4120DD"/>
    <w:rsid w:val="7F4412FD"/>
    <w:rsid w:val="7F4A32B5"/>
    <w:rsid w:val="7F4A651E"/>
    <w:rsid w:val="7F512408"/>
    <w:rsid w:val="7F5417F6"/>
    <w:rsid w:val="7F605947"/>
    <w:rsid w:val="7F700B74"/>
    <w:rsid w:val="7F7109D4"/>
    <w:rsid w:val="7F841B51"/>
    <w:rsid w:val="7F8504DC"/>
    <w:rsid w:val="7F875650"/>
    <w:rsid w:val="7F8E33B3"/>
    <w:rsid w:val="7F9B62CF"/>
    <w:rsid w:val="7FA0574E"/>
    <w:rsid w:val="7FA2124B"/>
    <w:rsid w:val="7FAC731C"/>
    <w:rsid w:val="7FBE6720"/>
    <w:rsid w:val="7FC134F1"/>
    <w:rsid w:val="7FCA5619"/>
    <w:rsid w:val="7FCF1612"/>
    <w:rsid w:val="7FD52433"/>
    <w:rsid w:val="7FDB3C42"/>
    <w:rsid w:val="7FDF1520"/>
    <w:rsid w:val="7FDF3365"/>
    <w:rsid w:val="7FE06151"/>
    <w:rsid w:val="7FE2470F"/>
    <w:rsid w:val="7FE2771A"/>
    <w:rsid w:val="7FE81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0"/>
    <w:qFormat/>
    <w:uiPriority w:val="99"/>
    <w:pPr>
      <w:keepNext/>
      <w:keepLines/>
      <w:widowControl w:val="0"/>
      <w:spacing w:before="340" w:after="330" w:line="576" w:lineRule="auto"/>
      <w:outlineLvl w:val="0"/>
    </w:pPr>
    <w:rPr>
      <w:rFonts w:ascii="Calibri" w:hAnsi="Calibri"/>
      <w:b/>
      <w:bCs/>
      <w:kern w:val="44"/>
      <w:sz w:val="44"/>
      <w:szCs w:val="44"/>
    </w:rPr>
  </w:style>
  <w:style w:type="paragraph" w:styleId="3">
    <w:name w:val="heading 2"/>
    <w:basedOn w:val="1"/>
    <w:next w:val="4"/>
    <w:link w:val="41"/>
    <w:qFormat/>
    <w:uiPriority w:val="99"/>
    <w:pPr>
      <w:keepNext/>
      <w:keepLines/>
      <w:widowControl w:val="0"/>
      <w:spacing w:before="260" w:after="260" w:line="412" w:lineRule="auto"/>
      <w:outlineLvl w:val="1"/>
    </w:pPr>
    <w:rPr>
      <w:rFonts w:ascii="Arial" w:hAnsi="Arial" w:eastAsia="黑体"/>
      <w:b/>
      <w:bCs/>
      <w:sz w:val="32"/>
      <w:szCs w:val="32"/>
    </w:rPr>
  </w:style>
  <w:style w:type="paragraph" w:styleId="5">
    <w:name w:val="heading 3"/>
    <w:basedOn w:val="1"/>
    <w:next w:val="4"/>
    <w:link w:val="42"/>
    <w:qFormat/>
    <w:uiPriority w:val="99"/>
    <w:pPr>
      <w:keepNext/>
      <w:keepLines/>
      <w:widowControl w:val="0"/>
      <w:spacing w:before="380" w:after="380" w:line="412" w:lineRule="auto"/>
      <w:jc w:val="center"/>
      <w:outlineLvl w:val="2"/>
    </w:pPr>
    <w:rPr>
      <w:b/>
      <w:bCs/>
      <w:sz w:val="28"/>
      <w:szCs w:val="32"/>
    </w:rPr>
  </w:style>
  <w:style w:type="paragraph" w:styleId="6">
    <w:name w:val="heading 7"/>
    <w:basedOn w:val="1"/>
    <w:next w:val="1"/>
    <w:qFormat/>
    <w:uiPriority w:val="9"/>
    <w:pPr>
      <w:keepNext/>
      <w:keepLines/>
      <w:spacing w:before="240" w:after="64" w:line="320" w:lineRule="auto"/>
      <w:ind w:left="1526"/>
      <w:outlineLvl w:val="6"/>
    </w:pPr>
    <w:rPr>
      <w:b/>
      <w:bCs/>
      <w:sz w:val="28"/>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style>
  <w:style w:type="paragraph" w:styleId="7">
    <w:name w:val="toc 7"/>
    <w:basedOn w:val="1"/>
    <w:next w:val="1"/>
    <w:unhideWhenUsed/>
    <w:qFormat/>
    <w:uiPriority w:val="39"/>
    <w:pPr>
      <w:ind w:left="1260"/>
    </w:pPr>
    <w:rPr>
      <w:rFonts w:ascii="Calibri" w:hAnsi="Calibri" w:cs="Calibri"/>
      <w:sz w:val="18"/>
      <w:szCs w:val="18"/>
    </w:rPr>
  </w:style>
  <w:style w:type="paragraph" w:styleId="8">
    <w:name w:val="Document Map"/>
    <w:basedOn w:val="1"/>
    <w:link w:val="43"/>
    <w:unhideWhenUsed/>
    <w:qFormat/>
    <w:uiPriority w:val="99"/>
    <w:rPr>
      <w:rFonts w:ascii="宋体"/>
      <w:sz w:val="18"/>
      <w:szCs w:val="18"/>
    </w:rPr>
  </w:style>
  <w:style w:type="paragraph" w:styleId="9">
    <w:name w:val="toa heading"/>
    <w:basedOn w:val="1"/>
    <w:next w:val="1"/>
    <w:semiHidden/>
    <w:qFormat/>
    <w:uiPriority w:val="0"/>
    <w:pPr>
      <w:widowControl w:val="0"/>
      <w:spacing w:before="120"/>
      <w:jc w:val="both"/>
    </w:pPr>
    <w:rPr>
      <w:rFonts w:ascii="Arial" w:hAnsi="Arial" w:cs="Arial"/>
      <w:kern w:val="2"/>
      <w:sz w:val="24"/>
      <w:szCs w:val="24"/>
    </w:rPr>
  </w:style>
  <w:style w:type="paragraph" w:styleId="10">
    <w:name w:val="annotation text"/>
    <w:basedOn w:val="1"/>
    <w:link w:val="44"/>
    <w:unhideWhenUsed/>
    <w:qFormat/>
    <w:uiPriority w:val="99"/>
  </w:style>
  <w:style w:type="paragraph" w:styleId="11">
    <w:name w:val="Body Text 3"/>
    <w:basedOn w:val="1"/>
    <w:link w:val="45"/>
    <w:unhideWhenUsed/>
    <w:qFormat/>
    <w:uiPriority w:val="99"/>
    <w:rPr>
      <w:rFonts w:ascii="宋体" w:hAnsi="Calibri"/>
      <w:sz w:val="24"/>
      <w:szCs w:val="24"/>
    </w:rPr>
  </w:style>
  <w:style w:type="paragraph" w:styleId="12">
    <w:name w:val="Body Text"/>
    <w:basedOn w:val="1"/>
    <w:next w:val="1"/>
    <w:link w:val="46"/>
    <w:qFormat/>
    <w:uiPriority w:val="99"/>
    <w:pPr>
      <w:spacing w:line="360" w:lineRule="auto"/>
    </w:pPr>
    <w:rPr>
      <w:kern w:val="2"/>
      <w:szCs w:val="24"/>
    </w:rPr>
  </w:style>
  <w:style w:type="paragraph" w:styleId="13">
    <w:name w:val="Body Text Indent"/>
    <w:basedOn w:val="1"/>
    <w:link w:val="47"/>
    <w:unhideWhenUsed/>
    <w:qFormat/>
    <w:uiPriority w:val="99"/>
    <w:pPr>
      <w:spacing w:line="460" w:lineRule="exact"/>
      <w:ind w:firstLine="510"/>
    </w:pPr>
    <w:rPr>
      <w:rFonts w:ascii="Calibri" w:hAnsi="Calibri"/>
      <w:sz w:val="20"/>
    </w:rPr>
  </w:style>
  <w:style w:type="paragraph" w:styleId="14">
    <w:name w:val="toc 5"/>
    <w:basedOn w:val="1"/>
    <w:next w:val="1"/>
    <w:unhideWhenUsed/>
    <w:qFormat/>
    <w:uiPriority w:val="39"/>
    <w:pPr>
      <w:ind w:left="840"/>
    </w:pPr>
    <w:rPr>
      <w:rFonts w:ascii="Calibri" w:hAnsi="Calibri" w:cs="Calibri"/>
      <w:sz w:val="18"/>
      <w:szCs w:val="18"/>
    </w:rPr>
  </w:style>
  <w:style w:type="paragraph" w:styleId="15">
    <w:name w:val="toc 3"/>
    <w:basedOn w:val="1"/>
    <w:next w:val="1"/>
    <w:unhideWhenUsed/>
    <w:qFormat/>
    <w:uiPriority w:val="39"/>
    <w:pPr>
      <w:ind w:left="420"/>
    </w:pPr>
    <w:rPr>
      <w:rFonts w:ascii="Calibri" w:hAnsi="Calibri" w:cs="Calibri"/>
      <w:i/>
      <w:iCs/>
      <w:sz w:val="20"/>
      <w:szCs w:val="20"/>
    </w:rPr>
  </w:style>
  <w:style w:type="paragraph" w:styleId="16">
    <w:name w:val="Plain Text"/>
    <w:basedOn w:val="1"/>
    <w:next w:val="1"/>
    <w:qFormat/>
    <w:uiPriority w:val="0"/>
    <w:rPr>
      <w:rFonts w:ascii="宋体" w:hAnsi="Courier New"/>
      <w:szCs w:val="20"/>
    </w:rPr>
  </w:style>
  <w:style w:type="paragraph" w:styleId="17">
    <w:name w:val="toc 8"/>
    <w:basedOn w:val="1"/>
    <w:next w:val="1"/>
    <w:unhideWhenUsed/>
    <w:qFormat/>
    <w:uiPriority w:val="39"/>
    <w:pPr>
      <w:ind w:left="1470"/>
    </w:pPr>
    <w:rPr>
      <w:rFonts w:ascii="Calibri" w:hAnsi="Calibri" w:cs="Calibri"/>
      <w:sz w:val="18"/>
      <w:szCs w:val="18"/>
    </w:rPr>
  </w:style>
  <w:style w:type="paragraph" w:styleId="18">
    <w:name w:val="Balloon Text"/>
    <w:basedOn w:val="1"/>
    <w:link w:val="48"/>
    <w:unhideWhenUsed/>
    <w:qFormat/>
    <w:uiPriority w:val="99"/>
    <w:rPr>
      <w:sz w:val="18"/>
      <w:szCs w:val="18"/>
    </w:rPr>
  </w:style>
  <w:style w:type="paragraph" w:styleId="19">
    <w:name w:val="footer"/>
    <w:basedOn w:val="1"/>
    <w:link w:val="49"/>
    <w:unhideWhenUsed/>
    <w:qFormat/>
    <w:uiPriority w:val="99"/>
    <w:pPr>
      <w:tabs>
        <w:tab w:val="center" w:pos="4153"/>
        <w:tab w:val="right" w:pos="8306"/>
      </w:tabs>
      <w:snapToGrid w:val="0"/>
    </w:pPr>
    <w:rPr>
      <w:sz w:val="18"/>
      <w:szCs w:val="18"/>
    </w:rPr>
  </w:style>
  <w:style w:type="paragraph" w:styleId="20">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spacing w:before="120" w:after="120"/>
    </w:pPr>
    <w:rPr>
      <w:rFonts w:ascii="Calibri" w:hAnsi="Calibri" w:cs="Calibri"/>
      <w:b/>
      <w:bCs/>
      <w:caps/>
      <w:sz w:val="20"/>
      <w:szCs w:val="20"/>
    </w:rPr>
  </w:style>
  <w:style w:type="paragraph" w:styleId="22">
    <w:name w:val="toc 4"/>
    <w:basedOn w:val="1"/>
    <w:next w:val="1"/>
    <w:unhideWhenUsed/>
    <w:qFormat/>
    <w:uiPriority w:val="39"/>
    <w:pPr>
      <w:ind w:left="630"/>
    </w:pPr>
    <w:rPr>
      <w:rFonts w:ascii="Calibri" w:hAnsi="Calibri" w:cs="Calibri"/>
      <w:sz w:val="18"/>
      <w:szCs w:val="18"/>
    </w:rPr>
  </w:style>
  <w:style w:type="paragraph" w:styleId="23">
    <w:name w:val="footnote text"/>
    <w:basedOn w:val="1"/>
    <w:qFormat/>
    <w:uiPriority w:val="0"/>
    <w:pPr>
      <w:adjustRightInd w:val="0"/>
      <w:spacing w:line="312" w:lineRule="atLeast"/>
      <w:textAlignment w:val="baseline"/>
    </w:pPr>
    <w:rPr>
      <w:sz w:val="18"/>
      <w:szCs w:val="20"/>
    </w:rPr>
  </w:style>
  <w:style w:type="paragraph" w:styleId="24">
    <w:name w:val="toc 6"/>
    <w:basedOn w:val="1"/>
    <w:next w:val="1"/>
    <w:unhideWhenUsed/>
    <w:qFormat/>
    <w:uiPriority w:val="39"/>
    <w:pPr>
      <w:ind w:left="1050"/>
    </w:pPr>
    <w:rPr>
      <w:rFonts w:ascii="Calibri" w:hAnsi="Calibri" w:cs="Calibri"/>
      <w:sz w:val="18"/>
      <w:szCs w:val="18"/>
    </w:rPr>
  </w:style>
  <w:style w:type="paragraph" w:styleId="25">
    <w:name w:val="toc 2"/>
    <w:basedOn w:val="1"/>
    <w:next w:val="1"/>
    <w:unhideWhenUsed/>
    <w:qFormat/>
    <w:uiPriority w:val="39"/>
    <w:pPr>
      <w:ind w:left="210"/>
    </w:pPr>
    <w:rPr>
      <w:rFonts w:ascii="Calibri" w:hAnsi="Calibri" w:cs="Calibri"/>
      <w:smallCaps/>
      <w:sz w:val="20"/>
      <w:szCs w:val="20"/>
    </w:rPr>
  </w:style>
  <w:style w:type="paragraph" w:styleId="26">
    <w:name w:val="toc 9"/>
    <w:basedOn w:val="1"/>
    <w:next w:val="1"/>
    <w:unhideWhenUsed/>
    <w:qFormat/>
    <w:uiPriority w:val="39"/>
    <w:pPr>
      <w:ind w:left="1680"/>
    </w:pPr>
    <w:rPr>
      <w:rFonts w:ascii="Calibri" w:hAnsi="Calibri" w:cs="Calibri"/>
      <w:sz w:val="18"/>
      <w:szCs w:val="18"/>
    </w:rPr>
  </w:style>
  <w:style w:type="paragraph" w:styleId="27">
    <w:name w:val="Normal (Web)"/>
    <w:basedOn w:val="1"/>
    <w:unhideWhenUsed/>
    <w:qFormat/>
    <w:uiPriority w:val="99"/>
    <w:pPr>
      <w:spacing w:before="100" w:beforeAutospacing="1" w:after="100" w:afterAutospacing="1"/>
    </w:pPr>
    <w:rPr>
      <w:sz w:val="24"/>
      <w:szCs w:val="24"/>
    </w:rPr>
  </w:style>
  <w:style w:type="paragraph" w:styleId="28">
    <w:name w:val="Title"/>
    <w:basedOn w:val="1"/>
    <w:next w:val="1"/>
    <w:link w:val="51"/>
    <w:qFormat/>
    <w:uiPriority w:val="10"/>
    <w:pPr>
      <w:spacing w:before="240" w:after="60"/>
      <w:jc w:val="center"/>
      <w:outlineLvl w:val="0"/>
    </w:pPr>
    <w:rPr>
      <w:rFonts w:ascii="等线 Light" w:hAnsi="等线 Light"/>
      <w:b/>
      <w:bCs/>
      <w:sz w:val="32"/>
      <w:szCs w:val="32"/>
    </w:rPr>
  </w:style>
  <w:style w:type="paragraph" w:styleId="29">
    <w:name w:val="annotation subject"/>
    <w:basedOn w:val="10"/>
    <w:next w:val="10"/>
    <w:link w:val="52"/>
    <w:unhideWhenUsed/>
    <w:qFormat/>
    <w:uiPriority w:val="99"/>
    <w:rPr>
      <w:b/>
      <w:bCs/>
    </w:rPr>
  </w:style>
  <w:style w:type="paragraph" w:styleId="30">
    <w:name w:val="Body Text First Indent"/>
    <w:basedOn w:val="12"/>
    <w:qFormat/>
    <w:uiPriority w:val="99"/>
    <w:pPr>
      <w:spacing w:line="312" w:lineRule="auto"/>
      <w:ind w:firstLine="420"/>
    </w:pPr>
    <w:rPr>
      <w:rFonts w:ascii="Calibri" w:hAnsi="Calibri"/>
    </w:rPr>
  </w:style>
  <w:style w:type="paragraph" w:styleId="31">
    <w:name w:val="Body Text First Indent 2"/>
    <w:basedOn w:val="13"/>
    <w:qFormat/>
    <w:uiPriority w:val="0"/>
    <w:pPr>
      <w:spacing w:after="120"/>
      <w:ind w:left="420" w:leftChars="200" w:firstLine="420"/>
    </w:pPr>
  </w:style>
  <w:style w:type="table" w:styleId="33">
    <w:name w:val="Table Grid"/>
    <w:basedOn w:val="32"/>
    <w:unhideWhenUsed/>
    <w:qFormat/>
    <w:uiPriority w:val="9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FollowedHyperlink"/>
    <w:unhideWhenUsed/>
    <w:qFormat/>
    <w:uiPriority w:val="99"/>
    <w:rPr>
      <w:color w:val="333333"/>
      <w:u w:val="none"/>
    </w:rPr>
  </w:style>
  <w:style w:type="character" w:styleId="37">
    <w:name w:val="Emphasis"/>
    <w:qFormat/>
    <w:uiPriority w:val="20"/>
    <w:rPr>
      <w:i/>
    </w:rPr>
  </w:style>
  <w:style w:type="character" w:styleId="38">
    <w:name w:val="Hyperlink"/>
    <w:unhideWhenUsed/>
    <w:qFormat/>
    <w:uiPriority w:val="99"/>
    <w:rPr>
      <w:color w:val="333333"/>
      <w:u w:val="none"/>
    </w:rPr>
  </w:style>
  <w:style w:type="character" w:styleId="39">
    <w:name w:val="annotation reference"/>
    <w:unhideWhenUsed/>
    <w:qFormat/>
    <w:uiPriority w:val="99"/>
    <w:rPr>
      <w:sz w:val="21"/>
      <w:szCs w:val="21"/>
    </w:rPr>
  </w:style>
  <w:style w:type="character" w:customStyle="1" w:styleId="40">
    <w:name w:val="标题 1 字符"/>
    <w:link w:val="2"/>
    <w:qFormat/>
    <w:uiPriority w:val="99"/>
    <w:rPr>
      <w:rFonts w:ascii="Calibri" w:hAnsi="Calibri" w:eastAsia="宋体" w:cs="Times New Roman"/>
      <w:b/>
      <w:bCs/>
      <w:kern w:val="44"/>
      <w:sz w:val="44"/>
      <w:szCs w:val="44"/>
    </w:rPr>
  </w:style>
  <w:style w:type="character" w:customStyle="1" w:styleId="41">
    <w:name w:val="标题 2 字符"/>
    <w:link w:val="3"/>
    <w:qFormat/>
    <w:uiPriority w:val="99"/>
    <w:rPr>
      <w:rFonts w:ascii="Arial" w:hAnsi="Arial" w:eastAsia="黑体" w:cs="Times New Roman"/>
      <w:b/>
      <w:bCs/>
      <w:kern w:val="0"/>
      <w:sz w:val="32"/>
      <w:szCs w:val="32"/>
    </w:rPr>
  </w:style>
  <w:style w:type="character" w:customStyle="1" w:styleId="42">
    <w:name w:val="标题 3 字符"/>
    <w:link w:val="5"/>
    <w:qFormat/>
    <w:uiPriority w:val="99"/>
    <w:rPr>
      <w:rFonts w:ascii="Times New Roman" w:hAnsi="Times New Roman" w:eastAsia="宋体" w:cs="Times New Roman"/>
      <w:b/>
      <w:bCs/>
      <w:kern w:val="0"/>
      <w:sz w:val="28"/>
      <w:szCs w:val="32"/>
    </w:rPr>
  </w:style>
  <w:style w:type="character" w:customStyle="1" w:styleId="43">
    <w:name w:val="文档结构图 字符"/>
    <w:link w:val="8"/>
    <w:semiHidden/>
    <w:qFormat/>
    <w:uiPriority w:val="99"/>
    <w:rPr>
      <w:rFonts w:ascii="宋体"/>
      <w:sz w:val="18"/>
      <w:szCs w:val="18"/>
    </w:rPr>
  </w:style>
  <w:style w:type="character" w:customStyle="1" w:styleId="44">
    <w:name w:val="批注文字 字符"/>
    <w:link w:val="10"/>
    <w:qFormat/>
    <w:uiPriority w:val="99"/>
    <w:rPr>
      <w:sz w:val="21"/>
      <w:szCs w:val="21"/>
    </w:rPr>
  </w:style>
  <w:style w:type="character" w:customStyle="1" w:styleId="45">
    <w:name w:val="正文文本 3 字符"/>
    <w:link w:val="11"/>
    <w:qFormat/>
    <w:uiPriority w:val="99"/>
    <w:rPr>
      <w:rFonts w:ascii="宋体" w:hAnsi="Calibri" w:eastAsia="宋体" w:cs="Times New Roman"/>
      <w:kern w:val="0"/>
      <w:sz w:val="24"/>
      <w:szCs w:val="24"/>
    </w:rPr>
  </w:style>
  <w:style w:type="character" w:customStyle="1" w:styleId="46">
    <w:name w:val="正文文本 字符"/>
    <w:link w:val="12"/>
    <w:qFormat/>
    <w:uiPriority w:val="99"/>
    <w:rPr>
      <w:kern w:val="2"/>
      <w:sz w:val="21"/>
      <w:szCs w:val="24"/>
    </w:rPr>
  </w:style>
  <w:style w:type="character" w:customStyle="1" w:styleId="47">
    <w:name w:val="正文文本缩进 字符"/>
    <w:link w:val="13"/>
    <w:qFormat/>
    <w:uiPriority w:val="99"/>
    <w:rPr>
      <w:rFonts w:ascii="Calibri" w:hAnsi="Calibri" w:eastAsia="宋体" w:cs="Times New Roman"/>
      <w:kern w:val="0"/>
      <w:szCs w:val="21"/>
    </w:rPr>
  </w:style>
  <w:style w:type="character" w:customStyle="1" w:styleId="48">
    <w:name w:val="批注框文本 字符"/>
    <w:link w:val="18"/>
    <w:semiHidden/>
    <w:qFormat/>
    <w:uiPriority w:val="99"/>
    <w:rPr>
      <w:sz w:val="18"/>
      <w:szCs w:val="18"/>
    </w:rPr>
  </w:style>
  <w:style w:type="character" w:customStyle="1" w:styleId="49">
    <w:name w:val="页脚 字符"/>
    <w:link w:val="19"/>
    <w:qFormat/>
    <w:uiPriority w:val="99"/>
    <w:rPr>
      <w:sz w:val="18"/>
      <w:szCs w:val="18"/>
    </w:rPr>
  </w:style>
  <w:style w:type="character" w:customStyle="1" w:styleId="50">
    <w:name w:val="页眉 字符"/>
    <w:link w:val="20"/>
    <w:qFormat/>
    <w:uiPriority w:val="99"/>
    <w:rPr>
      <w:sz w:val="18"/>
      <w:szCs w:val="18"/>
    </w:rPr>
  </w:style>
  <w:style w:type="character" w:customStyle="1" w:styleId="51">
    <w:name w:val="标题 字符"/>
    <w:link w:val="28"/>
    <w:qFormat/>
    <w:uiPriority w:val="10"/>
    <w:rPr>
      <w:rFonts w:ascii="等线 Light" w:hAnsi="等线 Light" w:cs="Times New Roman"/>
      <w:b/>
      <w:bCs/>
      <w:sz w:val="32"/>
      <w:szCs w:val="32"/>
    </w:rPr>
  </w:style>
  <w:style w:type="character" w:customStyle="1" w:styleId="52">
    <w:name w:val="批注主题 字符"/>
    <w:link w:val="29"/>
    <w:semiHidden/>
    <w:qFormat/>
    <w:uiPriority w:val="99"/>
    <w:rPr>
      <w:b/>
      <w:bCs/>
      <w:sz w:val="21"/>
      <w:szCs w:val="21"/>
    </w:rPr>
  </w:style>
  <w:style w:type="paragraph" w:customStyle="1" w:styleId="53">
    <w:name w:val="表格文字"/>
    <w:basedOn w:val="1"/>
    <w:qFormat/>
    <w:uiPriority w:val="0"/>
    <w:pPr>
      <w:spacing w:before="25" w:after="25" w:line="300" w:lineRule="auto"/>
    </w:pPr>
    <w:rPr>
      <w:rFonts w:ascii="Times" w:hAnsi="Times"/>
      <w:spacing w:val="10"/>
      <w:sz w:val="24"/>
    </w:rPr>
  </w:style>
  <w:style w:type="character" w:customStyle="1" w:styleId="54">
    <w:name w:val="正文文本_"/>
    <w:link w:val="55"/>
    <w:qFormat/>
    <w:uiPriority w:val="0"/>
    <w:rPr>
      <w:rFonts w:ascii="MingLiU" w:hAnsi="MingLiU" w:eastAsia="MingLiU" w:cs="MingLiU"/>
      <w:b/>
      <w:bCs/>
      <w:sz w:val="20"/>
      <w:szCs w:val="20"/>
    </w:rPr>
  </w:style>
  <w:style w:type="paragraph" w:customStyle="1" w:styleId="55">
    <w:name w:val="正文文本1"/>
    <w:basedOn w:val="1"/>
    <w:link w:val="54"/>
    <w:qFormat/>
    <w:uiPriority w:val="0"/>
    <w:pPr>
      <w:shd w:val="clear" w:color="auto" w:fill="FFFFFF"/>
      <w:spacing w:before="780" w:line="0" w:lineRule="atLeast"/>
    </w:pPr>
    <w:rPr>
      <w:rFonts w:ascii="MingLiU" w:hAnsi="MingLiU" w:eastAsia="MingLiU" w:cs="MingLiU"/>
      <w:b/>
      <w:bCs/>
      <w:sz w:val="20"/>
      <w:szCs w:val="20"/>
    </w:rPr>
  </w:style>
  <w:style w:type="character" w:customStyle="1" w:styleId="56">
    <w:name w:val="正文文本 + 非粗体"/>
    <w:qFormat/>
    <w:uiPriority w:val="0"/>
    <w:rPr>
      <w:rFonts w:ascii="MingLiU" w:hAnsi="MingLiU" w:eastAsia="MingLiU" w:cs="MingLiU"/>
      <w:color w:val="000000"/>
      <w:spacing w:val="0"/>
      <w:w w:val="100"/>
      <w:position w:val="0"/>
      <w:sz w:val="20"/>
      <w:szCs w:val="20"/>
      <w:u w:val="none"/>
      <w:lang w:val="zh-TW"/>
    </w:rPr>
  </w:style>
  <w:style w:type="character" w:customStyle="1" w:styleId="57">
    <w:name w:val="font51"/>
    <w:qFormat/>
    <w:uiPriority w:val="0"/>
    <w:rPr>
      <w:rFonts w:hint="eastAsia" w:ascii="宋体" w:hAnsi="宋体" w:eastAsia="宋体" w:cs="宋体"/>
      <w:color w:val="FF0000"/>
      <w:sz w:val="18"/>
      <w:szCs w:val="18"/>
      <w:u w:val="none"/>
    </w:rPr>
  </w:style>
  <w:style w:type="character" w:customStyle="1" w:styleId="58">
    <w:name w:val="15"/>
    <w:qFormat/>
    <w:uiPriority w:val="0"/>
    <w:rPr>
      <w:rFonts w:hint="default" w:ascii="Times New Roman" w:hAnsi="Times New Roman" w:cs="Times New Roman"/>
      <w:b/>
      <w:bCs/>
      <w:kern w:val="44"/>
      <w:sz w:val="44"/>
      <w:szCs w:val="44"/>
    </w:rPr>
  </w:style>
  <w:style w:type="character" w:customStyle="1" w:styleId="59">
    <w:name w:val="font11"/>
    <w:qFormat/>
    <w:uiPriority w:val="0"/>
    <w:rPr>
      <w:rFonts w:hint="eastAsia" w:ascii="宋体" w:hAnsi="宋体" w:eastAsia="宋体" w:cs="宋体"/>
      <w:color w:val="000000"/>
      <w:sz w:val="18"/>
      <w:szCs w:val="18"/>
      <w:u w:val="none"/>
    </w:rPr>
  </w:style>
  <w:style w:type="character" w:customStyle="1" w:styleId="60">
    <w:name w:val="16"/>
    <w:qFormat/>
    <w:uiPriority w:val="0"/>
    <w:rPr>
      <w:rFonts w:hint="default" w:ascii="Times New Roman" w:hAnsi="Times New Roman" w:cs="Times New Roman"/>
      <w:b/>
      <w:bCs/>
      <w:sz w:val="32"/>
      <w:szCs w:val="32"/>
    </w:rPr>
  </w:style>
  <w:style w:type="paragraph" w:customStyle="1" w:styleId="61">
    <w:name w:val="索引 11"/>
    <w:basedOn w:val="1"/>
    <w:next w:val="1"/>
    <w:qFormat/>
    <w:uiPriority w:val="0"/>
    <w:pPr>
      <w:spacing w:line="360" w:lineRule="auto"/>
    </w:pPr>
    <w:rPr>
      <w:rFonts w:ascii="仿宋_GB2312" w:eastAsia="仿宋_GB2312"/>
      <w:sz w:val="24"/>
      <w:szCs w:val="20"/>
    </w:rPr>
  </w:style>
  <w:style w:type="paragraph" w:customStyle="1" w:styleId="62">
    <w:name w:val="_Style 2"/>
    <w:basedOn w:val="1"/>
    <w:qFormat/>
    <w:uiPriority w:val="0"/>
  </w:style>
  <w:style w:type="paragraph" w:customStyle="1" w:styleId="63">
    <w:name w:val="纯文本1"/>
    <w:basedOn w:val="1"/>
    <w:qFormat/>
    <w:uiPriority w:val="0"/>
    <w:rPr>
      <w:rFonts w:ascii="宋体" w:hAnsi="Courier New"/>
      <w:szCs w:val="22"/>
    </w:rPr>
  </w:style>
  <w:style w:type="paragraph" w:customStyle="1" w:styleId="64">
    <w:name w:val="正文缩进1"/>
    <w:basedOn w:val="1"/>
    <w:qFormat/>
    <w:uiPriority w:val="0"/>
    <w:pPr>
      <w:autoSpaceDE w:val="0"/>
      <w:autoSpaceDN w:val="0"/>
      <w:adjustRightInd w:val="0"/>
      <w:ind w:firstLine="420"/>
    </w:pPr>
    <w:rPr>
      <w:rFonts w:ascii="宋体" w:hAnsi="Calibri"/>
      <w:sz w:val="24"/>
      <w:szCs w:val="22"/>
    </w:rPr>
  </w:style>
  <w:style w:type="paragraph" w:styleId="65">
    <w:name w:val="List Paragraph"/>
    <w:basedOn w:val="1"/>
    <w:qFormat/>
    <w:uiPriority w:val="34"/>
    <w:pPr>
      <w:widowControl w:val="0"/>
      <w:ind w:firstLine="420" w:firstLineChars="200"/>
      <w:jc w:val="both"/>
    </w:pPr>
    <w:rPr>
      <w:rFonts w:ascii="Calibri" w:hAnsi="Calibri"/>
      <w:kern w:val="2"/>
      <w:szCs w:val="22"/>
    </w:rPr>
  </w:style>
  <w:style w:type="paragraph" w:customStyle="1" w:styleId="66">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67">
    <w:name w:val="文档结构图1"/>
    <w:basedOn w:val="1"/>
    <w:qFormat/>
    <w:uiPriority w:val="0"/>
  </w:style>
  <w:style w:type="paragraph" w:customStyle="1" w:styleId="68">
    <w:name w:val="修订1"/>
    <w:hidden/>
    <w:unhideWhenUsed/>
    <w:qFormat/>
    <w:uiPriority w:val="99"/>
    <w:rPr>
      <w:rFonts w:ascii="Times New Roman" w:hAnsi="Times New Roman" w:eastAsia="宋体" w:cs="Times New Roman"/>
      <w:sz w:val="21"/>
      <w:szCs w:val="21"/>
      <w:lang w:val="en-US" w:eastAsia="zh-CN" w:bidi="ar-SA"/>
    </w:rPr>
  </w:style>
  <w:style w:type="paragraph" w:customStyle="1" w:styleId="69">
    <w:name w:val="修订2"/>
    <w:hidden/>
    <w:unhideWhenUsed/>
    <w:qFormat/>
    <w:uiPriority w:val="99"/>
    <w:rPr>
      <w:rFonts w:ascii="Times New Roman" w:hAnsi="Times New Roman" w:eastAsia="宋体" w:cs="Times New Roman"/>
      <w:sz w:val="21"/>
      <w:szCs w:val="21"/>
      <w:lang w:val="en-US" w:eastAsia="zh-CN" w:bidi="ar-SA"/>
    </w:rPr>
  </w:style>
  <w:style w:type="paragraph" w:customStyle="1" w:styleId="70">
    <w:name w:val="msolistparagraph"/>
    <w:basedOn w:val="1"/>
    <w:qFormat/>
    <w:uiPriority w:val="0"/>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79</Pages>
  <Words>29720</Words>
  <Characters>32545</Characters>
  <Lines>1620</Lines>
  <Paragraphs>1721</Paragraphs>
  <TotalTime>5</TotalTime>
  <ScaleCrop>false</ScaleCrop>
  <LinksUpToDate>false</LinksUpToDate>
  <CharactersWithSpaces>33205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2025-09-26T13:15:00Z</dcterms:created>
  <dc:creator>jsb</dc:creator>
  <cp:lastModifiedBy>地瓜52号</cp:lastModifiedBy>
  <cp:lastPrinted>2025-05-27T07:03:00Z</cp:lastPrinted>
  <dcterms:modified xsi:type="dcterms:W3CDTF">2025-10-10T09:00:50Z</dcterms:modified>
  <dc:title>_x0001_                         项目编号：YNZC2025-J1-03777-YYZX-0388</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31896DF79BBB4C7CAFBB76FAB38D6881_13</vt:lpwstr>
  </property>
  <property fmtid="{D5CDD505-2E9C-101B-9397-08002B2CF9AE}" pid="4" name="KSOTemplateDocerSaveRecord">
    <vt:lpwstr>eyJoZGlkIjoiOTBiYTdjMmY1ZDllZjNjOTVlNDk0NzBiYWJkZDBhODciLCJ1c2VySWQiOiIyNTI4NDI4MTIifQ==</vt:lpwstr>
  </property>
</Properties>
</file>