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257594">
      <w:pPr>
        <w:pStyle w:val="32"/>
        <w:ind w:firstLine="3855" w:firstLineChars="800"/>
        <w:jc w:val="left"/>
        <w:outlineLvl w:val="0"/>
        <w:rPr>
          <w:rFonts w:hint="eastAsia" w:ascii="仿宋_GB2312" w:hAnsi="仿宋_GB2312" w:eastAsia="仿宋_GB2312" w:cs="仿宋_GB2312"/>
          <w:b/>
          <w:sz w:val="48"/>
          <w:lang w:val="en-US" w:eastAsia="zh-CN"/>
        </w:rPr>
      </w:pPr>
    </w:p>
    <w:p w14:paraId="4ACE7F5C">
      <w:pPr>
        <w:pStyle w:val="32"/>
        <w:ind w:firstLine="1687" w:firstLineChars="600"/>
        <w:jc w:val="left"/>
        <w:outlineLvl w:val="2"/>
      </w:pPr>
      <w:r>
        <w:rPr>
          <w:rFonts w:ascii="仿宋_GB2312" w:hAnsi="仿宋_GB2312" w:eastAsia="仿宋_GB2312" w:cs="仿宋_GB2312"/>
          <w:b/>
          <w:sz w:val="28"/>
        </w:rPr>
        <w:t>采购项目名称：2026年无损检测外委服务采购项目</w:t>
      </w:r>
    </w:p>
    <w:p w14:paraId="4BBFB254">
      <w:pPr>
        <w:pStyle w:val="32"/>
        <w:ind w:firstLine="3855" w:firstLineChars="800"/>
        <w:jc w:val="left"/>
        <w:outlineLvl w:val="0"/>
        <w:rPr>
          <w:rFonts w:hint="eastAsia" w:ascii="仿宋_GB2312" w:hAnsi="仿宋_GB2312" w:eastAsia="仿宋_GB2312" w:cs="仿宋_GB2312"/>
          <w:b/>
          <w:sz w:val="48"/>
          <w:lang w:val="en-US" w:eastAsia="zh-CN"/>
        </w:rPr>
      </w:pPr>
    </w:p>
    <w:p w14:paraId="7FDD2680">
      <w:pPr>
        <w:pStyle w:val="32"/>
        <w:ind w:firstLine="3855" w:firstLineChars="800"/>
        <w:jc w:val="left"/>
        <w:outlineLvl w:val="0"/>
        <w:rPr>
          <w:rFonts w:hint="eastAsia" w:ascii="仿宋_GB2312" w:hAnsi="仿宋_GB2312" w:eastAsia="仿宋_GB2312" w:cs="仿宋_GB2312"/>
          <w:b/>
          <w:sz w:val="48"/>
          <w:lang w:val="en-US" w:eastAsia="zh-CN"/>
        </w:rPr>
      </w:pPr>
    </w:p>
    <w:p w14:paraId="74D5994E">
      <w:pPr>
        <w:pStyle w:val="32"/>
        <w:ind w:firstLine="3855" w:firstLineChars="800"/>
        <w:jc w:val="left"/>
        <w:outlineLvl w:val="0"/>
        <w:rPr>
          <w:rFonts w:hint="eastAsia" w:ascii="仿宋_GB2312" w:hAnsi="仿宋_GB2312" w:eastAsia="仿宋_GB2312" w:cs="仿宋_GB2312"/>
          <w:b/>
          <w:sz w:val="48"/>
          <w:lang w:val="en-US" w:eastAsia="zh-CN"/>
        </w:rPr>
      </w:pPr>
    </w:p>
    <w:p w14:paraId="703BBFB0">
      <w:pPr>
        <w:pStyle w:val="32"/>
        <w:ind w:firstLine="3855" w:firstLineChars="800"/>
        <w:jc w:val="left"/>
        <w:outlineLvl w:val="0"/>
      </w:pPr>
      <w:r>
        <w:rPr>
          <w:rFonts w:hint="eastAsia" w:ascii="仿宋_GB2312" w:hAnsi="仿宋_GB2312" w:eastAsia="仿宋_GB2312" w:cs="仿宋_GB2312"/>
          <w:b/>
          <w:sz w:val="48"/>
          <w:lang w:val="en-US" w:eastAsia="zh-CN"/>
        </w:rPr>
        <w:t>采购需求</w:t>
      </w:r>
    </w:p>
    <w:p w14:paraId="1CB5C9DB">
      <w:pPr>
        <w:pStyle w:val="32"/>
        <w:jc w:val="left"/>
        <w:outlineLvl w:val="2"/>
        <w:rPr>
          <w:rFonts w:ascii="仿宋_GB2312" w:hAnsi="仿宋_GB2312" w:eastAsia="仿宋_GB2312" w:cs="仿宋_GB2312"/>
          <w:b/>
          <w:sz w:val="28"/>
        </w:rPr>
      </w:pPr>
    </w:p>
    <w:p w14:paraId="0C7A7B43">
      <w:pPr>
        <w:pStyle w:val="32"/>
        <w:jc w:val="left"/>
        <w:outlineLvl w:val="2"/>
        <w:rPr>
          <w:rFonts w:ascii="仿宋_GB2312" w:hAnsi="仿宋_GB2312" w:eastAsia="仿宋_GB2312" w:cs="仿宋_GB2312"/>
          <w:b/>
          <w:sz w:val="28"/>
        </w:rPr>
      </w:pPr>
    </w:p>
    <w:p w14:paraId="4E16D3D2">
      <w:pPr>
        <w:pStyle w:val="32"/>
        <w:jc w:val="left"/>
        <w:outlineLvl w:val="2"/>
        <w:rPr>
          <w:rFonts w:ascii="仿宋_GB2312" w:hAnsi="仿宋_GB2312" w:eastAsia="仿宋_GB2312" w:cs="仿宋_GB2312"/>
          <w:b/>
          <w:sz w:val="28"/>
        </w:rPr>
      </w:pPr>
    </w:p>
    <w:p w14:paraId="1702F880">
      <w:pPr>
        <w:pStyle w:val="32"/>
        <w:jc w:val="left"/>
        <w:outlineLvl w:val="2"/>
        <w:rPr>
          <w:rFonts w:ascii="仿宋_GB2312" w:hAnsi="仿宋_GB2312" w:eastAsia="仿宋_GB2312" w:cs="仿宋_GB2312"/>
          <w:b/>
          <w:sz w:val="28"/>
        </w:rPr>
      </w:pPr>
    </w:p>
    <w:p w14:paraId="34EAE20E">
      <w:pPr>
        <w:pStyle w:val="32"/>
        <w:jc w:val="left"/>
        <w:outlineLvl w:val="2"/>
      </w:pPr>
      <w:r>
        <w:rPr>
          <w:rFonts w:ascii="仿宋_GB2312" w:hAnsi="仿宋_GB2312" w:eastAsia="仿宋_GB2312" w:cs="仿宋_GB2312"/>
          <w:b/>
          <w:sz w:val="28"/>
        </w:rPr>
        <w:t>成都市特种设备检验检测研究院（成都市特</w:t>
      </w:r>
      <w:bookmarkStart w:id="0" w:name="_GoBack"/>
      <w:bookmarkEnd w:id="0"/>
      <w:r>
        <w:rPr>
          <w:rFonts w:ascii="仿宋_GB2312" w:hAnsi="仿宋_GB2312" w:eastAsia="仿宋_GB2312" w:cs="仿宋_GB2312"/>
          <w:b/>
          <w:sz w:val="28"/>
        </w:rPr>
        <w:t>种设备应急处置中心）</w:t>
      </w:r>
    </w:p>
    <w:p w14:paraId="31EEBA0B">
      <w:pPr>
        <w:pStyle w:val="32"/>
        <w:jc w:val="center"/>
      </w:pPr>
      <w:r>
        <w:rPr>
          <w:rFonts w:ascii="仿宋_GB2312" w:hAnsi="仿宋_GB2312" w:eastAsia="仿宋_GB2312" w:cs="仿宋_GB2312"/>
        </w:rPr>
        <w:t>2026年05月07日</w:t>
      </w:r>
    </w:p>
    <w:p w14:paraId="0CB7EEFA">
      <w:pPr>
        <w:pStyle w:val="32"/>
        <w:jc w:val="left"/>
        <w:outlineLvl w:val="2"/>
        <w:rPr>
          <w:rFonts w:ascii="仿宋_GB2312" w:hAnsi="仿宋_GB2312" w:eastAsia="仿宋_GB2312" w:cs="仿宋_GB2312"/>
          <w:b/>
          <w:sz w:val="28"/>
        </w:rPr>
      </w:pPr>
    </w:p>
    <w:p w14:paraId="241275E5">
      <w:pPr>
        <w:rPr>
          <w:rFonts w:ascii="仿宋_GB2312" w:hAnsi="仿宋_GB2312" w:eastAsia="仿宋_GB2312" w:cs="仿宋_GB2312"/>
          <w:b/>
          <w:sz w:val="28"/>
        </w:rPr>
      </w:pPr>
      <w:r>
        <w:rPr>
          <w:rFonts w:ascii="仿宋_GB2312" w:hAnsi="仿宋_GB2312" w:eastAsia="仿宋_GB2312" w:cs="仿宋_GB2312"/>
          <w:b/>
          <w:sz w:val="28"/>
        </w:rPr>
        <w:br w:type="page"/>
      </w:r>
    </w:p>
    <w:p w14:paraId="1AD347E2">
      <w:pPr>
        <w:pStyle w:val="32"/>
        <w:jc w:val="left"/>
        <w:outlineLvl w:val="2"/>
      </w:pPr>
      <w:r>
        <w:rPr>
          <w:rFonts w:ascii="仿宋_GB2312" w:hAnsi="仿宋_GB2312" w:eastAsia="仿宋_GB2312" w:cs="仿宋_GB2312"/>
          <w:b/>
          <w:sz w:val="28"/>
        </w:rPr>
        <w:t>3.1.采购内容</w:t>
      </w:r>
    </w:p>
    <w:p w14:paraId="38F33BC8">
      <w:pPr>
        <w:pStyle w:val="32"/>
        <w:jc w:val="left"/>
      </w:pPr>
      <w:r>
        <w:rPr>
          <w:rFonts w:ascii="仿宋_GB2312" w:hAnsi="仿宋_GB2312" w:eastAsia="仿宋_GB2312" w:cs="仿宋_GB2312"/>
        </w:rPr>
        <w:t>采购包1：</w:t>
      </w:r>
    </w:p>
    <w:p w14:paraId="469E73E2">
      <w:pPr>
        <w:pStyle w:val="32"/>
        <w:jc w:val="left"/>
      </w:pPr>
      <w:r>
        <w:rPr>
          <w:rFonts w:ascii="仿宋_GB2312" w:hAnsi="仿宋_GB2312" w:eastAsia="仿宋_GB2312" w:cs="仿宋_GB2312"/>
        </w:rPr>
        <w:t>采购包预算金额（元）: 4,260,000.00</w:t>
      </w:r>
    </w:p>
    <w:p w14:paraId="051A3686">
      <w:pPr>
        <w:pStyle w:val="32"/>
        <w:jc w:val="left"/>
      </w:pPr>
      <w:r>
        <w:rPr>
          <w:rFonts w:ascii="仿宋_GB2312" w:hAnsi="仿宋_GB2312" w:eastAsia="仿宋_GB2312" w:cs="仿宋_GB2312"/>
        </w:rPr>
        <w:t>采购包最高限价（元）: 4,260,000.00</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508A6A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2D7E1E7F">
            <w:pPr>
              <w:pStyle w:val="32"/>
              <w:jc w:val="center"/>
            </w:pPr>
            <w:r>
              <w:rPr>
                <w:rFonts w:ascii="仿宋_GB2312" w:hAnsi="仿宋_GB2312" w:eastAsia="仿宋_GB2312" w:cs="仿宋_GB2312"/>
              </w:rPr>
              <w:t>序号</w:t>
            </w:r>
          </w:p>
        </w:tc>
        <w:tc>
          <w:tcPr>
            <w:tcW w:w="821" w:type="dxa"/>
          </w:tcPr>
          <w:p w14:paraId="025D4021">
            <w:pPr>
              <w:pStyle w:val="32"/>
              <w:jc w:val="center"/>
            </w:pPr>
            <w:r>
              <w:rPr>
                <w:rFonts w:ascii="仿宋_GB2312" w:hAnsi="仿宋_GB2312" w:eastAsia="仿宋_GB2312" w:cs="仿宋_GB2312"/>
              </w:rPr>
              <w:t>采购品目名称</w:t>
            </w:r>
          </w:p>
        </w:tc>
        <w:tc>
          <w:tcPr>
            <w:tcW w:w="821" w:type="dxa"/>
          </w:tcPr>
          <w:p w14:paraId="467A3A73">
            <w:pPr>
              <w:pStyle w:val="32"/>
              <w:jc w:val="center"/>
            </w:pPr>
            <w:r>
              <w:rPr>
                <w:rFonts w:ascii="仿宋_GB2312" w:hAnsi="仿宋_GB2312" w:eastAsia="仿宋_GB2312" w:cs="仿宋_GB2312"/>
              </w:rPr>
              <w:t>标的名称</w:t>
            </w:r>
          </w:p>
        </w:tc>
        <w:tc>
          <w:tcPr>
            <w:tcW w:w="821" w:type="dxa"/>
          </w:tcPr>
          <w:p w14:paraId="404F8268">
            <w:pPr>
              <w:pStyle w:val="32"/>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90F3AE9">
            <w:pPr>
              <w:pStyle w:val="32"/>
              <w:jc w:val="center"/>
            </w:pPr>
            <w:r>
              <w:rPr>
                <w:rFonts w:ascii="仿宋_GB2312" w:hAnsi="仿宋_GB2312" w:eastAsia="仿宋_GB2312" w:cs="仿宋_GB2312"/>
              </w:rPr>
              <w:t>标的金额 （元）</w:t>
            </w:r>
          </w:p>
        </w:tc>
        <w:tc>
          <w:tcPr>
            <w:tcW w:w="821" w:type="dxa"/>
          </w:tcPr>
          <w:p w14:paraId="25592433">
            <w:pPr>
              <w:pStyle w:val="32"/>
              <w:jc w:val="center"/>
            </w:pPr>
            <w:r>
              <w:rPr>
                <w:rFonts w:ascii="仿宋_GB2312" w:hAnsi="仿宋_GB2312" w:eastAsia="仿宋_GB2312" w:cs="仿宋_GB2312"/>
              </w:rPr>
              <w:t>所属行业</w:t>
            </w:r>
          </w:p>
        </w:tc>
        <w:tc>
          <w:tcPr>
            <w:tcW w:w="821" w:type="dxa"/>
          </w:tcPr>
          <w:p w14:paraId="506D4B6D">
            <w:pPr>
              <w:pStyle w:val="32"/>
              <w:jc w:val="center"/>
            </w:pPr>
            <w:r>
              <w:rPr>
                <w:rFonts w:ascii="仿宋_GB2312" w:hAnsi="仿宋_GB2312" w:eastAsia="仿宋_GB2312" w:cs="仿宋_GB2312"/>
              </w:rPr>
              <w:t>是否涉及核心产品</w:t>
            </w:r>
          </w:p>
        </w:tc>
        <w:tc>
          <w:tcPr>
            <w:tcW w:w="821" w:type="dxa"/>
          </w:tcPr>
          <w:p w14:paraId="008EF530">
            <w:pPr>
              <w:pStyle w:val="32"/>
              <w:jc w:val="center"/>
            </w:pPr>
            <w:r>
              <w:rPr>
                <w:rFonts w:ascii="仿宋_GB2312" w:hAnsi="仿宋_GB2312" w:eastAsia="仿宋_GB2312" w:cs="仿宋_GB2312"/>
              </w:rPr>
              <w:t>是否涉及采购进口产品</w:t>
            </w:r>
          </w:p>
        </w:tc>
        <w:tc>
          <w:tcPr>
            <w:tcW w:w="821" w:type="dxa"/>
          </w:tcPr>
          <w:p w14:paraId="6777C2C3">
            <w:pPr>
              <w:pStyle w:val="32"/>
              <w:jc w:val="center"/>
            </w:pPr>
            <w:r>
              <w:rPr>
                <w:rFonts w:ascii="仿宋_GB2312" w:hAnsi="仿宋_GB2312" w:eastAsia="仿宋_GB2312" w:cs="仿宋_GB2312"/>
              </w:rPr>
              <w:t>是否涉及强制采购节能产品</w:t>
            </w:r>
          </w:p>
        </w:tc>
        <w:tc>
          <w:tcPr>
            <w:tcW w:w="639" w:type="dxa"/>
          </w:tcPr>
          <w:p w14:paraId="286EA929">
            <w:pPr>
              <w:pStyle w:val="32"/>
              <w:jc w:val="center"/>
            </w:pPr>
            <w:r>
              <w:rPr>
                <w:rFonts w:ascii="仿宋_GB2312" w:hAnsi="仿宋_GB2312" w:eastAsia="仿宋_GB2312" w:cs="仿宋_GB2312"/>
              </w:rPr>
              <w:t>是否涉及优先采购节能产品</w:t>
            </w:r>
          </w:p>
        </w:tc>
        <w:tc>
          <w:tcPr>
            <w:tcW w:w="639" w:type="dxa"/>
          </w:tcPr>
          <w:p w14:paraId="44110963">
            <w:pPr>
              <w:pStyle w:val="32"/>
              <w:jc w:val="center"/>
            </w:pPr>
            <w:r>
              <w:rPr>
                <w:rFonts w:ascii="仿宋_GB2312" w:hAnsi="仿宋_GB2312" w:eastAsia="仿宋_GB2312" w:cs="仿宋_GB2312"/>
              </w:rPr>
              <w:t>是否涉及优先采购环境标志产品</w:t>
            </w:r>
          </w:p>
        </w:tc>
      </w:tr>
      <w:tr w14:paraId="4FF34E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A44BD8A">
            <w:pPr>
              <w:pStyle w:val="32"/>
              <w:jc w:val="left"/>
            </w:pPr>
            <w:r>
              <w:rPr>
                <w:rFonts w:ascii="仿宋_GB2312" w:hAnsi="仿宋_GB2312" w:eastAsia="仿宋_GB2312" w:cs="仿宋_GB2312"/>
              </w:rPr>
              <w:t>1</w:t>
            </w:r>
          </w:p>
        </w:tc>
        <w:tc>
          <w:tcPr>
            <w:tcW w:w="821" w:type="dxa"/>
          </w:tcPr>
          <w:p w14:paraId="715EA81C">
            <w:pPr>
              <w:pStyle w:val="32"/>
              <w:jc w:val="left"/>
            </w:pPr>
            <w:r>
              <w:rPr>
                <w:rFonts w:ascii="仿宋_GB2312" w:hAnsi="仿宋_GB2312" w:eastAsia="仿宋_GB2312" w:cs="仿宋_GB2312"/>
              </w:rPr>
              <w:t>C19010000 技术测试和分析服务</w:t>
            </w:r>
          </w:p>
        </w:tc>
        <w:tc>
          <w:tcPr>
            <w:tcW w:w="821" w:type="dxa"/>
          </w:tcPr>
          <w:p w14:paraId="35E71252">
            <w:pPr>
              <w:pStyle w:val="32"/>
              <w:jc w:val="left"/>
            </w:pPr>
            <w:r>
              <w:rPr>
                <w:rFonts w:ascii="仿宋_GB2312" w:hAnsi="仿宋_GB2312" w:eastAsia="仿宋_GB2312" w:cs="仿宋_GB2312"/>
              </w:rPr>
              <w:t>无损检测外委服务</w:t>
            </w:r>
          </w:p>
        </w:tc>
        <w:tc>
          <w:tcPr>
            <w:tcW w:w="821" w:type="dxa"/>
          </w:tcPr>
          <w:p w14:paraId="1E229023">
            <w:pPr>
              <w:pStyle w:val="32"/>
              <w:jc w:val="right"/>
            </w:pPr>
            <w:r>
              <w:rPr>
                <w:rFonts w:ascii="仿宋_GB2312" w:hAnsi="仿宋_GB2312" w:eastAsia="仿宋_GB2312" w:cs="仿宋_GB2312"/>
              </w:rPr>
              <w:t>1.00（项）</w:t>
            </w:r>
          </w:p>
        </w:tc>
        <w:tc>
          <w:tcPr>
            <w:tcW w:w="821" w:type="dxa"/>
          </w:tcPr>
          <w:p w14:paraId="4C1CDF06">
            <w:pPr>
              <w:pStyle w:val="32"/>
              <w:jc w:val="right"/>
            </w:pPr>
            <w:r>
              <w:rPr>
                <w:rFonts w:ascii="仿宋_GB2312" w:hAnsi="仿宋_GB2312" w:eastAsia="仿宋_GB2312" w:cs="仿宋_GB2312"/>
              </w:rPr>
              <w:t>4,260,000.00</w:t>
            </w:r>
          </w:p>
        </w:tc>
        <w:tc>
          <w:tcPr>
            <w:tcW w:w="821" w:type="dxa"/>
          </w:tcPr>
          <w:p w14:paraId="36E5CC90">
            <w:pPr>
              <w:pStyle w:val="32"/>
              <w:jc w:val="left"/>
            </w:pPr>
            <w:r>
              <w:rPr>
                <w:rFonts w:ascii="仿宋_GB2312" w:hAnsi="仿宋_GB2312" w:eastAsia="仿宋_GB2312" w:cs="仿宋_GB2312"/>
              </w:rPr>
              <w:t>其他未列明行业</w:t>
            </w:r>
          </w:p>
        </w:tc>
        <w:tc>
          <w:tcPr>
            <w:tcW w:w="821" w:type="dxa"/>
          </w:tcPr>
          <w:p w14:paraId="5F3CC433">
            <w:pPr>
              <w:pStyle w:val="32"/>
              <w:jc w:val="left"/>
            </w:pPr>
            <w:r>
              <w:rPr>
                <w:rFonts w:ascii="仿宋_GB2312" w:hAnsi="仿宋_GB2312" w:eastAsia="仿宋_GB2312" w:cs="仿宋_GB2312"/>
              </w:rPr>
              <w:t>否</w:t>
            </w:r>
          </w:p>
        </w:tc>
        <w:tc>
          <w:tcPr>
            <w:tcW w:w="821" w:type="dxa"/>
          </w:tcPr>
          <w:p w14:paraId="60908C02">
            <w:pPr>
              <w:pStyle w:val="32"/>
              <w:jc w:val="left"/>
            </w:pPr>
            <w:r>
              <w:rPr>
                <w:rFonts w:ascii="仿宋_GB2312" w:hAnsi="仿宋_GB2312" w:eastAsia="仿宋_GB2312" w:cs="仿宋_GB2312"/>
              </w:rPr>
              <w:t>否</w:t>
            </w:r>
          </w:p>
        </w:tc>
        <w:tc>
          <w:tcPr>
            <w:tcW w:w="821" w:type="dxa"/>
          </w:tcPr>
          <w:p w14:paraId="545A90B1">
            <w:pPr>
              <w:pStyle w:val="32"/>
              <w:jc w:val="left"/>
            </w:pPr>
            <w:r>
              <w:rPr>
                <w:rFonts w:ascii="仿宋_GB2312" w:hAnsi="仿宋_GB2312" w:eastAsia="仿宋_GB2312" w:cs="仿宋_GB2312"/>
              </w:rPr>
              <w:t>否</w:t>
            </w:r>
          </w:p>
        </w:tc>
        <w:tc>
          <w:tcPr>
            <w:tcW w:w="639" w:type="dxa"/>
          </w:tcPr>
          <w:p w14:paraId="3922F85B">
            <w:pPr>
              <w:pStyle w:val="32"/>
              <w:jc w:val="left"/>
            </w:pPr>
            <w:r>
              <w:rPr>
                <w:rFonts w:ascii="仿宋_GB2312" w:hAnsi="仿宋_GB2312" w:eastAsia="仿宋_GB2312" w:cs="仿宋_GB2312"/>
              </w:rPr>
              <w:t>否</w:t>
            </w:r>
          </w:p>
        </w:tc>
        <w:tc>
          <w:tcPr>
            <w:tcW w:w="639" w:type="dxa"/>
          </w:tcPr>
          <w:p w14:paraId="1D745F6F">
            <w:pPr>
              <w:pStyle w:val="32"/>
              <w:jc w:val="left"/>
            </w:pPr>
            <w:r>
              <w:rPr>
                <w:rFonts w:ascii="仿宋_GB2312" w:hAnsi="仿宋_GB2312" w:eastAsia="仿宋_GB2312" w:cs="仿宋_GB2312"/>
              </w:rPr>
              <w:t>否</w:t>
            </w:r>
          </w:p>
        </w:tc>
      </w:tr>
    </w:tbl>
    <w:p w14:paraId="3B86073B">
      <w:pPr>
        <w:pStyle w:val="32"/>
        <w:jc w:val="left"/>
      </w:pPr>
      <w:r>
        <w:rPr>
          <w:rFonts w:ascii="仿宋_GB2312" w:hAnsi="仿宋_GB2312" w:eastAsia="仿宋_GB2312" w:cs="仿宋_GB2312"/>
        </w:rPr>
        <w:t>是否适用本国产品标准：</w:t>
      </w:r>
    </w:p>
    <w:p w14:paraId="11A9C01C">
      <w:pPr>
        <w:pStyle w:val="32"/>
        <w:jc w:val="left"/>
      </w:pPr>
      <w:r>
        <w:rPr>
          <w:rFonts w:ascii="仿宋_GB2312" w:hAnsi="仿宋_GB2312" w:eastAsia="仿宋_GB2312" w:cs="仿宋_GB2312"/>
        </w:rPr>
        <w:t>采购包1：是</w:t>
      </w:r>
    </w:p>
    <w:p w14:paraId="12DB848F">
      <w:pPr>
        <w:pStyle w:val="32"/>
        <w:jc w:val="left"/>
        <w:outlineLvl w:val="3"/>
      </w:pPr>
      <w:r>
        <w:rPr>
          <w:rFonts w:ascii="仿宋_GB2312" w:hAnsi="仿宋_GB2312" w:eastAsia="仿宋_GB2312" w:cs="仿宋_GB2312"/>
          <w:b/>
          <w:sz w:val="24"/>
        </w:rPr>
        <w:t>报价要求</w:t>
      </w:r>
    </w:p>
    <w:p w14:paraId="3606C015">
      <w:pPr>
        <w:pStyle w:val="32"/>
        <w:jc w:val="left"/>
      </w:pPr>
      <w:r>
        <w:rPr>
          <w:rFonts w:ascii="仿宋_GB2312" w:hAnsi="仿宋_GB2312" w:eastAsia="仿宋_GB2312" w:cs="仿宋_GB2312"/>
        </w:rPr>
        <w:t>采购包1：</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43A776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6986E403">
            <w:pPr>
              <w:pStyle w:val="32"/>
              <w:jc w:val="center"/>
            </w:pPr>
            <w:r>
              <w:rPr>
                <w:rFonts w:ascii="仿宋_GB2312" w:hAnsi="仿宋_GB2312" w:eastAsia="仿宋_GB2312" w:cs="仿宋_GB2312"/>
              </w:rPr>
              <w:t>序号</w:t>
            </w:r>
          </w:p>
        </w:tc>
        <w:tc>
          <w:tcPr>
            <w:tcW w:w="1759" w:type="dxa"/>
          </w:tcPr>
          <w:p w14:paraId="068A88AB">
            <w:pPr>
              <w:pStyle w:val="32"/>
              <w:jc w:val="center"/>
            </w:pPr>
            <w:r>
              <w:rPr>
                <w:rFonts w:ascii="仿宋_GB2312" w:hAnsi="仿宋_GB2312" w:eastAsia="仿宋_GB2312" w:cs="仿宋_GB2312"/>
              </w:rPr>
              <w:t>报价内容</w:t>
            </w:r>
          </w:p>
        </w:tc>
        <w:tc>
          <w:tcPr>
            <w:tcW w:w="977" w:type="dxa"/>
          </w:tcPr>
          <w:p w14:paraId="32FB510C">
            <w:pPr>
              <w:pStyle w:val="32"/>
              <w:jc w:val="center"/>
            </w:pPr>
            <w:r>
              <w:rPr>
                <w:rFonts w:ascii="仿宋_GB2312" w:hAnsi="仿宋_GB2312" w:eastAsia="仿宋_GB2312" w:cs="仿宋_GB2312"/>
              </w:rPr>
              <w:t>计量单位</w:t>
            </w:r>
          </w:p>
        </w:tc>
        <w:tc>
          <w:tcPr>
            <w:tcW w:w="977" w:type="dxa"/>
          </w:tcPr>
          <w:p w14:paraId="73B5BF48">
            <w:pPr>
              <w:pStyle w:val="32"/>
              <w:jc w:val="center"/>
            </w:pPr>
            <w:r>
              <w:rPr>
                <w:rFonts w:ascii="仿宋_GB2312" w:hAnsi="仿宋_GB2312" w:eastAsia="仿宋_GB2312" w:cs="仿宋_GB2312"/>
              </w:rPr>
              <w:t>报价单位</w:t>
            </w:r>
          </w:p>
        </w:tc>
        <w:tc>
          <w:tcPr>
            <w:tcW w:w="1466" w:type="dxa"/>
          </w:tcPr>
          <w:p w14:paraId="23ECF471">
            <w:pPr>
              <w:pStyle w:val="32"/>
              <w:jc w:val="center"/>
            </w:pPr>
            <w:r>
              <w:rPr>
                <w:rFonts w:ascii="仿宋_GB2312" w:hAnsi="仿宋_GB2312" w:eastAsia="仿宋_GB2312" w:cs="仿宋_GB2312"/>
              </w:rPr>
              <w:t>最高限价</w:t>
            </w:r>
          </w:p>
        </w:tc>
        <w:tc>
          <w:tcPr>
            <w:tcW w:w="977" w:type="dxa"/>
          </w:tcPr>
          <w:p w14:paraId="76BC89BA">
            <w:pPr>
              <w:pStyle w:val="32"/>
              <w:jc w:val="center"/>
            </w:pPr>
            <w:r>
              <w:rPr>
                <w:rFonts w:ascii="仿宋_GB2312" w:hAnsi="仿宋_GB2312" w:eastAsia="仿宋_GB2312" w:cs="仿宋_GB2312"/>
              </w:rPr>
              <w:t>价款形式</w:t>
            </w:r>
          </w:p>
        </w:tc>
        <w:tc>
          <w:tcPr>
            <w:tcW w:w="1466" w:type="dxa"/>
          </w:tcPr>
          <w:p w14:paraId="344C5649">
            <w:pPr>
              <w:pStyle w:val="32"/>
              <w:jc w:val="center"/>
            </w:pPr>
            <w:r>
              <w:rPr>
                <w:rFonts w:ascii="仿宋_GB2312" w:hAnsi="仿宋_GB2312" w:eastAsia="仿宋_GB2312" w:cs="仿宋_GB2312"/>
              </w:rPr>
              <w:t>报价说明</w:t>
            </w:r>
          </w:p>
        </w:tc>
      </w:tr>
      <w:tr w14:paraId="32785B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01B2D740">
            <w:pPr>
              <w:pStyle w:val="32"/>
              <w:jc w:val="center"/>
            </w:pPr>
            <w:r>
              <w:rPr>
                <w:rFonts w:ascii="仿宋_GB2312" w:hAnsi="仿宋_GB2312" w:eastAsia="仿宋_GB2312" w:cs="仿宋_GB2312"/>
              </w:rPr>
              <w:t>1</w:t>
            </w:r>
          </w:p>
        </w:tc>
        <w:tc>
          <w:tcPr>
            <w:tcW w:w="1759" w:type="dxa"/>
          </w:tcPr>
          <w:p w14:paraId="241A069B">
            <w:pPr>
              <w:pStyle w:val="32"/>
              <w:jc w:val="center"/>
            </w:pPr>
            <w:r>
              <w:rPr>
                <w:rFonts w:ascii="仿宋_GB2312" w:hAnsi="仿宋_GB2312" w:eastAsia="仿宋_GB2312" w:cs="仿宋_GB2312"/>
              </w:rPr>
              <w:t>无损检测外委服务</w:t>
            </w:r>
          </w:p>
        </w:tc>
        <w:tc>
          <w:tcPr>
            <w:tcW w:w="977" w:type="dxa"/>
          </w:tcPr>
          <w:p w14:paraId="4A636636">
            <w:pPr>
              <w:pStyle w:val="32"/>
              <w:jc w:val="center"/>
            </w:pPr>
            <w:r>
              <w:rPr>
                <w:rFonts w:ascii="仿宋_GB2312" w:hAnsi="仿宋_GB2312" w:eastAsia="仿宋_GB2312" w:cs="仿宋_GB2312"/>
              </w:rPr>
              <w:t>项</w:t>
            </w:r>
          </w:p>
        </w:tc>
        <w:tc>
          <w:tcPr>
            <w:tcW w:w="977" w:type="dxa"/>
          </w:tcPr>
          <w:p w14:paraId="5C700E86">
            <w:pPr>
              <w:pStyle w:val="32"/>
              <w:jc w:val="center"/>
            </w:pPr>
            <w:r>
              <w:rPr>
                <w:rFonts w:ascii="仿宋_GB2312" w:hAnsi="仿宋_GB2312" w:eastAsia="仿宋_GB2312" w:cs="仿宋_GB2312"/>
              </w:rPr>
              <w:t>%</w:t>
            </w:r>
          </w:p>
        </w:tc>
        <w:tc>
          <w:tcPr>
            <w:tcW w:w="1466" w:type="dxa"/>
          </w:tcPr>
          <w:p w14:paraId="433847B5">
            <w:pPr>
              <w:pStyle w:val="32"/>
              <w:jc w:val="center"/>
            </w:pPr>
            <w:r>
              <w:rPr>
                <w:rFonts w:ascii="仿宋_GB2312" w:hAnsi="仿宋_GB2312" w:eastAsia="仿宋_GB2312" w:cs="仿宋_GB2312"/>
              </w:rPr>
              <w:t>不设定</w:t>
            </w:r>
          </w:p>
        </w:tc>
        <w:tc>
          <w:tcPr>
            <w:tcW w:w="977" w:type="dxa"/>
          </w:tcPr>
          <w:p w14:paraId="6248DD21">
            <w:pPr>
              <w:pStyle w:val="32"/>
              <w:jc w:val="center"/>
            </w:pPr>
            <w:r>
              <w:rPr>
                <w:rFonts w:ascii="仿宋_GB2312" w:hAnsi="仿宋_GB2312" w:eastAsia="仿宋_GB2312" w:cs="仿宋_GB2312"/>
              </w:rPr>
              <w:t>百分比</w:t>
            </w:r>
          </w:p>
        </w:tc>
        <w:tc>
          <w:tcPr>
            <w:tcW w:w="1466" w:type="dxa"/>
          </w:tcPr>
          <w:p w14:paraId="6784C199">
            <w:pPr>
              <w:pStyle w:val="32"/>
              <w:jc w:val="left"/>
            </w:pPr>
            <w:r>
              <w:rPr>
                <w:rFonts w:ascii="仿宋_GB2312" w:hAnsi="仿宋_GB2312" w:eastAsia="仿宋_GB2312" w:cs="仿宋_GB2312"/>
              </w:rPr>
              <w:t>1.供应商以单价限价为基础按照统一下浮率进行报价；2.结算单价=单价限价×（1-下浮率），据实结算。</w:t>
            </w:r>
          </w:p>
        </w:tc>
      </w:tr>
    </w:tbl>
    <w:p w14:paraId="5AC24CF3">
      <w:pPr>
        <w:pStyle w:val="32"/>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3A48A41E">
      <w:pPr>
        <w:pStyle w:val="32"/>
        <w:jc w:val="left"/>
      </w:pPr>
      <w:r>
        <w:rPr>
          <w:rFonts w:ascii="仿宋_GB2312" w:hAnsi="仿宋_GB2312" w:eastAsia="仿宋_GB2312" w:cs="仿宋_GB2312"/>
          <w:b/>
        </w:rPr>
        <w:t>本项目涉及核心产品：</w:t>
      </w:r>
    </w:p>
    <w:p w14:paraId="1B09591D">
      <w:pPr>
        <w:pStyle w:val="32"/>
        <w:jc w:val="left"/>
      </w:pPr>
      <w:r>
        <w:rPr>
          <w:rFonts w:ascii="仿宋_GB2312" w:hAnsi="仿宋_GB2312" w:eastAsia="仿宋_GB2312" w:cs="仿宋_GB2312"/>
        </w:rPr>
        <w:t>采购包1：</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7D8C0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3856E8A9">
            <w:pPr>
              <w:pStyle w:val="32"/>
              <w:jc w:val="center"/>
            </w:pPr>
            <w:r>
              <w:rPr>
                <w:rFonts w:ascii="仿宋_GB2312" w:hAnsi="仿宋_GB2312" w:eastAsia="仿宋_GB2312" w:cs="仿宋_GB2312"/>
              </w:rPr>
              <w:t>序号</w:t>
            </w:r>
          </w:p>
        </w:tc>
        <w:tc>
          <w:tcPr>
            <w:tcW w:w="2492" w:type="dxa"/>
          </w:tcPr>
          <w:p w14:paraId="6907DA82">
            <w:pPr>
              <w:pStyle w:val="32"/>
              <w:jc w:val="center"/>
            </w:pPr>
            <w:r>
              <w:rPr>
                <w:rFonts w:ascii="仿宋_GB2312" w:hAnsi="仿宋_GB2312" w:eastAsia="仿宋_GB2312" w:cs="仿宋_GB2312"/>
              </w:rPr>
              <w:t>采购品目名称</w:t>
            </w:r>
          </w:p>
        </w:tc>
        <w:tc>
          <w:tcPr>
            <w:tcW w:w="2492" w:type="dxa"/>
          </w:tcPr>
          <w:p w14:paraId="004BA973">
            <w:pPr>
              <w:pStyle w:val="32"/>
              <w:jc w:val="center"/>
            </w:pPr>
            <w:r>
              <w:rPr>
                <w:rFonts w:ascii="仿宋_GB2312" w:hAnsi="仿宋_GB2312" w:eastAsia="仿宋_GB2312" w:cs="仿宋_GB2312"/>
              </w:rPr>
              <w:t>标的名称</w:t>
            </w:r>
          </w:p>
        </w:tc>
        <w:tc>
          <w:tcPr>
            <w:tcW w:w="2492" w:type="dxa"/>
          </w:tcPr>
          <w:p w14:paraId="67532230">
            <w:pPr>
              <w:pStyle w:val="32"/>
              <w:jc w:val="center"/>
            </w:pPr>
            <w:r>
              <w:rPr>
                <w:rFonts w:ascii="仿宋_GB2312" w:hAnsi="仿宋_GB2312" w:eastAsia="仿宋_GB2312" w:cs="仿宋_GB2312"/>
              </w:rPr>
              <w:t>产品名称</w:t>
            </w:r>
          </w:p>
        </w:tc>
      </w:tr>
      <w:tr w14:paraId="403B57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0798C90">
            <w:pPr>
              <w:pStyle w:val="32"/>
              <w:jc w:val="center"/>
            </w:pPr>
            <w:r>
              <w:rPr>
                <w:rFonts w:ascii="仿宋_GB2312" w:hAnsi="仿宋_GB2312" w:eastAsia="仿宋_GB2312" w:cs="仿宋_GB2312"/>
              </w:rPr>
              <w:t>不涉及</w:t>
            </w:r>
          </w:p>
        </w:tc>
      </w:tr>
    </w:tbl>
    <w:p w14:paraId="063D1517">
      <w:pPr>
        <w:pStyle w:val="32"/>
        <w:ind w:firstLine="480"/>
        <w:jc w:val="left"/>
      </w:pPr>
      <w:r>
        <w:rPr>
          <w:rFonts w:ascii="仿宋_GB2312" w:hAnsi="仿宋_GB2312" w:eastAsia="仿宋_GB2312" w:cs="仿宋_GB2312"/>
        </w:rPr>
        <w:t>注：涉及核心产品的，具体评审规定见第五章。</w:t>
      </w:r>
    </w:p>
    <w:p w14:paraId="39F81D6B">
      <w:pPr>
        <w:pStyle w:val="32"/>
        <w:jc w:val="left"/>
        <w:outlineLvl w:val="3"/>
      </w:pPr>
      <w:r>
        <w:rPr>
          <w:rFonts w:ascii="仿宋_GB2312" w:hAnsi="仿宋_GB2312" w:eastAsia="仿宋_GB2312" w:cs="仿宋_GB2312"/>
          <w:b/>
          <w:sz w:val="24"/>
        </w:rPr>
        <w:t>本项目涉及采购进口产品：</w:t>
      </w:r>
    </w:p>
    <w:p w14:paraId="5E7DF41A">
      <w:pPr>
        <w:pStyle w:val="32"/>
        <w:jc w:val="left"/>
      </w:pPr>
      <w:r>
        <w:rPr>
          <w:rFonts w:ascii="仿宋_GB2312" w:hAnsi="仿宋_GB2312" w:eastAsia="仿宋_GB2312" w:cs="仿宋_GB2312"/>
        </w:rPr>
        <w:t>采购包1：</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6FCC2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3F12CC">
            <w:pPr>
              <w:pStyle w:val="32"/>
              <w:jc w:val="center"/>
            </w:pPr>
            <w:r>
              <w:rPr>
                <w:rFonts w:ascii="仿宋_GB2312" w:hAnsi="仿宋_GB2312" w:eastAsia="仿宋_GB2312" w:cs="仿宋_GB2312"/>
              </w:rPr>
              <w:t>序号</w:t>
            </w:r>
          </w:p>
        </w:tc>
        <w:tc>
          <w:tcPr>
            <w:tcW w:w="2492" w:type="dxa"/>
          </w:tcPr>
          <w:p w14:paraId="1A6975F9">
            <w:pPr>
              <w:pStyle w:val="32"/>
              <w:jc w:val="center"/>
            </w:pPr>
            <w:r>
              <w:rPr>
                <w:rFonts w:ascii="仿宋_GB2312" w:hAnsi="仿宋_GB2312" w:eastAsia="仿宋_GB2312" w:cs="仿宋_GB2312"/>
              </w:rPr>
              <w:t>采购品目名称</w:t>
            </w:r>
          </w:p>
        </w:tc>
        <w:tc>
          <w:tcPr>
            <w:tcW w:w="2492" w:type="dxa"/>
          </w:tcPr>
          <w:p w14:paraId="336D6E83">
            <w:pPr>
              <w:pStyle w:val="32"/>
              <w:jc w:val="center"/>
            </w:pPr>
            <w:r>
              <w:rPr>
                <w:rFonts w:ascii="仿宋_GB2312" w:hAnsi="仿宋_GB2312" w:eastAsia="仿宋_GB2312" w:cs="仿宋_GB2312"/>
              </w:rPr>
              <w:t>标的名称</w:t>
            </w:r>
          </w:p>
        </w:tc>
        <w:tc>
          <w:tcPr>
            <w:tcW w:w="2492" w:type="dxa"/>
          </w:tcPr>
          <w:p w14:paraId="6925067B">
            <w:pPr>
              <w:pStyle w:val="32"/>
              <w:jc w:val="center"/>
            </w:pPr>
            <w:r>
              <w:rPr>
                <w:rFonts w:ascii="仿宋_GB2312" w:hAnsi="仿宋_GB2312" w:eastAsia="仿宋_GB2312" w:cs="仿宋_GB2312"/>
              </w:rPr>
              <w:t>产品名称</w:t>
            </w:r>
          </w:p>
        </w:tc>
      </w:tr>
      <w:tr w14:paraId="445CDE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C64174E">
            <w:pPr>
              <w:pStyle w:val="32"/>
              <w:jc w:val="center"/>
            </w:pPr>
            <w:r>
              <w:rPr>
                <w:rFonts w:ascii="仿宋_GB2312" w:hAnsi="仿宋_GB2312" w:eastAsia="仿宋_GB2312" w:cs="仿宋_GB2312"/>
              </w:rPr>
              <w:t>不涉及</w:t>
            </w:r>
          </w:p>
        </w:tc>
      </w:tr>
    </w:tbl>
    <w:p w14:paraId="3070B40D">
      <w:pPr>
        <w:pStyle w:val="32"/>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432F2692">
      <w:pPr>
        <w:pStyle w:val="32"/>
        <w:jc w:val="left"/>
        <w:outlineLvl w:val="3"/>
      </w:pPr>
      <w:r>
        <w:rPr>
          <w:rFonts w:ascii="仿宋_GB2312" w:hAnsi="仿宋_GB2312" w:eastAsia="仿宋_GB2312" w:cs="仿宋_GB2312"/>
          <w:b/>
          <w:sz w:val="24"/>
        </w:rPr>
        <w:t>本项目涉及强制采购节能产品：</w:t>
      </w:r>
    </w:p>
    <w:p w14:paraId="6BA12EAA">
      <w:pPr>
        <w:pStyle w:val="32"/>
        <w:jc w:val="left"/>
      </w:pPr>
      <w:r>
        <w:rPr>
          <w:rFonts w:ascii="仿宋_GB2312" w:hAnsi="仿宋_GB2312" w:eastAsia="仿宋_GB2312" w:cs="仿宋_GB2312"/>
        </w:rPr>
        <w:t>采购包1：</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B3590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7DD327">
            <w:pPr>
              <w:pStyle w:val="32"/>
              <w:jc w:val="center"/>
            </w:pPr>
            <w:r>
              <w:rPr>
                <w:rFonts w:ascii="仿宋_GB2312" w:hAnsi="仿宋_GB2312" w:eastAsia="仿宋_GB2312" w:cs="仿宋_GB2312"/>
              </w:rPr>
              <w:t>序号</w:t>
            </w:r>
          </w:p>
        </w:tc>
        <w:tc>
          <w:tcPr>
            <w:tcW w:w="2492" w:type="dxa"/>
          </w:tcPr>
          <w:p w14:paraId="2C0AE72D">
            <w:pPr>
              <w:pStyle w:val="32"/>
              <w:jc w:val="center"/>
            </w:pPr>
            <w:r>
              <w:rPr>
                <w:rFonts w:ascii="仿宋_GB2312" w:hAnsi="仿宋_GB2312" w:eastAsia="仿宋_GB2312" w:cs="仿宋_GB2312"/>
              </w:rPr>
              <w:t>采购品目名称</w:t>
            </w:r>
          </w:p>
        </w:tc>
        <w:tc>
          <w:tcPr>
            <w:tcW w:w="2492" w:type="dxa"/>
          </w:tcPr>
          <w:p w14:paraId="435482DD">
            <w:pPr>
              <w:pStyle w:val="32"/>
              <w:jc w:val="center"/>
            </w:pPr>
            <w:r>
              <w:rPr>
                <w:rFonts w:ascii="仿宋_GB2312" w:hAnsi="仿宋_GB2312" w:eastAsia="仿宋_GB2312" w:cs="仿宋_GB2312"/>
              </w:rPr>
              <w:t>标的名称</w:t>
            </w:r>
          </w:p>
        </w:tc>
        <w:tc>
          <w:tcPr>
            <w:tcW w:w="2492" w:type="dxa"/>
          </w:tcPr>
          <w:p w14:paraId="318AFFBA">
            <w:pPr>
              <w:pStyle w:val="32"/>
              <w:jc w:val="center"/>
            </w:pPr>
            <w:r>
              <w:rPr>
                <w:rFonts w:ascii="仿宋_GB2312" w:hAnsi="仿宋_GB2312" w:eastAsia="仿宋_GB2312" w:cs="仿宋_GB2312"/>
              </w:rPr>
              <w:t>产品名称</w:t>
            </w:r>
          </w:p>
        </w:tc>
      </w:tr>
      <w:tr w14:paraId="295CB7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7B8217E">
            <w:pPr>
              <w:pStyle w:val="32"/>
              <w:jc w:val="center"/>
            </w:pPr>
            <w:r>
              <w:rPr>
                <w:rFonts w:ascii="仿宋_GB2312" w:hAnsi="仿宋_GB2312" w:eastAsia="仿宋_GB2312" w:cs="仿宋_GB2312"/>
              </w:rPr>
              <w:t>不涉及</w:t>
            </w:r>
          </w:p>
        </w:tc>
      </w:tr>
    </w:tbl>
    <w:p w14:paraId="5465A110">
      <w:pPr>
        <w:pStyle w:val="32"/>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77612D7">
      <w:pPr>
        <w:pStyle w:val="32"/>
        <w:jc w:val="left"/>
      </w:pPr>
      <w:r>
        <w:rPr>
          <w:rFonts w:ascii="仿宋_GB2312" w:hAnsi="仿宋_GB2312" w:eastAsia="仿宋_GB2312" w:cs="仿宋_GB2312"/>
          <w:b/>
        </w:rPr>
        <w:t>本项目涉及优先采购节能产品：</w:t>
      </w:r>
    </w:p>
    <w:p w14:paraId="16F3E243">
      <w:pPr>
        <w:pStyle w:val="32"/>
        <w:jc w:val="left"/>
      </w:pPr>
      <w:r>
        <w:rPr>
          <w:rFonts w:ascii="仿宋_GB2312" w:hAnsi="仿宋_GB2312" w:eastAsia="仿宋_GB2312" w:cs="仿宋_GB2312"/>
        </w:rPr>
        <w:t>采购包1：</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CC7F2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B47B0B">
            <w:pPr>
              <w:pStyle w:val="32"/>
              <w:jc w:val="center"/>
            </w:pPr>
            <w:r>
              <w:rPr>
                <w:rFonts w:ascii="仿宋_GB2312" w:hAnsi="仿宋_GB2312" w:eastAsia="仿宋_GB2312" w:cs="仿宋_GB2312"/>
              </w:rPr>
              <w:t>序号</w:t>
            </w:r>
          </w:p>
        </w:tc>
        <w:tc>
          <w:tcPr>
            <w:tcW w:w="2492" w:type="dxa"/>
          </w:tcPr>
          <w:p w14:paraId="29A5023B">
            <w:pPr>
              <w:pStyle w:val="32"/>
              <w:jc w:val="center"/>
            </w:pPr>
            <w:r>
              <w:rPr>
                <w:rFonts w:ascii="仿宋_GB2312" w:hAnsi="仿宋_GB2312" w:eastAsia="仿宋_GB2312" w:cs="仿宋_GB2312"/>
              </w:rPr>
              <w:t>采购品目名称</w:t>
            </w:r>
          </w:p>
        </w:tc>
        <w:tc>
          <w:tcPr>
            <w:tcW w:w="2492" w:type="dxa"/>
          </w:tcPr>
          <w:p w14:paraId="0E96A3E5">
            <w:pPr>
              <w:pStyle w:val="32"/>
              <w:jc w:val="center"/>
            </w:pPr>
            <w:r>
              <w:rPr>
                <w:rFonts w:ascii="仿宋_GB2312" w:hAnsi="仿宋_GB2312" w:eastAsia="仿宋_GB2312" w:cs="仿宋_GB2312"/>
              </w:rPr>
              <w:t>标的名称</w:t>
            </w:r>
          </w:p>
        </w:tc>
        <w:tc>
          <w:tcPr>
            <w:tcW w:w="2492" w:type="dxa"/>
          </w:tcPr>
          <w:p w14:paraId="0959F6AE">
            <w:pPr>
              <w:pStyle w:val="32"/>
              <w:jc w:val="center"/>
            </w:pPr>
            <w:r>
              <w:rPr>
                <w:rFonts w:ascii="仿宋_GB2312" w:hAnsi="仿宋_GB2312" w:eastAsia="仿宋_GB2312" w:cs="仿宋_GB2312"/>
              </w:rPr>
              <w:t>产品名称</w:t>
            </w:r>
          </w:p>
        </w:tc>
      </w:tr>
      <w:tr w14:paraId="38C8FE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E3BC576">
            <w:pPr>
              <w:pStyle w:val="32"/>
              <w:jc w:val="center"/>
            </w:pPr>
            <w:r>
              <w:rPr>
                <w:rFonts w:ascii="仿宋_GB2312" w:hAnsi="仿宋_GB2312" w:eastAsia="仿宋_GB2312" w:cs="仿宋_GB2312"/>
              </w:rPr>
              <w:t>不涉及</w:t>
            </w:r>
          </w:p>
        </w:tc>
      </w:tr>
    </w:tbl>
    <w:p w14:paraId="234B10EC">
      <w:pPr>
        <w:pStyle w:val="32"/>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D20CC39">
      <w:pPr>
        <w:pStyle w:val="32"/>
        <w:jc w:val="left"/>
        <w:outlineLvl w:val="3"/>
      </w:pPr>
      <w:r>
        <w:rPr>
          <w:rFonts w:ascii="仿宋_GB2312" w:hAnsi="仿宋_GB2312" w:eastAsia="仿宋_GB2312" w:cs="仿宋_GB2312"/>
          <w:b/>
          <w:sz w:val="24"/>
        </w:rPr>
        <w:t>本项目涉及优先采购环境标志产品：</w:t>
      </w:r>
    </w:p>
    <w:p w14:paraId="5506BED0">
      <w:pPr>
        <w:pStyle w:val="32"/>
        <w:jc w:val="left"/>
      </w:pPr>
      <w:r>
        <w:rPr>
          <w:rFonts w:ascii="仿宋_GB2312" w:hAnsi="仿宋_GB2312" w:eastAsia="仿宋_GB2312" w:cs="仿宋_GB2312"/>
        </w:rPr>
        <w:t>采购包1：</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49986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B76B30">
            <w:pPr>
              <w:pStyle w:val="32"/>
              <w:jc w:val="center"/>
            </w:pPr>
            <w:r>
              <w:rPr>
                <w:rFonts w:ascii="仿宋_GB2312" w:hAnsi="仿宋_GB2312" w:eastAsia="仿宋_GB2312" w:cs="仿宋_GB2312"/>
              </w:rPr>
              <w:t>序号</w:t>
            </w:r>
          </w:p>
        </w:tc>
        <w:tc>
          <w:tcPr>
            <w:tcW w:w="2492" w:type="dxa"/>
          </w:tcPr>
          <w:p w14:paraId="66C18211">
            <w:pPr>
              <w:pStyle w:val="32"/>
              <w:jc w:val="center"/>
            </w:pPr>
            <w:r>
              <w:rPr>
                <w:rFonts w:ascii="仿宋_GB2312" w:hAnsi="仿宋_GB2312" w:eastAsia="仿宋_GB2312" w:cs="仿宋_GB2312"/>
              </w:rPr>
              <w:t>采购品目名称</w:t>
            </w:r>
          </w:p>
        </w:tc>
        <w:tc>
          <w:tcPr>
            <w:tcW w:w="2492" w:type="dxa"/>
          </w:tcPr>
          <w:p w14:paraId="6439D79A">
            <w:pPr>
              <w:pStyle w:val="32"/>
              <w:jc w:val="center"/>
            </w:pPr>
            <w:r>
              <w:rPr>
                <w:rFonts w:ascii="仿宋_GB2312" w:hAnsi="仿宋_GB2312" w:eastAsia="仿宋_GB2312" w:cs="仿宋_GB2312"/>
              </w:rPr>
              <w:t>标的名称</w:t>
            </w:r>
          </w:p>
        </w:tc>
        <w:tc>
          <w:tcPr>
            <w:tcW w:w="2492" w:type="dxa"/>
          </w:tcPr>
          <w:p w14:paraId="253DDA27">
            <w:pPr>
              <w:pStyle w:val="32"/>
              <w:jc w:val="center"/>
            </w:pPr>
            <w:r>
              <w:rPr>
                <w:rFonts w:ascii="仿宋_GB2312" w:hAnsi="仿宋_GB2312" w:eastAsia="仿宋_GB2312" w:cs="仿宋_GB2312"/>
              </w:rPr>
              <w:t>产品名称</w:t>
            </w:r>
          </w:p>
        </w:tc>
      </w:tr>
      <w:tr w14:paraId="4D023E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9041EC7">
            <w:pPr>
              <w:pStyle w:val="32"/>
              <w:jc w:val="center"/>
            </w:pPr>
            <w:r>
              <w:rPr>
                <w:rFonts w:ascii="仿宋_GB2312" w:hAnsi="仿宋_GB2312" w:eastAsia="仿宋_GB2312" w:cs="仿宋_GB2312"/>
              </w:rPr>
              <w:t>不涉及</w:t>
            </w:r>
          </w:p>
        </w:tc>
      </w:tr>
    </w:tbl>
    <w:p w14:paraId="1DF9D9AE">
      <w:pPr>
        <w:pStyle w:val="32"/>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6DA7656">
      <w:pPr>
        <w:pStyle w:val="32"/>
        <w:jc w:val="left"/>
        <w:outlineLvl w:val="2"/>
      </w:pPr>
      <w:r>
        <w:rPr>
          <w:rFonts w:ascii="仿宋_GB2312" w:hAnsi="仿宋_GB2312" w:eastAsia="仿宋_GB2312" w:cs="仿宋_GB2312"/>
          <w:b/>
          <w:sz w:val="28"/>
        </w:rPr>
        <w:t>3.2.技术要求</w:t>
      </w:r>
    </w:p>
    <w:p w14:paraId="070EF8C1">
      <w:pPr>
        <w:pStyle w:val="32"/>
        <w:jc w:val="left"/>
      </w:pPr>
      <w:r>
        <w:rPr>
          <w:rFonts w:ascii="仿宋_GB2312" w:hAnsi="仿宋_GB2312" w:eastAsia="仿宋_GB2312" w:cs="仿宋_GB2312"/>
        </w:rPr>
        <w:t>采购包1：</w:t>
      </w:r>
    </w:p>
    <w:p w14:paraId="61D77366">
      <w:pPr>
        <w:pStyle w:val="32"/>
        <w:jc w:val="left"/>
      </w:pPr>
      <w:r>
        <w:rPr>
          <w:rFonts w:ascii="仿宋_GB2312" w:hAnsi="仿宋_GB2312" w:eastAsia="仿宋_GB2312" w:cs="仿宋_GB2312"/>
        </w:rPr>
        <w:t>标的名称：无损检测外委服务</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E1D6D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DE24A05">
            <w:pPr>
              <w:pStyle w:val="32"/>
              <w:jc w:val="center"/>
            </w:pPr>
            <w:r>
              <w:rPr>
                <w:rFonts w:ascii="仿宋_GB2312" w:hAnsi="仿宋_GB2312" w:eastAsia="仿宋_GB2312" w:cs="仿宋_GB2312"/>
              </w:rPr>
              <w:t>序号</w:t>
            </w:r>
          </w:p>
        </w:tc>
        <w:tc>
          <w:tcPr>
            <w:tcW w:w="581" w:type="dxa"/>
          </w:tcPr>
          <w:p w14:paraId="4AE7087E">
            <w:pPr>
              <w:pStyle w:val="32"/>
              <w:jc w:val="center"/>
            </w:pPr>
            <w:r>
              <w:rPr>
                <w:rFonts w:ascii="仿宋_GB2312" w:hAnsi="仿宋_GB2312" w:eastAsia="仿宋_GB2312" w:cs="仿宋_GB2312"/>
              </w:rPr>
              <w:t>符号标识</w:t>
            </w:r>
          </w:p>
        </w:tc>
        <w:tc>
          <w:tcPr>
            <w:tcW w:w="1495" w:type="dxa"/>
          </w:tcPr>
          <w:p w14:paraId="7A5DAE52">
            <w:pPr>
              <w:pStyle w:val="32"/>
              <w:jc w:val="center"/>
            </w:pPr>
            <w:r>
              <w:rPr>
                <w:rFonts w:ascii="仿宋_GB2312" w:hAnsi="仿宋_GB2312" w:eastAsia="仿宋_GB2312" w:cs="仿宋_GB2312"/>
              </w:rPr>
              <w:t>技术要求名称</w:t>
            </w:r>
          </w:p>
        </w:tc>
        <w:tc>
          <w:tcPr>
            <w:tcW w:w="5814" w:type="dxa"/>
          </w:tcPr>
          <w:p w14:paraId="4D639C5E">
            <w:pPr>
              <w:pStyle w:val="32"/>
              <w:jc w:val="center"/>
            </w:pPr>
            <w:r>
              <w:rPr>
                <w:rFonts w:ascii="仿宋_GB2312" w:hAnsi="仿宋_GB2312" w:eastAsia="仿宋_GB2312" w:cs="仿宋_GB2312"/>
              </w:rPr>
              <w:t>技术参数与性能指标</w:t>
            </w:r>
          </w:p>
        </w:tc>
      </w:tr>
      <w:tr w14:paraId="606877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9D8767">
            <w:pPr>
              <w:pStyle w:val="32"/>
              <w:jc w:val="center"/>
            </w:pPr>
            <w:r>
              <w:rPr>
                <w:rFonts w:ascii="仿宋_GB2312" w:hAnsi="仿宋_GB2312" w:eastAsia="仿宋_GB2312" w:cs="仿宋_GB2312"/>
              </w:rPr>
              <w:t>1</w:t>
            </w:r>
          </w:p>
        </w:tc>
        <w:tc>
          <w:tcPr>
            <w:tcW w:w="581" w:type="dxa"/>
          </w:tcPr>
          <w:p w14:paraId="390C89C0">
            <w:pPr>
              <w:pStyle w:val="32"/>
              <w:jc w:val="center"/>
            </w:pPr>
            <w:r>
              <w:rPr>
                <w:rFonts w:ascii="仿宋_GB2312" w:hAnsi="仿宋_GB2312" w:eastAsia="仿宋_GB2312" w:cs="仿宋_GB2312"/>
              </w:rPr>
              <w:t>★</w:t>
            </w:r>
          </w:p>
        </w:tc>
        <w:tc>
          <w:tcPr>
            <w:tcW w:w="1495" w:type="dxa"/>
          </w:tcPr>
          <w:p w14:paraId="2E035759">
            <w:pPr>
              <w:pStyle w:val="32"/>
              <w:jc w:val="left"/>
            </w:pPr>
            <w:r>
              <w:rPr>
                <w:rFonts w:ascii="仿宋_GB2312" w:hAnsi="仿宋_GB2312" w:eastAsia="仿宋_GB2312" w:cs="仿宋_GB2312"/>
              </w:rPr>
              <w:t>服务范围</w:t>
            </w:r>
          </w:p>
        </w:tc>
        <w:tc>
          <w:tcPr>
            <w:tcW w:w="5814" w:type="dxa"/>
          </w:tcPr>
          <w:p w14:paraId="5D342467">
            <w:pPr>
              <w:pStyle w:val="32"/>
              <w:jc w:val="both"/>
            </w:pPr>
            <w:r>
              <w:rPr>
                <w:rFonts w:ascii="仿宋_GB2312" w:hAnsi="仿宋_GB2312" w:eastAsia="仿宋_GB2312" w:cs="仿宋_GB2312"/>
              </w:rPr>
              <w:t>1.提供承压类特种设备检验过程中的无损检测服务。</w:t>
            </w:r>
          </w:p>
          <w:p w14:paraId="13ADC6E6">
            <w:pPr>
              <w:pStyle w:val="32"/>
              <w:jc w:val="both"/>
            </w:pPr>
            <w:r>
              <w:rPr>
                <w:rFonts w:ascii="仿宋_GB2312" w:hAnsi="仿宋_GB2312" w:eastAsia="仿宋_GB2312" w:cs="仿宋_GB2312"/>
              </w:rPr>
              <w:t>2.适用的规范标准包括但不限于：</w:t>
            </w:r>
          </w:p>
          <w:p w14:paraId="1034B579">
            <w:pPr>
              <w:pStyle w:val="32"/>
              <w:jc w:val="both"/>
            </w:pPr>
            <w:r>
              <w:rPr>
                <w:rFonts w:ascii="仿宋_GB2312" w:hAnsi="仿宋_GB2312" w:eastAsia="仿宋_GB2312" w:cs="仿宋_GB2312"/>
              </w:rPr>
              <w:t xml:space="preserve"> TSG 11-2020 锅炉安全技术规程；</w:t>
            </w:r>
          </w:p>
          <w:p w14:paraId="780CB2AF">
            <w:pPr>
              <w:pStyle w:val="32"/>
              <w:jc w:val="both"/>
            </w:pPr>
            <w:r>
              <w:rPr>
                <w:rFonts w:ascii="仿宋_GB2312" w:hAnsi="仿宋_GB2312" w:eastAsia="仿宋_GB2312" w:cs="仿宋_GB2312"/>
              </w:rPr>
              <w:t xml:space="preserve"> TSG 21-2016 固定式压力容器安全技术监察规程；</w:t>
            </w:r>
          </w:p>
          <w:p w14:paraId="3D9D2A0B">
            <w:pPr>
              <w:pStyle w:val="32"/>
              <w:jc w:val="both"/>
            </w:pPr>
            <w:r>
              <w:rPr>
                <w:rFonts w:ascii="仿宋_GB2312" w:hAnsi="仿宋_GB2312" w:eastAsia="仿宋_GB2312" w:cs="仿宋_GB2312"/>
              </w:rPr>
              <w:t xml:space="preserve"> TSG D7004-2010压力管道定期检验规则——公用管道；</w:t>
            </w:r>
          </w:p>
          <w:p w14:paraId="480F17D6">
            <w:pPr>
              <w:pStyle w:val="32"/>
              <w:jc w:val="both"/>
            </w:pPr>
            <w:r>
              <w:rPr>
                <w:rFonts w:ascii="仿宋_GB2312" w:hAnsi="仿宋_GB2312" w:eastAsia="仿宋_GB2312" w:cs="仿宋_GB2312"/>
              </w:rPr>
              <w:t xml:space="preserve"> TSG D7006-2020 压力管道监督检验规则；</w:t>
            </w:r>
          </w:p>
          <w:p w14:paraId="50A2301F">
            <w:pPr>
              <w:pStyle w:val="32"/>
              <w:jc w:val="both"/>
            </w:pPr>
            <w:r>
              <w:rPr>
                <w:rFonts w:ascii="仿宋_GB2312" w:hAnsi="仿宋_GB2312" w:eastAsia="仿宋_GB2312" w:cs="仿宋_GB2312"/>
              </w:rPr>
              <w:t>TSG 31-2025工业管道安全技术规范；</w:t>
            </w:r>
          </w:p>
          <w:p w14:paraId="0AF5B96B">
            <w:pPr>
              <w:pStyle w:val="32"/>
              <w:jc w:val="both"/>
            </w:pPr>
            <w:r>
              <w:rPr>
                <w:rFonts w:ascii="仿宋_GB2312" w:hAnsi="仿宋_GB2312" w:eastAsia="仿宋_GB2312" w:cs="仿宋_GB2312"/>
              </w:rPr>
              <w:t xml:space="preserve"> NB／T47013-2015 承压设备无损检测；</w:t>
            </w:r>
          </w:p>
          <w:p w14:paraId="77233C3B">
            <w:pPr>
              <w:pStyle w:val="32"/>
              <w:jc w:val="both"/>
            </w:pPr>
            <w:r>
              <w:rPr>
                <w:rFonts w:ascii="仿宋_GB2312" w:hAnsi="仿宋_GB2312" w:eastAsia="仿宋_GB2312" w:cs="仿宋_GB2312"/>
              </w:rPr>
              <w:t>NB／T47013.3-2023 承压设备无损检测（第3部分）；</w:t>
            </w:r>
          </w:p>
          <w:p w14:paraId="10CC615D">
            <w:pPr>
              <w:pStyle w:val="32"/>
              <w:jc w:val="both"/>
            </w:pPr>
            <w:r>
              <w:rPr>
                <w:rFonts w:ascii="仿宋_GB2312" w:hAnsi="仿宋_GB2312" w:eastAsia="仿宋_GB2312" w:cs="仿宋_GB2312"/>
              </w:rPr>
              <w:t xml:space="preserve"> GB/T 32563-2016 无损检测超声检测相控阵超声检测方法。</w:t>
            </w:r>
          </w:p>
          <w:p w14:paraId="5D5329AF">
            <w:pPr>
              <w:pStyle w:val="32"/>
              <w:jc w:val="both"/>
            </w:pPr>
            <w:r>
              <w:rPr>
                <w:rFonts w:ascii="仿宋_GB2312" w:hAnsi="仿宋_GB2312" w:eastAsia="仿宋_GB2312" w:cs="仿宋_GB2312"/>
                <w:sz w:val="21"/>
              </w:rPr>
              <w:t>（注：以上标准如有更新，以最新标准为准。）</w:t>
            </w:r>
          </w:p>
        </w:tc>
      </w:tr>
      <w:tr w14:paraId="2869EE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47CD6D">
            <w:pPr>
              <w:pStyle w:val="32"/>
              <w:jc w:val="center"/>
            </w:pPr>
            <w:r>
              <w:rPr>
                <w:rFonts w:ascii="仿宋_GB2312" w:hAnsi="仿宋_GB2312" w:eastAsia="仿宋_GB2312" w:cs="仿宋_GB2312"/>
              </w:rPr>
              <w:t>2</w:t>
            </w:r>
          </w:p>
        </w:tc>
        <w:tc>
          <w:tcPr>
            <w:tcW w:w="581" w:type="dxa"/>
          </w:tcPr>
          <w:p w14:paraId="6EBDB069">
            <w:pPr>
              <w:pStyle w:val="32"/>
              <w:jc w:val="center"/>
            </w:pPr>
            <w:r>
              <w:rPr>
                <w:rFonts w:ascii="仿宋_GB2312" w:hAnsi="仿宋_GB2312" w:eastAsia="仿宋_GB2312" w:cs="仿宋_GB2312"/>
              </w:rPr>
              <w:t>★</w:t>
            </w:r>
          </w:p>
        </w:tc>
        <w:tc>
          <w:tcPr>
            <w:tcW w:w="1495" w:type="dxa"/>
          </w:tcPr>
          <w:p w14:paraId="33EB0C2E">
            <w:pPr>
              <w:pStyle w:val="32"/>
              <w:jc w:val="left"/>
            </w:pPr>
            <w:r>
              <w:rPr>
                <w:rFonts w:ascii="仿宋_GB2312" w:hAnsi="仿宋_GB2312" w:eastAsia="仿宋_GB2312" w:cs="仿宋_GB2312"/>
              </w:rPr>
              <w:t>服务内容</w:t>
            </w:r>
          </w:p>
        </w:tc>
        <w:tc>
          <w:tcPr>
            <w:tcW w:w="5814" w:type="dxa"/>
          </w:tcPr>
          <w:p w14:paraId="471EF1D4">
            <w:pPr>
              <w:pStyle w:val="32"/>
              <w:jc w:val="both"/>
            </w:pPr>
            <w:r>
              <w:rPr>
                <w:rFonts w:ascii="仿宋_GB2312" w:hAnsi="仿宋_GB2312" w:eastAsia="仿宋_GB2312" w:cs="仿宋_GB2312"/>
                <w:sz w:val="21"/>
              </w:rPr>
              <w:t>承压类特种设备无损检测服务，服务方法包括但不限于：RT射线检测、UT超声检测、MT磁粉检测、PT渗透检测、TOFD衍射时差法超声检测等。</w:t>
            </w:r>
          </w:p>
        </w:tc>
      </w:tr>
      <w:tr w14:paraId="2CD2F2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59F792">
            <w:pPr>
              <w:pStyle w:val="32"/>
              <w:jc w:val="center"/>
            </w:pPr>
            <w:r>
              <w:rPr>
                <w:rFonts w:ascii="仿宋_GB2312" w:hAnsi="仿宋_GB2312" w:eastAsia="仿宋_GB2312" w:cs="仿宋_GB2312"/>
              </w:rPr>
              <w:t>3</w:t>
            </w:r>
          </w:p>
        </w:tc>
        <w:tc>
          <w:tcPr>
            <w:tcW w:w="581" w:type="dxa"/>
          </w:tcPr>
          <w:p w14:paraId="3EBAE1DF"/>
        </w:tc>
        <w:tc>
          <w:tcPr>
            <w:tcW w:w="1495" w:type="dxa"/>
          </w:tcPr>
          <w:p w14:paraId="50953528">
            <w:pPr>
              <w:pStyle w:val="32"/>
              <w:jc w:val="left"/>
            </w:pPr>
            <w:r>
              <w:rPr>
                <w:rFonts w:ascii="仿宋_GB2312" w:hAnsi="仿宋_GB2312" w:eastAsia="仿宋_GB2312" w:cs="仿宋_GB2312"/>
              </w:rPr>
              <w:t>服务要求</w:t>
            </w:r>
          </w:p>
        </w:tc>
        <w:tc>
          <w:tcPr>
            <w:tcW w:w="5814" w:type="dxa"/>
          </w:tcPr>
          <w:p w14:paraId="3629076F">
            <w:pPr>
              <w:pStyle w:val="32"/>
              <w:jc w:val="both"/>
            </w:pPr>
            <w:r>
              <w:rPr>
                <w:rFonts w:ascii="仿宋_GB2312" w:hAnsi="仿宋_GB2312" w:eastAsia="仿宋_GB2312" w:cs="仿宋_GB2312"/>
                <w:sz w:val="21"/>
              </w:rPr>
              <w:t>★1.按国家及特种设备行业无损检测相关法律法规、技术标准规范要求进行无损检测工作。</w:t>
            </w:r>
          </w:p>
          <w:p w14:paraId="0E490B71">
            <w:pPr>
              <w:pStyle w:val="32"/>
              <w:jc w:val="both"/>
            </w:pPr>
            <w:r>
              <w:rPr>
                <w:rFonts w:ascii="仿宋_GB2312" w:hAnsi="仿宋_GB2312" w:eastAsia="仿宋_GB2312" w:cs="仿宋_GB2312"/>
                <w:sz w:val="21"/>
              </w:rPr>
              <w:t>★2.投标人应当严格遵守国家法律、法规及采购人的健康、安全、环保（HSE）的管理规定；未经采购人方人员确认，投标人的操作人员不得对用户方特种设备进行任何操作；严禁违规操作业务。</w:t>
            </w:r>
          </w:p>
          <w:p w14:paraId="0ECB0861">
            <w:pPr>
              <w:pStyle w:val="32"/>
              <w:jc w:val="both"/>
            </w:pPr>
            <w:r>
              <w:rPr>
                <w:rFonts w:ascii="仿宋_GB2312" w:hAnsi="仿宋_GB2312" w:eastAsia="仿宋_GB2312" w:cs="仿宋_GB2312"/>
                <w:sz w:val="21"/>
              </w:rPr>
              <w:t>★3.投标人应当做好无损检测记录，正确填写无损检测报告，妥善保管无损检测档案和射线底片(包括原缺陷的底片)、超声自动记录资料；射线底片应当采用数字化永久存档，原始底片至少保存7年，之后应当转交使用单位妥善保管。</w:t>
            </w:r>
          </w:p>
          <w:p w14:paraId="439C5BA6">
            <w:pPr>
              <w:pStyle w:val="32"/>
              <w:jc w:val="both"/>
            </w:pPr>
            <w:r>
              <w:rPr>
                <w:rFonts w:ascii="仿宋_GB2312" w:hAnsi="仿宋_GB2312" w:eastAsia="仿宋_GB2312" w:cs="仿宋_GB2312"/>
                <w:sz w:val="21"/>
              </w:rPr>
              <w:t>★4.中标人严格遵守合同要求，对检测工作质量负责，原始检测数据及射线检测时的底片质量要符合相关规程、标准要求，经采购人监督检查发现不符合要求时，中标人须无条件重新进行检测，相应的所有责任和费用由中标人自行承担，并且不得无故故意停工或故意拖延检测工期。</w:t>
            </w:r>
          </w:p>
          <w:p w14:paraId="2CA7A129">
            <w:pPr>
              <w:pStyle w:val="32"/>
              <w:jc w:val="both"/>
            </w:pPr>
            <w:r>
              <w:rPr>
                <w:rFonts w:ascii="仿宋_GB2312" w:hAnsi="仿宋_GB2312" w:eastAsia="仿宋_GB2312" w:cs="仿宋_GB2312"/>
                <w:sz w:val="21"/>
              </w:rPr>
              <w:t>★5.投标人要认真做好现场检测的个人和设备安全防护工作，确保人身和设备安全，投标人应为其派出的现场参加工作人员购置人身意外险（投保额由投标人自行考虑），每季度应对其工作人员开展不少于3学时的安全培训。如投标人的作业人员现场发生任何意外事故和由此产生的任何费用，均由投标人负责和支付，采购人不承担任何责任和费用。</w:t>
            </w:r>
          </w:p>
          <w:p w14:paraId="3B9ACB43">
            <w:pPr>
              <w:pStyle w:val="32"/>
              <w:jc w:val="both"/>
            </w:pPr>
            <w:r>
              <w:rPr>
                <w:rFonts w:ascii="仿宋_GB2312" w:hAnsi="仿宋_GB2312" w:eastAsia="仿宋_GB2312" w:cs="仿宋_GB2312"/>
                <w:sz w:val="21"/>
              </w:rPr>
              <w:t>★6.投标人及其派驻本项目的所有参与人员负有保密义务，未经允许或授权，不得向除采购人外的任何单位与个人泄漏和公布相关数据和结果，也不得泄露和公布在无损检测过程中获取的采购人或使用单位的技术信息、经营信息、商业秘密及已由采购人或使用单位明确列为保密信息的其他信息。</w:t>
            </w:r>
          </w:p>
          <w:p w14:paraId="7B69A213">
            <w:pPr>
              <w:pStyle w:val="32"/>
              <w:jc w:val="both"/>
            </w:pPr>
            <w:r>
              <w:rPr>
                <w:rFonts w:ascii="仿宋_GB2312" w:hAnsi="仿宋_GB2312" w:eastAsia="仿宋_GB2312" w:cs="仿宋_GB2312"/>
                <w:sz w:val="21"/>
              </w:rPr>
              <w:t>★7、投标人射线检测时对放射源使用储存安全负全责，如需要在项目所在地设置放射源存放点的，投标人规范设置，采购人不提供射线探伤室或射源存放间。</w:t>
            </w:r>
          </w:p>
          <w:p w14:paraId="40D1FF0F">
            <w:pPr>
              <w:pStyle w:val="32"/>
              <w:jc w:val="both"/>
            </w:pPr>
            <w:r>
              <w:rPr>
                <w:rFonts w:ascii="仿宋_GB2312" w:hAnsi="仿宋_GB2312" w:eastAsia="仿宋_GB2312" w:cs="仿宋_GB2312"/>
                <w:sz w:val="21"/>
              </w:rPr>
              <w:t>8、投标人支持多个检测任务不同地点、同时开展检测作业的能力，并根据每个检测任务特点合理调配人员和检测设备。根据采购项目实际情况，结合以往工作经验，预计本项目无损检测人员需要6个组（约20人）。</w:t>
            </w:r>
          </w:p>
          <w:p w14:paraId="00A0606D">
            <w:pPr>
              <w:pStyle w:val="32"/>
              <w:jc w:val="both"/>
            </w:pPr>
            <w:r>
              <w:rPr>
                <w:rFonts w:ascii="仿宋_GB2312" w:hAnsi="仿宋_GB2312" w:eastAsia="仿宋_GB2312" w:cs="仿宋_GB2312"/>
              </w:rPr>
              <w:t>9、总体实施计划：投标人需提供无损检测的总体实施计划，阐述对无损检测工作的总体部署、进度和设备资源分配、检测数据的质量保障；</w:t>
            </w:r>
          </w:p>
          <w:p w14:paraId="602DBD5E">
            <w:pPr>
              <w:pStyle w:val="32"/>
              <w:jc w:val="both"/>
            </w:pPr>
            <w:r>
              <w:rPr>
                <w:rFonts w:ascii="仿宋_GB2312" w:hAnsi="仿宋_GB2312" w:eastAsia="仿宋_GB2312" w:cs="仿宋_GB2312"/>
              </w:rPr>
              <w:t>10、检测技术方案：结合承压类特种设备无损检测内容，阐述无损检测运用的检测方法、技术及工艺流程，运用合理的检测设备，对检测过程有合理的建议；</w:t>
            </w:r>
          </w:p>
          <w:p w14:paraId="2EA2B90B">
            <w:pPr>
              <w:pStyle w:val="32"/>
              <w:jc w:val="both"/>
            </w:pPr>
            <w:r>
              <w:rPr>
                <w:rFonts w:ascii="仿宋_GB2312" w:hAnsi="仿宋_GB2312" w:eastAsia="仿宋_GB2312" w:cs="仿宋_GB2312"/>
              </w:rPr>
              <w:t>11、组织保障方案：制定相应现场管理制度，明确项目团队成员及其职责分工；</w:t>
            </w:r>
          </w:p>
          <w:p w14:paraId="2FF75B0E">
            <w:pPr>
              <w:pStyle w:val="32"/>
              <w:jc w:val="both"/>
            </w:pPr>
            <w:r>
              <w:rPr>
                <w:rFonts w:ascii="仿宋_GB2312" w:hAnsi="仿宋_GB2312" w:eastAsia="仿宋_GB2312" w:cs="仿宋_GB2312"/>
              </w:rPr>
              <w:t>12、应急服务方案：制定应急预案和事故响应措施；</w:t>
            </w:r>
          </w:p>
          <w:p w14:paraId="4C2A846E">
            <w:pPr>
              <w:pStyle w:val="32"/>
              <w:jc w:val="both"/>
            </w:pPr>
            <w:r>
              <w:rPr>
                <w:rFonts w:ascii="仿宋_GB2312" w:hAnsi="仿宋_GB2312" w:eastAsia="仿宋_GB2312" w:cs="仿宋_GB2312"/>
              </w:rPr>
              <w:t>13、售后服务方案：阐述售后服务内容、售后服务标准规范和售后服务响应时间。投标人接收到的每个项目的售后服务期限为完成项目且验收合格后1年。</w:t>
            </w:r>
          </w:p>
          <w:p w14:paraId="3D72ED43">
            <w:pPr>
              <w:pStyle w:val="32"/>
              <w:jc w:val="both"/>
            </w:pPr>
            <w:r>
              <w:rPr>
                <w:rFonts w:ascii="仿宋_GB2312" w:hAnsi="仿宋_GB2312" w:eastAsia="仿宋_GB2312" w:cs="仿宋_GB2312"/>
                <w:sz w:val="21"/>
              </w:rPr>
              <w:t>14.服务期内，指定固定的项目经理和技术负责人。投标人具体承担服务工作，7×10小时现场支持，7×24小时电话支持,服从成都市特种设备检验检测研究院（成都市特种设备应急处置中心）的工作要求，并协助成都市特种设备检验检测研究院（成都市特种设备应急处置中心）指派的项目负责人的安排，全面完成检验工作。</w:t>
            </w:r>
          </w:p>
        </w:tc>
      </w:tr>
      <w:tr w14:paraId="30300A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EAA502">
            <w:pPr>
              <w:pStyle w:val="32"/>
              <w:jc w:val="center"/>
            </w:pPr>
            <w:r>
              <w:rPr>
                <w:rFonts w:ascii="仿宋_GB2312" w:hAnsi="仿宋_GB2312" w:eastAsia="仿宋_GB2312" w:cs="仿宋_GB2312"/>
              </w:rPr>
              <w:t>4</w:t>
            </w:r>
          </w:p>
        </w:tc>
        <w:tc>
          <w:tcPr>
            <w:tcW w:w="581" w:type="dxa"/>
          </w:tcPr>
          <w:p w14:paraId="2418E23E">
            <w:pPr>
              <w:pStyle w:val="32"/>
              <w:jc w:val="center"/>
            </w:pPr>
            <w:r>
              <w:rPr>
                <w:rFonts w:ascii="仿宋_GB2312" w:hAnsi="仿宋_GB2312" w:eastAsia="仿宋_GB2312" w:cs="仿宋_GB2312"/>
              </w:rPr>
              <w:t>★</w:t>
            </w:r>
          </w:p>
        </w:tc>
        <w:tc>
          <w:tcPr>
            <w:tcW w:w="1495" w:type="dxa"/>
          </w:tcPr>
          <w:p w14:paraId="260718B5">
            <w:pPr>
              <w:pStyle w:val="32"/>
              <w:jc w:val="left"/>
            </w:pPr>
            <w:r>
              <w:rPr>
                <w:rFonts w:ascii="仿宋_GB2312" w:hAnsi="仿宋_GB2312" w:eastAsia="仿宋_GB2312" w:cs="仿宋_GB2312"/>
              </w:rPr>
              <w:t>质量保证（提供单独承诺函，格式自拟）</w:t>
            </w:r>
          </w:p>
        </w:tc>
        <w:tc>
          <w:tcPr>
            <w:tcW w:w="5814" w:type="dxa"/>
          </w:tcPr>
          <w:p w14:paraId="034D2541">
            <w:pPr>
              <w:pStyle w:val="32"/>
              <w:jc w:val="left"/>
            </w:pPr>
            <w:r>
              <w:rPr>
                <w:rFonts w:ascii="仿宋_GB2312" w:hAnsi="仿宋_GB2312" w:eastAsia="仿宋_GB2312" w:cs="仿宋_GB2312"/>
              </w:rPr>
              <w:t>１.接受成都市特种设备检验检测研究院（成都市特种设备应急处置中心）的业务监督与指导；</w:t>
            </w:r>
          </w:p>
          <w:p w14:paraId="28973E52">
            <w:pPr>
              <w:pStyle w:val="32"/>
              <w:jc w:val="left"/>
            </w:pPr>
            <w:r>
              <w:rPr>
                <w:rFonts w:ascii="仿宋_GB2312" w:hAnsi="仿宋_GB2312" w:eastAsia="仿宋_GB2312" w:cs="仿宋_GB2312"/>
              </w:rPr>
              <w:t>２.保证质量管理体系有效运转；</w:t>
            </w:r>
          </w:p>
          <w:p w14:paraId="531A740A">
            <w:pPr>
              <w:pStyle w:val="32"/>
              <w:jc w:val="left"/>
            </w:pPr>
            <w:r>
              <w:rPr>
                <w:rFonts w:ascii="仿宋_GB2312" w:hAnsi="仿宋_GB2312" w:eastAsia="仿宋_GB2312" w:cs="仿宋_GB2312"/>
              </w:rPr>
              <w:t>3.出具检测报告符合相关法律、法规要求；</w:t>
            </w:r>
          </w:p>
          <w:p w14:paraId="5837517D">
            <w:pPr>
              <w:pStyle w:val="32"/>
              <w:jc w:val="both"/>
            </w:pPr>
            <w:r>
              <w:rPr>
                <w:rFonts w:ascii="仿宋_GB2312" w:hAnsi="仿宋_GB2312" w:eastAsia="仿宋_GB2312" w:cs="仿宋_GB2312"/>
                <w:sz w:val="21"/>
              </w:rPr>
              <w:t>4.投标人对其出具检测报告的真实性、准确性及有效性负责并接受采购人的审查。</w:t>
            </w:r>
          </w:p>
        </w:tc>
      </w:tr>
      <w:tr w14:paraId="6B043E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A7863D">
            <w:pPr>
              <w:pStyle w:val="32"/>
              <w:jc w:val="center"/>
            </w:pPr>
            <w:r>
              <w:rPr>
                <w:rFonts w:ascii="仿宋_GB2312" w:hAnsi="仿宋_GB2312" w:eastAsia="仿宋_GB2312" w:cs="仿宋_GB2312"/>
              </w:rPr>
              <w:t>5</w:t>
            </w:r>
          </w:p>
        </w:tc>
        <w:tc>
          <w:tcPr>
            <w:tcW w:w="581" w:type="dxa"/>
          </w:tcPr>
          <w:p w14:paraId="3FC5059B">
            <w:pPr>
              <w:pStyle w:val="32"/>
              <w:jc w:val="center"/>
            </w:pPr>
            <w:r>
              <w:rPr>
                <w:rFonts w:ascii="仿宋_GB2312" w:hAnsi="仿宋_GB2312" w:eastAsia="仿宋_GB2312" w:cs="仿宋_GB2312"/>
              </w:rPr>
              <w:t>★</w:t>
            </w:r>
          </w:p>
        </w:tc>
        <w:tc>
          <w:tcPr>
            <w:tcW w:w="1495" w:type="dxa"/>
          </w:tcPr>
          <w:p w14:paraId="6D03A793">
            <w:pPr>
              <w:pStyle w:val="32"/>
              <w:jc w:val="left"/>
            </w:pPr>
            <w:r>
              <w:rPr>
                <w:rFonts w:ascii="仿宋_GB2312" w:hAnsi="仿宋_GB2312" w:eastAsia="仿宋_GB2312" w:cs="仿宋_GB2312"/>
              </w:rPr>
              <w:t>廉政要求（提供单独承诺函，格式自拟）</w:t>
            </w:r>
          </w:p>
        </w:tc>
        <w:tc>
          <w:tcPr>
            <w:tcW w:w="5814" w:type="dxa"/>
          </w:tcPr>
          <w:p w14:paraId="7324A778">
            <w:pPr>
              <w:pStyle w:val="32"/>
              <w:jc w:val="both"/>
            </w:pPr>
            <w:r>
              <w:rPr>
                <w:rFonts w:ascii="仿宋_GB2312" w:hAnsi="仿宋_GB2312" w:eastAsia="仿宋_GB2312" w:cs="仿宋_GB2312"/>
              </w:rPr>
              <w:t>1.投标人从事本项目专业人员应遵守法律法规和国家准则；恪守严格依法、正直坦诚、客观公正、勤勉尽责、保守秘密的基本职业道德，保持应有的独立性。</w:t>
            </w:r>
          </w:p>
          <w:p w14:paraId="1E1FC4D5">
            <w:pPr>
              <w:pStyle w:val="32"/>
              <w:jc w:val="left"/>
            </w:pPr>
            <w:r>
              <w:rPr>
                <w:rFonts w:ascii="仿宋_GB2312" w:hAnsi="仿宋_GB2312" w:eastAsia="仿宋_GB2312" w:cs="仿宋_GB2312"/>
              </w:rPr>
              <w:t>2.投标人从事本项目的专业技术人员与用户方（使用单位）有利害关系的，应事先声明，实行回避。</w:t>
            </w:r>
          </w:p>
          <w:p w14:paraId="6C456946">
            <w:pPr>
              <w:pStyle w:val="32"/>
              <w:jc w:val="left"/>
            </w:pPr>
            <w:r>
              <w:rPr>
                <w:rFonts w:ascii="仿宋_GB2312" w:hAnsi="仿宋_GB2312" w:eastAsia="仿宋_GB2312" w:cs="仿宋_GB2312"/>
              </w:rPr>
              <w:t>3.投标人应独立、客观、公正地完成检测服务工作，并对工作的真实性、准确性、合法性负责。</w:t>
            </w:r>
          </w:p>
          <w:p w14:paraId="473B99F2">
            <w:pPr>
              <w:pStyle w:val="32"/>
              <w:jc w:val="left"/>
            </w:pPr>
            <w:r>
              <w:rPr>
                <w:rFonts w:ascii="仿宋_GB2312" w:hAnsi="仿宋_GB2312" w:eastAsia="仿宋_GB2312" w:cs="仿宋_GB2312"/>
              </w:rPr>
              <w:t>4.投标人及其委派的专业人员不得单方面与被服务的相关单位及人员交流与检测有关的事项，不得擅自向被服务单位透露通讯、联络信息，不得从服务单位中获悉的联络信息直接或间接与被服务单位联系或私下交易，否则按违约等相关规定处理，扣减应付报酬，直至追究法律责任。</w:t>
            </w:r>
          </w:p>
          <w:p w14:paraId="542AD8DA">
            <w:pPr>
              <w:pStyle w:val="32"/>
              <w:jc w:val="left"/>
            </w:pPr>
            <w:r>
              <w:rPr>
                <w:rFonts w:ascii="仿宋_GB2312" w:hAnsi="仿宋_GB2312" w:eastAsia="仿宋_GB2312" w:cs="仿宋_GB2312"/>
              </w:rPr>
              <w:t>5.投标人不得委派有下列情形之一的人员参与检测工作：独立性可能受到损害的；与被服务单位或者检测事项有直接经济利益关系；对曾经管理或者直接办理过的相关业务；法律规定不得从事公务的其他情形。</w:t>
            </w:r>
          </w:p>
          <w:p w14:paraId="1EC3BEC8">
            <w:pPr>
              <w:pStyle w:val="32"/>
              <w:jc w:val="left"/>
            </w:pPr>
            <w:r>
              <w:rPr>
                <w:rFonts w:ascii="仿宋_GB2312" w:hAnsi="仿宋_GB2312" w:eastAsia="仿宋_GB2312" w:cs="仿宋_GB2312"/>
              </w:rPr>
              <w:t>6.投标人委派的人员参与检测工作，不得：索贿、受贿或者接受不当利益；隐瞒被服务单位违反有关法律法规行为；与被服务单位及相关人员串通舞弊；与检测结果有利害关系的项目业主单位及相关利益人中任何人进行约会、私下接触；其他滥用职权、徇私舞弊、玩忽职守行为。</w:t>
            </w:r>
          </w:p>
          <w:p w14:paraId="20167EBC">
            <w:pPr>
              <w:pStyle w:val="32"/>
              <w:jc w:val="left"/>
            </w:pPr>
            <w:r>
              <w:rPr>
                <w:rFonts w:ascii="仿宋_GB2312" w:hAnsi="仿宋_GB2312" w:eastAsia="仿宋_GB2312" w:cs="仿宋_GB2312"/>
              </w:rPr>
              <w:t>7.投标人委派的人员应服从采购人工作安排和日常管理，接受全过程监督。完成受托项目检测工作后，应及时整理相关工作底稿、附件，核对检测记录和有关资料，并将完整的项目检测工作资料及相关单位意见资料登记归档移交给采购人，以备复核、抽查。</w:t>
            </w:r>
          </w:p>
          <w:p w14:paraId="1F71CF1F">
            <w:pPr>
              <w:pStyle w:val="32"/>
              <w:jc w:val="both"/>
            </w:pPr>
            <w:r>
              <w:rPr>
                <w:rFonts w:ascii="仿宋_GB2312" w:hAnsi="仿宋_GB2312" w:eastAsia="仿宋_GB2312" w:cs="仿宋_GB2312"/>
                <w:sz w:val="21"/>
              </w:rPr>
              <w:t>8.采购人对受托投标人违反规定发生违纪行为或检测结果出现严重差错或故意提供不实、内容虚假的，产生相应后果的，依法追究其法律责任。</w:t>
            </w:r>
          </w:p>
        </w:tc>
      </w:tr>
      <w:tr w14:paraId="375C8C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AD5B9E">
            <w:pPr>
              <w:pStyle w:val="32"/>
              <w:jc w:val="center"/>
            </w:pPr>
            <w:r>
              <w:rPr>
                <w:rFonts w:ascii="仿宋_GB2312" w:hAnsi="仿宋_GB2312" w:eastAsia="仿宋_GB2312" w:cs="仿宋_GB2312"/>
              </w:rPr>
              <w:t>6</w:t>
            </w:r>
          </w:p>
        </w:tc>
        <w:tc>
          <w:tcPr>
            <w:tcW w:w="581" w:type="dxa"/>
          </w:tcPr>
          <w:p w14:paraId="407583A8">
            <w:pPr>
              <w:pStyle w:val="32"/>
              <w:jc w:val="center"/>
            </w:pPr>
            <w:r>
              <w:rPr>
                <w:rFonts w:ascii="仿宋_GB2312" w:hAnsi="仿宋_GB2312" w:eastAsia="仿宋_GB2312" w:cs="仿宋_GB2312"/>
              </w:rPr>
              <w:t>★</w:t>
            </w:r>
          </w:p>
        </w:tc>
        <w:tc>
          <w:tcPr>
            <w:tcW w:w="1495" w:type="dxa"/>
          </w:tcPr>
          <w:p w14:paraId="3E3B8563">
            <w:pPr>
              <w:pStyle w:val="32"/>
              <w:jc w:val="left"/>
            </w:pPr>
            <w:r>
              <w:rPr>
                <w:rFonts w:ascii="仿宋_GB2312" w:hAnsi="仿宋_GB2312" w:eastAsia="仿宋_GB2312" w:cs="仿宋_GB2312"/>
              </w:rPr>
              <w:t>工作要求（提供单独承诺函，格式自拟）</w:t>
            </w:r>
          </w:p>
        </w:tc>
        <w:tc>
          <w:tcPr>
            <w:tcW w:w="5814" w:type="dxa"/>
          </w:tcPr>
          <w:p w14:paraId="481FE866">
            <w:pPr>
              <w:pStyle w:val="32"/>
              <w:jc w:val="both"/>
            </w:pPr>
            <w:r>
              <w:rPr>
                <w:rFonts w:ascii="仿宋_GB2312" w:hAnsi="仿宋_GB2312" w:eastAsia="仿宋_GB2312" w:cs="仿宋_GB2312"/>
              </w:rPr>
              <w:t>1.紧急情况下满足4小时内到达现场开展工作；</w:t>
            </w:r>
          </w:p>
          <w:p w14:paraId="0061E149">
            <w:pPr>
              <w:pStyle w:val="32"/>
              <w:jc w:val="left"/>
            </w:pPr>
            <w:r>
              <w:rPr>
                <w:rFonts w:ascii="仿宋_GB2312" w:hAnsi="仿宋_GB2312" w:eastAsia="仿宋_GB2312" w:cs="仿宋_GB2312"/>
              </w:rPr>
              <w:t>2.投标人自行办理人员、设备入场及作业手续；</w:t>
            </w:r>
          </w:p>
          <w:p w14:paraId="7D1BB763">
            <w:pPr>
              <w:pStyle w:val="32"/>
              <w:jc w:val="left"/>
            </w:pPr>
            <w:r>
              <w:rPr>
                <w:rFonts w:ascii="仿宋_GB2312" w:hAnsi="仿宋_GB2312" w:eastAsia="仿宋_GB2312" w:cs="仿宋_GB2312"/>
              </w:rPr>
              <w:t>3.投标人应在完成检测工作后5个工作日内向采购人提供检测报告（如因工作量确实庞大等特殊情况可双方协商）。</w:t>
            </w:r>
          </w:p>
          <w:p w14:paraId="4A12C9B0">
            <w:pPr>
              <w:pStyle w:val="32"/>
              <w:jc w:val="both"/>
            </w:pPr>
            <w:r>
              <w:rPr>
                <w:rFonts w:ascii="仿宋_GB2312" w:hAnsi="仿宋_GB2312" w:eastAsia="仿宋_GB2312" w:cs="仿宋_GB2312"/>
                <w:sz w:val="21"/>
              </w:rPr>
              <w:t>4.投标人检测人员相对固定，在服务期内不应大量人事变动以致影响向采购人提供的检测服务质量。</w:t>
            </w:r>
          </w:p>
        </w:tc>
      </w:tr>
      <w:tr w14:paraId="1560D0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B6E033">
            <w:pPr>
              <w:pStyle w:val="32"/>
              <w:jc w:val="center"/>
            </w:pPr>
            <w:r>
              <w:rPr>
                <w:rFonts w:ascii="仿宋_GB2312" w:hAnsi="仿宋_GB2312" w:eastAsia="仿宋_GB2312" w:cs="仿宋_GB2312"/>
              </w:rPr>
              <w:t>7</w:t>
            </w:r>
          </w:p>
        </w:tc>
        <w:tc>
          <w:tcPr>
            <w:tcW w:w="581" w:type="dxa"/>
          </w:tcPr>
          <w:p w14:paraId="35C6355E">
            <w:pPr>
              <w:pStyle w:val="32"/>
              <w:jc w:val="center"/>
            </w:pPr>
            <w:r>
              <w:rPr>
                <w:rFonts w:ascii="仿宋_GB2312" w:hAnsi="仿宋_GB2312" w:eastAsia="仿宋_GB2312" w:cs="仿宋_GB2312"/>
              </w:rPr>
              <w:t>★</w:t>
            </w:r>
          </w:p>
        </w:tc>
        <w:tc>
          <w:tcPr>
            <w:tcW w:w="1495" w:type="dxa"/>
          </w:tcPr>
          <w:p w14:paraId="062FB826">
            <w:pPr>
              <w:pStyle w:val="32"/>
              <w:jc w:val="left"/>
            </w:pPr>
            <w:r>
              <w:rPr>
                <w:rFonts w:ascii="仿宋_GB2312" w:hAnsi="仿宋_GB2312" w:eastAsia="仿宋_GB2312" w:cs="仿宋_GB2312"/>
              </w:rPr>
              <w:t>γ放射源</w:t>
            </w:r>
          </w:p>
        </w:tc>
        <w:tc>
          <w:tcPr>
            <w:tcW w:w="5814" w:type="dxa"/>
          </w:tcPr>
          <w:p w14:paraId="5CD073C7">
            <w:pPr>
              <w:pStyle w:val="32"/>
              <w:jc w:val="left"/>
            </w:pPr>
            <w:r>
              <w:rPr>
                <w:rFonts w:ascii="仿宋_GB2312" w:hAnsi="仿宋_GB2312" w:eastAsia="仿宋_GB2312" w:cs="仿宋_GB2312"/>
              </w:rPr>
              <w:t>投标人具有在四川省范围内使用γ放射源的能力。（投标文件中提供四川省生态环境厅放射源转让审批表或其他放射源使用资格的证明文件）。</w:t>
            </w:r>
          </w:p>
          <w:p w14:paraId="50A13AB0">
            <w:pPr>
              <w:pStyle w:val="32"/>
              <w:jc w:val="both"/>
            </w:pPr>
            <w:r>
              <w:rPr>
                <w:rFonts w:ascii="仿宋_GB2312" w:hAnsi="仿宋_GB2312" w:eastAsia="仿宋_GB2312" w:cs="仿宋_GB2312"/>
                <w:sz w:val="21"/>
              </w:rPr>
              <w:t>（注：根据NB／T47013-2015 承压设备无损检测第2部分射线检测“由Co60、Ir192、Se75、Yb169 和 Tm170射线源产生的γ射线”，投标人有任意一种即可。）</w:t>
            </w:r>
          </w:p>
        </w:tc>
      </w:tr>
      <w:tr w14:paraId="772957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D9D9B6">
            <w:pPr>
              <w:pStyle w:val="32"/>
              <w:jc w:val="center"/>
            </w:pPr>
            <w:r>
              <w:rPr>
                <w:rFonts w:ascii="仿宋_GB2312" w:hAnsi="仿宋_GB2312" w:eastAsia="仿宋_GB2312" w:cs="仿宋_GB2312"/>
              </w:rPr>
              <w:t>8</w:t>
            </w:r>
          </w:p>
        </w:tc>
        <w:tc>
          <w:tcPr>
            <w:tcW w:w="581" w:type="dxa"/>
          </w:tcPr>
          <w:p w14:paraId="3B2408EC">
            <w:pPr>
              <w:pStyle w:val="32"/>
              <w:jc w:val="center"/>
            </w:pPr>
            <w:r>
              <w:rPr>
                <w:rFonts w:ascii="仿宋_GB2312" w:hAnsi="仿宋_GB2312" w:eastAsia="仿宋_GB2312" w:cs="仿宋_GB2312"/>
              </w:rPr>
              <w:t>★</w:t>
            </w:r>
          </w:p>
        </w:tc>
        <w:tc>
          <w:tcPr>
            <w:tcW w:w="1495" w:type="dxa"/>
          </w:tcPr>
          <w:p w14:paraId="570F0B2B">
            <w:pPr>
              <w:pStyle w:val="32"/>
              <w:jc w:val="left"/>
            </w:pPr>
            <w:r>
              <w:rPr>
                <w:rFonts w:ascii="仿宋_GB2312" w:hAnsi="仿宋_GB2312" w:eastAsia="仿宋_GB2312" w:cs="仿宋_GB2312"/>
              </w:rPr>
              <w:t>单价限价及报价要求</w:t>
            </w:r>
          </w:p>
        </w:tc>
        <w:tc>
          <w:tcPr>
            <w:tcW w:w="5814" w:type="dxa"/>
          </w:tcPr>
          <w:tbl>
            <w:tblPr>
              <w:tblStyle w:val="14"/>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31"/>
              <w:gridCol w:w="908"/>
              <w:gridCol w:w="1119"/>
              <w:gridCol w:w="2735"/>
            </w:tblGrid>
            <w:tr w14:paraId="76EBDD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40"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B7EEFFA">
                  <w:pPr>
                    <w:pStyle w:val="32"/>
                    <w:jc w:val="both"/>
                  </w:pPr>
                  <w:r>
                    <w:rPr>
                      <w:rFonts w:ascii="仿宋_GB2312" w:hAnsi="仿宋_GB2312" w:eastAsia="仿宋_GB2312" w:cs="仿宋_GB2312"/>
                      <w:sz w:val="21"/>
                    </w:rPr>
                    <w:t>项目</w:t>
                  </w:r>
                </w:p>
              </w:tc>
              <w:tc>
                <w:tcPr>
                  <w:tcW w:w="11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D82C6CC">
                  <w:pPr>
                    <w:pStyle w:val="32"/>
                    <w:jc w:val="both"/>
                  </w:pPr>
                  <w:r>
                    <w:rPr>
                      <w:rFonts w:ascii="仿宋_GB2312" w:hAnsi="仿宋_GB2312" w:eastAsia="仿宋_GB2312" w:cs="仿宋_GB2312"/>
                      <w:sz w:val="21"/>
                    </w:rPr>
                    <w:t>单价限价</w:t>
                  </w:r>
                </w:p>
              </w:tc>
              <w:tc>
                <w:tcPr>
                  <w:tcW w:w="27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1563C9E">
                  <w:pPr>
                    <w:pStyle w:val="32"/>
                    <w:jc w:val="both"/>
                  </w:pPr>
                  <w:r>
                    <w:rPr>
                      <w:rFonts w:ascii="仿宋_GB2312" w:hAnsi="仿宋_GB2312" w:eastAsia="仿宋_GB2312" w:cs="仿宋_GB2312"/>
                      <w:sz w:val="21"/>
                    </w:rPr>
                    <w:t>备注</w:t>
                  </w:r>
                </w:p>
              </w:tc>
            </w:tr>
            <w:tr w14:paraId="73247C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DF5A7D">
                  <w:pPr>
                    <w:pStyle w:val="32"/>
                    <w:jc w:val="both"/>
                  </w:pPr>
                  <w:r>
                    <w:rPr>
                      <w:rFonts w:ascii="仿宋_GB2312" w:hAnsi="仿宋_GB2312" w:eastAsia="仿宋_GB2312" w:cs="仿宋_GB2312"/>
                      <w:sz w:val="21"/>
                    </w:rPr>
                    <w:t>1.射线检测</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C29221">
                  <w:pPr>
                    <w:pStyle w:val="32"/>
                    <w:jc w:val="both"/>
                  </w:pPr>
                  <w:r>
                    <w:rPr>
                      <w:rFonts w:ascii="仿宋_GB2312" w:hAnsi="仿宋_GB2312" w:eastAsia="仿宋_GB2312" w:cs="仿宋_GB2312"/>
                      <w:sz w:val="21"/>
                    </w:rPr>
                    <w:t>X射线</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317BFB">
                  <w:pPr>
                    <w:pStyle w:val="32"/>
                    <w:jc w:val="both"/>
                  </w:pPr>
                  <w:r>
                    <w:rPr>
                      <w:rFonts w:ascii="仿宋_GB2312" w:hAnsi="仿宋_GB2312" w:eastAsia="仿宋_GB2312" w:cs="仿宋_GB2312"/>
                      <w:sz w:val="21"/>
                    </w:rPr>
                    <w:t>80元/片</w:t>
                  </w:r>
                </w:p>
              </w:tc>
              <w:tc>
                <w:tcPr>
                  <w:tcW w:w="2738"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DC6D16B">
                  <w:pPr>
                    <w:pStyle w:val="32"/>
                    <w:jc w:val="both"/>
                  </w:pPr>
                  <w:r>
                    <w:rPr>
                      <w:rFonts w:ascii="仿宋_GB2312" w:hAnsi="仿宋_GB2312" w:eastAsia="仿宋_GB2312" w:cs="仿宋_GB2312"/>
                      <w:sz w:val="21"/>
                    </w:rPr>
                    <w:t>用X射线检测时，若透照厚度大于20mm,每增加5mm,每张片加收10元；缺陷自身高度测定，每处缺陷收费300元。</w:t>
                  </w:r>
                </w:p>
              </w:tc>
            </w:tr>
            <w:tr w14:paraId="0906BC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continue"/>
                  <w:tcBorders>
                    <w:top w:val="nil"/>
                    <w:left w:val="single" w:color="000000" w:sz="4" w:space="0"/>
                    <w:bottom w:val="single" w:color="000000" w:sz="4" w:space="0"/>
                    <w:right w:val="single" w:color="000000" w:sz="4" w:space="0"/>
                  </w:tcBorders>
                </w:tcPr>
                <w:p w14:paraId="2820E85D"/>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AE6694">
                  <w:pPr>
                    <w:pStyle w:val="32"/>
                    <w:jc w:val="both"/>
                  </w:pPr>
                  <w:r>
                    <w:rPr>
                      <w:rFonts w:ascii="仿宋_GB2312" w:hAnsi="仿宋_GB2312" w:eastAsia="仿宋_GB2312" w:cs="仿宋_GB2312"/>
                      <w:sz w:val="21"/>
                    </w:rPr>
                    <w:t>r射线</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4C75C0">
                  <w:pPr>
                    <w:pStyle w:val="32"/>
                    <w:jc w:val="both"/>
                  </w:pPr>
                  <w:r>
                    <w:rPr>
                      <w:rFonts w:ascii="仿宋_GB2312" w:hAnsi="仿宋_GB2312" w:eastAsia="仿宋_GB2312" w:cs="仿宋_GB2312"/>
                      <w:sz w:val="21"/>
                    </w:rPr>
                    <w:t>100元/片</w:t>
                  </w:r>
                </w:p>
              </w:tc>
              <w:tc>
                <w:tcPr>
                  <w:tcW w:w="2738" w:type="dxa"/>
                  <w:vMerge w:val="continue"/>
                  <w:tcBorders>
                    <w:top w:val="single" w:color="000000" w:sz="4" w:space="0"/>
                    <w:left w:val="nil"/>
                    <w:bottom w:val="single" w:color="000000" w:sz="4" w:space="0"/>
                    <w:right w:val="single" w:color="000000" w:sz="4" w:space="0"/>
                  </w:tcBorders>
                </w:tcPr>
                <w:p w14:paraId="7FFED977"/>
              </w:tc>
            </w:tr>
            <w:tr w14:paraId="7DF0F7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E159CC">
                  <w:pPr>
                    <w:pStyle w:val="32"/>
                    <w:jc w:val="both"/>
                  </w:pPr>
                  <w:r>
                    <w:rPr>
                      <w:rFonts w:ascii="仿宋_GB2312" w:hAnsi="仿宋_GB2312" w:eastAsia="仿宋_GB2312" w:cs="仿宋_GB2312"/>
                      <w:sz w:val="21"/>
                    </w:rPr>
                    <w:t>2.超声波检测</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EA9C55">
                  <w:pPr>
                    <w:pStyle w:val="32"/>
                    <w:jc w:val="both"/>
                  </w:pPr>
                  <w:r>
                    <w:rPr>
                      <w:rFonts w:ascii="仿宋_GB2312" w:hAnsi="仿宋_GB2312" w:eastAsia="仿宋_GB2312" w:cs="仿宋_GB2312"/>
                      <w:sz w:val="21"/>
                    </w:rPr>
                    <w:t>钢板</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0B08CE">
                  <w:pPr>
                    <w:pStyle w:val="32"/>
                    <w:jc w:val="both"/>
                  </w:pPr>
                  <w:r>
                    <w:rPr>
                      <w:rFonts w:ascii="仿宋_GB2312" w:hAnsi="仿宋_GB2312" w:eastAsia="仿宋_GB2312" w:cs="仿宋_GB2312"/>
                      <w:sz w:val="21"/>
                    </w:rPr>
                    <w:t>90元/平方米</w:t>
                  </w:r>
                </w:p>
              </w:tc>
              <w:tc>
                <w:tcPr>
                  <w:tcW w:w="27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068EBF5">
                  <w:pPr>
                    <w:pStyle w:val="32"/>
                    <w:jc w:val="both"/>
                  </w:pPr>
                  <w:r>
                    <w:rPr>
                      <w:rFonts w:ascii="仿宋_GB2312" w:hAnsi="仿宋_GB2312" w:eastAsia="仿宋_GB2312" w:cs="仿宋_GB2312"/>
                      <w:sz w:val="21"/>
                    </w:rPr>
                    <w:t>(1)探测件厚度小于12mm时，加收20%。</w:t>
                  </w:r>
                </w:p>
                <w:p w14:paraId="5679F6FE">
                  <w:pPr>
                    <w:pStyle w:val="32"/>
                    <w:jc w:val="both"/>
                  </w:pPr>
                  <w:r>
                    <w:rPr>
                      <w:rFonts w:ascii="仿宋_GB2312" w:hAnsi="仿宋_GB2312" w:eastAsia="仿宋_GB2312" w:cs="仿宋_GB2312"/>
                      <w:sz w:val="21"/>
                    </w:rPr>
                    <w:t>(2)双面扫查检测时，加倍收费。</w:t>
                  </w:r>
                </w:p>
                <w:p w14:paraId="1F132E48">
                  <w:pPr>
                    <w:pStyle w:val="32"/>
                    <w:jc w:val="both"/>
                  </w:pPr>
                  <w:r>
                    <w:rPr>
                      <w:rFonts w:ascii="仿宋_GB2312" w:hAnsi="仿宋_GB2312" w:eastAsia="仿宋_GB2312" w:cs="仿宋_GB2312"/>
                      <w:sz w:val="21"/>
                    </w:rPr>
                    <w:t>(3)有色金属工件，奥氏体钢锻件高压螺栓加收100%;孔槽较多的锻件，加收50%;角焊缝加收30%。</w:t>
                  </w:r>
                </w:p>
                <w:p w14:paraId="3EC20F66">
                  <w:pPr>
                    <w:pStyle w:val="32"/>
                    <w:jc w:val="both"/>
                  </w:pPr>
                  <w:r>
                    <w:rPr>
                      <w:rFonts w:ascii="仿宋_GB2312" w:hAnsi="仿宋_GB2312" w:eastAsia="仿宋_GB2312" w:cs="仿宋_GB2312"/>
                      <w:sz w:val="21"/>
                    </w:rPr>
                    <w:t>(4)不锈钢堆焊层，按复合钢板收费标准加收50%。</w:t>
                  </w:r>
                </w:p>
                <w:p w14:paraId="6B0DD108">
                  <w:pPr>
                    <w:pStyle w:val="32"/>
                    <w:jc w:val="both"/>
                  </w:pPr>
                  <w:r>
                    <w:rPr>
                      <w:rFonts w:ascii="仿宋_GB2312" w:hAnsi="仿宋_GB2312" w:eastAsia="仿宋_GB2312" w:cs="仿宋_GB2312"/>
                      <w:sz w:val="21"/>
                    </w:rPr>
                    <w:t>(5)缺陷自身高度测定，每处缺陷收费300元。</w:t>
                  </w:r>
                </w:p>
                <w:p w14:paraId="7C45C5F0">
                  <w:pPr>
                    <w:pStyle w:val="32"/>
                    <w:jc w:val="both"/>
                  </w:pPr>
                  <w:r>
                    <w:rPr>
                      <w:rFonts w:ascii="仿宋_GB2312" w:hAnsi="仿宋_GB2312" w:eastAsia="仿宋_GB2312" w:cs="仿宋_GB2312"/>
                      <w:sz w:val="21"/>
                    </w:rPr>
                    <w:t>(6)不足1平方米按1平方米计，每条焊缝长度不足1米按1米计。</w:t>
                  </w:r>
                </w:p>
              </w:tc>
            </w:tr>
            <w:tr w14:paraId="7C35B7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continue"/>
                  <w:tcBorders>
                    <w:top w:val="nil"/>
                    <w:left w:val="single" w:color="000000" w:sz="4" w:space="0"/>
                    <w:bottom w:val="single" w:color="000000" w:sz="4" w:space="0"/>
                    <w:right w:val="single" w:color="000000" w:sz="4" w:space="0"/>
                  </w:tcBorders>
                </w:tcPr>
                <w:p w14:paraId="1D4E420D"/>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2EC042">
                  <w:pPr>
                    <w:pStyle w:val="32"/>
                    <w:jc w:val="both"/>
                  </w:pPr>
                  <w:r>
                    <w:rPr>
                      <w:rFonts w:ascii="仿宋_GB2312" w:hAnsi="仿宋_GB2312" w:eastAsia="仿宋_GB2312" w:cs="仿宋_GB2312"/>
                      <w:sz w:val="21"/>
                    </w:rPr>
                    <w:t>复合钢板</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21C15">
                  <w:pPr>
                    <w:pStyle w:val="32"/>
                    <w:jc w:val="both"/>
                  </w:pPr>
                  <w:r>
                    <w:rPr>
                      <w:rFonts w:ascii="仿宋_GB2312" w:hAnsi="仿宋_GB2312" w:eastAsia="仿宋_GB2312" w:cs="仿宋_GB2312"/>
                      <w:sz w:val="21"/>
                    </w:rPr>
                    <w:t>110元/平方米</w:t>
                  </w:r>
                </w:p>
              </w:tc>
              <w:tc>
                <w:tcPr>
                  <w:tcW w:w="2738" w:type="dxa"/>
                  <w:vMerge w:val="continue"/>
                  <w:tcBorders>
                    <w:top w:val="nil"/>
                    <w:left w:val="nil"/>
                    <w:bottom w:val="single" w:color="000000" w:sz="4" w:space="0"/>
                    <w:right w:val="single" w:color="000000" w:sz="4" w:space="0"/>
                  </w:tcBorders>
                </w:tcPr>
                <w:p w14:paraId="2B526B5B"/>
              </w:tc>
            </w:tr>
            <w:tr w14:paraId="402D99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continue"/>
                  <w:tcBorders>
                    <w:top w:val="nil"/>
                    <w:left w:val="single" w:color="000000" w:sz="4" w:space="0"/>
                    <w:bottom w:val="single" w:color="000000" w:sz="4" w:space="0"/>
                    <w:right w:val="single" w:color="000000" w:sz="4" w:space="0"/>
                  </w:tcBorders>
                </w:tcPr>
                <w:p w14:paraId="1FF85B0A"/>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477AD">
                  <w:pPr>
                    <w:pStyle w:val="32"/>
                    <w:jc w:val="both"/>
                  </w:pPr>
                  <w:r>
                    <w:rPr>
                      <w:rFonts w:ascii="仿宋_GB2312" w:hAnsi="仿宋_GB2312" w:eastAsia="仿宋_GB2312" w:cs="仿宋_GB2312"/>
                      <w:sz w:val="21"/>
                    </w:rPr>
                    <w:t>锻件</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A1342A">
                  <w:pPr>
                    <w:pStyle w:val="32"/>
                    <w:jc w:val="both"/>
                  </w:pPr>
                  <w:r>
                    <w:rPr>
                      <w:rFonts w:ascii="仿宋_GB2312" w:hAnsi="仿宋_GB2312" w:eastAsia="仿宋_GB2312" w:cs="仿宋_GB2312"/>
                      <w:sz w:val="21"/>
                    </w:rPr>
                    <w:t>130元/平方米</w:t>
                  </w:r>
                </w:p>
              </w:tc>
              <w:tc>
                <w:tcPr>
                  <w:tcW w:w="2738" w:type="dxa"/>
                  <w:vMerge w:val="continue"/>
                  <w:tcBorders>
                    <w:top w:val="nil"/>
                    <w:left w:val="nil"/>
                    <w:bottom w:val="single" w:color="000000" w:sz="4" w:space="0"/>
                    <w:right w:val="single" w:color="000000" w:sz="4" w:space="0"/>
                  </w:tcBorders>
                </w:tcPr>
                <w:p w14:paraId="270FEC17"/>
              </w:tc>
            </w:tr>
            <w:tr w14:paraId="404C1B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continue"/>
                  <w:tcBorders>
                    <w:top w:val="nil"/>
                    <w:left w:val="single" w:color="000000" w:sz="4" w:space="0"/>
                    <w:bottom w:val="single" w:color="000000" w:sz="4" w:space="0"/>
                    <w:right w:val="single" w:color="000000" w:sz="4" w:space="0"/>
                  </w:tcBorders>
                </w:tcPr>
                <w:p w14:paraId="4E78E608"/>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26876E">
                  <w:pPr>
                    <w:pStyle w:val="32"/>
                    <w:jc w:val="both"/>
                  </w:pPr>
                  <w:r>
                    <w:rPr>
                      <w:rFonts w:ascii="仿宋_GB2312" w:hAnsi="仿宋_GB2312" w:eastAsia="仿宋_GB2312" w:cs="仿宋_GB2312"/>
                      <w:sz w:val="21"/>
                    </w:rPr>
                    <w:t>焊缝</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399529">
                  <w:pPr>
                    <w:pStyle w:val="32"/>
                    <w:jc w:val="both"/>
                  </w:pPr>
                  <w:r>
                    <w:rPr>
                      <w:rFonts w:ascii="仿宋_GB2312" w:hAnsi="仿宋_GB2312" w:eastAsia="仿宋_GB2312" w:cs="仿宋_GB2312"/>
                      <w:sz w:val="21"/>
                    </w:rPr>
                    <w:t>70元/米</w:t>
                  </w:r>
                </w:p>
              </w:tc>
              <w:tc>
                <w:tcPr>
                  <w:tcW w:w="2738" w:type="dxa"/>
                  <w:vMerge w:val="continue"/>
                  <w:tcBorders>
                    <w:top w:val="nil"/>
                    <w:left w:val="nil"/>
                    <w:bottom w:val="single" w:color="000000" w:sz="4" w:space="0"/>
                    <w:right w:val="single" w:color="000000" w:sz="4" w:space="0"/>
                  </w:tcBorders>
                </w:tcPr>
                <w:p w14:paraId="36CF0D83"/>
              </w:tc>
            </w:tr>
            <w:tr w14:paraId="7B9B24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continue"/>
                  <w:tcBorders>
                    <w:top w:val="nil"/>
                    <w:left w:val="single" w:color="000000" w:sz="4" w:space="0"/>
                    <w:bottom w:val="single" w:color="000000" w:sz="4" w:space="0"/>
                    <w:right w:val="single" w:color="000000" w:sz="4" w:space="0"/>
                  </w:tcBorders>
                </w:tcPr>
                <w:p w14:paraId="693AC921"/>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CE0B3">
                  <w:pPr>
                    <w:pStyle w:val="32"/>
                    <w:jc w:val="both"/>
                  </w:pPr>
                  <w:r>
                    <w:rPr>
                      <w:rFonts w:ascii="仿宋_GB2312" w:hAnsi="仿宋_GB2312" w:eastAsia="仿宋_GB2312" w:cs="仿宋_GB2312"/>
                      <w:sz w:val="21"/>
                    </w:rPr>
                    <w:t>TOFD检测</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EAB91">
                  <w:pPr>
                    <w:pStyle w:val="32"/>
                    <w:jc w:val="both"/>
                  </w:pPr>
                  <w:r>
                    <w:rPr>
                      <w:rFonts w:ascii="仿宋_GB2312" w:hAnsi="仿宋_GB2312" w:eastAsia="仿宋_GB2312" w:cs="仿宋_GB2312"/>
                      <w:sz w:val="21"/>
                    </w:rPr>
                    <w:t>320元/米</w:t>
                  </w:r>
                </w:p>
              </w:tc>
              <w:tc>
                <w:tcPr>
                  <w:tcW w:w="2738" w:type="dxa"/>
                  <w:vMerge w:val="continue"/>
                  <w:tcBorders>
                    <w:top w:val="nil"/>
                    <w:left w:val="nil"/>
                    <w:bottom w:val="single" w:color="000000" w:sz="4" w:space="0"/>
                    <w:right w:val="single" w:color="000000" w:sz="4" w:space="0"/>
                  </w:tcBorders>
                </w:tcPr>
                <w:p w14:paraId="4F9FFE87"/>
              </w:tc>
            </w:tr>
            <w:tr w14:paraId="5AB1B8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2B9C79">
                  <w:pPr>
                    <w:pStyle w:val="32"/>
                    <w:jc w:val="both"/>
                  </w:pPr>
                  <w:r>
                    <w:rPr>
                      <w:rFonts w:ascii="仿宋_GB2312" w:hAnsi="仿宋_GB2312" w:eastAsia="仿宋_GB2312" w:cs="仿宋_GB2312"/>
                      <w:sz w:val="21"/>
                    </w:rPr>
                    <w:t>3.磁粉检测</w:t>
                  </w:r>
                </w:p>
                <w:p w14:paraId="4C3D2231">
                  <w:pPr>
                    <w:pStyle w:val="32"/>
                    <w:jc w:val="both"/>
                  </w:pP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46E871">
                  <w:pPr>
                    <w:pStyle w:val="32"/>
                    <w:jc w:val="both"/>
                  </w:pPr>
                  <w:r>
                    <w:rPr>
                      <w:rFonts w:ascii="仿宋_GB2312" w:hAnsi="仿宋_GB2312" w:eastAsia="仿宋_GB2312" w:cs="仿宋_GB2312"/>
                      <w:sz w:val="21"/>
                    </w:rPr>
                    <w:t>焊缝</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E5F72A">
                  <w:pPr>
                    <w:pStyle w:val="32"/>
                    <w:jc w:val="both"/>
                  </w:pPr>
                  <w:r>
                    <w:rPr>
                      <w:rFonts w:ascii="仿宋_GB2312" w:hAnsi="仿宋_GB2312" w:eastAsia="仿宋_GB2312" w:cs="仿宋_GB2312"/>
                      <w:sz w:val="21"/>
                    </w:rPr>
                    <w:t>60元/米</w:t>
                  </w:r>
                </w:p>
              </w:tc>
              <w:tc>
                <w:tcPr>
                  <w:tcW w:w="27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A1818A9">
                  <w:pPr>
                    <w:pStyle w:val="32"/>
                    <w:jc w:val="both"/>
                  </w:pPr>
                  <w:r>
                    <w:rPr>
                      <w:rFonts w:ascii="仿宋_GB2312" w:hAnsi="仿宋_GB2312" w:eastAsia="仿宋_GB2312" w:cs="仿宋_GB2312"/>
                      <w:sz w:val="21"/>
                    </w:rPr>
                    <w:t>(1)用油做悬浮剂或用荧光磁粉时加收50%。用其它非黑色磁粉时，加收20%。</w:t>
                  </w:r>
                </w:p>
                <w:p w14:paraId="2A399A4F">
                  <w:pPr>
                    <w:pStyle w:val="32"/>
                    <w:jc w:val="both"/>
                  </w:pPr>
                  <w:r>
                    <w:rPr>
                      <w:rFonts w:ascii="仿宋_GB2312" w:hAnsi="仿宋_GB2312" w:eastAsia="仿宋_GB2312" w:cs="仿宋_GB2312"/>
                      <w:sz w:val="21"/>
                    </w:rPr>
                    <w:t>(2)管道焊缝加收50%。</w:t>
                  </w:r>
                </w:p>
                <w:p w14:paraId="65612DCE">
                  <w:pPr>
                    <w:pStyle w:val="32"/>
                    <w:jc w:val="both"/>
                  </w:pPr>
                  <w:r>
                    <w:rPr>
                      <w:rFonts w:ascii="仿宋_GB2312" w:hAnsi="仿宋_GB2312" w:eastAsia="仿宋_GB2312" w:cs="仿宋_GB2312"/>
                      <w:sz w:val="21"/>
                    </w:rPr>
                    <w:t>(3)螺栓检测加收50%。</w:t>
                  </w:r>
                </w:p>
                <w:p w14:paraId="2E930F81">
                  <w:pPr>
                    <w:pStyle w:val="32"/>
                    <w:jc w:val="both"/>
                  </w:pPr>
                  <w:r>
                    <w:rPr>
                      <w:rFonts w:ascii="仿宋_GB2312" w:hAnsi="仿宋_GB2312" w:eastAsia="仿宋_GB2312" w:cs="仿宋_GB2312"/>
                      <w:sz w:val="21"/>
                    </w:rPr>
                    <w:t>(4)不足1平方米按1平方米计，每条焊缝长度不足1米按1米计。</w:t>
                  </w:r>
                </w:p>
              </w:tc>
            </w:tr>
            <w:tr w14:paraId="191C20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continue"/>
                  <w:tcBorders>
                    <w:top w:val="nil"/>
                    <w:left w:val="single" w:color="000000" w:sz="4" w:space="0"/>
                    <w:bottom w:val="single" w:color="000000" w:sz="4" w:space="0"/>
                    <w:right w:val="single" w:color="000000" w:sz="4" w:space="0"/>
                  </w:tcBorders>
                </w:tcPr>
                <w:p w14:paraId="0A722E65"/>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FF0951">
                  <w:pPr>
                    <w:pStyle w:val="32"/>
                    <w:jc w:val="both"/>
                  </w:pPr>
                  <w:r>
                    <w:rPr>
                      <w:rFonts w:ascii="仿宋_GB2312" w:hAnsi="仿宋_GB2312" w:eastAsia="仿宋_GB2312" w:cs="仿宋_GB2312"/>
                      <w:sz w:val="21"/>
                    </w:rPr>
                    <w:t>锻件</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42A4AB">
                  <w:pPr>
                    <w:pStyle w:val="32"/>
                    <w:jc w:val="both"/>
                  </w:pPr>
                  <w:r>
                    <w:rPr>
                      <w:rFonts w:ascii="仿宋_GB2312" w:hAnsi="仿宋_GB2312" w:eastAsia="仿宋_GB2312" w:cs="仿宋_GB2312"/>
                      <w:sz w:val="21"/>
                    </w:rPr>
                    <w:t>100元/平方米</w:t>
                  </w:r>
                </w:p>
              </w:tc>
              <w:tc>
                <w:tcPr>
                  <w:tcW w:w="2738" w:type="dxa"/>
                  <w:vMerge w:val="continue"/>
                  <w:tcBorders>
                    <w:top w:val="nil"/>
                    <w:left w:val="nil"/>
                    <w:bottom w:val="single" w:color="000000" w:sz="4" w:space="0"/>
                    <w:right w:val="single" w:color="000000" w:sz="4" w:space="0"/>
                  </w:tcBorders>
                </w:tcPr>
                <w:p w14:paraId="213618A3"/>
              </w:tc>
            </w:tr>
            <w:tr w14:paraId="3E21FB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continue"/>
                  <w:tcBorders>
                    <w:top w:val="nil"/>
                    <w:left w:val="single" w:color="000000" w:sz="4" w:space="0"/>
                    <w:bottom w:val="single" w:color="000000" w:sz="4" w:space="0"/>
                    <w:right w:val="single" w:color="000000" w:sz="4" w:space="0"/>
                  </w:tcBorders>
                </w:tcPr>
                <w:p w14:paraId="2C1FCF08"/>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AA8BA">
                  <w:pPr>
                    <w:pStyle w:val="32"/>
                    <w:jc w:val="both"/>
                  </w:pPr>
                  <w:r>
                    <w:rPr>
                      <w:rFonts w:ascii="仿宋_GB2312" w:hAnsi="仿宋_GB2312" w:eastAsia="仿宋_GB2312" w:cs="仿宋_GB2312"/>
                      <w:sz w:val="21"/>
                    </w:rPr>
                    <w:t>钢板</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CE5203">
                  <w:pPr>
                    <w:pStyle w:val="32"/>
                    <w:jc w:val="both"/>
                  </w:pPr>
                  <w:r>
                    <w:rPr>
                      <w:rFonts w:ascii="仿宋_GB2312" w:hAnsi="仿宋_GB2312" w:eastAsia="仿宋_GB2312" w:cs="仿宋_GB2312"/>
                      <w:sz w:val="21"/>
                    </w:rPr>
                    <w:t>100元/平方米</w:t>
                  </w:r>
                </w:p>
              </w:tc>
              <w:tc>
                <w:tcPr>
                  <w:tcW w:w="2738" w:type="dxa"/>
                  <w:vMerge w:val="continue"/>
                  <w:tcBorders>
                    <w:top w:val="nil"/>
                    <w:left w:val="nil"/>
                    <w:bottom w:val="single" w:color="000000" w:sz="4" w:space="0"/>
                    <w:right w:val="single" w:color="000000" w:sz="4" w:space="0"/>
                  </w:tcBorders>
                </w:tcPr>
                <w:p w14:paraId="47DD7865"/>
              </w:tc>
            </w:tr>
            <w:tr w14:paraId="440DAA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continue"/>
                  <w:tcBorders>
                    <w:top w:val="nil"/>
                    <w:left w:val="single" w:color="000000" w:sz="4" w:space="0"/>
                    <w:bottom w:val="single" w:color="000000" w:sz="4" w:space="0"/>
                    <w:right w:val="single" w:color="000000" w:sz="4" w:space="0"/>
                  </w:tcBorders>
                </w:tcPr>
                <w:p w14:paraId="752A6A96"/>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4C2BAD">
                  <w:pPr>
                    <w:pStyle w:val="32"/>
                    <w:jc w:val="both"/>
                  </w:pPr>
                  <w:r>
                    <w:rPr>
                      <w:rFonts w:ascii="仿宋_GB2312" w:hAnsi="仿宋_GB2312" w:eastAsia="仿宋_GB2312" w:cs="仿宋_GB2312"/>
                      <w:sz w:val="21"/>
                    </w:rPr>
                    <w:t>CNG气瓶</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77535">
                  <w:pPr>
                    <w:pStyle w:val="32"/>
                    <w:jc w:val="both"/>
                  </w:pPr>
                  <w:r>
                    <w:rPr>
                      <w:rFonts w:ascii="仿宋_GB2312" w:hAnsi="仿宋_GB2312" w:eastAsia="仿宋_GB2312" w:cs="仿宋_GB2312"/>
                      <w:sz w:val="21"/>
                    </w:rPr>
                    <w:t>100元/只</w:t>
                  </w:r>
                </w:p>
              </w:tc>
              <w:tc>
                <w:tcPr>
                  <w:tcW w:w="2738" w:type="dxa"/>
                  <w:vMerge w:val="continue"/>
                  <w:tcBorders>
                    <w:top w:val="nil"/>
                    <w:left w:val="nil"/>
                    <w:bottom w:val="single" w:color="000000" w:sz="4" w:space="0"/>
                    <w:right w:val="single" w:color="000000" w:sz="4" w:space="0"/>
                  </w:tcBorders>
                </w:tcPr>
                <w:p w14:paraId="538F161E"/>
              </w:tc>
            </w:tr>
            <w:tr w14:paraId="5FB7A5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continue"/>
                  <w:tcBorders>
                    <w:top w:val="nil"/>
                    <w:left w:val="single" w:color="000000" w:sz="4" w:space="0"/>
                    <w:bottom w:val="single" w:color="000000" w:sz="4" w:space="0"/>
                    <w:right w:val="single" w:color="000000" w:sz="4" w:space="0"/>
                  </w:tcBorders>
                </w:tcPr>
                <w:p w14:paraId="33CB6BB3"/>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96545A">
                  <w:pPr>
                    <w:pStyle w:val="32"/>
                    <w:jc w:val="both"/>
                  </w:pPr>
                  <w:r>
                    <w:rPr>
                      <w:rFonts w:ascii="仿宋_GB2312" w:hAnsi="仿宋_GB2312" w:eastAsia="仿宋_GB2312" w:cs="仿宋_GB2312"/>
                      <w:sz w:val="21"/>
                    </w:rPr>
                    <w:t>杆状件</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53390E">
                  <w:pPr>
                    <w:pStyle w:val="32"/>
                    <w:jc w:val="both"/>
                  </w:pPr>
                  <w:r>
                    <w:rPr>
                      <w:rFonts w:ascii="仿宋_GB2312" w:hAnsi="仿宋_GB2312" w:eastAsia="仿宋_GB2312" w:cs="仿宋_GB2312"/>
                      <w:sz w:val="21"/>
                    </w:rPr>
                    <w:t>30元/根</w:t>
                  </w:r>
                </w:p>
              </w:tc>
              <w:tc>
                <w:tcPr>
                  <w:tcW w:w="2738" w:type="dxa"/>
                  <w:vMerge w:val="continue"/>
                  <w:tcBorders>
                    <w:top w:val="nil"/>
                    <w:left w:val="nil"/>
                    <w:bottom w:val="single" w:color="000000" w:sz="4" w:space="0"/>
                    <w:right w:val="single" w:color="000000" w:sz="4" w:space="0"/>
                  </w:tcBorders>
                </w:tcPr>
                <w:p w14:paraId="7950185B"/>
              </w:tc>
            </w:tr>
            <w:tr w14:paraId="0E3CE0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continue"/>
                  <w:tcBorders>
                    <w:top w:val="nil"/>
                    <w:left w:val="single" w:color="000000" w:sz="4" w:space="0"/>
                    <w:bottom w:val="single" w:color="000000" w:sz="4" w:space="0"/>
                    <w:right w:val="single" w:color="000000" w:sz="4" w:space="0"/>
                  </w:tcBorders>
                </w:tcPr>
                <w:p w14:paraId="66480E65"/>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F57F08">
                  <w:pPr>
                    <w:pStyle w:val="32"/>
                    <w:jc w:val="both"/>
                  </w:pPr>
                  <w:r>
                    <w:rPr>
                      <w:rFonts w:ascii="仿宋_GB2312" w:hAnsi="仿宋_GB2312" w:eastAsia="仿宋_GB2312" w:cs="仿宋_GB2312"/>
                      <w:sz w:val="21"/>
                    </w:rPr>
                    <w:t>非索道用钢丝绳磁力探伤</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BE475C">
                  <w:pPr>
                    <w:pStyle w:val="32"/>
                    <w:jc w:val="both"/>
                  </w:pPr>
                  <w:r>
                    <w:rPr>
                      <w:rFonts w:ascii="仿宋_GB2312" w:hAnsi="仿宋_GB2312" w:eastAsia="仿宋_GB2312" w:cs="仿宋_GB2312"/>
                      <w:sz w:val="21"/>
                    </w:rPr>
                    <w:t>2元/米</w:t>
                  </w:r>
                </w:p>
              </w:tc>
              <w:tc>
                <w:tcPr>
                  <w:tcW w:w="2738" w:type="dxa"/>
                  <w:vMerge w:val="continue"/>
                  <w:tcBorders>
                    <w:top w:val="nil"/>
                    <w:left w:val="nil"/>
                    <w:bottom w:val="single" w:color="000000" w:sz="4" w:space="0"/>
                    <w:right w:val="single" w:color="000000" w:sz="4" w:space="0"/>
                  </w:tcBorders>
                </w:tcPr>
                <w:p w14:paraId="76C9875C"/>
              </w:tc>
            </w:tr>
            <w:tr w14:paraId="37DD1F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A723AB">
                  <w:pPr>
                    <w:pStyle w:val="32"/>
                    <w:jc w:val="both"/>
                  </w:pPr>
                  <w:r>
                    <w:rPr>
                      <w:rFonts w:ascii="仿宋_GB2312" w:hAnsi="仿宋_GB2312" w:eastAsia="仿宋_GB2312" w:cs="仿宋_GB2312"/>
                      <w:sz w:val="21"/>
                    </w:rPr>
                    <w:t>4.渗透检测</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F42C35">
                  <w:pPr>
                    <w:pStyle w:val="32"/>
                    <w:jc w:val="both"/>
                  </w:pPr>
                  <w:r>
                    <w:rPr>
                      <w:rFonts w:ascii="仿宋_GB2312" w:hAnsi="仿宋_GB2312" w:eastAsia="仿宋_GB2312" w:cs="仿宋_GB2312"/>
                      <w:sz w:val="21"/>
                    </w:rPr>
                    <w:t>焊缝</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4EBFF">
                  <w:pPr>
                    <w:pStyle w:val="32"/>
                    <w:jc w:val="both"/>
                  </w:pPr>
                  <w:r>
                    <w:rPr>
                      <w:rFonts w:ascii="仿宋_GB2312" w:hAnsi="仿宋_GB2312" w:eastAsia="仿宋_GB2312" w:cs="仿宋_GB2312"/>
                      <w:sz w:val="21"/>
                    </w:rPr>
                    <w:t>80元/米</w:t>
                  </w:r>
                </w:p>
              </w:tc>
              <w:tc>
                <w:tcPr>
                  <w:tcW w:w="27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2528013">
                  <w:pPr>
                    <w:pStyle w:val="32"/>
                    <w:jc w:val="both"/>
                  </w:pPr>
                  <w:r>
                    <w:rPr>
                      <w:rFonts w:ascii="仿宋_GB2312" w:hAnsi="仿宋_GB2312" w:eastAsia="仿宋_GB2312" w:cs="仿宋_GB2312"/>
                      <w:sz w:val="21"/>
                    </w:rPr>
                    <w:t>(1)水洗法减收50%。荧光法加收50%。</w:t>
                  </w:r>
                </w:p>
                <w:p w14:paraId="1985C6CE">
                  <w:pPr>
                    <w:pStyle w:val="32"/>
                    <w:jc w:val="both"/>
                  </w:pPr>
                  <w:r>
                    <w:rPr>
                      <w:rFonts w:ascii="仿宋_GB2312" w:hAnsi="仿宋_GB2312" w:eastAsia="仿宋_GB2312" w:cs="仿宋_GB2312"/>
                      <w:sz w:val="21"/>
                    </w:rPr>
                    <w:t>(2)不足1平方米按1平方米计，每条焊缝长度不足1米按1米计。</w:t>
                  </w:r>
                </w:p>
              </w:tc>
            </w:tr>
            <w:tr w14:paraId="21D4A0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2" w:type="dxa"/>
                  <w:vMerge w:val="continue"/>
                  <w:tcBorders>
                    <w:top w:val="nil"/>
                    <w:left w:val="single" w:color="000000" w:sz="4" w:space="0"/>
                    <w:bottom w:val="single" w:color="000000" w:sz="4" w:space="0"/>
                    <w:right w:val="single" w:color="000000" w:sz="4" w:space="0"/>
                  </w:tcBorders>
                </w:tcPr>
                <w:p w14:paraId="1817736D"/>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6813BA">
                  <w:pPr>
                    <w:pStyle w:val="32"/>
                    <w:jc w:val="both"/>
                  </w:pPr>
                  <w:r>
                    <w:rPr>
                      <w:rFonts w:ascii="仿宋_GB2312" w:hAnsi="仿宋_GB2312" w:eastAsia="仿宋_GB2312" w:cs="仿宋_GB2312"/>
                      <w:sz w:val="21"/>
                    </w:rPr>
                    <w:t>面状检测</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EEF8A3">
                  <w:pPr>
                    <w:pStyle w:val="32"/>
                    <w:jc w:val="both"/>
                  </w:pPr>
                  <w:r>
                    <w:rPr>
                      <w:rFonts w:ascii="仿宋_GB2312" w:hAnsi="仿宋_GB2312" w:eastAsia="仿宋_GB2312" w:cs="仿宋_GB2312"/>
                      <w:sz w:val="21"/>
                    </w:rPr>
                    <w:t>130元/平方米</w:t>
                  </w:r>
                </w:p>
              </w:tc>
              <w:tc>
                <w:tcPr>
                  <w:tcW w:w="2738" w:type="dxa"/>
                  <w:vMerge w:val="continue"/>
                  <w:tcBorders>
                    <w:top w:val="nil"/>
                    <w:left w:val="nil"/>
                    <w:bottom w:val="single" w:color="000000" w:sz="4" w:space="0"/>
                    <w:right w:val="single" w:color="000000" w:sz="4" w:space="0"/>
                  </w:tcBorders>
                </w:tcPr>
                <w:p w14:paraId="0F8415AB"/>
              </w:tc>
            </w:tr>
            <w:tr w14:paraId="0504AA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40"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C9165B">
                  <w:pPr>
                    <w:pStyle w:val="32"/>
                    <w:jc w:val="both"/>
                  </w:pPr>
                  <w:r>
                    <w:rPr>
                      <w:rFonts w:ascii="仿宋_GB2312" w:hAnsi="仿宋_GB2312" w:eastAsia="仿宋_GB2312" w:cs="仿宋_GB2312"/>
                      <w:sz w:val="21"/>
                    </w:rPr>
                    <w:t>5.电磁检测</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D6B6C9">
                  <w:pPr>
                    <w:pStyle w:val="32"/>
                    <w:jc w:val="both"/>
                  </w:pPr>
                  <w:r>
                    <w:rPr>
                      <w:rFonts w:ascii="仿宋_GB2312" w:hAnsi="仿宋_GB2312" w:eastAsia="仿宋_GB2312" w:cs="仿宋_GB2312"/>
                      <w:sz w:val="21"/>
                    </w:rPr>
                    <w:t>60元/米</w:t>
                  </w:r>
                </w:p>
              </w:tc>
              <w:tc>
                <w:tcPr>
                  <w:tcW w:w="27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88F343">
                  <w:pPr>
                    <w:pStyle w:val="32"/>
                    <w:jc w:val="both"/>
                  </w:pPr>
                  <w:r>
                    <w:rPr>
                      <w:rFonts w:ascii="仿宋_GB2312" w:hAnsi="仿宋_GB2312" w:eastAsia="仿宋_GB2312" w:cs="仿宋_GB2312"/>
                      <w:sz w:val="21"/>
                    </w:rPr>
                    <w:t>检测长度不足1米按1米计。</w:t>
                  </w:r>
                </w:p>
              </w:tc>
            </w:tr>
            <w:tr w14:paraId="388C6E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40"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289DA8">
                  <w:pPr>
                    <w:pStyle w:val="32"/>
                    <w:jc w:val="both"/>
                  </w:pPr>
                  <w:r>
                    <w:rPr>
                      <w:rFonts w:ascii="仿宋_GB2312" w:hAnsi="仿宋_GB2312" w:eastAsia="仿宋_GB2312" w:cs="仿宋_GB2312"/>
                      <w:sz w:val="21"/>
                    </w:rPr>
                    <w:t>6.声发射检测</w:t>
                  </w:r>
                </w:p>
              </w:tc>
              <w:tc>
                <w:tcPr>
                  <w:tcW w:w="11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BACD41">
                  <w:pPr>
                    <w:pStyle w:val="32"/>
                    <w:jc w:val="both"/>
                  </w:pPr>
                  <w:r>
                    <w:rPr>
                      <w:rFonts w:ascii="仿宋_GB2312" w:hAnsi="仿宋_GB2312" w:eastAsia="仿宋_GB2312" w:cs="仿宋_GB2312"/>
                      <w:sz w:val="21"/>
                    </w:rPr>
                    <w:t>500元/三个探头</w:t>
                  </w:r>
                </w:p>
              </w:tc>
              <w:tc>
                <w:tcPr>
                  <w:tcW w:w="27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021962">
                  <w:pPr>
                    <w:pStyle w:val="32"/>
                    <w:jc w:val="both"/>
                  </w:pPr>
                  <w:r>
                    <w:rPr>
                      <w:rFonts w:ascii="仿宋_GB2312" w:hAnsi="仿宋_GB2312" w:eastAsia="仿宋_GB2312" w:cs="仿宋_GB2312"/>
                      <w:sz w:val="21"/>
                    </w:rPr>
                    <w:t>每增加一对探头，加收50%。</w:t>
                  </w:r>
                </w:p>
              </w:tc>
            </w:tr>
          </w:tbl>
          <w:p w14:paraId="496C9808">
            <w:pPr>
              <w:pStyle w:val="32"/>
              <w:jc w:val="both"/>
            </w:pPr>
            <w:r>
              <w:rPr>
                <w:rFonts w:ascii="仿宋_GB2312" w:hAnsi="仿宋_GB2312" w:eastAsia="仿宋_GB2312" w:cs="仿宋_GB2312"/>
                <w:sz w:val="21"/>
              </w:rPr>
              <w:t>注：1.投标人以单价限价为基础按照统一下浮率进行报价；2.结算单价=单价限价×（1-下浮率），据实结算。</w:t>
            </w:r>
          </w:p>
        </w:tc>
      </w:tr>
    </w:tbl>
    <w:p w14:paraId="23345C8C">
      <w:pPr>
        <w:pStyle w:val="32"/>
        <w:jc w:val="left"/>
        <w:outlineLvl w:val="2"/>
      </w:pPr>
      <w:r>
        <w:rPr>
          <w:rFonts w:ascii="仿宋_GB2312" w:hAnsi="仿宋_GB2312" w:eastAsia="仿宋_GB2312" w:cs="仿宋_GB2312"/>
          <w:b/>
          <w:sz w:val="28"/>
        </w:rPr>
        <w:t>3.3.服务要求</w:t>
      </w:r>
    </w:p>
    <w:p w14:paraId="0D4250E0">
      <w:pPr>
        <w:pStyle w:val="32"/>
        <w:jc w:val="left"/>
        <w:outlineLvl w:val="3"/>
      </w:pPr>
      <w:r>
        <w:rPr>
          <w:rFonts w:ascii="仿宋_GB2312" w:hAnsi="仿宋_GB2312" w:eastAsia="仿宋_GB2312" w:cs="仿宋_GB2312"/>
          <w:b/>
          <w:sz w:val="24"/>
        </w:rPr>
        <w:t>3.3.1.服务内容要求</w:t>
      </w:r>
    </w:p>
    <w:p w14:paraId="7452547B">
      <w:pPr>
        <w:pStyle w:val="32"/>
        <w:jc w:val="left"/>
      </w:pPr>
      <w:r>
        <w:rPr>
          <w:rFonts w:ascii="仿宋_GB2312" w:hAnsi="仿宋_GB2312" w:eastAsia="仿宋_GB2312" w:cs="仿宋_GB2312"/>
        </w:rPr>
        <w:t>采购包1：</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AD2C7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B44B23">
            <w:pPr>
              <w:pStyle w:val="32"/>
              <w:jc w:val="center"/>
            </w:pPr>
            <w:r>
              <w:rPr>
                <w:rFonts w:ascii="仿宋_GB2312" w:hAnsi="仿宋_GB2312" w:eastAsia="仿宋_GB2312" w:cs="仿宋_GB2312"/>
              </w:rPr>
              <w:t xml:space="preserve"> 序号</w:t>
            </w:r>
          </w:p>
        </w:tc>
        <w:tc>
          <w:tcPr>
            <w:tcW w:w="581" w:type="dxa"/>
          </w:tcPr>
          <w:p w14:paraId="1D95AD5E">
            <w:pPr>
              <w:pStyle w:val="32"/>
              <w:jc w:val="center"/>
            </w:pPr>
            <w:r>
              <w:rPr>
                <w:rFonts w:ascii="仿宋_GB2312" w:hAnsi="仿宋_GB2312" w:eastAsia="仿宋_GB2312" w:cs="仿宋_GB2312"/>
              </w:rPr>
              <w:t xml:space="preserve"> 符号标识</w:t>
            </w:r>
          </w:p>
        </w:tc>
        <w:tc>
          <w:tcPr>
            <w:tcW w:w="1495" w:type="dxa"/>
          </w:tcPr>
          <w:p w14:paraId="38D5C8C4">
            <w:pPr>
              <w:pStyle w:val="32"/>
              <w:jc w:val="center"/>
            </w:pPr>
            <w:r>
              <w:rPr>
                <w:rFonts w:ascii="仿宋_GB2312" w:hAnsi="仿宋_GB2312" w:eastAsia="仿宋_GB2312" w:cs="仿宋_GB2312"/>
              </w:rPr>
              <w:t xml:space="preserve"> 服务要求名称</w:t>
            </w:r>
          </w:p>
        </w:tc>
        <w:tc>
          <w:tcPr>
            <w:tcW w:w="5814" w:type="dxa"/>
          </w:tcPr>
          <w:p w14:paraId="56176C74">
            <w:pPr>
              <w:pStyle w:val="32"/>
              <w:jc w:val="center"/>
            </w:pPr>
            <w:r>
              <w:rPr>
                <w:rFonts w:ascii="仿宋_GB2312" w:hAnsi="仿宋_GB2312" w:eastAsia="仿宋_GB2312" w:cs="仿宋_GB2312"/>
              </w:rPr>
              <w:t xml:space="preserve"> 服务要求内容</w:t>
            </w:r>
          </w:p>
        </w:tc>
      </w:tr>
      <w:tr w14:paraId="0DBA29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444BCB">
            <w:pPr>
              <w:pStyle w:val="32"/>
              <w:jc w:val="center"/>
            </w:pPr>
            <w:r>
              <w:rPr>
                <w:rFonts w:ascii="仿宋_GB2312" w:hAnsi="仿宋_GB2312" w:eastAsia="仿宋_GB2312" w:cs="仿宋_GB2312"/>
              </w:rPr>
              <w:t>1</w:t>
            </w:r>
          </w:p>
        </w:tc>
        <w:tc>
          <w:tcPr>
            <w:tcW w:w="581" w:type="dxa"/>
          </w:tcPr>
          <w:p w14:paraId="016318DB">
            <w:pPr>
              <w:pStyle w:val="32"/>
              <w:jc w:val="center"/>
            </w:pPr>
            <w:r>
              <w:rPr>
                <w:rFonts w:ascii="仿宋_GB2312" w:hAnsi="仿宋_GB2312" w:eastAsia="仿宋_GB2312" w:cs="仿宋_GB2312"/>
              </w:rPr>
              <w:t>★</w:t>
            </w:r>
          </w:p>
        </w:tc>
        <w:tc>
          <w:tcPr>
            <w:tcW w:w="1495" w:type="dxa"/>
          </w:tcPr>
          <w:p w14:paraId="4F794908">
            <w:pPr>
              <w:pStyle w:val="32"/>
              <w:jc w:val="left"/>
            </w:pPr>
            <w:r>
              <w:rPr>
                <w:rFonts w:ascii="仿宋_GB2312" w:hAnsi="仿宋_GB2312" w:eastAsia="仿宋_GB2312" w:cs="仿宋_GB2312"/>
              </w:rPr>
              <w:t>合同价款</w:t>
            </w:r>
          </w:p>
        </w:tc>
        <w:tc>
          <w:tcPr>
            <w:tcW w:w="5814" w:type="dxa"/>
          </w:tcPr>
          <w:p w14:paraId="11CB6E6A">
            <w:pPr>
              <w:pStyle w:val="32"/>
              <w:jc w:val="both"/>
            </w:pPr>
            <w:r>
              <w:rPr>
                <w:rFonts w:ascii="仿宋_GB2312" w:hAnsi="仿宋_GB2312" w:eastAsia="仿宋_GB2312" w:cs="仿宋_GB2312"/>
                <w:sz w:val="30"/>
              </w:rPr>
              <w:t>合同价款：固定单价。当年预算最高限价为426.00万元，因现阶段无法确定项目具体工作量，合同价款结算时按合同单价*实际工作量据实结算。当按单价结算计算的累计合同价款超过预算最高限价的，按预算最高限价结算，合同自然终止。</w:t>
            </w:r>
          </w:p>
        </w:tc>
      </w:tr>
    </w:tbl>
    <w:p w14:paraId="1FEB83E4">
      <w:pPr>
        <w:pStyle w:val="32"/>
        <w:jc w:val="left"/>
        <w:outlineLvl w:val="3"/>
      </w:pPr>
      <w:r>
        <w:rPr>
          <w:rFonts w:ascii="仿宋_GB2312" w:hAnsi="仿宋_GB2312" w:eastAsia="仿宋_GB2312" w:cs="仿宋_GB2312"/>
          <w:b/>
          <w:sz w:val="24"/>
        </w:rPr>
        <w:t>3.3.2.商务要求</w:t>
      </w:r>
    </w:p>
    <w:p w14:paraId="2DCDE72F">
      <w:pPr>
        <w:pStyle w:val="32"/>
        <w:jc w:val="left"/>
      </w:pPr>
      <w:r>
        <w:rPr>
          <w:rFonts w:ascii="仿宋_GB2312" w:hAnsi="仿宋_GB2312" w:eastAsia="仿宋_GB2312" w:cs="仿宋_GB2312"/>
        </w:rPr>
        <w:t>采购包1：</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3B906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DE80BA">
            <w:pPr>
              <w:pStyle w:val="32"/>
              <w:jc w:val="center"/>
            </w:pPr>
            <w:r>
              <w:rPr>
                <w:rFonts w:ascii="仿宋_GB2312" w:hAnsi="仿宋_GB2312" w:eastAsia="仿宋_GB2312" w:cs="仿宋_GB2312"/>
              </w:rPr>
              <w:t>序号</w:t>
            </w:r>
          </w:p>
        </w:tc>
        <w:tc>
          <w:tcPr>
            <w:tcW w:w="581" w:type="dxa"/>
          </w:tcPr>
          <w:p w14:paraId="75924F49">
            <w:pPr>
              <w:pStyle w:val="32"/>
              <w:jc w:val="center"/>
            </w:pPr>
            <w:r>
              <w:rPr>
                <w:rFonts w:ascii="仿宋_GB2312" w:hAnsi="仿宋_GB2312" w:eastAsia="仿宋_GB2312" w:cs="仿宋_GB2312"/>
              </w:rPr>
              <w:t>符号标识</w:t>
            </w:r>
          </w:p>
        </w:tc>
        <w:tc>
          <w:tcPr>
            <w:tcW w:w="1495" w:type="dxa"/>
          </w:tcPr>
          <w:p w14:paraId="25113772">
            <w:pPr>
              <w:pStyle w:val="32"/>
              <w:jc w:val="center"/>
            </w:pPr>
            <w:r>
              <w:rPr>
                <w:rFonts w:ascii="仿宋_GB2312" w:hAnsi="仿宋_GB2312" w:eastAsia="仿宋_GB2312" w:cs="仿宋_GB2312"/>
              </w:rPr>
              <w:t>商务要求名称</w:t>
            </w:r>
          </w:p>
        </w:tc>
        <w:tc>
          <w:tcPr>
            <w:tcW w:w="5814" w:type="dxa"/>
          </w:tcPr>
          <w:p w14:paraId="4C09F04F">
            <w:pPr>
              <w:pStyle w:val="32"/>
              <w:jc w:val="center"/>
            </w:pPr>
            <w:r>
              <w:rPr>
                <w:rFonts w:ascii="仿宋_GB2312" w:hAnsi="仿宋_GB2312" w:eastAsia="仿宋_GB2312" w:cs="仿宋_GB2312"/>
              </w:rPr>
              <w:t>商务要求内容</w:t>
            </w:r>
          </w:p>
        </w:tc>
      </w:tr>
      <w:tr w14:paraId="51080E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4B480E">
            <w:pPr>
              <w:pStyle w:val="32"/>
              <w:jc w:val="center"/>
            </w:pPr>
            <w:r>
              <w:rPr>
                <w:rFonts w:ascii="仿宋_GB2312" w:hAnsi="仿宋_GB2312" w:eastAsia="仿宋_GB2312" w:cs="仿宋_GB2312"/>
              </w:rPr>
              <w:t>1</w:t>
            </w:r>
          </w:p>
        </w:tc>
        <w:tc>
          <w:tcPr>
            <w:tcW w:w="581" w:type="dxa"/>
          </w:tcPr>
          <w:p w14:paraId="055BDE59">
            <w:pPr>
              <w:pStyle w:val="32"/>
              <w:jc w:val="center"/>
            </w:pPr>
            <w:r>
              <w:rPr>
                <w:rFonts w:ascii="仿宋_GB2312" w:hAnsi="仿宋_GB2312" w:eastAsia="仿宋_GB2312" w:cs="仿宋_GB2312"/>
              </w:rPr>
              <w:t>★</w:t>
            </w:r>
          </w:p>
        </w:tc>
        <w:tc>
          <w:tcPr>
            <w:tcW w:w="1495" w:type="dxa"/>
          </w:tcPr>
          <w:p w14:paraId="48CFC481">
            <w:pPr>
              <w:pStyle w:val="32"/>
              <w:jc w:val="left"/>
            </w:pPr>
            <w:r>
              <w:rPr>
                <w:rFonts w:ascii="仿宋_GB2312" w:hAnsi="仿宋_GB2312" w:eastAsia="仿宋_GB2312" w:cs="仿宋_GB2312"/>
              </w:rPr>
              <w:t>服务期限</w:t>
            </w:r>
          </w:p>
        </w:tc>
        <w:tc>
          <w:tcPr>
            <w:tcW w:w="5814" w:type="dxa"/>
          </w:tcPr>
          <w:p w14:paraId="2529A178">
            <w:pPr>
              <w:pStyle w:val="32"/>
              <w:jc w:val="left"/>
            </w:pPr>
            <w:r>
              <w:rPr>
                <w:rFonts w:ascii="仿宋_GB2312" w:hAnsi="仿宋_GB2312" w:eastAsia="仿宋_GB2312" w:cs="仿宋_GB2312"/>
              </w:rPr>
              <w:t>一年，服务期起始时间从合同签订之日起算</w:t>
            </w:r>
          </w:p>
        </w:tc>
      </w:tr>
      <w:tr w14:paraId="452063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77275E">
            <w:pPr>
              <w:pStyle w:val="32"/>
              <w:jc w:val="center"/>
            </w:pPr>
            <w:r>
              <w:rPr>
                <w:rFonts w:ascii="仿宋_GB2312" w:hAnsi="仿宋_GB2312" w:eastAsia="仿宋_GB2312" w:cs="仿宋_GB2312"/>
              </w:rPr>
              <w:t>2</w:t>
            </w:r>
          </w:p>
        </w:tc>
        <w:tc>
          <w:tcPr>
            <w:tcW w:w="581" w:type="dxa"/>
          </w:tcPr>
          <w:p w14:paraId="02EBFAB1">
            <w:pPr>
              <w:pStyle w:val="32"/>
              <w:jc w:val="center"/>
            </w:pPr>
            <w:r>
              <w:rPr>
                <w:rFonts w:ascii="仿宋_GB2312" w:hAnsi="仿宋_GB2312" w:eastAsia="仿宋_GB2312" w:cs="仿宋_GB2312"/>
              </w:rPr>
              <w:t>★</w:t>
            </w:r>
          </w:p>
        </w:tc>
        <w:tc>
          <w:tcPr>
            <w:tcW w:w="1495" w:type="dxa"/>
          </w:tcPr>
          <w:p w14:paraId="759C823E">
            <w:pPr>
              <w:pStyle w:val="32"/>
              <w:jc w:val="left"/>
            </w:pPr>
            <w:r>
              <w:rPr>
                <w:rFonts w:ascii="仿宋_GB2312" w:hAnsi="仿宋_GB2312" w:eastAsia="仿宋_GB2312" w:cs="仿宋_GB2312"/>
              </w:rPr>
              <w:t>服务地点</w:t>
            </w:r>
          </w:p>
        </w:tc>
        <w:tc>
          <w:tcPr>
            <w:tcW w:w="5814" w:type="dxa"/>
          </w:tcPr>
          <w:p w14:paraId="0AE4BE82">
            <w:pPr>
              <w:pStyle w:val="32"/>
              <w:jc w:val="left"/>
            </w:pPr>
            <w:r>
              <w:rPr>
                <w:rFonts w:ascii="仿宋_GB2312" w:hAnsi="仿宋_GB2312" w:eastAsia="仿宋_GB2312" w:cs="仿宋_GB2312"/>
              </w:rPr>
              <w:t>采购人指定地点</w:t>
            </w:r>
          </w:p>
        </w:tc>
      </w:tr>
      <w:tr w14:paraId="56681E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2D5A6B">
            <w:pPr>
              <w:pStyle w:val="32"/>
              <w:jc w:val="center"/>
            </w:pPr>
            <w:r>
              <w:rPr>
                <w:rFonts w:ascii="仿宋_GB2312" w:hAnsi="仿宋_GB2312" w:eastAsia="仿宋_GB2312" w:cs="仿宋_GB2312"/>
              </w:rPr>
              <w:t>3</w:t>
            </w:r>
          </w:p>
        </w:tc>
        <w:tc>
          <w:tcPr>
            <w:tcW w:w="581" w:type="dxa"/>
          </w:tcPr>
          <w:p w14:paraId="2E557E9C">
            <w:pPr>
              <w:pStyle w:val="32"/>
              <w:jc w:val="center"/>
            </w:pPr>
            <w:r>
              <w:rPr>
                <w:rFonts w:ascii="仿宋_GB2312" w:hAnsi="仿宋_GB2312" w:eastAsia="仿宋_GB2312" w:cs="仿宋_GB2312"/>
              </w:rPr>
              <w:t>★</w:t>
            </w:r>
          </w:p>
        </w:tc>
        <w:tc>
          <w:tcPr>
            <w:tcW w:w="1495" w:type="dxa"/>
          </w:tcPr>
          <w:p w14:paraId="38C4FB42">
            <w:pPr>
              <w:pStyle w:val="32"/>
              <w:jc w:val="left"/>
            </w:pPr>
            <w:r>
              <w:rPr>
                <w:rFonts w:ascii="仿宋_GB2312" w:hAnsi="仿宋_GB2312" w:eastAsia="仿宋_GB2312" w:cs="仿宋_GB2312"/>
              </w:rPr>
              <w:t>验收、交付标准和方法</w:t>
            </w:r>
          </w:p>
        </w:tc>
        <w:tc>
          <w:tcPr>
            <w:tcW w:w="5814" w:type="dxa"/>
          </w:tcPr>
          <w:p w14:paraId="38D18939">
            <w:pPr>
              <w:pStyle w:val="32"/>
              <w:jc w:val="left"/>
            </w:pPr>
            <w:r>
              <w:rPr>
                <w:rFonts w:ascii="仿宋_GB2312" w:hAnsi="仿宋_GB2312" w:eastAsia="仿宋_GB2312" w:cs="仿宋_GB2312"/>
              </w:rPr>
              <w:t>①验收标准：按国家有关规定以及招标文件的质量要求和技术指标、投标人的投标文件及承诺与合同约定标准进行验收；采购人与投标人双方如对质量要求和技术指标的约定标准有相互抵触或异议的事项，由采购人在招标文件及投标文件中按质量要求和技术指标比较优胜的原则确定该项的约定标准进行验收；其他未尽事宜应严格按照《财政部关于进一步加强政府采购需求和履约验收管理的指导意见》(财库〔2016〕205号)、《政府采购需求管理办法》（财库[2021]22号）的要求进行验收。 ②验收方法：参与验收主体：采购人、投标人。验收可分批次验收，原则上每3个月组织一次分批验收，投标人完成检测任务并提交检测报告后可申请分批次验收，验收合格，双方签署履约验收报告，验收结果不符合合同约定的，采购人应当通知中标人限期达到合同约定的要求。给采购人造成损失的，中标人应当承担赔偿责任。</w:t>
            </w:r>
          </w:p>
        </w:tc>
      </w:tr>
      <w:tr w14:paraId="74FF78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EE4621">
            <w:pPr>
              <w:pStyle w:val="32"/>
              <w:jc w:val="center"/>
            </w:pPr>
            <w:r>
              <w:rPr>
                <w:rFonts w:ascii="仿宋_GB2312" w:hAnsi="仿宋_GB2312" w:eastAsia="仿宋_GB2312" w:cs="仿宋_GB2312"/>
              </w:rPr>
              <w:t>4</w:t>
            </w:r>
          </w:p>
        </w:tc>
        <w:tc>
          <w:tcPr>
            <w:tcW w:w="581" w:type="dxa"/>
          </w:tcPr>
          <w:p w14:paraId="12E4C5F1">
            <w:pPr>
              <w:pStyle w:val="32"/>
              <w:jc w:val="center"/>
            </w:pPr>
            <w:r>
              <w:rPr>
                <w:rFonts w:ascii="仿宋_GB2312" w:hAnsi="仿宋_GB2312" w:eastAsia="仿宋_GB2312" w:cs="仿宋_GB2312"/>
              </w:rPr>
              <w:t>★</w:t>
            </w:r>
          </w:p>
        </w:tc>
        <w:tc>
          <w:tcPr>
            <w:tcW w:w="1495" w:type="dxa"/>
          </w:tcPr>
          <w:p w14:paraId="4FEE3D79">
            <w:pPr>
              <w:pStyle w:val="32"/>
              <w:jc w:val="left"/>
            </w:pPr>
            <w:r>
              <w:rPr>
                <w:rFonts w:ascii="仿宋_GB2312" w:hAnsi="仿宋_GB2312" w:eastAsia="仿宋_GB2312" w:cs="仿宋_GB2312"/>
              </w:rPr>
              <w:t>支付方式</w:t>
            </w:r>
          </w:p>
        </w:tc>
        <w:tc>
          <w:tcPr>
            <w:tcW w:w="5814" w:type="dxa"/>
          </w:tcPr>
          <w:p w14:paraId="70FFB6A2">
            <w:pPr>
              <w:pStyle w:val="32"/>
              <w:jc w:val="left"/>
            </w:pPr>
            <w:r>
              <w:rPr>
                <w:rFonts w:ascii="仿宋_GB2312" w:hAnsi="仿宋_GB2312" w:eastAsia="仿宋_GB2312" w:cs="仿宋_GB2312"/>
              </w:rPr>
              <w:t>分期付款</w:t>
            </w:r>
          </w:p>
        </w:tc>
      </w:tr>
      <w:tr w14:paraId="4ED8B3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C94E1C">
            <w:pPr>
              <w:pStyle w:val="32"/>
              <w:jc w:val="center"/>
            </w:pPr>
            <w:r>
              <w:rPr>
                <w:rFonts w:ascii="仿宋_GB2312" w:hAnsi="仿宋_GB2312" w:eastAsia="仿宋_GB2312" w:cs="仿宋_GB2312"/>
              </w:rPr>
              <w:t>5</w:t>
            </w:r>
          </w:p>
        </w:tc>
        <w:tc>
          <w:tcPr>
            <w:tcW w:w="581" w:type="dxa"/>
          </w:tcPr>
          <w:p w14:paraId="2DF76C39">
            <w:pPr>
              <w:pStyle w:val="32"/>
              <w:jc w:val="center"/>
            </w:pPr>
            <w:r>
              <w:rPr>
                <w:rFonts w:ascii="仿宋_GB2312" w:hAnsi="仿宋_GB2312" w:eastAsia="仿宋_GB2312" w:cs="仿宋_GB2312"/>
              </w:rPr>
              <w:t>★</w:t>
            </w:r>
          </w:p>
        </w:tc>
        <w:tc>
          <w:tcPr>
            <w:tcW w:w="1495" w:type="dxa"/>
          </w:tcPr>
          <w:p w14:paraId="2DEFE906">
            <w:pPr>
              <w:pStyle w:val="32"/>
              <w:jc w:val="left"/>
            </w:pPr>
            <w:r>
              <w:rPr>
                <w:rFonts w:ascii="仿宋_GB2312" w:hAnsi="仿宋_GB2312" w:eastAsia="仿宋_GB2312" w:cs="仿宋_GB2312"/>
              </w:rPr>
              <w:t>付款进度安排</w:t>
            </w:r>
          </w:p>
        </w:tc>
        <w:tc>
          <w:tcPr>
            <w:tcW w:w="5814" w:type="dxa"/>
          </w:tcPr>
          <w:p w14:paraId="333CC78D">
            <w:pPr>
              <w:pStyle w:val="32"/>
              <w:jc w:val="left"/>
            </w:pPr>
            <w:r>
              <w:rPr>
                <w:rFonts w:ascii="仿宋_GB2312" w:hAnsi="仿宋_GB2312" w:eastAsia="仿宋_GB2312" w:cs="仿宋_GB2312"/>
              </w:rPr>
              <w:t>1、预付款，签订合同后供应商达到进场条件，凭正规发票申请付款，达到付款条件起10日内，据实结算说明为支付预算金额的40.00%</w:t>
            </w:r>
          </w:p>
          <w:p w14:paraId="6D7C68A4">
            <w:pPr>
              <w:pStyle w:val="32"/>
              <w:jc w:val="left"/>
            </w:pPr>
            <w:r>
              <w:rPr>
                <w:rFonts w:ascii="仿宋_GB2312" w:hAnsi="仿宋_GB2312" w:eastAsia="仿宋_GB2312" w:cs="仿宋_GB2312"/>
              </w:rPr>
              <w:t>2、进度款，按季度付款，供应商验收合格后凭符合要求的验收报告、正规发票申请付款，达到付款条件起10日内，据实结算说明为服务周期内每三个月进行一次阶段性验收，按验收合格的实际完成工作量据实结算费用，招标人根据阶段性验收合格结果向中标人支付对应款项，且招标人累计支付的款项总金额不得超过合同约定的合同总金额（进度款支付前应先扣回预付款，预付款分3次等额扣回，若当前季度据实结算的合同完成额不足以扣回应扣预付款的，不足部分在下季度扣回）</w:t>
            </w:r>
          </w:p>
        </w:tc>
      </w:tr>
      <w:tr w14:paraId="348A10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22C6C5">
            <w:pPr>
              <w:pStyle w:val="32"/>
              <w:jc w:val="center"/>
            </w:pPr>
            <w:r>
              <w:rPr>
                <w:rFonts w:ascii="仿宋_GB2312" w:hAnsi="仿宋_GB2312" w:eastAsia="仿宋_GB2312" w:cs="仿宋_GB2312"/>
              </w:rPr>
              <w:t>6</w:t>
            </w:r>
          </w:p>
        </w:tc>
        <w:tc>
          <w:tcPr>
            <w:tcW w:w="581" w:type="dxa"/>
          </w:tcPr>
          <w:p w14:paraId="7FD4F13F">
            <w:pPr>
              <w:pStyle w:val="32"/>
              <w:jc w:val="center"/>
            </w:pPr>
            <w:r>
              <w:rPr>
                <w:rFonts w:ascii="仿宋_GB2312" w:hAnsi="仿宋_GB2312" w:eastAsia="仿宋_GB2312" w:cs="仿宋_GB2312"/>
              </w:rPr>
              <w:t>★</w:t>
            </w:r>
          </w:p>
        </w:tc>
        <w:tc>
          <w:tcPr>
            <w:tcW w:w="1495" w:type="dxa"/>
          </w:tcPr>
          <w:p w14:paraId="356A7A4C">
            <w:pPr>
              <w:pStyle w:val="32"/>
              <w:jc w:val="left"/>
            </w:pPr>
            <w:r>
              <w:rPr>
                <w:rFonts w:ascii="仿宋_GB2312" w:hAnsi="仿宋_GB2312" w:eastAsia="仿宋_GB2312" w:cs="仿宋_GB2312"/>
              </w:rPr>
              <w:t>违约责任与解决争议的方法</w:t>
            </w:r>
          </w:p>
        </w:tc>
        <w:tc>
          <w:tcPr>
            <w:tcW w:w="5814" w:type="dxa"/>
          </w:tcPr>
          <w:p w14:paraId="4D670B74">
            <w:pPr>
              <w:pStyle w:val="32"/>
              <w:jc w:val="left"/>
            </w:pPr>
            <w:r>
              <w:rPr>
                <w:rFonts w:ascii="仿宋_GB2312" w:hAnsi="仿宋_GB2312" w:eastAsia="仿宋_GB2312" w:cs="仿宋_GB2312"/>
              </w:rPr>
              <w:t>1、违约责任： （1）采购人、中标人双方必须遵守采购合同并执行合同中的各项规定，保证合同的正常履行。 （2）因中标人原因发生质量事故的，采购人有权解除合同，并有权要求中标人支付预算金额20%的违约金，违约金不足以弥补采购人损失的，还应赔偿全部损失。 （3）因中标人原因造成的安全责任事故，中标人除承担全部损失外和接受政府主管部门的处罚外，采购人有权解除合同，并有权要求中标人支付预算金额20%的违约金，违约金不足以弥补采购人损失的，还应赔偿全部损失。 （4）服务期内，中标人在接到采购人任务通知后拒绝接受检测任务或未按投标文件响应到场，采购人为保障特种设备安全运行和检验工作的顺利进行，有权将检测任务委托合同外的第三人。中标人须承担违约责任：中标人除支付完成该项工作产生的费用外，还需向采购人支付完成该项工作所产生费用的三倍违约金，且采购人有权解除合同。（5）如中标人存在其他违约行为，采购人有权责令中标人限期予以整改，中标人未在限期内整改或整改后仍不符合规定的，采购人有权解除合同，并有权要求投标人支付预算金额的20%的违约金，中标人支付的违约金不足以弥补采购人的损失的，应当予以补足。 （6）如因中标人工作人员在履行职务过程中的疏忽、失职、过错等故意或者过失原因给采购人造成损失或侵害，包括但不限于采购人本身的财产损失、由此而导致的采购人对任何第三方的法律责任等，中标人对此均应承担全部的赔偿责任。 （7）采购人逾期支付采购资金的，应就逾期付款部分以全国银行间同业拆借中心公布的贷款市场报价利率为标准向中标人支付违约金。 （8）上述损失包括但不限于律师费、诉讼费、公证费、鉴定费、保全费、保全保险费等。 2、解决争议的方法： （1）合同履行期间，若合同双方发生争议，合同双方协商或调解解决。 （2）合同双方协商或调解不成的，向采购人所在地人民法院起诉。</w:t>
            </w:r>
          </w:p>
        </w:tc>
      </w:tr>
    </w:tbl>
    <w:p w14:paraId="6D3D7BC3">
      <w:pPr>
        <w:pStyle w:val="32"/>
        <w:jc w:val="left"/>
        <w:outlineLvl w:val="2"/>
      </w:pPr>
      <w:r>
        <w:rPr>
          <w:rFonts w:ascii="仿宋_GB2312" w:hAnsi="仿宋_GB2312" w:eastAsia="仿宋_GB2312" w:cs="仿宋_GB2312"/>
          <w:b/>
          <w:sz w:val="28"/>
        </w:rPr>
        <w:t>3.4.其他要求</w:t>
      </w:r>
    </w:p>
    <w:p w14:paraId="38FFC77C">
      <w:pPr>
        <w:pStyle w:val="32"/>
        <w:ind w:firstLine="480"/>
        <w:jc w:val="left"/>
      </w:pPr>
      <w:r>
        <w:rPr>
          <w:rFonts w:ascii="仿宋_GB2312" w:hAnsi="仿宋_GB2312" w:eastAsia="仿宋_GB2312" w:cs="仿宋_GB2312"/>
        </w:rPr>
        <w:t>采购包1：</w:t>
      </w:r>
    </w:p>
    <w:p w14:paraId="1D54D572">
      <w:pPr>
        <w:pStyle w:val="32"/>
        <w:jc w:val="left"/>
      </w:pPr>
      <w:r>
        <w:rPr>
          <w:rFonts w:ascii="仿宋_GB2312" w:hAnsi="仿宋_GB2312" w:eastAsia="仿宋_GB2312" w:cs="仿宋_GB2312"/>
        </w:rPr>
        <w:t>1、投标人应具有特种设备检验相关无损检测业绩履约经验业绩。2、供应商派本项目的项目经理、技术负责人、无损检测责任师、质量负责人、安全负责人具有常规检测相应的《中华人民共和国特种设备检验检测人员证》Ⅲ级证书，以对操作人员进行技能培训和工作指导。 3、投标人应针对本项目提供的服务实施方案，内容包含：①总体实施计划；②检测技术方案；③组织保障方案；④应急服务方案；⑤售后服务方案。 （注：其他要求未标注★条款为非实质性要求，评标委员会不得以方案瑕疵或未提供履约业绩或未提供人员证书作为无效投标的依据。 具体要求以评标细则及标准为准）。 （特别说明：招标文件第二章2.6.6.履约验收方案“履约验收时间”中“达到验收条件起10日内，验收合同总金额的100%”为系统固化格式，内容更正为“达到验收条件起10日内，验收该批次完成合同金额的100%”）</w:t>
      </w:r>
    </w:p>
    <w:p w14:paraId="292AF7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03599A"/>
    <w:rsid w:val="02096037"/>
    <w:rsid w:val="028265A2"/>
    <w:rsid w:val="03124293"/>
    <w:rsid w:val="03C36088"/>
    <w:rsid w:val="045A6F4A"/>
    <w:rsid w:val="07B25830"/>
    <w:rsid w:val="090339B5"/>
    <w:rsid w:val="0AB321E7"/>
    <w:rsid w:val="0C8D626F"/>
    <w:rsid w:val="0D403DEC"/>
    <w:rsid w:val="0E986DE4"/>
    <w:rsid w:val="125A47C5"/>
    <w:rsid w:val="12E83169"/>
    <w:rsid w:val="13557B56"/>
    <w:rsid w:val="13EC6430"/>
    <w:rsid w:val="144563EA"/>
    <w:rsid w:val="15263BEF"/>
    <w:rsid w:val="15DC6CEA"/>
    <w:rsid w:val="16052380"/>
    <w:rsid w:val="160A55D3"/>
    <w:rsid w:val="16355A4A"/>
    <w:rsid w:val="166E657F"/>
    <w:rsid w:val="189021EB"/>
    <w:rsid w:val="19161EA9"/>
    <w:rsid w:val="1B7E126F"/>
    <w:rsid w:val="1BAA6D08"/>
    <w:rsid w:val="1D54432D"/>
    <w:rsid w:val="1D57450C"/>
    <w:rsid w:val="1E5C42AC"/>
    <w:rsid w:val="1F1E2A98"/>
    <w:rsid w:val="1FA3607E"/>
    <w:rsid w:val="209A1B8C"/>
    <w:rsid w:val="29BF5492"/>
    <w:rsid w:val="2A9C05D6"/>
    <w:rsid w:val="2BC94B93"/>
    <w:rsid w:val="2E572800"/>
    <w:rsid w:val="2E6609A2"/>
    <w:rsid w:val="2F0E47FE"/>
    <w:rsid w:val="2F430C27"/>
    <w:rsid w:val="2F644435"/>
    <w:rsid w:val="30E61DC6"/>
    <w:rsid w:val="315D2D09"/>
    <w:rsid w:val="335B0968"/>
    <w:rsid w:val="339A00B5"/>
    <w:rsid w:val="33B05059"/>
    <w:rsid w:val="343045CF"/>
    <w:rsid w:val="35F741A3"/>
    <w:rsid w:val="3612331F"/>
    <w:rsid w:val="36CA53FD"/>
    <w:rsid w:val="37C33988"/>
    <w:rsid w:val="38427FA5"/>
    <w:rsid w:val="38A722E3"/>
    <w:rsid w:val="39031438"/>
    <w:rsid w:val="3A385F6B"/>
    <w:rsid w:val="3A431771"/>
    <w:rsid w:val="3B894078"/>
    <w:rsid w:val="3C6349D6"/>
    <w:rsid w:val="3E343051"/>
    <w:rsid w:val="3F395AC9"/>
    <w:rsid w:val="3FAA5F42"/>
    <w:rsid w:val="3FAF7FBA"/>
    <w:rsid w:val="40294D34"/>
    <w:rsid w:val="41C31810"/>
    <w:rsid w:val="41EE7144"/>
    <w:rsid w:val="42884F34"/>
    <w:rsid w:val="42DF4057"/>
    <w:rsid w:val="431C1B20"/>
    <w:rsid w:val="441457E6"/>
    <w:rsid w:val="454959B9"/>
    <w:rsid w:val="47097F65"/>
    <w:rsid w:val="47DF0C63"/>
    <w:rsid w:val="48254829"/>
    <w:rsid w:val="485E1A1D"/>
    <w:rsid w:val="4CAC317E"/>
    <w:rsid w:val="4D640287"/>
    <w:rsid w:val="4DF57A33"/>
    <w:rsid w:val="504D1329"/>
    <w:rsid w:val="507552DF"/>
    <w:rsid w:val="508825A3"/>
    <w:rsid w:val="50B13272"/>
    <w:rsid w:val="50D46B08"/>
    <w:rsid w:val="50D50245"/>
    <w:rsid w:val="50F934A0"/>
    <w:rsid w:val="51D46929"/>
    <w:rsid w:val="53867518"/>
    <w:rsid w:val="538B01CB"/>
    <w:rsid w:val="53E94A32"/>
    <w:rsid w:val="5690421D"/>
    <w:rsid w:val="57BC7FB9"/>
    <w:rsid w:val="584212AB"/>
    <w:rsid w:val="59AF2CEA"/>
    <w:rsid w:val="59D82496"/>
    <w:rsid w:val="5A3F0176"/>
    <w:rsid w:val="5AB753CB"/>
    <w:rsid w:val="5BA704DA"/>
    <w:rsid w:val="5BAD55B3"/>
    <w:rsid w:val="5E7505D5"/>
    <w:rsid w:val="60400FED"/>
    <w:rsid w:val="60F76229"/>
    <w:rsid w:val="619D3036"/>
    <w:rsid w:val="62662018"/>
    <w:rsid w:val="62C258A1"/>
    <w:rsid w:val="638B61DA"/>
    <w:rsid w:val="6441108B"/>
    <w:rsid w:val="647933E3"/>
    <w:rsid w:val="64C03C61"/>
    <w:rsid w:val="6603599A"/>
    <w:rsid w:val="663D78AA"/>
    <w:rsid w:val="66B97195"/>
    <w:rsid w:val="66DC6D4D"/>
    <w:rsid w:val="67261A9C"/>
    <w:rsid w:val="67361B27"/>
    <w:rsid w:val="682C4BD6"/>
    <w:rsid w:val="690E622C"/>
    <w:rsid w:val="6AA91F35"/>
    <w:rsid w:val="6B6F35AB"/>
    <w:rsid w:val="6C375918"/>
    <w:rsid w:val="6DA531CF"/>
    <w:rsid w:val="6E352883"/>
    <w:rsid w:val="6E6358E6"/>
    <w:rsid w:val="719E77BA"/>
    <w:rsid w:val="71C20005"/>
    <w:rsid w:val="71CA4ACD"/>
    <w:rsid w:val="723B77F7"/>
    <w:rsid w:val="73D7089D"/>
    <w:rsid w:val="76034927"/>
    <w:rsid w:val="772C11B4"/>
    <w:rsid w:val="77B53324"/>
    <w:rsid w:val="7837061B"/>
    <w:rsid w:val="7B5E28B1"/>
    <w:rsid w:val="7C661A55"/>
    <w:rsid w:val="7D32101D"/>
    <w:rsid w:val="7D971B89"/>
    <w:rsid w:val="7DC50AEC"/>
    <w:rsid w:val="7E1F3128"/>
    <w:rsid w:val="7ECD5A97"/>
    <w:rsid w:val="7F167190"/>
    <w:rsid w:val="7F6F36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2"/>
    <w:qFormat/>
    <w:uiPriority w:val="0"/>
    <w:pPr>
      <w:keepNext/>
      <w:keepLines/>
      <w:spacing w:beforeLines="0" w:beforeAutospacing="0" w:afterLines="0" w:afterAutospacing="0" w:line="360" w:lineRule="auto"/>
      <w:ind w:firstLine="0" w:firstLineChars="0"/>
      <w:jc w:val="center"/>
      <w:outlineLvl w:val="0"/>
    </w:pPr>
    <w:rPr>
      <w:rFonts w:ascii="宋体" w:hAnsi="宋体" w:eastAsia="黑体"/>
      <w:b/>
      <w:kern w:val="44"/>
      <w:sz w:val="36"/>
    </w:rPr>
  </w:style>
  <w:style w:type="paragraph" w:styleId="3">
    <w:name w:val="heading 2"/>
    <w:basedOn w:val="1"/>
    <w:next w:val="1"/>
    <w:link w:val="24"/>
    <w:autoRedefine/>
    <w:semiHidden/>
    <w:unhideWhenUsed/>
    <w:qFormat/>
    <w:uiPriority w:val="0"/>
    <w:pPr>
      <w:keepNext/>
      <w:keepLines/>
      <w:spacing w:beforeLines="0" w:beforeAutospacing="0" w:afterLines="0" w:afterAutospacing="0" w:line="360" w:lineRule="auto"/>
      <w:ind w:firstLine="0" w:firstLineChars="0"/>
      <w:jc w:val="center"/>
      <w:outlineLvl w:val="1"/>
    </w:pPr>
    <w:rPr>
      <w:rFonts w:ascii="Arial" w:hAnsi="Arial" w:eastAsia="黑体" w:cstheme="minorBidi"/>
      <w:sz w:val="32"/>
    </w:rPr>
  </w:style>
  <w:style w:type="paragraph" w:styleId="4">
    <w:name w:val="heading 3"/>
    <w:basedOn w:val="1"/>
    <w:next w:val="1"/>
    <w:link w:val="28"/>
    <w:autoRedefine/>
    <w:semiHidden/>
    <w:unhideWhenUsed/>
    <w:qFormat/>
    <w:uiPriority w:val="0"/>
    <w:pPr>
      <w:spacing w:beforeAutospacing="0" w:after="0" w:afterAutospacing="0"/>
      <w:ind w:firstLine="0" w:firstLineChars="0"/>
      <w:jc w:val="center"/>
      <w:outlineLvl w:val="2"/>
    </w:pPr>
    <w:rPr>
      <w:rFonts w:hint="eastAsia" w:ascii="宋体" w:hAnsi="宋体" w:eastAsia="宋体" w:cs="宋体"/>
      <w:b/>
      <w:bCs/>
      <w:sz w:val="28"/>
      <w:szCs w:val="27"/>
      <w:lang w:bidi="ar"/>
    </w:rPr>
  </w:style>
  <w:style w:type="paragraph" w:styleId="5">
    <w:name w:val="heading 4"/>
    <w:basedOn w:val="1"/>
    <w:next w:val="1"/>
    <w:link w:val="27"/>
    <w:autoRedefine/>
    <w:semiHidden/>
    <w:unhideWhenUsed/>
    <w:qFormat/>
    <w:uiPriority w:val="0"/>
    <w:pPr>
      <w:keepNext/>
      <w:keepLines/>
      <w:spacing w:beforeLines="0" w:beforeAutospacing="0" w:afterLines="0" w:afterAutospacing="0" w:line="360" w:lineRule="auto"/>
      <w:ind w:firstLine="0" w:firstLineChars="0"/>
      <w:jc w:val="center"/>
      <w:outlineLvl w:val="3"/>
    </w:pPr>
    <w:rPr>
      <w:rFonts w:ascii="宋体" w:hAnsi="宋体" w:eastAsia="宋体"/>
      <w:b/>
      <w:sz w:val="28"/>
    </w:rPr>
  </w:style>
  <w:style w:type="paragraph" w:styleId="6">
    <w:name w:val="heading 5"/>
    <w:basedOn w:val="1"/>
    <w:next w:val="1"/>
    <w:link w:val="31"/>
    <w:semiHidden/>
    <w:unhideWhenUsed/>
    <w:qFormat/>
    <w:uiPriority w:val="0"/>
    <w:pPr>
      <w:keepNext/>
      <w:keepLines/>
      <w:spacing w:beforeLines="0" w:beforeAutospacing="0" w:afterLines="0" w:afterAutospacing="0" w:line="372" w:lineRule="auto"/>
      <w:outlineLvl w:val="4"/>
    </w:pPr>
    <w:rPr>
      <w:rFonts w:eastAsia="宋体" w:asciiTheme="minorAscii" w:hAnsiTheme="minorAscii" w:cstheme="minorBidi"/>
      <w:b/>
      <w:sz w:val="28"/>
    </w:rPr>
  </w:style>
  <w:style w:type="character" w:default="1" w:styleId="15">
    <w:name w:val="Default Paragraph Font"/>
    <w:autoRedefine/>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7">
    <w:name w:val="Normal Indent"/>
    <w:basedOn w:val="1"/>
    <w:qFormat/>
    <w:uiPriority w:val="0"/>
    <w:pPr>
      <w:ind w:firstLine="420" w:firstLineChars="200"/>
    </w:pPr>
  </w:style>
  <w:style w:type="paragraph" w:styleId="8">
    <w:name w:val="Body Text"/>
    <w:basedOn w:val="1"/>
    <w:autoRedefine/>
    <w:qFormat/>
    <w:uiPriority w:val="0"/>
    <w:pPr>
      <w:spacing w:after="120" w:afterLines="0" w:afterAutospacing="0"/>
    </w:pPr>
  </w:style>
  <w:style w:type="paragraph" w:styleId="9">
    <w:name w:val="toc 3"/>
    <w:basedOn w:val="1"/>
    <w:next w:val="1"/>
    <w:qFormat/>
    <w:uiPriority w:val="0"/>
    <w:pPr>
      <w:spacing w:before="120" w:after="120" w:line="360" w:lineRule="auto"/>
      <w:ind w:left="840" w:leftChars="400"/>
      <w:jc w:val="left"/>
    </w:pPr>
    <w:rPr>
      <w:rFonts w:ascii="Times New Roman" w:hAnsi="Times New Roman" w:eastAsia="宋体" w:cs="Times New Roman"/>
      <w:kern w:val="2"/>
      <w:szCs w:val="22"/>
      <w:lang w:eastAsia="zh-CN"/>
    </w:rPr>
  </w:style>
  <w:style w:type="paragraph" w:styleId="10">
    <w:name w:val="footer"/>
    <w:basedOn w:val="1"/>
    <w:qFormat/>
    <w:uiPriority w:val="0"/>
    <w:pPr>
      <w:tabs>
        <w:tab w:val="center" w:pos="4153"/>
        <w:tab w:val="right" w:pos="8306"/>
      </w:tabs>
      <w:snapToGrid w:val="0"/>
      <w:jc w:val="left"/>
    </w:pPr>
    <w:rPr>
      <w:sz w:val="18"/>
    </w:rPr>
  </w:style>
  <w:style w:type="paragraph" w:styleId="11">
    <w:name w:val="toc 1"/>
    <w:basedOn w:val="1"/>
    <w:next w:val="1"/>
    <w:qFormat/>
    <w:uiPriority w:val="0"/>
    <w:pPr>
      <w:spacing w:before="120" w:after="120" w:line="360" w:lineRule="auto"/>
    </w:pPr>
    <w:rPr>
      <w:rFonts w:ascii="Times New Roman" w:hAnsi="Times New Roman" w:eastAsia="宋体" w:cs="Times New Roman"/>
      <w:sz w:val="24"/>
      <w:szCs w:val="22"/>
      <w:lang w:eastAsia="zh-CN"/>
    </w:rPr>
  </w:style>
  <w:style w:type="paragraph" w:styleId="12">
    <w:name w:val="toc 2"/>
    <w:basedOn w:val="1"/>
    <w:next w:val="1"/>
    <w:qFormat/>
    <w:uiPriority w:val="0"/>
    <w:pPr>
      <w:spacing w:before="120" w:after="120" w:line="360" w:lineRule="auto"/>
      <w:ind w:left="420" w:leftChars="200"/>
    </w:pPr>
    <w:rPr>
      <w:rFonts w:ascii="宋体" w:hAnsi="宋体" w:eastAsia="宋体" w:cs="Times New Roman"/>
      <w:sz w:val="24"/>
      <w:szCs w:val="22"/>
      <w:lang w:eastAsia="zh-CN"/>
    </w:rPr>
  </w:style>
  <w:style w:type="paragraph" w:styleId="13">
    <w:name w:val="Body Text First Indent"/>
    <w:basedOn w:val="8"/>
    <w:qFormat/>
    <w:uiPriority w:val="0"/>
    <w:pPr>
      <w:ind w:firstLine="420" w:firstLineChars="100"/>
    </w:pPr>
  </w:style>
  <w:style w:type="paragraph" w:customStyle="1" w:styleId="16">
    <w:name w:val="222222"/>
    <w:basedOn w:val="3"/>
    <w:autoRedefine/>
    <w:qFormat/>
    <w:uiPriority w:val="0"/>
    <w:pPr>
      <w:widowControl/>
      <w:kinsoku w:val="0"/>
      <w:autoSpaceDE w:val="0"/>
      <w:autoSpaceDN w:val="0"/>
      <w:spacing w:before="120" w:line="380" w:lineRule="exact"/>
      <w:ind w:right="396"/>
      <w:jc w:val="center"/>
      <w:textAlignment w:val="baseline"/>
      <w:outlineLvl w:val="2"/>
    </w:pPr>
    <w:rPr>
      <w:rFonts w:hint="eastAsia" w:ascii="宋体" w:hAnsi="宋体" w:eastAsia="宋体" w:cs="宋体"/>
      <w:bCs/>
      <w:color w:val="auto"/>
      <w:kern w:val="2"/>
      <w:sz w:val="24"/>
      <w:szCs w:val="24"/>
    </w:rPr>
  </w:style>
  <w:style w:type="character" w:customStyle="1" w:styleId="17">
    <w:name w:val="222222 Char"/>
    <w:link w:val="18"/>
    <w:autoRedefine/>
    <w:qFormat/>
    <w:uiPriority w:val="0"/>
    <w:rPr>
      <w:rFonts w:hint="eastAsia" w:ascii="宋体" w:hAnsi="宋体" w:eastAsia="宋体" w:cs="宋体"/>
      <w:bCs/>
      <w:color w:val="auto"/>
      <w:kern w:val="2"/>
      <w:sz w:val="21"/>
      <w:szCs w:val="24"/>
    </w:rPr>
  </w:style>
  <w:style w:type="paragraph" w:customStyle="1" w:styleId="18">
    <w:name w:val="注解字体"/>
    <w:link w:val="17"/>
    <w:autoRedefine/>
    <w:qFormat/>
    <w:uiPriority w:val="0"/>
    <w:pPr>
      <w:widowControl/>
      <w:kinsoku/>
      <w:wordWrap w:val="0"/>
      <w:topLinePunct/>
      <w:autoSpaceDE/>
      <w:autoSpaceDN/>
      <w:spacing w:before="120" w:line="360" w:lineRule="auto"/>
      <w:ind w:right="0" w:firstLine="883" w:firstLineChars="200"/>
      <w:jc w:val="both"/>
      <w:textAlignment w:val="baseline"/>
      <w:outlineLvl w:val="9"/>
    </w:pPr>
    <w:rPr>
      <w:rFonts w:hint="eastAsia" w:ascii="宋体" w:hAnsi="宋体" w:eastAsia="宋体" w:cs="宋体"/>
      <w:bCs/>
      <w:color w:val="auto"/>
      <w:sz w:val="21"/>
    </w:rPr>
  </w:style>
  <w:style w:type="paragraph" w:customStyle="1" w:styleId="19">
    <w:name w:val="表格字体"/>
    <w:autoRedefine/>
    <w:qFormat/>
    <w:uiPriority w:val="0"/>
    <w:pPr>
      <w:wordWrap w:val="0"/>
      <w:topLinePunct/>
      <w:spacing w:line="400" w:lineRule="exact"/>
      <w:jc w:val="center"/>
    </w:pPr>
    <w:rPr>
      <w:rFonts w:hint="eastAsia" w:ascii="宋体" w:hAnsi="宋体" w:eastAsia="宋体" w:cs="宋体"/>
      <w:bCs/>
      <w:sz w:val="21"/>
      <w:szCs w:val="44"/>
      <w:u w:val="none"/>
    </w:rPr>
  </w:style>
  <w:style w:type="paragraph" w:customStyle="1" w:styleId="20">
    <w:name w:val="服务方案"/>
    <w:autoRedefine/>
    <w:qFormat/>
    <w:uiPriority w:val="0"/>
    <w:pPr>
      <w:widowControl w:val="0"/>
      <w:wordWrap w:val="0"/>
      <w:topLinePunct/>
      <w:adjustRightInd w:val="0"/>
      <w:spacing w:line="360" w:lineRule="auto"/>
      <w:ind w:firstLine="883" w:firstLineChars="200"/>
      <w:jc w:val="both"/>
      <w:textAlignment w:val="baseline"/>
    </w:pPr>
    <w:rPr>
      <w:rFonts w:ascii="宋体" w:hAnsi="宋体" w:eastAsia="宋体" w:cstheme="minorBidi"/>
      <w:sz w:val="24"/>
      <w:szCs w:val="20"/>
    </w:rPr>
  </w:style>
  <w:style w:type="paragraph" w:customStyle="1" w:styleId="21">
    <w:name w:val="方案"/>
    <w:autoRedefine/>
    <w:qFormat/>
    <w:uiPriority w:val="0"/>
    <w:pPr>
      <w:spacing w:after="120" w:line="360" w:lineRule="auto"/>
      <w:ind w:firstLine="420" w:firstLineChars="200"/>
    </w:pPr>
    <w:rPr>
      <w:rFonts w:ascii="Arial" w:hAnsi="Arial" w:eastAsia="宋体" w:cstheme="minorBidi"/>
      <w:sz w:val="28"/>
    </w:rPr>
  </w:style>
  <w:style w:type="character" w:customStyle="1" w:styleId="22">
    <w:name w:val="标题 1 Char"/>
    <w:link w:val="2"/>
    <w:autoRedefine/>
    <w:qFormat/>
    <w:uiPriority w:val="0"/>
    <w:rPr>
      <w:rFonts w:ascii="宋体" w:hAnsi="宋体" w:eastAsia="黑体"/>
      <w:b/>
      <w:kern w:val="44"/>
      <w:sz w:val="36"/>
    </w:rPr>
  </w:style>
  <w:style w:type="paragraph" w:customStyle="1" w:styleId="23">
    <w:name w:val="方案正文"/>
    <w:basedOn w:val="1"/>
    <w:link w:val="30"/>
    <w:autoRedefine/>
    <w:qFormat/>
    <w:uiPriority w:val="0"/>
    <w:pPr>
      <w:tabs>
        <w:tab w:val="left" w:pos="851"/>
      </w:tabs>
      <w:spacing w:before="120" w:line="360" w:lineRule="auto"/>
      <w:ind w:firstLine="480" w:firstLineChars="200"/>
      <w:jc w:val="left"/>
    </w:pPr>
    <w:rPr>
      <w:rFonts w:hint="eastAsia" w:ascii="宋体" w:hAnsi="宋体" w:eastAsia="宋体" w:cs="宋体"/>
      <w:color w:val="000000"/>
      <w:szCs w:val="21"/>
    </w:rPr>
  </w:style>
  <w:style w:type="character" w:customStyle="1" w:styleId="24">
    <w:name w:val="标题 2 Char"/>
    <w:link w:val="3"/>
    <w:autoRedefine/>
    <w:qFormat/>
    <w:uiPriority w:val="0"/>
    <w:rPr>
      <w:rFonts w:ascii="Arial" w:hAnsi="Arial" w:eastAsia="黑体" w:cstheme="minorBidi"/>
      <w:sz w:val="32"/>
      <w:szCs w:val="22"/>
    </w:rPr>
  </w:style>
  <w:style w:type="paragraph" w:customStyle="1" w:styleId="25">
    <w:name w:val="表格"/>
    <w:basedOn w:val="1"/>
    <w:qFormat/>
    <w:uiPriority w:val="0"/>
    <w:pPr>
      <w:spacing w:before="120" w:after="120" w:line="360" w:lineRule="auto"/>
      <w:jc w:val="center"/>
    </w:pPr>
    <w:rPr>
      <w:rFonts w:ascii="Calibri" w:hAnsi="Calibri" w:cs="Times New Roman"/>
      <w:kern w:val="2"/>
      <w:sz w:val="21"/>
      <w:szCs w:val="22"/>
      <w:lang w:val="en-US" w:eastAsia="zh-CN" w:bidi="ar-SA"/>
    </w:rPr>
  </w:style>
  <w:style w:type="paragraph" w:customStyle="1" w:styleId="26">
    <w:name w:val="正文标题"/>
    <w:basedOn w:val="1"/>
    <w:autoRedefine/>
    <w:qFormat/>
    <w:uiPriority w:val="0"/>
    <w:pPr>
      <w:spacing w:before="50" w:beforeLines="50" w:after="50" w:afterLines="50" w:line="360" w:lineRule="auto"/>
      <w:jc w:val="both"/>
    </w:pPr>
    <w:rPr>
      <w:b/>
    </w:rPr>
  </w:style>
  <w:style w:type="character" w:customStyle="1" w:styleId="27">
    <w:name w:val="标题 4 Char"/>
    <w:link w:val="5"/>
    <w:autoRedefine/>
    <w:qFormat/>
    <w:uiPriority w:val="0"/>
    <w:rPr>
      <w:rFonts w:ascii="宋体" w:hAnsi="宋体" w:eastAsia="宋体" w:cs="Times New Roman"/>
      <w:b/>
      <w:sz w:val="28"/>
    </w:rPr>
  </w:style>
  <w:style w:type="character" w:customStyle="1" w:styleId="28">
    <w:name w:val="标题 3 Char"/>
    <w:link w:val="4"/>
    <w:autoRedefine/>
    <w:qFormat/>
    <w:uiPriority w:val="9"/>
    <w:rPr>
      <w:rFonts w:ascii="宋体" w:hAnsi="宋体" w:eastAsia="宋体" w:cs="Times New Roman"/>
      <w:b/>
      <w:snapToGrid w:val="0"/>
      <w:color w:val="000000"/>
      <w:kern w:val="2"/>
      <w:sz w:val="28"/>
      <w:szCs w:val="32"/>
      <w:lang w:eastAsia="zh-CN"/>
    </w:rPr>
  </w:style>
  <w:style w:type="paragraph" w:customStyle="1" w:styleId="29">
    <w:name w:val="标书正文"/>
    <w:basedOn w:val="1"/>
    <w:autoRedefine/>
    <w:qFormat/>
    <w:uiPriority w:val="0"/>
    <w:pPr>
      <w:tabs>
        <w:tab w:val="left" w:pos="851"/>
      </w:tabs>
      <w:spacing w:before="120" w:after="120" w:line="360" w:lineRule="auto"/>
      <w:ind w:firstLine="480" w:firstLineChars="200"/>
    </w:pPr>
    <w:rPr>
      <w:rFonts w:hint="eastAsia" w:ascii="宋体" w:hAnsi="宋体" w:eastAsia="宋体" w:cs="宋体"/>
      <w:kern w:val="2"/>
      <w:szCs w:val="24"/>
    </w:rPr>
  </w:style>
  <w:style w:type="character" w:customStyle="1" w:styleId="30">
    <w:name w:val="方案正文 Char"/>
    <w:link w:val="23"/>
    <w:autoRedefine/>
    <w:qFormat/>
    <w:uiPriority w:val="0"/>
    <w:rPr>
      <w:rFonts w:hint="default" w:ascii="宋体" w:hAnsi="宋体" w:eastAsia="宋体" w:cs="宋体"/>
      <w:color w:val="000000"/>
      <w:sz w:val="24"/>
      <w:szCs w:val="21"/>
    </w:rPr>
  </w:style>
  <w:style w:type="character" w:customStyle="1" w:styleId="31">
    <w:name w:val="标题 5 Char"/>
    <w:link w:val="6"/>
    <w:autoRedefine/>
    <w:qFormat/>
    <w:uiPriority w:val="0"/>
    <w:rPr>
      <w:rFonts w:eastAsia="宋体" w:asciiTheme="minorAscii" w:hAnsiTheme="minorAscii" w:cstheme="minorBidi"/>
      <w:b/>
      <w:sz w:val="28"/>
    </w:rPr>
  </w:style>
  <w:style w:type="paragraph" w:customStyle="1" w:styleId="3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1</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2026-05-07T08:03:00Z</dcterms:created>
  <dc:creator>十五。</dc:creator>
  <cp:lastModifiedBy>十五。</cp:lastModifiedBy>
  <dcterms:modified xsi:type="dcterms:W3CDTF">2026-05-07T08:06:21Z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EE07C4810991471480DE6DE71EF10DB7_11</vt:lpwstr>
  </property>
  <property fmtid="{D5CDD505-2E9C-101B-9397-08002B2CF9AE}" pid="4" name="KSOTemplateDocerSaveRecord">
    <vt:lpwstr>eyJoZGlkIjoiMzE5MzQ3MzQwOGY1YThmMDQxYjNjOWEyYTc1ZGNjM2QifQ==</vt:lpwstr>
  </property>
</Properties>
</file>