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宋体" w:hAnsi="宋体" w:eastAsia="宋体" w:cs="宋体"/>
          <w:color w:val="auto"/>
          <w:sz w:val="36"/>
          <w:szCs w:val="36"/>
          <w:highlight w:val="none"/>
        </w:rPr>
      </w:pPr>
      <w:bookmarkStart w:id="0" w:name="_Toc14351"/>
      <w:bookmarkStart w:id="1" w:name="_Toc19126"/>
      <w:r>
        <w:rPr>
          <w:rFonts w:hint="eastAsia" w:ascii="宋体" w:hAnsi="宋体" w:eastAsia="宋体" w:cs="宋体"/>
          <w:color w:val="auto"/>
          <w:spacing w:val="-1"/>
          <w:sz w:val="36"/>
          <w:szCs w:val="36"/>
          <w:highlight w:val="none"/>
          <w:lang w:val="en-US" w:eastAsia="zh-CN"/>
        </w:rPr>
        <w:t>三标段</w:t>
      </w:r>
      <w:r>
        <w:rPr>
          <w:rFonts w:ascii="宋体" w:hAnsi="宋体" w:eastAsia="宋体" w:cs="宋体"/>
          <w:color w:val="auto"/>
          <w:sz w:val="36"/>
          <w:szCs w:val="36"/>
          <w:highlight w:val="none"/>
        </w:rPr>
        <w:t>采购需求</w:t>
      </w:r>
      <w:bookmarkEnd w:id="0"/>
      <w:bookmarkEnd w:id="1"/>
    </w:p>
    <w:p>
      <w:pPr>
        <w:spacing w:before="79" w:line="360" w:lineRule="auto"/>
        <w:ind w:left="39" w:right="35" w:firstLine="483"/>
        <w:rPr>
          <w:rFonts w:ascii="宋体" w:hAnsi="宋体" w:eastAsia="宋体" w:cs="宋体"/>
          <w:color w:val="auto"/>
          <w:spacing w:val="2"/>
          <w:sz w:val="24"/>
          <w:szCs w:val="24"/>
          <w:highlight w:val="none"/>
        </w:rPr>
      </w:pPr>
    </w:p>
    <w:p>
      <w:pPr>
        <w:spacing w:before="79" w:line="360" w:lineRule="auto"/>
        <w:ind w:right="35"/>
        <w:rPr>
          <w:rFonts w:ascii="宋体" w:hAnsi="宋体" w:eastAsia="宋体" w:cs="宋体"/>
          <w:color w:val="auto"/>
          <w:spacing w:val="2"/>
          <w:sz w:val="24"/>
          <w:szCs w:val="24"/>
          <w:highlight w:val="none"/>
        </w:rPr>
      </w:pPr>
      <w:bookmarkStart w:id="2" w:name="_Toc27348"/>
      <w:r>
        <w:rPr>
          <w:rFonts w:ascii="宋体" w:hAnsi="宋体" w:eastAsia="宋体" w:cs="宋体"/>
          <w:color w:val="auto"/>
          <w:spacing w:val="2"/>
          <w:sz w:val="24"/>
          <w:szCs w:val="24"/>
          <w:highlight w:val="none"/>
        </w:rPr>
        <w:t>一.项目概况</w:t>
      </w:r>
      <w:bookmarkEnd w:id="2"/>
    </w:p>
    <w:p>
      <w:pPr>
        <w:spacing w:before="79" w:line="360" w:lineRule="auto"/>
        <w:ind w:left="39" w:right="35" w:firstLine="483"/>
        <w:rPr>
          <w:rFonts w:hint="default" w:ascii="宋体" w:hAnsi="宋体" w:eastAsia="宋体" w:cs="宋体"/>
          <w:color w:val="auto"/>
          <w:spacing w:val="2"/>
          <w:sz w:val="24"/>
          <w:szCs w:val="24"/>
          <w:highlight w:val="none"/>
          <w:lang w:val="en-US" w:eastAsia="zh-CN"/>
        </w:rPr>
      </w:pPr>
      <w:bookmarkStart w:id="3" w:name="_Toc8208"/>
      <w:r>
        <w:rPr>
          <w:rFonts w:hint="eastAsia" w:ascii="宋体" w:hAnsi="宋体" w:eastAsia="宋体" w:cs="宋体"/>
          <w:color w:val="auto"/>
          <w:spacing w:val="2"/>
          <w:sz w:val="24"/>
          <w:szCs w:val="24"/>
          <w:highlight w:val="none"/>
        </w:rPr>
        <w:t>1、项目预算：</w:t>
      </w:r>
      <w:bookmarkEnd w:id="3"/>
      <w:bookmarkStart w:id="4" w:name="_Toc4275"/>
      <w:r>
        <w:rPr>
          <w:rFonts w:hint="eastAsia" w:ascii="宋体" w:hAnsi="宋体" w:eastAsia="宋体" w:cs="宋体"/>
          <w:color w:val="auto"/>
          <w:spacing w:val="2"/>
          <w:sz w:val="24"/>
          <w:szCs w:val="24"/>
          <w:highlight w:val="none"/>
          <w:lang w:val="en-US" w:eastAsia="zh-CN"/>
        </w:rPr>
        <w:t>总预算</w:t>
      </w:r>
      <w:r>
        <w:rPr>
          <w:rFonts w:hint="eastAsia" w:ascii="宋体" w:hAnsi="宋体" w:eastAsia="宋体" w:cs="宋体"/>
          <w:color w:val="auto"/>
          <w:spacing w:val="2"/>
          <w:sz w:val="24"/>
          <w:szCs w:val="24"/>
          <w:highlight w:val="none"/>
        </w:rPr>
        <w:t>1209286元</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三标段预算66000元。</w:t>
      </w:r>
    </w:p>
    <w:p>
      <w:pPr>
        <w:spacing w:before="79" w:line="360" w:lineRule="auto"/>
        <w:ind w:left="39" w:right="35" w:firstLine="483"/>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2、项目内容：</w:t>
      </w:r>
      <w:bookmarkEnd w:id="4"/>
      <w:bookmarkStart w:id="5" w:name="_Toc2112"/>
      <w:r>
        <w:rPr>
          <w:rFonts w:hint="eastAsia" w:ascii="宋体" w:hAnsi="宋体" w:eastAsia="宋体" w:cs="宋体"/>
          <w:color w:val="auto"/>
          <w:spacing w:val="2"/>
          <w:sz w:val="24"/>
          <w:szCs w:val="24"/>
          <w:highlight w:val="none"/>
          <w:lang w:eastAsia="zh-CN"/>
        </w:rPr>
        <w:t>镇江市消防救援支队目录外器材采购项目三标段</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3、供货期：</w:t>
      </w:r>
      <w:bookmarkEnd w:id="5"/>
      <w:r>
        <w:rPr>
          <w:rFonts w:hint="eastAsia" w:ascii="宋体" w:hAnsi="宋体" w:eastAsia="宋体" w:cs="宋体"/>
          <w:color w:val="auto"/>
          <w:spacing w:val="2"/>
          <w:sz w:val="24"/>
          <w:szCs w:val="24"/>
          <w:highlight w:val="none"/>
        </w:rPr>
        <w:t>采购合同签订后60日内完成供货。</w:t>
      </w:r>
    </w:p>
    <w:p>
      <w:pPr>
        <w:spacing w:before="79" w:line="360" w:lineRule="auto"/>
        <w:ind w:left="39" w:right="35" w:firstLine="483"/>
        <w:rPr>
          <w:rFonts w:ascii="宋体" w:hAnsi="宋体" w:eastAsia="宋体" w:cs="宋体"/>
          <w:color w:val="auto"/>
          <w:spacing w:val="2"/>
          <w:sz w:val="24"/>
          <w:szCs w:val="24"/>
          <w:highlight w:val="none"/>
        </w:rPr>
      </w:pPr>
      <w:bookmarkStart w:id="6" w:name="_Toc27889"/>
      <w:r>
        <w:rPr>
          <w:rFonts w:hint="eastAsia" w:ascii="宋体" w:hAnsi="宋体" w:eastAsia="宋体" w:cs="宋体"/>
          <w:color w:val="auto"/>
          <w:spacing w:val="2"/>
          <w:sz w:val="24"/>
          <w:szCs w:val="24"/>
          <w:highlight w:val="none"/>
        </w:rPr>
        <w:t>4、交货地点：采购人指定地点。</w:t>
      </w:r>
      <w:bookmarkEnd w:id="6"/>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5、交货方式： 以具体签署的采购合同中货物方式为准，交货时甲乙双方均要有人在场负责清点移交。</w:t>
      </w:r>
      <w:bookmarkStart w:id="14" w:name="_GoBack"/>
      <w:bookmarkEnd w:id="14"/>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 、本项目标的所属行业：工业。</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7、本项目不接受联合体投标。</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8、本项目不接受进口产品投标。</w:t>
      </w:r>
    </w:p>
    <w:p>
      <w:pPr>
        <w:spacing w:before="79" w:line="360" w:lineRule="auto"/>
        <w:ind w:right="35"/>
        <w:rPr>
          <w:rFonts w:ascii="宋体" w:hAnsi="宋体" w:eastAsia="宋体" w:cs="宋体"/>
          <w:color w:val="auto"/>
          <w:spacing w:val="2"/>
          <w:sz w:val="24"/>
          <w:szCs w:val="24"/>
          <w:highlight w:val="none"/>
        </w:rPr>
      </w:pPr>
      <w:bookmarkStart w:id="7" w:name="_Toc1759"/>
      <w:r>
        <w:rPr>
          <w:rFonts w:ascii="宋体" w:hAnsi="宋体" w:eastAsia="宋体" w:cs="宋体"/>
          <w:color w:val="auto"/>
          <w:spacing w:val="2"/>
          <w:sz w:val="24"/>
          <w:szCs w:val="24"/>
          <w:highlight w:val="none"/>
        </w:rPr>
        <w:t>二.采购标的汇总表</w:t>
      </w:r>
      <w:bookmarkEnd w:id="7"/>
    </w:p>
    <w:p>
      <w:pPr>
        <w:spacing w:before="79" w:line="360" w:lineRule="auto"/>
        <w:ind w:left="39" w:right="35" w:firstLine="483"/>
        <w:rPr>
          <w:rFonts w:ascii="宋体" w:hAnsi="宋体" w:eastAsia="宋体" w:cs="宋体"/>
          <w:color w:val="auto"/>
          <w:spacing w:val="-6"/>
          <w:sz w:val="24"/>
          <w:szCs w:val="24"/>
          <w:highlight w:val="none"/>
        </w:rPr>
      </w:pPr>
      <w:bookmarkStart w:id="8" w:name="_Toc19522"/>
      <w:r>
        <w:rPr>
          <w:rFonts w:ascii="宋体" w:hAnsi="宋体" w:eastAsia="宋体" w:cs="宋体"/>
          <w:color w:val="auto"/>
          <w:spacing w:val="2"/>
          <w:sz w:val="24"/>
          <w:szCs w:val="24"/>
          <w:highlight w:val="none"/>
        </w:rPr>
        <w:t>(一)  采购</w:t>
      </w:r>
      <w:bookmarkEnd w:id="8"/>
      <w:r>
        <w:rPr>
          <w:rFonts w:hint="eastAsia" w:ascii="宋体" w:hAnsi="宋体" w:eastAsia="宋体" w:cs="宋体"/>
          <w:color w:val="auto"/>
          <w:spacing w:val="2"/>
          <w:sz w:val="24"/>
          <w:szCs w:val="24"/>
          <w:highlight w:val="none"/>
        </w:rPr>
        <w:t>清单及要求</w:t>
      </w:r>
      <w:bookmarkStart w:id="9" w:name="_Toc16642"/>
    </w:p>
    <w:p>
      <w:pPr>
        <w:spacing w:before="1" w:line="360" w:lineRule="auto"/>
        <w:ind w:left="56"/>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1</w:t>
      </w:r>
      <w:r>
        <w:rPr>
          <w:rFonts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rPr>
        <w:t>三标段（保障类）：最高限价：6.6万，投标报价超过标段及标段下的单项限价的，按照无效投标处理。</w:t>
      </w:r>
    </w:p>
    <w:tbl>
      <w:tblPr>
        <w:tblStyle w:val="5"/>
        <w:tblW w:w="9597"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top w:w="0" w:type="dxa"/>
          <w:left w:w="0" w:type="dxa"/>
          <w:bottom w:w="0" w:type="dxa"/>
          <w:right w:w="0" w:type="dxa"/>
        </w:tblCellMar>
      </w:tblPr>
      <w:tblGrid>
        <w:gridCol w:w="599"/>
        <w:gridCol w:w="1129"/>
        <w:gridCol w:w="613"/>
        <w:gridCol w:w="628"/>
        <w:gridCol w:w="791"/>
        <w:gridCol w:w="4806"/>
        <w:gridCol w:w="1031"/>
      </w:tblGrid>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0" w:hRule="atLeast"/>
          <w:jc w:val="center"/>
        </w:trPr>
        <w:tc>
          <w:tcPr>
            <w:tcW w:w="599" w:type="dxa"/>
            <w:tcBorders>
              <w:top w:val="single" w:color="000000" w:sz="2" w:space="0"/>
              <w:left w:val="single" w:color="000000" w:sz="6" w:space="0"/>
              <w:bottom w:val="single" w:color="000000" w:sz="2" w:space="0"/>
              <w:right w:val="single" w:color="000000" w:sz="6" w:space="0"/>
            </w:tcBorders>
            <w:vAlign w:val="center"/>
          </w:tcPr>
          <w:p>
            <w:pPr>
              <w:spacing w:line="360" w:lineRule="auto"/>
              <w:jc w:val="center"/>
              <w:rPr>
                <w:color w:val="auto"/>
                <w:sz w:val="18"/>
                <w:szCs w:val="18"/>
                <w:highlight w:val="none"/>
              </w:rPr>
            </w:pPr>
          </w:p>
          <w:p>
            <w:pPr>
              <w:spacing w:before="78" w:line="360" w:lineRule="auto"/>
              <w:ind w:left="144"/>
              <w:jc w:val="center"/>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序</w:t>
            </w:r>
            <w:r>
              <w:rPr>
                <w:rFonts w:ascii="宋体" w:hAnsi="宋体" w:eastAsia="宋体" w:cs="宋体"/>
                <w:color w:val="auto"/>
                <w:spacing w:val="-1"/>
                <w:sz w:val="18"/>
                <w:szCs w:val="18"/>
                <w:highlight w:val="none"/>
              </w:rPr>
              <w:t>号</w:t>
            </w:r>
          </w:p>
        </w:tc>
        <w:tc>
          <w:tcPr>
            <w:tcW w:w="1129"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472"/>
              <w:jc w:val="center"/>
              <w:rPr>
                <w:rFonts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器材</w:t>
            </w:r>
            <w:r>
              <w:rPr>
                <w:rFonts w:ascii="宋体" w:hAnsi="宋体" w:eastAsia="宋体" w:cs="宋体"/>
                <w:color w:val="auto"/>
                <w:spacing w:val="-1"/>
                <w:sz w:val="18"/>
                <w:szCs w:val="18"/>
                <w:highlight w:val="none"/>
              </w:rPr>
              <w:t>名称</w:t>
            </w:r>
          </w:p>
        </w:tc>
        <w:tc>
          <w:tcPr>
            <w:tcW w:w="613" w:type="dxa"/>
            <w:tcBorders>
              <w:top w:val="single" w:color="808080" w:sz="2" w:space="0"/>
              <w:bottom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628"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146"/>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单价（万元）</w:t>
            </w:r>
          </w:p>
        </w:tc>
        <w:tc>
          <w:tcPr>
            <w:tcW w:w="791"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小计(万元）</w:t>
            </w:r>
          </w:p>
        </w:tc>
        <w:tc>
          <w:tcPr>
            <w:tcW w:w="4806"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参数</w:t>
            </w:r>
          </w:p>
        </w:tc>
        <w:tc>
          <w:tcPr>
            <w:tcW w:w="1031"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备注</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top w:val="single" w:color="000000" w:sz="2" w:space="0"/>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w:t>
            </w:r>
          </w:p>
        </w:tc>
        <w:tc>
          <w:tcPr>
            <w:tcW w:w="1129" w:type="dxa"/>
            <w:vMerge w:val="restart"/>
            <w:tcBorders>
              <w:top w:val="single" w:color="808080" w:sz="2" w:space="0"/>
            </w:tcBorders>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班宿营帐篷</w:t>
            </w:r>
          </w:p>
        </w:tc>
        <w:tc>
          <w:tcPr>
            <w:tcW w:w="613" w:type="dxa"/>
            <w:vMerge w:val="restart"/>
            <w:tcBorders>
              <w:top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28" w:type="dxa"/>
            <w:vMerge w:val="restart"/>
            <w:tcBorders>
              <w:top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1.5</w:t>
            </w:r>
          </w:p>
        </w:tc>
        <w:tc>
          <w:tcPr>
            <w:tcW w:w="791"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1、结构组成：1、外篷整体为红蓝相间，地布、气柱为灰色，内衬为白色。</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2、结构：充气帐篷为拱形充气框架结构，帐篷前后设有两扇进出门。</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3、外篷布采用不小于600*600加强涤纶布单面PVC防水涂层或更优材料。气柱材料采用高强度PVC1000D夹网涂层气密布或更优材料；充气帐篷地布为PVC复合布热合成型或更优材料。</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4、充气帐篷两侧面根据投影面积开设合理的窗户数量，设置通风口（通风口可作为暖风机管道出入口）、阀门口便于充排气体。</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5、帐篷固定拉纤拉环防水处理：外篷布边高位置上一个防止雨水留到帐篷里做的袖口处理；拉环是设计在气柱边高跟袖口重合的位置上，用来穿绳固定、加固帐篷；拉环均为双层皮料。</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▲6、帐篷气阀分为多功能充气阀、充气阀、安全阀三种。多功能充气阀设置3个（相邻位置），设置在面对帐篷右边侧面围墙的角下面；充气阀设置2个、安全阀，设置在面对帐篷左边侧面围墙的角下面。</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7、帐篷顶部可印XX单位名称，前后门头上方印LOGO或徽。</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▲8、配件：地钎、防风绳、修补工具、充气泵2个（功率≧2KW）。</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9、主要应用场景：主要用于消防人员调整休息。</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10、帐篷内部具有遮阳、反光功能。</w:t>
            </w:r>
          </w:p>
        </w:tc>
        <w:tc>
          <w:tcPr>
            <w:tcW w:w="1031"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战保2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73"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9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▲10、提供省级或省级以上检验中心出具的产品检测报告。</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542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9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▲11、甲醛含量≤20mg/kg.</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12、底布防水性能：耐水压不应小于0.015MPa.</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▲13、充气时&lt;3min.</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14、充气柱保持气密，24小时内压力下降不超过2KPa.</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15、充气压力：帐篷处于支撑状态时的充气柱压力&lt;5KPa.</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▲16、尺寸：15㎡－20㎡</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17、耐候性试验后</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篷布 抗撕裂力 纵向≧1400N、横向≧1200N，断裂伸长率% 纵向≧23、横向≧21。</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气柱 抗撕裂力 纵向≧2400N、横向≧2300N，断裂伸长率% 纵向≧20、横向≧20。</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地布 抗撕裂力 纵向≧1900N、横向≧1800N，断裂伸长率% 纵向≧20、横向≧20。</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内衬抗撕裂力 纵向≧450N、横向≧300N，断裂伸长率% 纵向≧50、横向≧50。</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 xml:space="preserve">▲18、抗风等级≥7级 </w:t>
            </w:r>
          </w:p>
          <w:p>
            <w:pPr>
              <w:spacing w:before="78" w:line="360" w:lineRule="auto"/>
              <w:rPr>
                <w:rFonts w:ascii="宋体" w:hAnsi="宋体" w:eastAsia="宋体" w:cs="宋体"/>
                <w:color w:val="auto"/>
                <w:spacing w:val="-3"/>
                <w:sz w:val="18"/>
                <w:szCs w:val="18"/>
                <w:highlight w:val="none"/>
              </w:rPr>
            </w:pP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86" w:hRule="atLeast"/>
          <w:jc w:val="center"/>
        </w:trPr>
        <w:tc>
          <w:tcPr>
            <w:tcW w:w="599" w:type="dxa"/>
            <w:vMerge w:val="continue"/>
            <w:tcBorders>
              <w:left w:val="single" w:color="000000" w:sz="6" w:space="0"/>
              <w:bottom w:val="single" w:color="000000" w:sz="2"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tcBorders>
              <w:bottom w:val="single" w:color="808080" w:sz="2" w:space="0"/>
            </w:tcBorders>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tcBorders>
              <w:bottom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tcBorders>
              <w:bottom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91"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0" w:hRule="atLeast"/>
          <w:jc w:val="center"/>
        </w:trPr>
        <w:tc>
          <w:tcPr>
            <w:tcW w:w="599" w:type="dxa"/>
            <w:vMerge w:val="restart"/>
            <w:tcBorders>
              <w:top w:val="single" w:color="000000" w:sz="2" w:space="0"/>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w:t>
            </w:r>
          </w:p>
        </w:tc>
        <w:tc>
          <w:tcPr>
            <w:tcW w:w="1129" w:type="dxa"/>
            <w:vMerge w:val="restart"/>
            <w:tcBorders>
              <w:top w:val="single" w:color="808080" w:sz="2" w:space="0"/>
            </w:tcBorders>
            <w:vAlign w:val="center"/>
          </w:tcPr>
          <w:p>
            <w:pPr>
              <w:spacing w:before="78" w:line="360" w:lineRule="auto"/>
              <w:ind w:left="472"/>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单人宿营帐篷</w:t>
            </w:r>
          </w:p>
        </w:tc>
        <w:tc>
          <w:tcPr>
            <w:tcW w:w="613" w:type="dxa"/>
            <w:vMerge w:val="restart"/>
            <w:tcBorders>
              <w:top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20</w:t>
            </w:r>
          </w:p>
        </w:tc>
        <w:tc>
          <w:tcPr>
            <w:tcW w:w="628" w:type="dxa"/>
            <w:vMerge w:val="restart"/>
            <w:tcBorders>
              <w:top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0.04</w:t>
            </w:r>
          </w:p>
        </w:tc>
        <w:tc>
          <w:tcPr>
            <w:tcW w:w="791"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1、结构组成：由内外帐、帐篷撑杆及防风绳、地钉等组成。</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2、主要应用场景：主要用于野外单人宿营休息使用。</w:t>
            </w:r>
          </w:p>
        </w:tc>
        <w:tc>
          <w:tcPr>
            <w:tcW w:w="1031"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战保20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hint="eastAsia"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9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3、符合相关行业标准。</w:t>
            </w:r>
          </w:p>
        </w:tc>
        <w:tc>
          <w:tcPr>
            <w:tcW w:w="1031"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hint="eastAsia"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9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31"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hint="eastAsia"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9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▲4、展开尺寸：长度≥250cm、宽度≥200cm、高度≥120cm</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▲5、重量≤5kg</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6、支架撑杆：支架采用玻璃钢或更优材质</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▲7、外帐采用涤纶布料，防水指数≥2000mm</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8、面料：能够有效防止紫外线照射以及防潮湿</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9、铝合金材质地钉风绳，强度大固定帐篷更加牢固</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10、搭建情况：一秒速开，无需搭建，展开快速便携，材质轻便，防蚊纱网，金属双向拉链</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11、材质安全不含甲醛，通过国家安全检测</w:t>
            </w:r>
          </w:p>
          <w:p>
            <w:pPr>
              <w:spacing w:before="78" w:line="360" w:lineRule="auto"/>
              <w:rPr>
                <w:rFonts w:hint="eastAsia" w:ascii="宋体" w:hAnsi="宋体" w:eastAsia="宋体" w:cs="宋体"/>
                <w:color w:val="auto"/>
                <w:spacing w:val="-3"/>
                <w:sz w:val="18"/>
                <w:szCs w:val="18"/>
                <w:highlight w:val="none"/>
              </w:rPr>
            </w:pPr>
          </w:p>
        </w:tc>
        <w:tc>
          <w:tcPr>
            <w:tcW w:w="1031"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top w:val="single" w:color="000000" w:sz="2" w:space="0"/>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3</w:t>
            </w:r>
          </w:p>
        </w:tc>
        <w:tc>
          <w:tcPr>
            <w:tcW w:w="1129" w:type="dxa"/>
            <w:vMerge w:val="restart"/>
            <w:tcBorders>
              <w:top w:val="single" w:color="808080" w:sz="2" w:space="0"/>
            </w:tcBorders>
            <w:vAlign w:val="center"/>
          </w:tcPr>
          <w:p>
            <w:pPr>
              <w:spacing w:before="78" w:line="360" w:lineRule="auto"/>
              <w:ind w:left="472"/>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手推车</w:t>
            </w:r>
          </w:p>
        </w:tc>
        <w:tc>
          <w:tcPr>
            <w:tcW w:w="613" w:type="dxa"/>
            <w:vMerge w:val="restart"/>
            <w:tcBorders>
              <w:top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628" w:type="dxa"/>
            <w:vMerge w:val="restart"/>
            <w:tcBorders>
              <w:top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0.2</w:t>
            </w:r>
          </w:p>
        </w:tc>
        <w:tc>
          <w:tcPr>
            <w:tcW w:w="791"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1、结构组成：由车板、扶手、围栏、车轮组成。</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2、主要应用场景：主要用于器材或重物的搬运托运等。</w:t>
            </w:r>
          </w:p>
        </w:tc>
        <w:tc>
          <w:tcPr>
            <w:tcW w:w="1031"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战保4</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9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9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▲3、符合相关行业标准。</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9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▲4、全车尺寸：1500*1000*1000mm-2000*1500*1500mm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5、全车采用钢材质</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▲6、全车方管尺寸：30*30mm±3mm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▲7、外部孔距：30*30mm-40*40mm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▲8、全车承重≥500kg</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9、底部铁板：双工字加强筋设计，承重大，底部铁板厚度≥1.5㎜</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10、脚轮尺寸：8寸脚轮，两个定向轮，两个刹车轮，脚轮橡胶材质，承重静音效果好，可防止推车发生溜坡</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11、快拉锁扣，方形镀锌管材，网孔均匀平整，可拆卸合页</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63"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9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63"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4</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电动堆高车</w:t>
            </w:r>
          </w:p>
        </w:tc>
        <w:tc>
          <w:tcPr>
            <w:tcW w:w="613"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1</w:t>
            </w:r>
          </w:p>
        </w:tc>
        <w:tc>
          <w:tcPr>
            <w:tcW w:w="628"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2</w:t>
            </w:r>
          </w:p>
        </w:tc>
        <w:tc>
          <w:tcPr>
            <w:tcW w:w="791"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1、结构组成：全电动配重堆高车是一种多功能的配重堆高车，它的组成包括操作室、行走机构、起升机构、转向机构、驱动机构和电控系统等部分。</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2、主要应用场景：主要用于重物运输、举升。</w:t>
            </w:r>
          </w:p>
          <w:p>
            <w:pPr>
              <w:spacing w:before="78" w:line="360" w:lineRule="auto"/>
              <w:rPr>
                <w:rFonts w:ascii="宋体" w:hAnsi="宋体" w:eastAsia="宋体" w:cs="宋体"/>
                <w:color w:val="auto"/>
                <w:spacing w:val="-3"/>
                <w:sz w:val="18"/>
                <w:szCs w:val="18"/>
                <w:highlight w:val="none"/>
              </w:rPr>
            </w:pPr>
          </w:p>
        </w:tc>
        <w:tc>
          <w:tcPr>
            <w:tcW w:w="1031"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战保1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63"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79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▲3、通过国家质量检测标准，符合GB/T 45001-2020 / ISO 45001:2018认证标准。</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63"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79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▲1、整车尺寸：总长≥2000mm、宽度≥800mm、高度≥3000mm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 xml:space="preserve">▲2、货叉尺寸：长度≥1150mm、外宽≥570mm </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3、门架最大高度≤3000mm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4、最低门架高度≥1800mm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5、货叉最低高度≥80mm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▲6、驱动电机功率≥0.75KW</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▲7、起升电机功率≥2.2KW</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8、额定电压220V</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9、额定频率50Hz.</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▲10、驱动方式：电动</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11、驱动电瓶≥2*12V/120A</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12、额定载荷≥1500KG</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13、净重量≤720KG</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▲14、操作方式：站驾式</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▲15、转弯半径≤1500mm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16、驱动轮尺寸≥φ210*70</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17、承载轮尺寸≥φ80*70</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18、平衡轮尺寸≥φ115*55</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63" w:hRule="atLeast"/>
          <w:jc w:val="center"/>
        </w:trPr>
        <w:tc>
          <w:tcPr>
            <w:tcW w:w="599" w:type="dxa"/>
            <w:vMerge w:val="continue"/>
            <w:tcBorders>
              <w:left w:val="single" w:color="000000" w:sz="6" w:space="0"/>
              <w:bottom w:val="single" w:color="000000" w:sz="2"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tcBorders>
              <w:bottom w:val="single" w:color="808080" w:sz="2" w:space="0"/>
            </w:tcBorders>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tcBorders>
              <w:bottom w:val="single" w:color="808080" w:sz="2" w:space="0"/>
            </w:tcBorders>
            <w:vAlign w:val="center"/>
          </w:tcPr>
          <w:p>
            <w:pPr>
              <w:spacing w:before="78" w:line="360" w:lineRule="auto"/>
              <w:ind w:left="472"/>
              <w:jc w:val="both"/>
              <w:rPr>
                <w:rFonts w:ascii="宋体" w:hAnsi="宋体" w:eastAsia="宋体" w:cs="宋体"/>
                <w:color w:val="auto"/>
                <w:spacing w:val="-2"/>
                <w:sz w:val="18"/>
                <w:szCs w:val="18"/>
                <w:highlight w:val="none"/>
              </w:rPr>
            </w:pPr>
          </w:p>
        </w:tc>
        <w:tc>
          <w:tcPr>
            <w:tcW w:w="628" w:type="dxa"/>
            <w:vMerge w:val="continue"/>
            <w:tcBorders>
              <w:bottom w:val="single" w:color="808080" w:sz="2" w:space="0"/>
            </w:tcBorders>
            <w:vAlign w:val="center"/>
          </w:tcPr>
          <w:p>
            <w:pPr>
              <w:spacing w:before="78" w:line="360" w:lineRule="auto"/>
              <w:ind w:left="472"/>
              <w:jc w:val="both"/>
              <w:rPr>
                <w:rFonts w:ascii="宋体" w:hAnsi="宋体" w:eastAsia="宋体" w:cs="宋体"/>
                <w:color w:val="auto"/>
                <w:spacing w:val="-2"/>
                <w:sz w:val="18"/>
                <w:szCs w:val="18"/>
                <w:highlight w:val="none"/>
              </w:rPr>
            </w:pPr>
          </w:p>
        </w:tc>
        <w:tc>
          <w:tcPr>
            <w:tcW w:w="791"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06"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31"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r>
      <w:bookmarkEnd w:id="9"/>
    </w:tbl>
    <w:p>
      <w:pPr>
        <w:pStyle w:val="2"/>
        <w:spacing w:line="360" w:lineRule="auto"/>
        <w:rPr>
          <w:color w:val="auto"/>
          <w:highlight w:val="none"/>
        </w:rPr>
      </w:pP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1、本项目（同一个标段内）单一产品采购，同一品牌的产品有多家投标人参加投标，只能按照一家投标人计算，本项目（同一个标段）非单一产品采购，核心产品同一品牌的产品有多家投标人参加投标，只能按照一家投标人计算。提供相同品牌产品且通过资格审查、符合性审查的不同投标人参加同一合同项下投标的，按一家投标人计算，评审后得分最高的同品牌投标人获得中标人推荐资格；评审得分相同的，由采购人委托评标委员会按采取随机抽取方式确定，其他同品牌投标人不作为中标候选人。</w:t>
      </w:r>
    </w:p>
    <w:p>
      <w:pPr>
        <w:spacing w:line="360" w:lineRule="auto"/>
        <w:ind w:firstLine="480" w:firstLineChars="200"/>
        <w:rPr>
          <w:rFonts w:ascii="宋体" w:hAnsi="宋体" w:eastAsia="宋体" w:cs="宋体"/>
          <w:color w:val="FF0000"/>
          <w:sz w:val="24"/>
          <w:szCs w:val="24"/>
          <w:highlight w:val="none"/>
        </w:rPr>
      </w:pPr>
    </w:p>
    <w:p>
      <w:pPr>
        <w:spacing w:line="360" w:lineRule="auto"/>
        <w:outlineLvl w:val="1"/>
        <w:rPr>
          <w:rFonts w:ascii="宋体" w:hAnsi="宋体" w:eastAsia="宋体" w:cs="宋体"/>
          <w:color w:val="auto"/>
          <w:sz w:val="24"/>
          <w:szCs w:val="24"/>
          <w:highlight w:val="none"/>
        </w:rPr>
      </w:pPr>
      <w:bookmarkStart w:id="10" w:name="_Toc22712"/>
      <w:r>
        <w:rPr>
          <w:rFonts w:hint="eastAsia" w:ascii="宋体" w:hAnsi="宋体" w:eastAsia="宋体" w:cs="宋体"/>
          <w:color w:val="auto"/>
          <w:spacing w:val="30"/>
          <w:sz w:val="24"/>
          <w:szCs w:val="24"/>
          <w:highlight w:val="none"/>
          <w:lang w:val="en-US" w:eastAsia="zh-CN"/>
        </w:rPr>
        <w:t>三</w:t>
      </w:r>
      <w:r>
        <w:rPr>
          <w:rFonts w:ascii="宋体" w:hAnsi="宋体" w:eastAsia="宋体" w:cs="宋体"/>
          <w:color w:val="auto"/>
          <w:spacing w:val="20"/>
          <w:sz w:val="24"/>
          <w:szCs w:val="24"/>
          <w:highlight w:val="none"/>
        </w:rPr>
        <w:t>.</w:t>
      </w:r>
      <w:bookmarkEnd w:id="10"/>
      <w:r>
        <w:rPr>
          <w:rFonts w:hint="eastAsia" w:ascii="宋体" w:hAnsi="宋体" w:eastAsia="宋体" w:cs="宋体"/>
          <w:color w:val="auto"/>
          <w:spacing w:val="20"/>
          <w:sz w:val="24"/>
          <w:szCs w:val="24"/>
          <w:highlight w:val="none"/>
        </w:rPr>
        <w:t>商务要求</w:t>
      </w:r>
    </w:p>
    <w:p>
      <w:pPr>
        <w:spacing w:line="360" w:lineRule="auto"/>
        <w:ind w:firstLine="482" w:firstLineChars="200"/>
        <w:rPr>
          <w:rFonts w:hint="eastAsia" w:ascii="宋体" w:hAnsi="宋体" w:eastAsia="宋体" w:cs="宋体"/>
          <w:b/>
          <w:bCs/>
          <w:color w:val="FF0000"/>
          <w:sz w:val="24"/>
          <w:szCs w:val="24"/>
          <w:highlight w:val="none"/>
          <w:vertAlign w:val="baseline"/>
          <w:lang w:eastAsia="zh-CN"/>
        </w:rPr>
      </w:pPr>
      <w:bookmarkStart w:id="11" w:name="_Toc8617"/>
      <w:r>
        <w:rPr>
          <w:rFonts w:hint="eastAsia" w:ascii="宋体" w:hAnsi="宋体" w:eastAsia="宋体" w:cs="宋体"/>
          <w:b/>
          <w:bCs/>
          <w:color w:val="FF0000"/>
          <w:sz w:val="24"/>
          <w:szCs w:val="24"/>
          <w:highlight w:val="none"/>
        </w:rPr>
        <w:t>1、自合同签订后 60 天内完成供货</w:t>
      </w:r>
      <w:r>
        <w:rPr>
          <w:rFonts w:hint="eastAsia" w:ascii="宋体" w:hAnsi="宋体" w:eastAsia="宋体" w:cs="宋体"/>
          <w:b/>
          <w:bCs/>
          <w:color w:val="FF0000"/>
          <w:sz w:val="24"/>
          <w:szCs w:val="24"/>
          <w:highlight w:val="none"/>
          <w:lang w:eastAsia="zh-CN"/>
        </w:rPr>
        <w:t>，</w:t>
      </w:r>
    </w:p>
    <w:p>
      <w:pPr>
        <w:spacing w:line="360" w:lineRule="auto"/>
        <w:ind w:firstLine="482" w:firstLineChars="200"/>
        <w:rPr>
          <w:rFonts w:ascii="宋体" w:hAnsi="宋体" w:eastAsia="宋体" w:cs="宋体"/>
          <w:color w:val="FF0000"/>
          <w:sz w:val="24"/>
          <w:szCs w:val="24"/>
          <w:highlight w:val="none"/>
        </w:rPr>
      </w:pPr>
      <w:r>
        <w:rPr>
          <w:rFonts w:hint="eastAsia" w:ascii="宋体" w:hAnsi="宋体" w:eastAsia="宋体" w:cs="宋体"/>
          <w:b/>
          <w:bCs/>
          <w:color w:val="FF0000"/>
          <w:sz w:val="24"/>
          <w:szCs w:val="24"/>
          <w:highlight w:val="none"/>
        </w:rPr>
        <w:t>交货地点为采购人所明确的地点；具体验收时间以实际采购的支队或大队通知为准。（投标文件中提供承诺函加盖投标人公章原件，不接受复印件）。</w:t>
      </w:r>
      <w:r>
        <w:rPr>
          <w:rFonts w:hint="eastAsia" w:ascii="宋体" w:hAnsi="宋体" w:eastAsia="宋体" w:cs="宋体"/>
          <w:color w:val="FF0000"/>
          <w:sz w:val="24"/>
          <w:szCs w:val="24"/>
          <w:highlight w:val="none"/>
        </w:rPr>
        <w:t xml:space="preserve"> </w:t>
      </w:r>
    </w:p>
    <w:p>
      <w:pPr>
        <w:spacing w:line="360" w:lineRule="auto"/>
        <w:ind w:firstLine="480" w:firstLineChars="200"/>
        <w:rPr>
          <w:rFonts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2、所有产品保修服务方式均为投标人上门保修，即由投标人派人员到产品使用现场维修，由此产生的一切费用均由投标人承担。</w:t>
      </w:r>
      <w:r>
        <w:rPr>
          <w:rFonts w:hint="eastAsia" w:ascii="宋体" w:hAnsi="宋体" w:eastAsia="宋体" w:cs="宋体"/>
          <w:b/>
          <w:bCs/>
          <w:color w:val="FF0000"/>
          <w:sz w:val="24"/>
          <w:szCs w:val="24"/>
          <w:highlight w:val="none"/>
        </w:rPr>
        <w:t xml:space="preserve">（投标文件中提供承诺函加盖投标人公章原件，不接受复印件）。 </w:t>
      </w:r>
    </w:p>
    <w:p>
      <w:pPr>
        <w:pStyle w:val="2"/>
        <w:spacing w:before="222" w:line="360" w:lineRule="auto"/>
        <w:ind w:left="212"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3、质量保证及售后服务</w:t>
      </w:r>
    </w:p>
    <w:p>
      <w:pPr>
        <w:pStyle w:val="2"/>
        <w:spacing w:before="222" w:line="360" w:lineRule="auto"/>
        <w:ind w:left="4" w:leftChars="2"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3.1 投标人应按采购文件规定的货物性能、技术要求、质量标准向采购人提供未经使用的全新产品。</w:t>
      </w:r>
    </w:p>
    <w:p>
      <w:pPr>
        <w:pStyle w:val="2"/>
        <w:spacing w:before="222"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3.2 投标人提供的货物质保期具体以投标文件为准且不得低于三年，投标人提供的货物在质保期内因货物本身的质量问题发生故障，投标人应负责免费更换。对超过质保期发生故障的货物，投标人应当负责维修并按照成本价收取零配件费用。对达不到技术要求者，根据实际情况，经双方协商，可按以下办法处理：</w:t>
      </w:r>
    </w:p>
    <w:p>
      <w:pPr>
        <w:pStyle w:val="2"/>
        <w:spacing w:before="223"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⑴更换： 由投标人承担所发生的全部费用。</w:t>
      </w:r>
    </w:p>
    <w:p>
      <w:pPr>
        <w:pStyle w:val="2"/>
        <w:spacing w:before="221"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⑵退货处理：投标人应退还甲方支付的合同款，同时应承担该货物的直接费用（运输、保险、检验）。</w:t>
      </w:r>
    </w:p>
    <w:p>
      <w:pPr>
        <w:pStyle w:val="2"/>
        <w:spacing w:before="41" w:line="360" w:lineRule="auto"/>
        <w:ind w:left="419"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3.3 技术规格、技术要求及其他有关货物的特定信息由合同附件说明。所有合同附件及本项目的招投标文件、谈判文件、中标通知书、协议等均为本合同不可分割之部分。解释的顺序除特别说明外，以文件生成时间在后的为准。</w:t>
      </w:r>
    </w:p>
    <w:bookmarkEnd w:id="11"/>
    <w:p>
      <w:pPr>
        <w:pStyle w:val="2"/>
        <w:spacing w:before="221" w:line="360" w:lineRule="auto"/>
        <w:outlineLvl w:val="2"/>
        <w:rPr>
          <w:rFonts w:ascii="宋体" w:hAnsi="宋体" w:eastAsia="宋体" w:cs="宋体"/>
          <w:color w:val="auto"/>
          <w:sz w:val="30"/>
          <w:szCs w:val="30"/>
          <w:highlight w:val="none"/>
        </w:rPr>
      </w:pPr>
      <w:r>
        <w:rPr>
          <w:rFonts w:hint="eastAsia" w:ascii="宋体" w:hAnsi="宋体" w:eastAsia="宋体" w:cs="宋体"/>
          <w:b/>
          <w:bCs/>
          <w:color w:val="FF0000"/>
          <w:sz w:val="24"/>
          <w:szCs w:val="24"/>
          <w:highlight w:val="none"/>
        </w:rPr>
        <w:t xml:space="preserve">    </w:t>
      </w:r>
      <w:r>
        <w:rPr>
          <w:rFonts w:hint="eastAsia" w:ascii="宋体" w:hAnsi="宋体" w:eastAsia="宋体" w:cs="宋体"/>
          <w:b/>
          <w:bCs/>
          <w:color w:val="FF0000"/>
          <w:sz w:val="24"/>
          <w:szCs w:val="24"/>
          <w:highlight w:val="none"/>
          <w:lang w:val="en-US" w:eastAsia="zh-CN"/>
        </w:rPr>
        <w:t>4</w:t>
      </w:r>
      <w:r>
        <w:rPr>
          <w:rFonts w:hint="eastAsia" w:ascii="宋体" w:hAnsi="宋体" w:eastAsia="宋体" w:cs="宋体"/>
          <w:b/>
          <w:bCs/>
          <w:color w:val="FF0000"/>
          <w:sz w:val="24"/>
          <w:szCs w:val="24"/>
          <w:highlight w:val="none"/>
        </w:rPr>
        <w:t>、投标人所供装备保证是全新的、未使用过的，完全符合合同规定的质量、规格型号和性能要求。保证所提供的装备经正确安装、正常运转和保养，在其使用寿命期内应符合合同约定的性能，并且确保通 过各项检验和测试。在装备质量保证期内，投标人应对由于设计、工艺、材料和配套件缺陷所产生的任何不 足或故障负责。（如因装备质量缺陷等问题导致消防员在使用过程中发生伤亡的，由供应商负责一切后果，并承担法律责任）</w:t>
      </w:r>
    </w:p>
    <w:p>
      <w:pPr>
        <w:pStyle w:val="2"/>
        <w:numPr>
          <w:ilvl w:val="0"/>
          <w:numId w:val="0"/>
        </w:numPr>
        <w:spacing w:line="360" w:lineRule="auto"/>
        <w:outlineLvl w:val="1"/>
        <w:rPr>
          <w:rFonts w:ascii="宋体" w:hAnsi="宋体" w:eastAsia="宋体" w:cs="宋体"/>
          <w:color w:val="auto"/>
          <w:spacing w:val="-1"/>
          <w:sz w:val="24"/>
          <w:szCs w:val="24"/>
          <w:highlight w:val="none"/>
        </w:rPr>
      </w:pPr>
      <w:bookmarkStart w:id="12" w:name="_Toc199"/>
      <w:r>
        <w:rPr>
          <w:rFonts w:hint="eastAsia" w:ascii="宋体" w:hAnsi="宋体" w:eastAsia="宋体" w:cs="宋体"/>
          <w:color w:val="auto"/>
          <w:spacing w:val="-1"/>
          <w:sz w:val="24"/>
          <w:szCs w:val="24"/>
          <w:highlight w:val="none"/>
          <w:lang w:val="en-US" w:eastAsia="zh-CN"/>
        </w:rPr>
        <w:t>四.</w:t>
      </w:r>
      <w:r>
        <w:rPr>
          <w:rFonts w:hint="eastAsia" w:ascii="宋体" w:hAnsi="宋体" w:eastAsia="宋体" w:cs="宋体"/>
          <w:color w:val="auto"/>
          <w:spacing w:val="-1"/>
          <w:sz w:val="24"/>
          <w:szCs w:val="24"/>
          <w:highlight w:val="none"/>
        </w:rPr>
        <w:t>付款方式</w:t>
      </w:r>
      <w:bookmarkEnd w:id="12"/>
    </w:p>
    <w:p>
      <w:pPr>
        <w:pStyle w:val="2"/>
        <w:spacing w:line="360" w:lineRule="auto"/>
        <w:ind w:firstLine="480" w:firstLineChars="200"/>
        <w:outlineLvl w:val="1"/>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签订合同30天内向乙方支付合同总金额30%的价款。乙方按照合同约定交货，并经甲方对合同中所有装备到货验收合格（甲方签署到货验收合格报告）后，凭乙方等额有效发票及甲方签署验收合格报告， 甲方在30天内向乙方支付合同金额70%的价款。</w:t>
      </w:r>
    </w:p>
    <w:p>
      <w:pPr>
        <w:pStyle w:val="2"/>
        <w:spacing w:line="360" w:lineRule="auto"/>
        <w:ind w:firstLine="480" w:firstLineChars="200"/>
        <w:outlineLvl w:val="1"/>
        <w:rPr>
          <w:color w:val="auto"/>
          <w:highlight w:val="none"/>
        </w:rPr>
      </w:pPr>
      <w:r>
        <w:rPr>
          <w:rFonts w:hint="eastAsia" w:ascii="宋体" w:hAnsi="宋体" w:eastAsia="宋体" w:cs="宋体"/>
          <w:color w:val="FF0000"/>
          <w:sz w:val="24"/>
          <w:szCs w:val="24"/>
          <w:highlight w:val="none"/>
        </w:rPr>
        <w:t>当采购数量与实际使用数量不一致时，乙方应根据实际使用量供货，合同的最终结算金额按实际使用量乘以成交单价进行计算。</w:t>
      </w:r>
    </w:p>
    <w:p>
      <w:pPr>
        <w:spacing w:before="265" w:line="360" w:lineRule="auto"/>
        <w:ind w:left="37"/>
        <w:outlineLvl w:val="1"/>
        <w:rPr>
          <w:color w:val="auto"/>
          <w:highlight w:val="none"/>
        </w:rPr>
      </w:pPr>
      <w:bookmarkStart w:id="13" w:name="_Toc14089"/>
      <w:r>
        <w:rPr>
          <w:rFonts w:hint="eastAsia" w:ascii="宋体" w:hAnsi="宋体" w:eastAsia="宋体" w:cs="宋体"/>
          <w:color w:val="auto"/>
          <w:spacing w:val="-1"/>
          <w:sz w:val="24"/>
          <w:szCs w:val="24"/>
          <w:highlight w:val="none"/>
          <w:lang w:val="en-US" w:eastAsia="zh-CN"/>
        </w:rPr>
        <w:t>五.</w:t>
      </w:r>
      <w:r>
        <w:rPr>
          <w:rFonts w:ascii="宋体" w:hAnsi="宋体" w:eastAsia="宋体" w:cs="宋体"/>
          <w:color w:val="auto"/>
          <w:spacing w:val="-1"/>
          <w:sz w:val="24"/>
          <w:szCs w:val="24"/>
          <w:highlight w:val="none"/>
        </w:rPr>
        <w:t>其他</w:t>
      </w:r>
      <w:r>
        <w:rPr>
          <w:rFonts w:ascii="宋体" w:hAnsi="宋体" w:eastAsia="宋体" w:cs="宋体"/>
          <w:color w:val="auto"/>
          <w:sz w:val="24"/>
          <w:szCs w:val="24"/>
          <w:highlight w:val="none"/>
        </w:rPr>
        <w:t>要求</w:t>
      </w:r>
      <w:bookmarkEnd w:id="13"/>
    </w:p>
    <w:p>
      <w:pPr>
        <w:pStyle w:val="2"/>
        <w:spacing w:before="221" w:line="360" w:lineRule="auto"/>
        <w:ind w:firstLine="241" w:firstLineChars="100"/>
        <w:outlineLvl w:val="2"/>
        <w:rPr>
          <w:rFonts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1、投标消防产品必须符合国家标准 ;没有国家标准的，必须符合行业标准。依法实行强制性产品认证的消防产品，必须由具有法定资质的认证机构按照国家标准、行业标准的强制性要求认证合格。新研 制的尚未制定国家标准、行业标准的消防产品，应当按照国务院产品质量监督部门会同国务院应急管理部门规定的办法，经技术鉴定符合消防安全要求。</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iMWViMGYxN2E1OWRjNTUzMDM1MjQzYTgzNDY1NzQifQ=="/>
  </w:docVars>
  <w:rsids>
    <w:rsidRoot w:val="7DD61D6D"/>
    <w:rsid w:val="0605071A"/>
    <w:rsid w:val="1E360D2C"/>
    <w:rsid w:val="47EA4E07"/>
    <w:rsid w:val="723937B0"/>
    <w:rsid w:val="73E60E24"/>
    <w:rsid w:val="7DD61D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楷体_GB2312" w:eastAsia="楷体_GB2312"/>
      <w:sz w:val="28"/>
      <w:szCs w:val="20"/>
    </w:rPr>
  </w:style>
  <w:style w:type="table" w:customStyle="1" w:styleId="5">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2024-01-12T05:26:00Z</dcterms:created>
  <dc:creator>花花  </dc:creator>
  <cp:lastModifiedBy>花花  </cp:lastModifiedBy>
  <dcterms:modified xsi:type="dcterms:W3CDTF">2024-01-12T05:27:17Z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4415B73E07DF4C04816E9B6E9143E7A6_11</vt:lpwstr>
  </property>
</Properties>
</file>