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spacing w:before="936" w:beforeLines="300"/>
        <w:jc w:val="center"/>
        <w:rPr>
          <w:rFonts w:hint="eastAsia"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p>
      <w:pPr>
        <w:numPr>
          <w:ilvl w:val="2"/>
          <w:numId w:val="1"/>
        </w:num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货物需求一览表</w:t>
      </w:r>
    </w:p>
    <w:p>
      <w:pPr>
        <w:adjustRightInd w:val="0"/>
        <w:snapToGrid w:val="0"/>
        <w:jc w:val="center"/>
        <w:rPr>
          <w:rFonts w:hint="eastAsia" w:ascii="宋体" w:hAnsi="宋体"/>
          <w:b/>
          <w:color w:val="auto"/>
          <w:sz w:val="30"/>
          <w:szCs w:val="30"/>
          <w:highlight w:val="none"/>
        </w:rPr>
      </w:pPr>
    </w:p>
    <w:tbl>
      <w:tblPr>
        <w:tblStyle w:val="4"/>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640"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635"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320"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765"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指定到货港</w:t>
            </w:r>
          </w:p>
        </w:tc>
        <w:tc>
          <w:tcPr>
            <w:tcW w:w="2520" w:type="dxa"/>
            <w:noWrap w:val="0"/>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color w:val="auto"/>
                <w:sz w:val="24"/>
                <w:highlight w:val="none"/>
              </w:rPr>
            </w:pPr>
            <w:r>
              <w:rPr>
                <w:rFonts w:hint="eastAsia" w:ascii="宋体"/>
                <w:color w:val="auto"/>
                <w:sz w:val="24"/>
                <w:highlight w:val="none"/>
              </w:rPr>
              <w:t>1</w:t>
            </w:r>
          </w:p>
        </w:tc>
        <w:tc>
          <w:tcPr>
            <w:tcW w:w="2640" w:type="dxa"/>
            <w:noWrap w:val="0"/>
            <w:vAlign w:val="center"/>
          </w:tcPr>
          <w:p>
            <w:pPr>
              <w:jc w:val="center"/>
              <w:rPr>
                <w:rFonts w:hint="eastAsia" w:ascii="Bookman Old Style" w:hAnsi="Bookman Old Style"/>
                <w:color w:val="auto"/>
                <w:sz w:val="24"/>
                <w:highlight w:val="none"/>
              </w:rPr>
            </w:pPr>
            <w:r>
              <w:rPr>
                <w:rFonts w:hint="eastAsia" w:ascii="Bookman Old Style" w:hAnsi="Bookman Old Style"/>
                <w:color w:val="auto"/>
                <w:sz w:val="24"/>
                <w:highlight w:val="none"/>
              </w:rPr>
              <w:t>电感耦合等离子体三重串联四极杆质谱仪</w:t>
            </w:r>
          </w:p>
        </w:tc>
        <w:tc>
          <w:tcPr>
            <w:tcW w:w="635"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1</w:t>
            </w:r>
          </w:p>
        </w:tc>
        <w:tc>
          <w:tcPr>
            <w:tcW w:w="5605" w:type="dxa"/>
            <w:gridSpan w:val="3"/>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详见采购需求</w:t>
            </w:r>
          </w:p>
        </w:tc>
      </w:tr>
    </w:tbl>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tabs>
          <w:tab w:val="left" w:pos="720"/>
        </w:tabs>
        <w:adjustRightInd w:val="0"/>
        <w:snapToGrid w:val="0"/>
        <w:jc w:val="center"/>
        <w:rPr>
          <w:rFonts w:hint="eastAsia" w:hAnsi="宋体"/>
          <w:b/>
          <w:color w:val="auto"/>
          <w:sz w:val="24"/>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color w:val="auto"/>
          <w:sz w:val="24"/>
          <w:highlight w:val="none"/>
        </w:rPr>
        <w:t>选件一旦为用户接受，其费用将加入合同价中。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hint="eastAsia" w:eastAsia="黑体"/>
          <w:b/>
          <w:bCs/>
          <w:color w:val="auto"/>
          <w:kern w:val="44"/>
          <w:sz w:val="24"/>
          <w:highlight w:val="none"/>
        </w:rPr>
      </w:pP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color w:val="auto"/>
          <w:sz w:val="24"/>
          <w:szCs w:val="24"/>
          <w:highlight w:val="none"/>
        </w:rPr>
      </w:pPr>
    </w:p>
    <w:p>
      <w:pPr>
        <w:pStyle w:val="2"/>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2"/>
        <w:spacing w:line="360" w:lineRule="auto"/>
        <w:rPr>
          <w:rFonts w:hint="eastAsia" w:hAnsi="宋体"/>
          <w:b/>
          <w:color w:val="auto"/>
          <w:sz w:val="24"/>
          <w:szCs w:val="24"/>
          <w:highlight w:val="none"/>
        </w:rPr>
      </w:pPr>
    </w:p>
    <w:p>
      <w:pPr>
        <w:pStyle w:val="2"/>
        <w:spacing w:line="360" w:lineRule="auto"/>
        <w:rPr>
          <w:rFonts w:hint="eastAsia" w:hAnsi="宋体"/>
          <w:b/>
          <w:color w:val="auto"/>
          <w:sz w:val="28"/>
          <w:highlight w:val="none"/>
        </w:rPr>
      </w:pPr>
      <w:r>
        <w:rPr>
          <w:rFonts w:hint="eastAsia" w:hAnsi="宋体"/>
          <w:b/>
          <w:color w:val="auto"/>
          <w:sz w:val="24"/>
          <w:szCs w:val="24"/>
          <w:highlight w:val="none"/>
        </w:rPr>
        <w:t>6、如在具体技术规格中有本总则不一致之处，以具体技术规格中的要求为准。</w:t>
      </w:r>
      <w:r>
        <w:rPr>
          <w:rFonts w:hAnsi="宋体"/>
          <w:b/>
          <w:color w:val="auto"/>
          <w:sz w:val="28"/>
          <w:highlight w:val="none"/>
        </w:rPr>
        <w:br w:type="page"/>
      </w:r>
      <w:r>
        <w:rPr>
          <w:rFonts w:hint="eastAsia" w:hAnsi="宋体"/>
          <w:b/>
          <w:color w:val="auto"/>
          <w:sz w:val="28"/>
          <w:highlight w:val="none"/>
        </w:rPr>
        <w:t>三、具体技术规格</w:t>
      </w:r>
    </w:p>
    <w:p>
      <w:pPr>
        <w:rPr>
          <w:rFonts w:hint="eastAsia"/>
          <w:color w:val="auto"/>
          <w:sz w:val="24"/>
          <w:highlight w:val="none"/>
        </w:rPr>
      </w:pPr>
    </w:p>
    <w:p>
      <w:pPr>
        <w:jc w:val="center"/>
        <w:rPr>
          <w:rFonts w:hint="eastAsia"/>
          <w:b/>
          <w:color w:val="auto"/>
          <w:sz w:val="24"/>
          <w:highlight w:val="none"/>
        </w:rPr>
      </w:pPr>
      <w:r>
        <w:rPr>
          <w:rFonts w:hint="eastAsia"/>
          <w:b/>
          <w:color w:val="auto"/>
          <w:sz w:val="24"/>
          <w:highlight w:val="none"/>
        </w:rPr>
        <w:t>第1包 电感耦合等离子体三重串联四极杆质谱仪</w:t>
      </w:r>
    </w:p>
    <w:p>
      <w:pPr>
        <w:rPr>
          <w:rFonts w:hint="eastAsia"/>
          <w:b/>
          <w:color w:val="auto"/>
          <w:sz w:val="24"/>
          <w:highlight w:val="none"/>
        </w:rPr>
      </w:pPr>
    </w:p>
    <w:p>
      <w:pPr>
        <w:rPr>
          <w:rFonts w:hint="eastAsia"/>
          <w:b/>
          <w:color w:val="auto"/>
          <w:sz w:val="24"/>
          <w:highlight w:val="none"/>
        </w:rPr>
      </w:pPr>
      <w:bookmarkStart w:id="0" w:name="_Hlk143855944"/>
    </w:p>
    <w:p>
      <w:pPr>
        <w:numPr>
          <w:ilvl w:val="0"/>
          <w:numId w:val="2"/>
        </w:numPr>
        <w:rPr>
          <w:rFonts w:hint="eastAsia" w:ascii="宋体" w:hAnsi="宋体" w:cs="宋体"/>
          <w:b/>
          <w:color w:val="auto"/>
          <w:sz w:val="24"/>
          <w:highlight w:val="none"/>
        </w:rPr>
      </w:pPr>
      <w:r>
        <w:rPr>
          <w:rFonts w:hint="eastAsia" w:ascii="宋体" w:hAnsi="宋体" w:cs="宋体"/>
          <w:b/>
          <w:color w:val="auto"/>
          <w:sz w:val="24"/>
          <w:highlight w:val="none"/>
        </w:rPr>
        <w:t>技术要求：</w:t>
      </w:r>
    </w:p>
    <w:p>
      <w:pPr>
        <w:rPr>
          <w:rFonts w:hint="eastAsia" w:ascii="宋体" w:hAnsi="宋体" w:cs="宋体"/>
          <w:b/>
          <w:color w:val="auto"/>
          <w:sz w:val="24"/>
          <w:highlight w:val="none"/>
        </w:rPr>
      </w:pPr>
    </w:p>
    <w:p>
      <w:pPr>
        <w:numPr>
          <w:ilvl w:val="0"/>
          <w:numId w:val="3"/>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工作条件：</w:t>
      </w:r>
    </w:p>
    <w:p>
      <w:pPr>
        <w:spacing w:line="360" w:lineRule="auto"/>
        <w:rPr>
          <w:rFonts w:ascii="宋体" w:hAnsi="宋体"/>
          <w:color w:val="auto"/>
          <w:sz w:val="24"/>
          <w:highlight w:val="none"/>
        </w:rPr>
      </w:pPr>
      <w:r>
        <w:rPr>
          <w:rFonts w:hint="eastAsia" w:ascii="宋体" w:hAnsi="宋体" w:cs="宋体"/>
          <w:color w:val="auto"/>
          <w:sz w:val="24"/>
          <w:highlight w:val="none"/>
        </w:rPr>
        <w:t>1.1</w:t>
      </w:r>
      <w:r>
        <w:rPr>
          <w:rFonts w:hint="eastAsia" w:ascii="宋体" w:hAnsi="宋体"/>
          <w:color w:val="auto"/>
          <w:sz w:val="24"/>
          <w:highlight w:val="none"/>
        </w:rPr>
        <w:t>温度：室温15-30℃</w:t>
      </w:r>
    </w:p>
    <w:p>
      <w:pPr>
        <w:spacing w:line="360" w:lineRule="auto"/>
        <w:rPr>
          <w:rFonts w:ascii="宋体" w:hAnsi="宋体" w:cs="宋体"/>
          <w:color w:val="auto"/>
          <w:position w:val="-14"/>
          <w:sz w:val="24"/>
          <w:highlight w:val="none"/>
        </w:rPr>
      </w:pPr>
      <w:r>
        <w:rPr>
          <w:rFonts w:hint="eastAsia" w:ascii="宋体" w:hAnsi="宋体"/>
          <w:color w:val="auto"/>
          <w:sz w:val="24"/>
          <w:highlight w:val="none"/>
        </w:rPr>
        <w:t>1</w:t>
      </w:r>
      <w:r>
        <w:rPr>
          <w:rFonts w:ascii="宋体" w:hAnsi="宋体"/>
          <w:color w:val="auto"/>
          <w:sz w:val="24"/>
          <w:highlight w:val="none"/>
        </w:rPr>
        <w:t>.2</w:t>
      </w:r>
      <w:r>
        <w:rPr>
          <w:rFonts w:hint="eastAsia" w:ascii="宋体" w:hAnsi="宋体"/>
          <w:color w:val="auto"/>
          <w:sz w:val="24"/>
          <w:highlight w:val="none"/>
        </w:rPr>
        <w:t>相对湿度：20-80%</w:t>
      </w:r>
    </w:p>
    <w:p>
      <w:pPr>
        <w:pStyle w:val="6"/>
        <w:spacing w:line="360" w:lineRule="auto"/>
        <w:ind w:firstLine="0" w:firstLineChars="0"/>
        <w:rPr>
          <w:rFonts w:ascii="宋体" w:hAnsi="宋体"/>
          <w:color w:val="auto"/>
          <w:sz w:val="24"/>
          <w:highlight w:val="none"/>
        </w:rPr>
      </w:pPr>
      <w:r>
        <w:rPr>
          <w:rFonts w:ascii="宋体" w:hAnsi="宋体"/>
          <w:color w:val="auto"/>
          <w:sz w:val="24"/>
          <w:highlight w:val="none"/>
        </w:rPr>
        <w:t>1.3</w:t>
      </w:r>
      <w:r>
        <w:rPr>
          <w:rFonts w:hint="eastAsia" w:ascii="宋体" w:hAnsi="宋体"/>
          <w:color w:val="auto"/>
          <w:sz w:val="24"/>
          <w:highlight w:val="none"/>
        </w:rPr>
        <w:t>电压220V</w:t>
      </w:r>
    </w:p>
    <w:p>
      <w:pPr>
        <w:spacing w:line="360" w:lineRule="auto"/>
        <w:rPr>
          <w:rFonts w:hint="eastAsia" w:ascii="宋体" w:hAnsi="宋体" w:cs="宋体"/>
          <w:color w:val="auto"/>
          <w:sz w:val="24"/>
          <w:highlight w:val="none"/>
        </w:rPr>
      </w:pPr>
    </w:p>
    <w:p>
      <w:pPr>
        <w:numPr>
          <w:ilvl w:val="0"/>
          <w:numId w:val="3"/>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设备用途：</w:t>
      </w:r>
    </w:p>
    <w:p>
      <w:pPr>
        <w:spacing w:line="360" w:lineRule="auto"/>
        <w:ind w:firstLine="420"/>
        <w:rPr>
          <w:color w:val="auto"/>
          <w:highlight w:val="none"/>
        </w:rPr>
      </w:pPr>
      <w:r>
        <w:rPr>
          <w:rFonts w:hint="eastAsia" w:ascii="宋体" w:hAnsi="宋体" w:cs="宋体"/>
          <w:color w:val="auto"/>
          <w:sz w:val="24"/>
          <w:highlight w:val="none"/>
        </w:rPr>
        <w:t>电感耦合等离子体三重串联四极杆质谱仪适用于多种金属及非金属元素尤其是放射性元素及其同位素的高通量、确证分析，检测灵敏度高，分析速度快，背景噪音低，消除干扰效果好，化学分辨率高，可以解决各类复杂样品及高干扰样品中元素含量的精确分析,尤其是材料中重金属、硫、磷、硅及稀土元素的分析，仪器性能稳定耐用。适合于复杂基质及高盐度样品的分析，还可与液相色谱仪、气相色谱仪或毛细管电泳仪等色谱技术联用，适合于食品、材料中砷、汞、铬、铅等元素形态、价态的分析。可广泛运用于环境、食品、材料、地质、核科学、生物学、医药学、化学计量学等领域的研究中。</w:t>
      </w:r>
    </w:p>
    <w:p>
      <w:pPr>
        <w:spacing w:line="360" w:lineRule="auto"/>
        <w:rPr>
          <w:rFonts w:hint="eastAsia" w:ascii="宋体" w:hAnsi="宋体" w:cs="宋体"/>
          <w:color w:val="auto"/>
          <w:sz w:val="24"/>
          <w:highlight w:val="none"/>
        </w:rPr>
      </w:pPr>
    </w:p>
    <w:p>
      <w:pPr>
        <w:numPr>
          <w:ilvl w:val="0"/>
          <w:numId w:val="3"/>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技术规格：</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 主机部分</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 进样系统</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3.1.1.1具备低样品流速的高性能进样系统及耐高基体接口。</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3.1.1.2配置高基体自动稀释装置，适合于高盐量样品连续稳定分析。</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3.1.1.3雾化器: 耐高盐、高精度、高效同心雾化器。</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3.1.1.4雾化室: 石英材质，低记忆效应，配置高效半导体控温装置，控温温度连续可调，制冷温度-3℃-15℃。（需提供图片证明所提供设备具备控温装置）</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3.1.2 等离子体及射频发生器</w:t>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w:t>
      </w:r>
      <w:r>
        <w:rPr>
          <w:rFonts w:hint="eastAsia" w:ascii="宋体" w:hAnsi="宋体" w:cs="宋体"/>
          <w:color w:val="auto"/>
          <w:sz w:val="24"/>
          <w:highlight w:val="none"/>
        </w:rPr>
        <w:t>3.1.2.1配备高速射频匹配的RF发生器及屏蔽炬系统或其他类似技术，可变频设计。</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*3.1.2.2射频功率最高可达1.6 kW，为保证仪器灵敏度，射频频率需≥27MHz。 </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3.1.2.3等离子体炬位调整，由计算机自动三维(X，Y，Z方向)控制。</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3.1.3 气体控制器ICP-MS：主机配置由软件控制的高精度电子气体流量控制器，控制包括冷却气、辅助气、混合气、载气以及4路以上碰撞气反应气等工作气体，控制的气路不少于8路。（需提供仪器气路图片证明）</w:t>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 </w:t>
      </w:r>
      <w:r>
        <w:rPr>
          <w:rFonts w:hint="eastAsia" w:ascii="宋体" w:hAnsi="宋体" w:cs="宋体"/>
          <w:color w:val="auto"/>
          <w:sz w:val="24"/>
          <w:highlight w:val="none"/>
        </w:rPr>
        <w:t>3.1.4 接口：采样锥孔径≤1.0mm，截取锥孔径≤0.48mm。要求减少高基体样品进入仪器真空腔，保持质谱系统长期稳定，减少真空腔内的维护。</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3.1.5透镜系统：配备提取透镜及离轴偏转透镜或四级杆偏转透镜来消除中性干扰，透镜组维护时无需关闭真空系统；免维护仪器，透镜永不更换。具有≥一次90°偏转的中性过滤系统，保证最低背景噪音。</w:t>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 </w:t>
      </w:r>
      <w:r>
        <w:rPr>
          <w:rFonts w:hint="eastAsia" w:ascii="宋体" w:hAnsi="宋体" w:cs="宋体"/>
          <w:color w:val="auto"/>
          <w:sz w:val="24"/>
          <w:highlight w:val="none"/>
        </w:rPr>
        <w:t>3.1.6 一级质谱（质量分析器）：在碰撞反应池之前具有四极杆Q1，双曲面四级杆，且在这一质量分辨率下灵敏度大于500 Mcps/ppm。与检测器前的双曲面四级杆外观长短功能均一致，可实现精确质量数筛选，分辨率优于1amu，质量范围Q1: 2-260 amu；（需提供图片证明此四级杆与检测器前的四级杆质量分析器外观功能完全一致）。</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3.1.7碰撞/反应池系统</w:t>
      </w:r>
    </w:p>
    <w:p>
      <w:pPr>
        <w:spacing w:line="360" w:lineRule="auto"/>
        <w:rPr>
          <w:rFonts w:hint="eastAsia" w:ascii="宋体" w:hAnsi="宋体" w:cs="宋体"/>
          <w:color w:val="auto"/>
          <w:sz w:val="24"/>
          <w:highlight w:val="none"/>
        </w:rPr>
      </w:pPr>
      <w:r>
        <w:rPr>
          <w:rFonts w:hint="eastAsia"/>
          <w:b/>
          <w:bCs/>
          <w:color w:val="auto"/>
          <w:sz w:val="24"/>
          <w:highlight w:val="none"/>
          <w:lang w:val="en-AU"/>
        </w:rPr>
        <w:t>*</w:t>
      </w:r>
      <w:r>
        <w:rPr>
          <w:rFonts w:hint="eastAsia" w:ascii="宋体" w:hAnsi="宋体" w:cs="宋体"/>
          <w:color w:val="auto"/>
          <w:sz w:val="24"/>
          <w:highlight w:val="none"/>
        </w:rPr>
        <w:t>3.1.7.1具有温度控制的多级杆碰撞/反应池系统，适合于多种工作气体，可实现不同气体和工作模式的全自动切换。</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3.1.7.2反应池在一次进样分析中可以同时使用氢气、氨气、氦气及氧气，反应气切换时间小于10s。</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3.1.7.3 碰撞反应池气体流量 &lt;10ml/min</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3.1.8 二级质谱（质量分析器）</w:t>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 </w:t>
      </w:r>
      <w:r>
        <w:rPr>
          <w:rFonts w:hint="eastAsia" w:ascii="宋体" w:hAnsi="宋体" w:cs="宋体"/>
          <w:color w:val="auto"/>
          <w:sz w:val="24"/>
          <w:highlight w:val="none"/>
        </w:rPr>
        <w:t>3.1.8.1配备双曲面四级杆，驱动射频不低于2.8 MHz。</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3.1.8.2质量范围Q2: 2-275amu。</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3.1.9 检测器</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3.1.9.1配备电子倍增检测器，具备脉冲和模拟数据采集模式。</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3.1.9.2可提供10个数量级的线性动态范围。</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3.1.10 真空系统：具有高性能真空系统，从停机状态到分析状态时间小于20分钟，维护简单。仪器内部具备两个分子涡轮泵（其中一个为两个出口的叉分式涡轮泵），两个涡轮泵一共三个出口。(需提供官方彩页进行证明)</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3.1.11 液相联机接口：可与液相色谱仪实现一体化联用，具备一体化的设置和操作,可不使用液相软件直接控制联机分析过程，可使用ICP-MS软件控制液相泵、自动进样器、柱温箱等。并且ICP-MS需与液相色谱为同一品牌（非贴牌）以实现简易的软件操作以及后期的技术支持。</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3.1.12 高盐高固含量自动稀释装置</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3.1.12.1高盐或高固含量样品自动稀释系统，稀释方式可以为液体自动稀释或气体自动稀释，可以实现25%以上盐分样品长时间直接进样分析。（需提供仪器硬件图片证明具有除主机标配外的液体稀释或者气体稀释配件）</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3.1.12.2 高基体进样模式下 (CeO+/Ce+):</w:t>
      </w:r>
      <w:r>
        <w:rPr>
          <w:color w:val="auto"/>
          <w:szCs w:val="21"/>
          <w:highlight w:val="none"/>
        </w:rPr>
        <w:sym w:font="Symbol" w:char="F0A3"/>
      </w:r>
      <w:r>
        <w:rPr>
          <w:rFonts w:hint="eastAsia"/>
          <w:color w:val="auto"/>
          <w:szCs w:val="21"/>
          <w:highlight w:val="none"/>
        </w:rPr>
        <w:t xml:space="preserve"> </w:t>
      </w:r>
      <w:r>
        <w:rPr>
          <w:rFonts w:hint="eastAsia" w:ascii="宋体" w:hAnsi="宋体" w:cs="宋体"/>
          <w:color w:val="auto"/>
          <w:sz w:val="24"/>
          <w:highlight w:val="none"/>
        </w:rPr>
        <w:t>0.3 %</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3.2 工作站用计算机配置: 主流计算机配置, 不低于22吋液晶显示器，激光打印机。</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3.3 软件</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3.3.1提供中英文版工作软件，可供用户选择。</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3.3.2 操作系统: Microsoft® Windows 7以上操作系统。</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3.3.3 工作站软件具有全自动调谐及打印所有仪器工作参数报告功能，数据分析窗口简单清楚，一览式数据列表，提供与样品测定同步实时更新的序列计算结果等。</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3.3.4 可进行气相、液相色谱联用的控制及数据处理，具有实时显示和实时分析功能。</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3.3.5 具有用户自定义报告格式功能。</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3.4 外设部分：配备与仪器配套使用的冷却循环水装置，满足仪器的正常使用要求。</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 性能指标（所有指标同一模式检测）</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3.5.1 常规分析灵敏度</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3.5.1.1 低质量数元素Li(7)或Be（9）:</w:t>
      </w:r>
      <w:r>
        <w:rPr>
          <w:color w:val="auto"/>
          <w:szCs w:val="21"/>
          <w:highlight w:val="none"/>
        </w:rPr>
        <w:t xml:space="preserve"> </w:t>
      </w:r>
      <w:r>
        <w:rPr>
          <w:color w:val="auto"/>
          <w:szCs w:val="21"/>
          <w:highlight w:val="none"/>
        </w:rPr>
        <w:sym w:font="Symbol" w:char="F0B3"/>
      </w:r>
      <w:r>
        <w:rPr>
          <w:rFonts w:hint="eastAsia" w:ascii="宋体" w:hAnsi="宋体" w:cs="宋体"/>
          <w:color w:val="auto"/>
          <w:sz w:val="24"/>
          <w:highlight w:val="none"/>
        </w:rPr>
        <w:t>150 Mcps/ppm</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3.5.1.2 中质量数元素Y(89)或In（115）: </w:t>
      </w:r>
      <w:r>
        <w:rPr>
          <w:color w:val="auto"/>
          <w:szCs w:val="21"/>
          <w:highlight w:val="none"/>
        </w:rPr>
        <w:sym w:font="Symbol" w:char="F0B3"/>
      </w:r>
      <w:r>
        <w:rPr>
          <w:rFonts w:hint="eastAsia" w:ascii="宋体" w:hAnsi="宋体" w:cs="宋体"/>
          <w:color w:val="auto"/>
          <w:sz w:val="24"/>
          <w:highlight w:val="none"/>
        </w:rPr>
        <w:t xml:space="preserve"> 500 Mcps/ppm</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3.5.1.3 重质量数元素Tl(205)或Th（232）:</w:t>
      </w:r>
      <w:r>
        <w:rPr>
          <w:color w:val="auto"/>
          <w:szCs w:val="21"/>
          <w:highlight w:val="none"/>
        </w:rPr>
        <w:t xml:space="preserve"> </w:t>
      </w:r>
      <w:r>
        <w:rPr>
          <w:color w:val="auto"/>
          <w:szCs w:val="21"/>
          <w:highlight w:val="none"/>
        </w:rPr>
        <w:sym w:font="Symbol" w:char="F0B3"/>
      </w:r>
      <w:r>
        <w:rPr>
          <w:rFonts w:hint="eastAsia" w:ascii="宋体" w:hAnsi="宋体" w:cs="宋体"/>
          <w:color w:val="auto"/>
          <w:sz w:val="24"/>
          <w:highlight w:val="none"/>
        </w:rPr>
        <w:t xml:space="preserve">  300 Mcps/ppm</w:t>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w:t>
      </w:r>
      <w:r>
        <w:rPr>
          <w:rFonts w:hint="eastAsia" w:ascii="宋体" w:hAnsi="宋体" w:cs="宋体"/>
          <w:color w:val="auto"/>
          <w:sz w:val="24"/>
          <w:highlight w:val="none"/>
        </w:rPr>
        <w:t>3.5.2 背景:</w:t>
      </w:r>
      <w:r>
        <w:rPr>
          <w:color w:val="auto"/>
          <w:szCs w:val="21"/>
          <w:highlight w:val="none"/>
        </w:rPr>
        <w:t xml:space="preserve"> </w:t>
      </w:r>
      <w:r>
        <w:rPr>
          <w:color w:val="auto"/>
          <w:szCs w:val="21"/>
          <w:highlight w:val="none"/>
        </w:rPr>
        <w:sym w:font="Symbol" w:char="F0A3"/>
      </w:r>
      <w:r>
        <w:rPr>
          <w:rFonts w:hint="eastAsia"/>
          <w:color w:val="auto"/>
          <w:szCs w:val="21"/>
          <w:highlight w:val="none"/>
        </w:rPr>
        <w:t xml:space="preserve"> 0.3 cps</w:t>
      </w:r>
      <w:r>
        <w:rPr>
          <w:rFonts w:hint="eastAsia" w:ascii="宋体" w:hAnsi="宋体" w:cs="宋体"/>
          <w:color w:val="auto"/>
          <w:sz w:val="24"/>
          <w:highlight w:val="none"/>
        </w:rPr>
        <w:t xml:space="preserve">）（在质量数9，即元素Be处测定实际背景）或背景: </w:t>
      </w:r>
      <w:r>
        <w:rPr>
          <w:color w:val="auto"/>
          <w:szCs w:val="21"/>
          <w:highlight w:val="none"/>
        </w:rPr>
        <w:sym w:font="Symbol" w:char="F0A3"/>
      </w:r>
      <w:r>
        <w:rPr>
          <w:color w:val="auto"/>
          <w:szCs w:val="21"/>
          <w:highlight w:val="none"/>
        </w:rPr>
        <w:t xml:space="preserve"> </w:t>
      </w:r>
      <w:r>
        <w:rPr>
          <w:rFonts w:hint="eastAsia" w:ascii="宋体" w:hAnsi="宋体" w:cs="宋体"/>
          <w:color w:val="auto"/>
          <w:sz w:val="24"/>
          <w:highlight w:val="none"/>
        </w:rPr>
        <w:t>0.1 cps（在质量数为220amu或4.5amu无元素处测定的背景）</w:t>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w:t>
      </w:r>
      <w:r>
        <w:rPr>
          <w:rFonts w:hint="eastAsia" w:ascii="宋体" w:hAnsi="宋体" w:cs="宋体"/>
          <w:color w:val="auto"/>
          <w:sz w:val="24"/>
          <w:highlight w:val="none"/>
        </w:rPr>
        <w:t>3.5.3 氧化物离子(CeO+/Ce+):</w:t>
      </w:r>
      <w:r>
        <w:rPr>
          <w:color w:val="auto"/>
          <w:szCs w:val="21"/>
          <w:highlight w:val="none"/>
        </w:rPr>
        <w:sym w:font="Symbol" w:char="F0A3"/>
      </w:r>
      <w:r>
        <w:rPr>
          <w:rFonts w:hint="eastAsia"/>
          <w:color w:val="auto"/>
          <w:szCs w:val="21"/>
          <w:highlight w:val="none"/>
        </w:rPr>
        <w:t xml:space="preserve"> </w:t>
      </w:r>
      <w:r>
        <w:rPr>
          <w:rFonts w:hint="eastAsia" w:ascii="宋体" w:hAnsi="宋体" w:cs="宋体"/>
          <w:color w:val="auto"/>
          <w:sz w:val="24"/>
          <w:highlight w:val="none"/>
        </w:rPr>
        <w:t>1.8%</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3.5.4 双电荷离子(Ce2+/Ce+):</w:t>
      </w:r>
      <w:r>
        <w:rPr>
          <w:color w:val="auto"/>
          <w:szCs w:val="21"/>
          <w:highlight w:val="none"/>
        </w:rPr>
        <w:sym w:font="Symbol" w:char="F0A3"/>
      </w:r>
      <w:r>
        <w:rPr>
          <w:rFonts w:hint="eastAsia" w:ascii="宋体" w:hAnsi="宋体" w:cs="宋体"/>
          <w:color w:val="auto"/>
          <w:sz w:val="24"/>
          <w:highlight w:val="none"/>
        </w:rPr>
        <w:t xml:space="preserve"> 3%</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3.5.5 丰度灵敏度（需提供官方指标证明）</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3.5.5.1 低质量端:  1 x 10</w:t>
      </w:r>
      <w:r>
        <w:rPr>
          <w:rFonts w:hint="eastAsia" w:ascii="宋体" w:hAnsi="宋体" w:cs="宋体"/>
          <w:color w:val="auto"/>
          <w:sz w:val="24"/>
          <w:highlight w:val="none"/>
          <w:vertAlign w:val="superscript"/>
        </w:rPr>
        <w:t>-9</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3.5.5.2 高质量端:  1 x 10</w:t>
      </w:r>
      <w:r>
        <w:rPr>
          <w:rFonts w:hint="eastAsia" w:ascii="宋体" w:hAnsi="宋体" w:cs="宋体"/>
          <w:color w:val="auto"/>
          <w:sz w:val="24"/>
          <w:highlight w:val="none"/>
          <w:vertAlign w:val="superscript"/>
        </w:rPr>
        <w:t>-9</w:t>
      </w:r>
      <w:r>
        <w:rPr>
          <w:rFonts w:hint="eastAsia" w:ascii="宋体" w:hAnsi="宋体" w:cs="宋体"/>
          <w:color w:val="auto"/>
          <w:sz w:val="24"/>
          <w:highlight w:val="none"/>
        </w:rPr>
        <w:t xml:space="preserve"> </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3.5.6 检测限</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3.5.6.1 低质量数元素Li(7)或Be（9）: </w:t>
      </w:r>
      <w:r>
        <w:rPr>
          <w:color w:val="auto"/>
          <w:szCs w:val="21"/>
          <w:highlight w:val="none"/>
        </w:rPr>
        <w:sym w:font="Symbol" w:char="F0A3"/>
      </w:r>
      <w:r>
        <w:rPr>
          <w:rFonts w:hint="eastAsia"/>
          <w:color w:val="auto"/>
          <w:szCs w:val="21"/>
          <w:highlight w:val="none"/>
        </w:rPr>
        <w:t xml:space="preserve"> </w:t>
      </w:r>
      <w:r>
        <w:rPr>
          <w:rFonts w:hint="eastAsia" w:ascii="宋体" w:hAnsi="宋体" w:cs="宋体"/>
          <w:color w:val="auto"/>
          <w:sz w:val="24"/>
          <w:highlight w:val="none"/>
        </w:rPr>
        <w:t xml:space="preserve"> 0.1 ppt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3.5.6.2 中质量数元素Y(89)或In（115）: </w:t>
      </w:r>
      <w:r>
        <w:rPr>
          <w:color w:val="auto"/>
          <w:szCs w:val="21"/>
          <w:highlight w:val="none"/>
        </w:rPr>
        <w:sym w:font="Symbol" w:char="F0A3"/>
      </w:r>
      <w:r>
        <w:rPr>
          <w:rFonts w:hint="eastAsia"/>
          <w:color w:val="auto"/>
          <w:szCs w:val="21"/>
          <w:highlight w:val="none"/>
        </w:rPr>
        <w:t xml:space="preserve"> </w:t>
      </w:r>
      <w:r>
        <w:rPr>
          <w:rFonts w:hint="eastAsia" w:ascii="宋体" w:hAnsi="宋体" w:cs="宋体"/>
          <w:color w:val="auto"/>
          <w:sz w:val="24"/>
          <w:highlight w:val="none"/>
        </w:rPr>
        <w:t xml:space="preserve"> 0.05 ppt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3.5.6.3 重质量数元素Bi(209)或U（238）: </w:t>
      </w:r>
      <w:r>
        <w:rPr>
          <w:color w:val="auto"/>
          <w:szCs w:val="21"/>
          <w:highlight w:val="none"/>
        </w:rPr>
        <w:sym w:font="Symbol" w:char="F0A3"/>
      </w:r>
      <w:r>
        <w:rPr>
          <w:rFonts w:hint="eastAsia"/>
          <w:color w:val="auto"/>
          <w:szCs w:val="21"/>
          <w:highlight w:val="none"/>
        </w:rPr>
        <w:t xml:space="preserve"> </w:t>
      </w:r>
      <w:r>
        <w:rPr>
          <w:rFonts w:hint="eastAsia" w:ascii="宋体" w:hAnsi="宋体" w:cs="宋体"/>
          <w:color w:val="auto"/>
          <w:sz w:val="24"/>
          <w:highlight w:val="none"/>
        </w:rPr>
        <w:t xml:space="preserve"> 0.05 ppt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3.5.7 碰撞反应池检出限：</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3.5.7.1 P:</w:t>
      </w:r>
      <w:r>
        <w:rPr>
          <w:rFonts w:ascii="宋体" w:hAnsi="宋体" w:cs="宋体"/>
          <w:color w:val="auto"/>
          <w:sz w:val="24"/>
          <w:highlight w:val="none"/>
        </w:rPr>
        <w:t xml:space="preserve"> </w:t>
      </w:r>
      <w:r>
        <w:rPr>
          <w:rFonts w:ascii="宋体" w:hAnsi="宋体" w:cs="宋体"/>
          <w:color w:val="auto"/>
          <w:sz w:val="24"/>
          <w:highlight w:val="none"/>
        </w:rPr>
        <w:sym w:font="Symbol" w:char="F0A3"/>
      </w:r>
      <w:r>
        <w:rPr>
          <w:rFonts w:ascii="宋体" w:hAnsi="宋体" w:cs="宋体"/>
          <w:color w:val="auto"/>
          <w:sz w:val="24"/>
          <w:highlight w:val="none"/>
        </w:rPr>
        <w:t xml:space="preserve"> </w:t>
      </w:r>
      <w:r>
        <w:rPr>
          <w:rFonts w:hint="eastAsia" w:ascii="宋体" w:hAnsi="宋体" w:cs="宋体"/>
          <w:color w:val="auto"/>
          <w:sz w:val="24"/>
          <w:highlight w:val="none"/>
        </w:rPr>
        <w:t>50</w:t>
      </w:r>
      <w:r>
        <w:rPr>
          <w:rFonts w:ascii="宋体" w:hAnsi="宋体" w:cs="宋体"/>
          <w:color w:val="auto"/>
          <w:sz w:val="24"/>
          <w:highlight w:val="none"/>
        </w:rPr>
        <w:t xml:space="preserve"> pp</w:t>
      </w:r>
      <w:r>
        <w:rPr>
          <w:rFonts w:hint="eastAsia" w:ascii="宋体" w:hAnsi="宋体" w:cs="宋体"/>
          <w:color w:val="auto"/>
          <w:sz w:val="24"/>
          <w:highlight w:val="none"/>
        </w:rPr>
        <w:t>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3.5.7.2 Se:</w:t>
      </w:r>
      <w:r>
        <w:rPr>
          <w:rFonts w:ascii="宋体" w:hAnsi="宋体" w:cs="宋体"/>
          <w:color w:val="auto"/>
          <w:sz w:val="24"/>
          <w:highlight w:val="none"/>
        </w:rPr>
        <w:t xml:space="preserve"> </w:t>
      </w:r>
      <w:r>
        <w:rPr>
          <w:rFonts w:ascii="宋体" w:hAnsi="宋体" w:cs="宋体"/>
          <w:color w:val="auto"/>
          <w:sz w:val="24"/>
          <w:highlight w:val="none"/>
        </w:rPr>
        <w:sym w:font="Symbol" w:char="F0A3"/>
      </w:r>
      <w:r>
        <w:rPr>
          <w:rFonts w:ascii="宋体" w:hAnsi="宋体" w:cs="宋体"/>
          <w:color w:val="auto"/>
          <w:sz w:val="24"/>
          <w:highlight w:val="none"/>
        </w:rPr>
        <w:t xml:space="preserve"> </w:t>
      </w:r>
      <w:r>
        <w:rPr>
          <w:rFonts w:hint="eastAsia" w:ascii="宋体" w:hAnsi="宋体" w:cs="宋体"/>
          <w:color w:val="auto"/>
          <w:sz w:val="24"/>
          <w:highlight w:val="none"/>
        </w:rPr>
        <w:t>1</w:t>
      </w:r>
      <w:r>
        <w:rPr>
          <w:rFonts w:ascii="宋体" w:hAnsi="宋体" w:cs="宋体"/>
          <w:color w:val="auto"/>
          <w:sz w:val="24"/>
          <w:highlight w:val="none"/>
        </w:rPr>
        <w:t xml:space="preserve"> pp</w:t>
      </w:r>
      <w:r>
        <w:rPr>
          <w:rFonts w:hint="eastAsia" w:ascii="宋体" w:hAnsi="宋体" w:cs="宋体"/>
          <w:color w:val="auto"/>
          <w:sz w:val="24"/>
          <w:highlight w:val="none"/>
        </w:rPr>
        <w:t>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3.5.8 短期稳定性(RSD):</w:t>
      </w:r>
      <w:r>
        <w:rPr>
          <w:rFonts w:ascii="宋体" w:hAnsi="宋体" w:cs="宋体"/>
          <w:color w:val="auto"/>
          <w:sz w:val="24"/>
          <w:highlight w:val="none"/>
        </w:rPr>
        <w:t xml:space="preserve"> </w:t>
      </w:r>
      <w:r>
        <w:rPr>
          <w:rFonts w:ascii="宋体" w:hAnsi="宋体" w:cs="宋体"/>
          <w:color w:val="auto"/>
          <w:sz w:val="24"/>
          <w:highlight w:val="none"/>
        </w:rPr>
        <w:sym w:font="Symbol" w:char="F0A3"/>
      </w:r>
      <w:r>
        <w:rPr>
          <w:rFonts w:hint="eastAsia" w:ascii="宋体" w:hAnsi="宋体" w:cs="宋体"/>
          <w:color w:val="auto"/>
          <w:sz w:val="24"/>
          <w:highlight w:val="none"/>
        </w:rPr>
        <w:t xml:space="preserve"> 3% (20 min)</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3.5.9 长长期稳定性</w:t>
      </w:r>
      <w:r>
        <w:rPr>
          <w:rFonts w:ascii="宋体" w:hAnsi="宋体" w:cs="宋体"/>
          <w:color w:val="auto"/>
          <w:sz w:val="24"/>
          <w:highlight w:val="none"/>
        </w:rPr>
        <w:t>(RSD)</w:t>
      </w:r>
      <w:r>
        <w:rPr>
          <w:rFonts w:hint="eastAsia" w:ascii="宋体" w:hAnsi="宋体" w:cs="宋体"/>
          <w:color w:val="auto"/>
          <w:sz w:val="24"/>
          <w:highlight w:val="none"/>
        </w:rPr>
        <w:t>:</w:t>
      </w:r>
      <w:r>
        <w:rPr>
          <w:rFonts w:ascii="宋体" w:hAnsi="宋体" w:cs="宋体"/>
          <w:color w:val="auto"/>
          <w:sz w:val="24"/>
          <w:highlight w:val="none"/>
        </w:rPr>
        <w:t xml:space="preserve"> </w:t>
      </w:r>
      <w:r>
        <w:rPr>
          <w:rFonts w:ascii="宋体" w:hAnsi="宋体" w:cs="宋体"/>
          <w:color w:val="auto"/>
          <w:sz w:val="24"/>
          <w:highlight w:val="none"/>
        </w:rPr>
        <w:sym w:font="Symbol" w:char="F0A3"/>
      </w:r>
      <w:r>
        <w:rPr>
          <w:rFonts w:ascii="宋体" w:hAnsi="宋体" w:cs="宋体"/>
          <w:color w:val="auto"/>
          <w:sz w:val="24"/>
          <w:highlight w:val="none"/>
        </w:rPr>
        <w:t xml:space="preserve"> 4% (</w:t>
      </w:r>
      <w:r>
        <w:rPr>
          <w:rFonts w:hint="eastAsia" w:ascii="宋体" w:hAnsi="宋体" w:cs="宋体"/>
          <w:color w:val="auto"/>
          <w:sz w:val="24"/>
          <w:highlight w:val="none"/>
        </w:rPr>
        <w:t>2</w:t>
      </w:r>
      <w:r>
        <w:rPr>
          <w:rFonts w:ascii="宋体" w:hAnsi="宋体" w:cs="宋体"/>
          <w:color w:val="auto"/>
          <w:sz w:val="24"/>
          <w:highlight w:val="none"/>
        </w:rPr>
        <w:t xml:space="preserve"> hrs)</w:t>
      </w:r>
      <w:r>
        <w:rPr>
          <w:rFonts w:hint="eastAsia" w:ascii="宋体" w:hAnsi="宋体" w:cs="宋体"/>
          <w:color w:val="auto"/>
          <w:sz w:val="24"/>
          <w:highlight w:val="none"/>
        </w:rPr>
        <w:t>（使用1ppb标准元素溶液）</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3.5.10分辨率 0.3-3</w:t>
      </w:r>
      <w:r>
        <w:rPr>
          <w:rFonts w:ascii="宋体" w:hAnsi="宋体" w:cs="宋体"/>
          <w:color w:val="auto"/>
          <w:sz w:val="24"/>
          <w:highlight w:val="none"/>
        </w:rPr>
        <w:t xml:space="preserve"> </w:t>
      </w:r>
      <w:r>
        <w:rPr>
          <w:rFonts w:hint="eastAsia" w:ascii="宋体" w:hAnsi="宋体" w:cs="宋体"/>
          <w:color w:val="auto"/>
          <w:sz w:val="24"/>
          <w:highlight w:val="none"/>
        </w:rPr>
        <w:t>amu连续可调</w:t>
      </w:r>
    </w:p>
    <w:p>
      <w:pPr>
        <w:pStyle w:val="7"/>
        <w:spacing w:line="400" w:lineRule="exact"/>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 xml:space="preserve">3.5.11同位素比精度RSD(107Ag/109Ag) </w:t>
      </w:r>
      <w:r>
        <w:rPr>
          <w:rFonts w:ascii="宋体" w:hAnsi="宋体" w:cs="宋体"/>
          <w:color w:val="auto"/>
          <w:sz w:val="24"/>
          <w:szCs w:val="24"/>
          <w:highlight w:val="none"/>
        </w:rPr>
        <w:sym w:font="Symbol" w:char="F0A3"/>
      </w:r>
      <w:r>
        <w:rPr>
          <w:rFonts w:hint="eastAsia" w:ascii="宋体" w:hAnsi="宋体" w:cs="宋体"/>
          <w:color w:val="auto"/>
          <w:sz w:val="24"/>
          <w:szCs w:val="24"/>
          <w:highlight w:val="none"/>
        </w:rPr>
        <w:t>0.2%</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 液相联机部分</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3.6.1梯度泵</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3.6.1.1串联式双柱塞往复泵，配置主动入口阀，可变冲程: 25μL ～100μL</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3.6.1.2自动柱塞清洗装置，有效防止高盐浓度流动相对柱塞的磨损，实时维护泵的使用性能</w:t>
      </w:r>
    </w:p>
    <w:p>
      <w:pPr>
        <w:spacing w:line="360" w:lineRule="auto"/>
        <w:rPr>
          <w:rFonts w:hint="eastAsia" w:ascii="宋体" w:hAnsi="宋体" w:cs="宋体"/>
          <w:color w:val="auto"/>
          <w:sz w:val="24"/>
          <w:highlight w:val="none"/>
        </w:rPr>
      </w:pPr>
      <w:r>
        <w:rPr>
          <w:rFonts w:hint="eastAsia"/>
          <w:b/>
          <w:bCs/>
          <w:color w:val="auto"/>
          <w:sz w:val="24"/>
          <w:highlight w:val="none"/>
          <w:lang w:val="en-AU"/>
        </w:rPr>
        <w:t>*</w:t>
      </w:r>
      <w:r>
        <w:rPr>
          <w:rFonts w:hint="eastAsia" w:ascii="宋体" w:hAnsi="宋体" w:cs="宋体"/>
          <w:color w:val="auto"/>
          <w:sz w:val="24"/>
          <w:highlight w:val="none"/>
        </w:rPr>
        <w:t>3.6.1.3压力运行范围：0-390bar</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3.6.1.4流量精度：&lt;0.08RSD</w:t>
      </w:r>
    </w:p>
    <w:p>
      <w:pPr>
        <w:spacing w:line="360" w:lineRule="auto"/>
        <w:rPr>
          <w:rFonts w:hint="eastAsia" w:ascii="宋体" w:hAnsi="宋体" w:cs="宋体"/>
          <w:color w:val="auto"/>
          <w:sz w:val="24"/>
          <w:highlight w:val="none"/>
        </w:rPr>
      </w:pPr>
      <w:r>
        <w:rPr>
          <w:rFonts w:hint="eastAsia"/>
          <w:b/>
          <w:bCs/>
          <w:color w:val="auto"/>
          <w:sz w:val="24"/>
          <w:highlight w:val="none"/>
          <w:lang w:val="en-AU"/>
        </w:rPr>
        <w:t>*</w:t>
      </w:r>
      <w:r>
        <w:rPr>
          <w:rFonts w:hint="eastAsia" w:ascii="宋体" w:hAnsi="宋体" w:cs="宋体"/>
          <w:color w:val="auto"/>
          <w:sz w:val="24"/>
          <w:highlight w:val="none"/>
        </w:rPr>
        <w:t>3.6.1.5混合精度：±0.20%SD</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3.6.1.6可压缩性补偿：根据流动相自动调节或用户选择</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3.6.1.7流量范围：0.001ml/min～10.0ml/min，递增率0.001ml/min</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3.6.2在线脱气机</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3.6.2.1流速：10ml/min每个流路</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3.6.2.2内置四通道在线脱气机，脱气机通道体积：&gt;1ml，从而实现更好的脱气效果，尤其增加高流速时的脱气效果</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3.6.2.3、PH 范围：1-14</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3.6.2.4、内部材料：PTFE </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3.6.3 集成式柱温箱</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3.6.3.1柱温范围：室温至75˚C</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3.6.3.2温度稳定性：±0.2˚C</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3.6.3.3温度准确度：±0.5˚C</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3.6.3.4色谱柱容量：最大容量不低于二支30 cm 的色谱柱</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3.6.4 自动进样器</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3.6.4.1样品位数： 130位</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3.6.4.2采用计量泵定量，进样范围：0.2～100L，增量为0.1L；</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3.6.4.3进样精密度：&lt; 0.25% RSD</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3.6.4.4样品残留：&lt;0.006%</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3.6.4.5自动进样器最大耐压：580bar</w:t>
      </w:r>
    </w:p>
    <w:p>
      <w:pPr>
        <w:spacing w:line="360" w:lineRule="auto"/>
        <w:ind w:firstLine="480"/>
        <w:rPr>
          <w:rFonts w:hint="eastAsia" w:ascii="宋体" w:hAnsi="宋体" w:cs="宋体"/>
          <w:color w:val="auto"/>
          <w:sz w:val="24"/>
          <w:highlight w:val="none"/>
        </w:rPr>
      </w:pPr>
    </w:p>
    <w:p>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4.产品配置要求</w:t>
      </w:r>
    </w:p>
    <w:p>
      <w:pPr>
        <w:spacing w:line="360" w:lineRule="auto"/>
        <w:jc w:val="left"/>
        <w:rPr>
          <w:rFonts w:hint="eastAsia" w:ascii="宋体" w:hAnsi="宋体" w:cs="宋体"/>
          <w:color w:val="auto"/>
          <w:sz w:val="24"/>
          <w:highlight w:val="none"/>
        </w:rPr>
      </w:pPr>
      <w:r>
        <w:rPr>
          <w:rFonts w:hint="eastAsia" w:ascii="宋体" w:hAnsi="宋体" w:cs="宋体"/>
          <w:bCs/>
          <w:color w:val="auto"/>
          <w:sz w:val="24"/>
          <w:highlight w:val="none"/>
        </w:rPr>
        <w:t>4</w:t>
      </w:r>
      <w:r>
        <w:rPr>
          <w:rFonts w:hint="eastAsia" w:ascii="宋体" w:hAnsi="宋体" w:cs="宋体"/>
          <w:color w:val="auto"/>
          <w:sz w:val="24"/>
          <w:highlight w:val="none"/>
        </w:rPr>
        <w:t>.1 ICP-MS/MS主机（包括25%高基体自动稀释装置和高效半导体控温装置） 一台</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4.2工作站软件  一套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4.3 冷却循环水装置 一台</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4.4 铂采样锥截取锥2套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4.5镍采样锥截取锥2套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4.6石英炬管,石英炬管，2.5 mm 内径，用于 ICP-MS 1根</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4.7验收及校准溶液一套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4.8 除随机耗材外，配备1年左右消耗品，需包括5米以上样品管、10根以上进样泵管、10根以上内标管、10根以上废液管，矩管1根，雾化器1根，泵油5L以上。</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4.9混合标准溶液及内标溶液各一套。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4.10 四元泵含在线脱气机 1套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4.11 自动进样器带集成式柱温箱 1套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4.12 主动密封垫冲洗 1套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4.13 液相色谱系统工具包 1套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4.14样品瓶,套件，螺口，预组装，经认证，透明样品瓶，蓝色瓶盖，2mL，100/包 1套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4.15 过滤芯,PTFE 滤芯，5/包 1套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4.16 色谱柱,Poroshell 120 EC-C18，3.0x150mm，2.7µm 1支</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4.17 离子交换柱,PRP-X100 10 µm 色谱柱，250 mm × 4.1 mm 1支</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4.18 色谱柱,Bio WAX，NP5，4.6 mm × 50 mm，PEEK 保护柱 1支</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4.19色谱柱,Eclipse Plus 95Å C18柱，4.6x150mm，5µm  1支</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4.20 UPS电源2套</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4.21 品牌电脑一台</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4.22</w:t>
      </w:r>
      <w:bookmarkStart w:id="1" w:name="_Hlk141979915"/>
      <w:r>
        <w:rPr>
          <w:rFonts w:hint="eastAsia" w:ascii="宋体" w:hAnsi="宋体" w:cs="宋体"/>
          <w:color w:val="auto"/>
          <w:sz w:val="24"/>
          <w:highlight w:val="none"/>
        </w:rPr>
        <w:t xml:space="preserve"> 激光打印机一台</w:t>
      </w:r>
      <w:bookmarkEnd w:id="1"/>
    </w:p>
    <w:p>
      <w:pPr>
        <w:spacing w:line="360" w:lineRule="auto"/>
        <w:rPr>
          <w:rFonts w:hint="eastAsia"/>
          <w:color w:val="auto"/>
          <w:highlight w:val="none"/>
        </w:rPr>
      </w:pPr>
    </w:p>
    <w:p>
      <w:pPr>
        <w:tabs>
          <w:tab w:val="left" w:pos="540"/>
        </w:tabs>
        <w:spacing w:line="360" w:lineRule="auto"/>
        <w:rPr>
          <w:rFonts w:hint="eastAsia" w:ascii="宋体" w:hAnsi="宋体" w:cs="宋体"/>
          <w:b/>
          <w:color w:val="auto"/>
          <w:sz w:val="24"/>
          <w:highlight w:val="none"/>
        </w:rPr>
      </w:pPr>
      <w:r>
        <w:rPr>
          <w:rFonts w:hint="eastAsia" w:ascii="宋体" w:hAnsi="宋体" w:cs="宋体"/>
          <w:b/>
          <w:color w:val="auto"/>
          <w:sz w:val="24"/>
          <w:highlight w:val="none"/>
        </w:rPr>
        <w:t>5.  技术文件：</w:t>
      </w:r>
    </w:p>
    <w:p>
      <w:pPr>
        <w:spacing w:line="360" w:lineRule="auto"/>
        <w:rPr>
          <w:rFonts w:ascii="宋体" w:hAnsi="宋体" w:cs="宋体"/>
          <w:color w:val="auto"/>
          <w:sz w:val="24"/>
          <w:highlight w:val="none"/>
        </w:rPr>
      </w:pPr>
      <w:r>
        <w:rPr>
          <w:rFonts w:hint="eastAsia" w:ascii="宋体" w:hAnsi="宋体" w:cs="宋体"/>
          <w:color w:val="auto"/>
          <w:sz w:val="24"/>
          <w:highlight w:val="none"/>
        </w:rPr>
        <w:t>仪器使用和维护说明书，软件使用说明书。</w:t>
      </w:r>
    </w:p>
    <w:p>
      <w:pPr>
        <w:spacing w:line="360" w:lineRule="auto"/>
        <w:rPr>
          <w:rFonts w:hint="eastAsia" w:ascii="宋体" w:hAnsi="宋体" w:cs="宋体"/>
          <w:color w:val="auto"/>
          <w:sz w:val="24"/>
          <w:highlight w:val="none"/>
        </w:rPr>
      </w:pP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（二）质保及售后服务：</w:t>
      </w:r>
    </w:p>
    <w:p>
      <w:pPr>
        <w:spacing w:line="360" w:lineRule="auto"/>
        <w:rPr>
          <w:rFonts w:hint="eastAsia" w:ascii="宋体" w:hAnsi="宋体" w:cs="宋体"/>
          <w:bCs/>
          <w:color w:val="auto"/>
          <w:sz w:val="24"/>
          <w:highlight w:val="none"/>
          <w:lang w:val="en-AU"/>
        </w:rPr>
      </w:pPr>
      <w:r>
        <w:rPr>
          <w:rFonts w:hint="eastAsia" w:ascii="宋体" w:hAnsi="宋体" w:cs="宋体"/>
          <w:bCs/>
          <w:color w:val="auto"/>
          <w:sz w:val="24"/>
          <w:highlight w:val="none"/>
        </w:rPr>
        <w:t>1.1</w:t>
      </w:r>
      <w:r>
        <w:rPr>
          <w:rFonts w:hint="eastAsia" w:ascii="宋体" w:hAnsi="宋体" w:cs="宋体"/>
          <w:bCs/>
          <w:color w:val="auto"/>
          <w:sz w:val="24"/>
          <w:highlight w:val="none"/>
          <w:lang w:val="en-AU"/>
        </w:rPr>
        <w:t>供应商提供仪器的现场安装调试并达到投标书和技术文件（仪器说明书等）指标要求的技术性能，并同时在现场对用户进行操作培训。如果现场安装测试指标未通过，用户有权要求退货并要求赔偿损失。仪器保修期自验收合格日期起为24个月。</w:t>
      </w:r>
    </w:p>
    <w:p>
      <w:pPr>
        <w:spacing w:line="360" w:lineRule="auto"/>
        <w:rPr>
          <w:rFonts w:hint="eastAsia" w:ascii="宋体" w:hAnsi="宋体" w:cs="宋体"/>
          <w:bCs/>
          <w:color w:val="auto"/>
          <w:sz w:val="24"/>
          <w:highlight w:val="none"/>
          <w:lang w:val="en-AU"/>
        </w:rPr>
      </w:pPr>
      <w:r>
        <w:rPr>
          <w:rFonts w:hint="eastAsia" w:ascii="宋体" w:hAnsi="宋体" w:cs="宋体"/>
          <w:bCs/>
          <w:color w:val="auto"/>
          <w:sz w:val="24"/>
          <w:highlight w:val="none"/>
        </w:rPr>
        <w:t>1.2</w:t>
      </w:r>
      <w:r>
        <w:rPr>
          <w:rFonts w:hint="eastAsia" w:ascii="宋体" w:hAnsi="宋体" w:cs="宋体"/>
          <w:bCs/>
          <w:color w:val="auto"/>
          <w:sz w:val="24"/>
          <w:highlight w:val="none"/>
          <w:lang w:val="en-AU"/>
        </w:rPr>
        <w:t>仪器在调试通过后提供保修服务，在保修期内，所有服务及配件全部免费，保修期外，用户可用人民币结算。供应商在中国需设有保税库，能更及时地为用户提供备品备件。</w:t>
      </w:r>
    </w:p>
    <w:p>
      <w:pPr>
        <w:spacing w:line="360" w:lineRule="auto"/>
        <w:rPr>
          <w:rFonts w:hint="eastAsia" w:ascii="宋体" w:hAnsi="宋体" w:cs="宋体"/>
          <w:bCs/>
          <w:color w:val="auto"/>
          <w:sz w:val="24"/>
          <w:highlight w:val="none"/>
          <w:lang w:val="en-AU"/>
        </w:rPr>
      </w:pPr>
      <w:r>
        <w:rPr>
          <w:rFonts w:hint="eastAsia" w:ascii="宋体" w:hAnsi="宋体" w:cs="宋体"/>
          <w:bCs/>
          <w:color w:val="auto"/>
          <w:sz w:val="24"/>
          <w:highlight w:val="none"/>
        </w:rPr>
        <w:t>1.3</w:t>
      </w:r>
      <w:r>
        <w:rPr>
          <w:rFonts w:hint="eastAsia" w:ascii="宋体" w:hAnsi="宋体" w:cs="宋体"/>
          <w:bCs/>
          <w:color w:val="auto"/>
          <w:sz w:val="24"/>
          <w:highlight w:val="none"/>
          <w:lang w:val="en-AU"/>
        </w:rPr>
        <w:t xml:space="preserve"> 供应商在国内必须设有分析仪器教育中心为用户提供仪器的基本原理、操作、日常维护及基础分析仪器理论课程，并为用户提供上机培训。</w:t>
      </w:r>
    </w:p>
    <w:p>
      <w:pPr>
        <w:spacing w:line="360" w:lineRule="auto"/>
        <w:rPr>
          <w:rFonts w:hint="eastAsia" w:ascii="宋体" w:hAnsi="宋体" w:cs="宋体"/>
          <w:bCs/>
          <w:color w:val="auto"/>
          <w:sz w:val="24"/>
          <w:highlight w:val="none"/>
          <w:lang w:val="en-AU"/>
        </w:rPr>
      </w:pPr>
      <w:r>
        <w:rPr>
          <w:rFonts w:hint="eastAsia" w:ascii="宋体" w:hAnsi="宋体" w:cs="宋体"/>
          <w:bCs/>
          <w:color w:val="auto"/>
          <w:sz w:val="24"/>
          <w:highlight w:val="none"/>
        </w:rPr>
        <w:t>1.4</w:t>
      </w:r>
      <w:r>
        <w:rPr>
          <w:rFonts w:hint="eastAsia" w:ascii="宋体" w:hAnsi="宋体" w:cs="宋体"/>
          <w:bCs/>
          <w:color w:val="auto"/>
          <w:sz w:val="24"/>
          <w:highlight w:val="none"/>
          <w:lang w:val="en-AU"/>
        </w:rPr>
        <w:t xml:space="preserve"> 供应商在国内应设有专业的维修站，有专职的维修工程师及应用工程师有效保证售后维修的及时、快捷，并负责提供技术支持，保证仪器的正常操作，并协助用户进行方法开发。</w:t>
      </w:r>
    </w:p>
    <w:p>
      <w:pPr>
        <w:spacing w:line="360" w:lineRule="auto"/>
        <w:rPr>
          <w:rFonts w:hint="eastAsia" w:ascii="宋体" w:hAnsi="宋体" w:cs="宋体"/>
          <w:bCs/>
          <w:color w:val="auto"/>
          <w:sz w:val="24"/>
          <w:highlight w:val="none"/>
          <w:lang w:val="en-AU"/>
        </w:rPr>
      </w:pPr>
      <w:r>
        <w:rPr>
          <w:rFonts w:hint="eastAsia" w:ascii="宋体" w:hAnsi="宋体" w:cs="宋体"/>
          <w:bCs/>
          <w:color w:val="auto"/>
          <w:sz w:val="24"/>
          <w:highlight w:val="none"/>
        </w:rPr>
        <w:t xml:space="preserve">1.5 </w:t>
      </w:r>
      <w:r>
        <w:rPr>
          <w:rFonts w:hint="eastAsia" w:ascii="宋体" w:hAnsi="宋体" w:cs="宋体"/>
          <w:bCs/>
          <w:color w:val="auto"/>
          <w:sz w:val="24"/>
          <w:highlight w:val="none"/>
          <w:lang w:val="en-AU"/>
        </w:rPr>
        <w:t>供应商在国内有应用实验室（非与他人合作实验室），实验室内需拥有ICP-MS作为基础后续支持。（需提供实验室图片证明）。</w:t>
      </w:r>
    </w:p>
    <w:p>
      <w:pPr>
        <w:spacing w:line="360" w:lineRule="auto"/>
        <w:rPr>
          <w:color w:val="auto"/>
          <w:highlight w:val="none"/>
        </w:rPr>
      </w:pPr>
      <w:r>
        <w:rPr>
          <w:rFonts w:hint="eastAsia" w:ascii="宋体" w:hAnsi="宋体" w:cs="宋体"/>
          <w:bCs/>
          <w:color w:val="auto"/>
          <w:sz w:val="24"/>
          <w:highlight w:val="none"/>
        </w:rPr>
        <w:t xml:space="preserve">1.6 </w:t>
      </w:r>
      <w:r>
        <w:rPr>
          <w:rFonts w:hint="eastAsia" w:ascii="宋体" w:hAnsi="宋体" w:cs="宋体"/>
          <w:bCs/>
          <w:color w:val="auto"/>
          <w:sz w:val="24"/>
          <w:highlight w:val="none"/>
          <w:lang w:val="en-AU"/>
        </w:rPr>
        <w:t>在国内满足上述参数条件的同系列电感耦合等离子体串联质谱仪（非单四级杆等离子体质谱仪）的用户数量≥50名。</w:t>
      </w:r>
    </w:p>
    <w:p>
      <w:pPr>
        <w:spacing w:line="360" w:lineRule="auto"/>
        <w:rPr>
          <w:rFonts w:hint="eastAsia"/>
          <w:color w:val="auto"/>
          <w:highlight w:val="none"/>
          <w:lang w:val="en-AU"/>
        </w:rPr>
      </w:pP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（三） 订货数量：</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 1套</w:t>
      </w:r>
    </w:p>
    <w:p>
      <w:pPr>
        <w:spacing w:line="360" w:lineRule="auto"/>
        <w:rPr>
          <w:rFonts w:hint="eastAsia" w:ascii="宋体" w:hAnsi="宋体" w:cs="宋体"/>
          <w:color w:val="auto"/>
          <w:sz w:val="24"/>
          <w:highlight w:val="none"/>
        </w:rPr>
      </w:pPr>
    </w:p>
    <w:p>
      <w:pPr>
        <w:numPr>
          <w:ilvl w:val="0"/>
          <w:numId w:val="4"/>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交货地点：</w:t>
      </w:r>
    </w:p>
    <w:p>
      <w:pPr>
        <w:pStyle w:val="3"/>
        <w:spacing w:line="360" w:lineRule="auto"/>
        <w:rPr>
          <w:rFonts w:ascii="宋体"/>
          <w:color w:val="auto"/>
          <w:sz w:val="24"/>
          <w:szCs w:val="24"/>
          <w:highlight w:val="none"/>
          <w:u w:val="single"/>
        </w:rPr>
      </w:pPr>
      <w:r>
        <w:rPr>
          <w:rFonts w:hint="eastAsia" w:ascii="宋体" w:hAnsi="宋体" w:cs="宋体"/>
          <w:bCs/>
          <w:color w:val="auto"/>
          <w:kern w:val="2"/>
          <w:sz w:val="24"/>
          <w:szCs w:val="24"/>
          <w:highlight w:val="none"/>
          <w:lang w:val="en-AU"/>
        </w:rPr>
        <w:t>中国科学院新疆理化技术研究所（新疆乌鲁木齐市新市区科学二街181号）</w:t>
      </w:r>
    </w:p>
    <w:p>
      <w:pPr>
        <w:spacing w:line="360" w:lineRule="auto"/>
        <w:rPr>
          <w:rFonts w:hint="eastAsia" w:ascii="宋体" w:hAnsi="宋体" w:cs="宋体"/>
          <w:b/>
          <w:color w:val="auto"/>
          <w:sz w:val="24"/>
          <w:highlight w:val="none"/>
        </w:rPr>
      </w:pP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（五）交货日期：</w:t>
      </w:r>
    </w:p>
    <w:p>
      <w:pPr>
        <w:spacing w:line="360" w:lineRule="auto"/>
        <w:rPr>
          <w:rFonts w:hint="eastAsia"/>
          <w:b/>
          <w:color w:val="auto"/>
          <w:sz w:val="24"/>
          <w:highlight w:val="none"/>
        </w:rPr>
      </w:pPr>
      <w:r>
        <w:rPr>
          <w:rFonts w:hint="eastAsia"/>
          <w:color w:val="auto"/>
          <w:sz w:val="24"/>
          <w:highlight w:val="none"/>
          <w:lang w:val="en-US" w:eastAsia="zh-CN"/>
        </w:rPr>
        <w:t>供</w:t>
      </w:r>
      <w:r>
        <w:rPr>
          <w:rFonts w:hint="eastAsia"/>
          <w:color w:val="auto"/>
          <w:sz w:val="24"/>
          <w:highlight w:val="none"/>
          <w:lang w:val="en-AU"/>
        </w:rPr>
        <w:t>货周期：合同签订后</w:t>
      </w:r>
      <w:r>
        <w:rPr>
          <w:color w:val="auto"/>
          <w:sz w:val="24"/>
          <w:highlight w:val="none"/>
          <w:lang w:val="en-AU"/>
        </w:rPr>
        <w:t>6</w:t>
      </w:r>
      <w:r>
        <w:rPr>
          <w:rFonts w:hint="eastAsia"/>
          <w:color w:val="auto"/>
          <w:sz w:val="24"/>
          <w:highlight w:val="none"/>
          <w:lang w:val="en-AU"/>
        </w:rPr>
        <w:t>个月内交货。</w:t>
      </w:r>
    </w:p>
    <w:bookmarkEnd w:id="0"/>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7D79592F"/>
    <w:multiLevelType w:val="singleLevel"/>
    <w:tmpl w:val="7D79592F"/>
    <w:lvl w:ilvl="0" w:tentative="0">
      <w:start w:val="4"/>
      <w:numFmt w:val="chineseCounting"/>
      <w:suff w:val="space"/>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YzdjODk4ZWI5MDNiZmQ2YmU5MDUyNmUyYTY1OWUifQ=="/>
  </w:docVars>
  <w:rsids>
    <w:rsidRoot w:val="6FFD7222"/>
    <w:rsid w:val="6FFD72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uiPriority w:val="0"/>
    <w:rPr>
      <w:rFonts w:ascii="宋体" w:hAnsi="Courier New"/>
      <w:szCs w:val="20"/>
    </w:rPr>
  </w:style>
  <w:style w:type="paragraph" w:styleId="3">
    <w:name w:val="HTML Preformatted"/>
    <w:basedOn w:val="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customStyle="1" w:styleId="6">
    <w:name w:val="列表段落1"/>
    <w:basedOn w:val="1"/>
    <w:qFormat/>
    <w:uiPriority w:val="34"/>
    <w:pPr>
      <w:ind w:firstLine="420" w:firstLineChars="200"/>
    </w:pPr>
  </w:style>
  <w:style w:type="paragraph" w:customStyle="1" w:styleId="7">
    <w:name w:val="_Style 5"/>
    <w:basedOn w:val="1"/>
    <w:next w:val="6"/>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2023-09-04T09:39:00Z</dcterms:created>
  <dc:creator>godjiao</dc:creator>
  <cp:lastModifiedBy>godjiao</cp:lastModifiedBy>
  <dcterms:modified xsi:type="dcterms:W3CDTF">2023-09-04T09:39:41Z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52A7E9F105BD4932B5D3813827E92870_11</vt:lpwstr>
  </property>
</Properties>
</file>