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numPr>
          <w:ilvl w:val="0"/>
          <w:numId w:val="1"/>
        </w:numPr>
        <w:tabs>
          <w:tab w:val="left" w:pos="1275"/>
        </w:tabs>
        <w:adjustRightInd w:val="0"/>
        <w:snapToGrid w:val="0"/>
        <w:spacing w:before="240" w:beforeLines="100" w:after="240" w:afterLines="100" w:line="240" w:lineRule="auto"/>
        <w:ind w:left="0" w:firstLine="0"/>
        <w:jc w:val="center"/>
        <w:rPr>
          <w:rFonts w:asciiTheme="minorEastAsia" w:hAnsiTheme="minorEastAsia" w:eastAsiaTheme="minorEastAsia"/>
          <w:sz w:val="24"/>
        </w:rPr>
      </w:pPr>
      <w:bookmarkStart w:id="0" w:name="_Toc27023"/>
      <w:r>
        <w:rPr>
          <w:rFonts w:hint="eastAsia" w:asciiTheme="minorEastAsia" w:hAnsiTheme="minorEastAsia" w:eastAsiaTheme="minorEastAsia"/>
          <w:sz w:val="36"/>
          <w:szCs w:val="36"/>
        </w:rPr>
        <w:t>采购需求</w:t>
      </w:r>
      <w:bookmarkEnd w:id="0"/>
    </w:p>
    <w:p>
      <w:pPr>
        <w:adjustRightInd w:val="0"/>
        <w:snapToGrid w:val="0"/>
        <w:spacing w:line="360" w:lineRule="auto"/>
        <w:ind w:firstLine="482" w:firstLineChars="200"/>
        <w:outlineLvl w:val="2"/>
        <w:rPr>
          <w:rFonts w:asciiTheme="minorEastAsia" w:hAnsiTheme="minorEastAsia" w:eastAsiaTheme="minorEastAsia"/>
          <w:b/>
          <w:bCs/>
        </w:rPr>
      </w:pPr>
      <w:bookmarkStart w:id="1" w:name="_Toc67519179"/>
      <w:bookmarkStart w:id="2" w:name="_Toc8985"/>
      <w:r>
        <w:rPr>
          <w:rFonts w:hint="eastAsia" w:asciiTheme="minorEastAsia" w:hAnsiTheme="minorEastAsia" w:eastAsiaTheme="minorEastAsia"/>
          <w:b/>
          <w:bCs/>
        </w:rPr>
        <w:t>一、总体要求</w:t>
      </w:r>
      <w:bookmarkEnd w:id="1"/>
      <w:bookmarkEnd w:id="2"/>
    </w:p>
    <w:p>
      <w:pPr>
        <w:numPr>
          <w:ilvl w:val="255"/>
          <w:numId w:val="0"/>
        </w:numPr>
        <w:spacing w:after="100" w:afterAutospacing="1"/>
        <w:rPr>
          <w:rFonts w:ascii="宋体" w:hAnsi="宋体" w:eastAsia="宋体" w:cs="宋体"/>
        </w:rPr>
      </w:pPr>
      <w:r>
        <w:rPr>
          <w:rFonts w:hint="eastAsia" w:ascii="宋体" w:hAnsi="宋体" w:eastAsia="宋体" w:cs="宋体"/>
        </w:rPr>
        <w:t>1.工程概况</w:t>
      </w:r>
    </w:p>
    <w:p>
      <w:pPr>
        <w:numPr>
          <w:ilvl w:val="255"/>
          <w:numId w:val="0"/>
        </w:numPr>
        <w:spacing w:after="100" w:afterAutospacing="1" w:line="360" w:lineRule="auto"/>
        <w:ind w:firstLine="480" w:firstLineChars="200"/>
        <w:rPr>
          <w:rFonts w:ascii="宋体" w:hAnsi="宋体" w:eastAsia="宋体" w:cs="宋体"/>
        </w:rPr>
      </w:pPr>
      <w:r>
        <w:rPr>
          <w:rFonts w:hint="eastAsia" w:ascii="宋体" w:hAnsi="宋体" w:eastAsia="宋体" w:cs="宋体"/>
        </w:rPr>
        <w:t>东17楼G栋四楼动物房屏障面积约210平米，含辅助用房等总面积约500平方米。该动物房至今已运行11年，设施设备老化严重，无法继续正常运转。本项目将对该动物房重新进行规划设计，包括SPF级动物实验室的建筑装饰工程、净化空调系统、送（排/回）风系统、自动控制工程、给排水工程、强电工程、弱电工程、智能化系统等施工安装项目。使其在符合国家标准的基础上，做到技术先进、经济合理、使用安全、维护方便。</w:t>
      </w:r>
    </w:p>
    <w:p>
      <w:pPr>
        <w:numPr>
          <w:ilvl w:val="255"/>
          <w:numId w:val="0"/>
        </w:numPr>
        <w:spacing w:after="100" w:afterAutospacing="1" w:line="360" w:lineRule="auto"/>
        <w:ind w:firstLine="480" w:firstLineChars="200"/>
        <w:rPr>
          <w:rFonts w:ascii="宋体" w:hAnsi="宋体" w:eastAsia="宋体" w:cs="宋体"/>
        </w:rPr>
      </w:pPr>
      <w:r>
        <w:rPr>
          <w:rFonts w:hint="eastAsia" w:ascii="宋体" w:hAnsi="宋体" w:eastAsia="宋体" w:cs="宋体"/>
        </w:rPr>
        <w:t>本项目设置实验动物（大小鼠）屏障环境实验设施及配套的各辅助功能区域，应满足《实验动物环境及设施》GB14925-2010 、《实验动物设施建筑技术规范》GB50447-2008等标准要求。本项目必须通过湖北省疾病预防控制中心的实验动物环境检测和湖北省科技厅的现场验收，并取得实验动物使用许可证。</w:t>
      </w:r>
    </w:p>
    <w:p>
      <w:pPr>
        <w:numPr>
          <w:ilvl w:val="255"/>
          <w:numId w:val="0"/>
        </w:numPr>
        <w:spacing w:after="100" w:afterAutospacing="1"/>
        <w:rPr>
          <w:rFonts w:ascii="宋体" w:hAnsi="宋体" w:eastAsia="宋体" w:cs="宋体"/>
        </w:rPr>
      </w:pPr>
      <w:r>
        <w:rPr>
          <w:rFonts w:hint="eastAsia" w:ascii="宋体" w:hAnsi="宋体" w:eastAsia="宋体" w:cs="宋体"/>
        </w:rPr>
        <w:t>2.维修改造内容：</w:t>
      </w:r>
    </w:p>
    <w:p>
      <w:pPr>
        <w:numPr>
          <w:ilvl w:val="255"/>
          <w:numId w:val="0"/>
        </w:numPr>
        <w:spacing w:after="100" w:afterAutospacing="1"/>
        <w:ind w:firstLine="480" w:firstLineChars="200"/>
        <w:rPr>
          <w:rFonts w:ascii="宋体" w:hAnsi="宋体" w:eastAsia="宋体" w:cs="宋体"/>
        </w:rPr>
      </w:pPr>
      <w:r>
        <w:rPr>
          <w:rFonts w:hint="eastAsia" w:ascii="宋体" w:hAnsi="宋体" w:eastAsia="宋体" w:cs="宋体"/>
        </w:rPr>
        <w:t>具体采购内容详见施工图纸及工程量清单。</w:t>
      </w:r>
    </w:p>
    <w:p>
      <w:pPr>
        <w:numPr>
          <w:ilvl w:val="255"/>
          <w:numId w:val="0"/>
        </w:numPr>
        <w:spacing w:after="100" w:afterAutospacing="1"/>
        <w:rPr>
          <w:rFonts w:ascii="宋体" w:hAnsi="宋体" w:eastAsia="宋体" w:cs="宋体"/>
        </w:rPr>
      </w:pPr>
      <w:r>
        <w:rPr>
          <w:rFonts w:hint="eastAsia" w:ascii="宋体" w:hAnsi="宋体" w:eastAsia="宋体" w:cs="宋体"/>
        </w:rPr>
        <w:t>3.项目各项建设目标要求</w:t>
      </w:r>
    </w:p>
    <w:p>
      <w:pPr>
        <w:numPr>
          <w:ilvl w:val="255"/>
          <w:numId w:val="0"/>
        </w:numPr>
        <w:spacing w:after="100" w:afterAutospacing="1"/>
        <w:ind w:firstLine="480" w:firstLineChars="200"/>
        <w:rPr>
          <w:rFonts w:ascii="宋体" w:hAnsi="宋体" w:eastAsia="宋体" w:cs="宋体"/>
        </w:rPr>
      </w:pPr>
      <w:r>
        <w:rPr>
          <w:rFonts w:hint="eastAsia" w:ascii="宋体" w:hAnsi="宋体" w:eastAsia="宋体" w:cs="宋体"/>
        </w:rPr>
        <w:t>项目完工后，达到图纸设计技术质量要求及相关规范要求，能正常运行使用。</w:t>
      </w:r>
    </w:p>
    <w:p>
      <w:pPr>
        <w:numPr>
          <w:ilvl w:val="255"/>
          <w:numId w:val="0"/>
        </w:numPr>
        <w:spacing w:after="100" w:afterAutospacing="1"/>
        <w:rPr>
          <w:rFonts w:ascii="宋体" w:hAnsi="宋体" w:eastAsia="宋体" w:cs="宋体"/>
        </w:rPr>
      </w:pPr>
      <w:r>
        <w:rPr>
          <w:rFonts w:hint="eastAsia" w:ascii="宋体" w:hAnsi="宋体" w:eastAsia="宋体" w:cs="宋体"/>
        </w:rPr>
        <w:t>4.执行的主要技术标准、规范</w:t>
      </w:r>
    </w:p>
    <w:p>
      <w:pPr>
        <w:numPr>
          <w:ilvl w:val="255"/>
          <w:numId w:val="0"/>
        </w:numPr>
        <w:spacing w:after="100" w:afterAutospacing="1"/>
        <w:rPr>
          <w:rFonts w:ascii="宋体" w:hAnsi="宋体" w:eastAsia="宋体" w:cs="宋体"/>
        </w:rPr>
      </w:pPr>
      <w:r>
        <w:rPr>
          <w:rFonts w:hint="eastAsia" w:ascii="宋体" w:hAnsi="宋体" w:eastAsia="宋体" w:cs="宋体"/>
        </w:rPr>
        <w:t>（1）《实验动物环境及设施》         GB14925-2010</w:t>
      </w:r>
    </w:p>
    <w:p>
      <w:pPr>
        <w:numPr>
          <w:ilvl w:val="255"/>
          <w:numId w:val="0"/>
        </w:numPr>
        <w:spacing w:after="100" w:afterAutospacing="1"/>
        <w:rPr>
          <w:rFonts w:ascii="宋体" w:hAnsi="宋体" w:eastAsia="宋体" w:cs="宋体"/>
        </w:rPr>
      </w:pPr>
      <w:r>
        <w:rPr>
          <w:rFonts w:hint="eastAsia" w:ascii="宋体" w:hAnsi="宋体" w:eastAsia="宋体" w:cs="宋体"/>
        </w:rPr>
        <w:t>（2）《实验生物安全通用要求》      GB19489-2008</w:t>
      </w:r>
    </w:p>
    <w:p>
      <w:pPr>
        <w:numPr>
          <w:ilvl w:val="255"/>
          <w:numId w:val="0"/>
        </w:numPr>
        <w:spacing w:after="100" w:afterAutospacing="1"/>
        <w:rPr>
          <w:rFonts w:ascii="宋体" w:hAnsi="宋体" w:eastAsia="宋体" w:cs="宋体"/>
        </w:rPr>
      </w:pPr>
      <w:r>
        <w:rPr>
          <w:rFonts w:hint="eastAsia" w:ascii="宋体" w:hAnsi="宋体" w:eastAsia="宋体" w:cs="宋体"/>
        </w:rPr>
        <w:t>（3）《实验动物设施建筑技术规划》   GB50447-2008</w:t>
      </w:r>
    </w:p>
    <w:p>
      <w:pPr>
        <w:numPr>
          <w:ilvl w:val="255"/>
          <w:numId w:val="0"/>
        </w:numPr>
        <w:spacing w:after="100" w:afterAutospacing="1"/>
        <w:rPr>
          <w:rFonts w:ascii="宋体" w:hAnsi="宋体" w:eastAsia="宋体" w:cs="宋体"/>
        </w:rPr>
      </w:pPr>
      <w:r>
        <w:rPr>
          <w:rFonts w:hint="eastAsia" w:ascii="宋体" w:hAnsi="宋体" w:eastAsia="宋体" w:cs="宋体"/>
        </w:rPr>
        <w:t>（4）《洁净室施工及验收规范》   GB50591-2010</w:t>
      </w:r>
    </w:p>
    <w:p>
      <w:pPr>
        <w:numPr>
          <w:ilvl w:val="255"/>
          <w:numId w:val="0"/>
        </w:numPr>
        <w:spacing w:after="100" w:afterAutospacing="1"/>
        <w:rPr>
          <w:rFonts w:ascii="宋体" w:hAnsi="宋体" w:eastAsia="宋体" w:cs="宋体"/>
        </w:rPr>
      </w:pPr>
      <w:r>
        <w:rPr>
          <w:rFonts w:hint="eastAsia" w:ascii="宋体" w:hAnsi="宋体" w:eastAsia="宋体" w:cs="宋体"/>
        </w:rPr>
        <w:t>（5）《建筑内部装修设计防火规范》   GB50222-2017</w:t>
      </w:r>
    </w:p>
    <w:p>
      <w:pPr>
        <w:numPr>
          <w:ilvl w:val="255"/>
          <w:numId w:val="0"/>
        </w:numPr>
        <w:spacing w:after="100" w:afterAutospacing="1"/>
        <w:ind w:firstLine="480" w:firstLineChars="200"/>
        <w:rPr>
          <w:rFonts w:ascii="宋体" w:hAnsi="宋体" w:eastAsia="宋体" w:cs="宋体"/>
        </w:rPr>
      </w:pPr>
      <w:r>
        <w:rPr>
          <w:rFonts w:hint="eastAsia" w:ascii="宋体" w:hAnsi="宋体" w:eastAsia="宋体" w:cs="宋体"/>
        </w:rPr>
        <w:t>其它有关国家及地方的现行规程、规范及标准。</w:t>
      </w:r>
    </w:p>
    <w:p>
      <w:pPr>
        <w:numPr>
          <w:ilvl w:val="255"/>
          <w:numId w:val="0"/>
        </w:numPr>
        <w:spacing w:after="100" w:afterAutospacing="1"/>
        <w:rPr>
          <w:rFonts w:ascii="宋体" w:hAnsi="宋体" w:eastAsia="宋体" w:cs="宋体"/>
        </w:rPr>
      </w:pPr>
      <w:bookmarkStart w:id="3" w:name="_Toc67519180"/>
      <w:r>
        <w:rPr>
          <w:rFonts w:hint="eastAsia" w:ascii="宋体" w:hAnsi="宋体" w:eastAsia="宋体" w:cs="宋体"/>
        </w:rPr>
        <w:t>5.质量要求</w:t>
      </w:r>
    </w:p>
    <w:p>
      <w:pPr>
        <w:numPr>
          <w:ilvl w:val="255"/>
          <w:numId w:val="0"/>
        </w:numPr>
        <w:spacing w:after="100" w:afterAutospacing="1" w:line="360" w:lineRule="auto"/>
        <w:ind w:firstLine="480" w:firstLineChars="200"/>
        <w:rPr>
          <w:rFonts w:ascii="宋体" w:hAnsi="宋体" w:eastAsia="宋体" w:cs="宋体"/>
        </w:rPr>
      </w:pPr>
      <w:r>
        <w:rPr>
          <w:rFonts w:hint="eastAsia" w:ascii="宋体" w:hAnsi="宋体" w:eastAsia="宋体" w:cs="宋体"/>
        </w:rPr>
        <w:t>工程质量：合格，供应商在投标时必须作出违约处罚承诺：质量需承诺，工程质量验收不合格的处罚金额，并无条件整改直至合格和全额承担整改费用、工期延误费用，</w:t>
      </w:r>
      <w:r>
        <w:rPr>
          <w:rFonts w:hint="eastAsia" w:ascii="宋体" w:hAnsi="宋体" w:eastAsia="宋体" w:cs="宋体"/>
          <w:lang w:val="hr-HR"/>
        </w:rPr>
        <w:t>达到国家施工验收规范合格标准。</w:t>
      </w:r>
    </w:p>
    <w:p>
      <w:pPr>
        <w:numPr>
          <w:ilvl w:val="255"/>
          <w:numId w:val="0"/>
        </w:numPr>
        <w:spacing w:after="100" w:afterAutospacing="1"/>
        <w:rPr>
          <w:rFonts w:ascii="宋体" w:hAnsi="宋体" w:eastAsia="宋体" w:cs="宋体"/>
        </w:rPr>
      </w:pPr>
      <w:r>
        <w:rPr>
          <w:rFonts w:hint="eastAsia" w:ascii="宋体" w:hAnsi="宋体" w:eastAsia="宋体" w:cs="宋体"/>
        </w:rPr>
        <w:t>6.工期及交付要求</w:t>
      </w:r>
    </w:p>
    <w:p>
      <w:pPr>
        <w:numPr>
          <w:ilvl w:val="255"/>
          <w:numId w:val="0"/>
        </w:numPr>
        <w:spacing w:after="100" w:afterAutospacing="1"/>
        <w:ind w:firstLine="480" w:firstLineChars="200"/>
        <w:rPr>
          <w:rFonts w:ascii="宋体" w:hAnsi="宋体" w:eastAsia="宋体" w:cs="宋体"/>
        </w:rPr>
      </w:pPr>
      <w:r>
        <w:rPr>
          <w:rFonts w:hint="eastAsia" w:ascii="宋体" w:hAnsi="宋体" w:eastAsia="宋体" w:cs="宋体"/>
        </w:rPr>
        <w:t>工期：4个月，预计2024年3月份采购人完成实验动物许可证申请。</w:t>
      </w:r>
    </w:p>
    <w:p>
      <w:pPr>
        <w:numPr>
          <w:ilvl w:val="255"/>
          <w:numId w:val="0"/>
        </w:numPr>
        <w:spacing w:after="100" w:afterAutospacing="1"/>
        <w:ind w:firstLine="480" w:firstLineChars="200"/>
        <w:rPr>
          <w:rFonts w:ascii="宋体" w:hAnsi="宋体" w:eastAsia="宋体" w:cs="宋体"/>
        </w:rPr>
      </w:pPr>
      <w:r>
        <w:rPr>
          <w:rFonts w:hint="eastAsia" w:ascii="宋体" w:hAnsi="宋体" w:eastAsia="宋体" w:cs="宋体"/>
        </w:rPr>
        <w:t>供应商在投标时必须作出违约处罚承诺：工期需承诺，违约每天处罚金额。</w:t>
      </w:r>
    </w:p>
    <w:p>
      <w:pPr>
        <w:numPr>
          <w:ilvl w:val="255"/>
          <w:numId w:val="0"/>
        </w:numPr>
        <w:spacing w:after="100" w:afterAutospacing="1"/>
        <w:rPr>
          <w:rFonts w:ascii="宋体" w:hAnsi="宋体" w:eastAsia="宋体" w:cs="宋体"/>
        </w:rPr>
      </w:pPr>
      <w:r>
        <w:rPr>
          <w:rFonts w:hint="eastAsia" w:ascii="宋体" w:hAnsi="宋体" w:eastAsia="宋体" w:cs="宋体"/>
        </w:rPr>
        <w:t>7.安全文明施工要求</w:t>
      </w:r>
    </w:p>
    <w:p>
      <w:pPr>
        <w:numPr>
          <w:ilvl w:val="255"/>
          <w:numId w:val="0"/>
        </w:numPr>
        <w:spacing w:after="100" w:afterAutospacing="1"/>
        <w:ind w:firstLine="480" w:firstLineChars="200"/>
        <w:rPr>
          <w:rFonts w:ascii="宋体" w:hAnsi="宋体" w:eastAsia="宋体" w:cs="宋体"/>
        </w:rPr>
      </w:pPr>
      <w:r>
        <w:rPr>
          <w:rFonts w:hint="eastAsia" w:ascii="宋体" w:hAnsi="宋体" w:eastAsia="宋体" w:cs="宋体"/>
        </w:rPr>
        <w:t>安全文明施工：合格，满足及学校其他相关管理规定</w:t>
      </w:r>
    </w:p>
    <w:p>
      <w:pPr>
        <w:numPr>
          <w:ilvl w:val="255"/>
          <w:numId w:val="0"/>
        </w:numPr>
        <w:spacing w:after="100" w:afterAutospacing="1"/>
        <w:rPr>
          <w:rFonts w:ascii="宋体" w:hAnsi="宋体" w:eastAsia="宋体" w:cs="宋体"/>
        </w:rPr>
      </w:pPr>
      <w:r>
        <w:rPr>
          <w:rFonts w:hint="eastAsia" w:ascii="宋体" w:hAnsi="宋体" w:eastAsia="宋体" w:cs="宋体"/>
        </w:rPr>
        <w:t>8.验收、试车要求</w:t>
      </w:r>
    </w:p>
    <w:p>
      <w:pPr>
        <w:numPr>
          <w:ilvl w:val="255"/>
          <w:numId w:val="0"/>
        </w:numPr>
        <w:spacing w:after="100" w:afterAutospacing="1" w:line="360" w:lineRule="auto"/>
        <w:ind w:firstLine="480" w:firstLineChars="200"/>
        <w:rPr>
          <w:rFonts w:ascii="宋体" w:hAnsi="宋体" w:eastAsia="宋体" w:cs="宋体"/>
        </w:rPr>
      </w:pPr>
      <w:r>
        <w:rPr>
          <w:rFonts w:hint="eastAsia" w:ascii="宋体" w:hAnsi="宋体" w:eastAsia="宋体" w:cs="宋体"/>
        </w:rPr>
        <w:t>项目完工后，达到图纸设计技术质量要求及相关规范要求，能正常运行使用。</w:t>
      </w:r>
    </w:p>
    <w:p>
      <w:pPr>
        <w:numPr>
          <w:ilvl w:val="255"/>
          <w:numId w:val="0"/>
        </w:numPr>
        <w:spacing w:after="100" w:afterAutospacing="1"/>
        <w:rPr>
          <w:rFonts w:ascii="宋体" w:hAnsi="宋体" w:eastAsia="宋体" w:cs="宋体"/>
        </w:rPr>
      </w:pPr>
      <w:r>
        <w:rPr>
          <w:rFonts w:hint="eastAsia" w:ascii="宋体" w:hAnsi="宋体" w:eastAsia="宋体" w:cs="宋体"/>
        </w:rPr>
        <w:t>9.保修要求</w:t>
      </w:r>
    </w:p>
    <w:p>
      <w:pPr>
        <w:numPr>
          <w:ilvl w:val="255"/>
          <w:numId w:val="0"/>
        </w:numPr>
        <w:spacing w:after="100" w:afterAutospacing="1" w:line="360" w:lineRule="auto"/>
        <w:ind w:firstLine="480" w:firstLineChars="200"/>
        <w:rPr>
          <w:rFonts w:ascii="宋体" w:hAnsi="宋体" w:eastAsia="宋体" w:cs="宋体"/>
        </w:rPr>
      </w:pPr>
      <w:r>
        <w:rPr>
          <w:rFonts w:hint="eastAsia" w:ascii="宋体" w:hAnsi="宋体" w:eastAsia="宋体" w:cs="宋体"/>
        </w:rPr>
        <w:t>工程质保期自工程竣工验收合格之日起计算，质保期限按照国家规定执行。质保金返还办法：质保期满两年后无质量问题支付质保金的98.5%，剩余部分作为工程防水质保金，竣工验收满5年防水无质量问题支付余额。在质保期内，成交供应商应按照质量保修书的约定进行保修，未按保修书约定进行保修的，采购人可自行委托，所需费用在成交供应商质保金中扣付。</w:t>
      </w:r>
    </w:p>
    <w:p>
      <w:pPr>
        <w:numPr>
          <w:ilvl w:val="255"/>
          <w:numId w:val="0"/>
        </w:numPr>
        <w:spacing w:after="100" w:afterAutospacing="1"/>
        <w:rPr>
          <w:rFonts w:ascii="宋体" w:hAnsi="宋体" w:eastAsia="宋体" w:cs="宋体"/>
        </w:rPr>
      </w:pPr>
      <w:r>
        <w:rPr>
          <w:rFonts w:hint="eastAsia" w:ascii="宋体" w:hAnsi="宋体" w:eastAsia="宋体" w:cs="宋体"/>
        </w:rPr>
        <w:t>10.主要设备材料要求</w:t>
      </w:r>
    </w:p>
    <w:p>
      <w:pPr>
        <w:numPr>
          <w:ilvl w:val="255"/>
          <w:numId w:val="0"/>
        </w:numPr>
        <w:spacing w:after="100" w:afterAutospacing="1" w:line="360" w:lineRule="auto"/>
        <w:ind w:firstLine="480" w:firstLineChars="200"/>
        <w:rPr>
          <w:rFonts w:ascii="宋体" w:hAnsi="宋体" w:eastAsia="宋体" w:cs="宋体"/>
        </w:rPr>
      </w:pPr>
      <w:r>
        <w:rPr>
          <w:rFonts w:hint="eastAsia" w:ascii="宋体" w:hAnsi="宋体" w:eastAsia="宋体" w:cs="宋体"/>
        </w:rPr>
        <w:t>工程用主材的规格品牌及档次要求详见附表一。成交供应商在工程施工时，须按照附表要求选用材料并按照采购人管理程序报审报验。</w:t>
      </w:r>
    </w:p>
    <w:p>
      <w:pPr>
        <w:numPr>
          <w:ilvl w:val="255"/>
          <w:numId w:val="0"/>
        </w:numPr>
        <w:spacing w:after="100" w:afterAutospacing="1"/>
        <w:rPr>
          <w:rFonts w:ascii="宋体" w:hAnsi="宋体" w:eastAsia="宋体" w:cs="宋体"/>
        </w:rPr>
      </w:pPr>
      <w:r>
        <w:rPr>
          <w:rFonts w:hint="eastAsia" w:ascii="宋体" w:hAnsi="宋体" w:eastAsia="宋体" w:cs="宋体"/>
        </w:rPr>
        <w:t>11.其他要求</w:t>
      </w:r>
    </w:p>
    <w:p>
      <w:pPr>
        <w:numPr>
          <w:ilvl w:val="255"/>
          <w:numId w:val="0"/>
        </w:numPr>
        <w:spacing w:after="100" w:afterAutospacing="1" w:line="360" w:lineRule="auto"/>
        <w:ind w:firstLine="480" w:firstLineChars="200"/>
        <w:rPr>
          <w:rFonts w:ascii="宋体" w:hAnsi="宋体" w:eastAsia="宋体" w:cs="宋体"/>
        </w:rPr>
      </w:pPr>
      <w:r>
        <w:rPr>
          <w:rFonts w:hint="eastAsia" w:ascii="宋体" w:hAnsi="宋体" w:eastAsia="宋体" w:cs="宋体"/>
        </w:rPr>
        <w:t>1.安全文明施工应符合《建筑工程安全防护、文明施工措施费用及使用管理规定》（建办【2005】89号）的规定，并符合地方政府对安全文明施工合格（或标准化实施）的要求及本招标文件的要求。</w:t>
      </w:r>
    </w:p>
    <w:p>
      <w:pPr>
        <w:numPr>
          <w:ilvl w:val="255"/>
          <w:numId w:val="0"/>
        </w:numPr>
        <w:spacing w:after="100" w:afterAutospacing="1" w:line="360" w:lineRule="auto"/>
        <w:ind w:firstLine="480" w:firstLineChars="200"/>
        <w:rPr>
          <w:rFonts w:ascii="宋体" w:hAnsi="宋体" w:eastAsia="宋体" w:cs="宋体"/>
        </w:rPr>
      </w:pPr>
      <w:r>
        <w:rPr>
          <w:rFonts w:hint="eastAsia" w:ascii="宋体" w:hAnsi="宋体" w:eastAsia="宋体" w:cs="宋体"/>
        </w:rPr>
        <w:t>2.施工现场应建立安全管理制度，设置专职安全管理人员，专职安全管理人员应具有相应的资格。特殊工种人员应持证上岗，具备相应的特种作业资格证。</w:t>
      </w:r>
    </w:p>
    <w:p>
      <w:pPr>
        <w:adjustRightInd w:val="0"/>
        <w:snapToGrid w:val="0"/>
        <w:spacing w:line="360" w:lineRule="auto"/>
        <w:ind w:firstLine="482" w:firstLineChars="200"/>
        <w:outlineLvl w:val="2"/>
        <w:rPr>
          <w:rFonts w:asciiTheme="minorEastAsia" w:hAnsiTheme="minorEastAsia" w:eastAsiaTheme="minorEastAsia"/>
          <w:b/>
          <w:bCs/>
        </w:rPr>
      </w:pPr>
      <w:bookmarkStart w:id="4" w:name="_Toc21132"/>
      <w:r>
        <w:rPr>
          <w:rFonts w:hint="eastAsia" w:asciiTheme="minorEastAsia" w:hAnsiTheme="minorEastAsia" w:eastAsiaTheme="minorEastAsia"/>
          <w:b/>
          <w:bCs/>
        </w:rPr>
        <w:t>二、</w:t>
      </w:r>
      <w:bookmarkEnd w:id="3"/>
      <w:r>
        <w:rPr>
          <w:rFonts w:hint="eastAsia" w:asciiTheme="minorEastAsia" w:hAnsiTheme="minorEastAsia" w:eastAsiaTheme="minorEastAsia"/>
          <w:b/>
          <w:bCs/>
        </w:rPr>
        <w:t>主要标的</w:t>
      </w:r>
      <w:bookmarkEnd w:id="4"/>
    </w:p>
    <w:p>
      <w:pPr>
        <w:numPr>
          <w:ilvl w:val="255"/>
          <w:numId w:val="0"/>
        </w:numPr>
        <w:spacing w:after="100" w:afterAutospacing="1" w:line="360" w:lineRule="auto"/>
        <w:jc w:val="left"/>
        <w:rPr>
          <w:rFonts w:ascii="宋体" w:hAnsi="宋体" w:eastAsia="宋体" w:cs="宋体"/>
          <w:b/>
          <w:bCs/>
          <w:lang w:val="en"/>
        </w:rPr>
      </w:pPr>
      <w:r>
        <w:rPr>
          <w:rFonts w:hint="eastAsia" w:ascii="宋体" w:hAnsi="宋体" w:eastAsia="宋体" w:cs="宋体"/>
          <w:b/>
          <w:bCs/>
          <w:lang w:val="en"/>
        </w:rPr>
        <w:t>主要工程清单：</w:t>
      </w:r>
    </w:p>
    <w:tbl>
      <w:tblPr>
        <w:tblStyle w:val="6"/>
        <w:tblW w:w="882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6"/>
        <w:gridCol w:w="2085"/>
        <w:gridCol w:w="59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trPr>
        <w:tc>
          <w:tcPr>
            <w:tcW w:w="746" w:type="dxa"/>
            <w:vAlign w:val="center"/>
          </w:tcPr>
          <w:p>
            <w:pPr>
              <w:numPr>
                <w:ilvl w:val="255"/>
                <w:numId w:val="0"/>
              </w:numPr>
              <w:spacing w:after="100" w:afterAutospacing="1"/>
              <w:jc w:val="left"/>
              <w:rPr>
                <w:rFonts w:ascii="宋体" w:hAnsi="宋体" w:eastAsia="宋体" w:cs="宋体"/>
              </w:rPr>
            </w:pPr>
            <w:r>
              <w:rPr>
                <w:rFonts w:hint="eastAsia" w:ascii="宋体" w:hAnsi="宋体" w:eastAsia="宋体" w:cs="宋体"/>
              </w:rPr>
              <w:t>序号</w:t>
            </w:r>
          </w:p>
        </w:tc>
        <w:tc>
          <w:tcPr>
            <w:tcW w:w="2085" w:type="dxa"/>
            <w:vAlign w:val="center"/>
          </w:tcPr>
          <w:p>
            <w:pPr>
              <w:numPr>
                <w:ilvl w:val="255"/>
                <w:numId w:val="0"/>
              </w:numPr>
              <w:spacing w:after="100" w:afterAutospacing="1"/>
              <w:jc w:val="left"/>
              <w:rPr>
                <w:rFonts w:ascii="宋体" w:hAnsi="宋体" w:eastAsia="宋体" w:cs="宋体"/>
              </w:rPr>
            </w:pPr>
            <w:r>
              <w:rPr>
                <w:rFonts w:hint="eastAsia" w:ascii="宋体" w:hAnsi="宋体" w:eastAsia="宋体" w:cs="宋体"/>
              </w:rPr>
              <w:t>服务名称</w:t>
            </w:r>
          </w:p>
        </w:tc>
        <w:tc>
          <w:tcPr>
            <w:tcW w:w="5995" w:type="dxa"/>
            <w:vAlign w:val="center"/>
          </w:tcPr>
          <w:p>
            <w:pPr>
              <w:numPr>
                <w:ilvl w:val="255"/>
                <w:numId w:val="0"/>
              </w:numPr>
              <w:spacing w:after="100" w:afterAutospacing="1"/>
              <w:jc w:val="left"/>
              <w:rPr>
                <w:rFonts w:ascii="宋体" w:hAnsi="宋体" w:eastAsia="宋体" w:cs="宋体"/>
              </w:rPr>
            </w:pPr>
            <w:r>
              <w:rPr>
                <w:rFonts w:hint="eastAsia" w:ascii="宋体" w:hAnsi="宋体" w:eastAsia="宋体" w:cs="宋体"/>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746" w:type="dxa"/>
            <w:vAlign w:val="center"/>
          </w:tcPr>
          <w:p>
            <w:pPr>
              <w:numPr>
                <w:ilvl w:val="255"/>
                <w:numId w:val="0"/>
              </w:numPr>
              <w:spacing w:after="100" w:afterAutospacing="1"/>
              <w:jc w:val="left"/>
              <w:rPr>
                <w:rFonts w:ascii="宋体" w:hAnsi="宋体" w:eastAsia="宋体" w:cs="宋体"/>
              </w:rPr>
            </w:pPr>
            <w:r>
              <w:rPr>
                <w:rFonts w:hint="eastAsia" w:ascii="宋体" w:hAnsi="宋体" w:eastAsia="宋体" w:cs="宋体"/>
              </w:rPr>
              <w:t>1</w:t>
            </w:r>
          </w:p>
        </w:tc>
        <w:tc>
          <w:tcPr>
            <w:tcW w:w="2085" w:type="dxa"/>
            <w:vAlign w:val="center"/>
          </w:tcPr>
          <w:p>
            <w:pPr>
              <w:numPr>
                <w:ilvl w:val="255"/>
                <w:numId w:val="0"/>
              </w:numPr>
              <w:spacing w:after="100" w:afterAutospacing="1"/>
              <w:jc w:val="left"/>
              <w:rPr>
                <w:rFonts w:ascii="宋体" w:hAnsi="宋体" w:eastAsia="宋体" w:cs="宋体"/>
              </w:rPr>
            </w:pPr>
            <w:r>
              <w:rPr>
                <w:rFonts w:hint="eastAsia" w:ascii="宋体" w:hAnsi="宋体" w:eastAsia="宋体" w:cs="宋体"/>
              </w:rPr>
              <w:t>装饰装修工程</w:t>
            </w:r>
          </w:p>
        </w:tc>
        <w:tc>
          <w:tcPr>
            <w:tcW w:w="5995" w:type="dxa"/>
            <w:vAlign w:val="center"/>
          </w:tcPr>
          <w:p>
            <w:pPr>
              <w:numPr>
                <w:ilvl w:val="255"/>
                <w:numId w:val="0"/>
              </w:numPr>
              <w:spacing w:after="100" w:afterAutospacing="1"/>
              <w:jc w:val="left"/>
              <w:rPr>
                <w:rFonts w:ascii="宋体" w:hAnsi="宋体" w:eastAsia="宋体" w:cs="宋体"/>
              </w:rPr>
            </w:pPr>
            <w:r>
              <w:rPr>
                <w:rFonts w:hint="eastAsia" w:ascii="宋体" w:hAnsi="宋体" w:eastAsia="宋体" w:cs="宋体"/>
              </w:rPr>
              <w:t>原有实验室拆除、新建地面、墙面、门窗等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46" w:type="dxa"/>
            <w:vAlign w:val="center"/>
          </w:tcPr>
          <w:p>
            <w:pPr>
              <w:numPr>
                <w:ilvl w:val="255"/>
                <w:numId w:val="0"/>
              </w:numPr>
              <w:spacing w:after="100" w:afterAutospacing="1"/>
              <w:jc w:val="left"/>
              <w:rPr>
                <w:rFonts w:ascii="宋体" w:hAnsi="宋体" w:eastAsia="宋体" w:cs="宋体"/>
              </w:rPr>
            </w:pPr>
            <w:r>
              <w:rPr>
                <w:rFonts w:hint="eastAsia" w:ascii="宋体" w:hAnsi="宋体" w:eastAsia="宋体" w:cs="宋体"/>
              </w:rPr>
              <w:t>2</w:t>
            </w:r>
          </w:p>
        </w:tc>
        <w:tc>
          <w:tcPr>
            <w:tcW w:w="2085" w:type="dxa"/>
            <w:vAlign w:val="center"/>
          </w:tcPr>
          <w:p>
            <w:pPr>
              <w:numPr>
                <w:ilvl w:val="255"/>
                <w:numId w:val="0"/>
              </w:numPr>
              <w:spacing w:after="100" w:afterAutospacing="1"/>
              <w:jc w:val="left"/>
              <w:rPr>
                <w:rFonts w:ascii="宋体" w:hAnsi="宋体" w:eastAsia="宋体" w:cs="宋体"/>
              </w:rPr>
            </w:pPr>
            <w:r>
              <w:rPr>
                <w:rFonts w:hint="eastAsia" w:ascii="宋体" w:hAnsi="宋体" w:eastAsia="宋体" w:cs="宋体"/>
              </w:rPr>
              <w:t>洁净安装工程</w:t>
            </w:r>
          </w:p>
        </w:tc>
        <w:tc>
          <w:tcPr>
            <w:tcW w:w="5995" w:type="dxa"/>
            <w:vAlign w:val="center"/>
          </w:tcPr>
          <w:p>
            <w:pPr>
              <w:numPr>
                <w:ilvl w:val="255"/>
                <w:numId w:val="0"/>
              </w:numPr>
              <w:spacing w:after="100" w:afterAutospacing="1"/>
              <w:jc w:val="left"/>
              <w:rPr>
                <w:rFonts w:ascii="宋体" w:hAnsi="宋体" w:eastAsia="宋体" w:cs="宋体"/>
              </w:rPr>
            </w:pPr>
            <w:r>
              <w:rPr>
                <w:rFonts w:hint="eastAsia" w:ascii="宋体" w:hAnsi="宋体" w:eastAsia="宋体" w:cs="宋体"/>
              </w:rPr>
              <w:t>净化空调新风系统、排风系统、垫料收集台、废气处理等</w:t>
            </w:r>
          </w:p>
          <w:p>
            <w:pPr>
              <w:numPr>
                <w:ilvl w:val="255"/>
                <w:numId w:val="0"/>
              </w:numPr>
              <w:spacing w:after="100" w:afterAutospacing="1"/>
              <w:jc w:val="left"/>
              <w:rPr>
                <w:rFonts w:ascii="宋体" w:hAnsi="宋体" w:eastAsia="宋体" w:cs="宋体"/>
              </w:rPr>
            </w:pPr>
            <w:r>
              <w:rPr>
                <w:rFonts w:hint="eastAsia" w:ascii="宋体" w:hAnsi="宋体" w:eastAsia="宋体" w:cs="宋体"/>
              </w:rPr>
              <w:t>（含屏障内新风、排风，IVC独立排风，清洗大厅的新风、排风）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trPr>
        <w:tc>
          <w:tcPr>
            <w:tcW w:w="746" w:type="dxa"/>
            <w:vAlign w:val="center"/>
          </w:tcPr>
          <w:p>
            <w:pPr>
              <w:numPr>
                <w:ilvl w:val="255"/>
                <w:numId w:val="0"/>
              </w:numPr>
              <w:spacing w:after="100" w:afterAutospacing="1"/>
              <w:jc w:val="left"/>
              <w:rPr>
                <w:rFonts w:ascii="宋体" w:hAnsi="宋体" w:eastAsia="宋体" w:cs="宋体"/>
              </w:rPr>
            </w:pPr>
            <w:r>
              <w:rPr>
                <w:rFonts w:hint="eastAsia" w:ascii="宋体" w:hAnsi="宋体" w:eastAsia="宋体" w:cs="宋体"/>
              </w:rPr>
              <w:t>3</w:t>
            </w:r>
          </w:p>
        </w:tc>
        <w:tc>
          <w:tcPr>
            <w:tcW w:w="2085" w:type="dxa"/>
            <w:vAlign w:val="center"/>
          </w:tcPr>
          <w:p>
            <w:pPr>
              <w:numPr>
                <w:ilvl w:val="255"/>
                <w:numId w:val="0"/>
              </w:numPr>
              <w:spacing w:after="100" w:afterAutospacing="1"/>
              <w:jc w:val="left"/>
              <w:rPr>
                <w:rFonts w:ascii="宋体" w:hAnsi="宋体" w:eastAsia="宋体" w:cs="宋体"/>
              </w:rPr>
            </w:pPr>
            <w:r>
              <w:rPr>
                <w:rFonts w:hint="eastAsia" w:ascii="宋体" w:hAnsi="宋体" w:eastAsia="宋体" w:cs="宋体"/>
              </w:rPr>
              <w:t>电气工程</w:t>
            </w:r>
          </w:p>
        </w:tc>
        <w:tc>
          <w:tcPr>
            <w:tcW w:w="5995" w:type="dxa"/>
            <w:vAlign w:val="center"/>
          </w:tcPr>
          <w:p>
            <w:pPr>
              <w:numPr>
                <w:ilvl w:val="255"/>
                <w:numId w:val="0"/>
              </w:numPr>
              <w:spacing w:after="100" w:afterAutospacing="1"/>
              <w:jc w:val="left"/>
              <w:rPr>
                <w:rFonts w:ascii="宋体" w:hAnsi="宋体" w:eastAsia="宋体" w:cs="宋体"/>
              </w:rPr>
            </w:pPr>
            <w:r>
              <w:rPr>
                <w:rFonts w:hint="eastAsia" w:ascii="宋体" w:hAnsi="宋体" w:eastAsia="宋体" w:cs="宋体"/>
              </w:rPr>
              <w:t>双回路配电柜等配套设施、电路改造、照明系统、动力系统等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9" w:hRule="atLeast"/>
        </w:trPr>
        <w:tc>
          <w:tcPr>
            <w:tcW w:w="746" w:type="dxa"/>
            <w:vAlign w:val="center"/>
          </w:tcPr>
          <w:p>
            <w:pPr>
              <w:numPr>
                <w:ilvl w:val="255"/>
                <w:numId w:val="0"/>
              </w:numPr>
              <w:spacing w:after="100" w:afterAutospacing="1"/>
              <w:jc w:val="left"/>
              <w:rPr>
                <w:rFonts w:hint="eastAsia" w:ascii="宋体" w:hAnsi="宋体" w:eastAsia="宋体" w:cs="宋体"/>
                <w:lang w:eastAsia="zh-CN"/>
              </w:rPr>
            </w:pPr>
            <w:r>
              <w:rPr>
                <w:rFonts w:hint="eastAsia" w:ascii="宋体" w:hAnsi="宋体" w:eastAsia="宋体" w:cs="宋体"/>
                <w:lang w:val="en-US" w:eastAsia="zh-CN"/>
              </w:rPr>
              <w:t>4</w:t>
            </w:r>
          </w:p>
        </w:tc>
        <w:tc>
          <w:tcPr>
            <w:tcW w:w="2085" w:type="dxa"/>
            <w:vAlign w:val="center"/>
          </w:tcPr>
          <w:p>
            <w:pPr>
              <w:numPr>
                <w:ilvl w:val="255"/>
                <w:numId w:val="0"/>
              </w:numPr>
              <w:spacing w:after="100" w:afterAutospacing="1"/>
              <w:jc w:val="left"/>
              <w:rPr>
                <w:rFonts w:ascii="宋体" w:hAnsi="宋体" w:eastAsia="宋体" w:cs="宋体"/>
              </w:rPr>
            </w:pPr>
            <w:r>
              <w:rPr>
                <w:rFonts w:hint="eastAsia" w:ascii="宋体" w:hAnsi="宋体" w:eastAsia="宋体" w:cs="宋体"/>
              </w:rPr>
              <w:t>弱电工程</w:t>
            </w:r>
          </w:p>
        </w:tc>
        <w:tc>
          <w:tcPr>
            <w:tcW w:w="5995" w:type="dxa"/>
            <w:vAlign w:val="center"/>
          </w:tcPr>
          <w:p>
            <w:pPr>
              <w:numPr>
                <w:ilvl w:val="255"/>
                <w:numId w:val="0"/>
              </w:numPr>
              <w:spacing w:after="100" w:afterAutospacing="1"/>
              <w:jc w:val="left"/>
              <w:rPr>
                <w:rFonts w:ascii="宋体" w:hAnsi="宋体" w:eastAsia="宋体" w:cs="宋体"/>
              </w:rPr>
            </w:pPr>
            <w:r>
              <w:rPr>
                <w:rFonts w:hint="eastAsia" w:ascii="宋体" w:hAnsi="宋体" w:eastAsia="宋体" w:cs="宋体"/>
              </w:rPr>
              <w:t>视频监控系统、门禁系统、空调系统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3" w:hRule="atLeast"/>
        </w:trPr>
        <w:tc>
          <w:tcPr>
            <w:tcW w:w="746" w:type="dxa"/>
            <w:vAlign w:val="center"/>
          </w:tcPr>
          <w:p>
            <w:pPr>
              <w:numPr>
                <w:ilvl w:val="255"/>
                <w:numId w:val="0"/>
              </w:numPr>
              <w:spacing w:after="100" w:afterAutospacing="1"/>
              <w:jc w:val="left"/>
              <w:rPr>
                <w:rFonts w:hint="eastAsia" w:ascii="宋体" w:hAnsi="宋体" w:eastAsia="宋体" w:cs="宋体"/>
                <w:lang w:eastAsia="zh-CN"/>
              </w:rPr>
            </w:pPr>
            <w:r>
              <w:rPr>
                <w:rFonts w:hint="eastAsia" w:ascii="宋体" w:hAnsi="宋体" w:eastAsia="宋体" w:cs="宋体"/>
                <w:lang w:val="en-US" w:eastAsia="zh-CN"/>
              </w:rPr>
              <w:t>5</w:t>
            </w:r>
          </w:p>
        </w:tc>
        <w:tc>
          <w:tcPr>
            <w:tcW w:w="2085" w:type="dxa"/>
            <w:vAlign w:val="center"/>
          </w:tcPr>
          <w:p>
            <w:pPr>
              <w:numPr>
                <w:ilvl w:val="255"/>
                <w:numId w:val="0"/>
              </w:numPr>
              <w:spacing w:after="100" w:afterAutospacing="1"/>
              <w:jc w:val="left"/>
              <w:rPr>
                <w:rFonts w:ascii="宋体" w:hAnsi="宋体" w:eastAsia="宋体" w:cs="宋体"/>
              </w:rPr>
            </w:pPr>
            <w:r>
              <w:rPr>
                <w:rFonts w:hint="eastAsia" w:ascii="宋体" w:hAnsi="宋体" w:eastAsia="宋体" w:cs="宋体"/>
              </w:rPr>
              <w:t>自控工程</w:t>
            </w:r>
          </w:p>
        </w:tc>
        <w:tc>
          <w:tcPr>
            <w:tcW w:w="5995" w:type="dxa"/>
            <w:vAlign w:val="center"/>
          </w:tcPr>
          <w:p>
            <w:pPr>
              <w:numPr>
                <w:ilvl w:val="255"/>
                <w:numId w:val="0"/>
              </w:numPr>
              <w:spacing w:after="100" w:afterAutospacing="1"/>
              <w:jc w:val="left"/>
              <w:rPr>
                <w:rFonts w:ascii="宋体" w:hAnsi="宋体" w:eastAsia="宋体" w:cs="宋体"/>
              </w:rPr>
            </w:pPr>
            <w:r>
              <w:rPr>
                <w:rFonts w:hint="eastAsia" w:ascii="宋体" w:hAnsi="宋体" w:eastAsia="宋体" w:cs="宋体"/>
              </w:rPr>
              <w:t>远程控制设备运行状态、实验室环境参数、空调系统PLC控制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7" w:hRule="atLeast"/>
        </w:trPr>
        <w:tc>
          <w:tcPr>
            <w:tcW w:w="746" w:type="dxa"/>
            <w:vAlign w:val="center"/>
          </w:tcPr>
          <w:p>
            <w:pPr>
              <w:numPr>
                <w:ilvl w:val="255"/>
                <w:numId w:val="0"/>
              </w:numPr>
              <w:spacing w:after="100" w:afterAutospacing="1"/>
              <w:jc w:val="left"/>
              <w:rPr>
                <w:rFonts w:hint="eastAsia" w:ascii="宋体" w:hAnsi="宋体" w:eastAsia="宋体" w:cs="宋体"/>
                <w:lang w:eastAsia="zh-CN"/>
              </w:rPr>
            </w:pPr>
            <w:r>
              <w:rPr>
                <w:rFonts w:hint="eastAsia" w:ascii="宋体" w:hAnsi="宋体" w:eastAsia="宋体" w:cs="宋体"/>
                <w:lang w:val="en-US" w:eastAsia="zh-CN"/>
              </w:rPr>
              <w:t>6</w:t>
            </w:r>
          </w:p>
        </w:tc>
        <w:tc>
          <w:tcPr>
            <w:tcW w:w="2085" w:type="dxa"/>
            <w:vAlign w:val="center"/>
          </w:tcPr>
          <w:p>
            <w:pPr>
              <w:numPr>
                <w:ilvl w:val="255"/>
                <w:numId w:val="0"/>
              </w:numPr>
              <w:spacing w:after="100" w:afterAutospacing="1"/>
              <w:jc w:val="left"/>
              <w:rPr>
                <w:rFonts w:ascii="宋体" w:hAnsi="宋体" w:eastAsia="宋体" w:cs="宋体"/>
              </w:rPr>
            </w:pPr>
            <w:r>
              <w:rPr>
                <w:rFonts w:hint="eastAsia" w:ascii="宋体" w:hAnsi="宋体" w:eastAsia="宋体" w:cs="宋体"/>
              </w:rPr>
              <w:t>消防系统工程</w:t>
            </w:r>
          </w:p>
        </w:tc>
        <w:tc>
          <w:tcPr>
            <w:tcW w:w="5995" w:type="dxa"/>
            <w:vAlign w:val="center"/>
          </w:tcPr>
          <w:p>
            <w:pPr>
              <w:numPr>
                <w:ilvl w:val="255"/>
                <w:numId w:val="0"/>
              </w:numPr>
              <w:spacing w:after="100" w:afterAutospacing="1"/>
              <w:jc w:val="left"/>
              <w:rPr>
                <w:rFonts w:ascii="宋体" w:hAnsi="宋体" w:eastAsia="宋体" w:cs="宋体"/>
              </w:rPr>
            </w:pPr>
            <w:r>
              <w:rPr>
                <w:rFonts w:hint="eastAsia" w:ascii="宋体" w:hAnsi="宋体" w:eastAsia="宋体" w:cs="宋体"/>
              </w:rPr>
              <w:t>消防喷淋、烟感、消防栓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7" w:hRule="atLeast"/>
        </w:trPr>
        <w:tc>
          <w:tcPr>
            <w:tcW w:w="746" w:type="dxa"/>
            <w:vAlign w:val="center"/>
          </w:tcPr>
          <w:p>
            <w:pPr>
              <w:numPr>
                <w:ilvl w:val="255"/>
                <w:numId w:val="0"/>
              </w:numPr>
              <w:spacing w:after="100" w:afterAutospacing="1"/>
              <w:jc w:val="left"/>
              <w:rPr>
                <w:rFonts w:hint="eastAsia" w:ascii="宋体" w:hAnsi="宋体" w:eastAsia="宋体" w:cs="宋体"/>
                <w:lang w:val="en-US" w:eastAsia="zh-CN"/>
              </w:rPr>
            </w:pPr>
            <w:r>
              <w:rPr>
                <w:rFonts w:hint="eastAsia" w:ascii="宋体" w:hAnsi="宋体" w:eastAsia="宋体" w:cs="宋体"/>
                <w:lang w:val="en-US" w:eastAsia="zh-CN"/>
              </w:rPr>
              <w:t>7</w:t>
            </w:r>
          </w:p>
        </w:tc>
        <w:tc>
          <w:tcPr>
            <w:tcW w:w="2085" w:type="dxa"/>
            <w:vAlign w:val="center"/>
          </w:tcPr>
          <w:p>
            <w:pPr>
              <w:numPr>
                <w:ilvl w:val="255"/>
                <w:numId w:val="0"/>
              </w:numPr>
              <w:spacing w:after="100" w:afterAutospacing="1"/>
              <w:jc w:val="left"/>
              <w:rPr>
                <w:rFonts w:hint="eastAsia" w:ascii="宋体" w:hAnsi="宋体" w:eastAsia="宋体" w:cs="宋体"/>
              </w:rPr>
            </w:pPr>
            <w:r>
              <w:rPr>
                <w:rFonts w:hint="eastAsia" w:ascii="宋体" w:hAnsi="宋体" w:eastAsia="宋体" w:cs="宋体"/>
              </w:rPr>
              <w:t>通风工程</w:t>
            </w:r>
          </w:p>
        </w:tc>
        <w:tc>
          <w:tcPr>
            <w:tcW w:w="5995" w:type="dxa"/>
            <w:vAlign w:val="center"/>
          </w:tcPr>
          <w:p>
            <w:pPr>
              <w:numPr>
                <w:ilvl w:val="255"/>
                <w:numId w:val="0"/>
              </w:numPr>
              <w:spacing w:after="100" w:afterAutospacing="1"/>
              <w:ind w:firstLine="0"/>
              <w:jc w:val="left"/>
              <w:rPr>
                <w:rFonts w:hint="eastAsia" w:ascii="宋体" w:hAnsi="宋体" w:eastAsia="宋体" w:cs="宋体"/>
                <w:lang w:val="en-US" w:eastAsia="zh-CN"/>
              </w:rPr>
            </w:pPr>
            <w:r>
              <w:rPr>
                <w:rFonts w:hint="eastAsia" w:ascii="宋体" w:hAnsi="宋体" w:eastAsia="宋体" w:cs="宋体"/>
              </w:rPr>
              <w:t>组合式恒温恒湿空气净化机</w:t>
            </w:r>
            <w:r>
              <w:rPr>
                <w:rFonts w:hint="eastAsia" w:ascii="宋体" w:hAnsi="宋体" w:eastAsia="宋体" w:cs="宋体"/>
                <w:lang w:val="en-US" w:eastAsia="zh-CN"/>
              </w:rPr>
              <w:t>等</w:t>
            </w:r>
          </w:p>
        </w:tc>
      </w:tr>
    </w:tbl>
    <w:p>
      <w:pPr>
        <w:numPr>
          <w:ilvl w:val="255"/>
          <w:numId w:val="0"/>
        </w:numPr>
        <w:spacing w:after="100" w:afterAutospacing="1" w:line="360" w:lineRule="auto"/>
        <w:jc w:val="left"/>
        <w:rPr>
          <w:rFonts w:ascii="宋体" w:hAnsi="宋体" w:eastAsia="宋体" w:cs="宋体"/>
        </w:rPr>
      </w:pPr>
    </w:p>
    <w:p>
      <w:pPr>
        <w:adjustRightInd w:val="0"/>
        <w:snapToGrid w:val="0"/>
        <w:spacing w:line="360" w:lineRule="auto"/>
        <w:ind w:firstLine="482" w:firstLineChars="200"/>
        <w:outlineLvl w:val="2"/>
        <w:rPr>
          <w:rFonts w:asciiTheme="minorEastAsia" w:hAnsiTheme="minorEastAsia" w:eastAsiaTheme="minorEastAsia"/>
          <w:b/>
          <w:bCs/>
        </w:rPr>
      </w:pPr>
      <w:bookmarkStart w:id="5" w:name="_Toc10668"/>
      <w:r>
        <w:rPr>
          <w:rFonts w:hint="eastAsia" w:asciiTheme="minorEastAsia" w:hAnsiTheme="minorEastAsia" w:eastAsiaTheme="minorEastAsia"/>
          <w:b/>
          <w:bCs/>
        </w:rPr>
        <w:t>三、商务要求</w:t>
      </w:r>
      <w:bookmarkEnd w:id="5"/>
    </w:p>
    <w:tbl>
      <w:tblPr>
        <w:tblStyle w:val="6"/>
        <w:tblW w:w="88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72"/>
        <w:gridCol w:w="1666"/>
        <w:gridCol w:w="623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0" w:hRule="atLeast"/>
        </w:trPr>
        <w:tc>
          <w:tcPr>
            <w:tcW w:w="972" w:type="dxa"/>
            <w:vAlign w:val="center"/>
          </w:tcPr>
          <w:p>
            <w:pPr>
              <w:numPr>
                <w:ilvl w:val="255"/>
                <w:numId w:val="0"/>
              </w:numPr>
              <w:spacing w:after="100" w:afterAutospacing="1"/>
              <w:jc w:val="left"/>
              <w:rPr>
                <w:rFonts w:ascii="宋体" w:hAnsi="宋体" w:eastAsia="宋体" w:cs="宋体"/>
                <w:b/>
                <w:bCs/>
                <w:lang w:val="zh-CN"/>
              </w:rPr>
            </w:pPr>
            <w:r>
              <w:rPr>
                <w:rFonts w:hint="eastAsia" w:ascii="宋体" w:hAnsi="宋体" w:eastAsia="宋体" w:cs="宋体"/>
                <w:b/>
                <w:bCs/>
                <w:lang w:val="zh-CN"/>
              </w:rPr>
              <w:t>序号</w:t>
            </w:r>
          </w:p>
        </w:tc>
        <w:tc>
          <w:tcPr>
            <w:tcW w:w="1666" w:type="dxa"/>
            <w:vAlign w:val="center"/>
          </w:tcPr>
          <w:p>
            <w:pPr>
              <w:numPr>
                <w:ilvl w:val="255"/>
                <w:numId w:val="0"/>
              </w:numPr>
              <w:spacing w:after="100" w:afterAutospacing="1"/>
              <w:jc w:val="left"/>
              <w:rPr>
                <w:rFonts w:ascii="宋体" w:hAnsi="宋体" w:eastAsia="宋体" w:cs="宋体"/>
                <w:b/>
                <w:bCs/>
                <w:lang w:val="zh-CN"/>
              </w:rPr>
            </w:pPr>
            <w:r>
              <w:rPr>
                <w:rFonts w:hint="eastAsia" w:ascii="宋体" w:hAnsi="宋体" w:eastAsia="宋体" w:cs="宋体"/>
                <w:b/>
                <w:bCs/>
                <w:lang w:val="zh-CN"/>
              </w:rPr>
              <w:t>指标项</w:t>
            </w:r>
          </w:p>
        </w:tc>
        <w:tc>
          <w:tcPr>
            <w:tcW w:w="6238" w:type="dxa"/>
            <w:vAlign w:val="center"/>
          </w:tcPr>
          <w:p>
            <w:pPr>
              <w:numPr>
                <w:ilvl w:val="255"/>
                <w:numId w:val="0"/>
              </w:numPr>
              <w:spacing w:after="100" w:afterAutospacing="1"/>
              <w:jc w:val="left"/>
              <w:rPr>
                <w:rFonts w:ascii="宋体" w:hAnsi="宋体" w:eastAsia="宋体" w:cs="宋体"/>
                <w:b/>
                <w:bCs/>
                <w:lang w:val="zh-CN"/>
              </w:rPr>
            </w:pPr>
            <w:r>
              <w:rPr>
                <w:rFonts w:hint="eastAsia" w:ascii="宋体" w:hAnsi="宋体" w:eastAsia="宋体" w:cs="宋体"/>
                <w:b/>
                <w:bCs/>
                <w:lang w:val="zh-CN"/>
              </w:rPr>
              <w:t>指标要求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8" w:hRule="atLeast"/>
        </w:trPr>
        <w:tc>
          <w:tcPr>
            <w:tcW w:w="972" w:type="dxa"/>
            <w:vAlign w:val="center"/>
          </w:tcPr>
          <w:p>
            <w:pPr>
              <w:numPr>
                <w:ilvl w:val="255"/>
                <w:numId w:val="0"/>
              </w:numPr>
              <w:spacing w:after="100" w:afterAutospacing="1"/>
              <w:jc w:val="left"/>
              <w:rPr>
                <w:rFonts w:ascii="宋体" w:hAnsi="宋体" w:eastAsia="宋体" w:cs="宋体"/>
                <w:lang w:val="zh-CN"/>
              </w:rPr>
            </w:pPr>
            <w:r>
              <w:rPr>
                <w:rFonts w:hint="eastAsia" w:ascii="宋体" w:hAnsi="宋体" w:eastAsia="宋体" w:cs="宋体"/>
                <w:lang w:val="zh-CN"/>
              </w:rPr>
              <w:t>1</w:t>
            </w:r>
          </w:p>
        </w:tc>
        <w:tc>
          <w:tcPr>
            <w:tcW w:w="1666" w:type="dxa"/>
            <w:vAlign w:val="center"/>
          </w:tcPr>
          <w:p>
            <w:pPr>
              <w:numPr>
                <w:ilvl w:val="255"/>
                <w:numId w:val="0"/>
              </w:numPr>
              <w:spacing w:after="100" w:afterAutospacing="1"/>
              <w:jc w:val="left"/>
              <w:rPr>
                <w:rFonts w:ascii="宋体" w:hAnsi="宋体" w:eastAsia="宋体" w:cs="宋体"/>
                <w:lang w:val="zh-CN"/>
              </w:rPr>
            </w:pPr>
            <w:r>
              <w:rPr>
                <w:rFonts w:hint="eastAsia" w:ascii="宋体" w:hAnsi="宋体" w:eastAsia="宋体" w:cs="宋体"/>
              </w:rPr>
              <w:t>工期</w:t>
            </w:r>
          </w:p>
        </w:tc>
        <w:tc>
          <w:tcPr>
            <w:tcW w:w="6238" w:type="dxa"/>
            <w:vAlign w:val="center"/>
          </w:tcPr>
          <w:p>
            <w:pPr>
              <w:numPr>
                <w:ilvl w:val="255"/>
                <w:numId w:val="0"/>
              </w:numPr>
              <w:spacing w:after="100" w:afterAutospacing="1"/>
              <w:rPr>
                <w:rFonts w:ascii="宋体" w:hAnsi="宋体" w:eastAsia="宋体" w:cs="宋体"/>
                <w:lang w:val="zh-CN"/>
              </w:rPr>
            </w:pPr>
            <w:r>
              <w:rPr>
                <w:rFonts w:hint="eastAsia" w:ascii="宋体" w:hAnsi="宋体" w:eastAsia="宋体" w:cs="宋体"/>
              </w:rPr>
              <w:t>4个月，</w:t>
            </w:r>
            <w:bookmarkStart w:id="6" w:name="OLE_LINK5"/>
            <w:r>
              <w:rPr>
                <w:rFonts w:hint="eastAsia" w:ascii="宋体" w:hAnsi="宋体" w:eastAsia="宋体" w:cs="宋体"/>
              </w:rPr>
              <w:t>2024年3月份完成实验动物许可证申请</w:t>
            </w:r>
            <w:bookmarkEnd w:id="6"/>
            <w:r>
              <w:rPr>
                <w:rFonts w:hint="eastAsia" w:ascii="宋体" w:hAnsi="宋体" w:eastAsia="宋体" w:cs="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8" w:hRule="atLeast"/>
        </w:trPr>
        <w:tc>
          <w:tcPr>
            <w:tcW w:w="972" w:type="dxa"/>
            <w:vAlign w:val="center"/>
          </w:tcPr>
          <w:p>
            <w:pPr>
              <w:numPr>
                <w:ilvl w:val="255"/>
                <w:numId w:val="0"/>
              </w:numPr>
              <w:spacing w:after="100" w:afterAutospacing="1"/>
              <w:jc w:val="left"/>
              <w:rPr>
                <w:rFonts w:ascii="宋体" w:hAnsi="宋体" w:eastAsia="宋体" w:cs="宋体"/>
                <w:lang w:val="zh-CN"/>
              </w:rPr>
            </w:pPr>
            <w:r>
              <w:rPr>
                <w:rFonts w:hint="eastAsia" w:ascii="宋体" w:hAnsi="宋体" w:eastAsia="宋体" w:cs="宋体"/>
                <w:lang w:val="zh-CN"/>
              </w:rPr>
              <w:t>2</w:t>
            </w:r>
          </w:p>
        </w:tc>
        <w:tc>
          <w:tcPr>
            <w:tcW w:w="1666" w:type="dxa"/>
            <w:vAlign w:val="center"/>
          </w:tcPr>
          <w:p>
            <w:pPr>
              <w:numPr>
                <w:ilvl w:val="255"/>
                <w:numId w:val="0"/>
              </w:numPr>
              <w:spacing w:after="100" w:afterAutospacing="1"/>
              <w:jc w:val="left"/>
              <w:rPr>
                <w:rFonts w:ascii="宋体" w:hAnsi="宋体" w:eastAsia="宋体" w:cs="宋体"/>
                <w:lang w:val="zh-CN"/>
              </w:rPr>
            </w:pPr>
            <w:r>
              <w:rPr>
                <w:rFonts w:hint="eastAsia" w:ascii="宋体" w:hAnsi="宋体" w:eastAsia="宋体" w:cs="宋体"/>
                <w:lang w:val="zh-CN"/>
              </w:rPr>
              <w:t>质保期</w:t>
            </w:r>
          </w:p>
        </w:tc>
        <w:tc>
          <w:tcPr>
            <w:tcW w:w="6238" w:type="dxa"/>
            <w:vAlign w:val="center"/>
          </w:tcPr>
          <w:p>
            <w:pPr>
              <w:pStyle w:val="4"/>
              <w:jc w:val="both"/>
              <w:rPr>
                <w:rFonts w:ascii="宋体" w:hAnsi="宋体" w:eastAsia="宋体" w:cs="宋体"/>
              </w:rPr>
            </w:pPr>
            <w:r>
              <w:rPr>
                <w:rFonts w:hint="eastAsia" w:ascii="宋体" w:hAnsi="宋体" w:eastAsia="宋体" w:cs="宋体"/>
              </w:rPr>
              <w:t>工程整体质保2年（含设备），防水质保5年。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2" w:hRule="atLeast"/>
        </w:trPr>
        <w:tc>
          <w:tcPr>
            <w:tcW w:w="972" w:type="dxa"/>
            <w:vAlign w:val="center"/>
          </w:tcPr>
          <w:p>
            <w:pPr>
              <w:numPr>
                <w:ilvl w:val="255"/>
                <w:numId w:val="0"/>
              </w:numPr>
              <w:spacing w:after="100" w:afterAutospacing="1"/>
              <w:jc w:val="left"/>
              <w:rPr>
                <w:rFonts w:ascii="宋体" w:hAnsi="宋体" w:eastAsia="宋体" w:cs="宋体"/>
              </w:rPr>
            </w:pPr>
            <w:r>
              <w:rPr>
                <w:rFonts w:hint="eastAsia" w:ascii="宋体" w:hAnsi="宋体" w:eastAsia="宋体" w:cs="宋体"/>
              </w:rPr>
              <w:t>3</w:t>
            </w:r>
          </w:p>
        </w:tc>
        <w:tc>
          <w:tcPr>
            <w:tcW w:w="1666" w:type="dxa"/>
            <w:vAlign w:val="center"/>
          </w:tcPr>
          <w:p>
            <w:pPr>
              <w:numPr>
                <w:ilvl w:val="255"/>
                <w:numId w:val="0"/>
              </w:numPr>
              <w:spacing w:after="100" w:afterAutospacing="1"/>
              <w:jc w:val="left"/>
              <w:rPr>
                <w:rFonts w:ascii="宋体" w:hAnsi="宋体" w:eastAsia="宋体" w:cs="宋体"/>
                <w:lang w:val="zh-CN"/>
              </w:rPr>
            </w:pPr>
            <w:r>
              <w:rPr>
                <w:rFonts w:hint="eastAsia" w:ascii="宋体" w:hAnsi="宋体" w:eastAsia="宋体" w:cs="宋体"/>
                <w:lang w:val="zh-CN"/>
              </w:rPr>
              <w:t>包装和运输</w:t>
            </w:r>
          </w:p>
        </w:tc>
        <w:tc>
          <w:tcPr>
            <w:tcW w:w="6238" w:type="dxa"/>
            <w:vAlign w:val="center"/>
          </w:tcPr>
          <w:p>
            <w:pPr>
              <w:numPr>
                <w:ilvl w:val="255"/>
                <w:numId w:val="0"/>
              </w:numPr>
              <w:spacing w:after="100" w:afterAutospacing="1"/>
              <w:rPr>
                <w:rFonts w:ascii="宋体" w:hAnsi="宋体" w:eastAsia="宋体" w:cs="宋体"/>
              </w:rPr>
            </w:pPr>
            <w:r>
              <w:rPr>
                <w:rFonts w:hint="eastAsia" w:ascii="宋体" w:hAnsi="宋体" w:eastAsia="宋体" w:cs="宋体"/>
              </w:rPr>
              <w:t>货物包装、运输、卸载、堆放过程中的磕碰损坏由施工方负责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1" w:hRule="atLeast"/>
        </w:trPr>
        <w:tc>
          <w:tcPr>
            <w:tcW w:w="972" w:type="dxa"/>
            <w:vAlign w:val="center"/>
          </w:tcPr>
          <w:p>
            <w:pPr>
              <w:numPr>
                <w:ilvl w:val="255"/>
                <w:numId w:val="0"/>
              </w:numPr>
              <w:spacing w:after="100" w:afterAutospacing="1"/>
              <w:jc w:val="left"/>
              <w:rPr>
                <w:rFonts w:ascii="宋体" w:hAnsi="宋体" w:eastAsia="宋体" w:cs="宋体"/>
                <w:lang w:val="zh-CN"/>
              </w:rPr>
            </w:pPr>
            <w:r>
              <w:rPr>
                <w:rFonts w:hint="eastAsia" w:ascii="宋体" w:hAnsi="宋体" w:eastAsia="宋体" w:cs="宋体"/>
                <w:lang w:val="zh-CN"/>
              </w:rPr>
              <w:t>4</w:t>
            </w:r>
          </w:p>
        </w:tc>
        <w:tc>
          <w:tcPr>
            <w:tcW w:w="1666" w:type="dxa"/>
            <w:vAlign w:val="center"/>
          </w:tcPr>
          <w:p>
            <w:pPr>
              <w:numPr>
                <w:ilvl w:val="255"/>
                <w:numId w:val="0"/>
              </w:numPr>
              <w:spacing w:after="100" w:afterAutospacing="1"/>
              <w:jc w:val="left"/>
              <w:rPr>
                <w:rFonts w:ascii="宋体" w:hAnsi="宋体" w:eastAsia="宋体" w:cs="宋体"/>
                <w:lang w:val="zh-CN"/>
              </w:rPr>
            </w:pPr>
            <w:r>
              <w:rPr>
                <w:rFonts w:hint="eastAsia" w:ascii="宋体" w:hAnsi="宋体" w:eastAsia="宋体" w:cs="宋体"/>
                <w:lang w:val="zh-CN"/>
              </w:rPr>
              <w:t>服务标准/</w:t>
            </w:r>
          </w:p>
          <w:p>
            <w:pPr>
              <w:numPr>
                <w:ilvl w:val="255"/>
                <w:numId w:val="0"/>
              </w:numPr>
              <w:spacing w:after="100" w:afterAutospacing="1"/>
              <w:jc w:val="left"/>
              <w:rPr>
                <w:rFonts w:ascii="宋体" w:hAnsi="宋体" w:eastAsia="宋体" w:cs="宋体"/>
                <w:lang w:val="zh-CN"/>
              </w:rPr>
            </w:pPr>
            <w:r>
              <w:rPr>
                <w:rFonts w:hint="eastAsia" w:ascii="宋体" w:hAnsi="宋体" w:eastAsia="宋体" w:cs="宋体"/>
                <w:lang w:val="zh-CN"/>
              </w:rPr>
              <w:t>售后服务要求</w:t>
            </w:r>
          </w:p>
        </w:tc>
        <w:tc>
          <w:tcPr>
            <w:tcW w:w="6238" w:type="dxa"/>
            <w:vAlign w:val="center"/>
          </w:tcPr>
          <w:p>
            <w:pPr>
              <w:numPr>
                <w:ilvl w:val="255"/>
                <w:numId w:val="0"/>
              </w:numPr>
              <w:spacing w:after="100" w:afterAutospacing="1"/>
              <w:rPr>
                <w:rFonts w:ascii="宋体" w:hAnsi="宋体" w:eastAsia="宋体" w:cs="宋体"/>
                <w:lang w:val="zh-CN"/>
              </w:rPr>
            </w:pPr>
            <w:r>
              <w:rPr>
                <w:rFonts w:hint="eastAsia" w:ascii="宋体" w:hAnsi="宋体" w:eastAsia="宋体" w:cs="宋体"/>
                <w:lang w:val="zh-CN"/>
              </w:rPr>
              <w:t>所有硬件</w:t>
            </w:r>
            <w:r>
              <w:rPr>
                <w:rFonts w:hint="eastAsia" w:ascii="宋体" w:hAnsi="宋体" w:eastAsia="宋体" w:cs="宋体"/>
              </w:rPr>
              <w:t>5</w:t>
            </w:r>
            <w:r>
              <w:rPr>
                <w:rFonts w:hint="eastAsia" w:ascii="宋体" w:hAnsi="宋体" w:eastAsia="宋体" w:cs="宋体"/>
                <w:lang w:val="zh-CN"/>
              </w:rPr>
              <w:t>年</w:t>
            </w:r>
            <w:r>
              <w:rPr>
                <w:rFonts w:hint="eastAsia" w:ascii="宋体" w:hAnsi="宋体" w:eastAsia="宋体" w:cs="宋体"/>
              </w:rPr>
              <w:t>内</w:t>
            </w:r>
            <w:r>
              <w:rPr>
                <w:rFonts w:hint="eastAsia" w:ascii="宋体" w:hAnsi="宋体" w:eastAsia="宋体" w:cs="宋体"/>
                <w:lang w:val="zh-CN"/>
              </w:rPr>
              <w:t>免费保修、所有软件</w:t>
            </w:r>
            <w:r>
              <w:rPr>
                <w:rFonts w:hint="eastAsia" w:ascii="宋体" w:hAnsi="宋体" w:eastAsia="宋体" w:cs="宋体"/>
              </w:rPr>
              <w:t>10</w:t>
            </w:r>
            <w:r>
              <w:rPr>
                <w:rFonts w:hint="eastAsia" w:ascii="宋体" w:hAnsi="宋体" w:eastAsia="宋体" w:cs="宋体"/>
                <w:lang w:val="zh-CN"/>
              </w:rPr>
              <w:t>年</w:t>
            </w:r>
            <w:r>
              <w:rPr>
                <w:rFonts w:hint="eastAsia" w:ascii="宋体" w:hAnsi="宋体" w:eastAsia="宋体" w:cs="宋体"/>
              </w:rPr>
              <w:t>内</w:t>
            </w:r>
            <w:r>
              <w:rPr>
                <w:rFonts w:hint="eastAsia" w:ascii="宋体" w:hAnsi="宋体" w:eastAsia="宋体" w:cs="宋体"/>
                <w:lang w:val="zh-CN"/>
              </w:rPr>
              <w:t>免费保修升级、电话报修后</w:t>
            </w:r>
            <w:r>
              <w:rPr>
                <w:rFonts w:hint="eastAsia" w:ascii="宋体" w:hAnsi="宋体" w:eastAsia="宋体" w:cs="宋体"/>
              </w:rPr>
              <w:t>2</w:t>
            </w:r>
            <w:r>
              <w:rPr>
                <w:rFonts w:hint="eastAsia" w:ascii="宋体" w:hAnsi="宋体" w:eastAsia="宋体" w:cs="宋体"/>
                <w:lang w:val="zh-CN"/>
              </w:rPr>
              <w:t>小时上门服务、</w:t>
            </w:r>
            <w:r>
              <w:rPr>
                <w:rFonts w:hint="eastAsia" w:ascii="宋体" w:hAnsi="宋体" w:eastAsia="宋体" w:cs="宋体"/>
              </w:rPr>
              <w:t>6</w:t>
            </w:r>
            <w:r>
              <w:rPr>
                <w:rFonts w:hint="eastAsia" w:ascii="宋体" w:hAnsi="宋体" w:eastAsia="宋体" w:cs="宋体"/>
                <w:lang w:val="zh-CN"/>
              </w:rPr>
              <w:t>小时内排除故障。</w:t>
            </w:r>
          </w:p>
          <w:p>
            <w:pPr>
              <w:numPr>
                <w:ilvl w:val="255"/>
                <w:numId w:val="0"/>
              </w:numPr>
              <w:spacing w:after="100" w:afterAutospacing="1"/>
              <w:rPr>
                <w:rFonts w:ascii="宋体" w:hAnsi="宋体" w:eastAsia="宋体" w:cs="宋体"/>
                <w:lang w:val="zh-CN"/>
              </w:rPr>
            </w:pPr>
            <w:r>
              <w:rPr>
                <w:rFonts w:hint="eastAsia" w:ascii="宋体" w:hAnsi="宋体" w:eastAsia="宋体" w:cs="宋体"/>
                <w:lang w:val="zh-CN"/>
              </w:rPr>
              <w:t>所有硬件过</w:t>
            </w:r>
            <w:r>
              <w:rPr>
                <w:rFonts w:hint="eastAsia" w:ascii="宋体" w:hAnsi="宋体" w:eastAsia="宋体" w:cs="宋体"/>
              </w:rPr>
              <w:t>五</w:t>
            </w:r>
            <w:r>
              <w:rPr>
                <w:rFonts w:hint="eastAsia" w:ascii="宋体" w:hAnsi="宋体" w:eastAsia="宋体" w:cs="宋体"/>
                <w:lang w:val="zh-CN"/>
              </w:rPr>
              <w:t>年免费保修期后按原价维修（按投标货物价格数量表所列价格，更换零部件的按合同签订时的零部件价格）、所有软件过一年免费保修升级期内按按原价的10%进行维修升级，响应速度同保修期响应速度。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9" w:hRule="atLeast"/>
        </w:trPr>
        <w:tc>
          <w:tcPr>
            <w:tcW w:w="972" w:type="dxa"/>
            <w:vAlign w:val="center"/>
          </w:tcPr>
          <w:p>
            <w:pPr>
              <w:numPr>
                <w:ilvl w:val="255"/>
                <w:numId w:val="0"/>
              </w:numPr>
              <w:spacing w:after="100" w:afterAutospacing="1"/>
              <w:jc w:val="left"/>
              <w:rPr>
                <w:rFonts w:ascii="宋体" w:hAnsi="宋体" w:eastAsia="宋体" w:cs="宋体"/>
                <w:lang w:val="zh-CN"/>
              </w:rPr>
            </w:pPr>
            <w:r>
              <w:rPr>
                <w:rFonts w:hint="eastAsia" w:ascii="宋体" w:hAnsi="宋体" w:eastAsia="宋体" w:cs="宋体"/>
                <w:lang w:val="zh-CN"/>
              </w:rPr>
              <w:t>5</w:t>
            </w:r>
          </w:p>
        </w:tc>
        <w:tc>
          <w:tcPr>
            <w:tcW w:w="1666" w:type="dxa"/>
            <w:vAlign w:val="center"/>
          </w:tcPr>
          <w:p>
            <w:pPr>
              <w:numPr>
                <w:ilvl w:val="255"/>
                <w:numId w:val="0"/>
              </w:numPr>
              <w:spacing w:after="100" w:afterAutospacing="1"/>
              <w:jc w:val="left"/>
              <w:rPr>
                <w:rFonts w:ascii="宋体" w:hAnsi="宋体" w:eastAsia="宋体" w:cs="宋体"/>
                <w:lang w:val="zh-CN"/>
              </w:rPr>
            </w:pPr>
            <w:r>
              <w:rPr>
                <w:rFonts w:hint="eastAsia" w:ascii="宋体" w:hAnsi="宋体" w:eastAsia="宋体" w:cs="宋体"/>
                <w:lang w:val="zh-CN"/>
              </w:rPr>
              <w:t>培训</w:t>
            </w:r>
          </w:p>
        </w:tc>
        <w:tc>
          <w:tcPr>
            <w:tcW w:w="6238" w:type="dxa"/>
            <w:vAlign w:val="center"/>
          </w:tcPr>
          <w:p>
            <w:pPr>
              <w:numPr>
                <w:ilvl w:val="255"/>
                <w:numId w:val="0"/>
              </w:numPr>
              <w:spacing w:after="100" w:afterAutospacing="1"/>
              <w:rPr>
                <w:rFonts w:ascii="宋体" w:hAnsi="宋体" w:eastAsia="宋体" w:cs="宋体"/>
                <w:lang w:val="zh-CN"/>
              </w:rPr>
            </w:pPr>
            <w:r>
              <w:rPr>
                <w:rFonts w:hint="eastAsia" w:ascii="宋体" w:hAnsi="宋体" w:eastAsia="宋体" w:cs="宋体"/>
                <w:lang w:val="zh-CN"/>
              </w:rPr>
              <w:t>提供不少于</w:t>
            </w:r>
            <w:r>
              <w:rPr>
                <w:rFonts w:hint="eastAsia" w:ascii="宋体" w:hAnsi="宋体" w:eastAsia="宋体" w:cs="宋体"/>
              </w:rPr>
              <w:t>5</w:t>
            </w:r>
            <w:r>
              <w:rPr>
                <w:rFonts w:hint="eastAsia" w:ascii="宋体" w:hAnsi="宋体" w:eastAsia="宋体" w:cs="宋体"/>
                <w:lang w:val="zh-CN"/>
              </w:rPr>
              <w:t>天不少于10人的主要设备厂商（认证的）工程师安装配置等实操培训课程，场地、交通等与培训相关的费用均由成交供应商承担。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67" w:hRule="atLeast"/>
        </w:trPr>
        <w:tc>
          <w:tcPr>
            <w:tcW w:w="972" w:type="dxa"/>
            <w:vAlign w:val="center"/>
          </w:tcPr>
          <w:p>
            <w:pPr>
              <w:numPr>
                <w:ilvl w:val="255"/>
                <w:numId w:val="0"/>
              </w:numPr>
              <w:spacing w:after="100" w:afterAutospacing="1"/>
              <w:jc w:val="left"/>
              <w:rPr>
                <w:rFonts w:ascii="宋体" w:hAnsi="宋体" w:eastAsia="宋体" w:cs="宋体"/>
                <w:lang w:val="zh-CN"/>
              </w:rPr>
            </w:pPr>
            <w:r>
              <w:rPr>
                <w:rFonts w:hint="eastAsia" w:ascii="宋体" w:hAnsi="宋体" w:eastAsia="宋体" w:cs="宋体"/>
                <w:lang w:val="zh-CN"/>
              </w:rPr>
              <w:t>6</w:t>
            </w:r>
          </w:p>
        </w:tc>
        <w:tc>
          <w:tcPr>
            <w:tcW w:w="1666" w:type="dxa"/>
            <w:vAlign w:val="center"/>
          </w:tcPr>
          <w:p>
            <w:pPr>
              <w:numPr>
                <w:ilvl w:val="255"/>
                <w:numId w:val="0"/>
              </w:numPr>
              <w:spacing w:after="100" w:afterAutospacing="1"/>
              <w:jc w:val="left"/>
              <w:rPr>
                <w:rFonts w:ascii="宋体" w:hAnsi="宋体" w:eastAsia="宋体" w:cs="宋体"/>
                <w:lang w:val="zh-CN"/>
              </w:rPr>
            </w:pPr>
            <w:r>
              <w:rPr>
                <w:rFonts w:hint="eastAsia" w:ascii="宋体" w:hAnsi="宋体" w:eastAsia="宋体" w:cs="宋体"/>
                <w:lang w:val="zh-CN"/>
              </w:rPr>
              <w:t>验收标准</w:t>
            </w:r>
          </w:p>
        </w:tc>
        <w:tc>
          <w:tcPr>
            <w:tcW w:w="6238" w:type="dxa"/>
            <w:vAlign w:val="center"/>
          </w:tcPr>
          <w:p>
            <w:pPr>
              <w:numPr>
                <w:ilvl w:val="255"/>
                <w:numId w:val="0"/>
              </w:numPr>
              <w:spacing w:after="100" w:afterAutospacing="1"/>
              <w:rPr>
                <w:rFonts w:ascii="宋体" w:hAnsi="宋体" w:eastAsia="宋体" w:cs="宋体"/>
              </w:rPr>
            </w:pPr>
            <w:r>
              <w:rPr>
                <w:rFonts w:hint="eastAsia" w:ascii="宋体" w:hAnsi="宋体" w:eastAsia="宋体" w:cs="宋体"/>
              </w:rPr>
              <w:t>按照国家标准验收。本项目设置实验动物（大小鼠）屏障环境实验设施及配套的各辅助功能区域，应满足《实验动物环境及设施》GB14925-2010 、《实验动物设施建筑技术规范》GB50447-2008等标准要求。本项目必须通过湖北省疾病预防控制中心的实验动物环境检测和湖北省科技厅的现场验收，并取得实验动物使用许可证；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6" w:hRule="atLeast"/>
        </w:trPr>
        <w:tc>
          <w:tcPr>
            <w:tcW w:w="972" w:type="dxa"/>
            <w:vAlign w:val="center"/>
          </w:tcPr>
          <w:p>
            <w:pPr>
              <w:numPr>
                <w:ilvl w:val="255"/>
                <w:numId w:val="0"/>
              </w:numPr>
              <w:spacing w:after="100" w:afterAutospacing="1"/>
              <w:jc w:val="left"/>
              <w:rPr>
                <w:rFonts w:ascii="宋体" w:hAnsi="宋体" w:eastAsia="宋体" w:cs="宋体"/>
                <w:lang w:val="zh-CN"/>
              </w:rPr>
            </w:pPr>
            <w:r>
              <w:rPr>
                <w:rFonts w:hint="eastAsia" w:ascii="宋体" w:hAnsi="宋体" w:eastAsia="宋体" w:cs="宋体"/>
                <w:lang w:val="zh-CN"/>
              </w:rPr>
              <w:t>7</w:t>
            </w:r>
          </w:p>
        </w:tc>
        <w:tc>
          <w:tcPr>
            <w:tcW w:w="1666" w:type="dxa"/>
            <w:vAlign w:val="center"/>
          </w:tcPr>
          <w:p>
            <w:pPr>
              <w:numPr>
                <w:ilvl w:val="255"/>
                <w:numId w:val="0"/>
              </w:numPr>
              <w:spacing w:after="100" w:afterAutospacing="1"/>
              <w:jc w:val="left"/>
              <w:rPr>
                <w:rFonts w:ascii="宋体" w:hAnsi="宋体" w:eastAsia="宋体" w:cs="宋体"/>
                <w:lang w:val="zh-CN"/>
              </w:rPr>
            </w:pPr>
            <w:r>
              <w:rPr>
                <w:rFonts w:hint="eastAsia" w:ascii="宋体" w:hAnsi="宋体" w:eastAsia="宋体" w:cs="宋体"/>
                <w:lang w:val="zh-CN"/>
              </w:rPr>
              <w:t>付款条件</w:t>
            </w:r>
          </w:p>
          <w:p>
            <w:pPr>
              <w:numPr>
                <w:ilvl w:val="255"/>
                <w:numId w:val="0"/>
              </w:numPr>
              <w:spacing w:after="100" w:afterAutospacing="1"/>
              <w:jc w:val="left"/>
              <w:rPr>
                <w:rFonts w:ascii="宋体" w:hAnsi="宋体" w:eastAsia="宋体" w:cs="宋体"/>
                <w:lang w:val="zh-CN"/>
              </w:rPr>
            </w:pPr>
            <w:r>
              <w:rPr>
                <w:rFonts w:hint="eastAsia" w:ascii="宋体" w:hAnsi="宋体" w:eastAsia="宋体" w:cs="宋体"/>
                <w:lang w:val="zh-CN"/>
              </w:rPr>
              <w:t>（进度和方式）</w:t>
            </w:r>
          </w:p>
        </w:tc>
        <w:tc>
          <w:tcPr>
            <w:tcW w:w="6238" w:type="dxa"/>
            <w:vAlign w:val="center"/>
          </w:tcPr>
          <w:p>
            <w:pPr>
              <w:pStyle w:val="4"/>
              <w:rPr>
                <w:rFonts w:ascii="宋体" w:hAnsi="宋体" w:eastAsia="宋体" w:cs="宋体"/>
              </w:rPr>
            </w:pPr>
            <w:r>
              <w:rPr>
                <w:rFonts w:hint="eastAsia" w:ascii="宋体" w:hAnsi="宋体" w:eastAsia="宋体" w:cs="宋体"/>
              </w:rPr>
              <w:t>签订合同7后日内支付预付款，支付合同总价款（扣除暂列金）的20%。</w:t>
            </w:r>
          </w:p>
          <w:p>
            <w:pPr>
              <w:pStyle w:val="4"/>
              <w:rPr>
                <w:rFonts w:ascii="宋体" w:hAnsi="宋体" w:eastAsia="宋体" w:cs="宋体"/>
              </w:rPr>
            </w:pPr>
            <w:r>
              <w:rPr>
                <w:rFonts w:hint="eastAsia" w:ascii="宋体" w:hAnsi="宋体" w:eastAsia="宋体" w:cs="宋体"/>
              </w:rPr>
              <w:t>工程完工经验收合格且施工方提交完整的工程竣工结算资料后15日内，支付至合同总价款（扣除暂列金）的80%。</w:t>
            </w:r>
          </w:p>
          <w:p>
            <w:pPr>
              <w:pStyle w:val="4"/>
              <w:jc w:val="both"/>
              <w:rPr>
                <w:rFonts w:ascii="宋体" w:hAnsi="宋体" w:eastAsia="宋体" w:cs="宋体"/>
                <w:lang w:val="zh-CN"/>
              </w:rPr>
            </w:pPr>
            <w:r>
              <w:rPr>
                <w:rFonts w:hint="eastAsia" w:ascii="宋体" w:hAnsi="宋体" w:eastAsia="宋体" w:cs="宋体"/>
              </w:rPr>
              <w:t>经结算审计会签同意后，施工方提交《工程质量保修书》，支付至合同项下审定金额的90%，本项目拿到实验动物使用许可证后支付至审定金额的98.5%，质保期满后付清余款。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4" w:hRule="atLeast"/>
        </w:trPr>
        <w:tc>
          <w:tcPr>
            <w:tcW w:w="972" w:type="dxa"/>
            <w:vAlign w:val="center"/>
          </w:tcPr>
          <w:p>
            <w:pPr>
              <w:numPr>
                <w:ilvl w:val="255"/>
                <w:numId w:val="0"/>
              </w:numPr>
              <w:spacing w:after="100" w:afterAutospacing="1"/>
              <w:jc w:val="left"/>
              <w:rPr>
                <w:rFonts w:ascii="宋体" w:hAnsi="宋体" w:eastAsia="宋体" w:cs="宋体"/>
                <w:lang w:val="zh-CN"/>
              </w:rPr>
            </w:pPr>
            <w:r>
              <w:rPr>
                <w:rFonts w:hint="eastAsia" w:ascii="宋体" w:hAnsi="宋体" w:eastAsia="宋体" w:cs="宋体"/>
                <w:lang w:val="zh-CN"/>
              </w:rPr>
              <w:t>8</w:t>
            </w:r>
          </w:p>
        </w:tc>
        <w:tc>
          <w:tcPr>
            <w:tcW w:w="1666" w:type="dxa"/>
            <w:vAlign w:val="center"/>
          </w:tcPr>
          <w:p>
            <w:pPr>
              <w:numPr>
                <w:ilvl w:val="255"/>
                <w:numId w:val="0"/>
              </w:numPr>
              <w:spacing w:after="100" w:afterAutospacing="1"/>
              <w:jc w:val="left"/>
              <w:rPr>
                <w:rFonts w:ascii="宋体" w:hAnsi="宋体" w:eastAsia="宋体" w:cs="宋体"/>
                <w:lang w:val="zh-CN"/>
              </w:rPr>
            </w:pPr>
            <w:r>
              <w:rPr>
                <w:rFonts w:hint="eastAsia" w:ascii="宋体" w:hAnsi="宋体" w:eastAsia="宋体" w:cs="宋体"/>
                <w:lang w:val="zh-CN"/>
              </w:rPr>
              <w:t>交货/服务/建设地点</w:t>
            </w:r>
          </w:p>
        </w:tc>
        <w:tc>
          <w:tcPr>
            <w:tcW w:w="6238" w:type="dxa"/>
            <w:vAlign w:val="center"/>
          </w:tcPr>
          <w:p>
            <w:pPr>
              <w:numPr>
                <w:ilvl w:val="255"/>
                <w:numId w:val="0"/>
              </w:numPr>
              <w:spacing w:after="100" w:afterAutospacing="1"/>
              <w:rPr>
                <w:rFonts w:ascii="宋体" w:hAnsi="宋体" w:eastAsia="宋体" w:cs="宋体"/>
              </w:rPr>
            </w:pPr>
            <w:r>
              <w:rPr>
                <w:rFonts w:hint="eastAsia" w:ascii="宋体" w:hAnsi="宋体" w:eastAsia="宋体" w:cs="宋体"/>
              </w:rPr>
              <w:t xml:space="preserve">东十七楼G栋4楼、顶楼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46" w:hRule="atLeast"/>
        </w:trPr>
        <w:tc>
          <w:tcPr>
            <w:tcW w:w="972" w:type="dxa"/>
            <w:vAlign w:val="center"/>
          </w:tcPr>
          <w:p>
            <w:pPr>
              <w:numPr>
                <w:ilvl w:val="255"/>
                <w:numId w:val="0"/>
              </w:numPr>
              <w:spacing w:after="100" w:afterAutospacing="1"/>
              <w:jc w:val="left"/>
              <w:rPr>
                <w:rFonts w:ascii="宋体" w:hAnsi="宋体" w:eastAsia="宋体" w:cs="宋体"/>
                <w:lang w:val="zh-CN"/>
              </w:rPr>
            </w:pPr>
            <w:r>
              <w:rPr>
                <w:rFonts w:hint="eastAsia" w:ascii="宋体" w:hAnsi="宋体" w:eastAsia="宋体" w:cs="宋体"/>
                <w:lang w:val="zh-CN"/>
              </w:rPr>
              <w:t>9</w:t>
            </w:r>
          </w:p>
        </w:tc>
        <w:tc>
          <w:tcPr>
            <w:tcW w:w="1666" w:type="dxa"/>
            <w:vAlign w:val="center"/>
          </w:tcPr>
          <w:p>
            <w:pPr>
              <w:numPr>
                <w:ilvl w:val="255"/>
                <w:numId w:val="0"/>
              </w:numPr>
              <w:spacing w:after="100" w:afterAutospacing="1"/>
              <w:jc w:val="left"/>
              <w:rPr>
                <w:rFonts w:ascii="宋体" w:hAnsi="宋体" w:eastAsia="宋体" w:cs="宋体"/>
                <w:lang w:val="zh-CN"/>
              </w:rPr>
            </w:pPr>
            <w:r>
              <w:rPr>
                <w:rFonts w:hint="eastAsia" w:ascii="宋体" w:hAnsi="宋体" w:eastAsia="宋体" w:cs="宋体"/>
                <w:lang w:val="zh-CN"/>
              </w:rPr>
              <w:t>项目经理资格</w:t>
            </w:r>
          </w:p>
        </w:tc>
        <w:tc>
          <w:tcPr>
            <w:tcW w:w="6238" w:type="dxa"/>
            <w:vAlign w:val="center"/>
          </w:tcPr>
          <w:p>
            <w:pPr>
              <w:numPr>
                <w:ilvl w:val="255"/>
                <w:numId w:val="0"/>
              </w:numPr>
              <w:spacing w:after="100" w:afterAutospacing="1"/>
              <w:rPr>
                <w:rFonts w:ascii="宋体" w:hAnsi="宋体" w:eastAsia="宋体" w:cs="宋体"/>
              </w:rPr>
            </w:pPr>
            <w:r>
              <w:rPr>
                <w:rFonts w:hint="eastAsia" w:ascii="宋体" w:hAnsi="宋体" w:eastAsia="宋体" w:cs="宋体"/>
              </w:rPr>
              <w:t>供应商指派项目经理须具备机电工程专业贰级及以上注册建造师执业资格，具备有效的安全生产考核合格证书（B证），且未担任其他在施建设工程项目的项目经理。须承诺只承担本工程施工、未担任其他在施建设工程项目经理，且中途不得更换项目经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7" w:hRule="atLeast"/>
        </w:trPr>
        <w:tc>
          <w:tcPr>
            <w:tcW w:w="972" w:type="dxa"/>
            <w:vMerge w:val="restart"/>
            <w:vAlign w:val="center"/>
          </w:tcPr>
          <w:p>
            <w:pPr>
              <w:numPr>
                <w:ilvl w:val="255"/>
                <w:numId w:val="0"/>
              </w:numPr>
              <w:spacing w:after="100" w:afterAutospacing="1"/>
              <w:jc w:val="left"/>
              <w:rPr>
                <w:rFonts w:ascii="宋体" w:hAnsi="宋体" w:eastAsia="宋体" w:cs="宋体"/>
              </w:rPr>
            </w:pPr>
            <w:r>
              <w:rPr>
                <w:rFonts w:hint="eastAsia" w:ascii="宋体" w:hAnsi="宋体" w:eastAsia="宋体" w:cs="宋体"/>
              </w:rPr>
              <w:t>10</w:t>
            </w:r>
          </w:p>
        </w:tc>
        <w:tc>
          <w:tcPr>
            <w:tcW w:w="1666" w:type="dxa"/>
            <w:vMerge w:val="restart"/>
            <w:vAlign w:val="center"/>
          </w:tcPr>
          <w:p>
            <w:pPr>
              <w:numPr>
                <w:ilvl w:val="255"/>
                <w:numId w:val="0"/>
              </w:numPr>
              <w:spacing w:after="100" w:afterAutospacing="1"/>
              <w:jc w:val="left"/>
              <w:rPr>
                <w:rFonts w:ascii="宋体" w:hAnsi="宋体" w:eastAsia="宋体" w:cs="宋体"/>
                <w:lang w:val="zh-CN"/>
              </w:rPr>
            </w:pPr>
            <w:r>
              <w:rPr>
                <w:rFonts w:hint="eastAsia" w:ascii="宋体" w:hAnsi="宋体" w:eastAsia="宋体" w:cs="宋体"/>
                <w:lang w:val="zh-CN"/>
              </w:rPr>
              <w:t>项目管理机构其他</w:t>
            </w:r>
          </w:p>
          <w:p>
            <w:pPr>
              <w:numPr>
                <w:ilvl w:val="255"/>
                <w:numId w:val="0"/>
              </w:numPr>
              <w:spacing w:after="100" w:afterAutospacing="1"/>
              <w:jc w:val="left"/>
              <w:rPr>
                <w:rFonts w:ascii="宋体" w:hAnsi="宋体" w:eastAsia="宋体" w:cs="宋体"/>
                <w:lang w:val="zh-CN"/>
              </w:rPr>
            </w:pPr>
            <w:r>
              <w:rPr>
                <w:rFonts w:hint="eastAsia" w:ascii="宋体" w:hAnsi="宋体" w:eastAsia="宋体" w:cs="宋体"/>
                <w:lang w:val="zh-CN"/>
              </w:rPr>
              <w:t>主要人员</w:t>
            </w:r>
          </w:p>
        </w:tc>
        <w:tc>
          <w:tcPr>
            <w:tcW w:w="6238" w:type="dxa"/>
            <w:vAlign w:val="center"/>
          </w:tcPr>
          <w:p>
            <w:pPr>
              <w:numPr>
                <w:ilvl w:val="255"/>
                <w:numId w:val="0"/>
              </w:numPr>
              <w:spacing w:after="100" w:afterAutospacing="1"/>
              <w:jc w:val="left"/>
              <w:rPr>
                <w:rFonts w:ascii="宋体" w:hAnsi="宋体" w:eastAsia="宋体" w:cs="宋体"/>
                <w:lang w:val="zh-CN"/>
              </w:rPr>
            </w:pPr>
            <w:r>
              <w:rPr>
                <w:rFonts w:hint="eastAsia" w:ascii="宋体" w:hAnsi="宋体" w:eastAsia="宋体" w:cs="宋体"/>
                <w:lang w:val="zh-CN"/>
              </w:rPr>
              <w:t>项目技术负责人</w:t>
            </w:r>
            <w:bookmarkStart w:id="7" w:name="EB26e375407a754b76a6671d0ba911b204"/>
            <w:r>
              <w:rPr>
                <w:rFonts w:hint="eastAsia" w:ascii="宋体" w:hAnsi="宋体" w:eastAsia="宋体" w:cs="宋体"/>
                <w:lang w:val="zh-CN"/>
              </w:rPr>
              <w:t>1名，具备建筑工程或机电工程相关专业中级及以上职称</w:t>
            </w:r>
            <w:bookmarkEnd w:id="7"/>
            <w:r>
              <w:rPr>
                <w:rFonts w:hint="eastAsia" w:ascii="宋体" w:hAnsi="宋体" w:eastAsia="宋体" w:cs="宋体"/>
                <w:lang w:val="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972" w:type="dxa"/>
            <w:vMerge w:val="continue"/>
            <w:vAlign w:val="center"/>
          </w:tcPr>
          <w:p>
            <w:pPr>
              <w:numPr>
                <w:ilvl w:val="255"/>
                <w:numId w:val="0"/>
              </w:numPr>
              <w:spacing w:after="100" w:afterAutospacing="1"/>
              <w:jc w:val="left"/>
              <w:rPr>
                <w:rFonts w:ascii="宋体" w:hAnsi="宋体" w:eastAsia="宋体" w:cs="宋体"/>
                <w:lang w:val="zh-CN"/>
              </w:rPr>
            </w:pPr>
          </w:p>
        </w:tc>
        <w:tc>
          <w:tcPr>
            <w:tcW w:w="1666" w:type="dxa"/>
            <w:vMerge w:val="continue"/>
            <w:vAlign w:val="center"/>
          </w:tcPr>
          <w:p>
            <w:pPr>
              <w:numPr>
                <w:ilvl w:val="255"/>
                <w:numId w:val="0"/>
              </w:numPr>
              <w:spacing w:after="100" w:afterAutospacing="1"/>
              <w:jc w:val="left"/>
              <w:rPr>
                <w:rFonts w:ascii="宋体" w:hAnsi="宋体" w:eastAsia="宋体" w:cs="宋体"/>
                <w:lang w:val="zh-CN"/>
              </w:rPr>
            </w:pPr>
          </w:p>
        </w:tc>
        <w:tc>
          <w:tcPr>
            <w:tcW w:w="6238" w:type="dxa"/>
            <w:vAlign w:val="center"/>
          </w:tcPr>
          <w:p>
            <w:pPr>
              <w:numPr>
                <w:ilvl w:val="255"/>
                <w:numId w:val="0"/>
              </w:numPr>
              <w:spacing w:after="100" w:afterAutospacing="1"/>
              <w:jc w:val="left"/>
              <w:rPr>
                <w:rFonts w:ascii="宋体" w:hAnsi="宋体" w:eastAsia="宋体" w:cs="宋体"/>
                <w:lang w:val="zh-CN"/>
              </w:rPr>
            </w:pPr>
            <w:bookmarkStart w:id="8" w:name="EBa90a21c0b475471c8d29f0f0f3be1ce7"/>
            <w:r>
              <w:rPr>
                <w:rFonts w:hint="eastAsia" w:ascii="宋体" w:hAnsi="宋体" w:eastAsia="宋体" w:cs="宋体"/>
                <w:lang w:val="zh-CN"/>
              </w:rPr>
              <w:t>施工员1名，持有相关专业岗位培训考核合格证书。</w:t>
            </w:r>
            <w:bookmarkEnd w:id="8"/>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trPr>
        <w:tc>
          <w:tcPr>
            <w:tcW w:w="972" w:type="dxa"/>
            <w:vMerge w:val="continue"/>
            <w:vAlign w:val="center"/>
          </w:tcPr>
          <w:p>
            <w:pPr>
              <w:numPr>
                <w:ilvl w:val="255"/>
                <w:numId w:val="0"/>
              </w:numPr>
              <w:spacing w:after="100" w:afterAutospacing="1"/>
              <w:jc w:val="left"/>
              <w:rPr>
                <w:rFonts w:ascii="宋体" w:hAnsi="宋体" w:eastAsia="宋体" w:cs="宋体"/>
                <w:lang w:val="zh-CN"/>
              </w:rPr>
            </w:pPr>
          </w:p>
        </w:tc>
        <w:tc>
          <w:tcPr>
            <w:tcW w:w="1666" w:type="dxa"/>
            <w:vMerge w:val="continue"/>
            <w:vAlign w:val="center"/>
          </w:tcPr>
          <w:p>
            <w:pPr>
              <w:numPr>
                <w:ilvl w:val="255"/>
                <w:numId w:val="0"/>
              </w:numPr>
              <w:spacing w:after="100" w:afterAutospacing="1"/>
              <w:jc w:val="left"/>
              <w:rPr>
                <w:rFonts w:ascii="宋体" w:hAnsi="宋体" w:eastAsia="宋体" w:cs="宋体"/>
                <w:lang w:val="zh-CN"/>
              </w:rPr>
            </w:pPr>
          </w:p>
        </w:tc>
        <w:tc>
          <w:tcPr>
            <w:tcW w:w="6238" w:type="dxa"/>
            <w:vAlign w:val="center"/>
          </w:tcPr>
          <w:p>
            <w:pPr>
              <w:numPr>
                <w:ilvl w:val="255"/>
                <w:numId w:val="0"/>
              </w:numPr>
              <w:spacing w:after="100" w:afterAutospacing="1"/>
              <w:jc w:val="left"/>
              <w:rPr>
                <w:rFonts w:ascii="宋体" w:hAnsi="宋体" w:eastAsia="宋体" w:cs="宋体"/>
                <w:lang w:val="zh-CN"/>
              </w:rPr>
            </w:pPr>
            <w:r>
              <w:rPr>
                <w:rFonts w:hint="eastAsia" w:ascii="宋体" w:hAnsi="宋体" w:eastAsia="宋体" w:cs="宋体"/>
                <w:lang w:val="zh-CN"/>
              </w:rPr>
              <w:t>质量员1名，</w:t>
            </w:r>
            <w:bookmarkStart w:id="9" w:name="EB9c2ab849b9b94cf0854d14f102030634"/>
            <w:r>
              <w:rPr>
                <w:rFonts w:hint="eastAsia" w:ascii="宋体" w:hAnsi="宋体" w:eastAsia="宋体" w:cs="宋体"/>
                <w:lang w:val="zh-CN"/>
              </w:rPr>
              <w:t>持有相关专业岗位培训考核合格证书。</w:t>
            </w:r>
            <w:bookmarkEnd w:id="9"/>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972" w:type="dxa"/>
            <w:vMerge w:val="continue"/>
            <w:vAlign w:val="center"/>
          </w:tcPr>
          <w:p>
            <w:pPr>
              <w:numPr>
                <w:ilvl w:val="255"/>
                <w:numId w:val="0"/>
              </w:numPr>
              <w:spacing w:after="100" w:afterAutospacing="1"/>
              <w:jc w:val="left"/>
              <w:rPr>
                <w:rFonts w:ascii="宋体" w:hAnsi="宋体" w:eastAsia="宋体" w:cs="宋体"/>
                <w:lang w:val="zh-CN"/>
              </w:rPr>
            </w:pPr>
          </w:p>
        </w:tc>
        <w:tc>
          <w:tcPr>
            <w:tcW w:w="1666" w:type="dxa"/>
            <w:vMerge w:val="continue"/>
            <w:vAlign w:val="center"/>
          </w:tcPr>
          <w:p>
            <w:pPr>
              <w:numPr>
                <w:ilvl w:val="255"/>
                <w:numId w:val="0"/>
              </w:numPr>
              <w:spacing w:after="100" w:afterAutospacing="1"/>
              <w:jc w:val="left"/>
              <w:rPr>
                <w:rFonts w:ascii="宋体" w:hAnsi="宋体" w:eastAsia="宋体" w:cs="宋体"/>
                <w:lang w:val="zh-CN"/>
              </w:rPr>
            </w:pPr>
          </w:p>
        </w:tc>
        <w:tc>
          <w:tcPr>
            <w:tcW w:w="6238" w:type="dxa"/>
            <w:vAlign w:val="center"/>
          </w:tcPr>
          <w:p>
            <w:pPr>
              <w:numPr>
                <w:ilvl w:val="255"/>
                <w:numId w:val="0"/>
              </w:numPr>
              <w:spacing w:after="100" w:afterAutospacing="1"/>
              <w:jc w:val="left"/>
              <w:rPr>
                <w:rFonts w:ascii="宋体" w:hAnsi="宋体" w:eastAsia="宋体" w:cs="宋体"/>
                <w:lang w:val="zh-CN"/>
              </w:rPr>
            </w:pPr>
            <w:r>
              <w:rPr>
                <w:rFonts w:hint="eastAsia" w:ascii="宋体" w:hAnsi="宋体" w:eastAsia="宋体" w:cs="宋体"/>
                <w:lang w:val="zh-CN"/>
              </w:rPr>
              <w:t>材料员1名，持有相关专业岗位培训考核合格证书。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972" w:type="dxa"/>
            <w:vMerge w:val="continue"/>
            <w:vAlign w:val="center"/>
          </w:tcPr>
          <w:p>
            <w:pPr>
              <w:numPr>
                <w:ilvl w:val="255"/>
                <w:numId w:val="0"/>
              </w:numPr>
              <w:spacing w:after="100" w:afterAutospacing="1"/>
              <w:jc w:val="left"/>
              <w:rPr>
                <w:rFonts w:ascii="宋体" w:hAnsi="宋体" w:eastAsia="宋体" w:cs="宋体"/>
                <w:lang w:val="zh-CN"/>
              </w:rPr>
            </w:pPr>
          </w:p>
        </w:tc>
        <w:tc>
          <w:tcPr>
            <w:tcW w:w="1666" w:type="dxa"/>
            <w:vMerge w:val="continue"/>
            <w:vAlign w:val="center"/>
          </w:tcPr>
          <w:p>
            <w:pPr>
              <w:numPr>
                <w:ilvl w:val="255"/>
                <w:numId w:val="0"/>
              </w:numPr>
              <w:spacing w:after="100" w:afterAutospacing="1"/>
              <w:jc w:val="left"/>
              <w:rPr>
                <w:rFonts w:ascii="宋体" w:hAnsi="宋体" w:eastAsia="宋体" w:cs="宋体"/>
                <w:lang w:val="zh-CN"/>
              </w:rPr>
            </w:pPr>
          </w:p>
        </w:tc>
        <w:tc>
          <w:tcPr>
            <w:tcW w:w="6238" w:type="dxa"/>
            <w:vAlign w:val="center"/>
          </w:tcPr>
          <w:p>
            <w:pPr>
              <w:numPr>
                <w:ilvl w:val="255"/>
                <w:numId w:val="0"/>
              </w:numPr>
              <w:spacing w:after="100" w:afterAutospacing="1"/>
              <w:jc w:val="left"/>
              <w:rPr>
                <w:rFonts w:ascii="宋体" w:hAnsi="宋体" w:eastAsia="宋体" w:cs="宋体"/>
                <w:lang w:val="zh-CN"/>
              </w:rPr>
            </w:pPr>
            <w:r>
              <w:rPr>
                <w:rFonts w:hint="eastAsia" w:ascii="宋体" w:hAnsi="宋体" w:eastAsia="宋体" w:cs="宋体"/>
                <w:lang w:val="zh-CN"/>
              </w:rPr>
              <w:t>安全员1名，持有相关专业岗位培训考核合格证书。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trPr>
        <w:tc>
          <w:tcPr>
            <w:tcW w:w="972" w:type="dxa"/>
            <w:vMerge w:val="continue"/>
            <w:vAlign w:val="center"/>
          </w:tcPr>
          <w:p>
            <w:pPr>
              <w:numPr>
                <w:ilvl w:val="255"/>
                <w:numId w:val="0"/>
              </w:numPr>
              <w:spacing w:after="100" w:afterAutospacing="1"/>
              <w:jc w:val="left"/>
              <w:rPr>
                <w:rFonts w:ascii="宋体" w:hAnsi="宋体" w:eastAsia="宋体" w:cs="宋体"/>
                <w:lang w:val="zh-CN"/>
              </w:rPr>
            </w:pPr>
          </w:p>
        </w:tc>
        <w:tc>
          <w:tcPr>
            <w:tcW w:w="1666" w:type="dxa"/>
            <w:vMerge w:val="continue"/>
            <w:vAlign w:val="center"/>
          </w:tcPr>
          <w:p>
            <w:pPr>
              <w:numPr>
                <w:ilvl w:val="255"/>
                <w:numId w:val="0"/>
              </w:numPr>
              <w:spacing w:after="100" w:afterAutospacing="1"/>
              <w:jc w:val="left"/>
              <w:rPr>
                <w:rFonts w:ascii="宋体" w:hAnsi="宋体" w:eastAsia="宋体" w:cs="宋体"/>
                <w:lang w:val="zh-CN"/>
              </w:rPr>
            </w:pPr>
          </w:p>
        </w:tc>
        <w:tc>
          <w:tcPr>
            <w:tcW w:w="6238" w:type="dxa"/>
            <w:vAlign w:val="center"/>
          </w:tcPr>
          <w:p>
            <w:pPr>
              <w:numPr>
                <w:ilvl w:val="255"/>
                <w:numId w:val="0"/>
              </w:numPr>
              <w:spacing w:after="100" w:afterAutospacing="1"/>
              <w:jc w:val="left"/>
              <w:rPr>
                <w:rFonts w:ascii="宋体" w:hAnsi="宋体" w:eastAsia="宋体" w:cs="宋体"/>
                <w:lang w:val="zh-CN"/>
              </w:rPr>
            </w:pPr>
            <w:r>
              <w:rPr>
                <w:rFonts w:hint="eastAsia" w:ascii="宋体" w:hAnsi="宋体" w:eastAsia="宋体" w:cs="宋体"/>
                <w:lang w:val="zh-CN"/>
              </w:rPr>
              <w:t>资料员1名，持有相关专业岗位培训考核合格证书。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trPr>
        <w:tc>
          <w:tcPr>
            <w:tcW w:w="972" w:type="dxa"/>
            <w:vAlign w:val="center"/>
          </w:tcPr>
          <w:p>
            <w:pPr>
              <w:numPr>
                <w:ilvl w:val="255"/>
                <w:numId w:val="0"/>
              </w:numPr>
              <w:spacing w:after="100" w:afterAutospacing="1"/>
              <w:jc w:val="left"/>
              <w:rPr>
                <w:rFonts w:ascii="宋体" w:hAnsi="宋体" w:eastAsia="宋体" w:cs="宋体"/>
                <w:lang w:val="zh-CN"/>
              </w:rPr>
            </w:pPr>
            <w:r>
              <w:rPr>
                <w:rFonts w:hint="eastAsia" w:ascii="宋体" w:hAnsi="宋体" w:eastAsia="宋体" w:cs="宋体"/>
                <w:lang w:val="zh-CN"/>
              </w:rPr>
              <w:t>11</w:t>
            </w:r>
          </w:p>
        </w:tc>
        <w:tc>
          <w:tcPr>
            <w:tcW w:w="1666" w:type="dxa"/>
            <w:vAlign w:val="center"/>
          </w:tcPr>
          <w:p>
            <w:pPr>
              <w:numPr>
                <w:ilvl w:val="255"/>
                <w:numId w:val="0"/>
              </w:numPr>
              <w:spacing w:after="100" w:afterAutospacing="1"/>
              <w:jc w:val="left"/>
              <w:rPr>
                <w:rFonts w:ascii="宋体" w:hAnsi="宋体" w:eastAsia="宋体" w:cs="宋体"/>
                <w:lang w:val="zh-CN"/>
              </w:rPr>
            </w:pPr>
            <w:r>
              <w:rPr>
                <w:rFonts w:hint="eastAsia" w:ascii="宋体" w:hAnsi="宋体" w:eastAsia="宋体" w:cs="宋体"/>
                <w:lang w:val="zh-CN"/>
              </w:rPr>
              <w:t>报价要求</w:t>
            </w:r>
          </w:p>
        </w:tc>
        <w:tc>
          <w:tcPr>
            <w:tcW w:w="6238" w:type="dxa"/>
            <w:vAlign w:val="center"/>
          </w:tcPr>
          <w:p>
            <w:pPr>
              <w:numPr>
                <w:ilvl w:val="255"/>
                <w:numId w:val="0"/>
              </w:numPr>
              <w:spacing w:after="100" w:afterAutospacing="1"/>
              <w:jc w:val="left"/>
              <w:rPr>
                <w:rFonts w:ascii="宋体" w:hAnsi="宋体" w:eastAsia="宋体" w:cs="宋体"/>
                <w:lang w:val="zh-CN"/>
              </w:rPr>
            </w:pPr>
            <w:r>
              <w:rPr>
                <w:rFonts w:hint="eastAsia" w:ascii="宋体" w:hAnsi="宋体" w:eastAsia="宋体" w:cs="宋体"/>
                <w:lang w:val="zh-CN"/>
              </w:rPr>
              <w:t>（1）除国家或采购文件有强制性规定以及不可竞争费用以外，投标报价由供应商自主确定，但不得低于其工程成本。</w:t>
            </w:r>
          </w:p>
          <w:p>
            <w:pPr>
              <w:numPr>
                <w:ilvl w:val="255"/>
                <w:numId w:val="0"/>
              </w:numPr>
              <w:spacing w:after="100" w:afterAutospacing="1"/>
              <w:jc w:val="left"/>
              <w:rPr>
                <w:rFonts w:ascii="宋体" w:hAnsi="宋体" w:eastAsia="宋体" w:cs="宋体"/>
                <w:lang w:val="zh-CN"/>
              </w:rPr>
            </w:pPr>
            <w:r>
              <w:rPr>
                <w:rFonts w:hint="eastAsia" w:ascii="宋体" w:hAnsi="宋体" w:eastAsia="宋体" w:cs="宋体"/>
                <w:lang w:val="zh-CN"/>
              </w:rPr>
              <w:t>（2）本项目采用的一般计税法，中标人所开具发票税费须和投标报价保持一致。若遇国家政策调整，相应税率和造价一并调整。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86" w:hRule="atLeast"/>
        </w:trPr>
        <w:tc>
          <w:tcPr>
            <w:tcW w:w="972" w:type="dxa"/>
            <w:vAlign w:val="center"/>
          </w:tcPr>
          <w:p>
            <w:pPr>
              <w:numPr>
                <w:ilvl w:val="255"/>
                <w:numId w:val="0"/>
              </w:numPr>
              <w:spacing w:after="100" w:afterAutospacing="1"/>
              <w:jc w:val="left"/>
              <w:rPr>
                <w:rFonts w:ascii="宋体" w:hAnsi="宋体" w:eastAsia="宋体" w:cs="宋体"/>
                <w:lang w:val="zh-CN"/>
              </w:rPr>
            </w:pPr>
            <w:r>
              <w:rPr>
                <w:rFonts w:hint="eastAsia" w:ascii="宋体" w:hAnsi="宋体" w:eastAsia="宋体" w:cs="宋体"/>
                <w:lang w:val="zh-CN"/>
              </w:rPr>
              <w:t>12</w:t>
            </w:r>
          </w:p>
        </w:tc>
        <w:tc>
          <w:tcPr>
            <w:tcW w:w="1666" w:type="dxa"/>
            <w:vAlign w:val="center"/>
          </w:tcPr>
          <w:p>
            <w:pPr>
              <w:numPr>
                <w:ilvl w:val="255"/>
                <w:numId w:val="0"/>
              </w:numPr>
              <w:spacing w:after="100" w:afterAutospacing="1"/>
              <w:jc w:val="left"/>
              <w:rPr>
                <w:rFonts w:ascii="宋体" w:hAnsi="宋体" w:eastAsia="宋体" w:cs="宋体"/>
                <w:lang w:val="zh-CN"/>
              </w:rPr>
            </w:pPr>
            <w:r>
              <w:rPr>
                <w:rFonts w:hint="eastAsia" w:ascii="宋体" w:hAnsi="宋体" w:eastAsia="宋体" w:cs="宋体"/>
                <w:lang w:val="zh-CN"/>
              </w:rPr>
              <w:t>工程计量、计价其它约定</w:t>
            </w:r>
          </w:p>
        </w:tc>
        <w:tc>
          <w:tcPr>
            <w:tcW w:w="6238" w:type="dxa"/>
            <w:vAlign w:val="center"/>
          </w:tcPr>
          <w:p>
            <w:pPr>
              <w:numPr>
                <w:ilvl w:val="255"/>
                <w:numId w:val="0"/>
              </w:numPr>
              <w:spacing w:after="100" w:afterAutospacing="1"/>
              <w:jc w:val="left"/>
              <w:rPr>
                <w:rFonts w:ascii="宋体" w:hAnsi="宋体" w:eastAsia="宋体" w:cs="宋体"/>
                <w:lang w:val="zh-CN"/>
              </w:rPr>
            </w:pPr>
            <w:r>
              <w:rPr>
                <w:rFonts w:hint="eastAsia" w:ascii="宋体" w:hAnsi="宋体" w:eastAsia="宋体" w:cs="宋体"/>
                <w:lang w:val="zh-CN"/>
              </w:rPr>
              <w:t>（1）本工程采用工程量清单招标，清单报价按GB50500-2013《建设工程工程量清单规范》执行。</w:t>
            </w:r>
          </w:p>
          <w:p>
            <w:pPr>
              <w:numPr>
                <w:ilvl w:val="255"/>
                <w:numId w:val="0"/>
              </w:numPr>
              <w:spacing w:after="100" w:afterAutospacing="1"/>
              <w:jc w:val="left"/>
              <w:rPr>
                <w:rFonts w:ascii="宋体" w:hAnsi="宋体" w:eastAsia="宋体" w:cs="宋体"/>
              </w:rPr>
            </w:pPr>
            <w:r>
              <w:rPr>
                <w:rFonts w:hint="eastAsia" w:ascii="宋体" w:hAnsi="宋体" w:eastAsia="宋体" w:cs="宋体"/>
              </w:rPr>
              <w:t>（2）计量与计价依据：湖北省房屋修缮工程消耗量定额及全费用基价表(2019)、《湖北省房屋建筑与装饰工程消耗量定额及全费用基价表》（2018）、《湖北省通用安装工程消耗量定额及全费用基价表》（2018）、《湖北省建设工程公共专业消耗量定额及全费用基价表》（2018）、《湖北省建筑安装工程费用定额》（2018）、《湖北省市政工程消耗量定额及全费用基价表》(2018)、《湖北省园林绿化工程消耗量定额及全费用基价表》（2018）、人工费调整政策性文件。</w:t>
            </w:r>
          </w:p>
          <w:p>
            <w:pPr>
              <w:numPr>
                <w:ilvl w:val="255"/>
                <w:numId w:val="0"/>
              </w:numPr>
              <w:spacing w:after="100" w:afterAutospacing="1"/>
              <w:jc w:val="left"/>
              <w:rPr>
                <w:rFonts w:ascii="宋体" w:hAnsi="宋体" w:eastAsia="宋体" w:cs="宋体"/>
              </w:rPr>
            </w:pPr>
            <w:r>
              <w:rPr>
                <w:rFonts w:hint="eastAsia" w:ascii="宋体" w:hAnsi="宋体" w:eastAsia="宋体" w:cs="宋体"/>
              </w:rPr>
              <w:t>（3）安全文明施工及临时设施、环境保护等组织措施应符合武汉市相关规定，所涉及的费用按相关文件规定单独报价，中标后总价措施费不再调整。结算时对工程变更、签证、补充协议及其它增补工程内容不另计取相关费用。</w:t>
            </w:r>
          </w:p>
          <w:p>
            <w:pPr>
              <w:numPr>
                <w:ilvl w:val="255"/>
                <w:numId w:val="0"/>
              </w:numPr>
              <w:spacing w:after="100" w:afterAutospacing="1"/>
              <w:jc w:val="left"/>
              <w:rPr>
                <w:rFonts w:ascii="宋体" w:hAnsi="宋体" w:eastAsia="宋体" w:cs="宋体"/>
              </w:rPr>
            </w:pPr>
            <w:r>
              <w:rPr>
                <w:rFonts w:hint="eastAsia" w:ascii="宋体" w:hAnsi="宋体" w:eastAsia="宋体" w:cs="宋体"/>
              </w:rPr>
              <w:t>（4）供应商因保证工期产生的措施费、人工增加费、疫情防控施工降效等费用，由供应商在投标报价时充分考虑并自行报价，中标后不做调整。</w:t>
            </w:r>
          </w:p>
          <w:p>
            <w:pPr>
              <w:numPr>
                <w:ilvl w:val="255"/>
                <w:numId w:val="0"/>
              </w:numPr>
              <w:spacing w:after="100" w:afterAutospacing="1"/>
              <w:jc w:val="left"/>
              <w:rPr>
                <w:rFonts w:ascii="宋体" w:hAnsi="宋体" w:eastAsia="宋体" w:cs="宋体"/>
              </w:rPr>
            </w:pPr>
            <w:r>
              <w:rPr>
                <w:rFonts w:hint="eastAsia" w:ascii="宋体" w:hAnsi="宋体" w:eastAsia="宋体" w:cs="宋体"/>
              </w:rPr>
              <w:t>（5）招标工程量清单中列出的总价措施项目及相应的清单数量仅供供应商参考，供应商在投标报价时应充分考虑施工组织和技术措施，根据自身实际情况和需要自行补充、修改，所报总价措施项目费视为考虑施工实际情况和常态化疫情防控措施后的全部报价；总价措施项目费包干使用，中标后不再调整。</w:t>
            </w:r>
          </w:p>
          <w:p>
            <w:pPr>
              <w:numPr>
                <w:ilvl w:val="255"/>
                <w:numId w:val="0"/>
              </w:numPr>
              <w:spacing w:after="100" w:afterAutospacing="1"/>
              <w:jc w:val="left"/>
              <w:rPr>
                <w:rFonts w:ascii="宋体" w:hAnsi="宋体" w:eastAsia="宋体" w:cs="宋体"/>
              </w:rPr>
            </w:pPr>
            <w:r>
              <w:rPr>
                <w:rFonts w:hint="eastAsia" w:ascii="宋体" w:hAnsi="宋体" w:eastAsia="宋体" w:cs="宋体"/>
              </w:rPr>
              <w:t>（6）土方渣土外运按10km考虑（含场内转运、处理、外运、消纳），请供应商自行报价（运距仅供参考，实际由投标方确定，投标单价不作调整）。</w:t>
            </w:r>
          </w:p>
          <w:p>
            <w:pPr>
              <w:numPr>
                <w:ilvl w:val="255"/>
                <w:numId w:val="0"/>
              </w:numPr>
              <w:spacing w:after="100" w:afterAutospacing="1"/>
              <w:jc w:val="left"/>
              <w:rPr>
                <w:rFonts w:ascii="宋体" w:hAnsi="宋体" w:eastAsia="宋体" w:cs="宋体"/>
              </w:rPr>
            </w:pPr>
            <w:r>
              <w:rPr>
                <w:rFonts w:hint="eastAsia" w:ascii="宋体" w:hAnsi="宋体" w:eastAsia="宋体" w:cs="宋体"/>
              </w:rPr>
              <w:t>（7）因供应商施工原因导致发包人道路、绿化、设备等配套设施造成损害的，供应商须无条件修复并全部费用。</w:t>
            </w:r>
          </w:p>
        </w:tc>
      </w:tr>
    </w:tbl>
    <w:p/>
    <w:p>
      <w:pPr>
        <w:adjustRightInd w:val="0"/>
        <w:snapToGrid w:val="0"/>
        <w:spacing w:line="360" w:lineRule="auto"/>
        <w:ind w:firstLine="482" w:firstLineChars="200"/>
        <w:outlineLvl w:val="2"/>
        <w:rPr>
          <w:rFonts w:asciiTheme="minorEastAsia" w:hAnsiTheme="minorEastAsia" w:eastAsiaTheme="minorEastAsia"/>
          <w:b/>
          <w:bCs/>
        </w:rPr>
      </w:pPr>
      <w:bookmarkStart w:id="10" w:name="_Toc18132"/>
      <w:r>
        <w:rPr>
          <w:rFonts w:hint="eastAsia" w:asciiTheme="minorEastAsia" w:hAnsiTheme="minorEastAsia" w:eastAsiaTheme="minorEastAsia"/>
          <w:b/>
          <w:bCs/>
        </w:rPr>
        <w:t>四、其他</w:t>
      </w:r>
      <w:bookmarkEnd w:id="10"/>
    </w:p>
    <w:tbl>
      <w:tblPr>
        <w:tblStyle w:val="6"/>
        <w:tblpPr w:leftFromText="180" w:rightFromText="180" w:vertAnchor="text" w:horzAnchor="page" w:tblpX="1492" w:tblpY="700"/>
        <w:tblOverlap w:val="never"/>
        <w:tblW w:w="14425" w:type="dxa"/>
        <w:tblInd w:w="0" w:type="dxa"/>
        <w:tblLayout w:type="fixed"/>
        <w:tblCellMar>
          <w:top w:w="0" w:type="dxa"/>
          <w:left w:w="108" w:type="dxa"/>
          <w:bottom w:w="0" w:type="dxa"/>
          <w:right w:w="108" w:type="dxa"/>
        </w:tblCellMar>
      </w:tblPr>
      <w:tblGrid>
        <w:gridCol w:w="9174"/>
        <w:gridCol w:w="5251"/>
      </w:tblGrid>
      <w:tr>
        <w:tblPrEx>
          <w:tblCellMar>
            <w:top w:w="0" w:type="dxa"/>
            <w:left w:w="108" w:type="dxa"/>
            <w:bottom w:w="0" w:type="dxa"/>
            <w:right w:w="108" w:type="dxa"/>
          </w:tblCellMar>
        </w:tblPrEx>
        <w:trPr>
          <w:trHeight w:val="630" w:hRule="atLeast"/>
        </w:trPr>
        <w:tc>
          <w:tcPr>
            <w:tcW w:w="9174" w:type="dxa"/>
            <w:tcBorders>
              <w:top w:val="nil"/>
              <w:left w:val="nil"/>
              <w:bottom w:val="nil"/>
              <w:right w:val="nil"/>
            </w:tcBorders>
            <w:noWrap/>
            <w:vAlign w:val="center"/>
          </w:tcPr>
          <w:p>
            <w:pPr>
              <w:numPr>
                <w:ilvl w:val="255"/>
                <w:numId w:val="0"/>
              </w:numPr>
              <w:spacing w:after="100" w:afterAutospacing="1" w:line="360" w:lineRule="auto"/>
              <w:jc w:val="left"/>
              <w:rPr>
                <w:rFonts w:ascii="宋体" w:hAnsi="宋体" w:eastAsia="宋体" w:cs="宋体"/>
                <w:b/>
                <w:bCs/>
                <w:lang w:val="en"/>
              </w:rPr>
            </w:pPr>
            <w:r>
              <w:rPr>
                <w:rFonts w:hint="eastAsia" w:ascii="宋体" w:hAnsi="宋体" w:eastAsia="宋体" w:cs="宋体"/>
                <w:b/>
                <w:bCs/>
              </w:rPr>
              <w:t xml:space="preserve">附件一 </w:t>
            </w:r>
            <w:r>
              <w:rPr>
                <w:rFonts w:hint="eastAsia" w:ascii="宋体" w:hAnsi="宋体" w:eastAsia="宋体" w:cs="宋体"/>
                <w:b/>
                <w:bCs/>
              </w:rPr>
              <w:br w:type="page"/>
            </w:r>
            <w:r>
              <w:rPr>
                <w:rFonts w:hint="eastAsia" w:ascii="宋体" w:hAnsi="宋体" w:eastAsia="宋体" w:cs="宋体"/>
                <w:b/>
                <w:bCs/>
              </w:rPr>
              <w:t>主要工程及工程材料技术要求必须满足工程量清单的各项材料的指标要求，同时满足如下要求：</w:t>
            </w:r>
          </w:p>
          <w:tbl>
            <w:tblPr>
              <w:tblStyle w:val="6"/>
              <w:tblpPr w:leftFromText="180" w:rightFromText="180" w:vertAnchor="text" w:horzAnchor="page" w:tblpX="1" w:tblpY="1154"/>
              <w:tblOverlap w:val="never"/>
              <w:tblW w:w="4810" w:type="pct"/>
              <w:tblInd w:w="0" w:type="dxa"/>
              <w:tblLayout w:type="fixed"/>
              <w:tblCellMar>
                <w:top w:w="0" w:type="dxa"/>
                <w:left w:w="108" w:type="dxa"/>
                <w:bottom w:w="0" w:type="dxa"/>
                <w:right w:w="108" w:type="dxa"/>
              </w:tblCellMar>
            </w:tblPr>
            <w:tblGrid>
              <w:gridCol w:w="694"/>
              <w:gridCol w:w="802"/>
              <w:gridCol w:w="5044"/>
              <w:gridCol w:w="1039"/>
              <w:gridCol w:w="1039"/>
            </w:tblGrid>
            <w:tr>
              <w:tblPrEx>
                <w:tblCellMar>
                  <w:top w:w="0" w:type="dxa"/>
                  <w:left w:w="108" w:type="dxa"/>
                  <w:bottom w:w="0" w:type="dxa"/>
                  <w:right w:w="108" w:type="dxa"/>
                </w:tblCellMar>
              </w:tblPrEx>
              <w:trPr>
                <w:trHeight w:val="799" w:hRule="atLeast"/>
              </w:trPr>
              <w:tc>
                <w:tcPr>
                  <w:tcW w:w="402" w:type="pct"/>
                  <w:tcBorders>
                    <w:top w:val="single" w:color="auto" w:sz="4" w:space="0"/>
                    <w:left w:val="single" w:color="auto" w:sz="4" w:space="0"/>
                    <w:bottom w:val="single" w:color="auto" w:sz="4" w:space="0"/>
                    <w:right w:val="single" w:color="auto" w:sz="4" w:space="0"/>
                  </w:tcBorders>
                  <w:vAlign w:val="center"/>
                </w:tcPr>
                <w:p>
                  <w:pPr>
                    <w:numPr>
                      <w:ilvl w:val="255"/>
                      <w:numId w:val="0"/>
                    </w:numPr>
                    <w:spacing w:after="100" w:afterAutospacing="1"/>
                    <w:jc w:val="left"/>
                    <w:rPr>
                      <w:rFonts w:ascii="宋体" w:hAnsi="宋体" w:eastAsia="宋体" w:cs="宋体"/>
                    </w:rPr>
                  </w:pPr>
                  <w:r>
                    <w:rPr>
                      <w:rFonts w:hint="eastAsia" w:ascii="宋体" w:hAnsi="宋体" w:eastAsia="宋体" w:cs="宋体"/>
                    </w:rPr>
                    <w:t>序号</w:t>
                  </w:r>
                </w:p>
              </w:tc>
              <w:tc>
                <w:tcPr>
                  <w:tcW w:w="465" w:type="pct"/>
                  <w:tcBorders>
                    <w:top w:val="single" w:color="auto" w:sz="4" w:space="0"/>
                    <w:left w:val="nil"/>
                    <w:bottom w:val="single" w:color="auto" w:sz="4" w:space="0"/>
                    <w:right w:val="single" w:color="auto" w:sz="4" w:space="0"/>
                  </w:tcBorders>
                  <w:vAlign w:val="center"/>
                </w:tcPr>
                <w:p>
                  <w:pPr>
                    <w:numPr>
                      <w:ilvl w:val="255"/>
                      <w:numId w:val="0"/>
                    </w:numPr>
                    <w:spacing w:after="100" w:afterAutospacing="1"/>
                    <w:jc w:val="left"/>
                    <w:rPr>
                      <w:rFonts w:ascii="宋体" w:hAnsi="宋体" w:eastAsia="宋体" w:cs="宋体"/>
                    </w:rPr>
                  </w:pPr>
                  <w:r>
                    <w:rPr>
                      <w:rFonts w:hint="eastAsia" w:ascii="宋体" w:hAnsi="宋体" w:eastAsia="宋体" w:cs="宋体"/>
                    </w:rPr>
                    <w:t>名称</w:t>
                  </w:r>
                </w:p>
              </w:tc>
              <w:tc>
                <w:tcPr>
                  <w:tcW w:w="2926" w:type="pct"/>
                  <w:tcBorders>
                    <w:top w:val="single" w:color="auto" w:sz="4" w:space="0"/>
                    <w:left w:val="nil"/>
                    <w:bottom w:val="single" w:color="auto" w:sz="4" w:space="0"/>
                    <w:right w:val="single" w:color="auto" w:sz="4" w:space="0"/>
                  </w:tcBorders>
                  <w:vAlign w:val="center"/>
                </w:tcPr>
                <w:p>
                  <w:pPr>
                    <w:numPr>
                      <w:ilvl w:val="255"/>
                      <w:numId w:val="0"/>
                    </w:numPr>
                    <w:spacing w:after="100" w:afterAutospacing="1"/>
                    <w:jc w:val="left"/>
                    <w:rPr>
                      <w:rFonts w:ascii="宋体" w:hAnsi="宋体" w:eastAsia="宋体" w:cs="宋体"/>
                    </w:rPr>
                  </w:pPr>
                  <w:r>
                    <w:rPr>
                      <w:rFonts w:hint="eastAsia" w:ascii="宋体" w:hAnsi="宋体" w:eastAsia="宋体" w:cs="宋体"/>
                    </w:rPr>
                    <w:t>指标项技术要求</w:t>
                  </w:r>
                </w:p>
              </w:tc>
              <w:tc>
                <w:tcPr>
                  <w:tcW w:w="602" w:type="pct"/>
                  <w:tcBorders>
                    <w:top w:val="single" w:color="auto" w:sz="4" w:space="0"/>
                    <w:left w:val="nil"/>
                    <w:bottom w:val="single" w:color="auto" w:sz="4" w:space="0"/>
                    <w:right w:val="single" w:color="auto" w:sz="4" w:space="0"/>
                  </w:tcBorders>
                  <w:vAlign w:val="center"/>
                </w:tcPr>
                <w:p>
                  <w:pPr>
                    <w:numPr>
                      <w:ilvl w:val="255"/>
                      <w:numId w:val="0"/>
                    </w:numPr>
                    <w:spacing w:after="100" w:afterAutospacing="1"/>
                    <w:jc w:val="left"/>
                    <w:rPr>
                      <w:rFonts w:ascii="宋体" w:hAnsi="宋体" w:eastAsia="宋体" w:cs="宋体"/>
                    </w:rPr>
                  </w:pPr>
                  <w:r>
                    <w:rPr>
                      <w:rFonts w:hint="eastAsia" w:ascii="宋体" w:hAnsi="宋体" w:eastAsia="宋体" w:cs="宋体"/>
                    </w:rPr>
                    <w:t>证明材料要求</w:t>
                  </w:r>
                </w:p>
              </w:tc>
              <w:tc>
                <w:tcPr>
                  <w:tcW w:w="602" w:type="pct"/>
                  <w:tcBorders>
                    <w:top w:val="single" w:color="auto" w:sz="4" w:space="0"/>
                    <w:left w:val="nil"/>
                    <w:bottom w:val="single" w:color="auto" w:sz="4" w:space="0"/>
                    <w:right w:val="single" w:color="auto" w:sz="4" w:space="0"/>
                  </w:tcBorders>
                  <w:vAlign w:val="center"/>
                </w:tcPr>
                <w:p>
                  <w:pPr>
                    <w:numPr>
                      <w:ilvl w:val="255"/>
                      <w:numId w:val="0"/>
                    </w:numPr>
                    <w:spacing w:after="100" w:afterAutospacing="1"/>
                    <w:jc w:val="left"/>
                    <w:rPr>
                      <w:rFonts w:ascii="宋体" w:hAnsi="宋体" w:eastAsia="宋体" w:cs="宋体"/>
                    </w:rPr>
                  </w:pPr>
                  <w:r>
                    <w:rPr>
                      <w:rFonts w:hint="eastAsia" w:ascii="宋体" w:hAnsi="宋体" w:eastAsia="宋体" w:cs="宋体"/>
                    </w:rPr>
                    <w:t>重要性</w:t>
                  </w:r>
                </w:p>
              </w:tc>
            </w:tr>
            <w:tr>
              <w:tblPrEx>
                <w:tblCellMar>
                  <w:top w:w="0" w:type="dxa"/>
                  <w:left w:w="108" w:type="dxa"/>
                  <w:bottom w:w="0" w:type="dxa"/>
                  <w:right w:w="108" w:type="dxa"/>
                </w:tblCellMar>
              </w:tblPrEx>
              <w:trPr>
                <w:trHeight w:val="1851" w:hRule="atLeast"/>
              </w:trPr>
              <w:tc>
                <w:tcPr>
                  <w:tcW w:w="402" w:type="pct"/>
                  <w:vMerge w:val="restart"/>
                  <w:tcBorders>
                    <w:top w:val="nil"/>
                    <w:left w:val="single" w:color="auto" w:sz="4" w:space="0"/>
                    <w:bottom w:val="single" w:color="auto" w:sz="4" w:space="0"/>
                    <w:right w:val="single" w:color="auto" w:sz="4" w:space="0"/>
                  </w:tcBorders>
                  <w:vAlign w:val="center"/>
                </w:tcPr>
                <w:p>
                  <w:pPr>
                    <w:numPr>
                      <w:ilvl w:val="255"/>
                      <w:numId w:val="0"/>
                    </w:numPr>
                    <w:spacing w:after="100" w:afterAutospacing="1"/>
                    <w:jc w:val="left"/>
                    <w:rPr>
                      <w:rFonts w:ascii="宋体" w:hAnsi="宋体" w:eastAsia="宋体" w:cs="宋体"/>
                    </w:rPr>
                  </w:pPr>
                  <w:r>
                    <w:rPr>
                      <w:rFonts w:hint="eastAsia" w:ascii="宋体" w:hAnsi="宋体" w:eastAsia="宋体" w:cs="宋体"/>
                    </w:rPr>
                    <w:t>一</w:t>
                  </w:r>
                </w:p>
              </w:tc>
              <w:tc>
                <w:tcPr>
                  <w:tcW w:w="465" w:type="pct"/>
                  <w:vMerge w:val="restart"/>
                  <w:tcBorders>
                    <w:top w:val="nil"/>
                    <w:left w:val="single" w:color="auto" w:sz="4" w:space="0"/>
                    <w:bottom w:val="single" w:color="auto" w:sz="4" w:space="0"/>
                    <w:right w:val="single" w:color="auto" w:sz="4" w:space="0"/>
                  </w:tcBorders>
                  <w:vAlign w:val="center"/>
                </w:tcPr>
                <w:p>
                  <w:pPr>
                    <w:numPr>
                      <w:ilvl w:val="255"/>
                      <w:numId w:val="0"/>
                    </w:numPr>
                    <w:spacing w:after="100" w:afterAutospacing="1"/>
                    <w:jc w:val="left"/>
                    <w:rPr>
                      <w:rFonts w:ascii="宋体" w:hAnsi="宋体" w:eastAsia="宋体" w:cs="宋体"/>
                    </w:rPr>
                  </w:pPr>
                  <w:r>
                    <w:rPr>
                      <w:rFonts w:hint="eastAsia" w:ascii="宋体" w:hAnsi="宋体" w:eastAsia="宋体" w:cs="宋体"/>
                    </w:rPr>
                    <w:t>装饰装修工程</w:t>
                  </w:r>
                </w:p>
              </w:tc>
              <w:tc>
                <w:tcPr>
                  <w:tcW w:w="2926" w:type="pct"/>
                  <w:tcBorders>
                    <w:top w:val="nil"/>
                    <w:left w:val="nil"/>
                    <w:bottom w:val="single" w:color="auto" w:sz="4" w:space="0"/>
                    <w:right w:val="single" w:color="auto" w:sz="4" w:space="0"/>
                  </w:tcBorders>
                  <w:vAlign w:val="center"/>
                </w:tcPr>
                <w:p>
                  <w:pPr>
                    <w:numPr>
                      <w:ilvl w:val="255"/>
                      <w:numId w:val="0"/>
                    </w:numPr>
                    <w:spacing w:after="100" w:afterAutospacing="1"/>
                    <w:rPr>
                      <w:rFonts w:ascii="宋体" w:hAnsi="宋体" w:eastAsia="宋体" w:cs="宋体"/>
                    </w:rPr>
                  </w:pPr>
                  <w:r>
                    <w:rPr>
                      <w:rFonts w:hint="eastAsia" w:ascii="宋体" w:hAnsi="宋体" w:eastAsia="宋体" w:cs="宋体"/>
                    </w:rPr>
                    <w:t>动物实验饲养区彩钢板顶面装饰材料：采用50型A级防火手工彩钢板(耐火极限≥1h)（面板采用0.476mm厚板）；内走廊等拖车出行区域有不锈钢防撞带。材质为：304不锈钢，厚度1.0mm；提供镀锌钢板材料、不锈钢板材料质量合格证书和生产厂家盖章的技术文件。</w:t>
                  </w:r>
                </w:p>
              </w:tc>
              <w:tc>
                <w:tcPr>
                  <w:tcW w:w="602" w:type="pct"/>
                  <w:tcBorders>
                    <w:top w:val="nil"/>
                    <w:left w:val="nil"/>
                    <w:bottom w:val="single" w:color="auto" w:sz="4" w:space="0"/>
                    <w:right w:val="single" w:color="auto" w:sz="4" w:space="0"/>
                  </w:tcBorders>
                  <w:vAlign w:val="center"/>
                </w:tcPr>
                <w:p>
                  <w:pPr>
                    <w:numPr>
                      <w:ilvl w:val="255"/>
                      <w:numId w:val="0"/>
                    </w:numPr>
                    <w:spacing w:after="100" w:afterAutospacing="1"/>
                    <w:jc w:val="center"/>
                    <w:rPr>
                      <w:rFonts w:ascii="宋体" w:hAnsi="宋体" w:eastAsia="宋体" w:cs="宋体"/>
                    </w:rPr>
                  </w:pPr>
                  <w:r>
                    <w:rPr>
                      <w:rFonts w:hint="eastAsia" w:ascii="宋体" w:hAnsi="宋体" w:eastAsia="宋体" w:cs="宋体"/>
                    </w:rPr>
                    <w:t>是</w:t>
                  </w:r>
                </w:p>
              </w:tc>
              <w:tc>
                <w:tcPr>
                  <w:tcW w:w="602" w:type="pct"/>
                  <w:tcBorders>
                    <w:top w:val="nil"/>
                    <w:left w:val="nil"/>
                    <w:bottom w:val="single" w:color="auto" w:sz="4" w:space="0"/>
                    <w:right w:val="single" w:color="auto" w:sz="4" w:space="0"/>
                  </w:tcBorders>
                  <w:vAlign w:val="center"/>
                </w:tcPr>
                <w:p>
                  <w:pPr>
                    <w:numPr>
                      <w:ilvl w:val="255"/>
                      <w:numId w:val="0"/>
                    </w:numPr>
                    <w:spacing w:after="100" w:afterAutospacing="1"/>
                    <w:jc w:val="center"/>
                    <w:rPr>
                      <w:rFonts w:ascii="宋体" w:hAnsi="宋体" w:eastAsia="宋体" w:cs="宋体"/>
                    </w:rPr>
                  </w:pPr>
                  <w:r>
                    <w:rPr>
                      <w:rFonts w:hint="eastAsia" w:ascii="宋体" w:hAnsi="宋体" w:eastAsia="宋体" w:cs="宋体"/>
                    </w:rPr>
                    <w:t>#</w:t>
                  </w:r>
                </w:p>
              </w:tc>
            </w:tr>
            <w:tr>
              <w:tblPrEx>
                <w:tblCellMar>
                  <w:top w:w="0" w:type="dxa"/>
                  <w:left w:w="108" w:type="dxa"/>
                  <w:bottom w:w="0" w:type="dxa"/>
                  <w:right w:w="108" w:type="dxa"/>
                </w:tblCellMar>
              </w:tblPrEx>
              <w:trPr>
                <w:trHeight w:val="2062" w:hRule="atLeast"/>
              </w:trPr>
              <w:tc>
                <w:tcPr>
                  <w:tcW w:w="402" w:type="pct"/>
                  <w:vMerge w:val="continue"/>
                  <w:tcBorders>
                    <w:top w:val="nil"/>
                    <w:left w:val="single" w:color="auto" w:sz="4" w:space="0"/>
                    <w:bottom w:val="single" w:color="auto" w:sz="4" w:space="0"/>
                    <w:right w:val="single" w:color="auto" w:sz="4" w:space="0"/>
                  </w:tcBorders>
                  <w:vAlign w:val="center"/>
                </w:tcPr>
                <w:p>
                  <w:pPr>
                    <w:numPr>
                      <w:ilvl w:val="255"/>
                      <w:numId w:val="0"/>
                    </w:numPr>
                    <w:spacing w:after="100" w:afterAutospacing="1"/>
                    <w:jc w:val="left"/>
                    <w:rPr>
                      <w:rFonts w:ascii="宋体" w:hAnsi="宋体" w:eastAsia="宋体" w:cs="宋体"/>
                    </w:rPr>
                  </w:pPr>
                </w:p>
              </w:tc>
              <w:tc>
                <w:tcPr>
                  <w:tcW w:w="465" w:type="pct"/>
                  <w:vMerge w:val="continue"/>
                  <w:tcBorders>
                    <w:top w:val="nil"/>
                    <w:left w:val="single" w:color="auto" w:sz="4" w:space="0"/>
                    <w:bottom w:val="single" w:color="auto" w:sz="4" w:space="0"/>
                    <w:right w:val="single" w:color="auto" w:sz="4" w:space="0"/>
                  </w:tcBorders>
                  <w:vAlign w:val="center"/>
                </w:tcPr>
                <w:p>
                  <w:pPr>
                    <w:numPr>
                      <w:ilvl w:val="255"/>
                      <w:numId w:val="0"/>
                    </w:numPr>
                    <w:spacing w:after="100" w:afterAutospacing="1"/>
                    <w:jc w:val="left"/>
                    <w:rPr>
                      <w:rFonts w:ascii="宋体" w:hAnsi="宋体" w:eastAsia="宋体" w:cs="宋体"/>
                    </w:rPr>
                  </w:pPr>
                </w:p>
              </w:tc>
              <w:tc>
                <w:tcPr>
                  <w:tcW w:w="2926" w:type="pct"/>
                  <w:tcBorders>
                    <w:top w:val="nil"/>
                    <w:left w:val="nil"/>
                    <w:bottom w:val="single" w:color="auto" w:sz="4" w:space="0"/>
                    <w:right w:val="single" w:color="auto" w:sz="4" w:space="0"/>
                  </w:tcBorders>
                  <w:vAlign w:val="center"/>
                </w:tcPr>
                <w:p>
                  <w:pPr>
                    <w:numPr>
                      <w:ilvl w:val="255"/>
                      <w:numId w:val="0"/>
                    </w:numPr>
                    <w:spacing w:after="100" w:afterAutospacing="1"/>
                    <w:rPr>
                      <w:rFonts w:ascii="宋体" w:hAnsi="宋体" w:eastAsia="宋体" w:cs="宋体"/>
                    </w:rPr>
                  </w:pPr>
                  <w:r>
                    <w:rPr>
                      <w:rFonts w:hint="eastAsia" w:ascii="宋体" w:hAnsi="宋体" w:eastAsia="宋体" w:cs="宋体"/>
                    </w:rPr>
                    <w:t>PVC塑料卷材地坪：采用2mm厚的水泥自流平找平、采用总厚2mmT级耐磨、耐腐蚀同质透心PVC卷材，上墙10cm用专用胶粘剂粘贴，满足GB8624-2006防火等级；GB18586-2001环保标准。提供PVC材料质量合格证书和生产厂家盖章的技术文件。</w:t>
                  </w:r>
                </w:p>
              </w:tc>
              <w:tc>
                <w:tcPr>
                  <w:tcW w:w="602" w:type="pct"/>
                  <w:tcBorders>
                    <w:top w:val="nil"/>
                    <w:left w:val="nil"/>
                    <w:bottom w:val="single" w:color="auto" w:sz="4" w:space="0"/>
                    <w:right w:val="single" w:color="auto" w:sz="4" w:space="0"/>
                  </w:tcBorders>
                  <w:vAlign w:val="center"/>
                </w:tcPr>
                <w:p>
                  <w:pPr>
                    <w:numPr>
                      <w:ilvl w:val="255"/>
                      <w:numId w:val="0"/>
                    </w:numPr>
                    <w:spacing w:after="100" w:afterAutospacing="1"/>
                    <w:jc w:val="center"/>
                    <w:rPr>
                      <w:rFonts w:ascii="宋体" w:hAnsi="宋体" w:eastAsia="宋体" w:cs="宋体"/>
                    </w:rPr>
                  </w:pPr>
                  <w:r>
                    <w:rPr>
                      <w:rFonts w:hint="eastAsia" w:ascii="宋体" w:hAnsi="宋体" w:eastAsia="宋体" w:cs="宋体"/>
                    </w:rPr>
                    <w:t>是</w:t>
                  </w:r>
                </w:p>
              </w:tc>
              <w:tc>
                <w:tcPr>
                  <w:tcW w:w="602" w:type="pct"/>
                  <w:tcBorders>
                    <w:top w:val="nil"/>
                    <w:left w:val="nil"/>
                    <w:bottom w:val="single" w:color="auto" w:sz="4" w:space="0"/>
                    <w:right w:val="single" w:color="auto" w:sz="4" w:space="0"/>
                  </w:tcBorders>
                  <w:vAlign w:val="center"/>
                </w:tcPr>
                <w:p>
                  <w:pPr>
                    <w:numPr>
                      <w:ilvl w:val="255"/>
                      <w:numId w:val="0"/>
                    </w:numPr>
                    <w:spacing w:after="100" w:afterAutospacing="1"/>
                    <w:jc w:val="center"/>
                    <w:rPr>
                      <w:rFonts w:ascii="宋体" w:hAnsi="宋体" w:eastAsia="宋体" w:cs="宋体"/>
                    </w:rPr>
                  </w:pPr>
                  <w:r>
                    <w:rPr>
                      <w:rFonts w:hint="eastAsia" w:ascii="宋体" w:hAnsi="宋体" w:eastAsia="宋体" w:cs="宋体"/>
                    </w:rPr>
                    <w:t>#</w:t>
                  </w:r>
                </w:p>
              </w:tc>
            </w:tr>
            <w:tr>
              <w:tblPrEx>
                <w:tblCellMar>
                  <w:top w:w="0" w:type="dxa"/>
                  <w:left w:w="108" w:type="dxa"/>
                  <w:bottom w:w="0" w:type="dxa"/>
                  <w:right w:w="108" w:type="dxa"/>
                </w:tblCellMar>
              </w:tblPrEx>
              <w:trPr>
                <w:trHeight w:val="833" w:hRule="atLeast"/>
              </w:trPr>
              <w:tc>
                <w:tcPr>
                  <w:tcW w:w="402" w:type="pct"/>
                  <w:vMerge w:val="continue"/>
                  <w:tcBorders>
                    <w:top w:val="nil"/>
                    <w:left w:val="single" w:color="auto" w:sz="4" w:space="0"/>
                    <w:bottom w:val="single" w:color="auto" w:sz="4" w:space="0"/>
                    <w:right w:val="single" w:color="auto" w:sz="4" w:space="0"/>
                  </w:tcBorders>
                  <w:vAlign w:val="center"/>
                </w:tcPr>
                <w:p>
                  <w:pPr>
                    <w:numPr>
                      <w:ilvl w:val="255"/>
                      <w:numId w:val="0"/>
                    </w:numPr>
                    <w:spacing w:after="100" w:afterAutospacing="1"/>
                    <w:jc w:val="left"/>
                    <w:rPr>
                      <w:rFonts w:ascii="宋体" w:hAnsi="宋体" w:eastAsia="宋体" w:cs="宋体"/>
                    </w:rPr>
                  </w:pPr>
                </w:p>
              </w:tc>
              <w:tc>
                <w:tcPr>
                  <w:tcW w:w="465" w:type="pct"/>
                  <w:vMerge w:val="continue"/>
                  <w:tcBorders>
                    <w:top w:val="nil"/>
                    <w:left w:val="single" w:color="auto" w:sz="4" w:space="0"/>
                    <w:bottom w:val="single" w:color="auto" w:sz="4" w:space="0"/>
                    <w:right w:val="single" w:color="auto" w:sz="4" w:space="0"/>
                  </w:tcBorders>
                  <w:vAlign w:val="center"/>
                </w:tcPr>
                <w:p>
                  <w:pPr>
                    <w:numPr>
                      <w:ilvl w:val="255"/>
                      <w:numId w:val="0"/>
                    </w:numPr>
                    <w:spacing w:after="100" w:afterAutospacing="1"/>
                    <w:jc w:val="left"/>
                    <w:rPr>
                      <w:rFonts w:ascii="宋体" w:hAnsi="宋体" w:eastAsia="宋体" w:cs="宋体"/>
                    </w:rPr>
                  </w:pPr>
                </w:p>
              </w:tc>
              <w:tc>
                <w:tcPr>
                  <w:tcW w:w="2926" w:type="pct"/>
                  <w:tcBorders>
                    <w:top w:val="nil"/>
                    <w:left w:val="nil"/>
                    <w:bottom w:val="single" w:color="auto" w:sz="4" w:space="0"/>
                    <w:right w:val="single" w:color="auto" w:sz="4" w:space="0"/>
                  </w:tcBorders>
                  <w:vAlign w:val="center"/>
                </w:tcPr>
                <w:p>
                  <w:pPr>
                    <w:numPr>
                      <w:ilvl w:val="255"/>
                      <w:numId w:val="0"/>
                    </w:numPr>
                    <w:spacing w:after="100" w:afterAutospacing="1"/>
                    <w:rPr>
                      <w:rFonts w:ascii="宋体" w:hAnsi="宋体" w:eastAsia="宋体" w:cs="宋体"/>
                    </w:rPr>
                  </w:pPr>
                  <w:r>
                    <w:rPr>
                      <w:rFonts w:hint="eastAsia" w:ascii="宋体" w:hAnsi="宋体" w:eastAsia="宋体" w:cs="宋体"/>
                    </w:rPr>
                    <w:t>医用气密封手动门：</w:t>
                  </w:r>
                </w:p>
                <w:p>
                  <w:pPr>
                    <w:numPr>
                      <w:ilvl w:val="255"/>
                      <w:numId w:val="0"/>
                    </w:numPr>
                    <w:spacing w:after="100" w:afterAutospacing="1"/>
                    <w:rPr>
                      <w:rFonts w:ascii="宋体" w:hAnsi="宋体" w:eastAsia="宋体" w:cs="宋体"/>
                    </w:rPr>
                  </w:pPr>
                  <w:r>
                    <w:rPr>
                      <w:rFonts w:hint="eastAsia" w:ascii="宋体" w:hAnsi="宋体" w:eastAsia="宋体" w:cs="宋体"/>
                    </w:rPr>
                    <w:t>1、门板：50mm厚，采用0.5mm电镀锌钢板，静电粉末喷涂，内填充防火材料，与钢板充分粘结，保证门板强度。门板颜色由甲方最终确定。</w:t>
                  </w:r>
                </w:p>
                <w:p>
                  <w:pPr>
                    <w:numPr>
                      <w:ilvl w:val="255"/>
                      <w:numId w:val="0"/>
                    </w:numPr>
                    <w:spacing w:after="100" w:afterAutospacing="1"/>
                    <w:rPr>
                      <w:rFonts w:ascii="宋体" w:hAnsi="宋体" w:eastAsia="宋体" w:cs="宋体"/>
                    </w:rPr>
                  </w:pPr>
                  <w:r>
                    <w:rPr>
                      <w:rFonts w:hint="eastAsia" w:ascii="宋体" w:hAnsi="宋体" w:eastAsia="宋体" w:cs="宋体"/>
                    </w:rPr>
                    <w:t>2、门框：矩框，内置连接角，45度拼接，采用1.5mm厚优质电镀锌钢板。</w:t>
                  </w:r>
                </w:p>
                <w:p>
                  <w:pPr>
                    <w:numPr>
                      <w:ilvl w:val="255"/>
                      <w:numId w:val="0"/>
                    </w:numPr>
                    <w:spacing w:after="100" w:afterAutospacing="1"/>
                    <w:rPr>
                      <w:rFonts w:ascii="宋体" w:hAnsi="宋体" w:eastAsia="宋体" w:cs="宋体"/>
                    </w:rPr>
                  </w:pPr>
                  <w:r>
                    <w:rPr>
                      <w:rFonts w:hint="eastAsia" w:ascii="宋体" w:hAnsi="宋体" w:eastAsia="宋体" w:cs="宋体"/>
                    </w:rPr>
                    <w:t>3、五金配件：肘压式304不锈钢门锁，优质锁芯，双开门固定扇配整体暗插销。</w:t>
                  </w:r>
                </w:p>
                <w:p>
                  <w:pPr>
                    <w:numPr>
                      <w:ilvl w:val="255"/>
                      <w:numId w:val="0"/>
                    </w:numPr>
                    <w:spacing w:after="100" w:afterAutospacing="1"/>
                    <w:rPr>
                      <w:rFonts w:ascii="宋体" w:hAnsi="宋体" w:eastAsia="宋体" w:cs="宋体"/>
                    </w:rPr>
                  </w:pPr>
                  <w:r>
                    <w:rPr>
                      <w:rFonts w:hint="eastAsia" w:ascii="宋体" w:hAnsi="宋体" w:eastAsia="宋体" w:cs="宋体"/>
                    </w:rPr>
                    <w:t>4、门上带直角双面钢化玻璃视窗，门底部安装可调升降密封条。</w:t>
                  </w:r>
                </w:p>
                <w:p>
                  <w:pPr>
                    <w:numPr>
                      <w:ilvl w:val="255"/>
                      <w:numId w:val="0"/>
                    </w:numPr>
                    <w:spacing w:after="100" w:afterAutospacing="1"/>
                    <w:rPr>
                      <w:rFonts w:ascii="宋体" w:hAnsi="宋体" w:eastAsia="宋体" w:cs="宋体"/>
                    </w:rPr>
                  </w:pPr>
                  <w:r>
                    <w:rPr>
                      <w:rFonts w:hint="eastAsia" w:ascii="宋体" w:hAnsi="宋体" w:eastAsia="宋体" w:cs="宋体"/>
                    </w:rPr>
                    <w:t>5、预留互锁洞口，单向门加互锁及单侧门把手。有紧急解锁开关，一键开门。提供医用气密封手动门质量合格证书和生产厂家盖章的技术文件。</w:t>
                  </w:r>
                </w:p>
              </w:tc>
              <w:tc>
                <w:tcPr>
                  <w:tcW w:w="602" w:type="pct"/>
                  <w:tcBorders>
                    <w:top w:val="nil"/>
                    <w:left w:val="nil"/>
                    <w:bottom w:val="single" w:color="auto" w:sz="4" w:space="0"/>
                    <w:right w:val="single" w:color="auto" w:sz="4" w:space="0"/>
                  </w:tcBorders>
                  <w:vAlign w:val="center"/>
                </w:tcPr>
                <w:p>
                  <w:pPr>
                    <w:numPr>
                      <w:ilvl w:val="255"/>
                      <w:numId w:val="0"/>
                    </w:numPr>
                    <w:spacing w:after="100" w:afterAutospacing="1"/>
                    <w:jc w:val="center"/>
                    <w:rPr>
                      <w:rFonts w:ascii="宋体" w:hAnsi="宋体" w:eastAsia="宋体" w:cs="宋体"/>
                    </w:rPr>
                  </w:pPr>
                  <w:r>
                    <w:rPr>
                      <w:rFonts w:hint="eastAsia" w:ascii="宋体" w:hAnsi="宋体" w:eastAsia="宋体" w:cs="宋体"/>
                    </w:rPr>
                    <w:t>是</w:t>
                  </w:r>
                </w:p>
              </w:tc>
              <w:tc>
                <w:tcPr>
                  <w:tcW w:w="602" w:type="pct"/>
                  <w:tcBorders>
                    <w:top w:val="nil"/>
                    <w:left w:val="nil"/>
                    <w:bottom w:val="single" w:color="auto" w:sz="4" w:space="0"/>
                    <w:right w:val="single" w:color="auto" w:sz="4" w:space="0"/>
                  </w:tcBorders>
                  <w:vAlign w:val="center"/>
                </w:tcPr>
                <w:p>
                  <w:pPr>
                    <w:numPr>
                      <w:ilvl w:val="255"/>
                      <w:numId w:val="0"/>
                    </w:numPr>
                    <w:spacing w:after="100" w:afterAutospacing="1"/>
                    <w:jc w:val="center"/>
                    <w:rPr>
                      <w:rFonts w:ascii="宋体" w:hAnsi="宋体" w:eastAsia="宋体" w:cs="宋体"/>
                    </w:rPr>
                  </w:pPr>
                  <w:r>
                    <w:rPr>
                      <w:rFonts w:hint="eastAsia" w:ascii="宋体" w:hAnsi="宋体" w:eastAsia="宋体" w:cs="宋体"/>
                    </w:rPr>
                    <w:t>#</w:t>
                  </w:r>
                </w:p>
              </w:tc>
            </w:tr>
            <w:tr>
              <w:tblPrEx>
                <w:tblCellMar>
                  <w:top w:w="0" w:type="dxa"/>
                  <w:left w:w="108" w:type="dxa"/>
                  <w:bottom w:w="0" w:type="dxa"/>
                  <w:right w:w="108" w:type="dxa"/>
                </w:tblCellMar>
              </w:tblPrEx>
              <w:trPr>
                <w:trHeight w:val="2032" w:hRule="atLeast"/>
              </w:trPr>
              <w:tc>
                <w:tcPr>
                  <w:tcW w:w="402" w:type="pct"/>
                  <w:vMerge w:val="continue"/>
                  <w:tcBorders>
                    <w:top w:val="nil"/>
                    <w:left w:val="single" w:color="auto" w:sz="4" w:space="0"/>
                    <w:bottom w:val="single" w:color="auto" w:sz="4" w:space="0"/>
                    <w:right w:val="single" w:color="auto" w:sz="4" w:space="0"/>
                  </w:tcBorders>
                  <w:vAlign w:val="center"/>
                </w:tcPr>
                <w:p>
                  <w:pPr>
                    <w:numPr>
                      <w:ilvl w:val="255"/>
                      <w:numId w:val="0"/>
                    </w:numPr>
                    <w:spacing w:after="100" w:afterAutospacing="1"/>
                    <w:jc w:val="left"/>
                    <w:rPr>
                      <w:rFonts w:ascii="宋体" w:hAnsi="宋体" w:eastAsia="宋体" w:cs="宋体"/>
                    </w:rPr>
                  </w:pPr>
                </w:p>
              </w:tc>
              <w:tc>
                <w:tcPr>
                  <w:tcW w:w="465" w:type="pct"/>
                  <w:vMerge w:val="continue"/>
                  <w:tcBorders>
                    <w:top w:val="nil"/>
                    <w:left w:val="single" w:color="auto" w:sz="4" w:space="0"/>
                    <w:bottom w:val="single" w:color="auto" w:sz="4" w:space="0"/>
                    <w:right w:val="single" w:color="auto" w:sz="4" w:space="0"/>
                  </w:tcBorders>
                  <w:vAlign w:val="center"/>
                </w:tcPr>
                <w:p>
                  <w:pPr>
                    <w:numPr>
                      <w:ilvl w:val="255"/>
                      <w:numId w:val="0"/>
                    </w:numPr>
                    <w:spacing w:after="100" w:afterAutospacing="1"/>
                    <w:jc w:val="left"/>
                    <w:rPr>
                      <w:rFonts w:ascii="宋体" w:hAnsi="宋体" w:eastAsia="宋体" w:cs="宋体"/>
                    </w:rPr>
                  </w:pPr>
                </w:p>
              </w:tc>
              <w:tc>
                <w:tcPr>
                  <w:tcW w:w="2926" w:type="pct"/>
                  <w:tcBorders>
                    <w:top w:val="nil"/>
                    <w:left w:val="nil"/>
                    <w:bottom w:val="single" w:color="auto" w:sz="4" w:space="0"/>
                    <w:right w:val="single" w:color="auto" w:sz="4" w:space="0"/>
                  </w:tcBorders>
                  <w:vAlign w:val="center"/>
                </w:tcPr>
                <w:p>
                  <w:pPr>
                    <w:numPr>
                      <w:ilvl w:val="255"/>
                      <w:numId w:val="0"/>
                    </w:numPr>
                    <w:spacing w:after="100" w:afterAutospacing="1"/>
                    <w:jc w:val="left"/>
                    <w:rPr>
                      <w:rFonts w:ascii="宋体" w:hAnsi="宋体" w:eastAsia="宋体" w:cs="宋体"/>
                    </w:rPr>
                  </w:pPr>
                  <w:r>
                    <w:rPr>
                      <w:rFonts w:hint="eastAsia" w:ascii="宋体" w:hAnsi="宋体" w:eastAsia="宋体" w:cs="宋体"/>
                    </w:rPr>
                    <w:t>固定玻璃安全门：窗框采用矩框，内置连接角，45度拼接，采用1.5mm 厚优质电镀锌钢板，静电粉末喷涂，玻璃采用钢制玻璃压条固定，窗框及压条表面喷涂颜色同门板；玻璃应采用钢化安全玻璃，玻璃厚度8mm；饲养室窗贴红膜。</w:t>
                  </w:r>
                </w:p>
              </w:tc>
              <w:tc>
                <w:tcPr>
                  <w:tcW w:w="602" w:type="pct"/>
                  <w:tcBorders>
                    <w:top w:val="nil"/>
                    <w:left w:val="nil"/>
                    <w:bottom w:val="single" w:color="auto" w:sz="4" w:space="0"/>
                    <w:right w:val="single" w:color="auto" w:sz="4" w:space="0"/>
                  </w:tcBorders>
                  <w:vAlign w:val="center"/>
                </w:tcPr>
                <w:p>
                  <w:pPr>
                    <w:numPr>
                      <w:ilvl w:val="255"/>
                      <w:numId w:val="0"/>
                    </w:numPr>
                    <w:spacing w:after="100" w:afterAutospacing="1"/>
                    <w:jc w:val="center"/>
                    <w:rPr>
                      <w:rFonts w:ascii="宋体" w:hAnsi="宋体" w:eastAsia="宋体" w:cs="宋体"/>
                    </w:rPr>
                  </w:pPr>
                  <w:r>
                    <w:rPr>
                      <w:rFonts w:hint="eastAsia" w:ascii="宋体" w:hAnsi="宋体" w:eastAsia="宋体" w:cs="宋体"/>
                    </w:rPr>
                    <w:t>是</w:t>
                  </w:r>
                </w:p>
              </w:tc>
              <w:tc>
                <w:tcPr>
                  <w:tcW w:w="602" w:type="pct"/>
                  <w:tcBorders>
                    <w:top w:val="nil"/>
                    <w:left w:val="nil"/>
                    <w:bottom w:val="single" w:color="auto" w:sz="4" w:space="0"/>
                    <w:right w:val="single" w:color="auto" w:sz="4" w:space="0"/>
                  </w:tcBorders>
                  <w:vAlign w:val="center"/>
                </w:tcPr>
                <w:p>
                  <w:pPr>
                    <w:numPr>
                      <w:ilvl w:val="255"/>
                      <w:numId w:val="0"/>
                    </w:numPr>
                    <w:spacing w:after="100" w:afterAutospacing="1"/>
                    <w:jc w:val="center"/>
                    <w:rPr>
                      <w:rFonts w:ascii="宋体" w:hAnsi="宋体" w:eastAsia="宋体" w:cs="宋体"/>
                    </w:rPr>
                  </w:pPr>
                  <w:r>
                    <w:rPr>
                      <w:rFonts w:hint="eastAsia" w:ascii="宋体" w:hAnsi="宋体" w:eastAsia="宋体" w:cs="宋体"/>
                    </w:rPr>
                    <w:t>#</w:t>
                  </w:r>
                </w:p>
              </w:tc>
            </w:tr>
            <w:tr>
              <w:tblPrEx>
                <w:tblCellMar>
                  <w:top w:w="0" w:type="dxa"/>
                  <w:left w:w="108" w:type="dxa"/>
                  <w:bottom w:w="0" w:type="dxa"/>
                  <w:right w:w="108" w:type="dxa"/>
                </w:tblCellMar>
              </w:tblPrEx>
              <w:trPr>
                <w:trHeight w:val="5510" w:hRule="atLeast"/>
              </w:trPr>
              <w:tc>
                <w:tcPr>
                  <w:tcW w:w="402" w:type="pct"/>
                  <w:vMerge w:val="continue"/>
                  <w:tcBorders>
                    <w:top w:val="nil"/>
                    <w:left w:val="single" w:color="auto" w:sz="4" w:space="0"/>
                    <w:bottom w:val="single" w:color="auto" w:sz="4" w:space="0"/>
                    <w:right w:val="single" w:color="auto" w:sz="4" w:space="0"/>
                  </w:tcBorders>
                  <w:vAlign w:val="center"/>
                </w:tcPr>
                <w:p>
                  <w:pPr>
                    <w:numPr>
                      <w:ilvl w:val="255"/>
                      <w:numId w:val="0"/>
                    </w:numPr>
                    <w:spacing w:after="100" w:afterAutospacing="1"/>
                    <w:jc w:val="left"/>
                    <w:rPr>
                      <w:rFonts w:ascii="宋体" w:hAnsi="宋体" w:eastAsia="宋体" w:cs="宋体"/>
                    </w:rPr>
                  </w:pPr>
                </w:p>
              </w:tc>
              <w:tc>
                <w:tcPr>
                  <w:tcW w:w="465" w:type="pct"/>
                  <w:vMerge w:val="continue"/>
                  <w:tcBorders>
                    <w:top w:val="nil"/>
                    <w:left w:val="single" w:color="auto" w:sz="4" w:space="0"/>
                    <w:bottom w:val="single" w:color="auto" w:sz="4" w:space="0"/>
                    <w:right w:val="single" w:color="auto" w:sz="4" w:space="0"/>
                  </w:tcBorders>
                  <w:vAlign w:val="center"/>
                </w:tcPr>
                <w:p>
                  <w:pPr>
                    <w:numPr>
                      <w:ilvl w:val="255"/>
                      <w:numId w:val="0"/>
                    </w:numPr>
                    <w:spacing w:after="100" w:afterAutospacing="1"/>
                    <w:jc w:val="left"/>
                    <w:rPr>
                      <w:rFonts w:ascii="宋体" w:hAnsi="宋体" w:eastAsia="宋体" w:cs="宋体"/>
                    </w:rPr>
                  </w:pPr>
                </w:p>
              </w:tc>
              <w:tc>
                <w:tcPr>
                  <w:tcW w:w="2926" w:type="pct"/>
                  <w:tcBorders>
                    <w:top w:val="nil"/>
                    <w:left w:val="nil"/>
                    <w:bottom w:val="single" w:color="auto" w:sz="4" w:space="0"/>
                    <w:right w:val="single" w:color="auto" w:sz="4" w:space="0"/>
                  </w:tcBorders>
                  <w:vAlign w:val="center"/>
                </w:tcPr>
                <w:p>
                  <w:pPr>
                    <w:numPr>
                      <w:ilvl w:val="255"/>
                      <w:numId w:val="0"/>
                    </w:numPr>
                    <w:spacing w:after="100" w:afterAutospacing="1"/>
                    <w:rPr>
                      <w:rFonts w:ascii="宋体" w:hAnsi="宋体" w:eastAsia="宋体" w:cs="宋体"/>
                    </w:rPr>
                  </w:pPr>
                  <w:r>
                    <w:rPr>
                      <w:rFonts w:hint="eastAsia" w:ascii="宋体" w:hAnsi="宋体" w:eastAsia="宋体" w:cs="宋体"/>
                    </w:rPr>
                    <w:t>传递窗：</w:t>
                  </w:r>
                </w:p>
                <w:p>
                  <w:pPr>
                    <w:numPr>
                      <w:ilvl w:val="255"/>
                      <w:numId w:val="0"/>
                    </w:numPr>
                    <w:spacing w:after="100" w:afterAutospacing="1"/>
                    <w:rPr>
                      <w:rFonts w:ascii="宋体" w:hAnsi="宋体" w:eastAsia="宋体" w:cs="宋体"/>
                    </w:rPr>
                  </w:pPr>
                  <w:r>
                    <w:rPr>
                      <w:rFonts w:hint="eastAsia" w:ascii="宋体" w:hAnsi="宋体" w:eastAsia="宋体" w:cs="宋体"/>
                    </w:rPr>
                    <w:t>1、一体成型产品，窗体整体的气密性及开启门的密封性好，圆角过渡无焊接缝，内有冲孔活动层板。</w:t>
                  </w:r>
                </w:p>
                <w:p>
                  <w:pPr>
                    <w:numPr>
                      <w:ilvl w:val="255"/>
                      <w:numId w:val="0"/>
                    </w:numPr>
                    <w:spacing w:after="100" w:afterAutospacing="1"/>
                    <w:rPr>
                      <w:rFonts w:ascii="宋体" w:hAnsi="宋体" w:eastAsia="宋体" w:cs="宋体"/>
                    </w:rPr>
                  </w:pPr>
                  <w:r>
                    <w:rPr>
                      <w:rFonts w:hint="eastAsia" w:ascii="宋体" w:hAnsi="宋体" w:eastAsia="宋体" w:cs="宋体"/>
                    </w:rPr>
                    <w:t>2、304不锈钢材质，上部装有双层钢化玻璃视窗、门和框体结构同一水平线。</w:t>
                  </w:r>
                </w:p>
                <w:p>
                  <w:pPr>
                    <w:numPr>
                      <w:ilvl w:val="255"/>
                      <w:numId w:val="0"/>
                    </w:numPr>
                    <w:spacing w:after="100" w:afterAutospacing="1"/>
                    <w:rPr>
                      <w:rFonts w:ascii="宋体" w:hAnsi="宋体" w:eastAsia="宋体" w:cs="宋体"/>
                    </w:rPr>
                  </w:pPr>
                  <w:r>
                    <w:rPr>
                      <w:rFonts w:hint="eastAsia" w:ascii="宋体" w:hAnsi="宋体" w:eastAsia="宋体" w:cs="宋体"/>
                      <w:lang w:val="en-US" w:eastAsia="zh-CN"/>
                    </w:rPr>
                    <w:t>3</w:t>
                  </w:r>
                  <w:r>
                    <w:rPr>
                      <w:rFonts w:hint="eastAsia" w:ascii="宋体" w:hAnsi="宋体" w:eastAsia="宋体" w:cs="宋体"/>
                    </w:rPr>
                    <w:t>、带紫外线杀菌灯，90min时控及电子互锁控制功能。</w:t>
                  </w:r>
                </w:p>
                <w:p>
                  <w:pPr>
                    <w:numPr>
                      <w:ilvl w:val="255"/>
                      <w:numId w:val="0"/>
                    </w:numPr>
                    <w:spacing w:after="100" w:afterAutospacing="1"/>
                    <w:rPr>
                      <w:rFonts w:ascii="宋体" w:hAnsi="宋体" w:eastAsia="宋体" w:cs="宋体"/>
                    </w:rPr>
                  </w:pPr>
                  <w:r>
                    <w:rPr>
                      <w:rFonts w:hint="eastAsia" w:ascii="宋体" w:hAnsi="宋体" w:eastAsia="宋体" w:cs="宋体"/>
                      <w:lang w:val="en-US" w:eastAsia="zh-CN"/>
                    </w:rPr>
                    <w:t>4</w:t>
                  </w:r>
                  <w:r>
                    <w:rPr>
                      <w:rFonts w:hint="eastAsia" w:ascii="宋体" w:hAnsi="宋体" w:eastAsia="宋体" w:cs="宋体"/>
                    </w:rPr>
                    <w:t>、传递窗带风淋功能，内置H14高效过滤器。提供传递窗材料质量合格证书和生产厂家盖章的技术文件。</w:t>
                  </w:r>
                </w:p>
              </w:tc>
              <w:tc>
                <w:tcPr>
                  <w:tcW w:w="602" w:type="pct"/>
                  <w:tcBorders>
                    <w:top w:val="nil"/>
                    <w:left w:val="nil"/>
                    <w:bottom w:val="single" w:color="auto" w:sz="4" w:space="0"/>
                    <w:right w:val="single" w:color="auto" w:sz="4" w:space="0"/>
                  </w:tcBorders>
                  <w:vAlign w:val="center"/>
                </w:tcPr>
                <w:p>
                  <w:pPr>
                    <w:numPr>
                      <w:ilvl w:val="255"/>
                      <w:numId w:val="0"/>
                    </w:numPr>
                    <w:spacing w:after="100" w:afterAutospacing="1"/>
                    <w:jc w:val="center"/>
                    <w:rPr>
                      <w:rFonts w:ascii="宋体" w:hAnsi="宋体" w:eastAsia="宋体" w:cs="宋体"/>
                    </w:rPr>
                  </w:pPr>
                  <w:r>
                    <w:rPr>
                      <w:rFonts w:hint="eastAsia" w:ascii="宋体" w:hAnsi="宋体" w:eastAsia="宋体" w:cs="宋体"/>
                    </w:rPr>
                    <w:t>是</w:t>
                  </w:r>
                </w:p>
              </w:tc>
              <w:tc>
                <w:tcPr>
                  <w:tcW w:w="602" w:type="pct"/>
                  <w:tcBorders>
                    <w:top w:val="nil"/>
                    <w:left w:val="nil"/>
                    <w:bottom w:val="single" w:color="auto" w:sz="4" w:space="0"/>
                    <w:right w:val="single" w:color="auto" w:sz="4" w:space="0"/>
                  </w:tcBorders>
                  <w:vAlign w:val="center"/>
                </w:tcPr>
                <w:p>
                  <w:pPr>
                    <w:numPr>
                      <w:ilvl w:val="255"/>
                      <w:numId w:val="0"/>
                    </w:numPr>
                    <w:spacing w:after="100" w:afterAutospacing="1"/>
                    <w:jc w:val="center"/>
                    <w:rPr>
                      <w:rFonts w:ascii="宋体" w:hAnsi="宋体" w:eastAsia="宋体" w:cs="宋体"/>
                    </w:rPr>
                  </w:pPr>
                  <w:r>
                    <w:rPr>
                      <w:rFonts w:hint="eastAsia" w:ascii="宋体" w:hAnsi="宋体" w:eastAsia="宋体" w:cs="宋体"/>
                    </w:rPr>
                    <w:t>#</w:t>
                  </w:r>
                </w:p>
              </w:tc>
            </w:tr>
            <w:tr>
              <w:tblPrEx>
                <w:tblCellMar>
                  <w:top w:w="0" w:type="dxa"/>
                  <w:left w:w="108" w:type="dxa"/>
                  <w:bottom w:w="0" w:type="dxa"/>
                  <w:right w:w="108" w:type="dxa"/>
                </w:tblCellMar>
              </w:tblPrEx>
              <w:trPr>
                <w:trHeight w:val="7160" w:hRule="atLeast"/>
              </w:trPr>
              <w:tc>
                <w:tcPr>
                  <w:tcW w:w="402" w:type="pct"/>
                  <w:vMerge w:val="continue"/>
                  <w:tcBorders>
                    <w:left w:val="single" w:color="auto" w:sz="4" w:space="0"/>
                    <w:right w:val="single" w:color="auto" w:sz="4" w:space="0"/>
                  </w:tcBorders>
                  <w:vAlign w:val="center"/>
                </w:tcPr>
                <w:p>
                  <w:pPr>
                    <w:numPr>
                      <w:ilvl w:val="255"/>
                      <w:numId w:val="0"/>
                    </w:numPr>
                    <w:spacing w:after="100" w:afterAutospacing="1"/>
                    <w:jc w:val="left"/>
                    <w:rPr>
                      <w:rFonts w:ascii="宋体" w:hAnsi="宋体" w:eastAsia="宋体" w:cs="宋体"/>
                    </w:rPr>
                  </w:pPr>
                </w:p>
              </w:tc>
              <w:tc>
                <w:tcPr>
                  <w:tcW w:w="465" w:type="pct"/>
                  <w:vMerge w:val="continue"/>
                  <w:tcBorders>
                    <w:left w:val="single" w:color="auto" w:sz="4" w:space="0"/>
                    <w:right w:val="single" w:color="auto" w:sz="4" w:space="0"/>
                  </w:tcBorders>
                  <w:vAlign w:val="center"/>
                </w:tcPr>
                <w:p>
                  <w:pPr>
                    <w:numPr>
                      <w:ilvl w:val="255"/>
                      <w:numId w:val="0"/>
                    </w:numPr>
                    <w:spacing w:after="100" w:afterAutospacing="1"/>
                    <w:jc w:val="left"/>
                    <w:rPr>
                      <w:rFonts w:ascii="宋体" w:hAnsi="宋体" w:eastAsia="宋体" w:cs="宋体"/>
                    </w:rPr>
                  </w:pPr>
                </w:p>
              </w:tc>
              <w:tc>
                <w:tcPr>
                  <w:tcW w:w="2926" w:type="pct"/>
                  <w:tcBorders>
                    <w:top w:val="nil"/>
                    <w:left w:val="nil"/>
                    <w:bottom w:val="single" w:color="auto" w:sz="4" w:space="0"/>
                    <w:right w:val="single" w:color="auto" w:sz="4" w:space="0"/>
                  </w:tcBorders>
                  <w:vAlign w:val="center"/>
                </w:tcPr>
                <w:p>
                  <w:pPr>
                    <w:numPr>
                      <w:ilvl w:val="255"/>
                      <w:numId w:val="0"/>
                    </w:numPr>
                    <w:spacing w:after="100" w:afterAutospacing="1"/>
                    <w:rPr>
                      <w:rFonts w:ascii="宋体" w:hAnsi="宋体" w:eastAsia="宋体" w:cs="宋体"/>
                    </w:rPr>
                  </w:pPr>
                  <w:r>
                    <w:rPr>
                      <w:rFonts w:hint="eastAsia" w:ascii="宋体" w:hAnsi="宋体" w:eastAsia="宋体" w:cs="宋体"/>
                    </w:rPr>
                    <w:t>屋顶设置3台两管制风冷热泵机组制冷/制热不小于130kW。技术参数要求如下：</w:t>
                  </w:r>
                </w:p>
                <w:p>
                  <w:pPr>
                    <w:numPr>
                      <w:ilvl w:val="255"/>
                      <w:numId w:val="0"/>
                    </w:numPr>
                    <w:spacing w:after="100" w:afterAutospacing="1"/>
                    <w:rPr>
                      <w:rFonts w:ascii="宋体" w:hAnsi="宋体" w:eastAsia="宋体" w:cs="宋体"/>
                    </w:rPr>
                  </w:pPr>
                  <w:r>
                    <w:rPr>
                      <w:rFonts w:hint="eastAsia" w:ascii="宋体" w:hAnsi="宋体" w:eastAsia="宋体" w:cs="宋体"/>
                    </w:rPr>
                    <w:t>1、制冷量不小于130kW；制热量不小于130kW；</w:t>
                  </w:r>
                </w:p>
                <w:p>
                  <w:pPr>
                    <w:numPr>
                      <w:ilvl w:val="255"/>
                      <w:numId w:val="0"/>
                    </w:numPr>
                    <w:spacing w:after="100" w:afterAutospacing="1"/>
                    <w:rPr>
                      <w:rFonts w:ascii="宋体" w:hAnsi="宋体" w:eastAsia="宋体" w:cs="宋体"/>
                    </w:rPr>
                  </w:pPr>
                  <w:r>
                    <w:rPr>
                      <w:rFonts w:hint="eastAsia" w:ascii="宋体" w:hAnsi="宋体" w:eastAsia="宋体" w:cs="宋体"/>
                    </w:rPr>
                    <w:t>2、必须使用R410a环保冷媒。</w:t>
                  </w:r>
                </w:p>
                <w:p>
                  <w:pPr>
                    <w:numPr>
                      <w:ilvl w:val="255"/>
                      <w:numId w:val="0"/>
                    </w:numPr>
                    <w:spacing w:after="100" w:afterAutospacing="1"/>
                    <w:rPr>
                      <w:rFonts w:ascii="宋体" w:hAnsi="宋体" w:eastAsia="宋体" w:cs="宋体"/>
                    </w:rPr>
                  </w:pPr>
                  <w:r>
                    <w:rPr>
                      <w:rFonts w:hint="eastAsia" w:ascii="宋体" w:hAnsi="宋体" w:eastAsia="宋体" w:cs="宋体"/>
                    </w:rPr>
                    <w:t>3、运行范围：制冷10-46℃，制热 -15-25℃。</w:t>
                  </w:r>
                </w:p>
                <w:p>
                  <w:pPr>
                    <w:numPr>
                      <w:ilvl w:val="255"/>
                      <w:numId w:val="0"/>
                    </w:numPr>
                    <w:spacing w:after="100" w:afterAutospacing="1"/>
                    <w:rPr>
                      <w:rFonts w:ascii="宋体" w:hAnsi="宋体" w:eastAsia="宋体" w:cs="宋体"/>
                    </w:rPr>
                  </w:pPr>
                  <w:r>
                    <w:rPr>
                      <w:rFonts w:hint="eastAsia" w:ascii="宋体" w:hAnsi="宋体" w:eastAsia="宋体" w:cs="宋体"/>
                    </w:rPr>
                    <w:t>4、采用电子膨胀阀等高精度节流元件。</w:t>
                  </w:r>
                </w:p>
                <w:p>
                  <w:pPr>
                    <w:numPr>
                      <w:ilvl w:val="255"/>
                      <w:numId w:val="0"/>
                    </w:numPr>
                    <w:spacing w:after="100" w:afterAutospacing="1"/>
                    <w:rPr>
                      <w:rFonts w:ascii="宋体" w:hAnsi="宋体" w:eastAsia="宋体" w:cs="宋体"/>
                    </w:rPr>
                  </w:pPr>
                  <w:r>
                    <w:rPr>
                      <w:rFonts w:hint="eastAsia" w:ascii="宋体" w:hAnsi="宋体" w:eastAsia="宋体" w:cs="宋体"/>
                    </w:rPr>
                    <w:t>5、机组无主次之分，任意一台设备可作为主控机使用。</w:t>
                  </w:r>
                </w:p>
                <w:p>
                  <w:pPr>
                    <w:numPr>
                      <w:ilvl w:val="255"/>
                      <w:numId w:val="0"/>
                    </w:numPr>
                    <w:spacing w:after="100" w:afterAutospacing="1"/>
                    <w:rPr>
                      <w:rFonts w:ascii="宋体" w:hAnsi="宋体" w:eastAsia="宋体" w:cs="宋体"/>
                    </w:rPr>
                  </w:pPr>
                  <w:r>
                    <w:rPr>
                      <w:rFonts w:hint="eastAsia" w:ascii="宋体" w:hAnsi="宋体" w:eastAsia="宋体" w:cs="宋体"/>
                    </w:rPr>
                    <w:t>6、机组具有智能除霜功能，当机组在恶劣环境下制热时，可强制除霜，彻底清除霜层或冰层，并可实现除霜时制热不停机。</w:t>
                  </w:r>
                </w:p>
                <w:p>
                  <w:pPr>
                    <w:numPr>
                      <w:ilvl w:val="255"/>
                      <w:numId w:val="0"/>
                    </w:numPr>
                    <w:spacing w:after="100" w:afterAutospacing="1"/>
                    <w:rPr>
                      <w:rFonts w:ascii="宋体" w:hAnsi="宋体" w:eastAsia="宋体" w:cs="宋体"/>
                    </w:rPr>
                  </w:pPr>
                  <w:r>
                    <w:rPr>
                      <w:rFonts w:hint="eastAsia" w:ascii="宋体" w:hAnsi="宋体" w:eastAsia="宋体" w:cs="宋体"/>
                    </w:rPr>
                    <w:t>7、必须采用高效涡旋式压缩机，具备防频繁启停、均衡运行等功能。提供两管制风冷热泵机组材料质量合格证书和生产厂家盖章的技术文件。</w:t>
                  </w:r>
                </w:p>
              </w:tc>
              <w:tc>
                <w:tcPr>
                  <w:tcW w:w="602" w:type="pct"/>
                  <w:tcBorders>
                    <w:top w:val="nil"/>
                    <w:left w:val="nil"/>
                    <w:bottom w:val="single" w:color="auto" w:sz="4" w:space="0"/>
                    <w:right w:val="single" w:color="auto" w:sz="4" w:space="0"/>
                  </w:tcBorders>
                  <w:vAlign w:val="center"/>
                </w:tcPr>
                <w:p>
                  <w:pPr>
                    <w:numPr>
                      <w:ilvl w:val="255"/>
                      <w:numId w:val="0"/>
                    </w:numPr>
                    <w:spacing w:after="100" w:afterAutospacing="1"/>
                    <w:jc w:val="center"/>
                    <w:rPr>
                      <w:rFonts w:ascii="宋体" w:hAnsi="宋体" w:eastAsia="宋体" w:cs="宋体"/>
                    </w:rPr>
                  </w:pPr>
                  <w:r>
                    <w:rPr>
                      <w:rFonts w:hint="eastAsia" w:ascii="宋体" w:hAnsi="宋体" w:eastAsia="宋体" w:cs="宋体"/>
                    </w:rPr>
                    <w:t>是</w:t>
                  </w:r>
                </w:p>
              </w:tc>
              <w:tc>
                <w:tcPr>
                  <w:tcW w:w="602" w:type="pct"/>
                  <w:tcBorders>
                    <w:top w:val="nil"/>
                    <w:left w:val="nil"/>
                    <w:bottom w:val="single" w:color="auto" w:sz="4" w:space="0"/>
                    <w:right w:val="single" w:color="auto" w:sz="4" w:space="0"/>
                  </w:tcBorders>
                  <w:vAlign w:val="center"/>
                </w:tcPr>
                <w:p>
                  <w:pPr>
                    <w:numPr>
                      <w:ilvl w:val="255"/>
                      <w:numId w:val="0"/>
                    </w:numPr>
                    <w:spacing w:after="100" w:afterAutospacing="1"/>
                    <w:jc w:val="center"/>
                    <w:rPr>
                      <w:rFonts w:ascii="宋体" w:hAnsi="宋体" w:eastAsia="宋体" w:cs="宋体"/>
                    </w:rPr>
                  </w:pPr>
                  <w:r>
                    <w:rPr>
                      <w:rFonts w:hint="eastAsia" w:ascii="宋体" w:hAnsi="宋体" w:eastAsia="宋体" w:cs="宋体"/>
                    </w:rPr>
                    <w:t>#</w:t>
                  </w:r>
                </w:p>
              </w:tc>
            </w:tr>
            <w:tr>
              <w:tblPrEx>
                <w:tblCellMar>
                  <w:top w:w="0" w:type="dxa"/>
                  <w:left w:w="108" w:type="dxa"/>
                  <w:bottom w:w="0" w:type="dxa"/>
                  <w:right w:w="108" w:type="dxa"/>
                </w:tblCellMar>
              </w:tblPrEx>
              <w:trPr>
                <w:trHeight w:val="8953" w:hRule="atLeast"/>
              </w:trPr>
              <w:tc>
                <w:tcPr>
                  <w:tcW w:w="402" w:type="pct"/>
                  <w:vMerge w:val="continue"/>
                  <w:tcBorders>
                    <w:left w:val="single" w:color="auto" w:sz="4" w:space="0"/>
                    <w:right w:val="single" w:color="auto" w:sz="4" w:space="0"/>
                  </w:tcBorders>
                  <w:vAlign w:val="center"/>
                </w:tcPr>
                <w:p>
                  <w:pPr>
                    <w:numPr>
                      <w:ilvl w:val="255"/>
                      <w:numId w:val="0"/>
                    </w:numPr>
                    <w:spacing w:after="100" w:afterAutospacing="1"/>
                    <w:jc w:val="left"/>
                    <w:rPr>
                      <w:rFonts w:ascii="宋体" w:hAnsi="宋体" w:eastAsia="宋体" w:cs="宋体"/>
                    </w:rPr>
                  </w:pPr>
                </w:p>
              </w:tc>
              <w:tc>
                <w:tcPr>
                  <w:tcW w:w="465" w:type="pct"/>
                  <w:vMerge w:val="continue"/>
                  <w:tcBorders>
                    <w:left w:val="single" w:color="auto" w:sz="4" w:space="0"/>
                    <w:right w:val="single" w:color="auto" w:sz="4" w:space="0"/>
                  </w:tcBorders>
                  <w:vAlign w:val="center"/>
                </w:tcPr>
                <w:p>
                  <w:pPr>
                    <w:numPr>
                      <w:ilvl w:val="255"/>
                      <w:numId w:val="0"/>
                    </w:numPr>
                    <w:spacing w:after="100" w:afterAutospacing="1"/>
                    <w:jc w:val="left"/>
                    <w:rPr>
                      <w:rFonts w:ascii="宋体" w:hAnsi="宋体" w:eastAsia="宋体" w:cs="宋体"/>
                    </w:rPr>
                  </w:pPr>
                </w:p>
              </w:tc>
              <w:tc>
                <w:tcPr>
                  <w:tcW w:w="2926" w:type="pct"/>
                  <w:tcBorders>
                    <w:top w:val="nil"/>
                    <w:left w:val="nil"/>
                    <w:bottom w:val="single" w:color="auto" w:sz="4" w:space="0"/>
                    <w:right w:val="single" w:color="auto" w:sz="4" w:space="0"/>
                  </w:tcBorders>
                  <w:vAlign w:val="center"/>
                </w:tcPr>
                <w:p>
                  <w:pPr>
                    <w:numPr>
                      <w:ilvl w:val="255"/>
                      <w:numId w:val="0"/>
                    </w:numPr>
                    <w:spacing w:after="100" w:afterAutospacing="1"/>
                    <w:rPr>
                      <w:rFonts w:ascii="宋体" w:hAnsi="宋体" w:eastAsia="宋体" w:cs="宋体"/>
                    </w:rPr>
                  </w:pPr>
                  <w:r>
                    <w:rPr>
                      <w:rFonts w:hint="eastAsia" w:ascii="宋体" w:hAnsi="宋体" w:eastAsia="宋体" w:cs="宋体"/>
                    </w:rPr>
                    <w:t>空调水系统：</w:t>
                  </w:r>
                </w:p>
                <w:p>
                  <w:pPr>
                    <w:numPr>
                      <w:ilvl w:val="255"/>
                      <w:numId w:val="0"/>
                    </w:numPr>
                    <w:spacing w:after="100" w:afterAutospacing="1"/>
                    <w:rPr>
                      <w:rFonts w:ascii="宋体" w:hAnsi="宋体" w:eastAsia="宋体" w:cs="宋体"/>
                    </w:rPr>
                  </w:pPr>
                  <w:r>
                    <w:rPr>
                      <w:rFonts w:hint="eastAsia" w:ascii="宋体" w:hAnsi="宋体" w:eastAsia="宋体" w:cs="宋体"/>
                    </w:rPr>
                    <w:t>1、水系统安装：包括冷冻水、冷凝水管、加湿器软化水、加湿器排水等安装，以及系统的试压与清洗；</w:t>
                  </w:r>
                </w:p>
                <w:p>
                  <w:pPr>
                    <w:numPr>
                      <w:ilvl w:val="255"/>
                      <w:numId w:val="0"/>
                    </w:numPr>
                    <w:spacing w:after="100" w:afterAutospacing="1"/>
                    <w:rPr>
                      <w:rFonts w:ascii="宋体" w:hAnsi="宋体" w:eastAsia="宋体" w:cs="宋体"/>
                    </w:rPr>
                  </w:pPr>
                  <w:r>
                    <w:rPr>
                      <w:rFonts w:hint="eastAsia" w:ascii="宋体" w:hAnsi="宋体" w:eastAsia="宋体" w:cs="宋体"/>
                    </w:rPr>
                    <w:t xml:space="preserve">2、防腐与绝热：包括管道及支吊架防腐、冷冻水和热水管保温、室外水管保温等； </w:t>
                  </w:r>
                </w:p>
                <w:p>
                  <w:pPr>
                    <w:numPr>
                      <w:ilvl w:val="255"/>
                      <w:numId w:val="0"/>
                    </w:numPr>
                    <w:spacing w:after="100" w:afterAutospacing="1"/>
                    <w:rPr>
                      <w:rFonts w:ascii="宋体" w:hAnsi="宋体" w:eastAsia="宋体" w:cs="宋体"/>
                    </w:rPr>
                  </w:pPr>
                  <w:r>
                    <w:rPr>
                      <w:rFonts w:hint="eastAsia" w:ascii="宋体" w:hAnsi="宋体" w:eastAsia="宋体" w:cs="宋体"/>
                    </w:rPr>
                    <w:t>3、空调冷凝水采用保温型塑料管UPVC管材；</w:t>
                  </w:r>
                </w:p>
                <w:p>
                  <w:pPr>
                    <w:numPr>
                      <w:ilvl w:val="255"/>
                      <w:numId w:val="0"/>
                    </w:numPr>
                    <w:spacing w:after="100" w:afterAutospacing="1"/>
                    <w:rPr>
                      <w:rFonts w:ascii="宋体" w:hAnsi="宋体" w:eastAsia="宋体" w:cs="宋体"/>
                    </w:rPr>
                  </w:pPr>
                  <w:r>
                    <w:rPr>
                      <w:rFonts w:hint="eastAsia" w:ascii="宋体" w:hAnsi="宋体" w:eastAsia="宋体" w:cs="宋体"/>
                    </w:rPr>
                    <w:t>4、加湿器排水采用镀锌钢管；加湿器自来水管采用PPR管材；</w:t>
                  </w:r>
                </w:p>
                <w:p>
                  <w:pPr>
                    <w:numPr>
                      <w:ilvl w:val="255"/>
                      <w:numId w:val="0"/>
                    </w:numPr>
                    <w:spacing w:after="100" w:afterAutospacing="1"/>
                    <w:rPr>
                      <w:rFonts w:ascii="宋体" w:hAnsi="宋体" w:eastAsia="宋体" w:cs="宋体"/>
                    </w:rPr>
                  </w:pPr>
                  <w:r>
                    <w:rPr>
                      <w:rFonts w:hint="eastAsia" w:ascii="宋体" w:hAnsi="宋体" w:eastAsia="宋体" w:cs="宋体"/>
                    </w:rPr>
                    <w:t>5、空调冷热水管阀门：管径DN≥100选用碳钢法兰涡轮蝶阀，管径DN≤80选用碳钢对夹式蝶阀，管径DN≤50采用铜质螺纹闸阀；</w:t>
                  </w:r>
                </w:p>
                <w:p>
                  <w:pPr>
                    <w:numPr>
                      <w:ilvl w:val="255"/>
                      <w:numId w:val="0"/>
                    </w:numPr>
                    <w:spacing w:after="100" w:afterAutospacing="1"/>
                    <w:rPr>
                      <w:rFonts w:ascii="宋体" w:hAnsi="宋体" w:eastAsia="宋体" w:cs="宋体"/>
                    </w:rPr>
                  </w:pPr>
                  <w:r>
                    <w:rPr>
                      <w:rFonts w:hint="eastAsia" w:ascii="宋体" w:hAnsi="宋体" w:eastAsia="宋体" w:cs="宋体"/>
                    </w:rPr>
                    <w:t>6、所有供本工程使用的管道和配件均应符合国家相关标准；</w:t>
                  </w:r>
                </w:p>
                <w:p>
                  <w:pPr>
                    <w:numPr>
                      <w:ilvl w:val="255"/>
                      <w:numId w:val="0"/>
                    </w:numPr>
                    <w:spacing w:after="100" w:afterAutospacing="1"/>
                    <w:rPr>
                      <w:rFonts w:ascii="宋体" w:hAnsi="宋体" w:eastAsia="宋体" w:cs="宋体"/>
                    </w:rPr>
                  </w:pPr>
                  <w:r>
                    <w:rPr>
                      <w:rFonts w:hint="eastAsia" w:ascii="宋体" w:hAnsi="宋体" w:eastAsia="宋体" w:cs="宋体"/>
                    </w:rPr>
                    <w:t>7、支吊架满足防锈要求；</w:t>
                  </w:r>
                </w:p>
                <w:p>
                  <w:pPr>
                    <w:numPr>
                      <w:ilvl w:val="255"/>
                      <w:numId w:val="0"/>
                    </w:numPr>
                    <w:spacing w:after="100" w:afterAutospacing="1"/>
                    <w:rPr>
                      <w:rFonts w:ascii="宋体" w:hAnsi="宋体" w:eastAsia="宋体" w:cs="宋体"/>
                    </w:rPr>
                  </w:pPr>
                  <w:r>
                    <w:rPr>
                      <w:rFonts w:hint="eastAsia" w:ascii="宋体" w:hAnsi="宋体" w:eastAsia="宋体" w:cs="宋体"/>
                    </w:rPr>
                    <w:t>8、保温材料应具备质轻、难燃、耐热、性能稳定、吸湿性小、无异味、不腐蚀金属并易于成型、有一定的机械强度、耐用、方便施工等特点；保温材料采用30mm厚难燃B1级橡塑保温材料，保温材料导热系数不大于0.034W/m•K。提供水泵材料质量合格证书或生产厂家盖章的技术文件。</w:t>
                  </w:r>
                </w:p>
              </w:tc>
              <w:tc>
                <w:tcPr>
                  <w:tcW w:w="602" w:type="pct"/>
                  <w:tcBorders>
                    <w:top w:val="nil"/>
                    <w:left w:val="nil"/>
                    <w:bottom w:val="single" w:color="auto" w:sz="4" w:space="0"/>
                    <w:right w:val="single" w:color="auto" w:sz="4" w:space="0"/>
                  </w:tcBorders>
                  <w:vAlign w:val="center"/>
                </w:tcPr>
                <w:p>
                  <w:pPr>
                    <w:numPr>
                      <w:ilvl w:val="255"/>
                      <w:numId w:val="0"/>
                    </w:numPr>
                    <w:spacing w:after="100" w:afterAutospacing="1"/>
                    <w:jc w:val="center"/>
                    <w:rPr>
                      <w:rFonts w:ascii="宋体" w:hAnsi="宋体" w:eastAsia="宋体" w:cs="宋体"/>
                    </w:rPr>
                  </w:pPr>
                  <w:r>
                    <w:rPr>
                      <w:rFonts w:hint="eastAsia" w:ascii="宋体" w:hAnsi="宋体" w:eastAsia="宋体" w:cs="宋体"/>
                    </w:rPr>
                    <w:t>是</w:t>
                  </w:r>
                </w:p>
              </w:tc>
              <w:tc>
                <w:tcPr>
                  <w:tcW w:w="602" w:type="pct"/>
                  <w:tcBorders>
                    <w:top w:val="nil"/>
                    <w:left w:val="nil"/>
                    <w:bottom w:val="single" w:color="auto" w:sz="4" w:space="0"/>
                    <w:right w:val="single" w:color="auto" w:sz="4" w:space="0"/>
                  </w:tcBorders>
                  <w:vAlign w:val="center"/>
                </w:tcPr>
                <w:p>
                  <w:pPr>
                    <w:numPr>
                      <w:ilvl w:val="255"/>
                      <w:numId w:val="0"/>
                    </w:numPr>
                    <w:spacing w:after="100" w:afterAutospacing="1"/>
                    <w:jc w:val="center"/>
                    <w:rPr>
                      <w:rFonts w:ascii="宋体" w:hAnsi="宋体" w:eastAsia="宋体" w:cs="宋体"/>
                    </w:rPr>
                  </w:pPr>
                  <w:r>
                    <w:rPr>
                      <w:rFonts w:hint="eastAsia" w:ascii="宋体" w:hAnsi="宋体" w:eastAsia="宋体" w:cs="宋体"/>
                    </w:rPr>
                    <w:t>#</w:t>
                  </w:r>
                </w:p>
              </w:tc>
            </w:tr>
            <w:tr>
              <w:tblPrEx>
                <w:tblCellMar>
                  <w:top w:w="0" w:type="dxa"/>
                  <w:left w:w="108" w:type="dxa"/>
                  <w:bottom w:w="0" w:type="dxa"/>
                  <w:right w:w="108" w:type="dxa"/>
                </w:tblCellMar>
              </w:tblPrEx>
              <w:trPr>
                <w:trHeight w:val="4450" w:hRule="atLeast"/>
              </w:trPr>
              <w:tc>
                <w:tcPr>
                  <w:tcW w:w="402" w:type="pct"/>
                  <w:vMerge w:val="continue"/>
                  <w:tcBorders>
                    <w:left w:val="single" w:color="auto" w:sz="4" w:space="0"/>
                    <w:bottom w:val="single" w:color="auto" w:sz="4" w:space="0"/>
                    <w:right w:val="single" w:color="auto" w:sz="4" w:space="0"/>
                  </w:tcBorders>
                  <w:vAlign w:val="center"/>
                </w:tcPr>
                <w:p>
                  <w:pPr>
                    <w:numPr>
                      <w:ilvl w:val="255"/>
                      <w:numId w:val="0"/>
                    </w:numPr>
                    <w:spacing w:after="100" w:afterAutospacing="1"/>
                    <w:jc w:val="left"/>
                    <w:rPr>
                      <w:rFonts w:ascii="宋体" w:hAnsi="宋体" w:eastAsia="宋体" w:cs="宋体"/>
                    </w:rPr>
                  </w:pPr>
                </w:p>
              </w:tc>
              <w:tc>
                <w:tcPr>
                  <w:tcW w:w="465" w:type="pct"/>
                  <w:vMerge w:val="continue"/>
                  <w:tcBorders>
                    <w:left w:val="single" w:color="auto" w:sz="4" w:space="0"/>
                    <w:bottom w:val="single" w:color="auto" w:sz="4" w:space="0"/>
                    <w:right w:val="single" w:color="auto" w:sz="4" w:space="0"/>
                  </w:tcBorders>
                  <w:vAlign w:val="center"/>
                </w:tcPr>
                <w:p>
                  <w:pPr>
                    <w:numPr>
                      <w:ilvl w:val="255"/>
                      <w:numId w:val="0"/>
                    </w:numPr>
                    <w:spacing w:after="100" w:afterAutospacing="1"/>
                    <w:jc w:val="left"/>
                    <w:rPr>
                      <w:rFonts w:ascii="宋体" w:hAnsi="宋体" w:eastAsia="宋体" w:cs="宋体"/>
                    </w:rPr>
                  </w:pPr>
                </w:p>
              </w:tc>
              <w:tc>
                <w:tcPr>
                  <w:tcW w:w="2926" w:type="pct"/>
                  <w:tcBorders>
                    <w:top w:val="nil"/>
                    <w:left w:val="nil"/>
                    <w:bottom w:val="single" w:color="auto" w:sz="4" w:space="0"/>
                    <w:right w:val="single" w:color="auto" w:sz="4" w:space="0"/>
                  </w:tcBorders>
                  <w:vAlign w:val="center"/>
                </w:tcPr>
                <w:p>
                  <w:pPr>
                    <w:numPr>
                      <w:ilvl w:val="255"/>
                      <w:numId w:val="0"/>
                    </w:numPr>
                    <w:spacing w:after="100" w:afterAutospacing="1"/>
                    <w:rPr>
                      <w:rFonts w:ascii="宋体" w:hAnsi="宋体" w:eastAsia="宋体" w:cs="宋体"/>
                    </w:rPr>
                  </w:pPr>
                  <w:r>
                    <w:rPr>
                      <w:rFonts w:hint="eastAsia" w:ascii="宋体" w:hAnsi="宋体" w:eastAsia="宋体" w:cs="宋体"/>
                    </w:rPr>
                    <w:t>垫料收集台：</w:t>
                  </w:r>
                </w:p>
                <w:p>
                  <w:pPr>
                    <w:numPr>
                      <w:ilvl w:val="255"/>
                      <w:numId w:val="0"/>
                    </w:numPr>
                    <w:spacing w:after="100" w:afterAutospacing="1"/>
                    <w:rPr>
                      <w:rFonts w:ascii="宋体" w:hAnsi="宋体" w:eastAsia="宋体" w:cs="宋体"/>
                    </w:rPr>
                  </w:pPr>
                  <w:r>
                    <w:rPr>
                      <w:rFonts w:hint="eastAsia" w:ascii="宋体" w:hAnsi="宋体" w:eastAsia="宋体" w:cs="宋体"/>
                    </w:rPr>
                    <w:t>有初效、中效、高效三重过滤，HEPA(99.995%的高效过滤器)。</w:t>
                  </w:r>
                </w:p>
                <w:p>
                  <w:pPr>
                    <w:numPr>
                      <w:ilvl w:val="255"/>
                      <w:numId w:val="0"/>
                    </w:numPr>
                    <w:spacing w:after="100" w:afterAutospacing="1"/>
                    <w:rPr>
                      <w:rFonts w:ascii="宋体" w:hAnsi="宋体" w:eastAsia="宋体" w:cs="宋体"/>
                    </w:rPr>
                  </w:pPr>
                  <w:r>
                    <w:rPr>
                      <w:rFonts w:hint="eastAsia" w:ascii="宋体" w:hAnsi="宋体" w:eastAsia="宋体" w:cs="宋体"/>
                    </w:rPr>
                    <w:t>SUS304不锈钢倾倒台面，静电喷涂外罩。</w:t>
                  </w:r>
                </w:p>
                <w:p>
                  <w:pPr>
                    <w:numPr>
                      <w:ilvl w:val="255"/>
                      <w:numId w:val="0"/>
                    </w:numPr>
                    <w:spacing w:after="100" w:afterAutospacing="1"/>
                    <w:rPr>
                      <w:rFonts w:ascii="宋体" w:hAnsi="宋体" w:eastAsia="宋体" w:cs="宋体"/>
                    </w:rPr>
                  </w:pPr>
                  <w:r>
                    <w:rPr>
                      <w:rFonts w:hint="eastAsia" w:ascii="宋体" w:hAnsi="宋体" w:eastAsia="宋体" w:cs="宋体"/>
                    </w:rPr>
                    <w:t>喇叭状大角度倾斜，倾倒口处带有撞杆，笼盒磕碰撞杆，便于去除淤积垫料。</w:t>
                  </w:r>
                </w:p>
                <w:p>
                  <w:pPr>
                    <w:numPr>
                      <w:ilvl w:val="255"/>
                      <w:numId w:val="0"/>
                    </w:numPr>
                    <w:spacing w:after="100" w:afterAutospacing="1"/>
                    <w:rPr>
                      <w:rFonts w:ascii="宋体" w:hAnsi="宋体" w:eastAsia="宋体" w:cs="宋体"/>
                    </w:rPr>
                  </w:pPr>
                  <w:r>
                    <w:rPr>
                      <w:rFonts w:hint="eastAsia" w:ascii="宋体" w:hAnsi="宋体" w:eastAsia="宋体" w:cs="宋体"/>
                    </w:rPr>
                    <w:t>设备两侧带有大玻璃视窗，顶部带有照明灯，增加透光性。</w:t>
                  </w:r>
                </w:p>
                <w:p>
                  <w:pPr>
                    <w:numPr>
                      <w:ilvl w:val="255"/>
                      <w:numId w:val="0"/>
                    </w:numPr>
                    <w:spacing w:after="100" w:afterAutospacing="1"/>
                    <w:rPr>
                      <w:rFonts w:ascii="宋体" w:hAnsi="宋体" w:eastAsia="宋体" w:cs="宋体"/>
                    </w:rPr>
                  </w:pPr>
                  <w:r>
                    <w:rPr>
                      <w:rFonts w:hint="eastAsia" w:ascii="宋体" w:hAnsi="宋体" w:eastAsia="宋体" w:cs="宋体"/>
                    </w:rPr>
                    <w:t>两侧安装扶手，底部带有脚轮。底部带有可移动大容量污物桶。</w:t>
                  </w:r>
                </w:p>
              </w:tc>
              <w:tc>
                <w:tcPr>
                  <w:tcW w:w="602" w:type="pct"/>
                  <w:tcBorders>
                    <w:top w:val="nil"/>
                    <w:left w:val="nil"/>
                    <w:bottom w:val="single" w:color="auto" w:sz="4" w:space="0"/>
                    <w:right w:val="single" w:color="auto" w:sz="4" w:space="0"/>
                  </w:tcBorders>
                  <w:vAlign w:val="center"/>
                </w:tcPr>
                <w:p>
                  <w:pPr>
                    <w:numPr>
                      <w:ilvl w:val="255"/>
                      <w:numId w:val="0"/>
                    </w:numPr>
                    <w:spacing w:after="100" w:afterAutospacing="1"/>
                    <w:jc w:val="center"/>
                    <w:rPr>
                      <w:rFonts w:ascii="宋体" w:hAnsi="宋体" w:eastAsia="宋体" w:cs="宋体"/>
                    </w:rPr>
                  </w:pPr>
                  <w:r>
                    <w:rPr>
                      <w:rFonts w:hint="eastAsia" w:ascii="宋体" w:hAnsi="宋体" w:eastAsia="宋体" w:cs="宋体"/>
                    </w:rPr>
                    <w:t>是</w:t>
                  </w:r>
                </w:p>
              </w:tc>
              <w:tc>
                <w:tcPr>
                  <w:tcW w:w="602" w:type="pct"/>
                  <w:tcBorders>
                    <w:top w:val="nil"/>
                    <w:left w:val="nil"/>
                    <w:bottom w:val="single" w:color="auto" w:sz="4" w:space="0"/>
                    <w:right w:val="single" w:color="auto" w:sz="4" w:space="0"/>
                  </w:tcBorders>
                  <w:vAlign w:val="center"/>
                </w:tcPr>
                <w:p>
                  <w:pPr>
                    <w:numPr>
                      <w:ilvl w:val="255"/>
                      <w:numId w:val="0"/>
                    </w:numPr>
                    <w:spacing w:after="100" w:afterAutospacing="1"/>
                    <w:jc w:val="center"/>
                    <w:rPr>
                      <w:rFonts w:ascii="宋体" w:hAnsi="宋体" w:eastAsia="宋体" w:cs="宋体"/>
                    </w:rPr>
                  </w:pPr>
                  <w:r>
                    <w:rPr>
                      <w:rFonts w:hint="eastAsia" w:ascii="宋体" w:hAnsi="宋体" w:eastAsia="宋体" w:cs="宋体"/>
                    </w:rPr>
                    <w:t>#</w:t>
                  </w:r>
                </w:p>
              </w:tc>
            </w:tr>
            <w:tr>
              <w:tblPrEx>
                <w:tblCellMar>
                  <w:top w:w="0" w:type="dxa"/>
                  <w:left w:w="108" w:type="dxa"/>
                  <w:bottom w:w="0" w:type="dxa"/>
                  <w:right w:w="108" w:type="dxa"/>
                </w:tblCellMar>
              </w:tblPrEx>
              <w:trPr>
                <w:trHeight w:val="3932" w:hRule="atLeast"/>
              </w:trPr>
              <w:tc>
                <w:tcPr>
                  <w:tcW w:w="402" w:type="pct"/>
                  <w:tcBorders>
                    <w:top w:val="nil"/>
                    <w:left w:val="single" w:color="auto" w:sz="4" w:space="0"/>
                    <w:right w:val="single" w:color="auto" w:sz="4" w:space="0"/>
                  </w:tcBorders>
                  <w:vAlign w:val="center"/>
                </w:tcPr>
                <w:p>
                  <w:pPr>
                    <w:numPr>
                      <w:ilvl w:val="255"/>
                      <w:numId w:val="0"/>
                    </w:numPr>
                    <w:spacing w:after="100" w:afterAutospacing="1"/>
                    <w:jc w:val="left"/>
                    <w:rPr>
                      <w:rFonts w:hint="eastAsia" w:ascii="宋体" w:hAnsi="宋体" w:eastAsia="宋体" w:cs="宋体"/>
                      <w:lang w:val="en-US" w:eastAsia="zh-CN"/>
                    </w:rPr>
                  </w:pPr>
                  <w:r>
                    <w:rPr>
                      <w:rFonts w:hint="eastAsia" w:ascii="宋体" w:hAnsi="宋体" w:eastAsia="宋体" w:cs="宋体"/>
                      <w:lang w:val="en-US" w:eastAsia="zh-CN"/>
                    </w:rPr>
                    <w:t>二</w:t>
                  </w:r>
                </w:p>
              </w:tc>
              <w:tc>
                <w:tcPr>
                  <w:tcW w:w="465" w:type="pct"/>
                  <w:tcBorders>
                    <w:top w:val="nil"/>
                    <w:left w:val="single" w:color="auto" w:sz="4" w:space="0"/>
                    <w:bottom w:val="single" w:color="000000" w:sz="4" w:space="0"/>
                    <w:right w:val="single" w:color="auto" w:sz="4" w:space="0"/>
                  </w:tcBorders>
                  <w:vAlign w:val="center"/>
                </w:tcPr>
                <w:p>
                  <w:pPr>
                    <w:numPr>
                      <w:ilvl w:val="255"/>
                      <w:numId w:val="0"/>
                    </w:numPr>
                    <w:spacing w:after="100" w:afterAutospacing="1"/>
                    <w:jc w:val="left"/>
                    <w:rPr>
                      <w:rFonts w:ascii="宋体" w:hAnsi="宋体" w:eastAsia="宋体" w:cs="宋体"/>
                    </w:rPr>
                  </w:pPr>
                  <w:r>
                    <w:rPr>
                      <w:rFonts w:hint="eastAsia" w:ascii="宋体" w:hAnsi="宋体" w:eastAsia="宋体" w:cs="宋体"/>
                    </w:rPr>
                    <w:t>弱电工程</w:t>
                  </w:r>
                </w:p>
                <w:p>
                  <w:pPr>
                    <w:numPr>
                      <w:ilvl w:val="255"/>
                      <w:numId w:val="0"/>
                    </w:numPr>
                    <w:spacing w:after="100" w:afterAutospacing="1"/>
                    <w:jc w:val="left"/>
                    <w:rPr>
                      <w:rFonts w:ascii="宋体" w:hAnsi="宋体" w:eastAsia="宋体" w:cs="宋体"/>
                    </w:rPr>
                  </w:pPr>
                </w:p>
              </w:tc>
              <w:tc>
                <w:tcPr>
                  <w:tcW w:w="2926" w:type="pct"/>
                  <w:tcBorders>
                    <w:top w:val="nil"/>
                    <w:left w:val="nil"/>
                    <w:bottom w:val="single" w:color="auto" w:sz="4" w:space="0"/>
                    <w:right w:val="single" w:color="auto" w:sz="4" w:space="0"/>
                  </w:tcBorders>
                  <w:vAlign w:val="center"/>
                </w:tcPr>
                <w:p>
                  <w:pPr>
                    <w:numPr>
                      <w:ilvl w:val="255"/>
                      <w:numId w:val="0"/>
                    </w:numPr>
                    <w:spacing w:after="100" w:afterAutospacing="1"/>
                    <w:rPr>
                      <w:rFonts w:ascii="宋体" w:hAnsi="宋体" w:eastAsia="宋体" w:cs="宋体"/>
                    </w:rPr>
                  </w:pPr>
                  <w:r>
                    <w:rPr>
                      <w:rFonts w:hint="eastAsia" w:ascii="宋体" w:hAnsi="宋体" w:eastAsia="宋体" w:cs="宋体"/>
                    </w:rPr>
                    <w:t>门禁控制系统：</w:t>
                  </w:r>
                </w:p>
                <w:p>
                  <w:pPr>
                    <w:numPr>
                      <w:ilvl w:val="0"/>
                      <w:numId w:val="2"/>
                    </w:numPr>
                    <w:spacing w:after="100" w:afterAutospacing="1"/>
                    <w:rPr>
                      <w:rFonts w:ascii="宋体" w:hAnsi="宋体" w:eastAsia="宋体" w:cs="宋体"/>
                    </w:rPr>
                  </w:pPr>
                  <w:r>
                    <w:rPr>
                      <w:rFonts w:hint="eastAsia" w:ascii="宋体" w:hAnsi="宋体" w:eastAsia="宋体" w:cs="宋体"/>
                    </w:rPr>
                    <w:t>门禁管理子系统集中在监控室，通过非接触式感应卡的方式对出入口进行设防，对人员的身份、进出及停留时间作记录，对电动门锁进行控制，既能防止外盗，又能防止内部作案，要能实时反映、记录各点工作状态。</w:t>
                  </w:r>
                </w:p>
                <w:p>
                  <w:pPr>
                    <w:numPr>
                      <w:ilvl w:val="0"/>
                      <w:numId w:val="2"/>
                    </w:numPr>
                    <w:spacing w:after="100" w:afterAutospacing="1"/>
                    <w:rPr>
                      <w:rFonts w:ascii="宋体" w:hAnsi="宋体" w:eastAsia="宋体" w:cs="宋体"/>
                    </w:rPr>
                  </w:pPr>
                  <w:r>
                    <w:rPr>
                      <w:rFonts w:hint="eastAsia" w:ascii="宋体" w:hAnsi="宋体" w:eastAsia="宋体" w:cs="宋体"/>
                    </w:rPr>
                    <w:t>门禁控制器可通过门禁管理软件进行管理与控制，同时与中心集成管理平台软件以协议的方式进行通讯。提供门禁控制器材料质量合格证书或生产厂家盖章的技术文件。</w:t>
                  </w:r>
                </w:p>
              </w:tc>
              <w:tc>
                <w:tcPr>
                  <w:tcW w:w="602" w:type="pct"/>
                  <w:tcBorders>
                    <w:top w:val="nil"/>
                    <w:left w:val="nil"/>
                    <w:bottom w:val="single" w:color="auto" w:sz="4" w:space="0"/>
                    <w:right w:val="single" w:color="auto" w:sz="4" w:space="0"/>
                  </w:tcBorders>
                  <w:vAlign w:val="center"/>
                </w:tcPr>
                <w:p>
                  <w:pPr>
                    <w:numPr>
                      <w:ilvl w:val="255"/>
                      <w:numId w:val="0"/>
                    </w:numPr>
                    <w:spacing w:after="100" w:afterAutospacing="1"/>
                    <w:jc w:val="center"/>
                    <w:rPr>
                      <w:rFonts w:ascii="宋体" w:hAnsi="宋体" w:eastAsia="宋体" w:cs="宋体"/>
                    </w:rPr>
                  </w:pPr>
                  <w:r>
                    <w:rPr>
                      <w:rFonts w:hint="eastAsia" w:ascii="宋体" w:hAnsi="宋体" w:eastAsia="宋体" w:cs="宋体"/>
                    </w:rPr>
                    <w:t>是</w:t>
                  </w:r>
                </w:p>
              </w:tc>
              <w:tc>
                <w:tcPr>
                  <w:tcW w:w="602" w:type="pct"/>
                  <w:tcBorders>
                    <w:top w:val="nil"/>
                    <w:left w:val="nil"/>
                    <w:bottom w:val="single" w:color="auto" w:sz="4" w:space="0"/>
                    <w:right w:val="single" w:color="auto" w:sz="4" w:space="0"/>
                  </w:tcBorders>
                  <w:vAlign w:val="center"/>
                </w:tcPr>
                <w:p>
                  <w:pPr>
                    <w:numPr>
                      <w:ilvl w:val="255"/>
                      <w:numId w:val="0"/>
                    </w:numPr>
                    <w:spacing w:after="100" w:afterAutospacing="1"/>
                    <w:jc w:val="center"/>
                    <w:rPr>
                      <w:rFonts w:ascii="宋体" w:hAnsi="宋体" w:eastAsia="宋体" w:cs="宋体"/>
                    </w:rPr>
                  </w:pPr>
                  <w:r>
                    <w:rPr>
                      <w:rFonts w:hint="eastAsia" w:ascii="宋体" w:hAnsi="宋体" w:eastAsia="宋体" w:cs="宋体"/>
                    </w:rPr>
                    <w:t>#</w:t>
                  </w:r>
                </w:p>
              </w:tc>
            </w:tr>
            <w:tr>
              <w:tblPrEx>
                <w:tblCellMar>
                  <w:top w:w="0" w:type="dxa"/>
                  <w:left w:w="108" w:type="dxa"/>
                  <w:bottom w:w="0" w:type="dxa"/>
                  <w:right w:w="108" w:type="dxa"/>
                </w:tblCellMar>
              </w:tblPrEx>
              <w:trPr>
                <w:trHeight w:val="4522" w:hRule="atLeast"/>
              </w:trPr>
              <w:tc>
                <w:tcPr>
                  <w:tcW w:w="402" w:type="pct"/>
                  <w:tcBorders>
                    <w:top w:val="single" w:color="auto" w:sz="4" w:space="0"/>
                    <w:left w:val="single" w:color="auto" w:sz="4" w:space="0"/>
                    <w:bottom w:val="single" w:color="auto" w:sz="4" w:space="0"/>
                    <w:right w:val="single" w:color="auto" w:sz="4" w:space="0"/>
                  </w:tcBorders>
                  <w:vAlign w:val="center"/>
                </w:tcPr>
                <w:p>
                  <w:pPr>
                    <w:numPr>
                      <w:ilvl w:val="255"/>
                      <w:numId w:val="0"/>
                    </w:numPr>
                    <w:spacing w:after="100" w:afterAutospacing="1"/>
                    <w:jc w:val="left"/>
                    <w:rPr>
                      <w:rFonts w:hint="eastAsia" w:ascii="宋体" w:hAnsi="宋体" w:eastAsia="宋体" w:cs="宋体"/>
                      <w:lang w:eastAsia="zh-CN"/>
                    </w:rPr>
                  </w:pPr>
                  <w:r>
                    <w:rPr>
                      <w:rFonts w:hint="eastAsia" w:ascii="宋体" w:hAnsi="宋体" w:eastAsia="宋体" w:cs="宋体"/>
                      <w:lang w:val="en-US" w:eastAsia="zh-CN"/>
                    </w:rPr>
                    <w:t>三</w:t>
                  </w:r>
                </w:p>
              </w:tc>
              <w:tc>
                <w:tcPr>
                  <w:tcW w:w="465" w:type="pct"/>
                  <w:tcBorders>
                    <w:top w:val="single" w:color="auto" w:sz="4" w:space="0"/>
                    <w:left w:val="single" w:color="auto" w:sz="4" w:space="0"/>
                    <w:bottom w:val="single" w:color="auto" w:sz="4" w:space="0"/>
                    <w:right w:val="single" w:color="auto" w:sz="4" w:space="0"/>
                  </w:tcBorders>
                  <w:vAlign w:val="center"/>
                </w:tcPr>
                <w:p>
                  <w:pPr>
                    <w:numPr>
                      <w:ilvl w:val="255"/>
                      <w:numId w:val="0"/>
                    </w:numPr>
                    <w:spacing w:after="100" w:afterAutospacing="1"/>
                    <w:jc w:val="left"/>
                    <w:rPr>
                      <w:rFonts w:ascii="宋体" w:hAnsi="宋体" w:eastAsia="宋体" w:cs="宋体"/>
                    </w:rPr>
                  </w:pPr>
                  <w:r>
                    <w:rPr>
                      <w:rFonts w:hint="eastAsia" w:ascii="宋体" w:hAnsi="宋体" w:eastAsia="宋体" w:cs="宋体"/>
                    </w:rPr>
                    <w:t>自控工程</w:t>
                  </w:r>
                </w:p>
              </w:tc>
              <w:tc>
                <w:tcPr>
                  <w:tcW w:w="2926" w:type="pct"/>
                  <w:tcBorders>
                    <w:top w:val="single" w:color="auto" w:sz="4" w:space="0"/>
                    <w:left w:val="single" w:color="auto" w:sz="4" w:space="0"/>
                    <w:bottom w:val="single" w:color="auto" w:sz="4" w:space="0"/>
                    <w:right w:val="single" w:color="auto" w:sz="4" w:space="0"/>
                  </w:tcBorders>
                  <w:vAlign w:val="center"/>
                </w:tcPr>
                <w:p>
                  <w:pPr>
                    <w:numPr>
                      <w:ilvl w:val="255"/>
                      <w:numId w:val="0"/>
                    </w:numPr>
                    <w:spacing w:after="100" w:afterAutospacing="1"/>
                    <w:rPr>
                      <w:rFonts w:ascii="宋体" w:hAnsi="宋体" w:eastAsia="宋体" w:cs="宋体"/>
                    </w:rPr>
                  </w:pPr>
                  <w:r>
                    <w:rPr>
                      <w:rFonts w:hint="eastAsia" w:ascii="宋体" w:hAnsi="宋体" w:eastAsia="宋体" w:cs="宋体"/>
                    </w:rPr>
                    <w:t xml:space="preserve">空调自动控制系统： </w:t>
                  </w:r>
                </w:p>
                <w:p>
                  <w:pPr>
                    <w:numPr>
                      <w:ilvl w:val="255"/>
                      <w:numId w:val="0"/>
                    </w:numPr>
                    <w:spacing w:after="100" w:afterAutospacing="1"/>
                    <w:rPr>
                      <w:rFonts w:ascii="宋体" w:hAnsi="宋体" w:eastAsia="宋体" w:cs="宋体"/>
                    </w:rPr>
                  </w:pPr>
                  <w:r>
                    <w:rPr>
                      <w:rFonts w:hint="eastAsia" w:ascii="宋体" w:hAnsi="宋体" w:eastAsia="宋体" w:cs="宋体"/>
                    </w:rPr>
                    <w:t>功能：自控系统用于监控管理空调系统，应能提供多种控制模式，包括设备监控、报警管理、故障管理、能源管理、数据采集、存储、报告、汇总、打印和历史数据阅览等。满足动物饲养室控制要求：应能远程监测每个动物实验室的温度、湿度、压差等参数，当监测值超出预警/报警设计值时，预警/报警能自动通过通讯将此信息发给指定邮箱或管理者手机号码。</w:t>
                  </w:r>
                </w:p>
                <w:p>
                  <w:pPr>
                    <w:numPr>
                      <w:ilvl w:val="255"/>
                      <w:numId w:val="0"/>
                    </w:numPr>
                    <w:spacing w:after="100" w:afterAutospacing="1"/>
                    <w:rPr>
                      <w:rFonts w:ascii="宋体" w:hAnsi="宋体" w:eastAsia="宋体" w:cs="宋体"/>
                    </w:rPr>
                  </w:pPr>
                  <w:r>
                    <w:rPr>
                      <w:rFonts w:hint="eastAsia" w:ascii="宋体" w:hAnsi="宋体" w:eastAsia="宋体" w:cs="宋体"/>
                    </w:rPr>
                    <w:t>中央监控室远程启停控制并监视空调机组运行状态、设定参数，并显示温湿度。</w:t>
                  </w:r>
                </w:p>
                <w:p>
                  <w:pPr>
                    <w:numPr>
                      <w:ilvl w:val="255"/>
                      <w:numId w:val="0"/>
                    </w:numPr>
                    <w:spacing w:after="100" w:afterAutospacing="1"/>
                    <w:rPr>
                      <w:rFonts w:ascii="宋体" w:hAnsi="宋体" w:eastAsia="宋体" w:cs="宋体"/>
                    </w:rPr>
                  </w:pPr>
                  <w:r>
                    <w:rPr>
                      <w:rFonts w:hint="eastAsia" w:ascii="宋体" w:hAnsi="宋体" w:eastAsia="宋体" w:cs="宋体"/>
                    </w:rPr>
                    <w:t>温湿度控制：夏季模式：根据排风管上湿度传感器检测湿度与设定值比较，调节表冷段回水管上的电动阀开度进行除湿，使室内湿度达到设定值，并根据温度传感器检测温度与设定值比较，启动再热段控制阀进行温度补偿，使室内温度达到设定值。冬季模式：根据排风管上温度传感器检测温度与设定值比较，调节表冷段回水管上的电动阀开度，控制热水流量，使室内温度达到设定值。根据排风管上湿度传感器检测湿度与设定值比较，启动电极加湿阀，控制电极加湿量，使室内湿度保持在设定值。</w:t>
                  </w:r>
                </w:p>
                <w:p>
                  <w:pPr>
                    <w:numPr>
                      <w:ilvl w:val="255"/>
                      <w:numId w:val="0"/>
                    </w:numPr>
                    <w:spacing w:after="100" w:afterAutospacing="1"/>
                    <w:rPr>
                      <w:rFonts w:ascii="宋体" w:hAnsi="宋体" w:eastAsia="宋体" w:cs="宋体"/>
                    </w:rPr>
                  </w:pPr>
                  <w:r>
                    <w:rPr>
                      <w:rFonts w:hint="eastAsia" w:ascii="宋体" w:hAnsi="宋体" w:eastAsia="宋体" w:cs="宋体"/>
                    </w:rPr>
                    <w:t>风量控制：根据送风管上风速传感器检测风速或风压与设定值比较，调节变频器输出频率，控制送风风速，使送风量达到要求。</w:t>
                  </w:r>
                </w:p>
                <w:p>
                  <w:pPr>
                    <w:numPr>
                      <w:ilvl w:val="255"/>
                      <w:numId w:val="0"/>
                    </w:numPr>
                    <w:spacing w:after="100" w:afterAutospacing="1"/>
                    <w:rPr>
                      <w:rFonts w:ascii="宋体" w:hAnsi="宋体" w:eastAsia="宋体" w:cs="宋体"/>
                    </w:rPr>
                  </w:pPr>
                  <w:r>
                    <w:rPr>
                      <w:rFonts w:hint="eastAsia" w:ascii="宋体" w:hAnsi="宋体" w:eastAsia="宋体" w:cs="宋体"/>
                    </w:rPr>
                    <w:t>监测送风机两端压差，以压差开关信号作为风机故障报警。</w:t>
                  </w:r>
                </w:p>
                <w:p>
                  <w:pPr>
                    <w:numPr>
                      <w:ilvl w:val="255"/>
                      <w:numId w:val="0"/>
                    </w:numPr>
                    <w:spacing w:after="100" w:afterAutospacing="1"/>
                    <w:rPr>
                      <w:rFonts w:ascii="宋体" w:hAnsi="宋体" w:eastAsia="宋体" w:cs="宋体"/>
                    </w:rPr>
                  </w:pPr>
                  <w:r>
                    <w:rPr>
                      <w:rFonts w:hint="eastAsia" w:ascii="宋体" w:hAnsi="宋体" w:eastAsia="宋体" w:cs="宋体"/>
                    </w:rPr>
                    <w:t>监测初效过滤器两端压差，滤网堵塞时报警。</w:t>
                  </w:r>
                </w:p>
                <w:p>
                  <w:pPr>
                    <w:numPr>
                      <w:ilvl w:val="255"/>
                      <w:numId w:val="0"/>
                    </w:numPr>
                    <w:spacing w:after="100" w:afterAutospacing="1"/>
                    <w:rPr>
                      <w:rFonts w:ascii="宋体" w:hAnsi="宋体" w:eastAsia="宋体" w:cs="宋体"/>
                    </w:rPr>
                  </w:pPr>
                  <w:r>
                    <w:rPr>
                      <w:rFonts w:hint="eastAsia" w:ascii="宋体" w:hAnsi="宋体" w:eastAsia="宋体" w:cs="宋体"/>
                    </w:rPr>
                    <w:t>送风机与排风机联锁，先开送风机后开排风机，停机时先停排风机再停送风机。停机时联锁关闭冷热水阀和加湿阀。</w:t>
                  </w:r>
                </w:p>
                <w:p>
                  <w:pPr>
                    <w:numPr>
                      <w:ilvl w:val="255"/>
                      <w:numId w:val="0"/>
                    </w:numPr>
                    <w:spacing w:after="100" w:afterAutospacing="1"/>
                    <w:rPr>
                      <w:rFonts w:ascii="宋体" w:hAnsi="宋体" w:eastAsia="宋体" w:cs="宋体"/>
                    </w:rPr>
                  </w:pPr>
                  <w:r>
                    <w:rPr>
                      <w:rFonts w:hint="eastAsia" w:ascii="宋体" w:hAnsi="宋体" w:eastAsia="宋体" w:cs="宋体"/>
                    </w:rPr>
                    <w:t>具备送排风机运行状态、手自动状态及故障状态的监测，运行时间累计等。</w:t>
                  </w:r>
                </w:p>
                <w:p>
                  <w:pPr>
                    <w:numPr>
                      <w:ilvl w:val="255"/>
                      <w:numId w:val="0"/>
                    </w:numPr>
                    <w:spacing w:after="100" w:afterAutospacing="1"/>
                    <w:rPr>
                      <w:rFonts w:ascii="宋体" w:hAnsi="宋体" w:eastAsia="宋体" w:cs="宋体"/>
                    </w:rPr>
                  </w:pPr>
                  <w:r>
                    <w:rPr>
                      <w:rFonts w:hint="eastAsia" w:ascii="宋体" w:hAnsi="宋体" w:eastAsia="宋体" w:cs="宋体"/>
                    </w:rPr>
                    <w:t>监视动物房的温湿度和压差，可以导出运行参数。</w:t>
                  </w:r>
                </w:p>
                <w:p>
                  <w:pPr>
                    <w:numPr>
                      <w:ilvl w:val="255"/>
                      <w:numId w:val="0"/>
                    </w:numPr>
                    <w:spacing w:after="100" w:afterAutospacing="1"/>
                    <w:rPr>
                      <w:rFonts w:ascii="宋体" w:hAnsi="宋体" w:eastAsia="宋体" w:cs="宋体"/>
                    </w:rPr>
                  </w:pPr>
                  <w:r>
                    <w:rPr>
                      <w:rFonts w:hint="eastAsia" w:ascii="宋体" w:hAnsi="宋体" w:eastAsia="宋体" w:cs="宋体"/>
                    </w:rPr>
                    <w:t>房间压差控制：根据压差传感器信号，调节排风调节阀开度，控制排风量。</w:t>
                  </w:r>
                </w:p>
                <w:p>
                  <w:pPr>
                    <w:numPr>
                      <w:ilvl w:val="255"/>
                      <w:numId w:val="0"/>
                    </w:numPr>
                    <w:spacing w:after="100" w:afterAutospacing="1"/>
                    <w:rPr>
                      <w:rFonts w:ascii="宋体" w:hAnsi="宋体" w:eastAsia="宋体" w:cs="宋体"/>
                    </w:rPr>
                  </w:pPr>
                  <w:r>
                    <w:rPr>
                      <w:rFonts w:hint="eastAsia" w:ascii="宋体" w:hAnsi="宋体" w:eastAsia="宋体" w:cs="宋体"/>
                    </w:rPr>
                    <w:t>具备空调机组的运行状态、故障状态、手自动状态、启停控制、变频频率控制、送风风速控制、过滤器堵塞报警等内容。</w:t>
                  </w:r>
                </w:p>
                <w:p>
                  <w:pPr>
                    <w:numPr>
                      <w:ilvl w:val="255"/>
                      <w:numId w:val="0"/>
                    </w:numPr>
                    <w:spacing w:after="100" w:afterAutospacing="1"/>
                    <w:rPr>
                      <w:rFonts w:ascii="宋体" w:hAnsi="宋体" w:eastAsia="宋体" w:cs="宋体"/>
                    </w:rPr>
                  </w:pPr>
                  <w:r>
                    <w:rPr>
                      <w:rFonts w:hint="eastAsia" w:ascii="宋体" w:hAnsi="宋体" w:eastAsia="宋体" w:cs="宋体"/>
                    </w:rPr>
                    <w:t>具备水泵启停控制、运行状态、故障状态，主备用风机切换等内容。提供空调自动控制系统传感器材料质量合格证书或生产厂家盖章的技术文件。</w:t>
                  </w:r>
                </w:p>
              </w:tc>
              <w:tc>
                <w:tcPr>
                  <w:tcW w:w="602" w:type="pct"/>
                  <w:tcBorders>
                    <w:top w:val="nil"/>
                    <w:left w:val="nil"/>
                    <w:bottom w:val="nil"/>
                    <w:right w:val="single" w:color="auto" w:sz="4" w:space="0"/>
                  </w:tcBorders>
                  <w:vAlign w:val="center"/>
                </w:tcPr>
                <w:p>
                  <w:pPr>
                    <w:numPr>
                      <w:ilvl w:val="255"/>
                      <w:numId w:val="0"/>
                    </w:numPr>
                    <w:spacing w:after="100" w:afterAutospacing="1"/>
                    <w:jc w:val="center"/>
                    <w:rPr>
                      <w:rFonts w:ascii="宋体" w:hAnsi="宋体" w:eastAsia="宋体" w:cs="宋体"/>
                    </w:rPr>
                  </w:pPr>
                  <w:r>
                    <w:rPr>
                      <w:rFonts w:hint="eastAsia" w:ascii="宋体" w:hAnsi="宋体" w:eastAsia="宋体" w:cs="宋体"/>
                    </w:rPr>
                    <w:t>是</w:t>
                  </w:r>
                </w:p>
              </w:tc>
              <w:tc>
                <w:tcPr>
                  <w:tcW w:w="602" w:type="pct"/>
                  <w:tcBorders>
                    <w:top w:val="nil"/>
                    <w:left w:val="nil"/>
                    <w:bottom w:val="nil"/>
                    <w:right w:val="single" w:color="auto" w:sz="4" w:space="0"/>
                  </w:tcBorders>
                  <w:vAlign w:val="center"/>
                </w:tcPr>
                <w:p>
                  <w:pPr>
                    <w:numPr>
                      <w:ilvl w:val="255"/>
                      <w:numId w:val="0"/>
                    </w:numPr>
                    <w:spacing w:after="100" w:afterAutospacing="1"/>
                    <w:jc w:val="center"/>
                    <w:rPr>
                      <w:rFonts w:ascii="宋体" w:hAnsi="宋体" w:eastAsia="宋体" w:cs="宋体"/>
                    </w:rPr>
                  </w:pPr>
                  <w:r>
                    <w:rPr>
                      <w:rFonts w:hint="eastAsia" w:ascii="宋体" w:hAnsi="宋体" w:eastAsia="宋体" w:cs="宋体"/>
                    </w:rPr>
                    <w:t>#</w:t>
                  </w:r>
                </w:p>
              </w:tc>
            </w:tr>
            <w:tr>
              <w:tblPrEx>
                <w:tblCellMar>
                  <w:top w:w="0" w:type="dxa"/>
                  <w:left w:w="108" w:type="dxa"/>
                  <w:bottom w:w="0" w:type="dxa"/>
                  <w:right w:w="108" w:type="dxa"/>
                </w:tblCellMar>
              </w:tblPrEx>
              <w:trPr>
                <w:trHeight w:val="4522" w:hRule="atLeast"/>
              </w:trPr>
              <w:tc>
                <w:tcPr>
                  <w:tcW w:w="402" w:type="pct"/>
                  <w:tcBorders>
                    <w:top w:val="single" w:color="auto" w:sz="4" w:space="0"/>
                    <w:left w:val="single" w:color="auto" w:sz="4" w:space="0"/>
                    <w:bottom w:val="single" w:color="auto" w:sz="4" w:space="0"/>
                    <w:right w:val="single" w:color="auto" w:sz="4" w:space="0"/>
                  </w:tcBorders>
                  <w:vAlign w:val="center"/>
                </w:tcPr>
                <w:p>
                  <w:pPr>
                    <w:numPr>
                      <w:ilvl w:val="255"/>
                      <w:numId w:val="0"/>
                    </w:numPr>
                    <w:spacing w:after="100" w:afterAutospacing="1"/>
                    <w:jc w:val="left"/>
                    <w:rPr>
                      <w:rFonts w:hint="eastAsia" w:ascii="宋体" w:hAnsi="宋体" w:eastAsia="宋体" w:cs="宋体"/>
                      <w:lang w:val="en-US" w:eastAsia="zh-CN"/>
                    </w:rPr>
                  </w:pPr>
                  <w:r>
                    <w:rPr>
                      <w:rFonts w:hint="eastAsia" w:ascii="宋体" w:hAnsi="宋体" w:eastAsia="宋体" w:cs="宋体"/>
                      <w:lang w:val="en-US" w:eastAsia="zh-CN"/>
                    </w:rPr>
                    <w:t>四</w:t>
                  </w:r>
                </w:p>
              </w:tc>
              <w:tc>
                <w:tcPr>
                  <w:tcW w:w="465" w:type="pct"/>
                  <w:tcBorders>
                    <w:top w:val="single" w:color="auto" w:sz="4" w:space="0"/>
                    <w:left w:val="single" w:color="auto" w:sz="4" w:space="0"/>
                    <w:bottom w:val="single" w:color="auto" w:sz="4" w:space="0"/>
                    <w:right w:val="single" w:color="auto" w:sz="4" w:space="0"/>
                  </w:tcBorders>
                  <w:vAlign w:val="center"/>
                </w:tcPr>
                <w:p>
                  <w:pPr>
                    <w:numPr>
                      <w:ilvl w:val="255"/>
                      <w:numId w:val="0"/>
                    </w:numPr>
                    <w:spacing w:after="100" w:afterAutospacing="1"/>
                    <w:jc w:val="left"/>
                    <w:rPr>
                      <w:rFonts w:hint="eastAsia" w:ascii="宋体" w:hAnsi="宋体" w:eastAsia="宋体" w:cs="宋体"/>
                    </w:rPr>
                  </w:pPr>
                  <w:r>
                    <w:rPr>
                      <w:rFonts w:hint="eastAsia" w:ascii="宋体" w:hAnsi="宋体" w:eastAsia="宋体" w:cs="宋体"/>
                    </w:rPr>
                    <w:t>通风工程</w:t>
                  </w:r>
                </w:p>
              </w:tc>
              <w:tc>
                <w:tcPr>
                  <w:tcW w:w="2926" w:type="pct"/>
                  <w:tcBorders>
                    <w:top w:val="single" w:color="auto" w:sz="4" w:space="0"/>
                    <w:left w:val="single" w:color="auto" w:sz="4" w:space="0"/>
                    <w:bottom w:val="single" w:color="auto" w:sz="4" w:space="0"/>
                    <w:right w:val="single" w:color="auto" w:sz="4" w:space="0"/>
                  </w:tcBorders>
                  <w:vAlign w:val="center"/>
                </w:tcPr>
                <w:p>
                  <w:pPr>
                    <w:numPr>
                      <w:ilvl w:val="255"/>
                      <w:numId w:val="0"/>
                    </w:numPr>
                    <w:spacing w:after="100" w:afterAutospacing="1"/>
                    <w:rPr>
                      <w:rFonts w:hint="eastAsia" w:ascii="宋体" w:hAnsi="宋体" w:eastAsia="宋体" w:cs="宋体"/>
                    </w:rPr>
                  </w:pPr>
                  <w:bookmarkStart w:id="11" w:name="_GoBack"/>
                  <w:r>
                    <w:rPr>
                      <w:rFonts w:hint="eastAsia" w:ascii="宋体" w:hAnsi="宋体" w:eastAsia="宋体" w:cs="宋体"/>
                    </w:rPr>
                    <w:t>组</w:t>
                  </w:r>
                  <w:bookmarkEnd w:id="11"/>
                  <w:r>
                    <w:rPr>
                      <w:rFonts w:hint="eastAsia" w:ascii="宋体" w:hAnsi="宋体" w:eastAsia="宋体" w:cs="宋体"/>
                    </w:rPr>
                    <w:t xml:space="preserve">合式恒温恒湿空气净化机组技术参数： </w:t>
                  </w:r>
                </w:p>
                <w:p>
                  <w:pPr>
                    <w:numPr>
                      <w:ilvl w:val="255"/>
                      <w:numId w:val="0"/>
                    </w:numPr>
                    <w:spacing w:after="100" w:afterAutospacing="1"/>
                    <w:rPr>
                      <w:rFonts w:hint="eastAsia" w:ascii="宋体" w:hAnsi="宋体" w:eastAsia="宋体" w:cs="宋体"/>
                    </w:rPr>
                  </w:pPr>
                  <w:r>
                    <w:rPr>
                      <w:rFonts w:hint="eastAsia" w:ascii="宋体" w:hAnsi="宋体" w:eastAsia="宋体" w:cs="宋体"/>
                    </w:rPr>
                    <w:t>风量：18000m³/h，机外余压：1000Pa，制冷量：270kW，制热量：150kW ，配G4初效、F8中效两级过滤 ，加湿量132kg/h，电再热45kW，电预热36kW；</w:t>
                  </w:r>
                </w:p>
                <w:p>
                  <w:pPr>
                    <w:numPr>
                      <w:ilvl w:val="255"/>
                      <w:numId w:val="0"/>
                    </w:numPr>
                    <w:spacing w:after="100" w:afterAutospacing="1"/>
                    <w:rPr>
                      <w:rFonts w:hint="eastAsia" w:ascii="宋体" w:hAnsi="宋体" w:eastAsia="宋体" w:cs="宋体"/>
                    </w:rPr>
                  </w:pPr>
                  <w:r>
                    <w:rPr>
                      <w:rFonts w:hint="eastAsia" w:ascii="宋体" w:hAnsi="宋体" w:eastAsia="宋体" w:cs="宋体"/>
                    </w:rPr>
                    <w:t>2、功能段：新风滤网段，初效段G4，表冷（热）盘管段、加热段、中间段、送风机段（风机、电机一主一备）、均流段、中效段F8、加湿段、出风段；</w:t>
                  </w:r>
                </w:p>
                <w:p>
                  <w:pPr>
                    <w:numPr>
                      <w:ilvl w:val="255"/>
                      <w:numId w:val="0"/>
                    </w:numPr>
                    <w:spacing w:after="100" w:afterAutospacing="1"/>
                    <w:rPr>
                      <w:rFonts w:hint="eastAsia" w:ascii="宋体" w:hAnsi="宋体" w:eastAsia="宋体" w:cs="宋体"/>
                    </w:rPr>
                  </w:pPr>
                  <w:r>
                    <w:rPr>
                      <w:rFonts w:hint="eastAsia" w:ascii="宋体" w:hAnsi="宋体" w:eastAsia="宋体" w:cs="宋体"/>
                    </w:rPr>
                    <w:t>组合式排风设备技术参数：</w:t>
                  </w:r>
                </w:p>
                <w:p>
                  <w:pPr>
                    <w:numPr>
                      <w:ilvl w:val="255"/>
                      <w:numId w:val="0"/>
                    </w:numPr>
                    <w:spacing w:after="100" w:afterAutospacing="1"/>
                    <w:rPr>
                      <w:rFonts w:hint="eastAsia" w:ascii="宋体" w:hAnsi="宋体" w:eastAsia="宋体" w:cs="宋体"/>
                    </w:rPr>
                  </w:pPr>
                  <w:r>
                    <w:rPr>
                      <w:rFonts w:hint="eastAsia" w:ascii="宋体" w:hAnsi="宋体" w:eastAsia="宋体" w:cs="宋体"/>
                    </w:rPr>
                    <w:t>1、组合式净化排风柜，风量：18000m³/h、余压：1000Pa；含F8中效袋过滤器，（风机、电机一主一备）</w:t>
                  </w:r>
                </w:p>
                <w:p>
                  <w:pPr>
                    <w:numPr>
                      <w:ilvl w:val="255"/>
                      <w:numId w:val="0"/>
                    </w:numPr>
                    <w:spacing w:after="100" w:afterAutospacing="1"/>
                    <w:rPr>
                      <w:rFonts w:hint="eastAsia" w:ascii="Times New Roman" w:hAnsi="Times New Roman" w:eastAsia="华文仿宋" w:cs="Times New Roman"/>
                    </w:rPr>
                  </w:pPr>
                  <w:r>
                    <w:rPr>
                      <w:rFonts w:hint="eastAsia" w:ascii="宋体" w:hAnsi="宋体" w:eastAsia="宋体" w:cs="宋体"/>
                    </w:rPr>
                    <w:t>2、功能段： F8中效袋段，风机段；</w:t>
                  </w:r>
                </w:p>
              </w:tc>
              <w:tc>
                <w:tcPr>
                  <w:tcW w:w="602" w:type="pct"/>
                  <w:tcBorders>
                    <w:top w:val="nil"/>
                    <w:left w:val="nil"/>
                    <w:bottom w:val="nil"/>
                    <w:right w:val="single" w:color="auto" w:sz="4" w:space="0"/>
                  </w:tcBorders>
                  <w:vAlign w:val="center"/>
                </w:tcPr>
                <w:p>
                  <w:pPr>
                    <w:numPr>
                      <w:ilvl w:val="255"/>
                      <w:numId w:val="0"/>
                    </w:numPr>
                    <w:spacing w:after="100" w:afterAutospacing="1"/>
                    <w:jc w:val="center"/>
                    <w:rPr>
                      <w:rFonts w:hint="eastAsia" w:ascii="宋体" w:hAnsi="宋体" w:eastAsia="宋体" w:cs="宋体"/>
                    </w:rPr>
                  </w:pPr>
                  <w:r>
                    <w:rPr>
                      <w:rFonts w:hint="eastAsia" w:ascii="宋体" w:hAnsi="宋体" w:eastAsia="宋体" w:cs="宋体"/>
                    </w:rPr>
                    <w:t>是</w:t>
                  </w:r>
                </w:p>
              </w:tc>
              <w:tc>
                <w:tcPr>
                  <w:tcW w:w="602" w:type="pct"/>
                  <w:tcBorders>
                    <w:top w:val="nil"/>
                    <w:left w:val="nil"/>
                    <w:bottom w:val="nil"/>
                    <w:right w:val="single" w:color="auto" w:sz="4" w:space="0"/>
                  </w:tcBorders>
                  <w:vAlign w:val="center"/>
                </w:tcPr>
                <w:p>
                  <w:pPr>
                    <w:numPr>
                      <w:ilvl w:val="255"/>
                      <w:numId w:val="0"/>
                    </w:numPr>
                    <w:spacing w:after="100" w:afterAutospacing="1"/>
                    <w:jc w:val="center"/>
                    <w:rPr>
                      <w:rFonts w:hint="eastAsia" w:ascii="宋体" w:hAnsi="宋体" w:eastAsia="宋体" w:cs="宋体"/>
                    </w:rPr>
                  </w:pPr>
                </w:p>
              </w:tc>
            </w:tr>
          </w:tbl>
          <w:p>
            <w:pPr>
              <w:numPr>
                <w:ilvl w:val="255"/>
                <w:numId w:val="0"/>
              </w:numPr>
              <w:spacing w:after="100" w:afterAutospacing="1" w:line="360" w:lineRule="auto"/>
              <w:jc w:val="left"/>
              <w:rPr>
                <w:rFonts w:ascii="宋体" w:hAnsi="宋体" w:eastAsia="宋体" w:cs="宋体"/>
                <w:b/>
                <w:bCs/>
                <w:lang w:val="zh-CN"/>
              </w:rPr>
            </w:pPr>
          </w:p>
          <w:p>
            <w:pPr>
              <w:numPr>
                <w:ilvl w:val="255"/>
                <w:numId w:val="0"/>
              </w:numPr>
              <w:spacing w:after="100" w:afterAutospacing="1" w:line="360" w:lineRule="auto"/>
              <w:jc w:val="left"/>
              <w:rPr>
                <w:rFonts w:ascii="宋体" w:hAnsi="宋体" w:eastAsia="宋体" w:cs="宋体"/>
              </w:rPr>
            </w:pPr>
            <w:r>
              <w:rPr>
                <w:rFonts w:hint="eastAsia" w:ascii="宋体" w:hAnsi="宋体" w:eastAsia="宋体" w:cs="宋体"/>
                <w:b/>
                <w:bCs/>
                <w:lang w:val="zh-CN"/>
              </w:rPr>
              <w:t>说明：</w:t>
            </w:r>
            <w:r>
              <w:rPr>
                <w:rFonts w:hint="eastAsia" w:ascii="宋体" w:hAnsi="宋体" w:eastAsia="宋体" w:cs="宋体"/>
                <w:b/>
                <w:bCs/>
              </w:rPr>
              <w:t>1、</w:t>
            </w:r>
            <w:r>
              <w:rPr>
                <w:rFonts w:hint="eastAsia" w:ascii="宋体" w:hAnsi="宋体" w:eastAsia="宋体" w:cs="宋体"/>
                <w:b/>
                <w:bCs/>
                <w:lang w:val="zh-CN"/>
              </w:rPr>
              <w:t>“证明材料要求”项可填“是”和“否”。填“是”的，供应商须提供包含相关指标项的证明材料，证明材料可以使用生产厂家官方网站截图或产品白皮书或第三方机构检验报告或其他相关证明材料，未提供有效证明材料或证明材料中内容与所填报指标不一致的，该指标按不满足处理。</w:t>
            </w:r>
            <w:r>
              <w:rPr>
                <w:rFonts w:hint="eastAsia" w:ascii="宋体" w:hAnsi="宋体" w:eastAsia="宋体" w:cs="宋体"/>
                <w:b/>
                <w:bCs/>
              </w:rPr>
              <w:t>2、“#”标识表示重要，不满足或者偏离将会在评分项中扣分。</w:t>
            </w:r>
          </w:p>
          <w:p>
            <w:pPr>
              <w:numPr>
                <w:ilvl w:val="255"/>
                <w:numId w:val="0"/>
              </w:numPr>
              <w:spacing w:after="100" w:afterAutospacing="1" w:line="360" w:lineRule="auto"/>
              <w:jc w:val="left"/>
              <w:rPr>
                <w:rFonts w:ascii="宋体" w:hAnsi="宋体" w:eastAsia="宋体" w:cs="宋体"/>
                <w:b/>
                <w:bCs/>
                <w:lang w:val="en"/>
              </w:rPr>
            </w:pPr>
            <w:r>
              <w:rPr>
                <w:rFonts w:hint="eastAsia" w:ascii="宋体" w:hAnsi="宋体" w:eastAsia="宋体" w:cs="宋体"/>
                <w:b/>
                <w:bCs/>
              </w:rPr>
              <w:t>附件二：</w:t>
            </w:r>
            <w:r>
              <w:rPr>
                <w:rFonts w:hint="eastAsia" w:ascii="宋体" w:hAnsi="宋体" w:eastAsia="宋体" w:cs="宋体"/>
                <w:b/>
                <w:bCs/>
                <w:lang w:val="en"/>
              </w:rPr>
              <w:t>主要工程相关材料及参考品牌：</w:t>
            </w:r>
          </w:p>
          <w:tbl>
            <w:tblPr>
              <w:tblStyle w:val="6"/>
              <w:tblW w:w="494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1"/>
              <w:gridCol w:w="3931"/>
              <w:gridCol w:w="41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402" w:type="pct"/>
                  <w:tcBorders>
                    <w:tl2br w:val="nil"/>
                    <w:tr2bl w:val="nil"/>
                  </w:tcBorders>
                  <w:vAlign w:val="center"/>
                </w:tcPr>
                <w:p>
                  <w:pPr>
                    <w:numPr>
                      <w:ilvl w:val="255"/>
                      <w:numId w:val="0"/>
                    </w:numPr>
                    <w:spacing w:after="100" w:afterAutospacing="1" w:line="360" w:lineRule="auto"/>
                    <w:jc w:val="left"/>
                    <w:rPr>
                      <w:rFonts w:ascii="宋体" w:hAnsi="宋体" w:eastAsia="宋体" w:cs="宋体"/>
                    </w:rPr>
                  </w:pPr>
                  <w:r>
                    <w:rPr>
                      <w:rFonts w:hint="eastAsia" w:ascii="宋体" w:hAnsi="宋体" w:eastAsia="宋体" w:cs="宋体"/>
                    </w:rPr>
                    <w:t>序号</w:t>
                  </w:r>
                </w:p>
              </w:tc>
              <w:tc>
                <w:tcPr>
                  <w:tcW w:w="2223" w:type="pct"/>
                  <w:tcBorders>
                    <w:tl2br w:val="nil"/>
                    <w:tr2bl w:val="nil"/>
                  </w:tcBorders>
                  <w:vAlign w:val="center"/>
                </w:tcPr>
                <w:p>
                  <w:pPr>
                    <w:numPr>
                      <w:ilvl w:val="255"/>
                      <w:numId w:val="0"/>
                    </w:numPr>
                    <w:spacing w:after="100" w:afterAutospacing="1" w:line="360" w:lineRule="auto"/>
                    <w:jc w:val="left"/>
                    <w:rPr>
                      <w:rFonts w:ascii="宋体" w:hAnsi="宋体" w:eastAsia="宋体" w:cs="宋体"/>
                    </w:rPr>
                  </w:pPr>
                  <w:r>
                    <w:rPr>
                      <w:rFonts w:hint="eastAsia" w:ascii="宋体" w:hAnsi="宋体" w:eastAsia="宋体" w:cs="宋体"/>
                    </w:rPr>
                    <w:t>主要材料名称</w:t>
                  </w:r>
                </w:p>
              </w:tc>
              <w:tc>
                <w:tcPr>
                  <w:tcW w:w="2374" w:type="pct"/>
                  <w:tcBorders>
                    <w:tl2br w:val="nil"/>
                    <w:tr2bl w:val="nil"/>
                  </w:tcBorders>
                  <w:vAlign w:val="center"/>
                </w:tcPr>
                <w:p>
                  <w:pPr>
                    <w:numPr>
                      <w:ilvl w:val="255"/>
                      <w:numId w:val="0"/>
                    </w:numPr>
                    <w:spacing w:after="100" w:afterAutospacing="1" w:line="360" w:lineRule="auto"/>
                    <w:jc w:val="left"/>
                    <w:rPr>
                      <w:rFonts w:ascii="宋体" w:hAnsi="宋体" w:eastAsia="宋体" w:cs="宋体"/>
                    </w:rPr>
                  </w:pPr>
                  <w:r>
                    <w:rPr>
                      <w:rFonts w:hint="eastAsia" w:ascii="宋体" w:hAnsi="宋体" w:eastAsia="宋体" w:cs="宋体"/>
                    </w:rPr>
                    <w:t>参考品牌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402" w:type="pct"/>
                  <w:tcBorders>
                    <w:tl2br w:val="nil"/>
                    <w:tr2bl w:val="nil"/>
                  </w:tcBorders>
                </w:tcPr>
                <w:p>
                  <w:pPr>
                    <w:numPr>
                      <w:ilvl w:val="255"/>
                      <w:numId w:val="0"/>
                    </w:numPr>
                    <w:spacing w:after="100" w:afterAutospacing="1" w:line="360" w:lineRule="auto"/>
                    <w:jc w:val="left"/>
                    <w:rPr>
                      <w:rFonts w:ascii="宋体" w:hAnsi="宋体" w:eastAsia="宋体" w:cs="宋体"/>
                    </w:rPr>
                  </w:pPr>
                  <w:r>
                    <w:rPr>
                      <w:rFonts w:hint="eastAsia" w:ascii="宋体" w:hAnsi="宋体" w:eastAsia="宋体" w:cs="宋体"/>
                    </w:rPr>
                    <w:t>1</w:t>
                  </w:r>
                </w:p>
              </w:tc>
              <w:tc>
                <w:tcPr>
                  <w:tcW w:w="2223" w:type="pct"/>
                  <w:tcBorders>
                    <w:tl2br w:val="nil"/>
                    <w:tr2bl w:val="nil"/>
                  </w:tcBorders>
                </w:tcPr>
                <w:p>
                  <w:pPr>
                    <w:numPr>
                      <w:ilvl w:val="255"/>
                      <w:numId w:val="0"/>
                    </w:numPr>
                    <w:spacing w:after="100" w:afterAutospacing="1" w:line="360" w:lineRule="auto"/>
                    <w:jc w:val="left"/>
                    <w:rPr>
                      <w:rFonts w:ascii="宋体" w:hAnsi="宋体" w:eastAsia="宋体" w:cs="宋体"/>
                    </w:rPr>
                  </w:pPr>
                  <w:r>
                    <w:rPr>
                      <w:rFonts w:hint="eastAsia" w:ascii="宋体" w:hAnsi="宋体" w:eastAsia="宋体" w:cs="宋体"/>
                    </w:rPr>
                    <w:t>吊顶、隔断材料</w:t>
                  </w:r>
                </w:p>
              </w:tc>
              <w:tc>
                <w:tcPr>
                  <w:tcW w:w="2374" w:type="pct"/>
                  <w:tcBorders>
                    <w:tl2br w:val="nil"/>
                    <w:tr2bl w:val="nil"/>
                  </w:tcBorders>
                </w:tcPr>
                <w:p>
                  <w:pPr>
                    <w:numPr>
                      <w:ilvl w:val="255"/>
                      <w:numId w:val="0"/>
                    </w:numPr>
                    <w:spacing w:after="100" w:afterAutospacing="1" w:line="360" w:lineRule="auto"/>
                    <w:jc w:val="left"/>
                    <w:rPr>
                      <w:rFonts w:ascii="宋体" w:hAnsi="宋体" w:eastAsia="宋体" w:cs="宋体"/>
                    </w:rPr>
                  </w:pPr>
                  <w:r>
                    <w:rPr>
                      <w:rFonts w:hint="eastAsia" w:ascii="宋体" w:hAnsi="宋体" w:eastAsia="宋体" w:cs="宋体"/>
                    </w:rPr>
                    <w:t>扬子江、武钢、宝钢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402" w:type="pct"/>
                  <w:tcBorders>
                    <w:tl2br w:val="nil"/>
                    <w:tr2bl w:val="nil"/>
                  </w:tcBorders>
                </w:tcPr>
                <w:p>
                  <w:pPr>
                    <w:numPr>
                      <w:ilvl w:val="255"/>
                      <w:numId w:val="0"/>
                    </w:numPr>
                    <w:spacing w:after="100" w:afterAutospacing="1" w:line="360" w:lineRule="auto"/>
                    <w:jc w:val="left"/>
                    <w:rPr>
                      <w:rFonts w:ascii="宋体" w:hAnsi="宋体" w:eastAsia="宋体" w:cs="宋体"/>
                    </w:rPr>
                  </w:pPr>
                  <w:r>
                    <w:rPr>
                      <w:rFonts w:hint="eastAsia" w:ascii="宋体" w:hAnsi="宋体" w:eastAsia="宋体" w:cs="宋体"/>
                    </w:rPr>
                    <w:t>2</w:t>
                  </w:r>
                </w:p>
              </w:tc>
              <w:tc>
                <w:tcPr>
                  <w:tcW w:w="2223" w:type="pct"/>
                  <w:tcBorders>
                    <w:tl2br w:val="nil"/>
                    <w:tr2bl w:val="nil"/>
                  </w:tcBorders>
                </w:tcPr>
                <w:p>
                  <w:pPr>
                    <w:numPr>
                      <w:ilvl w:val="255"/>
                      <w:numId w:val="0"/>
                    </w:numPr>
                    <w:spacing w:after="100" w:afterAutospacing="1" w:line="360" w:lineRule="auto"/>
                    <w:jc w:val="left"/>
                    <w:rPr>
                      <w:rFonts w:ascii="宋体" w:hAnsi="宋体" w:eastAsia="宋体" w:cs="宋体"/>
                    </w:rPr>
                  </w:pPr>
                  <w:r>
                    <w:rPr>
                      <w:rFonts w:hint="eastAsia" w:ascii="宋体" w:hAnsi="宋体" w:eastAsia="宋体" w:cs="宋体"/>
                    </w:rPr>
                    <w:t>PVC地板</w:t>
                  </w:r>
                </w:p>
              </w:tc>
              <w:tc>
                <w:tcPr>
                  <w:tcW w:w="2374" w:type="pct"/>
                  <w:tcBorders>
                    <w:tl2br w:val="nil"/>
                    <w:tr2bl w:val="nil"/>
                  </w:tcBorders>
                </w:tcPr>
                <w:p>
                  <w:pPr>
                    <w:numPr>
                      <w:ilvl w:val="255"/>
                      <w:numId w:val="0"/>
                    </w:numPr>
                    <w:spacing w:after="100" w:afterAutospacing="1" w:line="360" w:lineRule="auto"/>
                    <w:jc w:val="left"/>
                    <w:rPr>
                      <w:rFonts w:ascii="宋体" w:hAnsi="宋体" w:eastAsia="宋体" w:cs="宋体"/>
                    </w:rPr>
                  </w:pPr>
                  <w:r>
                    <w:rPr>
                      <w:rFonts w:hint="eastAsia" w:ascii="宋体" w:hAnsi="宋体" w:eastAsia="宋体" w:cs="宋体"/>
                    </w:rPr>
                    <w:t>LG、阿姆斯壮、洁福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402" w:type="pct"/>
                  <w:tcBorders>
                    <w:tl2br w:val="nil"/>
                    <w:tr2bl w:val="nil"/>
                  </w:tcBorders>
                </w:tcPr>
                <w:p>
                  <w:pPr>
                    <w:numPr>
                      <w:ilvl w:val="255"/>
                      <w:numId w:val="0"/>
                    </w:numPr>
                    <w:spacing w:after="100" w:afterAutospacing="1" w:line="360" w:lineRule="auto"/>
                    <w:jc w:val="left"/>
                    <w:rPr>
                      <w:rFonts w:ascii="宋体" w:hAnsi="宋体" w:eastAsia="宋体" w:cs="宋体"/>
                    </w:rPr>
                  </w:pPr>
                  <w:r>
                    <w:rPr>
                      <w:rFonts w:hint="eastAsia" w:ascii="宋体" w:hAnsi="宋体" w:eastAsia="宋体" w:cs="宋体"/>
                    </w:rPr>
                    <w:t>3</w:t>
                  </w:r>
                </w:p>
              </w:tc>
              <w:tc>
                <w:tcPr>
                  <w:tcW w:w="2223" w:type="pct"/>
                  <w:tcBorders>
                    <w:tl2br w:val="nil"/>
                    <w:tr2bl w:val="nil"/>
                  </w:tcBorders>
                </w:tcPr>
                <w:p>
                  <w:pPr>
                    <w:numPr>
                      <w:ilvl w:val="255"/>
                      <w:numId w:val="0"/>
                    </w:numPr>
                    <w:spacing w:after="100" w:afterAutospacing="1" w:line="360" w:lineRule="auto"/>
                    <w:jc w:val="left"/>
                    <w:rPr>
                      <w:rFonts w:ascii="宋体" w:hAnsi="宋体" w:eastAsia="宋体" w:cs="宋体"/>
                    </w:rPr>
                  </w:pPr>
                  <w:r>
                    <w:rPr>
                      <w:rFonts w:hint="eastAsia" w:ascii="宋体" w:hAnsi="宋体" w:eastAsia="宋体" w:cs="宋体"/>
                    </w:rPr>
                    <w:t>铝合金型材</w:t>
                  </w:r>
                </w:p>
              </w:tc>
              <w:tc>
                <w:tcPr>
                  <w:tcW w:w="2374" w:type="pct"/>
                  <w:tcBorders>
                    <w:tl2br w:val="nil"/>
                    <w:tr2bl w:val="nil"/>
                  </w:tcBorders>
                </w:tcPr>
                <w:p>
                  <w:pPr>
                    <w:numPr>
                      <w:ilvl w:val="255"/>
                      <w:numId w:val="0"/>
                    </w:numPr>
                    <w:spacing w:after="100" w:afterAutospacing="1" w:line="360" w:lineRule="auto"/>
                    <w:jc w:val="left"/>
                    <w:rPr>
                      <w:rFonts w:ascii="宋体" w:hAnsi="宋体" w:eastAsia="宋体" w:cs="宋体"/>
                    </w:rPr>
                  </w:pPr>
                  <w:r>
                    <w:rPr>
                      <w:rFonts w:hint="eastAsia" w:ascii="宋体" w:hAnsi="宋体" w:eastAsia="宋体" w:cs="宋体"/>
                    </w:rPr>
                    <w:t>龙新、圳佳、江阴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402" w:type="pct"/>
                  <w:tcBorders>
                    <w:tl2br w:val="nil"/>
                    <w:tr2bl w:val="nil"/>
                  </w:tcBorders>
                </w:tcPr>
                <w:p>
                  <w:pPr>
                    <w:numPr>
                      <w:ilvl w:val="255"/>
                      <w:numId w:val="0"/>
                    </w:numPr>
                    <w:spacing w:after="100" w:afterAutospacing="1" w:line="360" w:lineRule="auto"/>
                    <w:jc w:val="left"/>
                    <w:rPr>
                      <w:rFonts w:ascii="宋体" w:hAnsi="宋体" w:eastAsia="宋体" w:cs="宋体"/>
                    </w:rPr>
                  </w:pPr>
                  <w:r>
                    <w:rPr>
                      <w:rFonts w:hint="eastAsia" w:ascii="宋体" w:hAnsi="宋体" w:eastAsia="宋体" w:cs="宋体"/>
                    </w:rPr>
                    <w:t>4</w:t>
                  </w:r>
                </w:p>
              </w:tc>
              <w:tc>
                <w:tcPr>
                  <w:tcW w:w="2223" w:type="pct"/>
                  <w:tcBorders>
                    <w:tl2br w:val="nil"/>
                    <w:tr2bl w:val="nil"/>
                  </w:tcBorders>
                </w:tcPr>
                <w:p>
                  <w:pPr>
                    <w:numPr>
                      <w:ilvl w:val="255"/>
                      <w:numId w:val="0"/>
                    </w:numPr>
                    <w:spacing w:after="100" w:afterAutospacing="1" w:line="360" w:lineRule="auto"/>
                    <w:jc w:val="left"/>
                    <w:rPr>
                      <w:rFonts w:ascii="宋体" w:hAnsi="宋体" w:eastAsia="宋体" w:cs="宋体"/>
                    </w:rPr>
                  </w:pPr>
                  <w:r>
                    <w:rPr>
                      <w:rFonts w:hint="eastAsia" w:ascii="宋体" w:hAnsi="宋体" w:eastAsia="宋体" w:cs="宋体"/>
                    </w:rPr>
                    <w:t>镀锌钢板</w:t>
                  </w:r>
                </w:p>
              </w:tc>
              <w:tc>
                <w:tcPr>
                  <w:tcW w:w="2374" w:type="pct"/>
                  <w:tcBorders>
                    <w:tl2br w:val="nil"/>
                    <w:tr2bl w:val="nil"/>
                  </w:tcBorders>
                </w:tcPr>
                <w:p>
                  <w:pPr>
                    <w:numPr>
                      <w:ilvl w:val="255"/>
                      <w:numId w:val="0"/>
                    </w:numPr>
                    <w:spacing w:after="100" w:afterAutospacing="1" w:line="360" w:lineRule="auto"/>
                    <w:jc w:val="left"/>
                    <w:rPr>
                      <w:rFonts w:ascii="宋体" w:hAnsi="宋体" w:eastAsia="宋体" w:cs="宋体"/>
                    </w:rPr>
                  </w:pPr>
                  <w:r>
                    <w:rPr>
                      <w:rFonts w:hint="eastAsia" w:ascii="宋体" w:hAnsi="宋体" w:eastAsia="宋体" w:cs="宋体"/>
                    </w:rPr>
                    <w:t>扬子江、武钢、宝钢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402" w:type="pct"/>
                  <w:tcBorders>
                    <w:tl2br w:val="nil"/>
                    <w:tr2bl w:val="nil"/>
                  </w:tcBorders>
                </w:tcPr>
                <w:p>
                  <w:pPr>
                    <w:numPr>
                      <w:ilvl w:val="255"/>
                      <w:numId w:val="0"/>
                    </w:numPr>
                    <w:spacing w:after="100" w:afterAutospacing="1" w:line="360" w:lineRule="auto"/>
                    <w:jc w:val="left"/>
                    <w:rPr>
                      <w:rFonts w:ascii="宋体" w:hAnsi="宋体" w:eastAsia="宋体" w:cs="宋体"/>
                    </w:rPr>
                  </w:pPr>
                  <w:r>
                    <w:rPr>
                      <w:rFonts w:hint="eastAsia" w:ascii="宋体" w:hAnsi="宋体" w:eastAsia="宋体" w:cs="宋体"/>
                    </w:rPr>
                    <w:t>5</w:t>
                  </w:r>
                </w:p>
              </w:tc>
              <w:tc>
                <w:tcPr>
                  <w:tcW w:w="2223" w:type="pct"/>
                  <w:tcBorders>
                    <w:tl2br w:val="nil"/>
                    <w:tr2bl w:val="nil"/>
                  </w:tcBorders>
                </w:tcPr>
                <w:p>
                  <w:pPr>
                    <w:numPr>
                      <w:ilvl w:val="255"/>
                      <w:numId w:val="0"/>
                    </w:numPr>
                    <w:spacing w:after="100" w:afterAutospacing="1" w:line="360" w:lineRule="auto"/>
                    <w:jc w:val="left"/>
                    <w:rPr>
                      <w:rFonts w:ascii="宋体" w:hAnsi="宋体" w:eastAsia="宋体" w:cs="宋体"/>
                    </w:rPr>
                  </w:pPr>
                  <w:r>
                    <w:rPr>
                      <w:rFonts w:hint="eastAsia" w:ascii="宋体" w:hAnsi="宋体" w:eastAsia="宋体" w:cs="宋体"/>
                    </w:rPr>
                    <w:t>高效送风口及过滤器</w:t>
                  </w:r>
                </w:p>
              </w:tc>
              <w:tc>
                <w:tcPr>
                  <w:tcW w:w="2374" w:type="pct"/>
                  <w:tcBorders>
                    <w:tl2br w:val="nil"/>
                    <w:tr2bl w:val="nil"/>
                  </w:tcBorders>
                </w:tcPr>
                <w:p>
                  <w:pPr>
                    <w:numPr>
                      <w:ilvl w:val="255"/>
                      <w:numId w:val="0"/>
                    </w:numPr>
                    <w:spacing w:after="100" w:afterAutospacing="1" w:line="360" w:lineRule="auto"/>
                    <w:jc w:val="left"/>
                    <w:rPr>
                      <w:rFonts w:ascii="宋体" w:hAnsi="宋体" w:eastAsia="宋体" w:cs="宋体"/>
                    </w:rPr>
                  </w:pPr>
                  <w:r>
                    <w:rPr>
                      <w:rFonts w:hint="eastAsia" w:ascii="宋体" w:hAnsi="宋体" w:eastAsia="宋体" w:cs="宋体"/>
                    </w:rPr>
                    <w:t>苏和、洁诺、桑盛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402" w:type="pct"/>
                  <w:tcBorders>
                    <w:tl2br w:val="nil"/>
                    <w:tr2bl w:val="nil"/>
                  </w:tcBorders>
                </w:tcPr>
                <w:p>
                  <w:pPr>
                    <w:numPr>
                      <w:ilvl w:val="255"/>
                      <w:numId w:val="0"/>
                    </w:numPr>
                    <w:spacing w:after="100" w:afterAutospacing="1" w:line="360" w:lineRule="auto"/>
                    <w:jc w:val="left"/>
                    <w:rPr>
                      <w:rFonts w:ascii="宋体" w:hAnsi="宋体" w:eastAsia="宋体" w:cs="宋体"/>
                    </w:rPr>
                  </w:pPr>
                  <w:r>
                    <w:rPr>
                      <w:rFonts w:hint="eastAsia" w:ascii="宋体" w:hAnsi="宋体" w:eastAsia="宋体" w:cs="宋体"/>
                    </w:rPr>
                    <w:t>6</w:t>
                  </w:r>
                </w:p>
              </w:tc>
              <w:tc>
                <w:tcPr>
                  <w:tcW w:w="2223" w:type="pct"/>
                  <w:tcBorders>
                    <w:tl2br w:val="nil"/>
                    <w:tr2bl w:val="nil"/>
                  </w:tcBorders>
                </w:tcPr>
                <w:p>
                  <w:pPr>
                    <w:numPr>
                      <w:ilvl w:val="255"/>
                      <w:numId w:val="0"/>
                    </w:numPr>
                    <w:spacing w:after="100" w:afterAutospacing="1" w:line="360" w:lineRule="auto"/>
                    <w:jc w:val="left"/>
                    <w:rPr>
                      <w:rFonts w:ascii="宋体" w:hAnsi="宋体" w:eastAsia="宋体" w:cs="宋体"/>
                    </w:rPr>
                  </w:pPr>
                  <w:r>
                    <w:rPr>
                      <w:rFonts w:hint="eastAsia" w:ascii="宋体" w:hAnsi="宋体" w:eastAsia="宋体" w:cs="宋体"/>
                    </w:rPr>
                    <w:t>风量调节阀、止回阀</w:t>
                  </w:r>
                </w:p>
              </w:tc>
              <w:tc>
                <w:tcPr>
                  <w:tcW w:w="2374" w:type="pct"/>
                  <w:tcBorders>
                    <w:tl2br w:val="nil"/>
                    <w:tr2bl w:val="nil"/>
                  </w:tcBorders>
                </w:tcPr>
                <w:p>
                  <w:pPr>
                    <w:numPr>
                      <w:ilvl w:val="255"/>
                      <w:numId w:val="0"/>
                    </w:numPr>
                    <w:spacing w:after="100" w:afterAutospacing="1" w:line="360" w:lineRule="auto"/>
                    <w:jc w:val="left"/>
                    <w:rPr>
                      <w:rFonts w:ascii="宋体" w:hAnsi="宋体" w:eastAsia="宋体" w:cs="宋体"/>
                    </w:rPr>
                  </w:pPr>
                  <w:r>
                    <w:rPr>
                      <w:rFonts w:hint="eastAsia" w:ascii="宋体" w:hAnsi="宋体" w:eastAsia="宋体" w:cs="宋体"/>
                    </w:rPr>
                    <w:t>扬子江、武钢、宝钢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402" w:type="pct"/>
                  <w:tcBorders>
                    <w:tl2br w:val="nil"/>
                    <w:tr2bl w:val="nil"/>
                  </w:tcBorders>
                </w:tcPr>
                <w:p>
                  <w:pPr>
                    <w:numPr>
                      <w:ilvl w:val="255"/>
                      <w:numId w:val="0"/>
                    </w:numPr>
                    <w:spacing w:after="100" w:afterAutospacing="1" w:line="360" w:lineRule="auto"/>
                    <w:jc w:val="left"/>
                    <w:rPr>
                      <w:rFonts w:ascii="宋体" w:hAnsi="宋体" w:eastAsia="宋体" w:cs="宋体"/>
                    </w:rPr>
                  </w:pPr>
                  <w:r>
                    <w:rPr>
                      <w:rFonts w:hint="eastAsia" w:ascii="宋体" w:hAnsi="宋体" w:eastAsia="宋体" w:cs="宋体"/>
                    </w:rPr>
                    <w:t>7</w:t>
                  </w:r>
                </w:p>
              </w:tc>
              <w:tc>
                <w:tcPr>
                  <w:tcW w:w="2223" w:type="pct"/>
                  <w:tcBorders>
                    <w:tl2br w:val="nil"/>
                    <w:tr2bl w:val="nil"/>
                  </w:tcBorders>
                </w:tcPr>
                <w:p>
                  <w:pPr>
                    <w:numPr>
                      <w:ilvl w:val="255"/>
                      <w:numId w:val="0"/>
                    </w:numPr>
                    <w:spacing w:after="100" w:afterAutospacing="1" w:line="360" w:lineRule="auto"/>
                    <w:jc w:val="left"/>
                    <w:rPr>
                      <w:rFonts w:ascii="宋体" w:hAnsi="宋体" w:eastAsia="宋体" w:cs="宋体"/>
                    </w:rPr>
                  </w:pPr>
                  <w:r>
                    <w:rPr>
                      <w:rFonts w:hint="eastAsia" w:ascii="宋体" w:hAnsi="宋体" w:eastAsia="宋体" w:cs="宋体"/>
                    </w:rPr>
                    <w:t>型钢（角钢、丝杆等）</w:t>
                  </w:r>
                </w:p>
              </w:tc>
              <w:tc>
                <w:tcPr>
                  <w:tcW w:w="2374" w:type="pct"/>
                  <w:tcBorders>
                    <w:tl2br w:val="nil"/>
                    <w:tr2bl w:val="nil"/>
                  </w:tcBorders>
                </w:tcPr>
                <w:p>
                  <w:pPr>
                    <w:numPr>
                      <w:ilvl w:val="255"/>
                      <w:numId w:val="0"/>
                    </w:numPr>
                    <w:spacing w:after="100" w:afterAutospacing="1" w:line="360" w:lineRule="auto"/>
                    <w:jc w:val="left"/>
                    <w:rPr>
                      <w:rFonts w:ascii="宋体" w:hAnsi="宋体" w:eastAsia="宋体" w:cs="宋体"/>
                    </w:rPr>
                  </w:pPr>
                  <w:r>
                    <w:rPr>
                      <w:rFonts w:hint="eastAsia" w:ascii="宋体" w:hAnsi="宋体" w:eastAsia="宋体" w:cs="宋体"/>
                    </w:rPr>
                    <w:t>扬子江、武钢、宝钢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402" w:type="pct"/>
                  <w:tcBorders>
                    <w:tl2br w:val="nil"/>
                    <w:tr2bl w:val="nil"/>
                  </w:tcBorders>
                </w:tcPr>
                <w:p>
                  <w:pPr>
                    <w:numPr>
                      <w:ilvl w:val="255"/>
                      <w:numId w:val="0"/>
                    </w:numPr>
                    <w:spacing w:after="100" w:afterAutospacing="1" w:line="360" w:lineRule="auto"/>
                    <w:jc w:val="left"/>
                    <w:rPr>
                      <w:rFonts w:ascii="宋体" w:hAnsi="宋体" w:eastAsia="宋体" w:cs="宋体"/>
                    </w:rPr>
                  </w:pPr>
                  <w:r>
                    <w:rPr>
                      <w:rFonts w:hint="eastAsia" w:ascii="宋体" w:hAnsi="宋体" w:eastAsia="宋体" w:cs="宋体"/>
                    </w:rPr>
                    <w:t>8</w:t>
                  </w:r>
                </w:p>
              </w:tc>
              <w:tc>
                <w:tcPr>
                  <w:tcW w:w="2223" w:type="pct"/>
                  <w:tcBorders>
                    <w:tl2br w:val="nil"/>
                    <w:tr2bl w:val="nil"/>
                  </w:tcBorders>
                </w:tcPr>
                <w:p>
                  <w:pPr>
                    <w:numPr>
                      <w:ilvl w:val="255"/>
                      <w:numId w:val="0"/>
                    </w:numPr>
                    <w:spacing w:after="100" w:afterAutospacing="1" w:line="360" w:lineRule="auto"/>
                    <w:jc w:val="left"/>
                    <w:rPr>
                      <w:rFonts w:ascii="宋体" w:hAnsi="宋体" w:eastAsia="宋体" w:cs="宋体"/>
                    </w:rPr>
                  </w:pPr>
                  <w:r>
                    <w:rPr>
                      <w:rFonts w:hint="eastAsia" w:ascii="宋体" w:hAnsi="宋体" w:eastAsia="宋体" w:cs="宋体"/>
                    </w:rPr>
                    <w:t>钢制门</w:t>
                  </w:r>
                </w:p>
              </w:tc>
              <w:tc>
                <w:tcPr>
                  <w:tcW w:w="2374" w:type="pct"/>
                  <w:tcBorders>
                    <w:tl2br w:val="nil"/>
                    <w:tr2bl w:val="nil"/>
                  </w:tcBorders>
                </w:tcPr>
                <w:p>
                  <w:pPr>
                    <w:numPr>
                      <w:ilvl w:val="255"/>
                      <w:numId w:val="0"/>
                    </w:numPr>
                    <w:spacing w:after="100" w:afterAutospacing="1" w:line="360" w:lineRule="auto"/>
                    <w:jc w:val="left"/>
                    <w:rPr>
                      <w:rFonts w:ascii="宋体" w:hAnsi="宋体" w:eastAsia="宋体" w:cs="宋体"/>
                    </w:rPr>
                  </w:pPr>
                  <w:r>
                    <w:rPr>
                      <w:rFonts w:hint="eastAsia" w:ascii="宋体" w:hAnsi="宋体" w:eastAsia="宋体" w:cs="宋体"/>
                    </w:rPr>
                    <w:t>远大、洁诺、林森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402" w:type="pct"/>
                  <w:tcBorders>
                    <w:tl2br w:val="nil"/>
                    <w:tr2bl w:val="nil"/>
                  </w:tcBorders>
                </w:tcPr>
                <w:p>
                  <w:pPr>
                    <w:numPr>
                      <w:ilvl w:val="255"/>
                      <w:numId w:val="0"/>
                    </w:numPr>
                    <w:spacing w:after="100" w:afterAutospacing="1" w:line="360" w:lineRule="auto"/>
                    <w:jc w:val="left"/>
                    <w:rPr>
                      <w:rFonts w:ascii="宋体" w:hAnsi="宋体" w:eastAsia="宋体" w:cs="宋体"/>
                    </w:rPr>
                  </w:pPr>
                  <w:r>
                    <w:rPr>
                      <w:rFonts w:hint="eastAsia" w:ascii="宋体" w:hAnsi="宋体" w:eastAsia="宋体" w:cs="宋体"/>
                    </w:rPr>
                    <w:t>9</w:t>
                  </w:r>
                </w:p>
              </w:tc>
              <w:tc>
                <w:tcPr>
                  <w:tcW w:w="2223" w:type="pct"/>
                  <w:tcBorders>
                    <w:tl2br w:val="nil"/>
                    <w:tr2bl w:val="nil"/>
                  </w:tcBorders>
                </w:tcPr>
                <w:p>
                  <w:pPr>
                    <w:numPr>
                      <w:ilvl w:val="255"/>
                      <w:numId w:val="0"/>
                    </w:numPr>
                    <w:spacing w:after="100" w:afterAutospacing="1" w:line="360" w:lineRule="auto"/>
                    <w:jc w:val="left"/>
                    <w:rPr>
                      <w:rFonts w:ascii="宋体" w:hAnsi="宋体" w:eastAsia="宋体" w:cs="宋体"/>
                    </w:rPr>
                  </w:pPr>
                  <w:r>
                    <w:rPr>
                      <w:rFonts w:hint="eastAsia" w:ascii="宋体" w:hAnsi="宋体" w:eastAsia="宋体" w:cs="宋体"/>
                    </w:rPr>
                    <w:t>净化荧光灯具</w:t>
                  </w:r>
                </w:p>
              </w:tc>
              <w:tc>
                <w:tcPr>
                  <w:tcW w:w="2374" w:type="pct"/>
                  <w:tcBorders>
                    <w:tl2br w:val="nil"/>
                    <w:tr2bl w:val="nil"/>
                  </w:tcBorders>
                </w:tcPr>
                <w:p>
                  <w:pPr>
                    <w:numPr>
                      <w:ilvl w:val="255"/>
                      <w:numId w:val="0"/>
                    </w:numPr>
                    <w:spacing w:after="100" w:afterAutospacing="1" w:line="360" w:lineRule="auto"/>
                    <w:jc w:val="left"/>
                    <w:rPr>
                      <w:rFonts w:ascii="宋体" w:hAnsi="宋体" w:eastAsia="宋体" w:cs="宋体"/>
                    </w:rPr>
                  </w:pPr>
                  <w:r>
                    <w:rPr>
                      <w:rFonts w:hint="eastAsia" w:ascii="宋体" w:hAnsi="宋体" w:eastAsia="宋体" w:cs="宋体"/>
                    </w:rPr>
                    <w:t>亮聚美、久禾、华丽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402" w:type="pct"/>
                  <w:tcBorders>
                    <w:tl2br w:val="nil"/>
                    <w:tr2bl w:val="nil"/>
                  </w:tcBorders>
                </w:tcPr>
                <w:p>
                  <w:pPr>
                    <w:numPr>
                      <w:ilvl w:val="255"/>
                      <w:numId w:val="0"/>
                    </w:numPr>
                    <w:spacing w:after="100" w:afterAutospacing="1" w:line="360" w:lineRule="auto"/>
                    <w:jc w:val="left"/>
                    <w:rPr>
                      <w:rFonts w:ascii="宋体" w:hAnsi="宋体" w:eastAsia="宋体" w:cs="宋体"/>
                    </w:rPr>
                  </w:pPr>
                  <w:r>
                    <w:rPr>
                      <w:rFonts w:hint="eastAsia" w:ascii="宋体" w:hAnsi="宋体" w:eastAsia="宋体" w:cs="宋体"/>
                    </w:rPr>
                    <w:t>10</w:t>
                  </w:r>
                </w:p>
              </w:tc>
              <w:tc>
                <w:tcPr>
                  <w:tcW w:w="2223" w:type="pct"/>
                  <w:tcBorders>
                    <w:tl2br w:val="nil"/>
                    <w:tr2bl w:val="nil"/>
                  </w:tcBorders>
                </w:tcPr>
                <w:p>
                  <w:pPr>
                    <w:numPr>
                      <w:ilvl w:val="255"/>
                      <w:numId w:val="0"/>
                    </w:numPr>
                    <w:spacing w:after="100" w:afterAutospacing="1" w:line="360" w:lineRule="auto"/>
                    <w:jc w:val="left"/>
                    <w:rPr>
                      <w:rFonts w:ascii="宋体" w:hAnsi="宋体" w:eastAsia="宋体" w:cs="宋体"/>
                    </w:rPr>
                  </w:pPr>
                  <w:r>
                    <w:rPr>
                      <w:rFonts w:hint="eastAsia" w:ascii="宋体" w:hAnsi="宋体" w:eastAsia="宋体" w:cs="宋体"/>
                    </w:rPr>
                    <w:t>净化应急荧光灯具</w:t>
                  </w:r>
                </w:p>
              </w:tc>
              <w:tc>
                <w:tcPr>
                  <w:tcW w:w="2374" w:type="pct"/>
                  <w:tcBorders>
                    <w:tl2br w:val="nil"/>
                    <w:tr2bl w:val="nil"/>
                  </w:tcBorders>
                </w:tcPr>
                <w:p>
                  <w:pPr>
                    <w:numPr>
                      <w:ilvl w:val="255"/>
                      <w:numId w:val="0"/>
                    </w:numPr>
                    <w:spacing w:after="100" w:afterAutospacing="1" w:line="360" w:lineRule="auto"/>
                    <w:jc w:val="left"/>
                    <w:rPr>
                      <w:rFonts w:ascii="宋体" w:hAnsi="宋体" w:eastAsia="宋体" w:cs="宋体"/>
                    </w:rPr>
                  </w:pPr>
                  <w:r>
                    <w:rPr>
                      <w:rFonts w:hint="eastAsia" w:ascii="宋体" w:hAnsi="宋体" w:eastAsia="宋体" w:cs="宋体"/>
                    </w:rPr>
                    <w:t>亮聚美、久禾、华丽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402" w:type="pct"/>
                  <w:tcBorders>
                    <w:tl2br w:val="nil"/>
                    <w:tr2bl w:val="nil"/>
                  </w:tcBorders>
                </w:tcPr>
                <w:p>
                  <w:pPr>
                    <w:numPr>
                      <w:ilvl w:val="255"/>
                      <w:numId w:val="0"/>
                    </w:numPr>
                    <w:spacing w:after="100" w:afterAutospacing="1" w:line="360" w:lineRule="auto"/>
                    <w:jc w:val="left"/>
                    <w:rPr>
                      <w:rFonts w:ascii="宋体" w:hAnsi="宋体" w:eastAsia="宋体" w:cs="宋体"/>
                    </w:rPr>
                  </w:pPr>
                  <w:r>
                    <w:rPr>
                      <w:rFonts w:hint="eastAsia" w:ascii="宋体" w:hAnsi="宋体" w:eastAsia="宋体" w:cs="宋体"/>
                    </w:rPr>
                    <w:t>11</w:t>
                  </w:r>
                </w:p>
              </w:tc>
              <w:tc>
                <w:tcPr>
                  <w:tcW w:w="2223" w:type="pct"/>
                  <w:tcBorders>
                    <w:tl2br w:val="nil"/>
                    <w:tr2bl w:val="nil"/>
                  </w:tcBorders>
                </w:tcPr>
                <w:p>
                  <w:pPr>
                    <w:numPr>
                      <w:ilvl w:val="255"/>
                      <w:numId w:val="0"/>
                    </w:numPr>
                    <w:spacing w:after="100" w:afterAutospacing="1" w:line="360" w:lineRule="auto"/>
                    <w:jc w:val="left"/>
                    <w:rPr>
                      <w:rFonts w:ascii="宋体" w:hAnsi="宋体" w:eastAsia="宋体" w:cs="宋体"/>
                    </w:rPr>
                  </w:pPr>
                  <w:r>
                    <w:rPr>
                      <w:rFonts w:hint="eastAsia" w:ascii="宋体" w:hAnsi="宋体" w:eastAsia="宋体" w:cs="宋体"/>
                    </w:rPr>
                    <w:t>电线电缆</w:t>
                  </w:r>
                </w:p>
              </w:tc>
              <w:tc>
                <w:tcPr>
                  <w:tcW w:w="2374" w:type="pct"/>
                  <w:tcBorders>
                    <w:tl2br w:val="nil"/>
                    <w:tr2bl w:val="nil"/>
                  </w:tcBorders>
                </w:tcPr>
                <w:p>
                  <w:pPr>
                    <w:numPr>
                      <w:ilvl w:val="255"/>
                      <w:numId w:val="0"/>
                    </w:numPr>
                    <w:spacing w:after="100" w:afterAutospacing="1" w:line="360" w:lineRule="auto"/>
                    <w:jc w:val="left"/>
                    <w:rPr>
                      <w:rFonts w:ascii="宋体" w:hAnsi="宋体" w:eastAsia="宋体" w:cs="宋体"/>
                    </w:rPr>
                  </w:pPr>
                  <w:r>
                    <w:rPr>
                      <w:rFonts w:hint="eastAsia" w:ascii="宋体" w:hAnsi="宋体" w:eastAsia="宋体" w:cs="宋体"/>
                    </w:rPr>
                    <w:t>津达、远东、江南电缆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402" w:type="pct"/>
                  <w:tcBorders>
                    <w:tl2br w:val="nil"/>
                    <w:tr2bl w:val="nil"/>
                  </w:tcBorders>
                </w:tcPr>
                <w:p>
                  <w:pPr>
                    <w:numPr>
                      <w:ilvl w:val="255"/>
                      <w:numId w:val="0"/>
                    </w:numPr>
                    <w:spacing w:after="100" w:afterAutospacing="1" w:line="360" w:lineRule="auto"/>
                    <w:jc w:val="left"/>
                    <w:rPr>
                      <w:rFonts w:ascii="宋体" w:hAnsi="宋体" w:eastAsia="宋体" w:cs="宋体"/>
                    </w:rPr>
                  </w:pPr>
                  <w:r>
                    <w:rPr>
                      <w:rFonts w:hint="eastAsia" w:ascii="宋体" w:hAnsi="宋体" w:eastAsia="宋体" w:cs="宋体"/>
                    </w:rPr>
                    <w:t>12</w:t>
                  </w:r>
                </w:p>
              </w:tc>
              <w:tc>
                <w:tcPr>
                  <w:tcW w:w="2223" w:type="pct"/>
                  <w:tcBorders>
                    <w:tl2br w:val="nil"/>
                    <w:tr2bl w:val="nil"/>
                  </w:tcBorders>
                </w:tcPr>
                <w:p>
                  <w:pPr>
                    <w:numPr>
                      <w:ilvl w:val="255"/>
                      <w:numId w:val="0"/>
                    </w:numPr>
                    <w:spacing w:after="100" w:afterAutospacing="1" w:line="360" w:lineRule="auto"/>
                    <w:jc w:val="left"/>
                    <w:rPr>
                      <w:rFonts w:ascii="宋体" w:hAnsi="宋体" w:eastAsia="宋体" w:cs="宋体"/>
                    </w:rPr>
                  </w:pPr>
                  <w:r>
                    <w:rPr>
                      <w:rFonts w:hint="eastAsia" w:ascii="宋体" w:hAnsi="宋体" w:eastAsia="宋体" w:cs="宋体"/>
                    </w:rPr>
                    <w:t>开关插座面板</w:t>
                  </w:r>
                </w:p>
              </w:tc>
              <w:tc>
                <w:tcPr>
                  <w:tcW w:w="2374" w:type="pct"/>
                  <w:tcBorders>
                    <w:tl2br w:val="nil"/>
                    <w:tr2bl w:val="nil"/>
                  </w:tcBorders>
                </w:tcPr>
                <w:p>
                  <w:pPr>
                    <w:numPr>
                      <w:ilvl w:val="255"/>
                      <w:numId w:val="0"/>
                    </w:numPr>
                    <w:spacing w:after="100" w:afterAutospacing="1" w:line="360" w:lineRule="auto"/>
                    <w:jc w:val="left"/>
                    <w:rPr>
                      <w:rFonts w:ascii="宋体" w:hAnsi="宋体" w:eastAsia="宋体" w:cs="宋体"/>
                    </w:rPr>
                  </w:pPr>
                  <w:r>
                    <w:rPr>
                      <w:rFonts w:hint="eastAsia" w:ascii="宋体" w:hAnsi="宋体" w:eastAsia="宋体" w:cs="宋体"/>
                    </w:rPr>
                    <w:t>公牛、TCL、施耐德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402" w:type="pct"/>
                  <w:tcBorders>
                    <w:tl2br w:val="nil"/>
                    <w:tr2bl w:val="nil"/>
                  </w:tcBorders>
                </w:tcPr>
                <w:p>
                  <w:pPr>
                    <w:numPr>
                      <w:ilvl w:val="255"/>
                      <w:numId w:val="0"/>
                    </w:numPr>
                    <w:spacing w:after="100" w:afterAutospacing="1" w:line="360" w:lineRule="auto"/>
                    <w:jc w:val="left"/>
                    <w:rPr>
                      <w:rFonts w:ascii="宋体" w:hAnsi="宋体" w:eastAsia="宋体" w:cs="宋体"/>
                    </w:rPr>
                  </w:pPr>
                  <w:r>
                    <w:rPr>
                      <w:rFonts w:hint="eastAsia" w:ascii="宋体" w:hAnsi="宋体" w:eastAsia="宋体" w:cs="宋体"/>
                    </w:rPr>
                    <w:t>13</w:t>
                  </w:r>
                </w:p>
              </w:tc>
              <w:tc>
                <w:tcPr>
                  <w:tcW w:w="2223" w:type="pct"/>
                  <w:tcBorders>
                    <w:tl2br w:val="nil"/>
                    <w:tr2bl w:val="nil"/>
                  </w:tcBorders>
                </w:tcPr>
                <w:p>
                  <w:pPr>
                    <w:numPr>
                      <w:ilvl w:val="255"/>
                      <w:numId w:val="0"/>
                    </w:numPr>
                    <w:spacing w:after="100" w:afterAutospacing="1" w:line="360" w:lineRule="auto"/>
                    <w:jc w:val="left"/>
                    <w:rPr>
                      <w:rFonts w:ascii="宋体" w:hAnsi="宋体" w:eastAsia="宋体" w:cs="宋体"/>
                    </w:rPr>
                  </w:pPr>
                  <w:r>
                    <w:rPr>
                      <w:rFonts w:hint="eastAsia" w:ascii="宋体" w:hAnsi="宋体" w:eastAsia="宋体" w:cs="宋体"/>
                    </w:rPr>
                    <w:t>动力配电箱</w:t>
                  </w:r>
                </w:p>
              </w:tc>
              <w:tc>
                <w:tcPr>
                  <w:tcW w:w="2374" w:type="pct"/>
                  <w:tcBorders>
                    <w:tl2br w:val="nil"/>
                    <w:tr2bl w:val="nil"/>
                  </w:tcBorders>
                </w:tcPr>
                <w:p>
                  <w:pPr>
                    <w:numPr>
                      <w:ilvl w:val="255"/>
                      <w:numId w:val="0"/>
                    </w:numPr>
                    <w:spacing w:after="100" w:afterAutospacing="1" w:line="360" w:lineRule="auto"/>
                    <w:jc w:val="left"/>
                    <w:rPr>
                      <w:rFonts w:ascii="宋体" w:hAnsi="宋体" w:eastAsia="宋体" w:cs="宋体"/>
                    </w:rPr>
                  </w:pPr>
                  <w:r>
                    <w:rPr>
                      <w:rFonts w:hint="eastAsia" w:ascii="宋体" w:hAnsi="宋体" w:eastAsia="宋体" w:cs="宋体"/>
                    </w:rPr>
                    <w:t>断路器开关：施耐德、ABB、西门子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402" w:type="pct"/>
                  <w:tcBorders>
                    <w:tl2br w:val="nil"/>
                    <w:tr2bl w:val="nil"/>
                  </w:tcBorders>
                </w:tcPr>
                <w:p>
                  <w:pPr>
                    <w:numPr>
                      <w:ilvl w:val="255"/>
                      <w:numId w:val="0"/>
                    </w:numPr>
                    <w:spacing w:after="100" w:afterAutospacing="1" w:line="360" w:lineRule="auto"/>
                    <w:jc w:val="left"/>
                    <w:rPr>
                      <w:rFonts w:ascii="宋体" w:hAnsi="宋体" w:eastAsia="宋体" w:cs="宋体"/>
                    </w:rPr>
                  </w:pPr>
                  <w:r>
                    <w:rPr>
                      <w:rFonts w:hint="eastAsia" w:ascii="宋体" w:hAnsi="宋体" w:eastAsia="宋体" w:cs="宋体"/>
                    </w:rPr>
                    <w:t>14</w:t>
                  </w:r>
                </w:p>
              </w:tc>
              <w:tc>
                <w:tcPr>
                  <w:tcW w:w="2223" w:type="pct"/>
                  <w:tcBorders>
                    <w:tl2br w:val="nil"/>
                    <w:tr2bl w:val="nil"/>
                  </w:tcBorders>
                </w:tcPr>
                <w:p>
                  <w:pPr>
                    <w:numPr>
                      <w:ilvl w:val="255"/>
                      <w:numId w:val="0"/>
                    </w:numPr>
                    <w:spacing w:after="100" w:afterAutospacing="1" w:line="360" w:lineRule="auto"/>
                    <w:jc w:val="left"/>
                    <w:rPr>
                      <w:rFonts w:ascii="宋体" w:hAnsi="宋体" w:eastAsia="宋体" w:cs="宋体"/>
                    </w:rPr>
                  </w:pPr>
                  <w:r>
                    <w:rPr>
                      <w:rFonts w:hint="eastAsia" w:ascii="宋体" w:hAnsi="宋体" w:eastAsia="宋体" w:cs="宋体"/>
                    </w:rPr>
                    <w:t>配电箱</w:t>
                  </w:r>
                </w:p>
              </w:tc>
              <w:tc>
                <w:tcPr>
                  <w:tcW w:w="2374" w:type="pct"/>
                  <w:tcBorders>
                    <w:tl2br w:val="nil"/>
                    <w:tr2bl w:val="nil"/>
                  </w:tcBorders>
                </w:tcPr>
                <w:p>
                  <w:pPr>
                    <w:numPr>
                      <w:ilvl w:val="255"/>
                      <w:numId w:val="0"/>
                    </w:numPr>
                    <w:spacing w:after="100" w:afterAutospacing="1" w:line="360" w:lineRule="auto"/>
                    <w:jc w:val="left"/>
                    <w:rPr>
                      <w:rFonts w:ascii="宋体" w:hAnsi="宋体" w:eastAsia="宋体" w:cs="宋体"/>
                    </w:rPr>
                  </w:pPr>
                  <w:r>
                    <w:rPr>
                      <w:rFonts w:hint="eastAsia" w:ascii="宋体" w:hAnsi="宋体" w:eastAsia="宋体" w:cs="宋体"/>
                    </w:rPr>
                    <w:t>断路器开关：施耐德、ABB、西门子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402" w:type="pct"/>
                  <w:tcBorders>
                    <w:tl2br w:val="nil"/>
                    <w:tr2bl w:val="nil"/>
                  </w:tcBorders>
                </w:tcPr>
                <w:p>
                  <w:pPr>
                    <w:numPr>
                      <w:ilvl w:val="255"/>
                      <w:numId w:val="0"/>
                    </w:numPr>
                    <w:spacing w:after="100" w:afterAutospacing="1" w:line="360" w:lineRule="auto"/>
                    <w:jc w:val="left"/>
                    <w:rPr>
                      <w:rFonts w:ascii="宋体" w:hAnsi="宋体" w:eastAsia="宋体" w:cs="宋体"/>
                    </w:rPr>
                  </w:pPr>
                  <w:r>
                    <w:rPr>
                      <w:rFonts w:hint="eastAsia" w:ascii="宋体" w:hAnsi="宋体" w:eastAsia="宋体" w:cs="宋体"/>
                    </w:rPr>
                    <w:t>15</w:t>
                  </w:r>
                </w:p>
              </w:tc>
              <w:tc>
                <w:tcPr>
                  <w:tcW w:w="2223" w:type="pct"/>
                  <w:tcBorders>
                    <w:tl2br w:val="nil"/>
                    <w:tr2bl w:val="nil"/>
                  </w:tcBorders>
                </w:tcPr>
                <w:p>
                  <w:pPr>
                    <w:numPr>
                      <w:ilvl w:val="255"/>
                      <w:numId w:val="0"/>
                    </w:numPr>
                    <w:spacing w:after="100" w:afterAutospacing="1" w:line="360" w:lineRule="auto"/>
                    <w:jc w:val="left"/>
                    <w:rPr>
                      <w:rFonts w:ascii="宋体" w:hAnsi="宋体" w:eastAsia="宋体" w:cs="宋体"/>
                    </w:rPr>
                  </w:pPr>
                  <w:r>
                    <w:rPr>
                      <w:rFonts w:hint="eastAsia" w:ascii="宋体" w:hAnsi="宋体" w:eastAsia="宋体" w:cs="宋体"/>
                    </w:rPr>
                    <w:t>橡塑保温</w:t>
                  </w:r>
                </w:p>
              </w:tc>
              <w:tc>
                <w:tcPr>
                  <w:tcW w:w="2374" w:type="pct"/>
                  <w:tcBorders>
                    <w:tl2br w:val="nil"/>
                    <w:tr2bl w:val="nil"/>
                  </w:tcBorders>
                </w:tcPr>
                <w:p>
                  <w:pPr>
                    <w:numPr>
                      <w:ilvl w:val="255"/>
                      <w:numId w:val="0"/>
                    </w:numPr>
                    <w:spacing w:after="100" w:afterAutospacing="1" w:line="360" w:lineRule="auto"/>
                    <w:jc w:val="left"/>
                    <w:rPr>
                      <w:rFonts w:ascii="宋体" w:hAnsi="宋体" w:eastAsia="宋体" w:cs="宋体"/>
                    </w:rPr>
                  </w:pPr>
                  <w:r>
                    <w:rPr>
                      <w:rFonts w:hint="eastAsia" w:ascii="宋体" w:hAnsi="宋体" w:eastAsia="宋体" w:cs="宋体"/>
                    </w:rPr>
                    <w:t>华美、弗曼斯、弗耐斯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402" w:type="pct"/>
                  <w:tcBorders>
                    <w:tl2br w:val="nil"/>
                    <w:tr2bl w:val="nil"/>
                  </w:tcBorders>
                </w:tcPr>
                <w:p>
                  <w:pPr>
                    <w:numPr>
                      <w:ilvl w:val="255"/>
                      <w:numId w:val="0"/>
                    </w:numPr>
                    <w:spacing w:after="100" w:afterAutospacing="1" w:line="360" w:lineRule="auto"/>
                    <w:jc w:val="left"/>
                    <w:rPr>
                      <w:rFonts w:ascii="宋体" w:hAnsi="宋体" w:eastAsia="宋体" w:cs="宋体"/>
                    </w:rPr>
                  </w:pPr>
                  <w:r>
                    <w:rPr>
                      <w:rFonts w:hint="eastAsia" w:ascii="宋体" w:hAnsi="宋体" w:eastAsia="宋体" w:cs="宋体"/>
                    </w:rPr>
                    <w:t>16</w:t>
                  </w:r>
                </w:p>
              </w:tc>
              <w:tc>
                <w:tcPr>
                  <w:tcW w:w="2223" w:type="pct"/>
                  <w:tcBorders>
                    <w:tl2br w:val="nil"/>
                    <w:tr2bl w:val="nil"/>
                  </w:tcBorders>
                </w:tcPr>
                <w:p>
                  <w:pPr>
                    <w:numPr>
                      <w:ilvl w:val="255"/>
                      <w:numId w:val="0"/>
                    </w:numPr>
                    <w:spacing w:after="100" w:afterAutospacing="1" w:line="360" w:lineRule="auto"/>
                    <w:jc w:val="left"/>
                    <w:rPr>
                      <w:rFonts w:ascii="宋体" w:hAnsi="宋体" w:eastAsia="宋体" w:cs="宋体"/>
                    </w:rPr>
                  </w:pPr>
                  <w:r>
                    <w:rPr>
                      <w:rFonts w:hint="eastAsia" w:ascii="宋体" w:hAnsi="宋体" w:eastAsia="宋体" w:cs="宋体"/>
                    </w:rPr>
                    <w:t>镀锌钢管</w:t>
                  </w:r>
                </w:p>
              </w:tc>
              <w:tc>
                <w:tcPr>
                  <w:tcW w:w="2374" w:type="pct"/>
                  <w:tcBorders>
                    <w:tl2br w:val="nil"/>
                    <w:tr2bl w:val="nil"/>
                  </w:tcBorders>
                </w:tcPr>
                <w:p>
                  <w:pPr>
                    <w:numPr>
                      <w:ilvl w:val="255"/>
                      <w:numId w:val="0"/>
                    </w:numPr>
                    <w:spacing w:after="100" w:afterAutospacing="1" w:line="360" w:lineRule="auto"/>
                    <w:jc w:val="left"/>
                    <w:rPr>
                      <w:rFonts w:ascii="宋体" w:hAnsi="宋体" w:eastAsia="宋体" w:cs="宋体"/>
                    </w:rPr>
                  </w:pPr>
                  <w:r>
                    <w:rPr>
                      <w:rFonts w:hint="eastAsia" w:ascii="宋体" w:hAnsi="宋体" w:eastAsia="宋体" w:cs="宋体"/>
                    </w:rPr>
                    <w:t>宝钢、武钢、攀钢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402" w:type="pct"/>
                  <w:tcBorders>
                    <w:tl2br w:val="nil"/>
                    <w:tr2bl w:val="nil"/>
                  </w:tcBorders>
                </w:tcPr>
                <w:p>
                  <w:pPr>
                    <w:numPr>
                      <w:ilvl w:val="255"/>
                      <w:numId w:val="0"/>
                    </w:numPr>
                    <w:spacing w:after="100" w:afterAutospacing="1" w:line="360" w:lineRule="auto"/>
                    <w:jc w:val="left"/>
                    <w:rPr>
                      <w:rFonts w:ascii="宋体" w:hAnsi="宋体" w:eastAsia="宋体" w:cs="宋体"/>
                    </w:rPr>
                  </w:pPr>
                  <w:r>
                    <w:rPr>
                      <w:rFonts w:hint="eastAsia" w:ascii="宋体" w:hAnsi="宋体" w:eastAsia="宋体" w:cs="宋体"/>
                    </w:rPr>
                    <w:t>17</w:t>
                  </w:r>
                </w:p>
              </w:tc>
              <w:tc>
                <w:tcPr>
                  <w:tcW w:w="2223" w:type="pct"/>
                  <w:tcBorders>
                    <w:tl2br w:val="nil"/>
                    <w:tr2bl w:val="nil"/>
                  </w:tcBorders>
                </w:tcPr>
                <w:p>
                  <w:pPr>
                    <w:numPr>
                      <w:ilvl w:val="255"/>
                      <w:numId w:val="0"/>
                    </w:numPr>
                    <w:spacing w:after="100" w:afterAutospacing="1" w:line="360" w:lineRule="auto"/>
                    <w:jc w:val="left"/>
                    <w:rPr>
                      <w:rFonts w:ascii="宋体" w:hAnsi="宋体" w:eastAsia="宋体" w:cs="宋体"/>
                    </w:rPr>
                  </w:pPr>
                  <w:r>
                    <w:rPr>
                      <w:rFonts w:hint="eastAsia" w:ascii="宋体" w:hAnsi="宋体" w:eastAsia="宋体" w:cs="宋体"/>
                    </w:rPr>
                    <w:t>无缝钢管</w:t>
                  </w:r>
                </w:p>
              </w:tc>
              <w:tc>
                <w:tcPr>
                  <w:tcW w:w="2374" w:type="pct"/>
                  <w:tcBorders>
                    <w:tl2br w:val="nil"/>
                    <w:tr2bl w:val="nil"/>
                  </w:tcBorders>
                </w:tcPr>
                <w:p>
                  <w:pPr>
                    <w:numPr>
                      <w:ilvl w:val="255"/>
                      <w:numId w:val="0"/>
                    </w:numPr>
                    <w:spacing w:after="100" w:afterAutospacing="1" w:line="360" w:lineRule="auto"/>
                    <w:jc w:val="left"/>
                    <w:rPr>
                      <w:rFonts w:ascii="宋体" w:hAnsi="宋体" w:eastAsia="宋体" w:cs="宋体"/>
                    </w:rPr>
                  </w:pPr>
                  <w:r>
                    <w:rPr>
                      <w:rFonts w:hint="eastAsia" w:ascii="宋体" w:hAnsi="宋体" w:eastAsia="宋体" w:cs="宋体"/>
                    </w:rPr>
                    <w:t>正大、宝钢、武钢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402" w:type="pct"/>
                  <w:tcBorders>
                    <w:tl2br w:val="nil"/>
                    <w:tr2bl w:val="nil"/>
                  </w:tcBorders>
                </w:tcPr>
                <w:p>
                  <w:pPr>
                    <w:numPr>
                      <w:ilvl w:val="255"/>
                      <w:numId w:val="0"/>
                    </w:numPr>
                    <w:spacing w:after="100" w:afterAutospacing="1" w:line="360" w:lineRule="auto"/>
                    <w:jc w:val="left"/>
                    <w:rPr>
                      <w:rFonts w:ascii="宋体" w:hAnsi="宋体" w:eastAsia="宋体" w:cs="宋体"/>
                    </w:rPr>
                  </w:pPr>
                  <w:r>
                    <w:rPr>
                      <w:rFonts w:hint="eastAsia" w:ascii="宋体" w:hAnsi="宋体" w:eastAsia="宋体" w:cs="宋体"/>
                    </w:rPr>
                    <w:t>18</w:t>
                  </w:r>
                </w:p>
              </w:tc>
              <w:tc>
                <w:tcPr>
                  <w:tcW w:w="2223" w:type="pct"/>
                  <w:tcBorders>
                    <w:tl2br w:val="nil"/>
                    <w:tr2bl w:val="nil"/>
                  </w:tcBorders>
                </w:tcPr>
                <w:p>
                  <w:pPr>
                    <w:numPr>
                      <w:ilvl w:val="255"/>
                      <w:numId w:val="0"/>
                    </w:numPr>
                    <w:spacing w:after="100" w:afterAutospacing="1" w:line="360" w:lineRule="auto"/>
                    <w:jc w:val="left"/>
                    <w:rPr>
                      <w:rFonts w:ascii="宋体" w:hAnsi="宋体" w:eastAsia="宋体" w:cs="宋体"/>
                    </w:rPr>
                  </w:pPr>
                  <w:r>
                    <w:rPr>
                      <w:rFonts w:hint="eastAsia" w:ascii="宋体" w:hAnsi="宋体" w:eastAsia="宋体" w:cs="宋体"/>
                    </w:rPr>
                    <w:t>截止阀</w:t>
                  </w:r>
                </w:p>
              </w:tc>
              <w:tc>
                <w:tcPr>
                  <w:tcW w:w="2374" w:type="pct"/>
                  <w:tcBorders>
                    <w:tl2br w:val="nil"/>
                    <w:tr2bl w:val="nil"/>
                  </w:tcBorders>
                </w:tcPr>
                <w:p>
                  <w:pPr>
                    <w:numPr>
                      <w:ilvl w:val="255"/>
                      <w:numId w:val="0"/>
                    </w:numPr>
                    <w:spacing w:after="100" w:afterAutospacing="1" w:line="360" w:lineRule="auto"/>
                    <w:jc w:val="left"/>
                    <w:rPr>
                      <w:rFonts w:ascii="宋体" w:hAnsi="宋体" w:eastAsia="宋体" w:cs="宋体"/>
                    </w:rPr>
                  </w:pPr>
                  <w:r>
                    <w:rPr>
                      <w:rFonts w:hint="eastAsia" w:ascii="宋体" w:hAnsi="宋体" w:eastAsia="宋体" w:cs="宋体"/>
                    </w:rPr>
                    <w:t>埃美柯、上海沪通、上海定丰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402" w:type="pct"/>
                  <w:tcBorders>
                    <w:tl2br w:val="nil"/>
                    <w:tr2bl w:val="nil"/>
                  </w:tcBorders>
                </w:tcPr>
                <w:p>
                  <w:pPr>
                    <w:numPr>
                      <w:ilvl w:val="255"/>
                      <w:numId w:val="0"/>
                    </w:numPr>
                    <w:spacing w:after="100" w:afterAutospacing="1" w:line="360" w:lineRule="auto"/>
                    <w:jc w:val="left"/>
                    <w:rPr>
                      <w:rFonts w:ascii="宋体" w:hAnsi="宋体" w:eastAsia="宋体" w:cs="宋体"/>
                    </w:rPr>
                  </w:pPr>
                  <w:r>
                    <w:rPr>
                      <w:rFonts w:hint="eastAsia" w:ascii="宋体" w:hAnsi="宋体" w:eastAsia="宋体" w:cs="宋体"/>
                    </w:rPr>
                    <w:t>19</w:t>
                  </w:r>
                </w:p>
              </w:tc>
              <w:tc>
                <w:tcPr>
                  <w:tcW w:w="2223" w:type="pct"/>
                  <w:tcBorders>
                    <w:tl2br w:val="nil"/>
                    <w:tr2bl w:val="nil"/>
                  </w:tcBorders>
                </w:tcPr>
                <w:p>
                  <w:pPr>
                    <w:numPr>
                      <w:ilvl w:val="255"/>
                      <w:numId w:val="0"/>
                    </w:numPr>
                    <w:spacing w:after="100" w:afterAutospacing="1" w:line="360" w:lineRule="auto"/>
                    <w:jc w:val="left"/>
                    <w:rPr>
                      <w:rFonts w:ascii="宋体" w:hAnsi="宋体" w:eastAsia="宋体" w:cs="宋体"/>
                    </w:rPr>
                  </w:pPr>
                  <w:r>
                    <w:rPr>
                      <w:rFonts w:hint="eastAsia" w:ascii="宋体" w:hAnsi="宋体" w:eastAsia="宋体" w:cs="宋体"/>
                    </w:rPr>
                    <w:t>空调自动化控制</w:t>
                  </w:r>
                </w:p>
              </w:tc>
              <w:tc>
                <w:tcPr>
                  <w:tcW w:w="2374" w:type="pct"/>
                  <w:tcBorders>
                    <w:tl2br w:val="nil"/>
                    <w:tr2bl w:val="nil"/>
                  </w:tcBorders>
                </w:tcPr>
                <w:p>
                  <w:pPr>
                    <w:numPr>
                      <w:ilvl w:val="255"/>
                      <w:numId w:val="0"/>
                    </w:numPr>
                    <w:spacing w:after="100" w:afterAutospacing="1" w:line="360" w:lineRule="auto"/>
                    <w:jc w:val="left"/>
                    <w:rPr>
                      <w:rFonts w:ascii="宋体" w:hAnsi="宋体" w:eastAsia="宋体" w:cs="宋体"/>
                    </w:rPr>
                  </w:pPr>
                  <w:r>
                    <w:rPr>
                      <w:rFonts w:hint="eastAsia" w:ascii="宋体" w:hAnsi="宋体" w:eastAsia="宋体" w:cs="宋体"/>
                    </w:rPr>
                    <w:t>编程控制器：进口西门子、霍尼韦尔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402" w:type="pct"/>
                  <w:tcBorders>
                    <w:tl2br w:val="nil"/>
                    <w:tr2bl w:val="nil"/>
                  </w:tcBorders>
                </w:tcPr>
                <w:p>
                  <w:pPr>
                    <w:numPr>
                      <w:ilvl w:val="255"/>
                      <w:numId w:val="0"/>
                    </w:numPr>
                    <w:spacing w:after="100" w:afterAutospacing="1" w:line="360" w:lineRule="auto"/>
                    <w:jc w:val="left"/>
                    <w:rPr>
                      <w:rFonts w:ascii="宋体" w:hAnsi="宋体" w:eastAsia="宋体" w:cs="宋体"/>
                    </w:rPr>
                  </w:pPr>
                  <w:r>
                    <w:rPr>
                      <w:rFonts w:hint="eastAsia" w:ascii="宋体" w:hAnsi="宋体" w:eastAsia="宋体" w:cs="宋体"/>
                    </w:rPr>
                    <w:t>20</w:t>
                  </w:r>
                </w:p>
              </w:tc>
              <w:tc>
                <w:tcPr>
                  <w:tcW w:w="2223" w:type="pct"/>
                  <w:tcBorders>
                    <w:tl2br w:val="nil"/>
                    <w:tr2bl w:val="nil"/>
                  </w:tcBorders>
                </w:tcPr>
                <w:p>
                  <w:pPr>
                    <w:numPr>
                      <w:ilvl w:val="255"/>
                      <w:numId w:val="0"/>
                    </w:numPr>
                    <w:spacing w:after="100" w:afterAutospacing="1" w:line="360" w:lineRule="auto"/>
                    <w:jc w:val="left"/>
                    <w:rPr>
                      <w:rFonts w:ascii="宋体" w:hAnsi="宋体" w:eastAsia="宋体" w:cs="宋体"/>
                    </w:rPr>
                  </w:pPr>
                  <w:r>
                    <w:rPr>
                      <w:rFonts w:hint="eastAsia" w:ascii="宋体" w:hAnsi="宋体" w:eastAsia="宋体" w:cs="宋体"/>
                    </w:rPr>
                    <w:t>电动三通调节阀</w:t>
                  </w:r>
                </w:p>
              </w:tc>
              <w:tc>
                <w:tcPr>
                  <w:tcW w:w="2374" w:type="pct"/>
                  <w:tcBorders>
                    <w:tl2br w:val="nil"/>
                    <w:tr2bl w:val="nil"/>
                  </w:tcBorders>
                </w:tcPr>
                <w:p>
                  <w:pPr>
                    <w:numPr>
                      <w:ilvl w:val="255"/>
                      <w:numId w:val="0"/>
                    </w:numPr>
                    <w:spacing w:after="100" w:afterAutospacing="1" w:line="360" w:lineRule="auto"/>
                    <w:jc w:val="left"/>
                    <w:rPr>
                      <w:rFonts w:ascii="宋体" w:hAnsi="宋体" w:eastAsia="宋体" w:cs="宋体"/>
                    </w:rPr>
                  </w:pPr>
                  <w:r>
                    <w:rPr>
                      <w:rFonts w:hint="eastAsia" w:ascii="宋体" w:hAnsi="宋体" w:eastAsia="宋体" w:cs="宋体"/>
                    </w:rPr>
                    <w:t>进口西门子、霍尼韦尔、中核苏阀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402" w:type="pct"/>
                  <w:tcBorders>
                    <w:tl2br w:val="nil"/>
                    <w:tr2bl w:val="nil"/>
                  </w:tcBorders>
                </w:tcPr>
                <w:p>
                  <w:pPr>
                    <w:numPr>
                      <w:ilvl w:val="255"/>
                      <w:numId w:val="0"/>
                    </w:numPr>
                    <w:spacing w:after="100" w:afterAutospacing="1" w:line="360" w:lineRule="auto"/>
                    <w:jc w:val="left"/>
                    <w:rPr>
                      <w:rFonts w:ascii="宋体" w:hAnsi="宋体" w:eastAsia="宋体" w:cs="宋体"/>
                    </w:rPr>
                  </w:pPr>
                  <w:r>
                    <w:rPr>
                      <w:rFonts w:hint="eastAsia" w:ascii="宋体" w:hAnsi="宋体" w:eastAsia="宋体" w:cs="宋体"/>
                    </w:rPr>
                    <w:t>21</w:t>
                  </w:r>
                </w:p>
              </w:tc>
              <w:tc>
                <w:tcPr>
                  <w:tcW w:w="2223" w:type="pct"/>
                  <w:tcBorders>
                    <w:tl2br w:val="nil"/>
                    <w:tr2bl w:val="nil"/>
                  </w:tcBorders>
                </w:tcPr>
                <w:p>
                  <w:pPr>
                    <w:numPr>
                      <w:ilvl w:val="255"/>
                      <w:numId w:val="0"/>
                    </w:numPr>
                    <w:spacing w:after="100" w:afterAutospacing="1" w:line="360" w:lineRule="auto"/>
                    <w:jc w:val="left"/>
                    <w:rPr>
                      <w:rFonts w:ascii="宋体" w:hAnsi="宋体" w:eastAsia="宋体" w:cs="宋体"/>
                    </w:rPr>
                  </w:pPr>
                  <w:r>
                    <w:rPr>
                      <w:rFonts w:hint="eastAsia" w:ascii="宋体" w:hAnsi="宋体" w:eastAsia="宋体" w:cs="宋体"/>
                    </w:rPr>
                    <w:t>风冷热泵机组</w:t>
                  </w:r>
                </w:p>
              </w:tc>
              <w:tc>
                <w:tcPr>
                  <w:tcW w:w="2374" w:type="pct"/>
                  <w:tcBorders>
                    <w:tl2br w:val="nil"/>
                    <w:tr2bl w:val="nil"/>
                  </w:tcBorders>
                </w:tcPr>
                <w:p>
                  <w:pPr>
                    <w:numPr>
                      <w:ilvl w:val="255"/>
                      <w:numId w:val="0"/>
                    </w:numPr>
                    <w:spacing w:after="100" w:afterAutospacing="1" w:line="360" w:lineRule="auto"/>
                    <w:jc w:val="left"/>
                    <w:rPr>
                      <w:rFonts w:ascii="宋体" w:hAnsi="宋体" w:eastAsia="宋体" w:cs="宋体"/>
                    </w:rPr>
                  </w:pPr>
                  <w:r>
                    <w:rPr>
                      <w:rFonts w:hint="eastAsia" w:ascii="宋体" w:hAnsi="宋体" w:eastAsia="宋体" w:cs="宋体"/>
                    </w:rPr>
                    <w:t>麦克维尔、开利、约克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402" w:type="pct"/>
                  <w:tcBorders>
                    <w:tl2br w:val="nil"/>
                    <w:tr2bl w:val="nil"/>
                  </w:tcBorders>
                </w:tcPr>
                <w:p>
                  <w:pPr>
                    <w:numPr>
                      <w:ilvl w:val="255"/>
                      <w:numId w:val="0"/>
                    </w:numPr>
                    <w:spacing w:after="100" w:afterAutospacing="1" w:line="360" w:lineRule="auto"/>
                    <w:jc w:val="left"/>
                    <w:rPr>
                      <w:rFonts w:ascii="宋体" w:hAnsi="宋体" w:eastAsia="宋体" w:cs="宋体"/>
                    </w:rPr>
                  </w:pPr>
                  <w:r>
                    <w:rPr>
                      <w:rFonts w:hint="eastAsia" w:ascii="宋体" w:hAnsi="宋体" w:eastAsia="宋体" w:cs="宋体"/>
                    </w:rPr>
                    <w:t>22</w:t>
                  </w:r>
                </w:p>
              </w:tc>
              <w:tc>
                <w:tcPr>
                  <w:tcW w:w="2223" w:type="pct"/>
                  <w:tcBorders>
                    <w:tl2br w:val="nil"/>
                    <w:tr2bl w:val="nil"/>
                  </w:tcBorders>
                </w:tcPr>
                <w:p>
                  <w:pPr>
                    <w:numPr>
                      <w:ilvl w:val="255"/>
                      <w:numId w:val="0"/>
                    </w:numPr>
                    <w:spacing w:after="100" w:afterAutospacing="1" w:line="360" w:lineRule="auto"/>
                    <w:jc w:val="left"/>
                    <w:rPr>
                      <w:rFonts w:ascii="宋体" w:hAnsi="宋体" w:eastAsia="宋体" w:cs="宋体"/>
                    </w:rPr>
                  </w:pPr>
                  <w:r>
                    <w:rPr>
                      <w:rFonts w:hint="eastAsia" w:ascii="宋体" w:hAnsi="宋体" w:eastAsia="宋体" w:cs="宋体"/>
                    </w:rPr>
                    <w:t>组合式净化机组设备</w:t>
                  </w:r>
                </w:p>
              </w:tc>
              <w:tc>
                <w:tcPr>
                  <w:tcW w:w="2374" w:type="pct"/>
                  <w:tcBorders>
                    <w:tl2br w:val="nil"/>
                    <w:tr2bl w:val="nil"/>
                  </w:tcBorders>
                </w:tcPr>
                <w:p>
                  <w:pPr>
                    <w:numPr>
                      <w:ilvl w:val="255"/>
                      <w:numId w:val="0"/>
                    </w:numPr>
                    <w:spacing w:after="100" w:afterAutospacing="1" w:line="360" w:lineRule="auto"/>
                    <w:jc w:val="left"/>
                    <w:rPr>
                      <w:rFonts w:ascii="宋体" w:hAnsi="宋体" w:eastAsia="宋体" w:cs="宋体"/>
                    </w:rPr>
                  </w:pPr>
                  <w:r>
                    <w:rPr>
                      <w:rFonts w:hint="eastAsia" w:ascii="宋体" w:hAnsi="宋体" w:eastAsia="宋体" w:cs="宋体"/>
                    </w:rPr>
                    <w:t>天加、国祥、麦克维尔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402" w:type="pct"/>
                  <w:tcBorders>
                    <w:tl2br w:val="nil"/>
                    <w:tr2bl w:val="nil"/>
                  </w:tcBorders>
                </w:tcPr>
                <w:p>
                  <w:pPr>
                    <w:numPr>
                      <w:ilvl w:val="255"/>
                      <w:numId w:val="0"/>
                    </w:numPr>
                    <w:spacing w:after="100" w:afterAutospacing="1" w:line="360" w:lineRule="auto"/>
                    <w:jc w:val="left"/>
                    <w:rPr>
                      <w:rFonts w:ascii="宋体" w:hAnsi="宋体" w:eastAsia="宋体" w:cs="宋体"/>
                    </w:rPr>
                  </w:pPr>
                  <w:r>
                    <w:rPr>
                      <w:rFonts w:hint="eastAsia" w:ascii="宋体" w:hAnsi="宋体" w:eastAsia="宋体" w:cs="宋体"/>
                    </w:rPr>
                    <w:t>23</w:t>
                  </w:r>
                </w:p>
              </w:tc>
              <w:tc>
                <w:tcPr>
                  <w:tcW w:w="2223" w:type="pct"/>
                  <w:tcBorders>
                    <w:tl2br w:val="nil"/>
                    <w:tr2bl w:val="nil"/>
                  </w:tcBorders>
                </w:tcPr>
                <w:p>
                  <w:pPr>
                    <w:numPr>
                      <w:ilvl w:val="255"/>
                      <w:numId w:val="0"/>
                    </w:numPr>
                    <w:spacing w:after="100" w:afterAutospacing="1" w:line="360" w:lineRule="auto"/>
                    <w:jc w:val="left"/>
                    <w:rPr>
                      <w:rFonts w:ascii="宋体" w:hAnsi="宋体" w:eastAsia="宋体" w:cs="宋体"/>
                    </w:rPr>
                  </w:pPr>
                  <w:r>
                    <w:rPr>
                      <w:rFonts w:hint="eastAsia" w:ascii="宋体" w:hAnsi="宋体" w:eastAsia="宋体" w:cs="宋体"/>
                    </w:rPr>
                    <w:t>空调水泵</w:t>
                  </w:r>
                </w:p>
              </w:tc>
              <w:tc>
                <w:tcPr>
                  <w:tcW w:w="2374" w:type="pct"/>
                  <w:tcBorders>
                    <w:tl2br w:val="nil"/>
                    <w:tr2bl w:val="nil"/>
                  </w:tcBorders>
                </w:tcPr>
                <w:p>
                  <w:pPr>
                    <w:numPr>
                      <w:ilvl w:val="255"/>
                      <w:numId w:val="0"/>
                    </w:numPr>
                    <w:spacing w:after="100" w:afterAutospacing="1" w:line="360" w:lineRule="auto"/>
                    <w:jc w:val="left"/>
                    <w:rPr>
                      <w:rFonts w:ascii="宋体" w:hAnsi="宋体" w:eastAsia="宋体" w:cs="宋体"/>
                    </w:rPr>
                  </w:pPr>
                  <w:r>
                    <w:rPr>
                      <w:rFonts w:hint="eastAsia" w:ascii="宋体" w:hAnsi="宋体" w:eastAsia="宋体" w:cs="宋体"/>
                    </w:rPr>
                    <w:t>南方、利欧、凯泉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402" w:type="pct"/>
                  <w:tcBorders>
                    <w:tl2br w:val="nil"/>
                    <w:tr2bl w:val="nil"/>
                  </w:tcBorders>
                </w:tcPr>
                <w:p>
                  <w:pPr>
                    <w:numPr>
                      <w:ilvl w:val="255"/>
                      <w:numId w:val="0"/>
                    </w:numPr>
                    <w:spacing w:after="100" w:afterAutospacing="1" w:line="360" w:lineRule="auto"/>
                    <w:jc w:val="left"/>
                    <w:rPr>
                      <w:rFonts w:hint="eastAsia" w:ascii="宋体" w:hAnsi="宋体" w:eastAsia="宋体" w:cs="宋体"/>
                      <w:lang w:eastAsia="zh-CN"/>
                    </w:rPr>
                  </w:pPr>
                  <w:r>
                    <w:rPr>
                      <w:rFonts w:hint="eastAsia" w:ascii="宋体" w:hAnsi="宋体" w:eastAsia="宋体" w:cs="宋体"/>
                    </w:rPr>
                    <w:t>2</w:t>
                  </w:r>
                  <w:r>
                    <w:rPr>
                      <w:rFonts w:hint="eastAsia" w:ascii="宋体" w:hAnsi="宋体" w:eastAsia="宋体" w:cs="宋体"/>
                      <w:lang w:val="en-US" w:eastAsia="zh-CN"/>
                    </w:rPr>
                    <w:t>4</w:t>
                  </w:r>
                </w:p>
              </w:tc>
              <w:tc>
                <w:tcPr>
                  <w:tcW w:w="2223" w:type="pct"/>
                  <w:tcBorders>
                    <w:tl2br w:val="nil"/>
                    <w:tr2bl w:val="nil"/>
                  </w:tcBorders>
                </w:tcPr>
                <w:p>
                  <w:pPr>
                    <w:numPr>
                      <w:ilvl w:val="255"/>
                      <w:numId w:val="0"/>
                    </w:numPr>
                    <w:spacing w:after="100" w:afterAutospacing="1" w:line="360" w:lineRule="auto"/>
                    <w:jc w:val="left"/>
                    <w:rPr>
                      <w:rFonts w:ascii="宋体" w:hAnsi="宋体" w:eastAsia="宋体" w:cs="宋体"/>
                    </w:rPr>
                  </w:pPr>
                  <w:r>
                    <w:rPr>
                      <w:rFonts w:hint="eastAsia" w:ascii="宋体" w:hAnsi="宋体" w:eastAsia="宋体" w:cs="宋体"/>
                    </w:rPr>
                    <w:t>电机</w:t>
                  </w:r>
                </w:p>
              </w:tc>
              <w:tc>
                <w:tcPr>
                  <w:tcW w:w="2374" w:type="pct"/>
                  <w:tcBorders>
                    <w:tl2br w:val="nil"/>
                    <w:tr2bl w:val="nil"/>
                  </w:tcBorders>
                </w:tcPr>
                <w:p>
                  <w:pPr>
                    <w:numPr>
                      <w:ilvl w:val="255"/>
                      <w:numId w:val="0"/>
                    </w:numPr>
                    <w:spacing w:after="100" w:afterAutospacing="1" w:line="360" w:lineRule="auto"/>
                    <w:jc w:val="left"/>
                    <w:rPr>
                      <w:rFonts w:ascii="宋体" w:hAnsi="宋体" w:eastAsia="宋体" w:cs="宋体"/>
                    </w:rPr>
                  </w:pPr>
                  <w:r>
                    <w:rPr>
                      <w:rFonts w:hint="eastAsia" w:ascii="宋体" w:hAnsi="宋体" w:eastAsia="宋体" w:cs="宋体"/>
                    </w:rPr>
                    <w:t>西门子、ABB、施耐德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402" w:type="pct"/>
                  <w:tcBorders>
                    <w:tl2br w:val="nil"/>
                    <w:tr2bl w:val="nil"/>
                  </w:tcBorders>
                </w:tcPr>
                <w:p>
                  <w:pPr>
                    <w:numPr>
                      <w:ilvl w:val="255"/>
                      <w:numId w:val="0"/>
                    </w:numPr>
                    <w:spacing w:after="100" w:afterAutospacing="1" w:line="360" w:lineRule="auto"/>
                    <w:jc w:val="left"/>
                    <w:rPr>
                      <w:rFonts w:hint="eastAsia" w:ascii="宋体" w:hAnsi="宋体" w:eastAsia="宋体" w:cs="宋体"/>
                      <w:lang w:eastAsia="zh-CN"/>
                    </w:rPr>
                  </w:pPr>
                  <w:r>
                    <w:rPr>
                      <w:rFonts w:hint="eastAsia" w:ascii="宋体" w:hAnsi="宋体" w:eastAsia="宋体" w:cs="宋体"/>
                    </w:rPr>
                    <w:t>2</w:t>
                  </w:r>
                  <w:r>
                    <w:rPr>
                      <w:rFonts w:hint="eastAsia" w:ascii="宋体" w:hAnsi="宋体" w:eastAsia="宋体" w:cs="宋体"/>
                      <w:lang w:val="en-US" w:eastAsia="zh-CN"/>
                    </w:rPr>
                    <w:t>5</w:t>
                  </w:r>
                </w:p>
              </w:tc>
              <w:tc>
                <w:tcPr>
                  <w:tcW w:w="2223" w:type="pct"/>
                  <w:tcBorders>
                    <w:tl2br w:val="nil"/>
                    <w:tr2bl w:val="nil"/>
                  </w:tcBorders>
                </w:tcPr>
                <w:p>
                  <w:pPr>
                    <w:numPr>
                      <w:ilvl w:val="255"/>
                      <w:numId w:val="0"/>
                    </w:numPr>
                    <w:spacing w:after="100" w:afterAutospacing="1" w:line="360" w:lineRule="auto"/>
                    <w:jc w:val="left"/>
                    <w:rPr>
                      <w:rFonts w:ascii="宋体" w:hAnsi="宋体" w:eastAsia="宋体" w:cs="宋体"/>
                    </w:rPr>
                  </w:pPr>
                  <w:r>
                    <w:rPr>
                      <w:rFonts w:hint="eastAsia" w:ascii="宋体" w:hAnsi="宋体" w:eastAsia="宋体" w:cs="宋体"/>
                    </w:rPr>
                    <w:t>风机</w:t>
                  </w:r>
                </w:p>
              </w:tc>
              <w:tc>
                <w:tcPr>
                  <w:tcW w:w="2374" w:type="pct"/>
                  <w:tcBorders>
                    <w:tl2br w:val="nil"/>
                    <w:tr2bl w:val="nil"/>
                  </w:tcBorders>
                </w:tcPr>
                <w:p>
                  <w:pPr>
                    <w:numPr>
                      <w:ilvl w:val="255"/>
                      <w:numId w:val="0"/>
                    </w:numPr>
                    <w:spacing w:after="100" w:afterAutospacing="1" w:line="360" w:lineRule="auto"/>
                    <w:jc w:val="left"/>
                    <w:rPr>
                      <w:rFonts w:ascii="宋体" w:hAnsi="宋体" w:eastAsia="宋体" w:cs="宋体"/>
                    </w:rPr>
                  </w:pPr>
                  <w:r>
                    <w:rPr>
                      <w:rFonts w:hint="eastAsia" w:ascii="宋体" w:hAnsi="宋体" w:eastAsia="宋体" w:cs="宋体"/>
                    </w:rPr>
                    <w:t>格林瀚克、双城、亿利达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402" w:type="pct"/>
                  <w:tcBorders>
                    <w:tl2br w:val="nil"/>
                    <w:tr2bl w:val="nil"/>
                  </w:tcBorders>
                </w:tcPr>
                <w:p>
                  <w:pPr>
                    <w:numPr>
                      <w:ilvl w:val="255"/>
                      <w:numId w:val="0"/>
                    </w:numPr>
                    <w:spacing w:after="100" w:afterAutospacing="1" w:line="360" w:lineRule="auto"/>
                    <w:jc w:val="left"/>
                    <w:rPr>
                      <w:rFonts w:hint="eastAsia" w:ascii="宋体" w:hAnsi="宋体" w:eastAsia="宋体" w:cs="宋体"/>
                      <w:lang w:eastAsia="zh-CN"/>
                    </w:rPr>
                  </w:pPr>
                  <w:r>
                    <w:rPr>
                      <w:rFonts w:hint="eastAsia" w:ascii="宋体" w:hAnsi="宋体" w:eastAsia="宋体" w:cs="宋体"/>
                    </w:rPr>
                    <w:t>2</w:t>
                  </w:r>
                  <w:r>
                    <w:rPr>
                      <w:rFonts w:hint="eastAsia" w:ascii="宋体" w:hAnsi="宋体" w:eastAsia="宋体" w:cs="宋体"/>
                      <w:lang w:val="en-US" w:eastAsia="zh-CN"/>
                    </w:rPr>
                    <w:t>6</w:t>
                  </w:r>
                </w:p>
              </w:tc>
              <w:tc>
                <w:tcPr>
                  <w:tcW w:w="2223" w:type="pct"/>
                  <w:tcBorders>
                    <w:tl2br w:val="nil"/>
                    <w:tr2bl w:val="nil"/>
                  </w:tcBorders>
                </w:tcPr>
                <w:p>
                  <w:pPr>
                    <w:numPr>
                      <w:ilvl w:val="255"/>
                      <w:numId w:val="0"/>
                    </w:numPr>
                    <w:spacing w:after="100" w:afterAutospacing="1" w:line="360" w:lineRule="auto"/>
                    <w:jc w:val="left"/>
                    <w:rPr>
                      <w:rFonts w:ascii="宋体" w:hAnsi="宋体" w:eastAsia="宋体" w:cs="宋体"/>
                    </w:rPr>
                  </w:pPr>
                  <w:r>
                    <w:rPr>
                      <w:rFonts w:hint="eastAsia" w:ascii="宋体" w:hAnsi="宋体" w:eastAsia="宋体" w:cs="宋体"/>
                    </w:rPr>
                    <w:t>硬盘录像机</w:t>
                  </w:r>
                </w:p>
              </w:tc>
              <w:tc>
                <w:tcPr>
                  <w:tcW w:w="2374" w:type="pct"/>
                  <w:tcBorders>
                    <w:tl2br w:val="nil"/>
                    <w:tr2bl w:val="nil"/>
                  </w:tcBorders>
                </w:tcPr>
                <w:p>
                  <w:pPr>
                    <w:numPr>
                      <w:ilvl w:val="255"/>
                      <w:numId w:val="0"/>
                    </w:numPr>
                    <w:spacing w:after="100" w:afterAutospacing="1" w:line="360" w:lineRule="auto"/>
                    <w:jc w:val="left"/>
                    <w:rPr>
                      <w:rFonts w:ascii="宋体" w:hAnsi="宋体" w:eastAsia="宋体" w:cs="宋体"/>
                    </w:rPr>
                  </w:pPr>
                  <w:r>
                    <w:rPr>
                      <w:rFonts w:hint="eastAsia" w:ascii="宋体" w:hAnsi="宋体" w:eastAsia="宋体" w:cs="宋体"/>
                    </w:rPr>
                    <w:t>海康威视、西部数据、希捷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402" w:type="pct"/>
                  <w:tcBorders>
                    <w:tl2br w:val="nil"/>
                    <w:tr2bl w:val="nil"/>
                  </w:tcBorders>
                </w:tcPr>
                <w:p>
                  <w:pPr>
                    <w:numPr>
                      <w:ilvl w:val="255"/>
                      <w:numId w:val="0"/>
                    </w:numPr>
                    <w:spacing w:after="100" w:afterAutospacing="1" w:line="360" w:lineRule="auto"/>
                    <w:jc w:val="left"/>
                    <w:rPr>
                      <w:rFonts w:hint="eastAsia" w:ascii="宋体" w:hAnsi="宋体" w:eastAsia="宋体" w:cs="宋体"/>
                      <w:lang w:eastAsia="zh-CN"/>
                    </w:rPr>
                  </w:pPr>
                  <w:r>
                    <w:rPr>
                      <w:rFonts w:hint="eastAsia" w:ascii="宋体" w:hAnsi="宋体" w:eastAsia="宋体" w:cs="宋体"/>
                    </w:rPr>
                    <w:t>2</w:t>
                  </w:r>
                  <w:r>
                    <w:rPr>
                      <w:rFonts w:hint="eastAsia" w:ascii="宋体" w:hAnsi="宋体" w:eastAsia="宋体" w:cs="宋体"/>
                      <w:lang w:val="en-US" w:eastAsia="zh-CN"/>
                    </w:rPr>
                    <w:t>7</w:t>
                  </w:r>
                </w:p>
              </w:tc>
              <w:tc>
                <w:tcPr>
                  <w:tcW w:w="2223" w:type="pct"/>
                  <w:tcBorders>
                    <w:tl2br w:val="nil"/>
                    <w:tr2bl w:val="nil"/>
                  </w:tcBorders>
                </w:tcPr>
                <w:p>
                  <w:pPr>
                    <w:numPr>
                      <w:ilvl w:val="255"/>
                      <w:numId w:val="0"/>
                    </w:numPr>
                    <w:spacing w:after="100" w:afterAutospacing="1" w:line="360" w:lineRule="auto"/>
                    <w:jc w:val="left"/>
                    <w:rPr>
                      <w:rFonts w:ascii="宋体" w:hAnsi="宋体" w:eastAsia="宋体" w:cs="宋体"/>
                    </w:rPr>
                  </w:pPr>
                  <w:r>
                    <w:rPr>
                      <w:rFonts w:hint="eastAsia" w:ascii="宋体" w:hAnsi="宋体" w:eastAsia="宋体" w:cs="宋体"/>
                    </w:rPr>
                    <w:t>摄像机</w:t>
                  </w:r>
                </w:p>
              </w:tc>
              <w:tc>
                <w:tcPr>
                  <w:tcW w:w="2374" w:type="pct"/>
                  <w:tcBorders>
                    <w:tl2br w:val="nil"/>
                    <w:tr2bl w:val="nil"/>
                  </w:tcBorders>
                </w:tcPr>
                <w:p>
                  <w:pPr>
                    <w:numPr>
                      <w:ilvl w:val="255"/>
                      <w:numId w:val="0"/>
                    </w:numPr>
                    <w:spacing w:after="100" w:afterAutospacing="1" w:line="360" w:lineRule="auto"/>
                    <w:jc w:val="left"/>
                    <w:rPr>
                      <w:rFonts w:ascii="宋体" w:hAnsi="宋体" w:eastAsia="宋体" w:cs="宋体"/>
                    </w:rPr>
                  </w:pPr>
                  <w:r>
                    <w:rPr>
                      <w:rFonts w:hint="eastAsia" w:ascii="宋体" w:hAnsi="宋体" w:eastAsia="宋体" w:cs="宋体"/>
                    </w:rPr>
                    <w:t>海康威视、大华、天地伟业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402" w:type="pct"/>
                  <w:tcBorders>
                    <w:bottom w:val="single" w:color="auto" w:sz="4" w:space="0"/>
                    <w:tl2br w:val="nil"/>
                    <w:tr2bl w:val="nil"/>
                  </w:tcBorders>
                </w:tcPr>
                <w:p>
                  <w:pPr>
                    <w:numPr>
                      <w:ilvl w:val="255"/>
                      <w:numId w:val="0"/>
                    </w:numPr>
                    <w:spacing w:after="100" w:afterAutospacing="1" w:line="360" w:lineRule="auto"/>
                    <w:jc w:val="left"/>
                    <w:rPr>
                      <w:rFonts w:hint="eastAsia" w:ascii="宋体" w:hAnsi="宋体" w:eastAsia="宋体" w:cs="宋体"/>
                      <w:lang w:eastAsia="zh-CN"/>
                    </w:rPr>
                  </w:pPr>
                  <w:r>
                    <w:rPr>
                      <w:rFonts w:hint="eastAsia" w:ascii="宋体" w:hAnsi="宋体" w:eastAsia="宋体" w:cs="宋体"/>
                    </w:rPr>
                    <w:t>2</w:t>
                  </w:r>
                  <w:r>
                    <w:rPr>
                      <w:rFonts w:hint="eastAsia" w:ascii="宋体" w:hAnsi="宋体" w:eastAsia="宋体" w:cs="宋体"/>
                      <w:lang w:val="en-US" w:eastAsia="zh-CN"/>
                    </w:rPr>
                    <w:t>8</w:t>
                  </w:r>
                </w:p>
              </w:tc>
              <w:tc>
                <w:tcPr>
                  <w:tcW w:w="2223" w:type="pct"/>
                  <w:tcBorders>
                    <w:bottom w:val="single" w:color="auto" w:sz="4" w:space="0"/>
                    <w:tl2br w:val="nil"/>
                    <w:tr2bl w:val="nil"/>
                  </w:tcBorders>
                </w:tcPr>
                <w:p>
                  <w:pPr>
                    <w:numPr>
                      <w:ilvl w:val="255"/>
                      <w:numId w:val="0"/>
                    </w:numPr>
                    <w:spacing w:after="100" w:afterAutospacing="1" w:line="360" w:lineRule="auto"/>
                    <w:jc w:val="left"/>
                    <w:rPr>
                      <w:rFonts w:ascii="宋体" w:hAnsi="宋体" w:eastAsia="宋体" w:cs="宋体"/>
                    </w:rPr>
                  </w:pPr>
                  <w:r>
                    <w:rPr>
                      <w:rFonts w:hint="eastAsia" w:ascii="宋体" w:hAnsi="宋体" w:eastAsia="宋体" w:cs="宋体"/>
                    </w:rPr>
                    <w:t>一体门禁控制器</w:t>
                  </w:r>
                </w:p>
              </w:tc>
              <w:tc>
                <w:tcPr>
                  <w:tcW w:w="2374" w:type="pct"/>
                  <w:tcBorders>
                    <w:bottom w:val="single" w:color="auto" w:sz="4" w:space="0"/>
                    <w:tl2br w:val="nil"/>
                    <w:tr2bl w:val="nil"/>
                  </w:tcBorders>
                </w:tcPr>
                <w:p>
                  <w:pPr>
                    <w:numPr>
                      <w:ilvl w:val="255"/>
                      <w:numId w:val="0"/>
                    </w:numPr>
                    <w:spacing w:after="100" w:afterAutospacing="1" w:line="360" w:lineRule="auto"/>
                    <w:jc w:val="left"/>
                    <w:rPr>
                      <w:rFonts w:ascii="宋体" w:hAnsi="宋体" w:eastAsia="宋体" w:cs="宋体"/>
                    </w:rPr>
                  </w:pPr>
                  <w:r>
                    <w:rPr>
                      <w:rFonts w:hint="eastAsia" w:ascii="宋体" w:hAnsi="宋体" w:eastAsia="宋体" w:cs="宋体"/>
                    </w:rPr>
                    <w:t>海康威视、祖程、ZKT</w:t>
                  </w:r>
                </w:p>
              </w:tc>
            </w:tr>
          </w:tbl>
          <w:p>
            <w:pPr>
              <w:numPr>
                <w:ilvl w:val="255"/>
                <w:numId w:val="0"/>
              </w:numPr>
              <w:spacing w:after="100" w:afterAutospacing="1" w:line="360" w:lineRule="auto"/>
              <w:jc w:val="left"/>
              <w:rPr>
                <w:rFonts w:ascii="宋体" w:hAnsi="宋体" w:eastAsia="宋体" w:cs="宋体"/>
                <w:b/>
                <w:bCs/>
                <w:lang w:val="en"/>
              </w:rPr>
            </w:pPr>
            <w:r>
              <w:rPr>
                <w:rFonts w:hint="eastAsia" w:ascii="宋体" w:hAnsi="宋体" w:eastAsia="宋体" w:cs="宋体"/>
                <w:b/>
                <w:bCs/>
                <w:lang w:val="en"/>
              </w:rPr>
              <w:t>注：</w:t>
            </w:r>
          </w:p>
          <w:p>
            <w:pPr>
              <w:numPr>
                <w:ilvl w:val="0"/>
                <w:numId w:val="3"/>
              </w:numPr>
              <w:spacing w:after="100" w:afterAutospacing="1" w:line="360" w:lineRule="auto"/>
              <w:rPr>
                <w:rFonts w:ascii="宋体" w:hAnsi="宋体" w:eastAsia="宋体" w:cs="宋体"/>
                <w:b/>
                <w:bCs/>
                <w:lang w:val="en"/>
              </w:rPr>
            </w:pPr>
            <w:r>
              <w:rPr>
                <w:rFonts w:hint="eastAsia" w:ascii="宋体" w:hAnsi="宋体" w:eastAsia="宋体" w:cs="宋体"/>
                <w:b/>
                <w:bCs/>
                <w:lang w:val="en"/>
              </w:rPr>
              <w:t>上述材料和工程设备技术要求中如果出现了参考品牌或规格型号，其目的是为了方便承包人直观和准确地把握相应材料和工程设备的技术标准，不具指定或唯一的意思表示，承包人应当参考所列品牌的材料和工程设备，采购相当于或高于所列品牌技术标准的材料和工程设备。</w:t>
            </w:r>
          </w:p>
          <w:p>
            <w:pPr>
              <w:numPr>
                <w:ilvl w:val="255"/>
                <w:numId w:val="0"/>
              </w:numPr>
              <w:spacing w:after="100" w:afterAutospacing="1" w:line="360" w:lineRule="auto"/>
              <w:jc w:val="left"/>
              <w:rPr>
                <w:rFonts w:ascii="宋体" w:hAnsi="宋体" w:eastAsia="宋体" w:cs="宋体"/>
              </w:rPr>
            </w:pPr>
          </w:p>
        </w:tc>
        <w:tc>
          <w:tcPr>
            <w:tcW w:w="5251" w:type="dxa"/>
            <w:tcBorders>
              <w:top w:val="nil"/>
              <w:left w:val="nil"/>
              <w:bottom w:val="nil"/>
              <w:right w:val="nil"/>
            </w:tcBorders>
            <w:noWrap/>
            <w:vAlign w:val="center"/>
          </w:tcPr>
          <w:p>
            <w:pPr>
              <w:numPr>
                <w:ilvl w:val="255"/>
                <w:numId w:val="0"/>
              </w:numPr>
              <w:spacing w:after="100" w:afterAutospacing="1" w:line="360" w:lineRule="auto"/>
              <w:jc w:val="left"/>
              <w:rPr>
                <w:rFonts w:ascii="宋体" w:hAnsi="宋体" w:eastAsia="宋体" w:cs="宋体"/>
              </w:rPr>
            </w:pPr>
          </w:p>
        </w:tc>
      </w:tr>
    </w:tbl>
    <w:p>
      <w:pPr>
        <w:numPr>
          <w:ilvl w:val="255"/>
          <w:numId w:val="0"/>
        </w:numPr>
        <w:spacing w:after="100" w:afterAutospacing="1" w:line="360" w:lineRule="auto"/>
        <w:jc w:val="left"/>
      </w:pPr>
      <w:r>
        <w:rPr>
          <w:rFonts w:hint="eastAsia" w:ascii="宋体" w:hAnsi="宋体" w:eastAsia="宋体" w:cs="宋体"/>
          <w:b/>
          <w:bCs/>
        </w:rPr>
        <w:t>工程量清单、图纸另附，详见附件。</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仿宋">
    <w:panose1 w:val="02010600040101010101"/>
    <w:charset w:val="86"/>
    <w:family w:val="auto"/>
    <w:pitch w:val="default"/>
    <w:sig w:usb0="00000287" w:usb1="080F0000" w:usb2="00000000" w:usb3="00000000" w:csb0="0004009F" w:csb1="DFD7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5FFF2DB"/>
    <w:multiLevelType w:val="singleLevel"/>
    <w:tmpl w:val="D5FFF2DB"/>
    <w:lvl w:ilvl="0" w:tentative="0">
      <w:start w:val="1"/>
      <w:numFmt w:val="decimal"/>
      <w:suff w:val="nothing"/>
      <w:lvlText w:val="%1、"/>
      <w:lvlJc w:val="left"/>
    </w:lvl>
  </w:abstractNum>
  <w:abstractNum w:abstractNumId="1">
    <w:nsid w:val="FC4FEC75"/>
    <w:multiLevelType w:val="singleLevel"/>
    <w:tmpl w:val="FC4FEC75"/>
    <w:lvl w:ilvl="0" w:tentative="0">
      <w:start w:val="1"/>
      <w:numFmt w:val="lowerLetter"/>
      <w:suff w:val="nothing"/>
      <w:lvlText w:val="%1、"/>
      <w:lvlJc w:val="left"/>
    </w:lvl>
  </w:abstractNum>
  <w:abstractNum w:abstractNumId="2">
    <w:nsid w:val="565461EA"/>
    <w:multiLevelType w:val="multilevel"/>
    <w:tmpl w:val="565461EA"/>
    <w:lvl w:ilvl="0" w:tentative="0">
      <w:start w:val="1"/>
      <w:numFmt w:val="chineseCounting"/>
      <w:lvlText w:val="第%1章"/>
      <w:lvlJc w:val="left"/>
      <w:pPr>
        <w:tabs>
          <w:tab w:val="left" w:pos="4394"/>
        </w:tabs>
        <w:ind w:left="4394" w:hanging="1275"/>
      </w:pPr>
      <w:rPr>
        <w:rFonts w:hint="eastAsia" w:ascii="微软雅黑" w:hAnsi="微软雅黑" w:eastAsia="微软雅黑" w:cs="宋体"/>
        <w:b/>
        <w:sz w:val="36"/>
        <w:szCs w:val="36"/>
      </w:rPr>
    </w:lvl>
    <w:lvl w:ilvl="1" w:tentative="0">
      <w:start w:val="1"/>
      <w:numFmt w:val="japaneseCounting"/>
      <w:lvlText w:val="%2、"/>
      <w:lvlJc w:val="left"/>
      <w:pPr>
        <w:tabs>
          <w:tab w:val="left" w:pos="420"/>
        </w:tabs>
        <w:ind w:left="420" w:hanging="420"/>
      </w:pPr>
      <w:rPr>
        <w:rFonts w:hint="eastAsia" w:cs="Times New Roman"/>
        <w:sz w:val="21"/>
        <w:szCs w:val="21"/>
      </w:rPr>
    </w:lvl>
    <w:lvl w:ilvl="2" w:tentative="0">
      <w:start w:val="1"/>
      <w:numFmt w:val="decimal"/>
      <w:lvlText w:val="%3."/>
      <w:lvlJc w:val="left"/>
      <w:pPr>
        <w:tabs>
          <w:tab w:val="left" w:pos="1134"/>
        </w:tabs>
        <w:ind w:left="0" w:firstLine="1134"/>
      </w:pPr>
      <w:rPr>
        <w:rFonts w:hint="eastAsia"/>
        <w:b w:val="0"/>
        <w:sz w:val="28"/>
        <w:szCs w:val="21"/>
      </w:rPr>
    </w:lvl>
    <w:lvl w:ilvl="3" w:tentative="0">
      <w:start w:val="1"/>
      <w:numFmt w:val="decimal"/>
      <w:lvlText w:val="%4."/>
      <w:lvlJc w:val="left"/>
      <w:pPr>
        <w:tabs>
          <w:tab w:val="left" w:pos="1620"/>
        </w:tabs>
        <w:ind w:left="1620" w:hanging="360"/>
      </w:pPr>
      <w:rPr>
        <w:rFonts w:hint="eastAsia" w:cs="Times New Roman"/>
      </w:rPr>
    </w:lvl>
    <w:lvl w:ilvl="4" w:tentative="0">
      <w:start w:val="1"/>
      <w:numFmt w:val="lowerLetter"/>
      <w:lvlText w:val="%5)"/>
      <w:lvlJc w:val="left"/>
      <w:pPr>
        <w:tabs>
          <w:tab w:val="left" w:pos="2100"/>
        </w:tabs>
        <w:ind w:left="2100" w:hanging="420"/>
      </w:pPr>
      <w:rPr>
        <w:rFonts w:hint="eastAsia" w:cs="Times New Roman"/>
      </w:rPr>
    </w:lvl>
    <w:lvl w:ilvl="5" w:tentative="0">
      <w:start w:val="1"/>
      <w:numFmt w:val="lowerRoman"/>
      <w:lvlText w:val="%6."/>
      <w:lvlJc w:val="right"/>
      <w:pPr>
        <w:tabs>
          <w:tab w:val="left" w:pos="2520"/>
        </w:tabs>
        <w:ind w:left="2520" w:hanging="420"/>
      </w:pPr>
      <w:rPr>
        <w:rFonts w:hint="eastAsia" w:cs="Times New Roman"/>
      </w:rPr>
    </w:lvl>
    <w:lvl w:ilvl="6" w:tentative="0">
      <w:start w:val="1"/>
      <w:numFmt w:val="decimal"/>
      <w:lvlText w:val="%7."/>
      <w:lvlJc w:val="left"/>
      <w:pPr>
        <w:tabs>
          <w:tab w:val="left" w:pos="2940"/>
        </w:tabs>
        <w:ind w:left="2940" w:hanging="420"/>
      </w:pPr>
      <w:rPr>
        <w:rFonts w:hint="eastAsia" w:cs="Times New Roman"/>
      </w:rPr>
    </w:lvl>
    <w:lvl w:ilvl="7" w:tentative="0">
      <w:start w:val="1"/>
      <w:numFmt w:val="lowerLetter"/>
      <w:lvlText w:val="%8)"/>
      <w:lvlJc w:val="left"/>
      <w:pPr>
        <w:tabs>
          <w:tab w:val="left" w:pos="3360"/>
        </w:tabs>
        <w:ind w:left="3360" w:hanging="420"/>
      </w:pPr>
      <w:rPr>
        <w:rFonts w:hint="eastAsia" w:cs="Times New Roman"/>
      </w:rPr>
    </w:lvl>
    <w:lvl w:ilvl="8" w:tentative="0">
      <w:start w:val="1"/>
      <w:numFmt w:val="lowerRoman"/>
      <w:lvlText w:val="%9."/>
      <w:lvlJc w:val="right"/>
      <w:pPr>
        <w:tabs>
          <w:tab w:val="left" w:pos="3780"/>
        </w:tabs>
        <w:ind w:left="3780" w:hanging="420"/>
      </w:pPr>
      <w:rPr>
        <w:rFonts w:hint="eastAsia" w:cs="Times New Roman"/>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EyMzU3MjU3NGRkZWE1MTA5ZDM2NTZmYWJkNmYxMjgifQ=="/>
  </w:docVars>
  <w:rsids>
    <w:rsidRoot w:val="7B6A3FB1"/>
    <w:rsid w:val="091C5404"/>
    <w:rsid w:val="7B6A3FB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华文仿宋" w:cs="Times New Roman"/>
      <w:kern w:val="2"/>
      <w:sz w:val="24"/>
      <w:szCs w:val="24"/>
      <w:lang w:val="en-US" w:eastAsia="zh-CN" w:bidi="ar-SA"/>
    </w:rPr>
  </w:style>
  <w:style w:type="paragraph" w:styleId="3">
    <w:name w:val="heading 1"/>
    <w:basedOn w:val="1"/>
    <w:next w:val="1"/>
    <w:qFormat/>
    <w:uiPriority w:val="0"/>
    <w:pPr>
      <w:keepNext/>
      <w:keepLines/>
      <w:spacing w:before="340" w:after="330" w:line="578" w:lineRule="auto"/>
      <w:outlineLvl w:val="0"/>
    </w:pPr>
    <w:rPr>
      <w:b/>
      <w:bCs/>
      <w:kern w:val="44"/>
      <w:sz w:val="44"/>
      <w:szCs w:val="44"/>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0"/>
    <w:pPr>
      <w:spacing w:after="120"/>
    </w:pPr>
  </w:style>
  <w:style w:type="paragraph" w:styleId="4">
    <w:name w:val="annotation text"/>
    <w:basedOn w:val="1"/>
    <w:qFormat/>
    <w:uiPriority w:val="0"/>
    <w:pPr>
      <w:jc w:val="left"/>
    </w:pPr>
  </w:style>
  <w:style w:type="paragraph" w:styleId="5">
    <w:name w:val="footer"/>
    <w:basedOn w:val="1"/>
    <w:qFormat/>
    <w:uiPriority w:val="0"/>
    <w:pPr>
      <w:tabs>
        <w:tab w:val="center" w:pos="4153"/>
        <w:tab w:val="right" w:pos="8306"/>
      </w:tabs>
      <w:snapToGrid w:val="0"/>
      <w:jc w:val="left"/>
    </w:pPr>
    <w:rPr>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14</Pages>
  <Words>6554</Words>
  <Characters>6978</Characters>
  <Lines>0</Lines>
  <Paragraphs>0</Paragraphs>
  <TotalTime>0</TotalTime>
  <ScaleCrop>false</ScaleCrop>
  <LinksUpToDate>false</LinksUpToDate>
  <CharactersWithSpaces>7014</CharactersWithSpaces>
  <Application>WPS Office_11.1.0.12650_F1E327BC-269C-435d-A152-05C5408002CA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2023-07-24T06:29:00Z</dcterms:created>
  <dc:creator>王致瑾</dc:creator>
  <cp:lastModifiedBy>王致瑾</cp:lastModifiedBy>
  <dcterms:modified xsi:type="dcterms:W3CDTF">2023-07-26T02:34:44Z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2052-11.1.0.12650</vt:lpwstr>
  </property>
  <property fmtid="{D5CDD505-2E9C-101B-9397-08002B2CF9AE}" pid="3" name="ICV">
    <vt:lpwstr>52ED8B5066C94A969DFADD486F8B99E4</vt:lpwstr>
  </property>
</Properties>
</file>