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B83E82">
      <w:pPr>
        <w:jc w:val="left"/>
        <w:rPr>
          <w:rFonts w:hint="eastAsia" w:ascii="宋体" w:hAnsi="宋体"/>
          <w:b/>
          <w:bCs/>
          <w:sz w:val="24"/>
        </w:rPr>
      </w:pPr>
      <w:bookmarkStart w:id="0" w:name="_Toc512937852"/>
    </w:p>
    <w:p w14:paraId="1A43E40D">
      <w:pPr>
        <w:jc w:val="left"/>
        <w:rPr>
          <w:rFonts w:hint="eastAsia" w:ascii="宋体" w:hAnsi="宋体"/>
          <w:szCs w:val="21"/>
        </w:rPr>
      </w:pPr>
    </w:p>
    <w:p w14:paraId="3C6979CC">
      <w:pPr>
        <w:adjustRightInd w:val="0"/>
        <w:snapToGrid w:val="0"/>
        <w:spacing w:after="156" w:afterLines="50" w:line="360" w:lineRule="auto"/>
        <w:jc w:val="center"/>
        <w:outlineLvl w:val="0"/>
        <w:rPr>
          <w:rFonts w:ascii="黑体" w:eastAsia="黑体"/>
          <w:b/>
          <w:kern w:val="44"/>
          <w:sz w:val="48"/>
          <w:szCs w:val="20"/>
        </w:rPr>
      </w:pPr>
      <w:bookmarkStart w:id="2" w:name="_GoBack"/>
      <w:bookmarkEnd w:id="2"/>
      <w:bookmarkStart w:id="1" w:name="_Toc129880039"/>
      <w:r>
        <w:rPr>
          <w:rFonts w:hint="eastAsia" w:ascii="宋体" w:hAnsi="宋体"/>
          <w:b/>
          <w:sz w:val="30"/>
          <w:szCs w:val="30"/>
        </w:rPr>
        <w:t>第八部分 采购需求</w:t>
      </w:r>
      <w:bookmarkEnd w:id="1"/>
    </w:p>
    <w:bookmarkEnd w:id="0"/>
    <w:p w14:paraId="7F3F2E48">
      <w:pPr>
        <w:adjustRightInd w:val="0"/>
        <w:snapToGrid w:val="0"/>
        <w:spacing w:before="156" w:beforeLines="50" w:after="156" w:afterLines="50" w:line="360" w:lineRule="auto"/>
        <w:jc w:val="center"/>
        <w:rPr>
          <w:rFonts w:hint="eastAsia" w:ascii="宋体" w:hAnsi="宋体"/>
          <w:b/>
          <w:sz w:val="24"/>
        </w:rPr>
      </w:pPr>
      <w:r>
        <w:rPr>
          <w:rFonts w:hint="eastAsia" w:ascii="宋体" w:hAnsi="宋体"/>
          <w:b/>
          <w:sz w:val="24"/>
        </w:rPr>
        <w:t>货物需求一览表</w:t>
      </w:r>
    </w:p>
    <w:p w14:paraId="5968DE2E">
      <w:pPr>
        <w:adjustRightInd w:val="0"/>
        <w:snapToGrid w:val="0"/>
        <w:jc w:val="center"/>
        <w:rPr>
          <w:rFonts w:hint="eastAsia" w:ascii="宋体" w:hAnsi="宋体"/>
          <w:b/>
          <w:sz w:val="30"/>
          <w:szCs w:val="30"/>
        </w:rPr>
      </w:pPr>
    </w:p>
    <w:tbl>
      <w:tblPr>
        <w:tblStyle w:val="38"/>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053B8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vAlign w:val="center"/>
          </w:tcPr>
          <w:p w14:paraId="4F02BC81">
            <w:pPr>
              <w:jc w:val="center"/>
              <w:rPr>
                <w:rFonts w:ascii="宋体" w:hAnsi="Bookman Old Style"/>
                <w:sz w:val="24"/>
              </w:rPr>
            </w:pPr>
            <w:r>
              <w:rPr>
                <w:rFonts w:hint="eastAsia" w:ascii="宋体" w:hAnsi="Bookman Old Style"/>
                <w:sz w:val="24"/>
              </w:rPr>
              <w:t>包号</w:t>
            </w:r>
          </w:p>
        </w:tc>
        <w:tc>
          <w:tcPr>
            <w:tcW w:w="2357" w:type="dxa"/>
            <w:vAlign w:val="center"/>
          </w:tcPr>
          <w:p w14:paraId="18D1446E">
            <w:pPr>
              <w:jc w:val="center"/>
              <w:rPr>
                <w:rFonts w:ascii="宋体" w:hAnsi="Bookman Old Style"/>
                <w:sz w:val="24"/>
              </w:rPr>
            </w:pPr>
            <w:r>
              <w:rPr>
                <w:rFonts w:hint="eastAsia" w:ascii="宋体" w:hAnsi="Bookman Old Style"/>
                <w:sz w:val="24"/>
              </w:rPr>
              <w:t>货物名称</w:t>
            </w:r>
          </w:p>
        </w:tc>
        <w:tc>
          <w:tcPr>
            <w:tcW w:w="1329" w:type="dxa"/>
            <w:vAlign w:val="center"/>
          </w:tcPr>
          <w:p w14:paraId="61451FF5">
            <w:pPr>
              <w:jc w:val="center"/>
              <w:rPr>
                <w:rFonts w:ascii="宋体" w:hAnsi="Bookman Old Style"/>
                <w:sz w:val="24"/>
              </w:rPr>
            </w:pPr>
            <w:r>
              <w:rPr>
                <w:rFonts w:hint="eastAsia" w:ascii="宋体" w:hAnsi="Bookman Old Style"/>
                <w:sz w:val="24"/>
              </w:rPr>
              <w:t>数量</w:t>
            </w:r>
          </w:p>
        </w:tc>
        <w:tc>
          <w:tcPr>
            <w:tcW w:w="2470" w:type="dxa"/>
            <w:vAlign w:val="center"/>
          </w:tcPr>
          <w:p w14:paraId="68EEBEEF">
            <w:pPr>
              <w:jc w:val="center"/>
              <w:rPr>
                <w:rFonts w:ascii="宋体" w:hAnsi="Bookman Old Style"/>
                <w:sz w:val="24"/>
              </w:rPr>
            </w:pPr>
            <w:r>
              <w:rPr>
                <w:rFonts w:hint="eastAsia" w:ascii="宋体" w:hAnsi="Bookman Old Style"/>
                <w:sz w:val="24"/>
              </w:rPr>
              <w:t>是否接受进口</w:t>
            </w:r>
          </w:p>
        </w:tc>
      </w:tr>
      <w:tr w14:paraId="2A794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vAlign w:val="center"/>
          </w:tcPr>
          <w:p w14:paraId="277009B5">
            <w:pPr>
              <w:jc w:val="center"/>
              <w:rPr>
                <w:rFonts w:ascii="宋体"/>
                <w:sz w:val="24"/>
              </w:rPr>
            </w:pPr>
            <w:r>
              <w:rPr>
                <w:rFonts w:hint="eastAsia" w:ascii="宋体"/>
                <w:sz w:val="24"/>
              </w:rPr>
              <w:t>1</w:t>
            </w:r>
          </w:p>
        </w:tc>
        <w:tc>
          <w:tcPr>
            <w:tcW w:w="2357" w:type="dxa"/>
            <w:vAlign w:val="center"/>
          </w:tcPr>
          <w:p w14:paraId="4C50E639">
            <w:pPr>
              <w:jc w:val="center"/>
              <w:rPr>
                <w:rFonts w:ascii="Bookman Old Style" w:hAnsi="Bookman Old Style"/>
                <w:sz w:val="24"/>
              </w:rPr>
            </w:pPr>
            <w:r>
              <w:rPr>
                <w:rFonts w:hint="eastAsia" w:ascii="宋体" w:hAnsi="Bookman Old Style"/>
                <w:sz w:val="24"/>
              </w:rPr>
              <w:t>质谱引导的制备液相</w:t>
            </w:r>
          </w:p>
        </w:tc>
        <w:tc>
          <w:tcPr>
            <w:tcW w:w="1329" w:type="dxa"/>
            <w:vAlign w:val="center"/>
          </w:tcPr>
          <w:p w14:paraId="4B38A771">
            <w:pPr>
              <w:jc w:val="center"/>
              <w:rPr>
                <w:rFonts w:ascii="宋体" w:hAnsi="Bookman Old Style"/>
                <w:sz w:val="24"/>
              </w:rPr>
            </w:pPr>
            <w:r>
              <w:rPr>
                <w:rFonts w:hint="eastAsia" w:ascii="宋体" w:hAnsi="Bookman Old Style"/>
                <w:sz w:val="24"/>
              </w:rPr>
              <w:t>1套</w:t>
            </w:r>
          </w:p>
        </w:tc>
        <w:tc>
          <w:tcPr>
            <w:tcW w:w="2470" w:type="dxa"/>
            <w:vAlign w:val="center"/>
          </w:tcPr>
          <w:p w14:paraId="4B1F301F">
            <w:pPr>
              <w:jc w:val="center"/>
              <w:rPr>
                <w:rFonts w:ascii="宋体" w:hAnsi="Bookman Old Style"/>
                <w:sz w:val="24"/>
              </w:rPr>
            </w:pPr>
            <w:r>
              <w:rPr>
                <w:rFonts w:hint="eastAsia" w:ascii="宋体" w:hAnsi="Bookman Old Style"/>
                <w:sz w:val="24"/>
              </w:rPr>
              <w:t>是</w:t>
            </w:r>
          </w:p>
        </w:tc>
      </w:tr>
    </w:tbl>
    <w:p w14:paraId="32985C5B">
      <w:pPr>
        <w:adjustRightInd w:val="0"/>
        <w:snapToGrid w:val="0"/>
        <w:jc w:val="center"/>
        <w:rPr>
          <w:rFonts w:hint="eastAsia" w:ascii="宋体" w:hAnsi="宋体"/>
          <w:b/>
          <w:sz w:val="30"/>
          <w:szCs w:val="30"/>
        </w:rPr>
      </w:pPr>
    </w:p>
    <w:p w14:paraId="681A5BFE">
      <w:pPr>
        <w:adjustRightInd w:val="0"/>
        <w:snapToGrid w:val="0"/>
        <w:jc w:val="center"/>
        <w:rPr>
          <w:rFonts w:hint="eastAsia" w:ascii="宋体" w:hAnsi="宋体"/>
          <w:b/>
          <w:sz w:val="30"/>
          <w:szCs w:val="30"/>
        </w:rPr>
      </w:pPr>
    </w:p>
    <w:p w14:paraId="3A8A43D3">
      <w:pPr>
        <w:rPr>
          <w:rFonts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14:paraId="0057F437">
      <w:pPr>
        <w:adjustRightInd w:val="0"/>
        <w:snapToGrid w:val="0"/>
        <w:rPr>
          <w:rFonts w:hint="eastAsia" w:ascii="宋体" w:hAnsi="宋体"/>
          <w:szCs w:val="21"/>
        </w:rPr>
      </w:pPr>
    </w:p>
    <w:p w14:paraId="6613E7DF">
      <w:pPr>
        <w:adjustRightInd w:val="0"/>
        <w:snapToGrid w:val="0"/>
        <w:rPr>
          <w:rFonts w:hint="eastAsia" w:ascii="宋体" w:hAnsi="宋体"/>
          <w:szCs w:val="21"/>
        </w:rPr>
      </w:pPr>
    </w:p>
    <w:p w14:paraId="2AA9ADB7">
      <w:pPr>
        <w:adjustRightInd w:val="0"/>
        <w:snapToGrid w:val="0"/>
        <w:rPr>
          <w:rFonts w:hint="eastAsia" w:ascii="宋体" w:hAnsi="宋体"/>
          <w:szCs w:val="21"/>
        </w:rPr>
      </w:pPr>
    </w:p>
    <w:p w14:paraId="774A0964">
      <w:pPr>
        <w:adjustRightInd w:val="0"/>
        <w:snapToGrid w:val="0"/>
        <w:spacing w:line="360" w:lineRule="auto"/>
        <w:rPr>
          <w:rFonts w:hint="eastAsia" w:ascii="宋体" w:hAnsi="宋体"/>
          <w:b/>
          <w:sz w:val="28"/>
          <w:szCs w:val="28"/>
        </w:rPr>
      </w:pPr>
      <w:r>
        <w:rPr>
          <w:rFonts w:ascii="宋体" w:hAnsi="宋体"/>
          <w:b/>
          <w:sz w:val="30"/>
          <w:szCs w:val="30"/>
        </w:rPr>
        <w:br w:type="page"/>
      </w:r>
      <w:r>
        <w:rPr>
          <w:rFonts w:hint="eastAsia" w:ascii="宋体" w:hAnsi="宋体"/>
          <w:b/>
          <w:sz w:val="28"/>
          <w:szCs w:val="28"/>
        </w:rPr>
        <w:t>一、总则</w:t>
      </w:r>
    </w:p>
    <w:p w14:paraId="7F48F626">
      <w:pPr>
        <w:adjustRightInd w:val="0"/>
        <w:snapToGrid w:val="0"/>
        <w:spacing w:line="360" w:lineRule="auto"/>
        <w:rPr>
          <w:rFonts w:hint="eastAsia" w:ascii="宋体" w:hAnsi="宋体"/>
          <w:b/>
          <w:sz w:val="28"/>
          <w:szCs w:val="28"/>
        </w:rPr>
      </w:pPr>
      <w:r>
        <w:rPr>
          <w:rFonts w:ascii="宋体" w:hAnsi="宋体"/>
          <w:b/>
          <w:sz w:val="28"/>
          <w:szCs w:val="28"/>
        </w:rPr>
        <w:t>1</w:t>
      </w:r>
      <w:r>
        <w:rPr>
          <w:rFonts w:hint="eastAsia" w:ascii="宋体" w:hAnsi="宋体"/>
          <w:b/>
          <w:sz w:val="28"/>
          <w:szCs w:val="28"/>
        </w:rPr>
        <w:t>、投标要求</w:t>
      </w:r>
    </w:p>
    <w:p w14:paraId="7631D7C0">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0FF7F94A">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26881F42">
      <w:pPr>
        <w:spacing w:line="360" w:lineRule="auto"/>
        <w:ind w:left="554" w:hanging="554" w:hangingChars="231"/>
        <w:rPr>
          <w:rFonts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w:t>
      </w:r>
    </w:p>
    <w:p w14:paraId="0717CEE1">
      <w:pPr>
        <w:spacing w:line="360" w:lineRule="auto"/>
        <w:ind w:left="554" w:hanging="554" w:hangingChars="231"/>
        <w:rPr>
          <w:rFonts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073E4DC8">
      <w:pPr>
        <w:adjustRightInd w:val="0"/>
        <w:snapToGrid w:val="0"/>
        <w:spacing w:line="360" w:lineRule="auto"/>
        <w:rPr>
          <w:rFonts w:hint="eastAsia" w:ascii="宋体" w:hAnsi="宋体"/>
          <w:b/>
          <w:sz w:val="28"/>
          <w:szCs w:val="28"/>
        </w:rPr>
      </w:pPr>
      <w:r>
        <w:rPr>
          <w:rFonts w:hint="eastAsia" w:ascii="宋体" w:hAnsi="宋体"/>
          <w:b/>
          <w:sz w:val="28"/>
          <w:szCs w:val="28"/>
        </w:rPr>
        <w:t>2、评标标准</w:t>
      </w:r>
    </w:p>
    <w:p w14:paraId="31DA1DE8">
      <w:pPr>
        <w:spacing w:line="360" w:lineRule="auto"/>
        <w:ind w:left="554" w:hanging="554" w:hangingChars="231"/>
        <w:rPr>
          <w:rFonts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28321861">
      <w:pPr>
        <w:spacing w:line="360" w:lineRule="auto"/>
        <w:ind w:left="554" w:hanging="554" w:hangingChars="231"/>
        <w:rPr>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1BED5729">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38111E72">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3E8BBF64">
      <w:pPr>
        <w:spacing w:line="360" w:lineRule="auto"/>
        <w:ind w:left="554" w:hanging="554" w:hangingChars="231"/>
        <w:rPr>
          <w:rFonts w:hint="eastAsia"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06F92609">
      <w:pPr>
        <w:adjustRightInd w:val="0"/>
        <w:snapToGrid w:val="0"/>
        <w:spacing w:line="360" w:lineRule="auto"/>
        <w:rPr>
          <w:rFonts w:hint="eastAsia" w:ascii="宋体" w:hAnsi="宋体"/>
          <w:b/>
          <w:sz w:val="28"/>
          <w:szCs w:val="28"/>
        </w:rPr>
      </w:pPr>
      <w:r>
        <w:rPr>
          <w:rFonts w:hint="eastAsia" w:ascii="宋体" w:hAnsi="宋体"/>
          <w:b/>
          <w:sz w:val="28"/>
          <w:szCs w:val="28"/>
        </w:rPr>
        <w:t>3、工作条件</w:t>
      </w:r>
    </w:p>
    <w:p w14:paraId="495E2778">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1606ABCD">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6C7F1627">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620D72FB">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1327EC34">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0692685B">
      <w:pPr>
        <w:rPr>
          <w:rFonts w:eastAsia="黑体"/>
          <w:b/>
          <w:bCs/>
          <w:kern w:val="44"/>
          <w:sz w:val="24"/>
        </w:rPr>
      </w:pPr>
    </w:p>
    <w:p w14:paraId="21C9EBB8">
      <w:pPr>
        <w:adjustRightInd w:val="0"/>
        <w:snapToGrid w:val="0"/>
        <w:spacing w:line="360" w:lineRule="auto"/>
        <w:rPr>
          <w:rFonts w:hint="eastAsia" w:ascii="宋体" w:hAnsi="宋体"/>
          <w:b/>
          <w:sz w:val="28"/>
          <w:szCs w:val="28"/>
        </w:rPr>
      </w:pPr>
      <w:r>
        <w:rPr>
          <w:rFonts w:hint="eastAsia" w:ascii="宋体" w:hAnsi="宋体"/>
          <w:b/>
          <w:sz w:val="28"/>
          <w:szCs w:val="28"/>
        </w:rPr>
        <w:t>4、验收标准</w:t>
      </w:r>
    </w:p>
    <w:p w14:paraId="72F88279">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14:paraId="28D85655">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2DFE097C">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65E1D3D7">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215ED324">
      <w:pPr>
        <w:pStyle w:val="20"/>
        <w:spacing w:line="360" w:lineRule="auto"/>
        <w:ind w:left="410" w:hanging="410" w:hangingChars="170"/>
        <w:rPr>
          <w:rFonts w:hint="eastAsia" w:hAnsi="宋体"/>
          <w:b/>
          <w:sz w:val="24"/>
          <w:szCs w:val="24"/>
        </w:rPr>
      </w:pPr>
    </w:p>
    <w:p w14:paraId="02757E76">
      <w:pPr>
        <w:adjustRightInd w:val="0"/>
        <w:snapToGrid w:val="0"/>
        <w:spacing w:line="360" w:lineRule="auto"/>
        <w:rPr>
          <w:rFonts w:hint="eastAsia" w:hAnsi="宋体"/>
          <w:b/>
          <w:sz w:val="24"/>
        </w:rPr>
      </w:pPr>
      <w:r>
        <w:rPr>
          <w:rFonts w:hint="eastAsia"/>
          <w:b/>
          <w:bCs/>
          <w:sz w:val="24"/>
        </w:rPr>
        <w:t>5、本采购需求书中标注“★”号技术条款的为实质性要求，不满足其投标将视为无效投标被拒绝。</w:t>
      </w:r>
    </w:p>
    <w:p w14:paraId="742EEBED">
      <w:pPr>
        <w:adjustRightInd w:val="0"/>
        <w:snapToGrid w:val="0"/>
        <w:spacing w:line="360" w:lineRule="auto"/>
        <w:rPr>
          <w:rFonts w:hint="eastAsia" w:ascii="宋体" w:hAnsi="宋体"/>
          <w:b/>
          <w:sz w:val="24"/>
        </w:rPr>
      </w:pPr>
    </w:p>
    <w:p w14:paraId="713D8A43">
      <w:pPr>
        <w:adjustRightInd w:val="0"/>
        <w:snapToGrid w:val="0"/>
        <w:spacing w:line="360" w:lineRule="auto"/>
        <w:rPr>
          <w:rFonts w:hint="eastAsia" w:ascii="宋体" w:hAnsi="宋体"/>
          <w:b/>
          <w:sz w:val="24"/>
        </w:rPr>
      </w:pPr>
      <w:r>
        <w:rPr>
          <w:rFonts w:hint="eastAsia" w:ascii="宋体" w:hAnsi="宋体"/>
          <w:b/>
          <w:sz w:val="24"/>
        </w:rPr>
        <w:t>6、如在具体技术规格中有本总则不一致之处，以具体技术规格中的要求为准。</w:t>
      </w:r>
    </w:p>
    <w:p w14:paraId="4B92B2DB">
      <w:pPr>
        <w:adjustRightInd w:val="0"/>
        <w:snapToGrid w:val="0"/>
        <w:spacing w:line="360" w:lineRule="auto"/>
        <w:rPr>
          <w:rFonts w:hint="eastAsia" w:ascii="宋体" w:hAnsi="宋体"/>
          <w:b/>
          <w:sz w:val="28"/>
          <w:szCs w:val="28"/>
        </w:rPr>
      </w:pPr>
      <w:r>
        <w:rPr>
          <w:rFonts w:ascii="宋体" w:hAnsi="宋体"/>
          <w:b/>
          <w:sz w:val="28"/>
        </w:rPr>
        <w:br w:type="page"/>
      </w:r>
      <w:r>
        <w:rPr>
          <w:rFonts w:hint="eastAsia" w:ascii="宋体" w:hAnsi="宋体"/>
          <w:b/>
          <w:sz w:val="28"/>
          <w:szCs w:val="28"/>
        </w:rPr>
        <w:t>二、具体技术规格</w:t>
      </w:r>
    </w:p>
    <w:p w14:paraId="5FE51D6D">
      <w:pPr>
        <w:jc w:val="center"/>
        <w:rPr>
          <w:b/>
          <w:sz w:val="24"/>
        </w:rPr>
      </w:pPr>
      <w:r>
        <w:rPr>
          <w:b/>
          <w:sz w:val="24"/>
        </w:rPr>
        <w:t xml:space="preserve">第1包 </w:t>
      </w:r>
      <w:r>
        <w:rPr>
          <w:rFonts w:hint="eastAsia"/>
          <w:b/>
          <w:sz w:val="24"/>
        </w:rPr>
        <w:t>质谱引导的制备液相</w:t>
      </w:r>
    </w:p>
    <w:p w14:paraId="5DF809E3">
      <w:pPr>
        <w:rPr>
          <w:b/>
          <w:sz w:val="24"/>
        </w:rPr>
      </w:pPr>
    </w:p>
    <w:p w14:paraId="4BBA0A8F">
      <w:pPr>
        <w:rPr>
          <w:b/>
          <w:sz w:val="24"/>
        </w:rPr>
      </w:pPr>
    </w:p>
    <w:p w14:paraId="492F778C">
      <w:pPr>
        <w:numPr>
          <w:ilvl w:val="0"/>
          <w:numId w:val="1"/>
        </w:numPr>
        <w:rPr>
          <w:b/>
          <w:sz w:val="24"/>
        </w:rPr>
      </w:pPr>
      <w:r>
        <w:rPr>
          <w:rFonts w:hint="eastAsia"/>
          <w:b/>
          <w:sz w:val="24"/>
        </w:rPr>
        <w:t>技术要求：</w:t>
      </w:r>
    </w:p>
    <w:p w14:paraId="43FC7B4D">
      <w:pPr>
        <w:rPr>
          <w:b/>
          <w:sz w:val="24"/>
        </w:rPr>
      </w:pPr>
    </w:p>
    <w:p w14:paraId="66DF736E">
      <w:pPr>
        <w:numPr>
          <w:ilvl w:val="0"/>
          <w:numId w:val="2"/>
        </w:numPr>
        <w:spacing w:line="360" w:lineRule="auto"/>
        <w:rPr>
          <w:b/>
          <w:sz w:val="24"/>
        </w:rPr>
      </w:pPr>
      <w:r>
        <w:rPr>
          <w:rFonts w:hint="eastAsia"/>
          <w:b/>
          <w:sz w:val="24"/>
        </w:rPr>
        <w:t>工作条件：</w:t>
      </w:r>
    </w:p>
    <w:p w14:paraId="5FCDAF0F">
      <w:pPr>
        <w:pStyle w:val="22"/>
        <w:spacing w:line="360" w:lineRule="auto"/>
        <w:rPr>
          <w:rFonts w:hint="eastAsia" w:ascii="inherit" w:hAnsi="inherit" w:cs="宋体"/>
          <w:kern w:val="0"/>
          <w:sz w:val="24"/>
          <w:szCs w:val="24"/>
        </w:rPr>
      </w:pPr>
      <w:r>
        <w:rPr>
          <w:rFonts w:hint="eastAsia" w:ascii="inherit" w:hAnsi="inherit" w:cs="宋体"/>
          <w:kern w:val="0"/>
          <w:sz w:val="24"/>
          <w:szCs w:val="24"/>
        </w:rPr>
        <w:t>1.1. 环境温度：</w:t>
      </w:r>
      <w:r>
        <w:rPr>
          <w:rFonts w:ascii="inherit" w:hAnsi="inherit" w:cs="宋体"/>
          <w:kern w:val="0"/>
          <w:sz w:val="24"/>
          <w:szCs w:val="24"/>
        </w:rPr>
        <w:t>4.0~40.0 °C </w:t>
      </w:r>
    </w:p>
    <w:p w14:paraId="70C1BAE6">
      <w:pPr>
        <w:pStyle w:val="22"/>
        <w:spacing w:line="360" w:lineRule="auto"/>
        <w:rPr>
          <w:rFonts w:hint="eastAsia" w:ascii="inherit" w:hAnsi="inherit" w:cs="宋体"/>
          <w:kern w:val="0"/>
          <w:sz w:val="24"/>
          <w:szCs w:val="24"/>
        </w:rPr>
      </w:pPr>
      <w:r>
        <w:rPr>
          <w:rFonts w:hint="eastAsia" w:ascii="inherit" w:hAnsi="inherit" w:cs="宋体"/>
          <w:kern w:val="0"/>
          <w:sz w:val="24"/>
          <w:szCs w:val="24"/>
        </w:rPr>
        <w:t>1.2. 相对湿度：20-80%</w:t>
      </w:r>
    </w:p>
    <w:p w14:paraId="532BEB56">
      <w:pPr>
        <w:pStyle w:val="22"/>
        <w:spacing w:line="360" w:lineRule="auto"/>
        <w:rPr>
          <w:rFonts w:hint="eastAsia" w:ascii="inherit" w:hAnsi="inherit" w:cs="宋体"/>
          <w:kern w:val="0"/>
          <w:sz w:val="24"/>
          <w:szCs w:val="24"/>
        </w:rPr>
      </w:pPr>
      <w:r>
        <w:rPr>
          <w:rFonts w:hint="eastAsia" w:ascii="inherit" w:hAnsi="inherit" w:cs="宋体"/>
          <w:kern w:val="0"/>
          <w:sz w:val="24"/>
          <w:szCs w:val="24"/>
        </w:rPr>
        <w:t>1.3. 工作电压：</w:t>
      </w:r>
      <w:r>
        <w:rPr>
          <w:rFonts w:ascii="inherit" w:hAnsi="inherit" w:cs="宋体"/>
          <w:kern w:val="0"/>
          <w:sz w:val="24"/>
          <w:szCs w:val="24"/>
        </w:rPr>
        <w:t xml:space="preserve">220V±10% </w:t>
      </w:r>
      <w:r>
        <w:rPr>
          <w:rFonts w:hint="eastAsia" w:ascii="inherit" w:hAnsi="inherit" w:cs="宋体"/>
          <w:kern w:val="0"/>
          <w:sz w:val="24"/>
          <w:szCs w:val="24"/>
        </w:rPr>
        <w:t>，</w:t>
      </w:r>
      <w:r>
        <w:rPr>
          <w:rFonts w:ascii="inherit" w:hAnsi="inherit" w:cs="宋体"/>
          <w:kern w:val="0"/>
          <w:sz w:val="24"/>
          <w:szCs w:val="24"/>
        </w:rPr>
        <w:t>50Hz</w:t>
      </w:r>
    </w:p>
    <w:p w14:paraId="7B2F8D79">
      <w:pPr>
        <w:spacing w:line="360" w:lineRule="auto"/>
        <w:ind w:left="435" w:firstLine="240"/>
        <w:rPr>
          <w:sz w:val="24"/>
        </w:rPr>
      </w:pPr>
    </w:p>
    <w:p w14:paraId="44543CC0">
      <w:pPr>
        <w:numPr>
          <w:ilvl w:val="0"/>
          <w:numId w:val="2"/>
        </w:numPr>
        <w:spacing w:line="360" w:lineRule="auto"/>
        <w:rPr>
          <w:b/>
          <w:sz w:val="24"/>
        </w:rPr>
      </w:pPr>
      <w:r>
        <w:rPr>
          <w:rFonts w:hint="eastAsia"/>
          <w:b/>
          <w:sz w:val="24"/>
        </w:rPr>
        <w:t>设备用途：</w:t>
      </w:r>
    </w:p>
    <w:p w14:paraId="0723533E">
      <w:pPr>
        <w:spacing w:line="360" w:lineRule="auto"/>
        <w:ind w:firstLine="480" w:firstLineChars="200"/>
        <w:rPr>
          <w:sz w:val="24"/>
        </w:rPr>
      </w:pPr>
      <w:r>
        <w:rPr>
          <w:rFonts w:hint="eastAsia"/>
          <w:sz w:val="24"/>
        </w:rPr>
        <w:t xml:space="preserve">主要用于研究聚合物的高通量化合物分离纯化，可以满足聚合物中基质复杂、化合物含量种类繁多等各种挑战。系统可以自动进行化合物制备-馏分分析的全自动过程。根据紫外和质谱信号对目标峰进行触发收集，各种智能化的收集模式和紫外和质谱的混合收集功能保证了化合物最大的纯度。各种硬件和软件功能的结合帮助收集化合物最大的通量和回收率。质谱引导的自动纯化系统只收集目标化合物，并得到目标化合物的质量信息。   </w:t>
      </w:r>
    </w:p>
    <w:p w14:paraId="579F5C5C">
      <w:pPr>
        <w:spacing w:line="360" w:lineRule="auto"/>
        <w:rPr>
          <w:sz w:val="24"/>
        </w:rPr>
      </w:pPr>
    </w:p>
    <w:p w14:paraId="07A8A66A">
      <w:pPr>
        <w:numPr>
          <w:ilvl w:val="0"/>
          <w:numId w:val="2"/>
        </w:numPr>
        <w:spacing w:line="360" w:lineRule="auto"/>
        <w:rPr>
          <w:b/>
          <w:sz w:val="24"/>
        </w:rPr>
      </w:pPr>
      <w:r>
        <w:rPr>
          <w:rFonts w:hint="eastAsia"/>
          <w:b/>
          <w:sz w:val="24"/>
        </w:rPr>
        <w:t>技术规格：</w:t>
      </w:r>
    </w:p>
    <w:p w14:paraId="54E9BABD">
      <w:pPr>
        <w:spacing w:line="360" w:lineRule="auto"/>
        <w:rPr>
          <w:b/>
          <w:bCs/>
          <w:sz w:val="24"/>
        </w:rPr>
      </w:pPr>
      <w:r>
        <w:rPr>
          <w:b/>
          <w:bCs/>
          <w:sz w:val="24"/>
        </w:rPr>
        <w:t>3.1</w:t>
      </w:r>
      <w:r>
        <w:rPr>
          <w:rFonts w:hint="eastAsia"/>
          <w:b/>
          <w:bCs/>
          <w:sz w:val="24"/>
        </w:rPr>
        <w:t>、二元高压梯度泵</w:t>
      </w:r>
    </w:p>
    <w:p w14:paraId="25ADB523">
      <w:pPr>
        <w:spacing w:line="360" w:lineRule="auto"/>
        <w:ind w:firstLine="240" w:firstLineChars="100"/>
        <w:rPr>
          <w:sz w:val="24"/>
        </w:rPr>
      </w:pPr>
      <w:r>
        <w:rPr>
          <w:rFonts w:hint="eastAsia"/>
          <w:sz w:val="24"/>
        </w:rPr>
        <w:t>★3.1.1流速范围：0.50-150.00mL/min （提供厂家盖章的承诺书）</w:t>
      </w:r>
    </w:p>
    <w:p w14:paraId="140AB657">
      <w:pPr>
        <w:spacing w:line="360" w:lineRule="auto"/>
        <w:ind w:firstLine="240" w:firstLineChars="100"/>
        <w:rPr>
          <w:sz w:val="24"/>
        </w:rPr>
      </w:pPr>
      <w:r>
        <w:rPr>
          <w:rFonts w:hint="eastAsia"/>
          <w:sz w:val="24"/>
        </w:rPr>
        <w:t>3.1.2流速准确度：±1.0%</w:t>
      </w:r>
    </w:p>
    <w:p w14:paraId="7A01EB0A">
      <w:pPr>
        <w:spacing w:line="360" w:lineRule="auto"/>
        <w:ind w:firstLine="240" w:firstLineChars="100"/>
        <w:rPr>
          <w:sz w:val="24"/>
        </w:rPr>
      </w:pPr>
      <w:r>
        <w:rPr>
          <w:rFonts w:hint="eastAsia"/>
          <w:sz w:val="24"/>
        </w:rPr>
        <w:t>3.1.3延迟体积：≤350µL，不随反压变化</w:t>
      </w:r>
    </w:p>
    <w:p w14:paraId="36A2CAC1">
      <w:pPr>
        <w:spacing w:line="360" w:lineRule="auto"/>
        <w:ind w:firstLine="240" w:firstLineChars="100"/>
        <w:rPr>
          <w:sz w:val="24"/>
        </w:rPr>
      </w:pPr>
      <w:r>
        <w:rPr>
          <w:rFonts w:hint="eastAsia"/>
          <w:sz w:val="24"/>
        </w:rPr>
        <w:t>3.1.4流速增量：0.01mL/min</w:t>
      </w:r>
    </w:p>
    <w:p w14:paraId="1E492C27">
      <w:pPr>
        <w:spacing w:line="360" w:lineRule="auto"/>
        <w:ind w:firstLine="240" w:firstLineChars="100"/>
        <w:rPr>
          <w:sz w:val="24"/>
        </w:rPr>
      </w:pPr>
      <w:r>
        <w:rPr>
          <w:rFonts w:hint="eastAsia"/>
          <w:sz w:val="24"/>
        </w:rPr>
        <w:t>#3.1.5操作压力：分析和制备过程，最大操作压力均≥5,000 psi</w:t>
      </w:r>
    </w:p>
    <w:p w14:paraId="782F8611">
      <w:pPr>
        <w:spacing w:line="360" w:lineRule="auto"/>
        <w:ind w:firstLine="240" w:firstLineChars="100"/>
        <w:rPr>
          <w:sz w:val="24"/>
        </w:rPr>
      </w:pPr>
      <w:r>
        <w:rPr>
          <w:rFonts w:hint="eastAsia"/>
          <w:sz w:val="24"/>
        </w:rPr>
        <w:t>#3.1.6梯度曲线：具备≥10条梯度曲线，包括线性、步进、凸线和凹线的梯度模式（提供软件截图作为技术支持</w:t>
      </w:r>
      <w:r>
        <w:rPr>
          <w:sz w:val="24"/>
        </w:rPr>
        <w:t>文件</w:t>
      </w:r>
      <w:r>
        <w:rPr>
          <w:rFonts w:hint="eastAsia"/>
          <w:sz w:val="24"/>
        </w:rPr>
        <w:t>材料）</w:t>
      </w:r>
    </w:p>
    <w:p w14:paraId="52373954">
      <w:pPr>
        <w:spacing w:line="360" w:lineRule="auto"/>
        <w:ind w:firstLine="240" w:firstLineChars="100"/>
        <w:rPr>
          <w:sz w:val="24"/>
        </w:rPr>
      </w:pPr>
      <w:r>
        <w:rPr>
          <w:rFonts w:hint="eastAsia"/>
          <w:sz w:val="24"/>
        </w:rPr>
        <w:t>3.1.7泵精准性高，可实现分析和半制备的批间重现性</w:t>
      </w:r>
    </w:p>
    <w:p w14:paraId="2B9F2ECC">
      <w:pPr>
        <w:spacing w:line="360" w:lineRule="auto"/>
        <w:ind w:firstLine="240" w:firstLineChars="100"/>
        <w:rPr>
          <w:sz w:val="24"/>
        </w:rPr>
      </w:pPr>
      <w:r>
        <w:rPr>
          <w:rFonts w:hint="eastAsia"/>
          <w:sz w:val="24"/>
        </w:rPr>
        <w:t>3.1.8泵具有密封冲洗功能</w:t>
      </w:r>
    </w:p>
    <w:p w14:paraId="74B55AAC">
      <w:pPr>
        <w:spacing w:line="360" w:lineRule="auto"/>
        <w:rPr>
          <w:sz w:val="24"/>
        </w:rPr>
      </w:pPr>
    </w:p>
    <w:p w14:paraId="14D31570">
      <w:pPr>
        <w:spacing w:line="360" w:lineRule="auto"/>
        <w:rPr>
          <w:b/>
          <w:bCs/>
          <w:sz w:val="24"/>
        </w:rPr>
      </w:pPr>
      <w:r>
        <w:rPr>
          <w:b/>
          <w:bCs/>
          <w:sz w:val="24"/>
        </w:rPr>
        <w:t>3.2</w:t>
      </w:r>
      <w:r>
        <w:rPr>
          <w:rFonts w:hint="eastAsia"/>
          <w:b/>
          <w:bCs/>
          <w:sz w:val="24"/>
        </w:rPr>
        <w:t>补偿泵</w:t>
      </w:r>
    </w:p>
    <w:p w14:paraId="00EA2E8D">
      <w:pPr>
        <w:spacing w:line="360" w:lineRule="auto"/>
        <w:ind w:firstLine="240" w:firstLineChars="100"/>
        <w:rPr>
          <w:sz w:val="24"/>
        </w:rPr>
      </w:pPr>
      <w:r>
        <w:rPr>
          <w:rFonts w:hint="eastAsia"/>
          <w:sz w:val="24"/>
        </w:rPr>
        <w:t>#3.2.1流速范围：0.000-10.000mL/min，增量0.001 mL/min</w:t>
      </w:r>
    </w:p>
    <w:p w14:paraId="330887ED">
      <w:pPr>
        <w:spacing w:line="360" w:lineRule="auto"/>
        <w:ind w:firstLine="240" w:firstLineChars="100"/>
        <w:rPr>
          <w:sz w:val="24"/>
        </w:rPr>
      </w:pPr>
      <w:r>
        <w:rPr>
          <w:rFonts w:hint="eastAsia"/>
          <w:sz w:val="24"/>
        </w:rPr>
        <w:t>3.2.2流速准确度：±1.0%</w:t>
      </w:r>
    </w:p>
    <w:p w14:paraId="69536B7C">
      <w:pPr>
        <w:spacing w:line="360" w:lineRule="auto"/>
        <w:ind w:firstLine="240" w:firstLineChars="100"/>
        <w:rPr>
          <w:sz w:val="24"/>
        </w:rPr>
      </w:pPr>
      <w:r>
        <w:rPr>
          <w:rFonts w:hint="eastAsia"/>
          <w:sz w:val="24"/>
        </w:rPr>
        <w:t>#3.2.3最大操作压力：≥ 5000psi</w:t>
      </w:r>
    </w:p>
    <w:p w14:paraId="404F57F7">
      <w:pPr>
        <w:spacing w:line="360" w:lineRule="auto"/>
        <w:ind w:firstLine="240" w:firstLineChars="100"/>
        <w:rPr>
          <w:sz w:val="24"/>
        </w:rPr>
      </w:pPr>
      <w:r>
        <w:rPr>
          <w:rFonts w:hint="eastAsia"/>
          <w:sz w:val="24"/>
        </w:rPr>
        <w:t>3.2.4流速精度：&lt;0.1% RSD</w:t>
      </w:r>
    </w:p>
    <w:p w14:paraId="2721075D">
      <w:pPr>
        <w:spacing w:line="360" w:lineRule="auto"/>
        <w:ind w:firstLine="240" w:firstLineChars="100"/>
        <w:rPr>
          <w:sz w:val="24"/>
        </w:rPr>
      </w:pPr>
    </w:p>
    <w:p w14:paraId="3924390D">
      <w:pPr>
        <w:spacing w:line="360" w:lineRule="auto"/>
        <w:rPr>
          <w:b/>
          <w:bCs/>
          <w:sz w:val="24"/>
        </w:rPr>
      </w:pPr>
      <w:r>
        <w:rPr>
          <w:b/>
          <w:bCs/>
          <w:sz w:val="24"/>
        </w:rPr>
        <w:t>3.3</w:t>
      </w:r>
      <w:r>
        <w:rPr>
          <w:rFonts w:hint="eastAsia"/>
          <w:b/>
          <w:bCs/>
          <w:sz w:val="24"/>
        </w:rPr>
        <w:t>全自动进样及馏分收集系统</w:t>
      </w:r>
    </w:p>
    <w:p w14:paraId="3DAD7F64">
      <w:pPr>
        <w:spacing w:line="360" w:lineRule="auto"/>
        <w:ind w:firstLine="240" w:firstLineChars="100"/>
        <w:rPr>
          <w:sz w:val="24"/>
        </w:rPr>
      </w:pPr>
      <w:r>
        <w:rPr>
          <w:rFonts w:hint="eastAsia"/>
          <w:sz w:val="24"/>
        </w:rPr>
        <w:t>3.3.1能够实现从粗品分析到馏分收集，再到馏分纯度再分析的全自动化过程的纯化系统。</w:t>
      </w:r>
    </w:p>
    <w:p w14:paraId="43FCE6BC">
      <w:pPr>
        <w:spacing w:line="360" w:lineRule="auto"/>
        <w:ind w:firstLine="240" w:firstLineChars="100"/>
        <w:rPr>
          <w:sz w:val="24"/>
        </w:rPr>
      </w:pPr>
      <w:r>
        <w:rPr>
          <w:rFonts w:hint="eastAsia"/>
          <w:sz w:val="24"/>
        </w:rPr>
        <w:t>#3.3.2进样体积：分析进样体积≥20ul，根据工作需要，后期可扩展到不小于100ul； 制备进样体积≥1ml, 根据工作需要，后期可扩展到不小于125ml。</w:t>
      </w:r>
    </w:p>
    <w:p w14:paraId="582C981B">
      <w:pPr>
        <w:spacing w:line="360" w:lineRule="auto"/>
        <w:ind w:firstLine="240" w:firstLineChars="100"/>
        <w:rPr>
          <w:sz w:val="24"/>
        </w:rPr>
      </w:pPr>
      <w:r>
        <w:rPr>
          <w:rFonts w:hint="eastAsia"/>
          <w:sz w:val="24"/>
        </w:rPr>
        <w:t xml:space="preserve">3.3.3进样架：≥70位4mL进样架，也可自定义收集瓶（如烧杯，锥形瓶及大型收集捅等） </w:t>
      </w:r>
    </w:p>
    <w:p w14:paraId="41D42D88">
      <w:pPr>
        <w:spacing w:line="360" w:lineRule="auto"/>
        <w:ind w:firstLine="240" w:firstLineChars="100"/>
        <w:rPr>
          <w:sz w:val="24"/>
        </w:rPr>
      </w:pPr>
      <w:r>
        <w:rPr>
          <w:rFonts w:hint="eastAsia"/>
          <w:sz w:val="24"/>
        </w:rPr>
        <w:t>3.3.4收集系统：开放式收集系统</w:t>
      </w:r>
    </w:p>
    <w:p w14:paraId="03E39F90">
      <w:pPr>
        <w:spacing w:line="360" w:lineRule="auto"/>
        <w:ind w:firstLine="240" w:firstLineChars="100"/>
        <w:rPr>
          <w:sz w:val="24"/>
        </w:rPr>
      </w:pPr>
      <w:r>
        <w:rPr>
          <w:rFonts w:hint="eastAsia"/>
          <w:sz w:val="24"/>
        </w:rPr>
        <w:t>3.3.5进样循环时间≤30s</w:t>
      </w:r>
    </w:p>
    <w:p w14:paraId="4E6D1308">
      <w:pPr>
        <w:spacing w:line="360" w:lineRule="auto"/>
        <w:ind w:firstLine="240" w:firstLineChars="100"/>
        <w:rPr>
          <w:sz w:val="24"/>
        </w:rPr>
      </w:pPr>
      <w:r>
        <w:rPr>
          <w:rFonts w:hint="eastAsia"/>
          <w:sz w:val="24"/>
        </w:rPr>
        <w:t>#3.3.6交叉污染≤0.05%，双洗针系统，可自定义清洗时间</w:t>
      </w:r>
    </w:p>
    <w:p w14:paraId="497FEAD4">
      <w:pPr>
        <w:spacing w:line="360" w:lineRule="auto"/>
        <w:ind w:firstLine="240" w:firstLineChars="100"/>
        <w:rPr>
          <w:sz w:val="24"/>
        </w:rPr>
      </w:pPr>
      <w:r>
        <w:rPr>
          <w:rFonts w:hint="eastAsia"/>
          <w:sz w:val="24"/>
        </w:rPr>
        <w:t>3.3.7独立的进样针与收集针，减少交叉污染</w:t>
      </w:r>
    </w:p>
    <w:p w14:paraId="3FA2D3F1">
      <w:pPr>
        <w:spacing w:line="360" w:lineRule="auto"/>
        <w:ind w:firstLine="240" w:firstLineChars="100"/>
        <w:rPr>
          <w:sz w:val="24"/>
        </w:rPr>
      </w:pPr>
    </w:p>
    <w:p w14:paraId="4B60A773">
      <w:pPr>
        <w:spacing w:line="360" w:lineRule="auto"/>
        <w:rPr>
          <w:b/>
          <w:bCs/>
          <w:sz w:val="24"/>
        </w:rPr>
      </w:pPr>
      <w:r>
        <w:rPr>
          <w:b/>
          <w:bCs/>
          <w:sz w:val="24"/>
        </w:rPr>
        <w:t>3.4</w:t>
      </w:r>
      <w:r>
        <w:rPr>
          <w:rFonts w:hint="eastAsia"/>
          <w:b/>
          <w:bCs/>
          <w:sz w:val="24"/>
        </w:rPr>
        <w:t>紫外检测器</w:t>
      </w:r>
    </w:p>
    <w:p w14:paraId="5604B7D9">
      <w:pPr>
        <w:spacing w:line="360" w:lineRule="auto"/>
        <w:ind w:firstLine="240" w:firstLineChars="100"/>
        <w:rPr>
          <w:sz w:val="24"/>
        </w:rPr>
      </w:pPr>
      <w:r>
        <w:rPr>
          <w:rFonts w:hint="eastAsia"/>
          <w:sz w:val="24"/>
        </w:rPr>
        <w:t>3.4.1光源：氘灯</w:t>
      </w:r>
    </w:p>
    <w:p w14:paraId="0E0DEE34">
      <w:pPr>
        <w:spacing w:line="360" w:lineRule="auto"/>
        <w:ind w:firstLine="240" w:firstLineChars="100"/>
        <w:rPr>
          <w:sz w:val="24"/>
        </w:rPr>
      </w:pPr>
      <w:r>
        <w:rPr>
          <w:rFonts w:hint="eastAsia"/>
          <w:sz w:val="24"/>
        </w:rPr>
        <w:t xml:space="preserve">#3.4.2波长范围：单一光源下190~700 nm </w:t>
      </w:r>
    </w:p>
    <w:p w14:paraId="477809B9">
      <w:pPr>
        <w:spacing w:line="360" w:lineRule="auto"/>
        <w:ind w:firstLine="240" w:firstLineChars="100"/>
        <w:rPr>
          <w:sz w:val="24"/>
        </w:rPr>
      </w:pPr>
      <w:r>
        <w:rPr>
          <w:rFonts w:hint="eastAsia"/>
          <w:sz w:val="24"/>
        </w:rPr>
        <w:t>#3.4.3流通池：梯形狭缝池，消除示差折光效应</w:t>
      </w:r>
    </w:p>
    <w:p w14:paraId="6319C6F6">
      <w:pPr>
        <w:spacing w:line="360" w:lineRule="auto"/>
        <w:ind w:firstLine="240" w:firstLineChars="100"/>
        <w:rPr>
          <w:sz w:val="24"/>
        </w:rPr>
      </w:pPr>
      <w:r>
        <w:rPr>
          <w:rFonts w:hint="eastAsia"/>
          <w:sz w:val="24"/>
        </w:rPr>
        <w:t>3.4.4固定狭缝：无需狭缝选择，操作简单</w:t>
      </w:r>
    </w:p>
    <w:p w14:paraId="5A12CA9A">
      <w:pPr>
        <w:spacing w:line="360" w:lineRule="auto"/>
        <w:ind w:firstLine="240" w:firstLineChars="100"/>
        <w:rPr>
          <w:sz w:val="24"/>
        </w:rPr>
      </w:pPr>
    </w:p>
    <w:p w14:paraId="6EF2B384">
      <w:pPr>
        <w:spacing w:line="360" w:lineRule="auto"/>
        <w:rPr>
          <w:b/>
          <w:bCs/>
          <w:sz w:val="24"/>
        </w:rPr>
      </w:pPr>
      <w:r>
        <w:rPr>
          <w:b/>
          <w:bCs/>
          <w:sz w:val="24"/>
        </w:rPr>
        <w:t>3.5</w:t>
      </w:r>
      <w:r>
        <w:rPr>
          <w:rFonts w:hint="eastAsia"/>
          <w:b/>
          <w:bCs/>
          <w:sz w:val="24"/>
        </w:rPr>
        <w:t>质谱检测器</w:t>
      </w:r>
    </w:p>
    <w:p w14:paraId="6FDDBB39">
      <w:pPr>
        <w:spacing w:line="360" w:lineRule="auto"/>
        <w:ind w:firstLine="240" w:firstLineChars="100"/>
        <w:rPr>
          <w:sz w:val="24"/>
        </w:rPr>
      </w:pPr>
      <w:r>
        <w:rPr>
          <w:rFonts w:hint="eastAsia"/>
          <w:sz w:val="24"/>
        </w:rPr>
        <w:t>#3.5.1质量范围：高质量端m/z≥</w:t>
      </w:r>
      <w:r>
        <w:rPr>
          <w:rFonts w:hint="eastAsia"/>
          <w:sz w:val="24"/>
        </w:rPr>
        <w:tab/>
      </w:r>
      <w:r>
        <w:rPr>
          <w:rFonts w:hint="eastAsia"/>
          <w:sz w:val="24"/>
        </w:rPr>
        <w:t xml:space="preserve">1400 </w:t>
      </w:r>
    </w:p>
    <w:p w14:paraId="286465AE">
      <w:pPr>
        <w:spacing w:line="360" w:lineRule="auto"/>
        <w:ind w:firstLine="240" w:firstLineChars="100"/>
        <w:rPr>
          <w:sz w:val="24"/>
        </w:rPr>
      </w:pPr>
      <w:r>
        <w:rPr>
          <w:rFonts w:hint="eastAsia"/>
          <w:sz w:val="24"/>
        </w:rPr>
        <w:t xml:space="preserve">3.5.2质量数稳定性：平均标准偏差≤0.1Da /24Hr，全质量范围偏差≤0.01% </w:t>
      </w:r>
    </w:p>
    <w:p w14:paraId="2E9D9450">
      <w:pPr>
        <w:spacing w:line="360" w:lineRule="auto"/>
        <w:ind w:firstLine="240" w:firstLineChars="100"/>
        <w:rPr>
          <w:sz w:val="24"/>
        </w:rPr>
      </w:pPr>
      <w:r>
        <w:rPr>
          <w:rFonts w:hint="eastAsia"/>
          <w:sz w:val="24"/>
        </w:rPr>
        <w:t>3.5.4 ESI正离子灵敏度：利血平柱上进样量为1 pg时，在m/z 609处信噪比≥250:1</w:t>
      </w:r>
    </w:p>
    <w:p w14:paraId="6E4F7B34">
      <w:pPr>
        <w:spacing w:line="360" w:lineRule="auto"/>
        <w:ind w:firstLine="240" w:firstLineChars="100"/>
        <w:rPr>
          <w:sz w:val="24"/>
        </w:rPr>
      </w:pPr>
      <w:r>
        <w:rPr>
          <w:rFonts w:hint="eastAsia"/>
          <w:sz w:val="24"/>
        </w:rPr>
        <w:t xml:space="preserve">3.5.5扫描速率≥12000amu/s  </w:t>
      </w:r>
    </w:p>
    <w:p w14:paraId="7A36784B">
      <w:pPr>
        <w:spacing w:line="360" w:lineRule="auto"/>
        <w:ind w:firstLine="240" w:firstLineChars="100"/>
        <w:rPr>
          <w:sz w:val="24"/>
        </w:rPr>
      </w:pPr>
      <w:r>
        <w:rPr>
          <w:rFonts w:hint="eastAsia"/>
          <w:sz w:val="24"/>
        </w:rPr>
        <w:t>#3.5.6正负切换≤25ms</w:t>
      </w:r>
    </w:p>
    <w:p w14:paraId="16B1BF92">
      <w:pPr>
        <w:spacing w:line="360" w:lineRule="auto"/>
        <w:ind w:firstLine="240" w:firstLineChars="100"/>
        <w:rPr>
          <w:sz w:val="24"/>
        </w:rPr>
      </w:pPr>
      <w:r>
        <w:rPr>
          <w:rFonts w:hint="eastAsia"/>
          <w:sz w:val="24"/>
        </w:rPr>
        <w:t>#3.5.7仪器一键式开机，开机到完成抽真空过程≤20分钟，即可开始定性工作，≤40分钟可以开始定量工作。</w:t>
      </w:r>
    </w:p>
    <w:p w14:paraId="3C0F144A">
      <w:pPr>
        <w:spacing w:line="360" w:lineRule="auto"/>
        <w:ind w:firstLine="240" w:firstLineChars="100"/>
        <w:rPr>
          <w:sz w:val="24"/>
        </w:rPr>
      </w:pPr>
      <w:r>
        <w:rPr>
          <w:rFonts w:hint="eastAsia"/>
          <w:sz w:val="24"/>
        </w:rPr>
        <w:t>#3.5.8质谱内置质量轴校正液，质量轴校正过程自动完成，无需任何人工</w:t>
      </w:r>
    </w:p>
    <w:p w14:paraId="298A22F7">
      <w:pPr>
        <w:spacing w:line="360" w:lineRule="auto"/>
        <w:ind w:firstLine="240" w:firstLineChars="100"/>
        <w:rPr>
          <w:sz w:val="24"/>
        </w:rPr>
      </w:pPr>
      <w:r>
        <w:rPr>
          <w:rFonts w:hint="eastAsia"/>
          <w:sz w:val="24"/>
        </w:rPr>
        <w:t xml:space="preserve">#3.5.9待机和维护过程时，不消耗氮气 </w:t>
      </w:r>
    </w:p>
    <w:p w14:paraId="336C2D88">
      <w:pPr>
        <w:spacing w:line="360" w:lineRule="auto"/>
        <w:ind w:firstLine="240" w:firstLineChars="100"/>
        <w:rPr>
          <w:sz w:val="24"/>
        </w:rPr>
      </w:pPr>
      <w:r>
        <w:rPr>
          <w:rFonts w:hint="eastAsia"/>
          <w:sz w:val="24"/>
        </w:rPr>
        <w:t>#3.5.10检测器：采用光电倍增器，保证使用寿命高达10年</w:t>
      </w:r>
    </w:p>
    <w:p w14:paraId="4624E80F">
      <w:pPr>
        <w:spacing w:line="360" w:lineRule="auto"/>
        <w:ind w:firstLine="240" w:firstLineChars="100"/>
        <w:rPr>
          <w:sz w:val="24"/>
        </w:rPr>
      </w:pPr>
    </w:p>
    <w:p w14:paraId="581B7F0A">
      <w:pPr>
        <w:spacing w:line="360" w:lineRule="auto"/>
        <w:rPr>
          <w:b/>
          <w:bCs/>
          <w:sz w:val="24"/>
        </w:rPr>
      </w:pPr>
      <w:r>
        <w:rPr>
          <w:b/>
          <w:bCs/>
          <w:sz w:val="24"/>
        </w:rPr>
        <w:t>3.6</w:t>
      </w:r>
      <w:r>
        <w:rPr>
          <w:rFonts w:hint="eastAsia"/>
          <w:b/>
          <w:bCs/>
          <w:sz w:val="24"/>
        </w:rPr>
        <w:t>系统流路管理系统</w:t>
      </w:r>
    </w:p>
    <w:p w14:paraId="31E58B29">
      <w:pPr>
        <w:spacing w:line="360" w:lineRule="auto"/>
        <w:ind w:firstLine="240" w:firstLineChars="100"/>
        <w:rPr>
          <w:sz w:val="24"/>
        </w:rPr>
      </w:pPr>
      <w:r>
        <w:rPr>
          <w:rFonts w:hint="eastAsia"/>
          <w:sz w:val="24"/>
        </w:rPr>
        <w:t>#3.6.1 可以放置至少2根制备柱和2根分析柱</w:t>
      </w:r>
    </w:p>
    <w:p w14:paraId="4E186648">
      <w:pPr>
        <w:spacing w:line="360" w:lineRule="auto"/>
        <w:ind w:firstLine="240" w:firstLineChars="100"/>
        <w:rPr>
          <w:sz w:val="24"/>
        </w:rPr>
      </w:pPr>
      <w:r>
        <w:rPr>
          <w:rFonts w:hint="eastAsia"/>
          <w:sz w:val="24"/>
        </w:rPr>
        <w:t>#3.6.2 通过软件设置可实现制备柱之间，分析柱之间以及制备柱与分析柱之间的自动切换功能（提供厂家盖章的承诺书）</w:t>
      </w:r>
    </w:p>
    <w:p w14:paraId="1918AF73">
      <w:pPr>
        <w:spacing w:line="360" w:lineRule="auto"/>
        <w:ind w:firstLine="240" w:firstLineChars="100"/>
        <w:rPr>
          <w:sz w:val="24"/>
        </w:rPr>
      </w:pPr>
      <w:r>
        <w:rPr>
          <w:sz w:val="24"/>
        </w:rPr>
        <w:t xml:space="preserve">  </w:t>
      </w:r>
    </w:p>
    <w:p w14:paraId="630F99B4">
      <w:pPr>
        <w:spacing w:line="360" w:lineRule="auto"/>
        <w:rPr>
          <w:b/>
          <w:bCs/>
          <w:sz w:val="24"/>
        </w:rPr>
      </w:pPr>
      <w:r>
        <w:rPr>
          <w:b/>
          <w:bCs/>
          <w:sz w:val="24"/>
        </w:rPr>
        <w:t>3.7</w:t>
      </w:r>
      <w:r>
        <w:rPr>
          <w:rFonts w:hint="eastAsia"/>
          <w:b/>
          <w:bCs/>
          <w:sz w:val="24"/>
        </w:rPr>
        <w:t>工作软件</w:t>
      </w:r>
    </w:p>
    <w:p w14:paraId="688880CE">
      <w:pPr>
        <w:spacing w:line="360" w:lineRule="auto"/>
        <w:ind w:firstLine="240" w:firstLineChars="100"/>
        <w:rPr>
          <w:sz w:val="24"/>
        </w:rPr>
      </w:pPr>
      <w:r>
        <w:rPr>
          <w:rFonts w:hint="eastAsia"/>
          <w:sz w:val="24"/>
        </w:rPr>
        <w:t>#3.7.1具备完全独立的纯化软件系统，可按紫外、质谱（提取离子流和总离子流）等信号的峰强度，峰宽，保留时间，斜率、峰谷到峰谷，混合模式，模拟信号等进行收集，保证馏分的纯度</w:t>
      </w:r>
    </w:p>
    <w:p w14:paraId="57C246AF">
      <w:pPr>
        <w:spacing w:line="360" w:lineRule="auto"/>
        <w:ind w:firstLine="240" w:firstLineChars="100"/>
        <w:rPr>
          <w:sz w:val="24"/>
        </w:rPr>
      </w:pPr>
      <w:r>
        <w:rPr>
          <w:rFonts w:hint="eastAsia"/>
          <w:sz w:val="24"/>
        </w:rPr>
        <w:t>3.7.2具备溶剂、废液监测功能</w:t>
      </w:r>
    </w:p>
    <w:p w14:paraId="531E9E56">
      <w:pPr>
        <w:spacing w:line="360" w:lineRule="auto"/>
        <w:ind w:firstLine="240" w:firstLineChars="100"/>
        <w:rPr>
          <w:sz w:val="24"/>
        </w:rPr>
      </w:pPr>
      <w:r>
        <w:rPr>
          <w:rFonts w:hint="eastAsia"/>
          <w:sz w:val="24"/>
        </w:rPr>
        <w:t>3.7.3具备自动延迟时间测定</w:t>
      </w:r>
    </w:p>
    <w:p w14:paraId="58AD1F42">
      <w:pPr>
        <w:spacing w:line="360" w:lineRule="auto"/>
        <w:ind w:firstLine="240" w:firstLineChars="100"/>
        <w:rPr>
          <w:sz w:val="24"/>
        </w:rPr>
      </w:pPr>
      <w:r>
        <w:rPr>
          <w:rFonts w:hint="eastAsia"/>
          <w:sz w:val="24"/>
        </w:rPr>
        <w:t>3.7.4具备系统自动保护，收集出错自动停机</w:t>
      </w:r>
    </w:p>
    <w:p w14:paraId="049514E6">
      <w:pPr>
        <w:spacing w:line="360" w:lineRule="auto"/>
        <w:ind w:firstLine="240" w:firstLineChars="100"/>
        <w:rPr>
          <w:sz w:val="24"/>
        </w:rPr>
      </w:pPr>
      <w:r>
        <w:rPr>
          <w:rFonts w:hint="eastAsia"/>
          <w:sz w:val="24"/>
        </w:rPr>
        <w:t>3.7.5提前结束功能，收集到目标馏分即刻进行冲柱程序，进行下一针进样</w:t>
      </w:r>
      <w:r>
        <w:rPr>
          <w:sz w:val="24"/>
        </w:rPr>
        <w:t xml:space="preserve"> </w:t>
      </w:r>
    </w:p>
    <w:p w14:paraId="664F80F0">
      <w:pPr>
        <w:spacing w:line="360" w:lineRule="auto"/>
        <w:ind w:firstLine="240" w:firstLineChars="100"/>
        <w:rPr>
          <w:sz w:val="24"/>
        </w:rPr>
      </w:pPr>
      <w:r>
        <w:rPr>
          <w:rFonts w:hint="eastAsia"/>
          <w:sz w:val="24"/>
        </w:rPr>
        <w:t>#3.7.6具备相同馏分自动收集在同一收集管功能</w:t>
      </w:r>
    </w:p>
    <w:p w14:paraId="131258AC">
      <w:pPr>
        <w:spacing w:line="360" w:lineRule="auto"/>
        <w:ind w:firstLine="240" w:firstLineChars="100"/>
        <w:rPr>
          <w:sz w:val="24"/>
        </w:rPr>
      </w:pPr>
      <w:r>
        <w:rPr>
          <w:rFonts w:hint="eastAsia"/>
          <w:sz w:val="24"/>
        </w:rPr>
        <w:t>3.7.7具备紧急收集功能</w:t>
      </w:r>
    </w:p>
    <w:p w14:paraId="2FF49D85">
      <w:pPr>
        <w:spacing w:line="360" w:lineRule="auto"/>
        <w:ind w:firstLine="240" w:firstLineChars="100"/>
        <w:rPr>
          <w:sz w:val="24"/>
        </w:rPr>
      </w:pPr>
      <w:r>
        <w:rPr>
          <w:rFonts w:hint="eastAsia"/>
          <w:sz w:val="24"/>
        </w:rPr>
        <w:t xml:space="preserve">3.7.8具备收集模拟功能，无需浪费时间及样品进行制备方法开发  </w:t>
      </w:r>
    </w:p>
    <w:p w14:paraId="11E6CCA1">
      <w:pPr>
        <w:spacing w:line="360" w:lineRule="auto"/>
        <w:ind w:firstLine="480"/>
        <w:rPr>
          <w:sz w:val="24"/>
        </w:rPr>
      </w:pPr>
    </w:p>
    <w:p w14:paraId="4E2B0686">
      <w:pPr>
        <w:numPr>
          <w:ilvl w:val="0"/>
          <w:numId w:val="2"/>
        </w:numPr>
        <w:spacing w:line="360" w:lineRule="auto"/>
        <w:rPr>
          <w:b/>
          <w:sz w:val="24"/>
        </w:rPr>
      </w:pPr>
      <w:r>
        <w:rPr>
          <w:rFonts w:hint="eastAsia"/>
          <w:b/>
          <w:sz w:val="24"/>
        </w:rPr>
        <w:t>产品配置要求</w:t>
      </w:r>
    </w:p>
    <w:p w14:paraId="06BC6CA2">
      <w:pPr>
        <w:spacing w:line="360" w:lineRule="auto"/>
        <w:rPr>
          <w:sz w:val="24"/>
        </w:rPr>
      </w:pPr>
      <w:r>
        <w:rPr>
          <w:rFonts w:hint="eastAsia"/>
          <w:sz w:val="24"/>
        </w:rPr>
        <w:t>二元梯度高压泵1个</w:t>
      </w:r>
    </w:p>
    <w:p w14:paraId="05A036EE">
      <w:pPr>
        <w:spacing w:line="360" w:lineRule="auto"/>
        <w:rPr>
          <w:sz w:val="24"/>
        </w:rPr>
      </w:pPr>
      <w:r>
        <w:rPr>
          <w:rFonts w:hint="eastAsia"/>
          <w:sz w:val="24"/>
        </w:rPr>
        <w:t>补偿泵1个</w:t>
      </w:r>
    </w:p>
    <w:p w14:paraId="6E680526">
      <w:pPr>
        <w:spacing w:line="360" w:lineRule="auto"/>
        <w:rPr>
          <w:sz w:val="24"/>
        </w:rPr>
      </w:pPr>
      <w:r>
        <w:rPr>
          <w:rFonts w:hint="eastAsia"/>
          <w:sz w:val="24"/>
        </w:rPr>
        <w:t>泵控制器1个</w:t>
      </w:r>
    </w:p>
    <w:p w14:paraId="279A87F4">
      <w:pPr>
        <w:spacing w:line="360" w:lineRule="auto"/>
        <w:rPr>
          <w:sz w:val="24"/>
        </w:rPr>
      </w:pPr>
      <w:r>
        <w:rPr>
          <w:rFonts w:hint="eastAsia"/>
          <w:sz w:val="24"/>
        </w:rPr>
        <w:t>全自动进样及馏分收集系统1套</w:t>
      </w:r>
    </w:p>
    <w:p w14:paraId="6E5E6CEF">
      <w:pPr>
        <w:spacing w:line="360" w:lineRule="auto"/>
        <w:rPr>
          <w:sz w:val="24"/>
        </w:rPr>
      </w:pPr>
      <w:r>
        <w:rPr>
          <w:rFonts w:hint="eastAsia"/>
          <w:sz w:val="24"/>
        </w:rPr>
        <w:t>紫外检测器1台</w:t>
      </w:r>
    </w:p>
    <w:p w14:paraId="37861019">
      <w:pPr>
        <w:spacing w:line="360" w:lineRule="auto"/>
        <w:rPr>
          <w:sz w:val="24"/>
        </w:rPr>
      </w:pPr>
      <w:r>
        <w:rPr>
          <w:rFonts w:hint="eastAsia"/>
          <w:sz w:val="24"/>
        </w:rPr>
        <w:t>质谱检测器1台</w:t>
      </w:r>
    </w:p>
    <w:p w14:paraId="2D2471EA">
      <w:pPr>
        <w:spacing w:line="360" w:lineRule="auto"/>
        <w:rPr>
          <w:sz w:val="24"/>
        </w:rPr>
      </w:pPr>
      <w:r>
        <w:rPr>
          <w:rFonts w:hint="eastAsia"/>
          <w:sz w:val="24"/>
        </w:rPr>
        <w:t>操作软件及工作站1套</w:t>
      </w:r>
    </w:p>
    <w:p w14:paraId="6A32E7E3">
      <w:pPr>
        <w:spacing w:line="360" w:lineRule="auto"/>
        <w:rPr>
          <w:sz w:val="24"/>
        </w:rPr>
      </w:pPr>
      <w:r>
        <w:rPr>
          <w:rFonts w:hint="eastAsia"/>
          <w:sz w:val="24"/>
        </w:rPr>
        <w:t>氮气发生器1套</w:t>
      </w:r>
    </w:p>
    <w:p w14:paraId="3DF6CD0D">
      <w:pPr>
        <w:spacing w:line="360" w:lineRule="auto"/>
        <w:rPr>
          <w:sz w:val="24"/>
        </w:rPr>
      </w:pPr>
      <w:r>
        <w:rPr>
          <w:rFonts w:hint="eastAsia"/>
          <w:sz w:val="24"/>
        </w:rPr>
        <w:t>分析柱及保护柱 ≥2套；制备柱及保护柱≥5套（制备柱规格根据客户工作需要配备）</w:t>
      </w:r>
    </w:p>
    <w:p w14:paraId="2FB26C5F">
      <w:pPr>
        <w:spacing w:line="360" w:lineRule="auto"/>
        <w:rPr>
          <w:sz w:val="24"/>
        </w:rPr>
      </w:pPr>
      <w:r>
        <w:rPr>
          <w:rFonts w:hint="eastAsia"/>
          <w:sz w:val="24"/>
        </w:rPr>
        <w:t xml:space="preserve">分流器2个(1000:1, 5000:1)          </w:t>
      </w:r>
    </w:p>
    <w:p w14:paraId="48343A9A">
      <w:pPr>
        <w:tabs>
          <w:tab w:val="left" w:pos="540"/>
        </w:tabs>
        <w:spacing w:line="360" w:lineRule="auto"/>
        <w:rPr>
          <w:sz w:val="24"/>
        </w:rPr>
      </w:pPr>
      <w:r>
        <w:rPr>
          <w:rFonts w:hint="eastAsia"/>
          <w:sz w:val="24"/>
        </w:rPr>
        <w:t xml:space="preserve">   </w:t>
      </w:r>
    </w:p>
    <w:p w14:paraId="5356A82D">
      <w:pPr>
        <w:tabs>
          <w:tab w:val="left" w:pos="540"/>
        </w:tabs>
        <w:spacing w:line="360" w:lineRule="auto"/>
        <w:rPr>
          <w:b/>
          <w:sz w:val="24"/>
        </w:rPr>
      </w:pPr>
      <w:r>
        <w:rPr>
          <w:rFonts w:hint="eastAsia"/>
          <w:b/>
          <w:sz w:val="24"/>
        </w:rPr>
        <w:t>5.  技术文件：</w:t>
      </w:r>
    </w:p>
    <w:p w14:paraId="3D636BC8">
      <w:pPr>
        <w:spacing w:line="360" w:lineRule="auto"/>
        <w:rPr>
          <w:sz w:val="24"/>
        </w:rPr>
      </w:pPr>
      <w:r>
        <w:rPr>
          <w:rFonts w:hint="eastAsia"/>
          <w:sz w:val="24"/>
        </w:rPr>
        <w:t>5.1 随机文件资料：免费提供设备全套、完整的技术资料。</w:t>
      </w:r>
    </w:p>
    <w:p w14:paraId="2A2AB22C">
      <w:pPr>
        <w:spacing w:line="360" w:lineRule="auto"/>
        <w:rPr>
          <w:sz w:val="24"/>
        </w:rPr>
      </w:pPr>
      <w:r>
        <w:rPr>
          <w:rFonts w:hint="eastAsia"/>
          <w:sz w:val="24"/>
        </w:rPr>
        <w:t>5.2 设备操作使用说明书：包含详细的仪器说明书、操作指南以及仪器日常维护指南。</w:t>
      </w:r>
    </w:p>
    <w:p w14:paraId="763434C1">
      <w:pPr>
        <w:spacing w:line="360" w:lineRule="auto"/>
        <w:rPr>
          <w:sz w:val="24"/>
        </w:rPr>
      </w:pPr>
    </w:p>
    <w:p w14:paraId="7A5D2F35">
      <w:pPr>
        <w:spacing w:line="360" w:lineRule="auto"/>
        <w:rPr>
          <w:b/>
          <w:sz w:val="24"/>
        </w:rPr>
      </w:pPr>
      <w:r>
        <w:rPr>
          <w:rFonts w:hint="eastAsia"/>
          <w:b/>
          <w:sz w:val="24"/>
        </w:rPr>
        <w:t>（二）质保及售后服务：</w:t>
      </w:r>
    </w:p>
    <w:p w14:paraId="65763789">
      <w:pPr>
        <w:spacing w:line="360" w:lineRule="auto"/>
        <w:rPr>
          <w:sz w:val="24"/>
        </w:rPr>
      </w:pPr>
      <w:r>
        <w:rPr>
          <w:rFonts w:hint="eastAsia"/>
          <w:sz w:val="24"/>
        </w:rPr>
        <w:t>1 设备安装调试</w:t>
      </w:r>
    </w:p>
    <w:p w14:paraId="6D5E950F">
      <w:pPr>
        <w:spacing w:line="360" w:lineRule="auto"/>
        <w:rPr>
          <w:sz w:val="24"/>
        </w:rPr>
      </w:pPr>
      <w:r>
        <w:rPr>
          <w:sz w:val="24"/>
        </w:rPr>
        <w:t>卖方应在仪器到达用户所在地后，在接到用户通知后2周内</w:t>
      </w:r>
      <w:r>
        <w:rPr>
          <w:rFonts w:hint="eastAsia"/>
          <w:sz w:val="24"/>
        </w:rPr>
        <w:t>派原厂工程师</w:t>
      </w:r>
      <w:r>
        <w:rPr>
          <w:sz w:val="24"/>
        </w:rPr>
        <w:t>进行安装调试，</w:t>
      </w:r>
      <w:r>
        <w:rPr>
          <w:rFonts w:hint="eastAsia"/>
          <w:sz w:val="24"/>
        </w:rPr>
        <w:t>直至设备能够正常使用</w:t>
      </w:r>
      <w:r>
        <w:rPr>
          <w:sz w:val="24"/>
        </w:rPr>
        <w:t>。</w:t>
      </w:r>
    </w:p>
    <w:p w14:paraId="04BDF366">
      <w:pPr>
        <w:spacing w:line="360" w:lineRule="auto"/>
        <w:rPr>
          <w:sz w:val="24"/>
        </w:rPr>
      </w:pPr>
      <w:r>
        <w:rPr>
          <w:rFonts w:hint="eastAsia"/>
          <w:sz w:val="24"/>
        </w:rPr>
        <w:t>2  技术培训 (请参考总则第2.5条)</w:t>
      </w:r>
    </w:p>
    <w:p w14:paraId="6F895204">
      <w:pPr>
        <w:spacing w:line="440" w:lineRule="exact"/>
        <w:rPr>
          <w:sz w:val="24"/>
        </w:rPr>
      </w:pPr>
      <w:r>
        <w:rPr>
          <w:rFonts w:hint="eastAsia"/>
          <w:sz w:val="24"/>
        </w:rPr>
        <w:t>提供设备操作培训、实验操作培训、软件应用培训等现场免费培训，培训时间不少于2天。使用半年之后再次提供免费强化培训一次</w:t>
      </w:r>
    </w:p>
    <w:p w14:paraId="5456CDF5">
      <w:pPr>
        <w:spacing w:line="440" w:lineRule="exact"/>
        <w:rPr>
          <w:sz w:val="24"/>
        </w:rPr>
      </w:pPr>
      <w:r>
        <w:rPr>
          <w:rFonts w:hint="eastAsia"/>
          <w:sz w:val="24"/>
        </w:rPr>
        <w:t>3 质保期：</w:t>
      </w:r>
    </w:p>
    <w:p w14:paraId="09CCEC2B">
      <w:pPr>
        <w:spacing w:line="440" w:lineRule="exact"/>
        <w:rPr>
          <w:sz w:val="24"/>
        </w:rPr>
      </w:pPr>
      <w:r>
        <w:rPr>
          <w:rFonts w:hint="eastAsia"/>
          <w:sz w:val="24"/>
        </w:rPr>
        <w:t>质保期：安装调试后24个月。</w:t>
      </w:r>
    </w:p>
    <w:p w14:paraId="158CE0CD">
      <w:pPr>
        <w:spacing w:line="440" w:lineRule="exact"/>
        <w:rPr>
          <w:sz w:val="24"/>
        </w:rPr>
      </w:pPr>
      <w:r>
        <w:rPr>
          <w:rFonts w:hint="eastAsia"/>
          <w:sz w:val="24"/>
        </w:rPr>
        <w:t>在质保期内，</w:t>
      </w:r>
      <w:r>
        <w:rPr>
          <w:sz w:val="24"/>
        </w:rPr>
        <w:t>免费上门维修</w:t>
      </w:r>
      <w:r>
        <w:rPr>
          <w:rFonts w:hint="eastAsia"/>
          <w:sz w:val="24"/>
        </w:rPr>
        <w:t>。</w:t>
      </w:r>
    </w:p>
    <w:p w14:paraId="729FC089">
      <w:pPr>
        <w:spacing w:line="440" w:lineRule="exact"/>
        <w:rPr>
          <w:sz w:val="24"/>
        </w:rPr>
      </w:pPr>
      <w:r>
        <w:rPr>
          <w:rFonts w:hint="eastAsia"/>
          <w:sz w:val="24"/>
        </w:rPr>
        <w:t>质保期外，供应商负责终身维护。</w:t>
      </w:r>
    </w:p>
    <w:p w14:paraId="69767040">
      <w:pPr>
        <w:spacing w:line="360" w:lineRule="auto"/>
        <w:rPr>
          <w:sz w:val="24"/>
        </w:rPr>
      </w:pPr>
      <w:r>
        <w:rPr>
          <w:rFonts w:hint="eastAsia"/>
          <w:sz w:val="24"/>
        </w:rPr>
        <w:t>4 维修响应时间</w:t>
      </w:r>
    </w:p>
    <w:p w14:paraId="7B96F4F0">
      <w:pPr>
        <w:spacing w:line="360" w:lineRule="auto"/>
        <w:rPr>
          <w:sz w:val="24"/>
        </w:rPr>
      </w:pPr>
      <w:r>
        <w:rPr>
          <w:rFonts w:hint="eastAsia"/>
          <w:sz w:val="24"/>
        </w:rPr>
        <w:t>工程师24小时内远程响应，72小时内上门服务。</w:t>
      </w:r>
    </w:p>
    <w:p w14:paraId="7BDA7CF2">
      <w:pPr>
        <w:spacing w:line="360" w:lineRule="auto"/>
        <w:rPr>
          <w:b/>
          <w:sz w:val="24"/>
        </w:rPr>
      </w:pPr>
    </w:p>
    <w:p w14:paraId="314ADA17">
      <w:pPr>
        <w:spacing w:line="360" w:lineRule="auto"/>
        <w:rPr>
          <w:b/>
          <w:sz w:val="24"/>
        </w:rPr>
      </w:pPr>
      <w:r>
        <w:rPr>
          <w:rFonts w:hint="eastAsia"/>
          <w:b/>
          <w:sz w:val="24"/>
        </w:rPr>
        <w:t>（三） 订货数量：</w:t>
      </w:r>
    </w:p>
    <w:p w14:paraId="3D626C75">
      <w:pPr>
        <w:spacing w:line="360" w:lineRule="auto"/>
        <w:rPr>
          <w:sz w:val="24"/>
        </w:rPr>
      </w:pPr>
      <w:r>
        <w:rPr>
          <w:rFonts w:hint="eastAsia"/>
          <w:sz w:val="24"/>
        </w:rPr>
        <w:t xml:space="preserve"> 质谱引导的制备液相  1套</w:t>
      </w:r>
    </w:p>
    <w:p w14:paraId="7050E68C">
      <w:pPr>
        <w:spacing w:line="360" w:lineRule="auto"/>
        <w:rPr>
          <w:sz w:val="24"/>
        </w:rPr>
      </w:pPr>
    </w:p>
    <w:p w14:paraId="32DD5226">
      <w:pPr>
        <w:spacing w:line="360" w:lineRule="auto"/>
        <w:rPr>
          <w:b/>
          <w:sz w:val="24"/>
        </w:rPr>
      </w:pPr>
      <w:r>
        <w:rPr>
          <w:rFonts w:hint="eastAsia"/>
          <w:b/>
          <w:sz w:val="24"/>
        </w:rPr>
        <w:t>（四）交货日期和交货地点（项目现场）：</w:t>
      </w:r>
    </w:p>
    <w:p w14:paraId="2D063D80">
      <w:pPr>
        <w:spacing w:line="440" w:lineRule="exact"/>
        <w:rPr>
          <w:sz w:val="24"/>
        </w:rPr>
      </w:pPr>
      <w:r>
        <w:rPr>
          <w:rFonts w:hint="eastAsia"/>
          <w:sz w:val="24"/>
        </w:rPr>
        <w:t xml:space="preserve">   </w:t>
      </w:r>
      <w:r>
        <w:rPr>
          <w:sz w:val="24"/>
        </w:rPr>
        <w:t>交货日期：</w:t>
      </w:r>
      <w:r>
        <w:rPr>
          <w:rFonts w:hint="eastAsia"/>
          <w:sz w:val="24"/>
        </w:rPr>
        <w:t>自合同签订后3个月内</w:t>
      </w:r>
    </w:p>
    <w:p w14:paraId="4A65AF63">
      <w:pPr>
        <w:spacing w:line="440" w:lineRule="exact"/>
        <w:rPr>
          <w:sz w:val="24"/>
        </w:rPr>
      </w:pPr>
      <w:r>
        <w:rPr>
          <w:sz w:val="24"/>
        </w:rPr>
        <w:t xml:space="preserve">   交货地点：</w:t>
      </w:r>
      <w:r>
        <w:rPr>
          <w:rFonts w:hint="eastAsia"/>
          <w:sz w:val="24"/>
        </w:rPr>
        <w:t>中国科学院化学研究所。</w:t>
      </w:r>
    </w:p>
    <w:p w14:paraId="2C39C417">
      <w:pPr>
        <w:spacing w:line="360" w:lineRule="auto"/>
        <w:rPr>
          <w:sz w:val="24"/>
        </w:rPr>
      </w:pPr>
    </w:p>
    <w:p w14:paraId="7A894521">
      <w:pPr>
        <w:spacing w:line="360" w:lineRule="auto"/>
        <w:rPr>
          <w:b/>
          <w:bCs/>
          <w:sz w:val="24"/>
        </w:rPr>
      </w:pPr>
      <w:r>
        <w:rPr>
          <w:rFonts w:hint="eastAsia"/>
          <w:b/>
          <w:bCs/>
          <w:sz w:val="24"/>
        </w:rPr>
        <w:t>（五）付款方式：</w:t>
      </w:r>
    </w:p>
    <w:p w14:paraId="0F346710">
      <w:pPr>
        <w:spacing w:line="360" w:lineRule="auto"/>
        <w:rPr>
          <w:rFonts w:hint="eastAsia" w:ascii="inherit" w:hAnsi="inherit" w:cs="宋体"/>
          <w:kern w:val="0"/>
          <w:sz w:val="24"/>
        </w:rPr>
      </w:pPr>
      <w:r>
        <w:rPr>
          <w:rFonts w:hint="eastAsia" w:ascii="inherit" w:hAnsi="inherit" w:cs="宋体"/>
          <w:kern w:val="0"/>
          <w:sz w:val="24"/>
        </w:rPr>
        <w:t>进口产品：合同签订后，开具100%即期不可撤消信用证，其中90%凭合同要求单据支付；10%凭用户代表签字的验收报告支付。</w:t>
      </w:r>
    </w:p>
    <w:p w14:paraId="00FDC2B1">
      <w:pPr>
        <w:spacing w:line="360" w:lineRule="auto"/>
        <w:rPr>
          <w:rFonts w:hint="eastAsia" w:ascii="inherit" w:hAnsi="inherit" w:cs="宋体"/>
          <w:kern w:val="0"/>
          <w:sz w:val="24"/>
        </w:rPr>
      </w:pPr>
      <w:r>
        <w:rPr>
          <w:rFonts w:hint="eastAsia" w:ascii="inherit" w:hAnsi="inherit" w:cs="宋体"/>
          <w:kern w:val="0"/>
          <w:sz w:val="24"/>
        </w:rPr>
        <w:t>国产产品：货到验收合格后，付100%的货款</w:t>
      </w:r>
    </w:p>
    <w:p w14:paraId="74914029">
      <w:pPr>
        <w:spacing w:line="360" w:lineRule="auto"/>
        <w:rPr>
          <w:sz w:val="24"/>
        </w:rPr>
      </w:pPr>
    </w:p>
    <w:p w14:paraId="1637EFF1">
      <w:pPr>
        <w:spacing w:line="360" w:lineRule="auto"/>
        <w:rPr>
          <w:b/>
          <w:sz w:val="24"/>
        </w:rPr>
      </w:pPr>
      <w:r>
        <w:rPr>
          <w:rFonts w:hint="eastAsia"/>
          <w:b/>
          <w:sz w:val="24"/>
        </w:rPr>
        <w:t>（六）执行的相关标准</w:t>
      </w:r>
    </w:p>
    <w:p w14:paraId="198F5C63">
      <w:pPr>
        <w:spacing w:line="360" w:lineRule="auto"/>
        <w:rPr>
          <w:rFonts w:hint="eastAsia" w:ascii="inherit" w:hAnsi="inherit" w:cs="宋体"/>
          <w:kern w:val="0"/>
          <w:sz w:val="24"/>
        </w:rPr>
      </w:pPr>
      <w:r>
        <w:rPr>
          <w:rFonts w:hint="eastAsia" w:ascii="inherit" w:hAnsi="inherit" w:cs="宋体"/>
          <w:kern w:val="0"/>
          <w:sz w:val="24"/>
        </w:rPr>
        <w:t>产品应满足相关国家标准及行业标准。</w:t>
      </w:r>
    </w:p>
    <w:sectPr>
      <w:headerReference r:id="rId3" w:type="first"/>
      <w:footerReference r:id="rId5" w:type="first"/>
      <w:footerReference r:id="rId4"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FZShuSong-Z01">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DejaVuSans-Bold">
    <w:altName w:val="Segoe Print"/>
    <w:panose1 w:val="00000000000000000000"/>
    <w:charset w:val="00"/>
    <w:family w:val="auto"/>
    <w:pitch w:val="default"/>
    <w:sig w:usb0="00000000" w:usb1="00000000" w:usb2="00000000" w:usb3="00000000" w:csb0="00040001" w:csb1="00000000"/>
  </w:font>
  <w:font w:name="TimesNewRomanPSMT">
    <w:altName w:val="Times New Roman"/>
    <w:panose1 w:val="00000000000000000000"/>
    <w:charset w:val="00"/>
    <w:family w:val="swiss"/>
    <w:pitch w:val="default"/>
    <w:sig w:usb0="00000000" w:usb1="00000000" w:usb2="00000000" w:usb3="00000000" w:csb0="00000001" w:csb1="00000000"/>
  </w:font>
  <w:font w:name="DejaVuSans">
    <w:altName w:val="Segoe Print"/>
    <w:panose1 w:val="00000000000000000000"/>
    <w:charset w:val="00"/>
    <w:family w:val="auto"/>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FZSONGS--GB1-5">
    <w:altName w:val="Segoe Print"/>
    <w:panose1 w:val="00000000000000000000"/>
    <w:charset w:val="00"/>
    <w:family w:val="auto"/>
    <w:pitch w:val="default"/>
    <w:sig w:usb0="00000000" w:usb1="00000000" w:usb2="00000000" w:usb3="00000000" w:csb0="00040001" w:csb1="00000000"/>
  </w:font>
  <w:font w:name="time of new roman">
    <w:altName w:val="Times New Roman"/>
    <w:panose1 w:val="00000000000000000000"/>
    <w:charset w:val="00"/>
    <w:family w:val="roman"/>
    <w:pitch w:val="default"/>
    <w:sig w:usb0="00000000" w:usb1="00000000" w:usb2="00000000" w:usb3="00000000" w:csb0="00040001" w:csb1="00000000"/>
  </w:font>
  <w:font w:name="inherit">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CD86D">
    <w:pPr>
      <w:pStyle w:val="25"/>
      <w:jc w:val="center"/>
    </w:pPr>
    <w:r>
      <w:fldChar w:fldCharType="begin"/>
    </w:r>
    <w:r>
      <w:instrText xml:space="preserve">PAGE   \* MERGEFORMAT</w:instrText>
    </w:r>
    <w:r>
      <w:fldChar w:fldCharType="separate"/>
    </w:r>
    <w:r>
      <w:rPr>
        <w:lang w:val="zh-CN"/>
      </w:rPr>
      <w:t>86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F313B">
    <w:pPr>
      <w:pStyle w:val="25"/>
      <w:jc w:val="center"/>
    </w:pPr>
    <w:r>
      <w:fldChar w:fldCharType="begin"/>
    </w:r>
    <w:r>
      <w:instrText xml:space="preserve">PAGE   \* MERGEFORMAT</w:instrText>
    </w:r>
    <w:r>
      <w:fldChar w:fldCharType="separate"/>
    </w:r>
    <w:r>
      <w:rPr>
        <w:lang w:val="zh-CN"/>
      </w:rPr>
      <w:t>62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214C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Q2ODBlYzc0NjRkMTZiZDAzOTQwZmVlNGQ5MmQwMDMifQ=="/>
  </w:docVars>
  <w:rsids>
    <w:rsidRoot w:val="00FA3835"/>
    <w:rsid w:val="000050A2"/>
    <w:rsid w:val="00017CDA"/>
    <w:rsid w:val="00027C8D"/>
    <w:rsid w:val="00040005"/>
    <w:rsid w:val="000543E7"/>
    <w:rsid w:val="0006010D"/>
    <w:rsid w:val="000668DC"/>
    <w:rsid w:val="00071AE3"/>
    <w:rsid w:val="00081ADD"/>
    <w:rsid w:val="000938BF"/>
    <w:rsid w:val="000969BB"/>
    <w:rsid w:val="000973D2"/>
    <w:rsid w:val="000A1A64"/>
    <w:rsid w:val="000B0E40"/>
    <w:rsid w:val="000B12EC"/>
    <w:rsid w:val="000B636A"/>
    <w:rsid w:val="000C1F98"/>
    <w:rsid w:val="000C325D"/>
    <w:rsid w:val="000C505C"/>
    <w:rsid w:val="000D1A3C"/>
    <w:rsid w:val="000E0B0C"/>
    <w:rsid w:val="000E17D4"/>
    <w:rsid w:val="000E3172"/>
    <w:rsid w:val="000E4DA9"/>
    <w:rsid w:val="000F0512"/>
    <w:rsid w:val="000F4571"/>
    <w:rsid w:val="00103352"/>
    <w:rsid w:val="00105333"/>
    <w:rsid w:val="00107AF4"/>
    <w:rsid w:val="001140D0"/>
    <w:rsid w:val="001235CA"/>
    <w:rsid w:val="00130EDF"/>
    <w:rsid w:val="00136F3B"/>
    <w:rsid w:val="00137D93"/>
    <w:rsid w:val="00141D35"/>
    <w:rsid w:val="001437EA"/>
    <w:rsid w:val="001444BD"/>
    <w:rsid w:val="00144505"/>
    <w:rsid w:val="00144DDA"/>
    <w:rsid w:val="0014761F"/>
    <w:rsid w:val="00153F11"/>
    <w:rsid w:val="00154444"/>
    <w:rsid w:val="00154F47"/>
    <w:rsid w:val="00155A34"/>
    <w:rsid w:val="00164E27"/>
    <w:rsid w:val="0018672D"/>
    <w:rsid w:val="001921CA"/>
    <w:rsid w:val="00194900"/>
    <w:rsid w:val="001A0E56"/>
    <w:rsid w:val="001A53B6"/>
    <w:rsid w:val="001A6E63"/>
    <w:rsid w:val="001B195C"/>
    <w:rsid w:val="001B62CC"/>
    <w:rsid w:val="001B66E1"/>
    <w:rsid w:val="001B6E57"/>
    <w:rsid w:val="001C22AC"/>
    <w:rsid w:val="001D2FD5"/>
    <w:rsid w:val="001D7301"/>
    <w:rsid w:val="001E138D"/>
    <w:rsid w:val="001E1467"/>
    <w:rsid w:val="001E152C"/>
    <w:rsid w:val="001E3480"/>
    <w:rsid w:val="001E5FC5"/>
    <w:rsid w:val="001F18B7"/>
    <w:rsid w:val="001F1D2B"/>
    <w:rsid w:val="001F5FAD"/>
    <w:rsid w:val="001F79B6"/>
    <w:rsid w:val="002024C7"/>
    <w:rsid w:val="00206639"/>
    <w:rsid w:val="00206D30"/>
    <w:rsid w:val="0021259E"/>
    <w:rsid w:val="00213C28"/>
    <w:rsid w:val="00224FE7"/>
    <w:rsid w:val="0023232E"/>
    <w:rsid w:val="00233C8A"/>
    <w:rsid w:val="00240E7B"/>
    <w:rsid w:val="00245A57"/>
    <w:rsid w:val="00247ED0"/>
    <w:rsid w:val="00251DB7"/>
    <w:rsid w:val="002630C9"/>
    <w:rsid w:val="002672D1"/>
    <w:rsid w:val="00275598"/>
    <w:rsid w:val="002761A3"/>
    <w:rsid w:val="0028124D"/>
    <w:rsid w:val="00282A80"/>
    <w:rsid w:val="00282F14"/>
    <w:rsid w:val="002872A9"/>
    <w:rsid w:val="00292E0B"/>
    <w:rsid w:val="002B2F4F"/>
    <w:rsid w:val="002B44BD"/>
    <w:rsid w:val="002B6E7A"/>
    <w:rsid w:val="002B7380"/>
    <w:rsid w:val="002C38E8"/>
    <w:rsid w:val="002C47B5"/>
    <w:rsid w:val="002D5B7F"/>
    <w:rsid w:val="002D5C47"/>
    <w:rsid w:val="002D6107"/>
    <w:rsid w:val="002E03AA"/>
    <w:rsid w:val="002E34AD"/>
    <w:rsid w:val="002E6A76"/>
    <w:rsid w:val="002F1704"/>
    <w:rsid w:val="002F6DE0"/>
    <w:rsid w:val="002F6FCA"/>
    <w:rsid w:val="002F7EF8"/>
    <w:rsid w:val="002F7F80"/>
    <w:rsid w:val="00301191"/>
    <w:rsid w:val="00313566"/>
    <w:rsid w:val="003207F8"/>
    <w:rsid w:val="00322611"/>
    <w:rsid w:val="003248D5"/>
    <w:rsid w:val="00326D72"/>
    <w:rsid w:val="0033189B"/>
    <w:rsid w:val="00334AA9"/>
    <w:rsid w:val="003442AE"/>
    <w:rsid w:val="0034443A"/>
    <w:rsid w:val="003474B8"/>
    <w:rsid w:val="003478B8"/>
    <w:rsid w:val="00351CB8"/>
    <w:rsid w:val="00352A3E"/>
    <w:rsid w:val="00353E66"/>
    <w:rsid w:val="00357C16"/>
    <w:rsid w:val="003637C6"/>
    <w:rsid w:val="003732CC"/>
    <w:rsid w:val="00373B63"/>
    <w:rsid w:val="00374F9A"/>
    <w:rsid w:val="00382C0C"/>
    <w:rsid w:val="003933B5"/>
    <w:rsid w:val="003944C7"/>
    <w:rsid w:val="00397F24"/>
    <w:rsid w:val="003A298A"/>
    <w:rsid w:val="003B4F45"/>
    <w:rsid w:val="003B6193"/>
    <w:rsid w:val="003C172D"/>
    <w:rsid w:val="003C7092"/>
    <w:rsid w:val="003C785A"/>
    <w:rsid w:val="003D07E5"/>
    <w:rsid w:val="003D2B81"/>
    <w:rsid w:val="003F43CA"/>
    <w:rsid w:val="003F5F7A"/>
    <w:rsid w:val="00401810"/>
    <w:rsid w:val="004043A2"/>
    <w:rsid w:val="00404EA5"/>
    <w:rsid w:val="00407D88"/>
    <w:rsid w:val="00415144"/>
    <w:rsid w:val="00420D92"/>
    <w:rsid w:val="00421F2C"/>
    <w:rsid w:val="0042297A"/>
    <w:rsid w:val="00424FBA"/>
    <w:rsid w:val="00433C0B"/>
    <w:rsid w:val="00434216"/>
    <w:rsid w:val="004362C7"/>
    <w:rsid w:val="0044106E"/>
    <w:rsid w:val="004456F9"/>
    <w:rsid w:val="00446E68"/>
    <w:rsid w:val="00447503"/>
    <w:rsid w:val="00457522"/>
    <w:rsid w:val="0046038A"/>
    <w:rsid w:val="00471176"/>
    <w:rsid w:val="00484FF8"/>
    <w:rsid w:val="004A041F"/>
    <w:rsid w:val="004A0EB1"/>
    <w:rsid w:val="004A3B49"/>
    <w:rsid w:val="004A5C14"/>
    <w:rsid w:val="004B3476"/>
    <w:rsid w:val="004B36B8"/>
    <w:rsid w:val="004C2610"/>
    <w:rsid w:val="004C387C"/>
    <w:rsid w:val="004D0AB9"/>
    <w:rsid w:val="004D5E9B"/>
    <w:rsid w:val="004E042A"/>
    <w:rsid w:val="004E4504"/>
    <w:rsid w:val="004E6C6A"/>
    <w:rsid w:val="004F0FDE"/>
    <w:rsid w:val="004F191B"/>
    <w:rsid w:val="004F3E07"/>
    <w:rsid w:val="005023D6"/>
    <w:rsid w:val="00504FD3"/>
    <w:rsid w:val="00512882"/>
    <w:rsid w:val="005143FF"/>
    <w:rsid w:val="00516FEB"/>
    <w:rsid w:val="005244F5"/>
    <w:rsid w:val="00524665"/>
    <w:rsid w:val="00543C0A"/>
    <w:rsid w:val="0054416E"/>
    <w:rsid w:val="0054699B"/>
    <w:rsid w:val="00546BA1"/>
    <w:rsid w:val="005515EB"/>
    <w:rsid w:val="0055226E"/>
    <w:rsid w:val="00552E7C"/>
    <w:rsid w:val="005601D0"/>
    <w:rsid w:val="00560FEA"/>
    <w:rsid w:val="005613B2"/>
    <w:rsid w:val="0056304A"/>
    <w:rsid w:val="0057066D"/>
    <w:rsid w:val="00572671"/>
    <w:rsid w:val="00591688"/>
    <w:rsid w:val="005916DF"/>
    <w:rsid w:val="00595627"/>
    <w:rsid w:val="00595D3F"/>
    <w:rsid w:val="00595EAC"/>
    <w:rsid w:val="00597D19"/>
    <w:rsid w:val="005A2F5B"/>
    <w:rsid w:val="005A52D6"/>
    <w:rsid w:val="005C574A"/>
    <w:rsid w:val="005D09A0"/>
    <w:rsid w:val="005D0CD5"/>
    <w:rsid w:val="005D479D"/>
    <w:rsid w:val="005E416B"/>
    <w:rsid w:val="005E7A21"/>
    <w:rsid w:val="005F24B2"/>
    <w:rsid w:val="0060103A"/>
    <w:rsid w:val="00601910"/>
    <w:rsid w:val="00602911"/>
    <w:rsid w:val="00602A7A"/>
    <w:rsid w:val="0060509A"/>
    <w:rsid w:val="006125F5"/>
    <w:rsid w:val="00612A9B"/>
    <w:rsid w:val="00614D00"/>
    <w:rsid w:val="0061681D"/>
    <w:rsid w:val="006225E2"/>
    <w:rsid w:val="0062676A"/>
    <w:rsid w:val="00640DB1"/>
    <w:rsid w:val="006416E9"/>
    <w:rsid w:val="0064545D"/>
    <w:rsid w:val="00646C82"/>
    <w:rsid w:val="00647CD5"/>
    <w:rsid w:val="006548A6"/>
    <w:rsid w:val="00655478"/>
    <w:rsid w:val="00664D7F"/>
    <w:rsid w:val="00670A7E"/>
    <w:rsid w:val="00673641"/>
    <w:rsid w:val="006835DB"/>
    <w:rsid w:val="006858B6"/>
    <w:rsid w:val="0069730F"/>
    <w:rsid w:val="006A377B"/>
    <w:rsid w:val="006A4C4D"/>
    <w:rsid w:val="006B0930"/>
    <w:rsid w:val="006B304E"/>
    <w:rsid w:val="006C4384"/>
    <w:rsid w:val="006C5135"/>
    <w:rsid w:val="006C546E"/>
    <w:rsid w:val="006D29F2"/>
    <w:rsid w:val="006E2DE0"/>
    <w:rsid w:val="006E5A8E"/>
    <w:rsid w:val="0070081C"/>
    <w:rsid w:val="00713B55"/>
    <w:rsid w:val="00713FAC"/>
    <w:rsid w:val="0071653B"/>
    <w:rsid w:val="00721985"/>
    <w:rsid w:val="00724C84"/>
    <w:rsid w:val="007252A8"/>
    <w:rsid w:val="00725C0A"/>
    <w:rsid w:val="0073119D"/>
    <w:rsid w:val="0073199C"/>
    <w:rsid w:val="007376B0"/>
    <w:rsid w:val="00740508"/>
    <w:rsid w:val="00743776"/>
    <w:rsid w:val="00751428"/>
    <w:rsid w:val="00752FEF"/>
    <w:rsid w:val="0075674B"/>
    <w:rsid w:val="0075751D"/>
    <w:rsid w:val="00761F2B"/>
    <w:rsid w:val="00763B74"/>
    <w:rsid w:val="007731D0"/>
    <w:rsid w:val="00775B16"/>
    <w:rsid w:val="00784D3B"/>
    <w:rsid w:val="00785A0A"/>
    <w:rsid w:val="00787CED"/>
    <w:rsid w:val="007918A3"/>
    <w:rsid w:val="007967F8"/>
    <w:rsid w:val="007A00BD"/>
    <w:rsid w:val="007A2F93"/>
    <w:rsid w:val="007A35F5"/>
    <w:rsid w:val="007A3772"/>
    <w:rsid w:val="007B125C"/>
    <w:rsid w:val="007B6DFC"/>
    <w:rsid w:val="007C2696"/>
    <w:rsid w:val="007C4C31"/>
    <w:rsid w:val="007C5EA5"/>
    <w:rsid w:val="007D381E"/>
    <w:rsid w:val="007D3EE2"/>
    <w:rsid w:val="007E03CA"/>
    <w:rsid w:val="007E6193"/>
    <w:rsid w:val="007F2F97"/>
    <w:rsid w:val="007F30CC"/>
    <w:rsid w:val="007F387D"/>
    <w:rsid w:val="007F7152"/>
    <w:rsid w:val="00807BBF"/>
    <w:rsid w:val="008156CB"/>
    <w:rsid w:val="008203E6"/>
    <w:rsid w:val="00822633"/>
    <w:rsid w:val="008264D3"/>
    <w:rsid w:val="00830107"/>
    <w:rsid w:val="00830A3A"/>
    <w:rsid w:val="00831B02"/>
    <w:rsid w:val="00833174"/>
    <w:rsid w:val="00835158"/>
    <w:rsid w:val="00846609"/>
    <w:rsid w:val="00847089"/>
    <w:rsid w:val="00852958"/>
    <w:rsid w:val="0085467F"/>
    <w:rsid w:val="00854D03"/>
    <w:rsid w:val="00864F77"/>
    <w:rsid w:val="008661F8"/>
    <w:rsid w:val="008712FA"/>
    <w:rsid w:val="00876AA9"/>
    <w:rsid w:val="00876EFF"/>
    <w:rsid w:val="00882892"/>
    <w:rsid w:val="00883AB2"/>
    <w:rsid w:val="008855E6"/>
    <w:rsid w:val="008861B2"/>
    <w:rsid w:val="00887A5A"/>
    <w:rsid w:val="00896377"/>
    <w:rsid w:val="008A09F5"/>
    <w:rsid w:val="008A4B18"/>
    <w:rsid w:val="008A738C"/>
    <w:rsid w:val="008B2645"/>
    <w:rsid w:val="008C20FE"/>
    <w:rsid w:val="008C36D3"/>
    <w:rsid w:val="008D0675"/>
    <w:rsid w:val="008D1425"/>
    <w:rsid w:val="008D2736"/>
    <w:rsid w:val="008D3BC8"/>
    <w:rsid w:val="008D6F23"/>
    <w:rsid w:val="008E037C"/>
    <w:rsid w:val="008E5EB5"/>
    <w:rsid w:val="008F04C7"/>
    <w:rsid w:val="008F21A5"/>
    <w:rsid w:val="008F2440"/>
    <w:rsid w:val="00914619"/>
    <w:rsid w:val="009202C8"/>
    <w:rsid w:val="009246BA"/>
    <w:rsid w:val="00930CDE"/>
    <w:rsid w:val="009319DF"/>
    <w:rsid w:val="00935AA1"/>
    <w:rsid w:val="009363D0"/>
    <w:rsid w:val="009451DC"/>
    <w:rsid w:val="009467F2"/>
    <w:rsid w:val="0095280A"/>
    <w:rsid w:val="00954B32"/>
    <w:rsid w:val="0095655E"/>
    <w:rsid w:val="00956752"/>
    <w:rsid w:val="00966DE4"/>
    <w:rsid w:val="009718ED"/>
    <w:rsid w:val="0097297B"/>
    <w:rsid w:val="0098154C"/>
    <w:rsid w:val="0098549E"/>
    <w:rsid w:val="009857EF"/>
    <w:rsid w:val="009910C6"/>
    <w:rsid w:val="009941D8"/>
    <w:rsid w:val="009A2C18"/>
    <w:rsid w:val="009B36A1"/>
    <w:rsid w:val="009C0A0B"/>
    <w:rsid w:val="009C14BD"/>
    <w:rsid w:val="009D1AF8"/>
    <w:rsid w:val="009D32B1"/>
    <w:rsid w:val="009E1C84"/>
    <w:rsid w:val="009E32D4"/>
    <w:rsid w:val="009E4080"/>
    <w:rsid w:val="009E4DCB"/>
    <w:rsid w:val="009E580F"/>
    <w:rsid w:val="009E7DD1"/>
    <w:rsid w:val="009F5A6A"/>
    <w:rsid w:val="00A01B3A"/>
    <w:rsid w:val="00A0205F"/>
    <w:rsid w:val="00A04E9D"/>
    <w:rsid w:val="00A06893"/>
    <w:rsid w:val="00A14987"/>
    <w:rsid w:val="00A21886"/>
    <w:rsid w:val="00A25682"/>
    <w:rsid w:val="00A2638C"/>
    <w:rsid w:val="00A27417"/>
    <w:rsid w:val="00A27AFD"/>
    <w:rsid w:val="00A31C3C"/>
    <w:rsid w:val="00A354A8"/>
    <w:rsid w:val="00A4031E"/>
    <w:rsid w:val="00A44A2B"/>
    <w:rsid w:val="00A46F60"/>
    <w:rsid w:val="00A53234"/>
    <w:rsid w:val="00A56F9C"/>
    <w:rsid w:val="00A57F47"/>
    <w:rsid w:val="00A75C8B"/>
    <w:rsid w:val="00A8225A"/>
    <w:rsid w:val="00AA029F"/>
    <w:rsid w:val="00AA7A0D"/>
    <w:rsid w:val="00AB113B"/>
    <w:rsid w:val="00AB2619"/>
    <w:rsid w:val="00AD2FD2"/>
    <w:rsid w:val="00AD41E6"/>
    <w:rsid w:val="00AD4ECF"/>
    <w:rsid w:val="00AD70C8"/>
    <w:rsid w:val="00AE094D"/>
    <w:rsid w:val="00AF6067"/>
    <w:rsid w:val="00AF771F"/>
    <w:rsid w:val="00B04039"/>
    <w:rsid w:val="00B07AAD"/>
    <w:rsid w:val="00B15273"/>
    <w:rsid w:val="00B16887"/>
    <w:rsid w:val="00B1746F"/>
    <w:rsid w:val="00B22F4E"/>
    <w:rsid w:val="00B26A8C"/>
    <w:rsid w:val="00B27A2B"/>
    <w:rsid w:val="00B31F00"/>
    <w:rsid w:val="00B32EF4"/>
    <w:rsid w:val="00B351A2"/>
    <w:rsid w:val="00B41959"/>
    <w:rsid w:val="00B41A7D"/>
    <w:rsid w:val="00B42C18"/>
    <w:rsid w:val="00B43CF7"/>
    <w:rsid w:val="00B44327"/>
    <w:rsid w:val="00B53944"/>
    <w:rsid w:val="00B61FDD"/>
    <w:rsid w:val="00B72109"/>
    <w:rsid w:val="00B758E7"/>
    <w:rsid w:val="00B75B80"/>
    <w:rsid w:val="00B8089B"/>
    <w:rsid w:val="00B81149"/>
    <w:rsid w:val="00B860EA"/>
    <w:rsid w:val="00B8672D"/>
    <w:rsid w:val="00B90633"/>
    <w:rsid w:val="00B94FB1"/>
    <w:rsid w:val="00BA30C2"/>
    <w:rsid w:val="00BC7FBC"/>
    <w:rsid w:val="00BD11D6"/>
    <w:rsid w:val="00BD2A3B"/>
    <w:rsid w:val="00BD2C96"/>
    <w:rsid w:val="00BD646D"/>
    <w:rsid w:val="00BD6A33"/>
    <w:rsid w:val="00BD7ED0"/>
    <w:rsid w:val="00BE5E06"/>
    <w:rsid w:val="00BE63C4"/>
    <w:rsid w:val="00BE643E"/>
    <w:rsid w:val="00BE7CED"/>
    <w:rsid w:val="00BF59BF"/>
    <w:rsid w:val="00C056B5"/>
    <w:rsid w:val="00C10630"/>
    <w:rsid w:val="00C12939"/>
    <w:rsid w:val="00C14E3B"/>
    <w:rsid w:val="00C23BA4"/>
    <w:rsid w:val="00C241B2"/>
    <w:rsid w:val="00C24609"/>
    <w:rsid w:val="00C27A10"/>
    <w:rsid w:val="00C34485"/>
    <w:rsid w:val="00C40AB3"/>
    <w:rsid w:val="00C42827"/>
    <w:rsid w:val="00C43805"/>
    <w:rsid w:val="00C43E24"/>
    <w:rsid w:val="00C45235"/>
    <w:rsid w:val="00C54174"/>
    <w:rsid w:val="00C60EF2"/>
    <w:rsid w:val="00C615B2"/>
    <w:rsid w:val="00C702F0"/>
    <w:rsid w:val="00C74553"/>
    <w:rsid w:val="00C8112C"/>
    <w:rsid w:val="00C82DF6"/>
    <w:rsid w:val="00C84C38"/>
    <w:rsid w:val="00C87EF4"/>
    <w:rsid w:val="00CA0EA5"/>
    <w:rsid w:val="00CA623E"/>
    <w:rsid w:val="00CA630F"/>
    <w:rsid w:val="00CB0A47"/>
    <w:rsid w:val="00CB4EB2"/>
    <w:rsid w:val="00CB7A41"/>
    <w:rsid w:val="00CC50EC"/>
    <w:rsid w:val="00CC7A0B"/>
    <w:rsid w:val="00CD0A52"/>
    <w:rsid w:val="00CD0EEF"/>
    <w:rsid w:val="00CD1F5A"/>
    <w:rsid w:val="00CD64CD"/>
    <w:rsid w:val="00CE2041"/>
    <w:rsid w:val="00CE3059"/>
    <w:rsid w:val="00CE4960"/>
    <w:rsid w:val="00CE56FA"/>
    <w:rsid w:val="00CE5B6F"/>
    <w:rsid w:val="00CF0912"/>
    <w:rsid w:val="00D0060C"/>
    <w:rsid w:val="00D027B8"/>
    <w:rsid w:val="00D04134"/>
    <w:rsid w:val="00D0571C"/>
    <w:rsid w:val="00D0679B"/>
    <w:rsid w:val="00D11879"/>
    <w:rsid w:val="00D12547"/>
    <w:rsid w:val="00D22D44"/>
    <w:rsid w:val="00D378BA"/>
    <w:rsid w:val="00D40668"/>
    <w:rsid w:val="00D4282D"/>
    <w:rsid w:val="00D51B38"/>
    <w:rsid w:val="00D60794"/>
    <w:rsid w:val="00D6263A"/>
    <w:rsid w:val="00D6312E"/>
    <w:rsid w:val="00D75701"/>
    <w:rsid w:val="00D778D7"/>
    <w:rsid w:val="00D80BB4"/>
    <w:rsid w:val="00D83934"/>
    <w:rsid w:val="00D85305"/>
    <w:rsid w:val="00D861C3"/>
    <w:rsid w:val="00D862C1"/>
    <w:rsid w:val="00D91A0C"/>
    <w:rsid w:val="00D9239C"/>
    <w:rsid w:val="00D95955"/>
    <w:rsid w:val="00D979AB"/>
    <w:rsid w:val="00DA1F36"/>
    <w:rsid w:val="00DA590C"/>
    <w:rsid w:val="00DA703D"/>
    <w:rsid w:val="00DB54CF"/>
    <w:rsid w:val="00DC1546"/>
    <w:rsid w:val="00DD2172"/>
    <w:rsid w:val="00DD4A09"/>
    <w:rsid w:val="00DD4C25"/>
    <w:rsid w:val="00DD6A1F"/>
    <w:rsid w:val="00DE4C00"/>
    <w:rsid w:val="00DE5C67"/>
    <w:rsid w:val="00DF2449"/>
    <w:rsid w:val="00DF7ACF"/>
    <w:rsid w:val="00E004CA"/>
    <w:rsid w:val="00E03391"/>
    <w:rsid w:val="00E0373B"/>
    <w:rsid w:val="00E07308"/>
    <w:rsid w:val="00E14474"/>
    <w:rsid w:val="00E179B5"/>
    <w:rsid w:val="00E26286"/>
    <w:rsid w:val="00E30AC2"/>
    <w:rsid w:val="00E3319E"/>
    <w:rsid w:val="00E33D84"/>
    <w:rsid w:val="00E34813"/>
    <w:rsid w:val="00E356D2"/>
    <w:rsid w:val="00E401B3"/>
    <w:rsid w:val="00E458DA"/>
    <w:rsid w:val="00E5687E"/>
    <w:rsid w:val="00E603AE"/>
    <w:rsid w:val="00E639CC"/>
    <w:rsid w:val="00E63D5B"/>
    <w:rsid w:val="00E671AD"/>
    <w:rsid w:val="00E745B2"/>
    <w:rsid w:val="00E7497D"/>
    <w:rsid w:val="00E83E40"/>
    <w:rsid w:val="00E857B8"/>
    <w:rsid w:val="00E907E5"/>
    <w:rsid w:val="00E943B8"/>
    <w:rsid w:val="00EA11F7"/>
    <w:rsid w:val="00EA20B9"/>
    <w:rsid w:val="00EA4549"/>
    <w:rsid w:val="00EB005F"/>
    <w:rsid w:val="00EB59D7"/>
    <w:rsid w:val="00ED0B37"/>
    <w:rsid w:val="00ED11CE"/>
    <w:rsid w:val="00ED22DF"/>
    <w:rsid w:val="00ED4C66"/>
    <w:rsid w:val="00ED6781"/>
    <w:rsid w:val="00EE485B"/>
    <w:rsid w:val="00EE4BD8"/>
    <w:rsid w:val="00EE64BA"/>
    <w:rsid w:val="00EF0E48"/>
    <w:rsid w:val="00EF3685"/>
    <w:rsid w:val="00EF5BA0"/>
    <w:rsid w:val="00F13600"/>
    <w:rsid w:val="00F15FC0"/>
    <w:rsid w:val="00F17042"/>
    <w:rsid w:val="00F175D1"/>
    <w:rsid w:val="00F178B5"/>
    <w:rsid w:val="00F2168D"/>
    <w:rsid w:val="00F21DA9"/>
    <w:rsid w:val="00F22A75"/>
    <w:rsid w:val="00F3059E"/>
    <w:rsid w:val="00F30C1E"/>
    <w:rsid w:val="00F3185D"/>
    <w:rsid w:val="00F35217"/>
    <w:rsid w:val="00F35C50"/>
    <w:rsid w:val="00F37B8F"/>
    <w:rsid w:val="00F42D68"/>
    <w:rsid w:val="00F436FE"/>
    <w:rsid w:val="00F500D2"/>
    <w:rsid w:val="00F51A9D"/>
    <w:rsid w:val="00F56311"/>
    <w:rsid w:val="00F57792"/>
    <w:rsid w:val="00F60048"/>
    <w:rsid w:val="00F6185A"/>
    <w:rsid w:val="00F73FE2"/>
    <w:rsid w:val="00F74944"/>
    <w:rsid w:val="00F77370"/>
    <w:rsid w:val="00F7770B"/>
    <w:rsid w:val="00F8497C"/>
    <w:rsid w:val="00F91E41"/>
    <w:rsid w:val="00FA238D"/>
    <w:rsid w:val="00FA3835"/>
    <w:rsid w:val="00FA6816"/>
    <w:rsid w:val="00FB5D79"/>
    <w:rsid w:val="00FD4A98"/>
    <w:rsid w:val="00FE3D91"/>
    <w:rsid w:val="00FE55D2"/>
    <w:rsid w:val="00FF5179"/>
    <w:rsid w:val="00FF728E"/>
    <w:rsid w:val="020B291A"/>
    <w:rsid w:val="026B7DA6"/>
    <w:rsid w:val="03A70D79"/>
    <w:rsid w:val="051B3A05"/>
    <w:rsid w:val="053E2C54"/>
    <w:rsid w:val="06F02823"/>
    <w:rsid w:val="0762073E"/>
    <w:rsid w:val="079E79DA"/>
    <w:rsid w:val="07D41268"/>
    <w:rsid w:val="09120680"/>
    <w:rsid w:val="09A45050"/>
    <w:rsid w:val="09FA1199"/>
    <w:rsid w:val="0A5B05D9"/>
    <w:rsid w:val="0ADF594B"/>
    <w:rsid w:val="0AE0030A"/>
    <w:rsid w:val="0BA90827"/>
    <w:rsid w:val="0C721436"/>
    <w:rsid w:val="0D515D8F"/>
    <w:rsid w:val="0D6B0DE4"/>
    <w:rsid w:val="0D8A6F81"/>
    <w:rsid w:val="0E39045D"/>
    <w:rsid w:val="0E936CC2"/>
    <w:rsid w:val="0EE967FA"/>
    <w:rsid w:val="0F4075C9"/>
    <w:rsid w:val="0F4672D5"/>
    <w:rsid w:val="0F4E40DD"/>
    <w:rsid w:val="0F6F4465"/>
    <w:rsid w:val="10E279BE"/>
    <w:rsid w:val="122264FF"/>
    <w:rsid w:val="122E6778"/>
    <w:rsid w:val="124949E7"/>
    <w:rsid w:val="128B5428"/>
    <w:rsid w:val="13285904"/>
    <w:rsid w:val="13465DF0"/>
    <w:rsid w:val="139D57EB"/>
    <w:rsid w:val="13E76689"/>
    <w:rsid w:val="15D708BB"/>
    <w:rsid w:val="15F52619"/>
    <w:rsid w:val="17CB6513"/>
    <w:rsid w:val="17E30CEE"/>
    <w:rsid w:val="185D6BC0"/>
    <w:rsid w:val="199030D2"/>
    <w:rsid w:val="19AE7309"/>
    <w:rsid w:val="1A18361C"/>
    <w:rsid w:val="1A902BB0"/>
    <w:rsid w:val="1B9E3D36"/>
    <w:rsid w:val="1BBA3A2F"/>
    <w:rsid w:val="1C686EB5"/>
    <w:rsid w:val="1C746B04"/>
    <w:rsid w:val="1C8F2A04"/>
    <w:rsid w:val="1D8B6157"/>
    <w:rsid w:val="20365C75"/>
    <w:rsid w:val="20863AF3"/>
    <w:rsid w:val="20FD3BD3"/>
    <w:rsid w:val="218B2C39"/>
    <w:rsid w:val="22597BF6"/>
    <w:rsid w:val="227819CB"/>
    <w:rsid w:val="23256975"/>
    <w:rsid w:val="23423424"/>
    <w:rsid w:val="23EA6B2E"/>
    <w:rsid w:val="240C4724"/>
    <w:rsid w:val="243F7370"/>
    <w:rsid w:val="24E93CA3"/>
    <w:rsid w:val="26053E04"/>
    <w:rsid w:val="266D2F7E"/>
    <w:rsid w:val="26DD3CEE"/>
    <w:rsid w:val="27F05BD9"/>
    <w:rsid w:val="285745BD"/>
    <w:rsid w:val="2A8E004C"/>
    <w:rsid w:val="2B6A1BE2"/>
    <w:rsid w:val="2C083F8D"/>
    <w:rsid w:val="2CB90995"/>
    <w:rsid w:val="2D5179CF"/>
    <w:rsid w:val="2ED5581D"/>
    <w:rsid w:val="2F25260C"/>
    <w:rsid w:val="308A097E"/>
    <w:rsid w:val="319039E6"/>
    <w:rsid w:val="32085AE3"/>
    <w:rsid w:val="327F0D3B"/>
    <w:rsid w:val="32E25230"/>
    <w:rsid w:val="331A4758"/>
    <w:rsid w:val="3369385E"/>
    <w:rsid w:val="33CA23C6"/>
    <w:rsid w:val="351101A8"/>
    <w:rsid w:val="35C0542C"/>
    <w:rsid w:val="372B2789"/>
    <w:rsid w:val="37CE32A7"/>
    <w:rsid w:val="384F06F9"/>
    <w:rsid w:val="395026E3"/>
    <w:rsid w:val="39A43A9C"/>
    <w:rsid w:val="39E934A2"/>
    <w:rsid w:val="3AC54CA3"/>
    <w:rsid w:val="3AE72E6B"/>
    <w:rsid w:val="3AFF33E8"/>
    <w:rsid w:val="3C2D3B80"/>
    <w:rsid w:val="3D476359"/>
    <w:rsid w:val="3D9A658C"/>
    <w:rsid w:val="3DE10046"/>
    <w:rsid w:val="3DEE1D80"/>
    <w:rsid w:val="3DF338D5"/>
    <w:rsid w:val="3EA378DA"/>
    <w:rsid w:val="3EF73899"/>
    <w:rsid w:val="3F651E10"/>
    <w:rsid w:val="3F6F78D3"/>
    <w:rsid w:val="426C16E4"/>
    <w:rsid w:val="43D85920"/>
    <w:rsid w:val="442F62DC"/>
    <w:rsid w:val="443B5FD6"/>
    <w:rsid w:val="459220B9"/>
    <w:rsid w:val="46DB7A17"/>
    <w:rsid w:val="479534F6"/>
    <w:rsid w:val="48333FF5"/>
    <w:rsid w:val="485E6BC5"/>
    <w:rsid w:val="48E62910"/>
    <w:rsid w:val="49FA5FEB"/>
    <w:rsid w:val="4A3E0C6F"/>
    <w:rsid w:val="4B914BF5"/>
    <w:rsid w:val="4C7D3400"/>
    <w:rsid w:val="4CB230FF"/>
    <w:rsid w:val="4D413CB4"/>
    <w:rsid w:val="4EE564B0"/>
    <w:rsid w:val="4F3512E0"/>
    <w:rsid w:val="4F8D414D"/>
    <w:rsid w:val="4FFC159D"/>
    <w:rsid w:val="51CD3614"/>
    <w:rsid w:val="522400A9"/>
    <w:rsid w:val="531539E5"/>
    <w:rsid w:val="53D55AFF"/>
    <w:rsid w:val="53FC6986"/>
    <w:rsid w:val="54A60BE9"/>
    <w:rsid w:val="559A7000"/>
    <w:rsid w:val="56101070"/>
    <w:rsid w:val="5628185A"/>
    <w:rsid w:val="56770AFB"/>
    <w:rsid w:val="573C6F55"/>
    <w:rsid w:val="57D63A28"/>
    <w:rsid w:val="57F95C42"/>
    <w:rsid w:val="581B6CF3"/>
    <w:rsid w:val="582B4142"/>
    <w:rsid w:val="58527420"/>
    <w:rsid w:val="585F0652"/>
    <w:rsid w:val="58E701E7"/>
    <w:rsid w:val="591A5625"/>
    <w:rsid w:val="5980136F"/>
    <w:rsid w:val="59DD58A1"/>
    <w:rsid w:val="5AE900E2"/>
    <w:rsid w:val="5C7F1F93"/>
    <w:rsid w:val="5C973C68"/>
    <w:rsid w:val="5D89084C"/>
    <w:rsid w:val="5E72647F"/>
    <w:rsid w:val="5E834DD9"/>
    <w:rsid w:val="5F236DE7"/>
    <w:rsid w:val="5FEE7E35"/>
    <w:rsid w:val="608E3660"/>
    <w:rsid w:val="614C50B2"/>
    <w:rsid w:val="61600CEA"/>
    <w:rsid w:val="617B7B59"/>
    <w:rsid w:val="620B4DE2"/>
    <w:rsid w:val="621505DC"/>
    <w:rsid w:val="625D22A8"/>
    <w:rsid w:val="62914838"/>
    <w:rsid w:val="63025693"/>
    <w:rsid w:val="64187FBF"/>
    <w:rsid w:val="648D7D30"/>
    <w:rsid w:val="657340D8"/>
    <w:rsid w:val="65C0401D"/>
    <w:rsid w:val="662648F8"/>
    <w:rsid w:val="665F1537"/>
    <w:rsid w:val="67D85B6C"/>
    <w:rsid w:val="68ED6A71"/>
    <w:rsid w:val="69317B0A"/>
    <w:rsid w:val="69F67FAD"/>
    <w:rsid w:val="6A9734A6"/>
    <w:rsid w:val="6BFA67BA"/>
    <w:rsid w:val="6C67192F"/>
    <w:rsid w:val="6CE60189"/>
    <w:rsid w:val="6DF24FA7"/>
    <w:rsid w:val="6E04301E"/>
    <w:rsid w:val="6ECE1688"/>
    <w:rsid w:val="6F135C55"/>
    <w:rsid w:val="6F215C44"/>
    <w:rsid w:val="6F5A2F04"/>
    <w:rsid w:val="6FDA0E9E"/>
    <w:rsid w:val="732820F7"/>
    <w:rsid w:val="734D446A"/>
    <w:rsid w:val="740972B4"/>
    <w:rsid w:val="746B0D64"/>
    <w:rsid w:val="74C80B12"/>
    <w:rsid w:val="759B0467"/>
    <w:rsid w:val="774A1FD3"/>
    <w:rsid w:val="77FE4FE3"/>
    <w:rsid w:val="78C830A0"/>
    <w:rsid w:val="78D36201"/>
    <w:rsid w:val="792F1A3C"/>
    <w:rsid w:val="793270FF"/>
    <w:rsid w:val="79B5177D"/>
    <w:rsid w:val="79CD520C"/>
    <w:rsid w:val="7A463EB9"/>
    <w:rsid w:val="7A8377B3"/>
    <w:rsid w:val="7AB91175"/>
    <w:rsid w:val="7CD608CD"/>
    <w:rsid w:val="7D9D4043"/>
    <w:rsid w:val="7E9D0BC6"/>
    <w:rsid w:val="7F271A70"/>
    <w:rsid w:val="7F8942DD"/>
    <w:rsid w:val="7FCD0EBD"/>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0">
    <w:name w:val="Default Paragraph Font"/>
    <w:semiHidden/>
    <w:unhideWhenUsed/>
    <w:qFormat/>
    <w:uiPriority w:val="1"/>
  </w:style>
  <w:style w:type="table" w:default="1" w:styleId="38">
    <w:name w:val="Normal Table"/>
    <w:semiHidden/>
    <w:unhideWhenUsed/>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7"/>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Body Text Indent"/>
    <w:basedOn w:val="1"/>
    <w:qFormat/>
    <w:uiPriority w:val="0"/>
    <w:pPr>
      <w:spacing w:after="120"/>
      <w:ind w:left="420" w:leftChars="200"/>
    </w:pPr>
  </w:style>
  <w:style w:type="paragraph" w:styleId="18">
    <w:name w:val="toc 5"/>
    <w:basedOn w:val="1"/>
    <w:next w:val="1"/>
    <w:qFormat/>
    <w:uiPriority w:val="0"/>
    <w:pPr>
      <w:ind w:left="1680" w:leftChars="800"/>
    </w:pPr>
    <w:rPr>
      <w:rFonts w:ascii="Cambria" w:hAnsi="Cambria"/>
      <w:szCs w:val="21"/>
    </w:rPr>
  </w:style>
  <w:style w:type="paragraph" w:styleId="19">
    <w:name w:val="toc 3"/>
    <w:basedOn w:val="1"/>
    <w:next w:val="1"/>
    <w:qFormat/>
    <w:uiPriority w:val="0"/>
    <w:pPr>
      <w:ind w:left="840" w:leftChars="400"/>
    </w:pPr>
    <w:rPr>
      <w:rFonts w:ascii="Cambria" w:hAnsi="Cambria"/>
      <w:szCs w:val="21"/>
    </w:rPr>
  </w:style>
  <w:style w:type="paragraph" w:styleId="20">
    <w:name w:val="Plain Text"/>
    <w:basedOn w:val="1"/>
    <w:link w:val="48"/>
    <w:qFormat/>
    <w:uiPriority w:val="99"/>
    <w:rPr>
      <w:rFonts w:ascii="宋体" w:hAnsi="Courier New"/>
      <w:szCs w:val="20"/>
    </w:rPr>
  </w:style>
  <w:style w:type="paragraph" w:styleId="21">
    <w:name w:val="toc 8"/>
    <w:basedOn w:val="1"/>
    <w:next w:val="1"/>
    <w:qFormat/>
    <w:uiPriority w:val="0"/>
    <w:pPr>
      <w:ind w:left="2940" w:leftChars="1400"/>
    </w:pPr>
    <w:rPr>
      <w:rFonts w:ascii="Cambria" w:hAnsi="Cambria"/>
      <w:szCs w:val="21"/>
    </w:rPr>
  </w:style>
  <w:style w:type="paragraph" w:styleId="22">
    <w:name w:val="Date"/>
    <w:basedOn w:val="1"/>
    <w:next w:val="1"/>
    <w:link w:val="49"/>
    <w:qFormat/>
    <w:uiPriority w:val="0"/>
    <w:rPr>
      <w:szCs w:val="20"/>
    </w:rPr>
  </w:style>
  <w:style w:type="paragraph" w:styleId="23">
    <w:name w:val="Body Text Indent 2"/>
    <w:basedOn w:val="1"/>
    <w:qFormat/>
    <w:uiPriority w:val="0"/>
    <w:pPr>
      <w:ind w:firstLine="480" w:firstLineChars="200"/>
    </w:pPr>
    <w:rPr>
      <w:rFonts w:ascii="仿宋_GB2312" w:eastAsia="仿宋_GB2312"/>
      <w:sz w:val="24"/>
    </w:rPr>
  </w:style>
  <w:style w:type="paragraph" w:styleId="24">
    <w:name w:val="Balloon Text"/>
    <w:basedOn w:val="1"/>
    <w:semiHidden/>
    <w:qFormat/>
    <w:uiPriority w:val="0"/>
    <w:rPr>
      <w:sz w:val="18"/>
      <w:szCs w:val="18"/>
    </w:rPr>
  </w:style>
  <w:style w:type="paragraph" w:styleId="25">
    <w:name w:val="footer"/>
    <w:basedOn w:val="1"/>
    <w:link w:val="50"/>
    <w:qFormat/>
    <w:uiPriority w:val="99"/>
    <w:pPr>
      <w:tabs>
        <w:tab w:val="center" w:pos="4153"/>
        <w:tab w:val="right" w:pos="8306"/>
      </w:tabs>
      <w:snapToGrid w:val="0"/>
      <w:jc w:val="left"/>
    </w:pPr>
    <w:rPr>
      <w:sz w:val="18"/>
      <w:szCs w:val="18"/>
    </w:rPr>
  </w:style>
  <w:style w:type="paragraph" w:styleId="26">
    <w:name w:val="header"/>
    <w:basedOn w:val="1"/>
    <w:link w:val="5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8">
    <w:name w:val="toc 4"/>
    <w:basedOn w:val="1"/>
    <w:next w:val="1"/>
    <w:qFormat/>
    <w:uiPriority w:val="0"/>
    <w:pPr>
      <w:ind w:left="1260" w:leftChars="600"/>
    </w:pPr>
    <w:rPr>
      <w:rFonts w:ascii="Cambria" w:hAnsi="Cambria"/>
      <w:szCs w:val="21"/>
    </w:rPr>
  </w:style>
  <w:style w:type="paragraph" w:styleId="29">
    <w:name w:val="toc 6"/>
    <w:basedOn w:val="1"/>
    <w:next w:val="1"/>
    <w:qFormat/>
    <w:uiPriority w:val="0"/>
    <w:pPr>
      <w:ind w:left="2100" w:leftChars="1000"/>
    </w:pPr>
    <w:rPr>
      <w:rFonts w:ascii="Cambria" w:hAnsi="Cambria"/>
      <w:szCs w:val="21"/>
    </w:rPr>
  </w:style>
  <w:style w:type="paragraph" w:styleId="30">
    <w:name w:val="Body Text Indent 3"/>
    <w:basedOn w:val="1"/>
    <w:link w:val="52"/>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1">
    <w:name w:val="toc 2"/>
    <w:basedOn w:val="1"/>
    <w:next w:val="1"/>
    <w:qFormat/>
    <w:uiPriority w:val="0"/>
    <w:pPr>
      <w:spacing w:before="120" w:line="360" w:lineRule="auto"/>
    </w:pPr>
    <w:rPr>
      <w:rFonts w:ascii="仿宋_GB2312" w:hAnsi="宋体" w:eastAsia="仿宋_GB2312" w:cs="仿宋_GB2312"/>
      <w:b/>
      <w:bCs/>
      <w:sz w:val="24"/>
    </w:rPr>
  </w:style>
  <w:style w:type="paragraph" w:styleId="32">
    <w:name w:val="toc 9"/>
    <w:basedOn w:val="1"/>
    <w:next w:val="1"/>
    <w:qFormat/>
    <w:uiPriority w:val="0"/>
    <w:pPr>
      <w:ind w:left="3360" w:leftChars="1600"/>
    </w:pPr>
    <w:rPr>
      <w:rFonts w:ascii="Cambria" w:hAnsi="Cambria"/>
      <w:szCs w:val="21"/>
    </w:rPr>
  </w:style>
  <w:style w:type="paragraph" w:styleId="33">
    <w:name w:val="Body Text 2"/>
    <w:basedOn w:val="1"/>
    <w:qFormat/>
    <w:uiPriority w:val="0"/>
    <w:pPr>
      <w:widowControl/>
    </w:pPr>
    <w:rPr>
      <w:kern w:val="0"/>
      <w:sz w:val="20"/>
      <w:szCs w:val="20"/>
      <w:lang w:eastAsia="en-US"/>
    </w:rPr>
  </w:style>
  <w:style w:type="paragraph" w:styleId="3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5">
    <w:name w:val="index 1"/>
    <w:basedOn w:val="1"/>
    <w:next w:val="1"/>
    <w:qFormat/>
    <w:uiPriority w:val="0"/>
    <w:rPr>
      <w:rFonts w:ascii="Cambria" w:hAnsi="Cambria"/>
      <w:szCs w:val="21"/>
    </w:rPr>
  </w:style>
  <w:style w:type="paragraph" w:styleId="36">
    <w:name w:val="Title"/>
    <w:basedOn w:val="1"/>
    <w:qFormat/>
    <w:uiPriority w:val="0"/>
    <w:pPr>
      <w:jc w:val="center"/>
    </w:pPr>
    <w:rPr>
      <w:sz w:val="30"/>
    </w:rPr>
  </w:style>
  <w:style w:type="paragraph" w:styleId="37">
    <w:name w:val="annotation subject"/>
    <w:basedOn w:val="14"/>
    <w:next w:val="14"/>
    <w:link w:val="53"/>
    <w:qFormat/>
    <w:uiPriority w:val="0"/>
    <w:rPr>
      <w:rFonts w:ascii="Times New Roman" w:hAnsi="Times New Roman"/>
      <w:b/>
      <w:bCs/>
      <w:szCs w:val="24"/>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22"/>
    <w:rPr>
      <w:b/>
      <w:bCs/>
    </w:rPr>
  </w:style>
  <w:style w:type="character" w:styleId="42">
    <w:name w:val="page number"/>
    <w:qFormat/>
    <w:uiPriority w:val="0"/>
  </w:style>
  <w:style w:type="character" w:styleId="43">
    <w:name w:val="FollowedHyperlink"/>
    <w:qFormat/>
    <w:uiPriority w:val="0"/>
    <w:rPr>
      <w:color w:val="800080"/>
      <w:u w:val="single"/>
    </w:rPr>
  </w:style>
  <w:style w:type="character" w:styleId="44">
    <w:name w:val="Emphasis"/>
    <w:qFormat/>
    <w:uiPriority w:val="20"/>
    <w:rPr>
      <w:i/>
      <w:iCs/>
    </w:rPr>
  </w:style>
  <w:style w:type="character" w:styleId="45">
    <w:name w:val="Hyperlink"/>
    <w:qFormat/>
    <w:uiPriority w:val="99"/>
    <w:rPr>
      <w:color w:val="0000FF"/>
      <w:u w:val="single"/>
    </w:rPr>
  </w:style>
  <w:style w:type="character" w:styleId="46">
    <w:name w:val="annotation reference"/>
    <w:qFormat/>
    <w:uiPriority w:val="99"/>
    <w:rPr>
      <w:sz w:val="21"/>
      <w:szCs w:val="21"/>
    </w:rPr>
  </w:style>
  <w:style w:type="character" w:customStyle="1" w:styleId="47">
    <w:name w:val="批注文字 字符"/>
    <w:link w:val="14"/>
    <w:qFormat/>
    <w:uiPriority w:val="99"/>
    <w:rPr>
      <w:rFonts w:ascii="Cambria" w:hAnsi="Cambria"/>
      <w:kern w:val="2"/>
      <w:sz w:val="21"/>
      <w:szCs w:val="21"/>
    </w:rPr>
  </w:style>
  <w:style w:type="character" w:customStyle="1" w:styleId="48">
    <w:name w:val="纯文本 字符"/>
    <w:link w:val="20"/>
    <w:qFormat/>
    <w:uiPriority w:val="99"/>
    <w:rPr>
      <w:rFonts w:ascii="宋体" w:hAnsi="Courier New"/>
      <w:kern w:val="2"/>
      <w:sz w:val="21"/>
    </w:rPr>
  </w:style>
  <w:style w:type="character" w:customStyle="1" w:styleId="49">
    <w:name w:val="日期 字符"/>
    <w:link w:val="22"/>
    <w:qFormat/>
    <w:uiPriority w:val="0"/>
    <w:rPr>
      <w:rFonts w:eastAsia="宋体"/>
      <w:kern w:val="2"/>
      <w:sz w:val="21"/>
      <w:lang w:val="en-US" w:eastAsia="zh-CN" w:bidi="ar-SA"/>
    </w:rPr>
  </w:style>
  <w:style w:type="character" w:customStyle="1" w:styleId="50">
    <w:name w:val="页脚 字符"/>
    <w:link w:val="25"/>
    <w:qFormat/>
    <w:uiPriority w:val="99"/>
    <w:rPr>
      <w:kern w:val="2"/>
      <w:sz w:val="18"/>
      <w:szCs w:val="18"/>
    </w:rPr>
  </w:style>
  <w:style w:type="character" w:customStyle="1" w:styleId="51">
    <w:name w:val="页眉 字符"/>
    <w:link w:val="26"/>
    <w:qFormat/>
    <w:uiPriority w:val="0"/>
    <w:rPr>
      <w:kern w:val="2"/>
      <w:sz w:val="18"/>
      <w:szCs w:val="18"/>
    </w:rPr>
  </w:style>
  <w:style w:type="character" w:customStyle="1" w:styleId="52">
    <w:name w:val="正文文本缩进 3 字符"/>
    <w:link w:val="30"/>
    <w:qFormat/>
    <w:uiPriority w:val="0"/>
    <w:rPr>
      <w:rFonts w:ascii="宋体" w:hAnsi="Cambria" w:cs="宋体"/>
      <w:sz w:val="24"/>
      <w:szCs w:val="24"/>
    </w:rPr>
  </w:style>
  <w:style w:type="character" w:customStyle="1" w:styleId="53">
    <w:name w:val="批注主题 字符"/>
    <w:link w:val="37"/>
    <w:qFormat/>
    <w:uiPriority w:val="0"/>
    <w:rPr>
      <w:rFonts w:ascii="Cambria" w:hAnsi="Cambria"/>
      <w:b/>
      <w:bCs/>
      <w:kern w:val="2"/>
      <w:sz w:val="21"/>
      <w:szCs w:val="24"/>
    </w:rPr>
  </w:style>
  <w:style w:type="character" w:customStyle="1" w:styleId="54">
    <w:name w:val="Char"/>
    <w:qFormat/>
    <w:uiPriority w:val="0"/>
    <w:rPr>
      <w:rFonts w:ascii="宋体" w:hAnsi="Courier New" w:eastAsia="宋体"/>
      <w:kern w:val="2"/>
      <w:sz w:val="21"/>
      <w:lang w:val="en-US" w:eastAsia="zh-CN" w:bidi="ar-SA"/>
    </w:rPr>
  </w:style>
  <w:style w:type="paragraph" w:customStyle="1" w:styleId="55">
    <w:name w:val="Char1"/>
    <w:basedOn w:val="1"/>
    <w:qFormat/>
    <w:uiPriority w:val="0"/>
    <w:rPr>
      <w:rFonts w:ascii="Tahoma" w:hAnsi="Tahoma"/>
      <w:sz w:val="24"/>
      <w:szCs w:val="20"/>
    </w:rPr>
  </w:style>
  <w:style w:type="paragraph" w:customStyle="1" w:styleId="56">
    <w:name w:val="彩色列表 - 强调文字颜色 11"/>
    <w:basedOn w:val="1"/>
    <w:qFormat/>
    <w:uiPriority w:val="34"/>
    <w:pPr>
      <w:ind w:firstLine="420" w:firstLineChars="200"/>
    </w:pPr>
    <w:rPr>
      <w:rFonts w:ascii="Calibri" w:hAnsi="Calibri"/>
      <w:szCs w:val="22"/>
    </w:rPr>
  </w:style>
  <w:style w:type="paragraph" w:customStyle="1" w:styleId="57">
    <w:name w:val="正文文本 21"/>
    <w:basedOn w:val="1"/>
    <w:qFormat/>
    <w:uiPriority w:val="0"/>
    <w:pPr>
      <w:adjustRightInd w:val="0"/>
      <w:spacing w:before="120" w:line="360" w:lineRule="auto"/>
      <w:ind w:firstLine="480"/>
      <w:textAlignment w:val="baseline"/>
    </w:pPr>
    <w:rPr>
      <w:sz w:val="24"/>
      <w:szCs w:val="20"/>
    </w:rPr>
  </w:style>
  <w:style w:type="paragraph" w:customStyle="1" w:styleId="58">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9">
    <w:name w:val="正文文本缩进 21"/>
    <w:basedOn w:val="1"/>
    <w:qFormat/>
    <w:uiPriority w:val="0"/>
    <w:pPr>
      <w:adjustRightInd w:val="0"/>
      <w:spacing w:before="120"/>
      <w:ind w:firstLine="420"/>
      <w:textAlignment w:val="baseline"/>
    </w:pPr>
    <w:rPr>
      <w:sz w:val="24"/>
      <w:szCs w:val="20"/>
    </w:rPr>
  </w:style>
  <w:style w:type="character" w:customStyle="1" w:styleId="60">
    <w:name w:val="Char2"/>
    <w:qFormat/>
    <w:uiPriority w:val="0"/>
    <w:rPr>
      <w:rFonts w:ascii="宋体" w:hAnsi="Courier New" w:eastAsia="宋体" w:cs="宋体"/>
      <w:kern w:val="2"/>
      <w:sz w:val="21"/>
      <w:szCs w:val="21"/>
      <w:lang w:val="en-US" w:eastAsia="zh-CN"/>
    </w:rPr>
  </w:style>
  <w:style w:type="paragraph" w:customStyle="1" w:styleId="61">
    <w:name w:val="标题1"/>
    <w:basedOn w:val="36"/>
    <w:qFormat/>
    <w:uiPriority w:val="0"/>
    <w:pPr>
      <w:spacing w:before="240" w:after="240"/>
      <w:outlineLvl w:val="0"/>
    </w:pPr>
    <w:rPr>
      <w:rFonts w:ascii="Arial" w:hAnsi="Arial" w:cs="Arial"/>
      <w:b/>
      <w:bCs/>
      <w:spacing w:val="2"/>
      <w:sz w:val="44"/>
      <w:szCs w:val="44"/>
    </w:rPr>
  </w:style>
  <w:style w:type="paragraph" w:customStyle="1" w:styleId="62">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3">
    <w:name w:val="样式"/>
    <w:basedOn w:val="1"/>
    <w:next w:val="20"/>
    <w:qFormat/>
    <w:uiPriority w:val="0"/>
    <w:rPr>
      <w:rFonts w:ascii="宋体" w:hAnsi="Courier New" w:cs="宋体"/>
      <w:szCs w:val="21"/>
    </w:rPr>
  </w:style>
  <w:style w:type="paragraph" w:customStyle="1" w:styleId="64">
    <w:name w:val="Char11"/>
    <w:basedOn w:val="1"/>
    <w:qFormat/>
    <w:uiPriority w:val="0"/>
    <w:rPr>
      <w:rFonts w:ascii="Tahoma" w:hAnsi="Tahoma"/>
      <w:sz w:val="24"/>
      <w:szCs w:val="20"/>
    </w:rPr>
  </w:style>
  <w:style w:type="paragraph" w:customStyle="1" w:styleId="65">
    <w:name w:val="Char Char Char Char"/>
    <w:basedOn w:val="1"/>
    <w:qFormat/>
    <w:uiPriority w:val="0"/>
    <w:pPr>
      <w:spacing w:after="160" w:line="240" w:lineRule="exact"/>
    </w:pPr>
    <w:rPr>
      <w:rFonts w:ascii="Cambria" w:hAnsi="Cambria"/>
      <w:szCs w:val="21"/>
    </w:rPr>
  </w:style>
  <w:style w:type="paragraph" w:customStyle="1" w:styleId="66">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7">
    <w:name w:val="List Paragraph"/>
    <w:basedOn w:val="1"/>
    <w:qFormat/>
    <w:uiPriority w:val="34"/>
    <w:pPr>
      <w:ind w:left="205" w:right="169" w:firstLine="655"/>
    </w:pPr>
    <w:rPr>
      <w:rFonts w:ascii="Cambria" w:hAnsi="Cambria"/>
      <w:szCs w:val="21"/>
    </w:rPr>
  </w:style>
  <w:style w:type="table" w:customStyle="1" w:styleId="68">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6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70">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71">
    <w:name w:val="null3"/>
    <w:qFormat/>
    <w:uiPriority w:val="0"/>
    <w:rPr>
      <w:rFonts w:hint="eastAsia" w:ascii="Calibri" w:hAnsi="Calibri" w:eastAsia="宋体" w:cs="Times New Roman"/>
      <w:lang w:val="en-US" w:eastAsia="zh-Hans" w:bidi="ar-SA"/>
    </w:rPr>
  </w:style>
  <w:style w:type="paragraph" w:customStyle="1" w:styleId="72">
    <w:name w:val="_Style 71"/>
    <w:unhideWhenUsed/>
    <w:qFormat/>
    <w:uiPriority w:val="99"/>
    <w:rPr>
      <w:rFonts w:ascii="Times New Roman" w:hAnsi="Times New Roman" w:eastAsia="宋体" w:cs="Times New Roman"/>
      <w:kern w:val="2"/>
      <w:sz w:val="21"/>
      <w:szCs w:val="24"/>
      <w:lang w:val="en-US" w:eastAsia="zh-CN" w:bidi="ar-SA"/>
    </w:rPr>
  </w:style>
  <w:style w:type="paragraph" w:customStyle="1" w:styleId="73">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74">
    <w:name w:val="修订2"/>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58AAB-C492-44B9-BBB0-EBADE011D52B}">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8</Pages>
  <Words>9370</Words>
  <Characters>10165</Characters>
  <Lines>1572</Lines>
  <Paragraphs>1431</Paragraphs>
  <TotalTime>17</TotalTime>
  <ScaleCrop>false</ScaleCrop>
  <LinksUpToDate>false</LinksUpToDate>
  <CharactersWithSpaces>10377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2026-06-08T06:24:00Z</dcterms:created>
  <dc:creator>caowuning</dc:creator>
  <cp:lastModifiedBy>Weiyu Duan</cp:lastModifiedBy>
  <cp:lastPrinted>2009-04-21T09:03:00Z</cp:lastPrinted>
  <dcterms:modified xsi:type="dcterms:W3CDTF">2026-06-25T03:19:32Z</dcterms:modified>
  <dc:title>北 京 市 政 府 采 购</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4F9957A1BDE547059792B991CCF05798_13</vt:lpwstr>
  </property>
  <property fmtid="{D5CDD505-2E9C-101B-9397-08002B2CF9AE}" pid="4" name="KSOTemplateDocerSaveRecord">
    <vt:lpwstr>eyJoZGlkIjoiMTY5ZDVkNGViNDI2YWMwZWE1YmM5MGM5ZjEwZmIzYzgiLCJ1c2VySWQiOiIyMTUzODc5NTAifQ==</vt:lpwstr>
  </property>
</Properties>
</file>