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sz w:val="22"/>
          <w:szCs w:val="28"/>
        </w:rPr>
      </w:pPr>
      <w:r>
        <w:rPr>
          <w:rFonts w:hint="eastAsia" w:ascii="宋体" w:hAnsi="宋体" w:cs="宋体"/>
          <w:b/>
          <w:bCs/>
          <w:sz w:val="32"/>
          <w:szCs w:val="32"/>
        </w:rPr>
        <w:t>项目需求</w:t>
      </w:r>
    </w:p>
    <w:p>
      <w:pPr>
        <w:pStyle w:val="11"/>
        <w:adjustRightInd/>
        <w:snapToGrid w:val="0"/>
        <w:spacing w:line="360" w:lineRule="auto"/>
        <w:jc w:val="both"/>
        <w:rPr>
          <w:rFonts w:hint="eastAsia"/>
          <w:bCs/>
        </w:rPr>
      </w:pPr>
      <w:r>
        <w:rPr>
          <w:rFonts w:hint="eastAsia"/>
          <w:bCs/>
        </w:rPr>
        <w:t>注：</w:t>
      </w:r>
    </w:p>
    <w:p>
      <w:pPr>
        <w:pStyle w:val="11"/>
        <w:adjustRightInd/>
        <w:snapToGrid w:val="0"/>
        <w:spacing w:line="360" w:lineRule="auto"/>
        <w:ind w:left="420"/>
        <w:jc w:val="both"/>
        <w:rPr>
          <w:rFonts w:hint="eastAsia"/>
          <w:bCs/>
        </w:rPr>
      </w:pPr>
      <w:r>
        <w:rPr>
          <w:rFonts w:hint="eastAsia"/>
          <w:bCs/>
        </w:rPr>
        <w:t>1、如本章内容与其他章节有冲突，以本章内容为准。</w:t>
      </w:r>
    </w:p>
    <w:p>
      <w:pPr>
        <w:pStyle w:val="11"/>
        <w:adjustRightInd/>
        <w:snapToGrid w:val="0"/>
        <w:spacing w:line="360" w:lineRule="auto"/>
        <w:ind w:left="420"/>
        <w:jc w:val="both"/>
        <w:rPr>
          <w:rFonts w:hint="eastAsia"/>
          <w:bCs/>
        </w:rPr>
      </w:pPr>
      <w:r>
        <w:rPr>
          <w:rFonts w:hint="eastAsia"/>
          <w:bCs/>
        </w:rPr>
        <w:t>2、如本章内容与国家法律法规相冲突的，以相关法律法规为准。</w:t>
      </w:r>
    </w:p>
    <w:p>
      <w:pPr>
        <w:pStyle w:val="11"/>
        <w:adjustRightInd/>
        <w:snapToGrid w:val="0"/>
        <w:spacing w:line="360" w:lineRule="auto"/>
        <w:ind w:left="420"/>
        <w:jc w:val="both"/>
        <w:rPr>
          <w:rFonts w:hint="eastAsia"/>
          <w:bCs/>
        </w:rPr>
      </w:pPr>
      <w:r>
        <w:rPr>
          <w:rFonts w:hint="eastAsia"/>
          <w:bCs/>
        </w:rPr>
        <w:t>3、如本章内容与国家、地方强制标准相冲突的，以强制标准为准。</w:t>
      </w:r>
    </w:p>
    <w:p>
      <w:pPr>
        <w:snapToGrid w:val="0"/>
        <w:spacing w:line="360" w:lineRule="auto"/>
        <w:jc w:val="left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一、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项目采购</w:t>
      </w:r>
      <w:r>
        <w:rPr>
          <w:rFonts w:hint="eastAsia" w:ascii="宋体" w:hAnsi="宋体" w:cs="宋体"/>
          <w:b/>
          <w:bCs/>
          <w:sz w:val="24"/>
          <w:szCs w:val="24"/>
        </w:rPr>
        <w:t>需求</w:t>
      </w:r>
    </w:p>
    <w:p>
      <w:pPr>
        <w:spacing w:line="360" w:lineRule="auto"/>
        <w:ind w:firstLine="480" w:firstLineChars="200"/>
        <w:rPr>
          <w:rFonts w:hint="eastAsia" w:ascii="宋体" w:hAnsi="宋体" w:cs="仿宋"/>
          <w:sz w:val="24"/>
          <w:lang w:val="en-US" w:eastAsia="zh-CN"/>
        </w:rPr>
      </w:pPr>
      <w:r>
        <w:rPr>
          <w:rFonts w:hint="eastAsia" w:ascii="宋体" w:hAnsi="宋体" w:cs="仿宋"/>
          <w:sz w:val="24"/>
          <w:lang w:val="en-US" w:eastAsia="zh-CN"/>
        </w:rPr>
        <w:t>本项目</w:t>
      </w:r>
      <w:r>
        <w:rPr>
          <w:rFonts w:hint="eastAsia" w:ascii="宋体" w:hAnsi="宋体" w:cs="仿宋"/>
          <w:sz w:val="24"/>
        </w:rPr>
        <w:t>为</w:t>
      </w:r>
      <w:r>
        <w:rPr>
          <w:rFonts w:hint="eastAsia" w:ascii="宋体" w:hAnsi="宋体" w:cs="仿宋"/>
          <w:sz w:val="24"/>
          <w:lang w:val="en-US" w:eastAsia="zh-CN"/>
        </w:rPr>
        <w:t>顺安中学学生宿舍柜体等设备采购项目</w:t>
      </w:r>
    </w:p>
    <w:tbl>
      <w:tblPr>
        <w:tblStyle w:val="9"/>
        <w:tblW w:w="0" w:type="auto"/>
        <w:tblInd w:w="-1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2392"/>
        <w:gridCol w:w="2371"/>
        <w:gridCol w:w="570"/>
        <w:gridCol w:w="599"/>
        <w:gridCol w:w="6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bCs/>
              </w:rPr>
            </w:pPr>
            <w:r>
              <w:rPr>
                <w:rFonts w:hint="eastAsia" w:ascii="宋体" w:hAnsi="宋体" w:eastAsia="宋体" w:cs="宋体"/>
                <w:bCs/>
              </w:rPr>
              <w:t>序号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lang w:val="en-US" w:eastAsia="zh-CN"/>
              </w:rPr>
              <w:t>类别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bCs/>
              </w:rPr>
            </w:pPr>
            <w:r>
              <w:rPr>
                <w:rFonts w:hint="eastAsia" w:ascii="宋体" w:hAnsi="宋体" w:eastAsia="宋体" w:cs="宋体"/>
                <w:bCs/>
              </w:rPr>
              <w:t>数量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</w:rPr>
            </w:pPr>
            <w:r>
              <w:rPr>
                <w:rFonts w:hint="eastAsia" w:ascii="宋体" w:hAnsi="宋体" w:eastAsia="宋体" w:cs="宋体"/>
                <w:bCs/>
              </w:rPr>
              <w:t>单位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90" w:type="dxa"/>
            <w:gridSpan w:val="2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lang w:val="en-US" w:eastAsia="zh-CN"/>
              </w:rPr>
              <w:t>洗漱间</w:t>
            </w:r>
          </w:p>
        </w:tc>
        <w:tc>
          <w:tcPr>
            <w:tcW w:w="10186" w:type="dxa"/>
            <w:gridSpan w:val="4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 xml:space="preserve">洗衣池石英台面（台盆、水龙头） 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台柜规格：1700*600*20mm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1、材料种类、规格：石英石台面，厚度不小于15mm；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3、水龙头材质为优质品牌304不锈钢，提供相关产品合格证明材料复印件；</w:t>
            </w:r>
          </w:p>
          <w:p>
            <w:pPr>
              <w:pStyle w:val="7"/>
              <w:spacing w:line="24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4、其他要求：详见设计图纸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全铝柜体（柜门）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pStyle w:val="7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台柜规格：1700*750*600mm</w:t>
            </w:r>
          </w:p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 w:eastAsia="zh-CN"/>
              </w:rPr>
            </w:pP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、材料种类、规格：铝板，封边，提供相关铝材第三方具有CNAS和CMA标识的合格检测报告复印件，检测依据为GB/T8478-2008；</w:t>
            </w:r>
          </w:p>
          <w:p>
            <w:pPr>
              <w:pStyle w:val="7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、五金种类、规格：全套优质品牌五金件及拉手</w:t>
            </w:r>
          </w:p>
          <w:p>
            <w:pPr>
              <w:pStyle w:val="7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 xml:space="preserve">吊柜 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台柜规格：1700*580*200mm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1、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2、材料种类、规格：采用不低于E1级优质不小于1.8cm厚实木免漆板，优质品牌五金件，板材颜色由招标人确认。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3、其他要求：详见设计图纸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4、提供板材第三方具有CNAS和CMA标识的合格检测报告复印件，检测依据为GB/T34700-2017和GB/T39600-2021，其中甲醛释放量≤0.025mg/m3；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毛巾杆（架）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单层毛巾杆结构，固定式结构。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1、材料种类：304不锈钢，提供304不锈钢的产品质量证明材料复印件；</w:t>
            </w:r>
          </w:p>
          <w:p>
            <w:pPr>
              <w:pStyle w:val="7"/>
              <w:spacing w:line="24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90" w:type="dxa"/>
            <w:gridSpan w:val="2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宿舍间</w:t>
            </w:r>
          </w:p>
        </w:tc>
        <w:tc>
          <w:tcPr>
            <w:tcW w:w="10186" w:type="dxa"/>
            <w:gridSpan w:val="4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7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免漆板衣柜（柜门）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台柜规格：1600*2450*550mm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、材料种类、规格：采用E1级优质不小于1.8cm厚多层实木免漆板，优质五金件，板材颜色由招标人确认；提供板材第三方具有CNAS和CMA标识的合格检测报告复印件，检测依据为GB/T34700-2017和GB/T39600-2021，其中甲醛释放量≤0.025mg/m3；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、五金种类、规格：全套优质品牌五金件及拉手；</w:t>
            </w:r>
          </w:p>
          <w:p>
            <w:pPr>
              <w:pStyle w:val="7"/>
              <w:spacing w:line="24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7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免漆板写字台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台柜规格：3000*200*550mm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1、材料种类、规格：采用不低于E1级优质不小于1.8cm厚实木免漆板，优质品牌五金件，板材颜色由招标人确认；提供板材第三方具有CNAS和CMA标识的合格检测报告复印件，检测依据为GB/T34700-2017和GB/T39600-2021，其中甲醛释放量≤0.025mg/m3；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、五金种类、规格：全套优质品牌五金件及拉手；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免漆板书柜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pStyle w:val="12"/>
              <w:ind w:left="0" w:firstLine="0" w:firstLineChars="0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 xml:space="preserve">台柜规格：3000*700*300mm 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材料种类、规格：采用不低于E1级优质不小于1.8cm厚实木免漆板，优质品牌五金件，板材颜色由招标人确认。提供板材第三方具有CNAS和CMA标识的合格检测报告复印件，检测依据为GB/T34700-2017和GB/T39600-2021，其中甲醛释放量≤0.025mg/m3；</w:t>
            </w:r>
          </w:p>
          <w:p>
            <w:pPr>
              <w:pStyle w:val="7"/>
              <w:spacing w:line="24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329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阳台</w:t>
            </w:r>
          </w:p>
        </w:tc>
        <w:tc>
          <w:tcPr>
            <w:tcW w:w="10186" w:type="dxa"/>
            <w:gridSpan w:val="4"/>
            <w:noWrap w:val="0"/>
            <w:vAlign w:val="center"/>
          </w:tcPr>
          <w:p>
            <w:pPr>
              <w:pStyle w:val="12"/>
              <w:ind w:left="0" w:firstLine="0" w:firstLineChars="0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 xml:space="preserve">不锈钢晾衣杆 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规格：离顶高度约为300mm，总长为3100mm，直径不小于25mm，壁厚不小于1.2mm，具体以现场为准；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 xml:space="preserve">52 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 xml:space="preserve">套 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1、材料种类：采用全新优质304不锈钢制作而成；提供304不锈钢的产品质量证明材料复印件；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2、结构：固定安装，焊接结构件固定于房顶；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3、生产工艺要求：焊接表面要求波纹均匀，焊接处无夹渣、气孔、焊瘤、焊接头咬边和飞溅，并保证无脱焊、虚焊、焊穿等现象。</w:t>
            </w:r>
          </w:p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4、其他要求：详见设计图纸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329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  <w:tc>
          <w:tcPr>
            <w:tcW w:w="10186" w:type="dxa"/>
            <w:gridSpan w:val="4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898" w:type="dxa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392" w:type="dxa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zh-CN"/>
              </w:rPr>
              <w:t>设备安装调试、垃圾清运及售后服务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57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9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间</w:t>
            </w:r>
          </w:p>
        </w:tc>
        <w:tc>
          <w:tcPr>
            <w:tcW w:w="6646" w:type="dxa"/>
            <w:noWrap w:val="0"/>
            <w:vAlign w:val="center"/>
          </w:tcPr>
          <w:p>
            <w:pPr>
              <w:pStyle w:val="7"/>
              <w:spacing w:line="240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房间设备安装、调试、卫生、垃圾清运需安装业主要求进行，同时包含安装到位、通过验收的一切费用；所有设备质保5年以上，在质保期免费维修和更换（人为造成损坏的除外）；</w:t>
            </w:r>
          </w:p>
        </w:tc>
      </w:tr>
    </w:tbl>
    <w:p>
      <w:pPr>
        <w:pStyle w:val="11"/>
        <w:numPr>
          <w:ilvl w:val="0"/>
          <w:numId w:val="0"/>
        </w:numPr>
        <w:tabs>
          <w:tab w:val="left" w:pos="1140"/>
        </w:tabs>
        <w:adjustRightInd/>
        <w:snapToGrid w:val="0"/>
        <w:spacing w:line="360" w:lineRule="auto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二、</w:t>
      </w:r>
      <w:r>
        <w:rPr>
          <w:rFonts w:hint="eastAsia"/>
          <w:b/>
          <w:sz w:val="28"/>
          <w:szCs w:val="28"/>
        </w:rPr>
        <w:t>投标报价</w:t>
      </w:r>
    </w:p>
    <w:p>
      <w:pPr>
        <w:pStyle w:val="2"/>
      </w:pPr>
      <w:r>
        <w:rPr>
          <w:rFonts w:hint="eastAsia"/>
          <w:sz w:val="24"/>
          <w:lang w:val="en-US" w:eastAsia="zh-CN"/>
        </w:rPr>
        <w:t>采用总</w:t>
      </w:r>
      <w:r>
        <w:rPr>
          <w:rFonts w:hint="eastAsia"/>
          <w:sz w:val="24"/>
        </w:rPr>
        <w:t>价报价：供应商的报价应含有所投产品调试、运输等阶段产生的费用、劳务、利润、税金及合同包含的所有风险、责任、义务等为完成招标文件要求的服务内容所包含的一切应有费用。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1NzIzZDJkOGM0ZmUxM2E0YmQ4YjE4MTIyMzgyNmYifQ=="/>
  </w:docVars>
  <w:rsids>
    <w:rsidRoot w:val="466918B0"/>
    <w:rsid w:val="4669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hint="eastAsia" w:ascii="Calibri" w:hAnsi="Calibri" w:eastAsia="宋体" w:cs="Times New Roman"/>
      <w:sz w:val="22"/>
    </w:rPr>
  </w:style>
  <w:style w:type="paragraph" w:styleId="3">
    <w:name w:val="Body Text First Indent"/>
    <w:basedOn w:val="2"/>
    <w:qFormat/>
    <w:uiPriority w:val="99"/>
    <w:pPr>
      <w:spacing w:after="120"/>
      <w:ind w:firstLine="420" w:firstLineChars="100"/>
      <w:jc w:val="both"/>
    </w:pPr>
    <w:rPr>
      <w:rFonts w:ascii="Calibri" w:hAnsi="Calibri" w:eastAsia="宋体"/>
      <w:sz w:val="21"/>
      <w:szCs w:val="21"/>
    </w:rPr>
  </w:style>
  <w:style w:type="paragraph" w:styleId="4">
    <w:name w:val="Body Text Indent"/>
    <w:basedOn w:val="1"/>
    <w:next w:val="5"/>
    <w:qFormat/>
    <w:uiPriority w:val="0"/>
    <w:pPr>
      <w:ind w:firstLine="630"/>
    </w:pPr>
    <w:rPr>
      <w:rFonts w:ascii="Times New Roman" w:hAnsi="Times New Roman" w:eastAsia="宋体" w:cs="Times New Roman"/>
      <w:sz w:val="32"/>
      <w:szCs w:val="20"/>
    </w:rPr>
  </w:style>
  <w:style w:type="paragraph" w:styleId="5">
    <w:name w:val="envelope return"/>
    <w:basedOn w:val="1"/>
    <w:next w:val="6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6">
    <w:name w:val="Body Text Indent 3"/>
    <w:basedOn w:val="1"/>
    <w:next w:val="1"/>
    <w:qFormat/>
    <w:uiPriority w:val="0"/>
    <w:pPr>
      <w:widowControl w:val="0"/>
      <w:autoSpaceDE/>
      <w:autoSpaceDN/>
      <w:spacing w:before="0" w:after="0" w:line="240" w:lineRule="auto"/>
      <w:ind w:left="0" w:firstLine="0"/>
      <w:jc w:val="both"/>
    </w:pPr>
    <w:rPr>
      <w:rFonts w:ascii="Times New Roman" w:eastAsia="宋体"/>
      <w:sz w:val="21"/>
    </w:rPr>
  </w:style>
  <w:style w:type="paragraph" w:styleId="7">
    <w:name w:val="List"/>
    <w:basedOn w:val="1"/>
    <w:qFormat/>
    <w:uiPriority w:val="0"/>
    <w:pPr>
      <w:spacing w:line="360" w:lineRule="auto"/>
    </w:pPr>
    <w:rPr>
      <w:rFonts w:ascii="Times New Roman" w:hAnsi="Times New Roman" w:eastAsia="仿宋_GB2312" w:cs="Times New Roman"/>
      <w:sz w:val="24"/>
    </w:rPr>
  </w:style>
  <w:style w:type="paragraph" w:styleId="8">
    <w:name w:val="Body Text First Indent 2"/>
    <w:basedOn w:val="4"/>
    <w:next w:val="1"/>
    <w:qFormat/>
    <w:uiPriority w:val="0"/>
    <w:pPr>
      <w:ind w:left="420" w:firstLine="420" w:firstLineChars="200"/>
    </w:pPr>
    <w:rPr>
      <w:rFonts w:ascii="Times New Roman" w:hAnsi="Times New Roman" w:eastAsia="宋体" w:cs="Times New Roman"/>
    </w:rPr>
  </w:style>
  <w:style w:type="paragraph" w:customStyle="1" w:styleId="11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12">
    <w:name w:val="Body Text First Indent 21"/>
    <w:basedOn w:val="13"/>
    <w:qFormat/>
    <w:uiPriority w:val="0"/>
    <w:pPr>
      <w:ind w:left="420" w:firstLine="420" w:firstLineChars="200"/>
    </w:pPr>
  </w:style>
  <w:style w:type="paragraph" w:customStyle="1" w:styleId="13">
    <w:name w:val="Body Text Indent1"/>
    <w:basedOn w:val="1"/>
    <w:next w:val="14"/>
    <w:qFormat/>
    <w:uiPriority w:val="0"/>
    <w:pPr>
      <w:ind w:firstLine="630"/>
    </w:pPr>
    <w:rPr>
      <w:sz w:val="32"/>
      <w:szCs w:val="20"/>
    </w:rPr>
  </w:style>
  <w:style w:type="paragraph" w:customStyle="1" w:styleId="14">
    <w:name w:val="envelope return1"/>
    <w:basedOn w:val="1"/>
    <w:qFormat/>
    <w:uiPriority w:val="0"/>
    <w:pPr>
      <w:snapToGrid w:val="0"/>
    </w:pPr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2023-10-09T01:22:00Z</dcterms:created>
  <dc:creator>WPS_1661333096</dc:creator>
  <cp:lastModifiedBy>WPS_1661333096</cp:lastModifiedBy>
  <dcterms:modified xsi:type="dcterms:W3CDTF">2023-10-09T02:07:39Z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77C0916A2EB044049B919562AAD16CAA_11</vt:lpwstr>
  </property>
</Properties>
</file>