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版本号：N510683202500012920250718001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2025年专用车辆采购项目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N5106832025000129</w:t>
      </w:r>
    </w:p>
    <w:p>
      <w:pPr>
        <w:pStyle w:val="null3"/>
        <w:jc w:val="left"/>
        <w:outlineLvl w:val="2"/>
      </w:pPr>
      <w:r>
        <w:rPr>
          <w:rFonts w:ascii="仿宋_GB2312" w:hAnsi="仿宋_GB2312" w:cs="仿宋_GB2312" w:eastAsia="仿宋_GB2312"/>
          <w:sz w:val="28"/>
          <w:b/>
        </w:rPr>
        <w:t>绵竹市国有资产事务中心</w:t>
      </w:r>
    </w:p>
    <w:p>
      <w:pPr>
        <w:pStyle w:val="null3"/>
        <w:jc w:val="center"/>
        <w:outlineLvl w:val="2"/>
      </w:pPr>
      <w:r>
        <w:rPr>
          <w:rFonts w:ascii="仿宋_GB2312" w:hAnsi="仿宋_GB2312" w:cs="仿宋_GB2312" w:eastAsia="仿宋_GB2312"/>
          <w:sz w:val="28"/>
          <w:b/>
        </w:rPr>
        <w:t>四川正则立信工程管理服务有限公司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四川正则立信工程管理服务有限公司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绵竹市国有资产事务中心</w:t>
      </w:r>
      <w:r>
        <w:rPr>
          <w:rFonts w:ascii="仿宋_GB2312" w:hAnsi="仿宋_GB2312" w:cs="仿宋_GB2312" w:eastAsia="仿宋_GB2312"/>
        </w:rPr>
        <w:t xml:space="preserve"> 委托，拟对 </w:t>
      </w:r>
      <w:r>
        <w:rPr>
          <w:rFonts w:ascii="仿宋_GB2312" w:hAnsi="仿宋_GB2312" w:cs="仿宋_GB2312" w:eastAsia="仿宋_GB2312"/>
        </w:rPr>
        <w:t>2025年专用车辆采购项目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N5106832025000129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2025年专用车辆采购项目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绵竹市国有资产事务中心拟采购皮卡车一批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绵竹市国有资产事务中心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绵竹市飞云街99号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08386909277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四川正则立信工程管理服务有限公司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绵竹市紫岩街道悦街仟坤国际广场（西区）大门旁商铺18栋二层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15282845084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采购包1：715,000.00元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代理服务费收费标准：按照“成本+合理利润”原则收取。以中标（成交）金额作为计算基数，按差额定率累进法进行计算0---100万按1.05%收取。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绵竹市国有资产事务中心</w:t>
      </w:r>
      <w:r>
        <w:rPr>
          <w:rFonts w:ascii="仿宋_GB2312" w:hAnsi="仿宋_GB2312" w:cs="仿宋_GB2312" w:eastAsia="仿宋_GB2312"/>
        </w:rPr>
        <w:t xml:space="preserve"> 和 </w:t>
      </w:r>
      <w:r>
        <w:rPr>
          <w:rFonts w:ascii="仿宋_GB2312" w:hAnsi="仿宋_GB2312" w:cs="仿宋_GB2312" w:eastAsia="仿宋_GB2312"/>
        </w:rPr>
        <w:t>四川正则立信工程管理服务有限公司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绵竹市国有资产事务中心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四川正则立信工程管理服务有限公司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三、采购人或者代理机构通过交易系统发出更正通知的同时，即为送达供应商。供应商应当及时查看更正公告、更正信息，并根据更正公告、更正信息要求，下载更正后的询价通知书，进行响应文件编制。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车辆交付采购人且验收合格后，成交供应商向采购人出具合法有效完整的完税发票之日起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按照本项目询价文件中技术、服务要求及供应商响应文件进行验收。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按照本项目询价文件中技术、服务要求及供应商响应文件进行验收。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 《政府采购需求管理办法》（财库〔2021〕22号）的要求进行验收。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绵竹市国有资产事务中心</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四川正则立信工程管理服务有限公司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四川正则立信工程管理服务有限公司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联系人：万先生</w:t>
      </w:r>
    </w:p>
    <w:p>
      <w:pPr>
        <w:pStyle w:val="null3"/>
        <w:jc w:val="left"/>
      </w:pPr>
      <w:r>
        <w:rPr>
          <w:rFonts w:ascii="仿宋_GB2312" w:hAnsi="仿宋_GB2312" w:cs="仿宋_GB2312" w:eastAsia="仿宋_GB2312"/>
        </w:rPr>
        <w:t>联系电话：15282836431</w:t>
      </w:r>
    </w:p>
    <w:p>
      <w:pPr>
        <w:pStyle w:val="null3"/>
        <w:jc w:val="left"/>
      </w:pPr>
      <w:r>
        <w:rPr>
          <w:rFonts w:ascii="仿宋_GB2312" w:hAnsi="仿宋_GB2312" w:cs="仿宋_GB2312" w:eastAsia="仿宋_GB2312"/>
        </w:rPr>
        <w:t>地址：绵竹市飞云街99号</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联系电话：15282845084</w:t>
      </w:r>
    </w:p>
    <w:p>
      <w:pPr>
        <w:pStyle w:val="null3"/>
        <w:jc w:val="left"/>
      </w:pPr>
      <w:r>
        <w:rPr>
          <w:rFonts w:ascii="仿宋_GB2312" w:hAnsi="仿宋_GB2312" w:cs="仿宋_GB2312" w:eastAsia="仿宋_GB2312"/>
        </w:rPr>
        <w:t>地址：绵竹市紫岩街道悦街仟坤国际广场（西区）大门旁商铺18栋二层</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715,000.00</w:t>
      </w:r>
    </w:p>
    <w:p>
      <w:pPr>
        <w:pStyle w:val="null3"/>
        <w:jc w:val="left"/>
      </w:pPr>
      <w:r>
        <w:rPr>
          <w:rFonts w:ascii="仿宋_GB2312" w:hAnsi="仿宋_GB2312" w:cs="仿宋_GB2312" w:eastAsia="仿宋_GB2312"/>
        </w:rPr>
        <w:t>采购包最高限价（元）: 715,000.00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A02030603 多用途货车</w:t>
            </w:r>
          </w:p>
        </w:tc>
        <w:tc>
          <w:tcPr>
            <w:tcW w:type="dxa" w:w="821"/>
          </w:tcPr>
          <w:p>
            <w:pPr>
              <w:pStyle w:val="null3"/>
              <w:jc w:val="left"/>
            </w:pPr>
            <w:r>
              <w:rPr>
                <w:rFonts w:ascii="仿宋_GB2312" w:hAnsi="仿宋_GB2312" w:cs="仿宋_GB2312" w:eastAsia="仿宋_GB2312"/>
              </w:rPr>
              <w:t>新能源皮卡车</w:t>
            </w:r>
          </w:p>
        </w:tc>
        <w:tc>
          <w:tcPr>
            <w:tcW w:type="dxa" w:w="821"/>
          </w:tcPr>
          <w:p>
            <w:pPr>
              <w:pStyle w:val="null3"/>
              <w:jc w:val="right"/>
            </w:pPr>
            <w:r>
              <w:rPr>
                <w:rFonts w:ascii="仿宋_GB2312" w:hAnsi="仿宋_GB2312" w:cs="仿宋_GB2312" w:eastAsia="仿宋_GB2312"/>
              </w:rPr>
              <w:t>4.00（辆）</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A02030603 多用途货车</w:t>
            </w:r>
          </w:p>
        </w:tc>
        <w:tc>
          <w:tcPr>
            <w:tcW w:type="dxa" w:w="821"/>
          </w:tcPr>
          <w:p>
            <w:pPr>
              <w:pStyle w:val="null3"/>
              <w:jc w:val="left"/>
            </w:pPr>
            <w:r>
              <w:rPr>
                <w:rFonts w:ascii="仿宋_GB2312" w:hAnsi="仿宋_GB2312" w:cs="仿宋_GB2312" w:eastAsia="仿宋_GB2312"/>
              </w:rPr>
              <w:t>燃油皮卡车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115,000.00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新能源皮卡车</w:t>
            </w:r>
          </w:p>
        </w:tc>
        <w:tc>
          <w:tcPr>
            <w:tcW w:type="dxa" w:w="1138"/>
          </w:tcPr>
          <w:p>
            <w:pPr>
              <w:pStyle w:val="null3"/>
              <w:jc w:val="center"/>
            </w:pPr>
            <w:r>
              <w:rPr>
                <w:rFonts w:ascii="仿宋_GB2312" w:hAnsi="仿宋_GB2312" w:cs="仿宋_GB2312" w:eastAsia="仿宋_GB2312"/>
              </w:rPr>
              <w:t>4.00（辆）</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燃油皮卡车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115,000.00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A02030603 多用途货车</w:t>
            </w:r>
          </w:p>
        </w:tc>
        <w:tc>
          <w:tcPr>
            <w:tcW w:type="dxa" w:w="2492"/>
          </w:tcPr>
          <w:p>
            <w:pPr>
              <w:pStyle w:val="null3"/>
              <w:jc w:val="left"/>
            </w:pPr>
            <w:r>
              <w:rPr>
                <w:rFonts w:ascii="仿宋_GB2312" w:hAnsi="仿宋_GB2312" w:cs="仿宋_GB2312" w:eastAsia="仿宋_GB2312"/>
              </w:rPr>
              <w:t>新能源皮卡车</w:t>
            </w:r>
          </w:p>
        </w:tc>
        <w:tc>
          <w:tcPr>
            <w:tcW w:type="dxa" w:w="2492"/>
          </w:tcPr>
          <w:p>
            <w:pPr>
              <w:pStyle w:val="null3"/>
              <w:jc w:val="left"/>
            </w:pPr>
            <w:r>
              <w:rPr>
                <w:rFonts w:ascii="仿宋_GB2312" w:hAnsi="仿宋_GB2312" w:cs="仿宋_GB2312" w:eastAsia="仿宋_GB2312"/>
              </w:rPr>
              <w:t>新能源皮卡车</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标的名称：新能源皮卡车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基本参数</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457"/>
              <w:gridCol w:w="1927"/>
              <w:gridCol w:w="3193"/>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w:t>
                  </w:r>
                  <w:r>
                    <w:rPr>
                      <w:rFonts w:ascii="仿宋_GB2312" w:hAnsi="仿宋_GB2312" w:cs="仿宋_GB2312" w:eastAsia="仿宋_GB2312"/>
                      <w:sz w:val="24"/>
                    </w:rPr>
                    <w:t>/规格要求</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车型</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4门5座皮卡</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能源类型</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插电式混</w:t>
                  </w:r>
                  <w:r>
                    <w:rPr>
                      <w:rFonts w:ascii="仿宋_GB2312" w:hAnsi="仿宋_GB2312" w:cs="仿宋_GB2312" w:eastAsia="仿宋_GB2312"/>
                      <w:sz w:val="24"/>
                    </w:rPr>
                    <w:t>合</w:t>
                  </w:r>
                  <w:r>
                    <w:rPr>
                      <w:rFonts w:ascii="仿宋_GB2312" w:hAnsi="仿宋_GB2312" w:cs="仿宋_GB2312" w:eastAsia="仿宋_GB2312"/>
                      <w:sz w:val="24"/>
                    </w:rPr>
                    <w:t>动力</w:t>
                  </w:r>
                  <w:r>
                    <w:rPr>
                      <w:rFonts w:ascii="仿宋_GB2312" w:hAnsi="仿宋_GB2312" w:cs="仿宋_GB2312" w:eastAsia="仿宋_GB2312"/>
                      <w:sz w:val="24"/>
                    </w:rPr>
                    <w:t>/增程式</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整车尺寸（</w:t>
                  </w:r>
                  <w:r>
                    <w:rPr>
                      <w:rFonts w:ascii="仿宋_GB2312" w:hAnsi="仿宋_GB2312" w:cs="仿宋_GB2312" w:eastAsia="仿宋_GB2312"/>
                      <w:sz w:val="24"/>
                    </w:rPr>
                    <w:t>mm）：</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5490</w:t>
                  </w:r>
                  <w:r>
                    <w:rPr>
                      <w:rFonts w:ascii="仿宋_GB2312" w:hAnsi="仿宋_GB2312" w:cs="仿宋_GB2312" w:eastAsia="仿宋_GB2312"/>
                      <w:sz w:val="24"/>
                    </w:rPr>
                    <w:t>，宽</w:t>
                  </w:r>
                  <w:r>
                    <w:rPr>
                      <w:rFonts w:ascii="仿宋_GB2312" w:hAnsi="仿宋_GB2312" w:cs="仿宋_GB2312" w:eastAsia="仿宋_GB2312"/>
                      <w:sz w:val="24"/>
                    </w:rPr>
                    <w:t>≥1</w:t>
                  </w:r>
                  <w:r>
                    <w:rPr>
                      <w:rFonts w:ascii="仿宋_GB2312" w:hAnsi="仿宋_GB2312" w:cs="仿宋_GB2312" w:eastAsia="仿宋_GB2312"/>
                      <w:sz w:val="24"/>
                    </w:rPr>
                    <w:t>900</w:t>
                  </w:r>
                  <w:r>
                    <w:rPr>
                      <w:rFonts w:ascii="仿宋_GB2312" w:hAnsi="仿宋_GB2312" w:cs="仿宋_GB2312" w:eastAsia="仿宋_GB2312"/>
                      <w:sz w:val="24"/>
                    </w:rPr>
                    <w:t>，高</w:t>
                  </w:r>
                  <w:r>
                    <w:rPr>
                      <w:rFonts w:ascii="仿宋_GB2312" w:hAnsi="仿宋_GB2312" w:cs="仿宋_GB2312" w:eastAsia="仿宋_GB2312"/>
                      <w:sz w:val="24"/>
                    </w:rPr>
                    <w:t>≥1</w:t>
                  </w:r>
                  <w:r>
                    <w:rPr>
                      <w:rFonts w:ascii="仿宋_GB2312" w:hAnsi="仿宋_GB2312" w:cs="仿宋_GB2312" w:eastAsia="仿宋_GB2312"/>
                      <w:sz w:val="24"/>
                    </w:rPr>
                    <w:t>880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轴距（</w:t>
                  </w:r>
                  <w:r>
                    <w:rPr>
                      <w:rFonts w:ascii="仿宋_GB2312" w:hAnsi="仿宋_GB2312" w:cs="仿宋_GB2312" w:eastAsia="仿宋_GB2312"/>
                      <w:sz w:val="24"/>
                    </w:rPr>
                    <w:t>mm）</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300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发动机最大功率（</w:t>
                  </w:r>
                  <w:r>
                    <w:rPr>
                      <w:rFonts w:ascii="仿宋_GB2312" w:hAnsi="仿宋_GB2312" w:cs="仿宋_GB2312" w:eastAsia="仿宋_GB2312"/>
                      <w:sz w:val="24"/>
                    </w:rPr>
                    <w:t>Kw）</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发动机最大马力（</w:t>
                  </w:r>
                  <w:r>
                    <w:rPr>
                      <w:rFonts w:ascii="仿宋_GB2312" w:hAnsi="仿宋_GB2312" w:cs="仿宋_GB2312" w:eastAsia="仿宋_GB2312"/>
                      <w:sz w:val="24"/>
                    </w:rPr>
                    <w:t>Ps）</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发动机类型</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涡轮增压</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发动机排量（</w:t>
                  </w:r>
                  <w:r>
                    <w:rPr>
                      <w:rFonts w:ascii="仿宋_GB2312" w:hAnsi="仿宋_GB2312" w:cs="仿宋_GB2312" w:eastAsia="仿宋_GB2312"/>
                      <w:sz w:val="24"/>
                    </w:rPr>
                    <w:t>L</w:t>
                  </w:r>
                  <w:r>
                    <w:rPr>
                      <w:rFonts w:ascii="仿宋_GB2312" w:hAnsi="仿宋_GB2312" w:cs="仿宋_GB2312" w:eastAsia="仿宋_GB2312"/>
                      <w:sz w:val="24"/>
                    </w:rPr>
                    <w:t>）</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燃油类型</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汽油</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变速箱类型</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混合动力专用变速箱（</w:t>
                  </w:r>
                  <w:r>
                    <w:rPr>
                      <w:rFonts w:ascii="仿宋_GB2312" w:hAnsi="仿宋_GB2312" w:cs="仿宋_GB2312" w:eastAsia="仿宋_GB2312"/>
                      <w:sz w:val="24"/>
                    </w:rPr>
                    <w:t>D</w:t>
                  </w:r>
                  <w:r>
                    <w:rPr>
                      <w:rFonts w:ascii="仿宋_GB2312" w:hAnsi="仿宋_GB2312" w:cs="仿宋_GB2312" w:eastAsia="仿宋_GB2312"/>
                      <w:sz w:val="24"/>
                    </w:rPr>
                    <w:t>HT</w:t>
                  </w:r>
                  <w:r>
                    <w:rPr>
                      <w:rFonts w:ascii="仿宋_GB2312" w:hAnsi="仿宋_GB2312" w:cs="仿宋_GB2312" w:eastAsia="仿宋_GB2312"/>
                      <w:sz w:val="24"/>
                    </w:rPr>
                    <w:t>）</w:t>
                  </w:r>
                  <w:r>
                    <w:rPr>
                      <w:rFonts w:ascii="仿宋_GB2312" w:hAnsi="仿宋_GB2312" w:cs="仿宋_GB2312" w:eastAsia="仿宋_GB2312"/>
                      <w:sz w:val="24"/>
                    </w:rPr>
                    <w:t>/固定齿比变速箱</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发动机最大</w:t>
                  </w:r>
                  <w:r>
                    <w:rPr>
                      <w:rFonts w:ascii="仿宋_GB2312" w:hAnsi="仿宋_GB2312" w:cs="仿宋_GB2312" w:eastAsia="仿宋_GB2312"/>
                      <w:sz w:val="24"/>
                    </w:rPr>
                    <w:t>扭矩（</w:t>
                  </w:r>
                  <w:r>
                    <w:rPr>
                      <w:rFonts w:ascii="仿宋_GB2312" w:hAnsi="仿宋_GB2312" w:cs="仿宋_GB2312" w:eastAsia="仿宋_GB2312"/>
                      <w:sz w:val="24"/>
                    </w:rPr>
                    <w:t>N·m</w:t>
                  </w:r>
                  <w:r>
                    <w:rPr>
                      <w:rFonts w:ascii="仿宋_GB2312" w:hAnsi="仿宋_GB2312" w:cs="仿宋_GB2312" w:eastAsia="仿宋_GB2312"/>
                      <w:sz w:val="24"/>
                    </w:rPr>
                    <w:t>）</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电池类型</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磷酸铁锂电池</w:t>
                  </w:r>
                  <w:r>
                    <w:rPr>
                      <w:rFonts w:ascii="仿宋_GB2312" w:hAnsi="仿宋_GB2312" w:cs="仿宋_GB2312" w:eastAsia="仿宋_GB2312"/>
                      <w:sz w:val="24"/>
                    </w:rPr>
                    <w:t>/三元锂电池</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纯电续航里程（</w:t>
                  </w:r>
                  <w:r>
                    <w:rPr>
                      <w:rFonts w:ascii="仿宋_GB2312" w:hAnsi="仿宋_GB2312" w:cs="仿宋_GB2312" w:eastAsia="仿宋_GB2312"/>
                      <w:sz w:val="24"/>
                    </w:rPr>
                    <w:t>Km）</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1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货箱尺寸（</w:t>
                  </w:r>
                  <w:r>
                    <w:rPr>
                      <w:rFonts w:ascii="仿宋_GB2312" w:hAnsi="仿宋_GB2312" w:cs="仿宋_GB2312" w:eastAsia="仿宋_GB2312"/>
                      <w:sz w:val="24"/>
                    </w:rPr>
                    <w:t>mm）：</w:t>
                  </w:r>
                </w:p>
              </w:tc>
              <w:tc>
                <w:tcPr>
                  <w:tcW w:type="dxa" w:w="3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1520</w:t>
                  </w:r>
                  <w:r>
                    <w:rPr>
                      <w:rFonts w:ascii="仿宋_GB2312" w:hAnsi="仿宋_GB2312" w:cs="仿宋_GB2312" w:eastAsia="仿宋_GB2312"/>
                      <w:sz w:val="24"/>
                    </w:rPr>
                    <w:t>，宽</w:t>
                  </w:r>
                  <w:r>
                    <w:rPr>
                      <w:rFonts w:ascii="仿宋_GB2312" w:hAnsi="仿宋_GB2312" w:cs="仿宋_GB2312" w:eastAsia="仿宋_GB2312"/>
                      <w:sz w:val="24"/>
                    </w:rPr>
                    <w:t>≥1</w:t>
                  </w:r>
                  <w:r>
                    <w:rPr>
                      <w:rFonts w:ascii="仿宋_GB2312" w:hAnsi="仿宋_GB2312" w:cs="仿宋_GB2312" w:eastAsia="仿宋_GB2312"/>
                      <w:sz w:val="24"/>
                    </w:rPr>
                    <w:t>450</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490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电池能量（</w:t>
                  </w:r>
                  <w:r>
                    <w:rPr>
                      <w:rFonts w:ascii="仿宋_GB2312" w:hAnsi="仿宋_GB2312" w:cs="仿宋_GB2312" w:eastAsia="仿宋_GB2312"/>
                      <w:sz w:val="24"/>
                    </w:rPr>
                    <w:t>Kw/h）</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19</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前轮距</w:t>
                  </w:r>
                  <w:r>
                    <w:rPr>
                      <w:rFonts w:ascii="仿宋_GB2312" w:hAnsi="仿宋_GB2312" w:cs="仿宋_GB2312" w:eastAsia="仿宋_GB2312"/>
                      <w:sz w:val="24"/>
                    </w:rPr>
                    <w:t>/</w:t>
                  </w:r>
                  <w:r>
                    <w:rPr>
                      <w:rFonts w:ascii="仿宋_GB2312" w:hAnsi="仿宋_GB2312" w:cs="仿宋_GB2312" w:eastAsia="仿宋_GB2312"/>
                      <w:sz w:val="24"/>
                    </w:rPr>
                    <w:t>后</w:t>
                  </w:r>
                  <w:r>
                    <w:rPr>
                      <w:rFonts w:ascii="仿宋_GB2312" w:hAnsi="仿宋_GB2312" w:cs="仿宋_GB2312" w:eastAsia="仿宋_GB2312"/>
                      <w:sz w:val="24"/>
                    </w:rPr>
                    <w:t>轮距</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1610/1620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7</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胎压检测装置</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低速行车警告</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能量回收</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上坡辅助、陡坡缓降</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定速巡航</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倒车影像</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对外放电</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4</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自动头灯</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远程启动、无钥匙进入系统</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多功能方向盘</w:t>
                  </w:r>
                </w:p>
              </w:tc>
              <w:tc>
                <w:tcPr>
                  <w:tcW w:type="dxa" w:w="3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105"/>
              <w:ind w:firstLine="95"/>
              <w:jc w:val="left"/>
            </w:pPr>
            <w:r>
              <w:rPr>
                <w:rFonts w:ascii="仿宋_GB2312" w:hAnsi="仿宋_GB2312" w:cs="仿宋_GB2312" w:eastAsia="仿宋_GB2312"/>
                <w:sz w:val="19"/>
              </w:rPr>
              <w:t>1、</w:t>
            </w:r>
            <w:r>
              <w:rPr>
                <w:rFonts w:ascii="仿宋_GB2312" w:hAnsi="仿宋_GB2312" w:cs="仿宋_GB2312" w:eastAsia="仿宋_GB2312"/>
                <w:sz w:val="19"/>
              </w:rPr>
              <w:t>本项目要求</w:t>
            </w:r>
            <w:r>
              <w:rPr>
                <w:rFonts w:ascii="仿宋_GB2312" w:hAnsi="仿宋_GB2312" w:cs="仿宋_GB2312" w:eastAsia="仿宋_GB2312"/>
                <w:sz w:val="19"/>
              </w:rPr>
              <w:t>每车</w:t>
            </w:r>
            <w:r>
              <w:rPr>
                <w:rFonts w:ascii="仿宋_GB2312" w:hAnsi="仿宋_GB2312" w:cs="仿宋_GB2312" w:eastAsia="仿宋_GB2312"/>
                <w:sz w:val="19"/>
              </w:rPr>
              <w:t>配置</w:t>
            </w:r>
            <w:r>
              <w:rPr>
                <w:rFonts w:ascii="仿宋_GB2312" w:hAnsi="仿宋_GB2312" w:cs="仿宋_GB2312" w:eastAsia="仿宋_GB2312"/>
                <w:sz w:val="19"/>
              </w:rPr>
              <w:t>7KW</w:t>
            </w:r>
            <w:r>
              <w:rPr>
                <w:rFonts w:ascii="仿宋_GB2312" w:hAnsi="仿宋_GB2312" w:cs="仿宋_GB2312" w:eastAsia="仿宋_GB2312"/>
                <w:sz w:val="19"/>
              </w:rPr>
              <w:t>充电桩</w:t>
            </w:r>
            <w:r>
              <w:rPr>
                <w:rFonts w:ascii="仿宋_GB2312" w:hAnsi="仿宋_GB2312" w:cs="仿宋_GB2312" w:eastAsia="仿宋_GB2312"/>
                <w:sz w:val="19"/>
              </w:rPr>
              <w:t>1台</w:t>
            </w:r>
            <w:r>
              <w:rPr>
                <w:rFonts w:ascii="仿宋_GB2312" w:hAnsi="仿宋_GB2312" w:cs="仿宋_GB2312" w:eastAsia="仿宋_GB2312"/>
                <w:sz w:val="19"/>
              </w:rPr>
              <w:t>，</w:t>
            </w:r>
            <w:r>
              <w:rPr>
                <w:rFonts w:ascii="仿宋_GB2312" w:hAnsi="仿宋_GB2312" w:cs="仿宋_GB2312" w:eastAsia="仿宋_GB2312"/>
                <w:sz w:val="19"/>
              </w:rPr>
              <w:t>共</w:t>
            </w:r>
            <w:r>
              <w:rPr>
                <w:rFonts w:ascii="仿宋_GB2312" w:hAnsi="仿宋_GB2312" w:cs="仿宋_GB2312" w:eastAsia="仿宋_GB2312"/>
                <w:sz w:val="19"/>
              </w:rPr>
              <w:t>4台</w:t>
            </w:r>
            <w:r>
              <w:rPr>
                <w:rFonts w:ascii="仿宋_GB2312" w:hAnsi="仿宋_GB2312" w:cs="仿宋_GB2312" w:eastAsia="仿宋_GB2312"/>
                <w:sz w:val="19"/>
              </w:rPr>
              <w:t>。</w:t>
            </w:r>
            <w:r>
              <w:rPr>
                <w:rFonts w:ascii="仿宋_GB2312" w:hAnsi="仿宋_GB2312" w:cs="仿宋_GB2312" w:eastAsia="仿宋_GB2312"/>
                <w:sz w:val="19"/>
              </w:rPr>
              <w:t>相关费用包含在报价中，费用包含充电桩、电缆线（</w:t>
            </w:r>
            <w:r>
              <w:rPr>
                <w:rFonts w:ascii="仿宋_GB2312" w:hAnsi="仿宋_GB2312" w:cs="仿宋_GB2312" w:eastAsia="仿宋_GB2312"/>
                <w:sz w:val="19"/>
              </w:rPr>
              <w:t>30米）、人工、运输、安装（不含设备以外的变电器及布线施工）、税收（非购置税）全过程服务等完成本项目所需求的一切费用，采购人不再支付任何额外费用。</w:t>
            </w:r>
          </w:p>
          <w:p>
            <w:pPr>
              <w:pStyle w:val="null3"/>
              <w:spacing w:before="105"/>
              <w:ind w:firstLine="95"/>
              <w:jc w:val="left"/>
            </w:pPr>
            <w:r>
              <w:rPr>
                <w:rFonts w:ascii="仿宋_GB2312" w:hAnsi="仿宋_GB2312" w:cs="仿宋_GB2312" w:eastAsia="仿宋_GB2312"/>
                <w:sz w:val="19"/>
              </w:rPr>
              <w:t>2、成交供应商</w:t>
            </w:r>
            <w:r>
              <w:rPr>
                <w:rFonts w:ascii="仿宋_GB2312" w:hAnsi="仿宋_GB2312" w:cs="仿宋_GB2312" w:eastAsia="仿宋_GB2312"/>
                <w:sz w:val="19"/>
              </w:rPr>
              <w:t>负责充电桩的安装、接电、培训、后期维护等全部工作，接入电缆由</w:t>
            </w:r>
            <w:r>
              <w:rPr>
                <w:rFonts w:ascii="仿宋_GB2312" w:hAnsi="仿宋_GB2312" w:cs="仿宋_GB2312" w:eastAsia="仿宋_GB2312"/>
                <w:sz w:val="19"/>
              </w:rPr>
              <w:t>成交供应商</w:t>
            </w:r>
            <w:r>
              <w:rPr>
                <w:rFonts w:ascii="仿宋_GB2312" w:hAnsi="仿宋_GB2312" w:cs="仿宋_GB2312" w:eastAsia="仿宋_GB2312"/>
                <w:sz w:val="19"/>
              </w:rPr>
              <w:t>提供（包含</w:t>
            </w:r>
            <w:r>
              <w:rPr>
                <w:rFonts w:ascii="仿宋_GB2312" w:hAnsi="仿宋_GB2312" w:cs="仿宋_GB2312" w:eastAsia="仿宋_GB2312"/>
                <w:sz w:val="19"/>
              </w:rPr>
              <w:t>30米，如超过30米，超出费用由采购人支付）。充电桩的质保期为安装并验收合格后起算2年。质保期内如果出现质量问题由</w:t>
            </w:r>
            <w:r>
              <w:rPr>
                <w:rFonts w:ascii="仿宋_GB2312" w:hAnsi="仿宋_GB2312" w:cs="仿宋_GB2312" w:eastAsia="仿宋_GB2312"/>
                <w:sz w:val="19"/>
              </w:rPr>
              <w:t>成交供应商</w:t>
            </w:r>
            <w:r>
              <w:rPr>
                <w:rFonts w:ascii="仿宋_GB2312" w:hAnsi="仿宋_GB2312" w:cs="仿宋_GB2312" w:eastAsia="仿宋_GB2312"/>
                <w:sz w:val="19"/>
              </w:rPr>
              <w:t>人进行维修或更换。</w:t>
            </w:r>
          </w:p>
        </w:tc>
      </w:tr>
    </w:tbl>
    <w:p>
      <w:pPr>
        <w:pStyle w:val="null3"/>
        <w:jc w:val="left"/>
      </w:pPr>
      <w:r>
        <w:rPr>
          <w:rFonts w:ascii="仿宋_GB2312" w:hAnsi="仿宋_GB2312" w:cs="仿宋_GB2312" w:eastAsia="仿宋_GB2312"/>
        </w:rPr>
        <w:t>标的名称：燃油皮卡车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基本参数</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623"/>
              <w:gridCol w:w="2414"/>
              <w:gridCol w:w="2550"/>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w:t>
                  </w:r>
                  <w:r>
                    <w:rPr>
                      <w:rFonts w:ascii="仿宋_GB2312" w:hAnsi="仿宋_GB2312" w:cs="仿宋_GB2312" w:eastAsia="仿宋_GB2312"/>
                      <w:sz w:val="24"/>
                    </w:rPr>
                    <w:t>/规格要求</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车型</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4门5座皮卡</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能源类型</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柴油</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整车尺寸（</w:t>
                  </w:r>
                  <w:r>
                    <w:rPr>
                      <w:rFonts w:ascii="仿宋_GB2312" w:hAnsi="仿宋_GB2312" w:cs="仿宋_GB2312" w:eastAsia="仿宋_GB2312"/>
                      <w:sz w:val="24"/>
                    </w:rPr>
                    <w:t>mm）：</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5630</w:t>
                  </w:r>
                  <w:r>
                    <w:rPr>
                      <w:rFonts w:ascii="仿宋_GB2312" w:hAnsi="仿宋_GB2312" w:cs="仿宋_GB2312" w:eastAsia="仿宋_GB2312"/>
                      <w:sz w:val="24"/>
                    </w:rPr>
                    <w:t>，宽</w:t>
                  </w:r>
                  <w:r>
                    <w:rPr>
                      <w:rFonts w:ascii="仿宋_GB2312" w:hAnsi="仿宋_GB2312" w:cs="仿宋_GB2312" w:eastAsia="仿宋_GB2312"/>
                      <w:sz w:val="24"/>
                    </w:rPr>
                    <w:t>≥1</w:t>
                  </w:r>
                  <w:r>
                    <w:rPr>
                      <w:rFonts w:ascii="仿宋_GB2312" w:hAnsi="仿宋_GB2312" w:cs="仿宋_GB2312" w:eastAsia="仿宋_GB2312"/>
                      <w:sz w:val="24"/>
                    </w:rPr>
                    <w:t>880</w:t>
                  </w:r>
                  <w:r>
                    <w:rPr>
                      <w:rFonts w:ascii="仿宋_GB2312" w:hAnsi="仿宋_GB2312" w:cs="仿宋_GB2312" w:eastAsia="仿宋_GB2312"/>
                      <w:sz w:val="24"/>
                    </w:rPr>
                    <w:t>，高</w:t>
                  </w:r>
                  <w:r>
                    <w:rPr>
                      <w:rFonts w:ascii="仿宋_GB2312" w:hAnsi="仿宋_GB2312" w:cs="仿宋_GB2312" w:eastAsia="仿宋_GB2312"/>
                      <w:sz w:val="24"/>
                    </w:rPr>
                    <w:t>≥1</w:t>
                  </w:r>
                  <w:r>
                    <w:rPr>
                      <w:rFonts w:ascii="仿宋_GB2312" w:hAnsi="仿宋_GB2312" w:cs="仿宋_GB2312" w:eastAsia="仿宋_GB2312"/>
                      <w:sz w:val="24"/>
                    </w:rPr>
                    <w:t>840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轴距（</w:t>
                  </w:r>
                  <w:r>
                    <w:rPr>
                      <w:rFonts w:ascii="仿宋_GB2312" w:hAnsi="仿宋_GB2312" w:cs="仿宋_GB2312" w:eastAsia="仿宋_GB2312"/>
                      <w:sz w:val="24"/>
                    </w:rPr>
                    <w:t>mm）</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400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发动机最大功率（</w:t>
                  </w:r>
                  <w:r>
                    <w:rPr>
                      <w:rFonts w:ascii="仿宋_GB2312" w:hAnsi="仿宋_GB2312" w:cs="仿宋_GB2312" w:eastAsia="仿宋_GB2312"/>
                      <w:sz w:val="24"/>
                    </w:rPr>
                    <w:t>Kw）</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发动机最大马力（</w:t>
                  </w:r>
                  <w:r>
                    <w:rPr>
                      <w:rFonts w:ascii="仿宋_GB2312" w:hAnsi="仿宋_GB2312" w:cs="仿宋_GB2312" w:eastAsia="仿宋_GB2312"/>
                      <w:sz w:val="24"/>
                    </w:rPr>
                    <w:t>Ps）</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发动机类型</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涡轮增压</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发动机排量（</w:t>
                  </w:r>
                  <w:r>
                    <w:rPr>
                      <w:rFonts w:ascii="仿宋_GB2312" w:hAnsi="仿宋_GB2312" w:cs="仿宋_GB2312" w:eastAsia="仿宋_GB2312"/>
                      <w:sz w:val="24"/>
                    </w:rPr>
                    <w:t>L</w:t>
                  </w:r>
                  <w:r>
                    <w:rPr>
                      <w:rFonts w:ascii="仿宋_GB2312" w:hAnsi="仿宋_GB2312" w:cs="仿宋_GB2312" w:eastAsia="仿宋_GB2312"/>
                      <w:sz w:val="24"/>
                    </w:rPr>
                    <w:t>）</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变速箱类型</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8挡手自一体</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发动机最大</w:t>
                  </w:r>
                  <w:r>
                    <w:rPr>
                      <w:rFonts w:ascii="仿宋_GB2312" w:hAnsi="仿宋_GB2312" w:cs="仿宋_GB2312" w:eastAsia="仿宋_GB2312"/>
                      <w:sz w:val="24"/>
                    </w:rPr>
                    <w:t>扭矩（</w:t>
                  </w:r>
                  <w:r>
                    <w:rPr>
                      <w:rFonts w:ascii="仿宋_GB2312" w:hAnsi="仿宋_GB2312" w:cs="仿宋_GB2312" w:eastAsia="仿宋_GB2312"/>
                      <w:sz w:val="24"/>
                    </w:rPr>
                    <w:t>N·m</w:t>
                  </w:r>
                  <w:r>
                    <w:rPr>
                      <w:rFonts w:ascii="仿宋_GB2312" w:hAnsi="仿宋_GB2312" w:cs="仿宋_GB2312" w:eastAsia="仿宋_GB2312"/>
                      <w:sz w:val="24"/>
                    </w:rPr>
                    <w:t>）</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400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驱动方式</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前置后驱</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2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货箱尺寸（</w:t>
                  </w:r>
                  <w:r>
                    <w:rPr>
                      <w:rFonts w:ascii="仿宋_GB2312" w:hAnsi="仿宋_GB2312" w:cs="仿宋_GB2312" w:eastAsia="仿宋_GB2312"/>
                      <w:sz w:val="24"/>
                    </w:rPr>
                    <w:t>mm）：</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1760</w:t>
                  </w:r>
                  <w:r>
                    <w:rPr>
                      <w:rFonts w:ascii="仿宋_GB2312" w:hAnsi="仿宋_GB2312" w:cs="仿宋_GB2312" w:eastAsia="仿宋_GB2312"/>
                      <w:sz w:val="24"/>
                    </w:rPr>
                    <w:t>，宽</w:t>
                  </w:r>
                  <w:r>
                    <w:rPr>
                      <w:rFonts w:ascii="仿宋_GB2312" w:hAnsi="仿宋_GB2312" w:cs="仿宋_GB2312" w:eastAsia="仿宋_GB2312"/>
                      <w:sz w:val="24"/>
                    </w:rPr>
                    <w:t>≥1</w:t>
                  </w:r>
                  <w:r>
                    <w:rPr>
                      <w:rFonts w:ascii="仿宋_GB2312" w:hAnsi="仿宋_GB2312" w:cs="仿宋_GB2312" w:eastAsia="仿宋_GB2312"/>
                      <w:sz w:val="24"/>
                    </w:rPr>
                    <w:t>500</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470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前后轮胎规格</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245/65 R17</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前轮距</w:t>
                  </w:r>
                  <w:r>
                    <w:rPr>
                      <w:rFonts w:ascii="仿宋_GB2312" w:hAnsi="仿宋_GB2312" w:cs="仿宋_GB2312" w:eastAsia="仿宋_GB2312"/>
                      <w:sz w:val="24"/>
                    </w:rPr>
                    <w:t>/</w:t>
                  </w:r>
                  <w:r>
                    <w:rPr>
                      <w:rFonts w:ascii="仿宋_GB2312" w:hAnsi="仿宋_GB2312" w:cs="仿宋_GB2312" w:eastAsia="仿宋_GB2312"/>
                      <w:sz w:val="24"/>
                    </w:rPr>
                    <w:t>后</w:t>
                  </w:r>
                  <w:r>
                    <w:rPr>
                      <w:rFonts w:ascii="仿宋_GB2312" w:hAnsi="仿宋_GB2312" w:cs="仿宋_GB2312" w:eastAsia="仿宋_GB2312"/>
                      <w:sz w:val="24"/>
                    </w:rPr>
                    <w:t>轮距</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570/1570</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主副驾驶安全气囊</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w:t>
                  </w:r>
                  <w:r>
                    <w:rPr>
                      <w:rFonts w:ascii="仿宋_GB2312" w:hAnsi="仿宋_GB2312" w:cs="仿宋_GB2312" w:eastAsia="仿宋_GB2312"/>
                      <w:sz w:val="24"/>
                    </w:rPr>
                    <w:t>BS+EBD</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7</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大灯高度可调</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多功能方向盘</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1</w:t>
                  </w:r>
                  <w:r>
                    <w:rPr>
                      <w:rFonts w:ascii="仿宋_GB2312" w:hAnsi="仿宋_GB2312" w:cs="仿宋_GB2312" w:eastAsia="仿宋_GB2312"/>
                      <w:sz w:val="24"/>
                    </w:rPr>
                    <w:t>9</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上坡辅助</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电动调节外后视镜</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21</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遥控钥匙</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前排中央扶手</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23</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后驻车雷达</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皮质座椅</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配备</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售后及服务要求</w:t>
            </w:r>
          </w:p>
        </w:tc>
        <w:tc>
          <w:tcPr>
            <w:tcW w:type="dxa" w:w="5814"/>
          </w:tcPr>
          <w:p>
            <w:pPr>
              <w:pStyle w:val="null3"/>
              <w:spacing w:before="105"/>
              <w:jc w:val="left"/>
            </w:pPr>
            <w:r>
              <w:rPr>
                <w:rFonts w:ascii="仿宋_GB2312" w:hAnsi="仿宋_GB2312" w:cs="仿宋_GB2312" w:eastAsia="仿宋_GB2312"/>
                <w:sz w:val="19"/>
              </w:rPr>
              <w:t>1、</w:t>
            </w:r>
            <w:r>
              <w:rPr>
                <w:rFonts w:ascii="仿宋_GB2312" w:hAnsi="仿宋_GB2312" w:cs="仿宋_GB2312" w:eastAsia="仿宋_GB2312"/>
                <w:sz w:val="19"/>
              </w:rPr>
              <w:t>拟供</w:t>
            </w:r>
            <w:r>
              <w:rPr>
                <w:rFonts w:ascii="仿宋_GB2312" w:hAnsi="仿宋_GB2312" w:cs="仿宋_GB2312" w:eastAsia="仿宋_GB2312"/>
                <w:sz w:val="19"/>
              </w:rPr>
              <w:t>产品为工信部目录在售新车。（提供该产品在工信部《道路机动车辆生产企业及产品公告》目录内产品截图）</w:t>
            </w:r>
          </w:p>
          <w:p>
            <w:pPr>
              <w:pStyle w:val="null3"/>
              <w:spacing w:before="105"/>
              <w:jc w:val="left"/>
            </w:pPr>
            <w:r>
              <w:rPr>
                <w:rFonts w:ascii="仿宋_GB2312" w:hAnsi="仿宋_GB2312" w:cs="仿宋_GB2312" w:eastAsia="仿宋_GB2312"/>
                <w:sz w:val="19"/>
              </w:rPr>
              <w:t>2、成交供应商</w:t>
            </w:r>
            <w:r>
              <w:rPr>
                <w:rFonts w:ascii="仿宋_GB2312" w:hAnsi="仿宋_GB2312" w:cs="仿宋_GB2312" w:eastAsia="仿宋_GB2312"/>
                <w:sz w:val="19"/>
              </w:rPr>
              <w:t>提供的所有产品均须是全新的（含零部件、配件等）、表面无刮伤、无瑕疵，且权属清楚，不得侵害他人的知识产权。</w:t>
            </w:r>
          </w:p>
          <w:p>
            <w:pPr>
              <w:pStyle w:val="null3"/>
              <w:spacing w:before="105"/>
              <w:ind w:firstLine="95"/>
              <w:jc w:val="left"/>
            </w:pPr>
            <w:r>
              <w:rPr>
                <w:rFonts w:ascii="仿宋_GB2312" w:hAnsi="仿宋_GB2312" w:cs="仿宋_GB2312" w:eastAsia="仿宋_GB2312"/>
                <w:sz w:val="19"/>
              </w:rPr>
              <w:t>3、成交供应商</w:t>
            </w:r>
            <w:r>
              <w:rPr>
                <w:rFonts w:ascii="仿宋_GB2312" w:hAnsi="仿宋_GB2312" w:cs="仿宋_GB2312" w:eastAsia="仿宋_GB2312"/>
                <w:sz w:val="19"/>
              </w:rPr>
              <w:t>需指派专人负责与采购人联系售后服务事宜。</w:t>
            </w:r>
          </w:p>
          <w:p>
            <w:pPr>
              <w:pStyle w:val="null3"/>
              <w:spacing w:before="105"/>
              <w:ind w:firstLine="95"/>
              <w:jc w:val="left"/>
            </w:pPr>
            <w:r>
              <w:rPr>
                <w:rFonts w:ascii="仿宋_GB2312" w:hAnsi="仿宋_GB2312" w:cs="仿宋_GB2312" w:eastAsia="仿宋_GB2312"/>
                <w:sz w:val="19"/>
              </w:rPr>
              <w:t>4、</w:t>
            </w:r>
            <w:r>
              <w:rPr>
                <w:rFonts w:ascii="仿宋_GB2312" w:hAnsi="仿宋_GB2312" w:cs="仿宋_GB2312" w:eastAsia="仿宋_GB2312"/>
                <w:sz w:val="19"/>
              </w:rPr>
              <w:t>售后服务响应时间：质量保证期限内，车辆一旦发生突发性质量问题，在接到采购人信息后，</w:t>
            </w:r>
            <w:r>
              <w:rPr>
                <w:rFonts w:ascii="仿宋_GB2312" w:hAnsi="仿宋_GB2312" w:cs="仿宋_GB2312" w:eastAsia="仿宋_GB2312"/>
                <w:sz w:val="19"/>
              </w:rPr>
              <w:t>4</w:t>
            </w:r>
            <w:r>
              <w:rPr>
                <w:rFonts w:ascii="仿宋_GB2312" w:hAnsi="仿宋_GB2312" w:cs="仿宋_GB2312" w:eastAsia="仿宋_GB2312"/>
                <w:sz w:val="19"/>
              </w:rPr>
              <w:t>小时内派员到达现场处置，并负责及时修理和提供必要的配件</w:t>
            </w:r>
            <w:r>
              <w:rPr>
                <w:rFonts w:ascii="仿宋_GB2312" w:hAnsi="仿宋_GB2312" w:cs="仿宋_GB2312" w:eastAsia="仿宋_GB2312"/>
                <w:sz w:val="19"/>
              </w:rPr>
              <w:t>。</w:t>
            </w:r>
          </w:p>
          <w:p>
            <w:pPr>
              <w:pStyle w:val="null3"/>
              <w:spacing w:before="105"/>
              <w:ind w:firstLine="190"/>
              <w:jc w:val="left"/>
            </w:pPr>
            <w:r>
              <w:rPr>
                <w:rFonts w:ascii="仿宋_GB2312" w:hAnsi="仿宋_GB2312" w:cs="仿宋_GB2312" w:eastAsia="仿宋_GB2312"/>
                <w:sz w:val="19"/>
              </w:rPr>
              <w:t>5、</w:t>
            </w:r>
            <w:r>
              <w:rPr>
                <w:rFonts w:ascii="仿宋_GB2312" w:hAnsi="仿宋_GB2312" w:cs="仿宋_GB2312" w:eastAsia="仿宋_GB2312"/>
                <w:sz w:val="19"/>
              </w:rPr>
              <w:t>签订合同前</w:t>
            </w:r>
            <w:r>
              <w:rPr>
                <w:rFonts w:ascii="仿宋_GB2312" w:hAnsi="仿宋_GB2312" w:cs="仿宋_GB2312" w:eastAsia="仿宋_GB2312"/>
                <w:sz w:val="19"/>
              </w:rPr>
              <w:t>，</w:t>
            </w:r>
            <w:r>
              <w:rPr>
                <w:rFonts w:ascii="仿宋_GB2312" w:hAnsi="仿宋_GB2312" w:cs="仿宋_GB2312" w:eastAsia="仿宋_GB2312"/>
                <w:sz w:val="19"/>
              </w:rPr>
              <w:t>成交供应商</w:t>
            </w:r>
            <w:r>
              <w:rPr>
                <w:rFonts w:ascii="仿宋_GB2312" w:hAnsi="仿宋_GB2312" w:cs="仿宋_GB2312" w:eastAsia="仿宋_GB2312"/>
                <w:sz w:val="19"/>
              </w:rPr>
              <w:t>提供售后服务网点清单及服务电话和维修人员名单给采购人，提供</w:t>
            </w:r>
            <w:r>
              <w:rPr>
                <w:rFonts w:ascii="仿宋_GB2312" w:hAnsi="仿宋_GB2312" w:cs="仿宋_GB2312" w:eastAsia="仿宋_GB2312"/>
                <w:sz w:val="19"/>
              </w:rPr>
              <w:t>7*24小时电话技术支持和救援服务。</w:t>
            </w:r>
          </w:p>
          <w:p>
            <w:pPr>
              <w:pStyle w:val="null3"/>
              <w:spacing w:before="105"/>
              <w:ind w:firstLine="190"/>
              <w:jc w:val="left"/>
            </w:pPr>
            <w:r>
              <w:rPr>
                <w:rFonts w:ascii="仿宋_GB2312" w:hAnsi="仿宋_GB2312" w:cs="仿宋_GB2312" w:eastAsia="仿宋_GB2312"/>
                <w:sz w:val="19"/>
              </w:rPr>
              <w:t>6、成交供应商</w:t>
            </w:r>
            <w:r>
              <w:rPr>
                <w:rFonts w:ascii="仿宋_GB2312" w:hAnsi="仿宋_GB2312" w:cs="仿宋_GB2312" w:eastAsia="仿宋_GB2312"/>
                <w:sz w:val="19"/>
              </w:rPr>
              <w:t>协助上牌等上户手续，配合采购人为车辆上户至指定名下。</w:t>
            </w:r>
          </w:p>
          <w:p>
            <w:pPr>
              <w:pStyle w:val="null3"/>
              <w:spacing w:before="105"/>
              <w:ind w:firstLine="190"/>
              <w:jc w:val="left"/>
            </w:pPr>
            <w:r>
              <w:rPr>
                <w:rFonts w:ascii="仿宋_GB2312" w:hAnsi="仿宋_GB2312" w:cs="仿宋_GB2312" w:eastAsia="仿宋_GB2312"/>
                <w:sz w:val="19"/>
              </w:rPr>
              <w:t>7、</w:t>
            </w:r>
            <w:r>
              <w:rPr>
                <w:rFonts w:ascii="仿宋_GB2312" w:hAnsi="仿宋_GB2312" w:cs="仿宋_GB2312" w:eastAsia="仿宋_GB2312"/>
                <w:sz w:val="19"/>
              </w:rPr>
              <w:t>本项目为固定单价包干合同，应是最终用户验收合格后的总价。报价包括以上货物价格，车辆购置税、充电桩安装、上牌费用、运输费（含送货至采购人指定地点产生的油费等）、装卸、配件、调试、培训、维护、增值税税费等费用以及</w:t>
            </w:r>
            <w:r>
              <w:rPr>
                <w:rFonts w:ascii="仿宋_GB2312" w:hAnsi="仿宋_GB2312" w:cs="仿宋_GB2312" w:eastAsia="仿宋_GB2312"/>
                <w:sz w:val="19"/>
              </w:rPr>
              <w:t>询价</w:t>
            </w:r>
            <w:r>
              <w:rPr>
                <w:rFonts w:ascii="仿宋_GB2312" w:hAnsi="仿宋_GB2312" w:cs="仿宋_GB2312" w:eastAsia="仿宋_GB2312"/>
                <w:sz w:val="19"/>
              </w:rPr>
              <w:t>文件规定的其他费用。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自合同签订之日起40日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供货地点以采购人约定为准（绵竹市辖区内采购人指定地点）。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1、车辆交付采购人且验收合格后，成交供应商向采购人出具合法有效完整的完税发票之日起，达到付款条件起20日内，支付合同总金额的100.00%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 〔2016〕205号）、《政府采购需求管理办法》（财库〔2021〕22号）的要求进行 验收。经验收不合格的，中标人必须在7日内无条件更换合格的车辆，补充完善相关 配件和证书资料。</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①所有质保、售后服务事项均由成交供应商负责。 ②质保期及售后、后续服务期除参数中有明确要求的以外，按以下标准执行：a、整车质保期为：3年或6万公里，(以先到为准) b、本项目新能源皮卡车辆三电系统质保期5年。 ③维修与备品备件服务 a、车辆在质量保证期限内出现的质量问题由成交供应商负责处理解决。 b、超过车辆的质量保证期，成交供应商须负责配合采购人及时提供配件。以优惠的价格及时提供所需配件，确保车辆的正常运行。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1.采购人及供应商双方必须遵守采购合同并执行合同中的各项规定，保证采购合同的正常履行。任何一方违约给对方造成的直接损失均负有赔偿责任，对方均有权视情况要求对方继续履行合同或提出解除合同。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3.如供应商供货达不到相关质量要求或未按采购人时间进度安排完成供货，采购人有权扣除合同支付金额（合同中约定）和提出解除合同。（2）争议解决办法采购人及供应商 双方就采购合同所产生的任何争议都应该进行友好协商，协商解决不成的，任何一方均可向项目所在地仲裁委员会申请仲裁。 仲裁费应由败诉方承担。 在仲裁期间，除正在进行仲裁的部分外，合同其他部分继续执行。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 ；未换证的提供“营业执照、税务登记证、组织机构代码证或三证合一的营业执照”复印件；②若为事业法人：提供“统一社会信用代码法人登记证书” ；未换证的提交“事业法人登记证书、组织机构代码证”复印件；③若为其他组织：提供“对应主管部门颁发的准许执业证明文件或营业执照”复印件；④个体工商户:提供“统一社会信用代码营业执照"；⑤若为自然人：提供“身份证明材料”。注：A. 以上资料均提供复印件 ；B.供应商若为分公司的，除提供以上资料外还须提供具有独立承担民事责任的能力的总公司对分公司针对本项目的授权书。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1.在评标过程中，评标委员会认为投标人报价低 于 最高限价50%或者低于其他有效投标人报价 算术 平均价40%，有可能影响产品质量或者不 能诚信 履约的，评标委员会应当要求其在评审现 场合理 的时间内提供成本构成书面说明，并提 交相关证 明材料。书面说明应当按照国家财务 会计制度的 规定要求，逐项就投标人提供的货 物、工程和服 务的主营业务成本（应根据投标人企业类型予以区 别）、税金及附加、销售费 用、管理费用、财务 费用等成本构成事项详细 陈述。 2.投标人提交的 相关证明材料，应当加 盖投标人（法定名称）电 子印章，在评标委员会 要求的时间内通过项目电 子化交易系统进行提 交，否则提交的相关证明材 料无效。投标人不 能证明其报价合理性的，评标 委员会应当将其响 应文件作为无效处理。</w:t>
            </w:r>
          </w:p>
        </w:tc>
        <w:tc>
          <w:tcPr>
            <w:tcW w:type="dxa" w:w="1910"/>
          </w:tcPr>
          <w:p>
            <w:pPr>
              <w:pStyle w:val="null3"/>
              <w:jc w:val="left"/>
            </w:pPr>
            <w:r>
              <w:rPr>
                <w:rFonts w:ascii="仿宋_GB2312" w:hAnsi="仿宋_GB2312" w:cs="仿宋_GB2312" w:eastAsia="仿宋_GB2312"/>
              </w:rPr>
              <w:t>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符合招标文件的其他实质性要求</w:t>
            </w:r>
          </w:p>
        </w:tc>
        <w:tc>
          <w:tcPr>
            <w:tcW w:type="dxa" w:w="3322"/>
          </w:tcPr>
          <w:p>
            <w:pPr>
              <w:pStyle w:val="null3"/>
              <w:jc w:val="left"/>
            </w:pPr>
            <w:r>
              <w:rPr>
                <w:rFonts w:ascii="仿宋_GB2312" w:hAnsi="仿宋_GB2312" w:cs="仿宋_GB2312" w:eastAsia="仿宋_GB2312"/>
              </w:rPr>
              <w:t>供应商按照询价通知书的要求响应</w:t>
            </w:r>
          </w:p>
        </w:tc>
        <w:tc>
          <w:tcPr>
            <w:tcW w:type="dxa" w:w="1910"/>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最后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