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干眼治疗仪采购项目</w:t>
      </w:r>
    </w:p>
    <w:p>
      <w:pPr>
        <w:pStyle w:val="null3"/>
        <w:jc w:val="center"/>
        <w:outlineLvl w:val="2"/>
      </w:pPr>
      <w:r>
        <w:rPr>
          <w:sz w:val="28"/>
          <w:b/>
        </w:rPr>
        <w:t>备案编号：</w:t>
      </w:r>
      <w:r>
        <w:rPr>
          <w:sz w:val="28"/>
          <w:b/>
        </w:rPr>
        <w:t>CGXM-2024-350001-02446[2024]06608</w:t>
      </w:r>
    </w:p>
    <w:p>
      <w:pPr>
        <w:pStyle w:val="null3"/>
        <w:jc w:val="center"/>
        <w:outlineLvl w:val="2"/>
      </w:pPr>
      <w:r>
        <w:rPr>
          <w:sz w:val="28"/>
          <w:b/>
        </w:rPr>
        <w:t>项目编号：</w:t>
      </w:r>
      <w:r>
        <w:rPr>
          <w:sz w:val="28"/>
          <w:b/>
        </w:rPr>
        <w:t>[350001]FJXFZB[GK]2024028</w:t>
      </w:r>
    </w:p>
    <w:p>
      <w:pPr>
        <w:pStyle w:val="null3"/>
        <w:jc w:val="center"/>
        <w:outlineLvl w:val="2"/>
      </w:pPr>
      <w:r>
        <w:rPr>
          <w:sz w:val="28"/>
          <w:b/>
        </w:rPr>
        <w:t>采购人：</w:t>
      </w:r>
      <w:r>
        <w:rPr>
          <w:sz w:val="28"/>
          <w:b/>
        </w:rPr>
        <w:t>福建省级机关医院</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2024年10月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干眼治疗仪采购项目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CGXM-2024-350001-02446[2024]06608</w:t>
      </w:r>
    </w:p>
    <w:p>
      <w:pPr>
        <w:pStyle w:val="null3"/>
        <w:ind w:firstLine="480"/>
        <w:jc w:val="left"/>
        <w:outlineLvl w:val="2"/>
      </w:pPr>
      <w:r>
        <w:rPr>
          <w:sz w:val="28"/>
          <w:b/>
        </w:rPr>
        <w:t>2、项目编号</w:t>
      </w:r>
      <w:r>
        <w:rPr>
          <w:sz w:val="28"/>
          <w:b/>
        </w:rPr>
        <w:t>：</w:t>
      </w:r>
      <w:r>
        <w:rPr>
          <w:sz w:val="28"/>
          <w:b/>
        </w:rPr>
        <w:t>[350001]FJXFZB[GK]2024028</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适用于本项目，按照财库[2019]19号文所附品目清单执行</w:t>
      </w:r>
    </w:p>
    <w:p>
      <w:pPr>
        <w:pStyle w:val="null3"/>
        <w:ind w:firstLine="960"/>
        <w:jc w:val="left"/>
      </w:pPr>
      <w:r>
        <w:rPr/>
        <w:t>环境标志产品：</w:t>
      </w:r>
      <w:r>
        <w:rPr/>
        <w:t>适用于本项目，按照财库[2019]18号文所附品目清单执行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招标文件规定的其他资格证明文件1</w:t>
            </w:r>
          </w:p>
        </w:tc>
        <w:tc>
          <w:tcPr>
            <w:tcW w:type="dxa" w:w="4614"/>
          </w:tcPr>
          <w:p>
            <w:pPr>
              <w:pStyle w:val="null3"/>
              <w:jc w:val="left"/>
            </w:pPr>
            <w:r>
              <w:rPr/>
              <w:t>投标人所投货物若属于医疗器械管理范畴，应提供以下特定证明材料：①投标人为生产企业的，投标货物若属于第一类医疗器械产品，须提供《第一类医疗器械生产备案凭证》（进口产品除外），投标货物若属于第二类、三类医疗器械产品，须提供《医疗器械生产许可证》/《医疗器械生产企业许可证》（进口产品除外）；投标人为经营企业的，投标货物若属于第三类医疗器械产品，须提供《医疗器械经营许可证》/《医疗器械经营企业许可证》/《食品药品生产经营许可证》，投标货物若属于第二类医疗器械产品，须提供《第二类医疗器械经营备案凭证》/《医疗器械经营企业许可证》/《医疗器械经营许可证》/《食品药品生产经营许可证》，投标货物若属于第一类医疗器械产品，则无须提供此项；②投标货物属于《医疗器械监督管理条例》规定的第一类医疗器械产品，须提供《第一类医疗器械产品备案凭证》，属于第二类、第三类医疗器械产品，须提供《医疗器械注册证》(如有注册登记表应提供)(以上材料均需提供为有效期内，否则按无效投标处理）。</w:t>
            </w:r>
          </w:p>
        </w:tc>
      </w:tr>
      <w:tr>
        <w:tc>
          <w:tcPr>
            <w:tcW w:type="dxa" w:w="3692"/>
          </w:tcPr>
          <w:p>
            <w:pPr>
              <w:pStyle w:val="null3"/>
              <w:jc w:val="left"/>
            </w:pPr>
            <w:r>
              <w:rPr/>
              <w:t>招标文件规定的其他资格证明文件2（若有）</w:t>
            </w:r>
          </w:p>
        </w:tc>
        <w:tc>
          <w:tcPr>
            <w:tcW w:type="dxa" w:w="4614"/>
          </w:tcPr>
          <w:p>
            <w:pPr>
              <w:pStyle w:val="null3"/>
              <w:jc w:val="left"/>
            </w:pPr>
            <w:r>
              <w:rPr/>
              <w:t>1.本次采购货物中若有属政府强制采购节能产品的，投标人所投产品必须符合《关于印发节能产品政府采购品目清单的通知》(财库〔2019〕19号)附件中《节能产品政府采购品目清单》规定，投标人须提供国家确定的认证机构出具的、处于有效期之内的节能产品认证证书复印件（产品标准须符合《节能产品政府采购品目清单》依据的标准）及其附件（若有，应至少提供附件中可体现所投产品的完整页面）加盖投标人公章，否则投标无效。2.本次采购货物中若有属强制3C认证的，投标人须在投标文件中承诺所投产品有3C认证证书，并能在货物验收时能提供3C认证证书（格式自拟），或在投标文件中提供所投产品3C认证证书复印件，否则投标无效。</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福建省级机关医院</w:t>
      </w:r>
    </w:p>
    <w:p>
      <w:pPr>
        <w:pStyle w:val="null3"/>
        <w:ind w:firstLine="960"/>
        <w:jc w:val="left"/>
      </w:pPr>
      <w:r>
        <w:rPr/>
        <w:t xml:space="preserve"> 地址： </w:t>
      </w:r>
      <w:r>
        <w:rPr/>
        <w:t>福州市鼓屏路67号</w:t>
      </w:r>
    </w:p>
    <w:p>
      <w:pPr>
        <w:pStyle w:val="null3"/>
        <w:jc w:val="left"/>
      </w:pPr>
      <w:r>
        <w:rPr/>
        <w:t xml:space="preserve"> 邮编： </w:t>
      </w:r>
      <w:r>
        <w:rPr/>
        <w:t>350003</w:t>
      </w:r>
    </w:p>
    <w:p>
      <w:pPr>
        <w:pStyle w:val="null3"/>
        <w:jc w:val="left"/>
      </w:pPr>
      <w:r>
        <w:rPr/>
        <w:t xml:space="preserve"> 联系人： </w:t>
      </w:r>
      <w:r>
        <w:rPr/>
        <w:t>巫永斌</w:t>
      </w:r>
    </w:p>
    <w:p>
      <w:pPr>
        <w:pStyle w:val="null3"/>
        <w:jc w:val="left"/>
      </w:pPr>
      <w:r>
        <w:rPr/>
        <w:t xml:space="preserve"> 联系电话： </w:t>
      </w:r>
      <w:r>
        <w:rPr/>
        <w:t>0591-87837549</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福州市鼓楼区铜盘路466-3号大自然文化创意园5号楼4层</w:t>
      </w:r>
    </w:p>
    <w:p>
      <w:pPr>
        <w:pStyle w:val="null3"/>
        <w:jc w:val="both"/>
      </w:pPr>
      <w:r>
        <w:rPr/>
        <w:t xml:space="preserve"> 邮编： </w:t>
      </w:r>
      <w:r>
        <w:rPr/>
        <w:t>350000</w:t>
      </w:r>
    </w:p>
    <w:p>
      <w:pPr>
        <w:pStyle w:val="null3"/>
        <w:jc w:val="both"/>
      </w:pPr>
      <w:r>
        <w:rPr/>
        <w:t xml:space="preserve"> 联系人： </w:t>
      </w:r>
      <w:r>
        <w:rPr/>
        <w:t>周灵珍、陈爱光、林娜、李爽</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1,800,000.00</w:t>
      </w:r>
    </w:p>
    <w:p>
      <w:pPr>
        <w:pStyle w:val="null3"/>
        <w:jc w:val="left"/>
      </w:pPr>
      <w:r>
        <w:rPr/>
        <w:t>采购包最高限价（元）: 1,800,000.00</w:t>
      </w:r>
    </w:p>
    <w:p>
      <w:pPr>
        <w:pStyle w:val="null3"/>
        <w:jc w:val="left"/>
      </w:pPr>
      <w:r>
        <w:rPr/>
        <w:t>采购包保证金金额（元）: 18,000.00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干眼治疗仪</w:t>
            </w:r>
          </w:p>
        </w:tc>
        <w:tc>
          <w:tcPr>
            <w:tcW w:type="dxa" w:w="1187"/>
          </w:tcPr>
          <w:p>
            <w:pPr>
              <w:pStyle w:val="null3"/>
              <w:jc w:val="right"/>
            </w:pPr>
            <w:r>
              <w:rPr/>
              <w:t>1.00</w:t>
            </w:r>
          </w:p>
        </w:tc>
        <w:tc>
          <w:tcPr>
            <w:tcW w:type="dxa" w:w="1187"/>
          </w:tcPr>
          <w:p>
            <w:pPr>
              <w:pStyle w:val="null3"/>
              <w:jc w:val="right"/>
            </w:pPr>
            <w:r>
              <w:rPr/>
              <w:t>1,800,000.00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干眼治疗仪</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1,800,000.00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干眼治疗仪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干眼治疗仪</w:t>
            </w:r>
          </w:p>
        </w:tc>
        <w:tc>
          <w:tcPr>
            <w:tcW w:type="dxa" w:w="2076"/>
          </w:tcPr>
          <w:p>
            <w:pPr>
              <w:pStyle w:val="null3"/>
              <w:jc w:val="left"/>
            </w:pPr>
            <w:r>
              <w:rPr/>
              <w:t>干眼治疗仪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1,800,000.00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载明的中标金额作为收费的计算基数，按差额定率累进法计算。收费费率标准：中标金额在100万元以下部分的，收费费率标准为1.125%；100万元—500万元部分的收费费率标准为0.825%。代理服务费不足2000元的按2000元计取。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评标项规定的；2）出现第二章投标人须知前附表中表1第11评标项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19.6关于“成立年限满1年及以上的投标人，提供经审计的上一年度的年度财务报告”补充说明：经审计的上一年度的年度财务报告是指经审计的2023年度财务报告复印件。19.7投标人出现 《福建省财政厅关于电子化政府采购项目中视为串标情形认定与处理的指导意见》（闽财购〔2018〕30号）文中规定的视为串标情形的，其投标无效。 19.8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招标文件规定的其他资格证明文件1</w:t>
            </w:r>
          </w:p>
        </w:tc>
        <w:tc>
          <w:tcPr>
            <w:tcW w:type="dxa" w:w="4614"/>
          </w:tcPr>
          <w:p>
            <w:pPr>
              <w:pStyle w:val="null3"/>
              <w:jc w:val="left"/>
            </w:pPr>
            <w:r>
              <w:rPr/>
              <w:t>投标人所投货物若属于医疗器械管理范畴，应提供以下特定证明材料：①投标人为生产企业的，投标货物若属于第一类医疗器械产品，须提供《第一类医疗器械生产备案凭证》（进口产品除外），投标货物若属于第二类、三类医疗器械产品，须提供《医疗器械生产许可证》/《医疗器械生产企业许可证》（进口产品除外）；投标人为经营企业的，投标货物若属于第三类医疗器械产品，须提供《医疗器械经营许可证》/《医疗器械经营企业许可证》/《食品药品生产经营许可证》，投标货物若属于第二类医疗器械产品，须提供《第二类医疗器械经营备案凭证》/《医疗器械经营企业许可证》/《医疗器械经营许可证》/《食品药品生产经营许可证》，投标货物若属于第一类医疗器械产品，则无须提供此项；②投标货物属于《医疗器械监督管理条例》规定的第一类医疗器械产品，须提供《第一类医疗器械产品备案凭证》，属于第二类、第三类医疗器械产品，须提供《医疗器械注册证》(如有注册登记表应提供)(以上材料均需提供为有效期内，否则按无效投标处理）。</w:t>
            </w:r>
          </w:p>
        </w:tc>
      </w:tr>
      <w:tr>
        <w:tc>
          <w:tcPr>
            <w:tcW w:type="dxa" w:w="3692"/>
          </w:tcPr>
          <w:p>
            <w:pPr>
              <w:pStyle w:val="null3"/>
              <w:jc w:val="left"/>
            </w:pPr>
            <w:r>
              <w:rPr/>
              <w:t>招标文件规定的其他资格证明文件2（若有）</w:t>
            </w:r>
          </w:p>
        </w:tc>
        <w:tc>
          <w:tcPr>
            <w:tcW w:type="dxa" w:w="4614"/>
          </w:tcPr>
          <w:p>
            <w:pPr>
              <w:pStyle w:val="null3"/>
              <w:jc w:val="left"/>
            </w:pPr>
            <w:r>
              <w:rPr/>
              <w:t>1.本次采购货物中若有属政府强制采购节能产品的，投标人所投产品必须符合《关于印发节能产品政府采购品目清单的通知》(财库〔2019〕19号)附件中《节能产品政府采购品目清单》规定，投标人须提供国家确定的认证机构出具的、处于有效期之内的节能产品认证证书复印件（产品标准须符合《节能产品政府采购品目清单》依据的标准）及其附件（若有，应至少提供附件中可体现所投产品的完整页面）加盖投标人公章，否则投标无效。2.本次采购货物中若有属强制3C认证的，投标人须在投标文件中承诺所投产品有3C认证证书，并能在货物验收时能提供3C认证证书（格式自拟），或在投标文件中提供所投产品3C认证证书复印件，否则投标无效。</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15.0000%</w:t>
            </w:r>
          </w:p>
        </w:tc>
        <w:tc>
          <w:tcPr>
            <w:tcW w:type="dxa" w:w="4153"/>
          </w:tcPr>
          <w:p>
            <w:pPr>
              <w:pStyle w:val="null3"/>
              <w:jc w:val="both"/>
            </w:pPr>
            <w:r>
              <w:rPr/>
              <w:t>（1）《政府采购促进中小企业发展管理办法》、《关于进一步加大政府采购支持中小企业力度的通知》、《福建省财政厅关于进一步加大政府采购支持中小企业力度的通知》价格扣除： 根据《关于印发&lt;政府采购促进中小企业发展管理办法&gt;的通知》（财库〔2020〕46号）文件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投标人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投标人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根据《关于进一步加大政府采购支持中小企业力度的通知》（财库〔2022〕19号）、《福建省财政厅关于进一步加大政府采购支持中小企业力度的通知》（闽财规〔2022〕13号）等文件规定，本项目将对符合本办法规定的小微企业报价给予15%（工程项目为5%）的扣除，用扣除后的价格参加评审。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5%（工程项目为2%）的扣除，用扣除后的价格参加评审。中小企业适用价格扣除办法时应提供《中小企业声明函》，否则不予价格扣除。 （2）根据财政部、司法部联合印发《关于政府采购支持监狱企业发展有关问题的通知》（财库【2014】68号）文件规定，符合规定的监狱和戒毒企业(以下简称监狱企业)参加政府采购活动视同小型、微型企业，提供由省级以上监狱管理局、戒毒管理局（含新疆生产建设兵团）出具的属于监狱企业的证明文件，其报价享受15%（工程项目为5%）的评审价格扣除优惠。 （3）根据《财政部 民政部 中国残疾人联合会关于促进残疾人就业政府采购政策的通知》（财库〔2017〕141号）规定，符合规定的残疾人福利性单位参加政府采购活动视同小型、微型企业，提供《残疾人福利性单位声明函》并对声明的真实性负责，其报价享受15%（工程项目为5%）的评审价格扣除优惠。对残疾人福利性单位与其他组织组成联合体参与政府采购活动的，残疾人福利性单位的协议合同金额占总合同金额30%以上的，给予联合体合同金额5%（工程项目为2%）的价格扣除。残疾人福利性单位属于小型、微型企业的，不重复享受政策，按残疾人福利性单位价格扣除标准执行。残疾人福利性单位参与货物项目的，须在投标文件中写明具体哪些货物是由本单位制造，或者由其他残疾人福利性单位制造（不包括使用非残疾人福利性单位注册商标的货物），并对其进行标注。 注：1、本采购包为货物类采购项目，采购标的对应的中小企业划分标准所属行业为工业。2、依据本办法规定享受扶持政策获得政府采购合同的，小微企业不得将合同分包给大中型企业，中型企业不得将合同分包给大型企业。3、投标人提供声明函内容不实的或提供虚假证明文件的，均属于提供虚假材料谋取中标、成交，一经发现将依照《中华人民共和国政府采购法》等国家有关规定追究相应责任。4、投标人可在此部分上传投标分项报价表。</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福建省财政厅关于加强政府绿色采购工作的通知》（闽财规〔2024〕3号）文件的规定。(2)节能(非强制类产品)、环境标志产品评审优惠内容及幅度如下：①对节能产品、环境标志产品政府采购品目清单范围内，实施优先采购的产品，给予产品价格报价10%的扣除，用扣除后的价格参加评审。采购标的同时包含其它非优先采购产品的，投标人在报价时必须对优先采购产品和非优先采购产品分项报价、单独填写扣除表，并提供产品认证证书复印件附在报价部分且加盖投标人公章。优先采购产品和非优先采购产品未单独分项报价或未提供产品认证证书复印件的不给予价格扣除。非优先采购产品的报价不享受给予节能产品、环境标志产品的价格扣除优惠。②对于同时属于环境标志和节能的产品，应当优先于只获得其中一项认证的产品。若节能、环境标志产品仅构成投标产品的部件、组件或零件的，则该投标产品不享受鼓励优惠政策。评标委员会审查此项响应性只根据投标文件本身的内容，而不寻求其他的外部证据。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1.产品技术性能和功能</w:t>
            </w:r>
          </w:p>
        </w:tc>
        <w:tc>
          <w:tcPr>
            <w:tcW w:type="dxa" w:w="831"/>
          </w:tcPr>
          <w:p>
            <w:pPr>
              <w:pStyle w:val="null3"/>
              <w:jc w:val="right"/>
            </w:pPr>
            <w:r>
              <w:rPr/>
              <w:t>54.0000</w:t>
            </w:r>
          </w:p>
        </w:tc>
        <w:tc>
          <w:tcPr>
            <w:tcW w:type="dxa" w:w="4153"/>
          </w:tcPr>
          <w:p>
            <w:pPr>
              <w:pStyle w:val="null3"/>
              <w:jc w:val="both"/>
            </w:pPr>
            <w:r>
              <w:rPr/>
              <w:t>根据投标人对招标文件第五章招标内容及要求中“二、技术和服务要求”各项技术要求的逐项应答情况并结合相关佐证材料（若有），由评委进行评分：完全满足招标文件要求的得54分（评标项共18项），其中每负偏离一项扣3分，扣完为止，正偏离不加分。备注：【注：招标文件中技术指标若有要求投标人提供相应佐证材料的，投标人未提供相应佐证材料或者投标人的响应承诺与其佐证材料不一致的，评标委员会将以不利于投标人的内容为准进行评审（负偏离）】</w:t>
            </w:r>
          </w:p>
        </w:tc>
      </w:tr>
      <w:tr>
        <w:tc>
          <w:tcPr>
            <w:tcW w:type="dxa" w:w="3322"/>
          </w:tcPr>
          <w:p>
            <w:pPr>
              <w:pStyle w:val="null3"/>
              <w:jc w:val="both"/>
            </w:pPr>
            <w:r>
              <w:rPr/>
              <w:t>2.技术支持材料</w:t>
            </w:r>
          </w:p>
        </w:tc>
        <w:tc>
          <w:tcPr>
            <w:tcW w:type="dxa" w:w="831"/>
          </w:tcPr>
          <w:p>
            <w:pPr>
              <w:pStyle w:val="null3"/>
              <w:jc w:val="right"/>
            </w:pPr>
            <w:r>
              <w:rPr/>
              <w:t>2.0000</w:t>
            </w:r>
          </w:p>
        </w:tc>
        <w:tc>
          <w:tcPr>
            <w:tcW w:type="dxa" w:w="4153"/>
          </w:tcPr>
          <w:p>
            <w:pPr>
              <w:pStyle w:val="null3"/>
              <w:jc w:val="both"/>
            </w:pPr>
            <w:r>
              <w:rPr/>
              <w:t>根据投标人提供所投产品技术说明材料、彩页资料等材料的佐证情况，由评委进行评分：①提供的材料能充分佐证所投设备技术参数及功能的得2分；②提供的材料能大部分佐证所投设备技术参数及功能的得1.7分；③提供的材料能小部分佐证所投设备技术参数及功能的得1.4分；④未提供材料的不得分。注：技术支持资料为外文的应按招标文件要求提供翻译件及相关文件，否则视为未提交。</w:t>
            </w:r>
          </w:p>
        </w:tc>
      </w:tr>
      <w:tr>
        <w:tc>
          <w:tcPr>
            <w:tcW w:type="dxa" w:w="3322"/>
          </w:tcPr>
          <w:p>
            <w:pPr>
              <w:pStyle w:val="null3"/>
              <w:jc w:val="both"/>
            </w:pPr>
            <w:r>
              <w:rPr/>
              <w:t>3.产品配置情况</w:t>
            </w:r>
          </w:p>
        </w:tc>
        <w:tc>
          <w:tcPr>
            <w:tcW w:type="dxa" w:w="831"/>
          </w:tcPr>
          <w:p>
            <w:pPr>
              <w:pStyle w:val="null3"/>
              <w:jc w:val="right"/>
            </w:pPr>
            <w:r>
              <w:rPr/>
              <w:t>2.0000</w:t>
            </w:r>
          </w:p>
        </w:tc>
        <w:tc>
          <w:tcPr>
            <w:tcW w:type="dxa" w:w="4153"/>
          </w:tcPr>
          <w:p>
            <w:pPr>
              <w:pStyle w:val="null3"/>
              <w:jc w:val="both"/>
            </w:pPr>
            <w:r>
              <w:rPr/>
              <w:t>根据投标人针对投标产品提供的主要件和关键件配置情况，由评委进行评分：①提供详细、合理、齐全的主要件和关键件配置清单，且满足设备使用要求的得2分；②提供较详细、合理、齐全的主要件和关键件配置清单，且大部分满足设备使用要求的得1.7分；③提供不够详细、合理一般、不够齐全的主要件和关键件配置清单，且小部分满足设备使用要求的得1.4分；④未提供的不得分。</w:t>
            </w:r>
          </w:p>
        </w:tc>
      </w:tr>
      <w:tr>
        <w:tc>
          <w:tcPr>
            <w:tcW w:type="dxa" w:w="3322"/>
          </w:tcPr>
          <w:p>
            <w:pPr>
              <w:pStyle w:val="null3"/>
              <w:jc w:val="both"/>
            </w:pPr>
            <w:r>
              <w:rPr/>
              <w:t>4.备品备件情况</w:t>
            </w:r>
          </w:p>
        </w:tc>
        <w:tc>
          <w:tcPr>
            <w:tcW w:type="dxa" w:w="831"/>
          </w:tcPr>
          <w:p>
            <w:pPr>
              <w:pStyle w:val="null3"/>
              <w:jc w:val="right"/>
            </w:pPr>
            <w:r>
              <w:rPr/>
              <w:t>2.0000</w:t>
            </w:r>
          </w:p>
        </w:tc>
        <w:tc>
          <w:tcPr>
            <w:tcW w:type="dxa" w:w="4153"/>
          </w:tcPr>
          <w:p>
            <w:pPr>
              <w:pStyle w:val="null3"/>
              <w:jc w:val="both"/>
            </w:pPr>
            <w:r>
              <w:rPr/>
              <w:t>根据投标人针对投标产品提供的配件、备品备件、耗材清单等配置情况，由评委进行评议：①提供详细、合理、齐全的配件、备品备件、耗材清单等配置，且满足设备使用要求的得2分；②提供较详细、合理、齐全的配件、备品备件、耗材清单等配置，且大部分满足设备使用要求的得1.7分；③提供不够详细、合理一般、不够齐全的主要件和关键件配置清单，且小部分满足设备使用要求的得1.4分；④未提供的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1.售后维保期</w:t>
            </w:r>
          </w:p>
        </w:tc>
        <w:tc>
          <w:tcPr>
            <w:tcW w:type="dxa" w:w="831"/>
          </w:tcPr>
          <w:p>
            <w:pPr>
              <w:pStyle w:val="null3"/>
              <w:jc w:val="right"/>
            </w:pPr>
            <w:r>
              <w:rPr/>
              <w:t>2.0000</w:t>
            </w:r>
          </w:p>
        </w:tc>
        <w:tc>
          <w:tcPr>
            <w:tcW w:type="dxa" w:w="4153"/>
          </w:tcPr>
          <w:p>
            <w:pPr>
              <w:pStyle w:val="null3"/>
              <w:jc w:val="both"/>
            </w:pPr>
            <w:r>
              <w:rPr/>
              <w:t>投标人所投设备的售后维保期满足招标文件要求（3年）的基础上，所有产品的售后维保期承诺每增加一年加1分，满分2分，未承诺的视为满足招标文件要求，本项不得分。</w:t>
            </w:r>
          </w:p>
        </w:tc>
      </w:tr>
      <w:tr>
        <w:tc>
          <w:tcPr>
            <w:tcW w:type="dxa" w:w="3322"/>
          </w:tcPr>
          <w:p>
            <w:pPr>
              <w:pStyle w:val="null3"/>
              <w:jc w:val="both"/>
            </w:pPr>
            <w:r>
              <w:rPr/>
              <w:t>2.业绩情况</w:t>
            </w:r>
          </w:p>
        </w:tc>
        <w:tc>
          <w:tcPr>
            <w:tcW w:type="dxa" w:w="831"/>
          </w:tcPr>
          <w:p>
            <w:pPr>
              <w:pStyle w:val="null3"/>
              <w:jc w:val="right"/>
            </w:pPr>
            <w:r>
              <w:rPr/>
              <w:t>3.0000</w:t>
            </w:r>
          </w:p>
        </w:tc>
        <w:tc>
          <w:tcPr>
            <w:tcW w:type="dxa" w:w="4153"/>
          </w:tcPr>
          <w:p>
            <w:pPr>
              <w:pStyle w:val="null3"/>
              <w:jc w:val="both"/>
            </w:pPr>
            <w:r>
              <w:rPr/>
              <w:t>根据投标人所提供自2021年1月1日以来（日期以验收报告为准），由投标人自身完成的与本次招标同类货物有效业绩情况，由评委进行评分：每提供1份得1分，满分3分。投标人须列表说明（包含项目名称、业主名称、中标金额 、验收时间等信息，证明材料按项目依次排放）并提供该业绩项目的中标公告（提供相关网站中标公告的下载网页并注明网址）、中标通知书复印件、采购合同复印件，以及能够证明该业绩项目已经采购人验收合格的相关证明文件复印件，所有材料缺一不可，否则不得分。</w:t>
            </w:r>
          </w:p>
        </w:tc>
      </w:tr>
      <w:tr>
        <w:tc>
          <w:tcPr>
            <w:tcW w:type="dxa" w:w="3322"/>
          </w:tcPr>
          <w:p>
            <w:pPr>
              <w:pStyle w:val="null3"/>
              <w:jc w:val="both"/>
            </w:pPr>
            <w:r>
              <w:rPr/>
              <w:t>3.售后服务</w:t>
            </w:r>
          </w:p>
        </w:tc>
        <w:tc>
          <w:tcPr>
            <w:tcW w:type="dxa" w:w="831"/>
          </w:tcPr>
          <w:p>
            <w:pPr>
              <w:pStyle w:val="null3"/>
              <w:jc w:val="right"/>
            </w:pPr>
            <w:r>
              <w:rPr/>
              <w:t>3.0000</w:t>
            </w:r>
          </w:p>
        </w:tc>
        <w:tc>
          <w:tcPr>
            <w:tcW w:type="dxa" w:w="4153"/>
          </w:tcPr>
          <w:p>
            <w:pPr>
              <w:pStyle w:val="null3"/>
              <w:jc w:val="both"/>
            </w:pPr>
            <w:r>
              <w:rPr/>
              <w:t>根据投标人针对本项目提供的售后服务方案（包括但不限于售后内容、响应方式、维修服务能力的）的完善、合理性由评委进行评分：①方案完整详实、切合实际、可操作性强的得3分；②方案基本合理，符合项目要求的得2.7分；③方案阐述简单或无实质性响应内容或不完善存在缺漏的的得2.4分；④未提供不得分。</w:t>
            </w:r>
          </w:p>
        </w:tc>
      </w:tr>
      <w:tr>
        <w:tc>
          <w:tcPr>
            <w:tcW w:type="dxa" w:w="3322"/>
          </w:tcPr>
          <w:p>
            <w:pPr>
              <w:pStyle w:val="null3"/>
              <w:jc w:val="both"/>
            </w:pPr>
            <w:r>
              <w:rPr/>
              <w:t>4.服务响应时间</w:t>
            </w:r>
          </w:p>
        </w:tc>
        <w:tc>
          <w:tcPr>
            <w:tcW w:type="dxa" w:w="831"/>
          </w:tcPr>
          <w:p>
            <w:pPr>
              <w:pStyle w:val="null3"/>
              <w:jc w:val="right"/>
            </w:pPr>
            <w:r>
              <w:rPr/>
              <w:t>2.0000</w:t>
            </w:r>
          </w:p>
        </w:tc>
        <w:tc>
          <w:tcPr>
            <w:tcW w:type="dxa" w:w="4153"/>
          </w:tcPr>
          <w:p>
            <w:pPr>
              <w:pStyle w:val="null3"/>
              <w:jc w:val="both"/>
            </w:pPr>
            <w:r>
              <w:rPr/>
              <w:t>根据投标人承诺售后人员到达维修现场时间由评委进行评分：承诺4个小时内到达维修现场的得2分；承诺12个小时内到达维修现场的得1分，其他不得分，满分2分。须提供承诺函，否则本项不得分。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color w:val="333333"/>
          <w:shd w:fill="FFFFFF" w:val="clear"/>
        </w:rPr>
        <w:t>1.本次所采购的货物要求投标人所投产品必须为全新原装未启封的货物(未经使用和非展览会展示样品设备，外观无刮、碰痕迹，并有下列明显标记：名称、制造商标识、产地、出厂日期（或生产批号）等)，所投产品应符合国家有关质量标准，并有产品合格证书等相关文件。投标人必须保证产品来源渠道合法、合规，能享受原厂或原厂授权的售后维修机构的售后服务并负责货物的运输、安装、调试和售后服务等工作。投标人所投产品不符合上述要求的，将导致响应无效。如中标后提供的产品与上述要求不符，采购人将拒绝验收，由此带来的一切损失将由中标人负责。</w:t>
      </w:r>
    </w:p>
    <w:p>
      <w:pPr>
        <w:pStyle w:val="null3"/>
        <w:ind w:firstLine="480"/>
        <w:jc w:val="left"/>
      </w:pPr>
      <w:r>
        <w:rPr>
          <w:rFonts w:ascii="宋体" w:hAnsi="宋体" w:cs="宋体" w:eastAsia="宋体"/>
          <w:sz w:val="24"/>
          <w:color w:val="333333"/>
          <w:shd w:fill="FFFFFF" w:val="clear"/>
        </w:rPr>
        <w:t>2、投标人务必仔细阅读招标文件中所规定的，其中包括技术规格在内的所有细则。</w:t>
      </w:r>
    </w:p>
    <w:p>
      <w:pPr>
        <w:pStyle w:val="null3"/>
        <w:ind w:firstLine="480"/>
        <w:jc w:val="left"/>
      </w:pPr>
      <w:r>
        <w:rPr>
          <w:rFonts w:ascii="宋体" w:hAnsi="宋体" w:cs="宋体" w:eastAsia="宋体"/>
          <w:sz w:val="24"/>
          <w:color w:val="333333"/>
          <w:shd w:fill="FFFFFF" w:val="clear"/>
        </w:rPr>
        <w:t>3.本项目核心产品为以“◆”标识，本项目核心产品为序号1：干眼治疗仪；提供相同品牌的产品按照招标文件同品牌同型号相关规定执行。</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color w:val="333333"/>
          <w:shd w:fill="FFFFFF" w:val="clear"/>
        </w:rPr>
        <w:t>采购包</w:t>
      </w:r>
      <w:r>
        <w:rPr>
          <w:rFonts w:ascii="宋体" w:hAnsi="宋体" w:cs="宋体" w:eastAsia="宋体"/>
          <w:sz w:val="24"/>
          <w:b/>
          <w:color w:val="333333"/>
          <w:shd w:fill="FFFFFF" w:val="clear"/>
        </w:rPr>
        <w:t>1：序号1干眼治疗仪主要技术参数及要求</w:t>
      </w:r>
    </w:p>
    <w:p>
      <w:pPr>
        <w:pStyle w:val="null3"/>
        <w:ind w:firstLine="480"/>
        <w:jc w:val="both"/>
      </w:pPr>
      <w:r>
        <w:rPr>
          <w:rFonts w:ascii="宋体" w:hAnsi="宋体" w:cs="宋体" w:eastAsia="宋体"/>
          <w:sz w:val="24"/>
          <w:color w:val="333333"/>
          <w:shd w:fill="FFFFFF" w:val="clear"/>
        </w:rPr>
        <w:t>[评标项1] 1.强脉冲光波长：450-1200nm；</w:t>
      </w:r>
    </w:p>
    <w:p>
      <w:pPr>
        <w:pStyle w:val="null3"/>
        <w:ind w:firstLine="480"/>
        <w:jc w:val="both"/>
      </w:pPr>
      <w:r>
        <w:rPr>
          <w:rFonts w:ascii="宋体" w:hAnsi="宋体" w:cs="宋体" w:eastAsia="宋体"/>
          <w:sz w:val="24"/>
          <w:color w:val="333333"/>
          <w:shd w:fill="FFFFFF" w:val="clear"/>
        </w:rPr>
        <w:t>[评标项2] 2.治疗光波长：520-1200nm；</w:t>
      </w:r>
    </w:p>
    <w:p>
      <w:pPr>
        <w:pStyle w:val="null3"/>
        <w:ind w:firstLine="480"/>
        <w:jc w:val="both"/>
      </w:pPr>
      <w:r>
        <w:rPr>
          <w:rFonts w:ascii="宋体" w:hAnsi="宋体" w:cs="宋体" w:eastAsia="宋体"/>
          <w:sz w:val="24"/>
          <w:color w:val="333333"/>
          <w:shd w:fill="FFFFFF" w:val="clear"/>
        </w:rPr>
        <w:t>[评标项3] 3.能量密度：10-25J/cm²；</w:t>
      </w:r>
    </w:p>
    <w:p>
      <w:pPr>
        <w:pStyle w:val="null3"/>
        <w:ind w:firstLine="480"/>
        <w:jc w:val="both"/>
      </w:pPr>
      <w:r>
        <w:rPr>
          <w:rFonts w:ascii="宋体" w:hAnsi="宋体" w:cs="宋体" w:eastAsia="宋体"/>
          <w:sz w:val="24"/>
          <w:color w:val="333333"/>
          <w:shd w:fill="FFFFFF" w:val="clear"/>
        </w:rPr>
        <w:t>[评标项4] 4.治疗模式分≥10档，每档1J逐级可调，治疗能量10-20J/cm²；</w:t>
      </w:r>
    </w:p>
    <w:p>
      <w:pPr>
        <w:pStyle w:val="null3"/>
        <w:ind w:firstLine="480"/>
        <w:jc w:val="both"/>
      </w:pPr>
      <w:r>
        <w:rPr>
          <w:rFonts w:ascii="宋体" w:hAnsi="宋体" w:cs="宋体" w:eastAsia="宋体"/>
          <w:sz w:val="24"/>
          <w:color w:val="333333"/>
          <w:shd w:fill="FFFFFF" w:val="clear"/>
        </w:rPr>
        <w:t>[评标项5] 5.脉冲次数：具备单脉冲，双脉冲，三脉冲模式可选择；</w:t>
      </w:r>
    </w:p>
    <w:p>
      <w:pPr>
        <w:pStyle w:val="null3"/>
        <w:ind w:firstLine="480"/>
        <w:jc w:val="both"/>
      </w:pPr>
      <w:r>
        <w:rPr>
          <w:rFonts w:ascii="宋体" w:hAnsi="宋体" w:cs="宋体" w:eastAsia="宋体"/>
          <w:sz w:val="24"/>
          <w:color w:val="333333"/>
          <w:shd w:fill="FFFFFF" w:val="clear"/>
        </w:rPr>
        <w:t>[评标项6] 6.脉冲技术：形态均一方形波脉冲，单个脉冲能量可调整；</w:t>
      </w:r>
    </w:p>
    <w:p>
      <w:pPr>
        <w:pStyle w:val="null3"/>
        <w:ind w:firstLine="480"/>
        <w:jc w:val="both"/>
      </w:pPr>
      <w:r>
        <w:rPr>
          <w:rFonts w:ascii="宋体" w:hAnsi="宋体" w:cs="宋体" w:eastAsia="宋体"/>
          <w:sz w:val="24"/>
          <w:color w:val="333333"/>
          <w:shd w:fill="FFFFFF" w:val="clear"/>
        </w:rPr>
        <w:t>[评标项7] 7.脉冲延迟：5-100ms；</w:t>
      </w:r>
    </w:p>
    <w:p>
      <w:pPr>
        <w:pStyle w:val="null3"/>
        <w:ind w:firstLine="480"/>
        <w:jc w:val="both"/>
      </w:pPr>
      <w:r>
        <w:rPr>
          <w:rFonts w:ascii="宋体" w:hAnsi="宋体" w:cs="宋体" w:eastAsia="宋体"/>
          <w:sz w:val="24"/>
          <w:color w:val="333333"/>
          <w:shd w:fill="FFFFFF" w:val="clear"/>
        </w:rPr>
        <w:t>[评标项8] 8.配置≥2个治疗头，至少包含≥15×30mm和≤10×20mm的面积；</w:t>
      </w:r>
    </w:p>
    <w:p>
      <w:pPr>
        <w:pStyle w:val="null3"/>
        <w:ind w:firstLine="480"/>
        <w:jc w:val="both"/>
      </w:pPr>
      <w:r>
        <w:rPr>
          <w:rFonts w:ascii="宋体" w:hAnsi="宋体" w:cs="宋体" w:eastAsia="宋体"/>
          <w:sz w:val="24"/>
          <w:color w:val="333333"/>
          <w:shd w:fill="FFFFFF" w:val="clear"/>
        </w:rPr>
        <w:t>[评标项9] 9.主机具备单头手具，搭载拆卸式滤光片≥2个，至少包含560nm和590nm滤光片；</w:t>
      </w:r>
    </w:p>
    <w:p>
      <w:pPr>
        <w:pStyle w:val="null3"/>
        <w:ind w:firstLine="480"/>
        <w:jc w:val="both"/>
      </w:pPr>
      <w:r>
        <w:rPr>
          <w:rFonts w:ascii="宋体" w:hAnsi="宋体" w:cs="宋体" w:eastAsia="宋体"/>
          <w:sz w:val="24"/>
          <w:color w:val="333333"/>
          <w:shd w:fill="FFFFFF" w:val="clear"/>
        </w:rPr>
        <w:t>[评标项10] 10.治疗手具具备≥3个脉冲发射按钮，适用于不同操作手法操作；</w:t>
      </w:r>
    </w:p>
    <w:p>
      <w:pPr>
        <w:pStyle w:val="null3"/>
        <w:ind w:firstLine="480"/>
        <w:jc w:val="both"/>
      </w:pPr>
      <w:r>
        <w:rPr>
          <w:rFonts w:ascii="宋体" w:hAnsi="宋体" w:cs="宋体" w:eastAsia="宋体"/>
          <w:sz w:val="24"/>
          <w:color w:val="333333"/>
          <w:shd w:fill="FFFFFF" w:val="clear"/>
        </w:rPr>
        <w:t>[评标项11] 11.点阵光纤无创激光波长：≥1560nm；</w:t>
      </w:r>
    </w:p>
    <w:p>
      <w:pPr>
        <w:pStyle w:val="null3"/>
        <w:ind w:firstLine="480"/>
        <w:jc w:val="both"/>
      </w:pPr>
      <w:r>
        <w:rPr>
          <w:rFonts w:ascii="宋体" w:hAnsi="宋体" w:cs="宋体" w:eastAsia="宋体"/>
          <w:sz w:val="24"/>
          <w:color w:val="333333"/>
          <w:shd w:fill="FFFFFF" w:val="clear"/>
        </w:rPr>
        <w:t>[评标项12] 12.激光扫描方式：具备非顺序扫描方式，非盖章式；</w:t>
      </w:r>
    </w:p>
    <w:p>
      <w:pPr>
        <w:pStyle w:val="null3"/>
        <w:ind w:firstLine="480"/>
        <w:jc w:val="both"/>
      </w:pPr>
      <w:r>
        <w:rPr>
          <w:rFonts w:ascii="宋体" w:hAnsi="宋体" w:cs="宋体" w:eastAsia="宋体"/>
          <w:sz w:val="24"/>
          <w:color w:val="333333"/>
          <w:shd w:fill="FFFFFF" w:val="clear"/>
        </w:rPr>
        <w:t>[评标项13] 13.光斑能量：10-60mJ/束；</w:t>
      </w:r>
    </w:p>
    <w:p>
      <w:pPr>
        <w:pStyle w:val="null3"/>
        <w:ind w:firstLine="480"/>
        <w:jc w:val="both"/>
      </w:pPr>
      <w:r>
        <w:rPr>
          <w:rFonts w:ascii="宋体" w:hAnsi="宋体" w:cs="宋体" w:eastAsia="宋体"/>
          <w:sz w:val="24"/>
          <w:color w:val="333333"/>
          <w:shd w:fill="FFFFFF" w:val="clear"/>
        </w:rPr>
        <w:t>[评标项14] 14.最大光斑直径:≥18mm；</w:t>
      </w:r>
    </w:p>
    <w:p>
      <w:pPr>
        <w:pStyle w:val="null3"/>
        <w:ind w:firstLine="480"/>
        <w:jc w:val="both"/>
      </w:pPr>
      <w:r>
        <w:rPr>
          <w:rFonts w:ascii="宋体" w:hAnsi="宋体" w:cs="宋体" w:eastAsia="宋体"/>
          <w:sz w:val="24"/>
          <w:color w:val="333333"/>
          <w:shd w:fill="FFFFFF" w:val="clear"/>
        </w:rPr>
        <w:t>[评标项15] 15.光斑密度：≥500光束/cm²；</w:t>
      </w:r>
    </w:p>
    <w:p>
      <w:pPr>
        <w:pStyle w:val="null3"/>
        <w:ind w:firstLine="480"/>
        <w:jc w:val="both"/>
      </w:pPr>
      <w:r>
        <w:rPr>
          <w:rFonts w:ascii="宋体" w:hAnsi="宋体" w:cs="宋体" w:eastAsia="宋体"/>
          <w:sz w:val="24"/>
          <w:color w:val="333333"/>
          <w:shd w:fill="FFFFFF" w:val="clear"/>
        </w:rPr>
        <w:t>[评标项16] 16.冷却方式：蓝宝石光导晶体冷却，持续性水冷却等多种方式；</w:t>
      </w:r>
    </w:p>
    <w:p>
      <w:pPr>
        <w:pStyle w:val="null3"/>
        <w:ind w:firstLine="480"/>
        <w:jc w:val="both"/>
      </w:pPr>
      <w:r>
        <w:rPr>
          <w:rFonts w:ascii="宋体" w:hAnsi="宋体" w:cs="宋体" w:eastAsia="宋体"/>
          <w:sz w:val="24"/>
          <w:color w:val="333333"/>
          <w:shd w:fill="FFFFFF" w:val="clear"/>
        </w:rPr>
        <w:t>[评标项17] 17.彩色触控屏，显示治疗能量及脉冲光激发次数；</w:t>
      </w:r>
    </w:p>
    <w:p>
      <w:pPr>
        <w:pStyle w:val="null3"/>
        <w:ind w:firstLine="480"/>
        <w:jc w:val="both"/>
      </w:pPr>
      <w:r>
        <w:rPr>
          <w:rFonts w:ascii="宋体" w:hAnsi="宋体" w:cs="宋体" w:eastAsia="宋体"/>
          <w:sz w:val="24"/>
          <w:color w:val="333333"/>
          <w:shd w:fill="FFFFFF" w:val="clear"/>
        </w:rPr>
        <w:t>[评标项18] 18.具有改善睑板腺功能障碍干眼症，可在保护表皮同时封闭异常毛细血管，阻止炎症扩散。</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福建省级机关医院指定地点。</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自合同签订之日起90日。</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验收合格并交付使用。</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1、期次1，说明：按照招标文件、投标文件、合同以及相关行业标准进行验收。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1、设备交货并安装调试完毕，经采购人验收合格后，采购人收到中标人提供的合同总金额100%的正式发票后以转账方式支付，达到付款条件起14日内，支付合同总金额的100.00%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本采购包履约保证金为合同金额的10.0%</w:t>
            </w:r>
          </w:p>
          <w:p>
            <w:pPr>
              <w:pStyle w:val="null3"/>
              <w:jc w:val="both"/>
            </w:pPr>
            <w:r>
              <w:rPr/>
              <w:t>说明：中标人在签订采购合同前，以银行转账、银行保函等非现金形式向采购人缴纳所中采购包金额的10%作为履约保证金。该履约保证金自设备验收合格满一年后15个工作日内无息退还中标人。【根据《福建省财政厅关于运用政府采购政策促进中小企业发展的通知》闽财购〔2020〕11号文件规定，本项目采购包1为非专门面向中小企业的政府采购项目，若本项目中标人为中小微企业(须提供中小企业声明函)缴纳履约保证金的金额为合同总金额的5%】。</w:t>
            </w:r>
          </w:p>
        </w:tc>
      </w:tr>
    </w:tbl>
    <w:p>
      <w:pPr>
        <w:pStyle w:val="null3"/>
        <w:jc w:val="left"/>
      </w:pPr>
      <w:r>
        <w:rPr/>
        <w:t>其他商务要求</w:t>
      </w:r>
    </w:p>
    <w:p>
      <w:pPr>
        <w:pStyle w:val="null3"/>
        <w:ind w:firstLine="480"/>
        <w:jc w:val="left"/>
      </w:pPr>
      <w:r>
        <w:rPr>
          <w:rFonts w:ascii="宋体" w:hAnsi="宋体" w:cs="宋体" w:eastAsia="宋体"/>
          <w:sz w:val="24"/>
          <w:color w:val="333333"/>
          <w:shd w:fill="FFFFFF" w:val="clear"/>
        </w:rPr>
        <w:t>★8、技术服务要求：</w:t>
      </w:r>
    </w:p>
    <w:p>
      <w:pPr>
        <w:pStyle w:val="null3"/>
        <w:jc w:val="both"/>
      </w:pPr>
      <w:r>
        <w:rPr>
          <w:rFonts w:ascii="宋体" w:hAnsi="宋体" w:cs="宋体" w:eastAsia="宋体"/>
          <w:sz w:val="24"/>
          <w:color w:val="333333"/>
          <w:shd w:fill="FFFFFF" w:val="clear"/>
        </w:rPr>
        <w:t>8.1安装和调试：</w:t>
      </w:r>
    </w:p>
    <w:p>
      <w:pPr>
        <w:pStyle w:val="null3"/>
        <w:jc w:val="both"/>
      </w:pPr>
      <w:r>
        <w:rPr>
          <w:rFonts w:ascii="宋体" w:hAnsi="宋体" w:cs="宋体" w:eastAsia="宋体"/>
          <w:sz w:val="24"/>
          <w:color w:val="333333"/>
          <w:shd w:fill="FFFFFF" w:val="clear"/>
        </w:rPr>
        <w:t>中标人应接到采购人通知后派技术人员到现场进行免费安装调试，直至验收合格（附验收报告），由采购人签字确认；中标人应在货物运抵现场一周前，向采购人提供安装调试及运行的进度计划表。安装须符合国家有关技术规范和技术标准。</w:t>
      </w:r>
    </w:p>
    <w:p>
      <w:pPr>
        <w:pStyle w:val="null3"/>
        <w:jc w:val="both"/>
      </w:pPr>
      <w:r>
        <w:rPr>
          <w:rFonts w:ascii="宋体" w:hAnsi="宋体" w:cs="宋体" w:eastAsia="宋体"/>
          <w:sz w:val="24"/>
          <w:color w:val="333333"/>
          <w:shd w:fill="FFFFFF" w:val="clear"/>
        </w:rPr>
        <w:t>8.2技术培训：</w:t>
      </w:r>
    </w:p>
    <w:p>
      <w:pPr>
        <w:pStyle w:val="null3"/>
        <w:jc w:val="both"/>
      </w:pPr>
      <w:r>
        <w:rPr>
          <w:rFonts w:ascii="宋体" w:hAnsi="宋体" w:cs="宋体" w:eastAsia="宋体"/>
          <w:sz w:val="24"/>
          <w:color w:val="333333"/>
          <w:shd w:fill="FFFFFF" w:val="clear"/>
        </w:rPr>
        <w:t>中标人应安排专业的培训师在采购人指定日到达医院，结合设备的安装、调试及试运行过程，根据新仪器特点及技术要求应有计划地免费对采购单位派出的操作、维保人员进行设备基本知识、操作使用和维护保养技术的培训，以保证售后设备的良好运行状态。此项费用应包含在投标总价中。</w:t>
      </w:r>
    </w:p>
    <w:p>
      <w:pPr>
        <w:pStyle w:val="null3"/>
        <w:jc w:val="both"/>
      </w:pPr>
      <w:r>
        <w:rPr>
          <w:rFonts w:ascii="宋体" w:hAnsi="宋体" w:cs="宋体" w:eastAsia="宋体"/>
          <w:sz w:val="24"/>
          <w:color w:val="333333"/>
          <w:shd w:fill="FFFFFF" w:val="clear"/>
        </w:rPr>
        <w:t>8.3售后服务承诺：</w:t>
      </w:r>
    </w:p>
    <w:p>
      <w:pPr>
        <w:pStyle w:val="null3"/>
        <w:jc w:val="both"/>
      </w:pPr>
      <w:r>
        <w:rPr>
          <w:rFonts w:ascii="宋体" w:hAnsi="宋体" w:cs="宋体" w:eastAsia="宋体"/>
          <w:sz w:val="24"/>
          <w:color w:val="333333"/>
          <w:shd w:fill="FFFFFF" w:val="clear"/>
        </w:rPr>
        <w:t>（</w:t>
      </w:r>
      <w:r>
        <w:rPr>
          <w:rFonts w:ascii="宋体" w:hAnsi="宋体" w:cs="宋体" w:eastAsia="宋体"/>
          <w:sz w:val="24"/>
          <w:color w:val="333333"/>
          <w:shd w:fill="FFFFFF" w:val="clear"/>
        </w:rPr>
        <w:t>1）售后维保期不少于3年（提供承诺函），售后维保期自验收合格签名之日起计算；软件终身免费升级。</w:t>
      </w:r>
    </w:p>
    <w:p>
      <w:pPr>
        <w:pStyle w:val="null3"/>
        <w:jc w:val="both"/>
      </w:pPr>
      <w:r>
        <w:rPr>
          <w:rFonts w:ascii="宋体" w:hAnsi="宋体" w:cs="宋体" w:eastAsia="宋体"/>
          <w:sz w:val="24"/>
          <w:color w:val="333333"/>
          <w:shd w:fill="FFFFFF" w:val="clear"/>
        </w:rPr>
        <w:t>（</w:t>
      </w:r>
      <w:r>
        <w:rPr>
          <w:rFonts w:ascii="宋体" w:hAnsi="宋体" w:cs="宋体" w:eastAsia="宋体"/>
          <w:sz w:val="24"/>
          <w:color w:val="333333"/>
          <w:shd w:fill="FFFFFF" w:val="clear"/>
        </w:rPr>
        <w:t>2）从验收合格之日起计算，终身维修。中标人应当在接到采购人仪器故障通知后，2小时内作出维修方案决定，如4小时内无法通过电话解决问题，中标人在接到采购人设备故障通知的24小时内派工程师到达现场。如一时无法修复的设备，中标人应提供备品供采购人临床使用。售后维保期内如同一故障发生三次，或在两个月内无法修复，中标人无条件换货，如售后维保期内因故障停机，按停机时间的双倍顺延保修期。</w:t>
      </w:r>
    </w:p>
    <w:p>
      <w:pPr>
        <w:pStyle w:val="null3"/>
        <w:jc w:val="both"/>
      </w:pPr>
      <w:r>
        <w:rPr>
          <w:rFonts w:ascii="宋体" w:hAnsi="宋体" w:cs="宋体" w:eastAsia="宋体"/>
          <w:sz w:val="24"/>
          <w:color w:val="333333"/>
          <w:shd w:fill="FFFFFF" w:val="clear"/>
        </w:rPr>
        <w:t>（</w:t>
      </w:r>
      <w:r>
        <w:rPr>
          <w:rFonts w:ascii="宋体" w:hAnsi="宋体" w:cs="宋体" w:eastAsia="宋体"/>
          <w:sz w:val="24"/>
          <w:color w:val="333333"/>
          <w:shd w:fill="FFFFFF" w:val="clear"/>
        </w:rPr>
        <w:t>3）在售后维保期以后，中标人仍应负责提供终身维修服务，出现质量问题时，中标人必须在4小时内电话响应，24小时内到达，并保证以不高于在设备出产地的一般价格及时提供所需配件，但只能收取配件费，不收人工服务费。</w:t>
      </w:r>
    </w:p>
    <w:p>
      <w:pPr>
        <w:pStyle w:val="null3"/>
        <w:jc w:val="both"/>
      </w:pPr>
      <w:r>
        <w:rPr>
          <w:rFonts w:ascii="宋体" w:hAnsi="宋体" w:cs="宋体" w:eastAsia="宋体"/>
          <w:sz w:val="24"/>
          <w:color w:val="333333"/>
          <w:shd w:fill="FFFFFF" w:val="clear"/>
        </w:rPr>
        <w:t>8.4验收标准和验收方法：</w:t>
      </w:r>
    </w:p>
    <w:p>
      <w:pPr>
        <w:pStyle w:val="null3"/>
        <w:jc w:val="both"/>
      </w:pPr>
      <w:r>
        <w:rPr>
          <w:rFonts w:ascii="宋体" w:hAnsi="宋体" w:cs="宋体" w:eastAsia="宋体"/>
          <w:sz w:val="24"/>
          <w:color w:val="333333"/>
          <w:shd w:fill="FFFFFF" w:val="clear"/>
        </w:rPr>
        <w:t>设备按制造厂商的产品验收标准、国家有关标准以及相关文件规定的技术要求进行验收。提供货物制造厂商的出厂检验报告、合格证书或进口报关单和商检报告复印件。实行现场验收，由中标人负责并会同采购人及有关专家进行验收。</w:t>
      </w:r>
    </w:p>
    <w:p>
      <w:pPr>
        <w:pStyle w:val="null3"/>
        <w:jc w:val="both"/>
      </w:pPr>
      <w:r>
        <w:rPr>
          <w:rFonts w:ascii="宋体" w:hAnsi="宋体" w:cs="宋体" w:eastAsia="宋体"/>
          <w:sz w:val="24"/>
          <w:color w:val="333333"/>
          <w:shd w:fill="FFFFFF" w:val="clear"/>
        </w:rPr>
        <w:t>8.5备品备件：</w:t>
      </w:r>
    </w:p>
    <w:p>
      <w:pPr>
        <w:pStyle w:val="null3"/>
        <w:jc w:val="both"/>
      </w:pPr>
      <w:r>
        <w:rPr>
          <w:rFonts w:ascii="宋体" w:hAnsi="宋体" w:cs="宋体" w:eastAsia="宋体"/>
          <w:sz w:val="24"/>
          <w:color w:val="333333"/>
          <w:shd w:fill="FFFFFF" w:val="clear"/>
        </w:rPr>
        <w:t>（</w:t>
      </w:r>
      <w:r>
        <w:rPr>
          <w:rFonts w:ascii="宋体" w:hAnsi="宋体" w:cs="宋体" w:eastAsia="宋体"/>
          <w:sz w:val="24"/>
          <w:color w:val="333333"/>
          <w:shd w:fill="FFFFFF" w:val="clear"/>
        </w:rPr>
        <w:t>1）应提供保障设备在售后维保期内正常运行所需的主要备品备件，其价格包含在投标总价中，详列清单。</w:t>
      </w:r>
    </w:p>
    <w:p>
      <w:pPr>
        <w:pStyle w:val="null3"/>
        <w:jc w:val="both"/>
      </w:pPr>
      <w:r>
        <w:rPr>
          <w:rFonts w:ascii="宋体" w:hAnsi="宋体" w:cs="宋体" w:eastAsia="宋体"/>
          <w:sz w:val="24"/>
          <w:color w:val="333333"/>
          <w:shd w:fill="FFFFFF" w:val="clear"/>
        </w:rPr>
        <w:t>（</w:t>
      </w:r>
      <w:r>
        <w:rPr>
          <w:rFonts w:ascii="宋体" w:hAnsi="宋体" w:cs="宋体" w:eastAsia="宋体"/>
          <w:sz w:val="24"/>
          <w:color w:val="333333"/>
          <w:shd w:fill="FFFFFF" w:val="clear"/>
        </w:rPr>
        <w:t>2）售后维保期外备品备件要求，投标人应提供清单价格表并承诺如中标后，备品备件应按表中所列供货价格供应。</w:t>
      </w:r>
    </w:p>
    <w:p>
      <w:pPr>
        <w:pStyle w:val="null3"/>
        <w:jc w:val="both"/>
      </w:pPr>
      <w:r>
        <w:rPr>
          <w:rFonts w:ascii="宋体" w:hAnsi="宋体" w:cs="宋体" w:eastAsia="宋体"/>
          <w:sz w:val="24"/>
          <w:color w:val="333333"/>
          <w:shd w:fill="FFFFFF" w:val="clear"/>
        </w:rPr>
        <w:t>★9、知识产权：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pPr>
        <w:pStyle w:val="null3"/>
        <w:jc w:val="both"/>
      </w:pPr>
      <w:r>
        <w:rPr>
          <w:rFonts w:ascii="宋体" w:hAnsi="宋体" w:cs="宋体" w:eastAsia="宋体"/>
          <w:sz w:val="24"/>
          <w:color w:val="333333"/>
          <w:shd w:fill="FFFFFF" w:val="clear"/>
        </w:rPr>
        <w:t>★10、违约责任</w:t>
      </w:r>
    </w:p>
    <w:p>
      <w:pPr>
        <w:pStyle w:val="null3"/>
        <w:jc w:val="both"/>
      </w:pPr>
      <w:r>
        <w:rPr>
          <w:rFonts w:ascii="宋体" w:hAnsi="宋体" w:cs="宋体" w:eastAsia="宋体"/>
          <w:sz w:val="24"/>
          <w:color w:val="333333"/>
          <w:shd w:fill="FFFFFF" w:val="clear"/>
        </w:rPr>
        <w:t>10.1因中标人原因造成采购合同无法按时签订的，视为中标人违约，对采购人造成的损失的，履约保证金不予退还。</w:t>
      </w:r>
    </w:p>
    <w:p>
      <w:pPr>
        <w:pStyle w:val="null3"/>
        <w:jc w:val="both"/>
      </w:pPr>
      <w:r>
        <w:rPr>
          <w:rFonts w:ascii="宋体" w:hAnsi="宋体" w:cs="宋体" w:eastAsia="宋体"/>
          <w:sz w:val="24"/>
          <w:color w:val="333333"/>
          <w:shd w:fill="FFFFFF" w:val="clear"/>
        </w:rPr>
        <w:t>10.2中标人逾期交货的（不可抗力除外），每逾期一天，偿付500元违约金；若中标人逾期达30天（含）以上的，采购人有权单方面解除合同并要求中标人支付中标总金额30%的违约金，中标人仍应按上述约定支付延期交货违约金。若因此给采购人造成损失的，还应赔偿采购人所受的损失。</w:t>
      </w:r>
    </w:p>
    <w:p>
      <w:pPr>
        <w:pStyle w:val="null3"/>
        <w:jc w:val="both"/>
      </w:pPr>
      <w:r>
        <w:rPr>
          <w:rFonts w:ascii="宋体" w:hAnsi="宋体" w:cs="宋体" w:eastAsia="宋体"/>
          <w:sz w:val="24"/>
          <w:color w:val="333333"/>
          <w:shd w:fill="FFFFFF" w:val="clear"/>
        </w:rPr>
        <w:t>10.3中标人未能按合同约定的时间提供售后质保服务的，每逾期一天，中标人应向采购人支付500元违约金，若因此给采购人造成损失的，中标人还应赔偿采购人所受的损失。且采购人有权寻找第三方提供服务，所需费用采购人有权向中标人追偿。</w:t>
      </w:r>
    </w:p>
    <w:p>
      <w:pPr>
        <w:pStyle w:val="null3"/>
        <w:jc w:val="both"/>
      </w:pPr>
      <w:r>
        <w:rPr>
          <w:rFonts w:ascii="宋体" w:hAnsi="宋体" w:cs="宋体" w:eastAsia="宋体"/>
          <w:sz w:val="24"/>
          <w:color w:val="333333"/>
          <w:shd w:fill="FFFFFF" w:val="clear"/>
        </w:rPr>
        <w:t>10.4中标人提供的服务未达到合同约定的标准，应在采购人规定的时间内予以整改，每逾期一天，中标人应向采购人支付500元违约金，若因此给采购人造成损失的，中标人还应赔偿采购人所受的损失。未在规定时间内整改完成的，采购人有权单方面解除合同并要求中标人支付中标总金额30%的违约金，中标人仍应按上述约定支付逾期违约金。</w:t>
      </w:r>
    </w:p>
    <w:p>
      <w:pPr>
        <w:pStyle w:val="null3"/>
        <w:jc w:val="both"/>
      </w:pPr>
      <w:r>
        <w:rPr>
          <w:rFonts w:ascii="宋体" w:hAnsi="宋体" w:cs="宋体" w:eastAsia="宋体"/>
          <w:sz w:val="24"/>
          <w:color w:val="333333"/>
          <w:shd w:fill="FFFFFF" w:val="clear"/>
        </w:rPr>
        <w:t>10.5采购人无故逾期验收和办理合同款项支付手续的,采购人应按逾期付款总额每日0.01 %向中标人支付违约金。</w:t>
      </w:r>
    </w:p>
    <w:p>
      <w:pPr>
        <w:pStyle w:val="null3"/>
        <w:jc w:val="both"/>
      </w:pPr>
      <w:r>
        <w:rPr>
          <w:rFonts w:ascii="宋体" w:hAnsi="宋体" w:cs="宋体" w:eastAsia="宋体"/>
          <w:sz w:val="24"/>
          <w:color w:val="333333"/>
          <w:shd w:fill="FFFFFF" w:val="clear"/>
        </w:rPr>
        <w:t>10.6因中标人原因发生任何事故，所造成的所有人员伤亡、财产损失和责任均由中标人承担，与采购人无关。中标人除依约承担赔偿责任外，还将按有关质量管理办法规定执行。同时，采购人有权保留更换中标人的权利，并报相关行政主管部门处罚。</w:t>
      </w:r>
    </w:p>
    <w:p>
      <w:pPr>
        <w:pStyle w:val="null3"/>
        <w:jc w:val="both"/>
      </w:pPr>
      <w:r>
        <w:rPr>
          <w:rFonts w:ascii="宋体" w:hAnsi="宋体" w:cs="宋体" w:eastAsia="宋体"/>
          <w:sz w:val="24"/>
          <w:color w:val="333333"/>
          <w:shd w:fill="FFFFFF" w:val="clear"/>
        </w:rPr>
        <w:t>10.7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中标人的权利，给采购人造成的损失，还应承担赔偿责任。</w:t>
      </w:r>
    </w:p>
    <w:p>
      <w:pPr>
        <w:pStyle w:val="null3"/>
        <w:jc w:val="both"/>
      </w:pPr>
      <w:r>
        <w:rPr>
          <w:rFonts w:ascii="宋体" w:hAnsi="宋体" w:cs="宋体" w:eastAsia="宋体"/>
          <w:sz w:val="24"/>
          <w:color w:val="333333"/>
          <w:shd w:fill="FFFFFF" w:val="clear"/>
        </w:rPr>
        <w:t>10.8任何一方因对方违约，向违约方主张权利所支出的律师费、诉讼费/仲裁费、保全费、差旅费等费用均有权要求违约方承担。</w:t>
      </w:r>
    </w:p>
    <w:p>
      <w:pPr>
        <w:pStyle w:val="null3"/>
        <w:jc w:val="both"/>
      </w:pPr>
      <w:r>
        <w:rPr>
          <w:rFonts w:ascii="宋体" w:hAnsi="宋体" w:cs="宋体" w:eastAsia="宋体"/>
          <w:sz w:val="24"/>
          <w:color w:val="333333"/>
          <w:shd w:fill="FFFFFF" w:val="clear"/>
        </w:rPr>
        <w:t>10.9本招标文件未明确的其它约定事项或条款，待采购人与中标人签订合同时，由双方协商订立。</w:t>
      </w:r>
    </w:p>
    <w:p>
      <w:pPr>
        <w:pStyle w:val="null3"/>
        <w:jc w:val="both"/>
      </w:pPr>
      <w:r>
        <w:rPr>
          <w:rFonts w:ascii="宋体" w:hAnsi="宋体" w:cs="宋体" w:eastAsia="宋体"/>
          <w:sz w:val="24"/>
          <w:color w:val="333333"/>
          <w:shd w:fill="FFFFFF" w:val="clear"/>
        </w:rPr>
        <w:t>★11、《售后维保期外的备品备件清单价格表》格式如下：</w:t>
      </w:r>
    </w:p>
    <w:p>
      <w:pPr>
        <w:pStyle w:val="null3"/>
        <w:jc w:val="both"/>
      </w:pPr>
      <w:r>
        <w:rPr>
          <w:rFonts w:ascii="宋体" w:hAnsi="宋体" w:cs="宋体" w:eastAsia="宋体"/>
          <w:sz w:val="24"/>
          <w:color w:val="333333"/>
          <w:shd w:fill="FFFFFF" w:val="clear"/>
        </w:rPr>
        <w:t>我司承诺按以下清单价格表提供售后维保期外的备品备件，在《售后维保期外备品备件清单价格表》中填报的供应价格基础上再给予下浮</w:t>
      </w:r>
      <w:r>
        <w:rPr>
          <w:rFonts w:ascii="宋体" w:hAnsi="宋体" w:cs="宋体" w:eastAsia="宋体"/>
          <w:sz w:val="24"/>
          <w:color w:val="333333"/>
          <w:shd w:fill="FFFFFF" w:val="clear"/>
        </w:rPr>
        <w:t>20%或供货价格二年不变，以后若有变动，年增长幅度不超过5%。</w:t>
      </w:r>
      <w:r>
        <w:rPr>
          <w:rFonts w:ascii="宋体" w:hAnsi="宋体" w:cs="宋体" w:eastAsia="宋体"/>
          <w:sz w:val="24"/>
          <w:b/>
          <w:color w:val="333333"/>
          <w:shd w:fill="FFFFFF" w:val="clear"/>
        </w:rPr>
        <w:t>同时以下售后维保期外的清单价格表请在福建省政府采购网上公开信息系统中电子投标文件的</w:t>
      </w:r>
      <w:r>
        <w:rPr>
          <w:rFonts w:ascii="宋体" w:hAnsi="宋体" w:cs="宋体" w:eastAsia="宋体"/>
          <w:sz w:val="24"/>
          <w:b/>
          <w:color w:val="333333"/>
          <w:shd w:fill="FFFFFF" w:val="clear"/>
        </w:rPr>
        <w:t>“中小企业价格扣除部分”上传。</w:t>
      </w:r>
    </w:p>
    <w:p>
      <w:pPr>
        <w:pStyle w:val="null3"/>
        <w:jc w:val="both"/>
      </w:pPr>
      <w:r>
        <w:rPr>
          <w:rFonts w:ascii="宋体" w:hAnsi="宋体" w:cs="宋体" w:eastAsia="宋体"/>
          <w:sz w:val="24"/>
          <w:color w:val="333333"/>
          <w:shd w:fill="FFFFFF" w:val="clear"/>
        </w:rPr>
        <w:t>详见下表：</w:t>
      </w:r>
    </w:p>
    <w:tbl>
      <w:tblPr>
        <w:tblW w:w="0" w:type="auto"/>
        <w:tblBorders>
          <w:top w:val="none" w:color="000000" w:sz="4"/>
          <w:left w:val="none" w:color="000000" w:sz="4"/>
          <w:bottom w:val="none" w:color="000000" w:sz="4"/>
          <w:right w:val="none" w:color="000000" w:sz="4"/>
          <w:insideH w:val="none"/>
          <w:insideV w:val="none"/>
        </w:tblBorders>
      </w:tblPr>
      <w:tblGrid>
        <w:gridCol w:w="1120"/>
        <w:gridCol w:w="408"/>
        <w:gridCol w:w="1331"/>
        <w:gridCol w:w="1089"/>
        <w:gridCol w:w="651"/>
        <w:gridCol w:w="651"/>
        <w:gridCol w:w="1120"/>
        <w:gridCol w:w="1195"/>
        <w:gridCol w:w="741"/>
      </w:tblGrid>
      <w:tr>
        <w:tc>
          <w:tcPr>
            <w:tcW w:type="dxa" w:w="1120"/>
            <w:vMerge w:val="restart"/>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合同包</w:t>
            </w:r>
            <w:r>
              <w:rPr>
                <w:rFonts w:ascii="宋体" w:hAnsi="宋体" w:cs="宋体" w:eastAsia="宋体"/>
                <w:sz w:val="24"/>
              </w:rPr>
              <w:t>/品目号</w:t>
            </w:r>
          </w:p>
        </w:tc>
        <w:tc>
          <w:tcPr>
            <w:tcW w:type="dxa" w:w="408"/>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序号</w:t>
            </w:r>
          </w:p>
        </w:tc>
        <w:tc>
          <w:tcPr>
            <w:tcW w:type="dxa" w:w="1331"/>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耗材、试剂、易损件等名称</w:t>
            </w:r>
          </w:p>
        </w:tc>
        <w:tc>
          <w:tcPr>
            <w:tcW w:type="dxa" w:w="1089"/>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品牌、规格、型号</w:t>
            </w:r>
          </w:p>
        </w:tc>
        <w:tc>
          <w:tcPr>
            <w:tcW w:type="dxa" w:w="651"/>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产地</w:t>
            </w:r>
          </w:p>
        </w:tc>
        <w:tc>
          <w:tcPr>
            <w:tcW w:type="dxa" w:w="651"/>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数量</w:t>
            </w:r>
          </w:p>
        </w:tc>
        <w:tc>
          <w:tcPr>
            <w:tcW w:type="dxa" w:w="2315"/>
            <w:gridSpan w:val="2"/>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宋体" w:hAnsi="宋体" w:cs="宋体" w:eastAsia="宋体"/>
                <w:sz w:val="24"/>
              </w:rPr>
              <w:t>价格（元）</w:t>
            </w:r>
          </w:p>
        </w:tc>
        <w:tc>
          <w:tcPr>
            <w:tcW w:type="dxa" w:w="741"/>
            <w:vMerge w:val="restart"/>
            <w:tcBorders>
              <w:top w:val="singl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宋体" w:hAnsi="宋体" w:cs="宋体" w:eastAsia="宋体"/>
                <w:sz w:val="24"/>
              </w:rPr>
              <w:t>备注</w:t>
            </w:r>
          </w:p>
        </w:tc>
      </w:tr>
      <w:tr>
        <w:tc>
          <w:tcPr>
            <w:tcW w:type="dxa" w:w="1120"/>
            <w:vMerge/>
            <w:tcBorders>
              <w:top w:val="single" w:color="000000" w:sz="4"/>
              <w:left w:val="single" w:color="000000" w:sz="4"/>
              <w:bottom w:val="single" w:color="000000" w:sz="4"/>
              <w:right w:val="single" w:color="000000" w:sz="4"/>
            </w:tcBorders>
          </w:tcPr>
          <w:p/>
        </w:tc>
        <w:tc>
          <w:tcPr>
            <w:tcW w:type="dxa" w:w="408"/>
            <w:vMerge/>
            <w:tcBorders>
              <w:top w:val="single" w:color="000000" w:sz="4"/>
              <w:left w:val="none" w:color="000000" w:sz="4"/>
              <w:bottom w:val="single" w:color="000000" w:sz="4"/>
              <w:right w:val="single" w:color="000000" w:sz="4"/>
            </w:tcBorders>
          </w:tcPr>
          <w:p/>
        </w:tc>
        <w:tc>
          <w:tcPr>
            <w:tcW w:type="dxa" w:w="1331"/>
            <w:vMerge/>
            <w:tcBorders>
              <w:top w:val="single" w:color="000000" w:sz="4"/>
              <w:left w:val="none" w:color="000000" w:sz="4"/>
              <w:bottom w:val="single" w:color="000000" w:sz="4"/>
              <w:right w:val="single" w:color="000000" w:sz="4"/>
            </w:tcBorders>
          </w:tcPr>
          <w:p/>
        </w:tc>
        <w:tc>
          <w:tcPr>
            <w:tcW w:type="dxa" w:w="1089"/>
            <w:vMerge/>
            <w:tcBorders>
              <w:top w:val="single" w:color="000000" w:sz="4"/>
              <w:left w:val="none" w:color="000000" w:sz="4"/>
              <w:bottom w:val="single" w:color="000000" w:sz="4"/>
              <w:right w:val="single" w:color="000000" w:sz="4"/>
            </w:tcBorders>
          </w:tcPr>
          <w:p/>
        </w:tc>
        <w:tc>
          <w:tcPr>
            <w:tcW w:type="dxa" w:w="651"/>
            <w:vMerge/>
            <w:tcBorders>
              <w:top w:val="single" w:color="000000" w:sz="4"/>
              <w:left w:val="none" w:color="000000" w:sz="4"/>
              <w:bottom w:val="single" w:color="000000" w:sz="4"/>
              <w:right w:val="single" w:color="000000" w:sz="4"/>
            </w:tcBorders>
          </w:tcPr>
          <w:p/>
        </w:tc>
        <w:tc>
          <w:tcPr>
            <w:tcW w:type="dxa" w:w="651"/>
            <w:vMerge/>
            <w:tcBorders>
              <w:top w:val="singl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宋体" w:hAnsi="宋体" w:cs="宋体" w:eastAsia="宋体"/>
                <w:sz w:val="24"/>
              </w:rPr>
              <w:t>市场价</w:t>
            </w:r>
          </w:p>
        </w:tc>
        <w:tc>
          <w:tcPr>
            <w:tcW w:type="dxa" w:w="1195"/>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jc w:val="center"/>
            </w:pPr>
            <w:r>
              <w:rPr>
                <w:rFonts w:ascii="宋体" w:hAnsi="宋体" w:cs="宋体" w:eastAsia="宋体"/>
                <w:sz w:val="24"/>
              </w:rPr>
              <w:t>供货价</w:t>
            </w:r>
          </w:p>
        </w:tc>
        <w:tc>
          <w:tcPr>
            <w:tcW w:type="dxa" w:w="741"/>
            <w:vMerge/>
            <w:tcBorders>
              <w:top w:val="single" w:color="000000" w:sz="4"/>
              <w:left w:val="none" w:color="000000" w:sz="4"/>
              <w:bottom w:val="single" w:color="000000" w:sz="4"/>
              <w:right w:val="single" w:color="000000" w:sz="4"/>
            </w:tcBorders>
          </w:tcPr>
          <w:p/>
        </w:tc>
      </w:tr>
      <w:tr>
        <w:tc>
          <w:tcPr>
            <w:tcW w:type="dxa" w:w="1120"/>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ind w:firstLine="380"/>
              <w:jc w:val="center"/>
            </w:pPr>
          </w:p>
        </w:tc>
        <w:tc>
          <w:tcPr>
            <w:tcW w:type="dxa" w:w="40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33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089"/>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95"/>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74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r>
      <w:tr>
        <w:tc>
          <w:tcPr>
            <w:tcW w:type="dxa" w:w="1120"/>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tc>
        <w:tc>
          <w:tcPr>
            <w:tcW w:type="dxa" w:w="40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33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089"/>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95"/>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74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r>
      <w:tr>
        <w:tc>
          <w:tcPr>
            <w:tcW w:type="dxa" w:w="1120"/>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w:t>
            </w:r>
          </w:p>
        </w:tc>
        <w:tc>
          <w:tcPr>
            <w:tcW w:type="dxa" w:w="408"/>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pPr>
              <w:pStyle w:val="null3"/>
              <w:ind w:firstLine="380"/>
              <w:jc w:val="center"/>
            </w:pPr>
          </w:p>
        </w:tc>
        <w:tc>
          <w:tcPr>
            <w:tcW w:type="dxa" w:w="133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089"/>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65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20"/>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1195"/>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c>
          <w:tcPr>
            <w:tcW w:type="dxa" w:w="741"/>
            <w:tcBorders>
              <w:top w:val="none" w:color="000000" w:sz="4"/>
              <w:left w:val="none" w:color="000000" w:sz="4"/>
              <w:bottom w:val="single" w:color="000000" w:sz="4"/>
              <w:right w:val="single" w:color="000000" w:sz="4"/>
            </w:tcBorders>
            <w:shd w:fill="FFFFFF"/>
            <w:tcMar>
              <w:top w:type="dxa" w:w="0"/>
              <w:left w:type="dxa" w:w="60"/>
              <w:bottom w:type="dxa" w:w="0"/>
              <w:right w:type="dxa" w:w="60"/>
            </w:tcMar>
            <w:vAlign w:val="top"/>
          </w:tcPr>
          <w:p/>
        </w:tc>
      </w:tr>
    </w:tbl>
    <w:p>
      <w:pPr>
        <w:pStyle w:val="null3"/>
        <w:jc w:val="both"/>
      </w:pPr>
      <w:r>
        <w:rPr>
          <w:rFonts w:ascii="宋体" w:hAnsi="宋体" w:cs="宋体" w:eastAsia="宋体"/>
          <w:sz w:val="24"/>
          <w:color w:val="333333"/>
          <w:shd w:fill="FFFFFF" w:val="clear"/>
        </w:rPr>
        <w:t>备注：承诺确保售后维保期外的备品备件（如耗材、试剂、易损件）的供应。</w:t>
      </w:r>
    </w:p>
    <w:p>
      <w:pPr>
        <w:pStyle w:val="null3"/>
        <w:jc w:val="both"/>
      </w:pPr>
      <w:r>
        <w:rPr>
          <w:rFonts w:ascii="宋体" w:hAnsi="宋体" w:cs="宋体" w:eastAsia="宋体"/>
          <w:sz w:val="24"/>
          <w:color w:val="333333"/>
          <w:shd w:fill="FFFFFF" w:val="clear"/>
        </w:rPr>
        <w:t>★12、投标人应以包括本项目所涉及的所有费用进行报价（报价包括设备及运输、安装、调试、检验、质保、培训、与医院系统的接口费等所有其他有关各项的含税费用），请潜在投标人酌情报价。</w:t>
      </w:r>
    </w:p>
    <w:p>
      <w:pPr>
        <w:pStyle w:val="null3"/>
        <w:jc w:val="left"/>
      </w:pPr>
      <w:r>
        <w:rPr>
          <w:rFonts w:ascii="宋体" w:hAnsi="宋体" w:cs="宋体" w:eastAsia="宋体"/>
          <w:sz w:val="24"/>
          <w:color w:val="333333"/>
          <w:shd w:fill="FFFFFF" w:val="clear"/>
        </w:rPr>
        <w:t>★13、本项目不允许中标人以任何名义和理由进行转包。如有发现，采购人有权单方终止合同，视为中标人违约，中标人还需另行支付相应的赔偿。</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left"/>
      </w:pPr>
      <w:r>
        <w:rPr/>
        <w:t xml:space="preserve"> </w:t>
        <w:br/>
        <w:br w:type="page"/>
      </w:r>
    </w:p>
    <w:p>
      <w:pPr>
        <w:pStyle w:val="null3"/>
        <w:jc w:val="center"/>
        <w:outlineLvl w:val="3"/>
      </w:pPr>
      <w:r>
        <w:rPr>
          <w:sz w:val="24"/>
          <w:b/>
        </w:rPr>
        <w:t>二-2-2 资格证明材料</w:t>
      </w:r>
    </w:p>
    <w:p>
      <w:pPr>
        <w:pStyle w:val="null3"/>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二-4中小企业声明函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二-7其他资格证明文件（若有）</w:t>
      </w:r>
    </w:p>
    <w:p>
      <w:pPr>
        <w:pStyle w:val="null3"/>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[350001]FJXFZB[GK]2024028</w:t>
      </w:r>
    </w:p>
    <w:p>
      <w:pPr>
        <w:pStyle w:val="null3"/>
        <w:jc w:val="left"/>
      </w:pPr>
      <w:r>
        <w:rPr/>
        <w:t>项目名称：</w:t>
      </w:r>
      <w:r>
        <w:rPr/>
        <w:t>干眼治疗仪采购项目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干眼治疗仪</w:t>
            </w:r>
          </w:p>
        </w:tc>
        <w:tc>
          <w:tcPr>
            <w:tcW w:type="dxa" w:w="1661"/>
          </w:tcPr>
          <w:p>
            <w:pPr>
              <w:pStyle w:val="null3"/>
              <w:jc w:val="left"/>
            </w:pPr>
            <w:r>
              <w:rPr/>
              <w:t xml:space="preserve"> 1800000.0000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[350001]FJXFZB[GK]2024028</w:t>
      </w:r>
    </w:p>
    <w:p>
      <w:pPr>
        <w:pStyle w:val="null3"/>
        <w:jc w:val="left"/>
      </w:pPr>
      <w:r>
        <w:rPr/>
        <w:t>项目名称：</w:t>
      </w:r>
      <w:r>
        <w:rPr/>
        <w:t>干眼治疗仪采购项目</w:t>
      </w:r>
    </w:p>
    <w:p>
      <w:pPr>
        <w:pStyle w:val="null3"/>
        <w:jc w:val="left"/>
      </w:pPr>
      <w:r>
        <w:rPr/>
        <w:t xml:space="preserve"> 干眼治疗仪</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干眼治疗仪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1800000.0000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