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A50714">
      <w:pPr>
        <w:pStyle w:val="4"/>
        <w:jc w:val="center"/>
        <w:outlineLvl w:val="5"/>
        <w:rPr>
          <w:color w:val="auto"/>
          <w:sz w:val="32"/>
          <w:szCs w:val="32"/>
          <w:highlight w:val="none"/>
        </w:rPr>
      </w:pPr>
      <w:r>
        <w:rPr>
          <w:b/>
          <w:color w:val="auto"/>
          <w:sz w:val="22"/>
          <w:szCs w:val="32"/>
          <w:highlight w:val="none"/>
        </w:rPr>
        <w:t>实质性响应一览表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2"/>
        <w:gridCol w:w="4500"/>
        <w:gridCol w:w="1907"/>
        <w:gridCol w:w="1175"/>
      </w:tblGrid>
      <w:tr w14:paraId="0A8F42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2" w:type="dxa"/>
          </w:tcPr>
          <w:p w14:paraId="333F745A">
            <w:pPr>
              <w:pStyle w:val="4"/>
              <w:rPr>
                <w:color w:val="auto"/>
                <w:highlight w:val="none"/>
              </w:rPr>
            </w:pPr>
            <w:r>
              <w:rPr>
                <w:color w:val="auto"/>
                <w:highlight w:val="none"/>
              </w:rPr>
              <w:t>序号</w:t>
            </w:r>
          </w:p>
        </w:tc>
        <w:tc>
          <w:tcPr>
            <w:tcW w:w="4500" w:type="dxa"/>
          </w:tcPr>
          <w:p w14:paraId="3B90C5BB">
            <w:pPr>
              <w:pStyle w:val="4"/>
              <w:rPr>
                <w:color w:val="auto"/>
                <w:highlight w:val="none"/>
              </w:rPr>
            </w:pPr>
            <w:r>
              <w:rPr>
                <w:color w:val="auto"/>
                <w:highlight w:val="none"/>
              </w:rPr>
              <w:t>实质性响应条款</w:t>
            </w:r>
          </w:p>
        </w:tc>
        <w:tc>
          <w:tcPr>
            <w:tcW w:w="1907" w:type="dxa"/>
          </w:tcPr>
          <w:p w14:paraId="1BBECBAF">
            <w:pPr>
              <w:pStyle w:val="4"/>
              <w:rPr>
                <w:color w:val="auto"/>
                <w:highlight w:val="none"/>
              </w:rPr>
            </w:pPr>
            <w:r>
              <w:rPr>
                <w:color w:val="auto"/>
                <w:highlight w:val="none"/>
              </w:rPr>
              <w:t>投标人响应情况</w:t>
            </w:r>
          </w:p>
        </w:tc>
        <w:tc>
          <w:tcPr>
            <w:tcW w:w="1175" w:type="dxa"/>
          </w:tcPr>
          <w:p w14:paraId="34B11CB4">
            <w:pPr>
              <w:pStyle w:val="4"/>
              <w:rPr>
                <w:color w:val="auto"/>
                <w:highlight w:val="none"/>
              </w:rPr>
            </w:pPr>
            <w:r>
              <w:rPr>
                <w:color w:val="auto"/>
                <w:highlight w:val="none"/>
              </w:rPr>
              <w:t>差异</w:t>
            </w:r>
          </w:p>
        </w:tc>
      </w:tr>
      <w:tr w14:paraId="5BB7EA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2" w:type="dxa"/>
          </w:tcPr>
          <w:p w14:paraId="3F2917F0">
            <w:pPr>
              <w:pStyle w:val="4"/>
              <w:rPr>
                <w:color w:val="auto"/>
                <w:highlight w:val="none"/>
              </w:rPr>
            </w:pPr>
            <w:r>
              <w:rPr>
                <w:color w:val="auto"/>
                <w:highlight w:val="none"/>
              </w:rPr>
              <w:t>1</w:t>
            </w:r>
          </w:p>
        </w:tc>
        <w:tc>
          <w:tcPr>
            <w:tcW w:w="4500" w:type="dxa"/>
          </w:tcPr>
          <w:p w14:paraId="3E9818AB">
            <w:pPr>
              <w:rPr>
                <w:color w:val="auto"/>
                <w:highlight w:val="none"/>
              </w:rPr>
            </w:pPr>
            <w:r>
              <w:rPr>
                <w:color w:val="auto"/>
                <w:sz w:val="24"/>
                <w:highlight w:val="none"/>
              </w:rPr>
              <w:t>1</w:t>
            </w:r>
            <w:r>
              <w:rPr>
                <w:rFonts w:hint="eastAsia"/>
                <w:color w:val="auto"/>
                <w:sz w:val="24"/>
                <w:highlight w:val="none"/>
                <w:lang w:val="en-US" w:eastAsia="zh-CN"/>
              </w:rPr>
              <w:t>.</w:t>
            </w:r>
            <w:r>
              <w:rPr>
                <w:rFonts w:hint="eastAsia"/>
                <w:color w:val="auto"/>
                <w:sz w:val="24"/>
                <w:highlight w:val="none"/>
              </w:rPr>
              <w:t>★本项目所有报价按一级品标准，供应商统一按表一的</w:t>
            </w:r>
            <w:r>
              <w:rPr>
                <w:rFonts w:hint="eastAsia"/>
                <w:color w:val="auto"/>
                <w:sz w:val="24"/>
                <w:highlight w:val="none"/>
                <w:lang w:eastAsia="zh-CN"/>
              </w:rPr>
              <w:t>单价基准价</w:t>
            </w:r>
            <w:r>
              <w:rPr>
                <w:rFonts w:hint="eastAsia"/>
                <w:color w:val="auto"/>
                <w:sz w:val="24"/>
                <w:highlight w:val="none"/>
              </w:rPr>
              <w:t>进行报价，报出统一的响应折扣，（单位：%）。响应折扣必须为固定报价，不接受区间报价（如80%-90%），报价范围是0＜响应折扣≤100％，</w:t>
            </w:r>
            <w:r>
              <w:rPr>
                <w:rFonts w:hint="eastAsia" w:ascii="宋体" w:hAnsi="宋体" w:cs="宋体"/>
                <w:bCs/>
                <w:color w:val="auto"/>
                <w:sz w:val="24"/>
                <w:highlight w:val="none"/>
              </w:rPr>
              <w:t>精确到小数点后两位，</w:t>
            </w:r>
            <w:r>
              <w:rPr>
                <w:rFonts w:hint="eastAsia"/>
                <w:color w:val="auto"/>
                <w:sz w:val="24"/>
                <w:highlight w:val="none"/>
              </w:rPr>
              <w:t>超出该范围的响应无效。</w:t>
            </w:r>
            <w:r>
              <w:rPr>
                <w:rFonts w:hint="eastAsia" w:ascii="宋体" w:hAnsi="宋体" w:cs="宋体"/>
                <w:bCs/>
                <w:color w:val="auto"/>
                <w:sz w:val="24"/>
                <w:highlight w:val="none"/>
              </w:rPr>
              <w:t>结算价=∑【单价</w:t>
            </w:r>
            <w:r>
              <w:rPr>
                <w:rFonts w:hint="eastAsia" w:ascii="宋体" w:hAnsi="宋体" w:cs="宋体"/>
                <w:bCs/>
                <w:color w:val="auto"/>
                <w:sz w:val="24"/>
                <w:highlight w:val="none"/>
                <w:lang w:eastAsia="zh-CN"/>
              </w:rPr>
              <w:t>基准价</w:t>
            </w:r>
            <w:r>
              <w:rPr>
                <w:rFonts w:hint="eastAsia" w:ascii="宋体" w:hAnsi="宋体" w:cs="宋体"/>
                <w:bCs/>
                <w:color w:val="auto"/>
                <w:sz w:val="24"/>
                <w:highlight w:val="none"/>
              </w:rPr>
              <w:t>×成交折扣×实际供货量】</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结算价</w:t>
            </w:r>
            <w:r>
              <w:rPr>
                <w:rFonts w:hint="eastAsia" w:ascii="宋体" w:hAnsi="宋体" w:cs="宋体"/>
                <w:bCs/>
                <w:color w:val="auto"/>
                <w:sz w:val="24"/>
                <w:highlight w:val="none"/>
                <w:lang w:val="en-US" w:eastAsia="zh-CN"/>
              </w:rPr>
              <w:t>四舍五入</w:t>
            </w:r>
            <w:r>
              <w:rPr>
                <w:rFonts w:hint="eastAsia" w:ascii="宋体" w:hAnsi="宋体" w:cs="宋体"/>
                <w:bCs/>
                <w:color w:val="auto"/>
                <w:sz w:val="24"/>
                <w:highlight w:val="none"/>
              </w:rPr>
              <w:t>精确到小数点后两位（响应文件内供应商响应时须提供承诺函，格式自拟）。</w:t>
            </w:r>
          </w:p>
        </w:tc>
        <w:tc>
          <w:tcPr>
            <w:tcW w:w="1907" w:type="dxa"/>
          </w:tcPr>
          <w:p w14:paraId="64B0E5D2">
            <w:pPr>
              <w:rPr>
                <w:color w:val="auto"/>
                <w:highlight w:val="none"/>
              </w:rPr>
            </w:pPr>
          </w:p>
        </w:tc>
        <w:tc>
          <w:tcPr>
            <w:tcW w:w="1175" w:type="dxa"/>
          </w:tcPr>
          <w:p w14:paraId="3D5EB927">
            <w:pPr>
              <w:rPr>
                <w:color w:val="auto"/>
                <w:highlight w:val="none"/>
              </w:rPr>
            </w:pPr>
          </w:p>
        </w:tc>
      </w:tr>
      <w:tr w14:paraId="5739F9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2" w:type="dxa"/>
          </w:tcPr>
          <w:p w14:paraId="5FA6FCE4">
            <w:pPr>
              <w:pStyle w:val="4"/>
              <w:rPr>
                <w:color w:val="auto"/>
                <w:highlight w:val="none"/>
              </w:rPr>
            </w:pPr>
            <w:r>
              <w:rPr>
                <w:color w:val="auto"/>
                <w:highlight w:val="none"/>
              </w:rPr>
              <w:t xml:space="preserve"> 2</w:t>
            </w:r>
          </w:p>
        </w:tc>
        <w:tc>
          <w:tcPr>
            <w:tcW w:w="4500" w:type="dxa"/>
          </w:tcPr>
          <w:p w14:paraId="4662893D">
            <w:pPr>
              <w:rPr>
                <w:color w:val="auto"/>
                <w:highlight w:val="none"/>
              </w:rPr>
            </w:pPr>
            <w:r>
              <w:rPr>
                <w:rFonts w:hint="eastAsia"/>
                <w:color w:val="auto"/>
                <w:sz w:val="24"/>
                <w:highlight w:val="none"/>
              </w:rPr>
              <w:t>2.</w:t>
            </w:r>
            <w:r>
              <w:rPr>
                <w:rFonts w:hint="eastAsia" w:ascii="宋体" w:hAnsi="宋体" w:cs="宋体"/>
                <w:bCs/>
                <w:color w:val="auto"/>
                <w:sz w:val="24"/>
                <w:highlight w:val="none"/>
              </w:rPr>
              <w:t>★本项目报价和结算价必须为全包价，包括但不限于货物、仓储、质量检测费、配送运输费、包装费、装卸费、搬运费、不合格货物的退换费用、人工费（社保、节假日慰问金等）、运营、保险、验收、售后服务、税费、其他伴随服务费用及合同实施过程中的应预见和不可预见费用等完成本磋商内容所需的一切费用。成交供应商在响应时必须将以上费用全面考虑。如</w:t>
            </w:r>
            <w:r>
              <w:rPr>
                <w:rFonts w:hint="eastAsia" w:ascii="宋体" w:hAnsi="宋体" w:cs="宋体"/>
                <w:bCs/>
                <w:color w:val="auto"/>
                <w:sz w:val="24"/>
                <w:highlight w:val="none"/>
                <w:lang w:val="en-US" w:eastAsia="zh-CN"/>
              </w:rPr>
              <w:t>成交</w:t>
            </w:r>
            <w:r>
              <w:rPr>
                <w:rFonts w:hint="eastAsia" w:ascii="宋体" w:hAnsi="宋体" w:cs="宋体"/>
                <w:bCs/>
                <w:color w:val="auto"/>
                <w:sz w:val="24"/>
                <w:highlight w:val="none"/>
              </w:rPr>
              <w:t>应商在响应时或履行合同的过程中出现任何遗漏性内容需产生额外费用，均由成交供应商自行承担，采购人不支付除货款外的其他任何费用，不改变结算折扣。（响应文件内供应商响应时须提供承诺函，格式自拟）。</w:t>
            </w:r>
            <w:bookmarkStart w:id="0" w:name="_GoBack"/>
            <w:bookmarkEnd w:id="0"/>
          </w:p>
        </w:tc>
        <w:tc>
          <w:tcPr>
            <w:tcW w:w="1907" w:type="dxa"/>
          </w:tcPr>
          <w:p w14:paraId="44F084FC">
            <w:pPr>
              <w:rPr>
                <w:color w:val="auto"/>
                <w:highlight w:val="none"/>
              </w:rPr>
            </w:pPr>
          </w:p>
        </w:tc>
        <w:tc>
          <w:tcPr>
            <w:tcW w:w="1175" w:type="dxa"/>
          </w:tcPr>
          <w:p w14:paraId="5A04E974">
            <w:pPr>
              <w:rPr>
                <w:color w:val="auto"/>
                <w:highlight w:val="none"/>
              </w:rPr>
            </w:pPr>
          </w:p>
        </w:tc>
      </w:tr>
      <w:tr w14:paraId="7AEF61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2" w:type="dxa"/>
          </w:tcPr>
          <w:p w14:paraId="451CAE1D">
            <w:pPr>
              <w:pStyle w:val="4"/>
              <w:rPr>
                <w:color w:val="auto"/>
                <w:highlight w:val="none"/>
              </w:rPr>
            </w:pPr>
            <w:r>
              <w:rPr>
                <w:color w:val="auto"/>
                <w:highlight w:val="none"/>
              </w:rPr>
              <w:t xml:space="preserve"> 3</w:t>
            </w:r>
          </w:p>
        </w:tc>
        <w:tc>
          <w:tcPr>
            <w:tcW w:w="4500" w:type="dxa"/>
          </w:tcPr>
          <w:p w14:paraId="51CE5275">
            <w:pPr>
              <w:rPr>
                <w:color w:val="auto"/>
                <w:highlight w:val="none"/>
              </w:rPr>
            </w:pPr>
            <w:r>
              <w:rPr>
                <w:b/>
                <w:color w:val="auto"/>
                <w:sz w:val="24"/>
                <w:highlight w:val="none"/>
              </w:rPr>
              <w:t>4.</w:t>
            </w:r>
            <w:r>
              <w:rPr>
                <w:rFonts w:ascii="Segoe UI Symbol" w:hAnsi="Segoe UI Symbol" w:cs="Segoe UI Symbol"/>
                <w:b/>
                <w:color w:val="auto"/>
                <w:sz w:val="24"/>
                <w:highlight w:val="none"/>
              </w:rPr>
              <w:t>★</w:t>
            </w:r>
            <w:r>
              <w:rPr>
                <w:b/>
                <w:color w:val="auto"/>
                <w:sz w:val="24"/>
                <w:highlight w:val="none"/>
              </w:rPr>
              <w:t>因</w:t>
            </w:r>
            <w:r>
              <w:rPr>
                <w:rFonts w:hint="eastAsia"/>
                <w:b/>
                <w:color w:val="auto"/>
                <w:sz w:val="24"/>
                <w:highlight w:val="none"/>
              </w:rPr>
              <w:t>成交供应商</w:t>
            </w:r>
            <w:r>
              <w:rPr>
                <w:b/>
                <w:color w:val="auto"/>
                <w:sz w:val="24"/>
                <w:highlight w:val="none"/>
              </w:rPr>
              <w:t>违约的应急采购处理：</w:t>
            </w:r>
            <w:r>
              <w:rPr>
                <w:color w:val="auto"/>
                <w:sz w:val="24"/>
                <w:highlight w:val="none"/>
              </w:rPr>
              <w:t>如因</w:t>
            </w:r>
            <w:r>
              <w:rPr>
                <w:rFonts w:hint="eastAsia"/>
                <w:color w:val="auto"/>
                <w:sz w:val="24"/>
                <w:highlight w:val="none"/>
              </w:rPr>
              <w:t>成交供应商</w:t>
            </w:r>
            <w:r>
              <w:rPr>
                <w:color w:val="auto"/>
                <w:sz w:val="24"/>
                <w:highlight w:val="none"/>
              </w:rPr>
              <w:t>原因无法按要求在规定时间内保质、保量供货，</w:t>
            </w:r>
            <w:r>
              <w:rPr>
                <w:bCs/>
                <w:color w:val="auto"/>
                <w:sz w:val="24"/>
                <w:highlight w:val="none"/>
              </w:rPr>
              <w:t>影响采购人业务运作的，则按</w:t>
            </w:r>
            <w:r>
              <w:rPr>
                <w:rFonts w:hint="eastAsia"/>
                <w:bCs/>
                <w:color w:val="auto"/>
                <w:sz w:val="24"/>
                <w:highlight w:val="none"/>
              </w:rPr>
              <w:t>成交供应商</w:t>
            </w:r>
            <w:r>
              <w:rPr>
                <w:bCs/>
                <w:color w:val="auto"/>
                <w:sz w:val="24"/>
                <w:highlight w:val="none"/>
              </w:rPr>
              <w:t>违约处理。为保证采购人正常业务运作，采购人可以自行或委托第三人到市场按市场价采购所需品种，</w:t>
            </w:r>
            <w:r>
              <w:rPr>
                <w:rFonts w:hint="eastAsia"/>
                <w:bCs/>
                <w:color w:val="auto"/>
                <w:sz w:val="24"/>
                <w:highlight w:val="none"/>
              </w:rPr>
              <w:t>成交供应商</w:t>
            </w:r>
            <w:r>
              <w:rPr>
                <w:bCs/>
                <w:color w:val="auto"/>
                <w:sz w:val="24"/>
                <w:highlight w:val="none"/>
              </w:rPr>
              <w:t>须协助，所产生采购费用（包括但不限于：货物费用、运输、仓储、人工、代购费及其他合理费用）全部由</w:t>
            </w:r>
            <w:r>
              <w:rPr>
                <w:rFonts w:hint="eastAsia"/>
                <w:bCs/>
                <w:color w:val="auto"/>
                <w:sz w:val="24"/>
                <w:highlight w:val="none"/>
              </w:rPr>
              <w:t>成交供应商</w:t>
            </w:r>
            <w:r>
              <w:rPr>
                <w:color w:val="auto"/>
                <w:sz w:val="24"/>
                <w:highlight w:val="none"/>
              </w:rPr>
              <w:t>承担，并按相应合同单价和实际采购数量进行结算计入项目资金；如</w:t>
            </w:r>
            <w:r>
              <w:rPr>
                <w:rFonts w:hint="eastAsia"/>
                <w:color w:val="auto"/>
                <w:sz w:val="24"/>
                <w:highlight w:val="none"/>
              </w:rPr>
              <w:t>成交供应商</w:t>
            </w:r>
            <w:r>
              <w:rPr>
                <w:color w:val="auto"/>
                <w:sz w:val="24"/>
                <w:highlight w:val="none"/>
              </w:rPr>
              <w:t>拒绝协助采购人进行采购，或拒付相关费用（含采购费、违约金等）的，采购人有权在</w:t>
            </w:r>
            <w:r>
              <w:rPr>
                <w:rFonts w:hint="eastAsia"/>
                <w:color w:val="auto"/>
                <w:sz w:val="24"/>
                <w:highlight w:val="none"/>
              </w:rPr>
              <w:t>成交供应商</w:t>
            </w:r>
            <w:r>
              <w:rPr>
                <w:color w:val="auto"/>
                <w:sz w:val="24"/>
                <w:highlight w:val="none"/>
              </w:rPr>
              <w:t>的履约保证金或当月待结鲜切花货款中扣除相应的费用及违约金，违约金金额为当次采购产品总费用的20%。</w:t>
            </w:r>
            <w:r>
              <w:rPr>
                <w:rFonts w:hint="eastAsia"/>
                <w:color w:val="auto"/>
                <w:sz w:val="24"/>
                <w:highlight w:val="none"/>
              </w:rPr>
              <w:t>成交供应商出现本条款</w:t>
            </w:r>
            <w:r>
              <w:rPr>
                <w:color w:val="auto"/>
                <w:sz w:val="24"/>
                <w:highlight w:val="none"/>
              </w:rPr>
              <w:t>违约</w:t>
            </w:r>
            <w:r>
              <w:rPr>
                <w:rFonts w:hint="eastAsia"/>
                <w:color w:val="auto"/>
                <w:sz w:val="24"/>
                <w:highlight w:val="none"/>
              </w:rPr>
              <w:t>情形</w:t>
            </w:r>
            <w:r>
              <w:rPr>
                <w:color w:val="auto"/>
                <w:sz w:val="24"/>
                <w:highlight w:val="none"/>
              </w:rPr>
              <w:t>三次以上（含三次）的，</w:t>
            </w:r>
            <w:r>
              <w:rPr>
                <w:rFonts w:hint="eastAsia"/>
                <w:color w:val="auto"/>
                <w:sz w:val="24"/>
                <w:highlight w:val="none"/>
              </w:rPr>
              <w:t>采购人有权报财政监</w:t>
            </w:r>
            <w:r>
              <w:rPr>
                <w:rFonts w:hint="eastAsia"/>
                <w:color w:val="auto"/>
                <w:sz w:val="24"/>
                <w:highlight w:val="none"/>
                <w:lang w:val="en-US" w:eastAsia="zh-CN"/>
              </w:rPr>
              <w:t>管</w:t>
            </w:r>
            <w:r>
              <w:rPr>
                <w:rFonts w:hint="eastAsia"/>
                <w:color w:val="auto"/>
                <w:sz w:val="24"/>
                <w:highlight w:val="none"/>
              </w:rPr>
              <w:t>部门处理</w:t>
            </w:r>
            <w:r>
              <w:rPr>
                <w:color w:val="auto"/>
                <w:sz w:val="24"/>
                <w:highlight w:val="none"/>
              </w:rPr>
              <w:t>，由此引起的一切后果，由</w:t>
            </w:r>
            <w:r>
              <w:rPr>
                <w:rFonts w:hint="eastAsia"/>
                <w:color w:val="auto"/>
                <w:sz w:val="24"/>
                <w:highlight w:val="none"/>
              </w:rPr>
              <w:t>成交供应商</w:t>
            </w:r>
            <w:r>
              <w:rPr>
                <w:color w:val="auto"/>
                <w:sz w:val="24"/>
                <w:highlight w:val="none"/>
              </w:rPr>
              <w:t>承担</w:t>
            </w:r>
            <w:r>
              <w:rPr>
                <w:rFonts w:hint="eastAsia"/>
                <w:color w:val="auto"/>
                <w:sz w:val="24"/>
                <w:highlight w:val="none"/>
              </w:rPr>
              <w:t>（提供承诺函，格式自拟）</w:t>
            </w:r>
            <w:r>
              <w:rPr>
                <w:color w:val="auto"/>
                <w:sz w:val="24"/>
                <w:highlight w:val="none"/>
              </w:rPr>
              <w:t>。</w:t>
            </w:r>
          </w:p>
        </w:tc>
        <w:tc>
          <w:tcPr>
            <w:tcW w:w="1907" w:type="dxa"/>
          </w:tcPr>
          <w:p w14:paraId="721C4030">
            <w:pPr>
              <w:rPr>
                <w:color w:val="auto"/>
                <w:highlight w:val="none"/>
              </w:rPr>
            </w:pPr>
          </w:p>
        </w:tc>
        <w:tc>
          <w:tcPr>
            <w:tcW w:w="1175" w:type="dxa"/>
          </w:tcPr>
          <w:p w14:paraId="03C7F453">
            <w:pPr>
              <w:rPr>
                <w:color w:val="auto"/>
                <w:highlight w:val="none"/>
              </w:rPr>
            </w:pPr>
          </w:p>
        </w:tc>
      </w:tr>
    </w:tbl>
    <w:p w14:paraId="17C9CF8E">
      <w:pPr>
        <w:pStyle w:val="4"/>
        <w:ind w:firstLine="480"/>
        <w:rPr>
          <w:color w:val="auto"/>
          <w:highlight w:val="none"/>
        </w:rPr>
      </w:pPr>
      <w:r>
        <w:rPr>
          <w:color w:val="auto"/>
          <w:highlight w:val="none"/>
        </w:rPr>
        <w:t>说明：</w:t>
      </w:r>
    </w:p>
    <w:p w14:paraId="3B9A6AA1">
      <w:pPr>
        <w:pStyle w:val="4"/>
        <w:ind w:firstLine="480"/>
        <w:rPr>
          <w:color w:val="auto"/>
          <w:highlight w:val="none"/>
        </w:rPr>
      </w:pPr>
      <w:r>
        <w:rPr>
          <w:color w:val="auto"/>
          <w:highlight w:val="none"/>
        </w:rPr>
        <w:t>1.实质性响应条款一览表后续内容请根据第二章采购需求★号条款详细列举</w:t>
      </w:r>
    </w:p>
    <w:p w14:paraId="31679521">
      <w:pPr>
        <w:pStyle w:val="4"/>
        <w:ind w:firstLine="480"/>
        <w:rPr>
          <w:color w:val="auto"/>
          <w:highlight w:val="none"/>
        </w:rPr>
      </w:pPr>
      <w:r>
        <w:rPr>
          <w:color w:val="auto"/>
          <w:highlight w:val="none"/>
        </w:rPr>
        <w:t>2.本表所列条款必须一一予以响应，“投标人响应情况”一栏应填写具体的响应内容，有差异的要具体说明。</w:t>
      </w:r>
    </w:p>
    <w:p w14:paraId="728CA085">
      <w:pPr>
        <w:pStyle w:val="4"/>
        <w:ind w:firstLine="480"/>
        <w:rPr>
          <w:color w:val="auto"/>
          <w:highlight w:val="none"/>
        </w:rPr>
      </w:pPr>
      <w:r>
        <w:rPr>
          <w:color w:val="auto"/>
          <w:highlight w:val="none"/>
        </w:rPr>
        <w:t>3.请投标人认真填写本表内容，如填写错误将可能导致投标无效。</w:t>
      </w:r>
    </w:p>
    <w:p w14:paraId="5BD2B3E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Symbol">
    <w:panose1 w:val="020B0502040204020203"/>
    <w:charset w:val="00"/>
    <w:family w:val="swiss"/>
    <w:pitch w:val="default"/>
    <w:sig w:usb0="800001E3" w:usb1="1200FFEF" w:usb2="00040000" w:usb3="04000000"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E87E3B"/>
    <w:rsid w:val="0EE87E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2026-06-26T06:28:00Z</dcterms:created>
  <dc:creator>曾颖妍</dc:creator>
  <cp:lastModifiedBy>曾颖妍</cp:lastModifiedBy>
  <dcterms:modified xsi:type="dcterms:W3CDTF">2026-06-26T06:30:19Z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DFA55D9847F1436B87B98D24733DC734_11</vt:lpwstr>
  </property>
  <property fmtid="{D5CDD505-2E9C-101B-9397-08002B2CF9AE}" pid="4" name="KSOTemplateDocerSaveRecord">
    <vt:lpwstr>eyJoZGlkIjoiMDRkYjg3MDYyYzMwYTUwNmU2ZjNjMDc2ZGZiZGU3ZGYiLCJ1c2VySWQiOiIxNzczNDI1MzUxIn0=</vt:lpwstr>
  </property>
</Properties>
</file>