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CF0BF16">
      <w:pPr>
        <w:spacing w:line="360" w:lineRule="auto"/>
        <w:rPr>
          <w:b/>
          <w:bCs/>
          <w:sz w:val="24"/>
          <w:szCs w:val="36"/>
        </w:rPr>
      </w:pPr>
    </w:p>
    <w:p w14:paraId="601B0AEB">
      <w:pPr>
        <w:spacing w:line="360" w:lineRule="auto"/>
        <w:rPr>
          <w:b/>
          <w:bCs/>
          <w:sz w:val="24"/>
          <w:szCs w:val="36"/>
        </w:rPr>
      </w:pPr>
    </w:p>
    <w:p w14:paraId="7DA55B2A">
      <w:pPr>
        <w:pStyle w:val="23"/>
        <w:ind w:firstLine="464"/>
        <w:rPr>
          <w:b/>
          <w:bCs/>
          <w:sz w:val="24"/>
          <w:szCs w:val="36"/>
        </w:rPr>
      </w:pPr>
    </w:p>
    <w:p w14:paraId="53072E4D">
      <w:pPr>
        <w:pStyle w:val="23"/>
        <w:ind w:firstLine="464"/>
        <w:rPr>
          <w:b/>
          <w:bCs/>
          <w:sz w:val="24"/>
          <w:szCs w:val="36"/>
        </w:rPr>
      </w:pPr>
    </w:p>
    <w:p w14:paraId="56DA64E7">
      <w:pPr>
        <w:pStyle w:val="13"/>
        <w:spacing w:line="360" w:lineRule="auto"/>
        <w:jc w:val="center"/>
        <w:rPr>
          <w:rFonts w:ascii="Times New Roman"/>
          <w:b/>
          <w:bCs/>
          <w:sz w:val="56"/>
          <w:szCs w:val="56"/>
        </w:rPr>
      </w:pPr>
      <w:r>
        <w:rPr>
          <w:rFonts w:ascii="Times New Roman"/>
          <w:b/>
          <w:bCs/>
          <w:sz w:val="56"/>
          <w:szCs w:val="56"/>
        </w:rPr>
        <w:t>云南省省级政府集中采购</w:t>
      </w:r>
    </w:p>
    <w:p w14:paraId="40EA8BDE">
      <w:pPr>
        <w:pStyle w:val="13"/>
        <w:spacing w:line="360" w:lineRule="auto"/>
        <w:jc w:val="center"/>
        <w:rPr>
          <w:rFonts w:ascii="Times New Roman"/>
          <w:b/>
          <w:bCs/>
          <w:sz w:val="48"/>
          <w:szCs w:val="48"/>
        </w:rPr>
      </w:pPr>
    </w:p>
    <w:p w14:paraId="4E41FB10">
      <w:pPr>
        <w:rPr>
          <w:sz w:val="20"/>
          <w:szCs w:val="22"/>
        </w:rPr>
      </w:pPr>
      <w:r>
        <w:rPr>
          <w:rFonts w:hint="eastAsia"/>
          <w:sz w:val="20"/>
          <w:szCs w:val="22"/>
        </w:rPr>
        <w:t xml:space="preserve"> </w:t>
      </w:r>
    </w:p>
    <w:p w14:paraId="3D28FF3C">
      <w:pPr>
        <w:pStyle w:val="23"/>
        <w:ind w:firstLine="0" w:firstLineChars="0"/>
        <w:jc w:val="both"/>
        <w:rPr>
          <w:rFonts w:hAnsi="宋体" w:eastAsia="宋体" w:cs="宋体"/>
          <w:b/>
          <w:bCs/>
          <w:sz w:val="48"/>
          <w:szCs w:val="48"/>
        </w:rPr>
      </w:pPr>
    </w:p>
    <w:p w14:paraId="3A451A16">
      <w:pPr>
        <w:pStyle w:val="23"/>
        <w:ind w:firstLine="948"/>
        <w:jc w:val="center"/>
        <w:rPr>
          <w:rFonts w:hAnsi="宋体" w:eastAsia="宋体" w:cs="宋体"/>
          <w:b/>
          <w:bCs/>
          <w:sz w:val="48"/>
          <w:szCs w:val="48"/>
        </w:rPr>
      </w:pPr>
      <w:r>
        <w:rPr>
          <w:rFonts w:hint="eastAsia" w:hAnsi="宋体" w:eastAsia="宋体" w:cs="宋体"/>
          <w:b/>
          <w:bCs/>
          <w:sz w:val="48"/>
          <w:szCs w:val="48"/>
        </w:rPr>
        <w:t>云南师范大学法学与社会学学院(云南纪检监察学院)报告厅会议室政府采购项目</w:t>
      </w:r>
    </w:p>
    <w:p w14:paraId="7230ACEF">
      <w:pPr>
        <w:pStyle w:val="23"/>
        <w:ind w:firstLine="948"/>
        <w:jc w:val="center"/>
        <w:rPr>
          <w:rFonts w:hAnsi="宋体" w:eastAsia="宋体" w:cs="宋体"/>
          <w:b/>
          <w:bCs/>
          <w:sz w:val="48"/>
          <w:szCs w:val="48"/>
        </w:rPr>
      </w:pPr>
    </w:p>
    <w:p w14:paraId="35516844">
      <w:pPr>
        <w:pStyle w:val="23"/>
        <w:ind w:firstLine="867"/>
        <w:jc w:val="center"/>
        <w:rPr>
          <w:rFonts w:hAnsi="宋体" w:eastAsia="宋体" w:cs="宋体"/>
          <w:b/>
          <w:bCs/>
          <w:sz w:val="44"/>
          <w:szCs w:val="40"/>
        </w:rPr>
      </w:pPr>
    </w:p>
    <w:p w14:paraId="722082E6">
      <w:pPr>
        <w:pStyle w:val="13"/>
        <w:spacing w:line="360" w:lineRule="auto"/>
        <w:jc w:val="center"/>
        <w:rPr>
          <w:rFonts w:ascii="Times New Roman"/>
          <w:b/>
          <w:bCs/>
          <w:sz w:val="72"/>
          <w:szCs w:val="72"/>
        </w:rPr>
      </w:pPr>
      <w:r>
        <w:rPr>
          <w:rFonts w:ascii="Times New Roman"/>
          <w:b/>
          <w:bCs/>
          <w:sz w:val="72"/>
          <w:szCs w:val="72"/>
        </w:rPr>
        <w:t>谈判文件</w:t>
      </w:r>
    </w:p>
    <w:p w14:paraId="10376711">
      <w:pPr>
        <w:pStyle w:val="23"/>
        <w:ind w:firstLine="0" w:firstLineChars="0"/>
      </w:pPr>
    </w:p>
    <w:p w14:paraId="14C9A1B7">
      <w:pPr>
        <w:pStyle w:val="13"/>
        <w:spacing w:line="360" w:lineRule="auto"/>
        <w:rPr>
          <w:rFonts w:ascii="Times New Roman"/>
        </w:rPr>
      </w:pPr>
    </w:p>
    <w:p w14:paraId="524FE61C">
      <w:pPr>
        <w:pStyle w:val="23"/>
        <w:ind w:firstLine="0" w:firstLineChars="0"/>
        <w:jc w:val="center"/>
      </w:pPr>
      <w:r>
        <w:rPr>
          <w:rFonts w:hAnsi="宋体"/>
          <w:b/>
          <w:bCs/>
          <w:sz w:val="32"/>
          <w:szCs w:val="32"/>
        </w:rPr>
        <w:t>项目编号</w:t>
      </w:r>
      <w:r>
        <w:rPr>
          <w:rFonts w:hint="eastAsia" w:hAnsi="宋体"/>
          <w:b/>
          <w:bCs/>
          <w:sz w:val="32"/>
          <w:szCs w:val="32"/>
        </w:rPr>
        <w:t>：YNZC2025-J1-03091-YNSZ-0179</w:t>
      </w:r>
    </w:p>
    <w:p w14:paraId="72A4D0EC">
      <w:pPr>
        <w:pStyle w:val="23"/>
        <w:ind w:firstLine="0" w:firstLineChars="0"/>
      </w:pPr>
    </w:p>
    <w:p w14:paraId="22461384">
      <w:pPr>
        <w:pStyle w:val="23"/>
        <w:ind w:firstLine="0" w:firstLineChars="0"/>
      </w:pPr>
    </w:p>
    <w:p w14:paraId="1E9EC077">
      <w:pPr>
        <w:pStyle w:val="23"/>
        <w:ind w:firstLine="0" w:firstLineChars="0"/>
      </w:pPr>
    </w:p>
    <w:p w14:paraId="3BE86510">
      <w:pPr>
        <w:pStyle w:val="23"/>
        <w:ind w:firstLine="0" w:firstLineChars="0"/>
      </w:pPr>
    </w:p>
    <w:p w14:paraId="3FDD830F">
      <w:pPr>
        <w:pStyle w:val="23"/>
        <w:ind w:firstLine="0" w:firstLineChars="0"/>
      </w:pPr>
    </w:p>
    <w:p w14:paraId="35D9C293"/>
    <w:p w14:paraId="792AB07D">
      <w:pPr>
        <w:autoSpaceDE w:val="0"/>
        <w:spacing w:line="400" w:lineRule="exact"/>
        <w:jc w:val="center"/>
        <w:rPr>
          <w:b/>
          <w:bCs/>
          <w:kern w:val="0"/>
          <w:sz w:val="32"/>
          <w:szCs w:val="32"/>
        </w:rPr>
      </w:pPr>
      <w:r>
        <w:rPr>
          <w:rFonts w:hint="eastAsia"/>
          <w:b/>
          <w:bCs/>
          <w:kern w:val="0"/>
          <w:sz w:val="32"/>
          <w:szCs w:val="32"/>
        </w:rPr>
        <w:t>采购人:云南师范大学</w:t>
      </w:r>
    </w:p>
    <w:p w14:paraId="76E45B46">
      <w:pPr>
        <w:pStyle w:val="13"/>
        <w:spacing w:line="360" w:lineRule="auto"/>
        <w:jc w:val="center"/>
        <w:rPr>
          <w:rFonts w:ascii="Times New Roman"/>
          <w:b/>
          <w:bCs/>
          <w:sz w:val="32"/>
          <w:szCs w:val="32"/>
        </w:rPr>
      </w:pPr>
      <w:r>
        <w:rPr>
          <w:rFonts w:ascii="Times New Roman"/>
          <w:b/>
          <w:bCs/>
          <w:sz w:val="32"/>
          <w:szCs w:val="32"/>
        </w:rPr>
        <w:t>采购代理机构：云南省</w:t>
      </w:r>
      <w:r>
        <w:rPr>
          <w:rFonts w:hint="eastAsia" w:ascii="Times New Roman"/>
          <w:b/>
          <w:bCs/>
          <w:sz w:val="32"/>
          <w:szCs w:val="32"/>
        </w:rPr>
        <w:t>政府采购和出让中心</w:t>
      </w:r>
    </w:p>
    <w:p w14:paraId="38FC667B">
      <w:pPr>
        <w:pStyle w:val="13"/>
        <w:tabs>
          <w:tab w:val="center" w:pos="4790"/>
          <w:tab w:val="left" w:pos="6510"/>
        </w:tabs>
        <w:spacing w:line="360" w:lineRule="auto"/>
        <w:jc w:val="center"/>
        <w:rPr>
          <w:rFonts w:ascii="Times New Roman"/>
          <w:b/>
          <w:bCs/>
          <w:sz w:val="32"/>
          <w:szCs w:val="32"/>
        </w:rPr>
      </w:pPr>
      <w:r>
        <w:rPr>
          <w:rFonts w:ascii="Times New Roman"/>
          <w:b/>
          <w:bCs/>
          <w:sz w:val="32"/>
          <w:szCs w:val="32"/>
        </w:rPr>
        <w:t>二</w:t>
      </w:r>
      <w:r>
        <w:rPr>
          <w:rFonts w:hAnsi="宋体"/>
          <w:b/>
          <w:bCs/>
          <w:sz w:val="32"/>
          <w:szCs w:val="32"/>
        </w:rPr>
        <w:t>○</w:t>
      </w:r>
      <w:r>
        <w:rPr>
          <w:rFonts w:hint="eastAsia" w:hAnsi="宋体"/>
          <w:b/>
          <w:bCs/>
          <w:sz w:val="32"/>
          <w:szCs w:val="32"/>
        </w:rPr>
        <w:t>二五</w:t>
      </w:r>
      <w:r>
        <w:rPr>
          <w:rFonts w:hint="eastAsia" w:ascii="Times New Roman"/>
          <w:b/>
          <w:bCs/>
          <w:sz w:val="32"/>
          <w:szCs w:val="32"/>
        </w:rPr>
        <w:t>年六</w:t>
      </w:r>
      <w:r>
        <w:rPr>
          <w:rFonts w:ascii="Times New Roman"/>
          <w:b/>
          <w:bCs/>
          <w:sz w:val="32"/>
          <w:szCs w:val="32"/>
        </w:rPr>
        <w:t>月</w:t>
      </w:r>
    </w:p>
    <w:p w14:paraId="3975E96C">
      <w:pPr>
        <w:sectPr>
          <w:headerReference r:id="rId5" w:type="first"/>
          <w:headerReference r:id="rId3" w:type="default"/>
          <w:footerReference r:id="rId6" w:type="default"/>
          <w:headerReference r:id="rId4" w:type="even"/>
          <w:footerReference r:id="rId7" w:type="even"/>
          <w:pgSz w:w="11906" w:h="16838"/>
          <w:pgMar w:top="737" w:right="1134" w:bottom="794" w:left="1191" w:header="510" w:footer="510" w:gutter="0"/>
          <w:pgNumType w:start="0"/>
          <w:cols w:space="720" w:num="1"/>
          <w:titlePg/>
          <w:docGrid w:type="linesAndChars" w:linePitch="312" w:charSpace="0"/>
        </w:sectPr>
      </w:pPr>
    </w:p>
    <w:p w14:paraId="7B5BE9AE">
      <w:pPr>
        <w:pStyle w:val="2"/>
        <w:numPr>
          <w:ilvl w:val="0"/>
          <w:numId w:val="0"/>
        </w:numPr>
        <w:ind w:left="187"/>
        <w:jc w:val="center"/>
        <w:rPr>
          <w:rFonts w:ascii="宋体" w:hAnsi="宋体" w:eastAsia="宋体"/>
          <w:color w:val="auto"/>
        </w:rPr>
      </w:pPr>
      <w:bookmarkStart w:id="0" w:name="_Toc4636"/>
      <w:bookmarkStart w:id="1" w:name="_Toc2600"/>
      <w:bookmarkStart w:id="2" w:name="_Toc2839"/>
      <w:bookmarkStart w:id="3" w:name="_Toc14184"/>
      <w:bookmarkStart w:id="4" w:name="_Toc27825"/>
      <w:bookmarkStart w:id="5" w:name="_Toc29159"/>
      <w:bookmarkStart w:id="6" w:name="_Toc25187"/>
      <w:bookmarkStart w:id="7" w:name="_Toc12659"/>
      <w:bookmarkStart w:id="8" w:name="_Toc4803"/>
      <w:bookmarkStart w:id="9" w:name="_Toc12426"/>
      <w:r>
        <w:rPr>
          <w:rFonts w:ascii="宋体" w:hAnsi="宋体" w:eastAsia="宋体"/>
          <w:color w:val="auto"/>
        </w:rPr>
        <w:t>目  录</w:t>
      </w:r>
      <w:bookmarkEnd w:id="0"/>
      <w:bookmarkEnd w:id="1"/>
      <w:bookmarkEnd w:id="2"/>
      <w:bookmarkEnd w:id="3"/>
      <w:bookmarkEnd w:id="4"/>
      <w:bookmarkEnd w:id="5"/>
      <w:bookmarkEnd w:id="6"/>
      <w:bookmarkEnd w:id="7"/>
      <w:bookmarkEnd w:id="8"/>
      <w:bookmarkEnd w:id="9"/>
    </w:p>
    <w:p w14:paraId="0971CF63">
      <w:pPr>
        <w:pStyle w:val="17"/>
        <w:tabs>
          <w:tab w:val="right" w:leader="dot" w:pos="9619"/>
        </w:tabs>
      </w:pPr>
      <w:r>
        <w:rPr>
          <w:rFonts w:ascii="宋体" w:hAnsi="宋体"/>
          <w:sz w:val="24"/>
        </w:rPr>
        <w:fldChar w:fldCharType="begin"/>
      </w:r>
      <w:r>
        <w:rPr>
          <w:rFonts w:ascii="宋体" w:hAnsi="宋体"/>
          <w:sz w:val="24"/>
        </w:rPr>
        <w:instrText xml:space="preserve"> TOC \o "1-3" \h \z </w:instrText>
      </w:r>
      <w:r>
        <w:rPr>
          <w:rFonts w:ascii="宋体" w:hAnsi="宋体"/>
          <w:sz w:val="24"/>
        </w:rPr>
        <w:fldChar w:fldCharType="separate"/>
      </w:r>
      <w:r>
        <w:fldChar w:fldCharType="begin"/>
      </w:r>
      <w:r>
        <w:instrText xml:space="preserve"> HYPERLINK \l "_Toc29159" </w:instrText>
      </w:r>
      <w:r>
        <w:fldChar w:fldCharType="separate"/>
      </w:r>
      <w:r>
        <w:rPr>
          <w:rFonts w:ascii="宋体" w:hAnsi="宋体"/>
        </w:rPr>
        <w:t>目  录</w:t>
      </w:r>
      <w:r>
        <w:tab/>
      </w:r>
      <w:r>
        <w:fldChar w:fldCharType="begin"/>
      </w:r>
      <w:r>
        <w:instrText xml:space="preserve"> PAGEREF _Toc29159 \h </w:instrText>
      </w:r>
      <w:r>
        <w:fldChar w:fldCharType="separate"/>
      </w:r>
      <w:r>
        <w:t>1</w:t>
      </w:r>
      <w:r>
        <w:fldChar w:fldCharType="end"/>
      </w:r>
      <w:r>
        <w:fldChar w:fldCharType="end"/>
      </w:r>
    </w:p>
    <w:p w14:paraId="5CFB8788">
      <w:pPr>
        <w:pStyle w:val="18"/>
        <w:tabs>
          <w:tab w:val="right" w:leader="dot" w:pos="9619"/>
        </w:tabs>
      </w:pPr>
      <w:r>
        <w:fldChar w:fldCharType="begin"/>
      </w:r>
      <w:r>
        <w:instrText xml:space="preserve"> HYPERLINK \l "_Toc1811" </w:instrText>
      </w:r>
      <w:r>
        <w:fldChar w:fldCharType="separate"/>
      </w:r>
      <w:r>
        <w:rPr>
          <w:rFonts w:hint="eastAsia" w:ascii="宋体" w:hAnsi="宋体" w:cs="宋体"/>
          <w:szCs w:val="21"/>
        </w:rPr>
        <w:t>一、项目基本情况</w:t>
      </w:r>
      <w:r>
        <w:tab/>
      </w:r>
      <w:r>
        <w:fldChar w:fldCharType="begin"/>
      </w:r>
      <w:r>
        <w:instrText xml:space="preserve"> PAGEREF _Toc1811 \h </w:instrText>
      </w:r>
      <w:r>
        <w:fldChar w:fldCharType="separate"/>
      </w:r>
      <w:r>
        <w:t>3</w:t>
      </w:r>
      <w:r>
        <w:fldChar w:fldCharType="end"/>
      </w:r>
      <w:r>
        <w:fldChar w:fldCharType="end"/>
      </w:r>
    </w:p>
    <w:p w14:paraId="1512A73B">
      <w:pPr>
        <w:pStyle w:val="18"/>
        <w:tabs>
          <w:tab w:val="right" w:leader="dot" w:pos="9619"/>
        </w:tabs>
      </w:pPr>
      <w:r>
        <w:fldChar w:fldCharType="begin"/>
      </w:r>
      <w:r>
        <w:instrText xml:space="preserve"> HYPERLINK \l "_Toc20920" </w:instrText>
      </w:r>
      <w:r>
        <w:fldChar w:fldCharType="separate"/>
      </w:r>
      <w:r>
        <w:rPr>
          <w:rFonts w:hint="eastAsia" w:ascii="宋体" w:hAnsi="宋体" w:cs="宋体"/>
          <w:szCs w:val="21"/>
        </w:rPr>
        <w:t>二、申请人的资格要求</w:t>
      </w:r>
      <w:r>
        <w:tab/>
      </w:r>
      <w:r>
        <w:fldChar w:fldCharType="begin"/>
      </w:r>
      <w:r>
        <w:instrText xml:space="preserve"> PAGEREF _Toc20920 \h </w:instrText>
      </w:r>
      <w:r>
        <w:fldChar w:fldCharType="separate"/>
      </w:r>
      <w:r>
        <w:t>4</w:t>
      </w:r>
      <w:r>
        <w:fldChar w:fldCharType="end"/>
      </w:r>
      <w:r>
        <w:fldChar w:fldCharType="end"/>
      </w:r>
    </w:p>
    <w:p w14:paraId="3FB3A122">
      <w:pPr>
        <w:pStyle w:val="18"/>
        <w:tabs>
          <w:tab w:val="right" w:leader="dot" w:pos="9619"/>
        </w:tabs>
      </w:pPr>
      <w:r>
        <w:fldChar w:fldCharType="begin"/>
      </w:r>
      <w:r>
        <w:instrText xml:space="preserve"> HYPERLINK \l "_Toc17530" </w:instrText>
      </w:r>
      <w:r>
        <w:fldChar w:fldCharType="separate"/>
      </w:r>
      <w:r>
        <w:rPr>
          <w:rFonts w:hint="eastAsia" w:ascii="宋体" w:hAnsi="宋体" w:cs="宋体"/>
          <w:szCs w:val="21"/>
        </w:rPr>
        <w:t>三、获取采购文件</w:t>
      </w:r>
      <w:r>
        <w:tab/>
      </w:r>
      <w:r>
        <w:fldChar w:fldCharType="begin"/>
      </w:r>
      <w:r>
        <w:instrText xml:space="preserve"> PAGEREF _Toc17530 \h </w:instrText>
      </w:r>
      <w:r>
        <w:fldChar w:fldCharType="separate"/>
      </w:r>
      <w:r>
        <w:t>4</w:t>
      </w:r>
      <w:r>
        <w:fldChar w:fldCharType="end"/>
      </w:r>
      <w:r>
        <w:fldChar w:fldCharType="end"/>
      </w:r>
    </w:p>
    <w:p w14:paraId="57B694D8">
      <w:pPr>
        <w:pStyle w:val="18"/>
        <w:tabs>
          <w:tab w:val="right" w:leader="dot" w:pos="9619"/>
        </w:tabs>
      </w:pPr>
      <w:r>
        <w:fldChar w:fldCharType="begin"/>
      </w:r>
      <w:r>
        <w:instrText xml:space="preserve"> HYPERLINK \l "_Toc24723" </w:instrText>
      </w:r>
      <w:r>
        <w:fldChar w:fldCharType="separate"/>
      </w:r>
      <w:r>
        <w:rPr>
          <w:rFonts w:hint="eastAsia" w:ascii="宋体" w:hAnsi="宋体" w:cs="宋体"/>
          <w:szCs w:val="21"/>
        </w:rPr>
        <w:t>四、电子响应文件提交截止时间</w:t>
      </w:r>
      <w:r>
        <w:tab/>
      </w:r>
      <w:r>
        <w:fldChar w:fldCharType="begin"/>
      </w:r>
      <w:r>
        <w:instrText xml:space="preserve"> PAGEREF _Toc24723 \h </w:instrText>
      </w:r>
      <w:r>
        <w:fldChar w:fldCharType="separate"/>
      </w:r>
      <w:r>
        <w:t>5</w:t>
      </w:r>
      <w:r>
        <w:fldChar w:fldCharType="end"/>
      </w:r>
      <w:r>
        <w:fldChar w:fldCharType="end"/>
      </w:r>
    </w:p>
    <w:p w14:paraId="5A903C3B">
      <w:pPr>
        <w:pStyle w:val="18"/>
        <w:tabs>
          <w:tab w:val="right" w:leader="dot" w:pos="9619"/>
        </w:tabs>
      </w:pPr>
      <w:r>
        <w:fldChar w:fldCharType="begin"/>
      </w:r>
      <w:r>
        <w:instrText xml:space="preserve"> HYPERLINK \l "_Toc10714" </w:instrText>
      </w:r>
      <w:r>
        <w:fldChar w:fldCharType="separate"/>
      </w:r>
      <w:r>
        <w:rPr>
          <w:rFonts w:hint="eastAsia" w:ascii="宋体" w:hAnsi="宋体" w:cs="宋体"/>
          <w:szCs w:val="21"/>
        </w:rPr>
        <w:t>五、开启</w:t>
      </w:r>
      <w:r>
        <w:tab/>
      </w:r>
      <w:r>
        <w:fldChar w:fldCharType="begin"/>
      </w:r>
      <w:r>
        <w:instrText xml:space="preserve"> PAGEREF _Toc10714 \h </w:instrText>
      </w:r>
      <w:r>
        <w:fldChar w:fldCharType="separate"/>
      </w:r>
      <w:r>
        <w:t>5</w:t>
      </w:r>
      <w:r>
        <w:fldChar w:fldCharType="end"/>
      </w:r>
      <w:r>
        <w:fldChar w:fldCharType="end"/>
      </w:r>
    </w:p>
    <w:p w14:paraId="083FE550">
      <w:pPr>
        <w:pStyle w:val="18"/>
        <w:tabs>
          <w:tab w:val="right" w:leader="dot" w:pos="9619"/>
        </w:tabs>
      </w:pPr>
      <w:r>
        <w:fldChar w:fldCharType="begin"/>
      </w:r>
      <w:r>
        <w:instrText xml:space="preserve"> HYPERLINK \l "_Toc17724" </w:instrText>
      </w:r>
      <w:r>
        <w:fldChar w:fldCharType="separate"/>
      </w:r>
      <w:r>
        <w:rPr>
          <w:rFonts w:hint="eastAsia" w:ascii="宋体" w:hAnsi="宋体" w:cs="宋体"/>
          <w:szCs w:val="21"/>
        </w:rPr>
        <w:t>六、公告期限</w:t>
      </w:r>
      <w:r>
        <w:tab/>
      </w:r>
      <w:r>
        <w:fldChar w:fldCharType="begin"/>
      </w:r>
      <w:r>
        <w:instrText xml:space="preserve"> PAGEREF _Toc17724 \h </w:instrText>
      </w:r>
      <w:r>
        <w:fldChar w:fldCharType="separate"/>
      </w:r>
      <w:r>
        <w:t>5</w:t>
      </w:r>
      <w:r>
        <w:fldChar w:fldCharType="end"/>
      </w:r>
      <w:r>
        <w:fldChar w:fldCharType="end"/>
      </w:r>
    </w:p>
    <w:p w14:paraId="1DFBF407">
      <w:pPr>
        <w:pStyle w:val="18"/>
        <w:tabs>
          <w:tab w:val="right" w:leader="dot" w:pos="9619"/>
        </w:tabs>
      </w:pPr>
      <w:r>
        <w:fldChar w:fldCharType="begin"/>
      </w:r>
      <w:r>
        <w:instrText xml:space="preserve"> HYPERLINK \l "_Toc23972" </w:instrText>
      </w:r>
      <w:r>
        <w:fldChar w:fldCharType="separate"/>
      </w:r>
      <w:r>
        <w:rPr>
          <w:rFonts w:hint="eastAsia" w:ascii="宋体" w:hAnsi="宋体" w:cs="宋体"/>
          <w:szCs w:val="21"/>
        </w:rPr>
        <w:t>七、其他补充事宜</w:t>
      </w:r>
      <w:r>
        <w:tab/>
      </w:r>
      <w:r>
        <w:fldChar w:fldCharType="begin"/>
      </w:r>
      <w:r>
        <w:instrText xml:space="preserve"> PAGEREF _Toc23972 \h </w:instrText>
      </w:r>
      <w:r>
        <w:fldChar w:fldCharType="separate"/>
      </w:r>
      <w:r>
        <w:t>6</w:t>
      </w:r>
      <w:r>
        <w:fldChar w:fldCharType="end"/>
      </w:r>
      <w:r>
        <w:fldChar w:fldCharType="end"/>
      </w:r>
    </w:p>
    <w:p w14:paraId="2CC1D544">
      <w:pPr>
        <w:pStyle w:val="18"/>
        <w:tabs>
          <w:tab w:val="right" w:leader="dot" w:pos="9619"/>
        </w:tabs>
      </w:pPr>
      <w:r>
        <w:fldChar w:fldCharType="begin"/>
      </w:r>
      <w:r>
        <w:instrText xml:space="preserve"> HYPERLINK \l "_Toc9268" </w:instrText>
      </w:r>
      <w:r>
        <w:fldChar w:fldCharType="separate"/>
      </w:r>
      <w:r>
        <w:rPr>
          <w:rFonts w:hint="eastAsia" w:ascii="宋体" w:hAnsi="宋体" w:cs="宋体"/>
          <w:szCs w:val="21"/>
        </w:rPr>
        <w:t>八、凡对本次采购提出询问，请按</w:t>
      </w:r>
      <w:r>
        <w:rPr>
          <w:rFonts w:ascii="宋体" w:hAnsi="宋体" w:cs="宋体"/>
          <w:szCs w:val="21"/>
        </w:rPr>
        <w:t>以下方式</w:t>
      </w:r>
      <w:r>
        <w:rPr>
          <w:rFonts w:hint="eastAsia" w:ascii="宋体" w:hAnsi="宋体" w:cs="宋体"/>
          <w:szCs w:val="21"/>
        </w:rPr>
        <w:t>联系。</w:t>
      </w:r>
      <w:r>
        <w:tab/>
      </w:r>
      <w:r>
        <w:fldChar w:fldCharType="begin"/>
      </w:r>
      <w:r>
        <w:instrText xml:space="preserve"> PAGEREF _Toc9268 \h </w:instrText>
      </w:r>
      <w:r>
        <w:fldChar w:fldCharType="separate"/>
      </w:r>
      <w:r>
        <w:t>7</w:t>
      </w:r>
      <w:r>
        <w:fldChar w:fldCharType="end"/>
      </w:r>
      <w:r>
        <w:fldChar w:fldCharType="end"/>
      </w:r>
    </w:p>
    <w:p w14:paraId="21F97F2C">
      <w:pPr>
        <w:pStyle w:val="17"/>
        <w:tabs>
          <w:tab w:val="right" w:leader="dot" w:pos="9619"/>
        </w:tabs>
      </w:pPr>
      <w:r>
        <w:fldChar w:fldCharType="begin"/>
      </w:r>
      <w:r>
        <w:instrText xml:space="preserve"> HYPERLINK \l "_Toc29401" </w:instrText>
      </w:r>
      <w:r>
        <w:fldChar w:fldCharType="separate"/>
      </w:r>
      <w:r>
        <w:rPr>
          <w:rFonts w:hint="eastAsia"/>
        </w:rPr>
        <w:t>第二</w:t>
      </w:r>
      <w:r>
        <w:t>章</w:t>
      </w:r>
      <w:r>
        <w:rPr>
          <w:rFonts w:hint="eastAsia"/>
        </w:rPr>
        <w:t xml:space="preserve">  </w:t>
      </w:r>
      <w:r>
        <w:t>供应商须知</w:t>
      </w:r>
      <w:r>
        <w:tab/>
      </w:r>
      <w:r>
        <w:fldChar w:fldCharType="begin"/>
      </w:r>
      <w:r>
        <w:instrText xml:space="preserve"> PAGEREF _Toc29401 \h </w:instrText>
      </w:r>
      <w:r>
        <w:fldChar w:fldCharType="separate"/>
      </w:r>
      <w:r>
        <w:t>8</w:t>
      </w:r>
      <w:r>
        <w:fldChar w:fldCharType="end"/>
      </w:r>
      <w:r>
        <w:fldChar w:fldCharType="end"/>
      </w:r>
    </w:p>
    <w:p w14:paraId="29A26284">
      <w:pPr>
        <w:pStyle w:val="18"/>
        <w:tabs>
          <w:tab w:val="right" w:leader="dot" w:pos="9619"/>
        </w:tabs>
      </w:pPr>
      <w:r>
        <w:fldChar w:fldCharType="begin"/>
      </w:r>
      <w:r>
        <w:instrText xml:space="preserve"> HYPERLINK \l "_Toc27352" </w:instrText>
      </w:r>
      <w:r>
        <w:fldChar w:fldCharType="separate"/>
      </w:r>
      <w:r>
        <w:rPr>
          <w:szCs w:val="28"/>
        </w:rPr>
        <w:t>供应商须知前附表</w:t>
      </w:r>
      <w:r>
        <w:tab/>
      </w:r>
      <w:r>
        <w:fldChar w:fldCharType="begin"/>
      </w:r>
      <w:r>
        <w:instrText xml:space="preserve"> PAGEREF _Toc27352 \h </w:instrText>
      </w:r>
      <w:r>
        <w:fldChar w:fldCharType="separate"/>
      </w:r>
      <w:r>
        <w:t>8</w:t>
      </w:r>
      <w:r>
        <w:fldChar w:fldCharType="end"/>
      </w:r>
      <w:r>
        <w:fldChar w:fldCharType="end"/>
      </w:r>
    </w:p>
    <w:p w14:paraId="75AF766C">
      <w:pPr>
        <w:pStyle w:val="18"/>
        <w:tabs>
          <w:tab w:val="right" w:leader="dot" w:pos="9619"/>
        </w:tabs>
      </w:pPr>
      <w:r>
        <w:fldChar w:fldCharType="begin"/>
      </w:r>
      <w:r>
        <w:instrText xml:space="preserve"> HYPERLINK \l "_Toc13890" </w:instrText>
      </w:r>
      <w:r>
        <w:fldChar w:fldCharType="separate"/>
      </w:r>
      <w:r>
        <w:rPr>
          <w:rFonts w:ascii="宋体" w:hAnsi="宋体"/>
          <w:szCs w:val="28"/>
        </w:rPr>
        <w:t>一、总则</w:t>
      </w:r>
      <w:r>
        <w:tab/>
      </w:r>
      <w:r>
        <w:fldChar w:fldCharType="begin"/>
      </w:r>
      <w:r>
        <w:instrText xml:space="preserve"> PAGEREF _Toc13890 \h </w:instrText>
      </w:r>
      <w:r>
        <w:fldChar w:fldCharType="separate"/>
      </w:r>
      <w:r>
        <w:t>10</w:t>
      </w:r>
      <w:r>
        <w:fldChar w:fldCharType="end"/>
      </w:r>
      <w:r>
        <w:fldChar w:fldCharType="end"/>
      </w:r>
    </w:p>
    <w:p w14:paraId="6C1E51FA">
      <w:pPr>
        <w:pStyle w:val="12"/>
        <w:tabs>
          <w:tab w:val="right" w:leader="dot" w:pos="9619"/>
          <w:tab w:val="clear" w:pos="9515"/>
        </w:tabs>
        <w:ind w:left="840"/>
      </w:pPr>
      <w:r>
        <w:fldChar w:fldCharType="begin"/>
      </w:r>
      <w:r>
        <w:instrText xml:space="preserve"> HYPERLINK \l "_Toc23618" </w:instrText>
      </w:r>
      <w:r>
        <w:fldChar w:fldCharType="separate"/>
      </w:r>
      <w:r>
        <w:rPr>
          <w:rFonts w:ascii="宋体" w:hAnsi="宋体"/>
        </w:rPr>
        <w:t xml:space="preserve">1 </w:t>
      </w:r>
      <w:r>
        <w:rPr>
          <w:rFonts w:hAnsi="宋体"/>
        </w:rPr>
        <w:t>项目概况</w:t>
      </w:r>
      <w:r>
        <w:tab/>
      </w:r>
      <w:r>
        <w:fldChar w:fldCharType="begin"/>
      </w:r>
      <w:r>
        <w:instrText xml:space="preserve"> PAGEREF _Toc23618 \h </w:instrText>
      </w:r>
      <w:r>
        <w:fldChar w:fldCharType="separate"/>
      </w:r>
      <w:r>
        <w:t>10</w:t>
      </w:r>
      <w:r>
        <w:fldChar w:fldCharType="end"/>
      </w:r>
      <w:r>
        <w:fldChar w:fldCharType="end"/>
      </w:r>
    </w:p>
    <w:p w14:paraId="225C2B85">
      <w:pPr>
        <w:pStyle w:val="12"/>
        <w:tabs>
          <w:tab w:val="right" w:leader="dot" w:pos="9619"/>
          <w:tab w:val="clear" w:pos="9515"/>
        </w:tabs>
        <w:ind w:left="840"/>
      </w:pPr>
      <w:r>
        <w:fldChar w:fldCharType="begin"/>
      </w:r>
      <w:r>
        <w:instrText xml:space="preserve"> HYPERLINK \l "_Toc10808" </w:instrText>
      </w:r>
      <w:r>
        <w:fldChar w:fldCharType="separate"/>
      </w:r>
      <w:r>
        <w:rPr>
          <w:rFonts w:ascii="宋体" w:hAnsi="宋体"/>
        </w:rPr>
        <w:t xml:space="preserve">2 </w:t>
      </w:r>
      <w:r>
        <w:rPr>
          <w:rFonts w:hAnsi="宋体"/>
        </w:rPr>
        <w:t>资金来源</w:t>
      </w:r>
      <w:r>
        <w:tab/>
      </w:r>
      <w:r>
        <w:fldChar w:fldCharType="begin"/>
      </w:r>
      <w:r>
        <w:instrText xml:space="preserve"> PAGEREF _Toc10808 \h </w:instrText>
      </w:r>
      <w:r>
        <w:fldChar w:fldCharType="separate"/>
      </w:r>
      <w:r>
        <w:t>10</w:t>
      </w:r>
      <w:r>
        <w:fldChar w:fldCharType="end"/>
      </w:r>
      <w:r>
        <w:fldChar w:fldCharType="end"/>
      </w:r>
    </w:p>
    <w:p w14:paraId="6789022D">
      <w:pPr>
        <w:pStyle w:val="12"/>
        <w:tabs>
          <w:tab w:val="right" w:leader="dot" w:pos="9619"/>
          <w:tab w:val="clear" w:pos="9515"/>
        </w:tabs>
        <w:ind w:left="840"/>
      </w:pPr>
      <w:r>
        <w:fldChar w:fldCharType="begin"/>
      </w:r>
      <w:r>
        <w:instrText xml:space="preserve"> HYPERLINK \l "_Toc13928" </w:instrText>
      </w:r>
      <w:r>
        <w:fldChar w:fldCharType="separate"/>
      </w:r>
      <w:r>
        <w:rPr>
          <w:rFonts w:ascii="宋体" w:hAnsi="宋体"/>
        </w:rPr>
        <w:t xml:space="preserve">3 </w:t>
      </w:r>
      <w:r>
        <w:rPr>
          <w:rFonts w:hAnsi="宋体"/>
        </w:rPr>
        <w:t>采购范围及交货期</w:t>
      </w:r>
      <w:r>
        <w:tab/>
      </w:r>
      <w:r>
        <w:fldChar w:fldCharType="begin"/>
      </w:r>
      <w:r>
        <w:instrText xml:space="preserve"> PAGEREF _Toc13928 \h </w:instrText>
      </w:r>
      <w:r>
        <w:fldChar w:fldCharType="separate"/>
      </w:r>
      <w:r>
        <w:t>10</w:t>
      </w:r>
      <w:r>
        <w:fldChar w:fldCharType="end"/>
      </w:r>
      <w:r>
        <w:fldChar w:fldCharType="end"/>
      </w:r>
    </w:p>
    <w:p w14:paraId="299C5476">
      <w:pPr>
        <w:pStyle w:val="12"/>
        <w:tabs>
          <w:tab w:val="right" w:leader="dot" w:pos="9619"/>
          <w:tab w:val="clear" w:pos="9515"/>
        </w:tabs>
        <w:ind w:left="840"/>
      </w:pPr>
      <w:r>
        <w:fldChar w:fldCharType="begin"/>
      </w:r>
      <w:r>
        <w:instrText xml:space="preserve"> HYPERLINK \l "_Toc19922" </w:instrText>
      </w:r>
      <w:r>
        <w:fldChar w:fldCharType="separate"/>
      </w:r>
      <w:r>
        <w:rPr>
          <w:rFonts w:ascii="宋体" w:hAnsi="宋体"/>
        </w:rPr>
        <w:t xml:space="preserve">4 </w:t>
      </w:r>
      <w:r>
        <w:rPr>
          <w:rFonts w:hAnsi="宋体"/>
        </w:rPr>
        <w:t>合格的供应商（以下简称供应商）</w:t>
      </w:r>
      <w:r>
        <w:tab/>
      </w:r>
      <w:r>
        <w:fldChar w:fldCharType="begin"/>
      </w:r>
      <w:r>
        <w:instrText xml:space="preserve"> PAGEREF _Toc19922 \h </w:instrText>
      </w:r>
      <w:r>
        <w:fldChar w:fldCharType="separate"/>
      </w:r>
      <w:r>
        <w:t>10</w:t>
      </w:r>
      <w:r>
        <w:fldChar w:fldCharType="end"/>
      </w:r>
      <w:r>
        <w:fldChar w:fldCharType="end"/>
      </w:r>
    </w:p>
    <w:p w14:paraId="07E8506A">
      <w:pPr>
        <w:pStyle w:val="12"/>
        <w:tabs>
          <w:tab w:val="right" w:leader="dot" w:pos="9619"/>
          <w:tab w:val="clear" w:pos="9515"/>
        </w:tabs>
        <w:ind w:left="840"/>
      </w:pPr>
      <w:r>
        <w:fldChar w:fldCharType="begin"/>
      </w:r>
      <w:r>
        <w:instrText xml:space="preserve"> HYPERLINK \l "_Toc14612" </w:instrText>
      </w:r>
      <w:r>
        <w:fldChar w:fldCharType="separate"/>
      </w:r>
      <w:r>
        <w:rPr>
          <w:rFonts w:ascii="宋体" w:hAnsi="宋体"/>
        </w:rPr>
        <w:t xml:space="preserve">5 </w:t>
      </w:r>
      <w:r>
        <w:rPr>
          <w:rFonts w:hAnsi="宋体"/>
        </w:rPr>
        <w:t>谈判费用</w:t>
      </w:r>
      <w:r>
        <w:tab/>
      </w:r>
      <w:r>
        <w:fldChar w:fldCharType="begin"/>
      </w:r>
      <w:r>
        <w:instrText xml:space="preserve"> PAGEREF _Toc14612 \h </w:instrText>
      </w:r>
      <w:r>
        <w:fldChar w:fldCharType="separate"/>
      </w:r>
      <w:r>
        <w:t>11</w:t>
      </w:r>
      <w:r>
        <w:fldChar w:fldCharType="end"/>
      </w:r>
      <w:r>
        <w:fldChar w:fldCharType="end"/>
      </w:r>
    </w:p>
    <w:p w14:paraId="39E4EE95">
      <w:pPr>
        <w:pStyle w:val="18"/>
        <w:tabs>
          <w:tab w:val="right" w:leader="dot" w:pos="9619"/>
        </w:tabs>
      </w:pPr>
      <w:r>
        <w:fldChar w:fldCharType="begin"/>
      </w:r>
      <w:r>
        <w:instrText xml:space="preserve"> HYPERLINK \l "_Toc29310" </w:instrText>
      </w:r>
      <w:r>
        <w:fldChar w:fldCharType="separate"/>
      </w:r>
      <w:r>
        <w:rPr>
          <w:rFonts w:ascii="宋体" w:hAnsi="宋体"/>
          <w:szCs w:val="28"/>
        </w:rPr>
        <w:t>二、谈判文件</w:t>
      </w:r>
      <w:r>
        <w:tab/>
      </w:r>
      <w:r>
        <w:fldChar w:fldCharType="begin"/>
      </w:r>
      <w:r>
        <w:instrText xml:space="preserve"> PAGEREF _Toc29310 \h </w:instrText>
      </w:r>
      <w:r>
        <w:fldChar w:fldCharType="separate"/>
      </w:r>
      <w:r>
        <w:t>11</w:t>
      </w:r>
      <w:r>
        <w:fldChar w:fldCharType="end"/>
      </w:r>
      <w:r>
        <w:fldChar w:fldCharType="end"/>
      </w:r>
    </w:p>
    <w:p w14:paraId="6DCA2B16">
      <w:pPr>
        <w:pStyle w:val="12"/>
        <w:tabs>
          <w:tab w:val="right" w:leader="dot" w:pos="9619"/>
          <w:tab w:val="clear" w:pos="9515"/>
        </w:tabs>
        <w:ind w:left="840"/>
      </w:pPr>
      <w:r>
        <w:fldChar w:fldCharType="begin"/>
      </w:r>
      <w:r>
        <w:instrText xml:space="preserve"> HYPERLINK \l "_Toc26016" </w:instrText>
      </w:r>
      <w:r>
        <w:fldChar w:fldCharType="separate"/>
      </w:r>
      <w:r>
        <w:rPr>
          <w:rFonts w:ascii="宋体" w:hAnsi="宋体"/>
        </w:rPr>
        <w:t xml:space="preserve">6 </w:t>
      </w:r>
      <w:r>
        <w:rPr>
          <w:rFonts w:hAnsi="宋体"/>
        </w:rPr>
        <w:t>谈判文件的组成</w:t>
      </w:r>
      <w:r>
        <w:tab/>
      </w:r>
      <w:r>
        <w:fldChar w:fldCharType="begin"/>
      </w:r>
      <w:r>
        <w:instrText xml:space="preserve"> PAGEREF _Toc26016 \h </w:instrText>
      </w:r>
      <w:r>
        <w:fldChar w:fldCharType="separate"/>
      </w:r>
      <w:r>
        <w:t>11</w:t>
      </w:r>
      <w:r>
        <w:fldChar w:fldCharType="end"/>
      </w:r>
      <w:r>
        <w:fldChar w:fldCharType="end"/>
      </w:r>
    </w:p>
    <w:p w14:paraId="2AEC9DCF">
      <w:pPr>
        <w:pStyle w:val="12"/>
        <w:tabs>
          <w:tab w:val="right" w:leader="dot" w:pos="9619"/>
          <w:tab w:val="clear" w:pos="9515"/>
        </w:tabs>
        <w:ind w:left="840"/>
      </w:pPr>
      <w:r>
        <w:fldChar w:fldCharType="begin"/>
      </w:r>
      <w:r>
        <w:instrText xml:space="preserve"> HYPERLINK \l "_Toc15173" </w:instrText>
      </w:r>
      <w:r>
        <w:fldChar w:fldCharType="separate"/>
      </w:r>
      <w:r>
        <w:rPr>
          <w:rFonts w:ascii="宋体" w:hAnsi="宋体"/>
        </w:rPr>
        <w:t xml:space="preserve">7 </w:t>
      </w:r>
      <w:r>
        <w:rPr>
          <w:rFonts w:hAnsi="宋体"/>
        </w:rPr>
        <w:t>谈判文件的澄清、修改</w:t>
      </w:r>
      <w:r>
        <w:tab/>
      </w:r>
      <w:r>
        <w:fldChar w:fldCharType="begin"/>
      </w:r>
      <w:r>
        <w:instrText xml:space="preserve"> PAGEREF _Toc15173 \h </w:instrText>
      </w:r>
      <w:r>
        <w:fldChar w:fldCharType="separate"/>
      </w:r>
      <w:r>
        <w:t>11</w:t>
      </w:r>
      <w:r>
        <w:fldChar w:fldCharType="end"/>
      </w:r>
      <w:r>
        <w:fldChar w:fldCharType="end"/>
      </w:r>
    </w:p>
    <w:p w14:paraId="37692C05">
      <w:pPr>
        <w:pStyle w:val="18"/>
        <w:tabs>
          <w:tab w:val="right" w:leader="dot" w:pos="9619"/>
        </w:tabs>
      </w:pPr>
      <w:r>
        <w:fldChar w:fldCharType="begin"/>
      </w:r>
      <w:r>
        <w:instrText xml:space="preserve"> HYPERLINK \l "_Toc17829" </w:instrText>
      </w:r>
      <w:r>
        <w:fldChar w:fldCharType="separate"/>
      </w:r>
      <w:r>
        <w:rPr>
          <w:rFonts w:ascii="宋体" w:hAnsi="宋体"/>
          <w:szCs w:val="28"/>
        </w:rPr>
        <w:t>三、响应文件的编制</w:t>
      </w:r>
      <w:r>
        <w:tab/>
      </w:r>
      <w:r>
        <w:fldChar w:fldCharType="begin"/>
      </w:r>
      <w:r>
        <w:instrText xml:space="preserve"> PAGEREF _Toc17829 \h </w:instrText>
      </w:r>
      <w:r>
        <w:fldChar w:fldCharType="separate"/>
      </w:r>
      <w:r>
        <w:t>12</w:t>
      </w:r>
      <w:r>
        <w:fldChar w:fldCharType="end"/>
      </w:r>
      <w:r>
        <w:fldChar w:fldCharType="end"/>
      </w:r>
    </w:p>
    <w:p w14:paraId="4DDCEDFE">
      <w:pPr>
        <w:pStyle w:val="12"/>
        <w:tabs>
          <w:tab w:val="right" w:leader="dot" w:pos="9619"/>
          <w:tab w:val="clear" w:pos="9515"/>
        </w:tabs>
        <w:ind w:left="840"/>
      </w:pPr>
      <w:r>
        <w:fldChar w:fldCharType="begin"/>
      </w:r>
      <w:r>
        <w:instrText xml:space="preserve"> HYPERLINK \l "_Toc31564" </w:instrText>
      </w:r>
      <w:r>
        <w:fldChar w:fldCharType="separate"/>
      </w:r>
      <w:r>
        <w:rPr>
          <w:rFonts w:ascii="宋体" w:hAnsi="宋体"/>
        </w:rPr>
        <w:t xml:space="preserve">8 </w:t>
      </w:r>
      <w:r>
        <w:rPr>
          <w:rFonts w:hAnsi="宋体"/>
        </w:rPr>
        <w:t>响应文件编写注意事项</w:t>
      </w:r>
      <w:r>
        <w:tab/>
      </w:r>
      <w:r>
        <w:fldChar w:fldCharType="begin"/>
      </w:r>
      <w:r>
        <w:instrText xml:space="preserve"> PAGEREF _Toc31564 \h </w:instrText>
      </w:r>
      <w:r>
        <w:fldChar w:fldCharType="separate"/>
      </w:r>
      <w:r>
        <w:t>12</w:t>
      </w:r>
      <w:r>
        <w:fldChar w:fldCharType="end"/>
      </w:r>
      <w:r>
        <w:fldChar w:fldCharType="end"/>
      </w:r>
    </w:p>
    <w:p w14:paraId="706C78AD">
      <w:pPr>
        <w:pStyle w:val="12"/>
        <w:tabs>
          <w:tab w:val="right" w:leader="dot" w:pos="9619"/>
          <w:tab w:val="clear" w:pos="9515"/>
        </w:tabs>
        <w:ind w:left="840"/>
      </w:pPr>
      <w:r>
        <w:fldChar w:fldCharType="begin"/>
      </w:r>
      <w:r>
        <w:instrText xml:space="preserve"> HYPERLINK \l "_Toc14323" </w:instrText>
      </w:r>
      <w:r>
        <w:fldChar w:fldCharType="separate"/>
      </w:r>
      <w:r>
        <w:rPr>
          <w:rFonts w:ascii="宋体" w:hAnsi="宋体"/>
        </w:rPr>
        <w:t xml:space="preserve">9 </w:t>
      </w:r>
      <w:r>
        <w:rPr>
          <w:rFonts w:hAnsi="宋体"/>
        </w:rPr>
        <w:t>响应文件构成</w:t>
      </w:r>
      <w:r>
        <w:tab/>
      </w:r>
      <w:r>
        <w:fldChar w:fldCharType="begin"/>
      </w:r>
      <w:r>
        <w:instrText xml:space="preserve"> PAGEREF _Toc14323 \h </w:instrText>
      </w:r>
      <w:r>
        <w:fldChar w:fldCharType="separate"/>
      </w:r>
      <w:r>
        <w:t>12</w:t>
      </w:r>
      <w:r>
        <w:fldChar w:fldCharType="end"/>
      </w:r>
      <w:r>
        <w:fldChar w:fldCharType="end"/>
      </w:r>
    </w:p>
    <w:p w14:paraId="0BD76E1F">
      <w:pPr>
        <w:pStyle w:val="12"/>
        <w:tabs>
          <w:tab w:val="right" w:leader="dot" w:pos="9619"/>
          <w:tab w:val="clear" w:pos="9515"/>
        </w:tabs>
        <w:ind w:left="840"/>
      </w:pPr>
      <w:r>
        <w:fldChar w:fldCharType="begin"/>
      </w:r>
      <w:r>
        <w:instrText xml:space="preserve"> HYPERLINK \l "_Toc5461" </w:instrText>
      </w:r>
      <w:r>
        <w:fldChar w:fldCharType="separate"/>
      </w:r>
      <w:r>
        <w:rPr>
          <w:rFonts w:ascii="宋体" w:hAnsi="宋体"/>
        </w:rPr>
        <w:t xml:space="preserve">10 </w:t>
      </w:r>
      <w:r>
        <w:rPr>
          <w:rFonts w:hAnsi="宋体"/>
        </w:rPr>
        <w:t>报价和报价货币</w:t>
      </w:r>
      <w:r>
        <w:tab/>
      </w:r>
      <w:r>
        <w:fldChar w:fldCharType="begin"/>
      </w:r>
      <w:r>
        <w:instrText xml:space="preserve"> PAGEREF _Toc5461 \h </w:instrText>
      </w:r>
      <w:r>
        <w:fldChar w:fldCharType="separate"/>
      </w:r>
      <w:r>
        <w:t>12</w:t>
      </w:r>
      <w:r>
        <w:fldChar w:fldCharType="end"/>
      </w:r>
      <w:r>
        <w:fldChar w:fldCharType="end"/>
      </w:r>
    </w:p>
    <w:p w14:paraId="2015F14C">
      <w:pPr>
        <w:pStyle w:val="12"/>
        <w:tabs>
          <w:tab w:val="right" w:leader="dot" w:pos="9619"/>
          <w:tab w:val="clear" w:pos="9515"/>
        </w:tabs>
        <w:ind w:left="840"/>
      </w:pPr>
      <w:r>
        <w:fldChar w:fldCharType="begin"/>
      </w:r>
      <w:r>
        <w:instrText xml:space="preserve"> HYPERLINK \l "_Toc32407" </w:instrText>
      </w:r>
      <w:r>
        <w:fldChar w:fldCharType="separate"/>
      </w:r>
      <w:r>
        <w:rPr>
          <w:rFonts w:ascii="宋体" w:hAnsi="宋体"/>
        </w:rPr>
        <w:t xml:space="preserve">11 </w:t>
      </w:r>
      <w:r>
        <w:rPr>
          <w:rFonts w:hAnsi="宋体"/>
        </w:rPr>
        <w:t>有效期</w:t>
      </w:r>
      <w:r>
        <w:tab/>
      </w:r>
      <w:r>
        <w:fldChar w:fldCharType="begin"/>
      </w:r>
      <w:r>
        <w:instrText xml:space="preserve"> PAGEREF _Toc32407 \h </w:instrText>
      </w:r>
      <w:r>
        <w:fldChar w:fldCharType="separate"/>
      </w:r>
      <w:r>
        <w:t>13</w:t>
      </w:r>
      <w:r>
        <w:fldChar w:fldCharType="end"/>
      </w:r>
      <w:r>
        <w:fldChar w:fldCharType="end"/>
      </w:r>
    </w:p>
    <w:p w14:paraId="543B3A76">
      <w:pPr>
        <w:pStyle w:val="12"/>
        <w:tabs>
          <w:tab w:val="right" w:leader="dot" w:pos="9619"/>
          <w:tab w:val="clear" w:pos="9515"/>
        </w:tabs>
        <w:ind w:left="840"/>
      </w:pPr>
      <w:r>
        <w:fldChar w:fldCharType="begin"/>
      </w:r>
      <w:r>
        <w:instrText xml:space="preserve"> HYPERLINK \l "_Toc19531" </w:instrText>
      </w:r>
      <w:r>
        <w:fldChar w:fldCharType="separate"/>
      </w:r>
      <w:r>
        <w:rPr>
          <w:rFonts w:ascii="宋体" w:hAnsi="宋体"/>
        </w:rPr>
        <w:t xml:space="preserve">12 </w:t>
      </w:r>
      <w:r>
        <w:rPr>
          <w:rFonts w:hAnsi="宋体"/>
        </w:rPr>
        <w:t>响应文件的书写要求</w:t>
      </w:r>
      <w:r>
        <w:tab/>
      </w:r>
      <w:r>
        <w:fldChar w:fldCharType="begin"/>
      </w:r>
      <w:r>
        <w:instrText xml:space="preserve"> PAGEREF _Toc19531 \h </w:instrText>
      </w:r>
      <w:r>
        <w:fldChar w:fldCharType="separate"/>
      </w:r>
      <w:r>
        <w:t>13</w:t>
      </w:r>
      <w:r>
        <w:fldChar w:fldCharType="end"/>
      </w:r>
      <w:r>
        <w:fldChar w:fldCharType="end"/>
      </w:r>
    </w:p>
    <w:p w14:paraId="1D74A556">
      <w:pPr>
        <w:pStyle w:val="18"/>
        <w:tabs>
          <w:tab w:val="right" w:leader="dot" w:pos="9619"/>
        </w:tabs>
      </w:pPr>
      <w:r>
        <w:fldChar w:fldCharType="begin"/>
      </w:r>
      <w:r>
        <w:instrText xml:space="preserve"> HYPERLINK \l "_Toc23988" </w:instrText>
      </w:r>
      <w:r>
        <w:fldChar w:fldCharType="separate"/>
      </w:r>
      <w:r>
        <w:rPr>
          <w:rFonts w:ascii="宋体" w:hAnsi="宋体"/>
          <w:szCs w:val="28"/>
        </w:rPr>
        <w:t>四、响应文件的提交</w:t>
      </w:r>
      <w:r>
        <w:tab/>
      </w:r>
      <w:r>
        <w:fldChar w:fldCharType="begin"/>
      </w:r>
      <w:r>
        <w:instrText xml:space="preserve"> PAGEREF _Toc23988 \h </w:instrText>
      </w:r>
      <w:r>
        <w:fldChar w:fldCharType="separate"/>
      </w:r>
      <w:r>
        <w:t>13</w:t>
      </w:r>
      <w:r>
        <w:fldChar w:fldCharType="end"/>
      </w:r>
      <w:r>
        <w:fldChar w:fldCharType="end"/>
      </w:r>
    </w:p>
    <w:p w14:paraId="57D00C4B">
      <w:pPr>
        <w:pStyle w:val="12"/>
        <w:tabs>
          <w:tab w:val="right" w:leader="dot" w:pos="9619"/>
          <w:tab w:val="clear" w:pos="9515"/>
        </w:tabs>
        <w:ind w:left="840"/>
      </w:pPr>
      <w:r>
        <w:fldChar w:fldCharType="begin"/>
      </w:r>
      <w:r>
        <w:instrText xml:space="preserve"> HYPERLINK \l "_Toc13593" </w:instrText>
      </w:r>
      <w:r>
        <w:fldChar w:fldCharType="separate"/>
      </w:r>
      <w:r>
        <w:rPr>
          <w:rFonts w:ascii="宋体" w:hAnsi="宋体"/>
        </w:rPr>
        <w:t xml:space="preserve">13 </w:t>
      </w:r>
      <w:r>
        <w:rPr>
          <w:rFonts w:hAnsi="宋体"/>
        </w:rPr>
        <w:t>响应文件的密封与标记</w:t>
      </w:r>
      <w:r>
        <w:tab/>
      </w:r>
      <w:r>
        <w:fldChar w:fldCharType="begin"/>
      </w:r>
      <w:r>
        <w:instrText xml:space="preserve"> PAGEREF _Toc13593 \h </w:instrText>
      </w:r>
      <w:r>
        <w:fldChar w:fldCharType="separate"/>
      </w:r>
      <w:r>
        <w:t>13</w:t>
      </w:r>
      <w:r>
        <w:fldChar w:fldCharType="end"/>
      </w:r>
      <w:r>
        <w:fldChar w:fldCharType="end"/>
      </w:r>
    </w:p>
    <w:p w14:paraId="5A01F600">
      <w:pPr>
        <w:pStyle w:val="18"/>
        <w:tabs>
          <w:tab w:val="right" w:leader="dot" w:pos="9619"/>
        </w:tabs>
      </w:pPr>
      <w:r>
        <w:fldChar w:fldCharType="begin"/>
      </w:r>
      <w:r>
        <w:instrText xml:space="preserve"> HYPERLINK \l "_Toc23160" </w:instrText>
      </w:r>
      <w:r>
        <w:fldChar w:fldCharType="separate"/>
      </w:r>
      <w:r>
        <w:rPr>
          <w:rFonts w:ascii="宋体" w:hAnsi="宋体"/>
          <w:szCs w:val="28"/>
        </w:rPr>
        <w:t>五、谈判与评审</w:t>
      </w:r>
      <w:r>
        <w:tab/>
      </w:r>
      <w:r>
        <w:fldChar w:fldCharType="begin"/>
      </w:r>
      <w:r>
        <w:instrText xml:space="preserve"> PAGEREF _Toc23160 \h </w:instrText>
      </w:r>
      <w:r>
        <w:fldChar w:fldCharType="separate"/>
      </w:r>
      <w:r>
        <w:t>14</w:t>
      </w:r>
      <w:r>
        <w:fldChar w:fldCharType="end"/>
      </w:r>
      <w:r>
        <w:fldChar w:fldCharType="end"/>
      </w:r>
    </w:p>
    <w:p w14:paraId="3CFFE660">
      <w:pPr>
        <w:pStyle w:val="12"/>
        <w:tabs>
          <w:tab w:val="right" w:leader="dot" w:pos="9619"/>
          <w:tab w:val="clear" w:pos="9515"/>
        </w:tabs>
        <w:ind w:left="840"/>
      </w:pPr>
      <w:r>
        <w:fldChar w:fldCharType="begin"/>
      </w:r>
      <w:r>
        <w:instrText xml:space="preserve"> HYPERLINK \l "_Toc15459" </w:instrText>
      </w:r>
      <w:r>
        <w:fldChar w:fldCharType="separate"/>
      </w:r>
      <w:r>
        <w:rPr>
          <w:rFonts w:ascii="宋体" w:hAnsi="宋体"/>
        </w:rPr>
        <w:t xml:space="preserve">14 </w:t>
      </w:r>
      <w:r>
        <w:rPr>
          <w:rFonts w:hint="eastAsia" w:hAnsi="宋体"/>
        </w:rPr>
        <w:t>响应文件的解密</w:t>
      </w:r>
      <w:r>
        <w:tab/>
      </w:r>
      <w:r>
        <w:fldChar w:fldCharType="begin"/>
      </w:r>
      <w:r>
        <w:instrText xml:space="preserve"> PAGEREF _Toc15459 \h </w:instrText>
      </w:r>
      <w:r>
        <w:fldChar w:fldCharType="separate"/>
      </w:r>
      <w:r>
        <w:t>14</w:t>
      </w:r>
      <w:r>
        <w:fldChar w:fldCharType="end"/>
      </w:r>
      <w:r>
        <w:fldChar w:fldCharType="end"/>
      </w:r>
    </w:p>
    <w:p w14:paraId="71FCFF50">
      <w:pPr>
        <w:pStyle w:val="12"/>
        <w:tabs>
          <w:tab w:val="right" w:leader="dot" w:pos="9619"/>
          <w:tab w:val="clear" w:pos="9515"/>
        </w:tabs>
        <w:ind w:left="840"/>
      </w:pPr>
      <w:r>
        <w:fldChar w:fldCharType="begin"/>
      </w:r>
      <w:r>
        <w:instrText xml:space="preserve"> HYPERLINK \l "_Toc25212" </w:instrText>
      </w:r>
      <w:r>
        <w:fldChar w:fldCharType="separate"/>
      </w:r>
      <w:r>
        <w:rPr>
          <w:rFonts w:ascii="宋体" w:hAnsi="宋体"/>
        </w:rPr>
        <w:t xml:space="preserve">15 </w:t>
      </w:r>
      <w:r>
        <w:rPr>
          <w:rFonts w:hAnsi="宋体"/>
        </w:rPr>
        <w:t>谈判</w:t>
      </w:r>
      <w:r>
        <w:tab/>
      </w:r>
      <w:r>
        <w:fldChar w:fldCharType="begin"/>
      </w:r>
      <w:r>
        <w:instrText xml:space="preserve"> PAGEREF _Toc25212 \h </w:instrText>
      </w:r>
      <w:r>
        <w:fldChar w:fldCharType="separate"/>
      </w:r>
      <w:r>
        <w:t>14</w:t>
      </w:r>
      <w:r>
        <w:fldChar w:fldCharType="end"/>
      </w:r>
      <w:r>
        <w:fldChar w:fldCharType="end"/>
      </w:r>
    </w:p>
    <w:p w14:paraId="2BE2EC87">
      <w:pPr>
        <w:pStyle w:val="12"/>
        <w:tabs>
          <w:tab w:val="right" w:leader="dot" w:pos="9619"/>
          <w:tab w:val="clear" w:pos="9515"/>
        </w:tabs>
        <w:ind w:left="840"/>
      </w:pPr>
      <w:r>
        <w:fldChar w:fldCharType="begin"/>
      </w:r>
      <w:r>
        <w:instrText xml:space="preserve"> HYPERLINK \l "_Toc1751" </w:instrText>
      </w:r>
      <w:r>
        <w:fldChar w:fldCharType="separate"/>
      </w:r>
      <w:r>
        <w:rPr>
          <w:rFonts w:ascii="宋体" w:hAnsi="宋体"/>
        </w:rPr>
        <w:t xml:space="preserve">16 </w:t>
      </w:r>
      <w:r>
        <w:rPr>
          <w:rFonts w:hAnsi="宋体"/>
        </w:rPr>
        <w:t>评审</w:t>
      </w:r>
      <w:r>
        <w:tab/>
      </w:r>
      <w:r>
        <w:fldChar w:fldCharType="begin"/>
      </w:r>
      <w:r>
        <w:instrText xml:space="preserve"> PAGEREF _Toc1751 \h </w:instrText>
      </w:r>
      <w:r>
        <w:fldChar w:fldCharType="separate"/>
      </w:r>
      <w:r>
        <w:t>14</w:t>
      </w:r>
      <w:r>
        <w:fldChar w:fldCharType="end"/>
      </w:r>
      <w:r>
        <w:fldChar w:fldCharType="end"/>
      </w:r>
    </w:p>
    <w:p w14:paraId="4CDCB44B">
      <w:pPr>
        <w:pStyle w:val="12"/>
        <w:tabs>
          <w:tab w:val="right" w:leader="dot" w:pos="9619"/>
          <w:tab w:val="clear" w:pos="9515"/>
        </w:tabs>
        <w:ind w:left="840"/>
      </w:pPr>
      <w:r>
        <w:fldChar w:fldCharType="begin"/>
      </w:r>
      <w:r>
        <w:instrText xml:space="preserve"> HYPERLINK \l "_Toc10053" </w:instrText>
      </w:r>
      <w:r>
        <w:fldChar w:fldCharType="separate"/>
      </w:r>
      <w:r>
        <w:rPr>
          <w:rFonts w:ascii="宋体" w:hAnsi="宋体"/>
        </w:rPr>
        <w:t xml:space="preserve">17 </w:t>
      </w:r>
      <w:r>
        <w:rPr>
          <w:rFonts w:hAnsi="宋体"/>
        </w:rPr>
        <w:t>评审过程的保密</w:t>
      </w:r>
      <w:r>
        <w:tab/>
      </w:r>
      <w:r>
        <w:fldChar w:fldCharType="begin"/>
      </w:r>
      <w:r>
        <w:instrText xml:space="preserve"> PAGEREF _Toc10053 \h </w:instrText>
      </w:r>
      <w:r>
        <w:fldChar w:fldCharType="separate"/>
      </w:r>
      <w:r>
        <w:t>14</w:t>
      </w:r>
      <w:r>
        <w:fldChar w:fldCharType="end"/>
      </w:r>
      <w:r>
        <w:fldChar w:fldCharType="end"/>
      </w:r>
    </w:p>
    <w:p w14:paraId="4916792B">
      <w:pPr>
        <w:pStyle w:val="12"/>
        <w:tabs>
          <w:tab w:val="right" w:leader="dot" w:pos="9619"/>
          <w:tab w:val="clear" w:pos="9515"/>
        </w:tabs>
        <w:ind w:left="840"/>
      </w:pPr>
      <w:r>
        <w:fldChar w:fldCharType="begin"/>
      </w:r>
      <w:r>
        <w:instrText xml:space="preserve"> HYPERLINK \l "_Toc26926" </w:instrText>
      </w:r>
      <w:r>
        <w:fldChar w:fldCharType="separate"/>
      </w:r>
      <w:r>
        <w:rPr>
          <w:rFonts w:ascii="宋体" w:hAnsi="宋体" w:cs="宋体"/>
          <w:kern w:val="0"/>
          <w:szCs w:val="21"/>
        </w:rPr>
        <w:t xml:space="preserve">18 </w:t>
      </w:r>
      <w:r>
        <w:rPr>
          <w:rFonts w:hint="eastAsia" w:hAnsi="宋体" w:cs="宋体"/>
          <w:kern w:val="0"/>
          <w:szCs w:val="21"/>
        </w:rPr>
        <w:t>供应商存在下列情况之一的，响应文件无效：</w:t>
      </w:r>
      <w:r>
        <w:tab/>
      </w:r>
      <w:r>
        <w:fldChar w:fldCharType="begin"/>
      </w:r>
      <w:r>
        <w:instrText xml:space="preserve"> PAGEREF _Toc26926 \h </w:instrText>
      </w:r>
      <w:r>
        <w:fldChar w:fldCharType="separate"/>
      </w:r>
      <w:r>
        <w:t>14</w:t>
      </w:r>
      <w:r>
        <w:fldChar w:fldCharType="end"/>
      </w:r>
      <w:r>
        <w:fldChar w:fldCharType="end"/>
      </w:r>
    </w:p>
    <w:p w14:paraId="2336EE22">
      <w:pPr>
        <w:pStyle w:val="12"/>
        <w:tabs>
          <w:tab w:val="right" w:leader="dot" w:pos="9619"/>
          <w:tab w:val="clear" w:pos="9515"/>
        </w:tabs>
        <w:ind w:left="840"/>
      </w:pPr>
      <w:r>
        <w:fldChar w:fldCharType="begin"/>
      </w:r>
      <w:r>
        <w:instrText xml:space="preserve"> HYPERLINK \l "_Toc5835" </w:instrText>
      </w:r>
      <w:r>
        <w:fldChar w:fldCharType="separate"/>
      </w:r>
      <w:r>
        <w:rPr>
          <w:rFonts w:ascii="宋体" w:hAnsi="宋体" w:cs="宋体"/>
          <w:kern w:val="0"/>
          <w:szCs w:val="21"/>
        </w:rPr>
        <w:t xml:space="preserve">19 </w:t>
      </w:r>
      <w:r>
        <w:rPr>
          <w:rFonts w:hAnsi="宋体" w:cs="宋体"/>
          <w:kern w:val="0"/>
          <w:szCs w:val="21"/>
        </w:rPr>
        <w:t>有下列情形之一的，视为</w:t>
      </w:r>
      <w:r>
        <w:rPr>
          <w:rFonts w:hint="eastAsia" w:hAnsi="宋体" w:cs="宋体"/>
          <w:kern w:val="0"/>
          <w:szCs w:val="21"/>
        </w:rPr>
        <w:t>供应商</w:t>
      </w:r>
      <w:r>
        <w:rPr>
          <w:rFonts w:hAnsi="宋体" w:cs="宋体"/>
          <w:kern w:val="0"/>
          <w:szCs w:val="21"/>
        </w:rPr>
        <w:t>串通投标，其</w:t>
      </w:r>
      <w:r>
        <w:rPr>
          <w:rFonts w:hint="eastAsia" w:hAnsi="宋体" w:cs="宋体"/>
          <w:kern w:val="0"/>
          <w:szCs w:val="21"/>
        </w:rPr>
        <w:t>响应文件</w:t>
      </w:r>
      <w:r>
        <w:rPr>
          <w:rFonts w:hAnsi="宋体" w:cs="宋体"/>
          <w:kern w:val="0"/>
          <w:szCs w:val="21"/>
        </w:rPr>
        <w:t>无效：</w:t>
      </w:r>
      <w:r>
        <w:tab/>
      </w:r>
      <w:r>
        <w:fldChar w:fldCharType="begin"/>
      </w:r>
      <w:r>
        <w:instrText xml:space="preserve"> PAGEREF _Toc5835 \h </w:instrText>
      </w:r>
      <w:r>
        <w:fldChar w:fldCharType="separate"/>
      </w:r>
      <w:r>
        <w:t>15</w:t>
      </w:r>
      <w:r>
        <w:fldChar w:fldCharType="end"/>
      </w:r>
      <w:r>
        <w:fldChar w:fldCharType="end"/>
      </w:r>
    </w:p>
    <w:p w14:paraId="0F9382DD">
      <w:pPr>
        <w:pStyle w:val="12"/>
        <w:tabs>
          <w:tab w:val="right" w:leader="dot" w:pos="9619"/>
          <w:tab w:val="clear" w:pos="9515"/>
        </w:tabs>
        <w:ind w:left="840"/>
      </w:pPr>
      <w:r>
        <w:fldChar w:fldCharType="begin"/>
      </w:r>
      <w:r>
        <w:instrText xml:space="preserve"> HYPERLINK \l "_Toc23833" </w:instrText>
      </w:r>
      <w:r>
        <w:fldChar w:fldCharType="separate"/>
      </w:r>
      <w:r>
        <w:rPr>
          <w:rFonts w:ascii="宋体" w:hAnsi="宋体"/>
        </w:rPr>
        <w:t xml:space="preserve">20 </w:t>
      </w:r>
      <w:r>
        <w:rPr>
          <w:rFonts w:hAnsi="宋体" w:cs="宋体"/>
          <w:kern w:val="0"/>
          <w:szCs w:val="21"/>
        </w:rPr>
        <w:t>出现下列情形之一的，</w:t>
      </w:r>
      <w:r>
        <w:rPr>
          <w:rFonts w:hint="eastAsia" w:hAnsi="宋体" w:cs="宋体"/>
          <w:kern w:val="0"/>
          <w:szCs w:val="21"/>
        </w:rPr>
        <w:t>项目</w:t>
      </w:r>
      <w:r>
        <w:rPr>
          <w:rFonts w:hAnsi="宋体" w:cs="宋体"/>
          <w:kern w:val="0"/>
          <w:szCs w:val="21"/>
        </w:rPr>
        <w:t>终止</w:t>
      </w:r>
      <w:r>
        <w:rPr>
          <w:rFonts w:hAnsi="宋体"/>
        </w:rPr>
        <w:t>：</w:t>
      </w:r>
      <w:r>
        <w:tab/>
      </w:r>
      <w:r>
        <w:fldChar w:fldCharType="begin"/>
      </w:r>
      <w:r>
        <w:instrText xml:space="preserve"> PAGEREF _Toc23833 \h </w:instrText>
      </w:r>
      <w:r>
        <w:fldChar w:fldCharType="separate"/>
      </w:r>
      <w:r>
        <w:t>15</w:t>
      </w:r>
      <w:r>
        <w:fldChar w:fldCharType="end"/>
      </w:r>
      <w:r>
        <w:fldChar w:fldCharType="end"/>
      </w:r>
    </w:p>
    <w:p w14:paraId="1BDDB868">
      <w:pPr>
        <w:pStyle w:val="18"/>
        <w:tabs>
          <w:tab w:val="right" w:leader="dot" w:pos="9619"/>
        </w:tabs>
      </w:pPr>
      <w:r>
        <w:fldChar w:fldCharType="begin"/>
      </w:r>
      <w:r>
        <w:instrText xml:space="preserve"> HYPERLINK \l "_Toc24876" </w:instrText>
      </w:r>
      <w:r>
        <w:fldChar w:fldCharType="separate"/>
      </w:r>
      <w:r>
        <w:rPr>
          <w:rFonts w:ascii="宋体" w:hAnsi="宋体"/>
          <w:szCs w:val="28"/>
        </w:rPr>
        <w:t>六、成交结果</w:t>
      </w:r>
      <w:r>
        <w:tab/>
      </w:r>
      <w:r>
        <w:fldChar w:fldCharType="begin"/>
      </w:r>
      <w:r>
        <w:instrText xml:space="preserve"> PAGEREF _Toc24876 \h </w:instrText>
      </w:r>
      <w:r>
        <w:fldChar w:fldCharType="separate"/>
      </w:r>
      <w:r>
        <w:t>15</w:t>
      </w:r>
      <w:r>
        <w:fldChar w:fldCharType="end"/>
      </w:r>
      <w:r>
        <w:fldChar w:fldCharType="end"/>
      </w:r>
    </w:p>
    <w:p w14:paraId="16488344">
      <w:pPr>
        <w:pStyle w:val="12"/>
        <w:tabs>
          <w:tab w:val="right" w:leader="dot" w:pos="9619"/>
          <w:tab w:val="clear" w:pos="9515"/>
        </w:tabs>
        <w:ind w:left="840"/>
      </w:pPr>
      <w:r>
        <w:fldChar w:fldCharType="begin"/>
      </w:r>
      <w:r>
        <w:instrText xml:space="preserve"> HYPERLINK \l "_Toc17068" </w:instrText>
      </w:r>
      <w:r>
        <w:fldChar w:fldCharType="separate"/>
      </w:r>
      <w:r>
        <w:rPr>
          <w:rFonts w:ascii="宋体" w:hAnsi="宋体"/>
        </w:rPr>
        <w:t xml:space="preserve">21 </w:t>
      </w:r>
      <w:r>
        <w:rPr>
          <w:rFonts w:hAnsi="宋体"/>
        </w:rPr>
        <w:t>成交</w:t>
      </w:r>
      <w:r>
        <w:rPr>
          <w:rFonts w:hint="eastAsia" w:hAnsi="宋体"/>
        </w:rPr>
        <w:t>供应商</w:t>
      </w:r>
      <w:r>
        <w:rPr>
          <w:rFonts w:hAnsi="宋体"/>
        </w:rPr>
        <w:t>的确定</w:t>
      </w:r>
      <w:r>
        <w:tab/>
      </w:r>
      <w:r>
        <w:fldChar w:fldCharType="begin"/>
      </w:r>
      <w:r>
        <w:instrText xml:space="preserve"> PAGEREF _Toc17068 \h </w:instrText>
      </w:r>
      <w:r>
        <w:fldChar w:fldCharType="separate"/>
      </w:r>
      <w:r>
        <w:t>15</w:t>
      </w:r>
      <w:r>
        <w:fldChar w:fldCharType="end"/>
      </w:r>
      <w:r>
        <w:fldChar w:fldCharType="end"/>
      </w:r>
    </w:p>
    <w:p w14:paraId="3F45ECB8">
      <w:pPr>
        <w:pStyle w:val="12"/>
        <w:tabs>
          <w:tab w:val="right" w:leader="dot" w:pos="9619"/>
          <w:tab w:val="clear" w:pos="9515"/>
        </w:tabs>
        <w:ind w:left="840"/>
      </w:pPr>
      <w:r>
        <w:fldChar w:fldCharType="begin"/>
      </w:r>
      <w:r>
        <w:instrText xml:space="preserve"> HYPERLINK \l "_Toc15602" </w:instrText>
      </w:r>
      <w:r>
        <w:fldChar w:fldCharType="separate"/>
      </w:r>
      <w:r>
        <w:rPr>
          <w:rFonts w:ascii="宋体" w:hAnsi="宋体"/>
        </w:rPr>
        <w:t xml:space="preserve">22 </w:t>
      </w:r>
      <w:r>
        <w:rPr>
          <w:rFonts w:hAnsi="宋体"/>
        </w:rPr>
        <w:t>签订合同</w:t>
      </w:r>
      <w:r>
        <w:tab/>
      </w:r>
      <w:r>
        <w:fldChar w:fldCharType="begin"/>
      </w:r>
      <w:r>
        <w:instrText xml:space="preserve"> PAGEREF _Toc15602 \h </w:instrText>
      </w:r>
      <w:r>
        <w:fldChar w:fldCharType="separate"/>
      </w:r>
      <w:r>
        <w:t>15</w:t>
      </w:r>
      <w:r>
        <w:fldChar w:fldCharType="end"/>
      </w:r>
      <w:r>
        <w:fldChar w:fldCharType="end"/>
      </w:r>
    </w:p>
    <w:p w14:paraId="3CB0C48D">
      <w:pPr>
        <w:pStyle w:val="12"/>
        <w:tabs>
          <w:tab w:val="right" w:leader="dot" w:pos="9619"/>
          <w:tab w:val="clear" w:pos="9515"/>
        </w:tabs>
        <w:ind w:left="840"/>
      </w:pPr>
      <w:r>
        <w:fldChar w:fldCharType="begin"/>
      </w:r>
      <w:r>
        <w:instrText xml:space="preserve"> HYPERLINK \l "_Toc31235" </w:instrText>
      </w:r>
      <w:r>
        <w:fldChar w:fldCharType="separate"/>
      </w:r>
      <w:r>
        <w:rPr>
          <w:rFonts w:ascii="宋体" w:hAnsi="宋体" w:cs="宋体"/>
          <w:kern w:val="0"/>
          <w:szCs w:val="21"/>
        </w:rPr>
        <w:t xml:space="preserve">23 </w:t>
      </w:r>
      <w:r>
        <w:rPr>
          <w:rFonts w:hAnsi="宋体"/>
        </w:rPr>
        <w:t>履约保证金</w:t>
      </w:r>
      <w:r>
        <w:tab/>
      </w:r>
      <w:r>
        <w:fldChar w:fldCharType="begin"/>
      </w:r>
      <w:r>
        <w:instrText xml:space="preserve"> PAGEREF _Toc31235 \h </w:instrText>
      </w:r>
      <w:r>
        <w:fldChar w:fldCharType="separate"/>
      </w:r>
      <w:r>
        <w:t>16</w:t>
      </w:r>
      <w:r>
        <w:fldChar w:fldCharType="end"/>
      </w:r>
      <w:r>
        <w:fldChar w:fldCharType="end"/>
      </w:r>
    </w:p>
    <w:p w14:paraId="623D57BC">
      <w:pPr>
        <w:pStyle w:val="18"/>
        <w:tabs>
          <w:tab w:val="right" w:leader="dot" w:pos="9619"/>
        </w:tabs>
      </w:pPr>
      <w:r>
        <w:fldChar w:fldCharType="begin"/>
      </w:r>
      <w:r>
        <w:instrText xml:space="preserve"> HYPERLINK \l "_Toc26262" </w:instrText>
      </w:r>
      <w:r>
        <w:fldChar w:fldCharType="separate"/>
      </w:r>
      <w:r>
        <w:rPr>
          <w:rFonts w:ascii="宋体" w:hAnsi="宋体"/>
          <w:szCs w:val="28"/>
        </w:rPr>
        <w:t>七、其他事项</w:t>
      </w:r>
      <w:r>
        <w:tab/>
      </w:r>
      <w:r>
        <w:fldChar w:fldCharType="begin"/>
      </w:r>
      <w:r>
        <w:instrText xml:space="preserve"> PAGEREF _Toc26262 \h </w:instrText>
      </w:r>
      <w:r>
        <w:fldChar w:fldCharType="separate"/>
      </w:r>
      <w:r>
        <w:t>16</w:t>
      </w:r>
      <w:r>
        <w:fldChar w:fldCharType="end"/>
      </w:r>
      <w:r>
        <w:fldChar w:fldCharType="end"/>
      </w:r>
    </w:p>
    <w:p w14:paraId="24B690B4">
      <w:pPr>
        <w:pStyle w:val="12"/>
        <w:tabs>
          <w:tab w:val="right" w:leader="dot" w:pos="9619"/>
          <w:tab w:val="clear" w:pos="9515"/>
        </w:tabs>
        <w:ind w:left="840"/>
      </w:pPr>
      <w:r>
        <w:fldChar w:fldCharType="begin"/>
      </w:r>
      <w:r>
        <w:instrText xml:space="preserve"> HYPERLINK \l "_Toc32568" </w:instrText>
      </w:r>
      <w:r>
        <w:fldChar w:fldCharType="separate"/>
      </w:r>
      <w:r>
        <w:rPr>
          <w:rFonts w:ascii="宋体" w:hAnsi="宋体"/>
        </w:rPr>
        <w:t xml:space="preserve">24 </w:t>
      </w:r>
      <w:r>
        <w:rPr>
          <w:rFonts w:hAnsi="宋体"/>
        </w:rPr>
        <w:t>质疑和投诉</w:t>
      </w:r>
      <w:r>
        <w:tab/>
      </w:r>
      <w:r>
        <w:fldChar w:fldCharType="begin"/>
      </w:r>
      <w:r>
        <w:instrText xml:space="preserve"> PAGEREF _Toc32568 \h </w:instrText>
      </w:r>
      <w:r>
        <w:fldChar w:fldCharType="separate"/>
      </w:r>
      <w:r>
        <w:t>16</w:t>
      </w:r>
      <w:r>
        <w:fldChar w:fldCharType="end"/>
      </w:r>
      <w:r>
        <w:fldChar w:fldCharType="end"/>
      </w:r>
    </w:p>
    <w:p w14:paraId="5E09284A">
      <w:pPr>
        <w:pStyle w:val="12"/>
        <w:tabs>
          <w:tab w:val="right" w:leader="dot" w:pos="9619"/>
          <w:tab w:val="clear" w:pos="9515"/>
        </w:tabs>
        <w:ind w:left="840"/>
      </w:pPr>
      <w:r>
        <w:fldChar w:fldCharType="begin"/>
      </w:r>
      <w:r>
        <w:instrText xml:space="preserve"> HYPERLINK \l "_Toc32048" </w:instrText>
      </w:r>
      <w:r>
        <w:fldChar w:fldCharType="separate"/>
      </w:r>
      <w:r>
        <w:rPr>
          <w:rFonts w:ascii="宋体" w:hAnsi="宋体"/>
        </w:rPr>
        <w:t xml:space="preserve">25 </w:t>
      </w:r>
      <w:r>
        <w:rPr>
          <w:rFonts w:hAnsi="宋体"/>
        </w:rPr>
        <w:t>采购代理服务费</w:t>
      </w:r>
      <w:r>
        <w:tab/>
      </w:r>
      <w:r>
        <w:fldChar w:fldCharType="begin"/>
      </w:r>
      <w:r>
        <w:instrText xml:space="preserve"> PAGEREF _Toc32048 \h </w:instrText>
      </w:r>
      <w:r>
        <w:fldChar w:fldCharType="separate"/>
      </w:r>
      <w:r>
        <w:t>17</w:t>
      </w:r>
      <w:r>
        <w:fldChar w:fldCharType="end"/>
      </w:r>
      <w:r>
        <w:fldChar w:fldCharType="end"/>
      </w:r>
    </w:p>
    <w:p w14:paraId="283FD36E">
      <w:pPr>
        <w:pStyle w:val="12"/>
        <w:tabs>
          <w:tab w:val="right" w:leader="dot" w:pos="9619"/>
          <w:tab w:val="clear" w:pos="9515"/>
        </w:tabs>
        <w:ind w:left="840"/>
      </w:pPr>
      <w:r>
        <w:fldChar w:fldCharType="begin"/>
      </w:r>
      <w:r>
        <w:instrText xml:space="preserve"> HYPERLINK \l "_Toc17123" </w:instrText>
      </w:r>
      <w:r>
        <w:fldChar w:fldCharType="separate"/>
      </w:r>
      <w:r>
        <w:rPr>
          <w:rFonts w:ascii="宋体" w:hAnsi="宋体"/>
        </w:rPr>
        <w:t xml:space="preserve">26 </w:t>
      </w:r>
      <w:r>
        <w:rPr>
          <w:rFonts w:hint="eastAsia" w:hAnsi="宋体"/>
        </w:rPr>
        <w:t>实质性变动</w:t>
      </w:r>
      <w:r>
        <w:tab/>
      </w:r>
      <w:r>
        <w:fldChar w:fldCharType="begin"/>
      </w:r>
      <w:r>
        <w:instrText xml:space="preserve"> PAGEREF _Toc17123 \h </w:instrText>
      </w:r>
      <w:r>
        <w:fldChar w:fldCharType="separate"/>
      </w:r>
      <w:r>
        <w:t>17</w:t>
      </w:r>
      <w:r>
        <w:fldChar w:fldCharType="end"/>
      </w:r>
      <w:r>
        <w:fldChar w:fldCharType="end"/>
      </w:r>
    </w:p>
    <w:p w14:paraId="3808B33C">
      <w:pPr>
        <w:pStyle w:val="12"/>
        <w:tabs>
          <w:tab w:val="right" w:leader="dot" w:pos="9619"/>
          <w:tab w:val="clear" w:pos="9515"/>
        </w:tabs>
        <w:ind w:left="840"/>
      </w:pPr>
      <w:r>
        <w:fldChar w:fldCharType="begin"/>
      </w:r>
      <w:r>
        <w:instrText xml:space="preserve"> HYPERLINK \l "_Toc11621" </w:instrText>
      </w:r>
      <w:r>
        <w:fldChar w:fldCharType="separate"/>
      </w:r>
      <w:r>
        <w:rPr>
          <w:rFonts w:ascii="宋体" w:hAnsi="宋体"/>
        </w:rPr>
        <w:t xml:space="preserve">27 </w:t>
      </w:r>
      <w:r>
        <w:rPr>
          <w:rFonts w:hAnsi="宋体"/>
        </w:rPr>
        <w:t>需要补充的其他内容</w:t>
      </w:r>
      <w:r>
        <w:tab/>
      </w:r>
      <w:r>
        <w:fldChar w:fldCharType="begin"/>
      </w:r>
      <w:r>
        <w:instrText xml:space="preserve"> PAGEREF _Toc11621 \h </w:instrText>
      </w:r>
      <w:r>
        <w:fldChar w:fldCharType="separate"/>
      </w:r>
      <w:r>
        <w:t>17</w:t>
      </w:r>
      <w:r>
        <w:fldChar w:fldCharType="end"/>
      </w:r>
      <w:r>
        <w:fldChar w:fldCharType="end"/>
      </w:r>
    </w:p>
    <w:p w14:paraId="5019CED7">
      <w:pPr>
        <w:pStyle w:val="17"/>
        <w:tabs>
          <w:tab w:val="right" w:leader="dot" w:pos="9619"/>
        </w:tabs>
      </w:pPr>
      <w:r>
        <w:fldChar w:fldCharType="begin"/>
      </w:r>
      <w:r>
        <w:instrText xml:space="preserve"> HYPERLINK \l "_Toc3002" </w:instrText>
      </w:r>
      <w:r>
        <w:fldChar w:fldCharType="separate"/>
      </w:r>
      <w:r>
        <w:rPr>
          <w:szCs w:val="32"/>
        </w:rPr>
        <w:t>第三章</w:t>
      </w:r>
      <w:r>
        <w:rPr>
          <w:rFonts w:hint="eastAsia"/>
          <w:szCs w:val="32"/>
        </w:rPr>
        <w:t xml:space="preserve"> </w:t>
      </w:r>
      <w:r>
        <w:rPr>
          <w:szCs w:val="32"/>
        </w:rPr>
        <w:t>合同书样式及主要条款</w:t>
      </w:r>
      <w:r>
        <w:tab/>
      </w:r>
      <w:r>
        <w:fldChar w:fldCharType="begin"/>
      </w:r>
      <w:r>
        <w:instrText xml:space="preserve"> PAGEREF _Toc3002 \h </w:instrText>
      </w:r>
      <w:r>
        <w:fldChar w:fldCharType="separate"/>
      </w:r>
      <w:r>
        <w:t>19</w:t>
      </w:r>
      <w:r>
        <w:fldChar w:fldCharType="end"/>
      </w:r>
      <w:r>
        <w:fldChar w:fldCharType="end"/>
      </w:r>
    </w:p>
    <w:p w14:paraId="40D2BE87">
      <w:pPr>
        <w:pStyle w:val="18"/>
        <w:tabs>
          <w:tab w:val="right" w:leader="dot" w:pos="9619"/>
        </w:tabs>
      </w:pPr>
      <w:r>
        <w:fldChar w:fldCharType="begin"/>
      </w:r>
      <w:r>
        <w:instrText xml:space="preserve"> HYPERLINK \l "_Toc25883" </w:instrText>
      </w:r>
      <w:r>
        <w:fldChar w:fldCharType="separate"/>
      </w:r>
      <w:r>
        <w:rPr>
          <w:szCs w:val="28"/>
        </w:rPr>
        <w:t>合同条款前附表</w:t>
      </w:r>
      <w:r>
        <w:tab/>
      </w:r>
      <w:r>
        <w:fldChar w:fldCharType="begin"/>
      </w:r>
      <w:r>
        <w:instrText xml:space="preserve"> PAGEREF _Toc25883 \h </w:instrText>
      </w:r>
      <w:r>
        <w:fldChar w:fldCharType="separate"/>
      </w:r>
      <w:r>
        <w:t>19</w:t>
      </w:r>
      <w:r>
        <w:fldChar w:fldCharType="end"/>
      </w:r>
      <w:r>
        <w:fldChar w:fldCharType="end"/>
      </w:r>
    </w:p>
    <w:p w14:paraId="3B8722CF">
      <w:pPr>
        <w:pStyle w:val="18"/>
        <w:tabs>
          <w:tab w:val="right" w:leader="dot" w:pos="9619"/>
        </w:tabs>
      </w:pPr>
      <w:r>
        <w:fldChar w:fldCharType="begin"/>
      </w:r>
      <w:r>
        <w:instrText xml:space="preserve"> HYPERLINK \l "_Toc21002" </w:instrText>
      </w:r>
      <w:r>
        <w:fldChar w:fldCharType="separate"/>
      </w:r>
      <w:r>
        <w:rPr>
          <w:szCs w:val="28"/>
        </w:rPr>
        <w:t>云南省省级政府集中采购（货物类）合同书（格式）</w:t>
      </w:r>
      <w:r>
        <w:tab/>
      </w:r>
      <w:r>
        <w:fldChar w:fldCharType="begin"/>
      </w:r>
      <w:r>
        <w:instrText xml:space="preserve"> PAGEREF _Toc21002 \h </w:instrText>
      </w:r>
      <w:r>
        <w:fldChar w:fldCharType="separate"/>
      </w:r>
      <w:r>
        <w:t>19</w:t>
      </w:r>
      <w:r>
        <w:fldChar w:fldCharType="end"/>
      </w:r>
      <w:r>
        <w:fldChar w:fldCharType="end"/>
      </w:r>
    </w:p>
    <w:p w14:paraId="03EA32DF">
      <w:pPr>
        <w:pStyle w:val="17"/>
        <w:tabs>
          <w:tab w:val="right" w:leader="dot" w:pos="9619"/>
        </w:tabs>
      </w:pPr>
      <w:r>
        <w:fldChar w:fldCharType="begin"/>
      </w:r>
      <w:r>
        <w:instrText xml:space="preserve"> HYPERLINK \l "_Toc23930" </w:instrText>
      </w:r>
      <w:r>
        <w:fldChar w:fldCharType="separate"/>
      </w:r>
      <w:r>
        <w:rPr>
          <w:rFonts w:hint="eastAsia" w:ascii="宋体" w:hAnsi="宋体"/>
        </w:rPr>
        <w:t>第四章 响应文件格式</w:t>
      </w:r>
      <w:r>
        <w:tab/>
      </w:r>
      <w:r>
        <w:fldChar w:fldCharType="begin"/>
      </w:r>
      <w:r>
        <w:instrText xml:space="preserve"> PAGEREF _Toc23930 \h </w:instrText>
      </w:r>
      <w:r>
        <w:fldChar w:fldCharType="separate"/>
      </w:r>
      <w:r>
        <w:t>28</w:t>
      </w:r>
      <w:r>
        <w:fldChar w:fldCharType="end"/>
      </w:r>
      <w:r>
        <w:fldChar w:fldCharType="end"/>
      </w:r>
    </w:p>
    <w:p w14:paraId="7F21087B">
      <w:pPr>
        <w:pStyle w:val="18"/>
        <w:tabs>
          <w:tab w:val="right" w:leader="dot" w:pos="9619"/>
        </w:tabs>
      </w:pPr>
      <w:r>
        <w:fldChar w:fldCharType="begin"/>
      </w:r>
      <w:r>
        <w:instrText xml:space="preserve"> HYPERLINK \l "_Toc19487" </w:instrText>
      </w:r>
      <w:r>
        <w:fldChar w:fldCharType="separate"/>
      </w:r>
      <w:r>
        <w:rPr>
          <w:rFonts w:hint="eastAsia" w:ascii="宋体" w:hAnsi="宋体"/>
          <w:szCs w:val="28"/>
        </w:rPr>
        <w:t>格式1 响应文件（资格部分）</w:t>
      </w:r>
      <w:r>
        <w:tab/>
      </w:r>
      <w:r>
        <w:fldChar w:fldCharType="begin"/>
      </w:r>
      <w:r>
        <w:instrText xml:space="preserve"> PAGEREF _Toc19487 \h </w:instrText>
      </w:r>
      <w:r>
        <w:fldChar w:fldCharType="separate"/>
      </w:r>
      <w:r>
        <w:t>28</w:t>
      </w:r>
      <w:r>
        <w:fldChar w:fldCharType="end"/>
      </w:r>
      <w:r>
        <w:fldChar w:fldCharType="end"/>
      </w:r>
    </w:p>
    <w:p w14:paraId="055A7CCF">
      <w:pPr>
        <w:pStyle w:val="18"/>
        <w:tabs>
          <w:tab w:val="right" w:leader="dot" w:pos="9619"/>
        </w:tabs>
      </w:pPr>
      <w:r>
        <w:fldChar w:fldCharType="begin"/>
      </w:r>
      <w:r>
        <w:instrText xml:space="preserve"> HYPERLINK \l "_Toc30273" </w:instrText>
      </w:r>
      <w:r>
        <w:fldChar w:fldCharType="separate"/>
      </w:r>
      <w:r>
        <w:rPr>
          <w:rFonts w:hint="eastAsia" w:ascii="宋体" w:hAnsi="宋体"/>
          <w:szCs w:val="28"/>
        </w:rPr>
        <w:t>格式2 响应文件（商务报价部分）</w:t>
      </w:r>
      <w:r>
        <w:tab/>
      </w:r>
      <w:r>
        <w:fldChar w:fldCharType="begin"/>
      </w:r>
      <w:r>
        <w:instrText xml:space="preserve"> PAGEREF _Toc30273 \h </w:instrText>
      </w:r>
      <w:r>
        <w:fldChar w:fldCharType="separate"/>
      </w:r>
      <w:r>
        <w:t>30</w:t>
      </w:r>
      <w:r>
        <w:fldChar w:fldCharType="end"/>
      </w:r>
      <w:r>
        <w:fldChar w:fldCharType="end"/>
      </w:r>
    </w:p>
    <w:p w14:paraId="2077EB25">
      <w:pPr>
        <w:pStyle w:val="18"/>
        <w:tabs>
          <w:tab w:val="right" w:leader="dot" w:pos="9619"/>
        </w:tabs>
      </w:pPr>
      <w:r>
        <w:fldChar w:fldCharType="begin"/>
      </w:r>
      <w:r>
        <w:instrText xml:space="preserve"> HYPERLINK \l "_Toc23259" </w:instrText>
      </w:r>
      <w:r>
        <w:fldChar w:fldCharType="separate"/>
      </w:r>
      <w:r>
        <w:rPr>
          <w:rFonts w:hint="eastAsia" w:ascii="宋体" w:hAnsi="宋体"/>
          <w:szCs w:val="28"/>
        </w:rPr>
        <w:t>格式3 响应文件（技术部分）</w:t>
      </w:r>
      <w:r>
        <w:tab/>
      </w:r>
      <w:r>
        <w:fldChar w:fldCharType="begin"/>
      </w:r>
      <w:r>
        <w:instrText xml:space="preserve"> PAGEREF _Toc23259 \h </w:instrText>
      </w:r>
      <w:r>
        <w:fldChar w:fldCharType="separate"/>
      </w:r>
      <w:r>
        <w:t>41</w:t>
      </w:r>
      <w:r>
        <w:fldChar w:fldCharType="end"/>
      </w:r>
      <w:r>
        <w:fldChar w:fldCharType="end"/>
      </w:r>
    </w:p>
    <w:p w14:paraId="4E51FD9B">
      <w:pPr>
        <w:pStyle w:val="17"/>
        <w:tabs>
          <w:tab w:val="right" w:leader="dot" w:pos="9619"/>
        </w:tabs>
      </w:pPr>
      <w:r>
        <w:fldChar w:fldCharType="begin"/>
      </w:r>
      <w:r>
        <w:instrText xml:space="preserve"> HYPERLINK \l "_Toc29819" </w:instrText>
      </w:r>
      <w:r>
        <w:fldChar w:fldCharType="separate"/>
      </w:r>
      <w:r>
        <w:rPr>
          <w:rFonts w:ascii="宋体" w:hAnsi="宋体"/>
        </w:rPr>
        <w:t>第五章</w:t>
      </w:r>
      <w:r>
        <w:rPr>
          <w:rFonts w:hint="eastAsia" w:ascii="宋体" w:hAnsi="宋体"/>
        </w:rPr>
        <w:t xml:space="preserve">  </w:t>
      </w:r>
      <w:r>
        <w:rPr>
          <w:rFonts w:ascii="宋体" w:hAnsi="宋体"/>
        </w:rPr>
        <w:t>货物需求一览表</w:t>
      </w:r>
      <w:r>
        <w:tab/>
      </w:r>
      <w:r>
        <w:fldChar w:fldCharType="begin"/>
      </w:r>
      <w:r>
        <w:instrText xml:space="preserve"> PAGEREF _Toc29819 \h </w:instrText>
      </w:r>
      <w:r>
        <w:fldChar w:fldCharType="separate"/>
      </w:r>
      <w:r>
        <w:t>45</w:t>
      </w:r>
      <w:r>
        <w:fldChar w:fldCharType="end"/>
      </w:r>
      <w:r>
        <w:fldChar w:fldCharType="end"/>
      </w:r>
    </w:p>
    <w:p w14:paraId="661BEDD4">
      <w:pPr>
        <w:pStyle w:val="17"/>
        <w:tabs>
          <w:tab w:val="right" w:leader="dot" w:pos="9619"/>
        </w:tabs>
      </w:pPr>
      <w:r>
        <w:fldChar w:fldCharType="begin"/>
      </w:r>
      <w:r>
        <w:instrText xml:space="preserve"> HYPERLINK \l "_Toc16390" </w:instrText>
      </w:r>
      <w:r>
        <w:fldChar w:fldCharType="separate"/>
      </w:r>
      <w:r>
        <w:rPr>
          <w:rFonts w:ascii="宋体" w:hAnsi="宋体"/>
        </w:rPr>
        <w:t>第六章  评审</w:t>
      </w:r>
      <w:r>
        <w:rPr>
          <w:rFonts w:hint="eastAsia" w:ascii="宋体" w:hAnsi="宋体"/>
        </w:rPr>
        <w:t>办法（最低评标价法）</w:t>
      </w:r>
      <w:r>
        <w:tab/>
      </w:r>
      <w:r>
        <w:fldChar w:fldCharType="begin"/>
      </w:r>
      <w:r>
        <w:instrText xml:space="preserve"> PAGEREF _Toc16390 \h </w:instrText>
      </w:r>
      <w:r>
        <w:fldChar w:fldCharType="separate"/>
      </w:r>
      <w:r>
        <w:t>60</w:t>
      </w:r>
      <w:r>
        <w:fldChar w:fldCharType="end"/>
      </w:r>
      <w:r>
        <w:fldChar w:fldCharType="end"/>
      </w:r>
    </w:p>
    <w:p w14:paraId="2124F193">
      <w:pPr>
        <w:pStyle w:val="18"/>
        <w:tabs>
          <w:tab w:val="right" w:leader="dot" w:pos="9619"/>
        </w:tabs>
      </w:pPr>
      <w:r>
        <w:fldChar w:fldCharType="begin"/>
      </w:r>
      <w:r>
        <w:instrText xml:space="preserve"> HYPERLINK \l "_Toc2064" </w:instrText>
      </w:r>
      <w:r>
        <w:fldChar w:fldCharType="separate"/>
      </w:r>
      <w:r>
        <w:rPr>
          <w:rFonts w:hint="eastAsia" w:ascii="宋体" w:hAnsi="宋体"/>
          <w:szCs w:val="28"/>
        </w:rPr>
        <w:t>评审办法</w:t>
      </w:r>
      <w:r>
        <w:rPr>
          <w:rFonts w:ascii="宋体" w:hAnsi="宋体"/>
          <w:szCs w:val="28"/>
        </w:rPr>
        <w:t>前附表</w:t>
      </w:r>
      <w:r>
        <w:tab/>
      </w:r>
      <w:r>
        <w:fldChar w:fldCharType="begin"/>
      </w:r>
      <w:r>
        <w:instrText xml:space="preserve"> PAGEREF _Toc2064 \h </w:instrText>
      </w:r>
      <w:r>
        <w:fldChar w:fldCharType="separate"/>
      </w:r>
      <w:r>
        <w:t>60</w:t>
      </w:r>
      <w:r>
        <w:fldChar w:fldCharType="end"/>
      </w:r>
      <w:r>
        <w:fldChar w:fldCharType="end"/>
      </w:r>
    </w:p>
    <w:p w14:paraId="63F3EFEA">
      <w:pPr>
        <w:pStyle w:val="18"/>
        <w:tabs>
          <w:tab w:val="right" w:leader="dot" w:pos="9619"/>
        </w:tabs>
      </w:pPr>
      <w:r>
        <w:fldChar w:fldCharType="begin"/>
      </w:r>
      <w:r>
        <w:instrText xml:space="preserve"> HYPERLINK \l "_Toc5153" </w:instrText>
      </w:r>
      <w:r>
        <w:fldChar w:fldCharType="separate"/>
      </w:r>
      <w:r>
        <w:rPr>
          <w:rFonts w:ascii="宋体" w:hAnsi="宋体"/>
          <w:szCs w:val="28"/>
        </w:rPr>
        <w:t>1. 评审方法</w:t>
      </w:r>
      <w:r>
        <w:tab/>
      </w:r>
      <w:r>
        <w:fldChar w:fldCharType="begin"/>
      </w:r>
      <w:r>
        <w:instrText xml:space="preserve"> PAGEREF _Toc5153 \h </w:instrText>
      </w:r>
      <w:r>
        <w:fldChar w:fldCharType="separate"/>
      </w:r>
      <w:r>
        <w:t>60</w:t>
      </w:r>
      <w:r>
        <w:fldChar w:fldCharType="end"/>
      </w:r>
      <w:r>
        <w:fldChar w:fldCharType="end"/>
      </w:r>
    </w:p>
    <w:p w14:paraId="796B94D4">
      <w:pPr>
        <w:pStyle w:val="18"/>
        <w:tabs>
          <w:tab w:val="right" w:leader="dot" w:pos="9619"/>
        </w:tabs>
      </w:pPr>
      <w:r>
        <w:fldChar w:fldCharType="begin"/>
      </w:r>
      <w:r>
        <w:instrText xml:space="preserve"> HYPERLINK \l "_Toc22227" </w:instrText>
      </w:r>
      <w:r>
        <w:fldChar w:fldCharType="separate"/>
      </w:r>
      <w:r>
        <w:rPr>
          <w:rFonts w:hint="eastAsia" w:ascii="宋体" w:hAnsi="宋体"/>
          <w:szCs w:val="28"/>
        </w:rPr>
        <w:t>2. 评审标准</w:t>
      </w:r>
      <w:r>
        <w:tab/>
      </w:r>
      <w:r>
        <w:fldChar w:fldCharType="begin"/>
      </w:r>
      <w:r>
        <w:instrText xml:space="preserve"> PAGEREF _Toc22227 \h </w:instrText>
      </w:r>
      <w:r>
        <w:fldChar w:fldCharType="separate"/>
      </w:r>
      <w:r>
        <w:t>60</w:t>
      </w:r>
      <w:r>
        <w:fldChar w:fldCharType="end"/>
      </w:r>
      <w:r>
        <w:fldChar w:fldCharType="end"/>
      </w:r>
    </w:p>
    <w:p w14:paraId="606319CB">
      <w:pPr>
        <w:pStyle w:val="18"/>
        <w:tabs>
          <w:tab w:val="right" w:leader="dot" w:pos="9619"/>
        </w:tabs>
      </w:pPr>
      <w:r>
        <w:fldChar w:fldCharType="begin"/>
      </w:r>
      <w:r>
        <w:instrText xml:space="preserve"> HYPERLINK \l "_Toc24508" </w:instrText>
      </w:r>
      <w:r>
        <w:fldChar w:fldCharType="separate"/>
      </w:r>
      <w:r>
        <w:rPr>
          <w:rFonts w:ascii="宋体" w:hAnsi="宋体"/>
          <w:szCs w:val="28"/>
        </w:rPr>
        <w:t>3. 评审程序</w:t>
      </w:r>
      <w:r>
        <w:tab/>
      </w:r>
      <w:r>
        <w:fldChar w:fldCharType="begin"/>
      </w:r>
      <w:r>
        <w:instrText xml:space="preserve"> PAGEREF _Toc24508 \h </w:instrText>
      </w:r>
      <w:r>
        <w:fldChar w:fldCharType="separate"/>
      </w:r>
      <w:r>
        <w:t>61</w:t>
      </w:r>
      <w:r>
        <w:fldChar w:fldCharType="end"/>
      </w:r>
      <w:r>
        <w:fldChar w:fldCharType="end"/>
      </w:r>
    </w:p>
    <w:p w14:paraId="25AE8D25">
      <w:pPr>
        <w:pStyle w:val="12"/>
        <w:tabs>
          <w:tab w:val="right" w:leader="dot" w:pos="9525"/>
          <w:tab w:val="clear" w:pos="9515"/>
        </w:tabs>
        <w:spacing w:line="360" w:lineRule="atLeast"/>
        <w:ind w:left="840" w:leftChars="0"/>
        <w:jc w:val="center"/>
        <w:rPr>
          <w:rFonts w:ascii="宋体" w:hAnsi="宋体"/>
        </w:rPr>
      </w:pPr>
      <w:r>
        <w:rPr>
          <w:rFonts w:ascii="宋体" w:hAnsi="宋体"/>
        </w:rPr>
        <w:fldChar w:fldCharType="end"/>
      </w:r>
    </w:p>
    <w:p w14:paraId="171E45B4"/>
    <w:p w14:paraId="7A868136">
      <w:pPr>
        <w:pStyle w:val="12"/>
        <w:tabs>
          <w:tab w:val="right" w:leader="dot" w:pos="9525"/>
          <w:tab w:val="clear" w:pos="9515"/>
        </w:tabs>
        <w:spacing w:line="360" w:lineRule="atLeast"/>
        <w:ind w:left="0" w:leftChars="0"/>
      </w:pPr>
    </w:p>
    <w:p w14:paraId="25C05A76"/>
    <w:p w14:paraId="38CA9169"/>
    <w:p w14:paraId="5A903850">
      <w:pPr>
        <w:jc w:val="center"/>
      </w:pPr>
    </w:p>
    <w:p w14:paraId="5ED11F3A"/>
    <w:p w14:paraId="05BDBA5E">
      <w:pPr>
        <w:jc w:val="center"/>
        <w:outlineLvl w:val="0"/>
        <w:rPr>
          <w:rFonts w:ascii="宋体" w:hAnsi="宋体"/>
          <w:sz w:val="32"/>
        </w:rPr>
      </w:pPr>
      <w:r>
        <w:br w:type="page"/>
      </w:r>
      <w:bookmarkStart w:id="10" w:name="_Toc54095464"/>
      <w:bookmarkStart w:id="11" w:name="_Toc337822203"/>
      <w:r>
        <w:rPr>
          <w:rFonts w:hint="eastAsia"/>
          <w:b/>
          <w:bCs/>
          <w:kern w:val="0"/>
          <w:sz w:val="32"/>
          <w:szCs w:val="20"/>
        </w:rPr>
        <w:t>第一章 谈判邀请书</w:t>
      </w:r>
      <w:bookmarkEnd w:id="10"/>
      <w:bookmarkEnd w:id="11"/>
    </w:p>
    <w:p w14:paraId="027A2AF9">
      <w:pPr>
        <w:pBdr>
          <w:top w:val="single" w:color="auto" w:sz="4" w:space="1"/>
          <w:left w:val="single" w:color="auto" w:sz="4" w:space="4"/>
          <w:bottom w:val="single" w:color="auto" w:sz="4" w:space="1"/>
          <w:right w:val="single" w:color="auto" w:sz="4" w:space="4"/>
        </w:pBdr>
        <w:ind w:firstLine="420" w:firstLineChars="200"/>
        <w:rPr>
          <w:rFonts w:ascii="宋体" w:hAnsi="宋体"/>
          <w:szCs w:val="21"/>
        </w:rPr>
      </w:pPr>
      <w:r>
        <w:rPr>
          <w:rFonts w:hint="eastAsia" w:ascii="宋体" w:hAnsi="宋体"/>
          <w:szCs w:val="21"/>
        </w:rPr>
        <w:t>项目概况</w:t>
      </w:r>
    </w:p>
    <w:p w14:paraId="11E58407">
      <w:pPr>
        <w:pBdr>
          <w:top w:val="single" w:color="auto" w:sz="4" w:space="1"/>
          <w:left w:val="single" w:color="auto" w:sz="4" w:space="4"/>
          <w:bottom w:val="single" w:color="auto" w:sz="4" w:space="1"/>
          <w:right w:val="single" w:color="auto" w:sz="4" w:space="4"/>
        </w:pBdr>
        <w:ind w:firstLine="420" w:firstLineChars="200"/>
        <w:rPr>
          <w:rFonts w:ascii="宋体" w:hAnsi="宋体"/>
          <w:color w:val="auto"/>
          <w:szCs w:val="21"/>
        </w:rPr>
      </w:pPr>
      <w:r>
        <w:rPr>
          <w:rFonts w:hint="eastAsia" w:ascii="宋体" w:hAnsi="宋体"/>
          <w:szCs w:val="21"/>
          <w:u w:val="single"/>
        </w:rPr>
        <w:t>云南师范大学法学与社会学学院(云南纪检监察学院)报告厅会议室政府采购项目</w:t>
      </w:r>
      <w:r>
        <w:rPr>
          <w:rFonts w:hint="eastAsia" w:ascii="宋体" w:hAnsi="宋体"/>
          <w:szCs w:val="21"/>
        </w:rPr>
        <w:t>的潜在供应商应在</w:t>
      </w:r>
      <w:r>
        <w:rPr>
          <w:rFonts w:hint="eastAsia" w:ascii="宋体" w:hAnsi="宋体" w:cs="宋体"/>
          <w:szCs w:val="21"/>
          <w:u w:val="single"/>
        </w:rPr>
        <w:t>“政采云”平台（http：//www.zcygov.cn）</w:t>
      </w:r>
      <w:r>
        <w:rPr>
          <w:rFonts w:hint="eastAsia" w:ascii="宋体" w:hAnsi="宋体"/>
          <w:szCs w:val="21"/>
        </w:rPr>
        <w:t>获取采购文件，并于</w:t>
      </w:r>
      <w:r>
        <w:rPr>
          <w:rFonts w:ascii="宋体" w:hAnsi="宋体"/>
          <w:szCs w:val="21"/>
          <w:u w:val="single"/>
        </w:rPr>
        <w:t>202</w:t>
      </w:r>
      <w:r>
        <w:rPr>
          <w:rFonts w:hint="eastAsia" w:ascii="宋体" w:hAnsi="宋体"/>
          <w:szCs w:val="21"/>
          <w:u w:val="single"/>
        </w:rPr>
        <w:t>5</w:t>
      </w:r>
      <w:r>
        <w:rPr>
          <w:rFonts w:hint="eastAsia" w:ascii="宋体" w:hAnsi="宋体"/>
          <w:bCs/>
          <w:szCs w:val="21"/>
          <w:u w:val="single"/>
        </w:rPr>
        <w:t>年</w:t>
      </w:r>
      <w:r>
        <w:rPr>
          <w:rFonts w:hint="eastAsia" w:ascii="宋体" w:hAnsi="宋体"/>
          <w:bCs/>
          <w:color w:val="auto"/>
          <w:szCs w:val="21"/>
          <w:u w:val="single"/>
          <w:lang w:val="en-US" w:eastAsia="zh-CN"/>
        </w:rPr>
        <w:t>06</w:t>
      </w:r>
      <w:r>
        <w:rPr>
          <w:rFonts w:hint="eastAsia" w:ascii="宋体" w:hAnsi="宋体"/>
          <w:bCs/>
          <w:color w:val="auto"/>
          <w:szCs w:val="21"/>
          <w:u w:val="single"/>
        </w:rPr>
        <w:t>月</w:t>
      </w:r>
      <w:r>
        <w:rPr>
          <w:rFonts w:hint="eastAsia" w:ascii="宋体" w:hAnsi="宋体"/>
          <w:bCs/>
          <w:color w:val="auto"/>
          <w:szCs w:val="21"/>
          <w:u w:val="single"/>
          <w:lang w:val="en-US" w:eastAsia="zh-CN"/>
        </w:rPr>
        <w:t>20</w:t>
      </w:r>
      <w:r>
        <w:rPr>
          <w:rFonts w:hint="eastAsia" w:ascii="宋体" w:hAnsi="宋体"/>
          <w:bCs/>
          <w:color w:val="auto"/>
          <w:szCs w:val="21"/>
          <w:u w:val="single"/>
        </w:rPr>
        <w:t>日09点00分</w:t>
      </w:r>
      <w:r>
        <w:rPr>
          <w:rFonts w:hint="eastAsia" w:ascii="宋体" w:hAnsi="宋体"/>
          <w:bCs/>
          <w:color w:val="auto"/>
          <w:szCs w:val="21"/>
        </w:rPr>
        <w:t>（北京时间）前提交响应</w:t>
      </w:r>
      <w:r>
        <w:rPr>
          <w:rFonts w:ascii="宋体" w:hAnsi="宋体"/>
          <w:bCs/>
          <w:color w:val="auto"/>
          <w:szCs w:val="21"/>
        </w:rPr>
        <w:t>文件</w:t>
      </w:r>
      <w:r>
        <w:rPr>
          <w:rFonts w:hint="eastAsia" w:ascii="宋体" w:hAnsi="宋体"/>
          <w:color w:val="auto"/>
          <w:szCs w:val="21"/>
        </w:rPr>
        <w:t>。</w:t>
      </w:r>
    </w:p>
    <w:p w14:paraId="3DA7CDF0">
      <w:pPr>
        <w:pStyle w:val="3"/>
        <w:numPr>
          <w:ilvl w:val="0"/>
          <w:numId w:val="0"/>
        </w:numPr>
        <w:ind w:left="425"/>
        <w:jc w:val="both"/>
        <w:rPr>
          <w:rFonts w:ascii="宋体" w:hAnsi="宋体" w:cs="宋体"/>
          <w:color w:val="auto"/>
          <w:sz w:val="21"/>
          <w:szCs w:val="21"/>
        </w:rPr>
      </w:pPr>
      <w:bookmarkStart w:id="12" w:name="_Toc35393629"/>
      <w:bookmarkStart w:id="13" w:name="_Toc26468"/>
      <w:bookmarkStart w:id="14" w:name="_Toc28359089"/>
      <w:bookmarkStart w:id="15" w:name="_Toc54095465"/>
      <w:bookmarkStart w:id="16" w:name="_Toc28359012"/>
      <w:bookmarkStart w:id="17" w:name="_Toc1811"/>
      <w:bookmarkStart w:id="18" w:name="_Toc35393798"/>
      <w:r>
        <w:rPr>
          <w:rFonts w:hint="eastAsia" w:ascii="宋体" w:hAnsi="宋体" w:cs="宋体"/>
          <w:color w:val="auto"/>
          <w:sz w:val="21"/>
          <w:szCs w:val="21"/>
        </w:rPr>
        <w:t>一、项目基本情况</w:t>
      </w:r>
      <w:bookmarkEnd w:id="12"/>
      <w:bookmarkEnd w:id="13"/>
      <w:bookmarkEnd w:id="14"/>
      <w:bookmarkEnd w:id="15"/>
      <w:bookmarkEnd w:id="16"/>
      <w:bookmarkEnd w:id="17"/>
      <w:bookmarkEnd w:id="18"/>
    </w:p>
    <w:p w14:paraId="59751E89">
      <w:pPr>
        <w:tabs>
          <w:tab w:val="left" w:pos="7110"/>
        </w:tabs>
        <w:spacing w:line="360" w:lineRule="auto"/>
        <w:ind w:firstLine="420"/>
        <w:rPr>
          <w:rFonts w:ascii="宋体" w:hAnsi="宋体"/>
          <w:color w:val="auto"/>
          <w:szCs w:val="21"/>
        </w:rPr>
      </w:pPr>
      <w:r>
        <w:rPr>
          <w:rFonts w:hint="eastAsia" w:ascii="宋体" w:hAnsi="宋体"/>
          <w:color w:val="auto"/>
          <w:szCs w:val="21"/>
        </w:rPr>
        <w:t>1.项目编号：YNZC2025-J1-03091-YNSZ-0179（计划编号：4530000JH202512854)</w:t>
      </w:r>
    </w:p>
    <w:p w14:paraId="2907BF5C">
      <w:pPr>
        <w:spacing w:line="360" w:lineRule="auto"/>
        <w:ind w:firstLine="420"/>
        <w:rPr>
          <w:rFonts w:ascii="宋体" w:hAnsi="宋体"/>
          <w:color w:val="auto"/>
          <w:szCs w:val="21"/>
        </w:rPr>
      </w:pPr>
      <w:r>
        <w:rPr>
          <w:rFonts w:ascii="宋体" w:hAnsi="宋体"/>
          <w:color w:val="auto"/>
          <w:szCs w:val="21"/>
        </w:rPr>
        <w:t>2</w:t>
      </w:r>
      <w:r>
        <w:rPr>
          <w:rFonts w:hint="eastAsia" w:ascii="宋体" w:hAnsi="宋体"/>
          <w:color w:val="auto"/>
          <w:szCs w:val="21"/>
        </w:rPr>
        <w:t>.项目名称：云南师范大学法学与社会学学院(云南纪检监察学院)报告厅会议室政府采购项目</w:t>
      </w:r>
    </w:p>
    <w:p w14:paraId="2AAF6F27">
      <w:pPr>
        <w:spacing w:line="360" w:lineRule="auto"/>
        <w:ind w:firstLine="420"/>
        <w:rPr>
          <w:rFonts w:ascii="宋体" w:hAnsi="宋体"/>
          <w:color w:val="auto"/>
          <w:szCs w:val="21"/>
        </w:rPr>
      </w:pPr>
      <w:r>
        <w:rPr>
          <w:rFonts w:ascii="宋体" w:hAnsi="宋体"/>
          <w:color w:val="auto"/>
          <w:szCs w:val="21"/>
        </w:rPr>
        <w:t>3.</w:t>
      </w:r>
      <w:r>
        <w:rPr>
          <w:rFonts w:hint="eastAsia" w:ascii="宋体" w:hAnsi="宋体"/>
          <w:color w:val="auto"/>
          <w:szCs w:val="21"/>
        </w:rPr>
        <w:t>采购方式：竞争性谈判。</w:t>
      </w:r>
    </w:p>
    <w:p w14:paraId="4EE5DEA3">
      <w:pPr>
        <w:spacing w:line="360" w:lineRule="auto"/>
        <w:ind w:firstLine="420" w:firstLineChars="200"/>
        <w:rPr>
          <w:rFonts w:ascii="宋体" w:hAnsi="宋体" w:cs="宋体"/>
          <w:color w:val="auto"/>
          <w:szCs w:val="21"/>
        </w:rPr>
      </w:pPr>
      <w:r>
        <w:rPr>
          <w:rFonts w:hint="eastAsia" w:ascii="宋体" w:hAnsi="宋体" w:cs="宋体"/>
          <w:color w:val="auto"/>
          <w:szCs w:val="21"/>
        </w:rPr>
        <w:t>4.预算金额：62.185万元；最高限价：62.185万元，单价限价详见第五章“货物需求一览表”。</w:t>
      </w:r>
    </w:p>
    <w:p w14:paraId="07377457">
      <w:pPr>
        <w:spacing w:line="360" w:lineRule="auto"/>
        <w:ind w:firstLine="420" w:firstLineChars="200"/>
        <w:rPr>
          <w:rFonts w:ascii="宋体" w:hAnsi="宋体"/>
          <w:color w:val="auto"/>
          <w:szCs w:val="21"/>
        </w:rPr>
      </w:pPr>
      <w:r>
        <w:rPr>
          <w:rFonts w:hint="eastAsia" w:ascii="宋体" w:hAnsi="宋体"/>
          <w:color w:val="auto"/>
          <w:szCs w:val="21"/>
        </w:rPr>
        <w:t>5</w:t>
      </w:r>
      <w:r>
        <w:rPr>
          <w:rFonts w:ascii="宋体" w:hAnsi="宋体"/>
          <w:color w:val="auto"/>
          <w:szCs w:val="21"/>
        </w:rPr>
        <w:t>.</w:t>
      </w:r>
      <w:r>
        <w:rPr>
          <w:rFonts w:hint="eastAsia" w:ascii="宋体" w:hAnsi="宋体"/>
          <w:color w:val="auto"/>
          <w:szCs w:val="21"/>
        </w:rPr>
        <w:t>采购需求：本项不分包，拟采购音箱、数字会议系统主机、中央控制系统主机、音频处理器、调音台等设备一批，具体要求详见第五章货物需求一览表。</w:t>
      </w:r>
    </w:p>
    <w:tbl>
      <w:tblPr>
        <w:tblStyle w:val="25"/>
        <w:tblW w:w="92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0"/>
        <w:gridCol w:w="1764"/>
        <w:gridCol w:w="681"/>
        <w:gridCol w:w="1080"/>
        <w:gridCol w:w="300"/>
        <w:gridCol w:w="705"/>
        <w:gridCol w:w="2265"/>
        <w:gridCol w:w="705"/>
        <w:gridCol w:w="1125"/>
      </w:tblGrid>
      <w:tr w14:paraId="22BB38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tblHeader/>
          <w:jc w:val="center"/>
        </w:trPr>
        <w:tc>
          <w:tcPr>
            <w:tcW w:w="660" w:type="dxa"/>
            <w:noWrap/>
            <w:vAlign w:val="center"/>
          </w:tcPr>
          <w:p w14:paraId="28C1C8C7">
            <w:pPr>
              <w:widowControl/>
              <w:adjustRightInd w:val="0"/>
              <w:snapToGrid w:val="0"/>
              <w:jc w:val="center"/>
              <w:textAlignment w:val="bottom"/>
              <w:rPr>
                <w:rFonts w:ascii="宋体" w:hAnsi="宋体" w:cs="宋体"/>
                <w:b/>
                <w:color w:val="auto"/>
                <w:kern w:val="0"/>
                <w:szCs w:val="21"/>
              </w:rPr>
            </w:pPr>
            <w:r>
              <w:rPr>
                <w:rFonts w:hint="eastAsia" w:ascii="宋体" w:hAnsi="宋体" w:cs="宋体"/>
                <w:b/>
                <w:color w:val="auto"/>
                <w:kern w:val="0"/>
                <w:szCs w:val="21"/>
              </w:rPr>
              <w:t>序号</w:t>
            </w:r>
          </w:p>
        </w:tc>
        <w:tc>
          <w:tcPr>
            <w:tcW w:w="1764" w:type="dxa"/>
            <w:noWrap/>
            <w:vAlign w:val="center"/>
          </w:tcPr>
          <w:p w14:paraId="163728A7">
            <w:pPr>
              <w:widowControl/>
              <w:adjustRightInd w:val="0"/>
              <w:snapToGrid w:val="0"/>
              <w:jc w:val="center"/>
              <w:textAlignment w:val="bottom"/>
              <w:rPr>
                <w:rFonts w:ascii="宋体" w:hAnsi="宋体" w:cs="宋体"/>
                <w:b/>
                <w:color w:val="auto"/>
                <w:kern w:val="0"/>
                <w:szCs w:val="21"/>
              </w:rPr>
            </w:pPr>
            <w:r>
              <w:rPr>
                <w:rFonts w:hint="eastAsia" w:ascii="宋体" w:hAnsi="宋体" w:cs="宋体"/>
                <w:b/>
                <w:color w:val="auto"/>
                <w:kern w:val="0"/>
                <w:szCs w:val="21"/>
              </w:rPr>
              <w:t>产品名称</w:t>
            </w:r>
          </w:p>
          <w:p w14:paraId="79C3CA09">
            <w:pPr>
              <w:widowControl/>
              <w:adjustRightInd w:val="0"/>
              <w:snapToGrid w:val="0"/>
              <w:jc w:val="center"/>
              <w:textAlignment w:val="bottom"/>
              <w:rPr>
                <w:rFonts w:ascii="宋体" w:hAnsi="宋体" w:cs="宋体"/>
                <w:b/>
                <w:color w:val="auto"/>
                <w:kern w:val="0"/>
                <w:szCs w:val="21"/>
              </w:rPr>
            </w:pPr>
            <w:r>
              <w:rPr>
                <w:rFonts w:hint="eastAsia" w:ascii="宋体" w:hAnsi="宋体" w:cs="宋体"/>
                <w:b/>
                <w:color w:val="auto"/>
                <w:kern w:val="0"/>
                <w:szCs w:val="21"/>
              </w:rPr>
              <w:t>（标的名称）</w:t>
            </w:r>
          </w:p>
        </w:tc>
        <w:tc>
          <w:tcPr>
            <w:tcW w:w="681" w:type="dxa"/>
            <w:noWrap/>
            <w:vAlign w:val="center"/>
          </w:tcPr>
          <w:p w14:paraId="2C072390">
            <w:pPr>
              <w:widowControl/>
              <w:adjustRightInd w:val="0"/>
              <w:snapToGrid w:val="0"/>
              <w:jc w:val="center"/>
              <w:textAlignment w:val="bottom"/>
              <w:rPr>
                <w:rFonts w:ascii="宋体" w:hAnsi="宋体" w:cs="宋体"/>
                <w:b/>
                <w:color w:val="auto"/>
                <w:kern w:val="0"/>
                <w:szCs w:val="21"/>
              </w:rPr>
            </w:pPr>
            <w:r>
              <w:rPr>
                <w:rFonts w:hint="eastAsia" w:ascii="宋体" w:hAnsi="宋体" w:cs="宋体"/>
                <w:b/>
                <w:color w:val="auto"/>
                <w:kern w:val="0"/>
                <w:szCs w:val="21"/>
              </w:rPr>
              <w:t>数量</w:t>
            </w:r>
          </w:p>
        </w:tc>
        <w:tc>
          <w:tcPr>
            <w:tcW w:w="1080" w:type="dxa"/>
            <w:tcBorders>
              <w:right w:val="single" w:color="auto" w:sz="4" w:space="0"/>
            </w:tcBorders>
            <w:noWrap/>
            <w:vAlign w:val="center"/>
          </w:tcPr>
          <w:p w14:paraId="11D0D704">
            <w:pPr>
              <w:widowControl/>
              <w:adjustRightInd w:val="0"/>
              <w:snapToGrid w:val="0"/>
              <w:jc w:val="center"/>
              <w:textAlignment w:val="bottom"/>
              <w:rPr>
                <w:rFonts w:ascii="宋体" w:hAnsi="宋体" w:cs="宋体"/>
                <w:b/>
                <w:color w:val="auto"/>
                <w:kern w:val="0"/>
                <w:szCs w:val="21"/>
              </w:rPr>
            </w:pPr>
            <w:r>
              <w:rPr>
                <w:rFonts w:hint="eastAsia" w:ascii="宋体" w:hAnsi="宋体" w:cs="宋体"/>
                <w:b/>
                <w:color w:val="auto"/>
                <w:kern w:val="0"/>
                <w:szCs w:val="21"/>
              </w:rPr>
              <w:t>计量单位</w:t>
            </w:r>
          </w:p>
        </w:tc>
        <w:tc>
          <w:tcPr>
            <w:tcW w:w="300" w:type="dxa"/>
            <w:tcBorders>
              <w:top w:val="nil"/>
              <w:left w:val="single" w:color="auto" w:sz="4" w:space="0"/>
              <w:bottom w:val="nil"/>
              <w:right w:val="single" w:color="auto" w:sz="4" w:space="0"/>
            </w:tcBorders>
            <w:noWrap/>
            <w:vAlign w:val="center"/>
          </w:tcPr>
          <w:p w14:paraId="49AA0349">
            <w:pPr>
              <w:widowControl/>
              <w:adjustRightInd w:val="0"/>
              <w:snapToGrid w:val="0"/>
              <w:jc w:val="center"/>
              <w:textAlignment w:val="bottom"/>
              <w:rPr>
                <w:rFonts w:ascii="宋体" w:hAnsi="宋体" w:cs="宋体"/>
                <w:b/>
                <w:color w:val="auto"/>
                <w:kern w:val="0"/>
                <w:szCs w:val="21"/>
              </w:rPr>
            </w:pPr>
          </w:p>
        </w:tc>
        <w:tc>
          <w:tcPr>
            <w:tcW w:w="705" w:type="dxa"/>
            <w:tcBorders>
              <w:left w:val="single" w:color="auto" w:sz="4" w:space="0"/>
              <w:right w:val="single" w:color="auto" w:sz="4" w:space="0"/>
            </w:tcBorders>
            <w:noWrap/>
            <w:vAlign w:val="center"/>
          </w:tcPr>
          <w:p w14:paraId="1CC141EA">
            <w:pPr>
              <w:widowControl/>
              <w:adjustRightInd w:val="0"/>
              <w:snapToGrid w:val="0"/>
              <w:jc w:val="center"/>
              <w:textAlignment w:val="bottom"/>
              <w:rPr>
                <w:rFonts w:ascii="宋体" w:hAnsi="宋体" w:cs="宋体"/>
                <w:b/>
                <w:color w:val="auto"/>
                <w:kern w:val="0"/>
                <w:szCs w:val="21"/>
              </w:rPr>
            </w:pPr>
            <w:r>
              <w:rPr>
                <w:rFonts w:hint="eastAsia" w:ascii="宋体" w:hAnsi="宋体" w:cs="宋体"/>
                <w:b/>
                <w:color w:val="auto"/>
                <w:kern w:val="0"/>
                <w:szCs w:val="21"/>
              </w:rPr>
              <w:t>序号</w:t>
            </w:r>
          </w:p>
        </w:tc>
        <w:tc>
          <w:tcPr>
            <w:tcW w:w="2265" w:type="dxa"/>
            <w:tcBorders>
              <w:right w:val="single" w:color="auto" w:sz="4" w:space="0"/>
            </w:tcBorders>
            <w:noWrap/>
            <w:vAlign w:val="center"/>
          </w:tcPr>
          <w:p w14:paraId="17628177">
            <w:pPr>
              <w:widowControl/>
              <w:adjustRightInd w:val="0"/>
              <w:snapToGrid w:val="0"/>
              <w:jc w:val="center"/>
              <w:textAlignment w:val="bottom"/>
              <w:rPr>
                <w:rFonts w:ascii="宋体" w:hAnsi="宋体" w:cs="宋体"/>
                <w:b/>
                <w:color w:val="auto"/>
                <w:kern w:val="0"/>
                <w:szCs w:val="21"/>
              </w:rPr>
            </w:pPr>
            <w:r>
              <w:rPr>
                <w:rFonts w:hint="eastAsia" w:ascii="宋体" w:hAnsi="宋体" w:cs="宋体"/>
                <w:b/>
                <w:color w:val="auto"/>
                <w:kern w:val="0"/>
                <w:szCs w:val="21"/>
              </w:rPr>
              <w:t>产品名称</w:t>
            </w:r>
          </w:p>
          <w:p w14:paraId="3F4CDB34">
            <w:pPr>
              <w:widowControl/>
              <w:adjustRightInd w:val="0"/>
              <w:snapToGrid w:val="0"/>
              <w:jc w:val="center"/>
              <w:textAlignment w:val="bottom"/>
              <w:rPr>
                <w:rFonts w:ascii="宋体" w:hAnsi="宋体" w:cs="宋体"/>
                <w:b/>
                <w:color w:val="auto"/>
                <w:kern w:val="0"/>
                <w:szCs w:val="21"/>
              </w:rPr>
            </w:pPr>
            <w:r>
              <w:rPr>
                <w:rFonts w:hint="eastAsia" w:ascii="宋体" w:hAnsi="宋体" w:cs="宋体"/>
                <w:b/>
                <w:color w:val="auto"/>
                <w:kern w:val="0"/>
                <w:szCs w:val="21"/>
              </w:rPr>
              <w:t>（标的名称）</w:t>
            </w:r>
          </w:p>
        </w:tc>
        <w:tc>
          <w:tcPr>
            <w:tcW w:w="705" w:type="dxa"/>
            <w:tcBorders>
              <w:right w:val="single" w:color="auto" w:sz="4" w:space="0"/>
            </w:tcBorders>
            <w:noWrap/>
            <w:vAlign w:val="center"/>
          </w:tcPr>
          <w:p w14:paraId="2C5EA045">
            <w:pPr>
              <w:widowControl/>
              <w:adjustRightInd w:val="0"/>
              <w:snapToGrid w:val="0"/>
              <w:jc w:val="center"/>
              <w:textAlignment w:val="bottom"/>
              <w:rPr>
                <w:rFonts w:ascii="宋体" w:hAnsi="宋体" w:cs="宋体"/>
                <w:b/>
                <w:color w:val="auto"/>
                <w:kern w:val="0"/>
                <w:szCs w:val="21"/>
              </w:rPr>
            </w:pPr>
            <w:r>
              <w:rPr>
                <w:rFonts w:hint="eastAsia" w:ascii="宋体" w:hAnsi="宋体" w:cs="宋体"/>
                <w:b/>
                <w:color w:val="auto"/>
                <w:kern w:val="0"/>
                <w:szCs w:val="21"/>
              </w:rPr>
              <w:t>数量</w:t>
            </w:r>
          </w:p>
        </w:tc>
        <w:tc>
          <w:tcPr>
            <w:tcW w:w="1125" w:type="dxa"/>
            <w:tcBorders>
              <w:right w:val="single" w:color="auto" w:sz="4" w:space="0"/>
            </w:tcBorders>
            <w:noWrap/>
            <w:vAlign w:val="center"/>
          </w:tcPr>
          <w:p w14:paraId="60035E8D">
            <w:pPr>
              <w:widowControl/>
              <w:adjustRightInd w:val="0"/>
              <w:snapToGrid w:val="0"/>
              <w:jc w:val="center"/>
              <w:textAlignment w:val="bottom"/>
              <w:rPr>
                <w:rFonts w:ascii="宋体" w:hAnsi="宋体" w:cs="宋体"/>
                <w:b/>
                <w:color w:val="auto"/>
                <w:kern w:val="0"/>
                <w:szCs w:val="21"/>
              </w:rPr>
            </w:pPr>
            <w:r>
              <w:rPr>
                <w:rFonts w:hint="eastAsia" w:ascii="宋体" w:hAnsi="宋体" w:cs="宋体"/>
                <w:b/>
                <w:color w:val="auto"/>
                <w:kern w:val="0"/>
                <w:szCs w:val="21"/>
              </w:rPr>
              <w:t>计量单位</w:t>
            </w:r>
          </w:p>
        </w:tc>
      </w:tr>
      <w:tr w14:paraId="2A377C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trPr>
        <w:tc>
          <w:tcPr>
            <w:tcW w:w="660" w:type="dxa"/>
            <w:vAlign w:val="center"/>
          </w:tcPr>
          <w:p w14:paraId="1078DC92">
            <w:pPr>
              <w:widowControl/>
              <w:jc w:val="center"/>
              <w:textAlignment w:val="center"/>
              <w:rPr>
                <w:rFonts w:ascii="宋体" w:hAnsi="宋体" w:cs="宋体"/>
                <w:bCs/>
                <w:color w:val="auto"/>
                <w:kern w:val="0"/>
                <w:szCs w:val="21"/>
              </w:rPr>
            </w:pPr>
            <w:r>
              <w:rPr>
                <w:rFonts w:hint="eastAsia" w:ascii="宋体" w:hAnsi="宋体" w:cs="宋体"/>
                <w:color w:val="auto"/>
                <w:kern w:val="0"/>
                <w:szCs w:val="21"/>
                <w:lang w:bidi="ar"/>
              </w:rPr>
              <w:t>1</w:t>
            </w:r>
          </w:p>
        </w:tc>
        <w:tc>
          <w:tcPr>
            <w:tcW w:w="1764" w:type="dxa"/>
            <w:vAlign w:val="center"/>
          </w:tcPr>
          <w:p w14:paraId="05DBF710">
            <w:pPr>
              <w:widowControl/>
              <w:jc w:val="left"/>
              <w:rPr>
                <w:rFonts w:ascii="宋体" w:hAnsi="宋体" w:cs="宋体"/>
                <w:bCs/>
                <w:color w:val="auto"/>
                <w:szCs w:val="21"/>
              </w:rPr>
            </w:pPr>
            <w:r>
              <w:rPr>
                <w:rFonts w:hint="eastAsia"/>
                <w:color w:val="auto"/>
              </w:rPr>
              <w:t>互动显示系统</w:t>
            </w:r>
          </w:p>
        </w:tc>
        <w:tc>
          <w:tcPr>
            <w:tcW w:w="681" w:type="dxa"/>
            <w:vAlign w:val="center"/>
          </w:tcPr>
          <w:p w14:paraId="109A9D3A">
            <w:pPr>
              <w:widowControl/>
              <w:jc w:val="center"/>
              <w:rPr>
                <w:rFonts w:ascii="宋体" w:hAnsi="宋体" w:cs="宋体"/>
                <w:bCs/>
                <w:color w:val="auto"/>
                <w:szCs w:val="21"/>
              </w:rPr>
            </w:pPr>
            <w:r>
              <w:rPr>
                <w:rFonts w:hint="eastAsia"/>
                <w:color w:val="auto"/>
              </w:rPr>
              <w:t>1</w:t>
            </w:r>
          </w:p>
        </w:tc>
        <w:tc>
          <w:tcPr>
            <w:tcW w:w="1080" w:type="dxa"/>
            <w:tcBorders>
              <w:right w:val="single" w:color="auto" w:sz="4" w:space="0"/>
            </w:tcBorders>
            <w:vAlign w:val="center"/>
          </w:tcPr>
          <w:p w14:paraId="763BD66C">
            <w:pPr>
              <w:jc w:val="center"/>
              <w:rPr>
                <w:rFonts w:ascii="宋体" w:hAnsi="宋体" w:cs="宋体"/>
                <w:bCs/>
                <w:color w:val="auto"/>
                <w:szCs w:val="21"/>
              </w:rPr>
            </w:pPr>
            <w:r>
              <w:rPr>
                <w:rFonts w:hint="eastAsia"/>
                <w:color w:val="auto"/>
              </w:rPr>
              <w:t>套</w:t>
            </w:r>
          </w:p>
        </w:tc>
        <w:tc>
          <w:tcPr>
            <w:tcW w:w="300" w:type="dxa"/>
            <w:tcBorders>
              <w:top w:val="nil"/>
              <w:left w:val="single" w:color="auto" w:sz="4" w:space="0"/>
              <w:bottom w:val="nil"/>
              <w:right w:val="single" w:color="auto" w:sz="4" w:space="0"/>
            </w:tcBorders>
            <w:vAlign w:val="center"/>
          </w:tcPr>
          <w:p w14:paraId="695F2764">
            <w:pPr>
              <w:widowControl/>
              <w:jc w:val="center"/>
              <w:textAlignment w:val="center"/>
              <w:rPr>
                <w:rFonts w:ascii="宋体" w:hAnsi="宋体" w:cs="宋体"/>
                <w:bCs/>
                <w:color w:val="auto"/>
                <w:szCs w:val="21"/>
              </w:rPr>
            </w:pPr>
          </w:p>
        </w:tc>
        <w:tc>
          <w:tcPr>
            <w:tcW w:w="705" w:type="dxa"/>
            <w:tcBorders>
              <w:left w:val="single" w:color="auto" w:sz="4" w:space="0"/>
              <w:right w:val="single" w:color="auto" w:sz="4" w:space="0"/>
            </w:tcBorders>
            <w:vAlign w:val="center"/>
          </w:tcPr>
          <w:p w14:paraId="34704ED2">
            <w:pPr>
              <w:widowControl/>
              <w:jc w:val="center"/>
              <w:textAlignment w:val="center"/>
              <w:rPr>
                <w:rFonts w:ascii="宋体" w:hAnsi="宋体" w:cs="宋体"/>
                <w:bCs/>
                <w:color w:val="auto"/>
                <w:szCs w:val="21"/>
              </w:rPr>
            </w:pPr>
            <w:r>
              <w:rPr>
                <w:rFonts w:hint="eastAsia" w:ascii="宋体" w:hAnsi="宋体" w:cs="宋体"/>
                <w:bCs/>
                <w:color w:val="auto"/>
                <w:szCs w:val="21"/>
              </w:rPr>
              <w:t>19</w:t>
            </w:r>
          </w:p>
        </w:tc>
        <w:tc>
          <w:tcPr>
            <w:tcW w:w="2265" w:type="dxa"/>
            <w:tcBorders>
              <w:right w:val="single" w:color="auto" w:sz="4" w:space="0"/>
            </w:tcBorders>
            <w:vAlign w:val="center"/>
          </w:tcPr>
          <w:p w14:paraId="685BD06F">
            <w:pPr>
              <w:rPr>
                <w:rFonts w:ascii="宋体" w:hAnsi="宋体" w:cs="宋体"/>
                <w:bCs/>
                <w:color w:val="auto"/>
                <w:szCs w:val="21"/>
              </w:rPr>
            </w:pPr>
            <w:r>
              <w:rPr>
                <w:rFonts w:hint="eastAsia"/>
                <w:color w:val="auto"/>
              </w:rPr>
              <w:t>高清混合矩阵</w:t>
            </w:r>
          </w:p>
        </w:tc>
        <w:tc>
          <w:tcPr>
            <w:tcW w:w="705" w:type="dxa"/>
            <w:tcBorders>
              <w:right w:val="single" w:color="auto" w:sz="4" w:space="0"/>
            </w:tcBorders>
            <w:vAlign w:val="center"/>
          </w:tcPr>
          <w:p w14:paraId="146C8B33">
            <w:pPr>
              <w:jc w:val="center"/>
              <w:rPr>
                <w:rFonts w:ascii="宋体" w:hAnsi="宋体" w:cs="宋体"/>
                <w:bCs/>
                <w:color w:val="auto"/>
                <w:szCs w:val="21"/>
              </w:rPr>
            </w:pPr>
            <w:r>
              <w:rPr>
                <w:rFonts w:hint="eastAsia"/>
                <w:color w:val="auto"/>
              </w:rPr>
              <w:t>1</w:t>
            </w:r>
          </w:p>
        </w:tc>
        <w:tc>
          <w:tcPr>
            <w:tcW w:w="1125" w:type="dxa"/>
            <w:tcBorders>
              <w:right w:val="single" w:color="auto" w:sz="4" w:space="0"/>
            </w:tcBorders>
            <w:vAlign w:val="center"/>
          </w:tcPr>
          <w:p w14:paraId="49A50212">
            <w:pPr>
              <w:jc w:val="center"/>
              <w:rPr>
                <w:rFonts w:ascii="宋体" w:hAnsi="宋体" w:cs="宋体"/>
                <w:bCs/>
                <w:color w:val="auto"/>
                <w:szCs w:val="21"/>
              </w:rPr>
            </w:pPr>
            <w:r>
              <w:rPr>
                <w:rFonts w:hint="eastAsia"/>
                <w:color w:val="auto"/>
              </w:rPr>
              <w:t>台</w:t>
            </w:r>
          </w:p>
        </w:tc>
      </w:tr>
      <w:tr w14:paraId="458D0A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660" w:type="dxa"/>
            <w:vAlign w:val="center"/>
          </w:tcPr>
          <w:p w14:paraId="29A3AF00">
            <w:pPr>
              <w:widowControl/>
              <w:jc w:val="center"/>
              <w:textAlignment w:val="center"/>
              <w:rPr>
                <w:rFonts w:ascii="宋体" w:hAnsi="宋体" w:cs="宋体"/>
                <w:bCs/>
                <w:color w:val="auto"/>
                <w:kern w:val="0"/>
                <w:szCs w:val="21"/>
              </w:rPr>
            </w:pPr>
            <w:r>
              <w:rPr>
                <w:rFonts w:hint="eastAsia" w:ascii="宋体" w:hAnsi="宋体" w:cs="宋体"/>
                <w:color w:val="auto"/>
                <w:kern w:val="0"/>
                <w:szCs w:val="21"/>
                <w:lang w:bidi="ar"/>
              </w:rPr>
              <w:t>2</w:t>
            </w:r>
          </w:p>
        </w:tc>
        <w:tc>
          <w:tcPr>
            <w:tcW w:w="1764" w:type="dxa"/>
            <w:vAlign w:val="center"/>
          </w:tcPr>
          <w:p w14:paraId="2561D9B7">
            <w:pPr>
              <w:rPr>
                <w:rFonts w:ascii="宋体" w:hAnsi="宋体" w:cs="宋体"/>
                <w:bCs/>
                <w:color w:val="auto"/>
                <w:szCs w:val="21"/>
              </w:rPr>
            </w:pPr>
            <w:r>
              <w:rPr>
                <w:rFonts w:hint="eastAsia"/>
                <w:color w:val="auto"/>
              </w:rPr>
              <w:t>左右主扩音箱</w:t>
            </w:r>
          </w:p>
        </w:tc>
        <w:tc>
          <w:tcPr>
            <w:tcW w:w="681" w:type="dxa"/>
            <w:vAlign w:val="center"/>
          </w:tcPr>
          <w:p w14:paraId="35C05C71">
            <w:pPr>
              <w:jc w:val="center"/>
              <w:rPr>
                <w:rFonts w:ascii="宋体" w:hAnsi="宋体" w:cs="宋体"/>
                <w:bCs/>
                <w:color w:val="auto"/>
                <w:szCs w:val="21"/>
              </w:rPr>
            </w:pPr>
            <w:r>
              <w:rPr>
                <w:rFonts w:hint="eastAsia"/>
                <w:color w:val="auto"/>
              </w:rPr>
              <w:t>2</w:t>
            </w:r>
          </w:p>
        </w:tc>
        <w:tc>
          <w:tcPr>
            <w:tcW w:w="1080" w:type="dxa"/>
            <w:tcBorders>
              <w:right w:val="single" w:color="auto" w:sz="4" w:space="0"/>
            </w:tcBorders>
            <w:vAlign w:val="center"/>
          </w:tcPr>
          <w:p w14:paraId="015DE029">
            <w:pPr>
              <w:jc w:val="center"/>
              <w:rPr>
                <w:rFonts w:ascii="宋体" w:hAnsi="宋体" w:cs="宋体"/>
                <w:bCs/>
                <w:color w:val="auto"/>
                <w:szCs w:val="21"/>
              </w:rPr>
            </w:pPr>
            <w:r>
              <w:rPr>
                <w:rFonts w:hint="eastAsia"/>
                <w:color w:val="auto"/>
              </w:rPr>
              <w:t>只</w:t>
            </w:r>
          </w:p>
        </w:tc>
        <w:tc>
          <w:tcPr>
            <w:tcW w:w="300" w:type="dxa"/>
            <w:tcBorders>
              <w:top w:val="nil"/>
              <w:left w:val="single" w:color="auto" w:sz="4" w:space="0"/>
              <w:bottom w:val="nil"/>
              <w:right w:val="single" w:color="auto" w:sz="4" w:space="0"/>
            </w:tcBorders>
            <w:vAlign w:val="center"/>
          </w:tcPr>
          <w:p w14:paraId="34FB0F83">
            <w:pPr>
              <w:widowControl/>
              <w:jc w:val="center"/>
              <w:textAlignment w:val="center"/>
              <w:rPr>
                <w:rFonts w:ascii="宋体" w:hAnsi="宋体" w:cs="宋体"/>
                <w:bCs/>
                <w:color w:val="auto"/>
                <w:szCs w:val="21"/>
              </w:rPr>
            </w:pPr>
          </w:p>
        </w:tc>
        <w:tc>
          <w:tcPr>
            <w:tcW w:w="705" w:type="dxa"/>
            <w:tcBorders>
              <w:left w:val="single" w:color="auto" w:sz="4" w:space="0"/>
              <w:right w:val="single" w:color="auto" w:sz="4" w:space="0"/>
            </w:tcBorders>
            <w:vAlign w:val="center"/>
          </w:tcPr>
          <w:p w14:paraId="7F846FF5">
            <w:pPr>
              <w:widowControl/>
              <w:jc w:val="center"/>
              <w:textAlignment w:val="center"/>
              <w:rPr>
                <w:rFonts w:ascii="宋体" w:hAnsi="宋体" w:cs="宋体"/>
                <w:bCs/>
                <w:color w:val="auto"/>
                <w:szCs w:val="21"/>
              </w:rPr>
            </w:pPr>
            <w:r>
              <w:rPr>
                <w:rFonts w:hint="eastAsia" w:ascii="宋体" w:hAnsi="宋体" w:cs="宋体"/>
                <w:bCs/>
                <w:color w:val="auto"/>
                <w:szCs w:val="21"/>
              </w:rPr>
              <w:t>20</w:t>
            </w:r>
          </w:p>
        </w:tc>
        <w:tc>
          <w:tcPr>
            <w:tcW w:w="2265" w:type="dxa"/>
            <w:tcBorders>
              <w:right w:val="single" w:color="auto" w:sz="4" w:space="0"/>
            </w:tcBorders>
            <w:vAlign w:val="center"/>
          </w:tcPr>
          <w:p w14:paraId="7C592CE3">
            <w:pPr>
              <w:rPr>
                <w:rFonts w:ascii="宋体" w:hAnsi="宋体" w:cs="宋体"/>
                <w:bCs/>
                <w:color w:val="auto"/>
                <w:szCs w:val="21"/>
              </w:rPr>
            </w:pPr>
            <w:r>
              <w:rPr>
                <w:rFonts w:hint="eastAsia"/>
                <w:color w:val="auto"/>
              </w:rPr>
              <w:t>HDMI输入卡</w:t>
            </w:r>
          </w:p>
        </w:tc>
        <w:tc>
          <w:tcPr>
            <w:tcW w:w="705" w:type="dxa"/>
            <w:tcBorders>
              <w:right w:val="single" w:color="auto" w:sz="4" w:space="0"/>
            </w:tcBorders>
            <w:vAlign w:val="center"/>
          </w:tcPr>
          <w:p w14:paraId="65E847BF">
            <w:pPr>
              <w:jc w:val="center"/>
              <w:rPr>
                <w:rFonts w:ascii="宋体" w:hAnsi="宋体" w:cs="宋体"/>
                <w:bCs/>
                <w:color w:val="auto"/>
                <w:szCs w:val="21"/>
              </w:rPr>
            </w:pPr>
            <w:r>
              <w:rPr>
                <w:rFonts w:hint="eastAsia"/>
                <w:color w:val="auto"/>
              </w:rPr>
              <w:t>1</w:t>
            </w:r>
          </w:p>
        </w:tc>
        <w:tc>
          <w:tcPr>
            <w:tcW w:w="1125" w:type="dxa"/>
            <w:tcBorders>
              <w:right w:val="single" w:color="auto" w:sz="4" w:space="0"/>
            </w:tcBorders>
            <w:vAlign w:val="center"/>
          </w:tcPr>
          <w:p w14:paraId="67D0375E">
            <w:pPr>
              <w:jc w:val="center"/>
              <w:rPr>
                <w:rFonts w:ascii="宋体" w:hAnsi="宋体" w:cs="宋体"/>
                <w:bCs/>
                <w:color w:val="auto"/>
                <w:szCs w:val="21"/>
              </w:rPr>
            </w:pPr>
            <w:r>
              <w:rPr>
                <w:rFonts w:hint="eastAsia"/>
                <w:color w:val="auto"/>
              </w:rPr>
              <w:t>张</w:t>
            </w:r>
          </w:p>
        </w:tc>
      </w:tr>
      <w:tr w14:paraId="69E7EE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60" w:type="dxa"/>
            <w:vAlign w:val="center"/>
          </w:tcPr>
          <w:p w14:paraId="4C113E41">
            <w:pPr>
              <w:widowControl/>
              <w:jc w:val="center"/>
              <w:textAlignment w:val="center"/>
              <w:rPr>
                <w:rFonts w:ascii="宋体" w:hAnsi="宋体" w:cs="宋体"/>
                <w:bCs/>
                <w:color w:val="auto"/>
                <w:kern w:val="0"/>
                <w:szCs w:val="21"/>
              </w:rPr>
            </w:pPr>
            <w:r>
              <w:rPr>
                <w:rFonts w:hint="eastAsia" w:ascii="宋体" w:hAnsi="宋体" w:cs="宋体"/>
                <w:color w:val="auto"/>
                <w:kern w:val="0"/>
                <w:szCs w:val="21"/>
                <w:lang w:bidi="ar"/>
              </w:rPr>
              <w:t>3</w:t>
            </w:r>
          </w:p>
        </w:tc>
        <w:tc>
          <w:tcPr>
            <w:tcW w:w="1764" w:type="dxa"/>
            <w:vAlign w:val="center"/>
          </w:tcPr>
          <w:p w14:paraId="3C6AEC01">
            <w:pPr>
              <w:rPr>
                <w:rFonts w:ascii="宋体" w:hAnsi="宋体" w:cs="宋体"/>
                <w:bCs/>
                <w:color w:val="auto"/>
                <w:szCs w:val="21"/>
              </w:rPr>
            </w:pPr>
            <w:r>
              <w:rPr>
                <w:rFonts w:hint="eastAsia"/>
                <w:color w:val="auto"/>
              </w:rPr>
              <w:t>左右主扩音箱功放</w:t>
            </w:r>
          </w:p>
        </w:tc>
        <w:tc>
          <w:tcPr>
            <w:tcW w:w="681" w:type="dxa"/>
            <w:vAlign w:val="center"/>
          </w:tcPr>
          <w:p w14:paraId="6469C341">
            <w:pPr>
              <w:jc w:val="center"/>
              <w:rPr>
                <w:rFonts w:ascii="宋体" w:hAnsi="宋体" w:cs="宋体"/>
                <w:bCs/>
                <w:color w:val="auto"/>
                <w:szCs w:val="21"/>
              </w:rPr>
            </w:pPr>
            <w:r>
              <w:rPr>
                <w:rFonts w:hint="eastAsia"/>
                <w:color w:val="auto"/>
              </w:rPr>
              <w:t>1</w:t>
            </w:r>
          </w:p>
        </w:tc>
        <w:tc>
          <w:tcPr>
            <w:tcW w:w="1080" w:type="dxa"/>
            <w:tcBorders>
              <w:right w:val="single" w:color="auto" w:sz="4" w:space="0"/>
            </w:tcBorders>
            <w:vAlign w:val="center"/>
          </w:tcPr>
          <w:p w14:paraId="79034B43">
            <w:pPr>
              <w:jc w:val="center"/>
              <w:rPr>
                <w:rFonts w:ascii="宋体" w:hAnsi="宋体" w:cs="宋体"/>
                <w:bCs/>
                <w:color w:val="auto"/>
                <w:szCs w:val="21"/>
              </w:rPr>
            </w:pPr>
            <w:r>
              <w:rPr>
                <w:rFonts w:hint="eastAsia"/>
                <w:color w:val="auto"/>
              </w:rPr>
              <w:t>台</w:t>
            </w:r>
          </w:p>
        </w:tc>
        <w:tc>
          <w:tcPr>
            <w:tcW w:w="300" w:type="dxa"/>
            <w:tcBorders>
              <w:top w:val="nil"/>
              <w:left w:val="single" w:color="auto" w:sz="4" w:space="0"/>
              <w:bottom w:val="nil"/>
              <w:right w:val="single" w:color="auto" w:sz="4" w:space="0"/>
            </w:tcBorders>
            <w:vAlign w:val="center"/>
          </w:tcPr>
          <w:p w14:paraId="25B625E3">
            <w:pPr>
              <w:widowControl/>
              <w:jc w:val="center"/>
              <w:textAlignment w:val="center"/>
              <w:rPr>
                <w:rFonts w:ascii="宋体" w:hAnsi="宋体" w:cs="宋体"/>
                <w:bCs/>
                <w:color w:val="auto"/>
                <w:szCs w:val="21"/>
              </w:rPr>
            </w:pPr>
          </w:p>
        </w:tc>
        <w:tc>
          <w:tcPr>
            <w:tcW w:w="705" w:type="dxa"/>
            <w:tcBorders>
              <w:left w:val="single" w:color="auto" w:sz="4" w:space="0"/>
              <w:right w:val="single" w:color="auto" w:sz="4" w:space="0"/>
            </w:tcBorders>
            <w:vAlign w:val="center"/>
          </w:tcPr>
          <w:p w14:paraId="1E1291F3">
            <w:pPr>
              <w:widowControl/>
              <w:jc w:val="center"/>
              <w:textAlignment w:val="center"/>
              <w:rPr>
                <w:rFonts w:ascii="宋体" w:hAnsi="宋体" w:cs="宋体"/>
                <w:bCs/>
                <w:color w:val="auto"/>
                <w:szCs w:val="21"/>
              </w:rPr>
            </w:pPr>
            <w:r>
              <w:rPr>
                <w:rFonts w:hint="eastAsia" w:ascii="宋体" w:hAnsi="宋体" w:cs="宋体"/>
                <w:bCs/>
                <w:color w:val="auto"/>
                <w:szCs w:val="21"/>
              </w:rPr>
              <w:t>21</w:t>
            </w:r>
          </w:p>
        </w:tc>
        <w:tc>
          <w:tcPr>
            <w:tcW w:w="2265" w:type="dxa"/>
            <w:tcBorders>
              <w:right w:val="single" w:color="auto" w:sz="4" w:space="0"/>
            </w:tcBorders>
            <w:vAlign w:val="center"/>
          </w:tcPr>
          <w:p w14:paraId="5211B593">
            <w:pPr>
              <w:rPr>
                <w:rFonts w:ascii="宋体" w:hAnsi="宋体" w:cs="宋体"/>
                <w:bCs/>
                <w:color w:val="auto"/>
                <w:szCs w:val="21"/>
              </w:rPr>
            </w:pPr>
            <w:r>
              <w:rPr>
                <w:rFonts w:hint="eastAsia"/>
                <w:color w:val="auto"/>
              </w:rPr>
              <w:t>HDMI输出卡</w:t>
            </w:r>
          </w:p>
        </w:tc>
        <w:tc>
          <w:tcPr>
            <w:tcW w:w="705" w:type="dxa"/>
            <w:tcBorders>
              <w:right w:val="single" w:color="auto" w:sz="4" w:space="0"/>
            </w:tcBorders>
            <w:vAlign w:val="center"/>
          </w:tcPr>
          <w:p w14:paraId="4EF6024F">
            <w:pPr>
              <w:jc w:val="center"/>
              <w:rPr>
                <w:rFonts w:ascii="宋体" w:hAnsi="宋体" w:cs="宋体"/>
                <w:bCs/>
                <w:color w:val="auto"/>
                <w:szCs w:val="21"/>
              </w:rPr>
            </w:pPr>
            <w:r>
              <w:rPr>
                <w:rFonts w:hint="eastAsia"/>
                <w:color w:val="auto"/>
              </w:rPr>
              <w:t>1</w:t>
            </w:r>
          </w:p>
        </w:tc>
        <w:tc>
          <w:tcPr>
            <w:tcW w:w="1125" w:type="dxa"/>
            <w:tcBorders>
              <w:right w:val="single" w:color="auto" w:sz="4" w:space="0"/>
            </w:tcBorders>
            <w:vAlign w:val="center"/>
          </w:tcPr>
          <w:p w14:paraId="6939197F">
            <w:pPr>
              <w:jc w:val="center"/>
              <w:rPr>
                <w:rFonts w:ascii="宋体" w:hAnsi="宋体" w:cs="宋体"/>
                <w:bCs/>
                <w:color w:val="auto"/>
                <w:szCs w:val="21"/>
              </w:rPr>
            </w:pPr>
            <w:r>
              <w:rPr>
                <w:rFonts w:hint="eastAsia"/>
                <w:color w:val="auto"/>
              </w:rPr>
              <w:t>张</w:t>
            </w:r>
          </w:p>
        </w:tc>
      </w:tr>
      <w:tr w14:paraId="50AC17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60" w:type="dxa"/>
            <w:vAlign w:val="center"/>
          </w:tcPr>
          <w:p w14:paraId="48B4B10A">
            <w:pPr>
              <w:widowControl/>
              <w:jc w:val="center"/>
              <w:textAlignment w:val="center"/>
              <w:rPr>
                <w:rFonts w:ascii="宋体" w:hAnsi="宋体" w:cs="宋体"/>
                <w:color w:val="auto"/>
                <w:kern w:val="0"/>
                <w:szCs w:val="21"/>
                <w:lang w:bidi="ar"/>
              </w:rPr>
            </w:pPr>
            <w:r>
              <w:rPr>
                <w:rFonts w:hint="eastAsia" w:ascii="宋体" w:hAnsi="宋体" w:cs="宋体"/>
                <w:color w:val="auto"/>
                <w:kern w:val="0"/>
                <w:szCs w:val="21"/>
                <w:lang w:bidi="ar"/>
              </w:rPr>
              <w:t>4</w:t>
            </w:r>
          </w:p>
        </w:tc>
        <w:tc>
          <w:tcPr>
            <w:tcW w:w="1764" w:type="dxa"/>
            <w:vAlign w:val="center"/>
          </w:tcPr>
          <w:p w14:paraId="57216AC9">
            <w:pPr>
              <w:rPr>
                <w:rFonts w:ascii="宋体" w:hAnsi="宋体" w:cs="宋体"/>
                <w:bCs/>
                <w:color w:val="auto"/>
                <w:szCs w:val="21"/>
              </w:rPr>
            </w:pPr>
            <w:r>
              <w:rPr>
                <w:rFonts w:hint="eastAsia"/>
                <w:color w:val="auto"/>
              </w:rPr>
              <w:t>辅助音箱</w:t>
            </w:r>
          </w:p>
        </w:tc>
        <w:tc>
          <w:tcPr>
            <w:tcW w:w="681" w:type="dxa"/>
            <w:vAlign w:val="center"/>
          </w:tcPr>
          <w:p w14:paraId="48956EF2">
            <w:pPr>
              <w:jc w:val="center"/>
              <w:rPr>
                <w:rFonts w:ascii="宋体" w:hAnsi="宋体" w:cs="宋体"/>
                <w:bCs/>
                <w:color w:val="auto"/>
                <w:szCs w:val="21"/>
              </w:rPr>
            </w:pPr>
            <w:r>
              <w:rPr>
                <w:rFonts w:hint="eastAsia"/>
                <w:color w:val="auto"/>
              </w:rPr>
              <w:t>4</w:t>
            </w:r>
          </w:p>
        </w:tc>
        <w:tc>
          <w:tcPr>
            <w:tcW w:w="1080" w:type="dxa"/>
            <w:tcBorders>
              <w:right w:val="single" w:color="auto" w:sz="4" w:space="0"/>
            </w:tcBorders>
            <w:vAlign w:val="center"/>
          </w:tcPr>
          <w:p w14:paraId="7389B097">
            <w:pPr>
              <w:jc w:val="center"/>
              <w:rPr>
                <w:rFonts w:ascii="宋体" w:hAnsi="宋体" w:cs="宋体"/>
                <w:bCs/>
                <w:color w:val="auto"/>
                <w:szCs w:val="21"/>
              </w:rPr>
            </w:pPr>
            <w:r>
              <w:rPr>
                <w:rFonts w:hint="eastAsia"/>
                <w:color w:val="auto"/>
              </w:rPr>
              <w:t>只</w:t>
            </w:r>
          </w:p>
        </w:tc>
        <w:tc>
          <w:tcPr>
            <w:tcW w:w="300" w:type="dxa"/>
            <w:tcBorders>
              <w:top w:val="nil"/>
              <w:left w:val="single" w:color="auto" w:sz="4" w:space="0"/>
              <w:bottom w:val="nil"/>
              <w:right w:val="single" w:color="auto" w:sz="4" w:space="0"/>
            </w:tcBorders>
            <w:vAlign w:val="center"/>
          </w:tcPr>
          <w:p w14:paraId="459CB0E5">
            <w:pPr>
              <w:widowControl/>
              <w:jc w:val="center"/>
              <w:textAlignment w:val="center"/>
              <w:rPr>
                <w:rFonts w:ascii="宋体" w:hAnsi="宋体" w:cs="宋体"/>
                <w:bCs/>
                <w:color w:val="auto"/>
                <w:szCs w:val="21"/>
              </w:rPr>
            </w:pPr>
          </w:p>
        </w:tc>
        <w:tc>
          <w:tcPr>
            <w:tcW w:w="705" w:type="dxa"/>
            <w:tcBorders>
              <w:left w:val="single" w:color="auto" w:sz="4" w:space="0"/>
              <w:right w:val="single" w:color="auto" w:sz="4" w:space="0"/>
            </w:tcBorders>
            <w:vAlign w:val="center"/>
          </w:tcPr>
          <w:p w14:paraId="01A1FD74">
            <w:pPr>
              <w:widowControl/>
              <w:jc w:val="center"/>
              <w:textAlignment w:val="center"/>
              <w:rPr>
                <w:rFonts w:ascii="宋体" w:hAnsi="宋体" w:cs="宋体"/>
                <w:bCs/>
                <w:color w:val="auto"/>
                <w:szCs w:val="21"/>
              </w:rPr>
            </w:pPr>
            <w:r>
              <w:rPr>
                <w:rFonts w:hint="eastAsia" w:ascii="宋体" w:hAnsi="宋体" w:cs="宋体"/>
                <w:bCs/>
                <w:color w:val="auto"/>
                <w:szCs w:val="21"/>
              </w:rPr>
              <w:t>22</w:t>
            </w:r>
          </w:p>
        </w:tc>
        <w:tc>
          <w:tcPr>
            <w:tcW w:w="2265" w:type="dxa"/>
            <w:tcBorders>
              <w:right w:val="single" w:color="auto" w:sz="4" w:space="0"/>
            </w:tcBorders>
            <w:vAlign w:val="center"/>
          </w:tcPr>
          <w:p w14:paraId="02018C6F">
            <w:pPr>
              <w:rPr>
                <w:rFonts w:ascii="宋体" w:hAnsi="宋体" w:cs="宋体"/>
                <w:bCs/>
                <w:color w:val="auto"/>
                <w:szCs w:val="21"/>
              </w:rPr>
            </w:pPr>
            <w:r>
              <w:rPr>
                <w:rFonts w:hint="eastAsia"/>
                <w:color w:val="auto"/>
              </w:rPr>
              <w:t>HDbaseT传输器（HDMI）</w:t>
            </w:r>
          </w:p>
        </w:tc>
        <w:tc>
          <w:tcPr>
            <w:tcW w:w="705" w:type="dxa"/>
            <w:tcBorders>
              <w:right w:val="single" w:color="auto" w:sz="4" w:space="0"/>
            </w:tcBorders>
            <w:vAlign w:val="center"/>
          </w:tcPr>
          <w:p w14:paraId="0494A2B7">
            <w:pPr>
              <w:jc w:val="center"/>
              <w:rPr>
                <w:rFonts w:ascii="宋体" w:hAnsi="宋体" w:cs="宋体"/>
                <w:bCs/>
                <w:color w:val="auto"/>
                <w:szCs w:val="21"/>
              </w:rPr>
            </w:pPr>
            <w:r>
              <w:rPr>
                <w:rFonts w:hint="eastAsia"/>
                <w:color w:val="auto"/>
              </w:rPr>
              <w:t>1</w:t>
            </w:r>
          </w:p>
        </w:tc>
        <w:tc>
          <w:tcPr>
            <w:tcW w:w="1125" w:type="dxa"/>
            <w:tcBorders>
              <w:right w:val="single" w:color="auto" w:sz="4" w:space="0"/>
            </w:tcBorders>
            <w:vAlign w:val="center"/>
          </w:tcPr>
          <w:p w14:paraId="52415D4C">
            <w:pPr>
              <w:jc w:val="center"/>
              <w:rPr>
                <w:rFonts w:ascii="宋体" w:hAnsi="宋体" w:cs="宋体"/>
                <w:bCs/>
                <w:color w:val="auto"/>
                <w:szCs w:val="21"/>
              </w:rPr>
            </w:pPr>
            <w:r>
              <w:rPr>
                <w:rFonts w:hint="eastAsia"/>
                <w:color w:val="auto"/>
              </w:rPr>
              <w:t>对</w:t>
            </w:r>
          </w:p>
        </w:tc>
      </w:tr>
      <w:tr w14:paraId="35CA40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60" w:type="dxa"/>
            <w:vAlign w:val="center"/>
          </w:tcPr>
          <w:p w14:paraId="2D3A0A98">
            <w:pPr>
              <w:widowControl/>
              <w:jc w:val="center"/>
              <w:textAlignment w:val="center"/>
              <w:rPr>
                <w:rFonts w:ascii="宋体" w:hAnsi="宋体" w:cs="宋体"/>
                <w:color w:val="auto"/>
                <w:kern w:val="0"/>
                <w:szCs w:val="21"/>
                <w:lang w:bidi="ar"/>
              </w:rPr>
            </w:pPr>
            <w:r>
              <w:rPr>
                <w:rFonts w:hint="eastAsia" w:ascii="宋体" w:hAnsi="宋体" w:cs="宋体"/>
                <w:color w:val="auto"/>
                <w:kern w:val="0"/>
                <w:szCs w:val="21"/>
                <w:lang w:bidi="ar"/>
              </w:rPr>
              <w:t>5</w:t>
            </w:r>
          </w:p>
        </w:tc>
        <w:tc>
          <w:tcPr>
            <w:tcW w:w="1764" w:type="dxa"/>
            <w:vAlign w:val="center"/>
          </w:tcPr>
          <w:p w14:paraId="123BF475">
            <w:pPr>
              <w:rPr>
                <w:rFonts w:ascii="宋体" w:hAnsi="宋体" w:cs="宋体"/>
                <w:bCs/>
                <w:color w:val="auto"/>
                <w:szCs w:val="21"/>
              </w:rPr>
            </w:pPr>
            <w:r>
              <w:rPr>
                <w:rFonts w:hint="eastAsia"/>
                <w:color w:val="auto"/>
              </w:rPr>
              <w:t>辅助音箱功放</w:t>
            </w:r>
          </w:p>
        </w:tc>
        <w:tc>
          <w:tcPr>
            <w:tcW w:w="681" w:type="dxa"/>
            <w:vAlign w:val="center"/>
          </w:tcPr>
          <w:p w14:paraId="3537904B">
            <w:pPr>
              <w:jc w:val="center"/>
              <w:rPr>
                <w:rFonts w:ascii="宋体" w:hAnsi="宋体" w:cs="宋体"/>
                <w:bCs/>
                <w:color w:val="auto"/>
                <w:szCs w:val="21"/>
              </w:rPr>
            </w:pPr>
            <w:r>
              <w:rPr>
                <w:rFonts w:hint="eastAsia"/>
                <w:color w:val="auto"/>
              </w:rPr>
              <w:t>2</w:t>
            </w:r>
          </w:p>
        </w:tc>
        <w:tc>
          <w:tcPr>
            <w:tcW w:w="1080" w:type="dxa"/>
            <w:tcBorders>
              <w:right w:val="single" w:color="auto" w:sz="4" w:space="0"/>
            </w:tcBorders>
            <w:vAlign w:val="center"/>
          </w:tcPr>
          <w:p w14:paraId="6F9C1BE7">
            <w:pPr>
              <w:jc w:val="center"/>
              <w:rPr>
                <w:rFonts w:ascii="宋体" w:hAnsi="宋体" w:cs="宋体"/>
                <w:bCs/>
                <w:color w:val="auto"/>
                <w:szCs w:val="21"/>
              </w:rPr>
            </w:pPr>
            <w:r>
              <w:rPr>
                <w:rFonts w:hint="eastAsia"/>
                <w:color w:val="auto"/>
              </w:rPr>
              <w:t>台</w:t>
            </w:r>
          </w:p>
        </w:tc>
        <w:tc>
          <w:tcPr>
            <w:tcW w:w="300" w:type="dxa"/>
            <w:tcBorders>
              <w:top w:val="nil"/>
              <w:left w:val="single" w:color="auto" w:sz="4" w:space="0"/>
              <w:bottom w:val="nil"/>
              <w:right w:val="single" w:color="auto" w:sz="4" w:space="0"/>
            </w:tcBorders>
            <w:vAlign w:val="center"/>
          </w:tcPr>
          <w:p w14:paraId="2179ED3E">
            <w:pPr>
              <w:widowControl/>
              <w:jc w:val="center"/>
              <w:textAlignment w:val="center"/>
              <w:rPr>
                <w:rFonts w:ascii="宋体" w:hAnsi="宋体" w:cs="宋体"/>
                <w:bCs/>
                <w:color w:val="auto"/>
                <w:szCs w:val="21"/>
              </w:rPr>
            </w:pPr>
          </w:p>
        </w:tc>
        <w:tc>
          <w:tcPr>
            <w:tcW w:w="705" w:type="dxa"/>
            <w:tcBorders>
              <w:left w:val="single" w:color="auto" w:sz="4" w:space="0"/>
              <w:right w:val="single" w:color="auto" w:sz="4" w:space="0"/>
            </w:tcBorders>
            <w:vAlign w:val="center"/>
          </w:tcPr>
          <w:p w14:paraId="4C0636A6">
            <w:pPr>
              <w:widowControl/>
              <w:jc w:val="center"/>
              <w:textAlignment w:val="center"/>
              <w:rPr>
                <w:rFonts w:ascii="宋体" w:hAnsi="宋体" w:cs="宋体"/>
                <w:bCs/>
                <w:color w:val="auto"/>
                <w:szCs w:val="21"/>
              </w:rPr>
            </w:pPr>
            <w:r>
              <w:rPr>
                <w:rFonts w:hint="eastAsia" w:ascii="宋体" w:hAnsi="宋体" w:cs="宋体"/>
                <w:bCs/>
                <w:color w:val="auto"/>
                <w:szCs w:val="21"/>
              </w:rPr>
              <w:t>23</w:t>
            </w:r>
          </w:p>
        </w:tc>
        <w:tc>
          <w:tcPr>
            <w:tcW w:w="2265" w:type="dxa"/>
            <w:tcBorders>
              <w:right w:val="single" w:color="auto" w:sz="4" w:space="0"/>
            </w:tcBorders>
            <w:vAlign w:val="center"/>
          </w:tcPr>
          <w:p w14:paraId="4E5E8688">
            <w:pPr>
              <w:rPr>
                <w:rFonts w:ascii="宋体" w:hAnsi="宋体" w:cs="宋体"/>
                <w:bCs/>
                <w:color w:val="auto"/>
                <w:szCs w:val="21"/>
              </w:rPr>
            </w:pPr>
            <w:r>
              <w:rPr>
                <w:rFonts w:hint="eastAsia"/>
                <w:color w:val="auto"/>
              </w:rPr>
              <w:t>中央控制系统主机</w:t>
            </w:r>
          </w:p>
        </w:tc>
        <w:tc>
          <w:tcPr>
            <w:tcW w:w="705" w:type="dxa"/>
            <w:tcBorders>
              <w:right w:val="single" w:color="auto" w:sz="4" w:space="0"/>
            </w:tcBorders>
            <w:vAlign w:val="center"/>
          </w:tcPr>
          <w:p w14:paraId="38C601DF">
            <w:pPr>
              <w:jc w:val="center"/>
              <w:rPr>
                <w:rFonts w:ascii="宋体" w:hAnsi="宋体" w:cs="宋体"/>
                <w:bCs/>
                <w:color w:val="auto"/>
                <w:szCs w:val="21"/>
              </w:rPr>
            </w:pPr>
            <w:r>
              <w:rPr>
                <w:rFonts w:hint="eastAsia"/>
                <w:color w:val="auto"/>
              </w:rPr>
              <w:t>1</w:t>
            </w:r>
          </w:p>
        </w:tc>
        <w:tc>
          <w:tcPr>
            <w:tcW w:w="1125" w:type="dxa"/>
            <w:tcBorders>
              <w:right w:val="single" w:color="auto" w:sz="4" w:space="0"/>
            </w:tcBorders>
            <w:vAlign w:val="center"/>
          </w:tcPr>
          <w:p w14:paraId="02195457">
            <w:pPr>
              <w:jc w:val="center"/>
              <w:rPr>
                <w:rFonts w:ascii="宋体" w:hAnsi="宋体" w:cs="宋体"/>
                <w:bCs/>
                <w:color w:val="auto"/>
                <w:szCs w:val="21"/>
              </w:rPr>
            </w:pPr>
            <w:r>
              <w:rPr>
                <w:rFonts w:hint="eastAsia"/>
                <w:color w:val="auto"/>
              </w:rPr>
              <w:t>台</w:t>
            </w:r>
          </w:p>
        </w:tc>
      </w:tr>
      <w:tr w14:paraId="53E41A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60" w:type="dxa"/>
            <w:vAlign w:val="center"/>
          </w:tcPr>
          <w:p w14:paraId="3B23A911">
            <w:pPr>
              <w:widowControl/>
              <w:jc w:val="center"/>
              <w:textAlignment w:val="center"/>
              <w:rPr>
                <w:rFonts w:ascii="宋体" w:hAnsi="宋体" w:cs="宋体"/>
                <w:color w:val="auto"/>
                <w:kern w:val="0"/>
                <w:szCs w:val="21"/>
                <w:lang w:bidi="ar"/>
              </w:rPr>
            </w:pPr>
            <w:r>
              <w:rPr>
                <w:rFonts w:hint="eastAsia" w:ascii="宋体" w:hAnsi="宋体" w:cs="宋体"/>
                <w:color w:val="auto"/>
                <w:kern w:val="0"/>
                <w:szCs w:val="21"/>
                <w:lang w:bidi="ar"/>
              </w:rPr>
              <w:t>6</w:t>
            </w:r>
          </w:p>
        </w:tc>
        <w:tc>
          <w:tcPr>
            <w:tcW w:w="1764" w:type="dxa"/>
            <w:vAlign w:val="center"/>
          </w:tcPr>
          <w:p w14:paraId="1D4C9691">
            <w:pPr>
              <w:rPr>
                <w:rFonts w:ascii="宋体" w:hAnsi="宋体" w:cs="宋体"/>
                <w:bCs/>
                <w:color w:val="auto"/>
                <w:szCs w:val="21"/>
              </w:rPr>
            </w:pPr>
            <w:r>
              <w:rPr>
                <w:rFonts w:hint="eastAsia"/>
                <w:color w:val="auto"/>
              </w:rPr>
              <w:t>返听音箱</w:t>
            </w:r>
          </w:p>
        </w:tc>
        <w:tc>
          <w:tcPr>
            <w:tcW w:w="681" w:type="dxa"/>
            <w:vAlign w:val="center"/>
          </w:tcPr>
          <w:p w14:paraId="0679EE9C">
            <w:pPr>
              <w:jc w:val="center"/>
              <w:rPr>
                <w:rFonts w:ascii="宋体" w:hAnsi="宋体" w:cs="宋体"/>
                <w:bCs/>
                <w:color w:val="auto"/>
                <w:szCs w:val="21"/>
              </w:rPr>
            </w:pPr>
            <w:r>
              <w:rPr>
                <w:rFonts w:hint="eastAsia"/>
                <w:color w:val="auto"/>
              </w:rPr>
              <w:t>2</w:t>
            </w:r>
          </w:p>
        </w:tc>
        <w:tc>
          <w:tcPr>
            <w:tcW w:w="1080" w:type="dxa"/>
            <w:tcBorders>
              <w:right w:val="single" w:color="auto" w:sz="4" w:space="0"/>
            </w:tcBorders>
            <w:vAlign w:val="center"/>
          </w:tcPr>
          <w:p w14:paraId="1E0DB97A">
            <w:pPr>
              <w:jc w:val="center"/>
              <w:rPr>
                <w:rFonts w:ascii="宋体" w:hAnsi="宋体" w:cs="宋体"/>
                <w:bCs/>
                <w:color w:val="auto"/>
                <w:szCs w:val="21"/>
              </w:rPr>
            </w:pPr>
            <w:r>
              <w:rPr>
                <w:rFonts w:hint="eastAsia"/>
                <w:color w:val="auto"/>
              </w:rPr>
              <w:t>只</w:t>
            </w:r>
          </w:p>
        </w:tc>
        <w:tc>
          <w:tcPr>
            <w:tcW w:w="300" w:type="dxa"/>
            <w:tcBorders>
              <w:top w:val="nil"/>
              <w:left w:val="single" w:color="auto" w:sz="4" w:space="0"/>
              <w:bottom w:val="nil"/>
              <w:right w:val="single" w:color="auto" w:sz="4" w:space="0"/>
            </w:tcBorders>
            <w:vAlign w:val="center"/>
          </w:tcPr>
          <w:p w14:paraId="598615CB">
            <w:pPr>
              <w:widowControl/>
              <w:jc w:val="center"/>
              <w:textAlignment w:val="center"/>
              <w:rPr>
                <w:rFonts w:ascii="宋体" w:hAnsi="宋体" w:cs="宋体"/>
                <w:bCs/>
                <w:color w:val="auto"/>
                <w:szCs w:val="21"/>
              </w:rPr>
            </w:pPr>
          </w:p>
        </w:tc>
        <w:tc>
          <w:tcPr>
            <w:tcW w:w="705" w:type="dxa"/>
            <w:tcBorders>
              <w:left w:val="single" w:color="auto" w:sz="4" w:space="0"/>
              <w:right w:val="single" w:color="auto" w:sz="4" w:space="0"/>
            </w:tcBorders>
            <w:vAlign w:val="center"/>
          </w:tcPr>
          <w:p w14:paraId="10BCE7A2">
            <w:pPr>
              <w:widowControl/>
              <w:jc w:val="center"/>
              <w:textAlignment w:val="center"/>
              <w:rPr>
                <w:rFonts w:ascii="宋体" w:hAnsi="宋体" w:cs="宋体"/>
                <w:bCs/>
                <w:color w:val="auto"/>
                <w:szCs w:val="21"/>
              </w:rPr>
            </w:pPr>
            <w:r>
              <w:rPr>
                <w:rFonts w:hint="eastAsia" w:ascii="宋体" w:hAnsi="宋体" w:cs="宋体"/>
                <w:bCs/>
                <w:color w:val="auto"/>
                <w:szCs w:val="21"/>
              </w:rPr>
              <w:t>24</w:t>
            </w:r>
          </w:p>
        </w:tc>
        <w:tc>
          <w:tcPr>
            <w:tcW w:w="2265" w:type="dxa"/>
            <w:tcBorders>
              <w:right w:val="single" w:color="auto" w:sz="4" w:space="0"/>
            </w:tcBorders>
            <w:vAlign w:val="center"/>
          </w:tcPr>
          <w:p w14:paraId="4D47D97B">
            <w:pPr>
              <w:rPr>
                <w:rFonts w:ascii="宋体" w:hAnsi="宋体" w:cs="宋体"/>
                <w:bCs/>
                <w:color w:val="auto"/>
                <w:szCs w:val="21"/>
              </w:rPr>
            </w:pPr>
            <w:r>
              <w:rPr>
                <w:rFonts w:hint="eastAsia"/>
                <w:color w:val="auto"/>
              </w:rPr>
              <w:t>IVS智能云管理中心控制软件</w:t>
            </w:r>
          </w:p>
        </w:tc>
        <w:tc>
          <w:tcPr>
            <w:tcW w:w="705" w:type="dxa"/>
            <w:tcBorders>
              <w:right w:val="single" w:color="auto" w:sz="4" w:space="0"/>
            </w:tcBorders>
            <w:vAlign w:val="center"/>
          </w:tcPr>
          <w:p w14:paraId="0D3AA69F">
            <w:pPr>
              <w:jc w:val="center"/>
              <w:rPr>
                <w:rFonts w:ascii="宋体" w:hAnsi="宋体" w:cs="宋体"/>
                <w:bCs/>
                <w:color w:val="auto"/>
                <w:szCs w:val="21"/>
              </w:rPr>
            </w:pPr>
            <w:r>
              <w:rPr>
                <w:rFonts w:hint="eastAsia"/>
                <w:color w:val="auto"/>
              </w:rPr>
              <w:t>1</w:t>
            </w:r>
          </w:p>
        </w:tc>
        <w:tc>
          <w:tcPr>
            <w:tcW w:w="1125" w:type="dxa"/>
            <w:tcBorders>
              <w:right w:val="single" w:color="auto" w:sz="4" w:space="0"/>
            </w:tcBorders>
            <w:vAlign w:val="center"/>
          </w:tcPr>
          <w:p w14:paraId="7DD98F14">
            <w:pPr>
              <w:jc w:val="center"/>
              <w:rPr>
                <w:rFonts w:ascii="宋体" w:hAnsi="宋体" w:cs="宋体"/>
                <w:bCs/>
                <w:color w:val="auto"/>
                <w:szCs w:val="21"/>
              </w:rPr>
            </w:pPr>
            <w:r>
              <w:rPr>
                <w:rFonts w:hint="eastAsia"/>
                <w:color w:val="auto"/>
              </w:rPr>
              <w:t>套</w:t>
            </w:r>
          </w:p>
        </w:tc>
      </w:tr>
      <w:tr w14:paraId="0CE5A6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60" w:type="dxa"/>
            <w:vAlign w:val="center"/>
          </w:tcPr>
          <w:p w14:paraId="39896FDD">
            <w:pPr>
              <w:widowControl/>
              <w:jc w:val="center"/>
              <w:textAlignment w:val="center"/>
              <w:rPr>
                <w:rFonts w:ascii="宋体" w:hAnsi="宋体" w:cs="宋体"/>
                <w:color w:val="auto"/>
                <w:kern w:val="0"/>
                <w:szCs w:val="21"/>
                <w:lang w:bidi="ar"/>
              </w:rPr>
            </w:pPr>
            <w:r>
              <w:rPr>
                <w:rFonts w:hint="eastAsia" w:ascii="宋体" w:hAnsi="宋体" w:cs="宋体"/>
                <w:color w:val="auto"/>
                <w:kern w:val="0"/>
                <w:szCs w:val="21"/>
                <w:lang w:bidi="ar"/>
              </w:rPr>
              <w:t>7</w:t>
            </w:r>
          </w:p>
        </w:tc>
        <w:tc>
          <w:tcPr>
            <w:tcW w:w="1764" w:type="dxa"/>
            <w:vAlign w:val="center"/>
          </w:tcPr>
          <w:p w14:paraId="7719CA3A">
            <w:pPr>
              <w:rPr>
                <w:rFonts w:ascii="宋体" w:hAnsi="宋体" w:cs="宋体"/>
                <w:bCs/>
                <w:color w:val="auto"/>
                <w:szCs w:val="21"/>
              </w:rPr>
            </w:pPr>
            <w:r>
              <w:rPr>
                <w:rFonts w:hint="eastAsia"/>
                <w:color w:val="auto"/>
              </w:rPr>
              <w:t>返听音箱功放</w:t>
            </w:r>
          </w:p>
        </w:tc>
        <w:tc>
          <w:tcPr>
            <w:tcW w:w="681" w:type="dxa"/>
            <w:vAlign w:val="center"/>
          </w:tcPr>
          <w:p w14:paraId="67416360">
            <w:pPr>
              <w:jc w:val="center"/>
              <w:rPr>
                <w:rFonts w:ascii="宋体" w:hAnsi="宋体" w:cs="宋体"/>
                <w:bCs/>
                <w:color w:val="auto"/>
                <w:szCs w:val="21"/>
              </w:rPr>
            </w:pPr>
            <w:r>
              <w:rPr>
                <w:rFonts w:hint="eastAsia"/>
                <w:color w:val="auto"/>
              </w:rPr>
              <w:t>1</w:t>
            </w:r>
          </w:p>
        </w:tc>
        <w:tc>
          <w:tcPr>
            <w:tcW w:w="1080" w:type="dxa"/>
            <w:tcBorders>
              <w:right w:val="single" w:color="auto" w:sz="4" w:space="0"/>
            </w:tcBorders>
          </w:tcPr>
          <w:p w14:paraId="1CF359AC">
            <w:pPr>
              <w:jc w:val="center"/>
              <w:rPr>
                <w:rFonts w:ascii="宋体" w:hAnsi="宋体" w:cs="宋体"/>
                <w:bCs/>
                <w:color w:val="auto"/>
                <w:szCs w:val="21"/>
              </w:rPr>
            </w:pPr>
            <w:r>
              <w:rPr>
                <w:rFonts w:hint="eastAsia"/>
                <w:color w:val="auto"/>
              </w:rPr>
              <w:t>台</w:t>
            </w:r>
          </w:p>
        </w:tc>
        <w:tc>
          <w:tcPr>
            <w:tcW w:w="300" w:type="dxa"/>
            <w:tcBorders>
              <w:top w:val="nil"/>
              <w:left w:val="single" w:color="auto" w:sz="4" w:space="0"/>
              <w:bottom w:val="nil"/>
              <w:right w:val="single" w:color="auto" w:sz="4" w:space="0"/>
            </w:tcBorders>
            <w:vAlign w:val="center"/>
          </w:tcPr>
          <w:p w14:paraId="3A19B838">
            <w:pPr>
              <w:widowControl/>
              <w:jc w:val="center"/>
              <w:textAlignment w:val="center"/>
              <w:rPr>
                <w:rFonts w:ascii="宋体" w:hAnsi="宋体" w:cs="宋体"/>
                <w:bCs/>
                <w:color w:val="auto"/>
                <w:szCs w:val="21"/>
              </w:rPr>
            </w:pPr>
          </w:p>
        </w:tc>
        <w:tc>
          <w:tcPr>
            <w:tcW w:w="705" w:type="dxa"/>
            <w:tcBorders>
              <w:left w:val="single" w:color="auto" w:sz="4" w:space="0"/>
              <w:right w:val="single" w:color="auto" w:sz="4" w:space="0"/>
            </w:tcBorders>
            <w:vAlign w:val="center"/>
          </w:tcPr>
          <w:p w14:paraId="04F0F036">
            <w:pPr>
              <w:widowControl/>
              <w:jc w:val="center"/>
              <w:textAlignment w:val="center"/>
              <w:rPr>
                <w:rFonts w:ascii="宋体" w:hAnsi="宋体" w:cs="宋体"/>
                <w:bCs/>
                <w:color w:val="auto"/>
                <w:szCs w:val="21"/>
              </w:rPr>
            </w:pPr>
            <w:r>
              <w:rPr>
                <w:rFonts w:hint="eastAsia" w:ascii="宋体" w:hAnsi="宋体" w:cs="宋体"/>
                <w:bCs/>
                <w:color w:val="auto"/>
                <w:szCs w:val="21"/>
              </w:rPr>
              <w:t>25</w:t>
            </w:r>
          </w:p>
        </w:tc>
        <w:tc>
          <w:tcPr>
            <w:tcW w:w="2265" w:type="dxa"/>
            <w:tcBorders>
              <w:right w:val="single" w:color="auto" w:sz="4" w:space="0"/>
            </w:tcBorders>
            <w:vAlign w:val="center"/>
          </w:tcPr>
          <w:p w14:paraId="01F37F87">
            <w:pPr>
              <w:rPr>
                <w:rFonts w:ascii="宋体" w:hAnsi="宋体" w:cs="宋体"/>
                <w:bCs/>
                <w:color w:val="auto"/>
                <w:szCs w:val="21"/>
              </w:rPr>
            </w:pPr>
            <w:r>
              <w:rPr>
                <w:rFonts w:hint="eastAsia"/>
                <w:color w:val="auto"/>
              </w:rPr>
              <w:t>8通道IP继电器控制箱</w:t>
            </w:r>
          </w:p>
        </w:tc>
        <w:tc>
          <w:tcPr>
            <w:tcW w:w="705" w:type="dxa"/>
            <w:tcBorders>
              <w:right w:val="single" w:color="auto" w:sz="4" w:space="0"/>
            </w:tcBorders>
            <w:vAlign w:val="center"/>
          </w:tcPr>
          <w:p w14:paraId="6F21C387">
            <w:pPr>
              <w:jc w:val="center"/>
              <w:rPr>
                <w:rFonts w:ascii="宋体" w:hAnsi="宋体" w:cs="宋体"/>
                <w:bCs/>
                <w:color w:val="auto"/>
                <w:szCs w:val="21"/>
              </w:rPr>
            </w:pPr>
            <w:r>
              <w:rPr>
                <w:rFonts w:hint="eastAsia"/>
                <w:color w:val="auto"/>
              </w:rPr>
              <w:t>1</w:t>
            </w:r>
          </w:p>
        </w:tc>
        <w:tc>
          <w:tcPr>
            <w:tcW w:w="1125" w:type="dxa"/>
            <w:tcBorders>
              <w:right w:val="single" w:color="auto" w:sz="4" w:space="0"/>
            </w:tcBorders>
            <w:vAlign w:val="center"/>
          </w:tcPr>
          <w:p w14:paraId="392081D4">
            <w:pPr>
              <w:jc w:val="center"/>
              <w:rPr>
                <w:rFonts w:ascii="宋体" w:hAnsi="宋体" w:cs="宋体"/>
                <w:bCs/>
                <w:color w:val="auto"/>
                <w:szCs w:val="21"/>
              </w:rPr>
            </w:pPr>
            <w:r>
              <w:rPr>
                <w:rFonts w:hint="eastAsia"/>
                <w:color w:val="auto"/>
              </w:rPr>
              <w:t>台</w:t>
            </w:r>
          </w:p>
        </w:tc>
      </w:tr>
      <w:tr w14:paraId="764F6E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60" w:type="dxa"/>
            <w:vAlign w:val="center"/>
          </w:tcPr>
          <w:p w14:paraId="6ABE34B5">
            <w:pPr>
              <w:widowControl/>
              <w:jc w:val="center"/>
              <w:textAlignment w:val="center"/>
              <w:rPr>
                <w:rFonts w:ascii="宋体" w:hAnsi="宋体" w:cs="宋体"/>
                <w:color w:val="auto"/>
                <w:kern w:val="0"/>
                <w:szCs w:val="21"/>
                <w:lang w:bidi="ar"/>
              </w:rPr>
            </w:pPr>
            <w:r>
              <w:rPr>
                <w:rFonts w:hint="eastAsia" w:ascii="宋体" w:hAnsi="宋体" w:cs="宋体"/>
                <w:color w:val="auto"/>
                <w:kern w:val="0"/>
                <w:szCs w:val="21"/>
                <w:lang w:bidi="ar"/>
              </w:rPr>
              <w:t>8</w:t>
            </w:r>
          </w:p>
        </w:tc>
        <w:tc>
          <w:tcPr>
            <w:tcW w:w="1764" w:type="dxa"/>
            <w:vAlign w:val="center"/>
          </w:tcPr>
          <w:p w14:paraId="0400298D">
            <w:pPr>
              <w:rPr>
                <w:rFonts w:ascii="宋体" w:hAnsi="宋体" w:cs="宋体"/>
                <w:bCs/>
                <w:color w:val="auto"/>
                <w:szCs w:val="21"/>
              </w:rPr>
            </w:pPr>
            <w:r>
              <w:rPr>
                <w:rFonts w:hint="eastAsia"/>
                <w:color w:val="auto"/>
              </w:rPr>
              <w:t>报告厅调音台</w:t>
            </w:r>
          </w:p>
        </w:tc>
        <w:tc>
          <w:tcPr>
            <w:tcW w:w="681" w:type="dxa"/>
            <w:vAlign w:val="center"/>
          </w:tcPr>
          <w:p w14:paraId="016551B9">
            <w:pPr>
              <w:jc w:val="center"/>
              <w:rPr>
                <w:rFonts w:ascii="宋体" w:hAnsi="宋体" w:cs="宋体"/>
                <w:bCs/>
                <w:color w:val="auto"/>
                <w:szCs w:val="21"/>
              </w:rPr>
            </w:pPr>
            <w:r>
              <w:rPr>
                <w:rFonts w:hint="eastAsia"/>
                <w:color w:val="auto"/>
              </w:rPr>
              <w:t>1</w:t>
            </w:r>
          </w:p>
        </w:tc>
        <w:tc>
          <w:tcPr>
            <w:tcW w:w="1080" w:type="dxa"/>
            <w:tcBorders>
              <w:right w:val="single" w:color="auto" w:sz="4" w:space="0"/>
            </w:tcBorders>
            <w:vAlign w:val="center"/>
          </w:tcPr>
          <w:p w14:paraId="3D5E836C">
            <w:pPr>
              <w:jc w:val="center"/>
              <w:rPr>
                <w:rFonts w:ascii="宋体" w:hAnsi="宋体" w:cs="宋体"/>
                <w:bCs/>
                <w:color w:val="auto"/>
                <w:szCs w:val="21"/>
              </w:rPr>
            </w:pPr>
            <w:r>
              <w:rPr>
                <w:rFonts w:hint="eastAsia"/>
                <w:color w:val="auto"/>
              </w:rPr>
              <w:t>台</w:t>
            </w:r>
          </w:p>
        </w:tc>
        <w:tc>
          <w:tcPr>
            <w:tcW w:w="300" w:type="dxa"/>
            <w:tcBorders>
              <w:top w:val="nil"/>
              <w:left w:val="single" w:color="auto" w:sz="4" w:space="0"/>
              <w:bottom w:val="nil"/>
              <w:right w:val="single" w:color="auto" w:sz="4" w:space="0"/>
            </w:tcBorders>
            <w:vAlign w:val="center"/>
          </w:tcPr>
          <w:p w14:paraId="044D6D69">
            <w:pPr>
              <w:widowControl/>
              <w:jc w:val="center"/>
              <w:textAlignment w:val="center"/>
              <w:rPr>
                <w:rFonts w:ascii="宋体" w:hAnsi="宋体" w:cs="宋体"/>
                <w:bCs/>
                <w:color w:val="auto"/>
                <w:szCs w:val="21"/>
              </w:rPr>
            </w:pPr>
          </w:p>
        </w:tc>
        <w:tc>
          <w:tcPr>
            <w:tcW w:w="705" w:type="dxa"/>
            <w:tcBorders>
              <w:left w:val="single" w:color="auto" w:sz="4" w:space="0"/>
              <w:right w:val="single" w:color="auto" w:sz="4" w:space="0"/>
            </w:tcBorders>
            <w:vAlign w:val="center"/>
          </w:tcPr>
          <w:p w14:paraId="6D614362">
            <w:pPr>
              <w:widowControl/>
              <w:jc w:val="center"/>
              <w:textAlignment w:val="center"/>
              <w:rPr>
                <w:rFonts w:ascii="宋体" w:hAnsi="宋体" w:cs="宋体"/>
                <w:bCs/>
                <w:color w:val="auto"/>
                <w:szCs w:val="21"/>
              </w:rPr>
            </w:pPr>
            <w:r>
              <w:rPr>
                <w:rFonts w:hint="eastAsia" w:ascii="宋体" w:hAnsi="宋体" w:cs="宋体"/>
                <w:bCs/>
                <w:color w:val="auto"/>
                <w:szCs w:val="21"/>
              </w:rPr>
              <w:t>26</w:t>
            </w:r>
          </w:p>
        </w:tc>
        <w:tc>
          <w:tcPr>
            <w:tcW w:w="2265" w:type="dxa"/>
            <w:tcBorders>
              <w:right w:val="single" w:color="auto" w:sz="4" w:space="0"/>
            </w:tcBorders>
            <w:vAlign w:val="center"/>
          </w:tcPr>
          <w:p w14:paraId="15A163AF">
            <w:pPr>
              <w:rPr>
                <w:rFonts w:ascii="宋体" w:hAnsi="宋体" w:cs="宋体"/>
                <w:bCs/>
                <w:color w:val="auto"/>
                <w:szCs w:val="21"/>
              </w:rPr>
            </w:pPr>
            <w:r>
              <w:rPr>
                <w:rFonts w:hint="eastAsia"/>
                <w:color w:val="auto"/>
              </w:rPr>
              <w:t>42U机柜</w:t>
            </w:r>
          </w:p>
        </w:tc>
        <w:tc>
          <w:tcPr>
            <w:tcW w:w="705" w:type="dxa"/>
            <w:tcBorders>
              <w:right w:val="single" w:color="auto" w:sz="4" w:space="0"/>
            </w:tcBorders>
            <w:vAlign w:val="center"/>
          </w:tcPr>
          <w:p w14:paraId="6560ECDC">
            <w:pPr>
              <w:jc w:val="center"/>
              <w:rPr>
                <w:rFonts w:ascii="宋体" w:hAnsi="宋体" w:cs="宋体"/>
                <w:bCs/>
                <w:color w:val="auto"/>
                <w:szCs w:val="21"/>
              </w:rPr>
            </w:pPr>
            <w:r>
              <w:rPr>
                <w:rFonts w:hint="eastAsia"/>
                <w:color w:val="auto"/>
              </w:rPr>
              <w:t>1</w:t>
            </w:r>
          </w:p>
        </w:tc>
        <w:tc>
          <w:tcPr>
            <w:tcW w:w="1125" w:type="dxa"/>
            <w:tcBorders>
              <w:right w:val="single" w:color="auto" w:sz="4" w:space="0"/>
            </w:tcBorders>
            <w:vAlign w:val="center"/>
          </w:tcPr>
          <w:p w14:paraId="2BCB2B56">
            <w:pPr>
              <w:jc w:val="center"/>
              <w:rPr>
                <w:rFonts w:ascii="宋体" w:hAnsi="宋体" w:cs="宋体"/>
                <w:bCs/>
                <w:color w:val="auto"/>
                <w:szCs w:val="21"/>
              </w:rPr>
            </w:pPr>
            <w:r>
              <w:rPr>
                <w:rFonts w:hint="eastAsia"/>
                <w:color w:val="auto"/>
              </w:rPr>
              <w:t>套</w:t>
            </w:r>
          </w:p>
        </w:tc>
      </w:tr>
      <w:tr w14:paraId="048C8A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60" w:type="dxa"/>
            <w:vAlign w:val="center"/>
          </w:tcPr>
          <w:p w14:paraId="6D1939CE">
            <w:pPr>
              <w:widowControl/>
              <w:jc w:val="center"/>
              <w:textAlignment w:val="center"/>
              <w:rPr>
                <w:rFonts w:ascii="宋体" w:hAnsi="宋体" w:cs="宋体"/>
                <w:color w:val="auto"/>
                <w:kern w:val="0"/>
                <w:szCs w:val="21"/>
                <w:lang w:bidi="ar"/>
              </w:rPr>
            </w:pPr>
            <w:r>
              <w:rPr>
                <w:rFonts w:hint="eastAsia" w:ascii="宋体" w:hAnsi="宋体" w:cs="宋体"/>
                <w:color w:val="auto"/>
                <w:kern w:val="0"/>
                <w:szCs w:val="21"/>
                <w:lang w:bidi="ar"/>
              </w:rPr>
              <w:t>9</w:t>
            </w:r>
          </w:p>
        </w:tc>
        <w:tc>
          <w:tcPr>
            <w:tcW w:w="1764" w:type="dxa"/>
            <w:vAlign w:val="center"/>
          </w:tcPr>
          <w:p w14:paraId="0FB7380B">
            <w:pPr>
              <w:rPr>
                <w:rFonts w:ascii="宋体" w:hAnsi="宋体" w:cs="宋体"/>
                <w:bCs/>
                <w:color w:val="auto"/>
                <w:szCs w:val="21"/>
              </w:rPr>
            </w:pPr>
            <w:r>
              <w:rPr>
                <w:rFonts w:hint="eastAsia"/>
                <w:color w:val="auto"/>
              </w:rPr>
              <w:t>报告厅数字音频处理器</w:t>
            </w:r>
          </w:p>
        </w:tc>
        <w:tc>
          <w:tcPr>
            <w:tcW w:w="681" w:type="dxa"/>
            <w:vAlign w:val="center"/>
          </w:tcPr>
          <w:p w14:paraId="29D91232">
            <w:pPr>
              <w:jc w:val="center"/>
              <w:rPr>
                <w:rFonts w:ascii="宋体" w:hAnsi="宋体" w:cs="宋体"/>
                <w:bCs/>
                <w:color w:val="auto"/>
                <w:szCs w:val="21"/>
              </w:rPr>
            </w:pPr>
            <w:r>
              <w:rPr>
                <w:rFonts w:hint="eastAsia"/>
                <w:color w:val="auto"/>
              </w:rPr>
              <w:t>1</w:t>
            </w:r>
          </w:p>
        </w:tc>
        <w:tc>
          <w:tcPr>
            <w:tcW w:w="1080" w:type="dxa"/>
            <w:tcBorders>
              <w:right w:val="single" w:color="auto" w:sz="4" w:space="0"/>
            </w:tcBorders>
            <w:vAlign w:val="center"/>
          </w:tcPr>
          <w:p w14:paraId="4AEB96A9">
            <w:pPr>
              <w:jc w:val="center"/>
              <w:rPr>
                <w:rFonts w:ascii="宋体" w:hAnsi="宋体" w:cs="宋体"/>
                <w:bCs/>
                <w:color w:val="auto"/>
                <w:szCs w:val="21"/>
              </w:rPr>
            </w:pPr>
            <w:r>
              <w:rPr>
                <w:rFonts w:hint="eastAsia"/>
                <w:color w:val="auto"/>
              </w:rPr>
              <w:t>台</w:t>
            </w:r>
          </w:p>
        </w:tc>
        <w:tc>
          <w:tcPr>
            <w:tcW w:w="300" w:type="dxa"/>
            <w:tcBorders>
              <w:top w:val="nil"/>
              <w:left w:val="single" w:color="auto" w:sz="4" w:space="0"/>
              <w:bottom w:val="nil"/>
              <w:right w:val="single" w:color="auto" w:sz="4" w:space="0"/>
            </w:tcBorders>
            <w:vAlign w:val="center"/>
          </w:tcPr>
          <w:p w14:paraId="7DBC4D83">
            <w:pPr>
              <w:widowControl/>
              <w:jc w:val="center"/>
              <w:textAlignment w:val="center"/>
              <w:rPr>
                <w:rFonts w:ascii="宋体" w:hAnsi="宋体" w:cs="宋体"/>
                <w:bCs/>
                <w:color w:val="auto"/>
                <w:szCs w:val="21"/>
              </w:rPr>
            </w:pPr>
          </w:p>
        </w:tc>
        <w:tc>
          <w:tcPr>
            <w:tcW w:w="705" w:type="dxa"/>
            <w:tcBorders>
              <w:left w:val="single" w:color="auto" w:sz="4" w:space="0"/>
              <w:right w:val="single" w:color="auto" w:sz="4" w:space="0"/>
            </w:tcBorders>
            <w:vAlign w:val="center"/>
          </w:tcPr>
          <w:p w14:paraId="21F184E8">
            <w:pPr>
              <w:widowControl/>
              <w:jc w:val="center"/>
              <w:textAlignment w:val="center"/>
              <w:rPr>
                <w:rFonts w:ascii="宋体" w:hAnsi="宋体" w:cs="宋体"/>
                <w:bCs/>
                <w:color w:val="auto"/>
                <w:szCs w:val="21"/>
              </w:rPr>
            </w:pPr>
            <w:r>
              <w:rPr>
                <w:rFonts w:hint="eastAsia" w:ascii="宋体" w:hAnsi="宋体" w:cs="宋体"/>
                <w:bCs/>
                <w:color w:val="auto"/>
                <w:szCs w:val="21"/>
              </w:rPr>
              <w:t>27</w:t>
            </w:r>
          </w:p>
        </w:tc>
        <w:tc>
          <w:tcPr>
            <w:tcW w:w="2265" w:type="dxa"/>
            <w:tcBorders>
              <w:right w:val="single" w:color="auto" w:sz="4" w:space="0"/>
            </w:tcBorders>
            <w:vAlign w:val="center"/>
          </w:tcPr>
          <w:p w14:paraId="06F91440">
            <w:pPr>
              <w:rPr>
                <w:rFonts w:ascii="宋体" w:hAnsi="宋体" w:cs="宋体"/>
                <w:bCs/>
                <w:color w:val="auto"/>
                <w:szCs w:val="21"/>
              </w:rPr>
            </w:pPr>
            <w:r>
              <w:rPr>
                <w:rFonts w:hint="eastAsia"/>
                <w:color w:val="auto"/>
              </w:rPr>
              <w:t>会议显示终端</w:t>
            </w:r>
          </w:p>
        </w:tc>
        <w:tc>
          <w:tcPr>
            <w:tcW w:w="705" w:type="dxa"/>
            <w:tcBorders>
              <w:right w:val="single" w:color="auto" w:sz="4" w:space="0"/>
            </w:tcBorders>
            <w:vAlign w:val="center"/>
          </w:tcPr>
          <w:p w14:paraId="21A27EC8">
            <w:pPr>
              <w:jc w:val="center"/>
              <w:rPr>
                <w:rFonts w:ascii="宋体" w:hAnsi="宋体" w:cs="宋体"/>
                <w:bCs/>
                <w:color w:val="auto"/>
                <w:szCs w:val="21"/>
              </w:rPr>
            </w:pPr>
            <w:r>
              <w:rPr>
                <w:rFonts w:hint="eastAsia"/>
                <w:color w:val="auto"/>
              </w:rPr>
              <w:t>1</w:t>
            </w:r>
          </w:p>
        </w:tc>
        <w:tc>
          <w:tcPr>
            <w:tcW w:w="1125" w:type="dxa"/>
            <w:tcBorders>
              <w:right w:val="single" w:color="auto" w:sz="4" w:space="0"/>
            </w:tcBorders>
            <w:vAlign w:val="center"/>
          </w:tcPr>
          <w:p w14:paraId="3641AE3D">
            <w:pPr>
              <w:jc w:val="center"/>
              <w:rPr>
                <w:rFonts w:ascii="宋体" w:hAnsi="宋体" w:cs="宋体"/>
                <w:bCs/>
                <w:color w:val="auto"/>
                <w:szCs w:val="21"/>
              </w:rPr>
            </w:pPr>
            <w:r>
              <w:rPr>
                <w:rFonts w:hint="eastAsia"/>
                <w:color w:val="auto"/>
              </w:rPr>
              <w:t>套</w:t>
            </w:r>
          </w:p>
        </w:tc>
      </w:tr>
      <w:tr w14:paraId="5554B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60" w:type="dxa"/>
            <w:vAlign w:val="center"/>
          </w:tcPr>
          <w:p w14:paraId="33D11C5F">
            <w:pPr>
              <w:widowControl/>
              <w:jc w:val="center"/>
              <w:textAlignment w:val="center"/>
              <w:rPr>
                <w:rFonts w:ascii="宋体" w:hAnsi="宋体" w:cs="宋体"/>
                <w:color w:val="auto"/>
                <w:kern w:val="0"/>
                <w:szCs w:val="21"/>
                <w:lang w:bidi="ar"/>
              </w:rPr>
            </w:pPr>
            <w:r>
              <w:rPr>
                <w:rFonts w:hint="eastAsia" w:ascii="宋体" w:hAnsi="宋体" w:cs="宋体"/>
                <w:color w:val="auto"/>
                <w:kern w:val="0"/>
                <w:szCs w:val="21"/>
                <w:lang w:bidi="ar"/>
              </w:rPr>
              <w:t>10</w:t>
            </w:r>
          </w:p>
        </w:tc>
        <w:tc>
          <w:tcPr>
            <w:tcW w:w="1764" w:type="dxa"/>
            <w:vAlign w:val="center"/>
          </w:tcPr>
          <w:p w14:paraId="4D07EA6E">
            <w:pPr>
              <w:rPr>
                <w:rFonts w:ascii="宋体" w:hAnsi="宋体" w:cs="宋体"/>
                <w:color w:val="auto"/>
                <w:kern w:val="0"/>
                <w:szCs w:val="21"/>
                <w:lang w:bidi="ar"/>
              </w:rPr>
            </w:pPr>
            <w:r>
              <w:rPr>
                <w:rFonts w:hint="eastAsia"/>
                <w:color w:val="auto"/>
              </w:rPr>
              <w:t>数字会议系统主机</w:t>
            </w:r>
          </w:p>
        </w:tc>
        <w:tc>
          <w:tcPr>
            <w:tcW w:w="681" w:type="dxa"/>
            <w:vAlign w:val="center"/>
          </w:tcPr>
          <w:p w14:paraId="4A914655">
            <w:pPr>
              <w:jc w:val="center"/>
              <w:rPr>
                <w:rFonts w:ascii="宋体" w:hAnsi="宋体" w:cs="宋体"/>
                <w:color w:val="auto"/>
                <w:kern w:val="0"/>
                <w:szCs w:val="21"/>
                <w:lang w:bidi="ar"/>
              </w:rPr>
            </w:pPr>
            <w:r>
              <w:rPr>
                <w:rFonts w:hint="eastAsia"/>
                <w:color w:val="auto"/>
              </w:rPr>
              <w:t>1</w:t>
            </w:r>
          </w:p>
        </w:tc>
        <w:tc>
          <w:tcPr>
            <w:tcW w:w="1080" w:type="dxa"/>
            <w:tcBorders>
              <w:right w:val="single" w:color="auto" w:sz="4" w:space="0"/>
            </w:tcBorders>
            <w:vAlign w:val="center"/>
          </w:tcPr>
          <w:p w14:paraId="72AADC65">
            <w:pPr>
              <w:jc w:val="center"/>
              <w:rPr>
                <w:rFonts w:ascii="宋体" w:hAnsi="宋体" w:cs="宋体"/>
                <w:color w:val="auto"/>
                <w:kern w:val="0"/>
                <w:szCs w:val="21"/>
                <w:lang w:bidi="ar"/>
              </w:rPr>
            </w:pPr>
            <w:r>
              <w:rPr>
                <w:rFonts w:hint="eastAsia"/>
                <w:color w:val="auto"/>
              </w:rPr>
              <w:t>套</w:t>
            </w:r>
          </w:p>
        </w:tc>
        <w:tc>
          <w:tcPr>
            <w:tcW w:w="300" w:type="dxa"/>
            <w:tcBorders>
              <w:top w:val="nil"/>
              <w:left w:val="single" w:color="auto" w:sz="4" w:space="0"/>
              <w:bottom w:val="nil"/>
              <w:right w:val="single" w:color="auto" w:sz="4" w:space="0"/>
            </w:tcBorders>
            <w:vAlign w:val="center"/>
          </w:tcPr>
          <w:p w14:paraId="1DB011AA">
            <w:pPr>
              <w:widowControl/>
              <w:jc w:val="center"/>
              <w:textAlignment w:val="center"/>
              <w:rPr>
                <w:rFonts w:ascii="宋体" w:hAnsi="宋体" w:cs="宋体"/>
                <w:bCs/>
                <w:color w:val="auto"/>
                <w:szCs w:val="21"/>
              </w:rPr>
            </w:pPr>
          </w:p>
        </w:tc>
        <w:tc>
          <w:tcPr>
            <w:tcW w:w="705" w:type="dxa"/>
            <w:tcBorders>
              <w:left w:val="single" w:color="auto" w:sz="4" w:space="0"/>
              <w:right w:val="single" w:color="auto" w:sz="4" w:space="0"/>
            </w:tcBorders>
            <w:vAlign w:val="center"/>
          </w:tcPr>
          <w:p w14:paraId="682B3C04">
            <w:pPr>
              <w:widowControl/>
              <w:jc w:val="center"/>
              <w:textAlignment w:val="center"/>
              <w:rPr>
                <w:rFonts w:ascii="宋体" w:hAnsi="宋体" w:cs="宋体"/>
                <w:bCs/>
                <w:color w:val="auto"/>
                <w:szCs w:val="21"/>
              </w:rPr>
            </w:pPr>
            <w:r>
              <w:rPr>
                <w:rFonts w:hint="eastAsia" w:ascii="宋体" w:hAnsi="宋体" w:cs="宋体"/>
                <w:bCs/>
                <w:color w:val="auto"/>
                <w:szCs w:val="21"/>
              </w:rPr>
              <w:t>28</w:t>
            </w:r>
          </w:p>
        </w:tc>
        <w:tc>
          <w:tcPr>
            <w:tcW w:w="2265" w:type="dxa"/>
            <w:tcBorders>
              <w:right w:val="single" w:color="auto" w:sz="4" w:space="0"/>
            </w:tcBorders>
            <w:vAlign w:val="center"/>
          </w:tcPr>
          <w:p w14:paraId="241A7D50">
            <w:pPr>
              <w:rPr>
                <w:rFonts w:ascii="宋体" w:hAnsi="宋体" w:cs="宋体"/>
                <w:color w:val="auto"/>
                <w:kern w:val="0"/>
                <w:szCs w:val="21"/>
                <w:lang w:bidi="ar"/>
              </w:rPr>
            </w:pPr>
            <w:r>
              <w:rPr>
                <w:rFonts w:hint="eastAsia"/>
                <w:color w:val="auto"/>
              </w:rPr>
              <w:t>全数字会议系统主机</w:t>
            </w:r>
          </w:p>
        </w:tc>
        <w:tc>
          <w:tcPr>
            <w:tcW w:w="705" w:type="dxa"/>
            <w:tcBorders>
              <w:right w:val="single" w:color="auto" w:sz="4" w:space="0"/>
            </w:tcBorders>
            <w:vAlign w:val="center"/>
          </w:tcPr>
          <w:p w14:paraId="59256EED">
            <w:pPr>
              <w:jc w:val="center"/>
              <w:rPr>
                <w:rFonts w:ascii="宋体" w:hAnsi="宋体" w:cs="宋体"/>
                <w:color w:val="auto"/>
                <w:kern w:val="0"/>
                <w:szCs w:val="21"/>
                <w:lang w:bidi="ar"/>
              </w:rPr>
            </w:pPr>
            <w:r>
              <w:rPr>
                <w:rFonts w:hint="eastAsia"/>
                <w:color w:val="auto"/>
              </w:rPr>
              <w:t>1</w:t>
            </w:r>
          </w:p>
        </w:tc>
        <w:tc>
          <w:tcPr>
            <w:tcW w:w="1125" w:type="dxa"/>
            <w:tcBorders>
              <w:right w:val="single" w:color="auto" w:sz="4" w:space="0"/>
            </w:tcBorders>
            <w:vAlign w:val="center"/>
          </w:tcPr>
          <w:p w14:paraId="1D6BD6E2">
            <w:pPr>
              <w:jc w:val="center"/>
              <w:rPr>
                <w:rFonts w:ascii="宋体" w:hAnsi="宋体" w:cs="宋体"/>
                <w:color w:val="auto"/>
                <w:kern w:val="0"/>
                <w:szCs w:val="21"/>
                <w:lang w:bidi="ar"/>
              </w:rPr>
            </w:pPr>
            <w:r>
              <w:rPr>
                <w:rFonts w:hint="eastAsia"/>
                <w:color w:val="auto"/>
              </w:rPr>
              <w:t>套</w:t>
            </w:r>
          </w:p>
        </w:tc>
      </w:tr>
      <w:tr w14:paraId="608C4B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60" w:type="dxa"/>
            <w:vAlign w:val="center"/>
          </w:tcPr>
          <w:p w14:paraId="3A2ED083">
            <w:pPr>
              <w:widowControl/>
              <w:jc w:val="center"/>
              <w:textAlignment w:val="center"/>
              <w:rPr>
                <w:rFonts w:ascii="宋体" w:hAnsi="宋体" w:cs="宋体"/>
                <w:color w:val="auto"/>
                <w:kern w:val="0"/>
                <w:szCs w:val="21"/>
                <w:lang w:bidi="ar"/>
              </w:rPr>
            </w:pPr>
            <w:r>
              <w:rPr>
                <w:rFonts w:hint="eastAsia" w:ascii="宋体" w:hAnsi="宋体" w:cs="宋体"/>
                <w:color w:val="auto"/>
                <w:kern w:val="0"/>
                <w:szCs w:val="21"/>
                <w:lang w:bidi="ar"/>
              </w:rPr>
              <w:t>11</w:t>
            </w:r>
          </w:p>
        </w:tc>
        <w:tc>
          <w:tcPr>
            <w:tcW w:w="1764" w:type="dxa"/>
            <w:vAlign w:val="center"/>
          </w:tcPr>
          <w:p w14:paraId="1F727AE0">
            <w:pPr>
              <w:rPr>
                <w:rFonts w:ascii="宋体" w:hAnsi="宋体" w:cs="宋体"/>
                <w:color w:val="auto"/>
                <w:kern w:val="0"/>
                <w:szCs w:val="21"/>
                <w:lang w:bidi="ar"/>
              </w:rPr>
            </w:pPr>
            <w:r>
              <w:rPr>
                <w:rFonts w:hint="eastAsia"/>
                <w:color w:val="auto"/>
              </w:rPr>
              <w:t>无线主席单元</w:t>
            </w:r>
          </w:p>
        </w:tc>
        <w:tc>
          <w:tcPr>
            <w:tcW w:w="681" w:type="dxa"/>
            <w:vAlign w:val="center"/>
          </w:tcPr>
          <w:p w14:paraId="7560C49E">
            <w:pPr>
              <w:jc w:val="center"/>
              <w:rPr>
                <w:rFonts w:ascii="宋体" w:hAnsi="宋体" w:cs="宋体"/>
                <w:color w:val="auto"/>
                <w:kern w:val="0"/>
                <w:szCs w:val="21"/>
                <w:lang w:bidi="ar"/>
              </w:rPr>
            </w:pPr>
            <w:r>
              <w:rPr>
                <w:rFonts w:hint="eastAsia"/>
                <w:color w:val="auto"/>
              </w:rPr>
              <w:t>1</w:t>
            </w:r>
          </w:p>
        </w:tc>
        <w:tc>
          <w:tcPr>
            <w:tcW w:w="1080" w:type="dxa"/>
            <w:tcBorders>
              <w:right w:val="single" w:color="auto" w:sz="4" w:space="0"/>
            </w:tcBorders>
            <w:vAlign w:val="center"/>
          </w:tcPr>
          <w:p w14:paraId="5E033BD0">
            <w:pPr>
              <w:jc w:val="center"/>
              <w:rPr>
                <w:rFonts w:ascii="宋体" w:hAnsi="宋体" w:cs="宋体"/>
                <w:color w:val="auto"/>
                <w:kern w:val="0"/>
                <w:szCs w:val="21"/>
                <w:lang w:bidi="ar"/>
              </w:rPr>
            </w:pPr>
            <w:r>
              <w:rPr>
                <w:rFonts w:hint="eastAsia"/>
                <w:color w:val="auto"/>
              </w:rPr>
              <w:t>台</w:t>
            </w:r>
          </w:p>
        </w:tc>
        <w:tc>
          <w:tcPr>
            <w:tcW w:w="300" w:type="dxa"/>
            <w:tcBorders>
              <w:top w:val="nil"/>
              <w:left w:val="single" w:color="auto" w:sz="4" w:space="0"/>
              <w:bottom w:val="nil"/>
              <w:right w:val="single" w:color="auto" w:sz="4" w:space="0"/>
            </w:tcBorders>
            <w:vAlign w:val="center"/>
          </w:tcPr>
          <w:p w14:paraId="3F02D8C6">
            <w:pPr>
              <w:widowControl/>
              <w:jc w:val="center"/>
              <w:textAlignment w:val="center"/>
              <w:rPr>
                <w:rFonts w:ascii="宋体" w:hAnsi="宋体" w:cs="宋体"/>
                <w:bCs/>
                <w:color w:val="auto"/>
                <w:szCs w:val="21"/>
              </w:rPr>
            </w:pPr>
          </w:p>
        </w:tc>
        <w:tc>
          <w:tcPr>
            <w:tcW w:w="705" w:type="dxa"/>
            <w:tcBorders>
              <w:left w:val="single" w:color="auto" w:sz="4" w:space="0"/>
              <w:right w:val="single" w:color="auto" w:sz="4" w:space="0"/>
            </w:tcBorders>
            <w:vAlign w:val="center"/>
          </w:tcPr>
          <w:p w14:paraId="77BF42D8">
            <w:pPr>
              <w:widowControl/>
              <w:jc w:val="center"/>
              <w:textAlignment w:val="center"/>
              <w:rPr>
                <w:rFonts w:ascii="宋体" w:hAnsi="宋体" w:cs="宋体"/>
                <w:bCs/>
                <w:color w:val="auto"/>
                <w:szCs w:val="21"/>
              </w:rPr>
            </w:pPr>
            <w:r>
              <w:rPr>
                <w:rFonts w:hint="eastAsia" w:ascii="宋体" w:hAnsi="宋体" w:cs="宋体"/>
                <w:bCs/>
                <w:color w:val="auto"/>
                <w:szCs w:val="21"/>
              </w:rPr>
              <w:t>29</w:t>
            </w:r>
          </w:p>
        </w:tc>
        <w:tc>
          <w:tcPr>
            <w:tcW w:w="2265" w:type="dxa"/>
            <w:tcBorders>
              <w:right w:val="single" w:color="auto" w:sz="4" w:space="0"/>
            </w:tcBorders>
            <w:vAlign w:val="center"/>
          </w:tcPr>
          <w:p w14:paraId="1117273B">
            <w:pPr>
              <w:rPr>
                <w:rFonts w:ascii="宋体" w:hAnsi="宋体" w:cs="宋体"/>
                <w:color w:val="auto"/>
                <w:kern w:val="0"/>
                <w:szCs w:val="21"/>
                <w:lang w:bidi="ar"/>
              </w:rPr>
            </w:pPr>
            <w:r>
              <w:rPr>
                <w:rFonts w:hint="eastAsia"/>
                <w:color w:val="auto"/>
              </w:rPr>
              <w:t>会议系统代表单元</w:t>
            </w:r>
          </w:p>
        </w:tc>
        <w:tc>
          <w:tcPr>
            <w:tcW w:w="705" w:type="dxa"/>
            <w:tcBorders>
              <w:right w:val="single" w:color="auto" w:sz="4" w:space="0"/>
            </w:tcBorders>
            <w:vAlign w:val="center"/>
          </w:tcPr>
          <w:p w14:paraId="3758C40E">
            <w:pPr>
              <w:jc w:val="center"/>
              <w:rPr>
                <w:rFonts w:ascii="宋体" w:hAnsi="宋体" w:cs="宋体"/>
                <w:color w:val="auto"/>
                <w:kern w:val="0"/>
                <w:szCs w:val="21"/>
                <w:lang w:bidi="ar"/>
              </w:rPr>
            </w:pPr>
            <w:r>
              <w:rPr>
                <w:rFonts w:hint="eastAsia"/>
                <w:color w:val="auto"/>
              </w:rPr>
              <w:t>10</w:t>
            </w:r>
          </w:p>
        </w:tc>
        <w:tc>
          <w:tcPr>
            <w:tcW w:w="1125" w:type="dxa"/>
            <w:tcBorders>
              <w:right w:val="single" w:color="auto" w:sz="4" w:space="0"/>
            </w:tcBorders>
            <w:vAlign w:val="center"/>
          </w:tcPr>
          <w:p w14:paraId="1958DF62">
            <w:pPr>
              <w:jc w:val="center"/>
              <w:rPr>
                <w:rFonts w:ascii="宋体" w:hAnsi="宋体" w:cs="宋体"/>
                <w:color w:val="auto"/>
                <w:kern w:val="0"/>
                <w:szCs w:val="21"/>
                <w:lang w:bidi="ar"/>
              </w:rPr>
            </w:pPr>
            <w:r>
              <w:rPr>
                <w:rFonts w:hint="eastAsia"/>
                <w:color w:val="auto"/>
              </w:rPr>
              <w:t>只</w:t>
            </w:r>
          </w:p>
        </w:tc>
      </w:tr>
      <w:tr w14:paraId="682AF8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60" w:type="dxa"/>
            <w:vAlign w:val="center"/>
          </w:tcPr>
          <w:p w14:paraId="2E1C3A20">
            <w:pPr>
              <w:widowControl/>
              <w:jc w:val="center"/>
              <w:textAlignment w:val="center"/>
              <w:rPr>
                <w:rFonts w:ascii="宋体" w:hAnsi="宋体" w:cs="宋体"/>
                <w:color w:val="auto"/>
                <w:kern w:val="0"/>
                <w:szCs w:val="21"/>
                <w:lang w:bidi="ar"/>
              </w:rPr>
            </w:pPr>
            <w:r>
              <w:rPr>
                <w:rFonts w:hint="eastAsia" w:ascii="宋体" w:hAnsi="宋体" w:cs="宋体"/>
                <w:color w:val="auto"/>
                <w:kern w:val="0"/>
                <w:szCs w:val="21"/>
                <w:lang w:bidi="ar"/>
              </w:rPr>
              <w:t>12</w:t>
            </w:r>
          </w:p>
        </w:tc>
        <w:tc>
          <w:tcPr>
            <w:tcW w:w="1764" w:type="dxa"/>
            <w:vAlign w:val="center"/>
          </w:tcPr>
          <w:p w14:paraId="1152B0C0">
            <w:pPr>
              <w:rPr>
                <w:rFonts w:ascii="宋体" w:hAnsi="宋体" w:cs="宋体"/>
                <w:color w:val="auto"/>
                <w:kern w:val="0"/>
                <w:szCs w:val="21"/>
                <w:lang w:bidi="ar"/>
              </w:rPr>
            </w:pPr>
            <w:r>
              <w:rPr>
                <w:rFonts w:hint="eastAsia"/>
                <w:color w:val="auto"/>
              </w:rPr>
              <w:t>无线客席单元2</w:t>
            </w:r>
          </w:p>
        </w:tc>
        <w:tc>
          <w:tcPr>
            <w:tcW w:w="681" w:type="dxa"/>
            <w:vAlign w:val="center"/>
          </w:tcPr>
          <w:p w14:paraId="6EAB91BE">
            <w:pPr>
              <w:jc w:val="center"/>
              <w:rPr>
                <w:rFonts w:ascii="宋体" w:hAnsi="宋体" w:cs="宋体"/>
                <w:color w:val="auto"/>
                <w:kern w:val="0"/>
                <w:szCs w:val="21"/>
                <w:lang w:bidi="ar"/>
              </w:rPr>
            </w:pPr>
            <w:r>
              <w:rPr>
                <w:rFonts w:hint="eastAsia"/>
                <w:color w:val="auto"/>
              </w:rPr>
              <w:t>7</w:t>
            </w:r>
          </w:p>
        </w:tc>
        <w:tc>
          <w:tcPr>
            <w:tcW w:w="1080" w:type="dxa"/>
            <w:tcBorders>
              <w:right w:val="single" w:color="auto" w:sz="4" w:space="0"/>
            </w:tcBorders>
            <w:vAlign w:val="center"/>
          </w:tcPr>
          <w:p w14:paraId="543D4AAC">
            <w:pPr>
              <w:jc w:val="center"/>
              <w:rPr>
                <w:rFonts w:ascii="宋体" w:hAnsi="宋体" w:cs="宋体"/>
                <w:color w:val="auto"/>
                <w:kern w:val="0"/>
                <w:szCs w:val="21"/>
                <w:lang w:bidi="ar"/>
              </w:rPr>
            </w:pPr>
            <w:r>
              <w:rPr>
                <w:rFonts w:hint="eastAsia"/>
                <w:color w:val="auto"/>
              </w:rPr>
              <w:t>台</w:t>
            </w:r>
          </w:p>
        </w:tc>
        <w:tc>
          <w:tcPr>
            <w:tcW w:w="300" w:type="dxa"/>
            <w:tcBorders>
              <w:top w:val="nil"/>
              <w:left w:val="single" w:color="auto" w:sz="4" w:space="0"/>
              <w:bottom w:val="nil"/>
              <w:right w:val="single" w:color="auto" w:sz="4" w:space="0"/>
            </w:tcBorders>
            <w:vAlign w:val="center"/>
          </w:tcPr>
          <w:p w14:paraId="75C40FC2">
            <w:pPr>
              <w:widowControl/>
              <w:jc w:val="center"/>
              <w:textAlignment w:val="center"/>
              <w:rPr>
                <w:rFonts w:ascii="宋体" w:hAnsi="宋体" w:cs="宋体"/>
                <w:bCs/>
                <w:color w:val="auto"/>
                <w:szCs w:val="21"/>
              </w:rPr>
            </w:pPr>
          </w:p>
        </w:tc>
        <w:tc>
          <w:tcPr>
            <w:tcW w:w="705" w:type="dxa"/>
            <w:tcBorders>
              <w:left w:val="single" w:color="auto" w:sz="4" w:space="0"/>
              <w:right w:val="single" w:color="auto" w:sz="4" w:space="0"/>
            </w:tcBorders>
            <w:vAlign w:val="center"/>
          </w:tcPr>
          <w:p w14:paraId="7B801913">
            <w:pPr>
              <w:widowControl/>
              <w:jc w:val="center"/>
              <w:textAlignment w:val="center"/>
              <w:rPr>
                <w:rFonts w:ascii="宋体" w:hAnsi="宋体" w:cs="宋体"/>
                <w:bCs/>
                <w:color w:val="auto"/>
                <w:szCs w:val="21"/>
              </w:rPr>
            </w:pPr>
            <w:r>
              <w:rPr>
                <w:rFonts w:hint="eastAsia" w:ascii="宋体" w:hAnsi="宋体" w:cs="宋体"/>
                <w:bCs/>
                <w:color w:val="auto"/>
                <w:szCs w:val="21"/>
              </w:rPr>
              <w:t>30</w:t>
            </w:r>
          </w:p>
        </w:tc>
        <w:tc>
          <w:tcPr>
            <w:tcW w:w="2265" w:type="dxa"/>
            <w:tcBorders>
              <w:right w:val="single" w:color="auto" w:sz="4" w:space="0"/>
            </w:tcBorders>
            <w:vAlign w:val="center"/>
          </w:tcPr>
          <w:p w14:paraId="5F312514">
            <w:pPr>
              <w:rPr>
                <w:rFonts w:ascii="宋体" w:hAnsi="宋体" w:cs="宋体"/>
                <w:color w:val="auto"/>
                <w:kern w:val="0"/>
                <w:szCs w:val="21"/>
                <w:lang w:bidi="ar"/>
              </w:rPr>
            </w:pPr>
            <w:r>
              <w:rPr>
                <w:rFonts w:hint="eastAsia"/>
                <w:color w:val="auto"/>
              </w:rPr>
              <w:t>无线1拖2手持</w:t>
            </w:r>
          </w:p>
        </w:tc>
        <w:tc>
          <w:tcPr>
            <w:tcW w:w="705" w:type="dxa"/>
            <w:tcBorders>
              <w:right w:val="single" w:color="auto" w:sz="4" w:space="0"/>
            </w:tcBorders>
            <w:vAlign w:val="center"/>
          </w:tcPr>
          <w:p w14:paraId="711D5068">
            <w:pPr>
              <w:jc w:val="center"/>
              <w:rPr>
                <w:rFonts w:ascii="宋体" w:hAnsi="宋体" w:cs="宋体"/>
                <w:color w:val="auto"/>
                <w:kern w:val="0"/>
                <w:szCs w:val="21"/>
                <w:lang w:bidi="ar"/>
              </w:rPr>
            </w:pPr>
            <w:r>
              <w:rPr>
                <w:rFonts w:hint="eastAsia"/>
                <w:color w:val="auto"/>
              </w:rPr>
              <w:t>1</w:t>
            </w:r>
          </w:p>
        </w:tc>
        <w:tc>
          <w:tcPr>
            <w:tcW w:w="1125" w:type="dxa"/>
            <w:tcBorders>
              <w:right w:val="single" w:color="auto" w:sz="4" w:space="0"/>
            </w:tcBorders>
            <w:vAlign w:val="center"/>
          </w:tcPr>
          <w:p w14:paraId="1237A58B">
            <w:pPr>
              <w:jc w:val="center"/>
              <w:rPr>
                <w:rFonts w:ascii="宋体" w:hAnsi="宋体" w:cs="宋体"/>
                <w:color w:val="auto"/>
                <w:kern w:val="0"/>
                <w:szCs w:val="21"/>
                <w:lang w:bidi="ar"/>
              </w:rPr>
            </w:pPr>
            <w:r>
              <w:rPr>
                <w:rFonts w:hint="eastAsia"/>
                <w:color w:val="auto"/>
              </w:rPr>
              <w:t>套</w:t>
            </w:r>
          </w:p>
        </w:tc>
      </w:tr>
      <w:tr w14:paraId="166170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60" w:type="dxa"/>
            <w:vAlign w:val="center"/>
          </w:tcPr>
          <w:p w14:paraId="431A0F83">
            <w:pPr>
              <w:widowControl/>
              <w:jc w:val="center"/>
              <w:textAlignment w:val="center"/>
              <w:rPr>
                <w:rFonts w:ascii="宋体" w:hAnsi="宋体" w:cs="宋体"/>
                <w:color w:val="auto"/>
                <w:kern w:val="0"/>
                <w:szCs w:val="21"/>
                <w:lang w:bidi="ar"/>
              </w:rPr>
            </w:pPr>
            <w:r>
              <w:rPr>
                <w:rFonts w:hint="eastAsia" w:ascii="宋体" w:hAnsi="宋体" w:cs="宋体"/>
                <w:color w:val="auto"/>
                <w:kern w:val="0"/>
                <w:szCs w:val="21"/>
                <w:lang w:bidi="ar"/>
              </w:rPr>
              <w:t>13</w:t>
            </w:r>
          </w:p>
        </w:tc>
        <w:tc>
          <w:tcPr>
            <w:tcW w:w="1764" w:type="dxa"/>
            <w:vAlign w:val="center"/>
          </w:tcPr>
          <w:p w14:paraId="0FE5C0D1">
            <w:pPr>
              <w:rPr>
                <w:rFonts w:ascii="宋体" w:hAnsi="宋体" w:cs="宋体"/>
                <w:color w:val="auto"/>
                <w:kern w:val="0"/>
                <w:szCs w:val="21"/>
                <w:lang w:bidi="ar"/>
              </w:rPr>
            </w:pPr>
            <w:r>
              <w:rPr>
                <w:rFonts w:hint="eastAsia"/>
                <w:color w:val="auto"/>
              </w:rPr>
              <w:t>控制信号扩展器</w:t>
            </w:r>
          </w:p>
        </w:tc>
        <w:tc>
          <w:tcPr>
            <w:tcW w:w="681" w:type="dxa"/>
            <w:vAlign w:val="center"/>
          </w:tcPr>
          <w:p w14:paraId="42BE1B33">
            <w:pPr>
              <w:jc w:val="center"/>
              <w:rPr>
                <w:rFonts w:ascii="宋体" w:hAnsi="宋体" w:cs="宋体"/>
                <w:color w:val="auto"/>
                <w:kern w:val="0"/>
                <w:szCs w:val="21"/>
                <w:lang w:bidi="ar"/>
              </w:rPr>
            </w:pPr>
            <w:r>
              <w:rPr>
                <w:rFonts w:hint="eastAsia"/>
                <w:color w:val="auto"/>
              </w:rPr>
              <w:t>1</w:t>
            </w:r>
          </w:p>
        </w:tc>
        <w:tc>
          <w:tcPr>
            <w:tcW w:w="1080" w:type="dxa"/>
            <w:tcBorders>
              <w:right w:val="single" w:color="auto" w:sz="4" w:space="0"/>
            </w:tcBorders>
            <w:vAlign w:val="center"/>
          </w:tcPr>
          <w:p w14:paraId="57979E98">
            <w:pPr>
              <w:jc w:val="center"/>
              <w:rPr>
                <w:rFonts w:ascii="宋体" w:hAnsi="宋体" w:cs="宋体"/>
                <w:color w:val="auto"/>
                <w:kern w:val="0"/>
                <w:szCs w:val="21"/>
                <w:lang w:bidi="ar"/>
              </w:rPr>
            </w:pPr>
            <w:r>
              <w:rPr>
                <w:rFonts w:hint="eastAsia"/>
                <w:color w:val="auto"/>
              </w:rPr>
              <w:t>个</w:t>
            </w:r>
          </w:p>
        </w:tc>
        <w:tc>
          <w:tcPr>
            <w:tcW w:w="300" w:type="dxa"/>
            <w:tcBorders>
              <w:top w:val="nil"/>
              <w:left w:val="single" w:color="auto" w:sz="4" w:space="0"/>
              <w:bottom w:val="nil"/>
              <w:right w:val="single" w:color="auto" w:sz="4" w:space="0"/>
            </w:tcBorders>
            <w:vAlign w:val="center"/>
          </w:tcPr>
          <w:p w14:paraId="542DA2A3">
            <w:pPr>
              <w:widowControl/>
              <w:jc w:val="center"/>
              <w:textAlignment w:val="center"/>
              <w:rPr>
                <w:rFonts w:ascii="宋体" w:hAnsi="宋体" w:cs="宋体"/>
                <w:bCs/>
                <w:color w:val="auto"/>
                <w:szCs w:val="21"/>
              </w:rPr>
            </w:pPr>
          </w:p>
        </w:tc>
        <w:tc>
          <w:tcPr>
            <w:tcW w:w="705" w:type="dxa"/>
            <w:tcBorders>
              <w:left w:val="single" w:color="auto" w:sz="4" w:space="0"/>
              <w:right w:val="single" w:color="auto" w:sz="4" w:space="0"/>
            </w:tcBorders>
            <w:vAlign w:val="center"/>
          </w:tcPr>
          <w:p w14:paraId="167FC534">
            <w:pPr>
              <w:widowControl/>
              <w:jc w:val="center"/>
              <w:textAlignment w:val="center"/>
              <w:rPr>
                <w:rFonts w:ascii="宋体" w:hAnsi="宋体" w:cs="宋体"/>
                <w:bCs/>
                <w:color w:val="auto"/>
                <w:szCs w:val="21"/>
              </w:rPr>
            </w:pPr>
            <w:r>
              <w:rPr>
                <w:rFonts w:hint="eastAsia" w:ascii="宋体" w:hAnsi="宋体" w:cs="宋体"/>
                <w:bCs/>
                <w:color w:val="auto"/>
                <w:szCs w:val="21"/>
              </w:rPr>
              <w:t>31</w:t>
            </w:r>
          </w:p>
        </w:tc>
        <w:tc>
          <w:tcPr>
            <w:tcW w:w="2265" w:type="dxa"/>
            <w:tcBorders>
              <w:right w:val="single" w:color="auto" w:sz="4" w:space="0"/>
            </w:tcBorders>
            <w:vAlign w:val="center"/>
          </w:tcPr>
          <w:p w14:paraId="38443C1F">
            <w:pPr>
              <w:rPr>
                <w:rFonts w:ascii="宋体" w:hAnsi="宋体" w:cs="宋体"/>
                <w:color w:val="auto"/>
                <w:kern w:val="0"/>
                <w:szCs w:val="21"/>
                <w:lang w:bidi="ar"/>
              </w:rPr>
            </w:pPr>
            <w:r>
              <w:rPr>
                <w:rFonts w:hint="eastAsia"/>
                <w:color w:val="auto"/>
              </w:rPr>
              <w:t>无源4单元两分频音柱</w:t>
            </w:r>
          </w:p>
        </w:tc>
        <w:tc>
          <w:tcPr>
            <w:tcW w:w="705" w:type="dxa"/>
            <w:tcBorders>
              <w:right w:val="single" w:color="auto" w:sz="4" w:space="0"/>
            </w:tcBorders>
            <w:vAlign w:val="center"/>
          </w:tcPr>
          <w:p w14:paraId="6241D312">
            <w:pPr>
              <w:jc w:val="center"/>
              <w:rPr>
                <w:rFonts w:ascii="宋体" w:hAnsi="宋体" w:cs="宋体"/>
                <w:color w:val="auto"/>
                <w:kern w:val="0"/>
                <w:szCs w:val="21"/>
                <w:lang w:bidi="ar"/>
              </w:rPr>
            </w:pPr>
            <w:r>
              <w:rPr>
                <w:rFonts w:hint="eastAsia"/>
                <w:color w:val="auto"/>
              </w:rPr>
              <w:t>4</w:t>
            </w:r>
          </w:p>
        </w:tc>
        <w:tc>
          <w:tcPr>
            <w:tcW w:w="1125" w:type="dxa"/>
            <w:tcBorders>
              <w:right w:val="single" w:color="auto" w:sz="4" w:space="0"/>
            </w:tcBorders>
            <w:vAlign w:val="center"/>
          </w:tcPr>
          <w:p w14:paraId="5AB3F129">
            <w:pPr>
              <w:jc w:val="center"/>
              <w:rPr>
                <w:rFonts w:ascii="宋体" w:hAnsi="宋体" w:cs="宋体"/>
                <w:color w:val="auto"/>
                <w:kern w:val="0"/>
                <w:szCs w:val="21"/>
                <w:lang w:bidi="ar"/>
              </w:rPr>
            </w:pPr>
            <w:r>
              <w:rPr>
                <w:rFonts w:hint="eastAsia"/>
                <w:color w:val="auto"/>
              </w:rPr>
              <w:t>只</w:t>
            </w:r>
          </w:p>
        </w:tc>
      </w:tr>
      <w:tr w14:paraId="18E577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60" w:type="dxa"/>
            <w:vAlign w:val="center"/>
          </w:tcPr>
          <w:p w14:paraId="746D724E">
            <w:pPr>
              <w:widowControl/>
              <w:jc w:val="center"/>
              <w:textAlignment w:val="center"/>
              <w:rPr>
                <w:rFonts w:ascii="宋体" w:hAnsi="宋体" w:cs="宋体"/>
                <w:color w:val="auto"/>
                <w:kern w:val="0"/>
                <w:szCs w:val="21"/>
                <w:lang w:bidi="ar"/>
              </w:rPr>
            </w:pPr>
            <w:r>
              <w:rPr>
                <w:rFonts w:hint="eastAsia" w:ascii="宋体" w:hAnsi="宋体" w:cs="宋体"/>
                <w:color w:val="auto"/>
                <w:kern w:val="0"/>
                <w:szCs w:val="21"/>
                <w:lang w:bidi="ar"/>
              </w:rPr>
              <w:t>14</w:t>
            </w:r>
          </w:p>
        </w:tc>
        <w:tc>
          <w:tcPr>
            <w:tcW w:w="1764" w:type="dxa"/>
            <w:vAlign w:val="center"/>
          </w:tcPr>
          <w:p w14:paraId="1FB503EB">
            <w:pPr>
              <w:rPr>
                <w:rFonts w:ascii="宋体" w:hAnsi="宋体" w:cs="宋体"/>
                <w:color w:val="auto"/>
                <w:kern w:val="0"/>
                <w:szCs w:val="21"/>
                <w:lang w:bidi="ar"/>
              </w:rPr>
            </w:pPr>
            <w:r>
              <w:rPr>
                <w:rFonts w:hint="eastAsia"/>
                <w:color w:val="auto"/>
              </w:rPr>
              <w:t>一拖二无线手持话筒</w:t>
            </w:r>
          </w:p>
        </w:tc>
        <w:tc>
          <w:tcPr>
            <w:tcW w:w="681" w:type="dxa"/>
            <w:vAlign w:val="center"/>
          </w:tcPr>
          <w:p w14:paraId="41457DAD">
            <w:pPr>
              <w:jc w:val="center"/>
              <w:rPr>
                <w:rFonts w:ascii="宋体" w:hAnsi="宋体" w:cs="宋体"/>
                <w:color w:val="auto"/>
                <w:kern w:val="0"/>
                <w:szCs w:val="21"/>
                <w:lang w:bidi="ar"/>
              </w:rPr>
            </w:pPr>
            <w:r>
              <w:rPr>
                <w:rFonts w:hint="eastAsia"/>
                <w:color w:val="auto"/>
              </w:rPr>
              <w:t>1</w:t>
            </w:r>
          </w:p>
        </w:tc>
        <w:tc>
          <w:tcPr>
            <w:tcW w:w="1080" w:type="dxa"/>
            <w:tcBorders>
              <w:right w:val="single" w:color="auto" w:sz="4" w:space="0"/>
            </w:tcBorders>
            <w:vAlign w:val="center"/>
          </w:tcPr>
          <w:p w14:paraId="72161472">
            <w:pPr>
              <w:jc w:val="center"/>
              <w:rPr>
                <w:rFonts w:ascii="宋体" w:hAnsi="宋体" w:cs="宋体"/>
                <w:color w:val="auto"/>
                <w:kern w:val="0"/>
                <w:szCs w:val="21"/>
                <w:lang w:bidi="ar"/>
              </w:rPr>
            </w:pPr>
            <w:r>
              <w:rPr>
                <w:rFonts w:hint="eastAsia"/>
                <w:color w:val="auto"/>
              </w:rPr>
              <w:t>套</w:t>
            </w:r>
          </w:p>
        </w:tc>
        <w:tc>
          <w:tcPr>
            <w:tcW w:w="300" w:type="dxa"/>
            <w:tcBorders>
              <w:top w:val="nil"/>
              <w:left w:val="single" w:color="auto" w:sz="4" w:space="0"/>
              <w:bottom w:val="nil"/>
              <w:right w:val="single" w:color="auto" w:sz="4" w:space="0"/>
            </w:tcBorders>
            <w:vAlign w:val="center"/>
          </w:tcPr>
          <w:p w14:paraId="5FD65BBA">
            <w:pPr>
              <w:widowControl/>
              <w:jc w:val="center"/>
              <w:textAlignment w:val="center"/>
              <w:rPr>
                <w:rFonts w:ascii="宋体" w:hAnsi="宋体" w:cs="宋体"/>
                <w:bCs/>
                <w:color w:val="auto"/>
                <w:szCs w:val="21"/>
              </w:rPr>
            </w:pPr>
          </w:p>
        </w:tc>
        <w:tc>
          <w:tcPr>
            <w:tcW w:w="705" w:type="dxa"/>
            <w:tcBorders>
              <w:left w:val="single" w:color="auto" w:sz="4" w:space="0"/>
              <w:right w:val="single" w:color="auto" w:sz="4" w:space="0"/>
            </w:tcBorders>
            <w:vAlign w:val="center"/>
          </w:tcPr>
          <w:p w14:paraId="71F6AC55">
            <w:pPr>
              <w:widowControl/>
              <w:jc w:val="center"/>
              <w:textAlignment w:val="center"/>
              <w:rPr>
                <w:rFonts w:ascii="宋体" w:hAnsi="宋体" w:cs="宋体"/>
                <w:bCs/>
                <w:color w:val="auto"/>
                <w:szCs w:val="21"/>
              </w:rPr>
            </w:pPr>
            <w:r>
              <w:rPr>
                <w:rFonts w:hint="eastAsia" w:ascii="宋体" w:hAnsi="宋体" w:cs="宋体"/>
                <w:bCs/>
                <w:color w:val="auto"/>
                <w:szCs w:val="21"/>
              </w:rPr>
              <w:t>32</w:t>
            </w:r>
          </w:p>
        </w:tc>
        <w:tc>
          <w:tcPr>
            <w:tcW w:w="2265" w:type="dxa"/>
            <w:tcBorders>
              <w:right w:val="single" w:color="auto" w:sz="4" w:space="0"/>
            </w:tcBorders>
            <w:vAlign w:val="center"/>
          </w:tcPr>
          <w:p w14:paraId="33AA6929">
            <w:pPr>
              <w:rPr>
                <w:rFonts w:ascii="宋体" w:hAnsi="宋体" w:cs="宋体"/>
                <w:color w:val="auto"/>
                <w:kern w:val="0"/>
                <w:szCs w:val="21"/>
                <w:lang w:bidi="ar"/>
              </w:rPr>
            </w:pPr>
            <w:r>
              <w:rPr>
                <w:rFonts w:hint="eastAsia"/>
                <w:color w:val="auto"/>
              </w:rPr>
              <w:t>2通道数字音频功率放大器</w:t>
            </w:r>
          </w:p>
        </w:tc>
        <w:tc>
          <w:tcPr>
            <w:tcW w:w="705" w:type="dxa"/>
            <w:tcBorders>
              <w:right w:val="single" w:color="auto" w:sz="4" w:space="0"/>
            </w:tcBorders>
            <w:vAlign w:val="center"/>
          </w:tcPr>
          <w:p w14:paraId="55C033CE">
            <w:pPr>
              <w:jc w:val="center"/>
              <w:rPr>
                <w:rFonts w:ascii="宋体" w:hAnsi="宋体" w:cs="宋体"/>
                <w:color w:val="auto"/>
                <w:kern w:val="0"/>
                <w:szCs w:val="21"/>
                <w:lang w:bidi="ar"/>
              </w:rPr>
            </w:pPr>
            <w:r>
              <w:rPr>
                <w:rFonts w:hint="eastAsia"/>
                <w:color w:val="auto"/>
              </w:rPr>
              <w:t>2</w:t>
            </w:r>
          </w:p>
        </w:tc>
        <w:tc>
          <w:tcPr>
            <w:tcW w:w="1125" w:type="dxa"/>
            <w:tcBorders>
              <w:right w:val="single" w:color="auto" w:sz="4" w:space="0"/>
            </w:tcBorders>
            <w:vAlign w:val="center"/>
          </w:tcPr>
          <w:p w14:paraId="3AF38D85">
            <w:pPr>
              <w:jc w:val="center"/>
              <w:rPr>
                <w:rFonts w:ascii="宋体" w:hAnsi="宋体" w:cs="宋体"/>
                <w:color w:val="auto"/>
                <w:kern w:val="0"/>
                <w:szCs w:val="21"/>
                <w:lang w:bidi="ar"/>
              </w:rPr>
            </w:pPr>
            <w:r>
              <w:rPr>
                <w:rFonts w:hint="eastAsia"/>
                <w:color w:val="auto"/>
              </w:rPr>
              <w:t>台</w:t>
            </w:r>
          </w:p>
        </w:tc>
      </w:tr>
      <w:tr w14:paraId="2FA5DE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60" w:type="dxa"/>
            <w:vAlign w:val="center"/>
          </w:tcPr>
          <w:p w14:paraId="2BA25D63">
            <w:pPr>
              <w:widowControl/>
              <w:jc w:val="center"/>
              <w:textAlignment w:val="center"/>
              <w:rPr>
                <w:rFonts w:ascii="宋体" w:hAnsi="宋体" w:cs="宋体"/>
                <w:color w:val="auto"/>
                <w:kern w:val="0"/>
                <w:szCs w:val="21"/>
                <w:lang w:bidi="ar"/>
              </w:rPr>
            </w:pPr>
            <w:r>
              <w:rPr>
                <w:rFonts w:hint="eastAsia" w:ascii="宋体" w:hAnsi="宋体" w:cs="宋体"/>
                <w:color w:val="auto"/>
                <w:kern w:val="0"/>
                <w:szCs w:val="21"/>
                <w:lang w:bidi="ar"/>
              </w:rPr>
              <w:t>15</w:t>
            </w:r>
          </w:p>
        </w:tc>
        <w:tc>
          <w:tcPr>
            <w:tcW w:w="1764" w:type="dxa"/>
            <w:vAlign w:val="center"/>
          </w:tcPr>
          <w:p w14:paraId="67374457">
            <w:pPr>
              <w:rPr>
                <w:rFonts w:ascii="宋体" w:hAnsi="宋体" w:cs="宋体"/>
                <w:color w:val="auto"/>
                <w:kern w:val="0"/>
                <w:szCs w:val="21"/>
                <w:lang w:bidi="ar"/>
              </w:rPr>
            </w:pPr>
            <w:r>
              <w:rPr>
                <w:rFonts w:hint="eastAsia"/>
                <w:color w:val="auto"/>
              </w:rPr>
              <w:t>天线分配器</w:t>
            </w:r>
          </w:p>
        </w:tc>
        <w:tc>
          <w:tcPr>
            <w:tcW w:w="681" w:type="dxa"/>
            <w:vAlign w:val="center"/>
          </w:tcPr>
          <w:p w14:paraId="0E1E35C7">
            <w:pPr>
              <w:jc w:val="center"/>
              <w:rPr>
                <w:rFonts w:ascii="宋体" w:hAnsi="宋体" w:cs="宋体"/>
                <w:color w:val="auto"/>
                <w:kern w:val="0"/>
                <w:szCs w:val="21"/>
                <w:lang w:bidi="ar"/>
              </w:rPr>
            </w:pPr>
            <w:r>
              <w:rPr>
                <w:rFonts w:hint="eastAsia"/>
                <w:color w:val="auto"/>
              </w:rPr>
              <w:t>1</w:t>
            </w:r>
          </w:p>
        </w:tc>
        <w:tc>
          <w:tcPr>
            <w:tcW w:w="1080" w:type="dxa"/>
            <w:tcBorders>
              <w:right w:val="single" w:color="auto" w:sz="4" w:space="0"/>
            </w:tcBorders>
            <w:vAlign w:val="center"/>
          </w:tcPr>
          <w:p w14:paraId="4BEECE3B">
            <w:pPr>
              <w:jc w:val="center"/>
              <w:rPr>
                <w:rFonts w:ascii="宋体" w:hAnsi="宋体" w:cs="宋体"/>
                <w:color w:val="auto"/>
                <w:kern w:val="0"/>
                <w:szCs w:val="21"/>
                <w:lang w:bidi="ar"/>
              </w:rPr>
            </w:pPr>
            <w:r>
              <w:rPr>
                <w:rFonts w:hint="eastAsia"/>
                <w:color w:val="auto"/>
              </w:rPr>
              <w:t>台</w:t>
            </w:r>
          </w:p>
        </w:tc>
        <w:tc>
          <w:tcPr>
            <w:tcW w:w="300" w:type="dxa"/>
            <w:tcBorders>
              <w:top w:val="nil"/>
              <w:left w:val="single" w:color="auto" w:sz="4" w:space="0"/>
              <w:bottom w:val="nil"/>
              <w:right w:val="single" w:color="auto" w:sz="4" w:space="0"/>
            </w:tcBorders>
            <w:vAlign w:val="center"/>
          </w:tcPr>
          <w:p w14:paraId="4EF17E21">
            <w:pPr>
              <w:widowControl/>
              <w:jc w:val="center"/>
              <w:textAlignment w:val="center"/>
              <w:rPr>
                <w:rFonts w:ascii="宋体" w:hAnsi="宋体" w:cs="宋体"/>
                <w:bCs/>
                <w:color w:val="auto"/>
                <w:szCs w:val="21"/>
              </w:rPr>
            </w:pPr>
          </w:p>
        </w:tc>
        <w:tc>
          <w:tcPr>
            <w:tcW w:w="705" w:type="dxa"/>
            <w:tcBorders>
              <w:left w:val="single" w:color="auto" w:sz="4" w:space="0"/>
              <w:right w:val="single" w:color="auto" w:sz="4" w:space="0"/>
            </w:tcBorders>
            <w:vAlign w:val="center"/>
          </w:tcPr>
          <w:p w14:paraId="3D80BBFB">
            <w:pPr>
              <w:widowControl/>
              <w:jc w:val="center"/>
              <w:textAlignment w:val="center"/>
              <w:rPr>
                <w:rFonts w:ascii="宋体" w:hAnsi="宋体" w:cs="宋体"/>
                <w:bCs/>
                <w:color w:val="auto"/>
                <w:szCs w:val="21"/>
              </w:rPr>
            </w:pPr>
            <w:r>
              <w:rPr>
                <w:rFonts w:hint="eastAsia" w:ascii="宋体" w:hAnsi="宋体" w:cs="宋体"/>
                <w:bCs/>
                <w:color w:val="auto"/>
                <w:szCs w:val="21"/>
              </w:rPr>
              <w:t>33</w:t>
            </w:r>
          </w:p>
        </w:tc>
        <w:tc>
          <w:tcPr>
            <w:tcW w:w="2265" w:type="dxa"/>
            <w:tcBorders>
              <w:right w:val="single" w:color="auto" w:sz="4" w:space="0"/>
            </w:tcBorders>
            <w:vAlign w:val="center"/>
          </w:tcPr>
          <w:p w14:paraId="2C6A00BE">
            <w:pPr>
              <w:rPr>
                <w:rFonts w:ascii="宋体" w:hAnsi="宋体" w:cs="宋体"/>
                <w:color w:val="auto"/>
                <w:kern w:val="0"/>
                <w:szCs w:val="21"/>
                <w:lang w:bidi="ar"/>
              </w:rPr>
            </w:pPr>
            <w:r>
              <w:rPr>
                <w:rFonts w:hint="eastAsia"/>
                <w:color w:val="auto"/>
              </w:rPr>
              <w:t>反馈抑制器</w:t>
            </w:r>
          </w:p>
        </w:tc>
        <w:tc>
          <w:tcPr>
            <w:tcW w:w="705" w:type="dxa"/>
            <w:tcBorders>
              <w:right w:val="single" w:color="auto" w:sz="4" w:space="0"/>
            </w:tcBorders>
            <w:vAlign w:val="center"/>
          </w:tcPr>
          <w:p w14:paraId="5F766B9B">
            <w:pPr>
              <w:jc w:val="center"/>
              <w:rPr>
                <w:rFonts w:ascii="宋体" w:hAnsi="宋体" w:cs="宋体"/>
                <w:color w:val="auto"/>
                <w:kern w:val="0"/>
                <w:szCs w:val="21"/>
                <w:lang w:bidi="ar"/>
              </w:rPr>
            </w:pPr>
            <w:r>
              <w:rPr>
                <w:rFonts w:hint="eastAsia"/>
                <w:color w:val="auto"/>
              </w:rPr>
              <w:t>1</w:t>
            </w:r>
          </w:p>
        </w:tc>
        <w:tc>
          <w:tcPr>
            <w:tcW w:w="1125" w:type="dxa"/>
            <w:tcBorders>
              <w:right w:val="single" w:color="auto" w:sz="4" w:space="0"/>
            </w:tcBorders>
            <w:vAlign w:val="center"/>
          </w:tcPr>
          <w:p w14:paraId="2FD4C760">
            <w:pPr>
              <w:jc w:val="center"/>
              <w:rPr>
                <w:rFonts w:ascii="宋体" w:hAnsi="宋体" w:cs="宋体"/>
                <w:color w:val="auto"/>
                <w:kern w:val="0"/>
                <w:szCs w:val="21"/>
                <w:lang w:bidi="ar"/>
              </w:rPr>
            </w:pPr>
            <w:r>
              <w:rPr>
                <w:rFonts w:hint="eastAsia"/>
                <w:color w:val="auto"/>
              </w:rPr>
              <w:t>台</w:t>
            </w:r>
          </w:p>
        </w:tc>
      </w:tr>
      <w:tr w14:paraId="3C64A8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60" w:type="dxa"/>
            <w:vAlign w:val="center"/>
          </w:tcPr>
          <w:p w14:paraId="19F46D82">
            <w:pPr>
              <w:widowControl/>
              <w:jc w:val="center"/>
              <w:textAlignment w:val="center"/>
              <w:rPr>
                <w:rFonts w:ascii="宋体" w:hAnsi="宋体" w:cs="宋体"/>
                <w:color w:val="auto"/>
                <w:kern w:val="0"/>
                <w:szCs w:val="21"/>
                <w:lang w:bidi="ar"/>
              </w:rPr>
            </w:pPr>
            <w:r>
              <w:rPr>
                <w:rFonts w:hint="eastAsia" w:ascii="宋体" w:hAnsi="宋体" w:cs="宋体"/>
                <w:color w:val="auto"/>
                <w:kern w:val="0"/>
                <w:szCs w:val="21"/>
                <w:lang w:bidi="ar"/>
              </w:rPr>
              <w:t>16</w:t>
            </w:r>
          </w:p>
        </w:tc>
        <w:tc>
          <w:tcPr>
            <w:tcW w:w="1764" w:type="dxa"/>
            <w:vAlign w:val="center"/>
          </w:tcPr>
          <w:p w14:paraId="325A7BEC">
            <w:pPr>
              <w:rPr>
                <w:rFonts w:ascii="宋体" w:hAnsi="宋体" w:cs="宋体"/>
                <w:color w:val="auto"/>
                <w:kern w:val="0"/>
                <w:szCs w:val="21"/>
                <w:lang w:bidi="ar"/>
              </w:rPr>
            </w:pPr>
            <w:r>
              <w:rPr>
                <w:rFonts w:hint="eastAsia"/>
                <w:color w:val="auto"/>
              </w:rPr>
              <w:t>天线放大器</w:t>
            </w:r>
          </w:p>
        </w:tc>
        <w:tc>
          <w:tcPr>
            <w:tcW w:w="681" w:type="dxa"/>
            <w:vAlign w:val="center"/>
          </w:tcPr>
          <w:p w14:paraId="422EBB1F">
            <w:pPr>
              <w:jc w:val="center"/>
              <w:rPr>
                <w:rFonts w:ascii="宋体" w:hAnsi="宋体" w:cs="宋体"/>
                <w:color w:val="auto"/>
                <w:kern w:val="0"/>
                <w:szCs w:val="21"/>
                <w:lang w:bidi="ar"/>
              </w:rPr>
            </w:pPr>
            <w:r>
              <w:rPr>
                <w:rFonts w:hint="eastAsia"/>
                <w:color w:val="auto"/>
              </w:rPr>
              <w:t>1</w:t>
            </w:r>
          </w:p>
        </w:tc>
        <w:tc>
          <w:tcPr>
            <w:tcW w:w="1080" w:type="dxa"/>
            <w:tcBorders>
              <w:right w:val="single" w:color="auto" w:sz="4" w:space="0"/>
            </w:tcBorders>
            <w:vAlign w:val="center"/>
          </w:tcPr>
          <w:p w14:paraId="1D1C03D8">
            <w:pPr>
              <w:jc w:val="center"/>
              <w:rPr>
                <w:rFonts w:ascii="宋体" w:hAnsi="宋体" w:cs="宋体"/>
                <w:color w:val="auto"/>
                <w:kern w:val="0"/>
                <w:szCs w:val="21"/>
                <w:lang w:bidi="ar"/>
              </w:rPr>
            </w:pPr>
            <w:r>
              <w:rPr>
                <w:rFonts w:hint="eastAsia"/>
                <w:color w:val="auto"/>
              </w:rPr>
              <w:t>对</w:t>
            </w:r>
          </w:p>
        </w:tc>
        <w:tc>
          <w:tcPr>
            <w:tcW w:w="300" w:type="dxa"/>
            <w:tcBorders>
              <w:top w:val="nil"/>
              <w:left w:val="single" w:color="auto" w:sz="4" w:space="0"/>
              <w:bottom w:val="nil"/>
              <w:right w:val="single" w:color="auto" w:sz="4" w:space="0"/>
            </w:tcBorders>
            <w:vAlign w:val="center"/>
          </w:tcPr>
          <w:p w14:paraId="7F99BB49">
            <w:pPr>
              <w:widowControl/>
              <w:jc w:val="center"/>
              <w:textAlignment w:val="center"/>
              <w:rPr>
                <w:rFonts w:ascii="宋体" w:hAnsi="宋体" w:cs="宋体"/>
                <w:bCs/>
                <w:color w:val="auto"/>
                <w:szCs w:val="21"/>
              </w:rPr>
            </w:pPr>
          </w:p>
        </w:tc>
        <w:tc>
          <w:tcPr>
            <w:tcW w:w="705" w:type="dxa"/>
            <w:tcBorders>
              <w:left w:val="single" w:color="auto" w:sz="4" w:space="0"/>
              <w:right w:val="single" w:color="auto" w:sz="4" w:space="0"/>
            </w:tcBorders>
            <w:vAlign w:val="center"/>
          </w:tcPr>
          <w:p w14:paraId="6EE261EA">
            <w:pPr>
              <w:widowControl/>
              <w:jc w:val="center"/>
              <w:textAlignment w:val="center"/>
              <w:rPr>
                <w:rFonts w:ascii="宋体" w:hAnsi="宋体" w:cs="宋体"/>
                <w:bCs/>
                <w:color w:val="auto"/>
                <w:szCs w:val="21"/>
              </w:rPr>
            </w:pPr>
            <w:r>
              <w:rPr>
                <w:rFonts w:hint="eastAsia" w:ascii="宋体" w:hAnsi="宋体" w:cs="宋体"/>
                <w:bCs/>
                <w:color w:val="auto"/>
                <w:szCs w:val="21"/>
              </w:rPr>
              <w:t>34</w:t>
            </w:r>
          </w:p>
        </w:tc>
        <w:tc>
          <w:tcPr>
            <w:tcW w:w="2265" w:type="dxa"/>
            <w:tcBorders>
              <w:right w:val="single" w:color="auto" w:sz="4" w:space="0"/>
            </w:tcBorders>
            <w:vAlign w:val="center"/>
          </w:tcPr>
          <w:p w14:paraId="358F87AB">
            <w:pPr>
              <w:rPr>
                <w:rFonts w:ascii="宋体" w:hAnsi="宋体" w:cs="宋体"/>
                <w:color w:val="auto"/>
                <w:kern w:val="0"/>
                <w:szCs w:val="21"/>
                <w:lang w:bidi="ar"/>
              </w:rPr>
            </w:pPr>
            <w:r>
              <w:rPr>
                <w:rFonts w:hint="eastAsia"/>
                <w:color w:val="auto"/>
              </w:rPr>
              <w:t>会议室数字音频处理器</w:t>
            </w:r>
          </w:p>
        </w:tc>
        <w:tc>
          <w:tcPr>
            <w:tcW w:w="705" w:type="dxa"/>
            <w:tcBorders>
              <w:right w:val="single" w:color="auto" w:sz="4" w:space="0"/>
            </w:tcBorders>
            <w:vAlign w:val="center"/>
          </w:tcPr>
          <w:p w14:paraId="41F48C0A">
            <w:pPr>
              <w:jc w:val="center"/>
              <w:rPr>
                <w:rFonts w:ascii="宋体" w:hAnsi="宋体" w:cs="宋体"/>
                <w:color w:val="auto"/>
                <w:kern w:val="0"/>
                <w:szCs w:val="21"/>
                <w:lang w:bidi="ar"/>
              </w:rPr>
            </w:pPr>
            <w:r>
              <w:rPr>
                <w:rFonts w:hint="eastAsia"/>
                <w:color w:val="auto"/>
              </w:rPr>
              <w:t>1</w:t>
            </w:r>
          </w:p>
        </w:tc>
        <w:tc>
          <w:tcPr>
            <w:tcW w:w="1125" w:type="dxa"/>
            <w:tcBorders>
              <w:right w:val="single" w:color="auto" w:sz="4" w:space="0"/>
            </w:tcBorders>
            <w:vAlign w:val="center"/>
          </w:tcPr>
          <w:p w14:paraId="488D57F0">
            <w:pPr>
              <w:jc w:val="center"/>
              <w:rPr>
                <w:rFonts w:ascii="宋体" w:hAnsi="宋体" w:cs="宋体"/>
                <w:color w:val="auto"/>
                <w:kern w:val="0"/>
                <w:szCs w:val="21"/>
                <w:lang w:bidi="ar"/>
              </w:rPr>
            </w:pPr>
            <w:r>
              <w:rPr>
                <w:rFonts w:hint="eastAsia"/>
                <w:color w:val="auto"/>
              </w:rPr>
              <w:t>台</w:t>
            </w:r>
          </w:p>
        </w:tc>
      </w:tr>
      <w:tr w14:paraId="4CFED4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60" w:type="dxa"/>
            <w:vAlign w:val="center"/>
          </w:tcPr>
          <w:p w14:paraId="082A42D3">
            <w:pPr>
              <w:widowControl/>
              <w:jc w:val="center"/>
              <w:textAlignment w:val="center"/>
              <w:rPr>
                <w:rFonts w:ascii="宋体" w:hAnsi="宋体" w:cs="宋体"/>
                <w:color w:val="auto"/>
                <w:kern w:val="0"/>
                <w:szCs w:val="21"/>
                <w:lang w:bidi="ar"/>
              </w:rPr>
            </w:pPr>
            <w:r>
              <w:rPr>
                <w:rFonts w:hint="eastAsia" w:ascii="宋体" w:hAnsi="宋体" w:cs="宋体"/>
                <w:color w:val="auto"/>
                <w:kern w:val="0"/>
                <w:szCs w:val="21"/>
                <w:lang w:bidi="ar"/>
              </w:rPr>
              <w:t>17</w:t>
            </w:r>
          </w:p>
        </w:tc>
        <w:tc>
          <w:tcPr>
            <w:tcW w:w="1764" w:type="dxa"/>
            <w:vAlign w:val="center"/>
          </w:tcPr>
          <w:p w14:paraId="5739FC5C">
            <w:pPr>
              <w:rPr>
                <w:rFonts w:ascii="宋体" w:hAnsi="宋体" w:cs="宋体"/>
                <w:color w:val="auto"/>
                <w:kern w:val="0"/>
                <w:szCs w:val="21"/>
                <w:lang w:bidi="ar"/>
              </w:rPr>
            </w:pPr>
            <w:r>
              <w:rPr>
                <w:rFonts w:hint="eastAsia"/>
                <w:color w:val="auto"/>
              </w:rPr>
              <w:t>增益器</w:t>
            </w:r>
          </w:p>
        </w:tc>
        <w:tc>
          <w:tcPr>
            <w:tcW w:w="681" w:type="dxa"/>
            <w:vAlign w:val="center"/>
          </w:tcPr>
          <w:p w14:paraId="52D72607">
            <w:pPr>
              <w:jc w:val="center"/>
              <w:rPr>
                <w:rFonts w:ascii="宋体" w:hAnsi="宋体" w:cs="宋体"/>
                <w:color w:val="auto"/>
                <w:kern w:val="0"/>
                <w:szCs w:val="21"/>
                <w:lang w:bidi="ar"/>
              </w:rPr>
            </w:pPr>
            <w:r>
              <w:rPr>
                <w:rFonts w:hint="eastAsia"/>
                <w:color w:val="auto"/>
              </w:rPr>
              <w:t>2</w:t>
            </w:r>
          </w:p>
        </w:tc>
        <w:tc>
          <w:tcPr>
            <w:tcW w:w="1080" w:type="dxa"/>
            <w:tcBorders>
              <w:right w:val="single" w:color="auto" w:sz="4" w:space="0"/>
            </w:tcBorders>
          </w:tcPr>
          <w:p w14:paraId="60FB33BE">
            <w:pPr>
              <w:jc w:val="center"/>
              <w:rPr>
                <w:rFonts w:ascii="宋体" w:hAnsi="宋体" w:cs="宋体"/>
                <w:color w:val="auto"/>
                <w:kern w:val="0"/>
                <w:szCs w:val="21"/>
                <w:lang w:bidi="ar"/>
              </w:rPr>
            </w:pPr>
            <w:r>
              <w:rPr>
                <w:rFonts w:hint="eastAsia"/>
                <w:color w:val="auto"/>
              </w:rPr>
              <w:t>个</w:t>
            </w:r>
          </w:p>
        </w:tc>
        <w:tc>
          <w:tcPr>
            <w:tcW w:w="300" w:type="dxa"/>
            <w:tcBorders>
              <w:top w:val="nil"/>
              <w:left w:val="single" w:color="auto" w:sz="4" w:space="0"/>
              <w:bottom w:val="nil"/>
              <w:right w:val="single" w:color="auto" w:sz="4" w:space="0"/>
            </w:tcBorders>
            <w:vAlign w:val="center"/>
          </w:tcPr>
          <w:p w14:paraId="544DE7C8">
            <w:pPr>
              <w:widowControl/>
              <w:jc w:val="center"/>
              <w:textAlignment w:val="center"/>
              <w:rPr>
                <w:rFonts w:ascii="宋体" w:hAnsi="宋体" w:cs="宋体"/>
                <w:bCs/>
                <w:color w:val="auto"/>
                <w:szCs w:val="21"/>
              </w:rPr>
            </w:pPr>
          </w:p>
        </w:tc>
        <w:tc>
          <w:tcPr>
            <w:tcW w:w="705" w:type="dxa"/>
            <w:tcBorders>
              <w:left w:val="single" w:color="auto" w:sz="4" w:space="0"/>
              <w:right w:val="single" w:color="auto" w:sz="4" w:space="0"/>
            </w:tcBorders>
            <w:vAlign w:val="center"/>
          </w:tcPr>
          <w:p w14:paraId="4EB675A8">
            <w:pPr>
              <w:widowControl/>
              <w:jc w:val="center"/>
              <w:textAlignment w:val="center"/>
              <w:rPr>
                <w:rFonts w:ascii="宋体" w:hAnsi="宋体" w:cs="宋体"/>
                <w:bCs/>
                <w:color w:val="auto"/>
                <w:szCs w:val="21"/>
              </w:rPr>
            </w:pPr>
            <w:r>
              <w:rPr>
                <w:rFonts w:hint="eastAsia" w:ascii="宋体" w:hAnsi="宋体" w:cs="宋体"/>
                <w:bCs/>
                <w:color w:val="auto"/>
                <w:szCs w:val="21"/>
              </w:rPr>
              <w:t>35</w:t>
            </w:r>
          </w:p>
        </w:tc>
        <w:tc>
          <w:tcPr>
            <w:tcW w:w="2265" w:type="dxa"/>
            <w:tcBorders>
              <w:right w:val="single" w:color="auto" w:sz="4" w:space="0"/>
            </w:tcBorders>
            <w:vAlign w:val="center"/>
          </w:tcPr>
          <w:p w14:paraId="255F4E52">
            <w:pPr>
              <w:rPr>
                <w:rFonts w:ascii="宋体" w:hAnsi="宋体" w:cs="宋体"/>
                <w:color w:val="auto"/>
                <w:kern w:val="0"/>
                <w:szCs w:val="21"/>
                <w:lang w:bidi="ar"/>
              </w:rPr>
            </w:pPr>
            <w:r>
              <w:rPr>
                <w:rFonts w:hint="eastAsia"/>
                <w:color w:val="auto"/>
              </w:rPr>
              <w:t>会议室调音台</w:t>
            </w:r>
          </w:p>
        </w:tc>
        <w:tc>
          <w:tcPr>
            <w:tcW w:w="705" w:type="dxa"/>
            <w:tcBorders>
              <w:right w:val="single" w:color="auto" w:sz="4" w:space="0"/>
            </w:tcBorders>
            <w:vAlign w:val="center"/>
          </w:tcPr>
          <w:p w14:paraId="59EB5D74">
            <w:pPr>
              <w:jc w:val="center"/>
              <w:rPr>
                <w:rFonts w:ascii="宋体" w:hAnsi="宋体" w:cs="宋体"/>
                <w:color w:val="auto"/>
                <w:kern w:val="0"/>
                <w:szCs w:val="21"/>
                <w:lang w:bidi="ar"/>
              </w:rPr>
            </w:pPr>
            <w:r>
              <w:rPr>
                <w:rFonts w:hint="eastAsia"/>
                <w:color w:val="auto"/>
              </w:rPr>
              <w:t>1</w:t>
            </w:r>
          </w:p>
        </w:tc>
        <w:tc>
          <w:tcPr>
            <w:tcW w:w="1125" w:type="dxa"/>
            <w:tcBorders>
              <w:right w:val="single" w:color="auto" w:sz="4" w:space="0"/>
            </w:tcBorders>
            <w:vAlign w:val="center"/>
          </w:tcPr>
          <w:p w14:paraId="64033B4E">
            <w:pPr>
              <w:jc w:val="center"/>
              <w:rPr>
                <w:rFonts w:ascii="宋体" w:hAnsi="宋体" w:cs="宋体"/>
                <w:color w:val="auto"/>
                <w:kern w:val="0"/>
                <w:szCs w:val="21"/>
                <w:lang w:bidi="ar"/>
              </w:rPr>
            </w:pPr>
            <w:r>
              <w:rPr>
                <w:rFonts w:hint="eastAsia"/>
                <w:color w:val="auto"/>
              </w:rPr>
              <w:t>台</w:t>
            </w:r>
          </w:p>
        </w:tc>
      </w:tr>
      <w:tr w14:paraId="4440EA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60" w:type="dxa"/>
            <w:vAlign w:val="center"/>
          </w:tcPr>
          <w:p w14:paraId="18FEE56F">
            <w:pPr>
              <w:widowControl/>
              <w:jc w:val="center"/>
              <w:textAlignment w:val="center"/>
              <w:rPr>
                <w:rFonts w:ascii="宋体" w:hAnsi="宋体" w:cs="宋体"/>
                <w:color w:val="auto"/>
                <w:kern w:val="0"/>
                <w:szCs w:val="21"/>
                <w:lang w:bidi="ar"/>
              </w:rPr>
            </w:pPr>
            <w:r>
              <w:rPr>
                <w:rFonts w:hint="eastAsia" w:ascii="宋体" w:hAnsi="宋体" w:cs="宋体"/>
                <w:color w:val="auto"/>
                <w:kern w:val="0"/>
                <w:szCs w:val="21"/>
                <w:lang w:bidi="ar"/>
              </w:rPr>
              <w:t>18</w:t>
            </w:r>
          </w:p>
        </w:tc>
        <w:tc>
          <w:tcPr>
            <w:tcW w:w="1764" w:type="dxa"/>
            <w:vAlign w:val="center"/>
          </w:tcPr>
          <w:p w14:paraId="1B1728B0">
            <w:pPr>
              <w:rPr>
                <w:rFonts w:ascii="宋体" w:hAnsi="宋体" w:cs="宋体"/>
                <w:color w:val="auto"/>
                <w:kern w:val="0"/>
                <w:szCs w:val="21"/>
                <w:lang w:bidi="ar"/>
              </w:rPr>
            </w:pPr>
            <w:r>
              <w:rPr>
                <w:rFonts w:hint="eastAsia"/>
                <w:color w:val="auto"/>
              </w:rPr>
              <w:t>电源时序器1</w:t>
            </w:r>
          </w:p>
        </w:tc>
        <w:tc>
          <w:tcPr>
            <w:tcW w:w="681" w:type="dxa"/>
            <w:vAlign w:val="center"/>
          </w:tcPr>
          <w:p w14:paraId="43FAC1F7">
            <w:pPr>
              <w:jc w:val="center"/>
              <w:rPr>
                <w:rFonts w:ascii="宋体" w:hAnsi="宋体" w:cs="宋体"/>
                <w:color w:val="auto"/>
                <w:kern w:val="0"/>
                <w:szCs w:val="21"/>
                <w:lang w:bidi="ar"/>
              </w:rPr>
            </w:pPr>
            <w:r>
              <w:rPr>
                <w:rFonts w:hint="eastAsia"/>
                <w:color w:val="auto"/>
              </w:rPr>
              <w:t>2</w:t>
            </w:r>
          </w:p>
        </w:tc>
        <w:tc>
          <w:tcPr>
            <w:tcW w:w="1080" w:type="dxa"/>
            <w:tcBorders>
              <w:right w:val="single" w:color="auto" w:sz="4" w:space="0"/>
            </w:tcBorders>
            <w:vAlign w:val="center"/>
          </w:tcPr>
          <w:p w14:paraId="762CBD8A">
            <w:pPr>
              <w:jc w:val="center"/>
              <w:rPr>
                <w:rFonts w:ascii="宋体" w:hAnsi="宋体" w:cs="宋体"/>
                <w:color w:val="auto"/>
                <w:kern w:val="0"/>
                <w:szCs w:val="21"/>
                <w:lang w:bidi="ar"/>
              </w:rPr>
            </w:pPr>
            <w:r>
              <w:rPr>
                <w:rFonts w:hint="eastAsia"/>
                <w:color w:val="auto"/>
              </w:rPr>
              <w:t>台</w:t>
            </w:r>
          </w:p>
        </w:tc>
        <w:tc>
          <w:tcPr>
            <w:tcW w:w="300" w:type="dxa"/>
            <w:tcBorders>
              <w:top w:val="nil"/>
              <w:left w:val="single" w:color="auto" w:sz="4" w:space="0"/>
              <w:bottom w:val="nil"/>
              <w:right w:val="single" w:color="auto" w:sz="4" w:space="0"/>
            </w:tcBorders>
            <w:vAlign w:val="center"/>
          </w:tcPr>
          <w:p w14:paraId="0BE84D91">
            <w:pPr>
              <w:widowControl/>
              <w:jc w:val="center"/>
              <w:textAlignment w:val="center"/>
              <w:rPr>
                <w:rFonts w:ascii="宋体" w:hAnsi="宋体" w:cs="宋体"/>
                <w:bCs/>
                <w:color w:val="auto"/>
                <w:szCs w:val="21"/>
              </w:rPr>
            </w:pPr>
          </w:p>
        </w:tc>
        <w:tc>
          <w:tcPr>
            <w:tcW w:w="705" w:type="dxa"/>
            <w:tcBorders>
              <w:left w:val="single" w:color="auto" w:sz="4" w:space="0"/>
              <w:right w:val="single" w:color="auto" w:sz="4" w:space="0"/>
            </w:tcBorders>
            <w:vAlign w:val="center"/>
          </w:tcPr>
          <w:p w14:paraId="2D96560C">
            <w:pPr>
              <w:widowControl/>
              <w:jc w:val="center"/>
              <w:textAlignment w:val="center"/>
              <w:rPr>
                <w:rFonts w:ascii="宋体" w:hAnsi="宋体" w:cs="宋体"/>
                <w:bCs/>
                <w:color w:val="auto"/>
                <w:szCs w:val="21"/>
              </w:rPr>
            </w:pPr>
            <w:r>
              <w:rPr>
                <w:rFonts w:hint="eastAsia" w:ascii="宋体" w:hAnsi="宋体" w:cs="宋体"/>
                <w:bCs/>
                <w:color w:val="auto"/>
                <w:szCs w:val="21"/>
              </w:rPr>
              <w:t>36</w:t>
            </w:r>
          </w:p>
        </w:tc>
        <w:tc>
          <w:tcPr>
            <w:tcW w:w="2265" w:type="dxa"/>
            <w:tcBorders>
              <w:right w:val="single" w:color="auto" w:sz="4" w:space="0"/>
            </w:tcBorders>
            <w:vAlign w:val="center"/>
          </w:tcPr>
          <w:p w14:paraId="35600E71">
            <w:pPr>
              <w:rPr>
                <w:rFonts w:ascii="宋体" w:hAnsi="宋体" w:cs="宋体"/>
                <w:color w:val="auto"/>
                <w:kern w:val="0"/>
                <w:szCs w:val="21"/>
                <w:lang w:bidi="ar"/>
              </w:rPr>
            </w:pPr>
            <w:r>
              <w:rPr>
                <w:rFonts w:hint="eastAsia"/>
                <w:color w:val="auto"/>
              </w:rPr>
              <w:t>电源时序器2</w:t>
            </w:r>
          </w:p>
        </w:tc>
        <w:tc>
          <w:tcPr>
            <w:tcW w:w="705" w:type="dxa"/>
            <w:tcBorders>
              <w:right w:val="single" w:color="auto" w:sz="4" w:space="0"/>
            </w:tcBorders>
            <w:vAlign w:val="center"/>
          </w:tcPr>
          <w:p w14:paraId="4FE8DCAC">
            <w:pPr>
              <w:jc w:val="center"/>
              <w:rPr>
                <w:rFonts w:ascii="宋体" w:hAnsi="宋体" w:cs="宋体"/>
                <w:color w:val="auto"/>
                <w:kern w:val="0"/>
                <w:szCs w:val="21"/>
                <w:lang w:bidi="ar"/>
              </w:rPr>
            </w:pPr>
            <w:r>
              <w:rPr>
                <w:rFonts w:hint="eastAsia"/>
                <w:color w:val="auto"/>
              </w:rPr>
              <w:t>1</w:t>
            </w:r>
          </w:p>
        </w:tc>
        <w:tc>
          <w:tcPr>
            <w:tcW w:w="1125" w:type="dxa"/>
            <w:tcBorders>
              <w:right w:val="single" w:color="auto" w:sz="4" w:space="0"/>
            </w:tcBorders>
            <w:vAlign w:val="center"/>
          </w:tcPr>
          <w:p w14:paraId="00250FF6">
            <w:pPr>
              <w:jc w:val="center"/>
              <w:rPr>
                <w:rFonts w:ascii="宋体" w:hAnsi="宋体" w:cs="宋体"/>
                <w:color w:val="auto"/>
                <w:kern w:val="0"/>
                <w:szCs w:val="21"/>
                <w:lang w:bidi="ar"/>
              </w:rPr>
            </w:pPr>
            <w:r>
              <w:rPr>
                <w:rFonts w:hint="eastAsia"/>
                <w:color w:val="auto"/>
              </w:rPr>
              <w:t>台</w:t>
            </w:r>
          </w:p>
        </w:tc>
      </w:tr>
    </w:tbl>
    <w:p w14:paraId="435D491F">
      <w:pPr>
        <w:spacing w:line="360" w:lineRule="auto"/>
        <w:ind w:firstLine="420"/>
        <w:rPr>
          <w:rFonts w:ascii="宋体" w:hAnsi="宋体"/>
          <w:b/>
          <w:bCs/>
          <w:color w:val="auto"/>
          <w:szCs w:val="21"/>
          <w:u w:val="single"/>
        </w:rPr>
      </w:pPr>
      <w:r>
        <w:rPr>
          <w:rFonts w:hint="eastAsia" w:ascii="宋体" w:hAnsi="宋体"/>
          <w:b/>
          <w:bCs/>
          <w:color w:val="auto"/>
          <w:szCs w:val="21"/>
          <w:u w:val="single"/>
        </w:rPr>
        <w:t>★6.合同履行期限：</w:t>
      </w:r>
    </w:p>
    <w:p w14:paraId="4581484D">
      <w:pPr>
        <w:spacing w:line="360" w:lineRule="auto"/>
        <w:ind w:firstLine="420" w:firstLineChars="200"/>
        <w:rPr>
          <w:rFonts w:ascii="宋体" w:hAnsi="宋体"/>
          <w:b/>
          <w:bCs/>
          <w:color w:val="auto"/>
          <w:szCs w:val="21"/>
          <w:u w:val="single"/>
        </w:rPr>
      </w:pPr>
      <w:r>
        <w:rPr>
          <w:rFonts w:hint="eastAsia" w:ascii="宋体" w:hAnsi="宋体"/>
          <w:b/>
          <w:bCs/>
          <w:color w:val="auto"/>
          <w:szCs w:val="21"/>
          <w:u w:val="single"/>
        </w:rPr>
        <w:t>6.1交货期：合同签订后15个工作日内。</w:t>
      </w:r>
    </w:p>
    <w:p w14:paraId="620ECF06">
      <w:pPr>
        <w:spacing w:line="360" w:lineRule="auto"/>
        <w:ind w:firstLine="420" w:firstLineChars="200"/>
        <w:rPr>
          <w:rFonts w:ascii="宋体" w:hAnsi="宋体"/>
          <w:b/>
          <w:bCs/>
          <w:color w:val="auto"/>
          <w:szCs w:val="21"/>
          <w:u w:val="single"/>
        </w:rPr>
      </w:pPr>
      <w:r>
        <w:rPr>
          <w:rFonts w:hint="eastAsia" w:ascii="宋体" w:hAnsi="宋体"/>
          <w:b/>
          <w:bCs/>
          <w:color w:val="auto"/>
          <w:szCs w:val="21"/>
          <w:u w:val="single"/>
        </w:rPr>
        <w:t>6.2交货地点：云南师范大学呈贡校区明德1号楼。</w:t>
      </w:r>
    </w:p>
    <w:p w14:paraId="5FEE2760">
      <w:pPr>
        <w:spacing w:line="360" w:lineRule="auto"/>
        <w:ind w:firstLine="420"/>
        <w:rPr>
          <w:rFonts w:ascii="宋体" w:hAnsi="宋体"/>
          <w:color w:val="auto"/>
          <w:szCs w:val="21"/>
        </w:rPr>
      </w:pPr>
      <w:r>
        <w:rPr>
          <w:rFonts w:ascii="宋体" w:hAnsi="宋体"/>
          <w:color w:val="auto"/>
          <w:szCs w:val="21"/>
        </w:rPr>
        <w:t>7</w:t>
      </w:r>
      <w:r>
        <w:rPr>
          <w:rFonts w:hint="eastAsia" w:ascii="宋体" w:hAnsi="宋体"/>
          <w:color w:val="auto"/>
          <w:szCs w:val="21"/>
        </w:rPr>
        <w:t>.本项目不接受联合体。</w:t>
      </w:r>
    </w:p>
    <w:p w14:paraId="49D921C4">
      <w:pPr>
        <w:pStyle w:val="3"/>
        <w:numPr>
          <w:ilvl w:val="0"/>
          <w:numId w:val="0"/>
        </w:numPr>
        <w:ind w:left="425"/>
        <w:jc w:val="both"/>
        <w:rPr>
          <w:rFonts w:ascii="宋体" w:hAnsi="宋体" w:cs="宋体"/>
          <w:color w:val="auto"/>
          <w:sz w:val="21"/>
          <w:szCs w:val="21"/>
        </w:rPr>
      </w:pPr>
      <w:bookmarkStart w:id="19" w:name="_Toc20920"/>
      <w:bookmarkStart w:id="20" w:name="_Toc28486"/>
      <w:bookmarkStart w:id="21" w:name="_Toc28359090"/>
      <w:bookmarkStart w:id="22" w:name="_Toc28359013"/>
      <w:bookmarkStart w:id="23" w:name="_Toc54095466"/>
      <w:bookmarkStart w:id="24" w:name="_Toc35393630"/>
      <w:bookmarkStart w:id="25" w:name="_Toc35393799"/>
      <w:r>
        <w:rPr>
          <w:rFonts w:hint="eastAsia" w:ascii="宋体" w:hAnsi="宋体" w:cs="宋体"/>
          <w:color w:val="auto"/>
          <w:sz w:val="21"/>
          <w:szCs w:val="21"/>
        </w:rPr>
        <w:t>二、申请人的资格要求</w:t>
      </w:r>
      <w:bookmarkEnd w:id="19"/>
      <w:bookmarkEnd w:id="20"/>
      <w:bookmarkEnd w:id="21"/>
      <w:bookmarkEnd w:id="22"/>
      <w:bookmarkEnd w:id="23"/>
      <w:bookmarkEnd w:id="24"/>
      <w:bookmarkEnd w:id="25"/>
    </w:p>
    <w:p w14:paraId="7216DC4A">
      <w:pPr>
        <w:spacing w:line="360" w:lineRule="auto"/>
        <w:ind w:firstLine="420"/>
        <w:rPr>
          <w:rFonts w:ascii="宋体" w:hAnsi="宋体"/>
          <w:color w:val="auto"/>
          <w:szCs w:val="21"/>
        </w:rPr>
      </w:pPr>
      <w:r>
        <w:rPr>
          <w:rFonts w:hint="eastAsia" w:ascii="宋体" w:hAnsi="宋体"/>
          <w:color w:val="auto"/>
          <w:szCs w:val="21"/>
        </w:rPr>
        <w:t>1.满足《中华人民共和国政府采购法》第二十二条规定，并提供资格证明文件，详见“供应商须知前附表”。</w:t>
      </w:r>
    </w:p>
    <w:p w14:paraId="334FFF12">
      <w:pPr>
        <w:spacing w:line="360" w:lineRule="auto"/>
        <w:ind w:firstLine="420"/>
        <w:rPr>
          <w:rFonts w:ascii="宋体" w:hAnsi="宋体" w:cs="宋体"/>
          <w:b/>
          <w:bCs/>
          <w:color w:val="auto"/>
          <w:szCs w:val="21"/>
        </w:rPr>
      </w:pPr>
      <w:bookmarkStart w:id="26" w:name="_Toc28359014"/>
      <w:bookmarkStart w:id="27" w:name="_Toc28359091"/>
      <w:r>
        <w:rPr>
          <w:rFonts w:ascii="宋体" w:hAnsi="宋体"/>
          <w:color w:val="auto"/>
          <w:szCs w:val="21"/>
        </w:rPr>
        <w:t>2</w:t>
      </w:r>
      <w:r>
        <w:rPr>
          <w:rFonts w:hint="eastAsia" w:ascii="宋体" w:hAnsi="宋体"/>
          <w:color w:val="auto"/>
          <w:szCs w:val="21"/>
        </w:rPr>
        <w:t>.落实政府采购政策需满足的资格要求：</w:t>
      </w:r>
      <w:r>
        <w:rPr>
          <w:rFonts w:hint="eastAsia" w:ascii="宋体" w:hAnsi="宋体" w:cs="宋体"/>
          <w:b/>
          <w:bCs/>
          <w:color w:val="auto"/>
          <w:szCs w:val="21"/>
        </w:rPr>
        <w:t>无。</w:t>
      </w:r>
    </w:p>
    <w:p w14:paraId="2234B1A2">
      <w:pPr>
        <w:spacing w:line="360" w:lineRule="auto"/>
        <w:ind w:firstLine="420"/>
        <w:rPr>
          <w:rFonts w:ascii="宋体" w:hAnsi="宋体"/>
          <w:color w:val="auto"/>
          <w:szCs w:val="21"/>
        </w:rPr>
      </w:pPr>
      <w:r>
        <w:rPr>
          <w:rFonts w:hint="eastAsia" w:ascii="宋体" w:hAnsi="宋体"/>
          <w:color w:val="auto"/>
          <w:szCs w:val="21"/>
        </w:rPr>
        <w:t>3.本项目的特定条件：</w:t>
      </w:r>
      <w:r>
        <w:rPr>
          <w:rFonts w:hint="eastAsia" w:ascii="宋体" w:hAnsi="宋体" w:cs="宋体"/>
          <w:b/>
          <w:bCs/>
          <w:color w:val="auto"/>
          <w:szCs w:val="21"/>
        </w:rPr>
        <w:t>无。</w:t>
      </w:r>
    </w:p>
    <w:p w14:paraId="35F8DE26">
      <w:pPr>
        <w:spacing w:line="360" w:lineRule="auto"/>
        <w:ind w:firstLine="420"/>
        <w:rPr>
          <w:rFonts w:ascii="宋体" w:hAnsi="宋体"/>
          <w:color w:val="auto"/>
          <w:szCs w:val="21"/>
        </w:rPr>
      </w:pPr>
      <w:r>
        <w:rPr>
          <w:rFonts w:ascii="宋体" w:hAnsi="宋体"/>
          <w:color w:val="auto"/>
          <w:szCs w:val="21"/>
        </w:rPr>
        <w:t>4.</w:t>
      </w:r>
      <w:r>
        <w:rPr>
          <w:rFonts w:hint="eastAsia" w:ascii="宋体" w:hAnsi="宋体"/>
          <w:color w:val="auto"/>
          <w:szCs w:val="21"/>
        </w:rPr>
        <w:t>参加谈判的供应商在响应文件递交截止时间前未被列入“失信被执行人”、“重大税收违法案件当事人名单”、“政府采购严重违法失信名单”，采购人或采购代理机构将通过“信用中国”网站(www.creditchina.gov.cn) “中国政府采购网”网站（www.ccgp.gov.cn）查询供应商信用记录。</w:t>
      </w:r>
    </w:p>
    <w:p w14:paraId="370A15E8">
      <w:pPr>
        <w:spacing w:line="360" w:lineRule="auto"/>
        <w:ind w:firstLine="420"/>
        <w:rPr>
          <w:rFonts w:ascii="宋体" w:hAnsi="宋体"/>
          <w:color w:val="auto"/>
          <w:szCs w:val="21"/>
        </w:rPr>
      </w:pPr>
      <w:r>
        <w:rPr>
          <w:rFonts w:hint="eastAsia" w:ascii="宋体" w:hAnsi="宋体"/>
          <w:color w:val="auto"/>
          <w:szCs w:val="21"/>
        </w:rPr>
        <w:t>5.为本项目提供整体设计、规范编制或者项目管理、监理、检测等服务的供应商：无。</w:t>
      </w:r>
    </w:p>
    <w:p w14:paraId="0ACBAB09">
      <w:pPr>
        <w:spacing w:line="360" w:lineRule="auto"/>
        <w:ind w:firstLine="420"/>
        <w:rPr>
          <w:rFonts w:ascii="宋体" w:hAnsi="宋体"/>
          <w:color w:val="auto"/>
          <w:szCs w:val="21"/>
        </w:rPr>
      </w:pPr>
      <w:r>
        <w:rPr>
          <w:rFonts w:hint="eastAsia" w:ascii="宋体" w:hAnsi="宋体"/>
          <w:color w:val="auto"/>
          <w:szCs w:val="21"/>
        </w:rPr>
        <w:t>6.单位负责人为同一人或者存在直接控股、管理关系的不同供应商，不得参加同一合同项下的政府采购活动。</w:t>
      </w:r>
    </w:p>
    <w:p w14:paraId="23507A83">
      <w:pPr>
        <w:pStyle w:val="3"/>
        <w:numPr>
          <w:ilvl w:val="0"/>
          <w:numId w:val="0"/>
        </w:numPr>
        <w:ind w:left="425"/>
        <w:jc w:val="both"/>
        <w:rPr>
          <w:rFonts w:ascii="宋体" w:hAnsi="宋体" w:cs="宋体"/>
          <w:color w:val="auto"/>
          <w:sz w:val="21"/>
          <w:szCs w:val="21"/>
        </w:rPr>
      </w:pPr>
      <w:bookmarkStart w:id="28" w:name="_Toc17530"/>
      <w:bookmarkStart w:id="29" w:name="_Toc35393631"/>
      <w:bookmarkStart w:id="30" w:name="_Toc27743"/>
      <w:bookmarkStart w:id="31" w:name="_Toc54095467"/>
      <w:bookmarkStart w:id="32" w:name="_Toc35393800"/>
      <w:r>
        <w:rPr>
          <w:rFonts w:hint="eastAsia" w:ascii="宋体" w:hAnsi="宋体" w:cs="宋体"/>
          <w:color w:val="auto"/>
          <w:sz w:val="21"/>
          <w:szCs w:val="21"/>
        </w:rPr>
        <w:t>三、获取采购文件</w:t>
      </w:r>
      <w:bookmarkEnd w:id="26"/>
      <w:bookmarkEnd w:id="27"/>
      <w:bookmarkEnd w:id="28"/>
      <w:bookmarkEnd w:id="29"/>
      <w:bookmarkEnd w:id="30"/>
      <w:bookmarkEnd w:id="31"/>
      <w:bookmarkEnd w:id="32"/>
    </w:p>
    <w:p w14:paraId="22E9BA55">
      <w:pPr>
        <w:spacing w:line="360" w:lineRule="auto"/>
        <w:ind w:firstLine="420" w:firstLineChars="200"/>
        <w:rPr>
          <w:rFonts w:ascii="宋体" w:hAnsi="宋体"/>
          <w:color w:val="auto"/>
          <w:szCs w:val="21"/>
        </w:rPr>
      </w:pPr>
      <w:r>
        <w:rPr>
          <w:rFonts w:hint="eastAsia" w:ascii="宋体" w:hAnsi="宋体"/>
          <w:color w:val="auto"/>
          <w:szCs w:val="21"/>
        </w:rPr>
        <w:t>1.时间：</w:t>
      </w:r>
      <w:r>
        <w:rPr>
          <w:rFonts w:hint="eastAsia" w:ascii="宋体" w:hAnsi="宋体" w:cs="宋体"/>
          <w:color w:val="auto"/>
          <w:szCs w:val="21"/>
        </w:rPr>
        <w:t>本公告发出之日起至</w:t>
      </w:r>
      <w:r>
        <w:rPr>
          <w:rFonts w:hint="eastAsia" w:ascii="宋体" w:hAnsi="宋体"/>
          <w:color w:val="auto"/>
          <w:szCs w:val="21"/>
          <w:u w:val="single"/>
        </w:rPr>
        <w:t>2025年</w:t>
      </w:r>
      <w:r>
        <w:rPr>
          <w:rFonts w:hint="eastAsia" w:ascii="宋体" w:hAnsi="宋体"/>
          <w:bCs/>
          <w:color w:val="auto"/>
          <w:szCs w:val="21"/>
          <w:u w:val="single"/>
          <w:lang w:val="en-US" w:eastAsia="zh-CN"/>
        </w:rPr>
        <w:t>06</w:t>
      </w:r>
      <w:r>
        <w:rPr>
          <w:rFonts w:hint="eastAsia" w:ascii="宋体" w:hAnsi="宋体"/>
          <w:bCs/>
          <w:color w:val="auto"/>
          <w:szCs w:val="21"/>
          <w:u w:val="single"/>
        </w:rPr>
        <w:t>月</w:t>
      </w:r>
      <w:r>
        <w:rPr>
          <w:rFonts w:hint="eastAsia" w:ascii="宋体" w:hAnsi="宋体"/>
          <w:bCs/>
          <w:color w:val="auto"/>
          <w:szCs w:val="21"/>
          <w:u w:val="single"/>
          <w:lang w:val="en-US" w:eastAsia="zh-CN"/>
        </w:rPr>
        <w:t>19</w:t>
      </w:r>
      <w:r>
        <w:rPr>
          <w:rFonts w:hint="eastAsia" w:ascii="宋体" w:hAnsi="宋体"/>
          <w:bCs/>
          <w:color w:val="auto"/>
          <w:szCs w:val="21"/>
          <w:u w:val="single"/>
        </w:rPr>
        <w:t>日</w:t>
      </w:r>
      <w:r>
        <w:rPr>
          <w:rFonts w:hint="eastAsia" w:ascii="宋体" w:hAnsi="宋体"/>
          <w:color w:val="auto"/>
          <w:szCs w:val="21"/>
          <w:u w:val="single"/>
        </w:rPr>
        <w:t>23时59分</w:t>
      </w:r>
      <w:r>
        <w:rPr>
          <w:rFonts w:hint="eastAsia" w:ascii="宋体" w:hAnsi="宋体"/>
          <w:color w:val="auto"/>
          <w:szCs w:val="21"/>
        </w:rPr>
        <w:t>（北京时间，法定节假日除外）。</w:t>
      </w:r>
    </w:p>
    <w:p w14:paraId="7A31BF63">
      <w:pPr>
        <w:spacing w:line="360" w:lineRule="auto"/>
        <w:ind w:firstLine="420" w:firstLineChars="200"/>
        <w:rPr>
          <w:rFonts w:ascii="宋体" w:hAnsi="宋体"/>
          <w:color w:val="auto"/>
          <w:szCs w:val="21"/>
        </w:rPr>
      </w:pPr>
      <w:r>
        <w:rPr>
          <w:rFonts w:hint="eastAsia" w:ascii="宋体" w:hAnsi="宋体"/>
          <w:color w:val="auto"/>
          <w:szCs w:val="21"/>
        </w:rPr>
        <w:t>2.地点：政采云平台（https://www.zcygov.cn/）线上获取。</w:t>
      </w:r>
    </w:p>
    <w:p w14:paraId="05D2994B">
      <w:pPr>
        <w:spacing w:line="360" w:lineRule="auto"/>
        <w:ind w:firstLine="420"/>
        <w:rPr>
          <w:rFonts w:ascii="宋体" w:hAnsi="宋体" w:cs="宋体"/>
          <w:color w:val="auto"/>
          <w:szCs w:val="21"/>
        </w:rPr>
      </w:pPr>
      <w:r>
        <w:rPr>
          <w:rFonts w:hint="eastAsia" w:ascii="宋体" w:hAnsi="宋体"/>
          <w:color w:val="auto"/>
          <w:szCs w:val="21"/>
        </w:rPr>
        <w:t>3.方式：凡有意参加投标者，须在政采云平台办理数字证书（CA），CA申领链接：https://middle.zcygov.cn/ca/apply/list?_app_=zcy.sys，并在政采云绑定数字证书（CA）后在网上获取采购文件及其它采购资料，数字证书（CA）详见其办理流程。</w:t>
      </w:r>
      <w:r>
        <w:rPr>
          <w:rFonts w:hint="eastAsia" w:ascii="宋体" w:hAnsi="宋体" w:cs="宋体"/>
          <w:color w:val="auto"/>
          <w:szCs w:val="21"/>
        </w:rPr>
        <w:t>未按上述要求获取文件的供应商视为不具备本项目的投标资格。政采云客服电话：95763。</w:t>
      </w:r>
    </w:p>
    <w:p w14:paraId="45FC7F77">
      <w:pPr>
        <w:spacing w:line="360" w:lineRule="auto"/>
        <w:ind w:firstLine="420" w:firstLineChars="200"/>
        <w:rPr>
          <w:rFonts w:ascii="宋体" w:hAnsi="宋体"/>
          <w:color w:val="auto"/>
          <w:szCs w:val="21"/>
        </w:rPr>
      </w:pPr>
      <w:r>
        <w:rPr>
          <w:rFonts w:hint="eastAsia" w:ascii="宋体" w:hAnsi="宋体"/>
          <w:color w:val="auto"/>
          <w:szCs w:val="21"/>
        </w:rPr>
        <w:t>4.售价：免费。</w:t>
      </w:r>
    </w:p>
    <w:p w14:paraId="3C4F85F2">
      <w:pPr>
        <w:pStyle w:val="3"/>
        <w:numPr>
          <w:ilvl w:val="0"/>
          <w:numId w:val="0"/>
        </w:numPr>
        <w:ind w:left="425"/>
        <w:jc w:val="both"/>
        <w:rPr>
          <w:rFonts w:ascii="宋体" w:hAnsi="宋体" w:cs="宋体"/>
          <w:color w:val="auto"/>
          <w:sz w:val="21"/>
          <w:szCs w:val="21"/>
        </w:rPr>
      </w:pPr>
      <w:bookmarkStart w:id="33" w:name="_Toc35393801"/>
      <w:bookmarkStart w:id="34" w:name="_Toc28359092"/>
      <w:bookmarkStart w:id="35" w:name="_Toc35393632"/>
      <w:bookmarkStart w:id="36" w:name="_Toc28359015"/>
      <w:bookmarkStart w:id="37" w:name="_Toc54095468"/>
      <w:bookmarkStart w:id="38" w:name="_Toc10125"/>
      <w:bookmarkStart w:id="39" w:name="_Toc24723"/>
      <w:bookmarkStart w:id="40" w:name="_Toc29441"/>
      <w:r>
        <w:rPr>
          <w:rFonts w:hint="eastAsia" w:ascii="宋体" w:hAnsi="宋体" w:cs="宋体"/>
          <w:color w:val="auto"/>
          <w:sz w:val="21"/>
          <w:szCs w:val="21"/>
        </w:rPr>
        <w:t>四、</w:t>
      </w:r>
      <w:bookmarkEnd w:id="33"/>
      <w:bookmarkEnd w:id="34"/>
      <w:bookmarkEnd w:id="35"/>
      <w:bookmarkEnd w:id="36"/>
      <w:bookmarkEnd w:id="37"/>
      <w:r>
        <w:rPr>
          <w:rFonts w:hint="eastAsia" w:ascii="宋体" w:hAnsi="宋体" w:cs="宋体"/>
          <w:color w:val="auto"/>
          <w:sz w:val="21"/>
          <w:szCs w:val="21"/>
        </w:rPr>
        <w:t>电子响应文件提交截止时间</w:t>
      </w:r>
      <w:bookmarkEnd w:id="38"/>
      <w:bookmarkEnd w:id="39"/>
      <w:bookmarkEnd w:id="40"/>
    </w:p>
    <w:p w14:paraId="5AD37671">
      <w:pPr>
        <w:spacing w:line="360" w:lineRule="auto"/>
        <w:ind w:firstLine="420" w:firstLineChars="200"/>
        <w:rPr>
          <w:rFonts w:ascii="宋体" w:hAnsi="宋体"/>
          <w:color w:val="auto"/>
          <w:szCs w:val="21"/>
        </w:rPr>
      </w:pPr>
      <w:r>
        <w:rPr>
          <w:rFonts w:hint="eastAsia" w:ascii="宋体" w:hAnsi="宋体"/>
          <w:color w:val="auto"/>
          <w:szCs w:val="21"/>
        </w:rPr>
        <w:t>1.</w:t>
      </w:r>
      <w:bookmarkStart w:id="41" w:name="_Toc35393803"/>
      <w:bookmarkStart w:id="42" w:name="_Toc28359017"/>
      <w:bookmarkStart w:id="43" w:name="_Toc54095470"/>
      <w:bookmarkStart w:id="44" w:name="_Toc28359094"/>
      <w:bookmarkStart w:id="45" w:name="_Toc35393634"/>
      <w:r>
        <w:rPr>
          <w:rFonts w:hint="eastAsia" w:ascii="宋体" w:hAnsi="宋体"/>
          <w:color w:val="auto"/>
          <w:szCs w:val="21"/>
        </w:rPr>
        <w:t>提交电子响应文件截止时间：</w:t>
      </w:r>
      <w:r>
        <w:rPr>
          <w:rFonts w:hint="eastAsia" w:ascii="宋体" w:hAnsi="宋体"/>
          <w:color w:val="auto"/>
          <w:szCs w:val="21"/>
          <w:u w:val="single"/>
        </w:rPr>
        <w:t>2025年</w:t>
      </w:r>
      <w:r>
        <w:rPr>
          <w:rFonts w:hint="eastAsia" w:ascii="宋体" w:hAnsi="宋体"/>
          <w:bCs/>
          <w:color w:val="auto"/>
          <w:szCs w:val="21"/>
          <w:u w:val="single"/>
          <w:lang w:val="en-US" w:eastAsia="zh-CN"/>
        </w:rPr>
        <w:t>06</w:t>
      </w:r>
      <w:r>
        <w:rPr>
          <w:rFonts w:hint="eastAsia" w:ascii="宋体" w:hAnsi="宋体"/>
          <w:bCs/>
          <w:color w:val="auto"/>
          <w:szCs w:val="21"/>
          <w:u w:val="single"/>
        </w:rPr>
        <w:t>月</w:t>
      </w:r>
      <w:r>
        <w:rPr>
          <w:rFonts w:hint="eastAsia" w:ascii="宋体" w:hAnsi="宋体"/>
          <w:bCs/>
          <w:color w:val="auto"/>
          <w:szCs w:val="21"/>
          <w:u w:val="single"/>
          <w:lang w:val="en-US" w:eastAsia="zh-CN"/>
        </w:rPr>
        <w:t>20</w:t>
      </w:r>
      <w:r>
        <w:rPr>
          <w:rFonts w:hint="eastAsia" w:ascii="宋体" w:hAnsi="宋体"/>
          <w:bCs/>
          <w:color w:val="auto"/>
          <w:szCs w:val="21"/>
          <w:u w:val="single"/>
        </w:rPr>
        <w:t>日09点00分</w:t>
      </w:r>
      <w:r>
        <w:rPr>
          <w:rFonts w:hint="eastAsia" w:ascii="宋体" w:hAnsi="宋体"/>
          <w:color w:val="auto"/>
          <w:szCs w:val="21"/>
        </w:rPr>
        <w:t>。</w:t>
      </w:r>
    </w:p>
    <w:p w14:paraId="61FABAE4">
      <w:pPr>
        <w:spacing w:line="360" w:lineRule="auto"/>
        <w:ind w:firstLine="420" w:firstLineChars="200"/>
        <w:rPr>
          <w:rFonts w:ascii="宋体" w:hAnsi="宋体"/>
          <w:color w:val="auto"/>
          <w:szCs w:val="21"/>
        </w:rPr>
      </w:pPr>
      <w:r>
        <w:rPr>
          <w:rFonts w:hint="eastAsia" w:ascii="宋体" w:hAnsi="宋体"/>
          <w:color w:val="auto"/>
          <w:szCs w:val="21"/>
        </w:rPr>
        <w:t>（1）响应文件提交方式：本项目为全流程电子化项目，通过“政采云”平台（http：//www.zcygov.cn）实行在线电子响应，供应商应先安装“政采云电子交易客户端”（请自行前往“政采云”平台进行下载），并按照本项目采购文件和“政采云”平台的要求编制、加密后在投标截止时间前通过网络上传至“政采云”平台，供应商在“政采云”平台提交电子版响应文件时，请填写参加远程采购活动经办人联系方式。</w:t>
      </w:r>
    </w:p>
    <w:p w14:paraId="167B060C">
      <w:pPr>
        <w:spacing w:line="360" w:lineRule="auto"/>
        <w:ind w:firstLine="420" w:firstLineChars="200"/>
        <w:rPr>
          <w:rFonts w:ascii="宋体" w:hAnsi="宋体"/>
          <w:color w:val="auto"/>
          <w:szCs w:val="21"/>
        </w:rPr>
      </w:pPr>
      <w:r>
        <w:rPr>
          <w:rFonts w:hint="eastAsia" w:ascii="宋体" w:hAnsi="宋体"/>
          <w:color w:val="auto"/>
          <w:szCs w:val="21"/>
        </w:rPr>
        <w:t>（2）未进行网上注册并办理数字证书（CA 认证）的供应商将无法参与本项目政府采购活动，潜在供应商应要尽早完成电子交易平台上的 CA 数字证书办理，并在首次响应文件提交截止时间前提交响应文件。</w:t>
      </w:r>
    </w:p>
    <w:p w14:paraId="23F88AEF">
      <w:pPr>
        <w:spacing w:line="360" w:lineRule="auto"/>
        <w:ind w:firstLine="420" w:firstLineChars="200"/>
        <w:rPr>
          <w:rFonts w:ascii="宋体" w:hAnsi="宋体"/>
          <w:color w:val="auto"/>
          <w:szCs w:val="21"/>
        </w:rPr>
      </w:pPr>
      <w:r>
        <w:rPr>
          <w:rFonts w:hint="eastAsia" w:ascii="宋体" w:hAnsi="宋体"/>
          <w:color w:val="auto"/>
          <w:szCs w:val="21"/>
        </w:rPr>
        <w:t>（3）为确保网上操作合法、有效和安全，请供应商确保在电子响应过程中能够对相关数据电文进行加密和使用电子签章，妥善保管 CA 数字证书并使用有效的 CA 数字证书参与整个采购活动。</w:t>
      </w:r>
    </w:p>
    <w:p w14:paraId="6043E67A">
      <w:pPr>
        <w:spacing w:line="360" w:lineRule="auto"/>
        <w:ind w:firstLine="420" w:firstLineChars="200"/>
        <w:rPr>
          <w:rFonts w:ascii="宋体" w:hAnsi="宋体"/>
          <w:color w:val="auto"/>
          <w:szCs w:val="21"/>
        </w:rPr>
      </w:pPr>
      <w:r>
        <w:rPr>
          <w:rFonts w:hint="eastAsia" w:ascii="宋体" w:hAnsi="宋体"/>
          <w:color w:val="auto"/>
          <w:szCs w:val="21"/>
        </w:rPr>
        <w:t>注：供应商应当在首次响应文件提交截止时间前完成电子响应文件的上传、递交，响应文件提交截止时间前可以补充、修改或者撤回响应文件。补充或者修改响应文件的，应当先行撤回原文件，补充、修改后重新上传、递交。响应截止时间前未完成上传、递交的，视为撤回响应文件。响应文件提交截止时间以后上传递交的响应文件的，“政采云”平台将予以拒收。</w:t>
      </w:r>
    </w:p>
    <w:p w14:paraId="466D1287">
      <w:pPr>
        <w:pStyle w:val="3"/>
        <w:numPr>
          <w:ilvl w:val="0"/>
          <w:numId w:val="0"/>
        </w:numPr>
        <w:tabs>
          <w:tab w:val="clear" w:pos="360"/>
        </w:tabs>
        <w:ind w:left="425"/>
        <w:jc w:val="both"/>
        <w:rPr>
          <w:rFonts w:ascii="宋体" w:hAnsi="宋体" w:cs="宋体"/>
          <w:color w:val="auto"/>
          <w:sz w:val="21"/>
          <w:szCs w:val="21"/>
        </w:rPr>
      </w:pPr>
      <w:bookmarkStart w:id="46" w:name="_Toc7510"/>
      <w:bookmarkStart w:id="47" w:name="_Toc10714"/>
      <w:bookmarkStart w:id="48" w:name="_Toc35393633"/>
      <w:bookmarkStart w:id="49" w:name="_Toc28359093"/>
      <w:bookmarkStart w:id="50" w:name="_Toc28359016"/>
      <w:bookmarkStart w:id="51" w:name="_Toc35393802"/>
      <w:bookmarkStart w:id="52" w:name="_Toc43368453"/>
      <w:r>
        <w:rPr>
          <w:rFonts w:hint="eastAsia" w:ascii="宋体" w:hAnsi="宋体" w:cs="宋体"/>
          <w:color w:val="auto"/>
          <w:sz w:val="21"/>
          <w:szCs w:val="21"/>
        </w:rPr>
        <w:t>五、开启</w:t>
      </w:r>
      <w:bookmarkEnd w:id="46"/>
      <w:bookmarkEnd w:id="47"/>
      <w:bookmarkEnd w:id="48"/>
      <w:bookmarkEnd w:id="49"/>
      <w:bookmarkEnd w:id="50"/>
      <w:bookmarkEnd w:id="51"/>
      <w:bookmarkEnd w:id="52"/>
    </w:p>
    <w:p w14:paraId="3FC3648E">
      <w:pPr>
        <w:spacing w:line="360" w:lineRule="auto"/>
        <w:ind w:firstLine="420" w:firstLineChars="200"/>
        <w:rPr>
          <w:rFonts w:ascii="宋体" w:hAnsi="宋体"/>
          <w:bCs/>
          <w:color w:val="auto"/>
          <w:szCs w:val="21"/>
        </w:rPr>
      </w:pPr>
      <w:r>
        <w:rPr>
          <w:rFonts w:hint="eastAsia" w:ascii="宋体" w:hAnsi="宋体"/>
          <w:bCs/>
          <w:color w:val="auto"/>
          <w:szCs w:val="21"/>
        </w:rPr>
        <w:t>解密方式：CA证书在线解密</w:t>
      </w:r>
    </w:p>
    <w:p w14:paraId="7B198BE3">
      <w:pPr>
        <w:spacing w:line="360" w:lineRule="auto"/>
        <w:ind w:firstLine="420" w:firstLineChars="200"/>
        <w:rPr>
          <w:rFonts w:ascii="宋体" w:hAnsi="宋体"/>
          <w:bCs/>
          <w:color w:val="auto"/>
          <w:szCs w:val="21"/>
        </w:rPr>
      </w:pPr>
      <w:r>
        <w:rPr>
          <w:rFonts w:hint="eastAsia" w:ascii="宋体" w:hAnsi="宋体"/>
          <w:bCs/>
          <w:color w:val="auto"/>
          <w:szCs w:val="21"/>
        </w:rPr>
        <w:t>解密时间：</w:t>
      </w:r>
      <w:r>
        <w:rPr>
          <w:rFonts w:hint="eastAsia" w:ascii="宋体" w:hAnsi="宋体"/>
          <w:bCs/>
          <w:color w:val="auto"/>
          <w:szCs w:val="21"/>
          <w:u w:val="single"/>
        </w:rPr>
        <w:t>2025年</w:t>
      </w:r>
      <w:r>
        <w:rPr>
          <w:rFonts w:hint="eastAsia" w:ascii="宋体" w:hAnsi="宋体"/>
          <w:bCs/>
          <w:color w:val="auto"/>
          <w:szCs w:val="21"/>
          <w:u w:val="single"/>
          <w:lang w:val="en-US" w:eastAsia="zh-CN"/>
        </w:rPr>
        <w:t>06</w:t>
      </w:r>
      <w:r>
        <w:rPr>
          <w:rFonts w:hint="eastAsia" w:ascii="宋体" w:hAnsi="宋体"/>
          <w:bCs/>
          <w:color w:val="auto"/>
          <w:szCs w:val="21"/>
          <w:u w:val="single"/>
        </w:rPr>
        <w:t>月</w:t>
      </w:r>
      <w:r>
        <w:rPr>
          <w:rFonts w:hint="eastAsia" w:ascii="宋体" w:hAnsi="宋体"/>
          <w:bCs/>
          <w:color w:val="auto"/>
          <w:szCs w:val="21"/>
          <w:u w:val="single"/>
          <w:lang w:val="en-US" w:eastAsia="zh-CN"/>
        </w:rPr>
        <w:t>20</w:t>
      </w:r>
      <w:r>
        <w:rPr>
          <w:rFonts w:hint="eastAsia" w:ascii="宋体" w:hAnsi="宋体"/>
          <w:bCs/>
          <w:color w:val="auto"/>
          <w:szCs w:val="21"/>
          <w:u w:val="single"/>
        </w:rPr>
        <w:t>日09点00分至2025年</w:t>
      </w:r>
      <w:r>
        <w:rPr>
          <w:rFonts w:hint="eastAsia" w:ascii="宋体" w:hAnsi="宋体"/>
          <w:bCs/>
          <w:color w:val="auto"/>
          <w:szCs w:val="21"/>
          <w:u w:val="single"/>
          <w:lang w:val="en-US" w:eastAsia="zh-CN"/>
        </w:rPr>
        <w:t>06</w:t>
      </w:r>
      <w:r>
        <w:rPr>
          <w:rFonts w:hint="eastAsia" w:ascii="宋体" w:hAnsi="宋体"/>
          <w:bCs/>
          <w:color w:val="auto"/>
          <w:szCs w:val="21"/>
          <w:u w:val="single"/>
        </w:rPr>
        <w:t>月</w:t>
      </w:r>
      <w:r>
        <w:rPr>
          <w:rFonts w:hint="eastAsia" w:ascii="宋体" w:hAnsi="宋体"/>
          <w:bCs/>
          <w:color w:val="auto"/>
          <w:szCs w:val="21"/>
          <w:u w:val="single"/>
          <w:lang w:val="en-US" w:eastAsia="zh-CN"/>
        </w:rPr>
        <w:t>20</w:t>
      </w:r>
      <w:r>
        <w:rPr>
          <w:rFonts w:hint="eastAsia" w:ascii="宋体" w:hAnsi="宋体"/>
          <w:bCs/>
          <w:color w:val="auto"/>
          <w:szCs w:val="21"/>
          <w:u w:val="single"/>
        </w:rPr>
        <w:t>日09点30分</w:t>
      </w:r>
      <w:r>
        <w:rPr>
          <w:rFonts w:hint="eastAsia" w:ascii="宋体" w:hAnsi="宋体"/>
          <w:bCs/>
          <w:color w:val="auto"/>
          <w:szCs w:val="21"/>
        </w:rPr>
        <w:t>（北京时间）</w:t>
      </w:r>
    </w:p>
    <w:p w14:paraId="72F6EC93">
      <w:pPr>
        <w:spacing w:line="360" w:lineRule="auto"/>
        <w:ind w:firstLine="420" w:firstLineChars="200"/>
        <w:rPr>
          <w:rFonts w:ascii="宋体" w:hAnsi="宋体"/>
          <w:bCs/>
          <w:color w:val="auto"/>
          <w:szCs w:val="21"/>
        </w:rPr>
      </w:pPr>
      <w:r>
        <w:rPr>
          <w:rFonts w:hint="eastAsia" w:ascii="宋体" w:hAnsi="宋体"/>
          <w:bCs/>
          <w:color w:val="auto"/>
          <w:szCs w:val="21"/>
        </w:rPr>
        <w:t>解密地点：政府采购云平台开标大厅，“政采云”平台（http：//www.zcygov.cn）</w:t>
      </w:r>
    </w:p>
    <w:p w14:paraId="2176F69B">
      <w:pPr>
        <w:spacing w:line="360" w:lineRule="auto"/>
        <w:ind w:firstLine="420" w:firstLineChars="200"/>
        <w:rPr>
          <w:rFonts w:ascii="宋体" w:hAnsi="宋体"/>
          <w:bCs/>
          <w:color w:val="auto"/>
          <w:szCs w:val="21"/>
        </w:rPr>
      </w:pPr>
      <w:r>
        <w:rPr>
          <w:rFonts w:hint="eastAsia" w:ascii="宋体" w:hAnsi="宋体"/>
          <w:bCs/>
          <w:color w:val="auto"/>
          <w:szCs w:val="21"/>
        </w:rPr>
        <w:t>提交电子响应文件截止时间首次响应文件开启时，供应商需要在具备有摄像头及语音功能且互联网网络状况良好的电脑登录“政采云”平台电子开标大厅，按规定时间（30分钟内）对加密的响应文件进行解密，否则后果自负。</w:t>
      </w:r>
    </w:p>
    <w:p w14:paraId="403389E0">
      <w:pPr>
        <w:spacing w:line="360" w:lineRule="auto"/>
        <w:ind w:firstLine="420" w:firstLineChars="200"/>
        <w:rPr>
          <w:rFonts w:ascii="宋体" w:hAnsi="宋体"/>
          <w:bCs/>
          <w:color w:val="auto"/>
          <w:szCs w:val="21"/>
        </w:rPr>
      </w:pPr>
      <w:r>
        <w:rPr>
          <w:rFonts w:hint="eastAsia" w:ascii="宋体" w:hAnsi="宋体"/>
          <w:bCs/>
          <w:color w:val="auto"/>
          <w:szCs w:val="21"/>
        </w:rPr>
        <w:t>电子响应文件解密后至项目评审结束，供应商需要在具备有摄像头及语音功能且互联网网络状况良好的电脑登录“政采云”平台远程开标大厅参与本次谈判（含二次报价），否则后果自负。</w:t>
      </w:r>
    </w:p>
    <w:p w14:paraId="46DFBF3C">
      <w:pPr>
        <w:pStyle w:val="3"/>
        <w:numPr>
          <w:ilvl w:val="0"/>
          <w:numId w:val="0"/>
        </w:numPr>
        <w:ind w:left="425"/>
        <w:jc w:val="both"/>
        <w:rPr>
          <w:rFonts w:ascii="宋体" w:hAnsi="宋体" w:cs="宋体"/>
          <w:color w:val="auto"/>
          <w:sz w:val="21"/>
          <w:szCs w:val="21"/>
        </w:rPr>
      </w:pPr>
      <w:bookmarkStart w:id="53" w:name="_Toc24606"/>
      <w:bookmarkStart w:id="54" w:name="_Toc17724"/>
      <w:r>
        <w:rPr>
          <w:rFonts w:hint="eastAsia" w:ascii="宋体" w:hAnsi="宋体" w:cs="宋体"/>
          <w:color w:val="auto"/>
          <w:sz w:val="21"/>
          <w:szCs w:val="21"/>
        </w:rPr>
        <w:t>六、公告期限</w:t>
      </w:r>
      <w:bookmarkEnd w:id="41"/>
      <w:bookmarkEnd w:id="42"/>
      <w:bookmarkEnd w:id="43"/>
      <w:bookmarkEnd w:id="44"/>
      <w:bookmarkEnd w:id="45"/>
      <w:bookmarkEnd w:id="53"/>
      <w:bookmarkEnd w:id="54"/>
    </w:p>
    <w:p w14:paraId="295289F8">
      <w:pPr>
        <w:spacing w:line="360" w:lineRule="auto"/>
        <w:ind w:firstLine="420"/>
        <w:rPr>
          <w:rFonts w:ascii="宋体" w:hAnsi="宋体"/>
          <w:color w:val="auto"/>
          <w:szCs w:val="21"/>
        </w:rPr>
      </w:pPr>
      <w:r>
        <w:rPr>
          <w:rFonts w:hint="eastAsia" w:ascii="宋体" w:hAnsi="宋体"/>
          <w:color w:val="auto"/>
          <w:szCs w:val="21"/>
        </w:rPr>
        <w:t>自本公告发布之日起3个工作日。</w:t>
      </w:r>
    </w:p>
    <w:p w14:paraId="5ECCC7EB">
      <w:pPr>
        <w:pStyle w:val="3"/>
        <w:numPr>
          <w:ilvl w:val="0"/>
          <w:numId w:val="0"/>
        </w:numPr>
        <w:tabs>
          <w:tab w:val="clear" w:pos="360"/>
        </w:tabs>
        <w:ind w:firstLine="420" w:firstLineChars="200"/>
        <w:jc w:val="both"/>
        <w:rPr>
          <w:rFonts w:ascii="宋体" w:hAnsi="宋体" w:cs="宋体"/>
          <w:color w:val="auto"/>
          <w:sz w:val="21"/>
          <w:szCs w:val="21"/>
        </w:rPr>
      </w:pPr>
      <w:bookmarkStart w:id="55" w:name="_Toc35393804"/>
      <w:bookmarkStart w:id="56" w:name="_Toc35393635"/>
      <w:bookmarkStart w:id="57" w:name="_Toc43368455"/>
      <w:bookmarkStart w:id="58" w:name="_Toc16328"/>
      <w:bookmarkStart w:id="59" w:name="_Toc23972"/>
      <w:bookmarkStart w:id="60" w:name="_Toc28359018"/>
      <w:bookmarkStart w:id="61" w:name="_Toc35393636"/>
      <w:bookmarkStart w:id="62" w:name="_Toc28359095"/>
      <w:bookmarkStart w:id="63" w:name="_Toc54095472"/>
      <w:bookmarkStart w:id="64" w:name="_Toc35393805"/>
      <w:r>
        <w:rPr>
          <w:rFonts w:hint="eastAsia" w:ascii="宋体" w:hAnsi="宋体" w:cs="宋体"/>
          <w:color w:val="auto"/>
          <w:sz w:val="21"/>
          <w:szCs w:val="21"/>
        </w:rPr>
        <w:t>七、其他补充事宜</w:t>
      </w:r>
      <w:bookmarkEnd w:id="55"/>
      <w:bookmarkEnd w:id="56"/>
      <w:bookmarkEnd w:id="57"/>
      <w:bookmarkEnd w:id="58"/>
      <w:bookmarkEnd w:id="59"/>
    </w:p>
    <w:p w14:paraId="4074688B">
      <w:pPr>
        <w:spacing w:line="360" w:lineRule="auto"/>
        <w:ind w:firstLine="420" w:firstLineChars="200"/>
        <w:rPr>
          <w:rFonts w:ascii="宋体" w:hAnsi="宋体"/>
          <w:bCs/>
          <w:color w:val="auto"/>
          <w:szCs w:val="21"/>
        </w:rPr>
      </w:pPr>
      <w:r>
        <w:rPr>
          <w:rFonts w:hint="eastAsia" w:ascii="宋体" w:hAnsi="宋体"/>
          <w:bCs/>
          <w:color w:val="auto"/>
          <w:szCs w:val="21"/>
        </w:rPr>
        <w:t>1.采购信息发布媒体：采购信息、成交公告均在云南省政府采购网（www.yngp.com）发布。</w:t>
      </w:r>
    </w:p>
    <w:p w14:paraId="04BEC784">
      <w:pPr>
        <w:spacing w:line="360" w:lineRule="auto"/>
        <w:ind w:firstLine="420" w:firstLineChars="200"/>
        <w:rPr>
          <w:rFonts w:ascii="宋体" w:hAnsi="宋体"/>
          <w:bCs/>
          <w:color w:val="auto"/>
          <w:szCs w:val="21"/>
        </w:rPr>
      </w:pPr>
      <w:r>
        <w:rPr>
          <w:rFonts w:hint="eastAsia" w:ascii="宋体" w:hAnsi="宋体"/>
          <w:bCs/>
          <w:color w:val="auto"/>
          <w:szCs w:val="21"/>
        </w:rPr>
        <w:t>2.本项目需要落实的政府采购政策：详见</w:t>
      </w:r>
      <w:r>
        <w:rPr>
          <w:rFonts w:hint="eastAsia" w:ascii="宋体" w:hAnsi="宋体" w:cs="宋体"/>
          <w:color w:val="auto"/>
          <w:szCs w:val="21"/>
        </w:rPr>
        <w:t>申请人的资格要求</w:t>
      </w:r>
      <w:r>
        <w:rPr>
          <w:rFonts w:hint="eastAsia" w:ascii="宋体" w:hAnsi="宋体"/>
          <w:bCs/>
          <w:color w:val="auto"/>
          <w:szCs w:val="21"/>
        </w:rPr>
        <w:t>。</w:t>
      </w:r>
    </w:p>
    <w:p w14:paraId="426C9DC3">
      <w:pPr>
        <w:spacing w:line="360" w:lineRule="auto"/>
        <w:ind w:firstLine="420" w:firstLineChars="200"/>
        <w:rPr>
          <w:rFonts w:ascii="宋体" w:hAnsi="宋体"/>
          <w:bCs/>
          <w:color w:val="auto"/>
          <w:szCs w:val="21"/>
        </w:rPr>
      </w:pPr>
      <w:r>
        <w:rPr>
          <w:rFonts w:hint="eastAsia" w:ascii="宋体" w:hAnsi="宋体"/>
          <w:bCs/>
          <w:color w:val="auto"/>
          <w:szCs w:val="21"/>
        </w:rPr>
        <w:t>3.本项目采用全流程电子化采购方式，请供应商认真学习云南省省级政府采购电子交易平台发布的相关操作手册（供应商可在交易平台下载相关手册），办理CA数字证书、进行云南省省级政府采购电子交易平台注册绑定，并认真核实CA数字证书确认是否符合本项目电子化采购流程要求。</w:t>
      </w:r>
    </w:p>
    <w:p w14:paraId="65907896">
      <w:pPr>
        <w:spacing w:line="360" w:lineRule="auto"/>
        <w:ind w:firstLine="420" w:firstLineChars="200"/>
        <w:rPr>
          <w:rFonts w:ascii="宋体" w:hAnsi="宋体"/>
          <w:bCs/>
          <w:color w:val="auto"/>
          <w:szCs w:val="21"/>
        </w:rPr>
      </w:pPr>
      <w:r>
        <w:rPr>
          <w:rFonts w:hint="eastAsia" w:ascii="宋体" w:hAnsi="宋体"/>
          <w:bCs/>
          <w:color w:val="auto"/>
          <w:szCs w:val="21"/>
        </w:rPr>
        <w:t xml:space="preserve">CA数字证书服务热线 </w:t>
      </w:r>
    </w:p>
    <w:p w14:paraId="0DF07EAC">
      <w:pPr>
        <w:spacing w:line="360" w:lineRule="auto"/>
        <w:ind w:firstLine="420" w:firstLineChars="200"/>
        <w:rPr>
          <w:rFonts w:ascii="宋体" w:hAnsi="宋体"/>
          <w:bCs/>
          <w:color w:val="auto"/>
          <w:szCs w:val="21"/>
        </w:rPr>
      </w:pPr>
      <w:r>
        <w:rPr>
          <w:rFonts w:hint="eastAsia" w:ascii="宋体" w:hAnsi="宋体"/>
          <w:bCs/>
          <w:color w:val="auto"/>
          <w:szCs w:val="21"/>
        </w:rPr>
        <w:t>汇信CA：0571-88350735；云南CA:4006727666</w:t>
      </w:r>
    </w:p>
    <w:p w14:paraId="6186BCB2">
      <w:pPr>
        <w:spacing w:line="360" w:lineRule="auto"/>
        <w:ind w:firstLine="420" w:firstLineChars="200"/>
        <w:rPr>
          <w:rFonts w:ascii="宋体" w:hAnsi="宋体"/>
          <w:bCs/>
          <w:color w:val="auto"/>
          <w:szCs w:val="21"/>
        </w:rPr>
      </w:pPr>
      <w:r>
        <w:rPr>
          <w:rFonts w:hint="eastAsia" w:ascii="宋体" w:hAnsi="宋体"/>
          <w:bCs/>
          <w:color w:val="auto"/>
          <w:szCs w:val="21"/>
        </w:rPr>
        <w:t>云南壹证通：4000040628；福建CA：0591-87760022</w:t>
      </w:r>
    </w:p>
    <w:p w14:paraId="4C6BD035">
      <w:pPr>
        <w:spacing w:line="360" w:lineRule="auto"/>
        <w:ind w:firstLine="420" w:firstLineChars="200"/>
        <w:rPr>
          <w:rFonts w:ascii="宋体" w:hAnsi="宋体"/>
          <w:bCs/>
          <w:color w:val="auto"/>
          <w:szCs w:val="21"/>
        </w:rPr>
      </w:pPr>
      <w:r>
        <w:rPr>
          <w:rFonts w:hint="eastAsia" w:ascii="宋体" w:hAnsi="宋体"/>
          <w:bCs/>
          <w:color w:val="auto"/>
          <w:szCs w:val="21"/>
        </w:rPr>
        <w:t>3.1 办理CA数字证书供应商登录云南省省级政府采购电子交易平台查阅操作指南—入驻与配置—CA管理。使用操作指南，按照程序要求办理。</w:t>
      </w:r>
    </w:p>
    <w:p w14:paraId="4F3AE9AE">
      <w:pPr>
        <w:spacing w:line="360" w:lineRule="auto"/>
        <w:ind w:firstLine="420" w:firstLineChars="200"/>
        <w:rPr>
          <w:rFonts w:ascii="宋体" w:hAnsi="宋体"/>
          <w:bCs/>
          <w:color w:val="auto"/>
          <w:szCs w:val="21"/>
        </w:rPr>
      </w:pPr>
      <w:r>
        <w:rPr>
          <w:rFonts w:hint="eastAsia" w:ascii="宋体" w:hAnsi="宋体"/>
          <w:bCs/>
          <w:color w:val="auto"/>
          <w:szCs w:val="21"/>
        </w:rPr>
        <w:t>3.2 注册供应商登录云南省省级政府采购电子交易平台操作指南—入驻与配置—云南省供应商注册入驻与配置。注册入库操作流程指引进行自助注册绑定。</w:t>
      </w:r>
    </w:p>
    <w:p w14:paraId="6C657A46">
      <w:pPr>
        <w:wordWrap w:val="0"/>
        <w:spacing w:line="360" w:lineRule="auto"/>
        <w:ind w:firstLine="420" w:firstLineChars="200"/>
        <w:rPr>
          <w:rFonts w:ascii="宋体" w:hAnsi="宋体"/>
          <w:bCs/>
          <w:color w:val="auto"/>
          <w:szCs w:val="21"/>
        </w:rPr>
      </w:pPr>
      <w:r>
        <w:rPr>
          <w:rFonts w:hint="eastAsia" w:ascii="宋体" w:hAnsi="宋体"/>
          <w:bCs/>
          <w:color w:val="auto"/>
          <w:szCs w:val="21"/>
        </w:rPr>
        <w:t>3.3 驱动、客户端下载 供应商登录云南省省级政府采购电子交易平台—我的工作台-CA管理—给当前账号绑定CA—选择对应CA—下载驱动—客户端&amp;驱动下载。下载相关驱动及客户端。相关驱动及客户端网址（https://customer.zcygov.cn/CA-driver-download?utm=web-ca-front.3ddc8fbb.0.0.6389de80d15111ee8160d911f316cf0d）</w:t>
      </w:r>
    </w:p>
    <w:p w14:paraId="219C2450">
      <w:pPr>
        <w:spacing w:line="360" w:lineRule="auto"/>
        <w:ind w:firstLine="420" w:firstLineChars="200"/>
        <w:rPr>
          <w:rFonts w:ascii="宋体" w:hAnsi="宋体"/>
          <w:bCs/>
          <w:color w:val="auto"/>
          <w:szCs w:val="21"/>
        </w:rPr>
      </w:pPr>
      <w:r>
        <w:rPr>
          <w:rFonts w:hint="eastAsia" w:ascii="宋体" w:hAnsi="宋体"/>
          <w:bCs/>
          <w:color w:val="auto"/>
          <w:szCs w:val="21"/>
        </w:rPr>
        <w:t>3.4 获取电子招标文件供应商使用账号密码或CA数字证书登录相关驱动及客户端获取电子招标文件。供应商如计划参与多个采购包的投标，在获取采购文件详情页面，在意向标段（包）栏目依次选择对应采购包，提交申请即可。未在规定期限内按上述操作获取文件的采购包，供应商无法提交相应包的电子响应文件。</w:t>
      </w:r>
    </w:p>
    <w:p w14:paraId="42FEFFE8">
      <w:pPr>
        <w:spacing w:line="360" w:lineRule="auto"/>
        <w:ind w:firstLine="420" w:firstLineChars="200"/>
        <w:rPr>
          <w:rFonts w:ascii="宋体" w:hAnsi="宋体"/>
          <w:bCs/>
          <w:color w:val="auto"/>
          <w:szCs w:val="21"/>
        </w:rPr>
      </w:pPr>
      <w:r>
        <w:rPr>
          <w:rFonts w:hint="eastAsia" w:ascii="宋体" w:hAnsi="宋体"/>
          <w:bCs/>
          <w:color w:val="auto"/>
          <w:szCs w:val="21"/>
        </w:rPr>
        <w:t>3.5 编制电子响应文件供应商应使用电子投标客户端编制电子响应文件并进行线上投标，供应商电子响应文件需要加密并加盖电子签章，如无法按照要求在电子响应文件中加盖电子签章和加密，请及时通过技术支持服务热线联系技术人员。</w:t>
      </w:r>
    </w:p>
    <w:p w14:paraId="68A94A2F">
      <w:pPr>
        <w:spacing w:line="360" w:lineRule="auto"/>
        <w:ind w:firstLine="420" w:firstLineChars="200"/>
        <w:rPr>
          <w:rFonts w:ascii="宋体" w:hAnsi="宋体"/>
          <w:bCs/>
          <w:color w:val="auto"/>
          <w:szCs w:val="21"/>
        </w:rPr>
      </w:pPr>
      <w:r>
        <w:rPr>
          <w:rFonts w:hint="eastAsia" w:ascii="宋体" w:hAnsi="宋体"/>
          <w:bCs/>
          <w:color w:val="auto"/>
          <w:szCs w:val="21"/>
        </w:rPr>
        <w:t>3.6 提交电子响应文件供应商应于投标截止时间前在政府采购电子交易平台提交电子响应文件，上传电子响应文件过程中请保持与互联网的连接畅通。</w:t>
      </w:r>
    </w:p>
    <w:p w14:paraId="1A8A5B74">
      <w:pPr>
        <w:spacing w:line="360" w:lineRule="auto"/>
        <w:ind w:firstLine="420" w:firstLineChars="200"/>
        <w:rPr>
          <w:rFonts w:ascii="宋体" w:hAnsi="宋体"/>
          <w:bCs/>
          <w:color w:val="auto"/>
          <w:szCs w:val="21"/>
        </w:rPr>
      </w:pPr>
      <w:r>
        <w:rPr>
          <w:rFonts w:hint="eastAsia" w:ascii="宋体" w:hAnsi="宋体"/>
          <w:bCs/>
          <w:color w:val="auto"/>
          <w:szCs w:val="21"/>
        </w:rPr>
        <w:t>3.7 电子开标供应商在开标地点使用账号密码或CA数字证书登录云南省省级政府采购电子交易平台进行电子开标。</w:t>
      </w:r>
    </w:p>
    <w:p w14:paraId="45EC25B7">
      <w:pPr>
        <w:pStyle w:val="3"/>
        <w:numPr>
          <w:ilvl w:val="0"/>
          <w:numId w:val="0"/>
        </w:numPr>
        <w:ind w:left="425"/>
        <w:jc w:val="both"/>
        <w:rPr>
          <w:rFonts w:ascii="宋体" w:hAnsi="宋体" w:cs="宋体"/>
          <w:color w:val="auto"/>
          <w:sz w:val="21"/>
          <w:szCs w:val="21"/>
        </w:rPr>
      </w:pPr>
      <w:bookmarkStart w:id="65" w:name="_Toc9920"/>
      <w:bookmarkStart w:id="66" w:name="_Toc9268"/>
      <w:r>
        <w:rPr>
          <w:rFonts w:hint="eastAsia" w:ascii="宋体" w:hAnsi="宋体" w:cs="宋体"/>
          <w:color w:val="auto"/>
          <w:sz w:val="21"/>
          <w:szCs w:val="21"/>
        </w:rPr>
        <w:t>八、凡对本次采购提出询问，请按</w:t>
      </w:r>
      <w:r>
        <w:rPr>
          <w:rFonts w:ascii="宋体" w:hAnsi="宋体" w:cs="宋体"/>
          <w:color w:val="auto"/>
          <w:sz w:val="21"/>
          <w:szCs w:val="21"/>
        </w:rPr>
        <w:t>以下方式</w:t>
      </w:r>
      <w:r>
        <w:rPr>
          <w:rFonts w:hint="eastAsia" w:ascii="宋体" w:hAnsi="宋体" w:cs="宋体"/>
          <w:color w:val="auto"/>
          <w:sz w:val="21"/>
          <w:szCs w:val="21"/>
        </w:rPr>
        <w:t>联系。</w:t>
      </w:r>
      <w:bookmarkEnd w:id="60"/>
      <w:bookmarkEnd w:id="61"/>
      <w:bookmarkEnd w:id="62"/>
      <w:bookmarkEnd w:id="63"/>
      <w:bookmarkEnd w:id="64"/>
      <w:bookmarkEnd w:id="65"/>
      <w:bookmarkEnd w:id="66"/>
    </w:p>
    <w:p w14:paraId="41252CC0">
      <w:pPr>
        <w:spacing w:line="480" w:lineRule="exact"/>
        <w:ind w:firstLine="420" w:firstLineChars="200"/>
        <w:rPr>
          <w:rFonts w:ascii="宋体" w:hAnsi="宋体" w:cs="宋体"/>
          <w:b/>
          <w:color w:val="auto"/>
          <w:szCs w:val="21"/>
        </w:rPr>
      </w:pPr>
      <w:bookmarkStart w:id="67" w:name="_Toc28359096"/>
      <w:bookmarkStart w:id="68" w:name="_Toc35393637"/>
      <w:bookmarkStart w:id="69" w:name="_Toc28359019"/>
      <w:bookmarkStart w:id="70" w:name="_Toc35393806"/>
      <w:r>
        <w:rPr>
          <w:rFonts w:hint="eastAsia" w:ascii="宋体" w:hAnsi="宋体" w:cs="宋体"/>
          <w:b/>
          <w:color w:val="auto"/>
          <w:szCs w:val="21"/>
        </w:rPr>
        <w:t>1.采购人信息</w:t>
      </w:r>
      <w:bookmarkEnd w:id="67"/>
      <w:bookmarkEnd w:id="68"/>
      <w:bookmarkEnd w:id="69"/>
      <w:bookmarkEnd w:id="70"/>
    </w:p>
    <w:p w14:paraId="6E234E06">
      <w:pPr>
        <w:spacing w:line="480" w:lineRule="exact"/>
        <w:ind w:firstLine="420"/>
        <w:rPr>
          <w:rFonts w:ascii="宋体" w:hAnsi="宋体"/>
          <w:color w:val="auto"/>
          <w:szCs w:val="21"/>
        </w:rPr>
      </w:pPr>
      <w:bookmarkStart w:id="71" w:name="_Toc35393638"/>
      <w:bookmarkStart w:id="72" w:name="_Toc28359097"/>
      <w:bookmarkStart w:id="73" w:name="_Toc28359020"/>
      <w:bookmarkStart w:id="74" w:name="_Toc35393807"/>
      <w:r>
        <w:rPr>
          <w:rFonts w:hint="eastAsia" w:ascii="宋体" w:hAnsi="宋体"/>
          <w:color w:val="auto"/>
          <w:szCs w:val="21"/>
        </w:rPr>
        <w:t>名    称：云南师范大学</w:t>
      </w:r>
    </w:p>
    <w:p w14:paraId="6F1A9538">
      <w:pPr>
        <w:spacing w:line="480" w:lineRule="exact"/>
        <w:ind w:firstLine="420"/>
        <w:rPr>
          <w:rFonts w:ascii="宋体" w:hAnsi="宋体"/>
          <w:color w:val="auto"/>
          <w:szCs w:val="21"/>
        </w:rPr>
      </w:pPr>
      <w:r>
        <w:rPr>
          <w:rFonts w:hint="eastAsia" w:ascii="宋体" w:hAnsi="宋体"/>
          <w:color w:val="auto"/>
          <w:szCs w:val="21"/>
        </w:rPr>
        <w:t>地    址：昆明市呈贡区聚贤街768号</w:t>
      </w:r>
    </w:p>
    <w:p w14:paraId="26990275">
      <w:pPr>
        <w:spacing w:line="480" w:lineRule="exact"/>
        <w:ind w:firstLine="420"/>
        <w:rPr>
          <w:rFonts w:ascii="宋体" w:hAnsi="宋体"/>
          <w:color w:val="auto"/>
          <w:szCs w:val="21"/>
        </w:rPr>
      </w:pPr>
      <w:r>
        <w:rPr>
          <w:rFonts w:hint="eastAsia" w:ascii="宋体" w:hAnsi="宋体"/>
          <w:color w:val="auto"/>
          <w:szCs w:val="21"/>
        </w:rPr>
        <w:t>项目联系人：王成</w:t>
      </w:r>
    </w:p>
    <w:p w14:paraId="6623C59D">
      <w:pPr>
        <w:spacing w:line="480" w:lineRule="exact"/>
        <w:ind w:firstLine="420"/>
        <w:rPr>
          <w:rFonts w:ascii="宋体" w:hAnsi="宋体"/>
          <w:color w:val="auto"/>
          <w:szCs w:val="21"/>
        </w:rPr>
      </w:pPr>
      <w:r>
        <w:rPr>
          <w:rFonts w:hint="eastAsia" w:ascii="宋体" w:hAnsi="宋体"/>
          <w:color w:val="auto"/>
          <w:szCs w:val="21"/>
        </w:rPr>
        <w:t>联系电话：0871-65912728</w:t>
      </w:r>
    </w:p>
    <w:p w14:paraId="7CA677E8">
      <w:pPr>
        <w:spacing w:line="480" w:lineRule="exact"/>
        <w:ind w:firstLine="420" w:firstLineChars="200"/>
        <w:rPr>
          <w:rFonts w:ascii="宋体" w:hAnsi="宋体" w:cs="宋体"/>
          <w:b/>
          <w:color w:val="auto"/>
          <w:szCs w:val="21"/>
        </w:rPr>
      </w:pPr>
      <w:r>
        <w:rPr>
          <w:rFonts w:hint="eastAsia" w:ascii="宋体" w:hAnsi="宋体" w:cs="宋体"/>
          <w:b/>
          <w:color w:val="auto"/>
          <w:szCs w:val="21"/>
        </w:rPr>
        <w:t>2.采购代理机构信息</w:t>
      </w:r>
      <w:bookmarkEnd w:id="71"/>
      <w:bookmarkEnd w:id="72"/>
      <w:bookmarkEnd w:id="73"/>
      <w:bookmarkEnd w:id="74"/>
    </w:p>
    <w:p w14:paraId="35E61087">
      <w:pPr>
        <w:spacing w:line="480" w:lineRule="exact"/>
        <w:ind w:firstLine="420"/>
        <w:rPr>
          <w:rFonts w:ascii="宋体" w:hAnsi="宋体"/>
          <w:color w:val="auto"/>
          <w:szCs w:val="21"/>
        </w:rPr>
      </w:pPr>
      <w:r>
        <w:rPr>
          <w:rFonts w:hint="eastAsia" w:ascii="宋体" w:hAnsi="宋体"/>
          <w:color w:val="auto"/>
          <w:szCs w:val="21"/>
        </w:rPr>
        <w:t>名    称：云南省政府采购和出让中心</w:t>
      </w:r>
    </w:p>
    <w:p w14:paraId="33F4FC27">
      <w:pPr>
        <w:spacing w:line="480" w:lineRule="exact"/>
        <w:ind w:firstLine="420"/>
        <w:rPr>
          <w:rFonts w:ascii="宋体" w:hAnsi="宋体"/>
          <w:color w:val="auto"/>
          <w:szCs w:val="21"/>
        </w:rPr>
      </w:pPr>
      <w:r>
        <w:rPr>
          <w:rFonts w:hint="eastAsia" w:ascii="宋体" w:hAnsi="宋体"/>
          <w:color w:val="auto"/>
          <w:szCs w:val="21"/>
        </w:rPr>
        <w:t>地    址：昆明市高新区科发路269号交易大厦七楼</w:t>
      </w:r>
    </w:p>
    <w:p w14:paraId="2B351390">
      <w:pPr>
        <w:spacing w:line="480" w:lineRule="exact"/>
        <w:ind w:firstLine="420"/>
        <w:rPr>
          <w:rFonts w:ascii="宋体" w:hAnsi="宋体"/>
          <w:color w:val="auto"/>
          <w:szCs w:val="21"/>
        </w:rPr>
      </w:pPr>
      <w:r>
        <w:rPr>
          <w:rFonts w:hint="eastAsia" w:ascii="宋体" w:hAnsi="宋体"/>
          <w:color w:val="auto"/>
          <w:szCs w:val="21"/>
        </w:rPr>
        <w:t xml:space="preserve">联系方式：0871-65360873 </w:t>
      </w:r>
    </w:p>
    <w:p w14:paraId="01F7461A">
      <w:pPr>
        <w:spacing w:line="480" w:lineRule="exact"/>
        <w:ind w:firstLine="420"/>
        <w:rPr>
          <w:rFonts w:ascii="宋体" w:hAnsi="宋体"/>
          <w:color w:val="auto"/>
          <w:szCs w:val="21"/>
        </w:rPr>
      </w:pPr>
      <w:r>
        <w:rPr>
          <w:rFonts w:hint="eastAsia" w:ascii="宋体" w:hAnsi="宋体"/>
          <w:color w:val="auto"/>
          <w:szCs w:val="21"/>
        </w:rPr>
        <w:t>邮政编码：650106</w:t>
      </w:r>
    </w:p>
    <w:p w14:paraId="1ADB540E">
      <w:pPr>
        <w:spacing w:line="480" w:lineRule="exact"/>
        <w:ind w:firstLine="420" w:firstLineChars="200"/>
        <w:rPr>
          <w:rFonts w:ascii="宋体" w:hAnsi="宋体" w:cs="宋体"/>
          <w:b/>
          <w:color w:val="auto"/>
          <w:szCs w:val="21"/>
        </w:rPr>
      </w:pPr>
      <w:bookmarkStart w:id="75" w:name="_Toc35393808"/>
      <w:bookmarkStart w:id="76" w:name="_Toc28359021"/>
      <w:bookmarkStart w:id="77" w:name="_Toc28359098"/>
      <w:bookmarkStart w:id="78" w:name="_Toc35393639"/>
      <w:r>
        <w:rPr>
          <w:rFonts w:hint="eastAsia" w:ascii="宋体" w:hAnsi="宋体" w:cs="宋体"/>
          <w:b/>
          <w:color w:val="auto"/>
          <w:szCs w:val="21"/>
        </w:rPr>
        <w:t>3.项目联系</w:t>
      </w:r>
      <w:r>
        <w:rPr>
          <w:rFonts w:ascii="宋体" w:hAnsi="宋体" w:cs="宋体"/>
          <w:b/>
          <w:color w:val="auto"/>
          <w:szCs w:val="21"/>
        </w:rPr>
        <w:t>方式</w:t>
      </w:r>
      <w:bookmarkEnd w:id="75"/>
      <w:bookmarkEnd w:id="76"/>
      <w:bookmarkEnd w:id="77"/>
      <w:bookmarkEnd w:id="78"/>
    </w:p>
    <w:p w14:paraId="492DAADA">
      <w:pPr>
        <w:spacing w:line="480" w:lineRule="exact"/>
        <w:ind w:firstLine="420"/>
        <w:rPr>
          <w:rFonts w:ascii="宋体" w:hAnsi="宋体"/>
          <w:color w:val="auto"/>
          <w:szCs w:val="21"/>
        </w:rPr>
      </w:pPr>
      <w:r>
        <w:rPr>
          <w:rFonts w:hint="eastAsia" w:ascii="宋体" w:hAnsi="宋体"/>
          <w:color w:val="auto"/>
          <w:szCs w:val="21"/>
        </w:rPr>
        <w:t>项目联系人：李仪</w:t>
      </w:r>
    </w:p>
    <w:p w14:paraId="3CFC0566">
      <w:pPr>
        <w:spacing w:line="480" w:lineRule="exact"/>
        <w:ind w:firstLine="420"/>
        <w:rPr>
          <w:color w:val="auto"/>
          <w:szCs w:val="21"/>
        </w:rPr>
      </w:pPr>
      <w:r>
        <w:rPr>
          <w:rFonts w:hint="eastAsia" w:ascii="宋体" w:hAnsi="宋体"/>
          <w:color w:val="auto"/>
          <w:szCs w:val="21"/>
        </w:rPr>
        <w:t>电      话：0871-65360873</w:t>
      </w:r>
    </w:p>
    <w:p w14:paraId="23DBAAC2">
      <w:pPr>
        <w:widowControl/>
        <w:jc w:val="right"/>
        <w:rPr>
          <w:rFonts w:hAnsi="宋体" w:cs="宋体"/>
          <w:color w:val="auto"/>
          <w:szCs w:val="21"/>
        </w:rPr>
      </w:pPr>
      <w:r>
        <w:rPr>
          <w:rFonts w:hint="eastAsia" w:ascii="宋体" w:hAnsi="宋体" w:cs="宋体"/>
          <w:color w:val="auto"/>
          <w:szCs w:val="21"/>
        </w:rPr>
        <w:t>2025年</w:t>
      </w:r>
      <w:r>
        <w:rPr>
          <w:rFonts w:hint="eastAsia" w:ascii="宋体" w:hAnsi="宋体" w:cs="宋体"/>
          <w:color w:val="auto"/>
          <w:szCs w:val="21"/>
          <w:lang w:val="en-US" w:eastAsia="zh-CN"/>
        </w:rPr>
        <w:t>06</w:t>
      </w:r>
      <w:r>
        <w:rPr>
          <w:rFonts w:hint="eastAsia" w:ascii="宋体" w:hAnsi="宋体"/>
          <w:bCs/>
          <w:color w:val="auto"/>
          <w:szCs w:val="21"/>
        </w:rPr>
        <w:t>月</w:t>
      </w:r>
      <w:r>
        <w:rPr>
          <w:rFonts w:hint="eastAsia" w:ascii="宋体" w:hAnsi="宋体"/>
          <w:bCs/>
          <w:color w:val="auto"/>
          <w:szCs w:val="21"/>
          <w:lang w:val="en-US" w:eastAsia="zh-CN"/>
        </w:rPr>
        <w:t>16</w:t>
      </w:r>
      <w:r>
        <w:rPr>
          <w:rFonts w:hint="eastAsia" w:ascii="宋体" w:hAnsi="宋体" w:cs="宋体"/>
          <w:color w:val="auto"/>
          <w:szCs w:val="21"/>
        </w:rPr>
        <w:t>日</w:t>
      </w:r>
    </w:p>
    <w:p w14:paraId="06A55D1F">
      <w:pPr>
        <w:rPr>
          <w:color w:val="auto"/>
          <w:sz w:val="32"/>
        </w:rPr>
      </w:pPr>
      <w:bookmarkStart w:id="79" w:name="_Toc54095473"/>
      <w:bookmarkStart w:id="80" w:name="_Toc337822211"/>
      <w:r>
        <w:rPr>
          <w:color w:val="auto"/>
          <w:sz w:val="32"/>
        </w:rPr>
        <w:br w:type="page"/>
      </w:r>
    </w:p>
    <w:p w14:paraId="2C0C8A70">
      <w:pPr>
        <w:pStyle w:val="2"/>
        <w:numPr>
          <w:ilvl w:val="0"/>
          <w:numId w:val="0"/>
        </w:numPr>
        <w:jc w:val="center"/>
        <w:rPr>
          <w:rFonts w:ascii="Times New Roman" w:eastAsia="宋体"/>
          <w:color w:val="auto"/>
          <w:sz w:val="32"/>
        </w:rPr>
      </w:pPr>
      <w:bookmarkStart w:id="81" w:name="_Toc168"/>
      <w:bookmarkStart w:id="82" w:name="_Toc29401"/>
      <w:r>
        <w:rPr>
          <w:rFonts w:hint="eastAsia" w:ascii="Times New Roman" w:eastAsia="宋体"/>
          <w:color w:val="auto"/>
          <w:sz w:val="32"/>
        </w:rPr>
        <w:t>第二</w:t>
      </w:r>
      <w:r>
        <w:rPr>
          <w:rFonts w:ascii="Times New Roman" w:eastAsia="宋体"/>
          <w:color w:val="auto"/>
          <w:sz w:val="32"/>
        </w:rPr>
        <w:t>章</w:t>
      </w:r>
      <w:r>
        <w:rPr>
          <w:rFonts w:hint="eastAsia" w:ascii="Times New Roman" w:eastAsia="宋体"/>
          <w:color w:val="auto"/>
          <w:sz w:val="32"/>
        </w:rPr>
        <w:t xml:space="preserve">  </w:t>
      </w:r>
      <w:r>
        <w:rPr>
          <w:rFonts w:ascii="Times New Roman" w:eastAsia="宋体"/>
          <w:color w:val="auto"/>
          <w:sz w:val="32"/>
        </w:rPr>
        <w:t>供应商须知</w:t>
      </w:r>
      <w:bookmarkEnd w:id="79"/>
      <w:bookmarkEnd w:id="80"/>
      <w:bookmarkEnd w:id="81"/>
      <w:bookmarkEnd w:id="82"/>
    </w:p>
    <w:p w14:paraId="51ED1917">
      <w:pPr>
        <w:pStyle w:val="3"/>
        <w:numPr>
          <w:ilvl w:val="1"/>
          <w:numId w:val="0"/>
        </w:numPr>
        <w:spacing w:before="0"/>
        <w:jc w:val="both"/>
        <w:rPr>
          <w:rFonts w:ascii="Times New Roman" w:hAnsi="Times New Roman"/>
          <w:color w:val="auto"/>
          <w:szCs w:val="28"/>
        </w:rPr>
      </w:pPr>
      <w:bookmarkStart w:id="83" w:name="_Toc337822212"/>
      <w:bookmarkStart w:id="84" w:name="_Toc27352"/>
      <w:bookmarkStart w:id="85" w:name="_Toc9323"/>
      <w:bookmarkStart w:id="86" w:name="_Toc86124039"/>
      <w:bookmarkStart w:id="87" w:name="_Toc54095474"/>
      <w:r>
        <w:rPr>
          <w:rFonts w:ascii="Times New Roman" w:hAnsi="Times New Roman"/>
          <w:color w:val="auto"/>
          <w:szCs w:val="28"/>
        </w:rPr>
        <w:t>供应商须知前附表</w:t>
      </w:r>
      <w:bookmarkEnd w:id="83"/>
      <w:bookmarkEnd w:id="84"/>
      <w:bookmarkEnd w:id="85"/>
      <w:bookmarkEnd w:id="86"/>
      <w:bookmarkEnd w:id="87"/>
    </w:p>
    <w:tbl>
      <w:tblPr>
        <w:tblStyle w:val="24"/>
        <w:tblW w:w="94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9"/>
        <w:gridCol w:w="2912"/>
        <w:gridCol w:w="5652"/>
      </w:tblGrid>
      <w:tr w14:paraId="48D090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929" w:type="dxa"/>
            <w:vAlign w:val="center"/>
          </w:tcPr>
          <w:p w14:paraId="3F80EC8F">
            <w:pPr>
              <w:pStyle w:val="13"/>
              <w:spacing w:line="400" w:lineRule="exact"/>
              <w:jc w:val="center"/>
              <w:rPr>
                <w:rFonts w:hAnsi="宋体"/>
                <w:b/>
                <w:color w:val="auto"/>
                <w:sz w:val="21"/>
                <w:szCs w:val="21"/>
              </w:rPr>
            </w:pPr>
            <w:r>
              <w:rPr>
                <w:rFonts w:hAnsi="宋体"/>
                <w:b/>
                <w:color w:val="auto"/>
                <w:sz w:val="21"/>
                <w:szCs w:val="21"/>
              </w:rPr>
              <w:t>条款号</w:t>
            </w:r>
          </w:p>
        </w:tc>
        <w:tc>
          <w:tcPr>
            <w:tcW w:w="2912" w:type="dxa"/>
            <w:vAlign w:val="center"/>
          </w:tcPr>
          <w:p w14:paraId="380642FE">
            <w:pPr>
              <w:pStyle w:val="13"/>
              <w:spacing w:line="400" w:lineRule="exact"/>
              <w:jc w:val="center"/>
              <w:rPr>
                <w:rFonts w:hAnsi="宋体"/>
                <w:b/>
                <w:color w:val="auto"/>
                <w:sz w:val="21"/>
                <w:szCs w:val="21"/>
              </w:rPr>
            </w:pPr>
            <w:r>
              <w:rPr>
                <w:rFonts w:hAnsi="宋体"/>
                <w:b/>
                <w:color w:val="auto"/>
                <w:sz w:val="21"/>
                <w:szCs w:val="21"/>
              </w:rPr>
              <w:t>条款名称</w:t>
            </w:r>
          </w:p>
        </w:tc>
        <w:tc>
          <w:tcPr>
            <w:tcW w:w="5652" w:type="dxa"/>
            <w:vAlign w:val="center"/>
          </w:tcPr>
          <w:p w14:paraId="5C65C176">
            <w:pPr>
              <w:pStyle w:val="13"/>
              <w:spacing w:line="400" w:lineRule="exact"/>
              <w:jc w:val="center"/>
              <w:rPr>
                <w:rFonts w:hAnsi="宋体"/>
                <w:b/>
                <w:color w:val="auto"/>
                <w:sz w:val="21"/>
                <w:szCs w:val="21"/>
              </w:rPr>
            </w:pPr>
            <w:r>
              <w:rPr>
                <w:rFonts w:hAnsi="宋体"/>
                <w:b/>
                <w:color w:val="auto"/>
                <w:sz w:val="21"/>
                <w:szCs w:val="21"/>
              </w:rPr>
              <w:t>编列内容</w:t>
            </w:r>
          </w:p>
        </w:tc>
      </w:tr>
      <w:tr w14:paraId="667274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jc w:val="center"/>
        </w:trPr>
        <w:tc>
          <w:tcPr>
            <w:tcW w:w="929" w:type="dxa"/>
            <w:vMerge w:val="restart"/>
            <w:vAlign w:val="center"/>
          </w:tcPr>
          <w:p w14:paraId="32EB408D">
            <w:pPr>
              <w:pStyle w:val="13"/>
              <w:spacing w:line="400" w:lineRule="exact"/>
              <w:jc w:val="center"/>
              <w:rPr>
                <w:rFonts w:hAnsi="宋体"/>
                <w:color w:val="auto"/>
                <w:sz w:val="21"/>
                <w:szCs w:val="21"/>
              </w:rPr>
            </w:pPr>
            <w:r>
              <w:rPr>
                <w:rFonts w:hAnsi="宋体"/>
                <w:color w:val="auto"/>
                <w:sz w:val="21"/>
                <w:szCs w:val="21"/>
              </w:rPr>
              <w:t>1.2</w:t>
            </w:r>
          </w:p>
        </w:tc>
        <w:tc>
          <w:tcPr>
            <w:tcW w:w="2912" w:type="dxa"/>
            <w:vAlign w:val="center"/>
          </w:tcPr>
          <w:p w14:paraId="634EC4C8">
            <w:pPr>
              <w:pStyle w:val="13"/>
              <w:spacing w:line="400" w:lineRule="exact"/>
              <w:rPr>
                <w:rFonts w:hAnsi="宋体"/>
                <w:color w:val="auto"/>
                <w:sz w:val="21"/>
                <w:szCs w:val="21"/>
                <w:u w:val="single"/>
              </w:rPr>
            </w:pPr>
            <w:r>
              <w:rPr>
                <w:rFonts w:hAnsi="宋体"/>
                <w:bCs/>
                <w:color w:val="auto"/>
                <w:sz w:val="21"/>
                <w:szCs w:val="21"/>
              </w:rPr>
              <w:t>采购人</w:t>
            </w:r>
          </w:p>
        </w:tc>
        <w:tc>
          <w:tcPr>
            <w:tcW w:w="5652" w:type="dxa"/>
            <w:vAlign w:val="center"/>
          </w:tcPr>
          <w:p w14:paraId="1FE4529A">
            <w:pPr>
              <w:pStyle w:val="13"/>
              <w:spacing w:line="400" w:lineRule="exact"/>
              <w:rPr>
                <w:rFonts w:hAnsi="宋体"/>
                <w:color w:val="auto"/>
                <w:sz w:val="21"/>
                <w:szCs w:val="21"/>
              </w:rPr>
            </w:pPr>
            <w:r>
              <w:rPr>
                <w:rFonts w:hint="eastAsia" w:hAnsi="宋体"/>
                <w:color w:val="auto"/>
                <w:sz w:val="21"/>
                <w:szCs w:val="21"/>
              </w:rPr>
              <w:t>云南师范大学</w:t>
            </w:r>
          </w:p>
        </w:tc>
      </w:tr>
      <w:tr w14:paraId="097A3A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29" w:type="dxa"/>
            <w:vMerge w:val="continue"/>
            <w:vAlign w:val="center"/>
          </w:tcPr>
          <w:p w14:paraId="21BDC28C">
            <w:pPr>
              <w:spacing w:line="400" w:lineRule="exact"/>
              <w:rPr>
                <w:rFonts w:ascii="宋体" w:hAnsi="宋体"/>
                <w:color w:val="auto"/>
                <w:szCs w:val="21"/>
              </w:rPr>
            </w:pPr>
          </w:p>
        </w:tc>
        <w:tc>
          <w:tcPr>
            <w:tcW w:w="2912" w:type="dxa"/>
            <w:vAlign w:val="center"/>
          </w:tcPr>
          <w:p w14:paraId="7BD1C8CA">
            <w:pPr>
              <w:pStyle w:val="13"/>
              <w:spacing w:line="400" w:lineRule="exact"/>
              <w:rPr>
                <w:rFonts w:hAnsi="宋体"/>
                <w:bCs/>
                <w:color w:val="auto"/>
                <w:sz w:val="21"/>
                <w:szCs w:val="21"/>
              </w:rPr>
            </w:pPr>
            <w:r>
              <w:rPr>
                <w:rFonts w:hAnsi="宋体"/>
                <w:bCs/>
                <w:color w:val="auto"/>
                <w:sz w:val="21"/>
                <w:szCs w:val="21"/>
              </w:rPr>
              <w:t>采购代理机构</w:t>
            </w:r>
          </w:p>
        </w:tc>
        <w:tc>
          <w:tcPr>
            <w:tcW w:w="5652" w:type="dxa"/>
            <w:vAlign w:val="center"/>
          </w:tcPr>
          <w:p w14:paraId="478A8652">
            <w:pPr>
              <w:pStyle w:val="13"/>
              <w:spacing w:line="400" w:lineRule="exact"/>
              <w:rPr>
                <w:rFonts w:hAnsi="宋体"/>
                <w:color w:val="auto"/>
                <w:sz w:val="21"/>
                <w:szCs w:val="21"/>
              </w:rPr>
            </w:pPr>
            <w:r>
              <w:rPr>
                <w:rFonts w:hint="eastAsia" w:hAnsi="宋体"/>
                <w:color w:val="auto"/>
                <w:sz w:val="21"/>
                <w:szCs w:val="21"/>
              </w:rPr>
              <w:t>云南省政府采购和出让中心</w:t>
            </w:r>
          </w:p>
        </w:tc>
      </w:tr>
      <w:tr w14:paraId="59F44A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929" w:type="dxa"/>
            <w:vMerge w:val="continue"/>
            <w:vAlign w:val="center"/>
          </w:tcPr>
          <w:p w14:paraId="2ABDD07C">
            <w:pPr>
              <w:spacing w:line="400" w:lineRule="exact"/>
              <w:rPr>
                <w:rFonts w:ascii="宋体" w:hAnsi="宋体"/>
                <w:color w:val="auto"/>
                <w:szCs w:val="21"/>
              </w:rPr>
            </w:pPr>
          </w:p>
        </w:tc>
        <w:tc>
          <w:tcPr>
            <w:tcW w:w="2912" w:type="dxa"/>
            <w:vAlign w:val="center"/>
          </w:tcPr>
          <w:p w14:paraId="2983F155">
            <w:pPr>
              <w:pStyle w:val="13"/>
              <w:spacing w:line="400" w:lineRule="exact"/>
              <w:rPr>
                <w:rFonts w:hAnsi="宋体"/>
                <w:color w:val="auto"/>
                <w:sz w:val="21"/>
                <w:szCs w:val="21"/>
              </w:rPr>
            </w:pPr>
            <w:r>
              <w:rPr>
                <w:rFonts w:hAnsi="宋体"/>
                <w:color w:val="auto"/>
                <w:sz w:val="21"/>
                <w:szCs w:val="21"/>
              </w:rPr>
              <w:t>项目名称</w:t>
            </w:r>
          </w:p>
        </w:tc>
        <w:tc>
          <w:tcPr>
            <w:tcW w:w="5652" w:type="dxa"/>
            <w:vAlign w:val="center"/>
          </w:tcPr>
          <w:p w14:paraId="003F85C4">
            <w:pPr>
              <w:pStyle w:val="13"/>
              <w:spacing w:line="400" w:lineRule="exact"/>
              <w:rPr>
                <w:rFonts w:hAnsi="宋体"/>
                <w:color w:val="auto"/>
                <w:sz w:val="21"/>
                <w:szCs w:val="21"/>
              </w:rPr>
            </w:pPr>
            <w:r>
              <w:rPr>
                <w:rFonts w:hint="eastAsia" w:hAnsi="宋体"/>
                <w:color w:val="auto"/>
                <w:sz w:val="21"/>
                <w:szCs w:val="21"/>
              </w:rPr>
              <w:t>云南师范大学法学与社会学学院(云南纪检监察学院)报告厅会议室政府采购项目</w:t>
            </w:r>
          </w:p>
        </w:tc>
      </w:tr>
      <w:tr w14:paraId="794552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29" w:type="dxa"/>
            <w:vMerge w:val="continue"/>
            <w:vAlign w:val="center"/>
          </w:tcPr>
          <w:p w14:paraId="01196009">
            <w:pPr>
              <w:spacing w:line="400" w:lineRule="exact"/>
              <w:rPr>
                <w:rFonts w:ascii="宋体" w:hAnsi="宋体"/>
                <w:color w:val="auto"/>
                <w:szCs w:val="21"/>
              </w:rPr>
            </w:pPr>
          </w:p>
        </w:tc>
        <w:tc>
          <w:tcPr>
            <w:tcW w:w="2912" w:type="dxa"/>
            <w:vAlign w:val="center"/>
          </w:tcPr>
          <w:p w14:paraId="46AE932F">
            <w:pPr>
              <w:pStyle w:val="13"/>
              <w:spacing w:line="400" w:lineRule="exact"/>
              <w:rPr>
                <w:rFonts w:hAnsi="宋体"/>
                <w:color w:val="auto"/>
                <w:sz w:val="21"/>
                <w:szCs w:val="21"/>
              </w:rPr>
            </w:pPr>
            <w:r>
              <w:rPr>
                <w:rFonts w:hAnsi="宋体"/>
                <w:color w:val="auto"/>
                <w:sz w:val="21"/>
                <w:szCs w:val="21"/>
              </w:rPr>
              <w:t>项目编号</w:t>
            </w:r>
          </w:p>
        </w:tc>
        <w:tc>
          <w:tcPr>
            <w:tcW w:w="5652" w:type="dxa"/>
            <w:vAlign w:val="center"/>
          </w:tcPr>
          <w:p w14:paraId="49A31DB9">
            <w:pPr>
              <w:pStyle w:val="13"/>
              <w:spacing w:line="400" w:lineRule="exact"/>
              <w:rPr>
                <w:rFonts w:hAnsi="宋体"/>
                <w:color w:val="auto"/>
                <w:sz w:val="21"/>
                <w:szCs w:val="21"/>
              </w:rPr>
            </w:pPr>
            <w:r>
              <w:rPr>
                <w:rFonts w:hint="eastAsia" w:hAnsi="宋体"/>
                <w:color w:val="auto"/>
                <w:sz w:val="21"/>
                <w:szCs w:val="21"/>
              </w:rPr>
              <w:t>YNZC2025-J1-03091-YNSZ-0179</w:t>
            </w:r>
          </w:p>
        </w:tc>
      </w:tr>
      <w:tr w14:paraId="1AA490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29" w:type="dxa"/>
            <w:vMerge w:val="continue"/>
            <w:vAlign w:val="center"/>
          </w:tcPr>
          <w:p w14:paraId="2FE3D525">
            <w:pPr>
              <w:spacing w:line="400" w:lineRule="exact"/>
              <w:rPr>
                <w:rFonts w:ascii="宋体" w:hAnsi="宋体"/>
                <w:color w:val="auto"/>
                <w:szCs w:val="21"/>
              </w:rPr>
            </w:pPr>
          </w:p>
        </w:tc>
        <w:tc>
          <w:tcPr>
            <w:tcW w:w="2912" w:type="dxa"/>
            <w:vAlign w:val="center"/>
          </w:tcPr>
          <w:p w14:paraId="32EC4E03">
            <w:pPr>
              <w:pStyle w:val="13"/>
              <w:spacing w:line="400" w:lineRule="exact"/>
              <w:rPr>
                <w:rFonts w:hAnsi="宋体"/>
                <w:color w:val="auto"/>
                <w:sz w:val="21"/>
                <w:szCs w:val="21"/>
              </w:rPr>
            </w:pPr>
            <w:r>
              <w:rPr>
                <w:rFonts w:hint="eastAsia" w:hAnsi="宋体"/>
                <w:color w:val="auto"/>
                <w:sz w:val="21"/>
                <w:szCs w:val="21"/>
              </w:rPr>
              <w:t>项目预算及最高限价</w:t>
            </w:r>
          </w:p>
        </w:tc>
        <w:tc>
          <w:tcPr>
            <w:tcW w:w="5652" w:type="dxa"/>
            <w:vAlign w:val="center"/>
          </w:tcPr>
          <w:p w14:paraId="192634BF">
            <w:pPr>
              <w:rPr>
                <w:rFonts w:hAnsi="宋体"/>
                <w:color w:val="auto"/>
                <w:szCs w:val="21"/>
              </w:rPr>
            </w:pPr>
            <w:r>
              <w:rPr>
                <w:rFonts w:hint="eastAsia" w:ascii="宋体" w:hAnsi="宋体" w:cs="宋体"/>
                <w:color w:val="auto"/>
                <w:szCs w:val="21"/>
              </w:rPr>
              <w:t>预算金额：62.185万元；最高限价：62.185万元。</w:t>
            </w:r>
          </w:p>
        </w:tc>
      </w:tr>
      <w:tr w14:paraId="5971D6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29" w:type="dxa"/>
            <w:vAlign w:val="center"/>
          </w:tcPr>
          <w:p w14:paraId="5B9323A9">
            <w:pPr>
              <w:pStyle w:val="13"/>
              <w:spacing w:line="400" w:lineRule="exact"/>
              <w:jc w:val="center"/>
              <w:rPr>
                <w:rFonts w:hAnsi="宋体"/>
                <w:color w:val="auto"/>
                <w:sz w:val="21"/>
                <w:szCs w:val="21"/>
              </w:rPr>
            </w:pPr>
            <w:r>
              <w:rPr>
                <w:rFonts w:hAnsi="宋体"/>
                <w:color w:val="auto"/>
                <w:sz w:val="21"/>
                <w:szCs w:val="21"/>
              </w:rPr>
              <w:t>3.1</w:t>
            </w:r>
          </w:p>
        </w:tc>
        <w:tc>
          <w:tcPr>
            <w:tcW w:w="2912" w:type="dxa"/>
            <w:vAlign w:val="center"/>
          </w:tcPr>
          <w:p w14:paraId="3C35D66F">
            <w:pPr>
              <w:pStyle w:val="13"/>
              <w:spacing w:line="400" w:lineRule="exact"/>
              <w:rPr>
                <w:rFonts w:hAnsi="宋体"/>
                <w:color w:val="auto"/>
                <w:sz w:val="21"/>
                <w:szCs w:val="21"/>
              </w:rPr>
            </w:pPr>
            <w:r>
              <w:rPr>
                <w:rFonts w:hint="eastAsia" w:hAnsi="宋体"/>
                <w:color w:val="auto"/>
                <w:sz w:val="21"/>
                <w:szCs w:val="21"/>
              </w:rPr>
              <w:t>采购</w:t>
            </w:r>
            <w:r>
              <w:rPr>
                <w:rFonts w:hAnsi="宋体"/>
                <w:color w:val="auto"/>
                <w:sz w:val="21"/>
                <w:szCs w:val="21"/>
              </w:rPr>
              <w:t>范围</w:t>
            </w:r>
          </w:p>
        </w:tc>
        <w:tc>
          <w:tcPr>
            <w:tcW w:w="5652" w:type="dxa"/>
            <w:vAlign w:val="center"/>
          </w:tcPr>
          <w:p w14:paraId="25F317F6">
            <w:pPr>
              <w:pStyle w:val="13"/>
              <w:spacing w:line="400" w:lineRule="exact"/>
              <w:rPr>
                <w:rFonts w:hAnsi="宋体"/>
                <w:color w:val="auto"/>
                <w:sz w:val="21"/>
                <w:szCs w:val="21"/>
              </w:rPr>
            </w:pPr>
            <w:r>
              <w:rPr>
                <w:rFonts w:hAnsi="宋体"/>
                <w:color w:val="auto"/>
                <w:sz w:val="21"/>
                <w:szCs w:val="21"/>
              </w:rPr>
              <w:t>详见第五章“货物需求一览表”</w:t>
            </w:r>
          </w:p>
        </w:tc>
      </w:tr>
      <w:tr w14:paraId="1C8A8A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jc w:val="center"/>
        </w:trPr>
        <w:tc>
          <w:tcPr>
            <w:tcW w:w="929" w:type="dxa"/>
            <w:vAlign w:val="center"/>
          </w:tcPr>
          <w:p w14:paraId="6EF00DE3">
            <w:pPr>
              <w:pStyle w:val="13"/>
              <w:spacing w:line="400" w:lineRule="exact"/>
              <w:jc w:val="center"/>
              <w:rPr>
                <w:rFonts w:hAnsi="宋体"/>
                <w:color w:val="auto"/>
                <w:sz w:val="21"/>
                <w:szCs w:val="21"/>
              </w:rPr>
            </w:pPr>
            <w:r>
              <w:rPr>
                <w:rFonts w:hAnsi="宋体"/>
                <w:color w:val="auto"/>
                <w:sz w:val="21"/>
                <w:szCs w:val="21"/>
              </w:rPr>
              <w:t>3.2</w:t>
            </w:r>
          </w:p>
        </w:tc>
        <w:tc>
          <w:tcPr>
            <w:tcW w:w="2912" w:type="dxa"/>
            <w:vAlign w:val="center"/>
          </w:tcPr>
          <w:p w14:paraId="26E9311B">
            <w:pPr>
              <w:pStyle w:val="13"/>
              <w:spacing w:line="400" w:lineRule="exact"/>
              <w:rPr>
                <w:rFonts w:hAnsi="宋体"/>
                <w:color w:val="auto"/>
                <w:sz w:val="21"/>
                <w:szCs w:val="21"/>
              </w:rPr>
            </w:pPr>
            <w:r>
              <w:rPr>
                <w:rFonts w:hint="eastAsia" w:hAnsi="宋体" w:cs="宋体"/>
                <w:color w:val="auto"/>
                <w:sz w:val="21"/>
                <w:szCs w:val="21"/>
              </w:rPr>
              <w:t>★</w:t>
            </w:r>
            <w:r>
              <w:rPr>
                <w:rFonts w:hAnsi="宋体"/>
                <w:color w:val="auto"/>
                <w:sz w:val="21"/>
                <w:szCs w:val="21"/>
              </w:rPr>
              <w:t>交货期</w:t>
            </w:r>
          </w:p>
        </w:tc>
        <w:tc>
          <w:tcPr>
            <w:tcW w:w="5652" w:type="dxa"/>
            <w:vAlign w:val="center"/>
          </w:tcPr>
          <w:p w14:paraId="14EA607A">
            <w:pPr>
              <w:pStyle w:val="13"/>
              <w:spacing w:line="400" w:lineRule="exact"/>
              <w:rPr>
                <w:rFonts w:hAnsi="宋体"/>
                <w:color w:val="auto"/>
                <w:sz w:val="21"/>
                <w:szCs w:val="21"/>
              </w:rPr>
            </w:pPr>
            <w:r>
              <w:rPr>
                <w:rFonts w:hint="eastAsia" w:hAnsi="宋体"/>
                <w:color w:val="auto"/>
                <w:sz w:val="21"/>
                <w:szCs w:val="21"/>
              </w:rPr>
              <w:t>合同签订后15个工作日内</w:t>
            </w:r>
          </w:p>
        </w:tc>
      </w:tr>
      <w:tr w14:paraId="5DF375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29" w:type="dxa"/>
            <w:vAlign w:val="center"/>
          </w:tcPr>
          <w:p w14:paraId="4C84BCDA">
            <w:pPr>
              <w:pStyle w:val="13"/>
              <w:spacing w:line="400" w:lineRule="exact"/>
              <w:jc w:val="center"/>
              <w:rPr>
                <w:rFonts w:hAnsi="宋体"/>
                <w:color w:val="auto"/>
                <w:sz w:val="21"/>
                <w:szCs w:val="21"/>
              </w:rPr>
            </w:pPr>
            <w:r>
              <w:rPr>
                <w:rFonts w:hAnsi="宋体"/>
                <w:color w:val="auto"/>
                <w:sz w:val="21"/>
                <w:szCs w:val="21"/>
              </w:rPr>
              <w:t>4.2</w:t>
            </w:r>
          </w:p>
        </w:tc>
        <w:tc>
          <w:tcPr>
            <w:tcW w:w="2912" w:type="dxa"/>
            <w:vAlign w:val="center"/>
          </w:tcPr>
          <w:p w14:paraId="6501C772">
            <w:pPr>
              <w:pStyle w:val="13"/>
              <w:spacing w:line="400" w:lineRule="exact"/>
              <w:rPr>
                <w:rFonts w:hAnsi="宋体"/>
                <w:color w:val="auto"/>
                <w:sz w:val="21"/>
                <w:szCs w:val="21"/>
              </w:rPr>
            </w:pPr>
            <w:r>
              <w:rPr>
                <w:rFonts w:hint="eastAsia" w:hAnsi="宋体" w:cs="宋体"/>
                <w:color w:val="auto"/>
                <w:sz w:val="21"/>
                <w:szCs w:val="21"/>
              </w:rPr>
              <w:t>★</w:t>
            </w:r>
            <w:r>
              <w:rPr>
                <w:rFonts w:hAnsi="宋体"/>
                <w:color w:val="auto"/>
                <w:sz w:val="21"/>
                <w:szCs w:val="21"/>
              </w:rPr>
              <w:t>供应商特定条件</w:t>
            </w:r>
          </w:p>
        </w:tc>
        <w:tc>
          <w:tcPr>
            <w:tcW w:w="5652" w:type="dxa"/>
            <w:vAlign w:val="center"/>
          </w:tcPr>
          <w:p w14:paraId="62F59A79">
            <w:pPr>
              <w:spacing w:line="400" w:lineRule="exact"/>
              <w:rPr>
                <w:rFonts w:ascii="宋体" w:hAnsi="宋体"/>
                <w:color w:val="auto"/>
                <w:szCs w:val="21"/>
              </w:rPr>
            </w:pPr>
            <w:r>
              <w:rPr>
                <w:rFonts w:hint="eastAsia" w:ascii="宋体" w:hAnsi="宋体"/>
                <w:color w:val="auto"/>
                <w:szCs w:val="21"/>
              </w:rPr>
              <w:t>见第一章“谈判邀请书”。</w:t>
            </w:r>
          </w:p>
        </w:tc>
      </w:tr>
      <w:tr w14:paraId="0BB8D5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29" w:type="dxa"/>
            <w:vAlign w:val="center"/>
          </w:tcPr>
          <w:p w14:paraId="1817F3CF">
            <w:pPr>
              <w:pStyle w:val="13"/>
              <w:spacing w:line="400" w:lineRule="exact"/>
              <w:jc w:val="center"/>
              <w:rPr>
                <w:rFonts w:hAnsi="宋体"/>
                <w:color w:val="auto"/>
                <w:sz w:val="21"/>
                <w:szCs w:val="21"/>
              </w:rPr>
            </w:pPr>
            <w:r>
              <w:rPr>
                <w:rFonts w:hAnsi="宋体"/>
                <w:color w:val="auto"/>
                <w:sz w:val="21"/>
                <w:szCs w:val="21"/>
              </w:rPr>
              <w:t>4.</w:t>
            </w:r>
            <w:r>
              <w:rPr>
                <w:rFonts w:hint="eastAsia" w:hAnsi="宋体"/>
                <w:color w:val="auto"/>
                <w:sz w:val="21"/>
                <w:szCs w:val="21"/>
              </w:rPr>
              <w:t>3</w:t>
            </w:r>
          </w:p>
        </w:tc>
        <w:tc>
          <w:tcPr>
            <w:tcW w:w="2912" w:type="dxa"/>
            <w:vAlign w:val="center"/>
          </w:tcPr>
          <w:p w14:paraId="5531F58C">
            <w:pPr>
              <w:spacing w:line="400" w:lineRule="exact"/>
              <w:rPr>
                <w:rFonts w:ascii="宋体" w:hAnsi="宋体"/>
                <w:color w:val="auto"/>
                <w:szCs w:val="21"/>
              </w:rPr>
            </w:pPr>
            <w:r>
              <w:rPr>
                <w:rFonts w:hint="eastAsia" w:ascii="宋体"/>
                <w:color w:val="auto"/>
                <w:szCs w:val="21"/>
              </w:rPr>
              <w:t>为本项目货物提供整体设计、规范编制或者项目管理、监理、检测等服务的供应商。</w:t>
            </w:r>
          </w:p>
        </w:tc>
        <w:tc>
          <w:tcPr>
            <w:tcW w:w="5652" w:type="dxa"/>
            <w:vAlign w:val="center"/>
          </w:tcPr>
          <w:p w14:paraId="54488584">
            <w:pPr>
              <w:spacing w:line="400" w:lineRule="exact"/>
              <w:rPr>
                <w:rFonts w:ascii="宋体" w:hAnsi="宋体"/>
                <w:color w:val="auto"/>
                <w:szCs w:val="21"/>
              </w:rPr>
            </w:pPr>
            <w:r>
              <w:rPr>
                <w:rFonts w:hint="eastAsia" w:ascii="宋体" w:hAnsi="宋体"/>
                <w:color w:val="auto"/>
                <w:szCs w:val="21"/>
              </w:rPr>
              <w:t>无</w:t>
            </w:r>
          </w:p>
        </w:tc>
      </w:tr>
      <w:tr w14:paraId="5FD634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29" w:type="dxa"/>
            <w:vAlign w:val="center"/>
          </w:tcPr>
          <w:p w14:paraId="19BDF551">
            <w:pPr>
              <w:pStyle w:val="13"/>
              <w:spacing w:line="400" w:lineRule="exact"/>
              <w:jc w:val="center"/>
              <w:rPr>
                <w:rFonts w:hAnsi="宋体"/>
                <w:color w:val="auto"/>
                <w:sz w:val="21"/>
                <w:szCs w:val="21"/>
              </w:rPr>
            </w:pPr>
            <w:r>
              <w:rPr>
                <w:rFonts w:hint="eastAsia" w:hAnsi="宋体"/>
                <w:color w:val="auto"/>
                <w:sz w:val="21"/>
                <w:szCs w:val="21"/>
              </w:rPr>
              <w:t>4.5</w:t>
            </w:r>
          </w:p>
        </w:tc>
        <w:tc>
          <w:tcPr>
            <w:tcW w:w="2912" w:type="dxa"/>
            <w:vAlign w:val="center"/>
          </w:tcPr>
          <w:p w14:paraId="2AA6E658">
            <w:pPr>
              <w:spacing w:line="400" w:lineRule="exact"/>
              <w:rPr>
                <w:rFonts w:ascii="宋体" w:hAnsi="宋体"/>
                <w:color w:val="auto"/>
                <w:szCs w:val="21"/>
              </w:rPr>
            </w:pPr>
            <w:r>
              <w:rPr>
                <w:rFonts w:hint="eastAsia"/>
                <w:color w:val="auto"/>
                <w:szCs w:val="21"/>
              </w:rPr>
              <w:t>是否接受联合体参与谈判</w:t>
            </w:r>
          </w:p>
        </w:tc>
        <w:tc>
          <w:tcPr>
            <w:tcW w:w="5652" w:type="dxa"/>
            <w:vAlign w:val="center"/>
          </w:tcPr>
          <w:p w14:paraId="3CAB0C2C">
            <w:pPr>
              <w:spacing w:line="400" w:lineRule="exact"/>
              <w:rPr>
                <w:rFonts w:ascii="宋体" w:hAnsi="宋体"/>
                <w:color w:val="auto"/>
                <w:szCs w:val="21"/>
              </w:rPr>
            </w:pPr>
            <w:r>
              <w:rPr>
                <w:rFonts w:hAnsi="宋体"/>
                <w:b/>
                <w:color w:val="auto"/>
                <w:sz w:val="24"/>
              </w:rPr>
              <w:fldChar w:fldCharType="begin"/>
            </w:r>
            <w:r>
              <w:rPr>
                <w:rFonts w:hint="eastAsia" w:hAnsi="宋体"/>
                <w:b/>
                <w:color w:val="auto"/>
                <w:sz w:val="24"/>
              </w:rPr>
              <w:instrText xml:space="preserve"> EQ \o(□,√)</w:instrText>
            </w:r>
            <w:r>
              <w:rPr>
                <w:rFonts w:hAnsi="宋体"/>
                <w:b/>
                <w:color w:val="auto"/>
                <w:sz w:val="24"/>
              </w:rPr>
              <w:fldChar w:fldCharType="end"/>
            </w:r>
            <w:r>
              <w:rPr>
                <w:rFonts w:hint="eastAsia"/>
                <w:color w:val="auto"/>
                <w:szCs w:val="21"/>
              </w:rPr>
              <w:t>不接受  □</w:t>
            </w:r>
            <w:r>
              <w:rPr>
                <w:rFonts w:hint="eastAsia" w:cs="宋体"/>
                <w:color w:val="auto"/>
                <w:szCs w:val="21"/>
              </w:rPr>
              <w:t>接受</w:t>
            </w:r>
          </w:p>
        </w:tc>
      </w:tr>
      <w:tr w14:paraId="06D6F9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29" w:type="dxa"/>
            <w:vAlign w:val="center"/>
          </w:tcPr>
          <w:p w14:paraId="7826720A">
            <w:pPr>
              <w:pStyle w:val="13"/>
              <w:spacing w:line="400" w:lineRule="exact"/>
              <w:jc w:val="center"/>
              <w:rPr>
                <w:rFonts w:hAnsi="宋体"/>
                <w:color w:val="auto"/>
                <w:sz w:val="21"/>
                <w:szCs w:val="21"/>
              </w:rPr>
            </w:pPr>
            <w:r>
              <w:rPr>
                <w:rFonts w:hAnsi="宋体"/>
                <w:color w:val="auto"/>
                <w:sz w:val="21"/>
                <w:szCs w:val="21"/>
              </w:rPr>
              <w:t>7.3</w:t>
            </w:r>
          </w:p>
        </w:tc>
        <w:tc>
          <w:tcPr>
            <w:tcW w:w="2912" w:type="dxa"/>
            <w:vAlign w:val="center"/>
          </w:tcPr>
          <w:p w14:paraId="61F6DEFD">
            <w:pPr>
              <w:autoSpaceDE w:val="0"/>
              <w:autoSpaceDN w:val="0"/>
              <w:snapToGrid w:val="0"/>
              <w:spacing w:line="400" w:lineRule="exact"/>
              <w:textAlignment w:val="bottom"/>
              <w:rPr>
                <w:rFonts w:ascii="宋体" w:hAnsi="宋体"/>
                <w:color w:val="auto"/>
                <w:kern w:val="0"/>
                <w:szCs w:val="21"/>
              </w:rPr>
            </w:pPr>
            <w:r>
              <w:rPr>
                <w:rFonts w:ascii="宋体" w:hAnsi="宋体"/>
                <w:color w:val="auto"/>
                <w:kern w:val="0"/>
                <w:szCs w:val="21"/>
              </w:rPr>
              <w:t>谈判文件澄清联系方式</w:t>
            </w:r>
          </w:p>
        </w:tc>
        <w:tc>
          <w:tcPr>
            <w:tcW w:w="5652" w:type="dxa"/>
            <w:vAlign w:val="center"/>
          </w:tcPr>
          <w:p w14:paraId="4504E3AC">
            <w:pPr>
              <w:autoSpaceDE w:val="0"/>
              <w:autoSpaceDN w:val="0"/>
              <w:snapToGrid w:val="0"/>
              <w:spacing w:line="400" w:lineRule="exact"/>
              <w:textAlignment w:val="bottom"/>
              <w:rPr>
                <w:rFonts w:ascii="宋体" w:hAnsi="宋体"/>
                <w:bCs/>
                <w:color w:val="auto"/>
                <w:szCs w:val="21"/>
              </w:rPr>
            </w:pPr>
            <w:r>
              <w:rPr>
                <w:rFonts w:ascii="宋体" w:hAnsi="宋体"/>
                <w:bCs/>
                <w:color w:val="auto"/>
                <w:szCs w:val="21"/>
              </w:rPr>
              <w:t>澄清联系人：</w:t>
            </w:r>
            <w:r>
              <w:rPr>
                <w:rFonts w:hint="eastAsia" w:ascii="宋体" w:hAnsi="宋体"/>
                <w:bCs/>
                <w:color w:val="auto"/>
                <w:szCs w:val="21"/>
              </w:rPr>
              <w:t>李仪</w:t>
            </w:r>
          </w:p>
          <w:p w14:paraId="6BD9F6F6">
            <w:pPr>
              <w:autoSpaceDE w:val="0"/>
              <w:autoSpaceDN w:val="0"/>
              <w:snapToGrid w:val="0"/>
              <w:spacing w:line="400" w:lineRule="exact"/>
              <w:textAlignment w:val="bottom"/>
              <w:rPr>
                <w:rFonts w:ascii="宋体" w:hAnsi="宋体"/>
                <w:color w:val="auto"/>
                <w:kern w:val="0"/>
                <w:szCs w:val="21"/>
              </w:rPr>
            </w:pPr>
            <w:r>
              <w:rPr>
                <w:rFonts w:ascii="宋体" w:hAnsi="宋体"/>
                <w:bCs/>
                <w:color w:val="auto"/>
                <w:szCs w:val="21"/>
              </w:rPr>
              <w:t>电话：</w:t>
            </w:r>
            <w:r>
              <w:rPr>
                <w:rFonts w:hint="eastAsia" w:ascii="宋体" w:hAnsi="宋体"/>
                <w:bCs/>
                <w:color w:val="auto"/>
                <w:szCs w:val="21"/>
              </w:rPr>
              <w:t>0871-65360873</w:t>
            </w:r>
          </w:p>
        </w:tc>
      </w:tr>
      <w:tr w14:paraId="59F365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5" w:hRule="atLeast"/>
          <w:jc w:val="center"/>
        </w:trPr>
        <w:tc>
          <w:tcPr>
            <w:tcW w:w="929" w:type="dxa"/>
            <w:vMerge w:val="restart"/>
            <w:vAlign w:val="center"/>
          </w:tcPr>
          <w:p w14:paraId="7E8356CD">
            <w:pPr>
              <w:pStyle w:val="13"/>
              <w:spacing w:line="400" w:lineRule="exact"/>
              <w:jc w:val="center"/>
              <w:rPr>
                <w:rFonts w:hAnsi="宋体"/>
                <w:color w:val="auto"/>
                <w:sz w:val="21"/>
                <w:szCs w:val="21"/>
              </w:rPr>
            </w:pPr>
            <w:r>
              <w:rPr>
                <w:rFonts w:hAnsi="宋体"/>
                <w:color w:val="auto"/>
                <w:sz w:val="21"/>
                <w:szCs w:val="21"/>
              </w:rPr>
              <w:t>9.</w:t>
            </w:r>
            <w:r>
              <w:rPr>
                <w:rFonts w:hint="eastAsia" w:hAnsi="宋体"/>
                <w:color w:val="auto"/>
                <w:sz w:val="21"/>
                <w:szCs w:val="21"/>
              </w:rPr>
              <w:t>2</w:t>
            </w:r>
            <w:r>
              <w:rPr>
                <w:rFonts w:hAnsi="宋体"/>
                <w:color w:val="auto"/>
                <w:sz w:val="21"/>
                <w:szCs w:val="21"/>
              </w:rPr>
              <w:t>（</w:t>
            </w:r>
            <w:r>
              <w:rPr>
                <w:rFonts w:hint="eastAsia" w:hAnsi="宋体"/>
                <w:color w:val="auto"/>
                <w:sz w:val="21"/>
                <w:szCs w:val="21"/>
              </w:rPr>
              <w:t>1</w:t>
            </w:r>
            <w:r>
              <w:rPr>
                <w:rFonts w:hAnsi="宋体"/>
                <w:color w:val="auto"/>
                <w:sz w:val="21"/>
                <w:szCs w:val="21"/>
              </w:rPr>
              <w:t>）</w:t>
            </w:r>
          </w:p>
        </w:tc>
        <w:tc>
          <w:tcPr>
            <w:tcW w:w="2912" w:type="dxa"/>
            <w:vMerge w:val="restart"/>
            <w:vAlign w:val="center"/>
          </w:tcPr>
          <w:p w14:paraId="5B3761FD">
            <w:pPr>
              <w:pStyle w:val="13"/>
              <w:spacing w:line="400" w:lineRule="exact"/>
              <w:rPr>
                <w:rFonts w:hAnsi="宋体"/>
                <w:color w:val="auto"/>
                <w:sz w:val="21"/>
                <w:szCs w:val="21"/>
              </w:rPr>
            </w:pPr>
            <w:r>
              <w:rPr>
                <w:rFonts w:hint="eastAsia" w:hAnsi="宋体"/>
                <w:color w:val="auto"/>
                <w:sz w:val="21"/>
                <w:szCs w:val="21"/>
              </w:rPr>
              <w:t>资格证明文件</w:t>
            </w:r>
          </w:p>
        </w:tc>
        <w:tc>
          <w:tcPr>
            <w:tcW w:w="5652" w:type="dxa"/>
            <w:tcBorders>
              <w:bottom w:val="single" w:color="auto" w:sz="4" w:space="0"/>
            </w:tcBorders>
            <w:vAlign w:val="center"/>
          </w:tcPr>
          <w:p w14:paraId="75FDDBAC">
            <w:pPr>
              <w:tabs>
                <w:tab w:val="left" w:pos="420"/>
              </w:tabs>
              <w:autoSpaceDE w:val="0"/>
              <w:autoSpaceDN w:val="0"/>
              <w:snapToGrid w:val="0"/>
              <w:spacing w:line="400" w:lineRule="exact"/>
              <w:textAlignment w:val="bottom"/>
              <w:rPr>
                <w:rFonts w:ascii="宋体"/>
                <w:b/>
                <w:bCs/>
                <w:color w:val="auto"/>
                <w:szCs w:val="21"/>
                <w:u w:val="single"/>
              </w:rPr>
            </w:pPr>
            <w:r>
              <w:rPr>
                <w:rFonts w:hint="eastAsia" w:ascii="宋体" w:hAnsi="宋体" w:cs="宋体"/>
                <w:b/>
                <w:bCs/>
                <w:color w:val="auto"/>
              </w:rPr>
              <w:t>1.供应商为企业（包括合伙企业）的，应提供有效的“营业执照”；供应商为事业单位的，应提供有效的“事业单位法人证书”；供应商为非企业专业服务机构的，应提供有效的“执业许可证”、“登记证书”等证明文件；供应商是个体工商户的，应提供有效的“个体工商户营业执照”；供应商是自然人的，应提供有效的自然人身份证明。分支机构参加投标的，应提供该分支机构或其所属法人/其他组织的相应证明文件，同时还应提供其所属法人/其他组织出具的授权其参与本项目的授权书（格式自拟，须加盖其所属法人/其他组织的公章）。</w:t>
            </w:r>
          </w:p>
        </w:tc>
      </w:tr>
      <w:tr w14:paraId="6FDD2A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5" w:hRule="atLeast"/>
          <w:jc w:val="center"/>
        </w:trPr>
        <w:tc>
          <w:tcPr>
            <w:tcW w:w="929" w:type="dxa"/>
            <w:vMerge w:val="continue"/>
            <w:vAlign w:val="center"/>
          </w:tcPr>
          <w:p w14:paraId="6EFB7480">
            <w:pPr>
              <w:pStyle w:val="13"/>
              <w:spacing w:line="400" w:lineRule="exact"/>
              <w:jc w:val="center"/>
              <w:rPr>
                <w:rFonts w:hAnsi="宋体"/>
                <w:color w:val="auto"/>
                <w:sz w:val="21"/>
                <w:szCs w:val="21"/>
              </w:rPr>
            </w:pPr>
          </w:p>
        </w:tc>
        <w:tc>
          <w:tcPr>
            <w:tcW w:w="2912" w:type="dxa"/>
            <w:vMerge w:val="continue"/>
            <w:vAlign w:val="center"/>
          </w:tcPr>
          <w:p w14:paraId="60D0EC50">
            <w:pPr>
              <w:pStyle w:val="13"/>
              <w:spacing w:line="400" w:lineRule="exact"/>
              <w:rPr>
                <w:rFonts w:hAnsi="宋体"/>
                <w:color w:val="auto"/>
                <w:sz w:val="21"/>
                <w:szCs w:val="21"/>
              </w:rPr>
            </w:pPr>
          </w:p>
        </w:tc>
        <w:tc>
          <w:tcPr>
            <w:tcW w:w="5652" w:type="dxa"/>
            <w:tcBorders>
              <w:bottom w:val="single" w:color="auto" w:sz="4" w:space="0"/>
            </w:tcBorders>
            <w:vAlign w:val="center"/>
          </w:tcPr>
          <w:p w14:paraId="4FD32B05">
            <w:pPr>
              <w:tabs>
                <w:tab w:val="left" w:pos="420"/>
              </w:tabs>
              <w:autoSpaceDE w:val="0"/>
              <w:autoSpaceDN w:val="0"/>
              <w:snapToGrid w:val="0"/>
              <w:spacing w:line="400" w:lineRule="exact"/>
              <w:textAlignment w:val="bottom"/>
              <w:rPr>
                <w:rFonts w:ascii="宋体" w:hAnsi="宋体" w:cs="宋体"/>
                <w:b/>
                <w:bCs/>
                <w:color w:val="auto"/>
                <w:u w:val="single"/>
              </w:rPr>
            </w:pPr>
            <w:r>
              <w:rPr>
                <w:rFonts w:hint="eastAsia" w:ascii="宋体" w:hAnsi="宋体" w:cs="宋体"/>
                <w:b/>
                <w:bCs/>
                <w:color w:val="auto"/>
              </w:rPr>
              <w:t>2.供应商应提供2023年1月至今期间（税款所属时期）任意1个月的税务局税收通用缴款书复印件或银行电子缴税凭证复印件或税务局出具的纳税情况相关证明复印件；依法免税的供应商，应提供相应文件证明其依法免税；新成立企业尚未缴纳税款的，应出具情况证明。</w:t>
            </w:r>
          </w:p>
        </w:tc>
      </w:tr>
      <w:tr w14:paraId="4FA5E2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5" w:hRule="atLeast"/>
          <w:jc w:val="center"/>
        </w:trPr>
        <w:tc>
          <w:tcPr>
            <w:tcW w:w="929" w:type="dxa"/>
            <w:vMerge w:val="continue"/>
            <w:vAlign w:val="center"/>
          </w:tcPr>
          <w:p w14:paraId="1A5585A5">
            <w:pPr>
              <w:pStyle w:val="13"/>
              <w:spacing w:line="400" w:lineRule="exact"/>
              <w:jc w:val="center"/>
              <w:rPr>
                <w:rFonts w:hAnsi="宋体"/>
                <w:color w:val="auto"/>
                <w:sz w:val="21"/>
                <w:szCs w:val="21"/>
              </w:rPr>
            </w:pPr>
          </w:p>
        </w:tc>
        <w:tc>
          <w:tcPr>
            <w:tcW w:w="2912" w:type="dxa"/>
            <w:vMerge w:val="continue"/>
            <w:vAlign w:val="center"/>
          </w:tcPr>
          <w:p w14:paraId="312647BD">
            <w:pPr>
              <w:pStyle w:val="13"/>
              <w:spacing w:line="400" w:lineRule="exact"/>
              <w:rPr>
                <w:rFonts w:hAnsi="宋体"/>
                <w:color w:val="auto"/>
                <w:sz w:val="21"/>
                <w:szCs w:val="21"/>
              </w:rPr>
            </w:pPr>
          </w:p>
        </w:tc>
        <w:tc>
          <w:tcPr>
            <w:tcW w:w="5652" w:type="dxa"/>
            <w:tcBorders>
              <w:bottom w:val="single" w:color="auto" w:sz="4" w:space="0"/>
            </w:tcBorders>
            <w:vAlign w:val="center"/>
          </w:tcPr>
          <w:p w14:paraId="452CB7F1">
            <w:pPr>
              <w:tabs>
                <w:tab w:val="left" w:pos="420"/>
              </w:tabs>
              <w:autoSpaceDE w:val="0"/>
              <w:autoSpaceDN w:val="0"/>
              <w:snapToGrid w:val="0"/>
              <w:spacing w:line="400" w:lineRule="exact"/>
              <w:textAlignment w:val="bottom"/>
              <w:rPr>
                <w:rFonts w:ascii="宋体" w:hAnsi="宋体" w:cs="宋体"/>
                <w:b/>
                <w:bCs/>
                <w:color w:val="auto"/>
                <w:u w:val="single"/>
              </w:rPr>
            </w:pPr>
            <w:r>
              <w:rPr>
                <w:rFonts w:hint="eastAsia" w:ascii="宋体" w:hAnsi="宋体" w:cs="宋体"/>
                <w:b/>
                <w:bCs/>
                <w:color w:val="auto"/>
              </w:rPr>
              <w:t>3.供应商应提供2023年1月至今期间（费款所属时期）任意1个月的社会保险费缴款书复印件或银行电子缴费凭证复印件或社保管理部门出具的有效缴款证明复印件；依法不需要缴纳社会保障资金的供应商，应提供相应文件证明其不需要缴纳社会保障资金；新成立企业尚未缴纳社保的，应出具情况证明。</w:t>
            </w:r>
          </w:p>
        </w:tc>
      </w:tr>
      <w:tr w14:paraId="100692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5" w:hRule="atLeast"/>
          <w:jc w:val="center"/>
        </w:trPr>
        <w:tc>
          <w:tcPr>
            <w:tcW w:w="929" w:type="dxa"/>
            <w:vMerge w:val="continue"/>
            <w:vAlign w:val="center"/>
          </w:tcPr>
          <w:p w14:paraId="0E8191E9">
            <w:pPr>
              <w:pStyle w:val="13"/>
              <w:spacing w:line="400" w:lineRule="exact"/>
              <w:jc w:val="center"/>
              <w:rPr>
                <w:rFonts w:hAnsi="宋体"/>
                <w:color w:val="auto"/>
                <w:sz w:val="21"/>
                <w:szCs w:val="21"/>
              </w:rPr>
            </w:pPr>
          </w:p>
        </w:tc>
        <w:tc>
          <w:tcPr>
            <w:tcW w:w="2912" w:type="dxa"/>
            <w:vMerge w:val="continue"/>
            <w:vAlign w:val="center"/>
          </w:tcPr>
          <w:p w14:paraId="488A207C">
            <w:pPr>
              <w:pStyle w:val="13"/>
              <w:spacing w:line="400" w:lineRule="exact"/>
              <w:rPr>
                <w:rFonts w:hAnsi="宋体"/>
                <w:color w:val="auto"/>
                <w:sz w:val="21"/>
                <w:szCs w:val="21"/>
              </w:rPr>
            </w:pPr>
          </w:p>
        </w:tc>
        <w:tc>
          <w:tcPr>
            <w:tcW w:w="5652" w:type="dxa"/>
            <w:tcBorders>
              <w:bottom w:val="single" w:color="auto" w:sz="4" w:space="0"/>
            </w:tcBorders>
            <w:vAlign w:val="center"/>
          </w:tcPr>
          <w:p w14:paraId="44B0C7AD">
            <w:pPr>
              <w:tabs>
                <w:tab w:val="left" w:pos="420"/>
              </w:tabs>
              <w:autoSpaceDE w:val="0"/>
              <w:autoSpaceDN w:val="0"/>
              <w:snapToGrid w:val="0"/>
              <w:spacing w:line="400" w:lineRule="exact"/>
              <w:textAlignment w:val="bottom"/>
              <w:rPr>
                <w:rFonts w:ascii="宋体" w:hAnsi="宋体" w:cs="宋体"/>
                <w:b/>
                <w:bCs/>
                <w:color w:val="auto"/>
                <w:u w:val="single"/>
              </w:rPr>
            </w:pPr>
            <w:r>
              <w:rPr>
                <w:rFonts w:hint="eastAsia" w:ascii="宋体" w:hAnsi="宋体" w:cs="宋体"/>
                <w:b/>
                <w:bCs/>
                <w:color w:val="auto"/>
              </w:rPr>
              <w:t>4.供应商应提供2023年度至今任意一年的财务状况报告复印件（包括但不限于资产负债表、现金流量表、利润表）或提供响应文件提交截止时间前三个月内基本开户银行出具的资信证明。</w:t>
            </w:r>
          </w:p>
        </w:tc>
      </w:tr>
      <w:tr w14:paraId="346FA3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5" w:hRule="atLeast"/>
          <w:jc w:val="center"/>
        </w:trPr>
        <w:tc>
          <w:tcPr>
            <w:tcW w:w="929" w:type="dxa"/>
            <w:vMerge w:val="continue"/>
            <w:vAlign w:val="center"/>
          </w:tcPr>
          <w:p w14:paraId="01CAF3E9">
            <w:pPr>
              <w:pStyle w:val="13"/>
              <w:spacing w:line="400" w:lineRule="exact"/>
              <w:jc w:val="center"/>
              <w:rPr>
                <w:rFonts w:hAnsi="宋体"/>
                <w:color w:val="auto"/>
                <w:sz w:val="21"/>
                <w:szCs w:val="21"/>
              </w:rPr>
            </w:pPr>
          </w:p>
        </w:tc>
        <w:tc>
          <w:tcPr>
            <w:tcW w:w="2912" w:type="dxa"/>
            <w:vMerge w:val="continue"/>
            <w:vAlign w:val="center"/>
          </w:tcPr>
          <w:p w14:paraId="2F3539DC">
            <w:pPr>
              <w:pStyle w:val="13"/>
              <w:spacing w:line="400" w:lineRule="exact"/>
              <w:rPr>
                <w:rFonts w:hAnsi="宋体"/>
                <w:color w:val="auto"/>
                <w:sz w:val="21"/>
                <w:szCs w:val="21"/>
              </w:rPr>
            </w:pPr>
          </w:p>
        </w:tc>
        <w:tc>
          <w:tcPr>
            <w:tcW w:w="5652" w:type="dxa"/>
            <w:tcBorders>
              <w:bottom w:val="single" w:color="auto" w:sz="4" w:space="0"/>
            </w:tcBorders>
            <w:vAlign w:val="center"/>
          </w:tcPr>
          <w:p w14:paraId="1FB37298">
            <w:pPr>
              <w:tabs>
                <w:tab w:val="left" w:pos="420"/>
              </w:tabs>
              <w:autoSpaceDE w:val="0"/>
              <w:autoSpaceDN w:val="0"/>
              <w:snapToGrid w:val="0"/>
              <w:spacing w:line="400" w:lineRule="exact"/>
              <w:textAlignment w:val="bottom"/>
              <w:rPr>
                <w:rFonts w:ascii="宋体" w:hAnsi="宋体" w:cs="宋体"/>
                <w:b/>
                <w:bCs/>
                <w:color w:val="auto"/>
                <w:u w:val="single"/>
              </w:rPr>
            </w:pPr>
            <w:r>
              <w:rPr>
                <w:rFonts w:hint="eastAsia" w:ascii="宋体" w:hAnsi="宋体" w:cs="宋体"/>
                <w:b/>
                <w:bCs/>
                <w:color w:val="auto"/>
              </w:rPr>
              <w:t>5.供应商参加政府采购活动前3年内在经营活动中没有重大违法记录的书面声明原件。</w:t>
            </w:r>
          </w:p>
        </w:tc>
      </w:tr>
      <w:tr w14:paraId="26D70A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29" w:type="dxa"/>
            <w:vAlign w:val="center"/>
          </w:tcPr>
          <w:p w14:paraId="24C59123">
            <w:pPr>
              <w:pStyle w:val="13"/>
              <w:spacing w:line="400" w:lineRule="exact"/>
              <w:jc w:val="center"/>
              <w:rPr>
                <w:rFonts w:hAnsi="宋体"/>
                <w:color w:val="auto"/>
                <w:sz w:val="21"/>
                <w:szCs w:val="21"/>
              </w:rPr>
            </w:pPr>
            <w:r>
              <w:rPr>
                <w:rFonts w:hAnsi="宋体"/>
                <w:color w:val="auto"/>
                <w:sz w:val="21"/>
                <w:szCs w:val="21"/>
              </w:rPr>
              <w:t>11.1</w:t>
            </w:r>
          </w:p>
        </w:tc>
        <w:tc>
          <w:tcPr>
            <w:tcW w:w="2912" w:type="dxa"/>
            <w:vAlign w:val="center"/>
          </w:tcPr>
          <w:p w14:paraId="15BB3F67">
            <w:pPr>
              <w:pStyle w:val="13"/>
              <w:spacing w:line="400" w:lineRule="exact"/>
              <w:rPr>
                <w:rFonts w:hAnsi="宋体"/>
                <w:color w:val="auto"/>
                <w:sz w:val="21"/>
                <w:szCs w:val="21"/>
              </w:rPr>
            </w:pPr>
            <w:r>
              <w:rPr>
                <w:rFonts w:hAnsi="宋体"/>
                <w:color w:val="auto"/>
                <w:sz w:val="21"/>
                <w:szCs w:val="21"/>
              </w:rPr>
              <w:t>有效期</w:t>
            </w:r>
          </w:p>
        </w:tc>
        <w:tc>
          <w:tcPr>
            <w:tcW w:w="5652" w:type="dxa"/>
            <w:vAlign w:val="center"/>
          </w:tcPr>
          <w:p w14:paraId="12A6D5BC">
            <w:pPr>
              <w:pStyle w:val="13"/>
              <w:spacing w:line="400" w:lineRule="exact"/>
              <w:rPr>
                <w:rFonts w:hAnsi="宋体"/>
                <w:color w:val="auto"/>
                <w:sz w:val="21"/>
                <w:szCs w:val="21"/>
              </w:rPr>
            </w:pPr>
            <w:r>
              <w:rPr>
                <w:rFonts w:hAnsi="宋体"/>
                <w:color w:val="auto"/>
                <w:sz w:val="21"/>
                <w:szCs w:val="21"/>
              </w:rPr>
              <w:t>递交响应文件的截止日期后</w:t>
            </w:r>
            <w:r>
              <w:rPr>
                <w:rFonts w:hAnsi="宋体"/>
                <w:color w:val="auto"/>
                <w:sz w:val="21"/>
                <w:szCs w:val="21"/>
                <w:u w:val="single"/>
              </w:rPr>
              <w:t>90</w:t>
            </w:r>
            <w:r>
              <w:rPr>
                <w:rFonts w:hAnsi="宋体"/>
                <w:color w:val="auto"/>
                <w:sz w:val="21"/>
                <w:szCs w:val="21"/>
              </w:rPr>
              <w:t>天</w:t>
            </w:r>
          </w:p>
        </w:tc>
      </w:tr>
      <w:tr w14:paraId="04C7F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29" w:type="dxa"/>
            <w:vAlign w:val="center"/>
          </w:tcPr>
          <w:p w14:paraId="3695DCFD">
            <w:pPr>
              <w:pStyle w:val="19"/>
              <w:spacing w:line="400" w:lineRule="exact"/>
              <w:jc w:val="center"/>
              <w:rPr>
                <w:rFonts w:hAnsi="宋体"/>
                <w:color w:val="auto"/>
                <w:sz w:val="21"/>
                <w:szCs w:val="21"/>
              </w:rPr>
            </w:pPr>
            <w:r>
              <w:rPr>
                <w:rFonts w:hAnsi="宋体"/>
                <w:color w:val="auto"/>
                <w:sz w:val="21"/>
                <w:szCs w:val="21"/>
              </w:rPr>
              <w:t>1</w:t>
            </w:r>
            <w:r>
              <w:rPr>
                <w:rFonts w:hint="eastAsia" w:hAnsi="宋体"/>
                <w:color w:val="auto"/>
                <w:sz w:val="21"/>
                <w:szCs w:val="21"/>
              </w:rPr>
              <w:t>3</w:t>
            </w:r>
            <w:r>
              <w:rPr>
                <w:rFonts w:hAnsi="宋体"/>
                <w:color w:val="auto"/>
                <w:sz w:val="21"/>
                <w:szCs w:val="21"/>
              </w:rPr>
              <w:t>.</w:t>
            </w:r>
            <w:r>
              <w:rPr>
                <w:rFonts w:hint="eastAsia" w:hAnsi="宋体"/>
                <w:color w:val="auto"/>
                <w:sz w:val="21"/>
                <w:szCs w:val="21"/>
              </w:rPr>
              <w:t>1</w:t>
            </w:r>
          </w:p>
        </w:tc>
        <w:tc>
          <w:tcPr>
            <w:tcW w:w="2912" w:type="dxa"/>
            <w:vAlign w:val="center"/>
          </w:tcPr>
          <w:p w14:paraId="476B3DDE">
            <w:pPr>
              <w:pStyle w:val="13"/>
              <w:spacing w:line="400" w:lineRule="exact"/>
              <w:rPr>
                <w:rFonts w:hAnsi="宋体"/>
                <w:color w:val="auto"/>
                <w:sz w:val="21"/>
                <w:szCs w:val="21"/>
              </w:rPr>
            </w:pPr>
            <w:r>
              <w:rPr>
                <w:rFonts w:hint="eastAsia" w:hAnsi="宋体"/>
                <w:color w:val="auto"/>
                <w:sz w:val="21"/>
                <w:szCs w:val="21"/>
              </w:rPr>
              <w:t>电子响应文件提交截止时间</w:t>
            </w:r>
          </w:p>
        </w:tc>
        <w:tc>
          <w:tcPr>
            <w:tcW w:w="5652" w:type="dxa"/>
            <w:vAlign w:val="center"/>
          </w:tcPr>
          <w:p w14:paraId="48489BD8">
            <w:pPr>
              <w:rPr>
                <w:color w:val="auto"/>
              </w:rPr>
            </w:pPr>
            <w:r>
              <w:rPr>
                <w:rFonts w:hint="eastAsia"/>
                <w:color w:val="auto"/>
              </w:rPr>
              <w:t>2025年</w:t>
            </w:r>
            <w:r>
              <w:rPr>
                <w:rFonts w:hint="eastAsia" w:ascii="宋体" w:hAnsi="宋体"/>
                <w:bCs/>
                <w:color w:val="auto"/>
                <w:szCs w:val="21"/>
                <w:u w:val="single"/>
                <w:lang w:val="en-US" w:eastAsia="zh-CN"/>
              </w:rPr>
              <w:t>06</w:t>
            </w:r>
            <w:r>
              <w:rPr>
                <w:rFonts w:hint="eastAsia" w:ascii="宋体" w:hAnsi="宋体"/>
                <w:bCs/>
                <w:color w:val="auto"/>
                <w:szCs w:val="21"/>
                <w:u w:val="single"/>
              </w:rPr>
              <w:t>月</w:t>
            </w:r>
            <w:r>
              <w:rPr>
                <w:rFonts w:hint="eastAsia" w:ascii="宋体" w:hAnsi="宋体"/>
                <w:bCs/>
                <w:color w:val="auto"/>
                <w:szCs w:val="21"/>
                <w:u w:val="single"/>
                <w:lang w:val="en-US" w:eastAsia="zh-CN"/>
              </w:rPr>
              <w:t>20</w:t>
            </w:r>
            <w:r>
              <w:rPr>
                <w:rFonts w:hint="eastAsia" w:ascii="宋体" w:hAnsi="宋体"/>
                <w:bCs/>
                <w:color w:val="auto"/>
                <w:szCs w:val="21"/>
                <w:u w:val="single"/>
              </w:rPr>
              <w:t>日</w:t>
            </w:r>
            <w:r>
              <w:rPr>
                <w:rFonts w:hint="eastAsia"/>
                <w:color w:val="auto"/>
                <w:u w:val="single"/>
              </w:rPr>
              <w:t>09点00分</w:t>
            </w:r>
          </w:p>
        </w:tc>
      </w:tr>
      <w:tr w14:paraId="1896D4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29" w:type="dxa"/>
            <w:vAlign w:val="center"/>
          </w:tcPr>
          <w:p w14:paraId="44FE6C01">
            <w:pPr>
              <w:pStyle w:val="19"/>
              <w:spacing w:line="400" w:lineRule="exact"/>
              <w:jc w:val="center"/>
              <w:rPr>
                <w:rFonts w:hAnsi="宋体"/>
                <w:color w:val="auto"/>
                <w:sz w:val="21"/>
                <w:szCs w:val="21"/>
              </w:rPr>
            </w:pPr>
            <w:r>
              <w:rPr>
                <w:rFonts w:hAnsi="宋体"/>
                <w:color w:val="auto"/>
                <w:sz w:val="21"/>
                <w:szCs w:val="21"/>
              </w:rPr>
              <w:t>1</w:t>
            </w:r>
            <w:r>
              <w:rPr>
                <w:rFonts w:hint="eastAsia" w:hAnsi="宋体"/>
                <w:color w:val="auto"/>
                <w:sz w:val="21"/>
                <w:szCs w:val="21"/>
              </w:rPr>
              <w:t>4</w:t>
            </w:r>
          </w:p>
        </w:tc>
        <w:tc>
          <w:tcPr>
            <w:tcW w:w="2912" w:type="dxa"/>
            <w:vAlign w:val="center"/>
          </w:tcPr>
          <w:p w14:paraId="62A24EF2">
            <w:pPr>
              <w:pStyle w:val="13"/>
              <w:spacing w:line="400" w:lineRule="exact"/>
              <w:rPr>
                <w:rFonts w:hAnsi="宋体"/>
                <w:color w:val="auto"/>
                <w:sz w:val="21"/>
                <w:szCs w:val="21"/>
              </w:rPr>
            </w:pPr>
            <w:r>
              <w:rPr>
                <w:rFonts w:hint="eastAsia" w:hAnsi="宋体"/>
                <w:color w:val="auto"/>
                <w:sz w:val="21"/>
                <w:szCs w:val="21"/>
              </w:rPr>
              <w:t>电子响应文件解密时间和地点</w:t>
            </w:r>
          </w:p>
        </w:tc>
        <w:tc>
          <w:tcPr>
            <w:tcW w:w="5652" w:type="dxa"/>
            <w:vAlign w:val="center"/>
          </w:tcPr>
          <w:p w14:paraId="5D1D550B">
            <w:pPr>
              <w:spacing w:line="360" w:lineRule="auto"/>
              <w:jc w:val="left"/>
              <w:rPr>
                <w:rFonts w:ascii="宋体" w:hAnsi="宋体"/>
                <w:color w:val="auto"/>
                <w:szCs w:val="21"/>
                <w:u w:val="single"/>
              </w:rPr>
            </w:pPr>
            <w:r>
              <w:rPr>
                <w:rFonts w:hint="eastAsia" w:ascii="宋体" w:hAnsi="宋体"/>
                <w:color w:val="auto"/>
                <w:szCs w:val="21"/>
              </w:rPr>
              <w:t>解密时间：</w:t>
            </w:r>
            <w:r>
              <w:rPr>
                <w:rFonts w:hint="eastAsia" w:ascii="宋体" w:hAnsi="宋体"/>
                <w:color w:val="auto"/>
                <w:szCs w:val="21"/>
                <w:u w:val="single"/>
              </w:rPr>
              <w:t>2025年</w:t>
            </w:r>
            <w:r>
              <w:rPr>
                <w:rFonts w:hint="eastAsia" w:ascii="宋体" w:hAnsi="宋体"/>
                <w:bCs/>
                <w:color w:val="auto"/>
                <w:szCs w:val="21"/>
                <w:u w:val="single"/>
                <w:lang w:val="en-US" w:eastAsia="zh-CN"/>
              </w:rPr>
              <w:t>06</w:t>
            </w:r>
            <w:r>
              <w:rPr>
                <w:rFonts w:hint="eastAsia" w:ascii="宋体" w:hAnsi="宋体"/>
                <w:bCs/>
                <w:color w:val="auto"/>
                <w:szCs w:val="21"/>
                <w:u w:val="single"/>
              </w:rPr>
              <w:t>月</w:t>
            </w:r>
            <w:r>
              <w:rPr>
                <w:rFonts w:hint="eastAsia" w:ascii="宋体" w:hAnsi="宋体"/>
                <w:bCs/>
                <w:color w:val="auto"/>
                <w:szCs w:val="21"/>
                <w:u w:val="single"/>
                <w:lang w:val="en-US" w:eastAsia="zh-CN"/>
              </w:rPr>
              <w:t>20</w:t>
            </w:r>
            <w:r>
              <w:rPr>
                <w:rFonts w:hint="eastAsia" w:ascii="宋体" w:hAnsi="宋体"/>
                <w:bCs/>
                <w:color w:val="auto"/>
                <w:szCs w:val="21"/>
                <w:u w:val="single"/>
              </w:rPr>
              <w:t>日</w:t>
            </w:r>
            <w:r>
              <w:rPr>
                <w:rFonts w:hint="eastAsia"/>
                <w:color w:val="auto"/>
                <w:u w:val="single"/>
              </w:rPr>
              <w:t>09点00分</w:t>
            </w:r>
            <w:r>
              <w:rPr>
                <w:rFonts w:hint="eastAsia" w:ascii="宋体" w:hAnsi="宋体"/>
                <w:color w:val="auto"/>
                <w:szCs w:val="21"/>
                <w:u w:val="single"/>
              </w:rPr>
              <w:t>至2025年</w:t>
            </w:r>
            <w:r>
              <w:rPr>
                <w:rFonts w:hint="eastAsia" w:ascii="宋体" w:hAnsi="宋体"/>
                <w:bCs/>
                <w:color w:val="auto"/>
                <w:szCs w:val="21"/>
                <w:u w:val="single"/>
                <w:lang w:val="en-US" w:eastAsia="zh-CN"/>
              </w:rPr>
              <w:t>06</w:t>
            </w:r>
            <w:r>
              <w:rPr>
                <w:rFonts w:hint="eastAsia" w:ascii="宋体" w:hAnsi="宋体"/>
                <w:bCs/>
                <w:color w:val="auto"/>
                <w:szCs w:val="21"/>
                <w:u w:val="single"/>
              </w:rPr>
              <w:t>月</w:t>
            </w:r>
            <w:r>
              <w:rPr>
                <w:rFonts w:hint="eastAsia" w:ascii="宋体" w:hAnsi="宋体"/>
                <w:bCs/>
                <w:color w:val="auto"/>
                <w:szCs w:val="21"/>
                <w:u w:val="single"/>
                <w:lang w:val="en-US" w:eastAsia="zh-CN"/>
              </w:rPr>
              <w:t>20</w:t>
            </w:r>
            <w:r>
              <w:rPr>
                <w:rFonts w:hint="eastAsia" w:ascii="宋体" w:hAnsi="宋体"/>
                <w:bCs/>
                <w:color w:val="auto"/>
                <w:szCs w:val="21"/>
                <w:u w:val="single"/>
              </w:rPr>
              <w:t>日</w:t>
            </w:r>
            <w:r>
              <w:rPr>
                <w:rFonts w:hint="eastAsia"/>
                <w:color w:val="auto"/>
                <w:u w:val="single"/>
              </w:rPr>
              <w:t>09点30</w:t>
            </w:r>
            <w:r>
              <w:rPr>
                <w:rFonts w:hint="eastAsia" w:ascii="宋体" w:hAnsi="宋体"/>
                <w:color w:val="auto"/>
                <w:szCs w:val="21"/>
                <w:u w:val="single"/>
              </w:rPr>
              <w:t>分</w:t>
            </w:r>
            <w:r>
              <w:rPr>
                <w:rFonts w:hint="eastAsia" w:ascii="宋体" w:hAnsi="宋体"/>
                <w:color w:val="auto"/>
                <w:szCs w:val="21"/>
              </w:rPr>
              <w:t>（北京时间）</w:t>
            </w:r>
          </w:p>
          <w:p w14:paraId="2CEC6D98">
            <w:pPr>
              <w:spacing w:line="360" w:lineRule="auto"/>
              <w:jc w:val="left"/>
              <w:rPr>
                <w:rFonts w:hAnsi="宋体"/>
                <w:color w:val="auto"/>
                <w:szCs w:val="21"/>
              </w:rPr>
            </w:pPr>
            <w:r>
              <w:rPr>
                <w:rFonts w:hint="eastAsia" w:ascii="宋体" w:hAnsi="宋体"/>
                <w:color w:val="auto"/>
                <w:szCs w:val="21"/>
              </w:rPr>
              <w:t>解密地点：政府采购云平台开标大厅，“政采云”平台（http：//www.zcygov.cn）。</w:t>
            </w:r>
          </w:p>
        </w:tc>
      </w:tr>
      <w:tr w14:paraId="4E415C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929" w:type="dxa"/>
            <w:vAlign w:val="center"/>
          </w:tcPr>
          <w:p w14:paraId="4C959D76">
            <w:pPr>
              <w:pStyle w:val="13"/>
              <w:spacing w:line="400" w:lineRule="exact"/>
              <w:jc w:val="center"/>
              <w:rPr>
                <w:rFonts w:hAnsi="宋体"/>
                <w:color w:val="auto"/>
                <w:sz w:val="21"/>
                <w:szCs w:val="21"/>
              </w:rPr>
            </w:pPr>
            <w:r>
              <w:rPr>
                <w:rFonts w:hAnsi="宋体"/>
                <w:color w:val="auto"/>
                <w:sz w:val="21"/>
                <w:szCs w:val="21"/>
              </w:rPr>
              <w:t>2</w:t>
            </w:r>
            <w:r>
              <w:rPr>
                <w:rFonts w:hint="eastAsia" w:hAnsi="宋体"/>
                <w:color w:val="auto"/>
                <w:sz w:val="21"/>
                <w:szCs w:val="21"/>
              </w:rPr>
              <w:t>4</w:t>
            </w:r>
            <w:r>
              <w:rPr>
                <w:rFonts w:hAnsi="宋体"/>
                <w:color w:val="auto"/>
                <w:sz w:val="21"/>
                <w:szCs w:val="21"/>
              </w:rPr>
              <w:t>.1</w:t>
            </w:r>
          </w:p>
        </w:tc>
        <w:tc>
          <w:tcPr>
            <w:tcW w:w="2912" w:type="dxa"/>
            <w:vAlign w:val="center"/>
          </w:tcPr>
          <w:p w14:paraId="1B5C947D">
            <w:pPr>
              <w:pStyle w:val="13"/>
              <w:spacing w:line="400" w:lineRule="exact"/>
              <w:rPr>
                <w:rFonts w:hAnsi="宋体"/>
                <w:color w:val="auto"/>
                <w:sz w:val="21"/>
                <w:szCs w:val="21"/>
              </w:rPr>
            </w:pPr>
            <w:r>
              <w:rPr>
                <w:rFonts w:hAnsi="宋体"/>
                <w:bCs/>
                <w:color w:val="auto"/>
                <w:sz w:val="21"/>
                <w:szCs w:val="21"/>
              </w:rPr>
              <w:t>履约保证金</w:t>
            </w:r>
            <w:r>
              <w:rPr>
                <w:rFonts w:hAnsi="宋体"/>
                <w:color w:val="auto"/>
                <w:sz w:val="21"/>
                <w:szCs w:val="21"/>
              </w:rPr>
              <w:t>金额</w:t>
            </w:r>
          </w:p>
        </w:tc>
        <w:tc>
          <w:tcPr>
            <w:tcW w:w="5652" w:type="dxa"/>
            <w:vAlign w:val="center"/>
          </w:tcPr>
          <w:p w14:paraId="2D529D00">
            <w:pPr>
              <w:spacing w:line="320" w:lineRule="exact"/>
              <w:rPr>
                <w:color w:val="auto"/>
              </w:rPr>
            </w:pPr>
            <w:r>
              <w:rPr>
                <w:rFonts w:hint="eastAsia"/>
                <w:color w:val="auto"/>
              </w:rPr>
              <w:t>由采购人收取，合同总价的2%，供应商应当以支票、汇票、本票或者金融机构、担保机构出具的保函等非现金形式提交；</w:t>
            </w:r>
          </w:p>
        </w:tc>
      </w:tr>
      <w:tr w14:paraId="3B031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929" w:type="dxa"/>
            <w:vAlign w:val="center"/>
          </w:tcPr>
          <w:p w14:paraId="55237306">
            <w:pPr>
              <w:pStyle w:val="13"/>
              <w:spacing w:line="400" w:lineRule="exact"/>
              <w:jc w:val="center"/>
              <w:rPr>
                <w:rFonts w:hAnsi="宋体"/>
                <w:color w:val="auto"/>
                <w:sz w:val="21"/>
                <w:szCs w:val="21"/>
              </w:rPr>
            </w:pPr>
            <w:r>
              <w:rPr>
                <w:rFonts w:hAnsi="宋体"/>
                <w:color w:val="auto"/>
                <w:sz w:val="21"/>
                <w:szCs w:val="21"/>
              </w:rPr>
              <w:t>2</w:t>
            </w:r>
            <w:r>
              <w:rPr>
                <w:rFonts w:hint="eastAsia" w:hAnsi="宋体"/>
                <w:color w:val="auto"/>
                <w:sz w:val="21"/>
                <w:szCs w:val="21"/>
              </w:rPr>
              <w:t>4</w:t>
            </w:r>
            <w:r>
              <w:rPr>
                <w:rFonts w:hAnsi="宋体"/>
                <w:color w:val="auto"/>
                <w:sz w:val="21"/>
                <w:szCs w:val="21"/>
              </w:rPr>
              <w:t>.3</w:t>
            </w:r>
          </w:p>
        </w:tc>
        <w:tc>
          <w:tcPr>
            <w:tcW w:w="2912" w:type="dxa"/>
            <w:vAlign w:val="center"/>
          </w:tcPr>
          <w:p w14:paraId="47F8EB4D">
            <w:pPr>
              <w:pStyle w:val="13"/>
              <w:spacing w:line="400" w:lineRule="exact"/>
              <w:rPr>
                <w:rFonts w:ascii="Times New Roman"/>
                <w:color w:val="auto"/>
                <w:kern w:val="2"/>
                <w:sz w:val="21"/>
              </w:rPr>
            </w:pPr>
            <w:r>
              <w:rPr>
                <w:rFonts w:hint="eastAsia" w:ascii="Times New Roman"/>
                <w:color w:val="auto"/>
                <w:kern w:val="2"/>
                <w:sz w:val="21"/>
              </w:rPr>
              <w:t>履约保证金退还时间</w:t>
            </w:r>
          </w:p>
        </w:tc>
        <w:tc>
          <w:tcPr>
            <w:tcW w:w="5652" w:type="dxa"/>
            <w:vAlign w:val="center"/>
          </w:tcPr>
          <w:p w14:paraId="06356B84">
            <w:pPr>
              <w:rPr>
                <w:color w:val="auto"/>
              </w:rPr>
            </w:pPr>
            <w:r>
              <w:rPr>
                <w:rFonts w:hint="eastAsia"/>
                <w:color w:val="auto"/>
              </w:rPr>
              <w:t>项目终验合合格后凭收据无息退回履约保证金。</w:t>
            </w:r>
          </w:p>
        </w:tc>
      </w:tr>
      <w:tr w14:paraId="7B6732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929" w:type="dxa"/>
            <w:vAlign w:val="center"/>
          </w:tcPr>
          <w:p w14:paraId="3FB37B13">
            <w:pPr>
              <w:pStyle w:val="13"/>
              <w:spacing w:line="400" w:lineRule="exact"/>
              <w:jc w:val="center"/>
              <w:rPr>
                <w:rFonts w:hAnsi="宋体"/>
                <w:color w:val="auto"/>
                <w:sz w:val="21"/>
                <w:szCs w:val="21"/>
              </w:rPr>
            </w:pPr>
            <w:r>
              <w:rPr>
                <w:rFonts w:hAnsi="宋体"/>
                <w:color w:val="auto"/>
                <w:sz w:val="21"/>
                <w:szCs w:val="21"/>
              </w:rPr>
              <w:t>2</w:t>
            </w:r>
            <w:r>
              <w:rPr>
                <w:rFonts w:hint="eastAsia" w:hAnsi="宋体"/>
                <w:color w:val="auto"/>
                <w:sz w:val="21"/>
                <w:szCs w:val="21"/>
              </w:rPr>
              <w:t>6</w:t>
            </w:r>
          </w:p>
        </w:tc>
        <w:tc>
          <w:tcPr>
            <w:tcW w:w="2912" w:type="dxa"/>
            <w:vAlign w:val="center"/>
          </w:tcPr>
          <w:p w14:paraId="75E14F15">
            <w:pPr>
              <w:pStyle w:val="13"/>
              <w:spacing w:line="400" w:lineRule="exact"/>
              <w:rPr>
                <w:rFonts w:hAnsi="宋体"/>
                <w:color w:val="auto"/>
                <w:sz w:val="21"/>
                <w:szCs w:val="21"/>
              </w:rPr>
            </w:pPr>
            <w:r>
              <w:rPr>
                <w:rFonts w:hAnsi="宋体"/>
                <w:color w:val="auto"/>
                <w:sz w:val="21"/>
                <w:szCs w:val="21"/>
              </w:rPr>
              <w:t>采购代理服务费</w:t>
            </w:r>
          </w:p>
        </w:tc>
        <w:tc>
          <w:tcPr>
            <w:tcW w:w="5652" w:type="dxa"/>
            <w:vAlign w:val="center"/>
          </w:tcPr>
          <w:p w14:paraId="2B7817F9">
            <w:pPr>
              <w:pStyle w:val="13"/>
              <w:spacing w:line="400" w:lineRule="exact"/>
              <w:rPr>
                <w:rFonts w:hAnsi="宋体"/>
                <w:color w:val="auto"/>
                <w:sz w:val="21"/>
                <w:szCs w:val="21"/>
              </w:rPr>
            </w:pPr>
            <w:r>
              <w:rPr>
                <w:rFonts w:hAnsi="宋体"/>
                <w:color w:val="auto"/>
                <w:sz w:val="21"/>
                <w:szCs w:val="21"/>
              </w:rPr>
              <w:t>无</w:t>
            </w:r>
          </w:p>
        </w:tc>
      </w:tr>
    </w:tbl>
    <w:p w14:paraId="6976CEDD">
      <w:pPr>
        <w:widowControl/>
        <w:jc w:val="left"/>
        <w:rPr>
          <w:b/>
          <w:bCs/>
          <w:sz w:val="28"/>
          <w:szCs w:val="28"/>
        </w:rPr>
      </w:pPr>
      <w:bookmarkStart w:id="88" w:name="_Toc337822213"/>
      <w:bookmarkStart w:id="89" w:name="_Toc86124040"/>
    </w:p>
    <w:p w14:paraId="79406487">
      <w:pPr>
        <w:widowControl/>
        <w:jc w:val="left"/>
        <w:rPr>
          <w:rFonts w:ascii="宋体" w:hAnsi="宋体"/>
          <w:szCs w:val="28"/>
        </w:rPr>
      </w:pPr>
    </w:p>
    <w:p w14:paraId="6534B55E">
      <w:pPr>
        <w:widowControl/>
        <w:jc w:val="left"/>
        <w:rPr>
          <w:rFonts w:ascii="宋体" w:hAnsi="宋体"/>
          <w:szCs w:val="28"/>
        </w:rPr>
      </w:pPr>
    </w:p>
    <w:p w14:paraId="2585537D">
      <w:pPr>
        <w:widowControl/>
        <w:jc w:val="left"/>
        <w:rPr>
          <w:rFonts w:ascii="宋体" w:hAnsi="宋体"/>
          <w:szCs w:val="28"/>
        </w:rPr>
      </w:pPr>
    </w:p>
    <w:p w14:paraId="5B3B368E">
      <w:pPr>
        <w:widowControl/>
        <w:jc w:val="left"/>
        <w:rPr>
          <w:rFonts w:ascii="宋体" w:hAnsi="宋体"/>
          <w:szCs w:val="28"/>
        </w:rPr>
      </w:pPr>
    </w:p>
    <w:p w14:paraId="6513C60E">
      <w:pPr>
        <w:widowControl/>
        <w:jc w:val="left"/>
        <w:rPr>
          <w:rFonts w:ascii="宋体" w:hAnsi="宋体"/>
          <w:szCs w:val="28"/>
        </w:rPr>
      </w:pPr>
    </w:p>
    <w:p w14:paraId="6B7CC915">
      <w:pPr>
        <w:widowControl/>
        <w:jc w:val="left"/>
        <w:rPr>
          <w:rFonts w:ascii="宋体" w:hAnsi="宋体"/>
          <w:szCs w:val="28"/>
        </w:rPr>
      </w:pPr>
    </w:p>
    <w:p w14:paraId="551DB966">
      <w:pPr>
        <w:pStyle w:val="8"/>
        <w:rPr>
          <w:rFonts w:hAnsi="宋体"/>
          <w:b/>
          <w:color w:val="auto"/>
          <w:szCs w:val="28"/>
        </w:rPr>
      </w:pPr>
    </w:p>
    <w:p w14:paraId="32D9E6EC">
      <w:pPr>
        <w:rPr>
          <w:rFonts w:hAnsi="宋体"/>
          <w:b/>
          <w:szCs w:val="28"/>
        </w:rPr>
      </w:pPr>
    </w:p>
    <w:p w14:paraId="054342CD">
      <w:r>
        <w:br w:type="page"/>
      </w:r>
    </w:p>
    <w:p w14:paraId="5F25B189">
      <w:pPr>
        <w:pStyle w:val="3"/>
        <w:numPr>
          <w:ilvl w:val="1"/>
          <w:numId w:val="0"/>
        </w:numPr>
        <w:spacing w:before="0"/>
        <w:ind w:left="1021" w:hanging="596"/>
        <w:rPr>
          <w:rFonts w:ascii="宋体" w:hAnsi="宋体"/>
          <w:szCs w:val="28"/>
        </w:rPr>
      </w:pPr>
      <w:bookmarkStart w:id="90" w:name="_Toc13890"/>
      <w:bookmarkStart w:id="91" w:name="_Toc54095475"/>
      <w:bookmarkStart w:id="92" w:name="_Toc13983"/>
      <w:r>
        <w:rPr>
          <w:rFonts w:ascii="宋体" w:hAnsi="宋体"/>
          <w:szCs w:val="28"/>
        </w:rPr>
        <w:t>一、总则</w:t>
      </w:r>
      <w:bookmarkEnd w:id="88"/>
      <w:bookmarkEnd w:id="89"/>
      <w:bookmarkEnd w:id="90"/>
      <w:bookmarkEnd w:id="91"/>
      <w:bookmarkEnd w:id="92"/>
    </w:p>
    <w:p w14:paraId="5AE9C16F">
      <w:pPr>
        <w:pStyle w:val="4"/>
        <w:numPr>
          <w:ilvl w:val="0"/>
          <w:numId w:val="1"/>
        </w:numPr>
        <w:tabs>
          <w:tab w:val="left" w:pos="502"/>
        </w:tabs>
        <w:spacing w:before="0" w:after="0"/>
        <w:jc w:val="both"/>
        <w:rPr>
          <w:rFonts w:hAnsi="宋体"/>
          <w:szCs w:val="24"/>
        </w:rPr>
      </w:pPr>
      <w:bookmarkStart w:id="93" w:name="_Toc23618"/>
      <w:bookmarkStart w:id="94" w:name="_Toc337822214"/>
      <w:bookmarkStart w:id="95" w:name="_Toc4539"/>
      <w:bookmarkStart w:id="96" w:name="_Toc54095476"/>
      <w:r>
        <w:rPr>
          <w:rFonts w:hAnsi="宋体"/>
          <w:szCs w:val="24"/>
        </w:rPr>
        <w:t>项目概况</w:t>
      </w:r>
      <w:bookmarkEnd w:id="93"/>
      <w:bookmarkEnd w:id="94"/>
      <w:bookmarkEnd w:id="95"/>
      <w:bookmarkEnd w:id="96"/>
    </w:p>
    <w:p w14:paraId="1EB80146">
      <w:pPr>
        <w:spacing w:line="360" w:lineRule="auto"/>
        <w:ind w:firstLine="420" w:firstLineChars="200"/>
        <w:jc w:val="left"/>
        <w:rPr>
          <w:rFonts w:ascii="宋体" w:hAnsi="宋体"/>
          <w:szCs w:val="21"/>
        </w:rPr>
      </w:pPr>
      <w:r>
        <w:rPr>
          <w:rFonts w:ascii="宋体" w:hAnsi="宋体"/>
          <w:szCs w:val="21"/>
        </w:rPr>
        <w:t>1.1 根据《中华人民共和国政府采购法》等有关法律、法规和规章的规定，本项目已具备竞争性谈判条件，现对本次货物采购进行竞争性谈判采购。</w:t>
      </w:r>
    </w:p>
    <w:p w14:paraId="5A4A01F7">
      <w:pPr>
        <w:spacing w:line="360" w:lineRule="auto"/>
        <w:ind w:firstLine="420" w:firstLineChars="200"/>
        <w:jc w:val="left"/>
        <w:rPr>
          <w:rFonts w:ascii="宋体" w:hAnsi="宋体"/>
          <w:sz w:val="24"/>
        </w:rPr>
      </w:pPr>
      <w:r>
        <w:rPr>
          <w:rFonts w:ascii="宋体" w:hAnsi="宋体"/>
          <w:szCs w:val="21"/>
        </w:rPr>
        <w:t>1.2 本项目采购人、采购代理机构、项目名称</w:t>
      </w:r>
      <w:r>
        <w:rPr>
          <w:rFonts w:hint="eastAsia" w:ascii="宋体" w:hAnsi="宋体"/>
          <w:szCs w:val="21"/>
        </w:rPr>
        <w:t>、</w:t>
      </w:r>
      <w:r>
        <w:rPr>
          <w:rFonts w:ascii="宋体" w:hAnsi="宋体"/>
          <w:szCs w:val="21"/>
        </w:rPr>
        <w:t>项目编号</w:t>
      </w:r>
      <w:r>
        <w:rPr>
          <w:rFonts w:hint="eastAsia" w:ascii="宋体" w:hAnsi="宋体"/>
          <w:szCs w:val="21"/>
        </w:rPr>
        <w:t>、项目预算及最高限价</w:t>
      </w:r>
      <w:r>
        <w:rPr>
          <w:rFonts w:ascii="宋体" w:hAnsi="宋体"/>
          <w:szCs w:val="21"/>
        </w:rPr>
        <w:t>：见“</w:t>
      </w:r>
      <w:r>
        <w:rPr>
          <w:rFonts w:ascii="宋体" w:hAnsi="宋体"/>
          <w:bCs/>
          <w:szCs w:val="21"/>
        </w:rPr>
        <w:t>供应商须知前附表</w:t>
      </w:r>
      <w:r>
        <w:rPr>
          <w:rFonts w:ascii="宋体" w:hAnsi="宋体"/>
          <w:szCs w:val="21"/>
        </w:rPr>
        <w:t>”。</w:t>
      </w:r>
    </w:p>
    <w:p w14:paraId="62F2581A">
      <w:pPr>
        <w:pStyle w:val="4"/>
        <w:numPr>
          <w:ilvl w:val="0"/>
          <w:numId w:val="1"/>
        </w:numPr>
        <w:tabs>
          <w:tab w:val="left" w:pos="502"/>
        </w:tabs>
        <w:spacing w:before="0" w:after="0"/>
        <w:jc w:val="both"/>
        <w:rPr>
          <w:rFonts w:hAnsi="宋体"/>
          <w:szCs w:val="24"/>
        </w:rPr>
      </w:pPr>
      <w:bookmarkStart w:id="97" w:name="_Toc337822215"/>
      <w:bookmarkStart w:id="98" w:name="_Toc10808"/>
      <w:bookmarkStart w:id="99" w:name="_Toc265142411"/>
      <w:bookmarkStart w:id="100" w:name="_Toc27818"/>
      <w:bookmarkStart w:id="101" w:name="_Toc54095477"/>
      <w:r>
        <w:rPr>
          <w:rFonts w:hAnsi="宋体"/>
          <w:szCs w:val="24"/>
        </w:rPr>
        <w:t>资金来源</w:t>
      </w:r>
      <w:bookmarkEnd w:id="97"/>
      <w:bookmarkEnd w:id="98"/>
      <w:bookmarkEnd w:id="99"/>
      <w:bookmarkEnd w:id="100"/>
      <w:bookmarkEnd w:id="101"/>
    </w:p>
    <w:p w14:paraId="79E2AD22">
      <w:pPr>
        <w:spacing w:line="360" w:lineRule="auto"/>
        <w:ind w:firstLine="420" w:firstLineChars="200"/>
        <w:jc w:val="left"/>
        <w:rPr>
          <w:rFonts w:ascii="宋体" w:hAnsi="宋体"/>
          <w:szCs w:val="21"/>
        </w:rPr>
      </w:pPr>
      <w:r>
        <w:rPr>
          <w:rFonts w:ascii="宋体" w:hAnsi="宋体"/>
          <w:szCs w:val="21"/>
        </w:rPr>
        <w:t>2.1 “</w:t>
      </w:r>
      <w:r>
        <w:rPr>
          <w:rFonts w:ascii="宋体" w:hAnsi="宋体"/>
          <w:bCs/>
          <w:szCs w:val="21"/>
        </w:rPr>
        <w:t>供应商须知前附表</w:t>
      </w:r>
      <w:r>
        <w:rPr>
          <w:rFonts w:ascii="宋体" w:hAnsi="宋体"/>
          <w:szCs w:val="21"/>
        </w:rPr>
        <w:t>”中所述的采购人已获得一笔政府采购资金，用于采购“</w:t>
      </w:r>
      <w:r>
        <w:rPr>
          <w:rFonts w:ascii="宋体" w:hAnsi="宋体"/>
          <w:bCs/>
          <w:szCs w:val="21"/>
        </w:rPr>
        <w:t>货物需求一览表</w:t>
      </w:r>
      <w:r>
        <w:rPr>
          <w:rFonts w:ascii="宋体" w:hAnsi="宋体"/>
          <w:szCs w:val="21"/>
        </w:rPr>
        <w:t>”所列货物。</w:t>
      </w:r>
    </w:p>
    <w:p w14:paraId="79D49CC5">
      <w:pPr>
        <w:pStyle w:val="4"/>
        <w:numPr>
          <w:ilvl w:val="0"/>
          <w:numId w:val="1"/>
        </w:numPr>
        <w:tabs>
          <w:tab w:val="left" w:pos="502"/>
        </w:tabs>
        <w:spacing w:before="0" w:after="0"/>
        <w:jc w:val="both"/>
        <w:rPr>
          <w:rFonts w:hAnsi="宋体"/>
          <w:szCs w:val="24"/>
        </w:rPr>
      </w:pPr>
      <w:bookmarkStart w:id="102" w:name="_Toc29379"/>
      <w:bookmarkStart w:id="103" w:name="_Toc13928"/>
      <w:bookmarkStart w:id="104" w:name="_Toc337822216"/>
      <w:bookmarkStart w:id="105" w:name="_Toc54095478"/>
      <w:bookmarkStart w:id="106" w:name="_Toc265142412"/>
      <w:r>
        <w:rPr>
          <w:rFonts w:hAnsi="宋体"/>
          <w:szCs w:val="24"/>
        </w:rPr>
        <w:t>采购范围及交货期</w:t>
      </w:r>
      <w:bookmarkEnd w:id="102"/>
      <w:bookmarkEnd w:id="103"/>
      <w:bookmarkEnd w:id="104"/>
      <w:bookmarkEnd w:id="105"/>
      <w:bookmarkEnd w:id="106"/>
    </w:p>
    <w:p w14:paraId="7551429B">
      <w:pPr>
        <w:spacing w:line="360" w:lineRule="auto"/>
        <w:ind w:firstLine="420" w:firstLineChars="200"/>
        <w:jc w:val="left"/>
        <w:rPr>
          <w:rFonts w:ascii="宋体" w:hAnsi="宋体"/>
          <w:szCs w:val="21"/>
        </w:rPr>
      </w:pPr>
      <w:r>
        <w:rPr>
          <w:rFonts w:ascii="宋体" w:hAnsi="宋体"/>
          <w:szCs w:val="21"/>
        </w:rPr>
        <w:t>3.1 本项目</w:t>
      </w:r>
      <w:r>
        <w:rPr>
          <w:rFonts w:hint="eastAsia" w:ascii="宋体" w:hAnsi="宋体"/>
          <w:szCs w:val="21"/>
        </w:rPr>
        <w:t>采购</w:t>
      </w:r>
      <w:r>
        <w:rPr>
          <w:rFonts w:ascii="宋体" w:hAnsi="宋体"/>
          <w:szCs w:val="21"/>
        </w:rPr>
        <w:t>范围：见“</w:t>
      </w:r>
      <w:r>
        <w:rPr>
          <w:rFonts w:ascii="宋体" w:hAnsi="宋体"/>
          <w:bCs/>
          <w:szCs w:val="21"/>
        </w:rPr>
        <w:t>供应商须知前附表</w:t>
      </w:r>
      <w:r>
        <w:rPr>
          <w:rFonts w:ascii="宋体" w:hAnsi="宋体"/>
          <w:szCs w:val="21"/>
        </w:rPr>
        <w:t>”。</w:t>
      </w:r>
    </w:p>
    <w:p w14:paraId="5C5CFCF6">
      <w:pPr>
        <w:spacing w:line="360" w:lineRule="auto"/>
        <w:ind w:firstLine="420" w:firstLineChars="200"/>
        <w:jc w:val="left"/>
        <w:rPr>
          <w:rFonts w:ascii="宋体" w:hAnsi="宋体"/>
          <w:szCs w:val="21"/>
        </w:rPr>
      </w:pPr>
      <w:r>
        <w:rPr>
          <w:rFonts w:ascii="宋体" w:hAnsi="宋体"/>
          <w:szCs w:val="21"/>
        </w:rPr>
        <w:t>3.2 本项目交货期：见“供应商须知前附表”。</w:t>
      </w:r>
    </w:p>
    <w:p w14:paraId="20BFA04D">
      <w:pPr>
        <w:pStyle w:val="4"/>
        <w:numPr>
          <w:ilvl w:val="0"/>
          <w:numId w:val="1"/>
        </w:numPr>
        <w:tabs>
          <w:tab w:val="left" w:pos="502"/>
        </w:tabs>
        <w:spacing w:before="0" w:after="0"/>
        <w:jc w:val="both"/>
        <w:rPr>
          <w:rFonts w:hAnsi="宋体"/>
          <w:szCs w:val="24"/>
        </w:rPr>
      </w:pPr>
      <w:bookmarkStart w:id="107" w:name="_Toc19922"/>
      <w:bookmarkStart w:id="108" w:name="_Toc337822217"/>
      <w:bookmarkStart w:id="109" w:name="_Toc18613"/>
      <w:bookmarkStart w:id="110" w:name="_Toc54095479"/>
      <w:r>
        <w:rPr>
          <w:rFonts w:hAnsi="宋体"/>
          <w:szCs w:val="24"/>
        </w:rPr>
        <w:t>合格的供应商（以下简称供应商）</w:t>
      </w:r>
      <w:bookmarkEnd w:id="107"/>
      <w:bookmarkEnd w:id="108"/>
      <w:bookmarkEnd w:id="109"/>
      <w:bookmarkEnd w:id="110"/>
    </w:p>
    <w:p w14:paraId="501C921F">
      <w:pPr>
        <w:spacing w:line="360" w:lineRule="auto"/>
        <w:ind w:left="501" w:leftChars="239"/>
        <w:jc w:val="left"/>
        <w:rPr>
          <w:rFonts w:ascii="宋体" w:hAnsi="宋体"/>
          <w:szCs w:val="21"/>
        </w:rPr>
      </w:pPr>
      <w:bookmarkStart w:id="111" w:name="_Hlt200176664"/>
      <w:bookmarkEnd w:id="111"/>
      <w:bookmarkStart w:id="112" w:name="_Toc337822218"/>
      <w:r>
        <w:rPr>
          <w:rFonts w:ascii="宋体" w:hAnsi="宋体"/>
          <w:szCs w:val="21"/>
        </w:rPr>
        <w:t>4.1 参加谈判的供应商应具备《中华人民共和国政府采购法》第二十二条规定的条件。</w:t>
      </w:r>
    </w:p>
    <w:p w14:paraId="02C6FE0C">
      <w:pPr>
        <w:spacing w:line="360" w:lineRule="auto"/>
        <w:ind w:firstLine="501" w:firstLineChars="239"/>
        <w:jc w:val="left"/>
        <w:rPr>
          <w:rFonts w:ascii="宋体" w:hAnsi="宋体"/>
          <w:szCs w:val="21"/>
        </w:rPr>
      </w:pPr>
      <w:r>
        <w:rPr>
          <w:rFonts w:ascii="宋体" w:hAnsi="宋体"/>
          <w:szCs w:val="21"/>
        </w:rPr>
        <w:t>4.2 参加谈判的供应商应符合采购人根据采购项目的特殊要求规定的特定条件。特定条件见“</w:t>
      </w:r>
      <w:r>
        <w:rPr>
          <w:rFonts w:hint="eastAsia" w:ascii="宋体" w:hAnsi="宋体"/>
          <w:szCs w:val="21"/>
        </w:rPr>
        <w:t>谈判邀请书</w:t>
      </w:r>
      <w:r>
        <w:rPr>
          <w:rFonts w:ascii="宋体" w:hAnsi="宋体"/>
          <w:szCs w:val="21"/>
        </w:rPr>
        <w:t>”。</w:t>
      </w:r>
    </w:p>
    <w:p w14:paraId="07C08D4A">
      <w:pPr>
        <w:spacing w:line="360" w:lineRule="auto"/>
        <w:ind w:firstLine="420" w:firstLineChars="200"/>
        <w:jc w:val="left"/>
        <w:rPr>
          <w:rFonts w:ascii="宋体" w:hAnsi="宋体"/>
          <w:szCs w:val="21"/>
        </w:rPr>
      </w:pPr>
      <w:r>
        <w:rPr>
          <w:rFonts w:ascii="宋体" w:hAnsi="宋体"/>
          <w:szCs w:val="21"/>
        </w:rPr>
        <w:t>4.3参加谈判的供应商</w:t>
      </w:r>
      <w:r>
        <w:rPr>
          <w:rFonts w:hint="eastAsia" w:ascii="宋体" w:hAnsi="宋体"/>
          <w:szCs w:val="21"/>
        </w:rPr>
        <w:t>不得是直接或间接地与为本次采购的货物提供整体设计、规范编制或者项目管理、监理、检测等服务的供应商。供应商名单详见“供应商须知前附表”。</w:t>
      </w:r>
    </w:p>
    <w:p w14:paraId="1E5529C9">
      <w:pPr>
        <w:spacing w:line="360" w:lineRule="auto"/>
        <w:ind w:firstLine="420" w:firstLineChars="200"/>
        <w:jc w:val="left"/>
        <w:rPr>
          <w:rFonts w:ascii="宋体" w:hAnsi="宋体"/>
          <w:szCs w:val="21"/>
        </w:rPr>
      </w:pPr>
      <w:r>
        <w:rPr>
          <w:rFonts w:hint="eastAsia" w:ascii="宋体" w:hAnsi="宋体"/>
          <w:szCs w:val="21"/>
        </w:rPr>
        <w:t>若发现相关供应商参加投标的，可按本章第24项要求向云南省政府采购和出让中心或采购人提出书面质疑。</w:t>
      </w:r>
    </w:p>
    <w:p w14:paraId="365D772F">
      <w:pPr>
        <w:spacing w:line="360" w:lineRule="auto"/>
        <w:ind w:firstLine="501" w:firstLineChars="239"/>
        <w:jc w:val="left"/>
        <w:rPr>
          <w:rFonts w:ascii="宋体"/>
          <w:szCs w:val="21"/>
        </w:rPr>
      </w:pPr>
      <w:r>
        <w:rPr>
          <w:rFonts w:hint="eastAsia" w:ascii="宋体" w:hAnsi="宋体"/>
          <w:szCs w:val="21"/>
        </w:rPr>
        <w:t>4.4</w:t>
      </w:r>
      <w:r>
        <w:rPr>
          <w:szCs w:val="21"/>
        </w:rPr>
        <w:t>若多个供应商所报</w:t>
      </w:r>
      <w:r>
        <w:rPr>
          <w:rFonts w:hint="eastAsia"/>
          <w:szCs w:val="21"/>
        </w:rPr>
        <w:t>产品</w:t>
      </w:r>
      <w:r>
        <w:rPr>
          <w:szCs w:val="21"/>
        </w:rPr>
        <w:t>均为同一品牌同一型号，</w:t>
      </w:r>
      <w:r>
        <w:rPr>
          <w:rFonts w:hint="eastAsia" w:ascii="宋体"/>
          <w:szCs w:val="21"/>
        </w:rPr>
        <w:t>以其中通过资格审查、符合性审查</w:t>
      </w:r>
      <w:r>
        <w:rPr>
          <w:szCs w:val="21"/>
        </w:rPr>
        <w:t>且第一次报价最低的一家供应商参加谈判；若报价相同时，按照最有利于采购人利益的原则，由谈判小组综合评定</w:t>
      </w:r>
      <w:r>
        <w:rPr>
          <w:rFonts w:hint="eastAsia" w:ascii="宋体"/>
          <w:szCs w:val="21"/>
        </w:rPr>
        <w:t>后确定一个参加谈判的供应商，其他供应商响应文件无效。</w:t>
      </w:r>
    </w:p>
    <w:p w14:paraId="201D38BA">
      <w:pPr>
        <w:pStyle w:val="22"/>
        <w:spacing w:before="165"/>
        <w:ind w:firstLine="420"/>
        <w:rPr>
          <w:rFonts w:ascii="Times New Roman" w:eastAsia="宋体"/>
          <w:spacing w:val="0"/>
          <w:szCs w:val="21"/>
        </w:rPr>
      </w:pPr>
      <w:r>
        <w:rPr>
          <w:rFonts w:hint="eastAsia" w:ascii="宋体" w:eastAsia="宋体"/>
          <w:spacing w:val="0"/>
          <w:szCs w:val="21"/>
        </w:rPr>
        <w:t>4.5单位负责人为同一人或者存在直接控股、管理关系的不同供应商，不得参加同一合同项下的政府采购活动。</w:t>
      </w:r>
    </w:p>
    <w:p w14:paraId="644745CC">
      <w:pPr>
        <w:spacing w:line="360" w:lineRule="auto"/>
        <w:ind w:firstLine="420" w:firstLineChars="200"/>
        <w:jc w:val="left"/>
        <w:rPr>
          <w:rFonts w:ascii="宋体"/>
          <w:szCs w:val="21"/>
        </w:rPr>
      </w:pPr>
      <w:r>
        <w:rPr>
          <w:rFonts w:hint="eastAsia" w:ascii="宋体"/>
          <w:szCs w:val="21"/>
        </w:rPr>
        <w:t>4.6“供应商须知前附表”规定接受联合体参与谈判的，联合体各方还应遵守以下规定：</w:t>
      </w:r>
    </w:p>
    <w:p w14:paraId="2C7F4BC6">
      <w:pPr>
        <w:spacing w:line="360" w:lineRule="auto"/>
        <w:ind w:firstLine="420" w:firstLineChars="200"/>
        <w:jc w:val="left"/>
        <w:rPr>
          <w:rFonts w:ascii="宋体"/>
          <w:szCs w:val="21"/>
        </w:rPr>
      </w:pPr>
      <w:r>
        <w:rPr>
          <w:rFonts w:hint="eastAsia" w:ascii="宋体"/>
          <w:szCs w:val="21"/>
        </w:rPr>
        <w:t>4.6.1 联合体各方均应具备《中华人民共和国政府采购法》第二十二条规定的条件；</w:t>
      </w:r>
    </w:p>
    <w:p w14:paraId="313B139D">
      <w:pPr>
        <w:spacing w:line="360" w:lineRule="auto"/>
        <w:ind w:firstLine="420" w:firstLineChars="200"/>
        <w:jc w:val="left"/>
        <w:rPr>
          <w:rFonts w:ascii="宋体"/>
          <w:szCs w:val="21"/>
        </w:rPr>
      </w:pPr>
      <w:r>
        <w:rPr>
          <w:rFonts w:hint="eastAsia" w:ascii="宋体"/>
          <w:szCs w:val="21"/>
        </w:rPr>
        <w:t>4.6.2 采购人根据采购项目的特殊要求规定供应商特定条件的，联合体各方均应符合本项目的特定条件；</w:t>
      </w:r>
    </w:p>
    <w:p w14:paraId="363BDDC0">
      <w:pPr>
        <w:spacing w:line="360" w:lineRule="auto"/>
        <w:ind w:firstLine="420" w:firstLineChars="200"/>
        <w:jc w:val="left"/>
        <w:rPr>
          <w:rFonts w:ascii="宋体"/>
          <w:szCs w:val="21"/>
        </w:rPr>
      </w:pPr>
      <w:r>
        <w:rPr>
          <w:rFonts w:hint="eastAsia" w:ascii="宋体"/>
          <w:szCs w:val="21"/>
        </w:rPr>
        <w:t>4.6.3 联合体各方在投标截止时间前均未被列入“失信被执行人”、“重大税收违法案件当事人名单”、“政府采购严重违法失信名单”。</w:t>
      </w:r>
    </w:p>
    <w:p w14:paraId="695210AE">
      <w:pPr>
        <w:spacing w:line="360" w:lineRule="auto"/>
        <w:ind w:firstLine="420" w:firstLineChars="200"/>
        <w:jc w:val="left"/>
        <w:rPr>
          <w:rFonts w:ascii="宋体"/>
          <w:szCs w:val="21"/>
        </w:rPr>
      </w:pPr>
      <w:r>
        <w:rPr>
          <w:rFonts w:hint="eastAsia" w:ascii="宋体"/>
          <w:szCs w:val="21"/>
        </w:rPr>
        <w:t>4.6.4 联合体各方之间应当签订共同投标协议，明确约定联合体各方承担的工作和相应的责任，并将共同投标协议连同响应文件一并提交；</w:t>
      </w:r>
    </w:p>
    <w:p w14:paraId="4D6B151C">
      <w:pPr>
        <w:spacing w:line="360" w:lineRule="auto"/>
        <w:ind w:firstLine="420" w:firstLineChars="200"/>
        <w:jc w:val="left"/>
        <w:rPr>
          <w:rFonts w:ascii="宋体"/>
          <w:szCs w:val="21"/>
        </w:rPr>
      </w:pPr>
      <w:r>
        <w:rPr>
          <w:rFonts w:hint="eastAsia" w:ascii="宋体"/>
          <w:szCs w:val="21"/>
        </w:rPr>
        <w:t>4.6.5 联合体各方不得再以自己名义单独或参加其他联合体在同一项目中投标。</w:t>
      </w:r>
    </w:p>
    <w:p w14:paraId="0DDD986E">
      <w:pPr>
        <w:spacing w:line="360" w:lineRule="auto"/>
        <w:ind w:firstLine="420" w:firstLineChars="200"/>
        <w:jc w:val="left"/>
        <w:rPr>
          <w:rFonts w:eastAsia="楷体_GB2312"/>
        </w:rPr>
      </w:pPr>
      <w:r>
        <w:rPr>
          <w:rFonts w:hint="eastAsia" w:ascii="宋体"/>
          <w:szCs w:val="21"/>
        </w:rPr>
        <w:t>4.7符合上述条件的供应商应承担谈判及履约中应承担的全部责任与义务。</w:t>
      </w:r>
    </w:p>
    <w:p w14:paraId="1203E30C">
      <w:pPr>
        <w:pStyle w:val="4"/>
        <w:numPr>
          <w:ilvl w:val="0"/>
          <w:numId w:val="1"/>
        </w:numPr>
        <w:tabs>
          <w:tab w:val="left" w:pos="502"/>
        </w:tabs>
        <w:spacing w:before="0" w:after="0"/>
        <w:jc w:val="both"/>
        <w:rPr>
          <w:rFonts w:hAnsi="宋体"/>
          <w:szCs w:val="24"/>
        </w:rPr>
      </w:pPr>
      <w:bookmarkStart w:id="113" w:name="_Toc54095480"/>
      <w:bookmarkStart w:id="114" w:name="_Toc18266"/>
      <w:bookmarkStart w:id="115" w:name="_Toc14612"/>
      <w:r>
        <w:rPr>
          <w:rFonts w:hAnsi="宋体"/>
          <w:szCs w:val="24"/>
        </w:rPr>
        <w:t>谈判费用</w:t>
      </w:r>
      <w:bookmarkEnd w:id="112"/>
      <w:bookmarkEnd w:id="113"/>
      <w:bookmarkEnd w:id="114"/>
      <w:bookmarkEnd w:id="115"/>
    </w:p>
    <w:p w14:paraId="30004F3D">
      <w:pPr>
        <w:spacing w:line="360" w:lineRule="auto"/>
        <w:ind w:firstLine="420" w:firstLineChars="200"/>
        <w:rPr>
          <w:rFonts w:ascii="宋体" w:hAnsi="宋体"/>
          <w:szCs w:val="21"/>
        </w:rPr>
      </w:pPr>
      <w:r>
        <w:rPr>
          <w:rFonts w:ascii="宋体" w:hAnsi="宋体"/>
          <w:szCs w:val="21"/>
        </w:rPr>
        <w:t>无论是否成交，供应商自行承担所有与参加谈判有关的全部费用。</w:t>
      </w:r>
    </w:p>
    <w:p w14:paraId="63384F96">
      <w:pPr>
        <w:pStyle w:val="3"/>
        <w:numPr>
          <w:ilvl w:val="1"/>
          <w:numId w:val="0"/>
        </w:numPr>
        <w:spacing w:before="0" w:after="0"/>
        <w:ind w:left="425"/>
        <w:rPr>
          <w:rFonts w:ascii="宋体" w:hAnsi="宋体"/>
          <w:szCs w:val="28"/>
        </w:rPr>
      </w:pPr>
      <w:bookmarkStart w:id="116" w:name="_Toc24172"/>
      <w:bookmarkStart w:id="117" w:name="_Toc54095481"/>
      <w:bookmarkStart w:id="118" w:name="_Toc29310"/>
      <w:bookmarkStart w:id="119" w:name="_Toc86124047"/>
      <w:bookmarkStart w:id="120" w:name="_Toc337822219"/>
      <w:r>
        <w:rPr>
          <w:rFonts w:ascii="宋体" w:hAnsi="宋体"/>
          <w:szCs w:val="28"/>
        </w:rPr>
        <w:t>二、谈判文件</w:t>
      </w:r>
      <w:bookmarkEnd w:id="116"/>
      <w:bookmarkEnd w:id="117"/>
      <w:bookmarkEnd w:id="118"/>
      <w:bookmarkEnd w:id="119"/>
      <w:bookmarkEnd w:id="120"/>
    </w:p>
    <w:p w14:paraId="73F89EC5">
      <w:pPr>
        <w:pStyle w:val="4"/>
        <w:numPr>
          <w:ilvl w:val="0"/>
          <w:numId w:val="1"/>
        </w:numPr>
        <w:tabs>
          <w:tab w:val="left" w:pos="502"/>
        </w:tabs>
        <w:spacing w:before="0" w:after="0"/>
        <w:jc w:val="both"/>
        <w:rPr>
          <w:rFonts w:hAnsi="宋体"/>
          <w:szCs w:val="24"/>
        </w:rPr>
      </w:pPr>
      <w:bookmarkStart w:id="121" w:name="_Toc25316"/>
      <w:bookmarkStart w:id="122" w:name="_Toc54095482"/>
      <w:bookmarkStart w:id="123" w:name="_Toc26016"/>
      <w:bookmarkStart w:id="124" w:name="_Toc337822220"/>
      <w:r>
        <w:rPr>
          <w:rFonts w:hAnsi="宋体"/>
          <w:szCs w:val="24"/>
        </w:rPr>
        <w:t>谈判文件的组成</w:t>
      </w:r>
      <w:bookmarkEnd w:id="121"/>
      <w:bookmarkEnd w:id="122"/>
      <w:bookmarkEnd w:id="123"/>
      <w:bookmarkEnd w:id="124"/>
    </w:p>
    <w:p w14:paraId="6A7D9EF5">
      <w:pPr>
        <w:spacing w:line="360" w:lineRule="auto"/>
        <w:ind w:firstLine="420" w:firstLineChars="200"/>
        <w:jc w:val="left"/>
        <w:rPr>
          <w:rFonts w:ascii="宋体" w:hAnsi="宋体"/>
          <w:szCs w:val="21"/>
        </w:rPr>
      </w:pPr>
      <w:r>
        <w:rPr>
          <w:rFonts w:ascii="宋体" w:hAnsi="宋体"/>
          <w:szCs w:val="21"/>
        </w:rPr>
        <w:t>要求提供的货物、采购过程及合同条款在谈判文件中均有说明，谈判文件共六章，各章的内容如下：</w:t>
      </w:r>
    </w:p>
    <w:p w14:paraId="0C26496C">
      <w:pPr>
        <w:spacing w:line="360" w:lineRule="auto"/>
        <w:ind w:firstLine="630" w:firstLineChars="300"/>
        <w:jc w:val="left"/>
        <w:rPr>
          <w:rFonts w:ascii="宋体" w:hAnsi="宋体"/>
          <w:szCs w:val="21"/>
        </w:rPr>
      </w:pPr>
      <w:r>
        <w:rPr>
          <w:rFonts w:ascii="宋体" w:hAnsi="宋体"/>
          <w:szCs w:val="21"/>
        </w:rPr>
        <w:t>第一章谈判邀请书</w:t>
      </w:r>
    </w:p>
    <w:p w14:paraId="6A300AB1">
      <w:pPr>
        <w:spacing w:line="360" w:lineRule="auto"/>
        <w:ind w:firstLine="630" w:firstLineChars="300"/>
        <w:jc w:val="left"/>
        <w:rPr>
          <w:rFonts w:ascii="宋体" w:hAnsi="宋体"/>
          <w:szCs w:val="21"/>
        </w:rPr>
      </w:pPr>
      <w:r>
        <w:rPr>
          <w:rFonts w:ascii="宋体" w:hAnsi="宋体"/>
          <w:szCs w:val="21"/>
        </w:rPr>
        <w:t>第二章供应商须知</w:t>
      </w:r>
    </w:p>
    <w:p w14:paraId="4D7BBEAB">
      <w:pPr>
        <w:spacing w:line="360" w:lineRule="auto"/>
        <w:ind w:firstLine="630" w:firstLineChars="300"/>
        <w:jc w:val="left"/>
        <w:rPr>
          <w:rFonts w:ascii="宋体" w:hAnsi="宋体"/>
          <w:szCs w:val="21"/>
        </w:rPr>
      </w:pPr>
      <w:r>
        <w:rPr>
          <w:rFonts w:ascii="宋体" w:hAnsi="宋体"/>
          <w:szCs w:val="21"/>
        </w:rPr>
        <w:t>第三章合同书样式及主要条款</w:t>
      </w:r>
    </w:p>
    <w:p w14:paraId="319047D6">
      <w:pPr>
        <w:spacing w:line="360" w:lineRule="auto"/>
        <w:ind w:firstLine="630" w:firstLineChars="300"/>
        <w:jc w:val="left"/>
        <w:rPr>
          <w:rFonts w:ascii="宋体" w:hAnsi="宋体"/>
          <w:szCs w:val="21"/>
        </w:rPr>
      </w:pPr>
      <w:r>
        <w:rPr>
          <w:rFonts w:ascii="宋体" w:hAnsi="宋体"/>
          <w:szCs w:val="21"/>
        </w:rPr>
        <w:t>第四章响应文件格式</w:t>
      </w:r>
    </w:p>
    <w:p w14:paraId="32D2A204">
      <w:pPr>
        <w:spacing w:line="360" w:lineRule="auto"/>
        <w:ind w:firstLine="630" w:firstLineChars="300"/>
        <w:jc w:val="left"/>
        <w:rPr>
          <w:rFonts w:ascii="宋体" w:hAnsi="宋体"/>
          <w:szCs w:val="21"/>
        </w:rPr>
      </w:pPr>
      <w:r>
        <w:rPr>
          <w:rFonts w:ascii="宋体" w:hAnsi="宋体"/>
          <w:szCs w:val="21"/>
        </w:rPr>
        <w:t>第五章货物需求一览表</w:t>
      </w:r>
    </w:p>
    <w:p w14:paraId="12459A43">
      <w:pPr>
        <w:spacing w:line="360" w:lineRule="auto"/>
        <w:ind w:firstLine="630" w:firstLineChars="300"/>
        <w:jc w:val="left"/>
        <w:rPr>
          <w:rFonts w:ascii="宋体" w:hAnsi="宋体"/>
          <w:sz w:val="24"/>
        </w:rPr>
      </w:pPr>
      <w:r>
        <w:rPr>
          <w:rFonts w:ascii="宋体" w:hAnsi="宋体"/>
          <w:szCs w:val="21"/>
        </w:rPr>
        <w:t>第六章评审</w:t>
      </w:r>
      <w:r>
        <w:rPr>
          <w:rFonts w:hint="eastAsia" w:ascii="宋体" w:hAnsi="宋体"/>
          <w:szCs w:val="21"/>
        </w:rPr>
        <w:t>办法</w:t>
      </w:r>
    </w:p>
    <w:p w14:paraId="2E10FE4D">
      <w:pPr>
        <w:pStyle w:val="4"/>
        <w:numPr>
          <w:ilvl w:val="0"/>
          <w:numId w:val="1"/>
        </w:numPr>
        <w:tabs>
          <w:tab w:val="left" w:pos="502"/>
        </w:tabs>
        <w:spacing w:before="0" w:after="0"/>
        <w:jc w:val="both"/>
        <w:rPr>
          <w:rFonts w:hAnsi="宋体"/>
          <w:szCs w:val="24"/>
        </w:rPr>
      </w:pPr>
      <w:bookmarkStart w:id="125" w:name="_Toc86124049"/>
      <w:bookmarkStart w:id="126" w:name="_Toc337822221"/>
      <w:bookmarkStart w:id="127" w:name="_Toc54095483"/>
      <w:bookmarkStart w:id="128" w:name="_Toc12388"/>
      <w:bookmarkStart w:id="129" w:name="_Toc15173"/>
      <w:r>
        <w:rPr>
          <w:rFonts w:hAnsi="宋体"/>
          <w:szCs w:val="24"/>
        </w:rPr>
        <w:t>谈判文件的澄清</w:t>
      </w:r>
      <w:bookmarkEnd w:id="125"/>
      <w:r>
        <w:rPr>
          <w:rFonts w:hAnsi="宋体"/>
          <w:szCs w:val="24"/>
        </w:rPr>
        <w:t>、修改</w:t>
      </w:r>
      <w:bookmarkEnd w:id="126"/>
      <w:bookmarkEnd w:id="127"/>
      <w:bookmarkEnd w:id="128"/>
      <w:bookmarkEnd w:id="129"/>
    </w:p>
    <w:p w14:paraId="3ACB0743">
      <w:pPr>
        <w:spacing w:line="360" w:lineRule="auto"/>
        <w:ind w:firstLine="420" w:firstLineChars="200"/>
        <w:jc w:val="left"/>
        <w:rPr>
          <w:rFonts w:ascii="宋体" w:hAnsi="宋体"/>
          <w:szCs w:val="21"/>
        </w:rPr>
      </w:pPr>
      <w:r>
        <w:rPr>
          <w:rFonts w:ascii="宋体" w:hAnsi="宋体"/>
          <w:szCs w:val="21"/>
        </w:rPr>
        <w:t>7.1 参加谈判供应商应认真审核第五章“货物需求一览表”中的技术参数、配置及要求，如发现</w:t>
      </w:r>
      <w:r>
        <w:rPr>
          <w:rFonts w:hint="eastAsia" w:ascii="宋体" w:hAnsi="宋体"/>
          <w:szCs w:val="21"/>
        </w:rPr>
        <w:t>其</w:t>
      </w:r>
      <w:r>
        <w:rPr>
          <w:rFonts w:ascii="宋体" w:hAnsi="宋体"/>
          <w:szCs w:val="21"/>
        </w:rPr>
        <w:t>中技术参数、配置有误或要求不合理的，应在递交响应文件的截止时间前一天以书面形式（加盖公章）要求采购代理机构澄清。在规定时间内，对谈判文件未提出异议，即视为默认谈判文件的全部内容。</w:t>
      </w:r>
    </w:p>
    <w:p w14:paraId="5D868E41">
      <w:pPr>
        <w:spacing w:line="360" w:lineRule="auto"/>
        <w:ind w:firstLine="420" w:firstLineChars="200"/>
        <w:jc w:val="left"/>
        <w:rPr>
          <w:rFonts w:ascii="宋体" w:hAnsi="宋体"/>
          <w:szCs w:val="21"/>
        </w:rPr>
      </w:pPr>
      <w:r>
        <w:rPr>
          <w:rFonts w:ascii="宋体" w:hAnsi="宋体"/>
          <w:szCs w:val="21"/>
        </w:rPr>
        <w:t>7.2 采购代理机构将视情况予以书面或网上发布公告形式（</w:t>
      </w:r>
      <w:r>
        <w:rPr>
          <w:rFonts w:hint="eastAsia" w:ascii="宋体" w:hAnsi="宋体"/>
          <w:szCs w:val="21"/>
        </w:rPr>
        <w:t>详见发布媒体</w:t>
      </w:r>
      <w:r>
        <w:rPr>
          <w:rFonts w:ascii="宋体" w:hAnsi="宋体"/>
          <w:szCs w:val="21"/>
        </w:rPr>
        <w:t>）答复所有谈判文件收受人（答复中不包含问题的来源）要求澄清的问题，其他澄清方式无效。</w:t>
      </w:r>
    </w:p>
    <w:p w14:paraId="6B317555">
      <w:pPr>
        <w:spacing w:line="360" w:lineRule="auto"/>
        <w:ind w:firstLine="420" w:firstLineChars="200"/>
        <w:jc w:val="left"/>
        <w:rPr>
          <w:rFonts w:ascii="宋体" w:hAnsi="宋体"/>
          <w:szCs w:val="21"/>
        </w:rPr>
      </w:pPr>
      <w:r>
        <w:rPr>
          <w:rFonts w:ascii="宋体" w:hAnsi="宋体"/>
          <w:szCs w:val="21"/>
        </w:rPr>
        <w:t>7.3 谈判文件澄清联系方式见“供应商须知前附表”。</w:t>
      </w:r>
    </w:p>
    <w:p w14:paraId="2D0D386C">
      <w:pPr>
        <w:spacing w:line="360" w:lineRule="auto"/>
        <w:ind w:firstLine="420" w:firstLineChars="200"/>
        <w:jc w:val="left"/>
        <w:rPr>
          <w:rFonts w:ascii="宋体" w:hAnsi="宋体"/>
          <w:szCs w:val="21"/>
        </w:rPr>
      </w:pPr>
      <w:r>
        <w:rPr>
          <w:rFonts w:ascii="宋体" w:hAnsi="宋体"/>
          <w:szCs w:val="21"/>
        </w:rPr>
        <w:t>7.4 采购代理机构对已发出的谈判文件进行必要澄清或者修改的，将以书面形式</w:t>
      </w:r>
      <w:r>
        <w:rPr>
          <w:rFonts w:hint="eastAsia" w:ascii="宋体" w:hAnsi="宋体"/>
          <w:szCs w:val="21"/>
        </w:rPr>
        <w:t>或网上发布公告方式</w:t>
      </w:r>
      <w:r>
        <w:rPr>
          <w:rFonts w:ascii="宋体" w:hAnsi="宋体"/>
          <w:szCs w:val="21"/>
        </w:rPr>
        <w:t>通知所有谈判文件收受人，该澄清或者修改的内容为谈判文件的组成部分，对采购代理机构和谈判供应商都有同等的约束力。</w:t>
      </w:r>
    </w:p>
    <w:p w14:paraId="63263EBA">
      <w:pPr>
        <w:spacing w:line="360" w:lineRule="auto"/>
        <w:ind w:firstLine="420" w:firstLineChars="200"/>
        <w:jc w:val="left"/>
        <w:rPr>
          <w:rFonts w:ascii="宋体" w:hAnsi="宋体"/>
          <w:sz w:val="24"/>
        </w:rPr>
      </w:pPr>
      <w:r>
        <w:rPr>
          <w:rFonts w:ascii="宋体" w:hAnsi="宋体"/>
          <w:szCs w:val="21"/>
        </w:rPr>
        <w:t>7.5采购代理机构和采购人可以视采购具体情况，推迟递交响应文件截止时间，并将变更时间书面</w:t>
      </w:r>
      <w:r>
        <w:rPr>
          <w:rFonts w:hint="eastAsia" w:ascii="宋体" w:hAnsi="宋体"/>
          <w:szCs w:val="21"/>
        </w:rPr>
        <w:t>或网上发布公告形式</w:t>
      </w:r>
      <w:r>
        <w:rPr>
          <w:rFonts w:ascii="宋体" w:hAnsi="宋体"/>
          <w:szCs w:val="21"/>
        </w:rPr>
        <w:t>通知所有谈判文件收受人。</w:t>
      </w:r>
    </w:p>
    <w:p w14:paraId="5027066C">
      <w:pPr>
        <w:pStyle w:val="3"/>
        <w:numPr>
          <w:ilvl w:val="1"/>
          <w:numId w:val="0"/>
        </w:numPr>
        <w:spacing w:before="0" w:after="0"/>
        <w:ind w:left="425"/>
        <w:rPr>
          <w:rFonts w:ascii="宋体" w:hAnsi="宋体"/>
          <w:szCs w:val="28"/>
        </w:rPr>
      </w:pPr>
      <w:bookmarkStart w:id="130" w:name="_Toc337822222"/>
      <w:bookmarkStart w:id="131" w:name="_Toc54095484"/>
      <w:bookmarkStart w:id="132" w:name="_Toc86124051"/>
      <w:bookmarkStart w:id="133" w:name="_Toc17829"/>
      <w:bookmarkStart w:id="134" w:name="_Toc20315"/>
      <w:r>
        <w:rPr>
          <w:rFonts w:ascii="宋体" w:hAnsi="宋体"/>
          <w:szCs w:val="28"/>
        </w:rPr>
        <w:t>三、响应文件的编制</w:t>
      </w:r>
      <w:bookmarkEnd w:id="130"/>
      <w:bookmarkEnd w:id="131"/>
      <w:bookmarkEnd w:id="132"/>
      <w:bookmarkEnd w:id="133"/>
      <w:bookmarkEnd w:id="134"/>
    </w:p>
    <w:p w14:paraId="0C31ABFE">
      <w:pPr>
        <w:pStyle w:val="4"/>
        <w:numPr>
          <w:ilvl w:val="0"/>
          <w:numId w:val="1"/>
        </w:numPr>
        <w:tabs>
          <w:tab w:val="left" w:pos="502"/>
        </w:tabs>
        <w:spacing w:before="0" w:after="0"/>
        <w:jc w:val="both"/>
        <w:rPr>
          <w:rFonts w:hAnsi="宋体"/>
          <w:szCs w:val="24"/>
        </w:rPr>
      </w:pPr>
      <w:bookmarkStart w:id="135" w:name="_Toc31564"/>
      <w:bookmarkStart w:id="136" w:name="_Toc337822223"/>
      <w:bookmarkStart w:id="137" w:name="_Toc86124052"/>
      <w:bookmarkStart w:id="138" w:name="_Toc54095485"/>
      <w:bookmarkStart w:id="139" w:name="_Toc21375"/>
      <w:r>
        <w:rPr>
          <w:rFonts w:hAnsi="宋体"/>
          <w:szCs w:val="24"/>
        </w:rPr>
        <w:t>响应文件编写注意事项</w:t>
      </w:r>
      <w:bookmarkEnd w:id="135"/>
      <w:bookmarkEnd w:id="136"/>
      <w:bookmarkEnd w:id="137"/>
      <w:bookmarkEnd w:id="138"/>
      <w:bookmarkEnd w:id="139"/>
    </w:p>
    <w:p w14:paraId="2AB3E9B0">
      <w:pPr>
        <w:spacing w:line="360" w:lineRule="auto"/>
        <w:ind w:firstLine="420" w:firstLineChars="200"/>
        <w:jc w:val="left"/>
        <w:rPr>
          <w:rFonts w:ascii="宋体" w:hAnsi="宋体"/>
          <w:szCs w:val="21"/>
        </w:rPr>
      </w:pPr>
      <w:r>
        <w:rPr>
          <w:rFonts w:ascii="宋体" w:hAnsi="宋体"/>
          <w:szCs w:val="21"/>
        </w:rPr>
        <w:t>8.1 供应商应仔细阅读谈判文件，在完全了解采购的内容、技术性能要求（见第五章</w:t>
      </w:r>
      <w:r>
        <w:rPr>
          <w:rFonts w:hint="eastAsia" w:ascii="宋体" w:hAnsi="宋体"/>
          <w:szCs w:val="21"/>
        </w:rPr>
        <w:t>“</w:t>
      </w:r>
      <w:r>
        <w:rPr>
          <w:rFonts w:ascii="宋体" w:hAnsi="宋体"/>
          <w:szCs w:val="21"/>
        </w:rPr>
        <w:t>货物需求一览表</w:t>
      </w:r>
      <w:r>
        <w:rPr>
          <w:rFonts w:hint="eastAsia" w:ascii="宋体" w:hAnsi="宋体"/>
          <w:szCs w:val="21"/>
        </w:rPr>
        <w:t>”</w:t>
      </w:r>
      <w:r>
        <w:rPr>
          <w:rFonts w:ascii="宋体" w:hAnsi="宋体"/>
          <w:szCs w:val="21"/>
        </w:rPr>
        <w:t>）和商务条件后，编写响应文件。</w:t>
      </w:r>
    </w:p>
    <w:p w14:paraId="735F8399">
      <w:pPr>
        <w:spacing w:line="360" w:lineRule="auto"/>
        <w:ind w:firstLine="420" w:firstLineChars="200"/>
        <w:jc w:val="left"/>
        <w:rPr>
          <w:rFonts w:ascii="宋体" w:hAnsi="宋体"/>
          <w:szCs w:val="21"/>
        </w:rPr>
      </w:pPr>
      <w:r>
        <w:rPr>
          <w:rFonts w:ascii="宋体" w:hAnsi="宋体"/>
          <w:szCs w:val="21"/>
        </w:rPr>
        <w:t>8.2 对谈判文件提出的实质性要求作出响应是指供应商必须对谈判文件中规定的实质性要求作出满足或者优于原要求的承诺。</w:t>
      </w:r>
    </w:p>
    <w:p w14:paraId="00C3B33E">
      <w:pPr>
        <w:spacing w:line="360" w:lineRule="auto"/>
        <w:ind w:firstLine="411" w:firstLineChars="196"/>
        <w:jc w:val="left"/>
        <w:rPr>
          <w:rFonts w:ascii="宋体" w:hAnsi="宋体"/>
          <w:b/>
          <w:szCs w:val="21"/>
        </w:rPr>
      </w:pPr>
      <w:r>
        <w:rPr>
          <w:rFonts w:ascii="宋体" w:hAnsi="宋体"/>
          <w:b/>
          <w:szCs w:val="21"/>
        </w:rPr>
        <w:t>8.3 谈判文件中注</w:t>
      </w:r>
      <w:r>
        <w:rPr>
          <w:rFonts w:hint="eastAsia" w:ascii="宋体" w:hAnsi="宋体" w:cs="宋体"/>
          <w:b/>
          <w:szCs w:val="21"/>
        </w:rPr>
        <w:t>★</w:t>
      </w:r>
      <w:r>
        <w:rPr>
          <w:rFonts w:ascii="宋体" w:hAnsi="宋体"/>
          <w:b/>
          <w:szCs w:val="21"/>
        </w:rPr>
        <w:t>号的部分为实质性要求。</w:t>
      </w:r>
    </w:p>
    <w:p w14:paraId="281DAEAB">
      <w:pPr>
        <w:pStyle w:val="4"/>
        <w:numPr>
          <w:ilvl w:val="0"/>
          <w:numId w:val="1"/>
        </w:numPr>
        <w:tabs>
          <w:tab w:val="left" w:pos="502"/>
        </w:tabs>
        <w:spacing w:before="0" w:after="0"/>
        <w:jc w:val="both"/>
        <w:rPr>
          <w:rFonts w:hAnsi="宋体"/>
          <w:szCs w:val="24"/>
        </w:rPr>
      </w:pPr>
      <w:bookmarkStart w:id="140" w:name="_Toc14323"/>
      <w:bookmarkStart w:id="141" w:name="_Toc86124054"/>
      <w:bookmarkStart w:id="142" w:name="_Toc54095486"/>
      <w:bookmarkStart w:id="143" w:name="_Toc32163"/>
      <w:bookmarkStart w:id="144" w:name="_Toc337822224"/>
      <w:r>
        <w:rPr>
          <w:rFonts w:hAnsi="宋体"/>
          <w:szCs w:val="24"/>
        </w:rPr>
        <w:t>响应文件构成</w:t>
      </w:r>
      <w:bookmarkEnd w:id="140"/>
      <w:bookmarkEnd w:id="141"/>
      <w:bookmarkEnd w:id="142"/>
      <w:bookmarkEnd w:id="143"/>
      <w:bookmarkEnd w:id="144"/>
    </w:p>
    <w:p w14:paraId="2B0474E5">
      <w:pPr>
        <w:spacing w:line="360" w:lineRule="auto"/>
        <w:ind w:firstLine="420" w:firstLineChars="200"/>
        <w:jc w:val="left"/>
        <w:rPr>
          <w:rFonts w:ascii="宋体" w:hAnsi="宋体" w:cs="宋体"/>
          <w:b/>
          <w:szCs w:val="21"/>
        </w:rPr>
      </w:pPr>
      <w:bookmarkStart w:id="145" w:name="_Toc86124056"/>
      <w:bookmarkStart w:id="146" w:name="_Toc54095487"/>
      <w:bookmarkStart w:id="147" w:name="_Toc3704"/>
      <w:bookmarkStart w:id="148" w:name="_Toc337822225"/>
      <w:r>
        <w:rPr>
          <w:rFonts w:hint="eastAsia" w:ascii="宋体" w:hAnsi="宋体" w:cs="宋体"/>
          <w:b/>
          <w:szCs w:val="21"/>
        </w:rPr>
        <w:t>9.1本项目所述的响应文件为电子响应文件。</w:t>
      </w:r>
    </w:p>
    <w:p w14:paraId="5120D278">
      <w:pPr>
        <w:spacing w:line="360" w:lineRule="auto"/>
        <w:ind w:firstLine="420" w:firstLineChars="200"/>
        <w:jc w:val="left"/>
        <w:rPr>
          <w:rFonts w:ascii="宋体" w:hAnsi="宋体" w:cs="宋体"/>
          <w:b/>
          <w:szCs w:val="21"/>
        </w:rPr>
      </w:pPr>
      <w:r>
        <w:rPr>
          <w:rFonts w:hint="eastAsia" w:ascii="宋体" w:hAnsi="宋体" w:cs="宋体"/>
          <w:szCs w:val="21"/>
        </w:rPr>
        <w:t>9.2供应商编写的响应文件应由下列部分构成：</w:t>
      </w:r>
    </w:p>
    <w:p w14:paraId="38B0FFEC">
      <w:pPr>
        <w:spacing w:line="360" w:lineRule="auto"/>
        <w:ind w:firstLine="210" w:firstLineChars="100"/>
        <w:jc w:val="left"/>
        <w:rPr>
          <w:rFonts w:ascii="宋体" w:hAnsi="宋体" w:cs="宋体"/>
          <w:b/>
          <w:szCs w:val="21"/>
        </w:rPr>
      </w:pPr>
      <w:r>
        <w:rPr>
          <w:rFonts w:hint="eastAsia" w:ascii="宋体" w:hAnsi="宋体" w:cs="宋体"/>
          <w:b/>
          <w:szCs w:val="21"/>
        </w:rPr>
        <w:t>（1）★响应文件（资格部分）</w:t>
      </w:r>
    </w:p>
    <w:p w14:paraId="3EF18F69">
      <w:pPr>
        <w:spacing w:line="360" w:lineRule="auto"/>
        <w:ind w:firstLine="420"/>
        <w:jc w:val="left"/>
        <w:rPr>
          <w:rFonts w:ascii="宋体" w:hAnsi="宋体" w:cs="宋体"/>
          <w:b/>
          <w:szCs w:val="21"/>
        </w:rPr>
      </w:pPr>
      <w:r>
        <w:rPr>
          <w:rFonts w:hint="eastAsia" w:ascii="宋体" w:hAnsi="宋体" w:cs="宋体"/>
          <w:szCs w:val="21"/>
        </w:rPr>
        <w:t>按第四章“响应文件格式”提供的格式及要求填写；</w:t>
      </w:r>
    </w:p>
    <w:p w14:paraId="2968DD0D">
      <w:pPr>
        <w:spacing w:line="360" w:lineRule="auto"/>
        <w:ind w:firstLine="210" w:firstLineChars="100"/>
        <w:jc w:val="left"/>
        <w:rPr>
          <w:rFonts w:ascii="宋体" w:hAnsi="宋体" w:cs="宋体"/>
          <w:b/>
          <w:bCs/>
          <w:szCs w:val="21"/>
        </w:rPr>
      </w:pPr>
      <w:r>
        <w:rPr>
          <w:rFonts w:hint="eastAsia" w:ascii="宋体" w:hAnsi="宋体" w:cs="宋体"/>
          <w:b/>
          <w:bCs/>
          <w:szCs w:val="21"/>
        </w:rPr>
        <w:t>（2）响应文件（商务报价部分）</w:t>
      </w:r>
    </w:p>
    <w:p w14:paraId="61853131">
      <w:pPr>
        <w:spacing w:line="360" w:lineRule="auto"/>
        <w:ind w:firstLine="420"/>
        <w:jc w:val="left"/>
        <w:rPr>
          <w:rFonts w:ascii="宋体" w:hAnsi="宋体" w:cs="宋体"/>
          <w:szCs w:val="21"/>
        </w:rPr>
      </w:pPr>
      <w:r>
        <w:rPr>
          <w:rFonts w:hint="eastAsia" w:ascii="宋体" w:hAnsi="宋体" w:cs="宋体"/>
          <w:szCs w:val="21"/>
        </w:rPr>
        <w:t>按第四章“响应文件格式”提供的格式及要求填写；</w:t>
      </w:r>
    </w:p>
    <w:p w14:paraId="69F6AD3E">
      <w:pPr>
        <w:spacing w:line="360" w:lineRule="auto"/>
        <w:ind w:firstLine="210" w:firstLineChars="100"/>
        <w:jc w:val="left"/>
        <w:rPr>
          <w:rFonts w:ascii="宋体" w:hAnsi="宋体" w:cs="宋体"/>
          <w:b/>
          <w:bCs/>
          <w:szCs w:val="21"/>
        </w:rPr>
      </w:pPr>
      <w:r>
        <w:rPr>
          <w:rFonts w:hint="eastAsia" w:ascii="宋体" w:hAnsi="宋体" w:cs="宋体"/>
          <w:b/>
          <w:bCs/>
          <w:szCs w:val="21"/>
        </w:rPr>
        <w:t>（3）响应文件（技术部分）；</w:t>
      </w:r>
    </w:p>
    <w:p w14:paraId="1D3E0778">
      <w:pPr>
        <w:spacing w:line="360" w:lineRule="auto"/>
        <w:ind w:firstLine="420" w:firstLineChars="200"/>
        <w:jc w:val="left"/>
        <w:rPr>
          <w:szCs w:val="21"/>
        </w:rPr>
      </w:pPr>
      <w:r>
        <w:rPr>
          <w:rFonts w:hint="eastAsia" w:ascii="宋体" w:hAnsi="宋体" w:cs="宋体"/>
          <w:szCs w:val="21"/>
        </w:rPr>
        <w:t>按第四章“响应文件格式”提供的格式及要求，根据供应商谈判申请的货物与“货物需求一览表”中相关内容的差异填写；</w:t>
      </w:r>
    </w:p>
    <w:p w14:paraId="6CCCACB9">
      <w:pPr>
        <w:spacing w:line="360" w:lineRule="auto"/>
        <w:ind w:firstLine="420" w:firstLineChars="200"/>
        <w:jc w:val="left"/>
        <w:rPr>
          <w:rFonts w:ascii="宋体" w:hAnsi="宋体" w:cs="宋体"/>
          <w:szCs w:val="21"/>
        </w:rPr>
      </w:pPr>
      <w:r>
        <w:rPr>
          <w:rFonts w:hint="eastAsia" w:ascii="宋体" w:hAnsi="宋体" w:cs="宋体"/>
          <w:szCs w:val="21"/>
        </w:rPr>
        <w:t>……</w:t>
      </w:r>
    </w:p>
    <w:p w14:paraId="412C685A">
      <w:pPr>
        <w:pStyle w:val="4"/>
        <w:numPr>
          <w:ilvl w:val="0"/>
          <w:numId w:val="1"/>
        </w:numPr>
        <w:tabs>
          <w:tab w:val="left" w:pos="502"/>
        </w:tabs>
        <w:spacing w:before="0" w:after="0"/>
        <w:jc w:val="both"/>
        <w:rPr>
          <w:rFonts w:hAnsi="宋体"/>
          <w:szCs w:val="24"/>
        </w:rPr>
      </w:pPr>
      <w:bookmarkStart w:id="149" w:name="_Toc5461"/>
      <w:r>
        <w:rPr>
          <w:rFonts w:hAnsi="宋体"/>
          <w:szCs w:val="24"/>
        </w:rPr>
        <w:t>报价</w:t>
      </w:r>
      <w:bookmarkEnd w:id="145"/>
      <w:r>
        <w:rPr>
          <w:rFonts w:hAnsi="宋体"/>
          <w:szCs w:val="24"/>
        </w:rPr>
        <w:t>和报价货币</w:t>
      </w:r>
      <w:bookmarkEnd w:id="146"/>
      <w:bookmarkEnd w:id="147"/>
      <w:bookmarkEnd w:id="148"/>
      <w:bookmarkEnd w:id="149"/>
    </w:p>
    <w:p w14:paraId="60A19C1D">
      <w:pPr>
        <w:spacing w:line="360" w:lineRule="auto"/>
        <w:ind w:firstLine="420" w:firstLineChars="200"/>
        <w:jc w:val="left"/>
        <w:rPr>
          <w:rFonts w:ascii="宋体" w:hAnsi="宋体"/>
          <w:szCs w:val="21"/>
        </w:rPr>
      </w:pPr>
      <w:r>
        <w:rPr>
          <w:rFonts w:ascii="宋体" w:hAnsi="宋体"/>
          <w:szCs w:val="21"/>
        </w:rPr>
        <w:t>10.1 报价指货物的报价和标准附件、运输、装卸、验收合格所需的各种费用及必要的保险费用和各项税金等所有费用的总和。</w:t>
      </w:r>
    </w:p>
    <w:p w14:paraId="48D4449F">
      <w:pPr>
        <w:spacing w:line="360" w:lineRule="auto"/>
        <w:ind w:firstLine="420" w:firstLineChars="200"/>
        <w:jc w:val="left"/>
        <w:rPr>
          <w:rFonts w:ascii="宋体" w:hAnsi="宋体"/>
          <w:b/>
          <w:szCs w:val="21"/>
        </w:rPr>
      </w:pPr>
      <w:r>
        <w:rPr>
          <w:rFonts w:ascii="宋体" w:hAnsi="宋体"/>
          <w:b/>
          <w:szCs w:val="21"/>
        </w:rPr>
        <w:t>10.2</w:t>
      </w:r>
      <w:r>
        <w:rPr>
          <w:rFonts w:hint="eastAsia" w:ascii="宋体"/>
          <w:b/>
          <w:szCs w:val="21"/>
        </w:rPr>
        <w:t>★</w:t>
      </w:r>
      <w:r>
        <w:rPr>
          <w:rFonts w:ascii="宋体" w:hAnsi="宋体"/>
          <w:b/>
          <w:szCs w:val="21"/>
        </w:rPr>
        <w:t>供应商</w:t>
      </w:r>
      <w:r>
        <w:rPr>
          <w:rFonts w:hint="eastAsia" w:ascii="宋体" w:hAnsi="宋体"/>
          <w:b/>
          <w:szCs w:val="21"/>
        </w:rPr>
        <w:t>须</w:t>
      </w:r>
      <w:r>
        <w:rPr>
          <w:rFonts w:ascii="宋体" w:hAnsi="宋体"/>
          <w:b/>
          <w:szCs w:val="21"/>
        </w:rPr>
        <w:t>就“货物需求一览表”中的货物内容作完整唯一报价。</w:t>
      </w:r>
    </w:p>
    <w:p w14:paraId="1C7B8C28">
      <w:pPr>
        <w:spacing w:line="360" w:lineRule="auto"/>
        <w:ind w:firstLine="420" w:firstLineChars="200"/>
        <w:jc w:val="left"/>
        <w:rPr>
          <w:rFonts w:ascii="宋体" w:hAnsi="宋体"/>
          <w:szCs w:val="21"/>
        </w:rPr>
      </w:pPr>
      <w:r>
        <w:rPr>
          <w:rFonts w:ascii="宋体" w:hAnsi="宋体"/>
          <w:szCs w:val="21"/>
        </w:rPr>
        <w:t>10.3 供应商的报价应依据谈判文件的要求及有关资料，执行国家规定的现行技术、经济标准、定额及规范，由供应商自行测算出现行市场的设备、材料及各类价格。报价包括但不仅限于货物的设计、制造、材料采购、运输交货、安装调试、保证期内缺陷的修复补救、市场价格的变化、利润及税金等费用，该报价应符合国内行情并能保证供应商完成履行合同所需的一切工作。合同一旦签订，此合同价格在合同实施期间将不因工作量及市场设备材料价格的变化而调整。</w:t>
      </w:r>
    </w:p>
    <w:p w14:paraId="6E0D7342">
      <w:pPr>
        <w:spacing w:line="360" w:lineRule="auto"/>
        <w:ind w:firstLine="420" w:firstLineChars="200"/>
        <w:jc w:val="left"/>
        <w:rPr>
          <w:rFonts w:ascii="宋体" w:hAnsi="宋体"/>
          <w:b/>
          <w:szCs w:val="21"/>
        </w:rPr>
      </w:pPr>
      <w:r>
        <w:rPr>
          <w:rFonts w:ascii="宋体" w:hAnsi="宋体"/>
          <w:b/>
          <w:szCs w:val="21"/>
        </w:rPr>
        <w:t>10.4通过</w:t>
      </w:r>
      <w:r>
        <w:rPr>
          <w:rFonts w:hint="eastAsia" w:ascii="宋体" w:hAnsi="宋体"/>
          <w:b/>
          <w:szCs w:val="21"/>
        </w:rPr>
        <w:t>资格审查及符合性审查</w:t>
      </w:r>
      <w:r>
        <w:rPr>
          <w:rFonts w:ascii="宋体" w:hAnsi="宋体"/>
          <w:b/>
          <w:szCs w:val="21"/>
        </w:rPr>
        <w:t>的供应商将进行第二轮报价，第二轮报价为最</w:t>
      </w:r>
      <w:r>
        <w:rPr>
          <w:rFonts w:hint="eastAsia" w:ascii="宋体" w:hAnsi="宋体"/>
          <w:b/>
          <w:szCs w:val="21"/>
        </w:rPr>
        <w:t>后</w:t>
      </w:r>
      <w:r>
        <w:rPr>
          <w:rFonts w:ascii="宋体" w:hAnsi="宋体"/>
          <w:b/>
          <w:szCs w:val="21"/>
        </w:rPr>
        <w:t>报价</w:t>
      </w:r>
      <w:r>
        <w:rPr>
          <w:rFonts w:hint="eastAsia" w:ascii="宋体" w:hAnsi="宋体"/>
          <w:b/>
          <w:szCs w:val="21"/>
        </w:rPr>
        <w:t>，最后报价是供应商响应文件的有效组成部分</w:t>
      </w:r>
      <w:r>
        <w:rPr>
          <w:rFonts w:ascii="宋体" w:hAnsi="宋体"/>
          <w:b/>
          <w:szCs w:val="21"/>
        </w:rPr>
        <w:t>。</w:t>
      </w:r>
    </w:p>
    <w:p w14:paraId="077E1973">
      <w:pPr>
        <w:adjustRightInd w:val="0"/>
        <w:spacing w:line="360" w:lineRule="auto"/>
        <w:ind w:firstLine="420" w:firstLineChars="200"/>
        <w:rPr>
          <w:rFonts w:ascii="宋体" w:hAnsi="宋体"/>
          <w:sz w:val="24"/>
        </w:rPr>
      </w:pPr>
      <w:r>
        <w:rPr>
          <w:rFonts w:ascii="宋体" w:hAnsi="宋体"/>
          <w:szCs w:val="21"/>
        </w:rPr>
        <w:t>10.</w:t>
      </w:r>
      <w:r>
        <w:rPr>
          <w:rFonts w:hint="eastAsia" w:ascii="宋体" w:hAnsi="宋体"/>
          <w:szCs w:val="21"/>
        </w:rPr>
        <w:t>5</w:t>
      </w:r>
      <w:r>
        <w:rPr>
          <w:rFonts w:ascii="宋体" w:hAnsi="宋体"/>
          <w:szCs w:val="21"/>
        </w:rPr>
        <w:t xml:space="preserve"> 报价货币为人民币。</w:t>
      </w:r>
    </w:p>
    <w:p w14:paraId="7000F98F">
      <w:pPr>
        <w:pStyle w:val="4"/>
        <w:numPr>
          <w:ilvl w:val="0"/>
          <w:numId w:val="1"/>
        </w:numPr>
        <w:tabs>
          <w:tab w:val="left" w:pos="502"/>
          <w:tab w:val="left" w:pos="900"/>
        </w:tabs>
        <w:spacing w:before="0" w:after="0"/>
        <w:jc w:val="left"/>
        <w:rPr>
          <w:rFonts w:hAnsi="宋体"/>
          <w:szCs w:val="24"/>
        </w:rPr>
      </w:pPr>
      <w:bookmarkStart w:id="150" w:name="_Toc337822226"/>
      <w:bookmarkStart w:id="151" w:name="_Toc54095488"/>
      <w:bookmarkStart w:id="152" w:name="_Toc86124058"/>
      <w:bookmarkStart w:id="153" w:name="_Toc21866"/>
      <w:bookmarkStart w:id="154" w:name="_Toc32407"/>
      <w:r>
        <w:rPr>
          <w:rFonts w:hAnsi="宋体"/>
          <w:szCs w:val="24"/>
        </w:rPr>
        <w:t>有效期</w:t>
      </w:r>
      <w:bookmarkEnd w:id="150"/>
      <w:bookmarkEnd w:id="151"/>
      <w:bookmarkEnd w:id="152"/>
      <w:bookmarkEnd w:id="153"/>
      <w:bookmarkEnd w:id="154"/>
    </w:p>
    <w:p w14:paraId="6824A851">
      <w:pPr>
        <w:spacing w:line="360" w:lineRule="auto"/>
        <w:ind w:firstLine="420" w:firstLineChars="200"/>
        <w:jc w:val="left"/>
        <w:rPr>
          <w:rFonts w:ascii="宋体" w:hAnsi="宋体"/>
          <w:szCs w:val="21"/>
        </w:rPr>
      </w:pPr>
      <w:r>
        <w:rPr>
          <w:rFonts w:ascii="宋体" w:hAnsi="宋体"/>
          <w:szCs w:val="21"/>
        </w:rPr>
        <w:t>11.1 在“供应商须知前附表”规定的有效期内，供应商不得要求撤销或修改其响应文件。</w:t>
      </w:r>
    </w:p>
    <w:p w14:paraId="2B297253">
      <w:pPr>
        <w:spacing w:line="360" w:lineRule="auto"/>
        <w:ind w:firstLine="420" w:firstLineChars="200"/>
        <w:jc w:val="left"/>
        <w:rPr>
          <w:rFonts w:ascii="宋体" w:hAnsi="宋体"/>
          <w:sz w:val="24"/>
        </w:rPr>
      </w:pPr>
      <w:r>
        <w:rPr>
          <w:rFonts w:ascii="宋体" w:hAnsi="宋体"/>
          <w:szCs w:val="21"/>
        </w:rPr>
        <w:t>11.2 因特殊情况需要延长有效期的，采购代理机构以书面形式通知所有供应商延长有效期。供应商同意延长的，应相应延长其保证金的有效期，但不得要求或被允许修改或撤销其响应文件；供应商拒绝延长的，其谈判申请失效，但供应商有权收回其保证金。</w:t>
      </w:r>
    </w:p>
    <w:p w14:paraId="12C86AC3">
      <w:pPr>
        <w:pStyle w:val="4"/>
        <w:numPr>
          <w:ilvl w:val="0"/>
          <w:numId w:val="1"/>
        </w:numPr>
        <w:tabs>
          <w:tab w:val="left" w:pos="502"/>
        </w:tabs>
        <w:spacing w:before="0" w:after="0"/>
        <w:jc w:val="left"/>
        <w:rPr>
          <w:rFonts w:hAnsi="宋体"/>
          <w:szCs w:val="24"/>
        </w:rPr>
      </w:pPr>
      <w:bookmarkStart w:id="155" w:name="_Toc19531"/>
      <w:bookmarkStart w:id="156" w:name="_Toc337822227"/>
      <w:bookmarkStart w:id="157" w:name="_Toc54095489"/>
      <w:bookmarkStart w:id="158" w:name="_Toc24244"/>
      <w:bookmarkStart w:id="159" w:name="_Toc86124059"/>
      <w:r>
        <w:rPr>
          <w:rFonts w:hAnsi="宋体"/>
          <w:szCs w:val="24"/>
        </w:rPr>
        <w:t>响应文件的书写要求</w:t>
      </w:r>
      <w:bookmarkEnd w:id="155"/>
      <w:bookmarkEnd w:id="156"/>
      <w:bookmarkEnd w:id="157"/>
      <w:bookmarkEnd w:id="158"/>
      <w:bookmarkEnd w:id="159"/>
    </w:p>
    <w:p w14:paraId="59B6BF42">
      <w:pPr>
        <w:widowControl/>
        <w:spacing w:line="360" w:lineRule="auto"/>
        <w:ind w:firstLine="420"/>
        <w:jc w:val="left"/>
        <w:rPr>
          <w:rFonts w:ascii="宋体" w:hAnsi="宋体"/>
          <w:szCs w:val="28"/>
        </w:rPr>
      </w:pPr>
      <w:r>
        <w:rPr>
          <w:rFonts w:hint="eastAsia" w:ascii="宋体" w:hAnsi="宋体" w:cs="宋体"/>
          <w:bCs/>
          <w:kern w:val="0"/>
          <w:szCs w:val="21"/>
        </w:rPr>
        <w:t>12.1 电子响应文件的签章和签名要求：</w:t>
      </w:r>
      <w:r>
        <w:rPr>
          <w:rFonts w:hint="eastAsia" w:ascii="宋体" w:hAnsi="宋体"/>
          <w:szCs w:val="28"/>
        </w:rPr>
        <w:t>按照响应文件格式，采用单位和个人数字证书电子签章及电子签名：响应文件需要企业、法定代表人电子签章及电子签名。</w:t>
      </w:r>
    </w:p>
    <w:p w14:paraId="2759D2EE">
      <w:pPr>
        <w:spacing w:line="360" w:lineRule="auto"/>
        <w:ind w:firstLine="420" w:firstLineChars="200"/>
        <w:jc w:val="left"/>
        <w:rPr>
          <w:rFonts w:ascii="宋体" w:hAnsi="宋体"/>
        </w:rPr>
      </w:pPr>
      <w:r>
        <w:rPr>
          <w:rFonts w:hint="eastAsia" w:ascii="宋体" w:hAnsi="宋体"/>
          <w:szCs w:val="21"/>
        </w:rPr>
        <w:t>12.2 因复印、扫描、拍摄模糊，字迹潦草，表达不清，未按要求填写而导致非唯一理解，造成未实质性响应竞争性谈判文件的响应文件将会被认定为无效的谈判申请。</w:t>
      </w:r>
      <w:bookmarkStart w:id="160" w:name="_Toc86124061"/>
      <w:bookmarkStart w:id="161" w:name="_Toc337822229"/>
    </w:p>
    <w:p w14:paraId="467C6FE8">
      <w:pPr>
        <w:pStyle w:val="3"/>
        <w:numPr>
          <w:ilvl w:val="1"/>
          <w:numId w:val="0"/>
        </w:numPr>
        <w:spacing w:before="0" w:after="0"/>
        <w:ind w:left="425"/>
        <w:rPr>
          <w:rFonts w:ascii="宋体" w:hAnsi="宋体"/>
          <w:szCs w:val="28"/>
        </w:rPr>
      </w:pPr>
      <w:bookmarkStart w:id="162" w:name="_Toc54095490"/>
      <w:bookmarkStart w:id="163" w:name="_Toc2342"/>
      <w:bookmarkStart w:id="164" w:name="_Toc23988"/>
      <w:r>
        <w:rPr>
          <w:rFonts w:ascii="宋体" w:hAnsi="宋体"/>
          <w:szCs w:val="28"/>
        </w:rPr>
        <w:t>四、响应文件的提交</w:t>
      </w:r>
      <w:bookmarkEnd w:id="160"/>
      <w:bookmarkEnd w:id="161"/>
      <w:bookmarkEnd w:id="162"/>
      <w:bookmarkEnd w:id="163"/>
      <w:bookmarkEnd w:id="164"/>
    </w:p>
    <w:p w14:paraId="162945D7"/>
    <w:p w14:paraId="7020CCD3">
      <w:pPr>
        <w:pStyle w:val="4"/>
        <w:numPr>
          <w:ilvl w:val="0"/>
          <w:numId w:val="1"/>
        </w:numPr>
        <w:tabs>
          <w:tab w:val="left" w:pos="502"/>
        </w:tabs>
        <w:spacing w:before="0" w:after="0"/>
        <w:jc w:val="left"/>
        <w:rPr>
          <w:rFonts w:hAnsi="宋体"/>
          <w:szCs w:val="24"/>
        </w:rPr>
      </w:pPr>
      <w:bookmarkStart w:id="165" w:name="_Toc54095491"/>
      <w:bookmarkStart w:id="166" w:name="_Toc337822230"/>
      <w:bookmarkStart w:id="167" w:name="_Toc86124062"/>
      <w:bookmarkStart w:id="168" w:name="_Toc21714"/>
      <w:bookmarkStart w:id="169" w:name="_Toc13593"/>
      <w:r>
        <w:rPr>
          <w:rFonts w:hAnsi="宋体"/>
          <w:szCs w:val="24"/>
        </w:rPr>
        <w:t>响应文件的密封与标记</w:t>
      </w:r>
      <w:bookmarkEnd w:id="165"/>
      <w:bookmarkEnd w:id="166"/>
      <w:bookmarkEnd w:id="167"/>
      <w:bookmarkEnd w:id="168"/>
      <w:bookmarkEnd w:id="169"/>
    </w:p>
    <w:p w14:paraId="16FCE8D6">
      <w:pPr>
        <w:spacing w:line="360" w:lineRule="auto"/>
        <w:ind w:firstLine="420" w:firstLineChars="200"/>
        <w:rPr>
          <w:rFonts w:ascii="宋体" w:hAnsi="宋体"/>
          <w:b/>
        </w:rPr>
      </w:pPr>
      <w:bookmarkStart w:id="170" w:name="_Toc86124064"/>
      <w:bookmarkStart w:id="171" w:name="_Toc54095493"/>
      <w:bookmarkStart w:id="172" w:name="_Toc337822232"/>
      <w:r>
        <w:rPr>
          <w:rFonts w:hint="eastAsia" w:ascii="宋体" w:hAnsi="宋体" w:cs="宋体"/>
          <w:b/>
          <w:bCs/>
          <w:kern w:val="0"/>
          <w:szCs w:val="21"/>
        </w:rPr>
        <w:t>13.1</w:t>
      </w:r>
      <w:r>
        <w:rPr>
          <w:rFonts w:hint="eastAsia" w:ascii="宋体" w:hAnsi="宋体"/>
          <w:b/>
        </w:rPr>
        <w:t>电子响应文件的密封、标记与提交</w:t>
      </w:r>
    </w:p>
    <w:p w14:paraId="3CA3BDC2">
      <w:pPr>
        <w:numPr>
          <w:ilvl w:val="0"/>
          <w:numId w:val="2"/>
        </w:numPr>
        <w:autoSpaceDE w:val="0"/>
        <w:autoSpaceDN w:val="0"/>
        <w:adjustRightInd w:val="0"/>
        <w:spacing w:line="360" w:lineRule="auto"/>
        <w:ind w:firstLine="420" w:firstLineChars="200"/>
        <w:rPr>
          <w:rFonts w:ascii="宋体" w:hAnsi="宋体"/>
          <w:szCs w:val="28"/>
        </w:rPr>
      </w:pPr>
      <w:r>
        <w:rPr>
          <w:rFonts w:hint="eastAsia" w:ascii="宋体" w:hAnsi="宋体"/>
          <w:szCs w:val="28"/>
        </w:rPr>
        <w:t>网上递交的电子响应文件须对文件进行加密。</w:t>
      </w:r>
    </w:p>
    <w:p w14:paraId="18C0E56D">
      <w:pPr>
        <w:autoSpaceDE w:val="0"/>
        <w:autoSpaceDN w:val="0"/>
        <w:adjustRightInd w:val="0"/>
        <w:spacing w:line="360" w:lineRule="auto"/>
        <w:ind w:firstLine="420" w:firstLineChars="200"/>
        <w:rPr>
          <w:rFonts w:ascii="宋体" w:hAnsi="宋体"/>
          <w:szCs w:val="28"/>
        </w:rPr>
      </w:pPr>
      <w:r>
        <w:rPr>
          <w:rFonts w:hint="eastAsia" w:ascii="宋体" w:hAnsi="宋体"/>
          <w:szCs w:val="28"/>
        </w:rPr>
        <w:t>（2）网上递交电子响应文件网址为</w:t>
      </w:r>
      <w:r>
        <w:rPr>
          <w:rFonts w:hint="eastAsia" w:ascii="宋体" w:hAnsi="宋体"/>
          <w:szCs w:val="28"/>
          <w:u w:val="single"/>
        </w:rPr>
        <w:t>“政采云”平台（http：//www.zcygov.cn）</w:t>
      </w:r>
      <w:r>
        <w:rPr>
          <w:rFonts w:hint="eastAsia" w:ascii="宋体" w:hAnsi="宋体"/>
          <w:szCs w:val="28"/>
        </w:rPr>
        <w:t>，供应商须在响应文件递交截止时间前完成所有响应文件的上传，网上确认电子签名。</w:t>
      </w:r>
    </w:p>
    <w:p w14:paraId="43098C5B">
      <w:pPr>
        <w:autoSpaceDE w:val="0"/>
        <w:autoSpaceDN w:val="0"/>
        <w:adjustRightInd w:val="0"/>
        <w:spacing w:line="360" w:lineRule="auto"/>
        <w:ind w:firstLine="420" w:firstLineChars="200"/>
        <w:rPr>
          <w:rFonts w:ascii="宋体" w:hAnsi="宋体"/>
          <w:szCs w:val="28"/>
        </w:rPr>
      </w:pPr>
      <w:r>
        <w:rPr>
          <w:rFonts w:hint="eastAsia" w:ascii="宋体" w:hAnsi="宋体"/>
          <w:szCs w:val="28"/>
        </w:rPr>
        <w:t>注：建议供应商上传完成后，将已上传的电子响应文件重新下载下来，用对应类型的编制工具或标书查看工具进行解密查看，确保上传的文件可以正常解密打开。</w:t>
      </w:r>
    </w:p>
    <w:p w14:paraId="4BD337A1">
      <w:pPr>
        <w:spacing w:line="360" w:lineRule="auto"/>
        <w:ind w:firstLine="420" w:firstLineChars="200"/>
        <w:rPr>
          <w:rFonts w:ascii="宋体" w:hAnsi="宋体"/>
          <w:b/>
        </w:rPr>
      </w:pPr>
      <w:r>
        <w:rPr>
          <w:rFonts w:hint="eastAsia" w:ascii="宋体" w:hAnsi="宋体"/>
          <w:szCs w:val="28"/>
        </w:rPr>
        <w:t>（3）在规定响应文件递交截止时间前，供应商可以修改或撤回已在网上递交的电子响应文件，无须书面形式通知采购人。修改的电子响应文件应按照有关电子响应文件规定进行编制、密封、标记和递交。</w:t>
      </w:r>
    </w:p>
    <w:p w14:paraId="21283EA5">
      <w:pPr>
        <w:pStyle w:val="3"/>
        <w:numPr>
          <w:ilvl w:val="1"/>
          <w:numId w:val="0"/>
        </w:numPr>
        <w:spacing w:before="0" w:after="0"/>
        <w:ind w:left="425"/>
        <w:rPr>
          <w:rFonts w:ascii="宋体" w:hAnsi="宋体"/>
          <w:szCs w:val="28"/>
        </w:rPr>
      </w:pPr>
      <w:bookmarkStart w:id="173" w:name="_Toc30450"/>
      <w:bookmarkStart w:id="174" w:name="_Toc23160"/>
      <w:r>
        <w:rPr>
          <w:rFonts w:ascii="宋体" w:hAnsi="宋体"/>
          <w:szCs w:val="28"/>
        </w:rPr>
        <w:t>五、谈判与</w:t>
      </w:r>
      <w:bookmarkEnd w:id="170"/>
      <w:r>
        <w:rPr>
          <w:rFonts w:ascii="宋体" w:hAnsi="宋体"/>
          <w:szCs w:val="28"/>
        </w:rPr>
        <w:t>评审</w:t>
      </w:r>
      <w:bookmarkEnd w:id="171"/>
      <w:bookmarkEnd w:id="172"/>
      <w:bookmarkEnd w:id="173"/>
      <w:bookmarkEnd w:id="174"/>
    </w:p>
    <w:p w14:paraId="285E1712">
      <w:pPr>
        <w:pStyle w:val="4"/>
        <w:numPr>
          <w:ilvl w:val="0"/>
          <w:numId w:val="1"/>
        </w:numPr>
        <w:tabs>
          <w:tab w:val="left" w:pos="502"/>
        </w:tabs>
        <w:spacing w:before="0" w:after="0"/>
        <w:jc w:val="left"/>
        <w:rPr>
          <w:rFonts w:hAnsi="宋体"/>
          <w:szCs w:val="24"/>
        </w:rPr>
      </w:pPr>
      <w:bookmarkStart w:id="175" w:name="_Toc54095494"/>
      <w:bookmarkStart w:id="176" w:name="_Toc3734"/>
      <w:bookmarkStart w:id="177" w:name="_Toc15459"/>
      <w:r>
        <w:rPr>
          <w:rFonts w:hint="eastAsia" w:hAnsi="宋体"/>
          <w:szCs w:val="24"/>
        </w:rPr>
        <w:t>响应文件的解密</w:t>
      </w:r>
      <w:bookmarkEnd w:id="175"/>
      <w:bookmarkEnd w:id="176"/>
      <w:bookmarkEnd w:id="177"/>
    </w:p>
    <w:p w14:paraId="171A18F6">
      <w:pPr>
        <w:spacing w:line="360" w:lineRule="auto"/>
        <w:ind w:firstLine="420" w:firstLineChars="200"/>
        <w:rPr>
          <w:rFonts w:ascii="宋体" w:hAnsi="宋体"/>
          <w:szCs w:val="28"/>
        </w:rPr>
      </w:pPr>
      <w:r>
        <w:rPr>
          <w:rFonts w:hint="eastAsia" w:ascii="宋体" w:hAnsi="宋体"/>
          <w:szCs w:val="28"/>
        </w:rPr>
        <w:t>采购代理机构将在“供应商须知前附表”规定的时间和地点进行解密。</w:t>
      </w:r>
    </w:p>
    <w:p w14:paraId="3DB6F683">
      <w:pPr>
        <w:spacing w:line="360" w:lineRule="auto"/>
        <w:ind w:firstLine="420" w:firstLineChars="200"/>
        <w:rPr>
          <w:rFonts w:ascii="宋体" w:hAnsi="宋体"/>
        </w:rPr>
      </w:pPr>
      <w:r>
        <w:rPr>
          <w:rFonts w:hint="eastAsia" w:ascii="宋体" w:hAnsi="宋体"/>
          <w:szCs w:val="28"/>
        </w:rPr>
        <w:t>注：请供应商务必准备好编制响应文件时的加密数字证书登录“政采云”平台电子开标大厅，在谈判之前，须各供应商按系统生成的顺序对电子响应文件进行解密。</w:t>
      </w:r>
    </w:p>
    <w:p w14:paraId="338ED843">
      <w:pPr>
        <w:pStyle w:val="4"/>
        <w:numPr>
          <w:ilvl w:val="0"/>
          <w:numId w:val="1"/>
        </w:numPr>
        <w:tabs>
          <w:tab w:val="left" w:pos="502"/>
        </w:tabs>
        <w:spacing w:before="0" w:after="0"/>
        <w:jc w:val="left"/>
        <w:rPr>
          <w:rFonts w:hAnsi="宋体"/>
          <w:szCs w:val="24"/>
        </w:rPr>
      </w:pPr>
      <w:bookmarkStart w:id="178" w:name="_Toc337822233"/>
      <w:bookmarkStart w:id="179" w:name="_Toc25212"/>
      <w:bookmarkStart w:id="180" w:name="_Toc54095495"/>
      <w:bookmarkStart w:id="181" w:name="_Toc25939"/>
      <w:r>
        <w:rPr>
          <w:rFonts w:hAnsi="宋体"/>
          <w:szCs w:val="24"/>
        </w:rPr>
        <w:t>谈判</w:t>
      </w:r>
      <w:bookmarkEnd w:id="178"/>
      <w:bookmarkEnd w:id="179"/>
      <w:bookmarkEnd w:id="180"/>
      <w:bookmarkEnd w:id="181"/>
    </w:p>
    <w:p w14:paraId="0424990A">
      <w:pPr>
        <w:spacing w:line="360" w:lineRule="auto"/>
        <w:ind w:firstLine="420" w:firstLineChars="200"/>
        <w:jc w:val="left"/>
        <w:rPr>
          <w:rFonts w:ascii="宋体" w:hAnsi="宋体"/>
          <w:szCs w:val="21"/>
        </w:rPr>
      </w:pPr>
      <w:r>
        <w:rPr>
          <w:rFonts w:ascii="宋体" w:hAnsi="宋体"/>
          <w:szCs w:val="21"/>
        </w:rPr>
        <w:t>采购代理机构将在“供应商须知前附表”规定的时间和地点进行谈判，供应商的法定代表人或其委托代理人应按时参加。</w:t>
      </w:r>
    </w:p>
    <w:p w14:paraId="56C46611">
      <w:pPr>
        <w:pStyle w:val="4"/>
        <w:numPr>
          <w:ilvl w:val="0"/>
          <w:numId w:val="1"/>
        </w:numPr>
        <w:tabs>
          <w:tab w:val="left" w:pos="502"/>
        </w:tabs>
        <w:spacing w:before="0" w:after="0"/>
        <w:jc w:val="left"/>
        <w:rPr>
          <w:rFonts w:hAnsi="宋体"/>
          <w:szCs w:val="24"/>
        </w:rPr>
      </w:pPr>
      <w:bookmarkStart w:id="182" w:name="_Toc271"/>
      <w:bookmarkStart w:id="183" w:name="_Toc337822234"/>
      <w:bookmarkStart w:id="184" w:name="_Toc54095496"/>
      <w:bookmarkStart w:id="185" w:name="_Toc1751"/>
      <w:r>
        <w:rPr>
          <w:rFonts w:hAnsi="宋体"/>
          <w:szCs w:val="24"/>
        </w:rPr>
        <w:t>评审</w:t>
      </w:r>
      <w:bookmarkEnd w:id="182"/>
      <w:bookmarkEnd w:id="183"/>
      <w:bookmarkEnd w:id="184"/>
      <w:bookmarkEnd w:id="185"/>
    </w:p>
    <w:p w14:paraId="408D9A9E">
      <w:pPr>
        <w:spacing w:line="360" w:lineRule="auto"/>
        <w:ind w:firstLine="420" w:firstLineChars="200"/>
        <w:jc w:val="left"/>
        <w:rPr>
          <w:rFonts w:ascii="宋体" w:hAnsi="宋体"/>
          <w:szCs w:val="21"/>
        </w:rPr>
      </w:pPr>
      <w:r>
        <w:rPr>
          <w:rFonts w:ascii="宋体" w:hAnsi="宋体"/>
          <w:szCs w:val="21"/>
        </w:rPr>
        <w:t>1</w:t>
      </w:r>
      <w:r>
        <w:rPr>
          <w:rFonts w:hint="eastAsia" w:ascii="宋体" w:hAnsi="宋体"/>
          <w:szCs w:val="21"/>
        </w:rPr>
        <w:t>6</w:t>
      </w:r>
      <w:r>
        <w:rPr>
          <w:rFonts w:ascii="宋体" w:hAnsi="宋体"/>
          <w:szCs w:val="21"/>
        </w:rPr>
        <w:t>.1 评审由谈判小组负责。谈判小组由采购人的代表和有关专家</w:t>
      </w:r>
      <w:r>
        <w:rPr>
          <w:rFonts w:hint="eastAsia" w:ascii="宋体" w:hAnsi="宋体"/>
          <w:szCs w:val="21"/>
        </w:rPr>
        <w:t>按相关规定</w:t>
      </w:r>
      <w:r>
        <w:rPr>
          <w:rFonts w:ascii="宋体" w:hAnsi="宋体"/>
          <w:szCs w:val="21"/>
        </w:rPr>
        <w:t>组成，其中专家的人数不得少于成员总数的三分之二。</w:t>
      </w:r>
    </w:p>
    <w:p w14:paraId="0338692C">
      <w:pPr>
        <w:spacing w:line="360" w:lineRule="auto"/>
        <w:ind w:firstLine="420" w:firstLineChars="200"/>
        <w:jc w:val="left"/>
        <w:rPr>
          <w:rFonts w:ascii="宋体" w:hAnsi="宋体"/>
          <w:szCs w:val="21"/>
        </w:rPr>
      </w:pPr>
      <w:r>
        <w:rPr>
          <w:rFonts w:ascii="宋体" w:hAnsi="宋体"/>
          <w:szCs w:val="21"/>
        </w:rPr>
        <w:t>1</w:t>
      </w:r>
      <w:r>
        <w:rPr>
          <w:rFonts w:hint="eastAsia" w:ascii="宋体" w:hAnsi="宋体"/>
          <w:szCs w:val="21"/>
        </w:rPr>
        <w:t>6</w:t>
      </w:r>
      <w:r>
        <w:rPr>
          <w:rFonts w:ascii="宋体" w:hAnsi="宋体"/>
          <w:szCs w:val="21"/>
        </w:rPr>
        <w:t>.2 评审</w:t>
      </w:r>
    </w:p>
    <w:p w14:paraId="6B892DC0">
      <w:pPr>
        <w:tabs>
          <w:tab w:val="left" w:pos="7980"/>
        </w:tabs>
        <w:spacing w:line="360" w:lineRule="auto"/>
        <w:ind w:firstLine="420" w:firstLineChars="200"/>
        <w:jc w:val="left"/>
        <w:rPr>
          <w:rFonts w:ascii="宋体" w:hAnsi="宋体"/>
          <w:szCs w:val="21"/>
        </w:rPr>
      </w:pPr>
      <w:r>
        <w:rPr>
          <w:rFonts w:hint="eastAsia" w:ascii="宋体" w:hAnsi="宋体"/>
          <w:szCs w:val="21"/>
        </w:rPr>
        <w:t>谈判小组从质量和服务均能满足谈判文件实质性响应要求的供应商中，按照最后报价由低到高的顺序推荐成交候选人。</w:t>
      </w:r>
    </w:p>
    <w:p w14:paraId="6DB6D74E">
      <w:pPr>
        <w:pStyle w:val="4"/>
        <w:numPr>
          <w:ilvl w:val="0"/>
          <w:numId w:val="1"/>
        </w:numPr>
        <w:tabs>
          <w:tab w:val="left" w:pos="502"/>
        </w:tabs>
        <w:spacing w:before="0" w:after="0"/>
        <w:jc w:val="left"/>
        <w:rPr>
          <w:rFonts w:hAnsi="宋体"/>
          <w:szCs w:val="24"/>
        </w:rPr>
      </w:pPr>
      <w:bookmarkStart w:id="186" w:name="_Toc10053"/>
      <w:bookmarkStart w:id="187" w:name="_Toc9010"/>
      <w:bookmarkStart w:id="188" w:name="_Toc54095497"/>
      <w:bookmarkStart w:id="189" w:name="_Toc337822235"/>
      <w:bookmarkStart w:id="190" w:name="_Toc86124067"/>
      <w:r>
        <w:rPr>
          <w:rFonts w:hAnsi="宋体"/>
          <w:szCs w:val="24"/>
        </w:rPr>
        <w:t>评审过程的保密</w:t>
      </w:r>
      <w:bookmarkEnd w:id="186"/>
      <w:bookmarkEnd w:id="187"/>
      <w:bookmarkEnd w:id="188"/>
      <w:bookmarkEnd w:id="189"/>
      <w:bookmarkEnd w:id="190"/>
    </w:p>
    <w:p w14:paraId="4F57654B">
      <w:pPr>
        <w:spacing w:line="360" w:lineRule="auto"/>
        <w:ind w:firstLine="420" w:firstLineChars="200"/>
        <w:jc w:val="left"/>
        <w:rPr>
          <w:rFonts w:ascii="宋体" w:hAnsi="宋体"/>
          <w:szCs w:val="21"/>
        </w:rPr>
      </w:pPr>
      <w:r>
        <w:rPr>
          <w:rFonts w:ascii="宋体" w:hAnsi="宋体"/>
          <w:szCs w:val="21"/>
        </w:rPr>
        <w:t>谈判开始后，直到授予供应商合同止，凡是属于审查、澄清、评审和比较的有关资料以及成交建议等均不向供应商或其他无关的人员透露。供应商在评审过程中，所进行的力图影响评审结果的不公正活动，可能导致其申请被拒绝。</w:t>
      </w:r>
    </w:p>
    <w:p w14:paraId="03B40E46">
      <w:pPr>
        <w:spacing w:line="360" w:lineRule="auto"/>
        <w:ind w:firstLine="420" w:firstLineChars="200"/>
        <w:jc w:val="left"/>
        <w:rPr>
          <w:rFonts w:ascii="宋体" w:hAnsi="宋体" w:cs="宋体"/>
          <w:kern w:val="0"/>
          <w:szCs w:val="21"/>
        </w:rPr>
      </w:pPr>
      <w:r>
        <w:rPr>
          <w:rFonts w:ascii="宋体" w:hAnsi="宋体" w:cs="宋体"/>
          <w:kern w:val="0"/>
          <w:szCs w:val="21"/>
        </w:rPr>
        <w:t>谈判小组成员以及与评审工作有关的人员不得泄露评审情况以及评审过程中获悉的国家秘密、商业秘密。</w:t>
      </w:r>
    </w:p>
    <w:p w14:paraId="4167FB87">
      <w:pPr>
        <w:pStyle w:val="4"/>
        <w:numPr>
          <w:ilvl w:val="0"/>
          <w:numId w:val="1"/>
        </w:numPr>
        <w:tabs>
          <w:tab w:val="left" w:pos="502"/>
        </w:tabs>
        <w:spacing w:before="0" w:after="0"/>
        <w:jc w:val="left"/>
        <w:rPr>
          <w:rFonts w:hAnsi="宋体" w:cs="宋体"/>
          <w:kern w:val="0"/>
          <w:szCs w:val="21"/>
        </w:rPr>
      </w:pPr>
      <w:bookmarkStart w:id="191" w:name="_Toc54095498"/>
      <w:bookmarkStart w:id="192" w:name="_Toc26926"/>
      <w:bookmarkStart w:id="193" w:name="_Toc7479"/>
      <w:bookmarkStart w:id="194" w:name="_Toc495485514"/>
      <w:r>
        <w:rPr>
          <w:rFonts w:hint="eastAsia" w:hAnsi="宋体" w:cs="宋体"/>
          <w:kern w:val="0"/>
          <w:szCs w:val="21"/>
        </w:rPr>
        <w:t>供应商存在下列情况之一的，响应文件无效：</w:t>
      </w:r>
      <w:bookmarkEnd w:id="191"/>
      <w:bookmarkEnd w:id="192"/>
      <w:bookmarkEnd w:id="193"/>
      <w:bookmarkEnd w:id="194"/>
    </w:p>
    <w:p w14:paraId="008D736C">
      <w:pPr>
        <w:spacing w:line="360" w:lineRule="auto"/>
        <w:ind w:firstLine="420" w:firstLineChars="200"/>
        <w:jc w:val="left"/>
        <w:rPr>
          <w:rFonts w:ascii="宋体"/>
          <w:szCs w:val="21"/>
        </w:rPr>
      </w:pPr>
      <w:r>
        <w:rPr>
          <w:rFonts w:hint="eastAsia" w:ascii="宋体"/>
          <w:szCs w:val="21"/>
        </w:rPr>
        <w:t>（1）未按照谈判文件的规定提交保证金的；</w:t>
      </w:r>
    </w:p>
    <w:p w14:paraId="35393AC7">
      <w:pPr>
        <w:spacing w:line="360" w:lineRule="auto"/>
        <w:ind w:firstLine="420" w:firstLineChars="200"/>
        <w:jc w:val="left"/>
        <w:rPr>
          <w:rFonts w:ascii="宋体"/>
          <w:szCs w:val="21"/>
        </w:rPr>
      </w:pPr>
      <w:r>
        <w:rPr>
          <w:rFonts w:hint="eastAsia" w:ascii="宋体"/>
          <w:szCs w:val="21"/>
        </w:rPr>
        <w:t>（2）响应文件未按谈判文件要求签署、盖章的；</w:t>
      </w:r>
    </w:p>
    <w:p w14:paraId="26FF0017">
      <w:pPr>
        <w:spacing w:line="360" w:lineRule="auto"/>
        <w:ind w:firstLine="420" w:firstLineChars="200"/>
        <w:jc w:val="left"/>
        <w:rPr>
          <w:rFonts w:ascii="宋体"/>
          <w:szCs w:val="21"/>
        </w:rPr>
      </w:pPr>
      <w:r>
        <w:rPr>
          <w:rFonts w:hint="eastAsia" w:ascii="宋体"/>
          <w:szCs w:val="21"/>
        </w:rPr>
        <w:t>（3）不具备谈判文件中规定的资格要求的；</w:t>
      </w:r>
    </w:p>
    <w:p w14:paraId="1D2F46E3">
      <w:pPr>
        <w:spacing w:line="360" w:lineRule="auto"/>
        <w:ind w:firstLine="420" w:firstLineChars="200"/>
        <w:jc w:val="left"/>
        <w:rPr>
          <w:rFonts w:ascii="宋体"/>
          <w:szCs w:val="21"/>
        </w:rPr>
      </w:pPr>
      <w:r>
        <w:rPr>
          <w:rFonts w:hint="eastAsia" w:ascii="宋体"/>
          <w:szCs w:val="21"/>
        </w:rPr>
        <w:t>（4）最后报价超过谈判文件中规定的预算金额或者最高限价的；</w:t>
      </w:r>
    </w:p>
    <w:p w14:paraId="52FBE2BB">
      <w:pPr>
        <w:spacing w:line="360" w:lineRule="auto"/>
        <w:ind w:firstLine="420" w:firstLineChars="200"/>
        <w:jc w:val="left"/>
        <w:rPr>
          <w:rFonts w:ascii="宋体"/>
          <w:szCs w:val="21"/>
        </w:rPr>
      </w:pPr>
      <w:r>
        <w:rPr>
          <w:rFonts w:hint="eastAsia" w:ascii="宋体"/>
          <w:szCs w:val="21"/>
        </w:rPr>
        <w:t>（5）响应文件含有采购人不能接受的附加条件的；</w:t>
      </w:r>
    </w:p>
    <w:p w14:paraId="7DBA697A">
      <w:pPr>
        <w:spacing w:line="360" w:lineRule="auto"/>
        <w:ind w:firstLine="420" w:firstLineChars="200"/>
        <w:jc w:val="left"/>
        <w:rPr>
          <w:rFonts w:ascii="宋体"/>
          <w:szCs w:val="21"/>
        </w:rPr>
      </w:pPr>
      <w:r>
        <w:rPr>
          <w:rFonts w:hint="eastAsia" w:ascii="宋体"/>
          <w:szCs w:val="21"/>
        </w:rPr>
        <w:t>（6）法律、法规和谈判文件规定的其他无效情形。</w:t>
      </w:r>
    </w:p>
    <w:p w14:paraId="4E0E16AD">
      <w:pPr>
        <w:pStyle w:val="4"/>
        <w:numPr>
          <w:ilvl w:val="0"/>
          <w:numId w:val="1"/>
        </w:numPr>
        <w:tabs>
          <w:tab w:val="left" w:pos="502"/>
        </w:tabs>
        <w:spacing w:before="0" w:after="0"/>
        <w:jc w:val="left"/>
        <w:rPr>
          <w:rFonts w:hAnsi="宋体" w:cs="宋体"/>
          <w:kern w:val="0"/>
          <w:szCs w:val="21"/>
        </w:rPr>
      </w:pPr>
      <w:bookmarkStart w:id="195" w:name="_Toc54095499"/>
      <w:bookmarkStart w:id="196" w:name="_Toc5835"/>
      <w:bookmarkStart w:id="197" w:name="_Toc495485515"/>
      <w:bookmarkStart w:id="198" w:name="_Toc3208"/>
      <w:r>
        <w:rPr>
          <w:rFonts w:hAnsi="宋体" w:cs="宋体"/>
          <w:kern w:val="0"/>
          <w:szCs w:val="21"/>
        </w:rPr>
        <w:t>有下列情形之一的，视为</w:t>
      </w:r>
      <w:r>
        <w:rPr>
          <w:rFonts w:hint="eastAsia" w:hAnsi="宋体" w:cs="宋体"/>
          <w:kern w:val="0"/>
          <w:szCs w:val="21"/>
        </w:rPr>
        <w:t>供应商</w:t>
      </w:r>
      <w:r>
        <w:rPr>
          <w:rFonts w:hAnsi="宋体" w:cs="宋体"/>
          <w:kern w:val="0"/>
          <w:szCs w:val="21"/>
        </w:rPr>
        <w:t>串通投标，其</w:t>
      </w:r>
      <w:r>
        <w:rPr>
          <w:rFonts w:hint="eastAsia" w:hAnsi="宋体" w:cs="宋体"/>
          <w:kern w:val="0"/>
          <w:szCs w:val="21"/>
        </w:rPr>
        <w:t>响应文件</w:t>
      </w:r>
      <w:r>
        <w:rPr>
          <w:rFonts w:hAnsi="宋体" w:cs="宋体"/>
          <w:kern w:val="0"/>
          <w:szCs w:val="21"/>
        </w:rPr>
        <w:t>无效：</w:t>
      </w:r>
      <w:bookmarkEnd w:id="195"/>
      <w:bookmarkEnd w:id="196"/>
      <w:bookmarkEnd w:id="197"/>
      <w:bookmarkEnd w:id="198"/>
    </w:p>
    <w:p w14:paraId="4DAB3392">
      <w:pPr>
        <w:spacing w:line="360" w:lineRule="auto"/>
        <w:ind w:firstLine="420" w:firstLineChars="200"/>
        <w:jc w:val="left"/>
        <w:rPr>
          <w:rFonts w:ascii="宋体"/>
          <w:szCs w:val="21"/>
        </w:rPr>
      </w:pPr>
      <w:r>
        <w:rPr>
          <w:rFonts w:ascii="宋体"/>
          <w:szCs w:val="21"/>
        </w:rPr>
        <w:t>（</w:t>
      </w:r>
      <w:r>
        <w:rPr>
          <w:rFonts w:hint="eastAsia" w:ascii="宋体"/>
          <w:szCs w:val="21"/>
        </w:rPr>
        <w:t>1</w:t>
      </w:r>
      <w:r>
        <w:rPr>
          <w:rFonts w:ascii="宋体"/>
          <w:szCs w:val="21"/>
        </w:rPr>
        <w:t>）不同</w:t>
      </w:r>
      <w:r>
        <w:rPr>
          <w:rFonts w:hint="eastAsia" w:ascii="宋体"/>
          <w:szCs w:val="21"/>
        </w:rPr>
        <w:t>供应商</w:t>
      </w:r>
      <w:r>
        <w:rPr>
          <w:rFonts w:ascii="宋体"/>
          <w:szCs w:val="21"/>
        </w:rPr>
        <w:t>的</w:t>
      </w:r>
      <w:r>
        <w:rPr>
          <w:rFonts w:hint="eastAsia" w:ascii="宋体"/>
          <w:szCs w:val="21"/>
        </w:rPr>
        <w:t>响应</w:t>
      </w:r>
      <w:r>
        <w:rPr>
          <w:rFonts w:ascii="宋体"/>
          <w:szCs w:val="21"/>
        </w:rPr>
        <w:t>文件由同一单位或者个人编制；</w:t>
      </w:r>
    </w:p>
    <w:p w14:paraId="136D7B27">
      <w:pPr>
        <w:spacing w:line="360" w:lineRule="auto"/>
        <w:ind w:firstLine="420" w:firstLineChars="200"/>
        <w:jc w:val="left"/>
        <w:rPr>
          <w:rFonts w:ascii="宋体"/>
          <w:szCs w:val="21"/>
        </w:rPr>
      </w:pPr>
      <w:r>
        <w:rPr>
          <w:rFonts w:ascii="宋体"/>
          <w:szCs w:val="21"/>
        </w:rPr>
        <w:t>（</w:t>
      </w:r>
      <w:r>
        <w:rPr>
          <w:rFonts w:hint="eastAsia" w:ascii="宋体"/>
          <w:szCs w:val="21"/>
        </w:rPr>
        <w:t>2</w:t>
      </w:r>
      <w:r>
        <w:rPr>
          <w:rFonts w:ascii="宋体"/>
          <w:szCs w:val="21"/>
        </w:rPr>
        <w:t>）不同</w:t>
      </w:r>
      <w:r>
        <w:rPr>
          <w:rFonts w:hint="eastAsia" w:ascii="宋体"/>
          <w:szCs w:val="21"/>
        </w:rPr>
        <w:t>供应商</w:t>
      </w:r>
      <w:r>
        <w:rPr>
          <w:rFonts w:ascii="宋体"/>
          <w:szCs w:val="21"/>
        </w:rPr>
        <w:t>委托同一单位或者个人办理</w:t>
      </w:r>
      <w:r>
        <w:rPr>
          <w:rFonts w:hint="eastAsia" w:ascii="宋体"/>
          <w:szCs w:val="21"/>
        </w:rPr>
        <w:t>谈判</w:t>
      </w:r>
      <w:r>
        <w:rPr>
          <w:rFonts w:ascii="宋体"/>
          <w:szCs w:val="21"/>
        </w:rPr>
        <w:t>事宜；</w:t>
      </w:r>
    </w:p>
    <w:p w14:paraId="2350FE2E">
      <w:pPr>
        <w:spacing w:line="360" w:lineRule="auto"/>
        <w:ind w:firstLine="420" w:firstLineChars="200"/>
        <w:jc w:val="left"/>
        <w:rPr>
          <w:rFonts w:ascii="宋体"/>
          <w:szCs w:val="21"/>
        </w:rPr>
      </w:pPr>
      <w:r>
        <w:rPr>
          <w:rFonts w:ascii="宋体"/>
          <w:szCs w:val="21"/>
        </w:rPr>
        <w:t>（</w:t>
      </w:r>
      <w:r>
        <w:rPr>
          <w:rFonts w:hint="eastAsia" w:ascii="宋体"/>
          <w:szCs w:val="21"/>
        </w:rPr>
        <w:t>3</w:t>
      </w:r>
      <w:r>
        <w:rPr>
          <w:rFonts w:ascii="宋体"/>
          <w:szCs w:val="21"/>
        </w:rPr>
        <w:t>）不同</w:t>
      </w:r>
      <w:r>
        <w:rPr>
          <w:rFonts w:hint="eastAsia" w:ascii="宋体"/>
          <w:szCs w:val="21"/>
        </w:rPr>
        <w:t>供应商</w:t>
      </w:r>
      <w:r>
        <w:rPr>
          <w:rFonts w:ascii="宋体"/>
          <w:szCs w:val="21"/>
        </w:rPr>
        <w:t>的</w:t>
      </w:r>
      <w:r>
        <w:rPr>
          <w:rFonts w:hint="eastAsia" w:ascii="宋体"/>
          <w:szCs w:val="21"/>
        </w:rPr>
        <w:t>响应</w:t>
      </w:r>
      <w:r>
        <w:rPr>
          <w:rFonts w:ascii="宋体"/>
          <w:szCs w:val="21"/>
        </w:rPr>
        <w:t>文件载明的项目管理成员或者联系人员为同一人；</w:t>
      </w:r>
    </w:p>
    <w:p w14:paraId="48CFE217">
      <w:pPr>
        <w:spacing w:line="360" w:lineRule="auto"/>
        <w:ind w:firstLine="420" w:firstLineChars="200"/>
        <w:jc w:val="left"/>
        <w:rPr>
          <w:rFonts w:ascii="宋体"/>
          <w:szCs w:val="21"/>
        </w:rPr>
      </w:pPr>
      <w:r>
        <w:rPr>
          <w:rFonts w:ascii="宋体"/>
          <w:szCs w:val="21"/>
        </w:rPr>
        <w:t>（</w:t>
      </w:r>
      <w:r>
        <w:rPr>
          <w:rFonts w:hint="eastAsia" w:ascii="宋体"/>
          <w:szCs w:val="21"/>
        </w:rPr>
        <w:t>4</w:t>
      </w:r>
      <w:r>
        <w:rPr>
          <w:rFonts w:ascii="宋体"/>
          <w:szCs w:val="21"/>
        </w:rPr>
        <w:t>）不同</w:t>
      </w:r>
      <w:r>
        <w:rPr>
          <w:rFonts w:hint="eastAsia" w:ascii="宋体"/>
          <w:szCs w:val="21"/>
        </w:rPr>
        <w:t>供应商</w:t>
      </w:r>
      <w:r>
        <w:rPr>
          <w:rFonts w:ascii="宋体"/>
          <w:szCs w:val="21"/>
        </w:rPr>
        <w:t>的</w:t>
      </w:r>
      <w:r>
        <w:rPr>
          <w:rFonts w:hint="eastAsia" w:ascii="宋体"/>
          <w:szCs w:val="21"/>
        </w:rPr>
        <w:t>响应</w:t>
      </w:r>
      <w:r>
        <w:rPr>
          <w:rFonts w:ascii="宋体"/>
          <w:szCs w:val="21"/>
        </w:rPr>
        <w:t>文件异常一致或者</w:t>
      </w:r>
      <w:r>
        <w:rPr>
          <w:rFonts w:hint="eastAsia" w:ascii="宋体"/>
          <w:szCs w:val="21"/>
        </w:rPr>
        <w:t>最后</w:t>
      </w:r>
      <w:r>
        <w:rPr>
          <w:rFonts w:ascii="宋体"/>
          <w:szCs w:val="21"/>
        </w:rPr>
        <w:t>报价呈规律性差异；</w:t>
      </w:r>
    </w:p>
    <w:p w14:paraId="2F79256F">
      <w:pPr>
        <w:spacing w:line="360" w:lineRule="auto"/>
        <w:ind w:firstLine="420" w:firstLineChars="200"/>
        <w:jc w:val="left"/>
        <w:rPr>
          <w:rFonts w:ascii="宋体"/>
          <w:szCs w:val="21"/>
        </w:rPr>
      </w:pPr>
      <w:r>
        <w:rPr>
          <w:rFonts w:ascii="宋体"/>
          <w:szCs w:val="21"/>
        </w:rPr>
        <w:t>（</w:t>
      </w:r>
      <w:r>
        <w:rPr>
          <w:rFonts w:hint="eastAsia" w:ascii="宋体"/>
          <w:szCs w:val="21"/>
        </w:rPr>
        <w:t>5</w:t>
      </w:r>
      <w:r>
        <w:rPr>
          <w:rFonts w:ascii="宋体"/>
          <w:szCs w:val="21"/>
        </w:rPr>
        <w:t>）不同</w:t>
      </w:r>
      <w:r>
        <w:rPr>
          <w:rFonts w:hint="eastAsia" w:ascii="宋体"/>
          <w:szCs w:val="21"/>
        </w:rPr>
        <w:t>供应商</w:t>
      </w:r>
      <w:r>
        <w:rPr>
          <w:rFonts w:ascii="宋体"/>
          <w:szCs w:val="21"/>
        </w:rPr>
        <w:t>的</w:t>
      </w:r>
      <w:r>
        <w:rPr>
          <w:rFonts w:hint="eastAsia" w:ascii="宋体"/>
          <w:szCs w:val="21"/>
        </w:rPr>
        <w:t>响应</w:t>
      </w:r>
      <w:r>
        <w:rPr>
          <w:rFonts w:ascii="宋体"/>
          <w:szCs w:val="21"/>
        </w:rPr>
        <w:t>文件相互混装；</w:t>
      </w:r>
    </w:p>
    <w:p w14:paraId="701C0329">
      <w:pPr>
        <w:spacing w:line="360" w:lineRule="auto"/>
        <w:ind w:firstLine="420" w:firstLineChars="200"/>
        <w:jc w:val="left"/>
        <w:rPr>
          <w:rFonts w:ascii="宋体"/>
          <w:szCs w:val="21"/>
        </w:rPr>
      </w:pPr>
      <w:r>
        <w:rPr>
          <w:rFonts w:ascii="宋体"/>
          <w:szCs w:val="21"/>
        </w:rPr>
        <w:t>（</w:t>
      </w:r>
      <w:r>
        <w:rPr>
          <w:rFonts w:hint="eastAsia" w:ascii="宋体"/>
          <w:szCs w:val="21"/>
        </w:rPr>
        <w:t>6</w:t>
      </w:r>
      <w:r>
        <w:rPr>
          <w:rFonts w:ascii="宋体"/>
          <w:szCs w:val="21"/>
        </w:rPr>
        <w:t>）不同</w:t>
      </w:r>
      <w:r>
        <w:rPr>
          <w:rFonts w:hint="eastAsia" w:ascii="宋体"/>
          <w:szCs w:val="21"/>
        </w:rPr>
        <w:t>供应商</w:t>
      </w:r>
      <w:r>
        <w:rPr>
          <w:rFonts w:ascii="宋体"/>
          <w:szCs w:val="21"/>
        </w:rPr>
        <w:t>的保证金从同一单位或者个人的账户转出。</w:t>
      </w:r>
    </w:p>
    <w:p w14:paraId="3CFCA2B1">
      <w:pPr>
        <w:pStyle w:val="4"/>
        <w:numPr>
          <w:ilvl w:val="0"/>
          <w:numId w:val="1"/>
        </w:numPr>
        <w:tabs>
          <w:tab w:val="left" w:pos="502"/>
        </w:tabs>
        <w:spacing w:before="0" w:after="0"/>
        <w:jc w:val="left"/>
        <w:rPr>
          <w:rFonts w:hAnsi="宋体"/>
          <w:szCs w:val="24"/>
        </w:rPr>
      </w:pPr>
      <w:bookmarkStart w:id="199" w:name="_Toc86124068"/>
      <w:bookmarkStart w:id="200" w:name="_Toc54095500"/>
      <w:bookmarkStart w:id="201" w:name="_Toc23833"/>
      <w:bookmarkStart w:id="202" w:name="_Toc27236"/>
      <w:bookmarkStart w:id="203" w:name="_Toc337822236"/>
      <w:r>
        <w:rPr>
          <w:rFonts w:hAnsi="宋体" w:cs="宋体"/>
          <w:kern w:val="0"/>
          <w:szCs w:val="21"/>
        </w:rPr>
        <w:t>出现下列情形之一的，</w:t>
      </w:r>
      <w:r>
        <w:rPr>
          <w:rFonts w:hint="eastAsia" w:hAnsi="宋体" w:cs="宋体"/>
          <w:kern w:val="0"/>
          <w:szCs w:val="21"/>
        </w:rPr>
        <w:t>项目</w:t>
      </w:r>
      <w:r>
        <w:rPr>
          <w:rFonts w:hAnsi="宋体" w:cs="宋体"/>
          <w:kern w:val="0"/>
          <w:szCs w:val="21"/>
        </w:rPr>
        <w:t>终止</w:t>
      </w:r>
      <w:r>
        <w:rPr>
          <w:rFonts w:hAnsi="宋体"/>
          <w:szCs w:val="24"/>
        </w:rPr>
        <w:t>：</w:t>
      </w:r>
      <w:bookmarkEnd w:id="199"/>
      <w:bookmarkEnd w:id="200"/>
      <w:bookmarkEnd w:id="201"/>
      <w:bookmarkEnd w:id="202"/>
      <w:bookmarkEnd w:id="203"/>
    </w:p>
    <w:p w14:paraId="0FDA3DDD">
      <w:pPr>
        <w:spacing w:line="360" w:lineRule="auto"/>
        <w:ind w:firstLine="420" w:firstLineChars="200"/>
        <w:jc w:val="left"/>
        <w:rPr>
          <w:rFonts w:ascii="宋体" w:hAnsi="宋体"/>
          <w:szCs w:val="21"/>
        </w:rPr>
      </w:pPr>
      <w:r>
        <w:rPr>
          <w:rFonts w:ascii="宋体" w:hAnsi="宋体"/>
          <w:szCs w:val="21"/>
        </w:rPr>
        <w:t>（1）因情况变化，不再符合规定的竞争性谈判采购方式适用情形的；</w:t>
      </w:r>
    </w:p>
    <w:p w14:paraId="51463903">
      <w:pPr>
        <w:spacing w:line="360" w:lineRule="auto"/>
        <w:ind w:firstLine="420" w:firstLineChars="200"/>
        <w:jc w:val="left"/>
        <w:rPr>
          <w:rFonts w:ascii="宋体" w:hAnsi="宋体"/>
          <w:szCs w:val="21"/>
        </w:rPr>
      </w:pPr>
      <w:r>
        <w:rPr>
          <w:rFonts w:ascii="宋体" w:hAnsi="宋体"/>
          <w:szCs w:val="21"/>
        </w:rPr>
        <w:t>（2）出现影响采购公正的违法、违规行为的；</w:t>
      </w:r>
    </w:p>
    <w:p w14:paraId="2D1AB0CC">
      <w:pPr>
        <w:spacing w:line="360" w:lineRule="auto"/>
        <w:ind w:firstLine="420" w:firstLineChars="200"/>
        <w:jc w:val="left"/>
        <w:rPr>
          <w:rFonts w:ascii="宋体" w:hAnsi="宋体"/>
          <w:szCs w:val="21"/>
        </w:rPr>
      </w:pPr>
      <w:r>
        <w:rPr>
          <w:rFonts w:ascii="宋体" w:hAnsi="宋体"/>
          <w:szCs w:val="21"/>
        </w:rPr>
        <w:t>（</w:t>
      </w:r>
      <w:r>
        <w:rPr>
          <w:rFonts w:hint="eastAsia" w:ascii="宋体" w:hAnsi="宋体"/>
          <w:szCs w:val="21"/>
        </w:rPr>
        <w:t>3</w:t>
      </w:r>
      <w:r>
        <w:rPr>
          <w:rFonts w:ascii="宋体" w:hAnsi="宋体"/>
          <w:szCs w:val="21"/>
        </w:rPr>
        <w:t>）在采购过程中符合竞争要求的供应商</w:t>
      </w:r>
      <w:r>
        <w:rPr>
          <w:rFonts w:hint="eastAsia" w:ascii="宋体" w:hAnsi="宋体"/>
          <w:szCs w:val="21"/>
        </w:rPr>
        <w:t>（即提交最后报价的供应商）</w:t>
      </w:r>
      <w:r>
        <w:rPr>
          <w:rFonts w:ascii="宋体" w:hAnsi="宋体"/>
          <w:szCs w:val="21"/>
        </w:rPr>
        <w:t>或者</w:t>
      </w:r>
      <w:r>
        <w:rPr>
          <w:rFonts w:hint="eastAsia" w:ascii="宋体" w:hAnsi="宋体"/>
          <w:szCs w:val="21"/>
        </w:rPr>
        <w:t>最后</w:t>
      </w:r>
      <w:r>
        <w:rPr>
          <w:rFonts w:ascii="宋体" w:hAnsi="宋体"/>
          <w:szCs w:val="21"/>
        </w:rPr>
        <w:t>报价未超过采购预算的供应商不足3家的。</w:t>
      </w:r>
    </w:p>
    <w:p w14:paraId="7D94F731">
      <w:pPr>
        <w:spacing w:line="360" w:lineRule="auto"/>
        <w:ind w:firstLine="420"/>
        <w:jc w:val="left"/>
        <w:rPr>
          <w:rFonts w:ascii="宋体" w:hAnsi="宋体"/>
          <w:szCs w:val="21"/>
        </w:rPr>
      </w:pPr>
      <w:r>
        <w:rPr>
          <w:rFonts w:hint="eastAsia" w:ascii="宋体" w:hAnsi="宋体"/>
          <w:szCs w:val="21"/>
        </w:rPr>
        <w:t>（4）在采购活动中因重大变故，采购任务取消的，采购活动终止。</w:t>
      </w:r>
    </w:p>
    <w:p w14:paraId="2E24F6F2">
      <w:pPr>
        <w:spacing w:line="360" w:lineRule="auto"/>
        <w:ind w:firstLine="420" w:firstLineChars="200"/>
        <w:jc w:val="left"/>
        <w:rPr>
          <w:rFonts w:ascii="宋体" w:hAnsi="宋体" w:cs="宋体"/>
          <w:kern w:val="0"/>
          <w:szCs w:val="21"/>
        </w:rPr>
      </w:pPr>
      <w:bookmarkStart w:id="204" w:name="_Toc86124069"/>
      <w:bookmarkStart w:id="205" w:name="_Toc337822237"/>
      <w:r>
        <w:rPr>
          <w:rFonts w:hint="eastAsia" w:ascii="宋体" w:hAnsi="宋体" w:cs="宋体"/>
          <w:kern w:val="0"/>
          <w:szCs w:val="21"/>
        </w:rPr>
        <w:t>终止后，采购人应当将终止理由通知所有供应商。</w:t>
      </w:r>
    </w:p>
    <w:p w14:paraId="3E6061A5">
      <w:pPr>
        <w:pStyle w:val="3"/>
        <w:numPr>
          <w:ilvl w:val="1"/>
          <w:numId w:val="0"/>
        </w:numPr>
        <w:spacing w:before="0" w:after="0"/>
        <w:ind w:left="425"/>
        <w:rPr>
          <w:rFonts w:ascii="宋体" w:hAnsi="宋体"/>
          <w:szCs w:val="28"/>
        </w:rPr>
      </w:pPr>
      <w:bookmarkStart w:id="206" w:name="_Toc54095501"/>
      <w:bookmarkStart w:id="207" w:name="_Toc24876"/>
      <w:bookmarkStart w:id="208" w:name="_Toc16787"/>
      <w:r>
        <w:rPr>
          <w:rFonts w:ascii="宋体" w:hAnsi="宋体"/>
          <w:szCs w:val="28"/>
        </w:rPr>
        <w:t>六、成交结果</w:t>
      </w:r>
      <w:bookmarkEnd w:id="204"/>
      <w:bookmarkEnd w:id="205"/>
      <w:bookmarkEnd w:id="206"/>
      <w:bookmarkEnd w:id="207"/>
      <w:bookmarkEnd w:id="208"/>
    </w:p>
    <w:p w14:paraId="6A56739B">
      <w:pPr>
        <w:pStyle w:val="4"/>
        <w:numPr>
          <w:ilvl w:val="0"/>
          <w:numId w:val="1"/>
        </w:numPr>
        <w:tabs>
          <w:tab w:val="left" w:pos="502"/>
        </w:tabs>
        <w:spacing w:before="0" w:after="0"/>
        <w:jc w:val="left"/>
        <w:rPr>
          <w:rFonts w:hAnsi="宋体"/>
          <w:szCs w:val="24"/>
        </w:rPr>
      </w:pPr>
      <w:bookmarkStart w:id="209" w:name="_Toc17068"/>
      <w:bookmarkStart w:id="210" w:name="_Toc337822238"/>
      <w:bookmarkStart w:id="211" w:name="_Toc54095502"/>
      <w:bookmarkStart w:id="212" w:name="_Toc86124070"/>
      <w:bookmarkStart w:id="213" w:name="_Toc19760"/>
      <w:r>
        <w:rPr>
          <w:rFonts w:hAnsi="宋体"/>
          <w:szCs w:val="24"/>
        </w:rPr>
        <w:t>成交</w:t>
      </w:r>
      <w:r>
        <w:rPr>
          <w:rFonts w:hint="eastAsia" w:hAnsi="宋体"/>
          <w:szCs w:val="24"/>
        </w:rPr>
        <w:t>供应商</w:t>
      </w:r>
      <w:r>
        <w:rPr>
          <w:rFonts w:hAnsi="宋体"/>
          <w:szCs w:val="24"/>
        </w:rPr>
        <w:t>的确定</w:t>
      </w:r>
      <w:bookmarkEnd w:id="209"/>
      <w:bookmarkEnd w:id="210"/>
      <w:bookmarkEnd w:id="211"/>
      <w:bookmarkEnd w:id="212"/>
      <w:bookmarkEnd w:id="213"/>
    </w:p>
    <w:p w14:paraId="4FEA021A">
      <w:pPr>
        <w:spacing w:line="360" w:lineRule="auto"/>
        <w:ind w:firstLine="420" w:firstLineChars="200"/>
        <w:jc w:val="left"/>
        <w:rPr>
          <w:rFonts w:ascii="宋体" w:hAnsi="宋体"/>
          <w:szCs w:val="21"/>
        </w:rPr>
      </w:pPr>
      <w:r>
        <w:rPr>
          <w:rFonts w:ascii="宋体" w:hAnsi="宋体"/>
          <w:szCs w:val="21"/>
        </w:rPr>
        <w:t>2</w:t>
      </w:r>
      <w:r>
        <w:rPr>
          <w:rFonts w:hint="eastAsia" w:ascii="宋体" w:hAnsi="宋体"/>
          <w:szCs w:val="21"/>
        </w:rPr>
        <w:t>1</w:t>
      </w:r>
      <w:r>
        <w:rPr>
          <w:rFonts w:ascii="宋体" w:hAnsi="宋体"/>
          <w:szCs w:val="21"/>
        </w:rPr>
        <w:t>.1 采购代理机构在评审结束后</w:t>
      </w:r>
      <w:r>
        <w:rPr>
          <w:rFonts w:hint="eastAsia" w:ascii="宋体" w:hAnsi="宋体"/>
          <w:szCs w:val="21"/>
        </w:rPr>
        <w:t>两</w:t>
      </w:r>
      <w:r>
        <w:rPr>
          <w:rFonts w:ascii="宋体" w:hAnsi="宋体"/>
          <w:szCs w:val="21"/>
        </w:rPr>
        <w:t>个工作日内将评审报告送采购人。</w:t>
      </w:r>
    </w:p>
    <w:p w14:paraId="60CEAFC3">
      <w:pPr>
        <w:spacing w:line="360" w:lineRule="auto"/>
        <w:ind w:firstLine="420" w:firstLineChars="200"/>
        <w:jc w:val="left"/>
        <w:rPr>
          <w:rFonts w:ascii="宋体"/>
          <w:szCs w:val="21"/>
        </w:rPr>
      </w:pPr>
      <w:r>
        <w:rPr>
          <w:rFonts w:ascii="宋体" w:hAnsi="宋体"/>
          <w:szCs w:val="21"/>
        </w:rPr>
        <w:t>2</w:t>
      </w:r>
      <w:r>
        <w:rPr>
          <w:rFonts w:hint="eastAsia" w:ascii="宋体" w:hAnsi="宋体"/>
          <w:szCs w:val="21"/>
        </w:rPr>
        <w:t>1</w:t>
      </w:r>
      <w:r>
        <w:rPr>
          <w:rFonts w:ascii="宋体" w:hAnsi="宋体"/>
          <w:szCs w:val="21"/>
        </w:rPr>
        <w:t>.2 采购人在收到评审报告后五个工作日内，按照评审报告中推荐的成交</w:t>
      </w:r>
      <w:r>
        <w:rPr>
          <w:rFonts w:hint="eastAsia" w:ascii="宋体" w:hAnsi="宋体"/>
          <w:szCs w:val="21"/>
        </w:rPr>
        <w:t>供应商</w:t>
      </w:r>
      <w:r>
        <w:rPr>
          <w:rFonts w:ascii="宋体" w:hAnsi="宋体"/>
          <w:szCs w:val="21"/>
        </w:rPr>
        <w:t>顺序确定成交</w:t>
      </w:r>
      <w:r>
        <w:rPr>
          <w:rFonts w:hint="eastAsia" w:ascii="宋体" w:hAnsi="宋体"/>
          <w:szCs w:val="21"/>
        </w:rPr>
        <w:t>供应商</w:t>
      </w:r>
      <w:r>
        <w:rPr>
          <w:rFonts w:ascii="宋体" w:hAnsi="宋体"/>
          <w:szCs w:val="21"/>
        </w:rPr>
        <w:t>。</w:t>
      </w:r>
      <w:r>
        <w:rPr>
          <w:rFonts w:hint="eastAsia" w:ascii="宋体"/>
          <w:szCs w:val="21"/>
        </w:rPr>
        <w:t>成交候选人并列的，由采购人按照以下原则确定成交供应商：</w:t>
      </w:r>
      <w:r>
        <w:rPr>
          <w:rFonts w:hint="eastAsia" w:ascii="宋体" w:hAnsi="宋体"/>
          <w:szCs w:val="21"/>
        </w:rPr>
        <w:t>优先采购节能产品、环境标志产品（详见本章“27需要补充的其他内容”）。</w:t>
      </w:r>
    </w:p>
    <w:p w14:paraId="331CDE39">
      <w:pPr>
        <w:spacing w:line="360" w:lineRule="auto"/>
        <w:ind w:firstLine="420" w:firstLineChars="200"/>
        <w:rPr>
          <w:rFonts w:ascii="宋体" w:hAnsi="宋体"/>
          <w:szCs w:val="21"/>
        </w:rPr>
      </w:pPr>
      <w:r>
        <w:rPr>
          <w:rFonts w:ascii="宋体" w:hAnsi="宋体"/>
          <w:szCs w:val="21"/>
        </w:rPr>
        <w:t>2</w:t>
      </w:r>
      <w:r>
        <w:rPr>
          <w:rFonts w:hint="eastAsia" w:ascii="宋体" w:hAnsi="宋体"/>
          <w:szCs w:val="21"/>
        </w:rPr>
        <w:t>1</w:t>
      </w:r>
      <w:r>
        <w:rPr>
          <w:rFonts w:ascii="宋体" w:hAnsi="宋体"/>
          <w:szCs w:val="21"/>
        </w:rPr>
        <w:t>.</w:t>
      </w:r>
      <w:r>
        <w:rPr>
          <w:rFonts w:hint="eastAsia" w:ascii="宋体" w:hAnsi="宋体"/>
          <w:szCs w:val="21"/>
        </w:rPr>
        <w:t>3</w:t>
      </w:r>
      <w:r>
        <w:rPr>
          <w:rFonts w:ascii="宋体" w:hAnsi="宋体"/>
          <w:szCs w:val="21"/>
        </w:rPr>
        <w:t>成交</w:t>
      </w:r>
      <w:r>
        <w:rPr>
          <w:rFonts w:hint="eastAsia" w:ascii="宋体" w:hAnsi="宋体"/>
          <w:szCs w:val="21"/>
        </w:rPr>
        <w:t>供应商</w:t>
      </w:r>
      <w:r>
        <w:rPr>
          <w:rFonts w:ascii="宋体" w:hAnsi="宋体"/>
          <w:szCs w:val="21"/>
        </w:rPr>
        <w:t>确定后</w:t>
      </w:r>
      <w:r>
        <w:rPr>
          <w:rFonts w:hint="eastAsia" w:ascii="宋体" w:hAnsi="宋体"/>
          <w:szCs w:val="21"/>
        </w:rPr>
        <w:t>两个工作日内</w:t>
      </w:r>
      <w:r>
        <w:rPr>
          <w:rFonts w:ascii="宋体" w:hAnsi="宋体"/>
          <w:szCs w:val="21"/>
        </w:rPr>
        <w:t>，成交结果由采购代理机构在云南省政府采购网（</w:t>
      </w:r>
      <w:r>
        <w:rPr>
          <w:rFonts w:hint="eastAsia" w:ascii="宋体" w:hAnsi="宋体"/>
          <w:szCs w:val="21"/>
        </w:rPr>
        <w:t>发布媒体详见谈判邀请公告</w:t>
      </w:r>
      <w:r>
        <w:rPr>
          <w:rFonts w:ascii="宋体" w:hAnsi="宋体"/>
          <w:szCs w:val="21"/>
        </w:rPr>
        <w:t>）上公告</w:t>
      </w:r>
      <w:r>
        <w:rPr>
          <w:rFonts w:hint="eastAsia" w:ascii="宋体" w:hAnsi="宋体"/>
          <w:szCs w:val="21"/>
        </w:rPr>
        <w:t>，</w:t>
      </w:r>
      <w:r>
        <w:rPr>
          <w:rFonts w:ascii="宋体" w:hAnsi="宋体"/>
          <w:szCs w:val="21"/>
        </w:rPr>
        <w:t>同时向成交</w:t>
      </w:r>
      <w:r>
        <w:rPr>
          <w:rFonts w:hint="eastAsia" w:ascii="宋体" w:hAnsi="宋体"/>
          <w:szCs w:val="21"/>
        </w:rPr>
        <w:t>供应商</w:t>
      </w:r>
      <w:r>
        <w:rPr>
          <w:rFonts w:ascii="宋体" w:hAnsi="宋体"/>
          <w:szCs w:val="21"/>
        </w:rPr>
        <w:t>发出成交通知书。</w:t>
      </w:r>
    </w:p>
    <w:p w14:paraId="50BE30EF">
      <w:pPr>
        <w:spacing w:line="360" w:lineRule="auto"/>
        <w:ind w:firstLine="420" w:firstLineChars="200"/>
        <w:jc w:val="left"/>
        <w:rPr>
          <w:rFonts w:ascii="宋体" w:hAnsi="宋体"/>
          <w:szCs w:val="21"/>
        </w:rPr>
      </w:pPr>
      <w:r>
        <w:rPr>
          <w:rFonts w:ascii="宋体" w:hAnsi="宋体"/>
          <w:szCs w:val="21"/>
        </w:rPr>
        <w:t>2</w:t>
      </w:r>
      <w:r>
        <w:rPr>
          <w:rFonts w:hint="eastAsia" w:ascii="宋体" w:hAnsi="宋体"/>
          <w:szCs w:val="21"/>
        </w:rPr>
        <w:t>1</w:t>
      </w:r>
      <w:r>
        <w:rPr>
          <w:rFonts w:ascii="宋体" w:hAnsi="宋体"/>
          <w:szCs w:val="21"/>
        </w:rPr>
        <w:t>.</w:t>
      </w:r>
      <w:r>
        <w:rPr>
          <w:rFonts w:hint="eastAsia" w:ascii="宋体" w:hAnsi="宋体"/>
          <w:szCs w:val="21"/>
        </w:rPr>
        <w:t>4</w:t>
      </w:r>
      <w:r>
        <w:rPr>
          <w:rFonts w:ascii="宋体" w:hAnsi="宋体"/>
          <w:szCs w:val="21"/>
        </w:rPr>
        <w:t xml:space="preserve"> 成交通知书是合同的一个组成部分。</w:t>
      </w:r>
    </w:p>
    <w:p w14:paraId="6A5AEB9D">
      <w:pPr>
        <w:pStyle w:val="4"/>
        <w:numPr>
          <w:ilvl w:val="0"/>
          <w:numId w:val="1"/>
        </w:numPr>
        <w:tabs>
          <w:tab w:val="left" w:pos="502"/>
        </w:tabs>
        <w:spacing w:before="0" w:after="0"/>
        <w:jc w:val="left"/>
        <w:rPr>
          <w:rFonts w:hAnsi="宋体"/>
          <w:szCs w:val="24"/>
        </w:rPr>
      </w:pPr>
      <w:bookmarkStart w:id="214" w:name="_Toc337822240"/>
      <w:bookmarkStart w:id="215" w:name="_Toc54095503"/>
      <w:bookmarkStart w:id="216" w:name="_Toc3213"/>
      <w:bookmarkStart w:id="217" w:name="_Toc15602"/>
      <w:bookmarkStart w:id="218" w:name="_Toc86124072"/>
      <w:r>
        <w:rPr>
          <w:rFonts w:hAnsi="宋体"/>
          <w:szCs w:val="24"/>
        </w:rPr>
        <w:t>签订合同</w:t>
      </w:r>
      <w:bookmarkEnd w:id="214"/>
      <w:bookmarkEnd w:id="215"/>
      <w:bookmarkEnd w:id="216"/>
      <w:bookmarkEnd w:id="217"/>
      <w:bookmarkEnd w:id="218"/>
    </w:p>
    <w:p w14:paraId="17118382">
      <w:pPr>
        <w:spacing w:line="360" w:lineRule="auto"/>
        <w:ind w:firstLine="420" w:firstLineChars="200"/>
        <w:jc w:val="left"/>
        <w:rPr>
          <w:rFonts w:ascii="宋体" w:hAnsi="宋体"/>
          <w:szCs w:val="21"/>
        </w:rPr>
      </w:pPr>
      <w:r>
        <w:rPr>
          <w:rFonts w:hint="eastAsia" w:ascii="宋体" w:hAnsi="宋体"/>
          <w:szCs w:val="21"/>
        </w:rPr>
        <w:t>22</w:t>
      </w:r>
      <w:r>
        <w:rPr>
          <w:rFonts w:ascii="宋体" w:hAnsi="宋体"/>
          <w:szCs w:val="21"/>
        </w:rPr>
        <w:t>.1 成交</w:t>
      </w:r>
      <w:r>
        <w:rPr>
          <w:rFonts w:hint="eastAsia" w:ascii="宋体" w:hAnsi="宋体"/>
          <w:szCs w:val="21"/>
        </w:rPr>
        <w:t>供应商</w:t>
      </w:r>
      <w:r>
        <w:rPr>
          <w:rFonts w:ascii="宋体" w:hAnsi="宋体"/>
          <w:szCs w:val="21"/>
        </w:rPr>
        <w:t>收到成交通知书后，按谈判文件、响应文件及有关澄清承诺书的要求与采购人签订合同。</w:t>
      </w:r>
    </w:p>
    <w:p w14:paraId="38F579AC">
      <w:pPr>
        <w:spacing w:line="360" w:lineRule="auto"/>
        <w:ind w:firstLine="420" w:firstLineChars="200"/>
        <w:jc w:val="left"/>
        <w:rPr>
          <w:rFonts w:ascii="宋体" w:hAnsi="宋体"/>
          <w:szCs w:val="21"/>
        </w:rPr>
      </w:pPr>
      <w:r>
        <w:rPr>
          <w:rFonts w:ascii="宋体" w:hAnsi="宋体"/>
          <w:szCs w:val="21"/>
        </w:rPr>
        <w:t>2</w:t>
      </w:r>
      <w:r>
        <w:rPr>
          <w:rFonts w:hint="eastAsia" w:ascii="宋体" w:hAnsi="宋体"/>
          <w:szCs w:val="21"/>
        </w:rPr>
        <w:t>2</w:t>
      </w:r>
      <w:r>
        <w:rPr>
          <w:rFonts w:ascii="宋体" w:hAnsi="宋体"/>
          <w:szCs w:val="21"/>
        </w:rPr>
        <w:t>.2</w:t>
      </w:r>
      <w:r>
        <w:rPr>
          <w:rFonts w:hint="eastAsia" w:ascii="宋体" w:hAnsi="宋体"/>
          <w:szCs w:val="21"/>
        </w:rPr>
        <w:t>成交供应商拒绝与采购人签订合同的，采购人可以按照评审报告推荐的成交候选人名单排序，确定下一候选人为成交供应商</w:t>
      </w:r>
      <w:r>
        <w:rPr>
          <w:rFonts w:ascii="宋体" w:hAnsi="宋体" w:cs="宋体"/>
          <w:kern w:val="0"/>
          <w:szCs w:val="21"/>
        </w:rPr>
        <w:t>。</w:t>
      </w:r>
    </w:p>
    <w:p w14:paraId="5D8A1B98">
      <w:pPr>
        <w:pStyle w:val="4"/>
        <w:numPr>
          <w:ilvl w:val="0"/>
          <w:numId w:val="1"/>
        </w:numPr>
        <w:tabs>
          <w:tab w:val="left" w:pos="502"/>
        </w:tabs>
        <w:spacing w:before="0" w:after="0"/>
        <w:jc w:val="left"/>
        <w:rPr>
          <w:rFonts w:hAnsi="宋体" w:cs="宋体"/>
          <w:kern w:val="0"/>
          <w:szCs w:val="21"/>
        </w:rPr>
      </w:pPr>
      <w:bookmarkStart w:id="219" w:name="_Toc337822241"/>
      <w:bookmarkStart w:id="220" w:name="_Toc31235"/>
      <w:bookmarkStart w:id="221" w:name="_Toc86124073"/>
      <w:bookmarkStart w:id="222" w:name="_Toc9932"/>
      <w:bookmarkStart w:id="223" w:name="_Toc54095504"/>
      <w:r>
        <w:rPr>
          <w:rFonts w:hAnsi="宋体"/>
          <w:szCs w:val="24"/>
        </w:rPr>
        <w:t>履约保证金</w:t>
      </w:r>
      <w:bookmarkEnd w:id="219"/>
      <w:bookmarkEnd w:id="220"/>
      <w:bookmarkEnd w:id="221"/>
      <w:bookmarkEnd w:id="222"/>
      <w:bookmarkEnd w:id="223"/>
      <w:bookmarkStart w:id="224" w:name="_Toc337822242"/>
      <w:bookmarkStart w:id="225" w:name="_Toc86124074"/>
    </w:p>
    <w:p w14:paraId="797AB98B">
      <w:pPr>
        <w:spacing w:line="360" w:lineRule="auto"/>
        <w:ind w:firstLine="420" w:firstLineChars="200"/>
        <w:jc w:val="left"/>
        <w:rPr>
          <w:rFonts w:ascii="宋体" w:hAnsi="宋体"/>
          <w:szCs w:val="21"/>
        </w:rPr>
      </w:pPr>
      <w:r>
        <w:rPr>
          <w:rFonts w:hint="eastAsia" w:ascii="宋体" w:hAnsi="宋体"/>
          <w:szCs w:val="21"/>
        </w:rPr>
        <w:t>23.1签订合同前，成交供应商应按“供应商须知前附表”中确定的履约保证金的金额，向采购人交纳履约保证金，否则，视成交供应商违约。</w:t>
      </w:r>
    </w:p>
    <w:p w14:paraId="7E2112E7">
      <w:pPr>
        <w:spacing w:line="360" w:lineRule="auto"/>
        <w:ind w:firstLine="420" w:firstLineChars="200"/>
        <w:jc w:val="left"/>
        <w:rPr>
          <w:rFonts w:ascii="宋体" w:hAnsi="宋体"/>
          <w:szCs w:val="21"/>
        </w:rPr>
      </w:pPr>
      <w:r>
        <w:rPr>
          <w:rFonts w:hint="eastAsia" w:ascii="宋体" w:hAnsi="宋体"/>
          <w:szCs w:val="21"/>
        </w:rPr>
        <w:t>23.2 签订合同后，如成交供应商不按双方签订合同约定履约，则没收其全部履约保证金，履约保证金不足以赔偿损失的，按实际损失赔偿。</w:t>
      </w:r>
    </w:p>
    <w:p w14:paraId="7E578B96">
      <w:pPr>
        <w:spacing w:line="360" w:lineRule="auto"/>
        <w:ind w:firstLine="420" w:firstLineChars="200"/>
        <w:jc w:val="left"/>
        <w:rPr>
          <w:rFonts w:ascii="宋体" w:hAnsi="宋体"/>
          <w:szCs w:val="21"/>
        </w:rPr>
      </w:pPr>
      <w:r>
        <w:rPr>
          <w:rFonts w:hint="eastAsia" w:ascii="宋体" w:hAnsi="宋体"/>
          <w:szCs w:val="21"/>
        </w:rPr>
        <w:t>23.3履约保证金在成交供应商按合同约定验收合格后，按采购人规定的方式退还。</w:t>
      </w:r>
    </w:p>
    <w:p w14:paraId="2B29DA38">
      <w:pPr>
        <w:pStyle w:val="3"/>
        <w:numPr>
          <w:ilvl w:val="1"/>
          <w:numId w:val="0"/>
        </w:numPr>
        <w:spacing w:before="0" w:after="0"/>
        <w:ind w:left="425"/>
        <w:rPr>
          <w:rFonts w:ascii="宋体" w:hAnsi="宋体"/>
          <w:szCs w:val="28"/>
        </w:rPr>
      </w:pPr>
      <w:bookmarkStart w:id="226" w:name="_Toc26262"/>
      <w:bookmarkStart w:id="227" w:name="_Toc4665"/>
      <w:bookmarkStart w:id="228" w:name="_Toc54095505"/>
      <w:r>
        <w:rPr>
          <w:rFonts w:ascii="宋体" w:hAnsi="宋体"/>
          <w:szCs w:val="28"/>
        </w:rPr>
        <w:t>七、其他事项</w:t>
      </w:r>
      <w:bookmarkEnd w:id="224"/>
      <w:bookmarkEnd w:id="225"/>
      <w:bookmarkEnd w:id="226"/>
      <w:bookmarkEnd w:id="227"/>
      <w:bookmarkEnd w:id="228"/>
    </w:p>
    <w:p w14:paraId="29AD57C7">
      <w:pPr>
        <w:pStyle w:val="4"/>
        <w:numPr>
          <w:ilvl w:val="0"/>
          <w:numId w:val="1"/>
        </w:numPr>
        <w:tabs>
          <w:tab w:val="left" w:pos="502"/>
        </w:tabs>
        <w:spacing w:before="0" w:after="0"/>
        <w:jc w:val="both"/>
        <w:rPr>
          <w:rFonts w:hAnsi="宋体"/>
          <w:szCs w:val="24"/>
        </w:rPr>
      </w:pPr>
      <w:bookmarkStart w:id="229" w:name="_Toc54095506"/>
      <w:bookmarkStart w:id="230" w:name="_Toc32568"/>
      <w:bookmarkStart w:id="231" w:name="_Toc6115"/>
      <w:bookmarkStart w:id="232" w:name="_Toc337822243"/>
      <w:r>
        <w:rPr>
          <w:rFonts w:hAnsi="宋体"/>
          <w:szCs w:val="24"/>
        </w:rPr>
        <w:t>质疑和投诉</w:t>
      </w:r>
      <w:bookmarkEnd w:id="229"/>
      <w:bookmarkEnd w:id="230"/>
      <w:bookmarkEnd w:id="231"/>
      <w:bookmarkEnd w:id="232"/>
    </w:p>
    <w:p w14:paraId="131B240A">
      <w:pPr>
        <w:wordWrap w:val="0"/>
        <w:spacing w:line="360" w:lineRule="auto"/>
        <w:ind w:firstLine="420" w:firstLineChars="200"/>
        <w:jc w:val="left"/>
        <w:rPr>
          <w:rFonts w:ascii="宋体"/>
          <w:szCs w:val="21"/>
        </w:rPr>
      </w:pPr>
      <w:r>
        <w:rPr>
          <w:rFonts w:ascii="宋体" w:hAnsi="宋体"/>
          <w:szCs w:val="21"/>
        </w:rPr>
        <w:t>2</w:t>
      </w:r>
      <w:r>
        <w:rPr>
          <w:rFonts w:hint="eastAsia" w:ascii="宋体" w:hAnsi="宋体"/>
          <w:szCs w:val="21"/>
        </w:rPr>
        <w:t>4</w:t>
      </w:r>
      <w:r>
        <w:rPr>
          <w:rFonts w:ascii="宋体" w:hAnsi="宋体"/>
          <w:szCs w:val="21"/>
        </w:rPr>
        <w:t>.</w:t>
      </w:r>
      <w:r>
        <w:rPr>
          <w:rFonts w:hint="eastAsia" w:ascii="宋体" w:hAnsi="宋体"/>
          <w:szCs w:val="21"/>
        </w:rPr>
        <w:t>1</w:t>
      </w:r>
      <w:r>
        <w:rPr>
          <w:rFonts w:ascii="宋体"/>
          <w:szCs w:val="21"/>
        </w:rPr>
        <w:t> </w:t>
      </w:r>
      <w:r>
        <w:rPr>
          <w:rFonts w:hint="eastAsia" w:ascii="宋体"/>
          <w:szCs w:val="21"/>
        </w:rPr>
        <w:t>供应商</w:t>
      </w:r>
      <w:r>
        <w:rPr>
          <w:rFonts w:ascii="宋体"/>
          <w:szCs w:val="21"/>
        </w:rPr>
        <w:t>认为</w:t>
      </w:r>
      <w:r>
        <w:rPr>
          <w:rFonts w:hint="eastAsia" w:ascii="宋体"/>
          <w:szCs w:val="21"/>
        </w:rPr>
        <w:t>谈判</w:t>
      </w:r>
      <w:r>
        <w:rPr>
          <w:rFonts w:ascii="宋体"/>
          <w:szCs w:val="21"/>
        </w:rPr>
        <w:t>文件、</w:t>
      </w:r>
      <w:r>
        <w:rPr>
          <w:rFonts w:hint="eastAsia" w:ascii="宋体"/>
          <w:szCs w:val="21"/>
        </w:rPr>
        <w:t>谈判</w:t>
      </w:r>
      <w:r>
        <w:rPr>
          <w:rFonts w:ascii="宋体"/>
          <w:szCs w:val="21"/>
        </w:rPr>
        <w:t>过程和</w:t>
      </w:r>
      <w:r>
        <w:rPr>
          <w:rFonts w:hint="eastAsia" w:ascii="宋体"/>
          <w:szCs w:val="21"/>
        </w:rPr>
        <w:t>成交</w:t>
      </w:r>
      <w:r>
        <w:rPr>
          <w:rFonts w:ascii="宋体"/>
          <w:szCs w:val="21"/>
        </w:rPr>
        <w:t>结果使自己的合法权益受到损害的，可以在知道或者应知其权益受到损害之日起七个工作日内，以书面形式（纸质原件）</w:t>
      </w:r>
      <w:r>
        <w:rPr>
          <w:rFonts w:hint="eastAsia" w:ascii="宋体"/>
          <w:szCs w:val="21"/>
        </w:rPr>
        <w:t>现场</w:t>
      </w:r>
      <w:r>
        <w:rPr>
          <w:rFonts w:ascii="宋体"/>
          <w:szCs w:val="21"/>
        </w:rPr>
        <w:t>向下列部门或采购人提出质疑。提出质疑的</w:t>
      </w:r>
      <w:r>
        <w:rPr>
          <w:rFonts w:hint="eastAsia" w:ascii="宋体"/>
          <w:szCs w:val="21"/>
        </w:rPr>
        <w:t>供应商</w:t>
      </w:r>
      <w:r>
        <w:rPr>
          <w:rFonts w:ascii="宋体"/>
          <w:szCs w:val="21"/>
        </w:rPr>
        <w:t>应当是参与所质疑项目采购活动的</w:t>
      </w:r>
      <w:r>
        <w:rPr>
          <w:rFonts w:hint="eastAsia" w:ascii="宋体"/>
          <w:szCs w:val="21"/>
        </w:rPr>
        <w:t>供应商</w:t>
      </w:r>
      <w:r>
        <w:rPr>
          <w:rFonts w:ascii="宋体"/>
          <w:szCs w:val="21"/>
        </w:rPr>
        <w:t>，</w:t>
      </w:r>
      <w:r>
        <w:rPr>
          <w:rFonts w:hint="eastAsia" w:ascii="宋体"/>
          <w:szCs w:val="21"/>
        </w:rPr>
        <w:t>供应商</w:t>
      </w:r>
      <w:r>
        <w:rPr>
          <w:rFonts w:ascii="宋体"/>
          <w:szCs w:val="21"/>
        </w:rPr>
        <w:t>针对同一采购程序环节的质疑应当在法定质疑期内一次性提出，提出质疑时应当有明确的请求和必要的证明材料。</w:t>
      </w:r>
    </w:p>
    <w:p w14:paraId="6A1A3A39">
      <w:pPr>
        <w:wordWrap w:val="0"/>
        <w:spacing w:line="360" w:lineRule="auto"/>
        <w:ind w:firstLine="420" w:firstLineChars="200"/>
        <w:jc w:val="left"/>
        <w:rPr>
          <w:rFonts w:ascii="宋体"/>
          <w:szCs w:val="21"/>
        </w:rPr>
      </w:pPr>
      <w:r>
        <w:rPr>
          <w:rFonts w:ascii="宋体"/>
          <w:szCs w:val="21"/>
        </w:rPr>
        <w:t>受理质疑部门：云南省政府采购和出让中心；电话：0871-65300</w:t>
      </w:r>
      <w:r>
        <w:rPr>
          <w:rFonts w:hint="eastAsia" w:ascii="宋体"/>
          <w:szCs w:val="21"/>
        </w:rPr>
        <w:t>229</w:t>
      </w:r>
      <w:r>
        <w:rPr>
          <w:rFonts w:ascii="宋体"/>
          <w:szCs w:val="21"/>
        </w:rPr>
        <w:t>；地址：</w:t>
      </w:r>
      <w:r>
        <w:rPr>
          <w:rFonts w:hint="eastAsia" w:ascii="宋体"/>
          <w:szCs w:val="21"/>
        </w:rPr>
        <w:t>昆明高新区科发路269号交易大厦4楼政采402综合监管科办公室</w:t>
      </w:r>
      <w:r>
        <w:rPr>
          <w:rFonts w:ascii="宋体"/>
          <w:szCs w:val="21"/>
        </w:rPr>
        <w:t>。</w:t>
      </w:r>
    </w:p>
    <w:p w14:paraId="4D4673C9">
      <w:pPr>
        <w:wordWrap w:val="0"/>
        <w:spacing w:line="360" w:lineRule="auto"/>
        <w:ind w:firstLine="420" w:firstLineChars="200"/>
        <w:jc w:val="left"/>
        <w:rPr>
          <w:rFonts w:ascii="宋体"/>
          <w:szCs w:val="21"/>
        </w:rPr>
      </w:pPr>
      <w:r>
        <w:rPr>
          <w:rFonts w:hint="eastAsia" w:ascii="宋体"/>
          <w:szCs w:val="21"/>
        </w:rPr>
        <w:t>24.2供应商</w:t>
      </w:r>
      <w:r>
        <w:rPr>
          <w:rFonts w:ascii="宋体"/>
          <w:szCs w:val="21"/>
        </w:rPr>
        <w:t>可以委托代理人进行质疑。其授权委托书应当载明代理人的姓名或者名称、代理事项、具体权限、期限和相关事项。</w:t>
      </w:r>
      <w:r>
        <w:rPr>
          <w:rFonts w:hint="eastAsia" w:ascii="宋体"/>
          <w:szCs w:val="21"/>
        </w:rPr>
        <w:t>供应商</w:t>
      </w:r>
      <w:r>
        <w:rPr>
          <w:rFonts w:ascii="宋体"/>
          <w:szCs w:val="21"/>
        </w:rPr>
        <w:t>为自然人的，应当由本人签字；</w:t>
      </w:r>
      <w:r>
        <w:rPr>
          <w:rFonts w:hint="eastAsia" w:ascii="宋体"/>
          <w:szCs w:val="21"/>
        </w:rPr>
        <w:t>供应商</w:t>
      </w:r>
      <w:r>
        <w:rPr>
          <w:rFonts w:ascii="宋体"/>
          <w:szCs w:val="21"/>
        </w:rPr>
        <w:t>为法人或者其他组织的，应当由法定代表人、主要负责人签字或者盖章，并加盖公章。代理人提出质疑，应当提交</w:t>
      </w:r>
      <w:r>
        <w:rPr>
          <w:rFonts w:hint="eastAsia" w:ascii="宋体"/>
          <w:szCs w:val="21"/>
        </w:rPr>
        <w:t>供应商</w:t>
      </w:r>
      <w:r>
        <w:rPr>
          <w:rFonts w:ascii="宋体"/>
          <w:szCs w:val="21"/>
        </w:rPr>
        <w:t>签署的授权委托书。</w:t>
      </w:r>
    </w:p>
    <w:p w14:paraId="3D8AC282">
      <w:pPr>
        <w:wordWrap w:val="0"/>
        <w:spacing w:line="360" w:lineRule="auto"/>
        <w:ind w:firstLine="420" w:firstLineChars="200"/>
        <w:jc w:val="left"/>
        <w:rPr>
          <w:rFonts w:ascii="宋体"/>
          <w:szCs w:val="21"/>
        </w:rPr>
      </w:pPr>
      <w:r>
        <w:rPr>
          <w:rFonts w:hint="eastAsia" w:ascii="宋体"/>
          <w:szCs w:val="21"/>
        </w:rPr>
        <w:t>24.3供应商</w:t>
      </w:r>
      <w:r>
        <w:rPr>
          <w:rFonts w:ascii="宋体"/>
          <w:szCs w:val="21"/>
        </w:rPr>
        <w:t>提出质疑应当提交质疑函和必要的证明材料（如材料中有外文资料应同时附上中文译本）。质疑函应当包括下列内容：</w:t>
      </w:r>
    </w:p>
    <w:p w14:paraId="76BF5128">
      <w:pPr>
        <w:wordWrap w:val="0"/>
        <w:spacing w:line="360" w:lineRule="auto"/>
        <w:ind w:firstLine="420" w:firstLineChars="200"/>
        <w:jc w:val="left"/>
        <w:rPr>
          <w:rFonts w:ascii="宋体"/>
          <w:szCs w:val="21"/>
        </w:rPr>
      </w:pPr>
      <w:r>
        <w:rPr>
          <w:rFonts w:ascii="宋体"/>
          <w:szCs w:val="21"/>
        </w:rPr>
        <w:t>（1）</w:t>
      </w:r>
      <w:r>
        <w:rPr>
          <w:rFonts w:hint="eastAsia" w:ascii="宋体"/>
          <w:szCs w:val="21"/>
        </w:rPr>
        <w:t>供应商</w:t>
      </w:r>
      <w:r>
        <w:rPr>
          <w:rFonts w:ascii="宋体"/>
          <w:szCs w:val="21"/>
        </w:rPr>
        <w:t>的姓名或者名称、地址、邮编、联系人及联系电话；</w:t>
      </w:r>
    </w:p>
    <w:p w14:paraId="44D1D06B">
      <w:pPr>
        <w:wordWrap w:val="0"/>
        <w:spacing w:line="360" w:lineRule="auto"/>
        <w:ind w:firstLine="420" w:firstLineChars="200"/>
        <w:jc w:val="left"/>
        <w:rPr>
          <w:rFonts w:ascii="宋体"/>
          <w:szCs w:val="21"/>
        </w:rPr>
      </w:pPr>
      <w:r>
        <w:rPr>
          <w:rFonts w:ascii="宋体"/>
          <w:szCs w:val="21"/>
        </w:rPr>
        <w:t>（2）质疑项目的名称、编号；</w:t>
      </w:r>
    </w:p>
    <w:p w14:paraId="551F7339">
      <w:pPr>
        <w:wordWrap w:val="0"/>
        <w:spacing w:line="360" w:lineRule="auto"/>
        <w:ind w:firstLine="420" w:firstLineChars="200"/>
        <w:jc w:val="left"/>
        <w:rPr>
          <w:rFonts w:ascii="宋体"/>
          <w:szCs w:val="21"/>
        </w:rPr>
      </w:pPr>
      <w:r>
        <w:rPr>
          <w:rFonts w:ascii="宋体"/>
          <w:szCs w:val="21"/>
        </w:rPr>
        <w:t>（3）具体、明确的质疑事项和与质疑事项相关的请求；</w:t>
      </w:r>
    </w:p>
    <w:p w14:paraId="519744EF">
      <w:pPr>
        <w:wordWrap w:val="0"/>
        <w:spacing w:line="360" w:lineRule="auto"/>
        <w:ind w:firstLine="420" w:firstLineChars="200"/>
        <w:jc w:val="left"/>
        <w:rPr>
          <w:rFonts w:ascii="宋体"/>
          <w:szCs w:val="21"/>
        </w:rPr>
      </w:pPr>
      <w:r>
        <w:rPr>
          <w:rFonts w:ascii="宋体"/>
          <w:szCs w:val="21"/>
        </w:rPr>
        <w:t>（4）事实依据；</w:t>
      </w:r>
    </w:p>
    <w:p w14:paraId="6A016415">
      <w:pPr>
        <w:wordWrap w:val="0"/>
        <w:spacing w:line="360" w:lineRule="auto"/>
        <w:ind w:firstLine="420" w:firstLineChars="200"/>
        <w:jc w:val="left"/>
        <w:rPr>
          <w:rFonts w:ascii="宋体"/>
          <w:szCs w:val="21"/>
        </w:rPr>
      </w:pPr>
      <w:r>
        <w:rPr>
          <w:rFonts w:ascii="宋体"/>
          <w:szCs w:val="21"/>
        </w:rPr>
        <w:t>（5）必要的法律依据；</w:t>
      </w:r>
    </w:p>
    <w:p w14:paraId="2ECF652E">
      <w:pPr>
        <w:wordWrap w:val="0"/>
        <w:spacing w:line="360" w:lineRule="auto"/>
        <w:ind w:firstLine="420" w:firstLineChars="200"/>
        <w:jc w:val="left"/>
        <w:rPr>
          <w:rFonts w:ascii="宋体"/>
          <w:szCs w:val="21"/>
        </w:rPr>
      </w:pPr>
      <w:r>
        <w:rPr>
          <w:rFonts w:ascii="宋体"/>
          <w:szCs w:val="21"/>
        </w:rPr>
        <w:t>（6）提出质疑的日期。</w:t>
      </w:r>
    </w:p>
    <w:p w14:paraId="71CE4436">
      <w:pPr>
        <w:wordWrap w:val="0"/>
        <w:spacing w:line="360" w:lineRule="auto"/>
        <w:ind w:firstLine="420" w:firstLineChars="200"/>
        <w:jc w:val="left"/>
        <w:rPr>
          <w:rFonts w:ascii="宋体"/>
          <w:szCs w:val="21"/>
        </w:rPr>
      </w:pPr>
      <w:r>
        <w:rPr>
          <w:rFonts w:hint="eastAsia" w:ascii="宋体"/>
          <w:szCs w:val="21"/>
        </w:rPr>
        <w:t>供应商</w:t>
      </w:r>
      <w:r>
        <w:rPr>
          <w:rFonts w:ascii="宋体"/>
          <w:szCs w:val="21"/>
        </w:rPr>
        <w:t>为自然人的，应当由本人签字；</w:t>
      </w:r>
      <w:r>
        <w:rPr>
          <w:rFonts w:hint="eastAsia" w:ascii="宋体"/>
          <w:szCs w:val="21"/>
        </w:rPr>
        <w:t>供应商</w:t>
      </w:r>
      <w:r>
        <w:rPr>
          <w:rFonts w:ascii="宋体"/>
          <w:szCs w:val="21"/>
        </w:rPr>
        <w:t>为法人或者其他组织的，应当由法定代表人、主要负责人，或者其授权代表签字或者盖章，并加盖公章。</w:t>
      </w:r>
    </w:p>
    <w:p w14:paraId="61115369">
      <w:pPr>
        <w:wordWrap w:val="0"/>
        <w:spacing w:line="360" w:lineRule="auto"/>
        <w:ind w:firstLine="420" w:firstLineChars="200"/>
        <w:jc w:val="left"/>
        <w:rPr>
          <w:rFonts w:ascii="宋体"/>
          <w:szCs w:val="21"/>
        </w:rPr>
      </w:pPr>
      <w:r>
        <w:rPr>
          <w:rFonts w:hint="eastAsia" w:ascii="宋体"/>
          <w:szCs w:val="21"/>
        </w:rPr>
        <w:t>注：《政府采购供应商质疑函范本》详见中国政府采购网（http://www.ccgp.gov.cn/）</w:t>
      </w:r>
    </w:p>
    <w:p w14:paraId="15A55981">
      <w:pPr>
        <w:spacing w:line="360" w:lineRule="auto"/>
        <w:ind w:firstLine="420" w:firstLineChars="200"/>
        <w:jc w:val="left"/>
        <w:rPr>
          <w:rFonts w:ascii="宋体"/>
          <w:bCs/>
          <w:szCs w:val="21"/>
        </w:rPr>
      </w:pPr>
      <w:r>
        <w:rPr>
          <w:rFonts w:hint="eastAsia" w:ascii="宋体"/>
          <w:bCs/>
          <w:szCs w:val="21"/>
        </w:rPr>
        <w:t>24.4采购人、采购代理机构将在收到供应商的书面质疑后七个工作日内做出答复，并以书面形式通知质疑供应商和其他有关供应商，但答复的内容不涉及商业秘密。</w:t>
      </w:r>
    </w:p>
    <w:p w14:paraId="73D1096D">
      <w:pPr>
        <w:spacing w:line="360" w:lineRule="auto"/>
        <w:ind w:firstLine="420" w:firstLineChars="200"/>
        <w:jc w:val="left"/>
        <w:rPr>
          <w:rFonts w:ascii="宋体"/>
          <w:bCs/>
          <w:szCs w:val="21"/>
        </w:rPr>
      </w:pPr>
      <w:r>
        <w:rPr>
          <w:rFonts w:hint="eastAsia" w:ascii="宋体"/>
          <w:bCs/>
          <w:szCs w:val="21"/>
        </w:rPr>
        <w:t>24.5投诉必须首先经过质疑程序。质疑供应商对采购人、采购代理机构的答复不满意，或者采购人、采购代理机构未在规定的时间内做出答复的，可以在答复期满后十五个工作日内书面向云南省财政厅政府采购管理处提起投诉。</w:t>
      </w:r>
    </w:p>
    <w:p w14:paraId="4C48335E">
      <w:pPr>
        <w:spacing w:line="360" w:lineRule="auto"/>
        <w:ind w:firstLine="420" w:firstLineChars="200"/>
      </w:pPr>
      <w:r>
        <w:rPr>
          <w:rFonts w:hint="eastAsia" w:ascii="宋体"/>
          <w:bCs/>
          <w:szCs w:val="21"/>
        </w:rPr>
        <w:t>24.6递</w:t>
      </w:r>
      <w:r>
        <w:rPr>
          <w:rFonts w:hint="eastAsia"/>
        </w:rPr>
        <w:t>交质疑函时，若申请人为自然人的，须同时递交身份证复印件；若申请人为法人或者其他组织的，法定代表人或主要负责人本人递交质疑函时，须同时递交法定代表人或主要负责人的资格证明书；授权委托人递交质疑函时，须同时递交法定代表人或主要负责人的资格证明书，以及授权委托书。</w:t>
      </w:r>
    </w:p>
    <w:p w14:paraId="15B78EEE">
      <w:pPr>
        <w:pStyle w:val="4"/>
        <w:numPr>
          <w:ilvl w:val="0"/>
          <w:numId w:val="1"/>
        </w:numPr>
        <w:tabs>
          <w:tab w:val="left" w:pos="502"/>
        </w:tabs>
        <w:spacing w:before="0" w:after="0"/>
        <w:jc w:val="left"/>
        <w:rPr>
          <w:rFonts w:hAnsi="宋体"/>
          <w:szCs w:val="24"/>
        </w:rPr>
      </w:pPr>
      <w:bookmarkStart w:id="233" w:name="_Toc86124075"/>
      <w:bookmarkStart w:id="234" w:name="_Toc54095507"/>
      <w:bookmarkStart w:id="235" w:name="_Toc3015"/>
      <w:bookmarkStart w:id="236" w:name="_Toc32048"/>
      <w:bookmarkStart w:id="237" w:name="_Toc337822244"/>
      <w:r>
        <w:rPr>
          <w:rFonts w:hAnsi="宋体"/>
          <w:szCs w:val="24"/>
        </w:rPr>
        <w:t>采购代理服务</w:t>
      </w:r>
      <w:bookmarkEnd w:id="233"/>
      <w:bookmarkEnd w:id="234"/>
      <w:r>
        <w:rPr>
          <w:rFonts w:hAnsi="宋体"/>
          <w:szCs w:val="24"/>
        </w:rPr>
        <w:t>费</w:t>
      </w:r>
      <w:bookmarkEnd w:id="235"/>
      <w:bookmarkEnd w:id="236"/>
    </w:p>
    <w:p w14:paraId="3AB2CECA">
      <w:pPr>
        <w:spacing w:line="360" w:lineRule="auto"/>
        <w:ind w:firstLine="525" w:firstLineChars="250"/>
        <w:rPr>
          <w:rFonts w:ascii="宋体" w:hAnsi="宋体"/>
        </w:rPr>
      </w:pPr>
      <w:r>
        <w:rPr>
          <w:rFonts w:ascii="宋体" w:hAnsi="宋体"/>
        </w:rPr>
        <w:t>无</w:t>
      </w:r>
      <w:bookmarkEnd w:id="237"/>
    </w:p>
    <w:p w14:paraId="11393D02">
      <w:pPr>
        <w:pStyle w:val="4"/>
        <w:numPr>
          <w:ilvl w:val="0"/>
          <w:numId w:val="1"/>
        </w:numPr>
        <w:tabs>
          <w:tab w:val="left" w:pos="502"/>
        </w:tabs>
        <w:spacing w:before="0" w:after="0"/>
        <w:jc w:val="left"/>
        <w:rPr>
          <w:rFonts w:hAnsi="宋体"/>
          <w:szCs w:val="24"/>
        </w:rPr>
      </w:pPr>
      <w:bookmarkStart w:id="238" w:name="_Toc19302"/>
      <w:bookmarkStart w:id="239" w:name="_Toc17123"/>
      <w:bookmarkStart w:id="240" w:name="_Toc54095508"/>
      <w:bookmarkStart w:id="241" w:name="_Toc337822246"/>
      <w:bookmarkStart w:id="242" w:name="_Toc86124077"/>
      <w:r>
        <w:rPr>
          <w:rFonts w:hint="eastAsia" w:hAnsi="宋体"/>
          <w:szCs w:val="24"/>
        </w:rPr>
        <w:t>实质性变动</w:t>
      </w:r>
      <w:bookmarkEnd w:id="238"/>
      <w:bookmarkEnd w:id="239"/>
      <w:bookmarkEnd w:id="240"/>
    </w:p>
    <w:p w14:paraId="485C7B51">
      <w:pPr>
        <w:spacing w:line="360" w:lineRule="auto"/>
        <w:ind w:firstLine="420" w:firstLineChars="200"/>
        <w:jc w:val="left"/>
        <w:rPr>
          <w:rFonts w:ascii="宋体" w:hAnsi="宋体"/>
          <w:szCs w:val="21"/>
        </w:rPr>
      </w:pPr>
      <w:r>
        <w:rPr>
          <w:rFonts w:ascii="宋体" w:hAnsi="宋体"/>
          <w:szCs w:val="21"/>
        </w:rPr>
        <w:t>在谈判过程中，谈判小组可以根据谈判文件和谈判情况实质性变动采购需求中的技术、服务要求以及合同草案条款，但不得变动谈判文件中的其他内容。实质性变动的内容，须经采购人代表确认</w:t>
      </w:r>
      <w:r>
        <w:rPr>
          <w:rFonts w:hint="eastAsia" w:ascii="宋体" w:hAnsi="宋体"/>
          <w:szCs w:val="21"/>
        </w:rPr>
        <w:t>。</w:t>
      </w:r>
    </w:p>
    <w:p w14:paraId="526232F9">
      <w:pPr>
        <w:spacing w:line="360" w:lineRule="auto"/>
        <w:ind w:firstLine="420" w:firstLineChars="200"/>
        <w:jc w:val="left"/>
        <w:rPr>
          <w:rFonts w:ascii="宋体" w:hAnsi="宋体"/>
          <w:szCs w:val="21"/>
        </w:rPr>
      </w:pPr>
      <w:r>
        <w:rPr>
          <w:rFonts w:hint="eastAsia" w:ascii="宋体" w:hAnsi="宋体"/>
          <w:szCs w:val="21"/>
        </w:rPr>
        <w:t>对谈判文件作出的实质性变动是谈判文件的有效组成部分，谈判小组应当及时以书面形式同时通知所有参加谈判的供应商。</w:t>
      </w:r>
    </w:p>
    <w:p w14:paraId="19A743E4">
      <w:pPr>
        <w:spacing w:line="360" w:lineRule="auto"/>
        <w:ind w:firstLine="420" w:firstLineChars="200"/>
        <w:jc w:val="left"/>
        <w:rPr>
          <w:rFonts w:ascii="宋体" w:hAnsi="宋体"/>
          <w:szCs w:val="21"/>
        </w:rPr>
      </w:pPr>
      <w:r>
        <w:rPr>
          <w:rFonts w:hint="eastAsia" w:ascii="宋体" w:hAnsi="宋体"/>
          <w:szCs w:val="21"/>
        </w:rPr>
        <w:t>供应商应当按照谈判文件的变动情况和谈判小组的要求重新提交响应文件，并由其法定代表人或授权代表签字或者加盖公章。由授权代表签字的，应当附法定代表人授权书。供应商为自然人的，应当由本人签字并附身份证明。</w:t>
      </w:r>
    </w:p>
    <w:p w14:paraId="3CDF2941">
      <w:pPr>
        <w:pStyle w:val="4"/>
        <w:numPr>
          <w:ilvl w:val="0"/>
          <w:numId w:val="1"/>
        </w:numPr>
        <w:tabs>
          <w:tab w:val="left" w:pos="502"/>
        </w:tabs>
        <w:spacing w:before="0" w:after="0"/>
        <w:jc w:val="left"/>
        <w:rPr>
          <w:rFonts w:hAnsi="宋体"/>
          <w:szCs w:val="24"/>
        </w:rPr>
      </w:pPr>
      <w:bookmarkStart w:id="243" w:name="_Toc54095509"/>
      <w:bookmarkStart w:id="244" w:name="_Toc31960"/>
      <w:bookmarkStart w:id="245" w:name="_Toc11621"/>
      <w:r>
        <w:rPr>
          <w:rFonts w:hAnsi="宋体"/>
          <w:szCs w:val="24"/>
        </w:rPr>
        <w:t>需要补充的其他内容</w:t>
      </w:r>
      <w:bookmarkEnd w:id="241"/>
      <w:bookmarkEnd w:id="242"/>
      <w:bookmarkEnd w:id="243"/>
      <w:bookmarkEnd w:id="244"/>
      <w:bookmarkEnd w:id="245"/>
    </w:p>
    <w:p w14:paraId="6ADF547D">
      <w:pPr>
        <w:spacing w:line="360" w:lineRule="auto"/>
        <w:ind w:firstLine="420" w:firstLineChars="200"/>
        <w:jc w:val="left"/>
        <w:rPr>
          <w:rFonts w:ascii="宋体"/>
          <w:szCs w:val="21"/>
        </w:rPr>
      </w:pPr>
      <w:r>
        <w:rPr>
          <w:rFonts w:hint="eastAsia" w:ascii="宋体"/>
          <w:szCs w:val="21"/>
        </w:rPr>
        <w:t>节能产品、环境标志产品采购按相关政策规定执行。</w:t>
      </w:r>
    </w:p>
    <w:p w14:paraId="55C68978">
      <w:pPr>
        <w:spacing w:line="360" w:lineRule="auto"/>
        <w:ind w:firstLine="420" w:firstLineChars="200"/>
        <w:jc w:val="left"/>
        <w:rPr>
          <w:rFonts w:ascii="宋体"/>
          <w:szCs w:val="21"/>
        </w:rPr>
      </w:pPr>
      <w:r>
        <w:rPr>
          <w:rFonts w:hint="eastAsia" w:ascii="宋体"/>
          <w:szCs w:val="21"/>
        </w:rPr>
        <w:t>27.1 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w:t>
      </w:r>
    </w:p>
    <w:p w14:paraId="4E9998AC">
      <w:pPr>
        <w:wordWrap w:val="0"/>
        <w:spacing w:line="360" w:lineRule="auto"/>
        <w:ind w:firstLine="420" w:firstLineChars="200"/>
        <w:jc w:val="left"/>
        <w:rPr>
          <w:rFonts w:ascii="宋体"/>
          <w:szCs w:val="21"/>
        </w:rPr>
      </w:pPr>
      <w:r>
        <w:rPr>
          <w:rFonts w:hint="eastAsia" w:ascii="宋体"/>
          <w:szCs w:val="21"/>
        </w:rPr>
        <w:t>节能产品政府采购品目清单、环境标志产品政府采购品目清单可通过中国政府采购网（http://www.ccgp.gov.cn/）查阅。</w:t>
      </w:r>
    </w:p>
    <w:p w14:paraId="365851AE">
      <w:pPr>
        <w:spacing w:line="360" w:lineRule="auto"/>
        <w:ind w:firstLine="420" w:firstLineChars="200"/>
        <w:jc w:val="left"/>
        <w:rPr>
          <w:rFonts w:ascii="宋体"/>
          <w:szCs w:val="21"/>
        </w:rPr>
      </w:pPr>
      <w:r>
        <w:rPr>
          <w:rFonts w:hint="eastAsia" w:ascii="宋体"/>
          <w:szCs w:val="21"/>
        </w:rPr>
        <w:t>27.2依据品目清单和认证证书实施政府优先采购和强制采购。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14:paraId="1B192255">
      <w:pPr>
        <w:spacing w:line="360" w:lineRule="auto"/>
        <w:ind w:firstLine="420" w:firstLineChars="200"/>
        <w:jc w:val="left"/>
        <w:rPr>
          <w:rFonts w:ascii="宋体"/>
          <w:szCs w:val="21"/>
        </w:rPr>
      </w:pPr>
      <w:r>
        <w:rPr>
          <w:rFonts w:hint="eastAsia" w:ascii="宋体"/>
          <w:szCs w:val="21"/>
        </w:rPr>
        <w:t>其中，节能产品政府采购品目清单中以“★”标注的为政府强制采购产品，其余为优先采购产品。</w:t>
      </w:r>
    </w:p>
    <w:p w14:paraId="51C0ECC1">
      <w:pPr>
        <w:spacing w:line="360" w:lineRule="auto"/>
        <w:ind w:firstLine="420" w:firstLineChars="200"/>
        <w:jc w:val="left"/>
        <w:rPr>
          <w:rFonts w:ascii="宋体"/>
          <w:szCs w:val="21"/>
        </w:rPr>
      </w:pPr>
      <w:r>
        <w:rPr>
          <w:rFonts w:hint="eastAsia" w:ascii="宋体"/>
          <w:szCs w:val="21"/>
        </w:rPr>
        <w:t>27.3市场监管总局组织建立节能产品、环境标志产品认证结果信息发布平台，公布相关认证机构和获证产品信息。</w:t>
      </w:r>
    </w:p>
    <w:p w14:paraId="34E829EF">
      <w:pPr>
        <w:spacing w:line="360" w:lineRule="auto"/>
        <w:ind w:firstLine="420" w:firstLineChars="200"/>
        <w:jc w:val="left"/>
        <w:rPr>
          <w:sz w:val="24"/>
        </w:rPr>
      </w:pPr>
      <w:r>
        <w:rPr>
          <w:rFonts w:hint="eastAsia" w:ascii="宋体"/>
          <w:szCs w:val="21"/>
        </w:rPr>
        <w:t>政府采购节能产品、环境标志产品认证机构名录可通过中国政府采购网（http://www.ccgp.gov.cn/）查阅。</w:t>
      </w:r>
    </w:p>
    <w:p w14:paraId="6E417830">
      <w:pPr>
        <w:pStyle w:val="2"/>
        <w:numPr>
          <w:ilvl w:val="0"/>
          <w:numId w:val="0"/>
        </w:numPr>
        <w:jc w:val="center"/>
        <w:rPr>
          <w:rFonts w:ascii="Times New Roman" w:eastAsia="宋体"/>
          <w:color w:val="auto"/>
          <w:sz w:val="32"/>
          <w:szCs w:val="32"/>
        </w:rPr>
      </w:pPr>
      <w:r>
        <w:rPr>
          <w:rFonts w:hint="eastAsia" w:ascii="宋体" w:eastAsia="宋体"/>
          <w:color w:val="auto"/>
        </w:rPr>
        <w:br w:type="page"/>
      </w:r>
      <w:bookmarkStart w:id="246" w:name="_Toc11950"/>
      <w:bookmarkStart w:id="247" w:name="_Toc3002"/>
      <w:bookmarkStart w:id="248" w:name="_Toc54095511"/>
      <w:bookmarkStart w:id="249" w:name="_Toc86124078"/>
      <w:bookmarkStart w:id="250" w:name="_Toc337822247"/>
      <w:r>
        <w:rPr>
          <w:rFonts w:ascii="Times New Roman" w:eastAsia="宋体"/>
          <w:color w:val="auto"/>
          <w:sz w:val="32"/>
          <w:szCs w:val="32"/>
        </w:rPr>
        <w:t>第三章</w:t>
      </w:r>
      <w:r>
        <w:rPr>
          <w:rFonts w:hint="eastAsia" w:ascii="Times New Roman" w:eastAsia="宋体"/>
          <w:color w:val="auto"/>
          <w:sz w:val="32"/>
          <w:szCs w:val="32"/>
        </w:rPr>
        <w:t xml:space="preserve"> </w:t>
      </w:r>
      <w:r>
        <w:rPr>
          <w:rFonts w:ascii="Times New Roman" w:eastAsia="宋体"/>
          <w:color w:val="auto"/>
          <w:sz w:val="32"/>
          <w:szCs w:val="32"/>
        </w:rPr>
        <w:t>合同书样式及主要条款</w:t>
      </w:r>
      <w:bookmarkEnd w:id="246"/>
      <w:bookmarkEnd w:id="247"/>
      <w:bookmarkEnd w:id="248"/>
      <w:bookmarkEnd w:id="249"/>
      <w:bookmarkEnd w:id="250"/>
    </w:p>
    <w:p w14:paraId="0D08C9C2">
      <w:pPr>
        <w:pStyle w:val="3"/>
        <w:numPr>
          <w:ilvl w:val="1"/>
          <w:numId w:val="0"/>
        </w:numPr>
        <w:spacing w:before="0"/>
        <w:ind w:left="425"/>
        <w:jc w:val="both"/>
        <w:rPr>
          <w:rFonts w:ascii="Times New Roman" w:hAnsi="Times New Roman"/>
          <w:szCs w:val="28"/>
        </w:rPr>
      </w:pPr>
      <w:bookmarkStart w:id="251" w:name="_Toc54095512"/>
      <w:bookmarkStart w:id="252" w:name="_Toc86124079"/>
      <w:bookmarkStart w:id="253" w:name="_Toc25883"/>
      <w:bookmarkStart w:id="254" w:name="_Toc337822248"/>
      <w:bookmarkStart w:id="255" w:name="_Toc3096"/>
      <w:r>
        <w:rPr>
          <w:rFonts w:ascii="Times New Roman" w:hAnsi="Times New Roman"/>
          <w:szCs w:val="28"/>
        </w:rPr>
        <w:t>合同条款前附表</w:t>
      </w:r>
      <w:bookmarkEnd w:id="251"/>
      <w:bookmarkEnd w:id="252"/>
      <w:bookmarkEnd w:id="253"/>
      <w:bookmarkEnd w:id="254"/>
      <w:bookmarkEnd w:id="255"/>
    </w:p>
    <w:tbl>
      <w:tblPr>
        <w:tblStyle w:val="24"/>
        <w:tblW w:w="89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3"/>
        <w:gridCol w:w="8078"/>
      </w:tblGrid>
      <w:tr w14:paraId="03C208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63" w:type="dxa"/>
            <w:vAlign w:val="center"/>
          </w:tcPr>
          <w:p w14:paraId="0F95CBE5">
            <w:pPr>
              <w:pStyle w:val="13"/>
              <w:spacing w:line="360" w:lineRule="auto"/>
              <w:jc w:val="center"/>
              <w:rPr>
                <w:rFonts w:ascii="Times New Roman"/>
                <w:bCs/>
                <w:sz w:val="21"/>
                <w:szCs w:val="21"/>
              </w:rPr>
            </w:pPr>
            <w:r>
              <w:rPr>
                <w:rFonts w:ascii="Times New Roman"/>
                <w:bCs/>
                <w:sz w:val="21"/>
                <w:szCs w:val="21"/>
              </w:rPr>
              <w:t>序号</w:t>
            </w:r>
          </w:p>
        </w:tc>
        <w:tc>
          <w:tcPr>
            <w:tcW w:w="8078" w:type="dxa"/>
            <w:vAlign w:val="center"/>
          </w:tcPr>
          <w:p w14:paraId="062D5CC9">
            <w:pPr>
              <w:pStyle w:val="13"/>
              <w:spacing w:line="360" w:lineRule="auto"/>
              <w:ind w:firstLine="2" w:firstLineChars="1"/>
              <w:jc w:val="center"/>
              <w:rPr>
                <w:rFonts w:ascii="Times New Roman"/>
                <w:bCs/>
                <w:sz w:val="21"/>
                <w:szCs w:val="21"/>
              </w:rPr>
            </w:pPr>
            <w:r>
              <w:rPr>
                <w:rFonts w:ascii="Times New Roman"/>
                <w:bCs/>
                <w:sz w:val="21"/>
                <w:szCs w:val="21"/>
              </w:rPr>
              <w:t>内容</w:t>
            </w:r>
          </w:p>
        </w:tc>
      </w:tr>
      <w:tr w14:paraId="19EC8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3" w:hRule="atLeast"/>
          <w:jc w:val="center"/>
        </w:trPr>
        <w:tc>
          <w:tcPr>
            <w:tcW w:w="863" w:type="dxa"/>
            <w:vAlign w:val="center"/>
          </w:tcPr>
          <w:p w14:paraId="4AD8AA50">
            <w:pPr>
              <w:pStyle w:val="13"/>
              <w:spacing w:line="360" w:lineRule="auto"/>
              <w:jc w:val="center"/>
              <w:rPr>
                <w:rFonts w:ascii="Times New Roman"/>
                <w:bCs/>
                <w:sz w:val="21"/>
                <w:szCs w:val="21"/>
              </w:rPr>
            </w:pPr>
            <w:r>
              <w:rPr>
                <w:rFonts w:ascii="Times New Roman"/>
                <w:bCs/>
                <w:sz w:val="21"/>
                <w:szCs w:val="21"/>
              </w:rPr>
              <w:t>1</w:t>
            </w:r>
          </w:p>
        </w:tc>
        <w:tc>
          <w:tcPr>
            <w:tcW w:w="8078" w:type="dxa"/>
            <w:vAlign w:val="center"/>
          </w:tcPr>
          <w:p w14:paraId="12444D6B">
            <w:pPr>
              <w:pStyle w:val="13"/>
              <w:spacing w:line="360" w:lineRule="auto"/>
              <w:rPr>
                <w:rFonts w:hAnsi="宋体"/>
                <w:b/>
                <w:bCs/>
                <w:sz w:val="21"/>
                <w:szCs w:val="21"/>
                <w:u w:val="single"/>
              </w:rPr>
            </w:pPr>
            <w:r>
              <w:rPr>
                <w:rFonts w:hint="eastAsia"/>
                <w:b/>
                <w:bCs/>
                <w:szCs w:val="21"/>
                <w:u w:val="single"/>
              </w:rPr>
              <w:t>★</w:t>
            </w:r>
            <w:r>
              <w:rPr>
                <w:rFonts w:hint="eastAsia" w:hAnsi="宋体"/>
                <w:b/>
                <w:bCs/>
                <w:sz w:val="21"/>
                <w:szCs w:val="21"/>
                <w:u w:val="single"/>
              </w:rPr>
              <w:t>交货期及交货地点:</w:t>
            </w:r>
          </w:p>
          <w:p w14:paraId="1B7E99B0">
            <w:pPr>
              <w:spacing w:line="360" w:lineRule="auto"/>
              <w:rPr>
                <w:rFonts w:ascii="宋体" w:hAnsi="宋体"/>
                <w:b/>
                <w:bCs/>
                <w:szCs w:val="21"/>
                <w:u w:val="single"/>
              </w:rPr>
            </w:pPr>
            <w:r>
              <w:rPr>
                <w:rFonts w:hint="eastAsia" w:ascii="宋体" w:hAnsi="宋体"/>
                <w:b/>
                <w:bCs/>
                <w:szCs w:val="21"/>
                <w:u w:val="single"/>
              </w:rPr>
              <w:t>交货期：合同签订后15个工作日内。</w:t>
            </w:r>
          </w:p>
          <w:p w14:paraId="65C7E9DE">
            <w:pPr>
              <w:spacing w:line="360" w:lineRule="auto"/>
              <w:rPr>
                <w:rFonts w:ascii="宋体" w:hAnsi="宋体"/>
                <w:bCs/>
                <w:szCs w:val="21"/>
              </w:rPr>
            </w:pPr>
            <w:r>
              <w:rPr>
                <w:rFonts w:hint="eastAsia" w:ascii="宋体" w:hAnsi="宋体"/>
                <w:b/>
                <w:bCs/>
                <w:szCs w:val="21"/>
                <w:u w:val="single"/>
              </w:rPr>
              <w:t>交货地点：云南师范大学呈贡校区明德1号楼。</w:t>
            </w:r>
          </w:p>
        </w:tc>
      </w:tr>
      <w:tr w14:paraId="3FE158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jc w:val="center"/>
        </w:trPr>
        <w:tc>
          <w:tcPr>
            <w:tcW w:w="863" w:type="dxa"/>
            <w:shd w:val="clear" w:color="auto" w:fill="auto"/>
            <w:vAlign w:val="center"/>
          </w:tcPr>
          <w:p w14:paraId="11D537CA">
            <w:pPr>
              <w:pStyle w:val="13"/>
              <w:spacing w:line="360" w:lineRule="auto"/>
              <w:jc w:val="center"/>
              <w:rPr>
                <w:rFonts w:ascii="Times New Roman"/>
                <w:bCs/>
                <w:sz w:val="21"/>
                <w:szCs w:val="21"/>
              </w:rPr>
            </w:pPr>
            <w:r>
              <w:rPr>
                <w:rFonts w:ascii="Times New Roman"/>
                <w:bCs/>
                <w:sz w:val="21"/>
                <w:szCs w:val="21"/>
              </w:rPr>
              <w:t>2</w:t>
            </w:r>
          </w:p>
        </w:tc>
        <w:tc>
          <w:tcPr>
            <w:tcW w:w="8078" w:type="dxa"/>
            <w:shd w:val="clear" w:color="auto" w:fill="auto"/>
            <w:vAlign w:val="center"/>
          </w:tcPr>
          <w:p w14:paraId="17B0C3F4">
            <w:pPr>
              <w:spacing w:line="360" w:lineRule="auto"/>
              <w:rPr>
                <w:rFonts w:ascii="宋体" w:hAnsi="宋体"/>
                <w:bCs/>
                <w:szCs w:val="21"/>
              </w:rPr>
            </w:pPr>
            <w:r>
              <w:rPr>
                <w:rFonts w:hint="eastAsia" w:ascii="宋体" w:hAnsi="宋体"/>
                <w:bCs/>
                <w:szCs w:val="21"/>
              </w:rPr>
              <w:t>付款方式：</w:t>
            </w:r>
          </w:p>
          <w:p w14:paraId="276F4553">
            <w:pPr>
              <w:spacing w:line="360" w:lineRule="auto"/>
              <w:ind w:firstLine="420" w:firstLineChars="200"/>
              <w:rPr>
                <w:rFonts w:ascii="宋体" w:hAnsi="宋体"/>
                <w:bCs/>
                <w:szCs w:val="21"/>
              </w:rPr>
            </w:pPr>
            <w:r>
              <w:rPr>
                <w:rFonts w:hint="eastAsia" w:ascii="宋体" w:hAnsi="宋体"/>
                <w:bCs/>
                <w:szCs w:val="21"/>
              </w:rPr>
              <w:t>本项目没有预付款，合同签订前乙方向甲方交纳2%的履约保证金，项目终验合合格后凭收据无息退回履约保证金。</w:t>
            </w:r>
          </w:p>
          <w:p w14:paraId="78B2446F">
            <w:pPr>
              <w:spacing w:line="360" w:lineRule="auto"/>
              <w:ind w:firstLine="420" w:firstLineChars="200"/>
              <w:rPr>
                <w:rFonts w:ascii="宋体" w:hAnsi="宋体"/>
                <w:bCs/>
                <w:szCs w:val="21"/>
              </w:rPr>
            </w:pPr>
            <w:r>
              <w:rPr>
                <w:rFonts w:hint="eastAsia" w:ascii="宋体" w:hAnsi="宋体"/>
                <w:bCs/>
                <w:szCs w:val="21"/>
              </w:rPr>
              <w:t>在项目终验合格，乙方提交完整的财务资料以后，在30个工作日内，甲方向乙方支付合同总价的100%。</w:t>
            </w:r>
          </w:p>
        </w:tc>
      </w:tr>
    </w:tbl>
    <w:p w14:paraId="393E8DCD">
      <w:pPr>
        <w:spacing w:line="360" w:lineRule="auto"/>
        <w:rPr>
          <w:b/>
          <w:bCs/>
        </w:rPr>
      </w:pPr>
    </w:p>
    <w:p w14:paraId="132BC1B1">
      <w:pPr>
        <w:spacing w:line="360" w:lineRule="auto"/>
        <w:ind w:firstLine="480" w:firstLineChars="200"/>
        <w:rPr>
          <w:b/>
          <w:sz w:val="24"/>
        </w:rPr>
      </w:pPr>
    </w:p>
    <w:p w14:paraId="0F06509B">
      <w:pPr>
        <w:spacing w:line="360" w:lineRule="auto"/>
        <w:ind w:firstLine="480" w:firstLineChars="200"/>
        <w:rPr>
          <w:b/>
          <w:sz w:val="24"/>
        </w:rPr>
      </w:pPr>
    </w:p>
    <w:p w14:paraId="6BB6F357">
      <w:pPr>
        <w:spacing w:line="360" w:lineRule="auto"/>
        <w:ind w:firstLine="480" w:firstLineChars="200"/>
        <w:rPr>
          <w:b/>
          <w:sz w:val="24"/>
        </w:rPr>
      </w:pPr>
    </w:p>
    <w:p w14:paraId="471AB511">
      <w:pPr>
        <w:spacing w:line="360" w:lineRule="auto"/>
        <w:ind w:firstLine="480" w:firstLineChars="200"/>
        <w:rPr>
          <w:b/>
          <w:sz w:val="24"/>
        </w:rPr>
      </w:pPr>
    </w:p>
    <w:p w14:paraId="79537A30">
      <w:pPr>
        <w:pStyle w:val="3"/>
        <w:numPr>
          <w:ilvl w:val="1"/>
          <w:numId w:val="0"/>
        </w:numPr>
        <w:spacing w:before="0"/>
        <w:ind w:left="425"/>
        <w:rPr>
          <w:rFonts w:ascii="Times New Roman" w:hAnsi="Times New Roman"/>
          <w:szCs w:val="28"/>
        </w:rPr>
      </w:pPr>
      <w:bookmarkStart w:id="256" w:name="_Toc54095513"/>
      <w:bookmarkStart w:id="257" w:name="_Toc16841"/>
      <w:bookmarkStart w:id="258" w:name="_Toc86124080"/>
      <w:bookmarkStart w:id="259" w:name="_Toc337822249"/>
      <w:bookmarkStart w:id="260" w:name="_Toc21002"/>
      <w:r>
        <w:rPr>
          <w:rFonts w:ascii="Times New Roman" w:hAnsi="Times New Roman"/>
          <w:szCs w:val="28"/>
        </w:rPr>
        <w:t>云南省省级政府集中采购（货物类）合同书（格式）</w:t>
      </w:r>
      <w:bookmarkEnd w:id="256"/>
      <w:bookmarkEnd w:id="257"/>
      <w:bookmarkEnd w:id="258"/>
      <w:bookmarkEnd w:id="259"/>
      <w:bookmarkEnd w:id="260"/>
    </w:p>
    <w:p w14:paraId="05AB52F9">
      <w:pPr>
        <w:autoSpaceDE w:val="0"/>
        <w:autoSpaceDN w:val="0"/>
        <w:adjustRightInd w:val="0"/>
        <w:spacing w:line="300" w:lineRule="auto"/>
        <w:ind w:right="-72"/>
        <w:rPr>
          <w:rFonts w:ascii="宋体" w:hAnsi="宋体" w:cs="宋体"/>
          <w:b/>
          <w:kern w:val="0"/>
          <w:sz w:val="18"/>
          <w:szCs w:val="18"/>
        </w:rPr>
      </w:pPr>
      <w:r>
        <w:rPr>
          <w:sz w:val="36"/>
        </w:rPr>
        <w:br w:type="page"/>
      </w:r>
      <w:r>
        <w:rPr>
          <w:rFonts w:hint="eastAsia" w:ascii="宋体" w:hAnsi="宋体" w:cs="宋体"/>
          <w:kern w:val="0"/>
          <w:sz w:val="32"/>
          <w:szCs w:val="32"/>
        </w:rPr>
        <w:t>合同编号：*****                   项目编号：******</w:t>
      </w:r>
    </w:p>
    <w:p w14:paraId="33D49D0D">
      <w:pPr>
        <w:autoSpaceDE w:val="0"/>
        <w:autoSpaceDN w:val="0"/>
        <w:adjustRightInd w:val="0"/>
        <w:spacing w:line="300" w:lineRule="auto"/>
        <w:ind w:right="568"/>
        <w:rPr>
          <w:rFonts w:ascii="仿宋_GB2312" w:eastAsia="仿宋_GB2312"/>
          <w:kern w:val="0"/>
          <w:sz w:val="32"/>
          <w:szCs w:val="32"/>
        </w:rPr>
      </w:pPr>
      <w:r>
        <w:rPr>
          <w:rFonts w:hint="eastAsia" w:ascii="仿宋_GB2312" w:eastAsia="仿宋_GB2312"/>
          <w:kern w:val="0"/>
          <w:sz w:val="32"/>
          <w:szCs w:val="32"/>
        </w:rPr>
        <w:t>●本合同须加盖甲乙双方骑缝章有效</w:t>
      </w:r>
    </w:p>
    <w:p w14:paraId="3532E664">
      <w:pPr>
        <w:autoSpaceDE w:val="0"/>
        <w:autoSpaceDN w:val="0"/>
        <w:adjustRightInd w:val="0"/>
        <w:spacing w:line="300" w:lineRule="auto"/>
        <w:jc w:val="center"/>
        <w:rPr>
          <w:rFonts w:ascii="黑体" w:eastAsia="黑体"/>
          <w:kern w:val="0"/>
          <w:sz w:val="32"/>
          <w:szCs w:val="32"/>
        </w:rPr>
      </w:pPr>
    </w:p>
    <w:p w14:paraId="18AEE69E"/>
    <w:p w14:paraId="5B8338C2">
      <w:pPr>
        <w:autoSpaceDE w:val="0"/>
        <w:autoSpaceDN w:val="0"/>
        <w:adjustRightInd w:val="0"/>
        <w:spacing w:line="300" w:lineRule="auto"/>
        <w:jc w:val="center"/>
        <w:rPr>
          <w:rFonts w:ascii="黑体" w:hAnsi="华文中宋" w:eastAsia="黑体"/>
          <w:kern w:val="0"/>
          <w:sz w:val="52"/>
          <w:szCs w:val="52"/>
        </w:rPr>
      </w:pPr>
      <w:r>
        <w:rPr>
          <w:rFonts w:hint="eastAsia" w:ascii="黑体" w:hAnsi="华文中宋" w:eastAsia="黑体"/>
          <w:kern w:val="0"/>
          <w:sz w:val="52"/>
          <w:szCs w:val="52"/>
        </w:rPr>
        <w:t>云南省省级政府集中采购</w:t>
      </w:r>
    </w:p>
    <w:p w14:paraId="1FC9EC81">
      <w:pPr>
        <w:autoSpaceDE w:val="0"/>
        <w:autoSpaceDN w:val="0"/>
        <w:adjustRightInd w:val="0"/>
        <w:spacing w:line="300" w:lineRule="auto"/>
        <w:jc w:val="center"/>
        <w:rPr>
          <w:rFonts w:ascii="仿宋_GB2312" w:eastAsia="仿宋_GB2312"/>
          <w:kern w:val="0"/>
          <w:sz w:val="32"/>
          <w:szCs w:val="32"/>
        </w:rPr>
      </w:pPr>
      <w:r>
        <w:rPr>
          <w:rFonts w:hint="eastAsia" w:ascii="仿宋_GB2312" w:eastAsia="仿宋_GB2312"/>
          <w:kern w:val="0"/>
          <w:sz w:val="32"/>
          <w:szCs w:val="32"/>
        </w:rPr>
        <w:t>(委托采购)</w:t>
      </w:r>
    </w:p>
    <w:p w14:paraId="316F83D1">
      <w:pPr>
        <w:autoSpaceDE w:val="0"/>
        <w:autoSpaceDN w:val="0"/>
        <w:adjustRightInd w:val="0"/>
        <w:spacing w:line="300" w:lineRule="auto"/>
        <w:jc w:val="center"/>
        <w:rPr>
          <w:rFonts w:ascii="楷体_GB2312" w:eastAsia="楷体_GB2312"/>
          <w:b/>
          <w:kern w:val="0"/>
          <w:sz w:val="44"/>
          <w:szCs w:val="44"/>
        </w:rPr>
      </w:pPr>
      <w:r>
        <w:rPr>
          <w:rFonts w:hint="eastAsia" w:ascii="楷体_GB2312" w:eastAsia="楷体_GB2312"/>
          <w:b/>
          <w:kern w:val="0"/>
          <w:sz w:val="44"/>
          <w:szCs w:val="44"/>
        </w:rPr>
        <w:t>货  物　类</w:t>
      </w:r>
    </w:p>
    <w:p w14:paraId="723BF94F">
      <w:pPr>
        <w:autoSpaceDE w:val="0"/>
        <w:autoSpaceDN w:val="0"/>
        <w:adjustRightInd w:val="0"/>
        <w:spacing w:line="300" w:lineRule="auto"/>
        <w:jc w:val="center"/>
        <w:rPr>
          <w:rFonts w:ascii="黑体" w:eastAsia="黑体"/>
          <w:kern w:val="0"/>
          <w:sz w:val="18"/>
          <w:szCs w:val="18"/>
        </w:rPr>
      </w:pPr>
    </w:p>
    <w:p w14:paraId="0D451DF1">
      <w:pPr>
        <w:autoSpaceDE w:val="0"/>
        <w:autoSpaceDN w:val="0"/>
        <w:adjustRightInd w:val="0"/>
        <w:spacing w:line="300" w:lineRule="auto"/>
        <w:jc w:val="center"/>
        <w:rPr>
          <w:rFonts w:ascii="黑体" w:eastAsia="黑体"/>
          <w:kern w:val="0"/>
          <w:sz w:val="18"/>
          <w:szCs w:val="18"/>
        </w:rPr>
      </w:pPr>
    </w:p>
    <w:p w14:paraId="5799F12C">
      <w:pPr>
        <w:autoSpaceDE w:val="0"/>
        <w:autoSpaceDN w:val="0"/>
        <w:adjustRightInd w:val="0"/>
        <w:spacing w:line="300" w:lineRule="auto"/>
        <w:jc w:val="center"/>
        <w:rPr>
          <w:rFonts w:ascii="黑体" w:eastAsia="黑体"/>
          <w:kern w:val="0"/>
          <w:sz w:val="18"/>
          <w:szCs w:val="18"/>
        </w:rPr>
      </w:pPr>
    </w:p>
    <w:p w14:paraId="78447C1A">
      <w:pPr>
        <w:autoSpaceDE w:val="0"/>
        <w:autoSpaceDN w:val="0"/>
        <w:adjustRightInd w:val="0"/>
        <w:spacing w:line="300" w:lineRule="auto"/>
        <w:jc w:val="center"/>
        <w:rPr>
          <w:rFonts w:ascii="黑体" w:eastAsia="黑体"/>
          <w:kern w:val="0"/>
          <w:sz w:val="18"/>
          <w:szCs w:val="18"/>
        </w:rPr>
      </w:pPr>
    </w:p>
    <w:p w14:paraId="1014AFC5">
      <w:pPr>
        <w:autoSpaceDE w:val="0"/>
        <w:autoSpaceDN w:val="0"/>
        <w:adjustRightInd w:val="0"/>
        <w:spacing w:line="300" w:lineRule="auto"/>
        <w:jc w:val="center"/>
        <w:rPr>
          <w:rFonts w:ascii="黑体" w:eastAsia="黑体"/>
          <w:kern w:val="0"/>
          <w:sz w:val="84"/>
          <w:szCs w:val="84"/>
        </w:rPr>
      </w:pPr>
      <w:r>
        <w:rPr>
          <w:rFonts w:hint="eastAsia" w:ascii="黑体" w:eastAsia="黑体"/>
          <w:kern w:val="0"/>
          <w:sz w:val="84"/>
          <w:szCs w:val="84"/>
        </w:rPr>
        <w:t xml:space="preserve">合 </w:t>
      </w:r>
    </w:p>
    <w:p w14:paraId="748D52A8">
      <w:pPr>
        <w:autoSpaceDE w:val="0"/>
        <w:autoSpaceDN w:val="0"/>
        <w:adjustRightInd w:val="0"/>
        <w:spacing w:line="300" w:lineRule="auto"/>
        <w:jc w:val="center"/>
        <w:rPr>
          <w:rFonts w:ascii="黑体" w:eastAsia="黑体"/>
          <w:kern w:val="0"/>
          <w:sz w:val="72"/>
          <w:szCs w:val="72"/>
        </w:rPr>
      </w:pPr>
      <w:r>
        <w:rPr>
          <w:rFonts w:hint="eastAsia" w:ascii="黑体" w:eastAsia="黑体"/>
          <w:kern w:val="0"/>
          <w:sz w:val="84"/>
          <w:szCs w:val="84"/>
        </w:rPr>
        <w:t xml:space="preserve">同 </w:t>
      </w:r>
    </w:p>
    <w:p w14:paraId="6AC4CEB6">
      <w:pPr>
        <w:autoSpaceDE w:val="0"/>
        <w:autoSpaceDN w:val="0"/>
        <w:adjustRightInd w:val="0"/>
        <w:spacing w:line="300" w:lineRule="auto"/>
        <w:jc w:val="center"/>
        <w:rPr>
          <w:rFonts w:ascii="黑体" w:eastAsia="黑体"/>
          <w:kern w:val="0"/>
          <w:sz w:val="84"/>
          <w:szCs w:val="84"/>
        </w:rPr>
      </w:pPr>
      <w:r>
        <w:rPr>
          <w:rFonts w:hint="eastAsia" w:ascii="黑体" w:eastAsia="黑体"/>
          <w:kern w:val="0"/>
          <w:sz w:val="84"/>
          <w:szCs w:val="84"/>
        </w:rPr>
        <w:t xml:space="preserve">书 </w:t>
      </w:r>
    </w:p>
    <w:p w14:paraId="42ED4849">
      <w:pPr>
        <w:autoSpaceDE w:val="0"/>
        <w:autoSpaceDN w:val="0"/>
        <w:adjustRightInd w:val="0"/>
        <w:spacing w:line="300" w:lineRule="auto"/>
        <w:jc w:val="center"/>
        <w:rPr>
          <w:rFonts w:ascii="黑体" w:eastAsia="黑体"/>
          <w:kern w:val="0"/>
          <w:sz w:val="18"/>
          <w:szCs w:val="18"/>
        </w:rPr>
      </w:pPr>
    </w:p>
    <w:p w14:paraId="6EEA0B87">
      <w:pPr>
        <w:autoSpaceDE w:val="0"/>
        <w:autoSpaceDN w:val="0"/>
        <w:adjustRightInd w:val="0"/>
        <w:spacing w:line="300" w:lineRule="auto"/>
        <w:jc w:val="center"/>
        <w:rPr>
          <w:rFonts w:ascii="黑体" w:eastAsia="黑体"/>
          <w:kern w:val="0"/>
          <w:sz w:val="18"/>
          <w:szCs w:val="18"/>
        </w:rPr>
      </w:pPr>
    </w:p>
    <w:p w14:paraId="7FABD322">
      <w:pPr>
        <w:autoSpaceDE w:val="0"/>
        <w:autoSpaceDN w:val="0"/>
        <w:adjustRightInd w:val="0"/>
        <w:spacing w:line="300" w:lineRule="auto"/>
        <w:jc w:val="center"/>
        <w:rPr>
          <w:rFonts w:ascii="黑体" w:eastAsia="黑体"/>
          <w:kern w:val="0"/>
          <w:sz w:val="18"/>
          <w:szCs w:val="18"/>
        </w:rPr>
      </w:pPr>
    </w:p>
    <w:p w14:paraId="64E8676E">
      <w:pPr>
        <w:autoSpaceDE w:val="0"/>
        <w:autoSpaceDN w:val="0"/>
        <w:adjustRightInd w:val="0"/>
        <w:spacing w:line="300" w:lineRule="auto"/>
        <w:jc w:val="center"/>
        <w:rPr>
          <w:rFonts w:ascii="黑体" w:eastAsia="黑体"/>
          <w:kern w:val="0"/>
          <w:sz w:val="18"/>
          <w:szCs w:val="18"/>
        </w:rPr>
      </w:pPr>
    </w:p>
    <w:p w14:paraId="157EBA00">
      <w:pPr>
        <w:autoSpaceDE w:val="0"/>
        <w:autoSpaceDN w:val="0"/>
        <w:adjustRightInd w:val="0"/>
        <w:spacing w:line="300" w:lineRule="auto"/>
        <w:jc w:val="center"/>
        <w:rPr>
          <w:rFonts w:ascii="楷体_GB2312" w:eastAsia="楷体_GB2312"/>
          <w:b/>
          <w:kern w:val="0"/>
          <w:sz w:val="36"/>
          <w:szCs w:val="36"/>
          <w:lang w:val="zh-CN"/>
        </w:rPr>
      </w:pPr>
      <w:r>
        <w:rPr>
          <w:rFonts w:hint="eastAsia" w:ascii="楷体_GB2312" w:eastAsia="楷体_GB2312"/>
          <w:b/>
          <w:kern w:val="0"/>
          <w:sz w:val="36"/>
          <w:szCs w:val="36"/>
          <w:lang w:val="zh-CN"/>
        </w:rPr>
        <w:t>签订地点：</w:t>
      </w:r>
      <w:r>
        <w:rPr>
          <w:rFonts w:hint="eastAsia" w:ascii="楷体_GB2312" w:eastAsia="楷体_GB2312"/>
          <w:b/>
          <w:spacing w:val="40"/>
          <w:kern w:val="0"/>
          <w:sz w:val="36"/>
          <w:szCs w:val="36"/>
          <w:lang w:val="zh-CN"/>
        </w:rPr>
        <w:t>云南省昆明市</w:t>
      </w:r>
    </w:p>
    <w:p w14:paraId="612A17CE">
      <w:pPr>
        <w:autoSpaceDE w:val="0"/>
        <w:autoSpaceDN w:val="0"/>
        <w:adjustRightInd w:val="0"/>
        <w:spacing w:line="300" w:lineRule="auto"/>
        <w:jc w:val="center"/>
        <w:rPr>
          <w:rFonts w:ascii="黑体" w:eastAsia="黑体"/>
          <w:kern w:val="0"/>
          <w:sz w:val="18"/>
          <w:szCs w:val="18"/>
        </w:rPr>
      </w:pPr>
    </w:p>
    <w:p w14:paraId="74FD657F">
      <w:pPr>
        <w:autoSpaceDE w:val="0"/>
        <w:autoSpaceDN w:val="0"/>
        <w:adjustRightInd w:val="0"/>
        <w:spacing w:line="300" w:lineRule="auto"/>
        <w:jc w:val="center"/>
        <w:rPr>
          <w:rFonts w:ascii="楷体_GB2312" w:eastAsia="楷体_GB2312"/>
          <w:b/>
          <w:kern w:val="0"/>
          <w:sz w:val="36"/>
          <w:szCs w:val="36"/>
          <w:lang w:val="zh-CN"/>
        </w:rPr>
      </w:pPr>
      <w:r>
        <w:rPr>
          <w:rFonts w:hint="eastAsia" w:ascii="楷体_GB2312" w:eastAsia="楷体_GB2312"/>
          <w:b/>
          <w:kern w:val="0"/>
          <w:sz w:val="36"/>
          <w:szCs w:val="36"/>
          <w:lang w:val="zh-CN"/>
        </w:rPr>
        <w:t>云南省财政厅　制</w:t>
      </w:r>
    </w:p>
    <w:p w14:paraId="37F38D0D">
      <w:pPr>
        <w:spacing w:line="560" w:lineRule="exact"/>
        <w:ind w:firstLine="640" w:firstLineChars="200"/>
        <w:rPr>
          <w:rFonts w:ascii="仿宋_GB2312" w:eastAsia="仿宋_GB2312"/>
          <w:bCs/>
          <w:sz w:val="32"/>
          <w:szCs w:val="32"/>
        </w:rPr>
      </w:pPr>
    </w:p>
    <w:p w14:paraId="0CEFB4FE">
      <w:pPr>
        <w:spacing w:line="560" w:lineRule="exact"/>
        <w:ind w:firstLine="640" w:firstLineChars="200"/>
        <w:rPr>
          <w:rFonts w:ascii="仿宋_GB2312" w:eastAsia="仿宋_GB2312"/>
          <w:bCs/>
          <w:sz w:val="32"/>
          <w:szCs w:val="32"/>
        </w:rPr>
      </w:pPr>
      <w:r>
        <w:rPr>
          <w:rFonts w:hint="eastAsia" w:ascii="仿宋_GB2312" w:eastAsia="仿宋_GB2312"/>
          <w:bCs/>
          <w:sz w:val="32"/>
          <w:szCs w:val="32"/>
        </w:rPr>
        <w:t>甲乙双方根据云南省政府采购和出让中心按照《中华人民共和国政府采购法》、《中华人民共和国政府采购法实施条例》和有关制度规定纳入省级政府集中采购、编号为（</w:t>
      </w:r>
      <w:r>
        <w:rPr>
          <w:rFonts w:hint="eastAsia" w:ascii="仿宋_GB2312" w:eastAsia="仿宋_GB2312"/>
          <w:sz w:val="32"/>
          <w:szCs w:val="32"/>
          <w:u w:val="single"/>
        </w:rPr>
        <w:t>项目编号</w:t>
      </w:r>
      <w:r>
        <w:rPr>
          <w:rFonts w:hint="eastAsia" w:ascii="仿宋_GB2312" w:eastAsia="仿宋_GB2312"/>
          <w:sz w:val="32"/>
          <w:szCs w:val="32"/>
        </w:rPr>
        <w:t>）</w:t>
      </w:r>
      <w:r>
        <w:rPr>
          <w:rFonts w:hint="eastAsia" w:ascii="仿宋_GB2312" w:eastAsia="仿宋_GB2312"/>
          <w:bCs/>
          <w:sz w:val="32"/>
          <w:szCs w:val="32"/>
        </w:rPr>
        <w:t xml:space="preserve"> “</w:t>
      </w:r>
      <w:r>
        <w:rPr>
          <w:rFonts w:hint="eastAsia" w:ascii="仿宋_GB2312" w:eastAsia="仿宋_GB2312"/>
          <w:bCs/>
          <w:sz w:val="32"/>
          <w:szCs w:val="32"/>
          <w:u w:val="single"/>
        </w:rPr>
        <w:t>（项目名称）</w:t>
      </w:r>
      <w:r>
        <w:rPr>
          <w:rFonts w:hint="eastAsia" w:ascii="仿宋_GB2312" w:eastAsia="仿宋_GB2312"/>
          <w:bCs/>
          <w:sz w:val="32"/>
          <w:szCs w:val="32"/>
        </w:rPr>
        <w:t>”（</w:t>
      </w:r>
      <w:r>
        <w:rPr>
          <w:rFonts w:hint="eastAsia" w:ascii="仿宋_GB2312" w:eastAsia="仿宋_GB2312"/>
          <w:bCs/>
          <w:sz w:val="32"/>
          <w:szCs w:val="32"/>
          <w:u w:val="single"/>
        </w:rPr>
        <w:t>采购方式</w:t>
      </w:r>
      <w:r>
        <w:rPr>
          <w:rFonts w:hint="eastAsia" w:ascii="仿宋_GB2312" w:eastAsia="仿宋_GB2312"/>
          <w:bCs/>
          <w:sz w:val="32"/>
          <w:szCs w:val="32"/>
        </w:rPr>
        <w:t>）采购结果，经双方协定达成一致，签订以下内容：</w:t>
      </w:r>
    </w:p>
    <w:p w14:paraId="1310CFC5">
      <w:pPr>
        <w:spacing w:line="560" w:lineRule="exact"/>
        <w:ind w:firstLine="640" w:firstLineChars="200"/>
        <w:rPr>
          <w:rFonts w:ascii="黑体" w:eastAsia="黑体"/>
          <w:sz w:val="32"/>
          <w:szCs w:val="32"/>
        </w:rPr>
      </w:pPr>
      <w:r>
        <w:rPr>
          <w:rFonts w:hint="eastAsia" w:ascii="黑体" w:eastAsia="黑体"/>
          <w:sz w:val="32"/>
          <w:szCs w:val="32"/>
        </w:rPr>
        <w:t>一、货物名称、品牌及型号规格、产地、制造商名、数量、单价</w:t>
      </w:r>
    </w:p>
    <w:p w14:paraId="381CB05E">
      <w:pPr>
        <w:spacing w:line="520" w:lineRule="exact"/>
        <w:ind w:firstLine="640" w:firstLineChars="200"/>
        <w:rPr>
          <w:rFonts w:ascii="楷体_GB2312" w:eastAsia="楷体_GB2312"/>
          <w:sz w:val="32"/>
          <w:szCs w:val="32"/>
        </w:rPr>
      </w:pPr>
    </w:p>
    <w:p w14:paraId="6752B646">
      <w:pPr>
        <w:spacing w:line="520" w:lineRule="exact"/>
        <w:ind w:firstLine="640" w:firstLineChars="200"/>
        <w:rPr>
          <w:rFonts w:ascii="楷体_GB2312" w:eastAsia="楷体_GB2312"/>
          <w:sz w:val="32"/>
          <w:szCs w:val="32"/>
        </w:rPr>
      </w:pPr>
    </w:p>
    <w:p w14:paraId="3DEBEAD6">
      <w:pPr>
        <w:spacing w:line="520" w:lineRule="exact"/>
        <w:ind w:firstLine="640" w:firstLineChars="200"/>
        <w:rPr>
          <w:rFonts w:ascii="楷体_GB2312" w:eastAsia="楷体_GB2312"/>
          <w:sz w:val="32"/>
          <w:szCs w:val="32"/>
        </w:rPr>
      </w:pPr>
    </w:p>
    <w:p w14:paraId="10656396">
      <w:pPr>
        <w:spacing w:line="520" w:lineRule="exact"/>
        <w:ind w:firstLine="640" w:firstLineChars="200"/>
        <w:rPr>
          <w:rFonts w:ascii="楷体_GB2312" w:eastAsia="楷体_GB2312"/>
          <w:sz w:val="32"/>
          <w:szCs w:val="32"/>
        </w:rPr>
      </w:pPr>
    </w:p>
    <w:p w14:paraId="6066E762">
      <w:pPr>
        <w:spacing w:line="520" w:lineRule="exact"/>
        <w:ind w:firstLine="640" w:firstLineChars="200"/>
        <w:rPr>
          <w:rFonts w:ascii="楷体_GB2312" w:eastAsia="楷体_GB2312"/>
          <w:sz w:val="32"/>
          <w:szCs w:val="32"/>
        </w:rPr>
      </w:pPr>
      <w:r>
        <w:rPr>
          <w:rFonts w:hint="eastAsia" w:ascii="楷体_GB2312" w:eastAsia="楷体_GB2312"/>
          <w:sz w:val="32"/>
          <w:szCs w:val="32"/>
        </w:rPr>
        <w:t>货物的质量（或项目建设）符合标准及规定，并满足甲方技术要求。</w:t>
      </w:r>
    </w:p>
    <w:p w14:paraId="0E98D149">
      <w:pPr>
        <w:spacing w:line="520" w:lineRule="exact"/>
        <w:ind w:firstLine="640" w:firstLineChars="200"/>
        <w:rPr>
          <w:rFonts w:ascii="楷体_GB2312" w:eastAsia="楷体_GB2312"/>
          <w:b/>
          <w:sz w:val="32"/>
          <w:szCs w:val="32"/>
        </w:rPr>
      </w:pPr>
      <w:r>
        <w:rPr>
          <w:rFonts w:hint="eastAsia" w:ascii="楷体_GB2312" w:eastAsia="楷体_GB2312"/>
          <w:b/>
          <w:sz w:val="32"/>
          <w:szCs w:val="32"/>
        </w:rPr>
        <w:t>货物的安装服务要求或项目集成服务范围及内容：</w:t>
      </w:r>
    </w:p>
    <w:p w14:paraId="0655E482">
      <w:pPr>
        <w:spacing w:line="520" w:lineRule="exact"/>
        <w:ind w:firstLine="640" w:firstLineChars="200"/>
        <w:rPr>
          <w:rFonts w:ascii="楷体_GB2312" w:eastAsia="楷体_GB2312"/>
          <w:sz w:val="32"/>
          <w:szCs w:val="32"/>
        </w:rPr>
      </w:pPr>
    </w:p>
    <w:p w14:paraId="14C00102">
      <w:pPr>
        <w:pStyle w:val="22"/>
        <w:spacing w:before="165"/>
        <w:ind w:firstLine="436"/>
      </w:pPr>
    </w:p>
    <w:p w14:paraId="12804746">
      <w:pPr>
        <w:spacing w:line="520" w:lineRule="exact"/>
        <w:ind w:firstLine="640" w:firstLineChars="200"/>
        <w:rPr>
          <w:rFonts w:eastAsia="黑体"/>
          <w:sz w:val="32"/>
          <w:szCs w:val="32"/>
        </w:rPr>
      </w:pPr>
      <w:r>
        <w:rPr>
          <w:rFonts w:hint="eastAsia" w:eastAsia="黑体"/>
          <w:sz w:val="32"/>
          <w:szCs w:val="32"/>
        </w:rPr>
        <w:t>二、合同总价</w:t>
      </w:r>
    </w:p>
    <w:p w14:paraId="25556ADE">
      <w:pPr>
        <w:spacing w:line="520" w:lineRule="exact"/>
        <w:ind w:firstLine="640" w:firstLineChars="200"/>
        <w:rPr>
          <w:rFonts w:ascii="仿宋_GB2312" w:hAnsi="宋体" w:eastAsia="仿宋_GB2312"/>
          <w:kern w:val="0"/>
          <w:sz w:val="32"/>
          <w:szCs w:val="32"/>
          <w:lang w:val="zh-CN"/>
        </w:rPr>
      </w:pPr>
      <w:r>
        <w:rPr>
          <w:rFonts w:hint="eastAsia" w:ascii="仿宋_GB2312" w:hAnsi="宋体" w:eastAsia="仿宋_GB2312"/>
          <w:kern w:val="0"/>
          <w:sz w:val="32"/>
          <w:szCs w:val="32"/>
          <w:lang w:val="zh-CN"/>
        </w:rPr>
        <w:t>人民币小写：</w:t>
      </w:r>
    </w:p>
    <w:p w14:paraId="14BC35DB">
      <w:pPr>
        <w:spacing w:line="520" w:lineRule="exact"/>
        <w:ind w:firstLine="1600" w:firstLineChars="500"/>
        <w:rPr>
          <w:rFonts w:ascii="仿宋_GB2312" w:eastAsia="仿宋_GB2312"/>
          <w:b/>
          <w:bCs/>
          <w:sz w:val="32"/>
          <w:szCs w:val="32"/>
        </w:rPr>
      </w:pPr>
      <w:r>
        <w:rPr>
          <w:rFonts w:hint="eastAsia" w:ascii="仿宋_GB2312" w:hAnsi="宋体" w:eastAsia="仿宋_GB2312"/>
          <w:kern w:val="0"/>
          <w:sz w:val="32"/>
          <w:szCs w:val="32"/>
          <w:lang w:val="zh-CN"/>
        </w:rPr>
        <w:t>大写：</w:t>
      </w:r>
    </w:p>
    <w:p w14:paraId="78B3B398">
      <w:pPr>
        <w:autoSpaceDE w:val="0"/>
        <w:autoSpaceDN w:val="0"/>
        <w:adjustRightInd w:val="0"/>
        <w:spacing w:line="520" w:lineRule="exact"/>
        <w:ind w:firstLine="640" w:firstLineChars="200"/>
        <w:jc w:val="left"/>
        <w:rPr>
          <w:rFonts w:ascii="仿宋_GB2312" w:hAnsi="宋体" w:eastAsia="仿宋_GB2312"/>
          <w:kern w:val="0"/>
          <w:sz w:val="32"/>
          <w:szCs w:val="32"/>
          <w:lang w:val="zh-CN"/>
        </w:rPr>
      </w:pPr>
      <w:r>
        <w:rPr>
          <w:rFonts w:hint="eastAsia" w:ascii="仿宋_GB2312" w:hAnsi="宋体" w:eastAsia="仿宋_GB2312"/>
          <w:kern w:val="0"/>
          <w:sz w:val="32"/>
          <w:szCs w:val="32"/>
          <w:lang w:val="zh-CN"/>
        </w:rPr>
        <w:t>其中：资金归属</w:t>
      </w:r>
      <w:r>
        <w:rPr>
          <w:rFonts w:hint="eastAsia" w:ascii="仿宋_GB2312" w:hAnsi="宋体" w:eastAsia="仿宋_GB2312"/>
          <w:bCs/>
          <w:kern w:val="0"/>
          <w:sz w:val="32"/>
          <w:szCs w:val="32"/>
        </w:rPr>
        <w:t>（请在</w:t>
      </w:r>
      <w:r>
        <w:rPr>
          <w:rFonts w:hint="eastAsia" w:ascii="仿宋_GB2312" w:hAnsi="宋体" w:eastAsia="仿宋_GB2312"/>
          <w:kern w:val="0"/>
          <w:sz w:val="32"/>
          <w:szCs w:val="32"/>
        </w:rPr>
        <w:t>□内打√，其余打×）</w:t>
      </w:r>
    </w:p>
    <w:p w14:paraId="47814ED1">
      <w:pPr>
        <w:autoSpaceDE w:val="0"/>
        <w:autoSpaceDN w:val="0"/>
        <w:adjustRightInd w:val="0"/>
        <w:spacing w:line="520" w:lineRule="exact"/>
        <w:ind w:firstLine="640" w:firstLineChars="200"/>
        <w:jc w:val="left"/>
        <w:rPr>
          <w:rFonts w:ascii="仿宋_GB2312" w:hAnsi="宋体" w:eastAsia="仿宋_GB2312"/>
          <w:kern w:val="0"/>
          <w:sz w:val="32"/>
          <w:szCs w:val="32"/>
          <w:lang w:val="zh-CN"/>
        </w:rPr>
      </w:pPr>
      <w:r>
        <w:rPr>
          <w:rFonts w:hint="eastAsia" w:ascii="仿宋_GB2312" w:hAnsi="宋体" w:eastAsia="仿宋_GB2312"/>
          <w:kern w:val="0"/>
          <w:sz w:val="32"/>
          <w:szCs w:val="32"/>
          <w:lang w:val="zh-CN"/>
        </w:rPr>
        <w:t>财政资金：</w:t>
      </w:r>
    </w:p>
    <w:p w14:paraId="712A7D27">
      <w:pPr>
        <w:autoSpaceDE w:val="0"/>
        <w:autoSpaceDN w:val="0"/>
        <w:adjustRightInd w:val="0"/>
        <w:spacing w:line="520" w:lineRule="exact"/>
        <w:ind w:firstLine="1280" w:firstLineChars="400"/>
        <w:jc w:val="left"/>
        <w:rPr>
          <w:rFonts w:ascii="仿宋_GB2312" w:hAnsi="宋体" w:eastAsia="仿宋_GB2312"/>
          <w:kern w:val="0"/>
          <w:sz w:val="32"/>
          <w:szCs w:val="32"/>
          <w:lang w:val="zh-CN"/>
        </w:rPr>
      </w:pPr>
      <w:r>
        <w:rPr>
          <w:rFonts w:hint="eastAsia" w:ascii="仿宋_GB2312" w:hAnsi="宋体" w:eastAsia="仿宋_GB2312"/>
          <w:kern w:val="0"/>
          <w:sz w:val="32"/>
          <w:szCs w:val="32"/>
          <w:lang w:val="zh-CN"/>
        </w:rPr>
        <w:t>小写：</w:t>
      </w:r>
    </w:p>
    <w:p w14:paraId="5006496B">
      <w:pPr>
        <w:autoSpaceDE w:val="0"/>
        <w:autoSpaceDN w:val="0"/>
        <w:adjustRightInd w:val="0"/>
        <w:spacing w:line="520" w:lineRule="exact"/>
        <w:ind w:firstLine="1280" w:firstLineChars="400"/>
        <w:jc w:val="left"/>
        <w:rPr>
          <w:rFonts w:ascii="仿宋_GB2312" w:hAnsi="宋体" w:eastAsia="仿宋_GB2312"/>
          <w:kern w:val="0"/>
          <w:sz w:val="32"/>
          <w:szCs w:val="32"/>
          <w:lang w:val="zh-CN"/>
        </w:rPr>
      </w:pPr>
      <w:r>
        <w:rPr>
          <w:rFonts w:hint="eastAsia" w:ascii="仿宋_GB2312" w:hAnsi="宋体" w:eastAsia="仿宋_GB2312"/>
          <w:kern w:val="0"/>
          <w:sz w:val="32"/>
          <w:szCs w:val="32"/>
          <w:lang w:val="zh-CN"/>
        </w:rPr>
        <w:t>大写：</w:t>
      </w:r>
    </w:p>
    <w:p w14:paraId="7FD607EB">
      <w:pPr>
        <w:autoSpaceDE w:val="0"/>
        <w:autoSpaceDN w:val="0"/>
        <w:adjustRightInd w:val="0"/>
        <w:spacing w:line="520" w:lineRule="exact"/>
        <w:ind w:firstLine="640" w:firstLineChars="200"/>
        <w:jc w:val="left"/>
        <w:rPr>
          <w:rFonts w:ascii="仿宋_GB2312" w:hAnsi="宋体" w:eastAsia="仿宋_GB2312"/>
          <w:kern w:val="0"/>
          <w:sz w:val="32"/>
          <w:szCs w:val="32"/>
          <w:lang w:val="zh-CN"/>
        </w:rPr>
      </w:pPr>
      <w:r>
        <w:rPr>
          <w:rFonts w:hint="eastAsia" w:ascii="仿宋_GB2312" w:hAnsi="宋体" w:eastAsia="仿宋_GB2312"/>
          <w:kern w:val="0"/>
          <w:sz w:val="32"/>
          <w:szCs w:val="32"/>
          <w:lang w:val="zh-CN"/>
        </w:rPr>
        <w:t>自筹资金：</w:t>
      </w:r>
    </w:p>
    <w:p w14:paraId="5986644A">
      <w:pPr>
        <w:autoSpaceDE w:val="0"/>
        <w:autoSpaceDN w:val="0"/>
        <w:adjustRightInd w:val="0"/>
        <w:spacing w:line="520" w:lineRule="exact"/>
        <w:ind w:firstLine="1280" w:firstLineChars="400"/>
        <w:jc w:val="left"/>
        <w:rPr>
          <w:rFonts w:ascii="仿宋_GB2312" w:hAnsi="宋体" w:eastAsia="仿宋_GB2312"/>
          <w:kern w:val="0"/>
          <w:sz w:val="32"/>
          <w:szCs w:val="32"/>
          <w:lang w:val="zh-CN"/>
        </w:rPr>
      </w:pPr>
      <w:r>
        <w:rPr>
          <w:rFonts w:hint="eastAsia" w:ascii="仿宋_GB2312" w:hAnsi="宋体" w:eastAsia="仿宋_GB2312"/>
          <w:kern w:val="0"/>
          <w:sz w:val="32"/>
          <w:szCs w:val="32"/>
          <w:lang w:val="zh-CN"/>
        </w:rPr>
        <w:t>小写：</w:t>
      </w:r>
    </w:p>
    <w:p w14:paraId="145901FB">
      <w:pPr>
        <w:autoSpaceDE w:val="0"/>
        <w:autoSpaceDN w:val="0"/>
        <w:adjustRightInd w:val="0"/>
        <w:spacing w:line="520" w:lineRule="exact"/>
        <w:ind w:firstLine="1280" w:firstLineChars="400"/>
        <w:jc w:val="left"/>
        <w:rPr>
          <w:rFonts w:ascii="仿宋_GB2312" w:hAnsi="宋体" w:eastAsia="仿宋_GB2312"/>
          <w:kern w:val="0"/>
          <w:sz w:val="32"/>
          <w:szCs w:val="32"/>
          <w:lang w:val="zh-CN"/>
        </w:rPr>
      </w:pPr>
      <w:r>
        <w:rPr>
          <w:rFonts w:hint="eastAsia" w:ascii="仿宋_GB2312" w:hAnsi="宋体" w:eastAsia="仿宋_GB2312"/>
          <w:kern w:val="0"/>
          <w:sz w:val="32"/>
          <w:szCs w:val="32"/>
          <w:lang w:val="zh-CN"/>
        </w:rPr>
        <w:t>大写：</w:t>
      </w:r>
    </w:p>
    <w:p w14:paraId="500EA827">
      <w:pPr>
        <w:autoSpaceDE w:val="0"/>
        <w:autoSpaceDN w:val="0"/>
        <w:adjustRightInd w:val="0"/>
        <w:spacing w:line="520" w:lineRule="exact"/>
        <w:ind w:firstLine="640" w:firstLineChars="200"/>
        <w:jc w:val="left"/>
        <w:rPr>
          <w:rFonts w:ascii="仿宋_GB2312" w:hAnsi="宋体" w:eastAsia="仿宋_GB2312"/>
          <w:kern w:val="0"/>
          <w:sz w:val="32"/>
          <w:szCs w:val="32"/>
          <w:lang w:val="zh-CN"/>
        </w:rPr>
      </w:pPr>
      <w:r>
        <w:rPr>
          <w:rFonts w:hint="eastAsia" w:ascii="仿宋_GB2312" w:eastAsia="仿宋_GB2312"/>
          <w:sz w:val="32"/>
          <w:szCs w:val="32"/>
        </w:rPr>
        <w:t>以上价格为甲方指定地点统一交货价</w:t>
      </w:r>
      <w:r>
        <w:rPr>
          <w:rFonts w:hint="eastAsia" w:ascii="仿宋_GB2312" w:hAnsi="宋体" w:eastAsia="仿宋_GB2312"/>
          <w:kern w:val="0"/>
          <w:sz w:val="32"/>
          <w:szCs w:val="32"/>
        </w:rPr>
        <w:t>，包括但不限于货物款、税费、运输费、安装、调试、</w:t>
      </w:r>
      <w:r>
        <w:rPr>
          <w:rFonts w:ascii="仿宋_GB2312" w:hAnsi="宋体" w:eastAsia="仿宋_GB2312"/>
          <w:kern w:val="0"/>
          <w:sz w:val="32"/>
          <w:szCs w:val="32"/>
        </w:rPr>
        <w:t>质保期内产品更换或维修维护服务费用</w:t>
      </w:r>
      <w:r>
        <w:rPr>
          <w:rFonts w:hint="eastAsia" w:ascii="仿宋_GB2312" w:hAnsi="宋体" w:eastAsia="仿宋_GB2312"/>
          <w:kern w:val="0"/>
          <w:sz w:val="32"/>
          <w:szCs w:val="32"/>
        </w:rPr>
        <w:t>等所有费用，</w:t>
      </w:r>
      <w:r>
        <w:rPr>
          <w:rFonts w:hint="eastAsia" w:ascii="仿宋_GB2312" w:hAnsi="宋体" w:eastAsia="仿宋_GB2312"/>
          <w:kern w:val="0"/>
          <w:sz w:val="32"/>
          <w:szCs w:val="32"/>
          <w:lang w:val="zh-CN"/>
        </w:rPr>
        <w:t>并不得再有其他费用。</w:t>
      </w:r>
      <w:r>
        <w:rPr>
          <w:rFonts w:ascii="仿宋_GB2312" w:hAnsi="宋体" w:eastAsia="仿宋_GB2312"/>
          <w:kern w:val="0"/>
          <w:sz w:val="32"/>
          <w:szCs w:val="32"/>
        </w:rPr>
        <w:t>本合同执行期间合同总价款不变。</w:t>
      </w:r>
    </w:p>
    <w:p w14:paraId="4CA32439">
      <w:pPr>
        <w:autoSpaceDE w:val="0"/>
        <w:autoSpaceDN w:val="0"/>
        <w:adjustRightInd w:val="0"/>
        <w:spacing w:line="520" w:lineRule="exact"/>
        <w:ind w:firstLine="640" w:firstLineChars="200"/>
        <w:jc w:val="left"/>
        <w:rPr>
          <w:rFonts w:ascii="黑体" w:eastAsia="黑体"/>
          <w:sz w:val="32"/>
          <w:szCs w:val="32"/>
        </w:rPr>
      </w:pPr>
      <w:r>
        <w:rPr>
          <w:rFonts w:hint="eastAsia" w:ascii="黑体" w:eastAsia="黑体"/>
          <w:sz w:val="32"/>
          <w:szCs w:val="32"/>
        </w:rPr>
        <w:t>三、甲乙双方的权利和义务</w:t>
      </w:r>
    </w:p>
    <w:p w14:paraId="78BB85FC">
      <w:pPr>
        <w:autoSpaceDE w:val="0"/>
        <w:autoSpaceDN w:val="0"/>
        <w:adjustRightInd w:val="0"/>
        <w:spacing w:line="520" w:lineRule="exact"/>
        <w:ind w:firstLine="640" w:firstLineChars="200"/>
        <w:jc w:val="left"/>
        <w:rPr>
          <w:rFonts w:ascii="楷体_GB2312" w:hAnsi="宋体" w:eastAsia="楷体_GB2312"/>
          <w:b/>
          <w:bCs/>
          <w:sz w:val="32"/>
          <w:szCs w:val="32"/>
        </w:rPr>
      </w:pPr>
      <w:r>
        <w:rPr>
          <w:rFonts w:hint="eastAsia" w:ascii="楷体_GB2312" w:hAnsi="宋体" w:eastAsia="楷体_GB2312"/>
          <w:b/>
          <w:bCs/>
          <w:sz w:val="32"/>
          <w:szCs w:val="32"/>
        </w:rPr>
        <w:t>（一）甲方的权利和义务</w:t>
      </w:r>
    </w:p>
    <w:p w14:paraId="5AD8D128">
      <w:pPr>
        <w:autoSpaceDE w:val="0"/>
        <w:autoSpaceDN w:val="0"/>
        <w:adjustRightInd w:val="0"/>
        <w:spacing w:line="520" w:lineRule="exact"/>
        <w:ind w:firstLine="640" w:firstLineChars="200"/>
        <w:jc w:val="left"/>
        <w:rPr>
          <w:rFonts w:ascii="仿宋_GB2312" w:hAnsi="宋体" w:eastAsia="仿宋_GB2312"/>
          <w:sz w:val="32"/>
          <w:szCs w:val="32"/>
        </w:rPr>
      </w:pPr>
    </w:p>
    <w:p w14:paraId="3FB27965">
      <w:pPr>
        <w:pStyle w:val="22"/>
        <w:spacing w:before="165"/>
        <w:ind w:firstLine="656"/>
        <w:rPr>
          <w:rFonts w:ascii="仿宋_GB2312" w:hAnsi="宋体" w:eastAsia="仿宋_GB2312"/>
          <w:sz w:val="32"/>
          <w:szCs w:val="32"/>
        </w:rPr>
      </w:pPr>
    </w:p>
    <w:p w14:paraId="789F11EB">
      <w:pPr>
        <w:pStyle w:val="22"/>
        <w:spacing w:before="165"/>
        <w:ind w:firstLine="656"/>
        <w:rPr>
          <w:rFonts w:ascii="仿宋_GB2312" w:hAnsi="宋体" w:eastAsia="仿宋_GB2312"/>
          <w:sz w:val="32"/>
          <w:szCs w:val="32"/>
        </w:rPr>
      </w:pPr>
    </w:p>
    <w:p w14:paraId="0E211C28">
      <w:pPr>
        <w:pStyle w:val="22"/>
        <w:spacing w:before="165"/>
        <w:ind w:firstLine="656"/>
        <w:rPr>
          <w:rFonts w:ascii="仿宋_GB2312" w:hAnsi="宋体" w:eastAsia="仿宋_GB2312"/>
          <w:sz w:val="32"/>
          <w:szCs w:val="32"/>
        </w:rPr>
      </w:pPr>
    </w:p>
    <w:p w14:paraId="7263A85D">
      <w:pPr>
        <w:autoSpaceDE w:val="0"/>
        <w:autoSpaceDN w:val="0"/>
        <w:adjustRightInd w:val="0"/>
        <w:spacing w:line="520" w:lineRule="exact"/>
        <w:ind w:firstLine="640" w:firstLineChars="200"/>
        <w:jc w:val="left"/>
        <w:rPr>
          <w:rFonts w:ascii="楷体_GB2312" w:hAnsi="宋体" w:eastAsia="楷体_GB2312"/>
          <w:b/>
          <w:bCs/>
          <w:sz w:val="32"/>
          <w:szCs w:val="32"/>
        </w:rPr>
      </w:pPr>
      <w:r>
        <w:rPr>
          <w:rFonts w:hint="eastAsia" w:ascii="楷体_GB2312" w:hAnsi="宋体" w:eastAsia="楷体_GB2312"/>
          <w:b/>
          <w:bCs/>
          <w:sz w:val="32"/>
          <w:szCs w:val="32"/>
        </w:rPr>
        <w:t>（二）乙方的权利和义务</w:t>
      </w:r>
    </w:p>
    <w:p w14:paraId="0D518A7B">
      <w:pPr>
        <w:autoSpaceDE w:val="0"/>
        <w:autoSpaceDN w:val="0"/>
        <w:adjustRightInd w:val="0"/>
        <w:spacing w:line="520" w:lineRule="exact"/>
        <w:ind w:firstLine="640" w:firstLineChars="200"/>
        <w:jc w:val="left"/>
        <w:rPr>
          <w:rFonts w:ascii="仿宋_GB2312" w:hAnsi="宋体" w:eastAsia="仿宋_GB2312"/>
          <w:b/>
          <w:sz w:val="32"/>
          <w:szCs w:val="32"/>
        </w:rPr>
      </w:pPr>
    </w:p>
    <w:p w14:paraId="53376E9A">
      <w:pPr>
        <w:autoSpaceDE w:val="0"/>
        <w:autoSpaceDN w:val="0"/>
        <w:adjustRightInd w:val="0"/>
        <w:spacing w:line="520" w:lineRule="exact"/>
        <w:ind w:firstLine="640" w:firstLineChars="200"/>
        <w:jc w:val="left"/>
        <w:rPr>
          <w:rFonts w:ascii="仿宋_GB2312" w:hAnsi="宋体" w:eastAsia="仿宋_GB2312"/>
          <w:b/>
          <w:sz w:val="32"/>
          <w:szCs w:val="32"/>
        </w:rPr>
      </w:pPr>
    </w:p>
    <w:p w14:paraId="76999D7C">
      <w:pPr>
        <w:autoSpaceDE w:val="0"/>
        <w:autoSpaceDN w:val="0"/>
        <w:adjustRightInd w:val="0"/>
        <w:spacing w:line="520" w:lineRule="exact"/>
        <w:ind w:firstLine="640" w:firstLineChars="200"/>
        <w:jc w:val="left"/>
        <w:rPr>
          <w:rFonts w:ascii="仿宋_GB2312" w:hAnsi="宋体" w:eastAsia="仿宋_GB2312"/>
          <w:b/>
          <w:sz w:val="32"/>
          <w:szCs w:val="32"/>
        </w:rPr>
      </w:pPr>
    </w:p>
    <w:p w14:paraId="1B6A7E01">
      <w:pPr>
        <w:autoSpaceDE w:val="0"/>
        <w:autoSpaceDN w:val="0"/>
        <w:adjustRightInd w:val="0"/>
        <w:spacing w:line="520" w:lineRule="exact"/>
        <w:ind w:firstLine="640" w:firstLineChars="200"/>
        <w:jc w:val="left"/>
        <w:rPr>
          <w:rFonts w:ascii="仿宋_GB2312" w:hAnsi="宋体" w:eastAsia="仿宋_GB2312"/>
          <w:b/>
          <w:sz w:val="32"/>
          <w:szCs w:val="32"/>
        </w:rPr>
      </w:pPr>
    </w:p>
    <w:p w14:paraId="0846F2E5">
      <w:pPr>
        <w:autoSpaceDE w:val="0"/>
        <w:autoSpaceDN w:val="0"/>
        <w:adjustRightInd w:val="0"/>
        <w:spacing w:line="520" w:lineRule="exact"/>
        <w:ind w:firstLine="640" w:firstLineChars="200"/>
        <w:jc w:val="left"/>
        <w:rPr>
          <w:rFonts w:ascii="仿宋_GB2312" w:hAnsi="宋体" w:eastAsia="仿宋_GB2312"/>
          <w:b/>
          <w:sz w:val="32"/>
          <w:szCs w:val="32"/>
        </w:rPr>
      </w:pPr>
      <w:r>
        <w:rPr>
          <w:rFonts w:hint="eastAsia" w:ascii="仿宋_GB2312" w:hAnsi="宋体" w:eastAsia="仿宋_GB2312"/>
          <w:b/>
          <w:sz w:val="32"/>
          <w:szCs w:val="32"/>
        </w:rPr>
        <w:t>四、售后服务标准及要求</w:t>
      </w:r>
    </w:p>
    <w:p w14:paraId="002EB95B">
      <w:pPr>
        <w:spacing w:line="520" w:lineRule="exact"/>
        <w:ind w:firstLine="640" w:firstLineChars="200"/>
        <w:rPr>
          <w:rFonts w:ascii="仿宋_GB2312" w:hAnsi="宋体" w:eastAsia="仿宋_GB2312"/>
          <w:sz w:val="32"/>
          <w:szCs w:val="32"/>
        </w:rPr>
      </w:pPr>
      <w:r>
        <w:rPr>
          <w:rFonts w:hint="eastAsia" w:ascii="仿宋_GB2312" w:hAnsi="宋体" w:eastAsia="仿宋_GB2312"/>
          <w:sz w:val="32"/>
          <w:szCs w:val="32"/>
        </w:rPr>
        <w:t>1.本合同范围内的货物质保期为</w:t>
      </w:r>
      <w:r>
        <w:rPr>
          <w:rFonts w:hint="eastAsia" w:ascii="仿宋_GB2312" w:hAnsi="宋体" w:eastAsia="仿宋_GB2312"/>
          <w:sz w:val="32"/>
          <w:szCs w:val="32"/>
          <w:u w:val="single"/>
        </w:rPr>
        <w:t xml:space="preserve">  </w:t>
      </w:r>
      <w:r>
        <w:rPr>
          <w:rFonts w:hint="eastAsia" w:ascii="仿宋_GB2312" w:hAnsi="宋体" w:eastAsia="仿宋_GB2312"/>
          <w:sz w:val="32"/>
          <w:szCs w:val="32"/>
        </w:rPr>
        <w:t>年，自甲方验收合格，双方签署验收报告之日起计算。质保期内，乙方对货物提供全免费上门保修、维护或免费更换。</w:t>
      </w:r>
    </w:p>
    <w:p w14:paraId="7066CF64">
      <w:pPr>
        <w:autoSpaceDE w:val="0"/>
        <w:autoSpaceDN w:val="0"/>
        <w:adjustRightInd w:val="0"/>
        <w:spacing w:line="520" w:lineRule="exact"/>
        <w:ind w:firstLine="640" w:firstLineChars="200"/>
        <w:jc w:val="left"/>
        <w:rPr>
          <w:rFonts w:ascii="仿宋_GB2312" w:hAnsi="宋体" w:eastAsia="仿宋_GB2312"/>
          <w:sz w:val="32"/>
          <w:szCs w:val="32"/>
        </w:rPr>
      </w:pPr>
      <w:r>
        <w:rPr>
          <w:rFonts w:hint="eastAsia" w:ascii="仿宋_GB2312" w:hAnsi="宋体" w:eastAsia="仿宋_GB2312"/>
          <w:sz w:val="32"/>
          <w:szCs w:val="32"/>
        </w:rPr>
        <w:t>2.甲方在货物使用过程中发生技术质量问题，乙方应提供及时有效的技术支持及服务。</w:t>
      </w:r>
    </w:p>
    <w:p w14:paraId="045E534F">
      <w:pPr>
        <w:autoSpaceDE w:val="0"/>
        <w:autoSpaceDN w:val="0"/>
        <w:adjustRightInd w:val="0"/>
        <w:spacing w:line="520" w:lineRule="exact"/>
        <w:ind w:firstLine="640" w:firstLineChars="200"/>
        <w:jc w:val="left"/>
        <w:rPr>
          <w:rFonts w:ascii="仿宋_GB2312" w:hAnsi="宋体" w:eastAsia="仿宋_GB2312"/>
          <w:sz w:val="32"/>
          <w:szCs w:val="32"/>
        </w:rPr>
      </w:pPr>
      <w:r>
        <w:rPr>
          <w:rFonts w:hint="eastAsia" w:ascii="仿宋_GB2312" w:hAnsi="宋体" w:eastAsia="仿宋_GB2312"/>
          <w:sz w:val="32"/>
          <w:szCs w:val="32"/>
        </w:rPr>
        <w:t>乙方技术支持电话：</w:t>
      </w:r>
    </w:p>
    <w:p w14:paraId="562FC923">
      <w:pPr>
        <w:autoSpaceDE w:val="0"/>
        <w:autoSpaceDN w:val="0"/>
        <w:adjustRightInd w:val="0"/>
        <w:spacing w:line="520" w:lineRule="exact"/>
        <w:ind w:firstLine="2240" w:firstLineChars="700"/>
        <w:jc w:val="left"/>
        <w:rPr>
          <w:rFonts w:ascii="仿宋_GB2312" w:hAnsi="宋体" w:eastAsia="仿宋_GB2312"/>
          <w:sz w:val="32"/>
          <w:szCs w:val="32"/>
        </w:rPr>
      </w:pPr>
      <w:r>
        <w:rPr>
          <w:rFonts w:hint="eastAsia" w:ascii="仿宋_GB2312" w:hAnsi="宋体" w:eastAsia="仿宋_GB2312"/>
          <w:sz w:val="32"/>
          <w:szCs w:val="32"/>
        </w:rPr>
        <w:t>联系人：</w:t>
      </w:r>
    </w:p>
    <w:p w14:paraId="0BCE8758">
      <w:pPr>
        <w:autoSpaceDE w:val="0"/>
        <w:autoSpaceDN w:val="0"/>
        <w:adjustRightInd w:val="0"/>
        <w:spacing w:line="520" w:lineRule="exact"/>
        <w:ind w:firstLine="640" w:firstLineChars="200"/>
        <w:jc w:val="left"/>
        <w:rPr>
          <w:rFonts w:ascii="仿宋_GB2312" w:hAnsi="宋体" w:eastAsia="仿宋_GB2312"/>
          <w:sz w:val="32"/>
          <w:szCs w:val="32"/>
        </w:rPr>
      </w:pPr>
      <w:r>
        <w:rPr>
          <w:rFonts w:hint="eastAsia" w:ascii="仿宋_GB2312" w:hAnsi="宋体" w:eastAsia="仿宋_GB2312"/>
          <w:sz w:val="32"/>
          <w:szCs w:val="32"/>
        </w:rPr>
        <w:t>3.乙方应向甲方提供在省内的维修服务中心、特约维修服务站等售后服务网点的名单、联系地址、联系电话（内容不够填写时可另作附件）。</w:t>
      </w:r>
    </w:p>
    <w:p w14:paraId="1CEB30C9">
      <w:pPr>
        <w:autoSpaceDE w:val="0"/>
        <w:autoSpaceDN w:val="0"/>
        <w:adjustRightInd w:val="0"/>
        <w:spacing w:line="520" w:lineRule="exact"/>
        <w:ind w:firstLine="640" w:firstLineChars="200"/>
        <w:jc w:val="left"/>
        <w:rPr>
          <w:rFonts w:ascii="仿宋_GB2312" w:hAnsi="宋体" w:eastAsia="仿宋_GB2312"/>
          <w:sz w:val="32"/>
          <w:szCs w:val="32"/>
        </w:rPr>
      </w:pPr>
      <w:r>
        <w:rPr>
          <w:rFonts w:hint="eastAsia" w:ascii="仿宋_GB2312" w:hAnsi="宋体" w:eastAsia="仿宋_GB2312"/>
          <w:sz w:val="32"/>
          <w:szCs w:val="32"/>
        </w:rPr>
        <w:t>售后服务网点地址：</w:t>
      </w:r>
    </w:p>
    <w:p w14:paraId="39F8607E">
      <w:pPr>
        <w:autoSpaceDE w:val="0"/>
        <w:autoSpaceDN w:val="0"/>
        <w:adjustRightInd w:val="0"/>
        <w:spacing w:line="520" w:lineRule="exact"/>
        <w:ind w:firstLine="1600" w:firstLineChars="500"/>
        <w:jc w:val="left"/>
        <w:rPr>
          <w:rFonts w:ascii="仿宋_GB2312" w:hAnsi="宋体" w:eastAsia="仿宋_GB2312"/>
          <w:sz w:val="32"/>
          <w:szCs w:val="32"/>
        </w:rPr>
      </w:pPr>
      <w:r>
        <w:rPr>
          <w:rFonts w:hint="eastAsia" w:ascii="仿宋_GB2312" w:hAnsi="宋体" w:eastAsia="仿宋_GB2312"/>
          <w:sz w:val="32"/>
          <w:szCs w:val="32"/>
        </w:rPr>
        <w:t xml:space="preserve">负责人姓名：         </w:t>
      </w:r>
    </w:p>
    <w:p w14:paraId="1E955063">
      <w:pPr>
        <w:autoSpaceDE w:val="0"/>
        <w:autoSpaceDN w:val="0"/>
        <w:adjustRightInd w:val="0"/>
        <w:spacing w:line="520" w:lineRule="exact"/>
        <w:ind w:firstLine="1920" w:firstLineChars="600"/>
        <w:jc w:val="left"/>
        <w:rPr>
          <w:rFonts w:ascii="仿宋_GB2312" w:hAnsi="宋体" w:eastAsia="仿宋_GB2312"/>
          <w:sz w:val="32"/>
          <w:szCs w:val="32"/>
        </w:rPr>
      </w:pPr>
      <w:r>
        <w:rPr>
          <w:rFonts w:hint="eastAsia" w:ascii="仿宋_GB2312" w:hAnsi="宋体" w:eastAsia="仿宋_GB2312"/>
          <w:sz w:val="32"/>
          <w:szCs w:val="32"/>
        </w:rPr>
        <w:t>联系电话：</w:t>
      </w:r>
    </w:p>
    <w:p w14:paraId="14F98B4F">
      <w:pPr>
        <w:autoSpaceDE w:val="0"/>
        <w:autoSpaceDN w:val="0"/>
        <w:adjustRightInd w:val="0"/>
        <w:spacing w:line="520" w:lineRule="exact"/>
        <w:ind w:firstLine="640" w:firstLineChars="200"/>
        <w:jc w:val="left"/>
        <w:rPr>
          <w:rFonts w:ascii="仿宋_GB2312" w:hAnsi="宋体" w:eastAsia="仿宋_GB2312"/>
          <w:b/>
          <w:sz w:val="32"/>
          <w:szCs w:val="32"/>
        </w:rPr>
      </w:pPr>
      <w:r>
        <w:rPr>
          <w:rFonts w:hint="eastAsia" w:ascii="仿宋_GB2312" w:hAnsi="宋体" w:eastAsia="仿宋_GB2312"/>
          <w:b/>
          <w:sz w:val="32"/>
          <w:szCs w:val="32"/>
        </w:rPr>
        <w:t>4.甲、乙双方约定的其他售后服务内容：</w:t>
      </w:r>
    </w:p>
    <w:p w14:paraId="425824DF">
      <w:pPr>
        <w:autoSpaceDE w:val="0"/>
        <w:autoSpaceDN w:val="0"/>
        <w:adjustRightInd w:val="0"/>
        <w:spacing w:line="520" w:lineRule="exact"/>
        <w:ind w:firstLine="640" w:firstLineChars="200"/>
        <w:jc w:val="left"/>
        <w:rPr>
          <w:rFonts w:ascii="仿宋_GB2312" w:hAnsi="宋体" w:eastAsia="仿宋_GB2312"/>
          <w:b/>
          <w:sz w:val="32"/>
          <w:szCs w:val="32"/>
        </w:rPr>
      </w:pPr>
    </w:p>
    <w:p w14:paraId="428B56C3">
      <w:pPr>
        <w:autoSpaceDE w:val="0"/>
        <w:autoSpaceDN w:val="0"/>
        <w:adjustRightInd w:val="0"/>
        <w:spacing w:line="520" w:lineRule="exact"/>
        <w:ind w:firstLine="640" w:firstLineChars="200"/>
        <w:jc w:val="left"/>
        <w:rPr>
          <w:rFonts w:ascii="仿宋_GB2312" w:hAnsi="宋体" w:eastAsia="仿宋_GB2312"/>
          <w:b/>
          <w:sz w:val="32"/>
          <w:szCs w:val="32"/>
        </w:rPr>
      </w:pPr>
    </w:p>
    <w:p w14:paraId="7E066D0E">
      <w:pPr>
        <w:autoSpaceDE w:val="0"/>
        <w:autoSpaceDN w:val="0"/>
        <w:adjustRightInd w:val="0"/>
        <w:spacing w:line="520" w:lineRule="exact"/>
        <w:ind w:firstLine="640" w:firstLineChars="200"/>
        <w:jc w:val="left"/>
        <w:rPr>
          <w:rFonts w:ascii="仿宋_GB2312" w:hAnsi="宋体" w:eastAsia="仿宋_GB2312"/>
          <w:b/>
          <w:sz w:val="32"/>
          <w:szCs w:val="32"/>
        </w:rPr>
      </w:pPr>
      <w:r>
        <w:rPr>
          <w:rFonts w:hint="eastAsia" w:ascii="仿宋_GB2312" w:hAnsi="宋体" w:eastAsia="仿宋_GB2312"/>
          <w:b/>
          <w:sz w:val="32"/>
          <w:szCs w:val="32"/>
        </w:rPr>
        <w:t>5.本项目培训方案：</w:t>
      </w:r>
    </w:p>
    <w:p w14:paraId="1556C909">
      <w:pPr>
        <w:autoSpaceDE w:val="0"/>
        <w:autoSpaceDN w:val="0"/>
        <w:adjustRightInd w:val="0"/>
        <w:spacing w:line="520" w:lineRule="exact"/>
        <w:ind w:firstLine="640" w:firstLineChars="200"/>
        <w:jc w:val="left"/>
        <w:rPr>
          <w:rFonts w:ascii="仿宋_GB2312" w:hAnsi="宋体" w:eastAsia="仿宋_GB2312"/>
          <w:sz w:val="32"/>
          <w:szCs w:val="32"/>
        </w:rPr>
      </w:pPr>
    </w:p>
    <w:p w14:paraId="22D29F56">
      <w:pPr>
        <w:pStyle w:val="22"/>
        <w:spacing w:before="165"/>
        <w:ind w:firstLine="436"/>
      </w:pPr>
    </w:p>
    <w:p w14:paraId="777A2CBD">
      <w:pPr>
        <w:autoSpaceDE w:val="0"/>
        <w:autoSpaceDN w:val="0"/>
        <w:adjustRightInd w:val="0"/>
        <w:spacing w:line="520" w:lineRule="exact"/>
        <w:ind w:firstLine="640" w:firstLineChars="200"/>
        <w:jc w:val="left"/>
        <w:rPr>
          <w:rFonts w:ascii="黑体" w:eastAsia="黑体"/>
          <w:sz w:val="32"/>
          <w:szCs w:val="32"/>
        </w:rPr>
      </w:pPr>
      <w:r>
        <w:rPr>
          <w:rFonts w:hint="eastAsia" w:ascii="黑体" w:eastAsia="黑体"/>
          <w:sz w:val="32"/>
          <w:szCs w:val="32"/>
        </w:rPr>
        <w:t>五、以上内容与政府采购监督管理部门审核以及甲方确认采购和乙方中标承诺情况一致并不得改变或放弃。</w:t>
      </w:r>
    </w:p>
    <w:p w14:paraId="5F1F4964">
      <w:pPr>
        <w:autoSpaceDE w:val="0"/>
        <w:autoSpaceDN w:val="0"/>
        <w:adjustRightInd w:val="0"/>
        <w:spacing w:line="520" w:lineRule="exact"/>
        <w:ind w:firstLine="640" w:firstLineChars="200"/>
        <w:jc w:val="left"/>
        <w:rPr>
          <w:rFonts w:ascii="黑体" w:eastAsia="黑体"/>
          <w:sz w:val="32"/>
          <w:szCs w:val="32"/>
        </w:rPr>
      </w:pPr>
      <w:r>
        <w:rPr>
          <w:rFonts w:hint="eastAsia" w:ascii="黑体" w:eastAsia="黑体"/>
          <w:sz w:val="32"/>
          <w:szCs w:val="32"/>
        </w:rPr>
        <w:t>六、交货期限的约定</w:t>
      </w:r>
    </w:p>
    <w:p w14:paraId="28628217">
      <w:pPr>
        <w:autoSpaceDE w:val="0"/>
        <w:autoSpaceDN w:val="0"/>
        <w:adjustRightInd w:val="0"/>
        <w:spacing w:line="520" w:lineRule="exact"/>
        <w:ind w:firstLine="640" w:firstLineChars="200"/>
        <w:jc w:val="left"/>
        <w:rPr>
          <w:rFonts w:ascii="黑体" w:eastAsia="黑体"/>
          <w:sz w:val="32"/>
          <w:szCs w:val="32"/>
        </w:rPr>
      </w:pPr>
      <w:r>
        <w:rPr>
          <w:rFonts w:hint="eastAsia" w:ascii="黑体" w:eastAsia="黑体"/>
          <w:sz w:val="32"/>
          <w:szCs w:val="32"/>
        </w:rPr>
        <w:t>整体项目完成时间或货物送达甲方指定地点并按规范安装调试完毕时间为合同签订生效后</w:t>
      </w:r>
      <w:r>
        <w:rPr>
          <w:rFonts w:hint="eastAsia" w:ascii="黑体" w:eastAsia="黑体"/>
          <w:sz w:val="32"/>
          <w:szCs w:val="32"/>
          <w:u w:val="single"/>
        </w:rPr>
        <w:t xml:space="preserve">     </w:t>
      </w:r>
      <w:r>
        <w:rPr>
          <w:rFonts w:hint="eastAsia" w:ascii="黑体" w:eastAsia="黑体"/>
          <w:sz w:val="32"/>
          <w:szCs w:val="32"/>
        </w:rPr>
        <w:t>日内。</w:t>
      </w:r>
    </w:p>
    <w:p w14:paraId="36FCA9C5">
      <w:pPr>
        <w:autoSpaceDE w:val="0"/>
        <w:autoSpaceDN w:val="0"/>
        <w:adjustRightInd w:val="0"/>
        <w:spacing w:line="520" w:lineRule="exact"/>
        <w:ind w:firstLine="640" w:firstLineChars="200"/>
        <w:jc w:val="left"/>
        <w:rPr>
          <w:rFonts w:ascii="仿宋_GB2312" w:hAnsi="宋体" w:eastAsia="仿宋_GB2312"/>
          <w:sz w:val="32"/>
          <w:szCs w:val="32"/>
        </w:rPr>
      </w:pPr>
    </w:p>
    <w:p w14:paraId="6C65666C">
      <w:pPr>
        <w:pStyle w:val="22"/>
        <w:spacing w:before="165"/>
        <w:ind w:firstLine="436"/>
      </w:pPr>
    </w:p>
    <w:p w14:paraId="549D61D7">
      <w:pPr>
        <w:autoSpaceDE w:val="0"/>
        <w:autoSpaceDN w:val="0"/>
        <w:adjustRightInd w:val="0"/>
        <w:spacing w:line="520" w:lineRule="exact"/>
        <w:ind w:firstLine="640" w:firstLineChars="200"/>
        <w:jc w:val="left"/>
        <w:rPr>
          <w:rFonts w:ascii="黑体" w:eastAsia="黑体"/>
          <w:sz w:val="32"/>
          <w:szCs w:val="32"/>
        </w:rPr>
      </w:pPr>
      <w:r>
        <w:rPr>
          <w:rFonts w:hint="eastAsia" w:ascii="黑体" w:eastAsia="黑体"/>
          <w:sz w:val="32"/>
          <w:szCs w:val="32"/>
        </w:rPr>
        <w:t>七、验收及验收标准</w:t>
      </w:r>
    </w:p>
    <w:p w14:paraId="251A14A5">
      <w:pPr>
        <w:autoSpaceDE w:val="0"/>
        <w:autoSpaceDN w:val="0"/>
        <w:adjustRightInd w:val="0"/>
        <w:spacing w:line="520" w:lineRule="exact"/>
        <w:ind w:firstLine="640" w:firstLineChars="200"/>
        <w:jc w:val="left"/>
        <w:rPr>
          <w:rFonts w:ascii="仿宋_GB2312" w:eastAsia="仿宋_GB2312"/>
          <w:sz w:val="32"/>
          <w:szCs w:val="32"/>
        </w:rPr>
      </w:pPr>
      <w:r>
        <w:rPr>
          <w:rFonts w:hint="eastAsia" w:ascii="仿宋_GB2312" w:eastAsia="仿宋_GB2312"/>
          <w:sz w:val="32"/>
          <w:szCs w:val="32"/>
        </w:rPr>
        <w:t>1.</w:t>
      </w:r>
      <w:r>
        <w:rPr>
          <w:rFonts w:ascii="仿宋_GB2312" w:eastAsia="仿宋_GB2312"/>
          <w:sz w:val="32"/>
          <w:szCs w:val="32"/>
        </w:rPr>
        <w:t xml:space="preserve"> 货物和</w:t>
      </w:r>
      <w:r>
        <w:rPr>
          <w:rFonts w:hint="eastAsia" w:ascii="仿宋_GB2312" w:eastAsia="仿宋_GB2312"/>
          <w:sz w:val="32"/>
          <w:szCs w:val="32"/>
        </w:rPr>
        <w:t>安装</w:t>
      </w:r>
      <w:r>
        <w:rPr>
          <w:rFonts w:ascii="仿宋_GB2312" w:eastAsia="仿宋_GB2312"/>
          <w:sz w:val="32"/>
          <w:szCs w:val="32"/>
        </w:rPr>
        <w:t>调试验收的标准：按行业通行标准、厂方出厂标准、</w:t>
      </w:r>
      <w:r>
        <w:rPr>
          <w:rFonts w:hint="eastAsia" w:ascii="仿宋_GB2312" w:eastAsia="仿宋_GB2312"/>
          <w:sz w:val="32"/>
          <w:szCs w:val="32"/>
        </w:rPr>
        <w:t>谈判</w:t>
      </w:r>
      <w:r>
        <w:rPr>
          <w:rFonts w:ascii="仿宋_GB2312" w:eastAsia="仿宋_GB2312"/>
          <w:sz w:val="32"/>
          <w:szCs w:val="32"/>
        </w:rPr>
        <w:t>文件要求和乙方文件的承诺（详见</w:t>
      </w:r>
      <w:r>
        <w:rPr>
          <w:rFonts w:hint="eastAsia" w:ascii="仿宋_GB2312" w:eastAsia="仿宋_GB2312"/>
          <w:sz w:val="32"/>
          <w:szCs w:val="32"/>
        </w:rPr>
        <w:t>响应</w:t>
      </w:r>
      <w:r>
        <w:rPr>
          <w:rFonts w:ascii="仿宋_GB2312" w:eastAsia="仿宋_GB2312"/>
          <w:sz w:val="32"/>
          <w:szCs w:val="32"/>
        </w:rPr>
        <w:t>文件载明的标准，并不低于国家相关标准）。</w:t>
      </w:r>
    </w:p>
    <w:p w14:paraId="51852E34">
      <w:pPr>
        <w:autoSpaceDE w:val="0"/>
        <w:autoSpaceDN w:val="0"/>
        <w:adjustRightInd w:val="0"/>
        <w:spacing w:line="520" w:lineRule="exact"/>
        <w:ind w:firstLine="640" w:firstLineChars="200"/>
        <w:jc w:val="left"/>
        <w:rPr>
          <w:rFonts w:ascii="仿宋_GB2312" w:eastAsia="仿宋_GB2312"/>
          <w:sz w:val="32"/>
          <w:szCs w:val="32"/>
        </w:rPr>
      </w:pPr>
      <w:r>
        <w:rPr>
          <w:rFonts w:hint="eastAsia" w:ascii="仿宋_GB2312" w:eastAsia="仿宋_GB2312"/>
          <w:sz w:val="32"/>
          <w:szCs w:val="32"/>
        </w:rPr>
        <w:t>2.</w:t>
      </w:r>
      <w:r>
        <w:rPr>
          <w:rFonts w:ascii="仿宋_GB2312" w:eastAsia="仿宋_GB2312"/>
          <w:sz w:val="32"/>
          <w:szCs w:val="32"/>
        </w:rPr>
        <w:t>项目验收：货物到达甲方指定地点安装调试完毕后，由乙方提出申请，甲、乙双方应共同进行验收是否符合合同的要求及标准，并应填写验收单。一般性项目由</w:t>
      </w:r>
      <w:r>
        <w:rPr>
          <w:rFonts w:hint="eastAsia" w:ascii="仿宋_GB2312" w:eastAsia="仿宋_GB2312"/>
          <w:sz w:val="32"/>
          <w:szCs w:val="32"/>
        </w:rPr>
        <w:t>甲方</w:t>
      </w:r>
      <w:r>
        <w:rPr>
          <w:rFonts w:ascii="仿宋_GB2312" w:eastAsia="仿宋_GB2312"/>
          <w:sz w:val="32"/>
          <w:szCs w:val="32"/>
        </w:rPr>
        <w:t>代表两人以上（应有相关技术人员）组成验收组负责项目验收；大型或复杂的政府采购项目，应当邀请国家认可的有关部门参加验收工作。</w:t>
      </w:r>
      <w:r>
        <w:rPr>
          <w:rFonts w:hint="eastAsia" w:ascii="仿宋_GB2312" w:eastAsia="仿宋_GB2312"/>
          <w:sz w:val="32"/>
          <w:szCs w:val="32"/>
        </w:rPr>
        <w:t>甲方</w:t>
      </w:r>
      <w:r>
        <w:rPr>
          <w:rFonts w:ascii="仿宋_GB2312" w:eastAsia="仿宋_GB2312"/>
          <w:sz w:val="32"/>
          <w:szCs w:val="32"/>
        </w:rPr>
        <w:t>成员应当在验收书上签字。</w:t>
      </w:r>
    </w:p>
    <w:p w14:paraId="7DA4BB80">
      <w:pPr>
        <w:autoSpaceDE w:val="0"/>
        <w:autoSpaceDN w:val="0"/>
        <w:adjustRightInd w:val="0"/>
        <w:spacing w:line="520" w:lineRule="exact"/>
        <w:ind w:firstLine="640" w:firstLineChars="200"/>
        <w:jc w:val="left"/>
        <w:rPr>
          <w:rFonts w:ascii="仿宋_GB2312" w:eastAsia="仿宋_GB2312"/>
          <w:sz w:val="32"/>
          <w:szCs w:val="32"/>
        </w:rPr>
      </w:pPr>
      <w:r>
        <w:rPr>
          <w:rFonts w:hint="eastAsia" w:ascii="仿宋_GB2312" w:eastAsia="仿宋_GB2312"/>
          <w:sz w:val="32"/>
          <w:szCs w:val="32"/>
        </w:rPr>
        <w:t>3.具体的验收程序、标准和要求如下：</w:t>
      </w:r>
    </w:p>
    <w:p w14:paraId="5785C5CB">
      <w:pPr>
        <w:spacing w:line="520" w:lineRule="exact"/>
        <w:ind w:firstLine="640" w:firstLineChars="200"/>
        <w:jc w:val="left"/>
        <w:rPr>
          <w:rFonts w:ascii="仿宋_GB2312" w:eastAsia="仿宋_GB2312"/>
          <w:sz w:val="32"/>
          <w:szCs w:val="32"/>
        </w:rPr>
      </w:pPr>
    </w:p>
    <w:p w14:paraId="12AE2BF7">
      <w:pPr>
        <w:pStyle w:val="22"/>
        <w:spacing w:before="165"/>
        <w:ind w:firstLine="656"/>
        <w:rPr>
          <w:rFonts w:ascii="仿宋_GB2312" w:eastAsia="仿宋_GB2312"/>
          <w:sz w:val="32"/>
          <w:szCs w:val="32"/>
        </w:rPr>
      </w:pPr>
    </w:p>
    <w:p w14:paraId="447D3085">
      <w:pPr>
        <w:pStyle w:val="22"/>
        <w:spacing w:before="165"/>
        <w:ind w:firstLine="656"/>
        <w:rPr>
          <w:rFonts w:ascii="仿宋_GB2312" w:eastAsia="仿宋_GB2312"/>
          <w:sz w:val="32"/>
          <w:szCs w:val="32"/>
        </w:rPr>
      </w:pPr>
    </w:p>
    <w:p w14:paraId="01BECA1F">
      <w:pPr>
        <w:autoSpaceDE w:val="0"/>
        <w:autoSpaceDN w:val="0"/>
        <w:adjustRightInd w:val="0"/>
        <w:spacing w:line="520" w:lineRule="exact"/>
        <w:ind w:firstLine="640" w:firstLineChars="200"/>
        <w:jc w:val="left"/>
        <w:rPr>
          <w:rFonts w:ascii="黑体" w:eastAsia="黑体"/>
          <w:sz w:val="32"/>
          <w:szCs w:val="32"/>
        </w:rPr>
      </w:pPr>
      <w:r>
        <w:rPr>
          <w:rFonts w:hint="eastAsia" w:ascii="黑体" w:eastAsia="黑体"/>
          <w:sz w:val="32"/>
          <w:szCs w:val="32"/>
        </w:rPr>
        <w:t>八、合同价款结算</w:t>
      </w:r>
    </w:p>
    <w:p w14:paraId="0A89D575">
      <w:pPr>
        <w:autoSpaceDE w:val="0"/>
        <w:autoSpaceDN w:val="0"/>
        <w:adjustRightInd w:val="0"/>
        <w:spacing w:line="520" w:lineRule="exact"/>
        <w:ind w:firstLine="640" w:firstLineChars="200"/>
        <w:jc w:val="left"/>
        <w:rPr>
          <w:rFonts w:ascii="楷体_GB2312" w:eastAsia="楷体_GB2312"/>
          <w:b/>
          <w:bCs/>
          <w:kern w:val="0"/>
          <w:sz w:val="32"/>
          <w:szCs w:val="32"/>
        </w:rPr>
      </w:pPr>
      <w:r>
        <w:rPr>
          <w:rFonts w:hint="eastAsia" w:ascii="楷体_GB2312" w:eastAsia="楷体_GB2312"/>
          <w:b/>
          <w:kern w:val="0"/>
          <w:sz w:val="32"/>
          <w:szCs w:val="32"/>
        </w:rPr>
        <w:t>（一）</w:t>
      </w:r>
      <w:r>
        <w:rPr>
          <w:rFonts w:hint="eastAsia" w:ascii="楷体_GB2312" w:eastAsia="楷体_GB2312"/>
          <w:b/>
          <w:bCs/>
          <w:kern w:val="0"/>
          <w:sz w:val="32"/>
          <w:szCs w:val="32"/>
        </w:rPr>
        <w:t>履约保证、费用支付和采购资金保证</w:t>
      </w:r>
    </w:p>
    <w:p w14:paraId="6567AD5B">
      <w:pPr>
        <w:tabs>
          <w:tab w:val="left" w:pos="6930"/>
        </w:tabs>
        <w:autoSpaceDE w:val="0"/>
        <w:autoSpaceDN w:val="0"/>
        <w:adjustRightInd w:val="0"/>
        <w:spacing w:line="520" w:lineRule="exact"/>
        <w:ind w:right="-154" w:firstLine="640" w:firstLineChars="200"/>
        <w:jc w:val="left"/>
        <w:rPr>
          <w:rFonts w:ascii="仿宋_GB2312" w:eastAsia="仿宋_GB2312"/>
          <w:sz w:val="32"/>
          <w:szCs w:val="32"/>
        </w:rPr>
      </w:pPr>
      <w:r>
        <w:rPr>
          <w:rFonts w:hint="eastAsia" w:ascii="仿宋_GB2312" w:eastAsia="仿宋_GB2312"/>
          <w:sz w:val="32"/>
          <w:szCs w:val="32"/>
        </w:rPr>
        <w:t>甲乙双方签字盖章后合同才正式生效。根据谈判文件要求签订前应缴纳履约保证金（缴纳金额按谈判文件要求）。</w:t>
      </w:r>
    </w:p>
    <w:p w14:paraId="4B487B7D">
      <w:pPr>
        <w:tabs>
          <w:tab w:val="left" w:pos="6930"/>
        </w:tabs>
        <w:autoSpaceDE w:val="0"/>
        <w:autoSpaceDN w:val="0"/>
        <w:adjustRightInd w:val="0"/>
        <w:spacing w:line="520" w:lineRule="exact"/>
        <w:ind w:right="-154" w:firstLine="640" w:firstLineChars="200"/>
        <w:jc w:val="left"/>
        <w:rPr>
          <w:rFonts w:ascii="仿宋_GB2312" w:eastAsia="仿宋_GB2312"/>
          <w:sz w:val="32"/>
          <w:szCs w:val="32"/>
        </w:rPr>
      </w:pPr>
      <w:r>
        <w:rPr>
          <w:rFonts w:hint="eastAsia" w:ascii="仿宋_GB2312" w:eastAsia="仿宋_GB2312"/>
          <w:sz w:val="32"/>
          <w:szCs w:val="32"/>
        </w:rPr>
        <w:t>合同签订时，甲方应保证采购资金已落实并按照合同约定的时间及时向乙方支付合同款项。否则，由此产生的一切后果和导致的法律责任、行政责任均由甲方自行承担。</w:t>
      </w:r>
    </w:p>
    <w:p w14:paraId="69D10979">
      <w:pPr>
        <w:autoSpaceDE w:val="0"/>
        <w:autoSpaceDN w:val="0"/>
        <w:adjustRightInd w:val="0"/>
        <w:spacing w:line="520" w:lineRule="exact"/>
        <w:ind w:firstLine="640" w:firstLineChars="200"/>
        <w:jc w:val="left"/>
        <w:rPr>
          <w:rFonts w:ascii="楷体_GB2312" w:eastAsia="楷体_GB2312"/>
          <w:b/>
          <w:kern w:val="0"/>
          <w:sz w:val="32"/>
          <w:szCs w:val="32"/>
        </w:rPr>
      </w:pPr>
      <w:r>
        <w:rPr>
          <w:rFonts w:hint="eastAsia" w:ascii="楷体_GB2312" w:eastAsia="楷体_GB2312"/>
          <w:b/>
          <w:kern w:val="0"/>
          <w:sz w:val="32"/>
          <w:szCs w:val="32"/>
        </w:rPr>
        <w:t>（二）非国库支付</w:t>
      </w:r>
    </w:p>
    <w:p w14:paraId="601B6CDE">
      <w:pPr>
        <w:tabs>
          <w:tab w:val="left" w:pos="6930"/>
        </w:tabs>
        <w:autoSpaceDE w:val="0"/>
        <w:autoSpaceDN w:val="0"/>
        <w:adjustRightInd w:val="0"/>
        <w:spacing w:line="520" w:lineRule="exact"/>
        <w:ind w:right="-154" w:firstLine="640" w:firstLineChars="200"/>
        <w:jc w:val="left"/>
        <w:rPr>
          <w:rFonts w:ascii="仿宋_GB2312" w:eastAsia="仿宋_GB2312"/>
          <w:sz w:val="32"/>
          <w:szCs w:val="32"/>
        </w:rPr>
      </w:pPr>
      <w:r>
        <w:rPr>
          <w:rFonts w:hint="eastAsia" w:ascii="仿宋_GB2312" w:eastAsia="仿宋_GB2312"/>
          <w:sz w:val="32"/>
          <w:szCs w:val="32"/>
        </w:rPr>
        <w:t>按双方签订的合同规定日期项目执行完毕，甲方按合同规定的验收标准确认数量无误和质量合格后，按政府采购统一格式填写验收书；甲方财务部门见验收书、发票复印件并审查无误（即手续齐全）后按合同约定的付款方式支付合同款。</w:t>
      </w:r>
    </w:p>
    <w:p w14:paraId="126C6F48">
      <w:pPr>
        <w:autoSpaceDE w:val="0"/>
        <w:autoSpaceDN w:val="0"/>
        <w:adjustRightInd w:val="0"/>
        <w:spacing w:line="520" w:lineRule="exact"/>
        <w:ind w:firstLine="640" w:firstLineChars="200"/>
        <w:jc w:val="left"/>
        <w:rPr>
          <w:rFonts w:ascii="楷体_GB2312" w:eastAsia="楷体_GB2312"/>
          <w:b/>
          <w:kern w:val="0"/>
          <w:sz w:val="32"/>
          <w:szCs w:val="32"/>
        </w:rPr>
      </w:pPr>
      <w:r>
        <w:rPr>
          <w:rFonts w:hint="eastAsia" w:ascii="楷体_GB2312" w:eastAsia="楷体_GB2312"/>
          <w:b/>
          <w:kern w:val="0"/>
          <w:sz w:val="32"/>
          <w:szCs w:val="32"/>
        </w:rPr>
        <w:t>（三）国库集中支付</w:t>
      </w:r>
    </w:p>
    <w:p w14:paraId="00A9BF12">
      <w:pPr>
        <w:autoSpaceDE w:val="0"/>
        <w:autoSpaceDN w:val="0"/>
        <w:adjustRightInd w:val="0"/>
        <w:spacing w:line="520" w:lineRule="exact"/>
        <w:ind w:firstLine="640" w:firstLineChars="200"/>
        <w:jc w:val="left"/>
        <w:rPr>
          <w:rFonts w:ascii="仿宋_GB2312" w:eastAsia="仿宋_GB2312"/>
          <w:sz w:val="32"/>
          <w:szCs w:val="32"/>
        </w:rPr>
      </w:pPr>
      <w:r>
        <w:rPr>
          <w:rFonts w:hint="eastAsia" w:ascii="仿宋_GB2312" w:eastAsia="仿宋_GB2312"/>
          <w:sz w:val="32"/>
          <w:szCs w:val="32"/>
        </w:rPr>
        <w:t>甲方按合同规定审查无误后按国库支付规定的方式和比例向云南省财政厅国库处申请付款。</w:t>
      </w:r>
    </w:p>
    <w:p w14:paraId="26BEA596">
      <w:pPr>
        <w:autoSpaceDE w:val="0"/>
        <w:autoSpaceDN w:val="0"/>
        <w:adjustRightInd w:val="0"/>
        <w:spacing w:line="520" w:lineRule="exact"/>
        <w:ind w:firstLine="640" w:firstLineChars="200"/>
        <w:jc w:val="left"/>
        <w:rPr>
          <w:rFonts w:ascii="仿宋_GB2312" w:eastAsia="仿宋_GB2312"/>
          <w:sz w:val="32"/>
          <w:szCs w:val="32"/>
        </w:rPr>
      </w:pPr>
      <w:r>
        <w:rPr>
          <w:rFonts w:hint="eastAsia" w:ascii="仿宋_GB2312" w:eastAsia="仿宋_GB2312"/>
          <w:sz w:val="32"/>
          <w:szCs w:val="32"/>
        </w:rPr>
        <w:t>国库集中支付的有关规定和手续问题由财政国库部门负责解释。</w:t>
      </w:r>
    </w:p>
    <w:p w14:paraId="44AC08D2">
      <w:pPr>
        <w:autoSpaceDE w:val="0"/>
        <w:autoSpaceDN w:val="0"/>
        <w:adjustRightInd w:val="0"/>
        <w:spacing w:line="520" w:lineRule="exact"/>
        <w:ind w:firstLine="640" w:firstLineChars="200"/>
        <w:jc w:val="left"/>
        <w:rPr>
          <w:rFonts w:ascii="楷体_GB2312" w:eastAsia="楷体_GB2312"/>
          <w:b/>
          <w:kern w:val="0"/>
          <w:sz w:val="32"/>
          <w:szCs w:val="32"/>
        </w:rPr>
      </w:pPr>
      <w:r>
        <w:rPr>
          <w:rFonts w:hint="eastAsia" w:ascii="楷体_GB2312" w:eastAsia="楷体_GB2312"/>
          <w:b/>
          <w:kern w:val="0"/>
          <w:sz w:val="32"/>
          <w:szCs w:val="32"/>
        </w:rPr>
        <w:t>（四）本合同价款的支付办法</w:t>
      </w:r>
    </w:p>
    <w:p w14:paraId="48B008CA">
      <w:pPr>
        <w:pStyle w:val="22"/>
        <w:spacing w:before="165" w:line="520" w:lineRule="exact"/>
        <w:ind w:firstLine="640"/>
        <w:rPr>
          <w:rFonts w:ascii="仿宋_GB2312" w:eastAsia="仿宋_GB2312"/>
          <w:spacing w:val="0"/>
          <w:sz w:val="32"/>
          <w:szCs w:val="32"/>
        </w:rPr>
      </w:pPr>
    </w:p>
    <w:p w14:paraId="6D70C17F">
      <w:pPr>
        <w:pStyle w:val="22"/>
        <w:spacing w:before="165" w:line="520" w:lineRule="exact"/>
        <w:ind w:firstLine="640"/>
        <w:rPr>
          <w:rFonts w:ascii="仿宋_GB2312" w:eastAsia="仿宋_GB2312"/>
          <w:spacing w:val="0"/>
          <w:sz w:val="32"/>
          <w:szCs w:val="32"/>
        </w:rPr>
      </w:pPr>
    </w:p>
    <w:p w14:paraId="41C015B9">
      <w:pPr>
        <w:autoSpaceDE w:val="0"/>
        <w:autoSpaceDN w:val="0"/>
        <w:adjustRightInd w:val="0"/>
        <w:spacing w:line="520" w:lineRule="exact"/>
        <w:ind w:firstLine="640" w:firstLineChars="200"/>
        <w:jc w:val="left"/>
        <w:rPr>
          <w:rFonts w:ascii="黑体" w:eastAsia="黑体"/>
          <w:sz w:val="32"/>
          <w:szCs w:val="32"/>
        </w:rPr>
      </w:pPr>
      <w:r>
        <w:rPr>
          <w:rFonts w:hint="eastAsia" w:ascii="黑体" w:eastAsia="黑体"/>
          <w:sz w:val="32"/>
          <w:szCs w:val="32"/>
        </w:rPr>
        <w:t>九、违约责任</w:t>
      </w:r>
    </w:p>
    <w:p w14:paraId="30A54FF3">
      <w:pPr>
        <w:autoSpaceDE w:val="0"/>
        <w:autoSpaceDN w:val="0"/>
        <w:adjustRightInd w:val="0"/>
        <w:spacing w:line="520" w:lineRule="exact"/>
        <w:ind w:firstLine="640" w:firstLineChars="200"/>
        <w:jc w:val="left"/>
        <w:rPr>
          <w:rFonts w:ascii="仿宋_GB2312" w:hAnsi="宋体" w:eastAsia="仿宋_GB2312"/>
          <w:sz w:val="32"/>
          <w:szCs w:val="32"/>
        </w:rPr>
      </w:pPr>
      <w:r>
        <w:rPr>
          <w:rFonts w:hint="eastAsia" w:ascii="仿宋_GB2312" w:eastAsia="仿宋_GB2312"/>
          <w:sz w:val="32"/>
          <w:szCs w:val="32"/>
        </w:rPr>
        <w:t>1.乙方所交货物和安装服务等与合同标准不相符合的，甲方有权拒收货物或拒绝验收，</w:t>
      </w:r>
      <w:r>
        <w:rPr>
          <w:rFonts w:eastAsia="仿宋_GB2312"/>
          <w:sz w:val="32"/>
          <w:szCs w:val="32"/>
        </w:rPr>
        <w:t>乙方无权请求返还履约保证金</w:t>
      </w:r>
      <w:r>
        <w:rPr>
          <w:rFonts w:hint="eastAsia" w:ascii="仿宋_GB2312" w:eastAsia="仿宋_GB2312"/>
          <w:sz w:val="32"/>
          <w:szCs w:val="32"/>
        </w:rPr>
        <w:t>；逾期交货将向甲方每日偿付合同总额仟分</w:t>
      </w:r>
      <w:r>
        <w:rPr>
          <w:rFonts w:hint="eastAsia" w:ascii="仿宋_GB2312" w:hAnsi="宋体" w:eastAsia="仿宋_GB2312"/>
          <w:sz w:val="32"/>
          <w:szCs w:val="32"/>
        </w:rPr>
        <w:t>之一的违约金。逾期超过</w:t>
      </w:r>
      <w:r>
        <w:rPr>
          <w:rFonts w:ascii="仿宋_GB2312" w:hAnsi="宋体" w:eastAsia="仿宋_GB2312"/>
          <w:sz w:val="32"/>
          <w:szCs w:val="32"/>
        </w:rPr>
        <w:t>30</w:t>
      </w:r>
      <w:r>
        <w:rPr>
          <w:rFonts w:hint="eastAsia" w:ascii="仿宋_GB2312" w:hAnsi="宋体" w:eastAsia="仿宋_GB2312"/>
          <w:sz w:val="32"/>
          <w:szCs w:val="32"/>
        </w:rPr>
        <w:t>日，甲方有权书面通知后单方解除合同，不承担任何违约责任，并要求乙方按上述标准支付逾期违约金。</w:t>
      </w:r>
    </w:p>
    <w:p w14:paraId="55BC2B8F">
      <w:pPr>
        <w:autoSpaceDE w:val="0"/>
        <w:autoSpaceDN w:val="0"/>
        <w:adjustRightInd w:val="0"/>
        <w:spacing w:line="520" w:lineRule="exact"/>
        <w:ind w:firstLine="640" w:firstLineChars="200"/>
        <w:jc w:val="left"/>
        <w:rPr>
          <w:rFonts w:ascii="仿宋_GB2312" w:hAnsi="宋体" w:eastAsia="仿宋_GB2312"/>
          <w:sz w:val="32"/>
          <w:szCs w:val="32"/>
        </w:rPr>
      </w:pPr>
      <w:r>
        <w:rPr>
          <w:rFonts w:hint="eastAsia" w:ascii="仿宋_GB2312" w:hAnsi="宋体" w:eastAsia="仿宋_GB2312"/>
          <w:sz w:val="32"/>
          <w:szCs w:val="32"/>
        </w:rPr>
        <w:t>2.甲方无正当理由拒收货物或拒绝验收的，甲方向乙方偿付合同款总价百分之五的违约金；由于甲方原因逾期支付合同款将向乙方每日偿付欠款总额仟分之一的违约金。</w:t>
      </w:r>
    </w:p>
    <w:p w14:paraId="6490D991">
      <w:pPr>
        <w:autoSpaceDE w:val="0"/>
        <w:autoSpaceDN w:val="0"/>
        <w:adjustRightInd w:val="0"/>
        <w:spacing w:line="520" w:lineRule="exact"/>
        <w:ind w:firstLine="640" w:firstLineChars="200"/>
        <w:jc w:val="left"/>
        <w:rPr>
          <w:rFonts w:ascii="仿宋_GB2312" w:hAnsi="宋体" w:eastAsia="仿宋_GB2312"/>
          <w:sz w:val="32"/>
          <w:szCs w:val="32"/>
        </w:rPr>
      </w:pPr>
    </w:p>
    <w:p w14:paraId="1246CD65">
      <w:pPr>
        <w:pStyle w:val="22"/>
        <w:spacing w:before="165"/>
        <w:ind w:firstLine="656"/>
        <w:rPr>
          <w:rFonts w:ascii="仿宋_GB2312" w:hAnsi="宋体" w:eastAsia="仿宋_GB2312"/>
          <w:sz w:val="32"/>
          <w:szCs w:val="32"/>
        </w:rPr>
      </w:pPr>
    </w:p>
    <w:p w14:paraId="23C51ABA">
      <w:pPr>
        <w:pStyle w:val="22"/>
        <w:spacing w:before="165"/>
        <w:ind w:firstLine="656"/>
        <w:rPr>
          <w:rFonts w:ascii="仿宋_GB2312" w:hAnsi="宋体" w:eastAsia="仿宋_GB2312"/>
          <w:sz w:val="32"/>
          <w:szCs w:val="32"/>
        </w:rPr>
      </w:pPr>
    </w:p>
    <w:p w14:paraId="4B8E0C0A">
      <w:pPr>
        <w:autoSpaceDE w:val="0"/>
        <w:autoSpaceDN w:val="0"/>
        <w:adjustRightInd w:val="0"/>
        <w:spacing w:line="520" w:lineRule="exact"/>
        <w:ind w:firstLine="640" w:firstLineChars="200"/>
        <w:jc w:val="left"/>
        <w:rPr>
          <w:rFonts w:ascii="黑体" w:eastAsia="黑体"/>
          <w:sz w:val="32"/>
          <w:szCs w:val="32"/>
        </w:rPr>
      </w:pPr>
      <w:r>
        <w:rPr>
          <w:rFonts w:hint="eastAsia" w:ascii="黑体" w:eastAsia="黑体"/>
          <w:sz w:val="32"/>
          <w:szCs w:val="32"/>
        </w:rPr>
        <w:t>十、甲方有权拒付合同价以外的任何费用；乙方有权拒绝合同整体范围以外的条件。</w:t>
      </w:r>
    </w:p>
    <w:p w14:paraId="63A1EBF3">
      <w:pPr>
        <w:autoSpaceDE w:val="0"/>
        <w:autoSpaceDN w:val="0"/>
        <w:adjustRightInd w:val="0"/>
        <w:spacing w:line="520" w:lineRule="exact"/>
        <w:ind w:firstLine="640" w:firstLineChars="200"/>
        <w:jc w:val="left"/>
        <w:rPr>
          <w:rFonts w:ascii="黑体" w:eastAsia="黑体"/>
          <w:sz w:val="32"/>
          <w:szCs w:val="32"/>
        </w:rPr>
      </w:pPr>
      <w:r>
        <w:rPr>
          <w:rFonts w:hint="eastAsia" w:ascii="黑体" w:eastAsia="黑体"/>
          <w:sz w:val="32"/>
          <w:szCs w:val="32"/>
        </w:rPr>
        <w:t>十一、甲乙双方在履行合同过程中发生纠纷，应及时向有关监督管理部门投诉，以便相关部门进行协调或处理；或按以下方式处理：</w:t>
      </w:r>
      <w:r>
        <w:rPr>
          <w:rFonts w:hint="eastAsia" w:ascii="黑体" w:eastAsia="黑体"/>
          <w:bCs/>
          <w:sz w:val="32"/>
          <w:szCs w:val="32"/>
        </w:rPr>
        <w:t>（请在</w:t>
      </w:r>
      <w:r>
        <w:rPr>
          <w:rFonts w:hint="eastAsia" w:ascii="黑体" w:eastAsia="黑体"/>
          <w:sz w:val="32"/>
          <w:szCs w:val="32"/>
        </w:rPr>
        <w:sym w:font="Wingdings 2" w:char="00A3"/>
      </w:r>
      <w:r>
        <w:rPr>
          <w:rFonts w:hint="eastAsia" w:ascii="黑体" w:eastAsia="黑体"/>
          <w:sz w:val="32"/>
          <w:szCs w:val="32"/>
        </w:rPr>
        <w:t>内打√，其余打×）</w:t>
      </w:r>
    </w:p>
    <w:p w14:paraId="2255EEB7">
      <w:pPr>
        <w:autoSpaceDE w:val="0"/>
        <w:autoSpaceDN w:val="0"/>
        <w:adjustRightInd w:val="0"/>
        <w:spacing w:line="520" w:lineRule="exact"/>
        <w:ind w:firstLine="640" w:firstLineChars="200"/>
        <w:jc w:val="left"/>
        <w:rPr>
          <w:rFonts w:ascii="黑体" w:eastAsia="黑体"/>
          <w:sz w:val="32"/>
          <w:szCs w:val="32"/>
        </w:rPr>
      </w:pPr>
      <w:r>
        <w:rPr>
          <w:rFonts w:hint="eastAsia" w:ascii="黑体" w:eastAsia="黑体"/>
          <w:sz w:val="32"/>
          <w:szCs w:val="32"/>
        </w:rPr>
        <w:sym w:font="Wingdings 2" w:char="00A3"/>
      </w:r>
      <w:r>
        <w:rPr>
          <w:rFonts w:hint="eastAsia" w:ascii="黑体" w:eastAsia="黑体"/>
          <w:sz w:val="32"/>
          <w:szCs w:val="32"/>
        </w:rPr>
        <w:t>向合同签订地仲裁部门申请仲裁；</w:t>
      </w:r>
    </w:p>
    <w:p w14:paraId="2888173E">
      <w:pPr>
        <w:autoSpaceDE w:val="0"/>
        <w:autoSpaceDN w:val="0"/>
        <w:adjustRightInd w:val="0"/>
        <w:spacing w:line="520" w:lineRule="exact"/>
        <w:ind w:firstLine="640" w:firstLineChars="200"/>
        <w:jc w:val="left"/>
        <w:rPr>
          <w:rFonts w:ascii="黑体" w:eastAsia="黑体"/>
          <w:sz w:val="32"/>
          <w:szCs w:val="32"/>
        </w:rPr>
      </w:pPr>
      <w:r>
        <w:rPr>
          <w:rFonts w:hint="eastAsia" w:ascii="黑体" w:eastAsia="黑体"/>
          <w:sz w:val="32"/>
          <w:szCs w:val="32"/>
        </w:rPr>
        <w:sym w:font="Wingdings 2" w:char="00A3"/>
      </w:r>
      <w:r>
        <w:rPr>
          <w:rFonts w:hint="eastAsia" w:ascii="黑体" w:eastAsia="黑体"/>
          <w:sz w:val="32"/>
          <w:szCs w:val="32"/>
        </w:rPr>
        <w:t>向合同签订地人民法院提起诉讼。</w:t>
      </w:r>
    </w:p>
    <w:p w14:paraId="3A538A01">
      <w:pPr>
        <w:autoSpaceDE w:val="0"/>
        <w:autoSpaceDN w:val="0"/>
        <w:adjustRightInd w:val="0"/>
        <w:spacing w:line="520" w:lineRule="exact"/>
        <w:ind w:firstLine="640" w:firstLineChars="200"/>
        <w:jc w:val="left"/>
        <w:rPr>
          <w:rFonts w:ascii="黑体" w:eastAsia="黑体"/>
          <w:sz w:val="32"/>
          <w:szCs w:val="32"/>
        </w:rPr>
      </w:pPr>
      <w:r>
        <w:rPr>
          <w:rFonts w:hint="eastAsia" w:ascii="黑体" w:eastAsia="黑体"/>
          <w:sz w:val="32"/>
          <w:szCs w:val="32"/>
        </w:rPr>
        <w:t>十二、本合同其他未尽事宜，按《中华人民共和国民法典》有关规定处理。</w:t>
      </w:r>
    </w:p>
    <w:p w14:paraId="164B11F2">
      <w:pPr>
        <w:autoSpaceDE w:val="0"/>
        <w:autoSpaceDN w:val="0"/>
        <w:adjustRightInd w:val="0"/>
        <w:spacing w:line="520" w:lineRule="exact"/>
        <w:ind w:firstLine="640" w:firstLineChars="200"/>
        <w:jc w:val="left"/>
        <w:rPr>
          <w:rFonts w:ascii="黑体" w:eastAsia="黑体"/>
          <w:sz w:val="32"/>
          <w:szCs w:val="32"/>
        </w:rPr>
      </w:pPr>
      <w:r>
        <w:rPr>
          <w:rFonts w:hint="eastAsia" w:ascii="黑体" w:eastAsia="黑体"/>
          <w:sz w:val="32"/>
          <w:szCs w:val="32"/>
        </w:rPr>
        <w:t>十三、本合同一式四份，甲方二份（含监督管理部门备案的一份），乙方二份（含用于结算支付的一份）。</w:t>
      </w:r>
    </w:p>
    <w:p w14:paraId="7ADBB798">
      <w:pPr>
        <w:autoSpaceDE w:val="0"/>
        <w:autoSpaceDN w:val="0"/>
        <w:adjustRightInd w:val="0"/>
        <w:spacing w:line="520" w:lineRule="exact"/>
        <w:ind w:firstLine="640" w:firstLineChars="200"/>
        <w:jc w:val="left"/>
        <w:rPr>
          <w:rFonts w:ascii="黑体" w:eastAsia="黑体"/>
          <w:sz w:val="32"/>
          <w:szCs w:val="32"/>
        </w:rPr>
      </w:pPr>
      <w:r>
        <w:rPr>
          <w:rFonts w:hint="eastAsia" w:ascii="黑体" w:eastAsia="黑体"/>
          <w:sz w:val="32"/>
          <w:szCs w:val="32"/>
        </w:rPr>
        <w:t>十四、本合同自甲乙双方法定代表人或委托代理人签字并加盖公章共同签订之日起生效。</w:t>
      </w:r>
    </w:p>
    <w:p w14:paraId="67B9F7A5">
      <w:pPr>
        <w:autoSpaceDE w:val="0"/>
        <w:autoSpaceDN w:val="0"/>
        <w:adjustRightInd w:val="0"/>
        <w:spacing w:line="520" w:lineRule="exact"/>
        <w:ind w:firstLine="640" w:firstLineChars="200"/>
        <w:jc w:val="left"/>
        <w:rPr>
          <w:rFonts w:ascii="黑体" w:eastAsia="黑体"/>
          <w:sz w:val="32"/>
          <w:szCs w:val="32"/>
        </w:rPr>
      </w:pPr>
      <w:r>
        <w:rPr>
          <w:rFonts w:hint="eastAsia" w:ascii="黑体" w:eastAsia="黑体"/>
          <w:sz w:val="32"/>
          <w:szCs w:val="32"/>
        </w:rPr>
        <w:t>十五、本合同不可分割之部分及解释顺序</w:t>
      </w:r>
    </w:p>
    <w:p w14:paraId="0DDE0130">
      <w:pPr>
        <w:autoSpaceDE w:val="0"/>
        <w:autoSpaceDN w:val="0"/>
        <w:adjustRightInd w:val="0"/>
        <w:spacing w:line="520" w:lineRule="exact"/>
        <w:ind w:firstLine="640" w:firstLineChars="200"/>
        <w:jc w:val="left"/>
        <w:rPr>
          <w:rFonts w:ascii="仿宋_GB2312" w:eastAsia="仿宋_GB2312"/>
          <w:sz w:val="32"/>
          <w:szCs w:val="32"/>
        </w:rPr>
      </w:pPr>
      <w:r>
        <w:rPr>
          <w:rFonts w:hint="eastAsia" w:ascii="仿宋_GB2312" w:eastAsia="仿宋_GB2312"/>
          <w:sz w:val="32"/>
          <w:szCs w:val="32"/>
        </w:rPr>
        <w:t>1. 合同书及附件；</w:t>
      </w:r>
    </w:p>
    <w:p w14:paraId="3B34B083">
      <w:pPr>
        <w:autoSpaceDE w:val="0"/>
        <w:autoSpaceDN w:val="0"/>
        <w:adjustRightInd w:val="0"/>
        <w:spacing w:line="520" w:lineRule="exact"/>
        <w:ind w:firstLine="640" w:firstLineChars="200"/>
        <w:jc w:val="left"/>
        <w:rPr>
          <w:rFonts w:ascii="仿宋_GB2312" w:eastAsia="仿宋_GB2312"/>
          <w:sz w:val="32"/>
          <w:szCs w:val="32"/>
        </w:rPr>
      </w:pPr>
      <w:r>
        <w:rPr>
          <w:rFonts w:hint="eastAsia" w:ascii="仿宋_GB2312" w:eastAsia="仿宋_GB2312"/>
          <w:sz w:val="32"/>
          <w:szCs w:val="32"/>
        </w:rPr>
        <w:t>2. 成交通知书；</w:t>
      </w:r>
    </w:p>
    <w:p w14:paraId="60BDBA85">
      <w:pPr>
        <w:autoSpaceDE w:val="0"/>
        <w:autoSpaceDN w:val="0"/>
        <w:adjustRightInd w:val="0"/>
        <w:spacing w:line="520" w:lineRule="exact"/>
        <w:ind w:firstLine="640" w:firstLineChars="200"/>
        <w:jc w:val="left"/>
        <w:rPr>
          <w:rFonts w:ascii="仿宋_GB2312" w:eastAsia="仿宋_GB2312"/>
          <w:sz w:val="32"/>
          <w:szCs w:val="32"/>
        </w:rPr>
      </w:pPr>
      <w:r>
        <w:rPr>
          <w:rFonts w:hint="eastAsia" w:ascii="仿宋_GB2312" w:eastAsia="仿宋_GB2312"/>
          <w:sz w:val="32"/>
          <w:szCs w:val="32"/>
        </w:rPr>
        <w:t>3. 供应商响应文件及澄清或谈判文件；</w:t>
      </w:r>
    </w:p>
    <w:p w14:paraId="48FB094F">
      <w:pPr>
        <w:autoSpaceDE w:val="0"/>
        <w:autoSpaceDN w:val="0"/>
        <w:adjustRightInd w:val="0"/>
        <w:spacing w:line="520" w:lineRule="exact"/>
        <w:ind w:firstLine="640" w:firstLineChars="200"/>
        <w:jc w:val="left"/>
        <w:rPr>
          <w:rFonts w:ascii="仿宋_GB2312" w:eastAsia="仿宋_GB2312"/>
          <w:sz w:val="32"/>
          <w:szCs w:val="32"/>
        </w:rPr>
      </w:pPr>
      <w:r>
        <w:rPr>
          <w:rFonts w:hint="eastAsia" w:ascii="仿宋_GB2312" w:eastAsia="仿宋_GB2312"/>
          <w:sz w:val="32"/>
          <w:szCs w:val="32"/>
        </w:rPr>
        <w:t>4. 谈判文件。</w:t>
      </w:r>
    </w:p>
    <w:p w14:paraId="101C9067">
      <w:pPr>
        <w:autoSpaceDE w:val="0"/>
        <w:autoSpaceDN w:val="0"/>
        <w:adjustRightInd w:val="0"/>
        <w:spacing w:line="520" w:lineRule="exact"/>
        <w:ind w:firstLine="640" w:firstLineChars="200"/>
        <w:jc w:val="left"/>
        <w:rPr>
          <w:rFonts w:ascii="黑体" w:eastAsia="黑体"/>
          <w:sz w:val="32"/>
          <w:szCs w:val="32"/>
        </w:rPr>
      </w:pPr>
      <w:r>
        <w:rPr>
          <w:rFonts w:hint="eastAsia" w:ascii="黑体" w:eastAsia="黑体"/>
          <w:sz w:val="32"/>
          <w:szCs w:val="32"/>
        </w:rPr>
        <w:t>十六、附件名称（如有请在□内打√，其余打×）</w:t>
      </w:r>
    </w:p>
    <w:p w14:paraId="21861206">
      <w:pPr>
        <w:autoSpaceDE w:val="0"/>
        <w:autoSpaceDN w:val="0"/>
        <w:adjustRightInd w:val="0"/>
        <w:spacing w:line="520" w:lineRule="exact"/>
        <w:ind w:firstLine="640" w:firstLineChars="200"/>
        <w:jc w:val="left"/>
        <w:rPr>
          <w:rFonts w:ascii="仿宋_GB2312" w:eastAsia="仿宋_GB2312"/>
          <w:sz w:val="32"/>
          <w:szCs w:val="32"/>
        </w:rPr>
      </w:pPr>
      <w:r>
        <w:rPr>
          <w:rFonts w:hint="eastAsia" w:ascii="仿宋_GB2312" w:eastAsia="仿宋_GB2312"/>
          <w:sz w:val="32"/>
          <w:szCs w:val="32"/>
        </w:rPr>
        <w:t xml:space="preserve">1.合同货物技术参数和详细配置明细表         </w:t>
      </w:r>
      <w:r>
        <w:rPr>
          <w:rFonts w:hint="eastAsia" w:ascii="黑体" w:eastAsia="黑体"/>
          <w:sz w:val="32"/>
          <w:szCs w:val="32"/>
        </w:rPr>
        <w:sym w:font="Wingdings 2" w:char="00A3"/>
      </w:r>
    </w:p>
    <w:p w14:paraId="1FBCE2CA">
      <w:pPr>
        <w:autoSpaceDE w:val="0"/>
        <w:autoSpaceDN w:val="0"/>
        <w:adjustRightInd w:val="0"/>
        <w:spacing w:line="520" w:lineRule="exact"/>
        <w:ind w:firstLine="640" w:firstLineChars="200"/>
        <w:jc w:val="left"/>
        <w:rPr>
          <w:rFonts w:ascii="仿宋_GB2312" w:eastAsia="仿宋_GB2312"/>
          <w:sz w:val="32"/>
          <w:szCs w:val="32"/>
        </w:rPr>
      </w:pPr>
      <w:r>
        <w:rPr>
          <w:rFonts w:hint="eastAsia" w:ascii="仿宋_GB2312" w:eastAsia="仿宋_GB2312"/>
          <w:sz w:val="32"/>
          <w:szCs w:val="32"/>
        </w:rPr>
        <w:t xml:space="preserve">2.合同货物售后服务细则                     </w:t>
      </w:r>
      <w:r>
        <w:rPr>
          <w:rFonts w:hint="eastAsia" w:ascii="黑体" w:eastAsia="黑体"/>
          <w:sz w:val="32"/>
          <w:szCs w:val="32"/>
        </w:rPr>
        <w:sym w:font="Wingdings 2" w:char="00A3"/>
      </w:r>
    </w:p>
    <w:p w14:paraId="7AF7AFE5">
      <w:pPr>
        <w:autoSpaceDE w:val="0"/>
        <w:autoSpaceDN w:val="0"/>
        <w:adjustRightInd w:val="0"/>
        <w:spacing w:line="520" w:lineRule="exact"/>
        <w:ind w:firstLine="640" w:firstLineChars="200"/>
        <w:jc w:val="left"/>
        <w:rPr>
          <w:rFonts w:ascii="仿宋_GB2312" w:eastAsia="仿宋_GB2312"/>
          <w:sz w:val="32"/>
          <w:szCs w:val="32"/>
        </w:rPr>
      </w:pPr>
      <w:r>
        <w:rPr>
          <w:rFonts w:hint="eastAsia" w:ascii="仿宋_GB2312" w:eastAsia="仿宋_GB2312"/>
          <w:sz w:val="32"/>
          <w:szCs w:val="32"/>
        </w:rPr>
        <w:t xml:space="preserve">3.合同货物使用详细培训方案或计划           </w:t>
      </w:r>
      <w:r>
        <w:rPr>
          <w:rFonts w:hint="eastAsia" w:ascii="黑体" w:eastAsia="黑体"/>
          <w:sz w:val="32"/>
          <w:szCs w:val="32"/>
        </w:rPr>
        <w:sym w:font="Wingdings 2" w:char="00A3"/>
      </w:r>
    </w:p>
    <w:p w14:paraId="5D90C870">
      <w:pPr>
        <w:autoSpaceDE w:val="0"/>
        <w:autoSpaceDN w:val="0"/>
        <w:adjustRightInd w:val="0"/>
        <w:spacing w:line="520" w:lineRule="exact"/>
        <w:ind w:firstLine="640" w:firstLineChars="200"/>
        <w:jc w:val="left"/>
        <w:rPr>
          <w:rFonts w:ascii="仿宋_GB2312" w:eastAsia="仿宋_GB2312"/>
          <w:sz w:val="32"/>
          <w:szCs w:val="32"/>
        </w:rPr>
      </w:pPr>
      <w:r>
        <w:rPr>
          <w:rFonts w:hint="eastAsia" w:ascii="仿宋_GB2312" w:eastAsia="仿宋_GB2312"/>
          <w:sz w:val="32"/>
          <w:szCs w:val="32"/>
        </w:rPr>
        <w:t xml:space="preserve">4.合同货物技术资料清单                     </w:t>
      </w:r>
      <w:r>
        <w:rPr>
          <w:rFonts w:hint="eastAsia" w:ascii="黑体" w:eastAsia="黑体"/>
          <w:sz w:val="32"/>
          <w:szCs w:val="32"/>
        </w:rPr>
        <w:sym w:font="Wingdings 2" w:char="00A3"/>
      </w:r>
    </w:p>
    <w:p w14:paraId="001FCE9F">
      <w:pPr>
        <w:autoSpaceDE w:val="0"/>
        <w:autoSpaceDN w:val="0"/>
        <w:adjustRightInd w:val="0"/>
        <w:spacing w:line="520" w:lineRule="exact"/>
        <w:ind w:firstLine="640" w:firstLineChars="200"/>
        <w:jc w:val="left"/>
        <w:rPr>
          <w:rFonts w:ascii="仿宋_GB2312" w:eastAsia="仿宋_GB2312"/>
          <w:sz w:val="32"/>
          <w:szCs w:val="32"/>
        </w:rPr>
      </w:pPr>
      <w:r>
        <w:rPr>
          <w:rFonts w:hint="eastAsia" w:ascii="仿宋_GB2312" w:eastAsia="仿宋_GB2312"/>
          <w:sz w:val="32"/>
          <w:szCs w:val="32"/>
        </w:rPr>
        <w:t xml:space="preserve">5.其他                                     </w:t>
      </w:r>
      <w:r>
        <w:rPr>
          <w:rFonts w:hint="eastAsia" w:ascii="黑体" w:eastAsia="黑体"/>
          <w:sz w:val="32"/>
          <w:szCs w:val="32"/>
        </w:rPr>
        <w:sym w:font="Wingdings 2" w:char="00A3"/>
      </w:r>
    </w:p>
    <w:p w14:paraId="353E274F">
      <w:pPr>
        <w:widowControl/>
        <w:spacing w:line="520" w:lineRule="exact"/>
        <w:jc w:val="left"/>
        <w:rPr>
          <w:rFonts w:ascii="仿宋_GB2312" w:hAnsi="金山简黑体" w:eastAsia="仿宋_GB2312"/>
          <w:b/>
          <w:spacing w:val="-8"/>
          <w:sz w:val="32"/>
          <w:szCs w:val="32"/>
        </w:rPr>
      </w:pPr>
      <w:r>
        <w:rPr>
          <w:rFonts w:ascii="仿宋_GB2312" w:eastAsia="仿宋_GB2312"/>
          <w:sz w:val="32"/>
          <w:szCs w:val="32"/>
        </w:rPr>
        <w:br w:type="page"/>
      </w:r>
    </w:p>
    <w:p w14:paraId="78F7668C">
      <w:pPr>
        <w:pStyle w:val="22"/>
        <w:spacing w:before="165"/>
        <w:ind w:firstLine="0" w:firstLineChars="0"/>
        <w:rPr>
          <w:rFonts w:ascii="仿宋_GB2312" w:eastAsia="仿宋_GB2312"/>
          <w:bCs/>
          <w:kern w:val="0"/>
          <w:sz w:val="28"/>
          <w:szCs w:val="28"/>
          <w:lang w:val="zh-CN"/>
        </w:rPr>
      </w:pPr>
      <w:r>
        <w:rPr>
          <w:rFonts w:hint="eastAsia" w:ascii="仿宋_GB2312" w:eastAsia="仿宋_GB2312"/>
          <w:bCs/>
          <w:kern w:val="0"/>
          <w:sz w:val="28"/>
          <w:szCs w:val="28"/>
          <w:lang w:val="zh-CN"/>
        </w:rPr>
        <w:t>此页无正文</w:t>
      </w:r>
    </w:p>
    <w:p w14:paraId="06B946CD">
      <w:pPr>
        <w:autoSpaceDE w:val="0"/>
        <w:autoSpaceDN w:val="0"/>
        <w:adjustRightInd w:val="0"/>
        <w:snapToGrid w:val="0"/>
        <w:spacing w:line="420" w:lineRule="exact"/>
        <w:rPr>
          <w:rFonts w:ascii="仿宋_GB2312" w:eastAsia="仿宋_GB2312"/>
          <w:kern w:val="0"/>
          <w:sz w:val="28"/>
          <w:szCs w:val="28"/>
          <w:lang w:val="zh-CN"/>
        </w:rPr>
      </w:pPr>
    </w:p>
    <w:p w14:paraId="45E8C350">
      <w:pPr>
        <w:autoSpaceDE w:val="0"/>
        <w:autoSpaceDN w:val="0"/>
        <w:adjustRightInd w:val="0"/>
        <w:snapToGrid w:val="0"/>
        <w:spacing w:line="420" w:lineRule="exact"/>
        <w:rPr>
          <w:rFonts w:ascii="仿宋_GB2312" w:eastAsia="仿宋_GB2312"/>
          <w:kern w:val="0"/>
          <w:sz w:val="28"/>
          <w:szCs w:val="28"/>
          <w:lang w:val="zh-CN"/>
        </w:rPr>
      </w:pPr>
    </w:p>
    <w:p w14:paraId="399DA7EB">
      <w:pPr>
        <w:autoSpaceDE w:val="0"/>
        <w:autoSpaceDN w:val="0"/>
        <w:adjustRightInd w:val="0"/>
        <w:snapToGrid w:val="0"/>
        <w:spacing w:line="420" w:lineRule="exact"/>
        <w:rPr>
          <w:rFonts w:ascii="仿宋_GB2312" w:eastAsia="仿宋_GB2312"/>
          <w:kern w:val="0"/>
          <w:sz w:val="28"/>
          <w:szCs w:val="28"/>
          <w:lang w:val="zh-CN"/>
        </w:rPr>
      </w:pPr>
    </w:p>
    <w:p w14:paraId="0D069EAC">
      <w:pPr>
        <w:autoSpaceDE w:val="0"/>
        <w:autoSpaceDN w:val="0"/>
        <w:adjustRightInd w:val="0"/>
        <w:snapToGrid w:val="0"/>
        <w:spacing w:line="420" w:lineRule="exact"/>
        <w:rPr>
          <w:rFonts w:ascii="仿宋_GB2312" w:eastAsia="仿宋_GB2312"/>
          <w:kern w:val="0"/>
          <w:sz w:val="28"/>
          <w:szCs w:val="28"/>
          <w:lang w:val="zh-CN"/>
        </w:rPr>
      </w:pPr>
    </w:p>
    <w:p w14:paraId="39299EB4">
      <w:pPr>
        <w:autoSpaceDE w:val="0"/>
        <w:autoSpaceDN w:val="0"/>
        <w:adjustRightInd w:val="0"/>
        <w:snapToGrid w:val="0"/>
        <w:spacing w:line="420" w:lineRule="exact"/>
        <w:rPr>
          <w:rFonts w:ascii="仿宋_GB2312" w:eastAsia="仿宋_GB2312"/>
          <w:kern w:val="0"/>
          <w:sz w:val="28"/>
          <w:szCs w:val="28"/>
          <w:lang w:val="zh-CN"/>
        </w:rPr>
      </w:pPr>
      <w:r>
        <w:rPr>
          <w:rFonts w:hint="eastAsia" w:ascii="仿宋_GB2312" w:eastAsia="仿宋_GB2312"/>
          <w:kern w:val="0"/>
          <w:sz w:val="28"/>
          <w:szCs w:val="28"/>
          <w:lang w:val="zh-CN"/>
        </w:rPr>
        <w:t>甲方（采购人）名      称：</w:t>
      </w:r>
    </w:p>
    <w:p w14:paraId="0A73F2DC">
      <w:pPr>
        <w:autoSpaceDE w:val="0"/>
        <w:autoSpaceDN w:val="0"/>
        <w:adjustRightInd w:val="0"/>
        <w:snapToGrid w:val="0"/>
        <w:spacing w:line="420" w:lineRule="exact"/>
        <w:ind w:firstLine="1960" w:firstLineChars="700"/>
        <w:rPr>
          <w:rFonts w:ascii="仿宋_GB2312" w:eastAsia="仿宋_GB2312"/>
          <w:kern w:val="0"/>
          <w:sz w:val="28"/>
          <w:szCs w:val="28"/>
          <w:lang w:val="zh-CN"/>
        </w:rPr>
      </w:pPr>
      <w:r>
        <w:rPr>
          <w:rFonts w:hint="eastAsia" w:ascii="仿宋_GB2312" w:eastAsia="仿宋_GB2312"/>
          <w:kern w:val="0"/>
          <w:sz w:val="28"/>
          <w:szCs w:val="28"/>
          <w:lang w:val="zh-CN"/>
        </w:rPr>
        <w:t>地      址：</w:t>
      </w:r>
    </w:p>
    <w:p w14:paraId="68CE2D0A">
      <w:pPr>
        <w:autoSpaceDE w:val="0"/>
        <w:autoSpaceDN w:val="0"/>
        <w:adjustRightInd w:val="0"/>
        <w:snapToGrid w:val="0"/>
        <w:spacing w:line="420" w:lineRule="exact"/>
        <w:ind w:firstLine="1960" w:firstLineChars="700"/>
        <w:rPr>
          <w:rFonts w:ascii="仿宋_GB2312" w:eastAsia="仿宋_GB2312"/>
          <w:kern w:val="0"/>
          <w:sz w:val="28"/>
          <w:szCs w:val="28"/>
          <w:lang w:val="zh-CN"/>
        </w:rPr>
      </w:pPr>
      <w:r>
        <w:rPr>
          <w:rFonts w:hint="eastAsia" w:ascii="仿宋_GB2312" w:eastAsia="仿宋_GB2312"/>
          <w:kern w:val="0"/>
          <w:sz w:val="28"/>
          <w:szCs w:val="28"/>
          <w:lang w:val="zh-CN"/>
        </w:rPr>
        <w:t>邮      编：</w:t>
      </w:r>
    </w:p>
    <w:p w14:paraId="3E325108">
      <w:pPr>
        <w:autoSpaceDE w:val="0"/>
        <w:autoSpaceDN w:val="0"/>
        <w:adjustRightInd w:val="0"/>
        <w:snapToGrid w:val="0"/>
        <w:spacing w:line="420" w:lineRule="exact"/>
        <w:ind w:firstLine="1960" w:firstLineChars="700"/>
        <w:rPr>
          <w:rFonts w:ascii="仿宋_GB2312" w:eastAsia="仿宋_GB2312"/>
          <w:kern w:val="0"/>
          <w:sz w:val="28"/>
          <w:szCs w:val="28"/>
          <w:lang w:val="zh-CN"/>
        </w:rPr>
      </w:pPr>
      <w:r>
        <w:rPr>
          <w:rFonts w:hint="eastAsia" w:ascii="仿宋_GB2312" w:eastAsia="仿宋_GB2312"/>
          <w:kern w:val="0"/>
          <w:sz w:val="28"/>
          <w:szCs w:val="28"/>
          <w:lang w:val="zh-CN"/>
        </w:rPr>
        <w:t>法定代表人:</w:t>
      </w:r>
    </w:p>
    <w:p w14:paraId="743854E2">
      <w:pPr>
        <w:autoSpaceDE w:val="0"/>
        <w:autoSpaceDN w:val="0"/>
        <w:adjustRightInd w:val="0"/>
        <w:snapToGrid w:val="0"/>
        <w:spacing w:line="420" w:lineRule="exact"/>
        <w:ind w:firstLine="1960" w:firstLineChars="700"/>
        <w:rPr>
          <w:rFonts w:ascii="仿宋_GB2312" w:eastAsia="仿宋_GB2312"/>
          <w:kern w:val="0"/>
          <w:sz w:val="28"/>
          <w:szCs w:val="28"/>
          <w:lang w:val="zh-CN"/>
        </w:rPr>
      </w:pPr>
      <w:r>
        <w:rPr>
          <w:rFonts w:hint="eastAsia" w:ascii="仿宋_GB2312" w:eastAsia="仿宋_GB2312"/>
          <w:kern w:val="0"/>
          <w:sz w:val="28"/>
          <w:szCs w:val="28"/>
          <w:lang w:val="zh-CN"/>
        </w:rPr>
        <w:t>委托代理人：</w:t>
      </w:r>
    </w:p>
    <w:p w14:paraId="04C6C305">
      <w:pPr>
        <w:autoSpaceDE w:val="0"/>
        <w:autoSpaceDN w:val="0"/>
        <w:adjustRightInd w:val="0"/>
        <w:snapToGrid w:val="0"/>
        <w:spacing w:line="420" w:lineRule="exact"/>
        <w:ind w:firstLine="840" w:firstLineChars="300"/>
        <w:rPr>
          <w:rFonts w:ascii="仿宋_GB2312" w:eastAsia="仿宋_GB2312"/>
          <w:kern w:val="0"/>
          <w:sz w:val="28"/>
          <w:szCs w:val="28"/>
          <w:lang w:val="zh-CN"/>
        </w:rPr>
      </w:pPr>
      <w:r>
        <w:rPr>
          <w:rFonts w:hint="eastAsia" w:ascii="仿宋_GB2312" w:eastAsia="仿宋_GB2312"/>
          <w:kern w:val="0"/>
          <w:sz w:val="28"/>
          <w:szCs w:val="28"/>
          <w:lang w:val="zh-CN"/>
        </w:rPr>
        <w:t>项目（技术）负责人：</w:t>
      </w:r>
    </w:p>
    <w:p w14:paraId="0F7E60B6">
      <w:pPr>
        <w:autoSpaceDE w:val="0"/>
        <w:autoSpaceDN w:val="0"/>
        <w:adjustRightInd w:val="0"/>
        <w:snapToGrid w:val="0"/>
        <w:spacing w:line="420" w:lineRule="exact"/>
        <w:ind w:firstLine="1960" w:firstLineChars="700"/>
        <w:rPr>
          <w:rFonts w:ascii="仿宋_GB2312" w:eastAsia="仿宋_GB2312"/>
          <w:kern w:val="0"/>
          <w:sz w:val="28"/>
          <w:szCs w:val="28"/>
          <w:lang w:val="zh-CN"/>
        </w:rPr>
      </w:pPr>
      <w:r>
        <w:rPr>
          <w:rFonts w:hint="eastAsia" w:ascii="仿宋_GB2312" w:eastAsia="仿宋_GB2312"/>
          <w:kern w:val="0"/>
          <w:sz w:val="28"/>
          <w:szCs w:val="28"/>
          <w:lang w:val="zh-CN"/>
        </w:rPr>
        <w:t>电　　　话：</w:t>
      </w:r>
    </w:p>
    <w:p w14:paraId="1BACB1F8">
      <w:pPr>
        <w:autoSpaceDE w:val="0"/>
        <w:autoSpaceDN w:val="0"/>
        <w:adjustRightInd w:val="0"/>
        <w:snapToGrid w:val="0"/>
        <w:spacing w:line="420" w:lineRule="exact"/>
        <w:ind w:firstLine="1960" w:firstLineChars="700"/>
        <w:rPr>
          <w:rFonts w:ascii="仿宋_GB2312" w:eastAsia="仿宋_GB2312"/>
          <w:kern w:val="0"/>
          <w:sz w:val="28"/>
          <w:szCs w:val="28"/>
          <w:lang w:val="zh-CN"/>
        </w:rPr>
      </w:pPr>
      <w:r>
        <w:rPr>
          <w:rFonts w:hint="eastAsia" w:ascii="仿宋_GB2312" w:eastAsia="仿宋_GB2312"/>
          <w:kern w:val="0"/>
          <w:sz w:val="28"/>
          <w:szCs w:val="28"/>
          <w:lang w:val="zh-CN"/>
        </w:rPr>
        <w:t>开户  银行：</w:t>
      </w:r>
    </w:p>
    <w:p w14:paraId="5B2C26BC">
      <w:pPr>
        <w:autoSpaceDE w:val="0"/>
        <w:autoSpaceDN w:val="0"/>
        <w:adjustRightInd w:val="0"/>
        <w:snapToGrid w:val="0"/>
        <w:spacing w:line="420" w:lineRule="exact"/>
        <w:ind w:firstLine="1960" w:firstLineChars="700"/>
        <w:rPr>
          <w:rFonts w:ascii="仿宋_GB2312" w:eastAsia="仿宋_GB2312"/>
          <w:kern w:val="0"/>
          <w:sz w:val="28"/>
          <w:szCs w:val="28"/>
          <w:lang w:val="zh-CN"/>
        </w:rPr>
      </w:pPr>
      <w:r>
        <w:rPr>
          <w:rFonts w:hint="eastAsia" w:ascii="仿宋_GB2312" w:eastAsia="仿宋_GB2312"/>
          <w:kern w:val="0"/>
          <w:sz w:val="28"/>
          <w:szCs w:val="28"/>
          <w:lang w:val="zh-CN"/>
        </w:rPr>
        <w:t>账      号：</w:t>
      </w:r>
    </w:p>
    <w:p w14:paraId="7D8DA0F4">
      <w:pPr>
        <w:autoSpaceDE w:val="0"/>
        <w:autoSpaceDN w:val="0"/>
        <w:adjustRightInd w:val="0"/>
        <w:snapToGrid w:val="0"/>
        <w:spacing w:line="420" w:lineRule="exact"/>
        <w:ind w:firstLine="1960" w:firstLineChars="700"/>
        <w:rPr>
          <w:rFonts w:ascii="仿宋_GB2312" w:eastAsia="仿宋_GB2312"/>
          <w:kern w:val="0"/>
          <w:sz w:val="28"/>
          <w:szCs w:val="28"/>
          <w:lang w:val="zh-CN"/>
        </w:rPr>
      </w:pPr>
      <w:r>
        <w:rPr>
          <w:rFonts w:hint="eastAsia" w:ascii="仿宋_GB2312" w:eastAsia="仿宋_GB2312"/>
          <w:kern w:val="0"/>
          <w:sz w:val="28"/>
          <w:szCs w:val="28"/>
          <w:lang w:val="zh-CN"/>
        </w:rPr>
        <w:t xml:space="preserve">签订 </w:t>
      </w:r>
      <w:r>
        <w:rPr>
          <w:rFonts w:ascii="仿宋_GB2312" w:eastAsia="仿宋_GB2312"/>
          <w:kern w:val="0"/>
          <w:sz w:val="28"/>
          <w:szCs w:val="28"/>
          <w:lang w:val="zh-CN"/>
        </w:rPr>
        <w:t xml:space="preserve"> </w:t>
      </w:r>
      <w:r>
        <w:rPr>
          <w:rFonts w:hint="eastAsia" w:ascii="仿宋_GB2312" w:eastAsia="仿宋_GB2312"/>
          <w:kern w:val="0"/>
          <w:sz w:val="28"/>
          <w:szCs w:val="28"/>
          <w:lang w:val="zh-CN"/>
        </w:rPr>
        <w:t>日期：</w:t>
      </w:r>
    </w:p>
    <w:p w14:paraId="137C0174">
      <w:pPr>
        <w:autoSpaceDE w:val="0"/>
        <w:autoSpaceDN w:val="0"/>
        <w:adjustRightInd w:val="0"/>
        <w:snapToGrid w:val="0"/>
        <w:spacing w:line="420" w:lineRule="exact"/>
        <w:rPr>
          <w:rFonts w:ascii="仿宋_GB2312" w:eastAsia="仿宋_GB2312"/>
          <w:kern w:val="0"/>
          <w:sz w:val="28"/>
          <w:szCs w:val="28"/>
        </w:rPr>
      </w:pPr>
    </w:p>
    <w:p w14:paraId="0176B33A">
      <w:pPr>
        <w:pStyle w:val="22"/>
        <w:spacing w:before="165"/>
        <w:ind w:firstLine="576"/>
        <w:rPr>
          <w:rFonts w:ascii="仿宋_GB2312" w:eastAsia="仿宋_GB2312"/>
          <w:kern w:val="0"/>
          <w:sz w:val="28"/>
          <w:szCs w:val="28"/>
        </w:rPr>
      </w:pPr>
    </w:p>
    <w:p w14:paraId="14C5A218">
      <w:pPr>
        <w:pStyle w:val="22"/>
        <w:spacing w:before="165"/>
        <w:ind w:firstLine="576"/>
        <w:rPr>
          <w:rFonts w:ascii="仿宋_GB2312" w:eastAsia="仿宋_GB2312"/>
          <w:kern w:val="0"/>
          <w:sz w:val="28"/>
          <w:szCs w:val="28"/>
        </w:rPr>
      </w:pPr>
    </w:p>
    <w:p w14:paraId="62C21B64">
      <w:pPr>
        <w:autoSpaceDE w:val="0"/>
        <w:autoSpaceDN w:val="0"/>
        <w:adjustRightInd w:val="0"/>
        <w:snapToGrid w:val="0"/>
        <w:spacing w:line="420" w:lineRule="exact"/>
        <w:rPr>
          <w:rFonts w:ascii="仿宋_GB2312" w:eastAsia="仿宋_GB2312"/>
          <w:kern w:val="0"/>
          <w:sz w:val="28"/>
          <w:szCs w:val="28"/>
          <w:lang w:val="zh-CN"/>
        </w:rPr>
      </w:pPr>
      <w:r>
        <w:rPr>
          <w:rFonts w:hint="eastAsia" w:ascii="仿宋_GB2312" w:eastAsia="仿宋_GB2312"/>
          <w:kern w:val="0"/>
          <w:sz w:val="28"/>
          <w:szCs w:val="28"/>
          <w:lang w:val="zh-CN"/>
        </w:rPr>
        <w:t>乙方（供应商）名      称：</w:t>
      </w:r>
    </w:p>
    <w:p w14:paraId="3B30DADA">
      <w:pPr>
        <w:autoSpaceDE w:val="0"/>
        <w:autoSpaceDN w:val="0"/>
        <w:adjustRightInd w:val="0"/>
        <w:snapToGrid w:val="0"/>
        <w:spacing w:line="420" w:lineRule="exact"/>
        <w:ind w:firstLine="1960" w:firstLineChars="700"/>
        <w:rPr>
          <w:rFonts w:ascii="仿宋_GB2312" w:eastAsia="仿宋_GB2312"/>
          <w:kern w:val="0"/>
          <w:sz w:val="28"/>
          <w:szCs w:val="28"/>
          <w:lang w:val="zh-CN"/>
        </w:rPr>
      </w:pPr>
      <w:r>
        <w:rPr>
          <w:rFonts w:hint="eastAsia" w:ascii="仿宋_GB2312" w:eastAsia="仿宋_GB2312"/>
          <w:kern w:val="0"/>
          <w:sz w:val="28"/>
          <w:szCs w:val="28"/>
          <w:lang w:val="zh-CN"/>
        </w:rPr>
        <w:t>地      址：</w:t>
      </w:r>
    </w:p>
    <w:p w14:paraId="4214DC1E">
      <w:pPr>
        <w:autoSpaceDE w:val="0"/>
        <w:autoSpaceDN w:val="0"/>
        <w:adjustRightInd w:val="0"/>
        <w:snapToGrid w:val="0"/>
        <w:spacing w:line="420" w:lineRule="exact"/>
        <w:ind w:firstLine="1960" w:firstLineChars="700"/>
        <w:rPr>
          <w:rFonts w:ascii="仿宋_GB2312" w:eastAsia="仿宋_GB2312"/>
          <w:kern w:val="0"/>
          <w:sz w:val="28"/>
          <w:szCs w:val="28"/>
          <w:lang w:val="zh-CN"/>
        </w:rPr>
      </w:pPr>
      <w:r>
        <w:rPr>
          <w:rFonts w:hint="eastAsia" w:ascii="仿宋_GB2312" w:eastAsia="仿宋_GB2312"/>
          <w:kern w:val="0"/>
          <w:sz w:val="28"/>
          <w:szCs w:val="28"/>
          <w:lang w:val="zh-CN"/>
        </w:rPr>
        <w:t>邮      编：</w:t>
      </w:r>
    </w:p>
    <w:p w14:paraId="3894DB8D">
      <w:pPr>
        <w:autoSpaceDE w:val="0"/>
        <w:autoSpaceDN w:val="0"/>
        <w:adjustRightInd w:val="0"/>
        <w:snapToGrid w:val="0"/>
        <w:spacing w:line="420" w:lineRule="exact"/>
        <w:ind w:firstLine="1960" w:firstLineChars="700"/>
        <w:rPr>
          <w:rFonts w:ascii="仿宋_GB2312" w:eastAsia="仿宋_GB2312"/>
          <w:kern w:val="0"/>
          <w:sz w:val="28"/>
          <w:szCs w:val="28"/>
          <w:lang w:val="zh-CN"/>
        </w:rPr>
      </w:pPr>
      <w:r>
        <w:rPr>
          <w:rFonts w:hint="eastAsia" w:ascii="仿宋_GB2312" w:eastAsia="仿宋_GB2312"/>
          <w:kern w:val="0"/>
          <w:sz w:val="28"/>
          <w:szCs w:val="28"/>
          <w:lang w:val="zh-CN"/>
        </w:rPr>
        <w:t xml:space="preserve">法定代表人： </w:t>
      </w:r>
    </w:p>
    <w:p w14:paraId="73568E7C">
      <w:pPr>
        <w:autoSpaceDE w:val="0"/>
        <w:autoSpaceDN w:val="0"/>
        <w:adjustRightInd w:val="0"/>
        <w:snapToGrid w:val="0"/>
        <w:spacing w:line="420" w:lineRule="exact"/>
        <w:ind w:firstLine="1960" w:firstLineChars="700"/>
        <w:rPr>
          <w:rFonts w:ascii="仿宋_GB2312" w:eastAsia="仿宋_GB2312"/>
          <w:kern w:val="0"/>
          <w:sz w:val="28"/>
          <w:szCs w:val="28"/>
          <w:lang w:val="zh-CN"/>
        </w:rPr>
      </w:pPr>
      <w:r>
        <w:rPr>
          <w:rFonts w:hint="eastAsia" w:ascii="仿宋_GB2312" w:eastAsia="仿宋_GB2312"/>
          <w:kern w:val="0"/>
          <w:sz w:val="28"/>
          <w:szCs w:val="28"/>
          <w:lang w:val="zh-CN"/>
        </w:rPr>
        <w:t>委托代理人：</w:t>
      </w:r>
    </w:p>
    <w:p w14:paraId="33C68C3D">
      <w:pPr>
        <w:autoSpaceDE w:val="0"/>
        <w:autoSpaceDN w:val="0"/>
        <w:adjustRightInd w:val="0"/>
        <w:snapToGrid w:val="0"/>
        <w:spacing w:line="420" w:lineRule="exact"/>
        <w:ind w:firstLine="1960" w:firstLineChars="700"/>
        <w:rPr>
          <w:rFonts w:ascii="仿宋_GB2312" w:eastAsia="仿宋_GB2312"/>
          <w:kern w:val="0"/>
          <w:sz w:val="28"/>
          <w:szCs w:val="28"/>
          <w:lang w:val="zh-CN"/>
        </w:rPr>
      </w:pPr>
      <w:r>
        <w:rPr>
          <w:rFonts w:hint="eastAsia" w:ascii="仿宋_GB2312" w:eastAsia="仿宋_GB2312"/>
          <w:kern w:val="0"/>
          <w:sz w:val="28"/>
          <w:szCs w:val="28"/>
          <w:lang w:val="zh-CN"/>
        </w:rPr>
        <w:t>电      话：</w:t>
      </w:r>
    </w:p>
    <w:p w14:paraId="0D8DF528">
      <w:pPr>
        <w:autoSpaceDE w:val="0"/>
        <w:autoSpaceDN w:val="0"/>
        <w:adjustRightInd w:val="0"/>
        <w:snapToGrid w:val="0"/>
        <w:spacing w:line="420" w:lineRule="exact"/>
        <w:ind w:firstLine="1960" w:firstLineChars="700"/>
        <w:rPr>
          <w:rFonts w:ascii="仿宋_GB2312" w:eastAsia="仿宋_GB2312"/>
          <w:kern w:val="0"/>
          <w:sz w:val="28"/>
          <w:szCs w:val="28"/>
          <w:lang w:val="zh-CN"/>
        </w:rPr>
      </w:pPr>
      <w:r>
        <w:rPr>
          <w:rFonts w:hint="eastAsia" w:ascii="仿宋_GB2312" w:eastAsia="仿宋_GB2312"/>
          <w:kern w:val="0"/>
          <w:sz w:val="28"/>
          <w:szCs w:val="28"/>
          <w:lang w:val="zh-CN"/>
        </w:rPr>
        <w:t>开户  银行：</w:t>
      </w:r>
    </w:p>
    <w:p w14:paraId="794ADD0D">
      <w:pPr>
        <w:autoSpaceDE w:val="0"/>
        <w:autoSpaceDN w:val="0"/>
        <w:adjustRightInd w:val="0"/>
        <w:snapToGrid w:val="0"/>
        <w:spacing w:line="420" w:lineRule="exact"/>
        <w:ind w:firstLine="1960" w:firstLineChars="700"/>
        <w:rPr>
          <w:rFonts w:ascii="仿宋_GB2312" w:eastAsia="仿宋_GB2312"/>
          <w:kern w:val="0"/>
          <w:sz w:val="28"/>
          <w:szCs w:val="28"/>
          <w:lang w:val="zh-CN"/>
        </w:rPr>
      </w:pPr>
      <w:r>
        <w:rPr>
          <w:rFonts w:hint="eastAsia" w:ascii="仿宋_GB2312" w:eastAsia="仿宋_GB2312"/>
          <w:kern w:val="0"/>
          <w:sz w:val="28"/>
          <w:szCs w:val="28"/>
          <w:lang w:val="zh-CN"/>
        </w:rPr>
        <w:t>账      号：</w:t>
      </w:r>
    </w:p>
    <w:p w14:paraId="4ED82B2B">
      <w:pPr>
        <w:autoSpaceDE w:val="0"/>
        <w:autoSpaceDN w:val="0"/>
        <w:adjustRightInd w:val="0"/>
        <w:snapToGrid w:val="0"/>
        <w:spacing w:line="420" w:lineRule="exact"/>
        <w:ind w:firstLine="1960" w:firstLineChars="700"/>
        <w:rPr>
          <w:rFonts w:ascii="仿宋_GB2312" w:eastAsia="仿宋_GB2312"/>
          <w:kern w:val="0"/>
          <w:sz w:val="28"/>
          <w:szCs w:val="28"/>
          <w:lang w:val="zh-CN"/>
        </w:rPr>
      </w:pPr>
      <w:r>
        <w:rPr>
          <w:rFonts w:hint="eastAsia" w:ascii="仿宋_GB2312" w:eastAsia="仿宋_GB2312"/>
          <w:kern w:val="0"/>
          <w:sz w:val="28"/>
          <w:szCs w:val="28"/>
          <w:lang w:val="zh-CN"/>
        </w:rPr>
        <w:t xml:space="preserve">签订 </w:t>
      </w:r>
      <w:r>
        <w:rPr>
          <w:rFonts w:ascii="仿宋_GB2312" w:eastAsia="仿宋_GB2312"/>
          <w:kern w:val="0"/>
          <w:sz w:val="28"/>
          <w:szCs w:val="28"/>
          <w:lang w:val="zh-CN"/>
        </w:rPr>
        <w:t xml:space="preserve"> </w:t>
      </w:r>
      <w:r>
        <w:rPr>
          <w:rFonts w:hint="eastAsia" w:ascii="仿宋_GB2312" w:eastAsia="仿宋_GB2312"/>
          <w:kern w:val="0"/>
          <w:sz w:val="28"/>
          <w:szCs w:val="28"/>
          <w:lang w:val="zh-CN"/>
        </w:rPr>
        <w:t>日期：</w:t>
      </w:r>
    </w:p>
    <w:p w14:paraId="6E10E158">
      <w:pPr>
        <w:ind w:firstLine="1470" w:firstLineChars="700"/>
      </w:pPr>
    </w:p>
    <w:p w14:paraId="1C8AF767">
      <w:pPr>
        <w:autoSpaceDE w:val="0"/>
        <w:autoSpaceDN w:val="0"/>
        <w:adjustRightInd w:val="0"/>
        <w:snapToGrid w:val="0"/>
        <w:spacing w:line="420" w:lineRule="exact"/>
        <w:ind w:firstLine="1960" w:firstLineChars="700"/>
        <w:rPr>
          <w:rFonts w:ascii="宋体" w:hAnsi="宋体"/>
          <w:kern w:val="0"/>
          <w:sz w:val="28"/>
          <w:szCs w:val="28"/>
          <w:lang w:val="zh-CN"/>
        </w:rPr>
      </w:pPr>
    </w:p>
    <w:p w14:paraId="447B0B37">
      <w:pPr>
        <w:autoSpaceDE w:val="0"/>
        <w:autoSpaceDN w:val="0"/>
        <w:adjustRightInd w:val="0"/>
        <w:spacing w:line="300" w:lineRule="auto"/>
        <w:ind w:left="1540" w:right="-72" w:firstLine="420"/>
        <w:rPr>
          <w:rFonts w:ascii="华文仿宋" w:hAnsi="华文仿宋" w:eastAsia="华文仿宋"/>
        </w:rPr>
      </w:pPr>
    </w:p>
    <w:p w14:paraId="37D9FE96">
      <w:pPr>
        <w:pStyle w:val="22"/>
        <w:spacing w:before="165"/>
        <w:ind w:firstLine="0" w:firstLineChars="0"/>
        <w:rPr>
          <w:rFonts w:ascii="华文仿宋" w:hAnsi="华文仿宋" w:eastAsia="华文仿宋"/>
        </w:rPr>
      </w:pPr>
    </w:p>
    <w:p w14:paraId="74E6EE3F">
      <w:pPr>
        <w:pStyle w:val="2"/>
        <w:numPr>
          <w:ilvl w:val="0"/>
          <w:numId w:val="0"/>
        </w:numPr>
        <w:spacing w:line="360" w:lineRule="auto"/>
        <w:jc w:val="center"/>
        <w:rPr>
          <w:rFonts w:ascii="宋体" w:hAnsi="宋体" w:eastAsia="宋体"/>
          <w:color w:val="auto"/>
          <w:sz w:val="36"/>
        </w:rPr>
      </w:pPr>
      <w:bookmarkStart w:id="261" w:name="_Toc24135"/>
      <w:bookmarkStart w:id="262" w:name="_Toc19263"/>
      <w:bookmarkStart w:id="263" w:name="_Toc86124091"/>
      <w:r>
        <w:rPr>
          <w:rFonts w:hint="eastAsia" w:ascii="宋体" w:hAnsi="宋体" w:eastAsia="宋体"/>
          <w:color w:val="auto"/>
          <w:sz w:val="36"/>
        </w:rPr>
        <w:t xml:space="preserve"> </w:t>
      </w:r>
      <w:bookmarkStart w:id="264" w:name="_Toc23930"/>
      <w:bookmarkStart w:id="265" w:name="_Toc27136"/>
      <w:r>
        <w:rPr>
          <w:rFonts w:hint="eastAsia" w:ascii="宋体" w:hAnsi="宋体" w:eastAsia="宋体"/>
          <w:color w:val="auto"/>
          <w:sz w:val="36"/>
        </w:rPr>
        <w:t>第四章 响应文件格式</w:t>
      </w:r>
      <w:bookmarkEnd w:id="261"/>
      <w:bookmarkEnd w:id="264"/>
      <w:bookmarkEnd w:id="265"/>
    </w:p>
    <w:p w14:paraId="2414B5C7">
      <w:pPr>
        <w:pStyle w:val="3"/>
        <w:numPr>
          <w:ilvl w:val="0"/>
          <w:numId w:val="0"/>
        </w:numPr>
        <w:adjustRightInd w:val="0"/>
        <w:snapToGrid w:val="0"/>
        <w:spacing w:before="0" w:after="0"/>
        <w:jc w:val="both"/>
        <w:rPr>
          <w:rFonts w:ascii="宋体" w:hAnsi="宋体" w:cs="宋体"/>
          <w:szCs w:val="28"/>
        </w:rPr>
      </w:pPr>
      <w:bookmarkStart w:id="266" w:name="_Toc19487"/>
      <w:bookmarkStart w:id="267" w:name="_Toc21882"/>
      <w:r>
        <w:rPr>
          <w:rFonts w:hint="eastAsia" w:ascii="宋体" w:hAnsi="宋体"/>
          <w:szCs w:val="28"/>
        </w:rPr>
        <w:t>格式1 响应文件（资格部分）</w:t>
      </w:r>
      <w:bookmarkEnd w:id="266"/>
      <w:bookmarkEnd w:id="267"/>
    </w:p>
    <w:p w14:paraId="4CA13C16">
      <w:pPr>
        <w:spacing w:line="360" w:lineRule="auto"/>
        <w:rPr>
          <w:rFonts w:ascii="宋体" w:hAnsi="宋体" w:cs="宋体"/>
          <w:b/>
          <w:sz w:val="28"/>
          <w:szCs w:val="28"/>
        </w:rPr>
      </w:pPr>
      <w:r>
        <w:rPr>
          <w:rFonts w:hint="eastAsia" w:ascii="宋体" w:hAnsi="宋体" w:cs="宋体"/>
          <w:b/>
          <w:sz w:val="28"/>
          <w:szCs w:val="28"/>
        </w:rPr>
        <w:t>格式1-1供应商主体资格证明材料</w:t>
      </w:r>
    </w:p>
    <w:p w14:paraId="1A161E41">
      <w:pPr>
        <w:rPr>
          <w:rFonts w:ascii="宋体" w:hAnsi="宋体" w:cs="宋体"/>
        </w:rPr>
      </w:pPr>
      <w:r>
        <w:rPr>
          <w:rFonts w:hint="eastAsia" w:ascii="宋体" w:hAnsi="宋体" w:cs="宋体"/>
        </w:rPr>
        <w:t>供应商为企业（包括合伙企业）的，应提供有效的“营业执照”；供应商为事业单位的，应提供有效的“事业单位法人证书”；供应商为非企业专业服务机构的，应提供有效的“执业许可证”“登记证书”等证明文件；供应商是个体工商户的，应提供有效的“个体工商户营业执照”；供应商是自然人的，应提供有效的自然人身份证明。分支机构参加投标的，应提供该分支机构或其所属法人/其他组织的相应证明文件，同时还应提供其所属法人/其他组织出具的授权其参与本项目的授权书（格式自拟，须加盖其所属法人/其他组织的公章）。</w:t>
      </w:r>
    </w:p>
    <w:p w14:paraId="44963764">
      <w:pPr>
        <w:rPr>
          <w:rFonts w:ascii="宋体" w:hAnsi="宋体" w:cs="宋体"/>
        </w:rPr>
      </w:pPr>
    </w:p>
    <w:p w14:paraId="1F8AE00F">
      <w:pPr>
        <w:spacing w:line="360" w:lineRule="auto"/>
        <w:rPr>
          <w:rFonts w:ascii="宋体" w:hAnsi="宋体" w:cs="宋体"/>
          <w:b/>
          <w:sz w:val="28"/>
          <w:szCs w:val="28"/>
        </w:rPr>
      </w:pPr>
      <w:r>
        <w:rPr>
          <w:rFonts w:hint="eastAsia" w:ascii="宋体" w:hAnsi="宋体" w:cs="宋体"/>
          <w:b/>
          <w:sz w:val="28"/>
          <w:szCs w:val="28"/>
        </w:rPr>
        <w:t>格式1-2供应商缴纳税收证明材料</w:t>
      </w:r>
    </w:p>
    <w:p w14:paraId="4EB02853">
      <w:pPr>
        <w:rPr>
          <w:rFonts w:ascii="宋体" w:hAnsi="宋体" w:cs="宋体"/>
        </w:rPr>
      </w:pPr>
      <w:r>
        <w:rPr>
          <w:rFonts w:hint="eastAsia" w:ascii="宋体" w:hAnsi="宋体" w:cs="宋体"/>
        </w:rPr>
        <w:t>供应商应提供2023年1月至今期间（税款所属时期）任意1个月的税务局税收通用缴款书复印件或银行电子缴税凭证复印件或税务局出具的纳税情况相关证明复印件；依法免税的供应商，应提供相应文件证明其依法免税；新成立企业尚未缴纳税款的，应出具情况证明。</w:t>
      </w:r>
    </w:p>
    <w:p w14:paraId="00770FAB">
      <w:pPr>
        <w:rPr>
          <w:rFonts w:ascii="宋体" w:hAnsi="宋体" w:cs="宋体"/>
        </w:rPr>
      </w:pPr>
    </w:p>
    <w:p w14:paraId="62AEC915">
      <w:pPr>
        <w:spacing w:line="360" w:lineRule="auto"/>
        <w:rPr>
          <w:rFonts w:ascii="宋体" w:hAnsi="宋体" w:cs="宋体"/>
        </w:rPr>
      </w:pPr>
      <w:r>
        <w:rPr>
          <w:rFonts w:hint="eastAsia" w:ascii="宋体" w:hAnsi="宋体" w:cs="宋体"/>
          <w:b/>
          <w:sz w:val="28"/>
          <w:szCs w:val="28"/>
        </w:rPr>
        <w:t>格式1-3供应商缴纳社保证明材料</w:t>
      </w:r>
    </w:p>
    <w:p w14:paraId="2E9DC8B8">
      <w:pPr>
        <w:rPr>
          <w:rFonts w:ascii="宋体" w:hAnsi="宋体" w:cs="宋体"/>
        </w:rPr>
      </w:pPr>
      <w:r>
        <w:rPr>
          <w:rFonts w:hint="eastAsia" w:ascii="宋体" w:hAnsi="宋体" w:cs="宋体"/>
        </w:rPr>
        <w:t>供应商应提供2023年1月至今期间（费款所属时期）任意1个月的社会保险费缴款书复印件或银行电子缴费凭证复印件或社保管理部门出具的有效缴款证明复印件；依法不需要缴纳社会保障资金的供应商，应提供相应文件证明其不需要缴纳社会保障资金；新成立企业尚未缴纳社保的，应出具情况证明。</w:t>
      </w:r>
    </w:p>
    <w:p w14:paraId="56F3AE0C">
      <w:pPr>
        <w:rPr>
          <w:rFonts w:ascii="宋体" w:hAnsi="宋体" w:cs="宋体"/>
        </w:rPr>
      </w:pPr>
    </w:p>
    <w:p w14:paraId="6AEEA4EF">
      <w:pPr>
        <w:spacing w:line="360" w:lineRule="auto"/>
        <w:rPr>
          <w:rFonts w:ascii="宋体" w:hAnsi="宋体" w:cs="宋体"/>
        </w:rPr>
      </w:pPr>
      <w:r>
        <w:rPr>
          <w:rFonts w:hint="eastAsia" w:ascii="宋体" w:hAnsi="宋体" w:cs="宋体"/>
          <w:b/>
          <w:sz w:val="28"/>
          <w:szCs w:val="28"/>
        </w:rPr>
        <w:t>格式1-4供应商近期的财务状况报告</w:t>
      </w:r>
    </w:p>
    <w:p w14:paraId="62CA41EF">
      <w:pPr>
        <w:rPr>
          <w:rFonts w:ascii="宋体" w:hAnsi="宋体" w:cs="宋体"/>
        </w:rPr>
      </w:pPr>
      <w:r>
        <w:rPr>
          <w:rFonts w:hint="eastAsia" w:ascii="宋体" w:hAnsi="宋体" w:cs="宋体"/>
        </w:rPr>
        <w:t>供应商应提供2023年度至今任意一年的财务状况报告复印件（包括但不限于资产负债表、现金流量表、利润表）或提供响应文件提交截止时间前三个月内基本开户银行出具的资信证明。</w:t>
      </w:r>
    </w:p>
    <w:p w14:paraId="43F8BFFC">
      <w:pPr>
        <w:rPr>
          <w:rFonts w:ascii="宋体" w:hAnsi="宋体" w:cs="宋体"/>
        </w:rPr>
      </w:pPr>
    </w:p>
    <w:p w14:paraId="2F4417AA">
      <w:pPr>
        <w:spacing w:line="360" w:lineRule="auto"/>
        <w:rPr>
          <w:rFonts w:ascii="宋体" w:hAnsi="宋体" w:cs="宋体"/>
          <w:b/>
          <w:sz w:val="28"/>
          <w:szCs w:val="28"/>
        </w:rPr>
      </w:pPr>
      <w:r>
        <w:rPr>
          <w:rFonts w:hint="eastAsia" w:ascii="宋体" w:hAnsi="宋体" w:cs="宋体"/>
          <w:b/>
          <w:sz w:val="28"/>
          <w:szCs w:val="28"/>
        </w:rPr>
        <w:t>格式1-5书面声明</w:t>
      </w:r>
    </w:p>
    <w:p w14:paraId="0F8D87C5">
      <w:pPr>
        <w:spacing w:line="360" w:lineRule="auto"/>
        <w:ind w:firstLine="480" w:firstLineChars="200"/>
        <w:rPr>
          <w:rFonts w:ascii="宋体" w:hAnsi="宋体" w:cs="宋体"/>
          <w:sz w:val="24"/>
        </w:rPr>
      </w:pPr>
      <w:r>
        <w:rPr>
          <w:rFonts w:hint="eastAsia" w:ascii="宋体" w:hAnsi="宋体" w:cs="宋体"/>
          <w:sz w:val="24"/>
          <w:u w:val="single"/>
        </w:rPr>
        <w:t>供应商名称</w:t>
      </w:r>
      <w:r>
        <w:rPr>
          <w:rFonts w:hint="eastAsia" w:ascii="宋体" w:hAnsi="宋体" w:cs="宋体"/>
          <w:sz w:val="24"/>
        </w:rPr>
        <w:t>在此声明，我单位参加政府采购活动前3年内未出现因违法经营受到刑事处罚或者责令停产停业、吊销许可证或者执照、较大数额罚款等行政处罚。</w:t>
      </w:r>
    </w:p>
    <w:p w14:paraId="7F625A73">
      <w:pPr>
        <w:spacing w:line="360" w:lineRule="auto"/>
        <w:rPr>
          <w:rFonts w:ascii="宋体" w:hAnsi="宋体" w:cs="宋体"/>
          <w:sz w:val="24"/>
        </w:rPr>
      </w:pPr>
    </w:p>
    <w:p w14:paraId="624648BE">
      <w:pPr>
        <w:spacing w:line="360" w:lineRule="auto"/>
        <w:rPr>
          <w:rFonts w:ascii="宋体" w:hAnsi="宋体" w:cs="宋体"/>
          <w:sz w:val="24"/>
        </w:rPr>
      </w:pPr>
      <w:r>
        <w:rPr>
          <w:rFonts w:hint="eastAsia" w:ascii="宋体" w:hAnsi="宋体" w:cs="宋体"/>
          <w:sz w:val="24"/>
        </w:rPr>
        <w:t>供应商：（盖单位公章）</w:t>
      </w:r>
    </w:p>
    <w:p w14:paraId="0D165F85">
      <w:pPr>
        <w:spacing w:line="360" w:lineRule="auto"/>
        <w:ind w:firstLine="2" w:firstLineChars="1"/>
        <w:rPr>
          <w:rFonts w:ascii="宋体" w:hAnsi="宋体" w:cs="宋体"/>
          <w:sz w:val="24"/>
        </w:rPr>
      </w:pPr>
      <w:r>
        <w:rPr>
          <w:rFonts w:hint="eastAsia" w:ascii="宋体" w:hAnsi="宋体" w:cs="宋体"/>
          <w:sz w:val="24"/>
        </w:rPr>
        <w:t>法定代表人或委托代理人：（签名或盖章）</w:t>
      </w:r>
    </w:p>
    <w:p w14:paraId="48291B1D">
      <w:pPr>
        <w:spacing w:line="360" w:lineRule="auto"/>
        <w:rPr>
          <w:rFonts w:ascii="宋体" w:hAnsi="宋体" w:cs="宋体"/>
          <w:szCs w:val="21"/>
        </w:rPr>
      </w:pPr>
      <w:r>
        <w:rPr>
          <w:rFonts w:hint="eastAsia" w:ascii="宋体" w:hAnsi="宋体" w:cs="宋体"/>
          <w:szCs w:val="21"/>
        </w:rPr>
        <w:t>年   月   日</w:t>
      </w:r>
    </w:p>
    <w:p w14:paraId="78CDC7C5">
      <w:pPr>
        <w:spacing w:line="360" w:lineRule="auto"/>
        <w:rPr>
          <w:rFonts w:ascii="宋体" w:hAnsi="宋体" w:cs="宋体"/>
          <w:b/>
          <w:sz w:val="28"/>
          <w:szCs w:val="28"/>
        </w:rPr>
      </w:pPr>
    </w:p>
    <w:p w14:paraId="18F1F349">
      <w:pPr>
        <w:spacing w:line="360" w:lineRule="auto"/>
        <w:rPr>
          <w:rFonts w:ascii="宋体" w:hAnsi="宋体" w:cs="宋体"/>
          <w:b/>
          <w:sz w:val="28"/>
          <w:szCs w:val="28"/>
        </w:rPr>
      </w:pPr>
      <w:r>
        <w:rPr>
          <w:rFonts w:hint="eastAsia" w:ascii="宋体" w:hAnsi="宋体" w:cs="宋体"/>
          <w:b/>
          <w:sz w:val="28"/>
          <w:szCs w:val="28"/>
        </w:rPr>
        <w:t>格式1-6</w:t>
      </w:r>
      <w:r>
        <w:rPr>
          <w:rFonts w:ascii="宋体" w:hAnsi="宋体" w:cs="宋体"/>
          <w:b/>
          <w:sz w:val="28"/>
          <w:szCs w:val="28"/>
        </w:rPr>
        <w:t>非为本项目提供整体设计、规范编制或者项目管理、监理、检测等服务的供应商</w:t>
      </w:r>
    </w:p>
    <w:p w14:paraId="4F30E44F">
      <w:pPr>
        <w:spacing w:line="360" w:lineRule="auto"/>
        <w:jc w:val="center"/>
        <w:rPr>
          <w:rFonts w:ascii="宋体" w:hAnsi="宋体" w:cs="宋体"/>
          <w:bCs/>
          <w:sz w:val="24"/>
        </w:rPr>
      </w:pPr>
      <w:r>
        <w:rPr>
          <w:rFonts w:hint="eastAsia" w:ascii="宋体" w:hAnsi="宋体" w:cs="宋体"/>
          <w:bCs/>
          <w:sz w:val="24"/>
        </w:rPr>
        <w:t>(自行承诺 格式自拟)</w:t>
      </w:r>
    </w:p>
    <w:p w14:paraId="1E2EFF35">
      <w:pPr>
        <w:rPr>
          <w:rFonts w:ascii="宋体" w:hAnsi="宋体" w:cs="宋体"/>
          <w:b/>
          <w:sz w:val="28"/>
          <w:szCs w:val="28"/>
        </w:rPr>
      </w:pPr>
    </w:p>
    <w:p w14:paraId="418EE1EE">
      <w:pPr>
        <w:pStyle w:val="8"/>
        <w:rPr>
          <w:rFonts w:hAnsi="宋体" w:cs="宋体"/>
          <w:b/>
          <w:color w:val="auto"/>
          <w:szCs w:val="28"/>
        </w:rPr>
      </w:pPr>
      <w:r>
        <w:rPr>
          <w:rFonts w:hint="eastAsia" w:hAnsi="宋体" w:cs="宋体"/>
          <w:b/>
          <w:color w:val="auto"/>
          <w:szCs w:val="28"/>
        </w:rPr>
        <w:t>格式1-7单位负责人非为同一人或者存在直接控股、管理关系的不同供应商，参加同一合同项下的政府采购活动。</w:t>
      </w:r>
    </w:p>
    <w:p w14:paraId="6C286DF2">
      <w:pPr>
        <w:spacing w:line="360" w:lineRule="auto"/>
        <w:jc w:val="center"/>
        <w:rPr>
          <w:rFonts w:ascii="宋体" w:hAnsi="宋体" w:cs="宋体"/>
          <w:bCs/>
          <w:sz w:val="24"/>
        </w:rPr>
      </w:pPr>
      <w:r>
        <w:rPr>
          <w:rFonts w:hint="eastAsia" w:ascii="宋体" w:hAnsi="宋体" w:cs="宋体"/>
          <w:bCs/>
          <w:sz w:val="24"/>
        </w:rPr>
        <w:t>(自行承诺 格式自拟)</w:t>
      </w:r>
    </w:p>
    <w:p w14:paraId="4AE427BE"/>
    <w:p w14:paraId="6CE4507A">
      <w:pPr>
        <w:pStyle w:val="13"/>
        <w:spacing w:line="360" w:lineRule="auto"/>
        <w:jc w:val="both"/>
        <w:rPr>
          <w:rFonts w:hAnsi="宋体" w:cs="宋体"/>
          <w:szCs w:val="21"/>
        </w:rPr>
      </w:pPr>
      <w:r>
        <w:rPr>
          <w:rFonts w:hint="eastAsia" w:hAnsi="宋体" w:cs="宋体"/>
          <w:b/>
          <w:sz w:val="28"/>
          <w:szCs w:val="28"/>
        </w:rPr>
        <w:t>格式1-8 本项目所要求的资格、资质证书等（扫描件加盖公章）</w:t>
      </w:r>
      <w:r>
        <w:rPr>
          <w:rFonts w:hint="eastAsia" w:hAnsi="宋体" w:cs="宋体"/>
          <w:bCs/>
          <w:kern w:val="2"/>
          <w:sz w:val="24"/>
        </w:rPr>
        <w:t>（如果有）</w:t>
      </w:r>
    </w:p>
    <w:p w14:paraId="343892E7">
      <w:pPr>
        <w:spacing w:line="360" w:lineRule="auto"/>
        <w:ind w:firstLine="3850" w:firstLineChars="1375"/>
        <w:rPr>
          <w:rFonts w:ascii="宋体" w:hAnsi="宋体" w:cs="宋体"/>
          <w:sz w:val="24"/>
        </w:rPr>
      </w:pPr>
      <w:r>
        <w:rPr>
          <w:rFonts w:hint="eastAsia" w:ascii="宋体" w:hAnsi="宋体" w:cs="宋体"/>
          <w:b/>
          <w:sz w:val="28"/>
          <w:szCs w:val="28"/>
        </w:rPr>
        <w:br w:type="page"/>
      </w:r>
    </w:p>
    <w:p w14:paraId="0FC14369">
      <w:pPr>
        <w:pStyle w:val="3"/>
        <w:numPr>
          <w:ilvl w:val="0"/>
          <w:numId w:val="0"/>
        </w:numPr>
        <w:adjustRightInd w:val="0"/>
        <w:snapToGrid w:val="0"/>
        <w:spacing w:before="0" w:after="0"/>
        <w:jc w:val="both"/>
        <w:rPr>
          <w:rFonts w:ascii="宋体" w:hAnsi="宋体" w:cs="宋体"/>
          <w:sz w:val="32"/>
          <w:u w:val="single"/>
        </w:rPr>
      </w:pPr>
      <w:bookmarkStart w:id="268" w:name="_Toc8683"/>
      <w:bookmarkStart w:id="269" w:name="_Toc30273"/>
      <w:r>
        <w:rPr>
          <w:rFonts w:hint="eastAsia" w:ascii="宋体" w:hAnsi="宋体"/>
          <w:szCs w:val="28"/>
        </w:rPr>
        <w:t xml:space="preserve">格式2 </w:t>
      </w:r>
      <w:bookmarkEnd w:id="262"/>
      <w:bookmarkEnd w:id="268"/>
      <w:r>
        <w:rPr>
          <w:rFonts w:hint="eastAsia" w:ascii="宋体" w:hAnsi="宋体"/>
          <w:szCs w:val="28"/>
        </w:rPr>
        <w:t>响应文件（商务报价部分）</w:t>
      </w:r>
      <w:bookmarkEnd w:id="269"/>
    </w:p>
    <w:p w14:paraId="62BDEC2A">
      <w:pPr>
        <w:spacing w:line="360" w:lineRule="auto"/>
        <w:jc w:val="center"/>
        <w:rPr>
          <w:rFonts w:ascii="宋体" w:hAnsi="宋体" w:cs="宋体"/>
          <w:b/>
          <w:sz w:val="28"/>
          <w:szCs w:val="28"/>
        </w:rPr>
      </w:pPr>
      <w:bookmarkStart w:id="270" w:name="_Toc14839"/>
      <w:bookmarkStart w:id="271" w:name="_Toc337822252"/>
      <w:bookmarkStart w:id="272" w:name="_Toc29166"/>
      <w:r>
        <w:rPr>
          <w:rFonts w:hint="eastAsia" w:ascii="宋体" w:hAnsi="宋体" w:cs="宋体"/>
          <w:b/>
          <w:sz w:val="28"/>
          <w:szCs w:val="28"/>
        </w:rPr>
        <w:t>格式2-1谈判响应承诺</w:t>
      </w:r>
      <w:bookmarkEnd w:id="270"/>
      <w:r>
        <w:rPr>
          <w:rFonts w:hint="eastAsia" w:ascii="宋体" w:hAnsi="宋体" w:cs="宋体"/>
          <w:b/>
          <w:sz w:val="28"/>
          <w:szCs w:val="28"/>
        </w:rPr>
        <w:t>函</w:t>
      </w:r>
    </w:p>
    <w:p w14:paraId="51A28951">
      <w:pPr>
        <w:spacing w:line="360" w:lineRule="auto"/>
        <w:jc w:val="left"/>
        <w:rPr>
          <w:szCs w:val="21"/>
        </w:rPr>
      </w:pPr>
      <w:r>
        <w:rPr>
          <w:szCs w:val="21"/>
        </w:rPr>
        <w:t>致：</w:t>
      </w:r>
      <w:r>
        <w:rPr>
          <w:rFonts w:hint="eastAsia"/>
          <w:szCs w:val="21"/>
          <w:u w:val="single"/>
        </w:rPr>
        <w:t>云南省政府采购和出让中心</w:t>
      </w:r>
    </w:p>
    <w:p w14:paraId="086672DA">
      <w:pPr>
        <w:spacing w:line="360" w:lineRule="auto"/>
        <w:ind w:firstLine="420" w:firstLineChars="200"/>
        <w:jc w:val="left"/>
        <w:rPr>
          <w:szCs w:val="21"/>
        </w:rPr>
      </w:pPr>
      <w:r>
        <w:rPr>
          <w:szCs w:val="21"/>
        </w:rPr>
        <w:t>根据贵方为</w:t>
      </w:r>
      <w:r>
        <w:rPr>
          <w:szCs w:val="21"/>
          <w:u w:val="single"/>
        </w:rPr>
        <w:t xml:space="preserve">      （采购项目名称）       </w:t>
      </w:r>
      <w:r>
        <w:rPr>
          <w:szCs w:val="21"/>
        </w:rPr>
        <w:t>（项目编号：</w:t>
      </w:r>
      <w:r>
        <w:rPr>
          <w:szCs w:val="21"/>
          <w:u w:val="single"/>
        </w:rPr>
        <w:t xml:space="preserve">            </w:t>
      </w:r>
      <w:r>
        <w:rPr>
          <w:szCs w:val="21"/>
        </w:rPr>
        <w:t>）的竞争性谈判邀请，我方正式授权下述签字人</w:t>
      </w:r>
      <w:r>
        <w:rPr>
          <w:szCs w:val="21"/>
          <w:u w:val="single"/>
        </w:rPr>
        <w:t xml:space="preserve">   （姓名和职务）     </w:t>
      </w:r>
      <w:r>
        <w:rPr>
          <w:szCs w:val="21"/>
        </w:rPr>
        <w:t>全权代表</w:t>
      </w:r>
      <w:r>
        <w:rPr>
          <w:szCs w:val="21"/>
          <w:u w:val="single"/>
        </w:rPr>
        <w:t xml:space="preserve">  （谈判供应商全称）   </w:t>
      </w:r>
      <w:r>
        <w:rPr>
          <w:szCs w:val="21"/>
        </w:rPr>
        <w:t>参加谈判</w:t>
      </w:r>
      <w:r>
        <w:rPr>
          <w:rFonts w:hint="eastAsia"/>
          <w:szCs w:val="21"/>
        </w:rPr>
        <w:t>。</w:t>
      </w:r>
    </w:p>
    <w:p w14:paraId="165E37B4">
      <w:pPr>
        <w:spacing w:line="360" w:lineRule="auto"/>
        <w:ind w:firstLine="420" w:firstLineChars="200"/>
        <w:jc w:val="left"/>
        <w:rPr>
          <w:szCs w:val="21"/>
        </w:rPr>
      </w:pPr>
      <w:r>
        <w:rPr>
          <w:szCs w:val="21"/>
        </w:rPr>
        <w:t>据此申请书，签字人兹宣布同意如下：</w:t>
      </w:r>
    </w:p>
    <w:p w14:paraId="3255450B">
      <w:pPr>
        <w:spacing w:line="360" w:lineRule="auto"/>
        <w:ind w:firstLine="420" w:firstLineChars="200"/>
        <w:jc w:val="left"/>
        <w:rPr>
          <w:szCs w:val="21"/>
        </w:rPr>
      </w:pPr>
      <w:r>
        <w:rPr>
          <w:szCs w:val="21"/>
        </w:rPr>
        <w:t>1. 按谈判文件货物需求和报价表，总报价为人民币（大写）</w:t>
      </w:r>
      <w:r>
        <w:rPr>
          <w:szCs w:val="21"/>
          <w:u w:val="single"/>
        </w:rPr>
        <w:t xml:space="preserve">     </w:t>
      </w:r>
      <w:r>
        <w:rPr>
          <w:szCs w:val="21"/>
        </w:rPr>
        <w:t>元（￥</w:t>
      </w:r>
      <w:r>
        <w:rPr>
          <w:szCs w:val="21"/>
          <w:u w:val="single"/>
        </w:rPr>
        <w:t xml:space="preserve">      </w:t>
      </w:r>
      <w:r>
        <w:rPr>
          <w:szCs w:val="21"/>
        </w:rPr>
        <w:t xml:space="preserve"> ）。</w:t>
      </w:r>
    </w:p>
    <w:p w14:paraId="393C4488">
      <w:pPr>
        <w:spacing w:line="360" w:lineRule="auto"/>
        <w:ind w:firstLine="420" w:firstLineChars="200"/>
        <w:jc w:val="left"/>
        <w:rPr>
          <w:szCs w:val="21"/>
        </w:rPr>
      </w:pPr>
      <w:r>
        <w:rPr>
          <w:szCs w:val="21"/>
        </w:rPr>
        <w:t>2. 我方同意在《供应商须知》规定的递交响应文件截止日期起遵循本谈判文件，并在《供应商须知》第11条规定的有效期满之前均具有约束力。如果我方报价被接受，则至合同履行完毕、质保期满为止，本承诺书保持有效。如果在谈判文件有效期内撤回谈判申请或者有其他违约行为，我方的保证金可被贵方全部或部分没收。</w:t>
      </w:r>
    </w:p>
    <w:p w14:paraId="1F8109B3">
      <w:pPr>
        <w:spacing w:line="360" w:lineRule="auto"/>
        <w:ind w:firstLine="420" w:firstLineChars="200"/>
        <w:jc w:val="left"/>
        <w:rPr>
          <w:szCs w:val="21"/>
        </w:rPr>
      </w:pPr>
      <w:r>
        <w:rPr>
          <w:szCs w:val="21"/>
        </w:rPr>
        <w:t>3. 我方承诺已经具备《中华人民共和国政府采购法》中规定的参加政府采购活动的供应商应当具备的条件。</w:t>
      </w:r>
    </w:p>
    <w:p w14:paraId="19B76C52">
      <w:pPr>
        <w:spacing w:line="360" w:lineRule="auto"/>
        <w:ind w:firstLine="420" w:firstLineChars="200"/>
        <w:jc w:val="left"/>
        <w:rPr>
          <w:szCs w:val="21"/>
        </w:rPr>
      </w:pPr>
      <w:r>
        <w:rPr>
          <w:szCs w:val="21"/>
        </w:rPr>
        <w:t>4. 我方承诺严格遵守谈判文件中的各项要求及合同条款，并承担合同规定的责任义务。</w:t>
      </w:r>
    </w:p>
    <w:p w14:paraId="3ACDDA1D">
      <w:pPr>
        <w:spacing w:line="360" w:lineRule="auto"/>
        <w:ind w:firstLine="420" w:firstLineChars="200"/>
        <w:jc w:val="left"/>
        <w:rPr>
          <w:szCs w:val="21"/>
        </w:rPr>
      </w:pPr>
      <w:r>
        <w:rPr>
          <w:szCs w:val="21"/>
        </w:rPr>
        <w:t>5. 同意应贵方要求提供与本次谈判有关的任何数据和资料，并保证数据和资料的完整性和真实性，若有违反，我方愿意承担一切后果。若贵方需要，我方愿意提供我方作出的一切承诺的证明材料。</w:t>
      </w:r>
    </w:p>
    <w:p w14:paraId="0F0CEA99">
      <w:pPr>
        <w:spacing w:line="360" w:lineRule="auto"/>
        <w:ind w:firstLine="420" w:firstLineChars="200"/>
        <w:jc w:val="left"/>
        <w:rPr>
          <w:szCs w:val="21"/>
        </w:rPr>
      </w:pPr>
      <w:r>
        <w:rPr>
          <w:szCs w:val="21"/>
        </w:rPr>
        <w:t>6. 我方完全理解贵方不一定要接受最低报价的谈判供应商为成交供应商的行为。</w:t>
      </w:r>
    </w:p>
    <w:p w14:paraId="079C4F25">
      <w:pPr>
        <w:spacing w:line="360" w:lineRule="auto"/>
        <w:rPr>
          <w:rFonts w:ascii="宋体" w:hAnsi="宋体" w:cs="宋体"/>
          <w:b/>
          <w:sz w:val="28"/>
          <w:szCs w:val="28"/>
        </w:rPr>
      </w:pPr>
    </w:p>
    <w:bookmarkEnd w:id="271"/>
    <w:p w14:paraId="71493A55">
      <w:pPr>
        <w:spacing w:line="360" w:lineRule="auto"/>
        <w:ind w:firstLine="420" w:firstLineChars="200"/>
        <w:jc w:val="left"/>
        <w:rPr>
          <w:rFonts w:ascii="宋体" w:hAnsi="宋体" w:cs="宋体"/>
          <w:szCs w:val="21"/>
        </w:rPr>
      </w:pPr>
      <w:r>
        <w:rPr>
          <w:rFonts w:hint="eastAsia" w:ascii="宋体" w:hAnsi="宋体" w:cs="宋体"/>
          <w:szCs w:val="21"/>
        </w:rPr>
        <w:t>与本次谈判有关的正式通讯地址为：</w:t>
      </w:r>
    </w:p>
    <w:p w14:paraId="60E96A8C">
      <w:pPr>
        <w:spacing w:line="360" w:lineRule="auto"/>
        <w:ind w:firstLine="420" w:firstLineChars="200"/>
        <w:jc w:val="left"/>
        <w:rPr>
          <w:rFonts w:ascii="宋体" w:hAnsi="宋体" w:cs="宋体"/>
          <w:szCs w:val="21"/>
          <w:u w:val="single"/>
        </w:rPr>
      </w:pPr>
      <w:r>
        <w:rPr>
          <w:rFonts w:hint="eastAsia" w:ascii="宋体" w:hAnsi="宋体" w:cs="宋体"/>
          <w:szCs w:val="21"/>
        </w:rPr>
        <w:t>地    址：            邮政编码：</w:t>
      </w:r>
    </w:p>
    <w:p w14:paraId="4CBACFD5">
      <w:pPr>
        <w:spacing w:line="360" w:lineRule="auto"/>
        <w:ind w:firstLine="420" w:firstLineChars="200"/>
        <w:jc w:val="left"/>
        <w:rPr>
          <w:rFonts w:ascii="宋体" w:hAnsi="宋体" w:cs="宋体"/>
          <w:szCs w:val="21"/>
        </w:rPr>
      </w:pPr>
      <w:r>
        <w:rPr>
          <w:rFonts w:hint="eastAsia" w:ascii="宋体" w:hAnsi="宋体" w:cs="宋体"/>
          <w:szCs w:val="21"/>
        </w:rPr>
        <w:t>电    话：            传    真：</w:t>
      </w:r>
    </w:p>
    <w:p w14:paraId="236E0985">
      <w:pPr>
        <w:spacing w:line="360" w:lineRule="auto"/>
        <w:ind w:firstLine="420" w:firstLineChars="200"/>
        <w:jc w:val="left"/>
        <w:rPr>
          <w:rFonts w:ascii="宋体" w:hAnsi="宋体" w:cs="宋体"/>
          <w:szCs w:val="21"/>
          <w:u w:val="single"/>
        </w:rPr>
      </w:pPr>
      <w:r>
        <w:rPr>
          <w:rFonts w:hint="eastAsia" w:ascii="宋体" w:hAnsi="宋体" w:cs="宋体"/>
          <w:szCs w:val="21"/>
        </w:rPr>
        <w:t>开户名称：            开户银行：          帐    号：</w:t>
      </w:r>
    </w:p>
    <w:p w14:paraId="738C7EA7">
      <w:pPr>
        <w:spacing w:line="360" w:lineRule="auto"/>
        <w:ind w:firstLine="420" w:firstLineChars="200"/>
        <w:jc w:val="left"/>
        <w:rPr>
          <w:rFonts w:ascii="宋体" w:hAnsi="宋体" w:cs="宋体"/>
          <w:szCs w:val="21"/>
        </w:rPr>
      </w:pPr>
    </w:p>
    <w:p w14:paraId="3181B428">
      <w:pPr>
        <w:spacing w:line="360" w:lineRule="auto"/>
        <w:ind w:firstLine="420" w:firstLineChars="200"/>
        <w:jc w:val="left"/>
        <w:rPr>
          <w:rFonts w:ascii="宋体" w:hAnsi="宋体" w:cs="宋体"/>
          <w:szCs w:val="21"/>
        </w:rPr>
      </w:pPr>
      <w:r>
        <w:rPr>
          <w:rFonts w:hint="eastAsia" w:ascii="宋体" w:hAnsi="宋体" w:cs="宋体"/>
          <w:szCs w:val="21"/>
        </w:rPr>
        <w:t>谈判申请人：</w:t>
      </w:r>
      <w:r>
        <w:rPr>
          <w:rFonts w:hint="eastAsia" w:ascii="宋体" w:hAnsi="宋体" w:cs="宋体"/>
          <w:szCs w:val="21"/>
          <w:u w:val="single"/>
        </w:rPr>
        <w:t>（全称）</w:t>
      </w:r>
      <w:r>
        <w:rPr>
          <w:rFonts w:hint="eastAsia" w:ascii="宋体" w:hAnsi="宋体" w:cs="宋体"/>
          <w:szCs w:val="21"/>
        </w:rPr>
        <w:t>（盖单位公章）</w:t>
      </w:r>
    </w:p>
    <w:p w14:paraId="59676F1A">
      <w:pPr>
        <w:spacing w:line="360" w:lineRule="auto"/>
        <w:ind w:firstLine="420" w:firstLineChars="200"/>
        <w:jc w:val="left"/>
        <w:rPr>
          <w:rFonts w:ascii="宋体" w:hAnsi="宋体" w:cs="宋体"/>
          <w:szCs w:val="21"/>
        </w:rPr>
      </w:pPr>
      <w:r>
        <w:rPr>
          <w:rFonts w:hint="eastAsia" w:ascii="宋体" w:hAnsi="宋体" w:cs="宋体"/>
          <w:szCs w:val="21"/>
        </w:rPr>
        <w:t>法定代表人或委托代理人：（签名或盖章）</w:t>
      </w:r>
    </w:p>
    <w:p w14:paraId="7D6EB130">
      <w:pPr>
        <w:spacing w:line="360" w:lineRule="auto"/>
        <w:ind w:firstLine="420" w:firstLineChars="200"/>
        <w:jc w:val="left"/>
        <w:rPr>
          <w:rFonts w:ascii="宋体" w:hAnsi="宋体" w:cs="宋体"/>
          <w:szCs w:val="21"/>
        </w:rPr>
      </w:pPr>
      <w:r>
        <w:rPr>
          <w:rFonts w:hint="eastAsia" w:ascii="宋体" w:hAnsi="宋体" w:cs="宋体"/>
          <w:szCs w:val="21"/>
        </w:rPr>
        <w:t>日期：  年   月  日</w:t>
      </w:r>
    </w:p>
    <w:p w14:paraId="354A0451">
      <w:pPr>
        <w:spacing w:line="360" w:lineRule="auto"/>
        <w:ind w:firstLine="420" w:firstLineChars="200"/>
        <w:jc w:val="left"/>
        <w:rPr>
          <w:rFonts w:ascii="宋体" w:hAnsi="宋体" w:cs="宋体"/>
          <w:szCs w:val="21"/>
          <w:u w:val="single"/>
        </w:rPr>
      </w:pPr>
      <w:r>
        <w:rPr>
          <w:rFonts w:hint="eastAsia" w:ascii="宋体" w:hAnsi="宋体" w:cs="宋体"/>
          <w:b/>
          <w:szCs w:val="21"/>
        </w:rPr>
        <w:t>说明：★1. 未填写本表格的供应商将不能通过符合性审查。</w:t>
      </w:r>
    </w:p>
    <w:p w14:paraId="05BBB098">
      <w:pPr>
        <w:spacing w:line="360" w:lineRule="auto"/>
        <w:ind w:firstLine="1215" w:firstLineChars="579"/>
        <w:rPr>
          <w:rFonts w:ascii="宋体" w:hAnsi="宋体" w:cs="宋体"/>
          <w:b/>
          <w:szCs w:val="21"/>
        </w:rPr>
      </w:pPr>
      <w:r>
        <w:rPr>
          <w:rFonts w:hint="eastAsia" w:ascii="宋体" w:hAnsi="宋体" w:cs="宋体"/>
          <w:b/>
          <w:szCs w:val="21"/>
        </w:rPr>
        <w:t>2.本承诺函内容不得擅自修改。</w:t>
      </w:r>
    </w:p>
    <w:p w14:paraId="723D1BA1">
      <w:pPr>
        <w:rPr>
          <w:rFonts w:ascii="宋体" w:hAnsi="宋体" w:cs="宋体"/>
        </w:rPr>
      </w:pPr>
      <w:r>
        <w:rPr>
          <w:rFonts w:hint="eastAsia" w:ascii="宋体" w:hAnsi="宋体" w:cs="宋体"/>
        </w:rPr>
        <w:br w:type="page"/>
      </w:r>
    </w:p>
    <w:p w14:paraId="16C36ECE">
      <w:pPr>
        <w:spacing w:line="360" w:lineRule="auto"/>
        <w:jc w:val="center"/>
      </w:pPr>
      <w:bookmarkStart w:id="273" w:name="_Toc5455"/>
      <w:r>
        <w:rPr>
          <w:rFonts w:hint="eastAsia" w:ascii="宋体" w:hAnsi="宋体" w:cs="宋体"/>
          <w:b/>
          <w:sz w:val="28"/>
          <w:szCs w:val="28"/>
        </w:rPr>
        <w:t>格</w:t>
      </w:r>
      <w:bookmarkStart w:id="274" w:name="_Toc16735"/>
      <w:r>
        <w:rPr>
          <w:rFonts w:hint="eastAsia" w:ascii="宋体" w:hAnsi="宋体" w:cs="宋体"/>
          <w:b/>
          <w:sz w:val="28"/>
          <w:szCs w:val="28"/>
        </w:rPr>
        <w:t>式2-2</w:t>
      </w:r>
      <w:bookmarkEnd w:id="273"/>
      <w:bookmarkEnd w:id="274"/>
      <w:r>
        <w:rPr>
          <w:rFonts w:hint="eastAsia" w:ascii="宋体" w:hAnsi="宋体" w:cs="宋体"/>
          <w:b/>
          <w:sz w:val="28"/>
          <w:szCs w:val="28"/>
        </w:rPr>
        <w:t>分项报价表</w:t>
      </w:r>
    </w:p>
    <w:p w14:paraId="36D0039B">
      <w:pPr>
        <w:spacing w:line="360" w:lineRule="auto"/>
        <w:ind w:firstLine="2" w:firstLineChars="1"/>
        <w:rPr>
          <w:rFonts w:ascii="宋体" w:hAnsi="宋体"/>
          <w:szCs w:val="21"/>
          <w:u w:val="single"/>
        </w:rPr>
      </w:pPr>
      <w:r>
        <w:rPr>
          <w:rFonts w:hint="eastAsia" w:ascii="宋体" w:hAnsi="宋体"/>
          <w:szCs w:val="21"/>
        </w:rPr>
        <w:t xml:space="preserve">项目名称：  </w:t>
      </w:r>
      <w:r>
        <w:rPr>
          <w:rFonts w:ascii="宋体" w:hAnsi="宋体"/>
          <w:szCs w:val="21"/>
        </w:rPr>
        <w:t xml:space="preserve">                                        </w:t>
      </w:r>
      <w:r>
        <w:rPr>
          <w:rFonts w:hint="eastAsia" w:ascii="宋体" w:hAnsi="宋体"/>
          <w:szCs w:val="21"/>
        </w:rPr>
        <w:t xml:space="preserve">  项目编号：</w:t>
      </w:r>
    </w:p>
    <w:tbl>
      <w:tblPr>
        <w:tblStyle w:val="24"/>
        <w:tblW w:w="97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8"/>
        <w:gridCol w:w="2008"/>
        <w:gridCol w:w="1564"/>
        <w:gridCol w:w="746"/>
        <w:gridCol w:w="1940"/>
        <w:gridCol w:w="1127"/>
        <w:gridCol w:w="1122"/>
        <w:gridCol w:w="725"/>
        <w:gridCol w:w="16"/>
      </w:tblGrid>
      <w:tr w14:paraId="67DF8D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6" w:hRule="atLeast"/>
          <w:jc w:val="center"/>
        </w:trPr>
        <w:tc>
          <w:tcPr>
            <w:tcW w:w="458" w:type="dxa"/>
            <w:vAlign w:val="center"/>
          </w:tcPr>
          <w:p w14:paraId="23A25171">
            <w:pPr>
              <w:pStyle w:val="13"/>
              <w:jc w:val="center"/>
              <w:rPr>
                <w:rFonts w:hAnsi="宋体"/>
                <w:sz w:val="21"/>
                <w:szCs w:val="21"/>
              </w:rPr>
            </w:pPr>
            <w:r>
              <w:rPr>
                <w:rFonts w:hint="eastAsia" w:hAnsi="宋体"/>
                <w:sz w:val="21"/>
                <w:szCs w:val="21"/>
              </w:rPr>
              <w:t>序号</w:t>
            </w:r>
          </w:p>
        </w:tc>
        <w:tc>
          <w:tcPr>
            <w:tcW w:w="2008" w:type="dxa"/>
            <w:vAlign w:val="center"/>
          </w:tcPr>
          <w:p w14:paraId="68661246">
            <w:pPr>
              <w:pStyle w:val="13"/>
              <w:jc w:val="center"/>
              <w:rPr>
                <w:rFonts w:hAnsi="宋体"/>
                <w:sz w:val="21"/>
                <w:szCs w:val="21"/>
              </w:rPr>
            </w:pPr>
            <w:r>
              <w:rPr>
                <w:rFonts w:hint="eastAsia" w:hAnsi="宋体"/>
                <w:sz w:val="21"/>
                <w:szCs w:val="21"/>
              </w:rPr>
              <w:t>货物名称</w:t>
            </w:r>
          </w:p>
        </w:tc>
        <w:tc>
          <w:tcPr>
            <w:tcW w:w="1564" w:type="dxa"/>
            <w:vAlign w:val="center"/>
          </w:tcPr>
          <w:p w14:paraId="5E642DB2">
            <w:pPr>
              <w:pStyle w:val="13"/>
              <w:jc w:val="center"/>
              <w:rPr>
                <w:rFonts w:hAnsi="宋体"/>
                <w:sz w:val="21"/>
                <w:szCs w:val="21"/>
              </w:rPr>
            </w:pPr>
            <w:r>
              <w:rPr>
                <w:rFonts w:hint="eastAsia" w:hAnsi="宋体"/>
                <w:sz w:val="21"/>
                <w:szCs w:val="21"/>
              </w:rPr>
              <w:t>型号和规格</w:t>
            </w:r>
          </w:p>
        </w:tc>
        <w:tc>
          <w:tcPr>
            <w:tcW w:w="746" w:type="dxa"/>
            <w:vAlign w:val="center"/>
          </w:tcPr>
          <w:p w14:paraId="2C983583">
            <w:pPr>
              <w:pStyle w:val="13"/>
              <w:jc w:val="center"/>
              <w:rPr>
                <w:rFonts w:hAnsi="宋体"/>
                <w:sz w:val="21"/>
                <w:szCs w:val="21"/>
              </w:rPr>
            </w:pPr>
            <w:r>
              <w:rPr>
                <w:rFonts w:hint="eastAsia" w:hAnsi="宋体"/>
                <w:sz w:val="21"/>
                <w:szCs w:val="21"/>
              </w:rPr>
              <w:t>数量</w:t>
            </w:r>
          </w:p>
        </w:tc>
        <w:tc>
          <w:tcPr>
            <w:tcW w:w="1940" w:type="dxa"/>
            <w:vAlign w:val="center"/>
          </w:tcPr>
          <w:p w14:paraId="00F19DA9">
            <w:pPr>
              <w:pStyle w:val="13"/>
              <w:jc w:val="center"/>
              <w:rPr>
                <w:rFonts w:hAnsi="宋体"/>
                <w:sz w:val="21"/>
                <w:szCs w:val="21"/>
              </w:rPr>
            </w:pPr>
            <w:r>
              <w:rPr>
                <w:rFonts w:hint="eastAsia" w:hAnsi="宋体"/>
                <w:sz w:val="21"/>
                <w:szCs w:val="21"/>
              </w:rPr>
              <w:t>制造商/生产厂商名称</w:t>
            </w:r>
          </w:p>
        </w:tc>
        <w:tc>
          <w:tcPr>
            <w:tcW w:w="1127" w:type="dxa"/>
            <w:vAlign w:val="center"/>
          </w:tcPr>
          <w:p w14:paraId="33C1C571">
            <w:pPr>
              <w:pStyle w:val="13"/>
              <w:jc w:val="center"/>
              <w:rPr>
                <w:rFonts w:hAnsi="宋体"/>
                <w:sz w:val="21"/>
                <w:szCs w:val="21"/>
              </w:rPr>
            </w:pPr>
            <w:r>
              <w:rPr>
                <w:rFonts w:hint="eastAsia" w:hAnsi="宋体"/>
                <w:sz w:val="21"/>
                <w:szCs w:val="21"/>
              </w:rPr>
              <w:t>单价</w:t>
            </w:r>
          </w:p>
          <w:p w14:paraId="4FF88F7E">
            <w:pPr>
              <w:pStyle w:val="13"/>
              <w:jc w:val="center"/>
              <w:rPr>
                <w:rFonts w:hAnsi="宋体"/>
                <w:sz w:val="21"/>
                <w:szCs w:val="21"/>
              </w:rPr>
            </w:pPr>
            <w:r>
              <w:rPr>
                <w:rFonts w:hint="eastAsia" w:hAnsi="宋体"/>
                <w:sz w:val="21"/>
                <w:szCs w:val="21"/>
              </w:rPr>
              <w:t>（元）</w:t>
            </w:r>
          </w:p>
        </w:tc>
        <w:tc>
          <w:tcPr>
            <w:tcW w:w="1122" w:type="dxa"/>
            <w:vAlign w:val="center"/>
          </w:tcPr>
          <w:p w14:paraId="7A46655D">
            <w:pPr>
              <w:pStyle w:val="13"/>
              <w:jc w:val="center"/>
              <w:rPr>
                <w:rFonts w:hAnsi="宋体"/>
                <w:sz w:val="21"/>
                <w:szCs w:val="21"/>
              </w:rPr>
            </w:pPr>
            <w:r>
              <w:rPr>
                <w:rFonts w:hint="eastAsia" w:hAnsi="宋体"/>
                <w:sz w:val="21"/>
                <w:szCs w:val="21"/>
              </w:rPr>
              <w:t>总价</w:t>
            </w:r>
          </w:p>
          <w:p w14:paraId="2210DD3D">
            <w:pPr>
              <w:pStyle w:val="13"/>
              <w:jc w:val="center"/>
              <w:rPr>
                <w:rFonts w:hAnsi="宋体"/>
                <w:sz w:val="21"/>
                <w:szCs w:val="21"/>
              </w:rPr>
            </w:pPr>
            <w:r>
              <w:rPr>
                <w:rFonts w:hint="eastAsia" w:hAnsi="宋体"/>
                <w:sz w:val="21"/>
                <w:szCs w:val="21"/>
              </w:rPr>
              <w:t>（元）</w:t>
            </w:r>
          </w:p>
        </w:tc>
        <w:tc>
          <w:tcPr>
            <w:tcW w:w="741" w:type="dxa"/>
            <w:gridSpan w:val="2"/>
            <w:vAlign w:val="center"/>
          </w:tcPr>
          <w:p w14:paraId="395C65FC">
            <w:pPr>
              <w:pStyle w:val="13"/>
              <w:ind w:left="72"/>
              <w:jc w:val="center"/>
              <w:rPr>
                <w:rFonts w:hAnsi="宋体"/>
                <w:sz w:val="21"/>
                <w:szCs w:val="21"/>
              </w:rPr>
            </w:pPr>
            <w:r>
              <w:rPr>
                <w:rFonts w:hint="eastAsia" w:hAnsi="宋体"/>
                <w:sz w:val="21"/>
                <w:szCs w:val="21"/>
              </w:rPr>
              <w:t>备注</w:t>
            </w:r>
          </w:p>
        </w:tc>
      </w:tr>
      <w:tr w14:paraId="258251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6" w:hRule="atLeast"/>
          <w:jc w:val="center"/>
        </w:trPr>
        <w:tc>
          <w:tcPr>
            <w:tcW w:w="458" w:type="dxa"/>
            <w:vAlign w:val="center"/>
          </w:tcPr>
          <w:p w14:paraId="5E057A9C">
            <w:pPr>
              <w:pStyle w:val="13"/>
              <w:jc w:val="center"/>
              <w:rPr>
                <w:rFonts w:hAnsi="宋体"/>
                <w:sz w:val="21"/>
                <w:szCs w:val="21"/>
              </w:rPr>
            </w:pPr>
          </w:p>
        </w:tc>
        <w:tc>
          <w:tcPr>
            <w:tcW w:w="2008" w:type="dxa"/>
            <w:vAlign w:val="center"/>
          </w:tcPr>
          <w:p w14:paraId="0F608AC7">
            <w:pPr>
              <w:pStyle w:val="13"/>
              <w:rPr>
                <w:rFonts w:hAnsi="宋体"/>
                <w:sz w:val="21"/>
                <w:szCs w:val="21"/>
              </w:rPr>
            </w:pPr>
          </w:p>
        </w:tc>
        <w:tc>
          <w:tcPr>
            <w:tcW w:w="1564" w:type="dxa"/>
            <w:vAlign w:val="center"/>
          </w:tcPr>
          <w:p w14:paraId="2A0B5667">
            <w:pPr>
              <w:pStyle w:val="13"/>
              <w:rPr>
                <w:rFonts w:hAnsi="宋体"/>
                <w:sz w:val="21"/>
                <w:szCs w:val="21"/>
              </w:rPr>
            </w:pPr>
          </w:p>
        </w:tc>
        <w:tc>
          <w:tcPr>
            <w:tcW w:w="746" w:type="dxa"/>
            <w:vAlign w:val="center"/>
          </w:tcPr>
          <w:p w14:paraId="0420FF21">
            <w:pPr>
              <w:pStyle w:val="13"/>
              <w:rPr>
                <w:rFonts w:hAnsi="宋体"/>
                <w:sz w:val="21"/>
                <w:szCs w:val="21"/>
              </w:rPr>
            </w:pPr>
          </w:p>
        </w:tc>
        <w:tc>
          <w:tcPr>
            <w:tcW w:w="1940" w:type="dxa"/>
            <w:vAlign w:val="center"/>
          </w:tcPr>
          <w:p w14:paraId="005D5404">
            <w:pPr>
              <w:pStyle w:val="13"/>
              <w:rPr>
                <w:rFonts w:hAnsi="宋体"/>
                <w:sz w:val="21"/>
                <w:szCs w:val="21"/>
              </w:rPr>
            </w:pPr>
          </w:p>
        </w:tc>
        <w:tc>
          <w:tcPr>
            <w:tcW w:w="1127" w:type="dxa"/>
            <w:vAlign w:val="center"/>
          </w:tcPr>
          <w:p w14:paraId="78443FA4">
            <w:pPr>
              <w:pStyle w:val="13"/>
              <w:rPr>
                <w:rFonts w:hAnsi="宋体"/>
                <w:sz w:val="21"/>
                <w:szCs w:val="21"/>
              </w:rPr>
            </w:pPr>
          </w:p>
        </w:tc>
        <w:tc>
          <w:tcPr>
            <w:tcW w:w="1122" w:type="dxa"/>
            <w:vAlign w:val="center"/>
          </w:tcPr>
          <w:p w14:paraId="532CE308">
            <w:pPr>
              <w:pStyle w:val="13"/>
              <w:rPr>
                <w:rFonts w:hAnsi="宋体"/>
                <w:sz w:val="21"/>
                <w:szCs w:val="21"/>
              </w:rPr>
            </w:pPr>
          </w:p>
        </w:tc>
        <w:tc>
          <w:tcPr>
            <w:tcW w:w="741" w:type="dxa"/>
            <w:gridSpan w:val="2"/>
            <w:vAlign w:val="center"/>
          </w:tcPr>
          <w:p w14:paraId="0E03175A">
            <w:pPr>
              <w:pStyle w:val="13"/>
              <w:rPr>
                <w:rFonts w:hAnsi="宋体"/>
                <w:sz w:val="21"/>
                <w:szCs w:val="21"/>
              </w:rPr>
            </w:pPr>
          </w:p>
        </w:tc>
      </w:tr>
      <w:tr w14:paraId="7C1FBE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6" w:hRule="atLeast"/>
          <w:jc w:val="center"/>
        </w:trPr>
        <w:tc>
          <w:tcPr>
            <w:tcW w:w="458" w:type="dxa"/>
            <w:vAlign w:val="center"/>
          </w:tcPr>
          <w:p w14:paraId="354AFC05">
            <w:pPr>
              <w:pStyle w:val="13"/>
              <w:jc w:val="center"/>
              <w:rPr>
                <w:rFonts w:hAnsi="宋体"/>
                <w:sz w:val="21"/>
                <w:szCs w:val="21"/>
              </w:rPr>
            </w:pPr>
          </w:p>
        </w:tc>
        <w:tc>
          <w:tcPr>
            <w:tcW w:w="2008" w:type="dxa"/>
            <w:vAlign w:val="center"/>
          </w:tcPr>
          <w:p w14:paraId="14D92E37">
            <w:pPr>
              <w:pStyle w:val="13"/>
              <w:rPr>
                <w:rFonts w:hAnsi="宋体"/>
                <w:sz w:val="21"/>
                <w:szCs w:val="21"/>
              </w:rPr>
            </w:pPr>
          </w:p>
        </w:tc>
        <w:tc>
          <w:tcPr>
            <w:tcW w:w="1564" w:type="dxa"/>
            <w:vAlign w:val="center"/>
          </w:tcPr>
          <w:p w14:paraId="12BE311C">
            <w:pPr>
              <w:pStyle w:val="13"/>
              <w:rPr>
                <w:rFonts w:hAnsi="宋体"/>
                <w:sz w:val="21"/>
                <w:szCs w:val="21"/>
              </w:rPr>
            </w:pPr>
          </w:p>
        </w:tc>
        <w:tc>
          <w:tcPr>
            <w:tcW w:w="746" w:type="dxa"/>
            <w:vAlign w:val="center"/>
          </w:tcPr>
          <w:p w14:paraId="7558FDD1">
            <w:pPr>
              <w:pStyle w:val="13"/>
              <w:rPr>
                <w:rFonts w:hAnsi="宋体"/>
                <w:sz w:val="21"/>
                <w:szCs w:val="21"/>
              </w:rPr>
            </w:pPr>
          </w:p>
        </w:tc>
        <w:tc>
          <w:tcPr>
            <w:tcW w:w="1940" w:type="dxa"/>
            <w:vAlign w:val="center"/>
          </w:tcPr>
          <w:p w14:paraId="7E5378D3">
            <w:pPr>
              <w:pStyle w:val="13"/>
              <w:rPr>
                <w:rFonts w:hAnsi="宋体"/>
                <w:sz w:val="21"/>
                <w:szCs w:val="21"/>
              </w:rPr>
            </w:pPr>
          </w:p>
        </w:tc>
        <w:tc>
          <w:tcPr>
            <w:tcW w:w="1127" w:type="dxa"/>
            <w:vAlign w:val="center"/>
          </w:tcPr>
          <w:p w14:paraId="02293771">
            <w:pPr>
              <w:pStyle w:val="13"/>
              <w:rPr>
                <w:rFonts w:hAnsi="宋体"/>
                <w:sz w:val="21"/>
                <w:szCs w:val="21"/>
              </w:rPr>
            </w:pPr>
          </w:p>
        </w:tc>
        <w:tc>
          <w:tcPr>
            <w:tcW w:w="1122" w:type="dxa"/>
            <w:vAlign w:val="center"/>
          </w:tcPr>
          <w:p w14:paraId="04D2335A">
            <w:pPr>
              <w:pStyle w:val="13"/>
              <w:rPr>
                <w:rFonts w:hAnsi="宋体"/>
                <w:sz w:val="21"/>
                <w:szCs w:val="21"/>
              </w:rPr>
            </w:pPr>
          </w:p>
        </w:tc>
        <w:tc>
          <w:tcPr>
            <w:tcW w:w="741" w:type="dxa"/>
            <w:gridSpan w:val="2"/>
            <w:vAlign w:val="center"/>
          </w:tcPr>
          <w:p w14:paraId="6ADD732C">
            <w:pPr>
              <w:pStyle w:val="13"/>
              <w:rPr>
                <w:rFonts w:hAnsi="宋体"/>
                <w:sz w:val="21"/>
                <w:szCs w:val="21"/>
              </w:rPr>
            </w:pPr>
          </w:p>
        </w:tc>
      </w:tr>
      <w:tr w14:paraId="40E1C2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6" w:hRule="atLeast"/>
          <w:jc w:val="center"/>
        </w:trPr>
        <w:tc>
          <w:tcPr>
            <w:tcW w:w="458" w:type="dxa"/>
            <w:vAlign w:val="center"/>
          </w:tcPr>
          <w:p w14:paraId="1BA2DE07">
            <w:pPr>
              <w:pStyle w:val="13"/>
              <w:jc w:val="center"/>
              <w:rPr>
                <w:rFonts w:hAnsi="宋体"/>
                <w:sz w:val="21"/>
                <w:szCs w:val="21"/>
              </w:rPr>
            </w:pPr>
          </w:p>
        </w:tc>
        <w:tc>
          <w:tcPr>
            <w:tcW w:w="2008" w:type="dxa"/>
            <w:vAlign w:val="center"/>
          </w:tcPr>
          <w:p w14:paraId="4D137E0D">
            <w:pPr>
              <w:pStyle w:val="13"/>
              <w:rPr>
                <w:rFonts w:hAnsi="宋体"/>
                <w:sz w:val="21"/>
                <w:szCs w:val="21"/>
              </w:rPr>
            </w:pPr>
          </w:p>
        </w:tc>
        <w:tc>
          <w:tcPr>
            <w:tcW w:w="1564" w:type="dxa"/>
            <w:vAlign w:val="center"/>
          </w:tcPr>
          <w:p w14:paraId="138043D1">
            <w:pPr>
              <w:pStyle w:val="13"/>
              <w:rPr>
                <w:rFonts w:hAnsi="宋体"/>
                <w:sz w:val="21"/>
                <w:szCs w:val="21"/>
              </w:rPr>
            </w:pPr>
          </w:p>
        </w:tc>
        <w:tc>
          <w:tcPr>
            <w:tcW w:w="746" w:type="dxa"/>
            <w:vAlign w:val="center"/>
          </w:tcPr>
          <w:p w14:paraId="47CF8F7E">
            <w:pPr>
              <w:pStyle w:val="13"/>
              <w:rPr>
                <w:rFonts w:hAnsi="宋体"/>
                <w:sz w:val="21"/>
                <w:szCs w:val="21"/>
              </w:rPr>
            </w:pPr>
          </w:p>
        </w:tc>
        <w:tc>
          <w:tcPr>
            <w:tcW w:w="1940" w:type="dxa"/>
            <w:vAlign w:val="center"/>
          </w:tcPr>
          <w:p w14:paraId="373F4698">
            <w:pPr>
              <w:pStyle w:val="13"/>
              <w:rPr>
                <w:rFonts w:hAnsi="宋体"/>
                <w:sz w:val="21"/>
                <w:szCs w:val="21"/>
              </w:rPr>
            </w:pPr>
          </w:p>
        </w:tc>
        <w:tc>
          <w:tcPr>
            <w:tcW w:w="1127" w:type="dxa"/>
            <w:vAlign w:val="center"/>
          </w:tcPr>
          <w:p w14:paraId="0F513EF3">
            <w:pPr>
              <w:pStyle w:val="13"/>
              <w:rPr>
                <w:rFonts w:hAnsi="宋体"/>
                <w:sz w:val="21"/>
                <w:szCs w:val="21"/>
              </w:rPr>
            </w:pPr>
          </w:p>
        </w:tc>
        <w:tc>
          <w:tcPr>
            <w:tcW w:w="1122" w:type="dxa"/>
            <w:vAlign w:val="center"/>
          </w:tcPr>
          <w:p w14:paraId="4095DF11">
            <w:pPr>
              <w:pStyle w:val="13"/>
              <w:rPr>
                <w:rFonts w:hAnsi="宋体"/>
                <w:sz w:val="21"/>
                <w:szCs w:val="21"/>
              </w:rPr>
            </w:pPr>
          </w:p>
        </w:tc>
        <w:tc>
          <w:tcPr>
            <w:tcW w:w="741" w:type="dxa"/>
            <w:gridSpan w:val="2"/>
            <w:vAlign w:val="center"/>
          </w:tcPr>
          <w:p w14:paraId="46772353">
            <w:pPr>
              <w:pStyle w:val="13"/>
              <w:rPr>
                <w:rFonts w:hAnsi="宋体"/>
                <w:sz w:val="21"/>
                <w:szCs w:val="21"/>
              </w:rPr>
            </w:pPr>
          </w:p>
        </w:tc>
      </w:tr>
      <w:tr w14:paraId="3AA8D6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6" w:hRule="atLeast"/>
          <w:jc w:val="center"/>
        </w:trPr>
        <w:tc>
          <w:tcPr>
            <w:tcW w:w="458" w:type="dxa"/>
            <w:vAlign w:val="center"/>
          </w:tcPr>
          <w:p w14:paraId="36BF60DB">
            <w:pPr>
              <w:pStyle w:val="13"/>
              <w:jc w:val="center"/>
              <w:rPr>
                <w:rFonts w:hAnsi="宋体"/>
                <w:sz w:val="21"/>
                <w:szCs w:val="21"/>
              </w:rPr>
            </w:pPr>
          </w:p>
        </w:tc>
        <w:tc>
          <w:tcPr>
            <w:tcW w:w="2008" w:type="dxa"/>
            <w:vAlign w:val="center"/>
          </w:tcPr>
          <w:p w14:paraId="05FDA12A">
            <w:pPr>
              <w:pStyle w:val="13"/>
              <w:rPr>
                <w:rFonts w:hAnsi="宋体"/>
                <w:sz w:val="21"/>
                <w:szCs w:val="21"/>
              </w:rPr>
            </w:pPr>
          </w:p>
        </w:tc>
        <w:tc>
          <w:tcPr>
            <w:tcW w:w="1564" w:type="dxa"/>
            <w:vAlign w:val="center"/>
          </w:tcPr>
          <w:p w14:paraId="13AEDB8D">
            <w:pPr>
              <w:pStyle w:val="13"/>
              <w:rPr>
                <w:rFonts w:hAnsi="宋体"/>
                <w:sz w:val="21"/>
                <w:szCs w:val="21"/>
              </w:rPr>
            </w:pPr>
          </w:p>
        </w:tc>
        <w:tc>
          <w:tcPr>
            <w:tcW w:w="746" w:type="dxa"/>
            <w:vAlign w:val="center"/>
          </w:tcPr>
          <w:p w14:paraId="0BFC61FF">
            <w:pPr>
              <w:pStyle w:val="13"/>
              <w:rPr>
                <w:rFonts w:hAnsi="宋体"/>
                <w:sz w:val="21"/>
                <w:szCs w:val="21"/>
              </w:rPr>
            </w:pPr>
          </w:p>
        </w:tc>
        <w:tc>
          <w:tcPr>
            <w:tcW w:w="1940" w:type="dxa"/>
            <w:vAlign w:val="center"/>
          </w:tcPr>
          <w:p w14:paraId="0161AF51">
            <w:pPr>
              <w:pStyle w:val="13"/>
              <w:rPr>
                <w:rFonts w:hAnsi="宋体"/>
                <w:sz w:val="21"/>
                <w:szCs w:val="21"/>
              </w:rPr>
            </w:pPr>
          </w:p>
        </w:tc>
        <w:tc>
          <w:tcPr>
            <w:tcW w:w="1127" w:type="dxa"/>
            <w:vAlign w:val="center"/>
          </w:tcPr>
          <w:p w14:paraId="4D412038">
            <w:pPr>
              <w:pStyle w:val="13"/>
              <w:rPr>
                <w:rFonts w:hAnsi="宋体"/>
                <w:sz w:val="21"/>
                <w:szCs w:val="21"/>
              </w:rPr>
            </w:pPr>
          </w:p>
        </w:tc>
        <w:tc>
          <w:tcPr>
            <w:tcW w:w="1122" w:type="dxa"/>
            <w:vAlign w:val="center"/>
          </w:tcPr>
          <w:p w14:paraId="42F582B0">
            <w:pPr>
              <w:pStyle w:val="13"/>
              <w:rPr>
                <w:rFonts w:hAnsi="宋体"/>
                <w:sz w:val="21"/>
                <w:szCs w:val="21"/>
              </w:rPr>
            </w:pPr>
          </w:p>
        </w:tc>
        <w:tc>
          <w:tcPr>
            <w:tcW w:w="741" w:type="dxa"/>
            <w:gridSpan w:val="2"/>
            <w:vAlign w:val="center"/>
          </w:tcPr>
          <w:p w14:paraId="351D98DE">
            <w:pPr>
              <w:pStyle w:val="13"/>
              <w:rPr>
                <w:rFonts w:hAnsi="宋体"/>
                <w:sz w:val="21"/>
                <w:szCs w:val="21"/>
              </w:rPr>
            </w:pPr>
          </w:p>
        </w:tc>
      </w:tr>
      <w:tr w14:paraId="4524CE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6" w:hRule="atLeast"/>
          <w:jc w:val="center"/>
        </w:trPr>
        <w:tc>
          <w:tcPr>
            <w:tcW w:w="458" w:type="dxa"/>
            <w:vAlign w:val="center"/>
          </w:tcPr>
          <w:p w14:paraId="48416F81">
            <w:pPr>
              <w:pStyle w:val="13"/>
              <w:jc w:val="center"/>
              <w:rPr>
                <w:rFonts w:hAnsi="宋体"/>
                <w:sz w:val="21"/>
                <w:szCs w:val="21"/>
              </w:rPr>
            </w:pPr>
          </w:p>
        </w:tc>
        <w:tc>
          <w:tcPr>
            <w:tcW w:w="2008" w:type="dxa"/>
            <w:vAlign w:val="center"/>
          </w:tcPr>
          <w:p w14:paraId="07B679E2">
            <w:pPr>
              <w:pStyle w:val="13"/>
              <w:rPr>
                <w:rFonts w:hAnsi="宋体"/>
                <w:sz w:val="21"/>
                <w:szCs w:val="21"/>
              </w:rPr>
            </w:pPr>
          </w:p>
        </w:tc>
        <w:tc>
          <w:tcPr>
            <w:tcW w:w="1564" w:type="dxa"/>
            <w:vAlign w:val="center"/>
          </w:tcPr>
          <w:p w14:paraId="3EB0174C">
            <w:pPr>
              <w:pStyle w:val="13"/>
              <w:rPr>
                <w:rFonts w:hAnsi="宋体"/>
                <w:sz w:val="21"/>
                <w:szCs w:val="21"/>
              </w:rPr>
            </w:pPr>
          </w:p>
        </w:tc>
        <w:tc>
          <w:tcPr>
            <w:tcW w:w="746" w:type="dxa"/>
            <w:vAlign w:val="center"/>
          </w:tcPr>
          <w:p w14:paraId="7C7A3DB9">
            <w:pPr>
              <w:pStyle w:val="13"/>
              <w:rPr>
                <w:rFonts w:hAnsi="宋体"/>
                <w:sz w:val="21"/>
                <w:szCs w:val="21"/>
              </w:rPr>
            </w:pPr>
          </w:p>
        </w:tc>
        <w:tc>
          <w:tcPr>
            <w:tcW w:w="1940" w:type="dxa"/>
            <w:vAlign w:val="center"/>
          </w:tcPr>
          <w:p w14:paraId="6EE672CA">
            <w:pPr>
              <w:pStyle w:val="13"/>
              <w:rPr>
                <w:rFonts w:hAnsi="宋体"/>
                <w:sz w:val="21"/>
                <w:szCs w:val="21"/>
              </w:rPr>
            </w:pPr>
          </w:p>
        </w:tc>
        <w:tc>
          <w:tcPr>
            <w:tcW w:w="1127" w:type="dxa"/>
            <w:vAlign w:val="center"/>
          </w:tcPr>
          <w:p w14:paraId="412ADE89">
            <w:pPr>
              <w:pStyle w:val="13"/>
              <w:rPr>
                <w:rFonts w:hAnsi="宋体"/>
                <w:sz w:val="21"/>
                <w:szCs w:val="21"/>
              </w:rPr>
            </w:pPr>
          </w:p>
        </w:tc>
        <w:tc>
          <w:tcPr>
            <w:tcW w:w="1122" w:type="dxa"/>
            <w:vAlign w:val="center"/>
          </w:tcPr>
          <w:p w14:paraId="6705D11D">
            <w:pPr>
              <w:pStyle w:val="13"/>
              <w:rPr>
                <w:rFonts w:hAnsi="宋体"/>
                <w:sz w:val="21"/>
                <w:szCs w:val="21"/>
              </w:rPr>
            </w:pPr>
          </w:p>
        </w:tc>
        <w:tc>
          <w:tcPr>
            <w:tcW w:w="741" w:type="dxa"/>
            <w:gridSpan w:val="2"/>
            <w:vAlign w:val="center"/>
          </w:tcPr>
          <w:p w14:paraId="02C4A78D">
            <w:pPr>
              <w:pStyle w:val="13"/>
              <w:rPr>
                <w:rFonts w:hAnsi="宋体"/>
                <w:sz w:val="21"/>
                <w:szCs w:val="21"/>
              </w:rPr>
            </w:pPr>
          </w:p>
        </w:tc>
      </w:tr>
      <w:tr w14:paraId="073901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6" w:hRule="atLeast"/>
          <w:jc w:val="center"/>
        </w:trPr>
        <w:tc>
          <w:tcPr>
            <w:tcW w:w="458" w:type="dxa"/>
            <w:vAlign w:val="center"/>
          </w:tcPr>
          <w:p w14:paraId="1DA9FC88">
            <w:pPr>
              <w:pStyle w:val="13"/>
              <w:jc w:val="center"/>
              <w:rPr>
                <w:rFonts w:hAnsi="宋体"/>
                <w:sz w:val="21"/>
                <w:szCs w:val="21"/>
              </w:rPr>
            </w:pPr>
          </w:p>
        </w:tc>
        <w:tc>
          <w:tcPr>
            <w:tcW w:w="2008" w:type="dxa"/>
            <w:vAlign w:val="center"/>
          </w:tcPr>
          <w:p w14:paraId="44AEC3AE">
            <w:pPr>
              <w:pStyle w:val="13"/>
              <w:rPr>
                <w:rFonts w:hAnsi="宋体"/>
                <w:sz w:val="21"/>
                <w:szCs w:val="21"/>
              </w:rPr>
            </w:pPr>
          </w:p>
        </w:tc>
        <w:tc>
          <w:tcPr>
            <w:tcW w:w="1564" w:type="dxa"/>
            <w:vAlign w:val="center"/>
          </w:tcPr>
          <w:p w14:paraId="2CE045C6">
            <w:pPr>
              <w:pStyle w:val="13"/>
              <w:rPr>
                <w:rFonts w:hAnsi="宋体"/>
                <w:sz w:val="21"/>
                <w:szCs w:val="21"/>
              </w:rPr>
            </w:pPr>
          </w:p>
        </w:tc>
        <w:tc>
          <w:tcPr>
            <w:tcW w:w="746" w:type="dxa"/>
            <w:vAlign w:val="center"/>
          </w:tcPr>
          <w:p w14:paraId="07D56415">
            <w:pPr>
              <w:pStyle w:val="13"/>
              <w:rPr>
                <w:rFonts w:hAnsi="宋体"/>
                <w:sz w:val="21"/>
                <w:szCs w:val="21"/>
              </w:rPr>
            </w:pPr>
          </w:p>
        </w:tc>
        <w:tc>
          <w:tcPr>
            <w:tcW w:w="1940" w:type="dxa"/>
            <w:vAlign w:val="center"/>
          </w:tcPr>
          <w:p w14:paraId="3B788AB9">
            <w:pPr>
              <w:pStyle w:val="13"/>
              <w:rPr>
                <w:rFonts w:hAnsi="宋体"/>
                <w:sz w:val="21"/>
                <w:szCs w:val="21"/>
              </w:rPr>
            </w:pPr>
          </w:p>
        </w:tc>
        <w:tc>
          <w:tcPr>
            <w:tcW w:w="1127" w:type="dxa"/>
            <w:vAlign w:val="center"/>
          </w:tcPr>
          <w:p w14:paraId="00CA2922">
            <w:pPr>
              <w:pStyle w:val="13"/>
              <w:rPr>
                <w:rFonts w:hAnsi="宋体"/>
                <w:sz w:val="21"/>
                <w:szCs w:val="21"/>
              </w:rPr>
            </w:pPr>
          </w:p>
        </w:tc>
        <w:tc>
          <w:tcPr>
            <w:tcW w:w="1122" w:type="dxa"/>
            <w:vAlign w:val="center"/>
          </w:tcPr>
          <w:p w14:paraId="1D3A9AB1">
            <w:pPr>
              <w:pStyle w:val="13"/>
              <w:rPr>
                <w:rFonts w:hAnsi="宋体"/>
                <w:sz w:val="21"/>
                <w:szCs w:val="21"/>
              </w:rPr>
            </w:pPr>
          </w:p>
        </w:tc>
        <w:tc>
          <w:tcPr>
            <w:tcW w:w="741" w:type="dxa"/>
            <w:gridSpan w:val="2"/>
            <w:vAlign w:val="center"/>
          </w:tcPr>
          <w:p w14:paraId="25B6EAD6">
            <w:pPr>
              <w:pStyle w:val="13"/>
              <w:rPr>
                <w:rFonts w:hAnsi="宋体"/>
                <w:sz w:val="21"/>
                <w:szCs w:val="21"/>
              </w:rPr>
            </w:pPr>
          </w:p>
        </w:tc>
      </w:tr>
      <w:tr w14:paraId="12F32D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6" w:type="dxa"/>
          <w:cantSplit/>
          <w:trHeight w:val="516" w:hRule="atLeast"/>
          <w:jc w:val="center"/>
        </w:trPr>
        <w:tc>
          <w:tcPr>
            <w:tcW w:w="7843" w:type="dxa"/>
            <w:gridSpan w:val="6"/>
            <w:vAlign w:val="center"/>
          </w:tcPr>
          <w:p w14:paraId="4C164893">
            <w:pPr>
              <w:pStyle w:val="13"/>
              <w:jc w:val="center"/>
              <w:rPr>
                <w:rFonts w:hAnsi="宋体"/>
                <w:sz w:val="21"/>
                <w:szCs w:val="21"/>
              </w:rPr>
            </w:pPr>
            <w:r>
              <w:rPr>
                <w:rFonts w:hint="eastAsia" w:hAnsi="宋体"/>
                <w:sz w:val="21"/>
                <w:szCs w:val="21"/>
              </w:rPr>
              <w:t>合   计（总价）</w:t>
            </w:r>
          </w:p>
        </w:tc>
        <w:tc>
          <w:tcPr>
            <w:tcW w:w="1847" w:type="dxa"/>
            <w:gridSpan w:val="2"/>
            <w:vAlign w:val="center"/>
          </w:tcPr>
          <w:p w14:paraId="5394E28F">
            <w:pPr>
              <w:pStyle w:val="13"/>
              <w:jc w:val="center"/>
              <w:rPr>
                <w:rFonts w:hAnsi="宋体"/>
                <w:sz w:val="21"/>
                <w:szCs w:val="21"/>
              </w:rPr>
            </w:pPr>
          </w:p>
        </w:tc>
      </w:tr>
    </w:tbl>
    <w:p w14:paraId="06E70DC9">
      <w:pPr>
        <w:spacing w:line="360" w:lineRule="auto"/>
        <w:rPr>
          <w:szCs w:val="21"/>
        </w:rPr>
      </w:pPr>
      <w:r>
        <w:rPr>
          <w:rFonts w:hint="eastAsia"/>
          <w:szCs w:val="21"/>
        </w:rPr>
        <w:t>供应商</w:t>
      </w:r>
      <w:r>
        <w:rPr>
          <w:szCs w:val="21"/>
        </w:rPr>
        <w:t>：（盖单位</w:t>
      </w:r>
      <w:r>
        <w:rPr>
          <w:rFonts w:hint="eastAsia"/>
          <w:szCs w:val="21"/>
        </w:rPr>
        <w:t>公</w:t>
      </w:r>
      <w:r>
        <w:rPr>
          <w:szCs w:val="21"/>
        </w:rPr>
        <w:t>章）</w:t>
      </w:r>
    </w:p>
    <w:p w14:paraId="7567640B">
      <w:pPr>
        <w:spacing w:line="360" w:lineRule="auto"/>
        <w:ind w:firstLine="2" w:firstLineChars="1"/>
        <w:rPr>
          <w:szCs w:val="21"/>
        </w:rPr>
      </w:pPr>
      <w:r>
        <w:rPr>
          <w:rFonts w:hint="eastAsia"/>
          <w:szCs w:val="21"/>
        </w:rPr>
        <w:t>法定代表人或其委托代理人</w:t>
      </w:r>
      <w:r>
        <w:rPr>
          <w:szCs w:val="21"/>
        </w:rPr>
        <w:t>：（</w:t>
      </w:r>
      <w:r>
        <w:rPr>
          <w:rFonts w:hint="eastAsia" w:ascii="宋体"/>
          <w:szCs w:val="21"/>
        </w:rPr>
        <w:t>签名或盖章</w:t>
      </w:r>
      <w:r>
        <w:rPr>
          <w:szCs w:val="21"/>
        </w:rPr>
        <w:t>）</w:t>
      </w:r>
    </w:p>
    <w:p w14:paraId="75667B7F">
      <w:pPr>
        <w:spacing w:line="360" w:lineRule="auto"/>
        <w:ind w:firstLine="630" w:firstLineChars="300"/>
        <w:rPr>
          <w:szCs w:val="21"/>
        </w:rPr>
      </w:pPr>
      <w:r>
        <w:rPr>
          <w:rFonts w:hint="eastAsia" w:ascii="宋体"/>
          <w:szCs w:val="21"/>
          <w:u w:val="single"/>
        </w:rPr>
        <w:t>　　　　　　</w:t>
      </w:r>
      <w:r>
        <w:rPr>
          <w:szCs w:val="21"/>
        </w:rPr>
        <w:t>年</w:t>
      </w:r>
      <w:r>
        <w:rPr>
          <w:rFonts w:hint="eastAsia" w:ascii="宋体"/>
          <w:szCs w:val="21"/>
          <w:u w:val="single"/>
        </w:rPr>
        <w:t>　　　　　　</w:t>
      </w:r>
      <w:r>
        <w:rPr>
          <w:szCs w:val="21"/>
        </w:rPr>
        <w:t>月</w:t>
      </w:r>
      <w:r>
        <w:rPr>
          <w:rFonts w:hint="eastAsia" w:ascii="宋体"/>
          <w:szCs w:val="21"/>
          <w:u w:val="single"/>
        </w:rPr>
        <w:t>　　　　　　</w:t>
      </w:r>
      <w:r>
        <w:rPr>
          <w:szCs w:val="21"/>
        </w:rPr>
        <w:t>日</w:t>
      </w:r>
    </w:p>
    <w:p w14:paraId="17BD50FB">
      <w:pPr>
        <w:spacing w:line="360" w:lineRule="auto"/>
        <w:rPr>
          <w:rFonts w:ascii="宋体" w:hAnsi="宋体" w:cs="宋体"/>
          <w:szCs w:val="21"/>
        </w:rPr>
      </w:pPr>
    </w:p>
    <w:p w14:paraId="1C173F7A">
      <w:pPr>
        <w:spacing w:line="360" w:lineRule="auto"/>
        <w:ind w:firstLine="413" w:firstLineChars="197"/>
        <w:rPr>
          <w:rFonts w:ascii="宋体" w:hAnsi="宋体"/>
          <w:b/>
          <w:szCs w:val="21"/>
        </w:rPr>
      </w:pPr>
      <w:r>
        <w:rPr>
          <w:rFonts w:hint="eastAsia" w:ascii="宋体" w:hAnsi="宋体"/>
          <w:b/>
          <w:szCs w:val="21"/>
        </w:rPr>
        <w:t>★1.未填写本表格的供应商将不能通过符合性审查。</w:t>
      </w:r>
    </w:p>
    <w:p w14:paraId="26F4DB18">
      <w:pPr>
        <w:spacing w:line="360" w:lineRule="auto"/>
        <w:ind w:firstLine="413" w:firstLineChars="197"/>
        <w:rPr>
          <w:rFonts w:ascii="宋体" w:hAnsi="宋体"/>
          <w:b/>
          <w:szCs w:val="21"/>
        </w:rPr>
      </w:pPr>
      <w:r>
        <w:rPr>
          <w:rFonts w:hint="eastAsia" w:ascii="宋体" w:hAnsi="宋体"/>
          <w:b/>
          <w:szCs w:val="21"/>
        </w:rPr>
        <w:t>2.若产品为节能产品或环境标志产品（认定标准详见第二章27.1），请在“备注”栏中标明，并在响应文件中提供节能产品认证证书或环境标志产品认证证书复印件；否则，不予认可。</w:t>
      </w:r>
    </w:p>
    <w:p w14:paraId="0AEEC9F5">
      <w:pPr>
        <w:spacing w:line="360" w:lineRule="auto"/>
        <w:ind w:firstLine="420" w:firstLineChars="200"/>
        <w:rPr>
          <w:rFonts w:ascii="宋体" w:hAnsi="宋体"/>
          <w:b/>
          <w:szCs w:val="21"/>
        </w:rPr>
      </w:pPr>
      <w:r>
        <w:rPr>
          <w:rFonts w:hint="eastAsia" w:ascii="宋体" w:hAnsi="宋体"/>
          <w:b/>
          <w:szCs w:val="21"/>
        </w:rPr>
        <w:t>3</w:t>
      </w:r>
      <w:r>
        <w:rPr>
          <w:rFonts w:ascii="宋体" w:hAnsi="宋体"/>
          <w:b/>
          <w:szCs w:val="21"/>
        </w:rPr>
        <w:t>.</w:t>
      </w:r>
      <w:r>
        <w:rPr>
          <w:rFonts w:hint="eastAsia" w:ascii="宋体" w:hAnsi="宋体"/>
          <w:b/>
          <w:szCs w:val="21"/>
        </w:rPr>
        <w:t>若货物为小微型企业（残疾人福利性单位、监狱企业）产品、服务，须按文件格式要求提供中小企业声明函（残疾人福利性单位声明函、监狱企业证明文件）；否则，不予进行价格扣除。</w:t>
      </w:r>
    </w:p>
    <w:p w14:paraId="01ED3851">
      <w:pPr>
        <w:spacing w:line="360" w:lineRule="auto"/>
        <w:ind w:firstLine="420" w:firstLineChars="200"/>
        <w:rPr>
          <w:rFonts w:ascii="宋体" w:hAnsi="宋体"/>
          <w:b/>
          <w:szCs w:val="21"/>
        </w:rPr>
      </w:pPr>
      <w:r>
        <w:rPr>
          <w:rFonts w:hint="eastAsia" w:ascii="宋体" w:hAnsi="宋体"/>
          <w:b/>
          <w:szCs w:val="21"/>
        </w:rPr>
        <w:t>4.报价指完成各项服务、验收合格所需的各种费用及必要的保险费用和各项税金等所有费用的总和。包括但不限于：货物成本费（含货物以及附件、配件、备品备件、安装辅材等）、包装费、运保费、装卸费、安装费、调试费、系统集成服务、检测费、保险费、保修、售后服务、税金、利润、政策性规费等必要费用及安装附件以及为完成本项目发生的一切费用。</w:t>
      </w:r>
    </w:p>
    <w:p w14:paraId="7457E212">
      <w:pPr>
        <w:spacing w:line="360" w:lineRule="auto"/>
        <w:ind w:firstLine="420" w:firstLineChars="200"/>
        <w:rPr>
          <w:rFonts w:ascii="宋体" w:hAnsi="宋体"/>
          <w:szCs w:val="21"/>
        </w:rPr>
      </w:pPr>
      <w:r>
        <w:rPr>
          <w:rFonts w:hint="eastAsia" w:ascii="宋体" w:hAnsi="宋体"/>
          <w:szCs w:val="21"/>
        </w:rPr>
        <w:t>5</w:t>
      </w:r>
      <w:r>
        <w:rPr>
          <w:rFonts w:ascii="宋体" w:hAnsi="宋体"/>
          <w:szCs w:val="21"/>
        </w:rPr>
        <w:t>.表格长度可根据需要自行调整，表中所列内容为必须填写项目，</w:t>
      </w:r>
      <w:r>
        <w:rPr>
          <w:rFonts w:hint="eastAsia" w:ascii="宋体" w:hAnsi="宋体"/>
          <w:szCs w:val="21"/>
        </w:rPr>
        <w:t>供应商</w:t>
      </w:r>
      <w:r>
        <w:rPr>
          <w:rFonts w:ascii="宋体" w:hAnsi="宋体"/>
          <w:szCs w:val="21"/>
        </w:rPr>
        <w:t>可根据自身情况增加内容。</w:t>
      </w:r>
    </w:p>
    <w:p w14:paraId="4A88F351">
      <w:pPr>
        <w:spacing w:line="360" w:lineRule="auto"/>
        <w:ind w:firstLine="420" w:firstLineChars="200"/>
        <w:rPr>
          <w:szCs w:val="21"/>
        </w:rPr>
      </w:pPr>
      <w:r>
        <w:rPr>
          <w:rFonts w:hint="eastAsia" w:ascii="宋体" w:hAnsi="宋体"/>
          <w:szCs w:val="21"/>
        </w:rPr>
        <w:t>6.供应商</w:t>
      </w:r>
      <w:r>
        <w:rPr>
          <w:rFonts w:ascii="宋体" w:hAnsi="宋体"/>
          <w:szCs w:val="21"/>
        </w:rPr>
        <w:t>所报</w:t>
      </w:r>
      <w:r>
        <w:rPr>
          <w:rFonts w:hint="eastAsia" w:ascii="宋体" w:hAnsi="宋体"/>
          <w:szCs w:val="21"/>
        </w:rPr>
        <w:t>单价</w:t>
      </w:r>
      <w:r>
        <w:rPr>
          <w:rFonts w:ascii="宋体" w:hAnsi="宋体"/>
          <w:szCs w:val="21"/>
        </w:rPr>
        <w:t>不能超过第五章所规定的</w:t>
      </w:r>
      <w:r>
        <w:rPr>
          <w:rFonts w:hint="eastAsia" w:ascii="宋体" w:hAnsi="宋体"/>
          <w:szCs w:val="21"/>
        </w:rPr>
        <w:t>预算</w:t>
      </w:r>
      <w:r>
        <w:rPr>
          <w:rFonts w:ascii="宋体" w:hAnsi="宋体"/>
          <w:szCs w:val="21"/>
        </w:rPr>
        <w:t>单价</w:t>
      </w:r>
      <w:r>
        <w:rPr>
          <w:rFonts w:hint="eastAsia" w:ascii="宋体" w:hAnsi="宋体"/>
          <w:szCs w:val="21"/>
        </w:rPr>
        <w:t>。</w:t>
      </w:r>
    </w:p>
    <w:p w14:paraId="2F076347">
      <w:pPr>
        <w:spacing w:line="360" w:lineRule="auto"/>
        <w:ind w:firstLine="420"/>
        <w:rPr>
          <w:rFonts w:ascii="宋体" w:hAnsi="宋体"/>
          <w:b/>
          <w:bCs/>
          <w:szCs w:val="21"/>
        </w:rPr>
        <w:sectPr>
          <w:headerReference r:id="rId8" w:type="default"/>
          <w:footerReference r:id="rId9" w:type="default"/>
          <w:pgSz w:w="11906" w:h="16838"/>
          <w:pgMar w:top="1418" w:right="1134" w:bottom="1134" w:left="1153" w:header="935" w:footer="720" w:gutter="0"/>
          <w:cols w:space="720" w:num="1"/>
          <w:docGrid w:type="linesAndChars" w:linePitch="331" w:charSpace="0"/>
        </w:sectPr>
      </w:pPr>
    </w:p>
    <w:p w14:paraId="7977D962">
      <w:pPr>
        <w:spacing w:line="360" w:lineRule="auto"/>
        <w:jc w:val="left"/>
        <w:rPr>
          <w:rFonts w:ascii="宋体" w:hAnsi="宋体" w:cs="宋体"/>
          <w:b/>
          <w:kern w:val="0"/>
          <w:sz w:val="28"/>
          <w:szCs w:val="28"/>
        </w:rPr>
      </w:pPr>
      <w:r>
        <w:rPr>
          <w:rFonts w:hint="eastAsia" w:ascii="宋体" w:hAnsi="宋体" w:cs="宋体"/>
          <w:b/>
          <w:kern w:val="0"/>
          <w:sz w:val="28"/>
          <w:szCs w:val="28"/>
        </w:rPr>
        <w:t>格</w:t>
      </w:r>
      <w:bookmarkStart w:id="275" w:name="_Toc32653"/>
      <w:bookmarkStart w:id="276" w:name="_Toc10549"/>
      <w:r>
        <w:rPr>
          <w:rFonts w:hint="eastAsia" w:ascii="宋体" w:hAnsi="宋体" w:cs="宋体"/>
          <w:b/>
          <w:kern w:val="0"/>
          <w:sz w:val="28"/>
          <w:szCs w:val="28"/>
        </w:rPr>
        <w:t>式2-3 商务条款偏离表</w:t>
      </w:r>
      <w:bookmarkEnd w:id="272"/>
    </w:p>
    <w:bookmarkEnd w:id="275"/>
    <w:bookmarkEnd w:id="276"/>
    <w:p w14:paraId="0CAA1585">
      <w:pPr>
        <w:spacing w:line="360" w:lineRule="auto"/>
        <w:ind w:firstLine="420" w:firstLineChars="200"/>
        <w:rPr>
          <w:rFonts w:ascii="宋体" w:hAnsi="宋体"/>
        </w:rPr>
      </w:pPr>
      <w:r>
        <w:rPr>
          <w:rFonts w:ascii="宋体" w:hAnsi="宋体"/>
        </w:rPr>
        <w:t>参加谈判的供应商应逐条对应谈判文件第五章“货物需求一览表”和第三章“</w:t>
      </w:r>
      <w:r>
        <w:rPr>
          <w:rFonts w:ascii="宋体" w:hAnsi="宋体"/>
          <w:bCs/>
        </w:rPr>
        <w:t>合同书样式及主要条款</w:t>
      </w:r>
      <w:r>
        <w:rPr>
          <w:rFonts w:ascii="宋体" w:hAnsi="宋体"/>
        </w:rPr>
        <w:t>”中要求的商务条件，包括交货期、付款方式、交货地、履约保证金等内容，并根据实际情况如实填写本表格。</w:t>
      </w:r>
    </w:p>
    <w:p w14:paraId="34AC390F">
      <w:pPr>
        <w:spacing w:line="360" w:lineRule="auto"/>
        <w:ind w:firstLine="420" w:firstLineChars="200"/>
        <w:rPr>
          <w:rFonts w:ascii="宋体" w:hAnsi="宋体"/>
          <w:b/>
        </w:rPr>
      </w:pPr>
      <w:r>
        <w:rPr>
          <w:rFonts w:hint="eastAsia" w:ascii="宋体" w:hAnsi="宋体"/>
          <w:b/>
          <w:szCs w:val="21"/>
        </w:rPr>
        <w:t>★</w:t>
      </w:r>
      <w:r>
        <w:rPr>
          <w:rFonts w:ascii="宋体" w:hAnsi="宋体"/>
          <w:b/>
        </w:rPr>
        <w:t>未填写本表格的供应商将不能通过</w:t>
      </w:r>
      <w:r>
        <w:rPr>
          <w:rFonts w:hint="eastAsia" w:ascii="宋体" w:hAnsi="宋体"/>
          <w:b/>
        </w:rPr>
        <w:t>符合性审查</w:t>
      </w:r>
      <w:r>
        <w:rPr>
          <w:rFonts w:ascii="宋体" w:hAnsi="宋体"/>
          <w:b/>
        </w:rPr>
        <w:t>。</w:t>
      </w:r>
    </w:p>
    <w:p w14:paraId="0DD13B83">
      <w:pPr>
        <w:spacing w:line="360" w:lineRule="auto"/>
        <w:rPr>
          <w:rFonts w:ascii="宋体" w:hAnsi="宋体"/>
          <w:u w:val="single"/>
        </w:rPr>
      </w:pPr>
      <w:r>
        <w:rPr>
          <w:rFonts w:ascii="宋体" w:hAnsi="宋体"/>
        </w:rPr>
        <w:t>项目名称：项目编号：</w:t>
      </w:r>
    </w:p>
    <w:p w14:paraId="2A5F05EF">
      <w:pPr>
        <w:spacing w:line="360" w:lineRule="auto"/>
        <w:rPr>
          <w:rFonts w:ascii="宋体" w:hAnsi="宋体"/>
        </w:rPr>
      </w:pPr>
      <w:r>
        <w:rPr>
          <w:rFonts w:ascii="宋体" w:hAnsi="宋体"/>
        </w:rPr>
        <w:t>A、□我公司已详细阅读谈判文件中项商务要求，所有商务要求均无偏离，成交后我公司将严格遵照执行。</w:t>
      </w:r>
    </w:p>
    <w:p w14:paraId="11F0BC34">
      <w:pPr>
        <w:spacing w:line="360" w:lineRule="auto"/>
        <w:rPr>
          <w:rFonts w:ascii="宋体" w:hAnsi="宋体"/>
        </w:rPr>
      </w:pPr>
      <w:r>
        <w:rPr>
          <w:rFonts w:ascii="宋体" w:hAnsi="宋体"/>
        </w:rPr>
        <w:t>B、□我公司已详细阅读谈判文件中项商务要求，除下述条款有偏离外，其余条款我公司均予以认可，成交后将严格遵照执行。</w:t>
      </w:r>
    </w:p>
    <w:tbl>
      <w:tblPr>
        <w:tblStyle w:val="24"/>
        <w:tblW w:w="137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3"/>
        <w:gridCol w:w="6580"/>
        <w:gridCol w:w="6282"/>
      </w:tblGrid>
      <w:tr w14:paraId="209BF3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53" w:type="dxa"/>
            <w:vAlign w:val="center"/>
          </w:tcPr>
          <w:p w14:paraId="07A02101">
            <w:pPr>
              <w:jc w:val="center"/>
              <w:rPr>
                <w:rFonts w:ascii="宋体" w:hAnsi="宋体"/>
              </w:rPr>
            </w:pPr>
            <w:r>
              <w:rPr>
                <w:rFonts w:ascii="宋体" w:hAnsi="宋体"/>
              </w:rPr>
              <w:t>序号</w:t>
            </w:r>
          </w:p>
        </w:tc>
        <w:tc>
          <w:tcPr>
            <w:tcW w:w="6580" w:type="dxa"/>
            <w:vAlign w:val="center"/>
          </w:tcPr>
          <w:p w14:paraId="0D574DE3">
            <w:pPr>
              <w:jc w:val="center"/>
              <w:rPr>
                <w:rFonts w:ascii="宋体" w:hAnsi="宋体"/>
              </w:rPr>
            </w:pPr>
            <w:r>
              <w:rPr>
                <w:rFonts w:ascii="宋体" w:hAnsi="宋体"/>
              </w:rPr>
              <w:t>谈判文件的商务条款要求</w:t>
            </w:r>
          </w:p>
        </w:tc>
        <w:tc>
          <w:tcPr>
            <w:tcW w:w="6282" w:type="dxa"/>
            <w:vAlign w:val="center"/>
          </w:tcPr>
          <w:p w14:paraId="0924A233">
            <w:pPr>
              <w:jc w:val="center"/>
              <w:rPr>
                <w:rFonts w:ascii="宋体" w:hAnsi="宋体"/>
              </w:rPr>
            </w:pPr>
            <w:r>
              <w:rPr>
                <w:rFonts w:ascii="宋体" w:hAnsi="宋体"/>
              </w:rPr>
              <w:t>响应文件的商务条款</w:t>
            </w:r>
          </w:p>
        </w:tc>
      </w:tr>
      <w:tr w14:paraId="0BEBA0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53" w:type="dxa"/>
            <w:vAlign w:val="center"/>
          </w:tcPr>
          <w:p w14:paraId="2EA8D00E">
            <w:pPr>
              <w:jc w:val="center"/>
              <w:rPr>
                <w:rFonts w:ascii="宋体" w:hAnsi="宋体"/>
              </w:rPr>
            </w:pPr>
          </w:p>
        </w:tc>
        <w:tc>
          <w:tcPr>
            <w:tcW w:w="6580" w:type="dxa"/>
            <w:vAlign w:val="center"/>
          </w:tcPr>
          <w:p w14:paraId="3D674A9D">
            <w:pPr>
              <w:jc w:val="center"/>
              <w:rPr>
                <w:rFonts w:ascii="宋体" w:hAnsi="宋体"/>
              </w:rPr>
            </w:pPr>
          </w:p>
        </w:tc>
        <w:tc>
          <w:tcPr>
            <w:tcW w:w="6282" w:type="dxa"/>
            <w:vAlign w:val="center"/>
          </w:tcPr>
          <w:p w14:paraId="13F7BFF8">
            <w:pPr>
              <w:jc w:val="center"/>
              <w:rPr>
                <w:rFonts w:ascii="宋体" w:hAnsi="宋体"/>
              </w:rPr>
            </w:pPr>
          </w:p>
        </w:tc>
      </w:tr>
      <w:tr w14:paraId="571776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53" w:type="dxa"/>
            <w:vAlign w:val="center"/>
          </w:tcPr>
          <w:p w14:paraId="6362F067">
            <w:pPr>
              <w:jc w:val="center"/>
              <w:rPr>
                <w:rFonts w:ascii="宋体" w:hAnsi="宋体"/>
              </w:rPr>
            </w:pPr>
          </w:p>
        </w:tc>
        <w:tc>
          <w:tcPr>
            <w:tcW w:w="6580" w:type="dxa"/>
            <w:vAlign w:val="center"/>
          </w:tcPr>
          <w:p w14:paraId="4C58090D">
            <w:pPr>
              <w:jc w:val="center"/>
              <w:rPr>
                <w:rFonts w:ascii="宋体" w:hAnsi="宋体"/>
              </w:rPr>
            </w:pPr>
          </w:p>
        </w:tc>
        <w:tc>
          <w:tcPr>
            <w:tcW w:w="6282" w:type="dxa"/>
            <w:vAlign w:val="center"/>
          </w:tcPr>
          <w:p w14:paraId="7A4E5B8F">
            <w:pPr>
              <w:jc w:val="center"/>
              <w:rPr>
                <w:rFonts w:ascii="宋体" w:hAnsi="宋体"/>
              </w:rPr>
            </w:pPr>
          </w:p>
        </w:tc>
      </w:tr>
      <w:tr w14:paraId="2A2161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53" w:type="dxa"/>
            <w:vAlign w:val="center"/>
          </w:tcPr>
          <w:p w14:paraId="4202846E">
            <w:pPr>
              <w:jc w:val="center"/>
              <w:rPr>
                <w:rFonts w:ascii="宋体" w:hAnsi="宋体"/>
              </w:rPr>
            </w:pPr>
          </w:p>
        </w:tc>
        <w:tc>
          <w:tcPr>
            <w:tcW w:w="6580" w:type="dxa"/>
            <w:vAlign w:val="center"/>
          </w:tcPr>
          <w:p w14:paraId="30AE0F43">
            <w:pPr>
              <w:jc w:val="center"/>
              <w:rPr>
                <w:rFonts w:ascii="宋体" w:hAnsi="宋体"/>
              </w:rPr>
            </w:pPr>
          </w:p>
        </w:tc>
        <w:tc>
          <w:tcPr>
            <w:tcW w:w="6282" w:type="dxa"/>
            <w:vAlign w:val="center"/>
          </w:tcPr>
          <w:p w14:paraId="62451F63">
            <w:pPr>
              <w:jc w:val="center"/>
              <w:rPr>
                <w:rFonts w:ascii="宋体" w:hAnsi="宋体"/>
              </w:rPr>
            </w:pPr>
          </w:p>
        </w:tc>
      </w:tr>
      <w:tr w14:paraId="690C46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53" w:type="dxa"/>
            <w:vAlign w:val="center"/>
          </w:tcPr>
          <w:p w14:paraId="7D51ABC4">
            <w:pPr>
              <w:jc w:val="center"/>
              <w:rPr>
                <w:rFonts w:ascii="宋体" w:hAnsi="宋体"/>
              </w:rPr>
            </w:pPr>
          </w:p>
        </w:tc>
        <w:tc>
          <w:tcPr>
            <w:tcW w:w="6580" w:type="dxa"/>
            <w:vAlign w:val="center"/>
          </w:tcPr>
          <w:p w14:paraId="7F661B24">
            <w:pPr>
              <w:jc w:val="center"/>
              <w:rPr>
                <w:rFonts w:ascii="宋体" w:hAnsi="宋体"/>
              </w:rPr>
            </w:pPr>
          </w:p>
        </w:tc>
        <w:tc>
          <w:tcPr>
            <w:tcW w:w="6282" w:type="dxa"/>
            <w:vAlign w:val="center"/>
          </w:tcPr>
          <w:p w14:paraId="50AA20CE">
            <w:pPr>
              <w:jc w:val="center"/>
              <w:rPr>
                <w:rFonts w:ascii="宋体" w:hAnsi="宋体"/>
              </w:rPr>
            </w:pPr>
          </w:p>
        </w:tc>
      </w:tr>
    </w:tbl>
    <w:p w14:paraId="0FC2950F">
      <w:pPr>
        <w:spacing w:line="360" w:lineRule="auto"/>
        <w:ind w:firstLine="2" w:firstLineChars="1"/>
        <w:rPr>
          <w:rFonts w:ascii="宋体" w:hAnsi="宋体"/>
          <w:szCs w:val="21"/>
        </w:rPr>
      </w:pPr>
      <w:r>
        <w:rPr>
          <w:rFonts w:ascii="宋体" w:hAnsi="宋体"/>
          <w:szCs w:val="21"/>
        </w:rPr>
        <w:t>供应商：（盖单位</w:t>
      </w:r>
      <w:r>
        <w:rPr>
          <w:rFonts w:hint="eastAsia" w:ascii="宋体" w:hAnsi="宋体"/>
          <w:szCs w:val="21"/>
        </w:rPr>
        <w:t>公章</w:t>
      </w:r>
      <w:r>
        <w:rPr>
          <w:rFonts w:ascii="宋体" w:hAnsi="宋体"/>
          <w:szCs w:val="21"/>
        </w:rPr>
        <w:t>）</w:t>
      </w:r>
    </w:p>
    <w:p w14:paraId="6EF97D45">
      <w:pPr>
        <w:spacing w:line="360" w:lineRule="auto"/>
        <w:ind w:firstLine="2" w:firstLineChars="1"/>
        <w:rPr>
          <w:rFonts w:ascii="宋体" w:hAnsi="宋体"/>
          <w:szCs w:val="21"/>
        </w:rPr>
      </w:pPr>
      <w:r>
        <w:rPr>
          <w:rFonts w:ascii="宋体" w:hAnsi="宋体"/>
          <w:szCs w:val="21"/>
        </w:rPr>
        <w:t>法定代表人</w:t>
      </w:r>
      <w:r>
        <w:rPr>
          <w:rFonts w:hint="eastAsia" w:ascii="宋体" w:hAnsi="宋体"/>
          <w:szCs w:val="21"/>
        </w:rPr>
        <w:t>或委托代理人</w:t>
      </w:r>
      <w:r>
        <w:rPr>
          <w:rFonts w:ascii="宋体" w:hAnsi="宋体"/>
          <w:szCs w:val="21"/>
        </w:rPr>
        <w:t>：（</w:t>
      </w:r>
      <w:r>
        <w:rPr>
          <w:rFonts w:hint="eastAsia" w:ascii="宋体" w:hAnsi="宋体"/>
          <w:szCs w:val="21"/>
        </w:rPr>
        <w:t>签名</w:t>
      </w:r>
      <w:r>
        <w:rPr>
          <w:rFonts w:ascii="宋体" w:hAnsi="宋体"/>
          <w:szCs w:val="21"/>
        </w:rPr>
        <w:t>或签章）</w:t>
      </w:r>
    </w:p>
    <w:p w14:paraId="01E28B85">
      <w:pPr>
        <w:spacing w:line="360" w:lineRule="auto"/>
        <w:ind w:firstLine="630" w:firstLineChars="300"/>
        <w:rPr>
          <w:rFonts w:ascii="宋体" w:hAnsi="宋体"/>
          <w:szCs w:val="21"/>
          <w:u w:val="single"/>
        </w:rPr>
      </w:pPr>
      <w:r>
        <w:rPr>
          <w:rFonts w:ascii="宋体" w:hAnsi="宋体"/>
          <w:szCs w:val="21"/>
        </w:rPr>
        <w:t>年</w:t>
      </w:r>
      <w:r>
        <w:rPr>
          <w:rFonts w:hint="eastAsia" w:ascii="宋体" w:hAnsi="宋体"/>
          <w:szCs w:val="21"/>
        </w:rPr>
        <w:t xml:space="preserve">   </w:t>
      </w:r>
      <w:r>
        <w:rPr>
          <w:rFonts w:ascii="宋体" w:hAnsi="宋体"/>
          <w:szCs w:val="21"/>
        </w:rPr>
        <w:t>月</w:t>
      </w:r>
      <w:r>
        <w:rPr>
          <w:rFonts w:hint="eastAsia" w:ascii="宋体" w:hAnsi="宋体"/>
          <w:szCs w:val="21"/>
        </w:rPr>
        <w:t xml:space="preserve">   </w:t>
      </w:r>
      <w:r>
        <w:rPr>
          <w:rFonts w:ascii="宋体" w:hAnsi="宋体"/>
          <w:szCs w:val="21"/>
        </w:rPr>
        <w:t>日</w:t>
      </w:r>
    </w:p>
    <w:p w14:paraId="08E61034">
      <w:pPr>
        <w:pStyle w:val="13"/>
        <w:spacing w:line="360" w:lineRule="auto"/>
        <w:rPr>
          <w:rFonts w:hAnsi="宋体"/>
          <w:b/>
        </w:rPr>
      </w:pPr>
      <w:r>
        <w:rPr>
          <w:rFonts w:hAnsi="宋体"/>
          <w:b/>
        </w:rPr>
        <w:t>表格填写说明：</w:t>
      </w:r>
    </w:p>
    <w:p w14:paraId="73AB1249">
      <w:pPr>
        <w:pStyle w:val="13"/>
        <w:spacing w:line="360" w:lineRule="auto"/>
        <w:rPr>
          <w:rFonts w:hAnsi="宋体"/>
        </w:rPr>
      </w:pPr>
      <w:r>
        <w:rPr>
          <w:rFonts w:hAnsi="宋体"/>
        </w:rPr>
        <w:t>1、供应商根据应根据实际情况，填写本表格，若无偏离，则勾选A项，签字盖章即可。若有偏离，则勾选B项，按表格要求及实际情况填写后，签字盖章。</w:t>
      </w:r>
    </w:p>
    <w:p w14:paraId="3CD4B803">
      <w:pPr>
        <w:pStyle w:val="13"/>
        <w:spacing w:line="360" w:lineRule="auto"/>
        <w:rPr>
          <w:rFonts w:hAnsi="宋体"/>
        </w:rPr>
      </w:pPr>
      <w:r>
        <w:rPr>
          <w:rFonts w:hAnsi="宋体"/>
        </w:rPr>
        <w:t>2、表格中“谈判文件的商务条款要求”在填写时应注明该条款在响应文件中的页码及条款号。</w:t>
      </w:r>
    </w:p>
    <w:p w14:paraId="5D14D686">
      <w:pPr>
        <w:pStyle w:val="13"/>
        <w:spacing w:line="360" w:lineRule="auto"/>
        <w:rPr>
          <w:rFonts w:hAnsi="宋体"/>
        </w:rPr>
      </w:pPr>
      <w:r>
        <w:rPr>
          <w:rFonts w:hAnsi="宋体"/>
        </w:rPr>
        <w:t>3、表格中“响应文件的商务条款”请根据实际响应情况如实、完整、准确的填写。</w:t>
      </w:r>
    </w:p>
    <w:p w14:paraId="1AE34FC4">
      <w:pPr>
        <w:pStyle w:val="13"/>
        <w:spacing w:line="360" w:lineRule="auto"/>
        <w:rPr>
          <w:rFonts w:hAnsi="宋体"/>
          <w:b/>
        </w:rPr>
      </w:pPr>
      <w:r>
        <w:rPr>
          <w:rFonts w:hAnsi="宋体"/>
        </w:rPr>
        <w:t>4、</w:t>
      </w:r>
      <w:r>
        <w:rPr>
          <w:rFonts w:hAnsi="宋体"/>
          <w:b/>
        </w:rPr>
        <w:t>本表格中内容与响应文件其余部分不一致的，以本表格为准。</w:t>
      </w:r>
    </w:p>
    <w:p w14:paraId="2B14286C">
      <w:pPr>
        <w:pStyle w:val="13"/>
        <w:spacing w:line="360" w:lineRule="auto"/>
        <w:rPr>
          <w:rFonts w:hAnsi="宋体"/>
        </w:rPr>
      </w:pPr>
      <w:r>
        <w:rPr>
          <w:rFonts w:hAnsi="宋体"/>
        </w:rPr>
        <w:t>5、填表示例：（有偏离情况的）</w:t>
      </w:r>
    </w:p>
    <w:p w14:paraId="16B89A2E">
      <w:pPr>
        <w:spacing w:line="360" w:lineRule="auto"/>
        <w:rPr>
          <w:rFonts w:ascii="宋体" w:hAnsi="宋体"/>
        </w:rPr>
      </w:pPr>
      <w:r>
        <w:rPr>
          <w:rFonts w:ascii="宋体" w:hAnsi="宋体"/>
        </w:rPr>
        <w:t>A、</w:t>
      </w:r>
      <w:r>
        <w:rPr>
          <w:rFonts w:ascii="宋体" w:hAnsi="宋体"/>
        </w:rPr>
        <w:fldChar w:fldCharType="begin"/>
      </w:r>
      <w:r>
        <w:rPr>
          <w:rFonts w:ascii="宋体" w:hAnsi="宋体"/>
        </w:rPr>
        <w:instrText xml:space="preserve"> eq \o\ac(□,</w:instrText>
      </w:r>
      <w:r>
        <w:rPr>
          <w:rFonts w:ascii="宋体" w:hAnsi="宋体"/>
          <w:position w:val="2"/>
          <w:sz w:val="13"/>
        </w:rPr>
        <w:instrText xml:space="preserve">×</w:instrText>
      </w:r>
      <w:r>
        <w:rPr>
          <w:rFonts w:ascii="宋体" w:hAnsi="宋体"/>
        </w:rPr>
        <w:instrText xml:space="preserve">)</w:instrText>
      </w:r>
      <w:r>
        <w:rPr>
          <w:rFonts w:ascii="宋体" w:hAnsi="宋体"/>
        </w:rPr>
        <w:fldChar w:fldCharType="end"/>
      </w:r>
      <w:r>
        <w:rPr>
          <w:rFonts w:ascii="宋体" w:hAnsi="宋体"/>
        </w:rPr>
        <w:t>我公司已详细阅读谈判文件中项商务要求，所有商务要求均无偏离，成交后我公司将严格遵照执行。</w:t>
      </w:r>
    </w:p>
    <w:p w14:paraId="48245984">
      <w:pPr>
        <w:spacing w:line="360" w:lineRule="auto"/>
        <w:rPr>
          <w:rFonts w:ascii="宋体" w:hAnsi="宋体"/>
        </w:rPr>
      </w:pPr>
      <w:r>
        <w:rPr>
          <w:rFonts w:ascii="宋体" w:hAnsi="宋体"/>
        </w:rPr>
        <w:t>B、</w:t>
      </w:r>
      <w:r>
        <w:rPr>
          <w:rFonts w:ascii="宋体" w:hAnsi="宋体"/>
        </w:rPr>
        <w:fldChar w:fldCharType="begin"/>
      </w:r>
      <w:r>
        <w:rPr>
          <w:rFonts w:ascii="宋体" w:hAnsi="宋体"/>
        </w:rPr>
        <w:instrText xml:space="preserve"> eq \o\ac(□,√)</w:instrText>
      </w:r>
      <w:r>
        <w:rPr>
          <w:rFonts w:ascii="宋体" w:hAnsi="宋体"/>
        </w:rPr>
        <w:fldChar w:fldCharType="end"/>
      </w:r>
      <w:r>
        <w:rPr>
          <w:rFonts w:ascii="宋体" w:hAnsi="宋体"/>
        </w:rPr>
        <w:t>我公司已详细阅读谈判文件中项商务要求，除下述条款有偏离外，其余条款我公司均予以认可，成交后将严格遵照执行。</w:t>
      </w:r>
    </w:p>
    <w:tbl>
      <w:tblPr>
        <w:tblStyle w:val="24"/>
        <w:tblW w:w="139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3"/>
        <w:gridCol w:w="7122"/>
        <w:gridCol w:w="5931"/>
      </w:tblGrid>
      <w:tr w14:paraId="571EFC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53" w:type="dxa"/>
            <w:vAlign w:val="center"/>
          </w:tcPr>
          <w:p w14:paraId="07B495F6">
            <w:pPr>
              <w:jc w:val="center"/>
              <w:rPr>
                <w:rFonts w:ascii="宋体" w:hAnsi="宋体"/>
              </w:rPr>
            </w:pPr>
            <w:r>
              <w:rPr>
                <w:rFonts w:ascii="宋体" w:hAnsi="宋体"/>
              </w:rPr>
              <w:t>序号</w:t>
            </w:r>
          </w:p>
        </w:tc>
        <w:tc>
          <w:tcPr>
            <w:tcW w:w="7122" w:type="dxa"/>
            <w:vAlign w:val="center"/>
          </w:tcPr>
          <w:p w14:paraId="0313ED3C">
            <w:pPr>
              <w:jc w:val="center"/>
              <w:rPr>
                <w:rFonts w:ascii="宋体" w:hAnsi="宋体"/>
              </w:rPr>
            </w:pPr>
            <w:r>
              <w:rPr>
                <w:rFonts w:ascii="宋体" w:hAnsi="宋体"/>
              </w:rPr>
              <w:t>谈判文件的商务条款要求</w:t>
            </w:r>
          </w:p>
        </w:tc>
        <w:tc>
          <w:tcPr>
            <w:tcW w:w="5931" w:type="dxa"/>
            <w:vAlign w:val="center"/>
          </w:tcPr>
          <w:p w14:paraId="5C19637B">
            <w:pPr>
              <w:jc w:val="center"/>
              <w:rPr>
                <w:rFonts w:ascii="宋体" w:hAnsi="宋体"/>
              </w:rPr>
            </w:pPr>
            <w:r>
              <w:rPr>
                <w:rFonts w:ascii="宋体" w:hAnsi="宋体"/>
              </w:rPr>
              <w:t>响应文件的商务条款</w:t>
            </w:r>
          </w:p>
        </w:tc>
      </w:tr>
      <w:tr w14:paraId="20C450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53" w:type="dxa"/>
            <w:vAlign w:val="center"/>
          </w:tcPr>
          <w:p w14:paraId="137E9A24">
            <w:pPr>
              <w:jc w:val="center"/>
              <w:rPr>
                <w:rFonts w:ascii="宋体" w:hAnsi="宋体"/>
                <w:sz w:val="22"/>
              </w:rPr>
            </w:pPr>
            <w:r>
              <w:rPr>
                <w:rFonts w:ascii="宋体" w:hAnsi="宋体"/>
                <w:sz w:val="22"/>
              </w:rPr>
              <w:t>1</w:t>
            </w:r>
          </w:p>
        </w:tc>
        <w:tc>
          <w:tcPr>
            <w:tcW w:w="7122" w:type="dxa"/>
            <w:vAlign w:val="center"/>
          </w:tcPr>
          <w:p w14:paraId="319818CD">
            <w:pPr>
              <w:rPr>
                <w:rFonts w:ascii="宋体" w:hAnsi="宋体"/>
                <w:sz w:val="22"/>
                <w:szCs w:val="21"/>
              </w:rPr>
            </w:pPr>
            <w:r>
              <w:rPr>
                <w:rFonts w:ascii="宋体" w:hAnsi="宋体"/>
                <w:sz w:val="22"/>
                <w:szCs w:val="21"/>
              </w:rPr>
              <w:t>P25、合同条款前附表。第2条。付款方式：设备到货后，安装、调试、验收合格后一次性支付合同总价的95%，设备使用三个月后无质量问题，运行正常，支付5%余款。</w:t>
            </w:r>
          </w:p>
        </w:tc>
        <w:tc>
          <w:tcPr>
            <w:tcW w:w="5931" w:type="dxa"/>
            <w:vAlign w:val="center"/>
          </w:tcPr>
          <w:p w14:paraId="3DB9A820">
            <w:pPr>
              <w:rPr>
                <w:rFonts w:ascii="宋体" w:hAnsi="宋体"/>
                <w:sz w:val="22"/>
              </w:rPr>
            </w:pPr>
            <w:r>
              <w:rPr>
                <w:rFonts w:ascii="宋体" w:hAnsi="宋体"/>
                <w:sz w:val="22"/>
                <w:szCs w:val="21"/>
              </w:rPr>
              <w:t>付款方式：设备到货后，安装、调试、验收合格后一次性支付合同总价的97%，设备使用三个月后无质量问题，运行正常，支付3%余款。</w:t>
            </w:r>
          </w:p>
        </w:tc>
      </w:tr>
      <w:tr w14:paraId="7CEEA9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53" w:type="dxa"/>
            <w:vAlign w:val="center"/>
          </w:tcPr>
          <w:p w14:paraId="0BE3E793">
            <w:pPr>
              <w:jc w:val="center"/>
              <w:rPr>
                <w:rFonts w:ascii="宋体" w:hAnsi="宋体"/>
                <w:sz w:val="22"/>
              </w:rPr>
            </w:pPr>
            <w:r>
              <w:rPr>
                <w:rFonts w:ascii="宋体" w:hAnsi="宋体"/>
                <w:sz w:val="22"/>
              </w:rPr>
              <w:t>2</w:t>
            </w:r>
          </w:p>
        </w:tc>
        <w:tc>
          <w:tcPr>
            <w:tcW w:w="7122" w:type="dxa"/>
            <w:vAlign w:val="center"/>
          </w:tcPr>
          <w:p w14:paraId="5641F71A">
            <w:pPr>
              <w:rPr>
                <w:rFonts w:ascii="宋体" w:hAnsi="宋体"/>
                <w:sz w:val="22"/>
              </w:rPr>
            </w:pPr>
            <w:r>
              <w:rPr>
                <w:rFonts w:ascii="宋体" w:hAnsi="宋体"/>
                <w:sz w:val="22"/>
                <w:szCs w:val="21"/>
              </w:rPr>
              <w:t>P25、合同条款前附表。第1条。交货期：签订合同后30天内到货并完成验收；</w:t>
            </w:r>
          </w:p>
        </w:tc>
        <w:tc>
          <w:tcPr>
            <w:tcW w:w="5931" w:type="dxa"/>
            <w:vAlign w:val="center"/>
          </w:tcPr>
          <w:p w14:paraId="1DFB2E35">
            <w:pPr>
              <w:rPr>
                <w:rFonts w:ascii="宋体" w:hAnsi="宋体"/>
                <w:sz w:val="22"/>
                <w:szCs w:val="21"/>
              </w:rPr>
            </w:pPr>
            <w:r>
              <w:rPr>
                <w:rFonts w:ascii="宋体" w:hAnsi="宋体"/>
                <w:sz w:val="22"/>
                <w:szCs w:val="21"/>
              </w:rPr>
              <w:t>交货期：签订合同后20天内到货并完成验收；</w:t>
            </w:r>
          </w:p>
        </w:tc>
      </w:tr>
    </w:tbl>
    <w:p w14:paraId="0F644B49">
      <w:pPr>
        <w:rPr>
          <w:rFonts w:ascii="宋体" w:hAnsi="宋体" w:cs="宋体"/>
          <w:b/>
          <w:sz w:val="28"/>
          <w:szCs w:val="28"/>
        </w:rPr>
        <w:sectPr>
          <w:pgSz w:w="16838" w:h="11906" w:orient="landscape"/>
          <w:pgMar w:top="1153" w:right="1418" w:bottom="1134" w:left="1134" w:header="935" w:footer="720" w:gutter="0"/>
          <w:cols w:space="720" w:num="1"/>
          <w:docGrid w:type="linesAndChars" w:linePitch="331" w:charSpace="0"/>
        </w:sectPr>
      </w:pPr>
      <w:r>
        <w:rPr>
          <w:rFonts w:hint="eastAsia" w:ascii="宋体" w:hAnsi="宋体" w:cs="宋体"/>
          <w:b/>
          <w:sz w:val="28"/>
          <w:szCs w:val="28"/>
        </w:rPr>
        <w:br w:type="page"/>
      </w:r>
    </w:p>
    <w:p w14:paraId="084BE186">
      <w:pPr>
        <w:ind w:firstLine="420"/>
        <w:rPr>
          <w:rFonts w:ascii="宋体" w:hAnsi="宋体" w:cs="宋体"/>
          <w:b/>
          <w:sz w:val="28"/>
          <w:szCs w:val="28"/>
        </w:rPr>
      </w:pPr>
      <w:r>
        <w:rPr>
          <w:rFonts w:hint="eastAsia" w:ascii="宋体" w:hAnsi="宋体" w:cs="宋体"/>
          <w:b/>
          <w:sz w:val="28"/>
          <w:szCs w:val="28"/>
        </w:rPr>
        <w:t>格式2-4</w:t>
      </w:r>
    </w:p>
    <w:p w14:paraId="2AB37F40">
      <w:pPr>
        <w:spacing w:line="360" w:lineRule="auto"/>
        <w:jc w:val="center"/>
        <w:rPr>
          <w:rFonts w:ascii="宋体" w:hAnsi="宋体" w:cs="宋体"/>
          <w:sz w:val="32"/>
          <w:szCs w:val="32"/>
        </w:rPr>
      </w:pPr>
      <w:r>
        <w:rPr>
          <w:rFonts w:hint="eastAsia" w:ascii="宋体" w:hAnsi="宋体" w:cs="宋体"/>
          <w:sz w:val="32"/>
          <w:szCs w:val="32"/>
        </w:rPr>
        <w:t>法定代表人资格证明书</w:t>
      </w:r>
    </w:p>
    <w:p w14:paraId="53BD382C">
      <w:pPr>
        <w:spacing w:line="360" w:lineRule="auto"/>
        <w:jc w:val="center"/>
        <w:rPr>
          <w:rFonts w:ascii="宋体" w:hAnsi="宋体" w:cs="宋体"/>
          <w:b/>
          <w:sz w:val="30"/>
          <w:szCs w:val="30"/>
        </w:rPr>
      </w:pPr>
    </w:p>
    <w:p w14:paraId="0FC71039">
      <w:pPr>
        <w:spacing w:line="360" w:lineRule="auto"/>
        <w:rPr>
          <w:rFonts w:ascii="宋体" w:hAnsi="宋体" w:cs="宋体"/>
          <w:szCs w:val="21"/>
          <w:u w:val="single"/>
        </w:rPr>
      </w:pPr>
      <w:r>
        <w:rPr>
          <w:rFonts w:hint="eastAsia" w:ascii="宋体" w:hAnsi="宋体" w:cs="宋体"/>
          <w:szCs w:val="21"/>
        </w:rPr>
        <w:t>供应商名称：</w:t>
      </w:r>
    </w:p>
    <w:p w14:paraId="2B7A2720">
      <w:pPr>
        <w:spacing w:line="360" w:lineRule="auto"/>
        <w:rPr>
          <w:rFonts w:ascii="宋体" w:hAnsi="宋体" w:cs="宋体"/>
          <w:szCs w:val="21"/>
          <w:u w:val="single"/>
        </w:rPr>
      </w:pPr>
      <w:r>
        <w:rPr>
          <w:rFonts w:hint="eastAsia" w:ascii="宋体" w:hAnsi="宋体" w:cs="宋体"/>
          <w:szCs w:val="21"/>
        </w:rPr>
        <w:t>单位性质：</w:t>
      </w:r>
    </w:p>
    <w:p w14:paraId="1C1CA78D">
      <w:pPr>
        <w:spacing w:line="360" w:lineRule="auto"/>
        <w:rPr>
          <w:rFonts w:ascii="宋体" w:hAnsi="宋体" w:cs="宋体"/>
          <w:szCs w:val="21"/>
        </w:rPr>
      </w:pPr>
      <w:r>
        <w:rPr>
          <w:rFonts w:hint="eastAsia" w:ascii="宋体" w:hAnsi="宋体" w:cs="宋体"/>
          <w:szCs w:val="21"/>
        </w:rPr>
        <w:t>成立时间：    年   月   日</w:t>
      </w:r>
    </w:p>
    <w:p w14:paraId="59D68B1E">
      <w:pPr>
        <w:spacing w:line="360" w:lineRule="auto"/>
        <w:rPr>
          <w:rFonts w:ascii="宋体" w:hAnsi="宋体" w:cs="宋体"/>
          <w:szCs w:val="21"/>
          <w:u w:val="single"/>
        </w:rPr>
      </w:pPr>
      <w:r>
        <w:rPr>
          <w:rFonts w:hint="eastAsia" w:ascii="宋体" w:hAnsi="宋体" w:cs="宋体"/>
          <w:szCs w:val="21"/>
        </w:rPr>
        <w:t>经营期限：</w:t>
      </w:r>
    </w:p>
    <w:p w14:paraId="36BE28F0">
      <w:pPr>
        <w:spacing w:line="360" w:lineRule="auto"/>
        <w:rPr>
          <w:rFonts w:ascii="宋体" w:hAnsi="宋体" w:cs="宋体"/>
          <w:szCs w:val="21"/>
          <w:u w:val="single"/>
        </w:rPr>
      </w:pPr>
      <w:r>
        <w:rPr>
          <w:rFonts w:hint="eastAsia" w:ascii="宋体" w:hAnsi="宋体" w:cs="宋体"/>
          <w:szCs w:val="21"/>
        </w:rPr>
        <w:t>姓名： 性别： 年龄： 职务：</w:t>
      </w:r>
    </w:p>
    <w:p w14:paraId="7DCEE091">
      <w:pPr>
        <w:spacing w:line="360" w:lineRule="auto"/>
        <w:rPr>
          <w:rFonts w:ascii="宋体" w:hAnsi="宋体" w:cs="宋体"/>
          <w:szCs w:val="21"/>
        </w:rPr>
      </w:pPr>
      <w:r>
        <w:rPr>
          <w:rFonts w:hint="eastAsia" w:ascii="宋体" w:hAnsi="宋体" w:cs="宋体"/>
          <w:szCs w:val="21"/>
        </w:rPr>
        <w:t>系</w:t>
      </w:r>
      <w:r>
        <w:rPr>
          <w:rFonts w:hint="eastAsia" w:ascii="宋体" w:hAnsi="宋体" w:cs="宋体"/>
          <w:szCs w:val="21"/>
          <w:u w:val="single"/>
        </w:rPr>
        <w:t>（供应商名称）</w:t>
      </w:r>
      <w:r>
        <w:rPr>
          <w:rFonts w:hint="eastAsia" w:ascii="宋体" w:hAnsi="宋体" w:cs="宋体"/>
          <w:szCs w:val="21"/>
        </w:rPr>
        <w:t>的法定代表人。</w:t>
      </w:r>
    </w:p>
    <w:p w14:paraId="3E6AF971">
      <w:pPr>
        <w:spacing w:line="360" w:lineRule="auto"/>
        <w:ind w:firstLine="420" w:firstLineChars="200"/>
        <w:rPr>
          <w:rFonts w:ascii="宋体" w:hAnsi="宋体" w:cs="宋体"/>
          <w:szCs w:val="21"/>
        </w:rPr>
      </w:pPr>
    </w:p>
    <w:p w14:paraId="11F442EA">
      <w:pPr>
        <w:spacing w:line="360" w:lineRule="auto"/>
        <w:ind w:firstLine="420" w:firstLineChars="200"/>
        <w:rPr>
          <w:rFonts w:ascii="宋体" w:hAnsi="宋体" w:cs="宋体"/>
          <w:szCs w:val="21"/>
        </w:rPr>
      </w:pPr>
      <w:r>
        <w:rPr>
          <w:rFonts w:hint="eastAsia" w:ascii="宋体" w:hAnsi="宋体" w:cs="宋体"/>
          <w:szCs w:val="21"/>
        </w:rPr>
        <w:t>特此证明。</w:t>
      </w:r>
    </w:p>
    <w:p w14:paraId="021F6C61">
      <w:pPr>
        <w:spacing w:line="360" w:lineRule="auto"/>
        <w:rPr>
          <w:rFonts w:ascii="宋体" w:hAnsi="宋体" w:cs="宋体"/>
          <w:szCs w:val="21"/>
        </w:rPr>
      </w:pPr>
    </w:p>
    <w:p w14:paraId="2C46A50A">
      <w:pPr>
        <w:spacing w:line="360" w:lineRule="auto"/>
        <w:rPr>
          <w:rFonts w:ascii="宋体" w:hAnsi="宋体" w:cs="宋体"/>
          <w:szCs w:val="21"/>
        </w:rPr>
      </w:pPr>
    </w:p>
    <w:p w14:paraId="79307D82">
      <w:pPr>
        <w:spacing w:line="360" w:lineRule="auto"/>
        <w:ind w:left="3780" w:leftChars="1800"/>
        <w:rPr>
          <w:rFonts w:ascii="宋体" w:hAnsi="宋体" w:cs="宋体"/>
          <w:szCs w:val="21"/>
        </w:rPr>
      </w:pPr>
      <w:r>
        <w:rPr>
          <w:rFonts w:hint="eastAsia" w:ascii="宋体" w:hAnsi="宋体" w:cs="宋体"/>
          <w:szCs w:val="21"/>
        </w:rPr>
        <w:t>供应商：（盖单位公章）</w:t>
      </w:r>
    </w:p>
    <w:p w14:paraId="535B9481">
      <w:pPr>
        <w:spacing w:line="360" w:lineRule="auto"/>
        <w:ind w:left="3780" w:leftChars="1800" w:firstLine="105" w:firstLineChars="50"/>
        <w:rPr>
          <w:rFonts w:ascii="宋体" w:hAnsi="宋体" w:cs="宋体"/>
          <w:szCs w:val="21"/>
        </w:rPr>
      </w:pPr>
      <w:r>
        <w:rPr>
          <w:rFonts w:hint="eastAsia" w:ascii="宋体" w:hAnsi="宋体" w:cs="宋体"/>
          <w:szCs w:val="21"/>
        </w:rPr>
        <w:t>年   月   日</w:t>
      </w:r>
    </w:p>
    <w:p w14:paraId="05D03496">
      <w:pPr>
        <w:spacing w:line="360" w:lineRule="auto"/>
        <w:rPr>
          <w:rFonts w:ascii="宋体" w:hAnsi="宋体" w:cs="宋体"/>
          <w:szCs w:val="21"/>
        </w:rPr>
      </w:pPr>
    </w:p>
    <w:p w14:paraId="4635399F">
      <w:pPr>
        <w:spacing w:line="360" w:lineRule="auto"/>
        <w:rPr>
          <w:rFonts w:ascii="宋体" w:hAnsi="宋体" w:cs="宋体"/>
          <w:szCs w:val="21"/>
        </w:rPr>
      </w:pPr>
      <w:r>
        <w:rPr>
          <w:rFonts w:hint="eastAsia" w:ascii="宋体" w:hAnsi="宋体" w:cs="宋体"/>
          <w:szCs w:val="21"/>
        </w:rPr>
        <w:t>附法定代表人身份证扫描件：</w:t>
      </w:r>
    </w:p>
    <w:p w14:paraId="6ABBAE4F">
      <w:pPr>
        <w:rPr>
          <w:rFonts w:ascii="宋体" w:hAnsi="宋体" w:cs="宋体"/>
          <w:szCs w:val="21"/>
        </w:rPr>
      </w:pPr>
      <w:r>
        <w:rPr>
          <w:rFonts w:hint="eastAsia" w:ascii="宋体" w:hAnsi="宋体" w:cs="宋体"/>
          <w:szCs w:val="21"/>
        </w:rPr>
        <w:br w:type="page"/>
      </w:r>
    </w:p>
    <w:p w14:paraId="05CEC7EF">
      <w:pPr>
        <w:spacing w:line="360" w:lineRule="auto"/>
        <w:ind w:firstLine="560" w:firstLineChars="200"/>
        <w:rPr>
          <w:rFonts w:ascii="宋体" w:hAnsi="宋体" w:cs="宋体"/>
          <w:b/>
          <w:sz w:val="28"/>
          <w:szCs w:val="28"/>
        </w:rPr>
      </w:pPr>
      <w:r>
        <w:rPr>
          <w:rFonts w:hint="eastAsia" w:ascii="宋体" w:hAnsi="宋体" w:cs="宋体"/>
          <w:b/>
          <w:sz w:val="28"/>
          <w:szCs w:val="28"/>
        </w:rPr>
        <w:t>格式2-5</w:t>
      </w:r>
    </w:p>
    <w:p w14:paraId="55B06213">
      <w:pPr>
        <w:spacing w:line="360" w:lineRule="auto"/>
        <w:jc w:val="center"/>
        <w:rPr>
          <w:rFonts w:ascii="宋体" w:hAnsi="宋体" w:cs="宋体"/>
          <w:sz w:val="32"/>
          <w:szCs w:val="32"/>
        </w:rPr>
      </w:pPr>
      <w:r>
        <w:rPr>
          <w:rFonts w:hint="eastAsia" w:ascii="宋体" w:hAnsi="宋体" w:cs="宋体"/>
          <w:sz w:val="32"/>
          <w:szCs w:val="32"/>
        </w:rPr>
        <w:t>法定代表人授权委托书</w:t>
      </w:r>
    </w:p>
    <w:p w14:paraId="079A2DD7">
      <w:pPr>
        <w:spacing w:line="360" w:lineRule="auto"/>
        <w:rPr>
          <w:rFonts w:ascii="宋体" w:hAnsi="宋体" w:cs="宋体"/>
          <w:szCs w:val="21"/>
          <w:u w:val="single"/>
        </w:rPr>
      </w:pPr>
      <w:r>
        <w:rPr>
          <w:rFonts w:hint="eastAsia" w:ascii="宋体" w:hAnsi="宋体" w:cs="宋体"/>
          <w:szCs w:val="21"/>
        </w:rPr>
        <w:t>致：</w:t>
      </w:r>
      <w:r>
        <w:rPr>
          <w:rFonts w:hint="eastAsia" w:ascii="宋体" w:hAnsi="宋体" w:cs="宋体"/>
          <w:szCs w:val="21"/>
          <w:u w:val="single"/>
        </w:rPr>
        <w:t>云南省政府采购和出让中心</w:t>
      </w:r>
    </w:p>
    <w:p w14:paraId="250F27DE">
      <w:pPr>
        <w:spacing w:line="360" w:lineRule="auto"/>
        <w:ind w:firstLine="420" w:firstLineChars="200"/>
        <w:rPr>
          <w:rFonts w:ascii="宋体" w:hAnsi="宋体" w:cs="宋体"/>
          <w:szCs w:val="21"/>
        </w:rPr>
      </w:pPr>
      <w:r>
        <w:rPr>
          <w:rFonts w:hint="eastAsia" w:ascii="宋体" w:hAnsi="宋体" w:cs="宋体"/>
          <w:szCs w:val="21"/>
        </w:rPr>
        <w:t>本授权书声明：</w:t>
      </w:r>
      <w:r>
        <w:rPr>
          <w:rFonts w:hint="eastAsia" w:ascii="宋体" w:hAnsi="宋体" w:cs="宋体"/>
          <w:szCs w:val="21"/>
          <w:u w:val="single"/>
        </w:rPr>
        <w:t xml:space="preserve">       （供应商全称）     </w:t>
      </w:r>
      <w:r>
        <w:rPr>
          <w:rFonts w:hint="eastAsia" w:ascii="宋体" w:hAnsi="宋体" w:cs="宋体"/>
          <w:szCs w:val="21"/>
        </w:rPr>
        <w:t>的法定代表人代表本公司授权</w:t>
      </w:r>
      <w:r>
        <w:rPr>
          <w:rFonts w:hint="eastAsia" w:ascii="宋体" w:hAnsi="宋体" w:cs="宋体"/>
          <w:szCs w:val="21"/>
          <w:u w:val="single"/>
        </w:rPr>
        <w:t xml:space="preserve">   （委托代理人姓名）   </w:t>
      </w:r>
      <w:r>
        <w:rPr>
          <w:rFonts w:hint="eastAsia" w:ascii="宋体" w:hAnsi="宋体" w:cs="宋体"/>
          <w:szCs w:val="21"/>
        </w:rPr>
        <w:t>为本公司合法代理人，以本单位名义亲自出席参加贵方组织的</w:t>
      </w:r>
      <w:r>
        <w:rPr>
          <w:rFonts w:hint="eastAsia" w:ascii="宋体" w:hAnsi="宋体" w:cs="宋体"/>
          <w:szCs w:val="21"/>
          <w:u w:val="single"/>
        </w:rPr>
        <w:t xml:space="preserve">    （采购项目名称）    </w:t>
      </w:r>
      <w:r>
        <w:rPr>
          <w:rFonts w:hint="eastAsia" w:ascii="宋体" w:hAnsi="宋体" w:cs="宋体"/>
          <w:szCs w:val="21"/>
        </w:rPr>
        <w:t>项目（</w:t>
      </w:r>
      <w:r>
        <w:rPr>
          <w:rFonts w:hint="eastAsia" w:ascii="宋体" w:hAnsi="宋体" w:cs="宋体"/>
          <w:szCs w:val="21"/>
          <w:u w:val="single"/>
        </w:rPr>
        <w:t>项目编号：</w:t>
      </w:r>
      <w:r>
        <w:rPr>
          <w:rFonts w:hint="eastAsia" w:ascii="宋体" w:hAnsi="宋体" w:cs="宋体"/>
          <w:szCs w:val="21"/>
        </w:rPr>
        <w:t>）的谈判。代理人在本项目谈判过程中所签署的一切文件和处理与之有关的一切事务，我方均予承认。</w:t>
      </w:r>
    </w:p>
    <w:p w14:paraId="5EC49123">
      <w:pPr>
        <w:spacing w:line="360" w:lineRule="auto"/>
        <w:ind w:firstLine="420" w:firstLineChars="200"/>
        <w:rPr>
          <w:rFonts w:ascii="宋体" w:hAnsi="宋体" w:cs="宋体"/>
          <w:szCs w:val="21"/>
        </w:rPr>
      </w:pPr>
      <w:r>
        <w:rPr>
          <w:rFonts w:hint="eastAsia" w:ascii="宋体" w:hAnsi="宋体" w:cs="宋体"/>
          <w:szCs w:val="21"/>
        </w:rPr>
        <w:t>代理人无转委托权。</w:t>
      </w:r>
    </w:p>
    <w:p w14:paraId="2A7B97E9">
      <w:pPr>
        <w:spacing w:line="360" w:lineRule="auto"/>
        <w:ind w:firstLine="420" w:firstLineChars="200"/>
        <w:rPr>
          <w:rFonts w:ascii="宋体" w:hAnsi="宋体" w:cs="宋体"/>
          <w:szCs w:val="21"/>
        </w:rPr>
      </w:pPr>
    </w:p>
    <w:p w14:paraId="790FD210">
      <w:pPr>
        <w:spacing w:line="360" w:lineRule="auto"/>
        <w:ind w:firstLine="420" w:firstLineChars="200"/>
        <w:rPr>
          <w:rFonts w:ascii="宋体" w:hAnsi="宋体" w:cs="宋体"/>
          <w:b/>
          <w:szCs w:val="21"/>
        </w:rPr>
      </w:pPr>
      <w:r>
        <w:rPr>
          <w:rFonts w:hint="eastAsia" w:ascii="宋体" w:hAnsi="宋体" w:cs="宋体"/>
          <w:b/>
          <w:szCs w:val="21"/>
        </w:rPr>
        <w:t>供  应  商：</w:t>
      </w:r>
      <w:r>
        <w:rPr>
          <w:rFonts w:hint="eastAsia" w:ascii="宋体" w:hAnsi="宋体" w:cs="宋体"/>
          <w:b/>
          <w:szCs w:val="21"/>
          <w:u w:val="single"/>
        </w:rPr>
        <w:t>（全称）</w:t>
      </w:r>
      <w:r>
        <w:rPr>
          <w:rFonts w:hint="eastAsia" w:ascii="宋体" w:hAnsi="宋体" w:cs="宋体"/>
          <w:b/>
          <w:szCs w:val="21"/>
        </w:rPr>
        <w:t>（盖单位公章）</w:t>
      </w:r>
    </w:p>
    <w:p w14:paraId="2335108E">
      <w:pPr>
        <w:spacing w:line="360" w:lineRule="auto"/>
        <w:ind w:firstLine="420" w:firstLineChars="200"/>
        <w:rPr>
          <w:rFonts w:ascii="宋体" w:hAnsi="宋体" w:cs="宋体"/>
          <w:b/>
          <w:szCs w:val="21"/>
        </w:rPr>
      </w:pPr>
    </w:p>
    <w:p w14:paraId="7C326C0D">
      <w:pPr>
        <w:spacing w:line="360" w:lineRule="auto"/>
        <w:ind w:firstLine="420" w:firstLineChars="200"/>
        <w:rPr>
          <w:rFonts w:ascii="宋体" w:hAnsi="宋体" w:cs="宋体"/>
          <w:b/>
          <w:szCs w:val="21"/>
        </w:rPr>
      </w:pPr>
      <w:r>
        <w:rPr>
          <w:rFonts w:hint="eastAsia" w:ascii="宋体" w:hAnsi="宋体" w:cs="宋体"/>
          <w:b/>
          <w:szCs w:val="21"/>
        </w:rPr>
        <w:t>法定代表人： （签名或签章）</w:t>
      </w:r>
    </w:p>
    <w:p w14:paraId="2509EB5A">
      <w:pPr>
        <w:spacing w:line="360" w:lineRule="auto"/>
        <w:ind w:firstLine="420" w:firstLineChars="200"/>
        <w:rPr>
          <w:rFonts w:ascii="宋体" w:hAnsi="宋体" w:cs="宋体"/>
          <w:szCs w:val="21"/>
          <w:u w:val="single"/>
        </w:rPr>
      </w:pPr>
      <w:r>
        <w:rPr>
          <w:rFonts w:hint="eastAsia" w:ascii="宋体" w:hAnsi="宋体" w:cs="宋体"/>
          <w:szCs w:val="21"/>
        </w:rPr>
        <w:t>法定代表人身份证号码：</w:t>
      </w:r>
    </w:p>
    <w:p w14:paraId="048A311F">
      <w:pPr>
        <w:spacing w:line="360" w:lineRule="auto"/>
        <w:ind w:firstLine="420" w:firstLineChars="200"/>
        <w:rPr>
          <w:rFonts w:ascii="宋体" w:hAnsi="宋体" w:cs="宋体"/>
          <w:szCs w:val="21"/>
        </w:rPr>
      </w:pPr>
    </w:p>
    <w:p w14:paraId="03E84081">
      <w:pPr>
        <w:spacing w:line="360" w:lineRule="auto"/>
        <w:ind w:firstLine="420" w:firstLineChars="200"/>
        <w:rPr>
          <w:rFonts w:ascii="宋体" w:hAnsi="宋体" w:cs="宋体"/>
          <w:b/>
          <w:szCs w:val="21"/>
          <w:u w:val="single"/>
        </w:rPr>
      </w:pPr>
      <w:r>
        <w:rPr>
          <w:rFonts w:hint="eastAsia" w:ascii="宋体" w:hAnsi="宋体" w:cs="宋体"/>
          <w:b/>
          <w:szCs w:val="21"/>
        </w:rPr>
        <w:t>委托代理人姓名：</w:t>
      </w:r>
    </w:p>
    <w:p w14:paraId="74473DD9">
      <w:pPr>
        <w:spacing w:line="360" w:lineRule="auto"/>
        <w:ind w:firstLine="420" w:firstLineChars="200"/>
        <w:rPr>
          <w:rFonts w:ascii="宋体" w:hAnsi="宋体" w:cs="宋体"/>
          <w:szCs w:val="21"/>
          <w:u w:val="single"/>
        </w:rPr>
      </w:pPr>
      <w:r>
        <w:rPr>
          <w:rFonts w:hint="eastAsia" w:ascii="宋体" w:hAnsi="宋体" w:cs="宋体"/>
          <w:szCs w:val="21"/>
        </w:rPr>
        <w:t>职      务：</w:t>
      </w:r>
    </w:p>
    <w:p w14:paraId="2119B97D">
      <w:pPr>
        <w:spacing w:line="360" w:lineRule="auto"/>
        <w:ind w:firstLine="420" w:firstLineChars="200"/>
        <w:rPr>
          <w:rFonts w:ascii="宋体" w:hAnsi="宋体" w:cs="宋体"/>
          <w:szCs w:val="21"/>
        </w:rPr>
      </w:pPr>
      <w:r>
        <w:rPr>
          <w:rFonts w:hint="eastAsia" w:ascii="宋体" w:hAnsi="宋体" w:cs="宋体"/>
          <w:szCs w:val="21"/>
        </w:rPr>
        <w:t>代理人身份证号码：</w:t>
      </w:r>
    </w:p>
    <w:p w14:paraId="42BE5927">
      <w:pPr>
        <w:spacing w:line="360" w:lineRule="auto"/>
        <w:ind w:firstLine="420" w:firstLineChars="200"/>
        <w:rPr>
          <w:rFonts w:ascii="宋体" w:hAnsi="宋体" w:cs="宋体"/>
          <w:szCs w:val="21"/>
        </w:rPr>
      </w:pPr>
      <w:r>
        <w:rPr>
          <w:rFonts w:hint="eastAsia" w:ascii="宋体" w:hAnsi="宋体" w:cs="宋体"/>
          <w:szCs w:val="21"/>
        </w:rPr>
        <w:t>委托代理人详细地址：</w:t>
      </w:r>
    </w:p>
    <w:p w14:paraId="61EF94BE">
      <w:pPr>
        <w:spacing w:line="360" w:lineRule="auto"/>
        <w:ind w:firstLine="420" w:firstLineChars="200"/>
        <w:rPr>
          <w:rFonts w:ascii="宋体" w:hAnsi="宋体" w:cs="宋体"/>
          <w:szCs w:val="21"/>
        </w:rPr>
      </w:pPr>
      <w:r>
        <w:rPr>
          <w:rFonts w:hint="eastAsia" w:ascii="宋体" w:hAnsi="宋体" w:cs="宋体"/>
          <w:szCs w:val="21"/>
        </w:rPr>
        <w:t>电话：</w:t>
      </w:r>
    </w:p>
    <w:p w14:paraId="14060108">
      <w:pPr>
        <w:spacing w:line="360" w:lineRule="auto"/>
        <w:ind w:firstLine="420" w:firstLineChars="200"/>
        <w:rPr>
          <w:rFonts w:ascii="宋体" w:hAnsi="宋体" w:cs="宋体"/>
          <w:szCs w:val="21"/>
          <w:u w:val="single"/>
        </w:rPr>
      </w:pPr>
    </w:p>
    <w:p w14:paraId="3645E82D">
      <w:pPr>
        <w:spacing w:line="360" w:lineRule="auto"/>
        <w:ind w:firstLine="420" w:firstLineChars="200"/>
        <w:rPr>
          <w:rFonts w:ascii="宋体" w:hAnsi="宋体" w:cs="宋体"/>
          <w:szCs w:val="21"/>
        </w:rPr>
      </w:pPr>
      <w:r>
        <w:rPr>
          <w:rFonts w:hint="eastAsia" w:ascii="宋体" w:hAnsi="宋体" w:cs="宋体"/>
          <w:szCs w:val="21"/>
        </w:rPr>
        <w:t>年   月   日</w:t>
      </w:r>
    </w:p>
    <w:p w14:paraId="5A1B6D7E">
      <w:pPr>
        <w:spacing w:line="360" w:lineRule="auto"/>
        <w:ind w:firstLine="420" w:firstLineChars="200"/>
        <w:rPr>
          <w:rFonts w:ascii="宋体" w:hAnsi="宋体" w:cs="宋体"/>
          <w:szCs w:val="21"/>
        </w:rPr>
      </w:pPr>
    </w:p>
    <w:p w14:paraId="0EEE444C">
      <w:pPr>
        <w:spacing w:line="360" w:lineRule="auto"/>
        <w:ind w:firstLine="420" w:firstLineChars="200"/>
        <w:rPr>
          <w:rFonts w:ascii="宋体" w:hAnsi="宋体" w:cs="宋体"/>
          <w:szCs w:val="21"/>
        </w:rPr>
      </w:pPr>
    </w:p>
    <w:p w14:paraId="27B1ECC1">
      <w:pPr>
        <w:spacing w:line="360" w:lineRule="auto"/>
        <w:ind w:firstLine="420" w:firstLineChars="200"/>
        <w:rPr>
          <w:rFonts w:ascii="宋体" w:hAnsi="宋体" w:cs="宋体"/>
          <w:szCs w:val="21"/>
        </w:rPr>
      </w:pPr>
      <w:r>
        <w:rPr>
          <w:rFonts w:hint="eastAsia" w:ascii="宋体" w:hAnsi="宋体" w:cs="宋体"/>
          <w:szCs w:val="21"/>
        </w:rPr>
        <w:t>附委托代理人身份证扫描件：</w:t>
      </w:r>
    </w:p>
    <w:p w14:paraId="7CFBB726">
      <w:pPr>
        <w:pStyle w:val="39"/>
        <w:ind w:left="0" w:leftChars="0" w:firstLineChars="0"/>
        <w:rPr>
          <w:rFonts w:hAnsi="宋体" w:cs="宋体"/>
          <w:b/>
          <w:sz w:val="28"/>
          <w:szCs w:val="28"/>
        </w:rPr>
      </w:pPr>
    </w:p>
    <w:p w14:paraId="1AEF7CA6">
      <w:pPr>
        <w:rPr>
          <w:rFonts w:ascii="宋体" w:hAnsi="宋体" w:cs="宋体"/>
          <w:b/>
          <w:kern w:val="0"/>
          <w:sz w:val="28"/>
          <w:szCs w:val="28"/>
        </w:rPr>
      </w:pPr>
      <w:r>
        <w:rPr>
          <w:rFonts w:hint="eastAsia" w:ascii="宋体" w:hAnsi="宋体" w:cs="宋体"/>
          <w:b/>
          <w:kern w:val="0"/>
          <w:sz w:val="28"/>
          <w:szCs w:val="28"/>
        </w:rPr>
        <w:br w:type="page"/>
      </w:r>
    </w:p>
    <w:p w14:paraId="3CDFB5F3">
      <w:pPr>
        <w:rPr>
          <w:rFonts w:ascii="宋体" w:hAnsi="宋体" w:cs="宋体"/>
          <w:b/>
          <w:kern w:val="0"/>
          <w:sz w:val="28"/>
          <w:szCs w:val="28"/>
        </w:rPr>
      </w:pPr>
      <w:r>
        <w:rPr>
          <w:rFonts w:hint="eastAsia" w:ascii="宋体" w:hAnsi="宋体" w:cs="宋体"/>
          <w:b/>
          <w:kern w:val="0"/>
          <w:sz w:val="28"/>
          <w:szCs w:val="28"/>
        </w:rPr>
        <w:t>格式2-6若货物为小微型企业（残疾人福利性单位、监狱企业）产品、服务，请按谈判文件要求格式提供中小企业声明函。</w:t>
      </w:r>
    </w:p>
    <w:p w14:paraId="630B55E6">
      <w:pPr>
        <w:adjustRightInd w:val="0"/>
        <w:snapToGrid w:val="0"/>
        <w:spacing w:line="360" w:lineRule="auto"/>
        <w:jc w:val="center"/>
        <w:rPr>
          <w:rFonts w:ascii="宋体" w:hAnsi="宋体" w:cs="宋体"/>
          <w:b/>
          <w:spacing w:val="6"/>
          <w:sz w:val="32"/>
          <w:szCs w:val="32"/>
        </w:rPr>
      </w:pPr>
      <w:r>
        <w:rPr>
          <w:rFonts w:hint="eastAsia" w:ascii="宋体" w:hAnsi="宋体" w:cs="宋体"/>
          <w:b/>
          <w:spacing w:val="6"/>
          <w:sz w:val="32"/>
          <w:szCs w:val="32"/>
          <w:lang w:bidi="ar"/>
        </w:rPr>
        <w:t>中小企业声明函</w:t>
      </w:r>
    </w:p>
    <w:p w14:paraId="67772894">
      <w:pPr>
        <w:spacing w:line="480" w:lineRule="auto"/>
        <w:ind w:firstLine="420"/>
        <w:rPr>
          <w:rFonts w:ascii="宋体" w:hAnsi="宋体" w:cs="宋体"/>
          <w:sz w:val="22"/>
          <w:szCs w:val="22"/>
        </w:rPr>
      </w:pPr>
      <w:r>
        <w:rPr>
          <w:rFonts w:hint="eastAsia" w:ascii="宋体" w:hAnsi="宋体" w:cs="宋体"/>
          <w:sz w:val="22"/>
          <w:szCs w:val="22"/>
          <w:lang w:bidi="ar"/>
        </w:rPr>
        <w:t>本公司（联合体）郑重声明，根据《政府采购促进中小企业发展管理办法》（财库（2020）46号）的规定，本公司（联合体）参加</w:t>
      </w:r>
      <w:r>
        <w:rPr>
          <w:rFonts w:hint="eastAsia" w:ascii="宋体" w:hAnsi="宋体" w:cs="宋体"/>
          <w:sz w:val="22"/>
          <w:szCs w:val="22"/>
          <w:u w:val="single"/>
          <w:lang w:bidi="ar"/>
        </w:rPr>
        <w:t>云南师范大学</w:t>
      </w:r>
      <w:r>
        <w:rPr>
          <w:rFonts w:hint="eastAsia" w:ascii="宋体" w:hAnsi="宋体" w:cs="宋体"/>
          <w:sz w:val="22"/>
          <w:szCs w:val="22"/>
          <w:lang w:bidi="ar"/>
        </w:rPr>
        <w:t>的</w:t>
      </w:r>
      <w:r>
        <w:rPr>
          <w:rFonts w:hint="eastAsia" w:ascii="宋体" w:hAnsi="宋体" w:cs="宋体"/>
          <w:sz w:val="22"/>
          <w:szCs w:val="22"/>
          <w:u w:val="single"/>
          <w:lang w:bidi="ar"/>
        </w:rPr>
        <w:t>云南师范大学法学与社会学学院(云南纪检监察学院)报告厅会议室政府采购项目</w:t>
      </w:r>
      <w:r>
        <w:rPr>
          <w:rFonts w:hint="eastAsia" w:ascii="宋体" w:hAnsi="宋体" w:cs="宋体"/>
          <w:sz w:val="22"/>
          <w:szCs w:val="22"/>
          <w:lang w:bidi="ar"/>
        </w:rPr>
        <w:t>采购活动，提供的货物全部由符合政策要求的中小企业制造。相关企业（含联合体中的中小企业、签订分包意向协议的中小企业）的具体情况如下：</w:t>
      </w:r>
    </w:p>
    <w:p w14:paraId="6513FC42">
      <w:pPr>
        <w:spacing w:line="480" w:lineRule="auto"/>
        <w:ind w:firstLine="420"/>
        <w:rPr>
          <w:rFonts w:ascii="宋体" w:hAnsi="宋体" w:cs="宋体"/>
          <w:sz w:val="22"/>
          <w:szCs w:val="22"/>
        </w:rPr>
      </w:pPr>
      <w:r>
        <w:rPr>
          <w:rFonts w:hint="eastAsia" w:ascii="宋体" w:hAnsi="宋体" w:cs="宋体"/>
          <w:sz w:val="22"/>
          <w:szCs w:val="22"/>
          <w:lang w:bidi="ar"/>
        </w:rPr>
        <w:t>1.</w:t>
      </w:r>
      <w:r>
        <w:rPr>
          <w:rFonts w:hint="eastAsia" w:ascii="宋体" w:hAnsi="宋体" w:cs="宋体"/>
          <w:sz w:val="22"/>
          <w:szCs w:val="22"/>
          <w:u w:val="single"/>
          <w:lang w:bidi="ar"/>
        </w:rPr>
        <w:t>（标的名称）</w:t>
      </w:r>
      <w:r>
        <w:rPr>
          <w:rFonts w:hint="eastAsia" w:ascii="宋体" w:hAnsi="宋体" w:cs="宋体"/>
          <w:sz w:val="22"/>
          <w:szCs w:val="22"/>
          <w:lang w:bidi="ar"/>
        </w:rPr>
        <w:t>，属于</w:t>
      </w:r>
      <w:r>
        <w:rPr>
          <w:rFonts w:hint="eastAsia" w:ascii="宋体" w:hAnsi="宋体" w:cs="宋体"/>
          <w:sz w:val="22"/>
          <w:szCs w:val="22"/>
          <w:u w:val="single"/>
          <w:lang w:bidi="ar"/>
        </w:rPr>
        <w:t>工业</w:t>
      </w:r>
      <w:r>
        <w:rPr>
          <w:rFonts w:hint="eastAsia" w:ascii="宋体" w:hAnsi="宋体" w:cs="宋体"/>
          <w:sz w:val="22"/>
          <w:szCs w:val="22"/>
          <w:lang w:bidi="ar"/>
        </w:rPr>
        <w:t>行业：制造商为</w:t>
      </w:r>
      <w:r>
        <w:rPr>
          <w:rFonts w:hint="eastAsia" w:ascii="宋体" w:hAnsi="宋体" w:cs="宋体"/>
          <w:sz w:val="22"/>
          <w:szCs w:val="22"/>
          <w:u w:val="single"/>
          <w:lang w:bidi="ar"/>
        </w:rPr>
        <w:t>（企业名称）</w:t>
      </w:r>
      <w:r>
        <w:rPr>
          <w:rFonts w:hint="eastAsia" w:ascii="宋体" w:hAnsi="宋体" w:cs="宋体"/>
          <w:sz w:val="22"/>
          <w:szCs w:val="22"/>
          <w:lang w:bidi="ar"/>
        </w:rPr>
        <w:t>，从业人员_____人，营业收入为_____万元，资产总额为_____万元，属于</w:t>
      </w:r>
      <w:r>
        <w:rPr>
          <w:rFonts w:hint="eastAsia" w:ascii="宋体" w:hAnsi="宋体" w:cs="宋体"/>
          <w:sz w:val="22"/>
          <w:szCs w:val="22"/>
          <w:u w:val="single"/>
          <w:lang w:bidi="ar"/>
        </w:rPr>
        <w:t>（中型企业、小型企业、微型企业）</w:t>
      </w:r>
      <w:r>
        <w:rPr>
          <w:rFonts w:hint="eastAsia" w:ascii="宋体" w:hAnsi="宋体" w:cs="宋体"/>
          <w:sz w:val="22"/>
          <w:szCs w:val="22"/>
          <w:lang w:bidi="ar"/>
        </w:rPr>
        <w:t>;</w:t>
      </w:r>
    </w:p>
    <w:p w14:paraId="6404E188">
      <w:pPr>
        <w:spacing w:line="480" w:lineRule="auto"/>
        <w:ind w:firstLine="420"/>
        <w:rPr>
          <w:rFonts w:ascii="宋体" w:hAnsi="宋体" w:cs="宋体"/>
          <w:sz w:val="22"/>
          <w:szCs w:val="22"/>
        </w:rPr>
      </w:pPr>
      <w:r>
        <w:rPr>
          <w:rFonts w:hint="eastAsia" w:ascii="宋体" w:hAnsi="宋体" w:cs="宋体"/>
          <w:sz w:val="22"/>
          <w:szCs w:val="22"/>
          <w:lang w:bidi="ar"/>
        </w:rPr>
        <w:t>2.</w:t>
      </w:r>
      <w:r>
        <w:rPr>
          <w:rFonts w:hint="eastAsia" w:ascii="宋体" w:hAnsi="宋体" w:cs="宋体"/>
          <w:sz w:val="22"/>
          <w:szCs w:val="22"/>
          <w:u w:val="single"/>
          <w:lang w:bidi="ar"/>
        </w:rPr>
        <w:t>（标的名称）</w:t>
      </w:r>
      <w:r>
        <w:rPr>
          <w:rFonts w:hint="eastAsia" w:ascii="宋体" w:hAnsi="宋体" w:cs="宋体"/>
          <w:sz w:val="22"/>
          <w:szCs w:val="22"/>
          <w:lang w:bidi="ar"/>
        </w:rPr>
        <w:t>，属于</w:t>
      </w:r>
      <w:r>
        <w:rPr>
          <w:rFonts w:hint="eastAsia" w:ascii="宋体" w:hAnsi="宋体" w:cs="宋体"/>
          <w:sz w:val="22"/>
          <w:szCs w:val="22"/>
          <w:u w:val="single"/>
          <w:lang w:bidi="ar"/>
        </w:rPr>
        <w:t>工业</w:t>
      </w:r>
      <w:r>
        <w:rPr>
          <w:rFonts w:hint="eastAsia" w:ascii="宋体" w:hAnsi="宋体" w:cs="宋体"/>
          <w:sz w:val="22"/>
          <w:szCs w:val="22"/>
          <w:lang w:bidi="ar"/>
        </w:rPr>
        <w:t>行业；制造商为</w:t>
      </w:r>
      <w:r>
        <w:rPr>
          <w:rFonts w:hint="eastAsia" w:ascii="宋体" w:hAnsi="宋体" w:cs="宋体"/>
          <w:sz w:val="22"/>
          <w:szCs w:val="22"/>
          <w:u w:val="single"/>
          <w:lang w:bidi="ar"/>
        </w:rPr>
        <w:t>（企业名称）</w:t>
      </w:r>
      <w:r>
        <w:rPr>
          <w:rFonts w:hint="eastAsia" w:ascii="宋体" w:hAnsi="宋体" w:cs="宋体"/>
          <w:sz w:val="22"/>
          <w:szCs w:val="22"/>
          <w:lang w:bidi="ar"/>
        </w:rPr>
        <w:t>，从业人员_____人，营业收入为_____万元，资产总额为_____万元，属于</w:t>
      </w:r>
      <w:r>
        <w:rPr>
          <w:rFonts w:hint="eastAsia" w:ascii="宋体" w:hAnsi="宋体" w:cs="宋体"/>
          <w:sz w:val="22"/>
          <w:szCs w:val="22"/>
          <w:u w:val="single"/>
          <w:lang w:bidi="ar"/>
        </w:rPr>
        <w:t>（中型企业、小型企业、微型企业）</w:t>
      </w:r>
      <w:r>
        <w:rPr>
          <w:rFonts w:hint="eastAsia" w:ascii="宋体" w:hAnsi="宋体" w:cs="宋体"/>
          <w:sz w:val="22"/>
          <w:szCs w:val="22"/>
          <w:lang w:bidi="ar"/>
        </w:rPr>
        <w:t>；</w:t>
      </w:r>
    </w:p>
    <w:p w14:paraId="68F4260B">
      <w:pPr>
        <w:spacing w:line="480" w:lineRule="auto"/>
        <w:ind w:firstLine="420"/>
        <w:rPr>
          <w:rFonts w:ascii="宋体" w:hAnsi="宋体" w:cs="宋体"/>
          <w:sz w:val="22"/>
          <w:szCs w:val="22"/>
        </w:rPr>
      </w:pPr>
      <w:r>
        <w:rPr>
          <w:rFonts w:hint="eastAsia" w:ascii="宋体" w:hAnsi="宋体" w:cs="宋体"/>
          <w:sz w:val="22"/>
          <w:szCs w:val="22"/>
          <w:lang w:bidi="ar"/>
        </w:rPr>
        <w:t>… …</w:t>
      </w:r>
    </w:p>
    <w:p w14:paraId="4B23D75E">
      <w:pPr>
        <w:spacing w:line="480" w:lineRule="auto"/>
        <w:ind w:firstLine="420"/>
        <w:rPr>
          <w:rFonts w:ascii="宋体" w:hAnsi="宋体" w:cs="宋体"/>
          <w:sz w:val="22"/>
          <w:szCs w:val="22"/>
        </w:rPr>
      </w:pPr>
      <w:r>
        <w:rPr>
          <w:rFonts w:hint="eastAsia" w:ascii="宋体" w:hAnsi="宋体" w:cs="宋体"/>
          <w:sz w:val="22"/>
          <w:szCs w:val="22"/>
          <w:lang w:bidi="ar"/>
        </w:rPr>
        <w:t>以上企业，不属于大企业的分支机构，不存在控股股东为大企业的情形，也不存在与大企业的负责人为同一人的情形。</w:t>
      </w:r>
    </w:p>
    <w:p w14:paraId="402B85C9">
      <w:pPr>
        <w:spacing w:line="480" w:lineRule="auto"/>
        <w:ind w:firstLine="420"/>
        <w:rPr>
          <w:rFonts w:ascii="宋体" w:hAnsi="宋体" w:cs="宋体"/>
          <w:sz w:val="22"/>
          <w:szCs w:val="22"/>
        </w:rPr>
      </w:pPr>
      <w:r>
        <w:rPr>
          <w:rFonts w:hint="eastAsia" w:ascii="宋体" w:hAnsi="宋体" w:cs="宋体"/>
          <w:sz w:val="22"/>
          <w:szCs w:val="22"/>
          <w:lang w:bidi="ar"/>
        </w:rPr>
        <w:t>本企业对上述声明内容的真实性负责。如有虚假，将依法承担相应责任。</w:t>
      </w:r>
    </w:p>
    <w:p w14:paraId="128ACAFA">
      <w:pPr>
        <w:spacing w:line="480" w:lineRule="auto"/>
        <w:ind w:firstLine="4840" w:firstLineChars="2200"/>
        <w:rPr>
          <w:rFonts w:ascii="宋体" w:hAnsi="宋体" w:cs="宋体"/>
          <w:sz w:val="22"/>
          <w:szCs w:val="22"/>
        </w:rPr>
      </w:pPr>
      <w:r>
        <w:rPr>
          <w:rFonts w:hint="eastAsia" w:ascii="宋体" w:hAnsi="宋体" w:cs="宋体"/>
          <w:sz w:val="22"/>
          <w:szCs w:val="22"/>
          <w:lang w:bidi="ar"/>
        </w:rPr>
        <w:t>企业名称（盖章）：</w:t>
      </w:r>
    </w:p>
    <w:p w14:paraId="01463457">
      <w:pPr>
        <w:spacing w:line="480" w:lineRule="auto"/>
        <w:ind w:firstLine="4840" w:firstLineChars="2200"/>
        <w:rPr>
          <w:rFonts w:ascii="宋体" w:hAnsi="宋体" w:cs="宋体"/>
          <w:szCs w:val="21"/>
        </w:rPr>
      </w:pPr>
      <w:r>
        <w:rPr>
          <w:rFonts w:hint="eastAsia" w:ascii="宋体" w:hAnsi="宋体" w:cs="宋体"/>
          <w:sz w:val="22"/>
          <w:szCs w:val="22"/>
          <w:lang w:bidi="ar"/>
        </w:rPr>
        <w:t>日期</w:t>
      </w:r>
    </w:p>
    <w:p w14:paraId="06E29744">
      <w:pPr>
        <w:adjustRightInd w:val="0"/>
        <w:snapToGrid w:val="0"/>
        <w:spacing w:line="360" w:lineRule="auto"/>
        <w:rPr>
          <w:rFonts w:ascii="宋体" w:hAnsi="宋体" w:cs="宋体"/>
          <w:sz w:val="18"/>
          <w:szCs w:val="18"/>
        </w:rPr>
      </w:pPr>
      <w:r>
        <w:rPr>
          <w:rFonts w:hint="eastAsia" w:ascii="宋体" w:hAnsi="宋体" w:cs="宋体"/>
          <w:sz w:val="18"/>
          <w:szCs w:val="18"/>
          <w:lang w:bidi="ar"/>
        </w:rPr>
        <w:t>注：1.从业人员、营业收入、资产总额填报上一年度数据，无上一年度数据的新成立企业可不填报。</w:t>
      </w:r>
    </w:p>
    <w:p w14:paraId="5A2F4ABC">
      <w:pPr>
        <w:adjustRightInd w:val="0"/>
        <w:snapToGrid w:val="0"/>
        <w:spacing w:line="360" w:lineRule="auto"/>
        <w:rPr>
          <w:rFonts w:ascii="宋体" w:hAnsi="宋体" w:cs="宋体"/>
          <w:sz w:val="18"/>
          <w:szCs w:val="18"/>
        </w:rPr>
      </w:pPr>
      <w:r>
        <w:rPr>
          <w:rFonts w:hint="eastAsia" w:ascii="宋体" w:hAnsi="宋体" w:cs="宋体"/>
          <w:sz w:val="18"/>
          <w:szCs w:val="18"/>
          <w:lang w:bidi="ar"/>
        </w:rPr>
        <w:t>2.中小企业应当按照《政府采购促进中小企业发展管理办法》（财库〔2020〕46号）规定和《中小企业划型标准规定》（工信部联企业〔2011〕300号），如实填写并提交《中小企业声明函》。供应商对企业类型判断有困难的，可通过工业化和信息化部网站自测小程序，识别企业规模类型。（https://baosong.miit.gov.cn/ScaleTest）</w:t>
      </w:r>
    </w:p>
    <w:p w14:paraId="3E974601">
      <w:pPr>
        <w:jc w:val="left"/>
        <w:rPr>
          <w:rFonts w:ascii="仿宋_GB2312"/>
          <w:spacing w:val="6"/>
          <w:sz w:val="30"/>
          <w:szCs w:val="30"/>
        </w:rPr>
      </w:pPr>
      <w:r>
        <w:rPr>
          <w:rFonts w:hint="eastAsia" w:ascii="宋体" w:hAnsi="宋体" w:cs="宋体"/>
          <w:sz w:val="18"/>
          <w:szCs w:val="18"/>
          <w:lang w:bidi="ar"/>
        </w:rPr>
        <w:t>3.供应商填写本表时，应按格式要求填写，对企业类型填写应准确、唯一，不允许跨越式填写（如中小企业、小微企业等），所属行业不得更改，因供应商原因导致无法准确判断企业规模类型的，不予享受价格评审优惠政策。</w:t>
      </w:r>
    </w:p>
    <w:p w14:paraId="14DF7985">
      <w:pPr>
        <w:spacing w:line="588" w:lineRule="exact"/>
        <w:jc w:val="center"/>
        <w:rPr>
          <w:rFonts w:ascii="宋体" w:hAnsi="宋体" w:cs="宋体"/>
          <w:b/>
          <w:sz w:val="28"/>
          <w:szCs w:val="28"/>
          <w:lang w:bidi="ar"/>
        </w:rPr>
      </w:pPr>
      <w:r>
        <w:rPr>
          <w:rFonts w:hint="eastAsia" w:ascii="宋体" w:hAnsi="宋体" w:cs="宋体"/>
          <w:b/>
          <w:sz w:val="28"/>
          <w:szCs w:val="28"/>
          <w:lang w:bidi="ar"/>
        </w:rPr>
        <w:br w:type="page"/>
      </w:r>
    </w:p>
    <w:p w14:paraId="7E865821">
      <w:pPr>
        <w:spacing w:line="588" w:lineRule="exact"/>
        <w:jc w:val="center"/>
        <w:rPr>
          <w:rFonts w:ascii="宋体" w:hAnsi="宋体" w:cs="宋体"/>
          <w:b/>
          <w:sz w:val="28"/>
          <w:szCs w:val="28"/>
          <w:lang w:bidi="ar"/>
        </w:rPr>
      </w:pPr>
      <w:r>
        <w:rPr>
          <w:rFonts w:hint="eastAsia" w:ascii="宋体" w:hAnsi="宋体" w:cs="宋体"/>
          <w:b/>
          <w:sz w:val="28"/>
          <w:szCs w:val="28"/>
          <w:lang w:bidi="ar"/>
        </w:rPr>
        <w:t>残疾人福利性单位声明函</w:t>
      </w:r>
    </w:p>
    <w:p w14:paraId="31FC037C">
      <w:pPr>
        <w:spacing w:line="588" w:lineRule="exact"/>
        <w:jc w:val="center"/>
        <w:rPr>
          <w:rFonts w:ascii="仿宋_GB2312" w:eastAsia="仿宋_GB2312"/>
          <w:bCs/>
          <w:spacing w:val="6"/>
          <w:sz w:val="24"/>
        </w:rPr>
      </w:pPr>
      <w:r>
        <w:rPr>
          <w:rFonts w:hint="eastAsia" w:ascii="宋体" w:hAnsi="宋体" w:cs="宋体"/>
          <w:bCs/>
          <w:sz w:val="22"/>
          <w:szCs w:val="22"/>
          <w:lang w:bidi="ar"/>
        </w:rPr>
        <w:t>（非残疾人福利性单位无需提供）</w:t>
      </w:r>
    </w:p>
    <w:p w14:paraId="705AD579">
      <w:pPr>
        <w:spacing w:line="588" w:lineRule="exact"/>
        <w:rPr>
          <w:rFonts w:ascii="仿宋_GB2312" w:eastAsia="仿宋_GB2312"/>
          <w:b/>
          <w:spacing w:val="6"/>
          <w:sz w:val="30"/>
          <w:szCs w:val="30"/>
        </w:rPr>
      </w:pPr>
      <w:r>
        <w:rPr>
          <w:rFonts w:ascii="仿宋_GB2312" w:eastAsia="仿宋_GB2312"/>
          <w:b/>
          <w:spacing w:val="6"/>
          <w:sz w:val="30"/>
          <w:szCs w:val="30"/>
          <w:lang w:bidi="ar"/>
        </w:rPr>
        <w:t xml:space="preserve"> </w:t>
      </w:r>
    </w:p>
    <w:p w14:paraId="7E584221">
      <w:pPr>
        <w:spacing w:line="360" w:lineRule="auto"/>
        <w:ind w:firstLine="504" w:firstLineChars="200"/>
        <w:rPr>
          <w:rFonts w:ascii="宋体" w:hAnsi="宋体"/>
          <w:spacing w:val="6"/>
          <w:sz w:val="24"/>
        </w:rPr>
      </w:pPr>
      <w:r>
        <w:rPr>
          <w:rFonts w:hint="eastAsia" w:ascii="宋体" w:hAnsi="宋体" w:cs="宋体"/>
          <w:spacing w:val="6"/>
          <w:sz w:val="24"/>
          <w:lang w:bidi="ar"/>
        </w:rPr>
        <w:t>本单位郑重声明，根据《财政部</w:t>
      </w:r>
      <w:r>
        <w:rPr>
          <w:rFonts w:hint="eastAsia" w:ascii="宋体" w:hAnsi="宋体"/>
          <w:spacing w:val="6"/>
          <w:sz w:val="24"/>
          <w:lang w:bidi="ar"/>
        </w:rPr>
        <w:t xml:space="preserve"> </w:t>
      </w:r>
      <w:r>
        <w:rPr>
          <w:rFonts w:hint="eastAsia" w:ascii="宋体" w:hAnsi="宋体" w:cs="宋体"/>
          <w:spacing w:val="6"/>
          <w:sz w:val="24"/>
          <w:lang w:bidi="ar"/>
        </w:rPr>
        <w:t>民政部</w:t>
      </w:r>
      <w:r>
        <w:rPr>
          <w:rFonts w:hint="eastAsia" w:ascii="宋体" w:hAnsi="宋体"/>
          <w:spacing w:val="6"/>
          <w:sz w:val="24"/>
          <w:lang w:bidi="ar"/>
        </w:rPr>
        <w:t xml:space="preserve"> </w:t>
      </w:r>
      <w:r>
        <w:rPr>
          <w:rFonts w:hint="eastAsia" w:ascii="宋体" w:hAnsi="宋体" w:cs="宋体"/>
          <w:spacing w:val="6"/>
          <w:sz w:val="24"/>
          <w:lang w:bidi="ar"/>
        </w:rPr>
        <w:t>中国残疾人联合会关于促进残疾人就业政府采购政策的通知》（财库</w:t>
      </w:r>
      <w:r>
        <w:rPr>
          <w:rFonts w:hint="eastAsia" w:ascii="宋体" w:hAnsi="宋体" w:cs="宋体"/>
          <w:sz w:val="24"/>
          <w:lang w:bidi="ar"/>
        </w:rPr>
        <w:t>〔2017〕 141</w:t>
      </w:r>
      <w:r>
        <w:rPr>
          <w:rFonts w:hint="eastAsia" w:ascii="宋体" w:hAnsi="宋体" w:cs="宋体"/>
          <w:spacing w:val="6"/>
          <w:sz w:val="24"/>
          <w:lang w:bidi="ar"/>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4AE66AF1">
      <w:pPr>
        <w:spacing w:line="360" w:lineRule="auto"/>
        <w:ind w:firstLine="504" w:firstLineChars="200"/>
        <w:rPr>
          <w:rFonts w:ascii="宋体" w:hAnsi="宋体"/>
          <w:spacing w:val="6"/>
          <w:sz w:val="24"/>
        </w:rPr>
      </w:pPr>
      <w:r>
        <w:rPr>
          <w:rFonts w:hint="eastAsia" w:ascii="宋体" w:hAnsi="宋体" w:cs="宋体"/>
          <w:spacing w:val="6"/>
          <w:sz w:val="24"/>
          <w:lang w:bidi="ar"/>
        </w:rPr>
        <w:t>本单位对上述声明的真实性负责。如有虚假，将依法承担相应责任。</w:t>
      </w:r>
    </w:p>
    <w:p w14:paraId="11973557">
      <w:pPr>
        <w:spacing w:line="360" w:lineRule="auto"/>
        <w:ind w:firstLine="504" w:firstLineChars="200"/>
        <w:rPr>
          <w:rFonts w:ascii="宋体" w:hAnsi="宋体"/>
          <w:spacing w:val="6"/>
          <w:sz w:val="24"/>
        </w:rPr>
      </w:pPr>
      <w:r>
        <w:rPr>
          <w:rFonts w:hint="eastAsia" w:ascii="宋体" w:hAnsi="宋体"/>
          <w:spacing w:val="6"/>
          <w:sz w:val="24"/>
          <w:lang w:bidi="ar"/>
        </w:rPr>
        <w:t xml:space="preserve"> </w:t>
      </w:r>
    </w:p>
    <w:p w14:paraId="7764B679">
      <w:pPr>
        <w:spacing w:line="360" w:lineRule="auto"/>
        <w:ind w:right="1560" w:firstLine="504" w:firstLineChars="200"/>
        <w:jc w:val="center"/>
        <w:rPr>
          <w:rFonts w:ascii="宋体" w:hAnsi="宋体"/>
          <w:spacing w:val="6"/>
          <w:sz w:val="24"/>
        </w:rPr>
      </w:pPr>
      <w:r>
        <w:rPr>
          <w:rFonts w:hint="eastAsia" w:ascii="宋体" w:hAnsi="宋体"/>
          <w:spacing w:val="6"/>
          <w:sz w:val="24"/>
          <w:lang w:bidi="ar"/>
        </w:rPr>
        <w:t xml:space="preserve">               </w:t>
      </w:r>
    </w:p>
    <w:p w14:paraId="111ABE8A">
      <w:pPr>
        <w:spacing w:line="360" w:lineRule="auto"/>
        <w:ind w:right="1560" w:firstLine="504" w:firstLineChars="200"/>
        <w:jc w:val="center"/>
        <w:rPr>
          <w:rFonts w:ascii="宋体" w:hAnsi="宋体"/>
          <w:spacing w:val="6"/>
          <w:sz w:val="24"/>
        </w:rPr>
      </w:pPr>
      <w:r>
        <w:rPr>
          <w:rFonts w:hint="eastAsia" w:ascii="宋体" w:hAnsi="宋体"/>
          <w:spacing w:val="6"/>
          <w:sz w:val="24"/>
          <w:lang w:bidi="ar"/>
        </w:rPr>
        <w:t xml:space="preserve"> </w:t>
      </w:r>
    </w:p>
    <w:p w14:paraId="2CB47487">
      <w:pPr>
        <w:spacing w:line="360" w:lineRule="auto"/>
        <w:ind w:right="1560" w:firstLine="504" w:firstLineChars="200"/>
        <w:jc w:val="center"/>
        <w:rPr>
          <w:rFonts w:ascii="宋体" w:hAnsi="宋体"/>
          <w:spacing w:val="6"/>
          <w:sz w:val="24"/>
        </w:rPr>
      </w:pPr>
      <w:r>
        <w:rPr>
          <w:rFonts w:hint="eastAsia" w:ascii="宋体" w:hAnsi="宋体"/>
          <w:spacing w:val="6"/>
          <w:sz w:val="24"/>
          <w:lang w:bidi="ar"/>
        </w:rPr>
        <w:t xml:space="preserve">              </w:t>
      </w:r>
      <w:r>
        <w:rPr>
          <w:rFonts w:hint="eastAsia" w:ascii="宋体" w:hAnsi="宋体" w:cs="宋体"/>
          <w:spacing w:val="6"/>
          <w:sz w:val="24"/>
          <w:lang w:bidi="ar"/>
        </w:rPr>
        <w:t>单位名称（盖章）：</w:t>
      </w:r>
    </w:p>
    <w:p w14:paraId="232E92DC">
      <w:pPr>
        <w:spacing w:line="360" w:lineRule="auto"/>
        <w:ind w:left="283" w:leftChars="135" w:firstLine="4662" w:firstLineChars="1850"/>
        <w:jc w:val="left"/>
        <w:rPr>
          <w:rFonts w:ascii="宋体" w:hAnsi="宋体"/>
          <w:spacing w:val="6"/>
          <w:sz w:val="24"/>
        </w:rPr>
      </w:pPr>
      <w:r>
        <w:rPr>
          <w:rFonts w:hint="eastAsia" w:ascii="宋体" w:hAnsi="宋体" w:cs="宋体"/>
          <w:spacing w:val="6"/>
          <w:sz w:val="24"/>
          <w:lang w:bidi="ar"/>
        </w:rPr>
        <w:t>日</w:t>
      </w:r>
      <w:r>
        <w:rPr>
          <w:rFonts w:hint="eastAsia" w:ascii="宋体" w:hAnsi="宋体"/>
          <w:spacing w:val="6"/>
          <w:sz w:val="24"/>
          <w:lang w:bidi="ar"/>
        </w:rPr>
        <w:t xml:space="preserve">  </w:t>
      </w:r>
      <w:r>
        <w:rPr>
          <w:rFonts w:hint="eastAsia" w:ascii="宋体" w:hAnsi="宋体" w:cs="宋体"/>
          <w:spacing w:val="6"/>
          <w:sz w:val="24"/>
          <w:lang w:bidi="ar"/>
        </w:rPr>
        <w:t>期：</w:t>
      </w:r>
    </w:p>
    <w:p w14:paraId="1CA83768">
      <w:pPr>
        <w:spacing w:line="360" w:lineRule="auto"/>
        <w:ind w:left="283" w:leftChars="135" w:firstLine="378" w:firstLineChars="150"/>
        <w:jc w:val="left"/>
        <w:rPr>
          <w:rFonts w:ascii="宋体"/>
          <w:b/>
          <w:sz w:val="28"/>
          <w:szCs w:val="28"/>
        </w:rPr>
      </w:pPr>
      <w:r>
        <w:rPr>
          <w:rFonts w:hint="eastAsia" w:ascii="宋体" w:hAnsi="宋体"/>
          <w:spacing w:val="6"/>
          <w:sz w:val="24"/>
          <w:lang w:bidi="ar"/>
        </w:rPr>
        <w:t xml:space="preserve"> </w:t>
      </w:r>
      <w:r>
        <w:rPr>
          <w:rFonts w:hint="eastAsia" w:ascii="宋体"/>
          <w:b/>
          <w:sz w:val="28"/>
          <w:szCs w:val="28"/>
          <w:lang w:bidi="ar"/>
        </w:rPr>
        <w:t xml:space="preserve"> </w:t>
      </w:r>
    </w:p>
    <w:p w14:paraId="13CE0AD5">
      <w:pPr>
        <w:widowControl/>
        <w:jc w:val="center"/>
        <w:rPr>
          <w:rFonts w:ascii="宋体" w:hAnsi="宋体" w:cs="宋体"/>
          <w:b/>
          <w:sz w:val="28"/>
          <w:szCs w:val="28"/>
          <w:lang w:bidi="ar"/>
        </w:rPr>
      </w:pPr>
      <w:r>
        <w:rPr>
          <w:rFonts w:hint="eastAsia" w:ascii="宋体" w:hAnsi="宋体" w:cs="宋体"/>
          <w:b/>
          <w:sz w:val="28"/>
          <w:szCs w:val="28"/>
          <w:lang w:bidi="ar"/>
        </w:rPr>
        <w:t>监狱企业证明文件</w:t>
      </w:r>
    </w:p>
    <w:p w14:paraId="0F343568">
      <w:pPr>
        <w:widowControl/>
        <w:jc w:val="center"/>
        <w:rPr>
          <w:rFonts w:ascii="宋体" w:hAnsi="宋体"/>
          <w:spacing w:val="6"/>
          <w:sz w:val="24"/>
        </w:rPr>
      </w:pPr>
      <w:r>
        <w:rPr>
          <w:rFonts w:hint="eastAsia" w:ascii="宋体" w:hAnsi="宋体" w:cs="宋体"/>
          <w:bCs/>
          <w:sz w:val="22"/>
          <w:szCs w:val="22"/>
          <w:lang w:bidi="ar"/>
        </w:rPr>
        <w:t>（非监狱企业无需提供）</w:t>
      </w:r>
    </w:p>
    <w:p w14:paraId="3D4C2048">
      <w:pPr>
        <w:spacing w:line="360" w:lineRule="auto"/>
        <w:ind w:firstLine="480" w:firstLineChars="200"/>
        <w:jc w:val="left"/>
        <w:rPr>
          <w:rFonts w:ascii="宋体" w:hAnsi="宋体"/>
          <w:sz w:val="24"/>
        </w:rPr>
      </w:pPr>
      <w:r>
        <w:rPr>
          <w:rFonts w:hint="eastAsia" w:ascii="宋体" w:hAnsi="宋体" w:cs="宋体"/>
          <w:sz w:val="24"/>
          <w:lang w:bidi="ar"/>
        </w:rPr>
        <w:t>根据《财政部</w:t>
      </w:r>
      <w:r>
        <w:rPr>
          <w:rFonts w:hint="eastAsia" w:ascii="宋体" w:hAnsi="宋体"/>
          <w:sz w:val="24"/>
          <w:lang w:bidi="ar"/>
        </w:rPr>
        <w:t xml:space="preserve"> </w:t>
      </w:r>
      <w:r>
        <w:rPr>
          <w:rFonts w:hint="eastAsia" w:ascii="宋体" w:hAnsi="宋体" w:cs="宋体"/>
          <w:sz w:val="24"/>
          <w:lang w:bidi="ar"/>
        </w:rPr>
        <w:t>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1DEB9791">
      <w:pPr>
        <w:widowControl/>
        <w:ind w:firstLine="480" w:firstLineChars="200"/>
        <w:jc w:val="left"/>
        <w:rPr>
          <w:rFonts w:ascii="宋体" w:hAnsi="宋体"/>
          <w:sz w:val="24"/>
        </w:rPr>
      </w:pPr>
      <w:r>
        <w:rPr>
          <w:rFonts w:hint="eastAsia" w:ascii="宋体" w:hAnsi="宋体" w:cs="宋体"/>
          <w:sz w:val="24"/>
          <w:lang w:bidi="ar"/>
        </w:rPr>
        <w:t>监狱企业参加政府采购活动时，应当提供由省级以上监狱管理局、戒毒管理局（含新疆生产建设兵团）出具的属于监狱企业的证明文件。</w:t>
      </w:r>
    </w:p>
    <w:p w14:paraId="3F3C3B77">
      <w:pPr>
        <w:widowControl/>
        <w:jc w:val="center"/>
        <w:rPr>
          <w:rFonts w:ascii="宋体" w:hAnsi="宋体" w:cs="宋体"/>
          <w:b/>
          <w:sz w:val="28"/>
          <w:szCs w:val="28"/>
        </w:rPr>
      </w:pPr>
      <w:r>
        <w:rPr>
          <w:rFonts w:hint="eastAsia" w:ascii="宋体" w:hAnsi="宋体"/>
          <w:szCs w:val="21"/>
          <w:lang w:bidi="ar"/>
        </w:rPr>
        <w:t xml:space="preserve"> </w:t>
      </w:r>
      <w:r>
        <w:rPr>
          <w:rFonts w:hint="eastAsia" w:ascii="宋体" w:hAnsi="宋体" w:cs="宋体"/>
          <w:b/>
          <w:sz w:val="28"/>
          <w:szCs w:val="28"/>
          <w:lang w:bidi="ar"/>
        </w:rPr>
        <w:t xml:space="preserve"> </w:t>
      </w:r>
    </w:p>
    <w:p w14:paraId="4111C7F9">
      <w:pPr>
        <w:widowControl/>
        <w:jc w:val="center"/>
        <w:rPr>
          <w:rFonts w:ascii="宋体" w:hAnsi="宋体" w:cs="宋体"/>
          <w:b/>
          <w:sz w:val="28"/>
          <w:szCs w:val="28"/>
        </w:rPr>
      </w:pPr>
      <w:r>
        <w:rPr>
          <w:rFonts w:hint="eastAsia" w:ascii="宋体" w:hAnsi="宋体" w:cs="宋体"/>
          <w:b/>
          <w:sz w:val="28"/>
          <w:szCs w:val="28"/>
          <w:lang w:bidi="ar"/>
        </w:rPr>
        <w:t xml:space="preserve"> </w:t>
      </w:r>
    </w:p>
    <w:p w14:paraId="15E83751">
      <w:pPr>
        <w:widowControl/>
        <w:jc w:val="center"/>
        <w:rPr>
          <w:rFonts w:ascii="宋体" w:hAnsi="宋体" w:cs="宋体"/>
          <w:b/>
          <w:sz w:val="28"/>
          <w:szCs w:val="28"/>
        </w:rPr>
      </w:pPr>
      <w:r>
        <w:rPr>
          <w:rFonts w:hint="eastAsia" w:ascii="宋体" w:hAnsi="宋体" w:cs="宋体"/>
          <w:b/>
          <w:sz w:val="28"/>
          <w:szCs w:val="28"/>
          <w:lang w:bidi="ar"/>
        </w:rPr>
        <w:t>政府采购政策情况表</w:t>
      </w:r>
    </w:p>
    <w:p w14:paraId="04127350">
      <w:pPr>
        <w:spacing w:line="460" w:lineRule="exact"/>
        <w:jc w:val="center"/>
        <w:rPr>
          <w:sz w:val="24"/>
        </w:rPr>
      </w:pPr>
      <w:r>
        <w:rPr>
          <w:sz w:val="24"/>
          <w:lang w:bidi="ar"/>
        </w:rPr>
        <w:t xml:space="preserve"> </w:t>
      </w:r>
    </w:p>
    <w:p w14:paraId="66FBE02D">
      <w:pPr>
        <w:spacing w:line="460" w:lineRule="exact"/>
        <w:rPr>
          <w:rFonts w:ascii="宋体" w:hAnsi="宋体" w:cs="宋体"/>
          <w:sz w:val="24"/>
        </w:rPr>
      </w:pPr>
      <w:r>
        <w:rPr>
          <w:rFonts w:hint="eastAsia" w:ascii="宋体" w:hAnsi="宋体" w:cs="宋体"/>
          <w:sz w:val="24"/>
          <w:lang w:bidi="ar"/>
        </w:rPr>
        <w:t>项目名称：</w:t>
      </w:r>
      <w:r>
        <w:rPr>
          <w:rFonts w:hint="eastAsia" w:ascii="宋体" w:hAnsi="宋体" w:cs="宋体"/>
          <w:sz w:val="24"/>
          <w:u w:val="single"/>
          <w:lang w:bidi="ar"/>
        </w:rPr>
        <w:t xml:space="preserve">                    </w:t>
      </w:r>
    </w:p>
    <w:p w14:paraId="0C09E696">
      <w:pPr>
        <w:spacing w:line="460" w:lineRule="exact"/>
        <w:rPr>
          <w:rFonts w:ascii="宋体" w:hAnsi="宋体" w:cs="宋体"/>
          <w:sz w:val="24"/>
        </w:rPr>
      </w:pPr>
      <w:r>
        <w:rPr>
          <w:rFonts w:hint="eastAsia" w:ascii="宋体" w:hAnsi="宋体" w:cs="宋体"/>
          <w:sz w:val="24"/>
          <w:lang w:bidi="ar"/>
        </w:rPr>
        <w:t>项目编号：</w:t>
      </w:r>
      <w:r>
        <w:rPr>
          <w:rFonts w:hint="eastAsia" w:ascii="宋体" w:hAnsi="宋体" w:cs="宋体"/>
          <w:sz w:val="24"/>
          <w:u w:val="single"/>
          <w:lang w:bidi="ar"/>
        </w:rPr>
        <w:t xml:space="preserve">                    </w:t>
      </w:r>
    </w:p>
    <w:p w14:paraId="200F51DD">
      <w:pPr>
        <w:spacing w:line="460" w:lineRule="exact"/>
        <w:rPr>
          <w:rFonts w:ascii="宋体" w:hAnsi="宋体" w:cs="宋体"/>
          <w:sz w:val="24"/>
          <w:u w:val="single"/>
        </w:rPr>
      </w:pPr>
      <w:r>
        <w:rPr>
          <w:rFonts w:hint="eastAsia" w:ascii="宋体" w:hAnsi="宋体" w:cs="宋体"/>
          <w:sz w:val="24"/>
          <w:lang w:bidi="ar"/>
        </w:rPr>
        <w:t>包号：</w:t>
      </w:r>
      <w:r>
        <w:rPr>
          <w:rFonts w:hint="eastAsia" w:ascii="宋体" w:hAnsi="宋体" w:cs="宋体"/>
          <w:sz w:val="24"/>
          <w:u w:val="single"/>
          <w:lang w:bidi="ar"/>
        </w:rPr>
        <w:t xml:space="preserve">                        </w:t>
      </w:r>
    </w:p>
    <w:p w14:paraId="45ED50DB">
      <w:pPr>
        <w:spacing w:line="460" w:lineRule="exact"/>
        <w:rPr>
          <w:rFonts w:ascii="宋体" w:hAnsi="宋体" w:cs="宋体"/>
          <w:sz w:val="24"/>
        </w:rPr>
      </w:pPr>
      <w:r>
        <w:rPr>
          <w:rFonts w:hint="eastAsia" w:ascii="宋体" w:hAnsi="宋体" w:cs="宋体"/>
          <w:sz w:val="24"/>
          <w:lang w:bidi="ar"/>
        </w:rPr>
        <w:t>填报要求：</w:t>
      </w:r>
    </w:p>
    <w:p w14:paraId="517AFF05">
      <w:pPr>
        <w:spacing w:line="460" w:lineRule="exact"/>
        <w:rPr>
          <w:rFonts w:ascii="宋体" w:hAnsi="宋体" w:cs="宋体"/>
          <w:sz w:val="24"/>
        </w:rPr>
      </w:pPr>
      <w:r>
        <w:rPr>
          <w:rFonts w:hint="eastAsia" w:ascii="宋体" w:hAnsi="宋体" w:cs="宋体"/>
          <w:sz w:val="24"/>
          <w:lang w:bidi="ar"/>
        </w:rPr>
        <w:t>1.本表的产品名称、品牌型号、金额应与《分项报价表》一致。</w:t>
      </w:r>
    </w:p>
    <w:p w14:paraId="5DF50F72">
      <w:pPr>
        <w:spacing w:line="460" w:lineRule="exact"/>
        <w:rPr>
          <w:rFonts w:ascii="宋体" w:hAnsi="宋体" w:cs="宋体"/>
          <w:sz w:val="24"/>
        </w:rPr>
      </w:pPr>
      <w:r>
        <w:rPr>
          <w:rFonts w:hint="eastAsia" w:ascii="宋体" w:hAnsi="宋体" w:cs="宋体"/>
          <w:sz w:val="24"/>
          <w:lang w:bidi="ar"/>
        </w:rPr>
        <w:t>2.“制造商企业类型”栏填写内容为“微型”、“小型”、“监狱企业”或“残疾人福利性单位”。</w:t>
      </w:r>
    </w:p>
    <w:p w14:paraId="6576521B">
      <w:pPr>
        <w:spacing w:line="460" w:lineRule="exact"/>
        <w:rPr>
          <w:rFonts w:ascii="宋体" w:hAnsi="宋体" w:cs="宋体"/>
          <w:sz w:val="24"/>
        </w:rPr>
      </w:pPr>
      <w:r>
        <w:rPr>
          <w:rFonts w:hint="eastAsia" w:ascii="宋体" w:hAnsi="宋体" w:cs="宋体"/>
          <w:sz w:val="24"/>
          <w:lang w:bidi="ar"/>
        </w:rPr>
        <w:t>3. 环境标志产品是指财政部、生态环境部发布现行的《环境标志产品政府采购品目清单》中的产品；节能产品是指财政部和国家发展改革委员会公布现行的《节能产品政府采购品目清单》中的产品。提供相关产品认证证书。</w:t>
      </w:r>
    </w:p>
    <w:p w14:paraId="536FE294">
      <w:pPr>
        <w:spacing w:line="460" w:lineRule="exact"/>
        <w:rPr>
          <w:rFonts w:ascii="宋体" w:hAnsi="宋体" w:cs="宋体"/>
          <w:sz w:val="24"/>
        </w:rPr>
      </w:pPr>
      <w:r>
        <w:rPr>
          <w:rFonts w:hint="eastAsia" w:ascii="宋体" w:hAnsi="宋体" w:cs="宋体"/>
          <w:sz w:val="24"/>
          <w:lang w:bidi="ar"/>
        </w:rPr>
        <w:t>4. 请投标人正确填写本表，所填内容将作为评审的依据。其内容或数据应与对应的证明资料相符，如果填写不完整或有误，不再享受上述政策优惠。</w:t>
      </w:r>
    </w:p>
    <w:p w14:paraId="4D081D08">
      <w:pPr>
        <w:spacing w:line="460" w:lineRule="exact"/>
        <w:ind w:firstLine="7200" w:firstLineChars="3000"/>
        <w:rPr>
          <w:rFonts w:ascii="宋体" w:hAnsi="宋体" w:cs="宋体"/>
          <w:sz w:val="24"/>
        </w:rPr>
      </w:pPr>
      <w:r>
        <w:rPr>
          <w:rFonts w:hint="eastAsia" w:ascii="宋体" w:hAnsi="宋体" w:cs="宋体"/>
          <w:sz w:val="24"/>
          <w:lang w:bidi="ar"/>
        </w:rPr>
        <w:t>单位：元</w:t>
      </w:r>
    </w:p>
    <w:tbl>
      <w:tblPr>
        <w:tblStyle w:val="24"/>
        <w:tblW w:w="107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7"/>
        <w:gridCol w:w="1957"/>
        <w:gridCol w:w="2054"/>
        <w:gridCol w:w="1774"/>
        <w:gridCol w:w="2134"/>
        <w:gridCol w:w="1617"/>
      </w:tblGrid>
      <w:tr w14:paraId="4CAFC3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jc w:val="center"/>
        </w:trPr>
        <w:tc>
          <w:tcPr>
            <w:tcW w:w="1227"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41A25159">
            <w:pPr>
              <w:pStyle w:val="21"/>
              <w:adjustRightInd w:val="0"/>
              <w:snapToGrid w:val="0"/>
              <w:spacing w:before="0" w:beforeAutospacing="0" w:after="0" w:afterAutospacing="0"/>
              <w:jc w:val="center"/>
              <w:rPr>
                <w:rFonts w:ascii="宋体" w:hAnsi="宋体" w:cs="宋体"/>
                <w:kern w:val="2"/>
              </w:rPr>
            </w:pPr>
            <w:r>
              <w:rPr>
                <w:rFonts w:hint="eastAsia" w:ascii="宋体" w:hAnsi="宋体" w:cs="宋体"/>
                <w:kern w:val="2"/>
                <w:lang w:bidi="ar"/>
              </w:rPr>
              <w:t>环境标志产品</w:t>
            </w:r>
          </w:p>
        </w:tc>
        <w:tc>
          <w:tcPr>
            <w:tcW w:w="1957" w:type="dxa"/>
            <w:tcBorders>
              <w:top w:val="single" w:color="auto" w:sz="4" w:space="0"/>
              <w:left w:val="single" w:color="auto" w:sz="4" w:space="0"/>
              <w:bottom w:val="single" w:color="auto" w:sz="4" w:space="0"/>
              <w:right w:val="single" w:color="auto" w:sz="4" w:space="0"/>
            </w:tcBorders>
            <w:shd w:val="clear" w:color="auto" w:fill="auto"/>
            <w:vAlign w:val="center"/>
          </w:tcPr>
          <w:p w14:paraId="422F460E">
            <w:pPr>
              <w:pStyle w:val="21"/>
              <w:adjustRightInd w:val="0"/>
              <w:snapToGrid w:val="0"/>
              <w:spacing w:before="0" w:beforeAutospacing="0" w:after="0" w:afterAutospacing="0"/>
              <w:jc w:val="center"/>
              <w:rPr>
                <w:rFonts w:ascii="宋体" w:hAnsi="宋体" w:cs="宋体"/>
                <w:kern w:val="2"/>
              </w:rPr>
            </w:pPr>
            <w:r>
              <w:rPr>
                <w:rFonts w:hint="eastAsia" w:ascii="宋体" w:hAnsi="宋体" w:cs="宋体"/>
                <w:kern w:val="2"/>
                <w:lang w:bidi="ar"/>
              </w:rPr>
              <w:t>产品名称</w:t>
            </w:r>
          </w:p>
        </w:tc>
        <w:tc>
          <w:tcPr>
            <w:tcW w:w="2054" w:type="dxa"/>
            <w:tcBorders>
              <w:top w:val="single" w:color="auto" w:sz="4" w:space="0"/>
              <w:left w:val="single" w:color="auto" w:sz="4" w:space="0"/>
              <w:bottom w:val="single" w:color="auto" w:sz="4" w:space="0"/>
              <w:right w:val="single" w:color="auto" w:sz="4" w:space="0"/>
            </w:tcBorders>
            <w:shd w:val="clear" w:color="auto" w:fill="auto"/>
            <w:vAlign w:val="center"/>
          </w:tcPr>
          <w:p w14:paraId="5B7F2D3E">
            <w:pPr>
              <w:pStyle w:val="21"/>
              <w:adjustRightInd w:val="0"/>
              <w:snapToGrid w:val="0"/>
              <w:spacing w:before="0" w:beforeAutospacing="0" w:after="0" w:afterAutospacing="0"/>
              <w:jc w:val="center"/>
              <w:rPr>
                <w:rFonts w:ascii="宋体" w:hAnsi="宋体" w:cs="宋体"/>
                <w:kern w:val="2"/>
              </w:rPr>
            </w:pPr>
            <w:r>
              <w:rPr>
                <w:rFonts w:hint="eastAsia" w:ascii="宋体" w:hAnsi="宋体" w:cs="宋体"/>
                <w:kern w:val="2"/>
                <w:lang w:bidi="ar"/>
              </w:rPr>
              <w:t>品牌型号</w:t>
            </w:r>
          </w:p>
        </w:tc>
        <w:tc>
          <w:tcPr>
            <w:tcW w:w="1774" w:type="dxa"/>
            <w:tcBorders>
              <w:top w:val="single" w:color="auto" w:sz="4" w:space="0"/>
              <w:left w:val="single" w:color="auto" w:sz="4" w:space="0"/>
              <w:bottom w:val="single" w:color="auto" w:sz="4" w:space="0"/>
              <w:right w:val="single" w:color="auto" w:sz="4" w:space="0"/>
            </w:tcBorders>
            <w:shd w:val="clear" w:color="auto" w:fill="auto"/>
            <w:vAlign w:val="center"/>
          </w:tcPr>
          <w:p w14:paraId="0E4E4AD4">
            <w:pPr>
              <w:pStyle w:val="21"/>
              <w:adjustRightInd w:val="0"/>
              <w:snapToGrid w:val="0"/>
              <w:spacing w:before="0" w:beforeAutospacing="0" w:after="0" w:afterAutospacing="0"/>
              <w:jc w:val="center"/>
              <w:rPr>
                <w:rFonts w:ascii="宋体" w:hAnsi="宋体" w:cs="宋体"/>
                <w:kern w:val="2"/>
              </w:rPr>
            </w:pPr>
            <w:r>
              <w:rPr>
                <w:rFonts w:hint="eastAsia" w:ascii="宋体" w:hAnsi="宋体" w:cs="宋体"/>
                <w:kern w:val="2"/>
                <w:lang w:bidi="ar"/>
              </w:rPr>
              <w:t>制造商</w:t>
            </w:r>
          </w:p>
        </w:tc>
        <w:tc>
          <w:tcPr>
            <w:tcW w:w="2134" w:type="dxa"/>
            <w:tcBorders>
              <w:top w:val="single" w:color="auto" w:sz="4" w:space="0"/>
              <w:left w:val="single" w:color="auto" w:sz="4" w:space="0"/>
              <w:bottom w:val="single" w:color="auto" w:sz="4" w:space="0"/>
              <w:right w:val="single" w:color="auto" w:sz="4" w:space="0"/>
            </w:tcBorders>
            <w:shd w:val="clear" w:color="auto" w:fill="auto"/>
            <w:vAlign w:val="center"/>
          </w:tcPr>
          <w:p w14:paraId="465900E4">
            <w:pPr>
              <w:pStyle w:val="21"/>
              <w:adjustRightInd w:val="0"/>
              <w:snapToGrid w:val="0"/>
              <w:spacing w:before="0" w:beforeAutospacing="0" w:after="0" w:afterAutospacing="0"/>
              <w:jc w:val="center"/>
              <w:rPr>
                <w:rFonts w:ascii="宋体" w:hAnsi="宋体" w:cs="宋体"/>
                <w:kern w:val="2"/>
              </w:rPr>
            </w:pPr>
            <w:r>
              <w:rPr>
                <w:rFonts w:hint="eastAsia" w:ascii="宋体" w:hAnsi="宋体" w:cs="宋体"/>
                <w:kern w:val="2"/>
                <w:lang w:bidi="ar"/>
              </w:rPr>
              <w:t>环境标志认证证书编号</w:t>
            </w:r>
          </w:p>
        </w:tc>
        <w:tc>
          <w:tcPr>
            <w:tcW w:w="1617" w:type="dxa"/>
            <w:tcBorders>
              <w:top w:val="single" w:color="auto" w:sz="4" w:space="0"/>
              <w:left w:val="single" w:color="auto" w:sz="4" w:space="0"/>
              <w:bottom w:val="single" w:color="auto" w:sz="4" w:space="0"/>
              <w:right w:val="single" w:color="auto" w:sz="4" w:space="0"/>
            </w:tcBorders>
            <w:shd w:val="clear" w:color="auto" w:fill="auto"/>
            <w:vAlign w:val="center"/>
          </w:tcPr>
          <w:p w14:paraId="1847424A">
            <w:pPr>
              <w:pStyle w:val="21"/>
              <w:adjustRightInd w:val="0"/>
              <w:snapToGrid w:val="0"/>
              <w:spacing w:before="0" w:beforeAutospacing="0" w:after="0" w:afterAutospacing="0"/>
              <w:jc w:val="center"/>
              <w:rPr>
                <w:rFonts w:ascii="宋体" w:hAnsi="宋体" w:cs="宋体"/>
                <w:kern w:val="2"/>
              </w:rPr>
            </w:pPr>
            <w:r>
              <w:rPr>
                <w:rFonts w:hint="eastAsia" w:ascii="宋体" w:hAnsi="宋体" w:cs="宋体"/>
                <w:kern w:val="2"/>
                <w:lang w:bidi="ar"/>
              </w:rPr>
              <w:t>金额</w:t>
            </w:r>
          </w:p>
        </w:tc>
      </w:tr>
      <w:tr w14:paraId="763FD4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27"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2381858A">
            <w:pPr>
              <w:rPr>
                <w:sz w:val="20"/>
                <w:szCs w:val="20"/>
              </w:rPr>
            </w:pPr>
          </w:p>
        </w:tc>
        <w:tc>
          <w:tcPr>
            <w:tcW w:w="1957" w:type="dxa"/>
            <w:tcBorders>
              <w:top w:val="single" w:color="auto" w:sz="4" w:space="0"/>
              <w:left w:val="single" w:color="auto" w:sz="4" w:space="0"/>
              <w:bottom w:val="single" w:color="auto" w:sz="4" w:space="0"/>
              <w:right w:val="single" w:color="auto" w:sz="4" w:space="0"/>
            </w:tcBorders>
            <w:shd w:val="clear" w:color="auto" w:fill="auto"/>
            <w:vAlign w:val="center"/>
          </w:tcPr>
          <w:p w14:paraId="35D89053">
            <w:pPr>
              <w:pStyle w:val="21"/>
              <w:adjustRightInd w:val="0"/>
              <w:snapToGrid w:val="0"/>
              <w:spacing w:before="0" w:beforeAutospacing="0" w:after="0" w:afterAutospacing="0"/>
              <w:jc w:val="center"/>
              <w:rPr>
                <w:rFonts w:ascii="宋体" w:hAnsi="宋体" w:cs="宋体"/>
                <w:kern w:val="2"/>
              </w:rPr>
            </w:pPr>
          </w:p>
        </w:tc>
        <w:tc>
          <w:tcPr>
            <w:tcW w:w="2054" w:type="dxa"/>
            <w:tcBorders>
              <w:top w:val="single" w:color="auto" w:sz="4" w:space="0"/>
              <w:left w:val="single" w:color="auto" w:sz="4" w:space="0"/>
              <w:bottom w:val="single" w:color="auto" w:sz="4" w:space="0"/>
              <w:right w:val="single" w:color="auto" w:sz="4" w:space="0"/>
            </w:tcBorders>
            <w:shd w:val="clear" w:color="auto" w:fill="auto"/>
            <w:vAlign w:val="center"/>
          </w:tcPr>
          <w:p w14:paraId="7B0FF585">
            <w:pPr>
              <w:pStyle w:val="21"/>
              <w:adjustRightInd w:val="0"/>
              <w:snapToGrid w:val="0"/>
              <w:spacing w:before="0" w:beforeAutospacing="0" w:after="0" w:afterAutospacing="0"/>
              <w:jc w:val="center"/>
              <w:rPr>
                <w:rFonts w:ascii="宋体" w:hAnsi="宋体" w:cs="宋体"/>
                <w:kern w:val="2"/>
              </w:rPr>
            </w:pPr>
          </w:p>
        </w:tc>
        <w:tc>
          <w:tcPr>
            <w:tcW w:w="1774" w:type="dxa"/>
            <w:tcBorders>
              <w:top w:val="single" w:color="auto" w:sz="4" w:space="0"/>
              <w:left w:val="single" w:color="auto" w:sz="4" w:space="0"/>
              <w:bottom w:val="single" w:color="auto" w:sz="4" w:space="0"/>
              <w:right w:val="single" w:color="auto" w:sz="4" w:space="0"/>
            </w:tcBorders>
            <w:shd w:val="clear" w:color="auto" w:fill="auto"/>
            <w:vAlign w:val="center"/>
          </w:tcPr>
          <w:p w14:paraId="1E172F0D">
            <w:pPr>
              <w:pStyle w:val="21"/>
              <w:adjustRightInd w:val="0"/>
              <w:snapToGrid w:val="0"/>
              <w:spacing w:before="0" w:beforeAutospacing="0" w:after="0" w:afterAutospacing="0"/>
              <w:jc w:val="center"/>
              <w:rPr>
                <w:rFonts w:ascii="宋体" w:hAnsi="宋体" w:cs="宋体"/>
                <w:kern w:val="2"/>
              </w:rPr>
            </w:pPr>
          </w:p>
        </w:tc>
        <w:tc>
          <w:tcPr>
            <w:tcW w:w="2134" w:type="dxa"/>
            <w:tcBorders>
              <w:top w:val="single" w:color="auto" w:sz="4" w:space="0"/>
              <w:left w:val="single" w:color="auto" w:sz="4" w:space="0"/>
              <w:bottom w:val="single" w:color="auto" w:sz="4" w:space="0"/>
              <w:right w:val="single" w:color="auto" w:sz="4" w:space="0"/>
            </w:tcBorders>
            <w:shd w:val="clear" w:color="auto" w:fill="auto"/>
            <w:vAlign w:val="center"/>
          </w:tcPr>
          <w:p w14:paraId="53627A0E">
            <w:pPr>
              <w:pStyle w:val="21"/>
              <w:adjustRightInd w:val="0"/>
              <w:snapToGrid w:val="0"/>
              <w:spacing w:before="0" w:beforeAutospacing="0" w:after="0" w:afterAutospacing="0"/>
              <w:jc w:val="center"/>
              <w:rPr>
                <w:rFonts w:ascii="宋体" w:hAnsi="宋体" w:cs="宋体"/>
                <w:kern w:val="2"/>
              </w:rPr>
            </w:pPr>
          </w:p>
        </w:tc>
        <w:tc>
          <w:tcPr>
            <w:tcW w:w="1617" w:type="dxa"/>
            <w:tcBorders>
              <w:top w:val="single" w:color="auto" w:sz="4" w:space="0"/>
              <w:left w:val="single" w:color="auto" w:sz="4" w:space="0"/>
              <w:bottom w:val="single" w:color="auto" w:sz="4" w:space="0"/>
              <w:right w:val="single" w:color="auto" w:sz="4" w:space="0"/>
            </w:tcBorders>
            <w:shd w:val="clear" w:color="auto" w:fill="auto"/>
            <w:vAlign w:val="center"/>
          </w:tcPr>
          <w:p w14:paraId="15B39E57">
            <w:pPr>
              <w:pStyle w:val="21"/>
              <w:adjustRightInd w:val="0"/>
              <w:snapToGrid w:val="0"/>
              <w:spacing w:before="0" w:beforeAutospacing="0" w:after="0" w:afterAutospacing="0"/>
              <w:jc w:val="center"/>
              <w:rPr>
                <w:rFonts w:ascii="宋体" w:hAnsi="宋体" w:cs="宋体"/>
                <w:kern w:val="2"/>
              </w:rPr>
            </w:pPr>
          </w:p>
        </w:tc>
      </w:tr>
      <w:tr w14:paraId="647CE8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27"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5D753030">
            <w:pPr>
              <w:rPr>
                <w:sz w:val="20"/>
                <w:szCs w:val="20"/>
              </w:rPr>
            </w:pPr>
          </w:p>
        </w:tc>
        <w:tc>
          <w:tcPr>
            <w:tcW w:w="1957" w:type="dxa"/>
            <w:tcBorders>
              <w:top w:val="single" w:color="auto" w:sz="4" w:space="0"/>
              <w:left w:val="single" w:color="auto" w:sz="4" w:space="0"/>
              <w:bottom w:val="single" w:color="auto" w:sz="4" w:space="0"/>
              <w:right w:val="single" w:color="auto" w:sz="4" w:space="0"/>
            </w:tcBorders>
            <w:shd w:val="clear" w:color="auto" w:fill="auto"/>
            <w:vAlign w:val="center"/>
          </w:tcPr>
          <w:p w14:paraId="610DBF75">
            <w:pPr>
              <w:pStyle w:val="21"/>
              <w:adjustRightInd w:val="0"/>
              <w:snapToGrid w:val="0"/>
              <w:spacing w:before="0" w:beforeAutospacing="0" w:after="0" w:afterAutospacing="0"/>
              <w:jc w:val="center"/>
              <w:rPr>
                <w:rFonts w:ascii="宋体" w:hAnsi="宋体" w:cs="宋体"/>
                <w:kern w:val="2"/>
              </w:rPr>
            </w:pPr>
          </w:p>
        </w:tc>
        <w:tc>
          <w:tcPr>
            <w:tcW w:w="2054" w:type="dxa"/>
            <w:tcBorders>
              <w:top w:val="single" w:color="auto" w:sz="4" w:space="0"/>
              <w:left w:val="single" w:color="auto" w:sz="4" w:space="0"/>
              <w:bottom w:val="single" w:color="auto" w:sz="4" w:space="0"/>
              <w:right w:val="single" w:color="auto" w:sz="4" w:space="0"/>
            </w:tcBorders>
            <w:shd w:val="clear" w:color="auto" w:fill="auto"/>
            <w:vAlign w:val="center"/>
          </w:tcPr>
          <w:p w14:paraId="3635E336">
            <w:pPr>
              <w:pStyle w:val="21"/>
              <w:adjustRightInd w:val="0"/>
              <w:snapToGrid w:val="0"/>
              <w:spacing w:before="0" w:beforeAutospacing="0" w:after="0" w:afterAutospacing="0"/>
              <w:jc w:val="center"/>
              <w:rPr>
                <w:rFonts w:ascii="宋体" w:hAnsi="宋体" w:cs="宋体"/>
                <w:kern w:val="2"/>
              </w:rPr>
            </w:pPr>
          </w:p>
        </w:tc>
        <w:tc>
          <w:tcPr>
            <w:tcW w:w="1774" w:type="dxa"/>
            <w:tcBorders>
              <w:top w:val="single" w:color="auto" w:sz="4" w:space="0"/>
              <w:left w:val="single" w:color="auto" w:sz="4" w:space="0"/>
              <w:bottom w:val="single" w:color="auto" w:sz="4" w:space="0"/>
              <w:right w:val="single" w:color="auto" w:sz="4" w:space="0"/>
            </w:tcBorders>
            <w:shd w:val="clear" w:color="auto" w:fill="auto"/>
            <w:vAlign w:val="center"/>
          </w:tcPr>
          <w:p w14:paraId="0FA48389">
            <w:pPr>
              <w:pStyle w:val="21"/>
              <w:adjustRightInd w:val="0"/>
              <w:snapToGrid w:val="0"/>
              <w:spacing w:before="0" w:beforeAutospacing="0" w:after="0" w:afterAutospacing="0"/>
              <w:jc w:val="center"/>
              <w:rPr>
                <w:rFonts w:ascii="宋体" w:hAnsi="宋体" w:cs="宋体"/>
                <w:kern w:val="2"/>
              </w:rPr>
            </w:pPr>
          </w:p>
        </w:tc>
        <w:tc>
          <w:tcPr>
            <w:tcW w:w="2134" w:type="dxa"/>
            <w:tcBorders>
              <w:top w:val="single" w:color="auto" w:sz="4" w:space="0"/>
              <w:left w:val="single" w:color="auto" w:sz="4" w:space="0"/>
              <w:bottom w:val="single" w:color="auto" w:sz="4" w:space="0"/>
              <w:right w:val="single" w:color="auto" w:sz="4" w:space="0"/>
            </w:tcBorders>
            <w:shd w:val="clear" w:color="auto" w:fill="auto"/>
            <w:vAlign w:val="center"/>
          </w:tcPr>
          <w:p w14:paraId="24FDBD1E">
            <w:pPr>
              <w:pStyle w:val="21"/>
              <w:adjustRightInd w:val="0"/>
              <w:snapToGrid w:val="0"/>
              <w:spacing w:before="0" w:beforeAutospacing="0" w:after="0" w:afterAutospacing="0"/>
              <w:jc w:val="center"/>
              <w:rPr>
                <w:rFonts w:ascii="宋体" w:hAnsi="宋体" w:cs="宋体"/>
                <w:kern w:val="2"/>
              </w:rPr>
            </w:pPr>
          </w:p>
        </w:tc>
        <w:tc>
          <w:tcPr>
            <w:tcW w:w="1617" w:type="dxa"/>
            <w:tcBorders>
              <w:top w:val="single" w:color="auto" w:sz="4" w:space="0"/>
              <w:left w:val="single" w:color="auto" w:sz="4" w:space="0"/>
              <w:bottom w:val="single" w:color="auto" w:sz="4" w:space="0"/>
              <w:right w:val="single" w:color="auto" w:sz="4" w:space="0"/>
            </w:tcBorders>
            <w:shd w:val="clear" w:color="auto" w:fill="auto"/>
            <w:vAlign w:val="center"/>
          </w:tcPr>
          <w:p w14:paraId="1E29523E">
            <w:pPr>
              <w:pStyle w:val="21"/>
              <w:adjustRightInd w:val="0"/>
              <w:snapToGrid w:val="0"/>
              <w:spacing w:before="0" w:beforeAutospacing="0" w:after="0" w:afterAutospacing="0"/>
              <w:jc w:val="center"/>
              <w:rPr>
                <w:rFonts w:ascii="宋体" w:hAnsi="宋体" w:cs="宋体"/>
                <w:kern w:val="2"/>
              </w:rPr>
            </w:pPr>
          </w:p>
        </w:tc>
      </w:tr>
      <w:tr w14:paraId="166476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27"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0E3603DE">
            <w:pPr>
              <w:rPr>
                <w:sz w:val="20"/>
                <w:szCs w:val="20"/>
              </w:rPr>
            </w:pPr>
          </w:p>
        </w:tc>
        <w:tc>
          <w:tcPr>
            <w:tcW w:w="7919" w:type="dxa"/>
            <w:gridSpan w:val="4"/>
            <w:tcBorders>
              <w:top w:val="single" w:color="auto" w:sz="4" w:space="0"/>
              <w:left w:val="single" w:color="auto" w:sz="4" w:space="0"/>
              <w:bottom w:val="single" w:color="auto" w:sz="4" w:space="0"/>
              <w:right w:val="single" w:color="auto" w:sz="4" w:space="0"/>
            </w:tcBorders>
            <w:shd w:val="clear" w:color="auto" w:fill="auto"/>
            <w:vAlign w:val="center"/>
          </w:tcPr>
          <w:p w14:paraId="2C2402A4">
            <w:pPr>
              <w:pStyle w:val="21"/>
              <w:adjustRightInd w:val="0"/>
              <w:snapToGrid w:val="0"/>
              <w:spacing w:before="0" w:beforeAutospacing="0" w:after="0" w:afterAutospacing="0"/>
              <w:jc w:val="center"/>
              <w:rPr>
                <w:rFonts w:ascii="宋体" w:hAnsi="宋体" w:cs="宋体"/>
                <w:kern w:val="2"/>
              </w:rPr>
            </w:pPr>
            <w:r>
              <w:rPr>
                <w:rFonts w:hint="eastAsia" w:ascii="宋体" w:hAnsi="宋体" w:cs="宋体"/>
                <w:kern w:val="2"/>
                <w:lang w:bidi="ar"/>
              </w:rPr>
              <w:t>环境标志产品金额合计</w:t>
            </w:r>
          </w:p>
        </w:tc>
        <w:tc>
          <w:tcPr>
            <w:tcW w:w="1617" w:type="dxa"/>
            <w:tcBorders>
              <w:top w:val="single" w:color="auto" w:sz="4" w:space="0"/>
              <w:left w:val="single" w:color="auto" w:sz="4" w:space="0"/>
              <w:bottom w:val="single" w:color="auto" w:sz="4" w:space="0"/>
              <w:right w:val="single" w:color="auto" w:sz="4" w:space="0"/>
            </w:tcBorders>
            <w:shd w:val="clear" w:color="auto" w:fill="auto"/>
            <w:vAlign w:val="center"/>
          </w:tcPr>
          <w:p w14:paraId="04087F00">
            <w:pPr>
              <w:pStyle w:val="21"/>
              <w:adjustRightInd w:val="0"/>
              <w:snapToGrid w:val="0"/>
              <w:spacing w:before="0" w:beforeAutospacing="0" w:after="0" w:afterAutospacing="0"/>
              <w:jc w:val="center"/>
              <w:rPr>
                <w:rFonts w:ascii="宋体" w:hAnsi="宋体" w:cs="宋体"/>
                <w:b/>
                <w:kern w:val="2"/>
              </w:rPr>
            </w:pPr>
            <w:r>
              <w:rPr>
                <w:rFonts w:hint="eastAsia" w:ascii="宋体" w:hAnsi="宋体" w:cs="宋体"/>
                <w:b/>
                <w:kern w:val="2"/>
                <w:u w:val="single"/>
                <w:lang w:bidi="ar"/>
              </w:rPr>
              <w:t xml:space="preserve">     </w:t>
            </w:r>
            <w:r>
              <w:rPr>
                <w:rFonts w:hint="eastAsia" w:ascii="宋体" w:hAnsi="宋体" w:cs="宋体"/>
                <w:b/>
                <w:kern w:val="2"/>
                <w:lang w:bidi="ar"/>
              </w:rPr>
              <w:t>元</w:t>
            </w:r>
          </w:p>
        </w:tc>
      </w:tr>
      <w:tr w14:paraId="6065DD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27"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22FF7AB3">
            <w:pPr>
              <w:rPr>
                <w:sz w:val="20"/>
                <w:szCs w:val="20"/>
              </w:rPr>
            </w:pPr>
          </w:p>
        </w:tc>
        <w:tc>
          <w:tcPr>
            <w:tcW w:w="7919" w:type="dxa"/>
            <w:gridSpan w:val="4"/>
            <w:tcBorders>
              <w:top w:val="single" w:color="auto" w:sz="4" w:space="0"/>
              <w:left w:val="single" w:color="auto" w:sz="4" w:space="0"/>
              <w:bottom w:val="single" w:color="auto" w:sz="4" w:space="0"/>
              <w:right w:val="single" w:color="auto" w:sz="4" w:space="0"/>
            </w:tcBorders>
            <w:shd w:val="clear" w:color="auto" w:fill="auto"/>
            <w:vAlign w:val="center"/>
          </w:tcPr>
          <w:p w14:paraId="5825EBD5">
            <w:pPr>
              <w:pStyle w:val="21"/>
              <w:adjustRightInd w:val="0"/>
              <w:snapToGrid w:val="0"/>
              <w:spacing w:before="0" w:beforeAutospacing="0" w:after="0" w:afterAutospacing="0"/>
              <w:jc w:val="center"/>
              <w:rPr>
                <w:rFonts w:ascii="宋体" w:hAnsi="宋体" w:cs="宋体"/>
                <w:kern w:val="2"/>
              </w:rPr>
            </w:pPr>
            <w:r>
              <w:rPr>
                <w:rFonts w:hint="eastAsia" w:ascii="宋体" w:hAnsi="宋体" w:cs="宋体"/>
                <w:kern w:val="2"/>
                <w:lang w:bidi="ar"/>
              </w:rPr>
              <w:t>比重（环境标志产品金额/所投包投标总价）*100%</w:t>
            </w:r>
          </w:p>
        </w:tc>
        <w:tc>
          <w:tcPr>
            <w:tcW w:w="1617" w:type="dxa"/>
            <w:tcBorders>
              <w:top w:val="single" w:color="auto" w:sz="4" w:space="0"/>
              <w:left w:val="single" w:color="auto" w:sz="4" w:space="0"/>
              <w:bottom w:val="single" w:color="auto" w:sz="4" w:space="0"/>
              <w:right w:val="single" w:color="auto" w:sz="4" w:space="0"/>
            </w:tcBorders>
            <w:shd w:val="clear" w:color="auto" w:fill="auto"/>
            <w:vAlign w:val="center"/>
          </w:tcPr>
          <w:p w14:paraId="6A12EF23">
            <w:pPr>
              <w:pStyle w:val="21"/>
              <w:adjustRightInd w:val="0"/>
              <w:snapToGrid w:val="0"/>
              <w:spacing w:before="0" w:beforeAutospacing="0" w:after="0" w:afterAutospacing="0"/>
              <w:jc w:val="center"/>
              <w:rPr>
                <w:rFonts w:ascii="宋体" w:hAnsi="宋体" w:cs="宋体"/>
                <w:b/>
                <w:kern w:val="2"/>
              </w:rPr>
            </w:pPr>
            <w:r>
              <w:rPr>
                <w:rFonts w:hint="eastAsia" w:ascii="宋体" w:hAnsi="宋体" w:cs="宋体"/>
                <w:b/>
                <w:kern w:val="2"/>
                <w:u w:val="single"/>
                <w:lang w:bidi="ar"/>
              </w:rPr>
              <w:t xml:space="preserve">     </w:t>
            </w:r>
            <w:r>
              <w:rPr>
                <w:rFonts w:hint="eastAsia" w:ascii="宋体" w:hAnsi="宋体" w:cs="宋体"/>
                <w:b/>
                <w:kern w:val="2"/>
                <w:lang w:bidi="ar"/>
              </w:rPr>
              <w:t>%</w:t>
            </w:r>
          </w:p>
        </w:tc>
      </w:tr>
      <w:tr w14:paraId="4385B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27"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2FAD50B2">
            <w:pPr>
              <w:rPr>
                <w:sz w:val="20"/>
                <w:szCs w:val="20"/>
              </w:rPr>
            </w:pPr>
          </w:p>
        </w:tc>
        <w:tc>
          <w:tcPr>
            <w:tcW w:w="9536" w:type="dxa"/>
            <w:gridSpan w:val="5"/>
            <w:tcBorders>
              <w:top w:val="single" w:color="auto" w:sz="4" w:space="0"/>
              <w:left w:val="single" w:color="auto" w:sz="4" w:space="0"/>
              <w:bottom w:val="single" w:color="auto" w:sz="4" w:space="0"/>
              <w:right w:val="single" w:color="auto" w:sz="4" w:space="0"/>
            </w:tcBorders>
            <w:shd w:val="clear" w:color="auto" w:fill="auto"/>
            <w:vAlign w:val="center"/>
          </w:tcPr>
          <w:p w14:paraId="2FCFA2F7">
            <w:pPr>
              <w:pStyle w:val="21"/>
              <w:adjustRightInd w:val="0"/>
              <w:snapToGrid w:val="0"/>
              <w:spacing w:before="0" w:beforeAutospacing="0" w:after="0" w:afterAutospacing="0"/>
              <w:jc w:val="center"/>
              <w:rPr>
                <w:rFonts w:ascii="宋体" w:hAnsi="宋体" w:cs="宋体"/>
                <w:b/>
                <w:kern w:val="2"/>
              </w:rPr>
            </w:pPr>
            <w:r>
              <w:rPr>
                <w:rFonts w:hint="eastAsia" w:ascii="宋体" w:hAnsi="宋体" w:cs="宋体"/>
                <w:kern w:val="2"/>
                <w:lang w:bidi="ar"/>
              </w:rPr>
              <w:t>环境标志产品证明材料见投标文件第</w:t>
            </w:r>
            <w:r>
              <w:rPr>
                <w:rFonts w:hint="eastAsia" w:ascii="宋体" w:hAnsi="宋体" w:cs="宋体"/>
                <w:kern w:val="2"/>
                <w:u w:val="single"/>
                <w:lang w:bidi="ar"/>
              </w:rPr>
              <w:t xml:space="preserve">   </w:t>
            </w:r>
            <w:r>
              <w:rPr>
                <w:rFonts w:hint="eastAsia" w:ascii="宋体" w:hAnsi="宋体" w:cs="宋体"/>
                <w:kern w:val="2"/>
                <w:lang w:bidi="ar"/>
              </w:rPr>
              <w:t>至</w:t>
            </w:r>
            <w:r>
              <w:rPr>
                <w:rFonts w:hint="eastAsia" w:ascii="宋体" w:hAnsi="宋体" w:cs="宋体"/>
                <w:kern w:val="2"/>
                <w:u w:val="single"/>
                <w:lang w:bidi="ar"/>
              </w:rPr>
              <w:t xml:space="preserve">   </w:t>
            </w:r>
            <w:r>
              <w:rPr>
                <w:rFonts w:hint="eastAsia" w:ascii="宋体" w:hAnsi="宋体" w:cs="宋体"/>
                <w:kern w:val="2"/>
                <w:lang w:bidi="ar"/>
              </w:rPr>
              <w:t>页。</w:t>
            </w:r>
          </w:p>
        </w:tc>
      </w:tr>
      <w:tr w14:paraId="775C2B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1227" w:type="dxa"/>
            <w:vMerge w:val="restart"/>
            <w:tcBorders>
              <w:top w:val="nil"/>
              <w:left w:val="single" w:color="auto" w:sz="4" w:space="0"/>
              <w:bottom w:val="single" w:color="auto" w:sz="4" w:space="0"/>
              <w:right w:val="single" w:color="auto" w:sz="4" w:space="0"/>
            </w:tcBorders>
            <w:shd w:val="clear" w:color="auto" w:fill="auto"/>
            <w:vAlign w:val="center"/>
          </w:tcPr>
          <w:p w14:paraId="5ECCE882">
            <w:pPr>
              <w:pStyle w:val="21"/>
              <w:adjustRightInd w:val="0"/>
              <w:snapToGrid w:val="0"/>
              <w:spacing w:before="0" w:beforeAutospacing="0" w:after="0" w:afterAutospacing="0"/>
              <w:jc w:val="center"/>
              <w:rPr>
                <w:rFonts w:ascii="宋体" w:hAnsi="宋体" w:cs="宋体"/>
                <w:kern w:val="2"/>
              </w:rPr>
            </w:pPr>
            <w:r>
              <w:rPr>
                <w:rFonts w:hint="eastAsia" w:ascii="宋体" w:hAnsi="宋体" w:cs="宋体"/>
                <w:kern w:val="2"/>
                <w:lang w:bidi="ar"/>
              </w:rPr>
              <w:t>节能产品（非强制节能产品）</w:t>
            </w:r>
          </w:p>
        </w:tc>
        <w:tc>
          <w:tcPr>
            <w:tcW w:w="1957" w:type="dxa"/>
            <w:tcBorders>
              <w:top w:val="single" w:color="auto" w:sz="4" w:space="0"/>
              <w:left w:val="single" w:color="auto" w:sz="4" w:space="0"/>
              <w:bottom w:val="single" w:color="auto" w:sz="4" w:space="0"/>
              <w:right w:val="single" w:color="auto" w:sz="4" w:space="0"/>
            </w:tcBorders>
            <w:shd w:val="clear" w:color="auto" w:fill="auto"/>
            <w:vAlign w:val="center"/>
          </w:tcPr>
          <w:p w14:paraId="503F104F">
            <w:pPr>
              <w:pStyle w:val="21"/>
              <w:adjustRightInd w:val="0"/>
              <w:snapToGrid w:val="0"/>
              <w:spacing w:before="0" w:beforeAutospacing="0" w:after="0" w:afterAutospacing="0"/>
              <w:jc w:val="center"/>
              <w:rPr>
                <w:rFonts w:ascii="宋体" w:hAnsi="宋体" w:cs="宋体"/>
                <w:kern w:val="2"/>
              </w:rPr>
            </w:pPr>
            <w:r>
              <w:rPr>
                <w:rFonts w:hint="eastAsia" w:ascii="宋体" w:hAnsi="宋体" w:cs="宋体"/>
                <w:kern w:val="2"/>
                <w:lang w:bidi="ar"/>
              </w:rPr>
              <w:t>产品名称</w:t>
            </w:r>
          </w:p>
        </w:tc>
        <w:tc>
          <w:tcPr>
            <w:tcW w:w="2054" w:type="dxa"/>
            <w:tcBorders>
              <w:top w:val="single" w:color="auto" w:sz="4" w:space="0"/>
              <w:left w:val="single" w:color="auto" w:sz="4" w:space="0"/>
              <w:bottom w:val="single" w:color="auto" w:sz="4" w:space="0"/>
              <w:right w:val="single" w:color="auto" w:sz="4" w:space="0"/>
            </w:tcBorders>
            <w:shd w:val="clear" w:color="auto" w:fill="auto"/>
            <w:vAlign w:val="center"/>
          </w:tcPr>
          <w:p w14:paraId="02A9B386">
            <w:pPr>
              <w:pStyle w:val="21"/>
              <w:adjustRightInd w:val="0"/>
              <w:snapToGrid w:val="0"/>
              <w:spacing w:before="0" w:beforeAutospacing="0" w:after="0" w:afterAutospacing="0"/>
              <w:jc w:val="center"/>
              <w:rPr>
                <w:rFonts w:ascii="宋体" w:hAnsi="宋体" w:cs="宋体"/>
                <w:kern w:val="2"/>
              </w:rPr>
            </w:pPr>
            <w:r>
              <w:rPr>
                <w:rFonts w:hint="eastAsia" w:ascii="宋体" w:hAnsi="宋体" w:cs="宋体"/>
                <w:kern w:val="2"/>
                <w:lang w:bidi="ar"/>
              </w:rPr>
              <w:t>品牌型号</w:t>
            </w:r>
          </w:p>
        </w:tc>
        <w:tc>
          <w:tcPr>
            <w:tcW w:w="1774" w:type="dxa"/>
            <w:tcBorders>
              <w:top w:val="single" w:color="auto" w:sz="4" w:space="0"/>
              <w:left w:val="single" w:color="auto" w:sz="4" w:space="0"/>
              <w:bottom w:val="single" w:color="auto" w:sz="4" w:space="0"/>
              <w:right w:val="single" w:color="auto" w:sz="4" w:space="0"/>
            </w:tcBorders>
            <w:shd w:val="clear" w:color="auto" w:fill="auto"/>
            <w:vAlign w:val="center"/>
          </w:tcPr>
          <w:p w14:paraId="4FEF1FFE">
            <w:pPr>
              <w:pStyle w:val="21"/>
              <w:adjustRightInd w:val="0"/>
              <w:snapToGrid w:val="0"/>
              <w:spacing w:before="0" w:beforeAutospacing="0" w:after="0" w:afterAutospacing="0"/>
              <w:jc w:val="center"/>
              <w:rPr>
                <w:rFonts w:ascii="宋体" w:hAnsi="宋体" w:cs="宋体"/>
                <w:kern w:val="2"/>
              </w:rPr>
            </w:pPr>
            <w:r>
              <w:rPr>
                <w:rFonts w:hint="eastAsia" w:ascii="宋体" w:hAnsi="宋体" w:cs="宋体"/>
                <w:kern w:val="2"/>
                <w:lang w:bidi="ar"/>
              </w:rPr>
              <w:t>制造商</w:t>
            </w:r>
          </w:p>
        </w:tc>
        <w:tc>
          <w:tcPr>
            <w:tcW w:w="2134" w:type="dxa"/>
            <w:tcBorders>
              <w:top w:val="single" w:color="auto" w:sz="4" w:space="0"/>
              <w:left w:val="single" w:color="auto" w:sz="4" w:space="0"/>
              <w:bottom w:val="single" w:color="auto" w:sz="4" w:space="0"/>
              <w:right w:val="single" w:color="auto" w:sz="4" w:space="0"/>
            </w:tcBorders>
            <w:shd w:val="clear" w:color="auto" w:fill="auto"/>
            <w:vAlign w:val="center"/>
          </w:tcPr>
          <w:p w14:paraId="2747A268">
            <w:pPr>
              <w:pStyle w:val="21"/>
              <w:adjustRightInd w:val="0"/>
              <w:snapToGrid w:val="0"/>
              <w:spacing w:before="0" w:beforeAutospacing="0" w:after="0" w:afterAutospacing="0"/>
              <w:jc w:val="center"/>
              <w:rPr>
                <w:rFonts w:ascii="宋体" w:hAnsi="宋体" w:cs="宋体"/>
                <w:kern w:val="2"/>
              </w:rPr>
            </w:pPr>
            <w:r>
              <w:rPr>
                <w:rFonts w:hint="eastAsia" w:ascii="宋体" w:hAnsi="宋体" w:cs="宋体"/>
                <w:kern w:val="2"/>
                <w:lang w:bidi="ar"/>
              </w:rPr>
              <w:t>节能认证证书编号</w:t>
            </w:r>
          </w:p>
        </w:tc>
        <w:tc>
          <w:tcPr>
            <w:tcW w:w="1617" w:type="dxa"/>
            <w:tcBorders>
              <w:top w:val="single" w:color="auto" w:sz="4" w:space="0"/>
              <w:left w:val="single" w:color="auto" w:sz="4" w:space="0"/>
              <w:bottom w:val="single" w:color="auto" w:sz="4" w:space="0"/>
              <w:right w:val="single" w:color="auto" w:sz="4" w:space="0"/>
            </w:tcBorders>
            <w:shd w:val="clear" w:color="auto" w:fill="auto"/>
            <w:vAlign w:val="center"/>
          </w:tcPr>
          <w:p w14:paraId="53B3303B">
            <w:pPr>
              <w:pStyle w:val="21"/>
              <w:adjustRightInd w:val="0"/>
              <w:snapToGrid w:val="0"/>
              <w:spacing w:before="0" w:beforeAutospacing="0" w:after="0" w:afterAutospacing="0"/>
              <w:jc w:val="center"/>
              <w:rPr>
                <w:rFonts w:ascii="宋体" w:hAnsi="宋体" w:cs="宋体"/>
                <w:kern w:val="2"/>
              </w:rPr>
            </w:pPr>
            <w:r>
              <w:rPr>
                <w:rFonts w:hint="eastAsia" w:ascii="宋体" w:hAnsi="宋体" w:cs="宋体"/>
                <w:kern w:val="2"/>
                <w:lang w:bidi="ar"/>
              </w:rPr>
              <w:t>金额</w:t>
            </w:r>
          </w:p>
        </w:tc>
      </w:tr>
      <w:tr w14:paraId="34FAA0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27" w:type="dxa"/>
            <w:vMerge w:val="continue"/>
            <w:tcBorders>
              <w:top w:val="nil"/>
              <w:left w:val="single" w:color="auto" w:sz="4" w:space="0"/>
              <w:bottom w:val="single" w:color="auto" w:sz="4" w:space="0"/>
              <w:right w:val="single" w:color="auto" w:sz="4" w:space="0"/>
            </w:tcBorders>
            <w:shd w:val="clear" w:color="auto" w:fill="auto"/>
            <w:vAlign w:val="center"/>
          </w:tcPr>
          <w:p w14:paraId="66409D27">
            <w:pPr>
              <w:rPr>
                <w:sz w:val="20"/>
                <w:szCs w:val="20"/>
              </w:rPr>
            </w:pPr>
          </w:p>
        </w:tc>
        <w:tc>
          <w:tcPr>
            <w:tcW w:w="1957" w:type="dxa"/>
            <w:tcBorders>
              <w:top w:val="single" w:color="auto" w:sz="4" w:space="0"/>
              <w:left w:val="single" w:color="auto" w:sz="4" w:space="0"/>
              <w:bottom w:val="single" w:color="auto" w:sz="4" w:space="0"/>
              <w:right w:val="single" w:color="auto" w:sz="4" w:space="0"/>
            </w:tcBorders>
            <w:shd w:val="clear" w:color="auto" w:fill="auto"/>
            <w:vAlign w:val="center"/>
          </w:tcPr>
          <w:p w14:paraId="2CF904F3">
            <w:pPr>
              <w:pStyle w:val="21"/>
              <w:adjustRightInd w:val="0"/>
              <w:snapToGrid w:val="0"/>
              <w:spacing w:before="0" w:beforeAutospacing="0" w:after="0" w:afterAutospacing="0"/>
              <w:jc w:val="center"/>
              <w:rPr>
                <w:rFonts w:ascii="宋体" w:hAnsi="宋体" w:cs="宋体"/>
                <w:kern w:val="2"/>
              </w:rPr>
            </w:pPr>
          </w:p>
        </w:tc>
        <w:tc>
          <w:tcPr>
            <w:tcW w:w="2054" w:type="dxa"/>
            <w:tcBorders>
              <w:top w:val="single" w:color="auto" w:sz="4" w:space="0"/>
              <w:left w:val="single" w:color="auto" w:sz="4" w:space="0"/>
              <w:bottom w:val="single" w:color="auto" w:sz="4" w:space="0"/>
              <w:right w:val="single" w:color="auto" w:sz="4" w:space="0"/>
            </w:tcBorders>
            <w:shd w:val="clear" w:color="auto" w:fill="auto"/>
            <w:vAlign w:val="center"/>
          </w:tcPr>
          <w:p w14:paraId="54EDDF5F">
            <w:pPr>
              <w:pStyle w:val="21"/>
              <w:adjustRightInd w:val="0"/>
              <w:snapToGrid w:val="0"/>
              <w:spacing w:before="0" w:beforeAutospacing="0" w:after="0" w:afterAutospacing="0"/>
              <w:jc w:val="center"/>
              <w:rPr>
                <w:rFonts w:ascii="宋体" w:hAnsi="宋体" w:cs="宋体"/>
                <w:kern w:val="2"/>
              </w:rPr>
            </w:pPr>
          </w:p>
        </w:tc>
        <w:tc>
          <w:tcPr>
            <w:tcW w:w="1774" w:type="dxa"/>
            <w:tcBorders>
              <w:top w:val="single" w:color="auto" w:sz="4" w:space="0"/>
              <w:left w:val="single" w:color="auto" w:sz="4" w:space="0"/>
              <w:bottom w:val="single" w:color="auto" w:sz="4" w:space="0"/>
              <w:right w:val="single" w:color="auto" w:sz="4" w:space="0"/>
            </w:tcBorders>
            <w:shd w:val="clear" w:color="auto" w:fill="auto"/>
            <w:vAlign w:val="center"/>
          </w:tcPr>
          <w:p w14:paraId="48412580">
            <w:pPr>
              <w:pStyle w:val="21"/>
              <w:adjustRightInd w:val="0"/>
              <w:snapToGrid w:val="0"/>
              <w:spacing w:before="0" w:beforeAutospacing="0" w:after="0" w:afterAutospacing="0"/>
              <w:jc w:val="center"/>
              <w:rPr>
                <w:rFonts w:ascii="宋体" w:hAnsi="宋体" w:cs="宋体"/>
                <w:kern w:val="2"/>
              </w:rPr>
            </w:pPr>
          </w:p>
        </w:tc>
        <w:tc>
          <w:tcPr>
            <w:tcW w:w="2134" w:type="dxa"/>
            <w:tcBorders>
              <w:top w:val="single" w:color="auto" w:sz="4" w:space="0"/>
              <w:left w:val="single" w:color="auto" w:sz="4" w:space="0"/>
              <w:bottom w:val="single" w:color="auto" w:sz="4" w:space="0"/>
              <w:right w:val="single" w:color="auto" w:sz="4" w:space="0"/>
            </w:tcBorders>
            <w:shd w:val="clear" w:color="auto" w:fill="auto"/>
            <w:vAlign w:val="center"/>
          </w:tcPr>
          <w:p w14:paraId="05505697">
            <w:pPr>
              <w:pStyle w:val="21"/>
              <w:adjustRightInd w:val="0"/>
              <w:snapToGrid w:val="0"/>
              <w:spacing w:before="0" w:beforeAutospacing="0" w:after="0" w:afterAutospacing="0"/>
              <w:jc w:val="center"/>
              <w:rPr>
                <w:rFonts w:ascii="宋体" w:hAnsi="宋体" w:cs="宋体"/>
                <w:kern w:val="2"/>
              </w:rPr>
            </w:pPr>
          </w:p>
        </w:tc>
        <w:tc>
          <w:tcPr>
            <w:tcW w:w="1617" w:type="dxa"/>
            <w:tcBorders>
              <w:top w:val="single" w:color="auto" w:sz="4" w:space="0"/>
              <w:left w:val="single" w:color="auto" w:sz="4" w:space="0"/>
              <w:bottom w:val="single" w:color="auto" w:sz="4" w:space="0"/>
              <w:right w:val="single" w:color="auto" w:sz="4" w:space="0"/>
            </w:tcBorders>
            <w:shd w:val="clear" w:color="auto" w:fill="auto"/>
            <w:vAlign w:val="center"/>
          </w:tcPr>
          <w:p w14:paraId="4DDE2EEB">
            <w:pPr>
              <w:pStyle w:val="21"/>
              <w:adjustRightInd w:val="0"/>
              <w:snapToGrid w:val="0"/>
              <w:spacing w:before="0" w:beforeAutospacing="0" w:after="0" w:afterAutospacing="0"/>
              <w:jc w:val="center"/>
              <w:rPr>
                <w:rFonts w:ascii="宋体" w:hAnsi="宋体" w:cs="宋体"/>
                <w:kern w:val="2"/>
              </w:rPr>
            </w:pPr>
          </w:p>
        </w:tc>
      </w:tr>
      <w:tr w14:paraId="7631BF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27" w:type="dxa"/>
            <w:vMerge w:val="continue"/>
            <w:tcBorders>
              <w:top w:val="nil"/>
              <w:left w:val="single" w:color="auto" w:sz="4" w:space="0"/>
              <w:bottom w:val="single" w:color="auto" w:sz="4" w:space="0"/>
              <w:right w:val="single" w:color="auto" w:sz="4" w:space="0"/>
            </w:tcBorders>
            <w:shd w:val="clear" w:color="auto" w:fill="auto"/>
            <w:vAlign w:val="center"/>
          </w:tcPr>
          <w:p w14:paraId="38708EB4">
            <w:pPr>
              <w:rPr>
                <w:sz w:val="20"/>
                <w:szCs w:val="20"/>
              </w:rPr>
            </w:pPr>
          </w:p>
        </w:tc>
        <w:tc>
          <w:tcPr>
            <w:tcW w:w="1957" w:type="dxa"/>
            <w:tcBorders>
              <w:top w:val="single" w:color="auto" w:sz="4" w:space="0"/>
              <w:left w:val="single" w:color="auto" w:sz="4" w:space="0"/>
              <w:bottom w:val="single" w:color="auto" w:sz="4" w:space="0"/>
              <w:right w:val="single" w:color="auto" w:sz="4" w:space="0"/>
            </w:tcBorders>
            <w:shd w:val="clear" w:color="auto" w:fill="auto"/>
            <w:vAlign w:val="center"/>
          </w:tcPr>
          <w:p w14:paraId="49F44EC8">
            <w:pPr>
              <w:pStyle w:val="21"/>
              <w:adjustRightInd w:val="0"/>
              <w:snapToGrid w:val="0"/>
              <w:spacing w:before="0" w:beforeAutospacing="0" w:after="0" w:afterAutospacing="0"/>
              <w:jc w:val="center"/>
              <w:rPr>
                <w:rFonts w:ascii="宋体" w:hAnsi="宋体" w:cs="宋体"/>
                <w:kern w:val="2"/>
              </w:rPr>
            </w:pPr>
          </w:p>
        </w:tc>
        <w:tc>
          <w:tcPr>
            <w:tcW w:w="2054" w:type="dxa"/>
            <w:tcBorders>
              <w:top w:val="single" w:color="auto" w:sz="4" w:space="0"/>
              <w:left w:val="single" w:color="auto" w:sz="4" w:space="0"/>
              <w:bottom w:val="single" w:color="auto" w:sz="4" w:space="0"/>
              <w:right w:val="single" w:color="auto" w:sz="4" w:space="0"/>
            </w:tcBorders>
            <w:shd w:val="clear" w:color="auto" w:fill="auto"/>
            <w:vAlign w:val="center"/>
          </w:tcPr>
          <w:p w14:paraId="69F4977B">
            <w:pPr>
              <w:pStyle w:val="21"/>
              <w:adjustRightInd w:val="0"/>
              <w:snapToGrid w:val="0"/>
              <w:spacing w:before="0" w:beforeAutospacing="0" w:after="0" w:afterAutospacing="0"/>
              <w:jc w:val="center"/>
              <w:rPr>
                <w:rFonts w:ascii="宋体" w:hAnsi="宋体" w:cs="宋体"/>
                <w:kern w:val="2"/>
              </w:rPr>
            </w:pPr>
          </w:p>
        </w:tc>
        <w:tc>
          <w:tcPr>
            <w:tcW w:w="1774" w:type="dxa"/>
            <w:tcBorders>
              <w:top w:val="single" w:color="auto" w:sz="4" w:space="0"/>
              <w:left w:val="single" w:color="auto" w:sz="4" w:space="0"/>
              <w:bottom w:val="single" w:color="auto" w:sz="4" w:space="0"/>
              <w:right w:val="single" w:color="auto" w:sz="4" w:space="0"/>
            </w:tcBorders>
            <w:shd w:val="clear" w:color="auto" w:fill="auto"/>
            <w:vAlign w:val="center"/>
          </w:tcPr>
          <w:p w14:paraId="7B2450D4">
            <w:pPr>
              <w:pStyle w:val="21"/>
              <w:adjustRightInd w:val="0"/>
              <w:snapToGrid w:val="0"/>
              <w:spacing w:before="0" w:beforeAutospacing="0" w:after="0" w:afterAutospacing="0"/>
              <w:jc w:val="center"/>
              <w:rPr>
                <w:rFonts w:ascii="宋体" w:hAnsi="宋体" w:cs="宋体"/>
                <w:kern w:val="2"/>
              </w:rPr>
            </w:pPr>
          </w:p>
        </w:tc>
        <w:tc>
          <w:tcPr>
            <w:tcW w:w="2134" w:type="dxa"/>
            <w:tcBorders>
              <w:top w:val="single" w:color="auto" w:sz="4" w:space="0"/>
              <w:left w:val="single" w:color="auto" w:sz="4" w:space="0"/>
              <w:bottom w:val="single" w:color="auto" w:sz="4" w:space="0"/>
              <w:right w:val="single" w:color="auto" w:sz="4" w:space="0"/>
            </w:tcBorders>
            <w:shd w:val="clear" w:color="auto" w:fill="auto"/>
            <w:vAlign w:val="center"/>
          </w:tcPr>
          <w:p w14:paraId="7E609F3F">
            <w:pPr>
              <w:pStyle w:val="21"/>
              <w:adjustRightInd w:val="0"/>
              <w:snapToGrid w:val="0"/>
              <w:spacing w:before="0" w:beforeAutospacing="0" w:after="0" w:afterAutospacing="0"/>
              <w:jc w:val="center"/>
              <w:rPr>
                <w:rFonts w:ascii="宋体" w:hAnsi="宋体" w:cs="宋体"/>
                <w:kern w:val="2"/>
              </w:rPr>
            </w:pPr>
          </w:p>
        </w:tc>
        <w:tc>
          <w:tcPr>
            <w:tcW w:w="1617" w:type="dxa"/>
            <w:tcBorders>
              <w:top w:val="single" w:color="auto" w:sz="4" w:space="0"/>
              <w:left w:val="single" w:color="auto" w:sz="4" w:space="0"/>
              <w:bottom w:val="single" w:color="auto" w:sz="4" w:space="0"/>
              <w:right w:val="single" w:color="auto" w:sz="4" w:space="0"/>
            </w:tcBorders>
            <w:shd w:val="clear" w:color="auto" w:fill="auto"/>
            <w:vAlign w:val="center"/>
          </w:tcPr>
          <w:p w14:paraId="3B070D9B">
            <w:pPr>
              <w:pStyle w:val="21"/>
              <w:adjustRightInd w:val="0"/>
              <w:snapToGrid w:val="0"/>
              <w:spacing w:before="0" w:beforeAutospacing="0" w:after="0" w:afterAutospacing="0"/>
              <w:jc w:val="center"/>
              <w:rPr>
                <w:rFonts w:ascii="宋体" w:hAnsi="宋体" w:cs="宋体"/>
                <w:kern w:val="2"/>
              </w:rPr>
            </w:pPr>
          </w:p>
        </w:tc>
      </w:tr>
      <w:tr w14:paraId="12C6E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27" w:type="dxa"/>
            <w:vMerge w:val="continue"/>
            <w:tcBorders>
              <w:top w:val="nil"/>
              <w:left w:val="single" w:color="auto" w:sz="4" w:space="0"/>
              <w:bottom w:val="single" w:color="auto" w:sz="4" w:space="0"/>
              <w:right w:val="single" w:color="auto" w:sz="4" w:space="0"/>
            </w:tcBorders>
            <w:shd w:val="clear" w:color="auto" w:fill="auto"/>
            <w:vAlign w:val="center"/>
          </w:tcPr>
          <w:p w14:paraId="21649433">
            <w:pPr>
              <w:rPr>
                <w:sz w:val="20"/>
                <w:szCs w:val="20"/>
              </w:rPr>
            </w:pPr>
          </w:p>
        </w:tc>
        <w:tc>
          <w:tcPr>
            <w:tcW w:w="7919" w:type="dxa"/>
            <w:gridSpan w:val="4"/>
            <w:tcBorders>
              <w:top w:val="single" w:color="auto" w:sz="4" w:space="0"/>
              <w:left w:val="single" w:color="auto" w:sz="4" w:space="0"/>
              <w:bottom w:val="single" w:color="auto" w:sz="4" w:space="0"/>
              <w:right w:val="single" w:color="auto" w:sz="4" w:space="0"/>
            </w:tcBorders>
            <w:shd w:val="clear" w:color="auto" w:fill="auto"/>
            <w:vAlign w:val="center"/>
          </w:tcPr>
          <w:p w14:paraId="34AD88CC">
            <w:pPr>
              <w:pStyle w:val="21"/>
              <w:adjustRightInd w:val="0"/>
              <w:snapToGrid w:val="0"/>
              <w:spacing w:before="0" w:beforeAutospacing="0" w:after="0" w:afterAutospacing="0"/>
              <w:jc w:val="center"/>
              <w:rPr>
                <w:rFonts w:ascii="宋体" w:hAnsi="宋体" w:cs="宋体"/>
                <w:kern w:val="2"/>
              </w:rPr>
            </w:pPr>
            <w:r>
              <w:rPr>
                <w:rFonts w:hint="eastAsia" w:ascii="宋体" w:hAnsi="宋体" w:cs="宋体"/>
                <w:kern w:val="2"/>
                <w:lang w:bidi="ar"/>
              </w:rPr>
              <w:t>节能产品（不包括强制节能产品）金额合计</w:t>
            </w:r>
          </w:p>
        </w:tc>
        <w:tc>
          <w:tcPr>
            <w:tcW w:w="1617" w:type="dxa"/>
            <w:tcBorders>
              <w:top w:val="single" w:color="auto" w:sz="4" w:space="0"/>
              <w:left w:val="single" w:color="auto" w:sz="4" w:space="0"/>
              <w:bottom w:val="single" w:color="auto" w:sz="4" w:space="0"/>
              <w:right w:val="single" w:color="auto" w:sz="4" w:space="0"/>
            </w:tcBorders>
            <w:shd w:val="clear" w:color="auto" w:fill="auto"/>
            <w:vAlign w:val="center"/>
          </w:tcPr>
          <w:p w14:paraId="71E539F0">
            <w:pPr>
              <w:pStyle w:val="21"/>
              <w:adjustRightInd w:val="0"/>
              <w:snapToGrid w:val="0"/>
              <w:spacing w:before="0" w:beforeAutospacing="0" w:after="0" w:afterAutospacing="0"/>
              <w:jc w:val="center"/>
              <w:rPr>
                <w:rFonts w:ascii="宋体" w:hAnsi="宋体" w:cs="宋体"/>
                <w:b/>
                <w:kern w:val="2"/>
              </w:rPr>
            </w:pPr>
            <w:r>
              <w:rPr>
                <w:rFonts w:hint="eastAsia" w:ascii="宋体" w:hAnsi="宋体" w:cs="宋体"/>
                <w:b/>
                <w:kern w:val="2"/>
                <w:u w:val="single"/>
                <w:lang w:bidi="ar"/>
              </w:rPr>
              <w:t xml:space="preserve">     </w:t>
            </w:r>
            <w:r>
              <w:rPr>
                <w:rFonts w:hint="eastAsia" w:ascii="宋体" w:hAnsi="宋体" w:cs="宋体"/>
                <w:b/>
                <w:kern w:val="2"/>
                <w:lang w:bidi="ar"/>
              </w:rPr>
              <w:t>元</w:t>
            </w:r>
          </w:p>
        </w:tc>
      </w:tr>
      <w:tr w14:paraId="05B854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27" w:type="dxa"/>
            <w:vMerge w:val="continue"/>
            <w:tcBorders>
              <w:top w:val="nil"/>
              <w:left w:val="single" w:color="auto" w:sz="4" w:space="0"/>
              <w:bottom w:val="single" w:color="auto" w:sz="4" w:space="0"/>
              <w:right w:val="single" w:color="auto" w:sz="4" w:space="0"/>
            </w:tcBorders>
            <w:shd w:val="clear" w:color="auto" w:fill="auto"/>
            <w:vAlign w:val="center"/>
          </w:tcPr>
          <w:p w14:paraId="378F9065">
            <w:pPr>
              <w:rPr>
                <w:sz w:val="20"/>
                <w:szCs w:val="20"/>
              </w:rPr>
            </w:pPr>
          </w:p>
        </w:tc>
        <w:tc>
          <w:tcPr>
            <w:tcW w:w="7919" w:type="dxa"/>
            <w:gridSpan w:val="4"/>
            <w:tcBorders>
              <w:top w:val="single" w:color="auto" w:sz="4" w:space="0"/>
              <w:left w:val="single" w:color="auto" w:sz="4" w:space="0"/>
              <w:bottom w:val="single" w:color="auto" w:sz="4" w:space="0"/>
              <w:right w:val="single" w:color="auto" w:sz="4" w:space="0"/>
            </w:tcBorders>
            <w:shd w:val="clear" w:color="auto" w:fill="auto"/>
            <w:vAlign w:val="center"/>
          </w:tcPr>
          <w:p w14:paraId="624FFB61">
            <w:pPr>
              <w:pStyle w:val="21"/>
              <w:adjustRightInd w:val="0"/>
              <w:snapToGrid w:val="0"/>
              <w:spacing w:before="0" w:beforeAutospacing="0" w:after="0" w:afterAutospacing="0"/>
              <w:jc w:val="center"/>
              <w:rPr>
                <w:rFonts w:ascii="宋体" w:hAnsi="宋体" w:cs="宋体"/>
                <w:kern w:val="2"/>
              </w:rPr>
            </w:pPr>
            <w:r>
              <w:rPr>
                <w:rFonts w:hint="eastAsia" w:ascii="宋体" w:hAnsi="宋体" w:cs="宋体"/>
                <w:kern w:val="2"/>
                <w:lang w:bidi="ar"/>
              </w:rPr>
              <w:t>比重（节能产品金额/投标所投包总价）*100%</w:t>
            </w:r>
          </w:p>
        </w:tc>
        <w:tc>
          <w:tcPr>
            <w:tcW w:w="1617" w:type="dxa"/>
            <w:tcBorders>
              <w:top w:val="single" w:color="auto" w:sz="4" w:space="0"/>
              <w:left w:val="single" w:color="auto" w:sz="4" w:space="0"/>
              <w:bottom w:val="single" w:color="auto" w:sz="4" w:space="0"/>
              <w:right w:val="single" w:color="auto" w:sz="4" w:space="0"/>
            </w:tcBorders>
            <w:shd w:val="clear" w:color="auto" w:fill="auto"/>
            <w:vAlign w:val="center"/>
          </w:tcPr>
          <w:p w14:paraId="1BDDB558">
            <w:pPr>
              <w:pStyle w:val="21"/>
              <w:adjustRightInd w:val="0"/>
              <w:snapToGrid w:val="0"/>
              <w:spacing w:before="0" w:beforeAutospacing="0" w:after="0" w:afterAutospacing="0"/>
              <w:jc w:val="center"/>
              <w:rPr>
                <w:rFonts w:ascii="宋体" w:hAnsi="宋体" w:cs="宋体"/>
                <w:b/>
                <w:kern w:val="2"/>
              </w:rPr>
            </w:pPr>
            <w:r>
              <w:rPr>
                <w:rFonts w:hint="eastAsia" w:ascii="宋体" w:hAnsi="宋体" w:cs="宋体"/>
                <w:b/>
                <w:kern w:val="2"/>
                <w:u w:val="single"/>
                <w:lang w:bidi="ar"/>
              </w:rPr>
              <w:t xml:space="preserve">     </w:t>
            </w:r>
            <w:r>
              <w:rPr>
                <w:rFonts w:hint="eastAsia" w:ascii="宋体" w:hAnsi="宋体" w:cs="宋体"/>
                <w:b/>
                <w:kern w:val="2"/>
                <w:lang w:bidi="ar"/>
              </w:rPr>
              <w:t>%</w:t>
            </w:r>
          </w:p>
        </w:tc>
      </w:tr>
      <w:tr w14:paraId="7F4331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27" w:type="dxa"/>
            <w:vMerge w:val="continue"/>
            <w:tcBorders>
              <w:top w:val="nil"/>
              <w:left w:val="single" w:color="auto" w:sz="4" w:space="0"/>
              <w:bottom w:val="single" w:color="auto" w:sz="4" w:space="0"/>
              <w:right w:val="single" w:color="auto" w:sz="4" w:space="0"/>
            </w:tcBorders>
            <w:shd w:val="clear" w:color="auto" w:fill="auto"/>
            <w:vAlign w:val="center"/>
          </w:tcPr>
          <w:p w14:paraId="59E62359">
            <w:pPr>
              <w:rPr>
                <w:sz w:val="20"/>
                <w:szCs w:val="20"/>
              </w:rPr>
            </w:pPr>
          </w:p>
        </w:tc>
        <w:tc>
          <w:tcPr>
            <w:tcW w:w="9536" w:type="dxa"/>
            <w:gridSpan w:val="5"/>
            <w:tcBorders>
              <w:top w:val="single" w:color="auto" w:sz="4" w:space="0"/>
              <w:left w:val="single" w:color="auto" w:sz="4" w:space="0"/>
              <w:bottom w:val="single" w:color="auto" w:sz="4" w:space="0"/>
              <w:right w:val="single" w:color="auto" w:sz="4" w:space="0"/>
            </w:tcBorders>
            <w:shd w:val="clear" w:color="auto" w:fill="auto"/>
            <w:vAlign w:val="center"/>
          </w:tcPr>
          <w:p w14:paraId="6E02FA3F">
            <w:pPr>
              <w:pStyle w:val="21"/>
              <w:adjustRightInd w:val="0"/>
              <w:snapToGrid w:val="0"/>
              <w:spacing w:before="0" w:beforeAutospacing="0" w:after="0" w:afterAutospacing="0"/>
              <w:jc w:val="center"/>
              <w:rPr>
                <w:rFonts w:ascii="宋体" w:hAnsi="宋体" w:cs="宋体"/>
                <w:b/>
                <w:kern w:val="2"/>
              </w:rPr>
            </w:pPr>
            <w:r>
              <w:rPr>
                <w:rFonts w:hint="eastAsia" w:ascii="宋体" w:hAnsi="宋体" w:cs="宋体"/>
                <w:kern w:val="2"/>
                <w:lang w:bidi="ar"/>
              </w:rPr>
              <w:t>节能产品证明材料见投标文件第</w:t>
            </w:r>
            <w:r>
              <w:rPr>
                <w:rFonts w:hint="eastAsia" w:ascii="宋体" w:hAnsi="宋体" w:cs="宋体"/>
                <w:kern w:val="2"/>
                <w:u w:val="single"/>
                <w:lang w:bidi="ar"/>
              </w:rPr>
              <w:t xml:space="preserve">   </w:t>
            </w:r>
            <w:r>
              <w:rPr>
                <w:rFonts w:hint="eastAsia" w:ascii="宋体" w:hAnsi="宋体" w:cs="宋体"/>
                <w:kern w:val="2"/>
                <w:lang w:bidi="ar"/>
              </w:rPr>
              <w:t>至</w:t>
            </w:r>
            <w:r>
              <w:rPr>
                <w:rFonts w:hint="eastAsia" w:ascii="宋体" w:hAnsi="宋体" w:cs="宋体"/>
                <w:kern w:val="2"/>
                <w:u w:val="single"/>
                <w:lang w:bidi="ar"/>
              </w:rPr>
              <w:t xml:space="preserve">   </w:t>
            </w:r>
            <w:r>
              <w:rPr>
                <w:rFonts w:hint="eastAsia" w:ascii="宋体" w:hAnsi="宋体" w:cs="宋体"/>
                <w:kern w:val="2"/>
                <w:lang w:bidi="ar"/>
              </w:rPr>
              <w:t>页。</w:t>
            </w:r>
          </w:p>
        </w:tc>
      </w:tr>
      <w:tr w14:paraId="2258A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1227" w:type="dxa"/>
            <w:vMerge w:val="restart"/>
            <w:tcBorders>
              <w:top w:val="nil"/>
              <w:left w:val="single" w:color="auto" w:sz="4" w:space="0"/>
              <w:bottom w:val="single" w:color="auto" w:sz="4" w:space="0"/>
              <w:right w:val="single" w:color="auto" w:sz="4" w:space="0"/>
            </w:tcBorders>
            <w:shd w:val="clear" w:color="auto" w:fill="auto"/>
            <w:vAlign w:val="center"/>
          </w:tcPr>
          <w:p w14:paraId="427AE84D">
            <w:pPr>
              <w:pStyle w:val="21"/>
              <w:adjustRightInd w:val="0"/>
              <w:snapToGrid w:val="0"/>
              <w:spacing w:before="0" w:beforeAutospacing="0" w:after="0" w:afterAutospacing="0"/>
              <w:jc w:val="center"/>
              <w:rPr>
                <w:rFonts w:ascii="宋体" w:hAnsi="宋体" w:cs="宋体"/>
                <w:kern w:val="2"/>
              </w:rPr>
            </w:pPr>
            <w:r>
              <w:rPr>
                <w:rFonts w:hint="eastAsia" w:ascii="宋体" w:hAnsi="宋体" w:cs="宋体"/>
                <w:kern w:val="2"/>
                <w:lang w:bidi="ar"/>
              </w:rPr>
              <w:t>中小企业、监狱企业、残疾人福利性单位扶持政策</w:t>
            </w:r>
          </w:p>
        </w:tc>
        <w:tc>
          <w:tcPr>
            <w:tcW w:w="9536" w:type="dxa"/>
            <w:gridSpan w:val="5"/>
            <w:tcBorders>
              <w:top w:val="single" w:color="auto" w:sz="4" w:space="0"/>
              <w:left w:val="single" w:color="auto" w:sz="4" w:space="0"/>
              <w:bottom w:val="single" w:color="auto" w:sz="4" w:space="0"/>
              <w:right w:val="single" w:color="auto" w:sz="4" w:space="0"/>
            </w:tcBorders>
            <w:shd w:val="clear" w:color="auto" w:fill="auto"/>
            <w:vAlign w:val="center"/>
          </w:tcPr>
          <w:p w14:paraId="7920DF7C">
            <w:pPr>
              <w:pStyle w:val="21"/>
              <w:numPr>
                <w:ilvl w:val="0"/>
                <w:numId w:val="3"/>
              </w:numPr>
              <w:adjustRightInd w:val="0"/>
              <w:snapToGrid w:val="0"/>
              <w:spacing w:before="0" w:beforeAutospacing="0" w:after="0" w:afterAutospacing="0"/>
              <w:jc w:val="both"/>
              <w:rPr>
                <w:rFonts w:ascii="宋体" w:hAnsi="宋体" w:cs="宋体"/>
                <w:b/>
                <w:kern w:val="2"/>
              </w:rPr>
            </w:pPr>
            <w:r>
              <w:rPr>
                <w:rFonts w:hint="eastAsia" w:ascii="宋体" w:hAnsi="宋体" w:cs="宋体"/>
                <w:b/>
                <w:kern w:val="2"/>
                <w:lang w:bidi="ar"/>
              </w:rPr>
              <w:t>所投货物中有大型企业制造的，不享受中小企业扶持政策，无需填写以下内容</w:t>
            </w:r>
          </w:p>
          <w:p w14:paraId="3412BDB0">
            <w:pPr>
              <w:pStyle w:val="21"/>
              <w:adjustRightInd w:val="0"/>
              <w:snapToGrid w:val="0"/>
              <w:spacing w:before="0" w:beforeAutospacing="0" w:after="0" w:afterAutospacing="0"/>
              <w:jc w:val="both"/>
              <w:rPr>
                <w:rFonts w:ascii="宋体" w:hAnsi="宋体" w:cs="宋体"/>
                <w:b/>
                <w:kern w:val="2"/>
              </w:rPr>
            </w:pPr>
            <w:r>
              <w:rPr>
                <w:rFonts w:hint="eastAsia" w:ascii="宋体" w:hAnsi="宋体" w:cs="宋体"/>
                <w:b/>
                <w:kern w:val="2"/>
                <w:lang w:bidi="ar"/>
              </w:rPr>
              <w:t>2.</w:t>
            </w:r>
            <w:r>
              <w:rPr>
                <w:rFonts w:hint="eastAsia" w:ascii="宋体" w:hAnsi="宋体" w:cs="宋体"/>
                <w:kern w:val="2"/>
                <w:lang w:bidi="ar"/>
              </w:rPr>
              <w:t xml:space="preserve"> </w:t>
            </w:r>
            <w:r>
              <w:rPr>
                <w:rFonts w:hint="eastAsia" w:ascii="宋体" w:hAnsi="宋体" w:cs="宋体"/>
                <w:b/>
                <w:kern w:val="2"/>
                <w:lang w:bidi="ar"/>
              </w:rPr>
              <w:t>所投货物中无大型企业制造的，只填写小型、微型企业制造的货物</w:t>
            </w:r>
          </w:p>
        </w:tc>
      </w:tr>
      <w:tr w14:paraId="34299D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1227" w:type="dxa"/>
            <w:vMerge w:val="continue"/>
            <w:tcBorders>
              <w:top w:val="nil"/>
              <w:left w:val="single" w:color="auto" w:sz="4" w:space="0"/>
              <w:bottom w:val="single" w:color="auto" w:sz="4" w:space="0"/>
              <w:right w:val="single" w:color="auto" w:sz="4" w:space="0"/>
            </w:tcBorders>
            <w:shd w:val="clear" w:color="auto" w:fill="auto"/>
            <w:vAlign w:val="center"/>
          </w:tcPr>
          <w:p w14:paraId="79F14EE3">
            <w:pPr>
              <w:rPr>
                <w:sz w:val="20"/>
                <w:szCs w:val="20"/>
              </w:rPr>
            </w:pPr>
          </w:p>
        </w:tc>
        <w:tc>
          <w:tcPr>
            <w:tcW w:w="1957" w:type="dxa"/>
            <w:tcBorders>
              <w:top w:val="single" w:color="auto" w:sz="4" w:space="0"/>
              <w:left w:val="single" w:color="auto" w:sz="4" w:space="0"/>
              <w:bottom w:val="single" w:color="auto" w:sz="4" w:space="0"/>
              <w:right w:val="single" w:color="auto" w:sz="4" w:space="0"/>
            </w:tcBorders>
            <w:shd w:val="clear" w:color="auto" w:fill="auto"/>
            <w:vAlign w:val="center"/>
          </w:tcPr>
          <w:p w14:paraId="6ED62EF7">
            <w:pPr>
              <w:pStyle w:val="21"/>
              <w:adjustRightInd w:val="0"/>
              <w:snapToGrid w:val="0"/>
              <w:spacing w:before="0" w:beforeAutospacing="0" w:after="0" w:afterAutospacing="0"/>
              <w:jc w:val="center"/>
              <w:rPr>
                <w:rFonts w:ascii="宋体" w:hAnsi="宋体" w:cs="宋体"/>
                <w:kern w:val="2"/>
              </w:rPr>
            </w:pPr>
            <w:r>
              <w:rPr>
                <w:rFonts w:hint="eastAsia" w:ascii="宋体" w:hAnsi="宋体" w:cs="宋体"/>
                <w:kern w:val="2"/>
                <w:lang w:bidi="ar"/>
              </w:rPr>
              <w:t>产品名称</w:t>
            </w:r>
          </w:p>
        </w:tc>
        <w:tc>
          <w:tcPr>
            <w:tcW w:w="2054" w:type="dxa"/>
            <w:tcBorders>
              <w:top w:val="single" w:color="auto" w:sz="4" w:space="0"/>
              <w:left w:val="single" w:color="auto" w:sz="4" w:space="0"/>
              <w:bottom w:val="single" w:color="auto" w:sz="4" w:space="0"/>
              <w:right w:val="single" w:color="auto" w:sz="4" w:space="0"/>
            </w:tcBorders>
            <w:shd w:val="clear" w:color="auto" w:fill="auto"/>
            <w:vAlign w:val="center"/>
          </w:tcPr>
          <w:p w14:paraId="1BA9156F">
            <w:pPr>
              <w:pStyle w:val="21"/>
              <w:adjustRightInd w:val="0"/>
              <w:snapToGrid w:val="0"/>
              <w:spacing w:before="0" w:beforeAutospacing="0" w:after="0" w:afterAutospacing="0"/>
              <w:jc w:val="center"/>
              <w:rPr>
                <w:rFonts w:ascii="宋体" w:hAnsi="宋体" w:cs="宋体"/>
                <w:kern w:val="2"/>
              </w:rPr>
            </w:pPr>
            <w:r>
              <w:rPr>
                <w:rFonts w:hint="eastAsia" w:ascii="宋体" w:hAnsi="宋体" w:cs="宋体"/>
                <w:kern w:val="2"/>
                <w:lang w:bidi="ar"/>
              </w:rPr>
              <w:t>品牌型号</w:t>
            </w:r>
          </w:p>
        </w:tc>
        <w:tc>
          <w:tcPr>
            <w:tcW w:w="1774" w:type="dxa"/>
            <w:tcBorders>
              <w:top w:val="single" w:color="auto" w:sz="4" w:space="0"/>
              <w:left w:val="single" w:color="auto" w:sz="4" w:space="0"/>
              <w:bottom w:val="single" w:color="auto" w:sz="4" w:space="0"/>
              <w:right w:val="single" w:color="auto" w:sz="4" w:space="0"/>
            </w:tcBorders>
            <w:shd w:val="clear" w:color="auto" w:fill="auto"/>
            <w:vAlign w:val="center"/>
          </w:tcPr>
          <w:p w14:paraId="08071196">
            <w:pPr>
              <w:pStyle w:val="21"/>
              <w:adjustRightInd w:val="0"/>
              <w:snapToGrid w:val="0"/>
              <w:spacing w:before="0" w:beforeAutospacing="0" w:after="0" w:afterAutospacing="0"/>
              <w:jc w:val="center"/>
              <w:rPr>
                <w:rFonts w:ascii="宋体" w:hAnsi="宋体" w:cs="宋体"/>
                <w:kern w:val="2"/>
              </w:rPr>
            </w:pPr>
            <w:r>
              <w:rPr>
                <w:rFonts w:hint="eastAsia" w:ascii="宋体" w:hAnsi="宋体" w:cs="宋体"/>
                <w:kern w:val="2"/>
                <w:lang w:bidi="ar"/>
              </w:rPr>
              <w:t>制造商</w:t>
            </w:r>
          </w:p>
        </w:tc>
        <w:tc>
          <w:tcPr>
            <w:tcW w:w="2134" w:type="dxa"/>
            <w:tcBorders>
              <w:top w:val="single" w:color="auto" w:sz="4" w:space="0"/>
              <w:left w:val="single" w:color="auto" w:sz="4" w:space="0"/>
              <w:bottom w:val="single" w:color="auto" w:sz="4" w:space="0"/>
              <w:right w:val="single" w:color="auto" w:sz="4" w:space="0"/>
            </w:tcBorders>
            <w:shd w:val="clear" w:color="auto" w:fill="auto"/>
            <w:vAlign w:val="center"/>
          </w:tcPr>
          <w:p w14:paraId="5567BC0D">
            <w:pPr>
              <w:pStyle w:val="21"/>
              <w:adjustRightInd w:val="0"/>
              <w:snapToGrid w:val="0"/>
              <w:spacing w:before="0" w:beforeAutospacing="0" w:after="0" w:afterAutospacing="0"/>
              <w:jc w:val="center"/>
              <w:rPr>
                <w:rFonts w:ascii="宋体" w:hAnsi="宋体" w:cs="宋体"/>
                <w:kern w:val="2"/>
              </w:rPr>
            </w:pPr>
            <w:r>
              <w:rPr>
                <w:rFonts w:hint="eastAsia" w:ascii="宋体" w:hAnsi="宋体" w:cs="宋体"/>
                <w:kern w:val="2"/>
                <w:lang w:bidi="ar"/>
              </w:rPr>
              <w:t>制造商</w:t>
            </w:r>
          </w:p>
          <w:p w14:paraId="64DCBA65">
            <w:pPr>
              <w:pStyle w:val="21"/>
              <w:adjustRightInd w:val="0"/>
              <w:snapToGrid w:val="0"/>
              <w:spacing w:before="0" w:beforeAutospacing="0" w:after="0" w:afterAutospacing="0"/>
              <w:jc w:val="center"/>
              <w:rPr>
                <w:rFonts w:ascii="宋体" w:hAnsi="宋体" w:cs="宋体"/>
                <w:kern w:val="2"/>
              </w:rPr>
            </w:pPr>
            <w:r>
              <w:rPr>
                <w:rFonts w:hint="eastAsia" w:ascii="宋体" w:hAnsi="宋体" w:cs="宋体"/>
                <w:kern w:val="2"/>
                <w:lang w:bidi="ar"/>
              </w:rPr>
              <w:t>企业类型</w:t>
            </w:r>
          </w:p>
        </w:tc>
        <w:tc>
          <w:tcPr>
            <w:tcW w:w="1617" w:type="dxa"/>
            <w:tcBorders>
              <w:top w:val="single" w:color="auto" w:sz="4" w:space="0"/>
              <w:left w:val="single" w:color="auto" w:sz="4" w:space="0"/>
              <w:bottom w:val="single" w:color="auto" w:sz="4" w:space="0"/>
              <w:right w:val="single" w:color="auto" w:sz="4" w:space="0"/>
            </w:tcBorders>
            <w:shd w:val="clear" w:color="auto" w:fill="auto"/>
            <w:vAlign w:val="center"/>
          </w:tcPr>
          <w:p w14:paraId="34E232C4">
            <w:pPr>
              <w:pStyle w:val="21"/>
              <w:adjustRightInd w:val="0"/>
              <w:snapToGrid w:val="0"/>
              <w:spacing w:before="0" w:beforeAutospacing="0" w:after="0" w:afterAutospacing="0"/>
              <w:jc w:val="center"/>
              <w:rPr>
                <w:rFonts w:ascii="宋体" w:hAnsi="宋体" w:cs="宋体"/>
                <w:kern w:val="2"/>
              </w:rPr>
            </w:pPr>
            <w:r>
              <w:rPr>
                <w:rFonts w:hint="eastAsia" w:ascii="宋体" w:hAnsi="宋体" w:cs="宋体"/>
                <w:kern w:val="2"/>
                <w:lang w:bidi="ar"/>
              </w:rPr>
              <w:t>金额</w:t>
            </w:r>
          </w:p>
        </w:tc>
      </w:tr>
      <w:tr w14:paraId="1F26AF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1227" w:type="dxa"/>
            <w:vMerge w:val="continue"/>
            <w:tcBorders>
              <w:top w:val="nil"/>
              <w:left w:val="single" w:color="auto" w:sz="4" w:space="0"/>
              <w:bottom w:val="single" w:color="auto" w:sz="4" w:space="0"/>
              <w:right w:val="single" w:color="auto" w:sz="4" w:space="0"/>
            </w:tcBorders>
            <w:shd w:val="clear" w:color="auto" w:fill="auto"/>
            <w:vAlign w:val="center"/>
          </w:tcPr>
          <w:p w14:paraId="1B46358F">
            <w:pPr>
              <w:rPr>
                <w:sz w:val="20"/>
                <w:szCs w:val="20"/>
              </w:rPr>
            </w:pPr>
          </w:p>
        </w:tc>
        <w:tc>
          <w:tcPr>
            <w:tcW w:w="1957" w:type="dxa"/>
            <w:tcBorders>
              <w:top w:val="single" w:color="auto" w:sz="4" w:space="0"/>
              <w:left w:val="single" w:color="auto" w:sz="4" w:space="0"/>
              <w:bottom w:val="single" w:color="auto" w:sz="4" w:space="0"/>
              <w:right w:val="single" w:color="auto" w:sz="4" w:space="0"/>
            </w:tcBorders>
            <w:shd w:val="clear" w:color="auto" w:fill="auto"/>
            <w:vAlign w:val="center"/>
          </w:tcPr>
          <w:p w14:paraId="3DB6750E">
            <w:pPr>
              <w:pStyle w:val="21"/>
              <w:adjustRightInd w:val="0"/>
              <w:snapToGrid w:val="0"/>
              <w:spacing w:before="0" w:beforeAutospacing="0" w:after="0" w:afterAutospacing="0"/>
              <w:jc w:val="center"/>
              <w:rPr>
                <w:rFonts w:ascii="宋体" w:hAnsi="宋体" w:cs="宋体"/>
                <w:kern w:val="2"/>
              </w:rPr>
            </w:pPr>
          </w:p>
        </w:tc>
        <w:tc>
          <w:tcPr>
            <w:tcW w:w="2054" w:type="dxa"/>
            <w:tcBorders>
              <w:top w:val="single" w:color="auto" w:sz="4" w:space="0"/>
              <w:left w:val="single" w:color="auto" w:sz="4" w:space="0"/>
              <w:bottom w:val="single" w:color="auto" w:sz="4" w:space="0"/>
              <w:right w:val="single" w:color="auto" w:sz="4" w:space="0"/>
            </w:tcBorders>
            <w:shd w:val="clear" w:color="auto" w:fill="auto"/>
            <w:vAlign w:val="center"/>
          </w:tcPr>
          <w:p w14:paraId="215D5CB0">
            <w:pPr>
              <w:pStyle w:val="21"/>
              <w:adjustRightInd w:val="0"/>
              <w:snapToGrid w:val="0"/>
              <w:spacing w:before="0" w:beforeAutospacing="0" w:after="0" w:afterAutospacing="0"/>
              <w:jc w:val="center"/>
              <w:rPr>
                <w:rFonts w:ascii="宋体" w:hAnsi="宋体" w:cs="宋体"/>
                <w:kern w:val="2"/>
              </w:rPr>
            </w:pPr>
          </w:p>
        </w:tc>
        <w:tc>
          <w:tcPr>
            <w:tcW w:w="1774" w:type="dxa"/>
            <w:tcBorders>
              <w:top w:val="single" w:color="auto" w:sz="4" w:space="0"/>
              <w:left w:val="single" w:color="auto" w:sz="4" w:space="0"/>
              <w:bottom w:val="single" w:color="auto" w:sz="4" w:space="0"/>
              <w:right w:val="single" w:color="auto" w:sz="4" w:space="0"/>
            </w:tcBorders>
            <w:shd w:val="clear" w:color="auto" w:fill="auto"/>
            <w:vAlign w:val="center"/>
          </w:tcPr>
          <w:p w14:paraId="50583E97">
            <w:pPr>
              <w:pStyle w:val="21"/>
              <w:adjustRightInd w:val="0"/>
              <w:snapToGrid w:val="0"/>
              <w:spacing w:before="0" w:beforeAutospacing="0" w:after="0" w:afterAutospacing="0"/>
              <w:jc w:val="center"/>
              <w:rPr>
                <w:rFonts w:ascii="宋体" w:hAnsi="宋体" w:cs="宋体"/>
                <w:kern w:val="2"/>
              </w:rPr>
            </w:pPr>
          </w:p>
        </w:tc>
        <w:tc>
          <w:tcPr>
            <w:tcW w:w="2134" w:type="dxa"/>
            <w:tcBorders>
              <w:top w:val="single" w:color="auto" w:sz="4" w:space="0"/>
              <w:left w:val="single" w:color="auto" w:sz="4" w:space="0"/>
              <w:bottom w:val="single" w:color="auto" w:sz="4" w:space="0"/>
              <w:right w:val="single" w:color="auto" w:sz="4" w:space="0"/>
            </w:tcBorders>
            <w:shd w:val="clear" w:color="auto" w:fill="auto"/>
          </w:tcPr>
          <w:p w14:paraId="1EF4AA3A">
            <w:pPr>
              <w:adjustRightInd w:val="0"/>
              <w:snapToGrid w:val="0"/>
              <w:rPr>
                <w:rFonts w:ascii="宋体" w:hAnsi="宋体" w:cs="宋体"/>
                <w:sz w:val="24"/>
              </w:rPr>
            </w:pPr>
            <w:r>
              <w:rPr>
                <w:rFonts w:hint="eastAsia" w:ascii="宋体" w:hAnsi="宋体" w:cs="宋体"/>
                <w:sz w:val="24"/>
                <w:lang w:bidi="ar"/>
              </w:rPr>
              <w:t>只填写小型/微型/监狱/残疾人福利性单位</w:t>
            </w:r>
          </w:p>
        </w:tc>
        <w:tc>
          <w:tcPr>
            <w:tcW w:w="1617" w:type="dxa"/>
            <w:tcBorders>
              <w:top w:val="single" w:color="auto" w:sz="4" w:space="0"/>
              <w:left w:val="single" w:color="auto" w:sz="4" w:space="0"/>
              <w:bottom w:val="single" w:color="auto" w:sz="4" w:space="0"/>
              <w:right w:val="single" w:color="auto" w:sz="4" w:space="0"/>
            </w:tcBorders>
            <w:shd w:val="clear" w:color="auto" w:fill="auto"/>
            <w:vAlign w:val="center"/>
          </w:tcPr>
          <w:p w14:paraId="50BAC2E6">
            <w:pPr>
              <w:pStyle w:val="21"/>
              <w:adjustRightInd w:val="0"/>
              <w:snapToGrid w:val="0"/>
              <w:spacing w:before="0" w:beforeAutospacing="0" w:after="0" w:afterAutospacing="0"/>
              <w:jc w:val="center"/>
              <w:rPr>
                <w:rFonts w:ascii="宋体" w:hAnsi="宋体" w:cs="宋体"/>
                <w:kern w:val="2"/>
              </w:rPr>
            </w:pPr>
          </w:p>
        </w:tc>
      </w:tr>
      <w:tr w14:paraId="4BF2E9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1227" w:type="dxa"/>
            <w:vMerge w:val="continue"/>
            <w:tcBorders>
              <w:top w:val="nil"/>
              <w:left w:val="single" w:color="auto" w:sz="4" w:space="0"/>
              <w:bottom w:val="single" w:color="auto" w:sz="4" w:space="0"/>
              <w:right w:val="single" w:color="auto" w:sz="4" w:space="0"/>
            </w:tcBorders>
            <w:shd w:val="clear" w:color="auto" w:fill="auto"/>
            <w:vAlign w:val="center"/>
          </w:tcPr>
          <w:p w14:paraId="2166AC63">
            <w:pPr>
              <w:rPr>
                <w:sz w:val="20"/>
                <w:szCs w:val="20"/>
              </w:rPr>
            </w:pPr>
          </w:p>
        </w:tc>
        <w:tc>
          <w:tcPr>
            <w:tcW w:w="1957" w:type="dxa"/>
            <w:tcBorders>
              <w:top w:val="single" w:color="auto" w:sz="4" w:space="0"/>
              <w:left w:val="single" w:color="auto" w:sz="4" w:space="0"/>
              <w:bottom w:val="single" w:color="auto" w:sz="4" w:space="0"/>
              <w:right w:val="single" w:color="auto" w:sz="4" w:space="0"/>
            </w:tcBorders>
            <w:shd w:val="clear" w:color="auto" w:fill="auto"/>
            <w:vAlign w:val="center"/>
          </w:tcPr>
          <w:p w14:paraId="009BA0D7">
            <w:pPr>
              <w:pStyle w:val="21"/>
              <w:adjustRightInd w:val="0"/>
              <w:snapToGrid w:val="0"/>
              <w:spacing w:before="0" w:beforeAutospacing="0" w:after="0" w:afterAutospacing="0"/>
              <w:jc w:val="center"/>
              <w:rPr>
                <w:rFonts w:ascii="宋体" w:hAnsi="宋体" w:cs="宋体"/>
                <w:kern w:val="2"/>
              </w:rPr>
            </w:pPr>
          </w:p>
        </w:tc>
        <w:tc>
          <w:tcPr>
            <w:tcW w:w="2054" w:type="dxa"/>
            <w:tcBorders>
              <w:top w:val="single" w:color="auto" w:sz="4" w:space="0"/>
              <w:left w:val="single" w:color="auto" w:sz="4" w:space="0"/>
              <w:bottom w:val="single" w:color="auto" w:sz="4" w:space="0"/>
              <w:right w:val="single" w:color="auto" w:sz="4" w:space="0"/>
            </w:tcBorders>
            <w:shd w:val="clear" w:color="auto" w:fill="auto"/>
            <w:vAlign w:val="center"/>
          </w:tcPr>
          <w:p w14:paraId="05896BBD">
            <w:pPr>
              <w:pStyle w:val="21"/>
              <w:adjustRightInd w:val="0"/>
              <w:snapToGrid w:val="0"/>
              <w:spacing w:before="0" w:beforeAutospacing="0" w:after="0" w:afterAutospacing="0"/>
              <w:jc w:val="center"/>
              <w:rPr>
                <w:rFonts w:ascii="宋体" w:hAnsi="宋体" w:cs="宋体"/>
                <w:kern w:val="2"/>
              </w:rPr>
            </w:pPr>
          </w:p>
        </w:tc>
        <w:tc>
          <w:tcPr>
            <w:tcW w:w="1774" w:type="dxa"/>
            <w:tcBorders>
              <w:top w:val="single" w:color="auto" w:sz="4" w:space="0"/>
              <w:left w:val="single" w:color="auto" w:sz="4" w:space="0"/>
              <w:bottom w:val="single" w:color="auto" w:sz="4" w:space="0"/>
              <w:right w:val="single" w:color="auto" w:sz="4" w:space="0"/>
            </w:tcBorders>
            <w:shd w:val="clear" w:color="auto" w:fill="auto"/>
            <w:vAlign w:val="center"/>
          </w:tcPr>
          <w:p w14:paraId="467A28FF">
            <w:pPr>
              <w:pStyle w:val="21"/>
              <w:adjustRightInd w:val="0"/>
              <w:snapToGrid w:val="0"/>
              <w:spacing w:before="0" w:beforeAutospacing="0" w:after="0" w:afterAutospacing="0"/>
              <w:jc w:val="center"/>
              <w:rPr>
                <w:rFonts w:ascii="宋体" w:hAnsi="宋体" w:cs="宋体"/>
                <w:kern w:val="2"/>
              </w:rPr>
            </w:pPr>
          </w:p>
        </w:tc>
        <w:tc>
          <w:tcPr>
            <w:tcW w:w="2134" w:type="dxa"/>
            <w:tcBorders>
              <w:top w:val="single" w:color="auto" w:sz="4" w:space="0"/>
              <w:left w:val="single" w:color="auto" w:sz="4" w:space="0"/>
              <w:bottom w:val="single" w:color="auto" w:sz="4" w:space="0"/>
              <w:right w:val="single" w:color="auto" w:sz="4" w:space="0"/>
            </w:tcBorders>
            <w:shd w:val="clear" w:color="auto" w:fill="auto"/>
          </w:tcPr>
          <w:p w14:paraId="49DC2841">
            <w:pPr>
              <w:adjustRightInd w:val="0"/>
              <w:snapToGrid w:val="0"/>
              <w:rPr>
                <w:rFonts w:ascii="宋体" w:hAnsi="宋体" w:cs="宋体"/>
                <w:sz w:val="24"/>
              </w:rPr>
            </w:pPr>
            <w:r>
              <w:rPr>
                <w:rFonts w:hint="eastAsia" w:ascii="宋体" w:hAnsi="宋体" w:cs="宋体"/>
                <w:sz w:val="24"/>
                <w:lang w:bidi="ar"/>
              </w:rPr>
              <w:t>只填写小型/微型/监狱/残疾人福利性单位</w:t>
            </w:r>
          </w:p>
        </w:tc>
        <w:tc>
          <w:tcPr>
            <w:tcW w:w="1617" w:type="dxa"/>
            <w:tcBorders>
              <w:top w:val="single" w:color="auto" w:sz="4" w:space="0"/>
              <w:left w:val="single" w:color="auto" w:sz="4" w:space="0"/>
              <w:bottom w:val="single" w:color="auto" w:sz="4" w:space="0"/>
              <w:right w:val="single" w:color="auto" w:sz="4" w:space="0"/>
            </w:tcBorders>
            <w:shd w:val="clear" w:color="auto" w:fill="auto"/>
            <w:vAlign w:val="center"/>
          </w:tcPr>
          <w:p w14:paraId="44EB2F56">
            <w:pPr>
              <w:pStyle w:val="21"/>
              <w:adjustRightInd w:val="0"/>
              <w:snapToGrid w:val="0"/>
              <w:spacing w:before="0" w:beforeAutospacing="0" w:after="0" w:afterAutospacing="0"/>
              <w:jc w:val="center"/>
              <w:rPr>
                <w:rFonts w:ascii="宋体" w:hAnsi="宋体" w:cs="宋体"/>
                <w:kern w:val="2"/>
              </w:rPr>
            </w:pPr>
          </w:p>
        </w:tc>
      </w:tr>
      <w:tr w14:paraId="3CFA86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1227" w:type="dxa"/>
            <w:vMerge w:val="continue"/>
            <w:tcBorders>
              <w:top w:val="nil"/>
              <w:left w:val="single" w:color="auto" w:sz="4" w:space="0"/>
              <w:bottom w:val="single" w:color="auto" w:sz="4" w:space="0"/>
              <w:right w:val="single" w:color="auto" w:sz="4" w:space="0"/>
            </w:tcBorders>
            <w:shd w:val="clear" w:color="auto" w:fill="auto"/>
            <w:vAlign w:val="center"/>
          </w:tcPr>
          <w:p w14:paraId="14B5BABB">
            <w:pPr>
              <w:rPr>
                <w:sz w:val="20"/>
                <w:szCs w:val="20"/>
              </w:rPr>
            </w:pPr>
          </w:p>
        </w:tc>
        <w:tc>
          <w:tcPr>
            <w:tcW w:w="1957" w:type="dxa"/>
            <w:tcBorders>
              <w:top w:val="single" w:color="auto" w:sz="4" w:space="0"/>
              <w:left w:val="single" w:color="auto" w:sz="4" w:space="0"/>
              <w:bottom w:val="single" w:color="auto" w:sz="4" w:space="0"/>
              <w:right w:val="single" w:color="auto" w:sz="4" w:space="0"/>
            </w:tcBorders>
            <w:shd w:val="clear" w:color="auto" w:fill="auto"/>
            <w:vAlign w:val="center"/>
          </w:tcPr>
          <w:p w14:paraId="6C6A31A1">
            <w:pPr>
              <w:pStyle w:val="21"/>
              <w:adjustRightInd w:val="0"/>
              <w:snapToGrid w:val="0"/>
              <w:spacing w:before="0" w:beforeAutospacing="0" w:after="0" w:afterAutospacing="0"/>
              <w:jc w:val="center"/>
              <w:rPr>
                <w:rFonts w:ascii="宋体" w:hAnsi="宋体" w:cs="宋体"/>
                <w:kern w:val="2"/>
              </w:rPr>
            </w:pPr>
          </w:p>
        </w:tc>
        <w:tc>
          <w:tcPr>
            <w:tcW w:w="2054" w:type="dxa"/>
            <w:tcBorders>
              <w:top w:val="single" w:color="auto" w:sz="4" w:space="0"/>
              <w:left w:val="single" w:color="auto" w:sz="4" w:space="0"/>
              <w:bottom w:val="single" w:color="auto" w:sz="4" w:space="0"/>
              <w:right w:val="single" w:color="auto" w:sz="4" w:space="0"/>
            </w:tcBorders>
            <w:shd w:val="clear" w:color="auto" w:fill="auto"/>
            <w:vAlign w:val="center"/>
          </w:tcPr>
          <w:p w14:paraId="0AB20DEE">
            <w:pPr>
              <w:pStyle w:val="21"/>
              <w:adjustRightInd w:val="0"/>
              <w:snapToGrid w:val="0"/>
              <w:spacing w:before="0" w:beforeAutospacing="0" w:after="0" w:afterAutospacing="0"/>
              <w:jc w:val="center"/>
              <w:rPr>
                <w:rFonts w:ascii="宋体" w:hAnsi="宋体" w:cs="宋体"/>
                <w:kern w:val="2"/>
              </w:rPr>
            </w:pPr>
          </w:p>
        </w:tc>
        <w:tc>
          <w:tcPr>
            <w:tcW w:w="1774" w:type="dxa"/>
            <w:tcBorders>
              <w:top w:val="single" w:color="auto" w:sz="4" w:space="0"/>
              <w:left w:val="single" w:color="auto" w:sz="4" w:space="0"/>
              <w:bottom w:val="single" w:color="auto" w:sz="4" w:space="0"/>
              <w:right w:val="single" w:color="auto" w:sz="4" w:space="0"/>
            </w:tcBorders>
            <w:shd w:val="clear" w:color="auto" w:fill="auto"/>
            <w:vAlign w:val="center"/>
          </w:tcPr>
          <w:p w14:paraId="3B64263E">
            <w:pPr>
              <w:pStyle w:val="21"/>
              <w:adjustRightInd w:val="0"/>
              <w:snapToGrid w:val="0"/>
              <w:spacing w:before="0" w:beforeAutospacing="0" w:after="0" w:afterAutospacing="0"/>
              <w:jc w:val="center"/>
              <w:rPr>
                <w:rFonts w:ascii="宋体" w:hAnsi="宋体" w:cs="宋体"/>
                <w:kern w:val="2"/>
              </w:rPr>
            </w:pPr>
          </w:p>
        </w:tc>
        <w:tc>
          <w:tcPr>
            <w:tcW w:w="2134" w:type="dxa"/>
            <w:tcBorders>
              <w:top w:val="single" w:color="auto" w:sz="4" w:space="0"/>
              <w:left w:val="single" w:color="auto" w:sz="4" w:space="0"/>
              <w:bottom w:val="single" w:color="auto" w:sz="4" w:space="0"/>
              <w:right w:val="single" w:color="auto" w:sz="4" w:space="0"/>
            </w:tcBorders>
            <w:shd w:val="clear" w:color="auto" w:fill="auto"/>
          </w:tcPr>
          <w:p w14:paraId="674701CC">
            <w:pPr>
              <w:adjustRightInd w:val="0"/>
              <w:snapToGrid w:val="0"/>
              <w:rPr>
                <w:rFonts w:ascii="宋体" w:hAnsi="宋体" w:cs="宋体"/>
                <w:sz w:val="24"/>
              </w:rPr>
            </w:pPr>
            <w:r>
              <w:rPr>
                <w:rFonts w:hint="eastAsia" w:ascii="宋体" w:hAnsi="宋体" w:cs="宋体"/>
                <w:sz w:val="24"/>
                <w:lang w:bidi="ar"/>
              </w:rPr>
              <w:t>只填写小型/微型/监狱/残疾人福利性单位</w:t>
            </w:r>
          </w:p>
        </w:tc>
        <w:tc>
          <w:tcPr>
            <w:tcW w:w="1617" w:type="dxa"/>
            <w:tcBorders>
              <w:top w:val="single" w:color="auto" w:sz="4" w:space="0"/>
              <w:left w:val="single" w:color="auto" w:sz="4" w:space="0"/>
              <w:bottom w:val="single" w:color="auto" w:sz="4" w:space="0"/>
              <w:right w:val="single" w:color="auto" w:sz="4" w:space="0"/>
            </w:tcBorders>
            <w:shd w:val="clear" w:color="auto" w:fill="auto"/>
            <w:vAlign w:val="center"/>
          </w:tcPr>
          <w:p w14:paraId="0E175FE2">
            <w:pPr>
              <w:pStyle w:val="21"/>
              <w:adjustRightInd w:val="0"/>
              <w:snapToGrid w:val="0"/>
              <w:spacing w:before="0" w:beforeAutospacing="0" w:after="0" w:afterAutospacing="0"/>
              <w:jc w:val="center"/>
              <w:rPr>
                <w:rFonts w:ascii="宋体" w:hAnsi="宋体" w:cs="宋体"/>
                <w:kern w:val="2"/>
              </w:rPr>
            </w:pPr>
          </w:p>
        </w:tc>
      </w:tr>
      <w:tr w14:paraId="0BA40A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1227" w:type="dxa"/>
            <w:vMerge w:val="continue"/>
            <w:tcBorders>
              <w:top w:val="nil"/>
              <w:left w:val="single" w:color="auto" w:sz="4" w:space="0"/>
              <w:bottom w:val="single" w:color="auto" w:sz="4" w:space="0"/>
              <w:right w:val="single" w:color="auto" w:sz="4" w:space="0"/>
            </w:tcBorders>
            <w:shd w:val="clear" w:color="auto" w:fill="auto"/>
            <w:vAlign w:val="center"/>
          </w:tcPr>
          <w:p w14:paraId="03825BFA">
            <w:pPr>
              <w:rPr>
                <w:sz w:val="20"/>
                <w:szCs w:val="20"/>
              </w:rPr>
            </w:pPr>
          </w:p>
        </w:tc>
        <w:tc>
          <w:tcPr>
            <w:tcW w:w="1957" w:type="dxa"/>
            <w:tcBorders>
              <w:top w:val="single" w:color="auto" w:sz="4" w:space="0"/>
              <w:left w:val="single" w:color="auto" w:sz="4" w:space="0"/>
              <w:bottom w:val="single" w:color="auto" w:sz="4" w:space="0"/>
              <w:right w:val="single" w:color="auto" w:sz="4" w:space="0"/>
            </w:tcBorders>
            <w:shd w:val="clear" w:color="auto" w:fill="auto"/>
            <w:vAlign w:val="center"/>
          </w:tcPr>
          <w:p w14:paraId="35D02DDC">
            <w:pPr>
              <w:pStyle w:val="21"/>
              <w:adjustRightInd w:val="0"/>
              <w:snapToGrid w:val="0"/>
              <w:spacing w:before="0" w:beforeAutospacing="0" w:after="0" w:afterAutospacing="0"/>
              <w:jc w:val="center"/>
              <w:rPr>
                <w:rFonts w:ascii="宋体" w:hAnsi="宋体" w:cs="宋体"/>
                <w:kern w:val="2"/>
              </w:rPr>
            </w:pPr>
          </w:p>
        </w:tc>
        <w:tc>
          <w:tcPr>
            <w:tcW w:w="2054" w:type="dxa"/>
            <w:tcBorders>
              <w:top w:val="single" w:color="auto" w:sz="4" w:space="0"/>
              <w:left w:val="single" w:color="auto" w:sz="4" w:space="0"/>
              <w:bottom w:val="single" w:color="auto" w:sz="4" w:space="0"/>
              <w:right w:val="single" w:color="auto" w:sz="4" w:space="0"/>
            </w:tcBorders>
            <w:shd w:val="clear" w:color="auto" w:fill="auto"/>
            <w:vAlign w:val="center"/>
          </w:tcPr>
          <w:p w14:paraId="59E53A68">
            <w:pPr>
              <w:pStyle w:val="21"/>
              <w:adjustRightInd w:val="0"/>
              <w:snapToGrid w:val="0"/>
              <w:spacing w:before="0" w:beforeAutospacing="0" w:after="0" w:afterAutospacing="0"/>
              <w:jc w:val="center"/>
              <w:rPr>
                <w:rFonts w:ascii="宋体" w:hAnsi="宋体" w:cs="宋体"/>
                <w:kern w:val="2"/>
              </w:rPr>
            </w:pPr>
          </w:p>
        </w:tc>
        <w:tc>
          <w:tcPr>
            <w:tcW w:w="1774" w:type="dxa"/>
            <w:tcBorders>
              <w:top w:val="single" w:color="auto" w:sz="4" w:space="0"/>
              <w:left w:val="single" w:color="auto" w:sz="4" w:space="0"/>
              <w:bottom w:val="single" w:color="auto" w:sz="4" w:space="0"/>
              <w:right w:val="single" w:color="auto" w:sz="4" w:space="0"/>
            </w:tcBorders>
            <w:shd w:val="clear" w:color="auto" w:fill="auto"/>
            <w:vAlign w:val="center"/>
          </w:tcPr>
          <w:p w14:paraId="7D9FF37F">
            <w:pPr>
              <w:pStyle w:val="21"/>
              <w:adjustRightInd w:val="0"/>
              <w:snapToGrid w:val="0"/>
              <w:spacing w:before="0" w:beforeAutospacing="0" w:after="0" w:afterAutospacing="0"/>
              <w:jc w:val="center"/>
              <w:rPr>
                <w:rFonts w:ascii="宋体" w:hAnsi="宋体" w:cs="宋体"/>
                <w:kern w:val="2"/>
              </w:rPr>
            </w:pPr>
          </w:p>
        </w:tc>
        <w:tc>
          <w:tcPr>
            <w:tcW w:w="2134" w:type="dxa"/>
            <w:tcBorders>
              <w:top w:val="single" w:color="auto" w:sz="4" w:space="0"/>
              <w:left w:val="single" w:color="auto" w:sz="4" w:space="0"/>
              <w:bottom w:val="single" w:color="auto" w:sz="4" w:space="0"/>
              <w:right w:val="single" w:color="auto" w:sz="4" w:space="0"/>
            </w:tcBorders>
            <w:shd w:val="clear" w:color="auto" w:fill="auto"/>
          </w:tcPr>
          <w:p w14:paraId="17684140">
            <w:pPr>
              <w:adjustRightInd w:val="0"/>
              <w:snapToGrid w:val="0"/>
              <w:rPr>
                <w:rFonts w:ascii="宋体" w:hAnsi="宋体" w:cs="宋体"/>
                <w:sz w:val="24"/>
              </w:rPr>
            </w:pPr>
            <w:r>
              <w:rPr>
                <w:rFonts w:hint="eastAsia" w:ascii="宋体" w:hAnsi="宋体" w:cs="宋体"/>
                <w:sz w:val="24"/>
                <w:lang w:bidi="ar"/>
              </w:rPr>
              <w:t>只填写小型/微型/监狱/残疾人福利性单位</w:t>
            </w:r>
          </w:p>
        </w:tc>
        <w:tc>
          <w:tcPr>
            <w:tcW w:w="1617" w:type="dxa"/>
            <w:tcBorders>
              <w:top w:val="single" w:color="auto" w:sz="4" w:space="0"/>
              <w:left w:val="single" w:color="auto" w:sz="4" w:space="0"/>
              <w:bottom w:val="single" w:color="auto" w:sz="4" w:space="0"/>
              <w:right w:val="single" w:color="auto" w:sz="4" w:space="0"/>
            </w:tcBorders>
            <w:shd w:val="clear" w:color="auto" w:fill="auto"/>
            <w:vAlign w:val="center"/>
          </w:tcPr>
          <w:p w14:paraId="276BDF54">
            <w:pPr>
              <w:pStyle w:val="21"/>
              <w:adjustRightInd w:val="0"/>
              <w:snapToGrid w:val="0"/>
              <w:spacing w:before="0" w:beforeAutospacing="0" w:after="0" w:afterAutospacing="0"/>
              <w:jc w:val="center"/>
              <w:rPr>
                <w:rFonts w:ascii="宋体" w:hAnsi="宋体" w:cs="宋体"/>
                <w:kern w:val="2"/>
              </w:rPr>
            </w:pPr>
          </w:p>
        </w:tc>
      </w:tr>
      <w:tr w14:paraId="77535F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1227" w:type="dxa"/>
            <w:vMerge w:val="continue"/>
            <w:tcBorders>
              <w:top w:val="nil"/>
              <w:left w:val="single" w:color="auto" w:sz="4" w:space="0"/>
              <w:bottom w:val="single" w:color="auto" w:sz="4" w:space="0"/>
              <w:right w:val="single" w:color="auto" w:sz="4" w:space="0"/>
            </w:tcBorders>
            <w:shd w:val="clear" w:color="auto" w:fill="auto"/>
            <w:vAlign w:val="center"/>
          </w:tcPr>
          <w:p w14:paraId="1F12B142">
            <w:pPr>
              <w:rPr>
                <w:sz w:val="20"/>
                <w:szCs w:val="20"/>
              </w:rPr>
            </w:pPr>
          </w:p>
        </w:tc>
        <w:tc>
          <w:tcPr>
            <w:tcW w:w="1957" w:type="dxa"/>
            <w:tcBorders>
              <w:top w:val="single" w:color="auto" w:sz="4" w:space="0"/>
              <w:left w:val="single" w:color="auto" w:sz="4" w:space="0"/>
              <w:bottom w:val="single" w:color="auto" w:sz="4" w:space="0"/>
              <w:right w:val="single" w:color="auto" w:sz="4" w:space="0"/>
            </w:tcBorders>
            <w:shd w:val="clear" w:color="auto" w:fill="auto"/>
            <w:vAlign w:val="center"/>
          </w:tcPr>
          <w:p w14:paraId="401DC8FC">
            <w:pPr>
              <w:pStyle w:val="21"/>
              <w:adjustRightInd w:val="0"/>
              <w:snapToGrid w:val="0"/>
              <w:spacing w:before="0" w:beforeAutospacing="0" w:after="0" w:afterAutospacing="0"/>
              <w:jc w:val="center"/>
              <w:rPr>
                <w:rFonts w:ascii="宋体" w:hAnsi="宋体" w:cs="宋体"/>
                <w:kern w:val="2"/>
              </w:rPr>
            </w:pPr>
          </w:p>
        </w:tc>
        <w:tc>
          <w:tcPr>
            <w:tcW w:w="2054" w:type="dxa"/>
            <w:tcBorders>
              <w:top w:val="single" w:color="auto" w:sz="4" w:space="0"/>
              <w:left w:val="single" w:color="auto" w:sz="4" w:space="0"/>
              <w:bottom w:val="single" w:color="auto" w:sz="4" w:space="0"/>
              <w:right w:val="single" w:color="auto" w:sz="4" w:space="0"/>
            </w:tcBorders>
            <w:shd w:val="clear" w:color="auto" w:fill="auto"/>
            <w:vAlign w:val="center"/>
          </w:tcPr>
          <w:p w14:paraId="311D0A11">
            <w:pPr>
              <w:pStyle w:val="21"/>
              <w:adjustRightInd w:val="0"/>
              <w:snapToGrid w:val="0"/>
              <w:spacing w:before="0" w:beforeAutospacing="0" w:after="0" w:afterAutospacing="0"/>
              <w:jc w:val="center"/>
              <w:rPr>
                <w:rFonts w:ascii="宋体" w:hAnsi="宋体" w:cs="宋体"/>
                <w:kern w:val="2"/>
              </w:rPr>
            </w:pPr>
          </w:p>
        </w:tc>
        <w:tc>
          <w:tcPr>
            <w:tcW w:w="1774" w:type="dxa"/>
            <w:tcBorders>
              <w:top w:val="single" w:color="auto" w:sz="4" w:space="0"/>
              <w:left w:val="single" w:color="auto" w:sz="4" w:space="0"/>
              <w:bottom w:val="single" w:color="auto" w:sz="4" w:space="0"/>
              <w:right w:val="single" w:color="auto" w:sz="4" w:space="0"/>
            </w:tcBorders>
            <w:shd w:val="clear" w:color="auto" w:fill="auto"/>
            <w:vAlign w:val="center"/>
          </w:tcPr>
          <w:p w14:paraId="2C159CBD">
            <w:pPr>
              <w:pStyle w:val="21"/>
              <w:adjustRightInd w:val="0"/>
              <w:snapToGrid w:val="0"/>
              <w:spacing w:before="0" w:beforeAutospacing="0" w:after="0" w:afterAutospacing="0"/>
              <w:jc w:val="center"/>
              <w:rPr>
                <w:rFonts w:ascii="宋体" w:hAnsi="宋体" w:cs="宋体"/>
                <w:kern w:val="2"/>
              </w:rPr>
            </w:pPr>
          </w:p>
        </w:tc>
        <w:tc>
          <w:tcPr>
            <w:tcW w:w="2134" w:type="dxa"/>
            <w:tcBorders>
              <w:top w:val="single" w:color="auto" w:sz="4" w:space="0"/>
              <w:left w:val="single" w:color="auto" w:sz="4" w:space="0"/>
              <w:bottom w:val="single" w:color="auto" w:sz="4" w:space="0"/>
              <w:right w:val="single" w:color="auto" w:sz="4" w:space="0"/>
            </w:tcBorders>
            <w:shd w:val="clear" w:color="auto" w:fill="auto"/>
            <w:vAlign w:val="center"/>
          </w:tcPr>
          <w:p w14:paraId="5FED7268">
            <w:pPr>
              <w:pStyle w:val="21"/>
              <w:adjustRightInd w:val="0"/>
              <w:snapToGrid w:val="0"/>
              <w:spacing w:before="0" w:beforeAutospacing="0" w:after="0" w:afterAutospacing="0"/>
              <w:jc w:val="center"/>
              <w:rPr>
                <w:rFonts w:ascii="宋体" w:hAnsi="宋体" w:cs="宋体"/>
                <w:kern w:val="2"/>
              </w:rPr>
            </w:pPr>
          </w:p>
        </w:tc>
        <w:tc>
          <w:tcPr>
            <w:tcW w:w="1617" w:type="dxa"/>
            <w:tcBorders>
              <w:top w:val="single" w:color="auto" w:sz="4" w:space="0"/>
              <w:left w:val="single" w:color="auto" w:sz="4" w:space="0"/>
              <w:bottom w:val="single" w:color="auto" w:sz="4" w:space="0"/>
              <w:right w:val="single" w:color="auto" w:sz="4" w:space="0"/>
            </w:tcBorders>
            <w:shd w:val="clear" w:color="auto" w:fill="auto"/>
            <w:vAlign w:val="center"/>
          </w:tcPr>
          <w:p w14:paraId="70347657">
            <w:pPr>
              <w:pStyle w:val="21"/>
              <w:adjustRightInd w:val="0"/>
              <w:snapToGrid w:val="0"/>
              <w:spacing w:before="0" w:beforeAutospacing="0" w:after="0" w:afterAutospacing="0"/>
              <w:jc w:val="center"/>
              <w:rPr>
                <w:rFonts w:ascii="宋体" w:hAnsi="宋体" w:cs="宋体"/>
                <w:kern w:val="2"/>
              </w:rPr>
            </w:pPr>
          </w:p>
        </w:tc>
      </w:tr>
      <w:tr w14:paraId="53E4ED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1227" w:type="dxa"/>
            <w:vMerge w:val="continue"/>
            <w:tcBorders>
              <w:top w:val="nil"/>
              <w:left w:val="single" w:color="auto" w:sz="4" w:space="0"/>
              <w:bottom w:val="single" w:color="auto" w:sz="4" w:space="0"/>
              <w:right w:val="single" w:color="auto" w:sz="4" w:space="0"/>
            </w:tcBorders>
            <w:shd w:val="clear" w:color="auto" w:fill="auto"/>
            <w:vAlign w:val="center"/>
          </w:tcPr>
          <w:p w14:paraId="377A59CE">
            <w:pPr>
              <w:rPr>
                <w:sz w:val="20"/>
                <w:szCs w:val="20"/>
              </w:rPr>
            </w:pPr>
          </w:p>
        </w:tc>
        <w:tc>
          <w:tcPr>
            <w:tcW w:w="1957" w:type="dxa"/>
            <w:tcBorders>
              <w:top w:val="single" w:color="auto" w:sz="4" w:space="0"/>
              <w:left w:val="single" w:color="auto" w:sz="4" w:space="0"/>
              <w:bottom w:val="single" w:color="auto" w:sz="4" w:space="0"/>
              <w:right w:val="single" w:color="auto" w:sz="4" w:space="0"/>
            </w:tcBorders>
            <w:shd w:val="clear" w:color="auto" w:fill="auto"/>
            <w:vAlign w:val="center"/>
          </w:tcPr>
          <w:p w14:paraId="40900E9C">
            <w:pPr>
              <w:pStyle w:val="21"/>
              <w:adjustRightInd w:val="0"/>
              <w:snapToGrid w:val="0"/>
              <w:spacing w:before="0" w:beforeAutospacing="0" w:after="0" w:afterAutospacing="0"/>
              <w:jc w:val="center"/>
              <w:rPr>
                <w:rFonts w:ascii="宋体" w:hAnsi="宋体" w:cs="宋体"/>
                <w:kern w:val="2"/>
              </w:rPr>
            </w:pPr>
          </w:p>
        </w:tc>
        <w:tc>
          <w:tcPr>
            <w:tcW w:w="2054" w:type="dxa"/>
            <w:tcBorders>
              <w:top w:val="single" w:color="auto" w:sz="4" w:space="0"/>
              <w:left w:val="single" w:color="auto" w:sz="4" w:space="0"/>
              <w:bottom w:val="single" w:color="auto" w:sz="4" w:space="0"/>
              <w:right w:val="single" w:color="auto" w:sz="4" w:space="0"/>
            </w:tcBorders>
            <w:shd w:val="clear" w:color="auto" w:fill="auto"/>
            <w:vAlign w:val="center"/>
          </w:tcPr>
          <w:p w14:paraId="5BDC51B8">
            <w:pPr>
              <w:pStyle w:val="21"/>
              <w:adjustRightInd w:val="0"/>
              <w:snapToGrid w:val="0"/>
              <w:spacing w:before="0" w:beforeAutospacing="0" w:after="0" w:afterAutospacing="0"/>
              <w:jc w:val="center"/>
              <w:rPr>
                <w:rFonts w:ascii="宋体" w:hAnsi="宋体" w:cs="宋体"/>
                <w:kern w:val="2"/>
              </w:rPr>
            </w:pPr>
          </w:p>
        </w:tc>
        <w:tc>
          <w:tcPr>
            <w:tcW w:w="1774" w:type="dxa"/>
            <w:tcBorders>
              <w:top w:val="single" w:color="auto" w:sz="4" w:space="0"/>
              <w:left w:val="single" w:color="auto" w:sz="4" w:space="0"/>
              <w:bottom w:val="single" w:color="auto" w:sz="4" w:space="0"/>
              <w:right w:val="single" w:color="auto" w:sz="4" w:space="0"/>
            </w:tcBorders>
            <w:shd w:val="clear" w:color="auto" w:fill="auto"/>
            <w:vAlign w:val="center"/>
          </w:tcPr>
          <w:p w14:paraId="22C1B220">
            <w:pPr>
              <w:pStyle w:val="21"/>
              <w:adjustRightInd w:val="0"/>
              <w:snapToGrid w:val="0"/>
              <w:spacing w:before="0" w:beforeAutospacing="0" w:after="0" w:afterAutospacing="0"/>
              <w:jc w:val="center"/>
              <w:rPr>
                <w:rFonts w:ascii="宋体" w:hAnsi="宋体" w:cs="宋体"/>
                <w:kern w:val="2"/>
              </w:rPr>
            </w:pPr>
          </w:p>
        </w:tc>
        <w:tc>
          <w:tcPr>
            <w:tcW w:w="2134" w:type="dxa"/>
            <w:tcBorders>
              <w:top w:val="single" w:color="auto" w:sz="4" w:space="0"/>
              <w:left w:val="single" w:color="auto" w:sz="4" w:space="0"/>
              <w:bottom w:val="single" w:color="auto" w:sz="4" w:space="0"/>
              <w:right w:val="single" w:color="auto" w:sz="4" w:space="0"/>
            </w:tcBorders>
            <w:shd w:val="clear" w:color="auto" w:fill="auto"/>
            <w:vAlign w:val="center"/>
          </w:tcPr>
          <w:p w14:paraId="753D47A9">
            <w:pPr>
              <w:pStyle w:val="21"/>
              <w:adjustRightInd w:val="0"/>
              <w:snapToGrid w:val="0"/>
              <w:spacing w:before="0" w:beforeAutospacing="0" w:after="0" w:afterAutospacing="0"/>
              <w:jc w:val="center"/>
              <w:rPr>
                <w:rFonts w:ascii="宋体" w:hAnsi="宋体" w:cs="宋体"/>
                <w:kern w:val="2"/>
              </w:rPr>
            </w:pPr>
          </w:p>
        </w:tc>
        <w:tc>
          <w:tcPr>
            <w:tcW w:w="1617" w:type="dxa"/>
            <w:tcBorders>
              <w:top w:val="single" w:color="auto" w:sz="4" w:space="0"/>
              <w:left w:val="single" w:color="auto" w:sz="4" w:space="0"/>
              <w:bottom w:val="single" w:color="auto" w:sz="4" w:space="0"/>
              <w:right w:val="single" w:color="auto" w:sz="4" w:space="0"/>
            </w:tcBorders>
            <w:shd w:val="clear" w:color="auto" w:fill="auto"/>
            <w:vAlign w:val="center"/>
          </w:tcPr>
          <w:p w14:paraId="00EBBF32">
            <w:pPr>
              <w:pStyle w:val="21"/>
              <w:adjustRightInd w:val="0"/>
              <w:snapToGrid w:val="0"/>
              <w:spacing w:before="0" w:beforeAutospacing="0" w:after="0" w:afterAutospacing="0"/>
              <w:jc w:val="center"/>
              <w:rPr>
                <w:rFonts w:ascii="宋体" w:hAnsi="宋体" w:cs="宋体"/>
                <w:kern w:val="2"/>
              </w:rPr>
            </w:pPr>
          </w:p>
        </w:tc>
      </w:tr>
      <w:tr w14:paraId="0A23B6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1227" w:type="dxa"/>
            <w:vMerge w:val="continue"/>
            <w:tcBorders>
              <w:top w:val="nil"/>
              <w:left w:val="single" w:color="auto" w:sz="4" w:space="0"/>
              <w:bottom w:val="single" w:color="auto" w:sz="4" w:space="0"/>
              <w:right w:val="single" w:color="auto" w:sz="4" w:space="0"/>
            </w:tcBorders>
            <w:shd w:val="clear" w:color="auto" w:fill="auto"/>
            <w:vAlign w:val="center"/>
          </w:tcPr>
          <w:p w14:paraId="2666B11D">
            <w:pPr>
              <w:rPr>
                <w:sz w:val="20"/>
                <w:szCs w:val="20"/>
              </w:rPr>
            </w:pPr>
          </w:p>
        </w:tc>
        <w:tc>
          <w:tcPr>
            <w:tcW w:w="7919" w:type="dxa"/>
            <w:gridSpan w:val="4"/>
            <w:tcBorders>
              <w:top w:val="single" w:color="auto" w:sz="4" w:space="0"/>
              <w:left w:val="single" w:color="auto" w:sz="4" w:space="0"/>
              <w:bottom w:val="single" w:color="auto" w:sz="4" w:space="0"/>
              <w:right w:val="single" w:color="auto" w:sz="4" w:space="0"/>
            </w:tcBorders>
            <w:shd w:val="clear" w:color="auto" w:fill="auto"/>
            <w:vAlign w:val="center"/>
          </w:tcPr>
          <w:p w14:paraId="155475BA">
            <w:pPr>
              <w:pStyle w:val="21"/>
              <w:adjustRightInd w:val="0"/>
              <w:snapToGrid w:val="0"/>
              <w:spacing w:before="0" w:beforeAutospacing="0" w:after="0" w:afterAutospacing="0"/>
              <w:jc w:val="center"/>
              <w:rPr>
                <w:rFonts w:ascii="宋体" w:hAnsi="宋体" w:cs="宋体"/>
                <w:kern w:val="2"/>
              </w:rPr>
            </w:pPr>
            <w:r>
              <w:rPr>
                <w:rFonts w:hint="eastAsia" w:ascii="宋体" w:hAnsi="宋体" w:cs="宋体"/>
                <w:kern w:val="2"/>
                <w:lang w:bidi="ar"/>
              </w:rPr>
              <w:t>小微企业（含监狱企业、残疾人福利性单位）制造的货物金额合计</w:t>
            </w:r>
          </w:p>
        </w:tc>
        <w:tc>
          <w:tcPr>
            <w:tcW w:w="1617" w:type="dxa"/>
            <w:tcBorders>
              <w:top w:val="single" w:color="auto" w:sz="4" w:space="0"/>
              <w:left w:val="single" w:color="auto" w:sz="4" w:space="0"/>
              <w:bottom w:val="single" w:color="auto" w:sz="4" w:space="0"/>
              <w:right w:val="single" w:color="auto" w:sz="4" w:space="0"/>
            </w:tcBorders>
            <w:shd w:val="clear" w:color="auto" w:fill="auto"/>
            <w:vAlign w:val="center"/>
          </w:tcPr>
          <w:p w14:paraId="19A75C67">
            <w:pPr>
              <w:pStyle w:val="21"/>
              <w:adjustRightInd w:val="0"/>
              <w:snapToGrid w:val="0"/>
              <w:spacing w:before="0" w:beforeAutospacing="0" w:after="0" w:afterAutospacing="0"/>
              <w:jc w:val="center"/>
              <w:rPr>
                <w:rFonts w:ascii="宋体" w:hAnsi="宋体" w:cs="宋体"/>
                <w:b/>
                <w:kern w:val="2"/>
              </w:rPr>
            </w:pPr>
            <w:r>
              <w:rPr>
                <w:rFonts w:hint="eastAsia" w:ascii="宋体" w:hAnsi="宋体" w:cs="宋体"/>
                <w:b/>
                <w:kern w:val="2"/>
                <w:u w:val="single"/>
                <w:lang w:bidi="ar"/>
              </w:rPr>
              <w:t xml:space="preserve">     </w:t>
            </w:r>
            <w:r>
              <w:rPr>
                <w:rFonts w:hint="eastAsia" w:ascii="宋体" w:hAnsi="宋体" w:cs="宋体"/>
                <w:b/>
                <w:kern w:val="2"/>
                <w:lang w:bidi="ar"/>
              </w:rPr>
              <w:t>元</w:t>
            </w:r>
          </w:p>
        </w:tc>
      </w:tr>
      <w:tr w14:paraId="6A9C2F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1" w:hRule="atLeast"/>
          <w:jc w:val="center"/>
        </w:trPr>
        <w:tc>
          <w:tcPr>
            <w:tcW w:w="1227" w:type="dxa"/>
            <w:vMerge w:val="continue"/>
            <w:tcBorders>
              <w:top w:val="nil"/>
              <w:left w:val="single" w:color="auto" w:sz="4" w:space="0"/>
              <w:bottom w:val="single" w:color="auto" w:sz="4" w:space="0"/>
              <w:right w:val="single" w:color="auto" w:sz="4" w:space="0"/>
            </w:tcBorders>
            <w:shd w:val="clear" w:color="auto" w:fill="auto"/>
            <w:vAlign w:val="center"/>
          </w:tcPr>
          <w:p w14:paraId="7B91F43F">
            <w:pPr>
              <w:rPr>
                <w:sz w:val="20"/>
                <w:szCs w:val="20"/>
              </w:rPr>
            </w:pPr>
          </w:p>
        </w:tc>
        <w:tc>
          <w:tcPr>
            <w:tcW w:w="7919" w:type="dxa"/>
            <w:gridSpan w:val="4"/>
            <w:tcBorders>
              <w:top w:val="single" w:color="auto" w:sz="4" w:space="0"/>
              <w:left w:val="single" w:color="auto" w:sz="4" w:space="0"/>
              <w:bottom w:val="single" w:color="auto" w:sz="4" w:space="0"/>
              <w:right w:val="single" w:color="auto" w:sz="4" w:space="0"/>
            </w:tcBorders>
            <w:shd w:val="clear" w:color="auto" w:fill="auto"/>
            <w:vAlign w:val="center"/>
          </w:tcPr>
          <w:p w14:paraId="6CCBA59F">
            <w:pPr>
              <w:pStyle w:val="21"/>
              <w:adjustRightInd w:val="0"/>
              <w:snapToGrid w:val="0"/>
              <w:spacing w:before="0" w:beforeAutospacing="0" w:after="0" w:afterAutospacing="0"/>
              <w:jc w:val="center"/>
              <w:rPr>
                <w:rFonts w:ascii="宋体" w:hAnsi="宋体" w:cs="宋体"/>
                <w:kern w:val="2"/>
              </w:rPr>
            </w:pPr>
            <w:r>
              <w:rPr>
                <w:rFonts w:hint="eastAsia" w:ascii="宋体" w:hAnsi="宋体" w:cs="宋体"/>
                <w:kern w:val="2"/>
                <w:lang w:bidi="ar"/>
              </w:rPr>
              <w:t>比重（小微企业（含监狱企业、残疾人福利性单位）制造的货物金额/所投包投标总价）*100%</w:t>
            </w:r>
          </w:p>
        </w:tc>
        <w:tc>
          <w:tcPr>
            <w:tcW w:w="1617" w:type="dxa"/>
            <w:tcBorders>
              <w:top w:val="single" w:color="auto" w:sz="4" w:space="0"/>
              <w:left w:val="single" w:color="auto" w:sz="4" w:space="0"/>
              <w:bottom w:val="single" w:color="auto" w:sz="4" w:space="0"/>
              <w:right w:val="single" w:color="auto" w:sz="4" w:space="0"/>
            </w:tcBorders>
            <w:shd w:val="clear" w:color="auto" w:fill="auto"/>
            <w:vAlign w:val="center"/>
          </w:tcPr>
          <w:p w14:paraId="074CCF59">
            <w:pPr>
              <w:pStyle w:val="21"/>
              <w:adjustRightInd w:val="0"/>
              <w:snapToGrid w:val="0"/>
              <w:spacing w:before="0" w:beforeAutospacing="0" w:after="0" w:afterAutospacing="0"/>
              <w:jc w:val="center"/>
              <w:rPr>
                <w:rFonts w:ascii="宋体" w:hAnsi="宋体" w:cs="宋体"/>
                <w:b/>
                <w:kern w:val="2"/>
              </w:rPr>
            </w:pPr>
            <w:r>
              <w:rPr>
                <w:rFonts w:hint="eastAsia" w:ascii="宋体" w:hAnsi="宋体" w:cs="宋体"/>
                <w:b/>
                <w:kern w:val="2"/>
                <w:u w:val="single"/>
                <w:lang w:bidi="ar"/>
              </w:rPr>
              <w:t xml:space="preserve">     </w:t>
            </w:r>
            <w:r>
              <w:rPr>
                <w:rFonts w:hint="eastAsia" w:ascii="宋体" w:hAnsi="宋体" w:cs="宋体"/>
                <w:b/>
                <w:kern w:val="2"/>
                <w:lang w:bidi="ar"/>
              </w:rPr>
              <w:t>%</w:t>
            </w:r>
          </w:p>
        </w:tc>
      </w:tr>
      <w:tr w14:paraId="1E02FF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1227" w:type="dxa"/>
            <w:tcBorders>
              <w:top w:val="single" w:color="auto" w:sz="4" w:space="0"/>
              <w:left w:val="single" w:color="auto" w:sz="4" w:space="0"/>
              <w:bottom w:val="single" w:color="auto" w:sz="4" w:space="0"/>
              <w:right w:val="single" w:color="auto" w:sz="4" w:space="0"/>
            </w:tcBorders>
            <w:shd w:val="clear" w:color="auto" w:fill="auto"/>
            <w:vAlign w:val="center"/>
          </w:tcPr>
          <w:p w14:paraId="6757EEE8">
            <w:pPr>
              <w:pStyle w:val="21"/>
              <w:adjustRightInd w:val="0"/>
              <w:snapToGrid w:val="0"/>
              <w:spacing w:before="0" w:beforeAutospacing="0" w:after="0" w:afterAutospacing="0"/>
              <w:jc w:val="center"/>
              <w:rPr>
                <w:rFonts w:ascii="宋体" w:hAnsi="宋体" w:cs="宋体"/>
                <w:kern w:val="2"/>
              </w:rPr>
            </w:pPr>
            <w:r>
              <w:rPr>
                <w:rFonts w:hint="eastAsia" w:ascii="宋体" w:hAnsi="宋体" w:cs="宋体"/>
                <w:kern w:val="2"/>
                <w:lang w:bidi="ar"/>
              </w:rPr>
              <w:t>中小企业</w:t>
            </w:r>
          </w:p>
        </w:tc>
        <w:tc>
          <w:tcPr>
            <w:tcW w:w="9536" w:type="dxa"/>
            <w:gridSpan w:val="5"/>
            <w:tcBorders>
              <w:top w:val="single" w:color="auto" w:sz="4" w:space="0"/>
              <w:left w:val="single" w:color="auto" w:sz="4" w:space="0"/>
              <w:bottom w:val="single" w:color="auto" w:sz="4" w:space="0"/>
              <w:right w:val="single" w:color="auto" w:sz="4" w:space="0"/>
            </w:tcBorders>
            <w:shd w:val="clear" w:color="auto" w:fill="auto"/>
            <w:vAlign w:val="center"/>
          </w:tcPr>
          <w:p w14:paraId="1DA95B85">
            <w:pPr>
              <w:pStyle w:val="21"/>
              <w:adjustRightInd w:val="0"/>
              <w:snapToGrid w:val="0"/>
              <w:spacing w:before="0" w:beforeAutospacing="0" w:after="0" w:afterAutospacing="0"/>
              <w:jc w:val="both"/>
              <w:rPr>
                <w:rFonts w:ascii="宋体" w:hAnsi="宋体" w:cs="宋体"/>
                <w:kern w:val="2"/>
              </w:rPr>
            </w:pPr>
            <w:r>
              <w:rPr>
                <w:rFonts w:hint="eastAsia" w:ascii="宋体" w:hAnsi="宋体" w:cs="宋体"/>
                <w:kern w:val="2"/>
                <w:lang w:bidi="ar"/>
              </w:rPr>
              <w:t>如属于中小企业，须提供《中小企业声明函》。</w:t>
            </w:r>
          </w:p>
          <w:p w14:paraId="10BEC934">
            <w:pPr>
              <w:pStyle w:val="21"/>
              <w:adjustRightInd w:val="0"/>
              <w:snapToGrid w:val="0"/>
              <w:spacing w:before="0" w:beforeAutospacing="0" w:after="0" w:afterAutospacing="0"/>
              <w:jc w:val="both"/>
              <w:rPr>
                <w:rFonts w:ascii="宋体" w:hAnsi="宋体" w:cs="宋体"/>
                <w:kern w:val="2"/>
              </w:rPr>
            </w:pPr>
            <w:r>
              <w:rPr>
                <w:rFonts w:hint="eastAsia" w:ascii="宋体" w:hAnsi="宋体" w:cs="宋体"/>
                <w:kern w:val="2"/>
                <w:lang w:bidi="ar"/>
              </w:rPr>
              <w:t>该声明函见响应文件第</w:t>
            </w:r>
            <w:r>
              <w:rPr>
                <w:rFonts w:hint="eastAsia" w:ascii="宋体" w:hAnsi="宋体" w:cs="宋体"/>
                <w:kern w:val="2"/>
                <w:u w:val="single"/>
                <w:lang w:bidi="ar"/>
              </w:rPr>
              <w:t xml:space="preserve">   </w:t>
            </w:r>
            <w:r>
              <w:rPr>
                <w:rFonts w:hint="eastAsia" w:ascii="宋体" w:hAnsi="宋体" w:cs="宋体"/>
                <w:kern w:val="2"/>
                <w:lang w:bidi="ar"/>
              </w:rPr>
              <w:t>至</w:t>
            </w:r>
            <w:r>
              <w:rPr>
                <w:rFonts w:hint="eastAsia" w:ascii="宋体" w:hAnsi="宋体" w:cs="宋体"/>
                <w:kern w:val="2"/>
                <w:u w:val="single"/>
                <w:lang w:bidi="ar"/>
              </w:rPr>
              <w:t xml:space="preserve">   </w:t>
            </w:r>
            <w:r>
              <w:rPr>
                <w:rFonts w:hint="eastAsia" w:ascii="宋体" w:hAnsi="宋体" w:cs="宋体"/>
                <w:kern w:val="2"/>
                <w:lang w:bidi="ar"/>
              </w:rPr>
              <w:t>页。</w:t>
            </w:r>
          </w:p>
        </w:tc>
      </w:tr>
      <w:tr w14:paraId="03A4A6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1227" w:type="dxa"/>
            <w:tcBorders>
              <w:top w:val="single" w:color="auto" w:sz="4" w:space="0"/>
              <w:left w:val="single" w:color="auto" w:sz="4" w:space="0"/>
              <w:bottom w:val="single" w:color="auto" w:sz="4" w:space="0"/>
              <w:right w:val="single" w:color="auto" w:sz="4" w:space="0"/>
            </w:tcBorders>
            <w:shd w:val="clear" w:color="auto" w:fill="auto"/>
            <w:vAlign w:val="center"/>
          </w:tcPr>
          <w:p w14:paraId="60E3170D">
            <w:pPr>
              <w:pStyle w:val="21"/>
              <w:adjustRightInd w:val="0"/>
              <w:snapToGrid w:val="0"/>
              <w:spacing w:before="0" w:beforeAutospacing="0" w:after="0" w:afterAutospacing="0"/>
              <w:jc w:val="center"/>
              <w:rPr>
                <w:rFonts w:ascii="宋体" w:hAnsi="宋体" w:cs="宋体"/>
                <w:kern w:val="2"/>
              </w:rPr>
            </w:pPr>
            <w:r>
              <w:rPr>
                <w:rFonts w:hint="eastAsia" w:ascii="宋体" w:hAnsi="宋体" w:cs="宋体"/>
                <w:kern w:val="2"/>
                <w:lang w:bidi="ar"/>
              </w:rPr>
              <w:t>监狱企业</w:t>
            </w:r>
          </w:p>
        </w:tc>
        <w:tc>
          <w:tcPr>
            <w:tcW w:w="9536" w:type="dxa"/>
            <w:gridSpan w:val="5"/>
            <w:tcBorders>
              <w:top w:val="single" w:color="auto" w:sz="4" w:space="0"/>
              <w:left w:val="single" w:color="auto" w:sz="4" w:space="0"/>
              <w:bottom w:val="single" w:color="auto" w:sz="4" w:space="0"/>
              <w:right w:val="single" w:color="auto" w:sz="4" w:space="0"/>
            </w:tcBorders>
            <w:shd w:val="clear" w:color="auto" w:fill="auto"/>
            <w:vAlign w:val="center"/>
          </w:tcPr>
          <w:p w14:paraId="5EE311D8">
            <w:pPr>
              <w:pStyle w:val="21"/>
              <w:adjustRightInd w:val="0"/>
              <w:snapToGrid w:val="0"/>
              <w:spacing w:before="0" w:beforeAutospacing="0" w:after="0" w:afterAutospacing="0"/>
              <w:jc w:val="both"/>
              <w:rPr>
                <w:rFonts w:ascii="宋体" w:hAnsi="宋体" w:cs="宋体"/>
                <w:kern w:val="2"/>
              </w:rPr>
            </w:pPr>
            <w:r>
              <w:rPr>
                <w:rFonts w:hint="eastAsia" w:ascii="宋体" w:hAnsi="宋体" w:cs="宋体"/>
                <w:kern w:val="2"/>
                <w:lang w:bidi="ar"/>
              </w:rPr>
              <w:t>如属于监狱企业，须提供由省级以上监狱管理局、戒毒管理局(含新疆生产建设兵团)出具的属于监狱企业的证明文件。</w:t>
            </w:r>
          </w:p>
          <w:p w14:paraId="264EC898">
            <w:pPr>
              <w:pStyle w:val="21"/>
              <w:adjustRightInd w:val="0"/>
              <w:snapToGrid w:val="0"/>
              <w:spacing w:before="0" w:beforeAutospacing="0" w:after="0" w:afterAutospacing="0"/>
              <w:jc w:val="both"/>
              <w:rPr>
                <w:rFonts w:ascii="宋体" w:hAnsi="宋体" w:cs="宋体"/>
                <w:kern w:val="2"/>
              </w:rPr>
            </w:pPr>
            <w:r>
              <w:rPr>
                <w:rFonts w:hint="eastAsia" w:ascii="宋体" w:hAnsi="宋体" w:cs="宋体"/>
                <w:kern w:val="2"/>
                <w:lang w:bidi="ar"/>
              </w:rPr>
              <w:t>证明材料见响应文件第</w:t>
            </w:r>
            <w:r>
              <w:rPr>
                <w:rFonts w:hint="eastAsia" w:ascii="宋体" w:hAnsi="宋体" w:cs="宋体"/>
                <w:kern w:val="2"/>
                <w:u w:val="single"/>
                <w:lang w:bidi="ar"/>
              </w:rPr>
              <w:t xml:space="preserve">   </w:t>
            </w:r>
            <w:r>
              <w:rPr>
                <w:rFonts w:hint="eastAsia" w:ascii="宋体" w:hAnsi="宋体" w:cs="宋体"/>
                <w:kern w:val="2"/>
                <w:lang w:bidi="ar"/>
              </w:rPr>
              <w:t>至</w:t>
            </w:r>
            <w:r>
              <w:rPr>
                <w:rFonts w:hint="eastAsia" w:ascii="宋体" w:hAnsi="宋体" w:cs="宋体"/>
                <w:kern w:val="2"/>
                <w:u w:val="single"/>
                <w:lang w:bidi="ar"/>
              </w:rPr>
              <w:t xml:space="preserve">   </w:t>
            </w:r>
            <w:r>
              <w:rPr>
                <w:rFonts w:hint="eastAsia" w:ascii="宋体" w:hAnsi="宋体" w:cs="宋体"/>
                <w:kern w:val="2"/>
                <w:lang w:bidi="ar"/>
              </w:rPr>
              <w:t>页。</w:t>
            </w:r>
          </w:p>
        </w:tc>
      </w:tr>
      <w:tr w14:paraId="6822CC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1227" w:type="dxa"/>
            <w:tcBorders>
              <w:top w:val="single" w:color="auto" w:sz="4" w:space="0"/>
              <w:left w:val="single" w:color="auto" w:sz="4" w:space="0"/>
              <w:bottom w:val="single" w:color="auto" w:sz="4" w:space="0"/>
              <w:right w:val="single" w:color="auto" w:sz="4" w:space="0"/>
            </w:tcBorders>
            <w:shd w:val="clear" w:color="auto" w:fill="auto"/>
            <w:vAlign w:val="center"/>
          </w:tcPr>
          <w:p w14:paraId="35EFC5E4">
            <w:pPr>
              <w:pStyle w:val="21"/>
              <w:adjustRightInd w:val="0"/>
              <w:snapToGrid w:val="0"/>
              <w:spacing w:before="0" w:beforeAutospacing="0" w:after="0" w:afterAutospacing="0"/>
              <w:jc w:val="center"/>
              <w:rPr>
                <w:rFonts w:ascii="宋体" w:hAnsi="宋体" w:cs="宋体"/>
                <w:kern w:val="2"/>
              </w:rPr>
            </w:pPr>
            <w:r>
              <w:rPr>
                <w:rFonts w:hint="eastAsia" w:ascii="宋体" w:hAnsi="宋体" w:cs="宋体"/>
                <w:kern w:val="2"/>
                <w:lang w:bidi="ar"/>
              </w:rPr>
              <w:t>残疾人福利性单位</w:t>
            </w:r>
          </w:p>
        </w:tc>
        <w:tc>
          <w:tcPr>
            <w:tcW w:w="9536" w:type="dxa"/>
            <w:gridSpan w:val="5"/>
            <w:tcBorders>
              <w:top w:val="single" w:color="auto" w:sz="4" w:space="0"/>
              <w:left w:val="single" w:color="auto" w:sz="4" w:space="0"/>
              <w:bottom w:val="single" w:color="auto" w:sz="4" w:space="0"/>
              <w:right w:val="single" w:color="auto" w:sz="4" w:space="0"/>
            </w:tcBorders>
            <w:shd w:val="clear" w:color="auto" w:fill="auto"/>
            <w:vAlign w:val="center"/>
          </w:tcPr>
          <w:p w14:paraId="6847EEDC">
            <w:pPr>
              <w:pStyle w:val="21"/>
              <w:adjustRightInd w:val="0"/>
              <w:snapToGrid w:val="0"/>
              <w:spacing w:before="0" w:beforeAutospacing="0" w:after="0" w:afterAutospacing="0"/>
              <w:jc w:val="both"/>
              <w:rPr>
                <w:rFonts w:ascii="宋体" w:hAnsi="宋体" w:cs="宋体"/>
                <w:kern w:val="2"/>
              </w:rPr>
            </w:pPr>
            <w:r>
              <w:rPr>
                <w:rFonts w:hint="eastAsia" w:ascii="宋体" w:hAnsi="宋体" w:cs="宋体"/>
                <w:kern w:val="2"/>
                <w:lang w:bidi="ar"/>
              </w:rPr>
              <w:t>如属于残疾人福利性单位，须提供《残疾人福利性单位声明函》。</w:t>
            </w:r>
          </w:p>
          <w:p w14:paraId="463A16BA">
            <w:pPr>
              <w:pStyle w:val="21"/>
              <w:adjustRightInd w:val="0"/>
              <w:snapToGrid w:val="0"/>
              <w:spacing w:before="0" w:beforeAutospacing="0" w:after="0" w:afterAutospacing="0"/>
              <w:jc w:val="both"/>
              <w:rPr>
                <w:rFonts w:ascii="宋体" w:hAnsi="宋体" w:cs="宋体"/>
                <w:kern w:val="2"/>
              </w:rPr>
            </w:pPr>
            <w:r>
              <w:rPr>
                <w:rFonts w:hint="eastAsia" w:ascii="宋体" w:hAnsi="宋体" w:cs="宋体"/>
                <w:kern w:val="2"/>
                <w:lang w:bidi="ar"/>
              </w:rPr>
              <w:t>该声明函见响应文件第</w:t>
            </w:r>
            <w:r>
              <w:rPr>
                <w:rFonts w:hint="eastAsia" w:ascii="宋体" w:hAnsi="宋体" w:cs="宋体"/>
                <w:kern w:val="2"/>
                <w:u w:val="single"/>
                <w:lang w:bidi="ar"/>
              </w:rPr>
              <w:t xml:space="preserve">   </w:t>
            </w:r>
            <w:r>
              <w:rPr>
                <w:rFonts w:hint="eastAsia" w:ascii="宋体" w:hAnsi="宋体" w:cs="宋体"/>
                <w:kern w:val="2"/>
                <w:lang w:bidi="ar"/>
              </w:rPr>
              <w:t>至</w:t>
            </w:r>
            <w:r>
              <w:rPr>
                <w:rFonts w:hint="eastAsia" w:ascii="宋体" w:hAnsi="宋体" w:cs="宋体"/>
                <w:kern w:val="2"/>
                <w:u w:val="single"/>
                <w:lang w:bidi="ar"/>
              </w:rPr>
              <w:t xml:space="preserve">   </w:t>
            </w:r>
            <w:r>
              <w:rPr>
                <w:rFonts w:hint="eastAsia" w:ascii="宋体" w:hAnsi="宋体" w:cs="宋体"/>
                <w:kern w:val="2"/>
                <w:lang w:bidi="ar"/>
              </w:rPr>
              <w:t>页。</w:t>
            </w:r>
          </w:p>
        </w:tc>
      </w:tr>
    </w:tbl>
    <w:p w14:paraId="169FCDC9">
      <w:r>
        <w:rPr>
          <w:rFonts w:hint="eastAsia"/>
        </w:rPr>
        <w:t xml:space="preserve"> </w:t>
      </w:r>
    </w:p>
    <w:p w14:paraId="3DE62D75">
      <w:pPr>
        <w:spacing w:line="360" w:lineRule="auto"/>
        <w:ind w:right="1560" w:firstLine="504" w:firstLineChars="200"/>
        <w:jc w:val="center"/>
        <w:rPr>
          <w:rFonts w:ascii="宋体" w:hAnsi="宋体" w:cs="宋体"/>
          <w:spacing w:val="6"/>
          <w:sz w:val="24"/>
        </w:rPr>
      </w:pPr>
      <w:r>
        <w:rPr>
          <w:rFonts w:hint="eastAsia" w:ascii="宋体" w:hAnsi="宋体" w:cs="宋体"/>
          <w:spacing w:val="6"/>
          <w:sz w:val="24"/>
          <w:lang w:bidi="ar"/>
        </w:rPr>
        <w:t xml:space="preserve">               单位名称（盖章）：</w:t>
      </w:r>
    </w:p>
    <w:p w14:paraId="1B768713">
      <w:pPr>
        <w:spacing w:line="360" w:lineRule="auto"/>
        <w:ind w:left="283" w:leftChars="135" w:firstLine="4914" w:firstLineChars="1950"/>
        <w:jc w:val="left"/>
        <w:rPr>
          <w:rFonts w:ascii="宋体" w:hAnsi="宋体" w:cs="宋体"/>
          <w:spacing w:val="6"/>
          <w:sz w:val="24"/>
          <w:lang w:bidi="ar"/>
        </w:rPr>
      </w:pPr>
      <w:r>
        <w:rPr>
          <w:rFonts w:hint="eastAsia" w:ascii="宋体" w:hAnsi="宋体" w:cs="宋体"/>
          <w:spacing w:val="6"/>
          <w:sz w:val="24"/>
          <w:lang w:bidi="ar"/>
        </w:rPr>
        <w:t>日  期：</w:t>
      </w:r>
    </w:p>
    <w:p w14:paraId="14A7FB1B">
      <w:pPr>
        <w:rPr>
          <w:rFonts w:ascii="宋体" w:hAnsi="宋体" w:cs="宋体"/>
          <w:spacing w:val="6"/>
          <w:sz w:val="24"/>
          <w:lang w:bidi="ar"/>
        </w:rPr>
      </w:pPr>
      <w:r>
        <w:rPr>
          <w:rFonts w:hint="eastAsia" w:ascii="宋体" w:hAnsi="宋体" w:cs="宋体"/>
          <w:spacing w:val="6"/>
          <w:sz w:val="24"/>
          <w:lang w:bidi="ar"/>
        </w:rPr>
        <w:br w:type="page"/>
      </w:r>
    </w:p>
    <w:p w14:paraId="29815530">
      <w:pPr>
        <w:pStyle w:val="39"/>
        <w:ind w:left="0" w:leftChars="0" w:firstLine="0" w:firstLineChars="0"/>
        <w:rPr>
          <w:rFonts w:hAnsi="宋体" w:cs="宋体"/>
          <w:b/>
          <w:sz w:val="28"/>
          <w:szCs w:val="28"/>
        </w:rPr>
      </w:pPr>
      <w:r>
        <w:rPr>
          <w:rFonts w:hint="eastAsia" w:hAnsi="宋体" w:cs="宋体"/>
          <w:b/>
          <w:sz w:val="28"/>
          <w:szCs w:val="28"/>
        </w:rPr>
        <w:t>格式2-7构成响应文件商务报价部分的其它资料（如有）</w:t>
      </w:r>
    </w:p>
    <w:p w14:paraId="7D109E4D">
      <w:pPr>
        <w:spacing w:line="360" w:lineRule="auto"/>
        <w:ind w:left="283" w:leftChars="135" w:firstLine="4914" w:firstLineChars="1950"/>
        <w:jc w:val="left"/>
        <w:rPr>
          <w:rFonts w:ascii="宋体" w:hAnsi="宋体" w:cs="宋体"/>
          <w:spacing w:val="6"/>
          <w:sz w:val="24"/>
          <w:lang w:bidi="ar"/>
        </w:rPr>
      </w:pPr>
    </w:p>
    <w:p w14:paraId="59625E1E">
      <w:pPr>
        <w:spacing w:line="360" w:lineRule="auto"/>
        <w:rPr>
          <w:rFonts w:ascii="宋体" w:hAnsi="宋体" w:cs="宋体"/>
          <w:b/>
          <w:sz w:val="28"/>
          <w:szCs w:val="28"/>
        </w:rPr>
      </w:pPr>
      <w:r>
        <w:rPr>
          <w:rFonts w:hint="eastAsia" w:ascii="宋体" w:hAnsi="宋体" w:cs="宋体"/>
          <w:b/>
          <w:sz w:val="28"/>
          <w:szCs w:val="28"/>
        </w:rPr>
        <w:t>格式</w:t>
      </w:r>
      <w:r>
        <w:rPr>
          <w:rFonts w:hint="eastAsia" w:hAnsi="宋体" w:cs="宋体"/>
          <w:b/>
          <w:sz w:val="28"/>
          <w:szCs w:val="28"/>
        </w:rPr>
        <w:t>2</w:t>
      </w:r>
      <w:r>
        <w:rPr>
          <w:rFonts w:hint="eastAsia" w:ascii="宋体" w:hAnsi="宋体" w:cs="宋体"/>
          <w:b/>
          <w:sz w:val="28"/>
          <w:szCs w:val="28"/>
        </w:rPr>
        <w:t>-</w:t>
      </w:r>
      <w:r>
        <w:rPr>
          <w:rFonts w:hint="eastAsia" w:hAnsi="宋体" w:cs="宋体"/>
          <w:b/>
          <w:sz w:val="28"/>
          <w:szCs w:val="28"/>
        </w:rPr>
        <w:t xml:space="preserve">8  </w:t>
      </w:r>
      <w:r>
        <w:rPr>
          <w:rFonts w:hint="eastAsia" w:ascii="宋体" w:hAnsi="宋体" w:cs="宋体"/>
          <w:b/>
          <w:sz w:val="28"/>
          <w:szCs w:val="28"/>
        </w:rPr>
        <w:t>二次报价分项报价表</w:t>
      </w:r>
    </w:p>
    <w:p w14:paraId="62753C3D">
      <w:pPr>
        <w:spacing w:line="360" w:lineRule="auto"/>
        <w:ind w:firstLine="2" w:firstLineChars="1"/>
        <w:rPr>
          <w:rFonts w:ascii="宋体" w:hAnsi="宋体"/>
          <w:szCs w:val="21"/>
          <w:u w:val="single"/>
        </w:rPr>
      </w:pPr>
      <w:r>
        <w:rPr>
          <w:rFonts w:hint="eastAsia" w:ascii="宋体" w:hAnsi="宋体"/>
          <w:szCs w:val="21"/>
        </w:rPr>
        <w:t xml:space="preserve">项目名称：  </w:t>
      </w:r>
      <w:r>
        <w:rPr>
          <w:rFonts w:ascii="宋体" w:hAnsi="宋体"/>
          <w:szCs w:val="21"/>
        </w:rPr>
        <w:t xml:space="preserve">                                        </w:t>
      </w:r>
      <w:r>
        <w:rPr>
          <w:rFonts w:hint="eastAsia" w:ascii="宋体" w:hAnsi="宋体"/>
          <w:szCs w:val="21"/>
        </w:rPr>
        <w:t xml:space="preserve">  项目编号：</w:t>
      </w:r>
    </w:p>
    <w:tbl>
      <w:tblPr>
        <w:tblStyle w:val="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8"/>
        <w:gridCol w:w="1821"/>
        <w:gridCol w:w="1751"/>
        <w:gridCol w:w="746"/>
        <w:gridCol w:w="1940"/>
        <w:gridCol w:w="1127"/>
        <w:gridCol w:w="1122"/>
        <w:gridCol w:w="725"/>
        <w:gridCol w:w="16"/>
      </w:tblGrid>
      <w:tr w14:paraId="7D9BE2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6" w:hRule="atLeast"/>
          <w:jc w:val="center"/>
        </w:trPr>
        <w:tc>
          <w:tcPr>
            <w:tcW w:w="458" w:type="dxa"/>
            <w:vAlign w:val="center"/>
          </w:tcPr>
          <w:p w14:paraId="15E53846">
            <w:pPr>
              <w:pStyle w:val="13"/>
              <w:jc w:val="center"/>
              <w:rPr>
                <w:rFonts w:hAnsi="宋体"/>
                <w:sz w:val="21"/>
                <w:szCs w:val="21"/>
              </w:rPr>
            </w:pPr>
            <w:r>
              <w:rPr>
                <w:rFonts w:hint="eastAsia" w:hAnsi="宋体"/>
                <w:sz w:val="21"/>
                <w:szCs w:val="21"/>
              </w:rPr>
              <w:t>序号</w:t>
            </w:r>
          </w:p>
        </w:tc>
        <w:tc>
          <w:tcPr>
            <w:tcW w:w="1821" w:type="dxa"/>
            <w:vAlign w:val="center"/>
          </w:tcPr>
          <w:p w14:paraId="4DDFFC0E">
            <w:pPr>
              <w:pStyle w:val="13"/>
              <w:jc w:val="center"/>
              <w:rPr>
                <w:rFonts w:hAnsi="宋体"/>
                <w:sz w:val="21"/>
                <w:szCs w:val="21"/>
              </w:rPr>
            </w:pPr>
            <w:r>
              <w:rPr>
                <w:rFonts w:hint="eastAsia" w:hAnsi="宋体"/>
                <w:sz w:val="21"/>
                <w:szCs w:val="21"/>
              </w:rPr>
              <w:t>货物名称</w:t>
            </w:r>
          </w:p>
        </w:tc>
        <w:tc>
          <w:tcPr>
            <w:tcW w:w="1751" w:type="dxa"/>
            <w:vAlign w:val="center"/>
          </w:tcPr>
          <w:p w14:paraId="42AB714A">
            <w:pPr>
              <w:pStyle w:val="13"/>
              <w:jc w:val="center"/>
              <w:rPr>
                <w:rFonts w:hAnsi="宋体"/>
                <w:sz w:val="21"/>
                <w:szCs w:val="21"/>
              </w:rPr>
            </w:pPr>
            <w:r>
              <w:rPr>
                <w:rFonts w:hint="eastAsia" w:hAnsi="宋体"/>
                <w:sz w:val="21"/>
                <w:szCs w:val="21"/>
              </w:rPr>
              <w:t>型号和规格</w:t>
            </w:r>
          </w:p>
          <w:p w14:paraId="79A286C8">
            <w:pPr>
              <w:pStyle w:val="13"/>
              <w:jc w:val="center"/>
              <w:rPr>
                <w:rFonts w:hAnsi="宋体"/>
                <w:sz w:val="21"/>
                <w:szCs w:val="21"/>
              </w:rPr>
            </w:pPr>
            <w:r>
              <w:rPr>
                <w:rFonts w:hint="eastAsia" w:hAnsi="宋体"/>
                <w:sz w:val="18"/>
                <w:szCs w:val="18"/>
              </w:rPr>
              <w:t>(须与涉及的产品认证证书中列明型号完全一致)</w:t>
            </w:r>
          </w:p>
        </w:tc>
        <w:tc>
          <w:tcPr>
            <w:tcW w:w="746" w:type="dxa"/>
            <w:vAlign w:val="center"/>
          </w:tcPr>
          <w:p w14:paraId="195E63B8">
            <w:pPr>
              <w:pStyle w:val="13"/>
              <w:jc w:val="center"/>
              <w:rPr>
                <w:rFonts w:hAnsi="宋体"/>
                <w:sz w:val="21"/>
                <w:szCs w:val="21"/>
              </w:rPr>
            </w:pPr>
            <w:r>
              <w:rPr>
                <w:rFonts w:hint="eastAsia" w:hAnsi="宋体"/>
                <w:sz w:val="21"/>
                <w:szCs w:val="21"/>
              </w:rPr>
              <w:t>数量</w:t>
            </w:r>
          </w:p>
        </w:tc>
        <w:tc>
          <w:tcPr>
            <w:tcW w:w="1940" w:type="dxa"/>
            <w:vAlign w:val="center"/>
          </w:tcPr>
          <w:p w14:paraId="639936A5">
            <w:pPr>
              <w:pStyle w:val="13"/>
              <w:jc w:val="center"/>
              <w:rPr>
                <w:rFonts w:hAnsi="宋体"/>
                <w:sz w:val="21"/>
                <w:szCs w:val="21"/>
              </w:rPr>
            </w:pPr>
            <w:r>
              <w:rPr>
                <w:rFonts w:hint="eastAsia" w:hAnsi="宋体"/>
                <w:sz w:val="21"/>
                <w:szCs w:val="21"/>
              </w:rPr>
              <w:t>制造商/生产厂商名称</w:t>
            </w:r>
          </w:p>
        </w:tc>
        <w:tc>
          <w:tcPr>
            <w:tcW w:w="1127" w:type="dxa"/>
            <w:vAlign w:val="center"/>
          </w:tcPr>
          <w:p w14:paraId="06A88C82">
            <w:pPr>
              <w:pStyle w:val="13"/>
              <w:jc w:val="center"/>
              <w:rPr>
                <w:rFonts w:hAnsi="宋体"/>
                <w:sz w:val="21"/>
                <w:szCs w:val="21"/>
              </w:rPr>
            </w:pPr>
            <w:r>
              <w:rPr>
                <w:rFonts w:hint="eastAsia" w:hAnsi="宋体"/>
                <w:sz w:val="21"/>
                <w:szCs w:val="21"/>
              </w:rPr>
              <w:t>单价</w:t>
            </w:r>
          </w:p>
          <w:p w14:paraId="7DA02AF4">
            <w:pPr>
              <w:pStyle w:val="13"/>
              <w:jc w:val="center"/>
              <w:rPr>
                <w:rFonts w:hAnsi="宋体"/>
                <w:sz w:val="21"/>
                <w:szCs w:val="21"/>
              </w:rPr>
            </w:pPr>
            <w:r>
              <w:rPr>
                <w:rFonts w:hint="eastAsia" w:hAnsi="宋体"/>
                <w:sz w:val="21"/>
                <w:szCs w:val="21"/>
              </w:rPr>
              <w:t>（元）</w:t>
            </w:r>
          </w:p>
        </w:tc>
        <w:tc>
          <w:tcPr>
            <w:tcW w:w="1122" w:type="dxa"/>
            <w:vAlign w:val="center"/>
          </w:tcPr>
          <w:p w14:paraId="523CCA8B">
            <w:pPr>
              <w:pStyle w:val="13"/>
              <w:jc w:val="center"/>
              <w:rPr>
                <w:rFonts w:hAnsi="宋体"/>
                <w:sz w:val="21"/>
                <w:szCs w:val="21"/>
              </w:rPr>
            </w:pPr>
            <w:r>
              <w:rPr>
                <w:rFonts w:hint="eastAsia" w:hAnsi="宋体"/>
                <w:sz w:val="21"/>
                <w:szCs w:val="21"/>
              </w:rPr>
              <w:t>总价</w:t>
            </w:r>
          </w:p>
          <w:p w14:paraId="40C2EC61">
            <w:pPr>
              <w:pStyle w:val="13"/>
              <w:jc w:val="center"/>
              <w:rPr>
                <w:rFonts w:hAnsi="宋体"/>
                <w:sz w:val="21"/>
                <w:szCs w:val="21"/>
              </w:rPr>
            </w:pPr>
            <w:r>
              <w:rPr>
                <w:rFonts w:hint="eastAsia" w:hAnsi="宋体"/>
                <w:sz w:val="21"/>
                <w:szCs w:val="21"/>
              </w:rPr>
              <w:t>（元）</w:t>
            </w:r>
          </w:p>
        </w:tc>
        <w:tc>
          <w:tcPr>
            <w:tcW w:w="741" w:type="dxa"/>
            <w:gridSpan w:val="2"/>
            <w:vAlign w:val="center"/>
          </w:tcPr>
          <w:p w14:paraId="75E76BDB">
            <w:pPr>
              <w:pStyle w:val="13"/>
              <w:ind w:left="72"/>
              <w:jc w:val="center"/>
              <w:rPr>
                <w:rFonts w:hAnsi="宋体"/>
                <w:sz w:val="21"/>
                <w:szCs w:val="21"/>
              </w:rPr>
            </w:pPr>
            <w:r>
              <w:rPr>
                <w:rFonts w:hint="eastAsia" w:hAnsi="宋体"/>
                <w:sz w:val="21"/>
                <w:szCs w:val="21"/>
              </w:rPr>
              <w:t>备注</w:t>
            </w:r>
          </w:p>
        </w:tc>
      </w:tr>
      <w:tr w14:paraId="5E0E29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6" w:hRule="atLeast"/>
          <w:jc w:val="center"/>
        </w:trPr>
        <w:tc>
          <w:tcPr>
            <w:tcW w:w="458" w:type="dxa"/>
            <w:vAlign w:val="center"/>
          </w:tcPr>
          <w:p w14:paraId="632753D9">
            <w:pPr>
              <w:pStyle w:val="13"/>
              <w:jc w:val="center"/>
              <w:rPr>
                <w:rFonts w:hAnsi="宋体"/>
                <w:sz w:val="21"/>
                <w:szCs w:val="21"/>
              </w:rPr>
            </w:pPr>
          </w:p>
        </w:tc>
        <w:tc>
          <w:tcPr>
            <w:tcW w:w="1821" w:type="dxa"/>
            <w:vAlign w:val="center"/>
          </w:tcPr>
          <w:p w14:paraId="01D1A14F">
            <w:pPr>
              <w:pStyle w:val="13"/>
              <w:rPr>
                <w:rFonts w:hAnsi="宋体"/>
                <w:sz w:val="21"/>
                <w:szCs w:val="21"/>
              </w:rPr>
            </w:pPr>
          </w:p>
        </w:tc>
        <w:tc>
          <w:tcPr>
            <w:tcW w:w="1751" w:type="dxa"/>
            <w:vAlign w:val="center"/>
          </w:tcPr>
          <w:p w14:paraId="43EAF92D">
            <w:pPr>
              <w:pStyle w:val="13"/>
              <w:rPr>
                <w:rFonts w:hAnsi="宋体"/>
                <w:sz w:val="21"/>
                <w:szCs w:val="21"/>
              </w:rPr>
            </w:pPr>
          </w:p>
        </w:tc>
        <w:tc>
          <w:tcPr>
            <w:tcW w:w="746" w:type="dxa"/>
            <w:vAlign w:val="center"/>
          </w:tcPr>
          <w:p w14:paraId="6D5B5C9D">
            <w:pPr>
              <w:pStyle w:val="13"/>
              <w:rPr>
                <w:rFonts w:hAnsi="宋体"/>
                <w:sz w:val="21"/>
                <w:szCs w:val="21"/>
              </w:rPr>
            </w:pPr>
          </w:p>
        </w:tc>
        <w:tc>
          <w:tcPr>
            <w:tcW w:w="1940" w:type="dxa"/>
            <w:vAlign w:val="center"/>
          </w:tcPr>
          <w:p w14:paraId="4D999DAC">
            <w:pPr>
              <w:pStyle w:val="13"/>
              <w:rPr>
                <w:rFonts w:hAnsi="宋体"/>
                <w:sz w:val="21"/>
                <w:szCs w:val="21"/>
              </w:rPr>
            </w:pPr>
          </w:p>
        </w:tc>
        <w:tc>
          <w:tcPr>
            <w:tcW w:w="1127" w:type="dxa"/>
            <w:vAlign w:val="center"/>
          </w:tcPr>
          <w:p w14:paraId="5776C2BD">
            <w:pPr>
              <w:pStyle w:val="13"/>
              <w:rPr>
                <w:rFonts w:hAnsi="宋体"/>
                <w:sz w:val="21"/>
                <w:szCs w:val="21"/>
              </w:rPr>
            </w:pPr>
          </w:p>
        </w:tc>
        <w:tc>
          <w:tcPr>
            <w:tcW w:w="1122" w:type="dxa"/>
            <w:vAlign w:val="center"/>
          </w:tcPr>
          <w:p w14:paraId="69AAD4DC">
            <w:pPr>
              <w:pStyle w:val="13"/>
              <w:rPr>
                <w:rFonts w:hAnsi="宋体"/>
                <w:sz w:val="21"/>
                <w:szCs w:val="21"/>
              </w:rPr>
            </w:pPr>
          </w:p>
        </w:tc>
        <w:tc>
          <w:tcPr>
            <w:tcW w:w="741" w:type="dxa"/>
            <w:gridSpan w:val="2"/>
            <w:vAlign w:val="center"/>
          </w:tcPr>
          <w:p w14:paraId="41428F60">
            <w:pPr>
              <w:pStyle w:val="13"/>
              <w:rPr>
                <w:rFonts w:hAnsi="宋体"/>
                <w:sz w:val="21"/>
                <w:szCs w:val="21"/>
              </w:rPr>
            </w:pPr>
          </w:p>
        </w:tc>
      </w:tr>
      <w:tr w14:paraId="033562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1" w:hRule="atLeast"/>
          <w:jc w:val="center"/>
        </w:trPr>
        <w:tc>
          <w:tcPr>
            <w:tcW w:w="458" w:type="dxa"/>
            <w:vAlign w:val="center"/>
          </w:tcPr>
          <w:p w14:paraId="0EADA226">
            <w:pPr>
              <w:pStyle w:val="13"/>
              <w:jc w:val="center"/>
              <w:rPr>
                <w:rFonts w:hAnsi="宋体"/>
                <w:sz w:val="21"/>
                <w:szCs w:val="21"/>
              </w:rPr>
            </w:pPr>
          </w:p>
        </w:tc>
        <w:tc>
          <w:tcPr>
            <w:tcW w:w="1821" w:type="dxa"/>
            <w:vAlign w:val="center"/>
          </w:tcPr>
          <w:p w14:paraId="10E0C8E8">
            <w:pPr>
              <w:pStyle w:val="13"/>
              <w:rPr>
                <w:rFonts w:hAnsi="宋体"/>
                <w:sz w:val="21"/>
                <w:szCs w:val="21"/>
              </w:rPr>
            </w:pPr>
          </w:p>
        </w:tc>
        <w:tc>
          <w:tcPr>
            <w:tcW w:w="1751" w:type="dxa"/>
            <w:vAlign w:val="center"/>
          </w:tcPr>
          <w:p w14:paraId="7DD93AEF">
            <w:pPr>
              <w:pStyle w:val="13"/>
              <w:rPr>
                <w:rFonts w:hAnsi="宋体"/>
                <w:sz w:val="21"/>
                <w:szCs w:val="21"/>
              </w:rPr>
            </w:pPr>
          </w:p>
        </w:tc>
        <w:tc>
          <w:tcPr>
            <w:tcW w:w="746" w:type="dxa"/>
            <w:vAlign w:val="center"/>
          </w:tcPr>
          <w:p w14:paraId="74AA7922">
            <w:pPr>
              <w:pStyle w:val="13"/>
              <w:rPr>
                <w:rFonts w:hAnsi="宋体"/>
                <w:sz w:val="21"/>
                <w:szCs w:val="21"/>
              </w:rPr>
            </w:pPr>
          </w:p>
        </w:tc>
        <w:tc>
          <w:tcPr>
            <w:tcW w:w="1940" w:type="dxa"/>
            <w:vAlign w:val="center"/>
          </w:tcPr>
          <w:p w14:paraId="5EC607A2">
            <w:pPr>
              <w:pStyle w:val="13"/>
              <w:rPr>
                <w:rFonts w:hAnsi="宋体"/>
                <w:sz w:val="21"/>
                <w:szCs w:val="21"/>
              </w:rPr>
            </w:pPr>
          </w:p>
        </w:tc>
        <w:tc>
          <w:tcPr>
            <w:tcW w:w="1127" w:type="dxa"/>
            <w:vAlign w:val="center"/>
          </w:tcPr>
          <w:p w14:paraId="39C20CF1">
            <w:pPr>
              <w:pStyle w:val="13"/>
              <w:rPr>
                <w:rFonts w:hAnsi="宋体"/>
                <w:sz w:val="21"/>
                <w:szCs w:val="21"/>
              </w:rPr>
            </w:pPr>
          </w:p>
        </w:tc>
        <w:tc>
          <w:tcPr>
            <w:tcW w:w="1122" w:type="dxa"/>
            <w:vAlign w:val="center"/>
          </w:tcPr>
          <w:p w14:paraId="4F38039F">
            <w:pPr>
              <w:pStyle w:val="13"/>
              <w:rPr>
                <w:rFonts w:hAnsi="宋体"/>
                <w:sz w:val="21"/>
                <w:szCs w:val="21"/>
              </w:rPr>
            </w:pPr>
          </w:p>
        </w:tc>
        <w:tc>
          <w:tcPr>
            <w:tcW w:w="741" w:type="dxa"/>
            <w:gridSpan w:val="2"/>
            <w:vAlign w:val="center"/>
          </w:tcPr>
          <w:p w14:paraId="398705B4">
            <w:pPr>
              <w:pStyle w:val="13"/>
              <w:rPr>
                <w:rFonts w:hAnsi="宋体"/>
                <w:sz w:val="21"/>
                <w:szCs w:val="21"/>
              </w:rPr>
            </w:pPr>
          </w:p>
        </w:tc>
      </w:tr>
      <w:tr w14:paraId="3BB820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6" w:hRule="atLeast"/>
          <w:jc w:val="center"/>
        </w:trPr>
        <w:tc>
          <w:tcPr>
            <w:tcW w:w="458" w:type="dxa"/>
            <w:vAlign w:val="center"/>
          </w:tcPr>
          <w:p w14:paraId="58AE51B4">
            <w:pPr>
              <w:pStyle w:val="13"/>
              <w:jc w:val="center"/>
              <w:rPr>
                <w:rFonts w:hAnsi="宋体"/>
                <w:sz w:val="21"/>
                <w:szCs w:val="21"/>
              </w:rPr>
            </w:pPr>
          </w:p>
        </w:tc>
        <w:tc>
          <w:tcPr>
            <w:tcW w:w="1821" w:type="dxa"/>
            <w:vAlign w:val="center"/>
          </w:tcPr>
          <w:p w14:paraId="23D7AFBA">
            <w:pPr>
              <w:pStyle w:val="13"/>
              <w:rPr>
                <w:rFonts w:hAnsi="宋体"/>
                <w:sz w:val="21"/>
                <w:szCs w:val="21"/>
              </w:rPr>
            </w:pPr>
          </w:p>
        </w:tc>
        <w:tc>
          <w:tcPr>
            <w:tcW w:w="1751" w:type="dxa"/>
            <w:vAlign w:val="center"/>
          </w:tcPr>
          <w:p w14:paraId="3A93C2E1">
            <w:pPr>
              <w:pStyle w:val="13"/>
              <w:rPr>
                <w:rFonts w:hAnsi="宋体"/>
                <w:sz w:val="21"/>
                <w:szCs w:val="21"/>
              </w:rPr>
            </w:pPr>
          </w:p>
        </w:tc>
        <w:tc>
          <w:tcPr>
            <w:tcW w:w="746" w:type="dxa"/>
            <w:vAlign w:val="center"/>
          </w:tcPr>
          <w:p w14:paraId="645760A2">
            <w:pPr>
              <w:pStyle w:val="13"/>
              <w:rPr>
                <w:rFonts w:hAnsi="宋体"/>
                <w:sz w:val="21"/>
                <w:szCs w:val="21"/>
              </w:rPr>
            </w:pPr>
          </w:p>
        </w:tc>
        <w:tc>
          <w:tcPr>
            <w:tcW w:w="1940" w:type="dxa"/>
            <w:vAlign w:val="center"/>
          </w:tcPr>
          <w:p w14:paraId="37F14AD3">
            <w:pPr>
              <w:pStyle w:val="13"/>
              <w:rPr>
                <w:rFonts w:hAnsi="宋体"/>
                <w:sz w:val="21"/>
                <w:szCs w:val="21"/>
              </w:rPr>
            </w:pPr>
          </w:p>
        </w:tc>
        <w:tc>
          <w:tcPr>
            <w:tcW w:w="1127" w:type="dxa"/>
            <w:vAlign w:val="center"/>
          </w:tcPr>
          <w:p w14:paraId="72FDE196">
            <w:pPr>
              <w:pStyle w:val="13"/>
              <w:rPr>
                <w:rFonts w:hAnsi="宋体"/>
                <w:sz w:val="21"/>
                <w:szCs w:val="21"/>
              </w:rPr>
            </w:pPr>
          </w:p>
        </w:tc>
        <w:tc>
          <w:tcPr>
            <w:tcW w:w="1122" w:type="dxa"/>
            <w:vAlign w:val="center"/>
          </w:tcPr>
          <w:p w14:paraId="1F76BE8E">
            <w:pPr>
              <w:pStyle w:val="13"/>
              <w:rPr>
                <w:rFonts w:hAnsi="宋体"/>
                <w:sz w:val="21"/>
                <w:szCs w:val="21"/>
              </w:rPr>
            </w:pPr>
          </w:p>
        </w:tc>
        <w:tc>
          <w:tcPr>
            <w:tcW w:w="741" w:type="dxa"/>
            <w:gridSpan w:val="2"/>
            <w:vAlign w:val="center"/>
          </w:tcPr>
          <w:p w14:paraId="47057694">
            <w:pPr>
              <w:pStyle w:val="13"/>
              <w:rPr>
                <w:rFonts w:hAnsi="宋体"/>
                <w:sz w:val="21"/>
                <w:szCs w:val="21"/>
              </w:rPr>
            </w:pPr>
          </w:p>
        </w:tc>
      </w:tr>
      <w:tr w14:paraId="6FD984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6" w:hRule="atLeast"/>
          <w:jc w:val="center"/>
        </w:trPr>
        <w:tc>
          <w:tcPr>
            <w:tcW w:w="458" w:type="dxa"/>
            <w:vAlign w:val="center"/>
          </w:tcPr>
          <w:p w14:paraId="5912508C">
            <w:pPr>
              <w:pStyle w:val="13"/>
              <w:jc w:val="center"/>
              <w:rPr>
                <w:rFonts w:hAnsi="宋体"/>
                <w:sz w:val="21"/>
                <w:szCs w:val="21"/>
              </w:rPr>
            </w:pPr>
          </w:p>
        </w:tc>
        <w:tc>
          <w:tcPr>
            <w:tcW w:w="1821" w:type="dxa"/>
            <w:vAlign w:val="center"/>
          </w:tcPr>
          <w:p w14:paraId="18A7CBB3">
            <w:pPr>
              <w:pStyle w:val="13"/>
              <w:rPr>
                <w:rFonts w:hAnsi="宋体"/>
                <w:sz w:val="21"/>
                <w:szCs w:val="21"/>
              </w:rPr>
            </w:pPr>
          </w:p>
        </w:tc>
        <w:tc>
          <w:tcPr>
            <w:tcW w:w="1751" w:type="dxa"/>
            <w:vAlign w:val="center"/>
          </w:tcPr>
          <w:p w14:paraId="128D53CE">
            <w:pPr>
              <w:pStyle w:val="13"/>
              <w:rPr>
                <w:rFonts w:hAnsi="宋体"/>
                <w:sz w:val="21"/>
                <w:szCs w:val="21"/>
              </w:rPr>
            </w:pPr>
          </w:p>
        </w:tc>
        <w:tc>
          <w:tcPr>
            <w:tcW w:w="746" w:type="dxa"/>
            <w:vAlign w:val="center"/>
          </w:tcPr>
          <w:p w14:paraId="1A038849">
            <w:pPr>
              <w:pStyle w:val="13"/>
              <w:rPr>
                <w:rFonts w:hAnsi="宋体"/>
                <w:sz w:val="21"/>
                <w:szCs w:val="21"/>
              </w:rPr>
            </w:pPr>
          </w:p>
        </w:tc>
        <w:tc>
          <w:tcPr>
            <w:tcW w:w="1940" w:type="dxa"/>
            <w:vAlign w:val="center"/>
          </w:tcPr>
          <w:p w14:paraId="42EF2DA7">
            <w:pPr>
              <w:pStyle w:val="13"/>
              <w:rPr>
                <w:rFonts w:hAnsi="宋体"/>
                <w:sz w:val="21"/>
                <w:szCs w:val="21"/>
              </w:rPr>
            </w:pPr>
          </w:p>
        </w:tc>
        <w:tc>
          <w:tcPr>
            <w:tcW w:w="1127" w:type="dxa"/>
            <w:vAlign w:val="center"/>
          </w:tcPr>
          <w:p w14:paraId="49FDA27D">
            <w:pPr>
              <w:pStyle w:val="13"/>
              <w:rPr>
                <w:rFonts w:hAnsi="宋体"/>
                <w:sz w:val="21"/>
                <w:szCs w:val="21"/>
              </w:rPr>
            </w:pPr>
          </w:p>
        </w:tc>
        <w:tc>
          <w:tcPr>
            <w:tcW w:w="1122" w:type="dxa"/>
            <w:vAlign w:val="center"/>
          </w:tcPr>
          <w:p w14:paraId="79B65A49">
            <w:pPr>
              <w:pStyle w:val="13"/>
              <w:rPr>
                <w:rFonts w:hAnsi="宋体"/>
                <w:sz w:val="21"/>
                <w:szCs w:val="21"/>
              </w:rPr>
            </w:pPr>
          </w:p>
        </w:tc>
        <w:tc>
          <w:tcPr>
            <w:tcW w:w="741" w:type="dxa"/>
            <w:gridSpan w:val="2"/>
            <w:vAlign w:val="center"/>
          </w:tcPr>
          <w:p w14:paraId="32E92B00">
            <w:pPr>
              <w:pStyle w:val="13"/>
              <w:rPr>
                <w:rFonts w:hAnsi="宋体"/>
                <w:sz w:val="21"/>
                <w:szCs w:val="21"/>
              </w:rPr>
            </w:pPr>
          </w:p>
        </w:tc>
      </w:tr>
      <w:tr w14:paraId="301905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6" w:hRule="atLeast"/>
          <w:jc w:val="center"/>
        </w:trPr>
        <w:tc>
          <w:tcPr>
            <w:tcW w:w="458" w:type="dxa"/>
            <w:vAlign w:val="center"/>
          </w:tcPr>
          <w:p w14:paraId="76E40522">
            <w:pPr>
              <w:pStyle w:val="13"/>
              <w:jc w:val="center"/>
              <w:rPr>
                <w:rFonts w:hAnsi="宋体"/>
                <w:sz w:val="21"/>
                <w:szCs w:val="21"/>
              </w:rPr>
            </w:pPr>
          </w:p>
        </w:tc>
        <w:tc>
          <w:tcPr>
            <w:tcW w:w="1821" w:type="dxa"/>
            <w:vAlign w:val="center"/>
          </w:tcPr>
          <w:p w14:paraId="78D115C0">
            <w:pPr>
              <w:pStyle w:val="13"/>
              <w:rPr>
                <w:rFonts w:hAnsi="宋体"/>
                <w:sz w:val="21"/>
                <w:szCs w:val="21"/>
              </w:rPr>
            </w:pPr>
          </w:p>
        </w:tc>
        <w:tc>
          <w:tcPr>
            <w:tcW w:w="1751" w:type="dxa"/>
            <w:vAlign w:val="center"/>
          </w:tcPr>
          <w:p w14:paraId="2D9A998B">
            <w:pPr>
              <w:pStyle w:val="13"/>
              <w:rPr>
                <w:rFonts w:hAnsi="宋体"/>
                <w:sz w:val="21"/>
                <w:szCs w:val="21"/>
              </w:rPr>
            </w:pPr>
          </w:p>
        </w:tc>
        <w:tc>
          <w:tcPr>
            <w:tcW w:w="746" w:type="dxa"/>
            <w:vAlign w:val="center"/>
          </w:tcPr>
          <w:p w14:paraId="6486EFCC">
            <w:pPr>
              <w:pStyle w:val="13"/>
              <w:rPr>
                <w:rFonts w:hAnsi="宋体"/>
                <w:sz w:val="21"/>
                <w:szCs w:val="21"/>
              </w:rPr>
            </w:pPr>
          </w:p>
        </w:tc>
        <w:tc>
          <w:tcPr>
            <w:tcW w:w="1940" w:type="dxa"/>
            <w:vAlign w:val="center"/>
          </w:tcPr>
          <w:p w14:paraId="757C8D67">
            <w:pPr>
              <w:pStyle w:val="13"/>
              <w:rPr>
                <w:rFonts w:hAnsi="宋体"/>
                <w:sz w:val="21"/>
                <w:szCs w:val="21"/>
              </w:rPr>
            </w:pPr>
          </w:p>
        </w:tc>
        <w:tc>
          <w:tcPr>
            <w:tcW w:w="1127" w:type="dxa"/>
            <w:vAlign w:val="center"/>
          </w:tcPr>
          <w:p w14:paraId="6BEC2EA2">
            <w:pPr>
              <w:pStyle w:val="13"/>
              <w:rPr>
                <w:rFonts w:hAnsi="宋体"/>
                <w:sz w:val="21"/>
                <w:szCs w:val="21"/>
              </w:rPr>
            </w:pPr>
          </w:p>
        </w:tc>
        <w:tc>
          <w:tcPr>
            <w:tcW w:w="1122" w:type="dxa"/>
            <w:vAlign w:val="center"/>
          </w:tcPr>
          <w:p w14:paraId="19DF6D5A">
            <w:pPr>
              <w:pStyle w:val="13"/>
              <w:rPr>
                <w:rFonts w:hAnsi="宋体"/>
                <w:sz w:val="21"/>
                <w:szCs w:val="21"/>
              </w:rPr>
            </w:pPr>
          </w:p>
        </w:tc>
        <w:tc>
          <w:tcPr>
            <w:tcW w:w="741" w:type="dxa"/>
            <w:gridSpan w:val="2"/>
            <w:vAlign w:val="center"/>
          </w:tcPr>
          <w:p w14:paraId="5ED12ACE">
            <w:pPr>
              <w:pStyle w:val="13"/>
              <w:rPr>
                <w:rFonts w:hAnsi="宋体"/>
                <w:sz w:val="21"/>
                <w:szCs w:val="21"/>
              </w:rPr>
            </w:pPr>
          </w:p>
        </w:tc>
      </w:tr>
      <w:tr w14:paraId="78309E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6" w:hRule="atLeast"/>
          <w:jc w:val="center"/>
        </w:trPr>
        <w:tc>
          <w:tcPr>
            <w:tcW w:w="458" w:type="dxa"/>
            <w:vAlign w:val="center"/>
          </w:tcPr>
          <w:p w14:paraId="5BF16660">
            <w:pPr>
              <w:pStyle w:val="13"/>
              <w:jc w:val="center"/>
              <w:rPr>
                <w:rFonts w:hAnsi="宋体"/>
                <w:sz w:val="21"/>
                <w:szCs w:val="21"/>
              </w:rPr>
            </w:pPr>
          </w:p>
        </w:tc>
        <w:tc>
          <w:tcPr>
            <w:tcW w:w="1821" w:type="dxa"/>
            <w:vAlign w:val="center"/>
          </w:tcPr>
          <w:p w14:paraId="7DE6F858">
            <w:pPr>
              <w:pStyle w:val="13"/>
              <w:rPr>
                <w:rFonts w:hAnsi="宋体"/>
                <w:sz w:val="21"/>
                <w:szCs w:val="21"/>
              </w:rPr>
            </w:pPr>
          </w:p>
        </w:tc>
        <w:tc>
          <w:tcPr>
            <w:tcW w:w="1751" w:type="dxa"/>
            <w:vAlign w:val="center"/>
          </w:tcPr>
          <w:p w14:paraId="219A10B6">
            <w:pPr>
              <w:pStyle w:val="13"/>
              <w:rPr>
                <w:rFonts w:hAnsi="宋体"/>
                <w:sz w:val="21"/>
                <w:szCs w:val="21"/>
              </w:rPr>
            </w:pPr>
          </w:p>
        </w:tc>
        <w:tc>
          <w:tcPr>
            <w:tcW w:w="746" w:type="dxa"/>
            <w:vAlign w:val="center"/>
          </w:tcPr>
          <w:p w14:paraId="0F2973AA">
            <w:pPr>
              <w:pStyle w:val="13"/>
              <w:rPr>
                <w:rFonts w:hAnsi="宋体"/>
                <w:sz w:val="21"/>
                <w:szCs w:val="21"/>
              </w:rPr>
            </w:pPr>
          </w:p>
        </w:tc>
        <w:tc>
          <w:tcPr>
            <w:tcW w:w="1940" w:type="dxa"/>
            <w:vAlign w:val="center"/>
          </w:tcPr>
          <w:p w14:paraId="21D1A5D5">
            <w:pPr>
              <w:pStyle w:val="13"/>
              <w:rPr>
                <w:rFonts w:hAnsi="宋体"/>
                <w:sz w:val="21"/>
                <w:szCs w:val="21"/>
              </w:rPr>
            </w:pPr>
          </w:p>
        </w:tc>
        <w:tc>
          <w:tcPr>
            <w:tcW w:w="1127" w:type="dxa"/>
            <w:vAlign w:val="center"/>
          </w:tcPr>
          <w:p w14:paraId="6A2C8589">
            <w:pPr>
              <w:pStyle w:val="13"/>
              <w:rPr>
                <w:rFonts w:hAnsi="宋体"/>
                <w:sz w:val="21"/>
                <w:szCs w:val="21"/>
              </w:rPr>
            </w:pPr>
          </w:p>
        </w:tc>
        <w:tc>
          <w:tcPr>
            <w:tcW w:w="1122" w:type="dxa"/>
            <w:vAlign w:val="center"/>
          </w:tcPr>
          <w:p w14:paraId="7C7B0775">
            <w:pPr>
              <w:pStyle w:val="13"/>
              <w:rPr>
                <w:rFonts w:hAnsi="宋体"/>
                <w:sz w:val="21"/>
                <w:szCs w:val="21"/>
              </w:rPr>
            </w:pPr>
          </w:p>
        </w:tc>
        <w:tc>
          <w:tcPr>
            <w:tcW w:w="741" w:type="dxa"/>
            <w:gridSpan w:val="2"/>
            <w:vAlign w:val="center"/>
          </w:tcPr>
          <w:p w14:paraId="7C3F400C">
            <w:pPr>
              <w:pStyle w:val="13"/>
              <w:rPr>
                <w:rFonts w:hAnsi="宋体"/>
                <w:sz w:val="21"/>
                <w:szCs w:val="21"/>
              </w:rPr>
            </w:pPr>
          </w:p>
        </w:tc>
      </w:tr>
      <w:tr w14:paraId="4DDFB9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6" w:type="dxa"/>
          <w:cantSplit/>
          <w:trHeight w:val="516" w:hRule="atLeast"/>
          <w:jc w:val="center"/>
        </w:trPr>
        <w:tc>
          <w:tcPr>
            <w:tcW w:w="7843" w:type="dxa"/>
            <w:gridSpan w:val="6"/>
            <w:vAlign w:val="center"/>
          </w:tcPr>
          <w:p w14:paraId="2C568102">
            <w:pPr>
              <w:pStyle w:val="13"/>
              <w:jc w:val="center"/>
              <w:rPr>
                <w:rFonts w:hAnsi="宋体"/>
                <w:sz w:val="21"/>
                <w:szCs w:val="21"/>
              </w:rPr>
            </w:pPr>
            <w:r>
              <w:rPr>
                <w:rFonts w:hint="eastAsia" w:hAnsi="宋体"/>
                <w:sz w:val="21"/>
                <w:szCs w:val="21"/>
              </w:rPr>
              <w:t>合   计（总价）</w:t>
            </w:r>
          </w:p>
        </w:tc>
        <w:tc>
          <w:tcPr>
            <w:tcW w:w="1847" w:type="dxa"/>
            <w:gridSpan w:val="2"/>
            <w:vAlign w:val="center"/>
          </w:tcPr>
          <w:p w14:paraId="5FC23299">
            <w:pPr>
              <w:pStyle w:val="13"/>
              <w:jc w:val="center"/>
              <w:rPr>
                <w:rFonts w:hAnsi="宋体"/>
                <w:sz w:val="21"/>
                <w:szCs w:val="21"/>
              </w:rPr>
            </w:pPr>
          </w:p>
        </w:tc>
      </w:tr>
    </w:tbl>
    <w:p w14:paraId="5DACAD4B">
      <w:pPr>
        <w:spacing w:line="360" w:lineRule="auto"/>
        <w:rPr>
          <w:szCs w:val="21"/>
        </w:rPr>
      </w:pPr>
    </w:p>
    <w:p w14:paraId="1AF58437">
      <w:pPr>
        <w:wordWrap w:val="0"/>
        <w:spacing w:line="360" w:lineRule="auto"/>
        <w:jc w:val="right"/>
        <w:rPr>
          <w:szCs w:val="21"/>
        </w:rPr>
      </w:pPr>
      <w:r>
        <w:rPr>
          <w:rFonts w:hint="eastAsia"/>
          <w:szCs w:val="21"/>
        </w:rPr>
        <w:t>供应商</w:t>
      </w:r>
      <w:r>
        <w:rPr>
          <w:szCs w:val="21"/>
        </w:rPr>
        <w:t>：（</w:t>
      </w:r>
      <w:r>
        <w:rPr>
          <w:rFonts w:hint="eastAsia"/>
          <w:szCs w:val="21"/>
        </w:rPr>
        <w:t>盖单位鲜章</w:t>
      </w:r>
      <w:r>
        <w:rPr>
          <w:szCs w:val="21"/>
        </w:rPr>
        <w:t>）</w:t>
      </w:r>
      <w:r>
        <w:rPr>
          <w:rFonts w:hint="eastAsia"/>
          <w:szCs w:val="21"/>
        </w:rPr>
        <w:t xml:space="preserve">                     </w:t>
      </w:r>
    </w:p>
    <w:p w14:paraId="209CB02C">
      <w:pPr>
        <w:wordWrap w:val="0"/>
        <w:spacing w:line="360" w:lineRule="auto"/>
        <w:ind w:firstLine="630" w:firstLineChars="300"/>
        <w:jc w:val="right"/>
        <w:rPr>
          <w:szCs w:val="21"/>
        </w:rPr>
      </w:pPr>
      <w:r>
        <w:rPr>
          <w:rFonts w:hint="eastAsia" w:ascii="宋体"/>
          <w:szCs w:val="21"/>
          <w:u w:val="single"/>
        </w:rPr>
        <w:t>　　　　</w:t>
      </w:r>
      <w:r>
        <w:rPr>
          <w:szCs w:val="21"/>
        </w:rPr>
        <w:t>年</w:t>
      </w:r>
      <w:r>
        <w:rPr>
          <w:rFonts w:hint="eastAsia" w:ascii="宋体"/>
          <w:szCs w:val="21"/>
          <w:u w:val="single"/>
        </w:rPr>
        <w:t>　　</w:t>
      </w:r>
      <w:r>
        <w:rPr>
          <w:szCs w:val="21"/>
        </w:rPr>
        <w:t>月</w:t>
      </w:r>
      <w:r>
        <w:rPr>
          <w:rFonts w:hint="eastAsia" w:ascii="宋体"/>
          <w:szCs w:val="21"/>
          <w:u w:val="single"/>
        </w:rPr>
        <w:t>　　</w:t>
      </w:r>
      <w:r>
        <w:rPr>
          <w:szCs w:val="21"/>
        </w:rPr>
        <w:t>日</w:t>
      </w:r>
      <w:r>
        <w:rPr>
          <w:rFonts w:hint="eastAsia"/>
          <w:szCs w:val="21"/>
        </w:rPr>
        <w:t xml:space="preserve">                     </w:t>
      </w:r>
    </w:p>
    <w:p w14:paraId="1250F85A">
      <w:pPr>
        <w:pStyle w:val="23"/>
        <w:ind w:firstLine="544"/>
      </w:pPr>
    </w:p>
    <w:p w14:paraId="270DB3DC">
      <w:pPr>
        <w:pStyle w:val="23"/>
        <w:ind w:firstLine="0" w:firstLineChars="0"/>
        <w:rPr>
          <w:b/>
          <w:szCs w:val="28"/>
        </w:rPr>
      </w:pPr>
      <w:r>
        <w:rPr>
          <w:rFonts w:hint="eastAsia"/>
          <w:b/>
          <w:szCs w:val="28"/>
        </w:rPr>
        <w:t>注：</w:t>
      </w:r>
    </w:p>
    <w:p w14:paraId="673853D8">
      <w:pPr>
        <w:spacing w:line="360" w:lineRule="auto"/>
        <w:ind w:firstLine="420" w:firstLineChars="200"/>
        <w:rPr>
          <w:rFonts w:ascii="宋体" w:hAnsi="宋体"/>
          <w:b/>
          <w:bCs/>
          <w:szCs w:val="21"/>
        </w:rPr>
      </w:pPr>
      <w:r>
        <w:rPr>
          <w:rFonts w:hint="eastAsia" w:ascii="宋体" w:hAnsi="宋体"/>
          <w:b/>
          <w:bCs/>
          <w:szCs w:val="21"/>
        </w:rPr>
        <w:t>1.二次报价分项报价表在提交响应文件时无需提供上传，在评审当天系统开启二次报价后按此格式要求上传二次报价分项报价表。</w:t>
      </w:r>
    </w:p>
    <w:p w14:paraId="4A9C5EC1">
      <w:pPr>
        <w:spacing w:line="360" w:lineRule="auto"/>
        <w:ind w:firstLine="420" w:firstLineChars="200"/>
        <w:rPr>
          <w:rFonts w:ascii="宋体" w:hAnsi="宋体"/>
          <w:szCs w:val="21"/>
        </w:rPr>
      </w:pPr>
      <w:r>
        <w:rPr>
          <w:rFonts w:hint="eastAsia" w:ascii="宋体" w:hAnsi="宋体"/>
          <w:szCs w:val="21"/>
        </w:rPr>
        <w:t>2</w:t>
      </w:r>
      <w:r>
        <w:rPr>
          <w:rFonts w:ascii="宋体" w:hAnsi="宋体"/>
          <w:szCs w:val="21"/>
        </w:rPr>
        <w:t>.表格长度可根据需要自行调整，表中所列内容为必须填写项目，</w:t>
      </w:r>
      <w:r>
        <w:rPr>
          <w:rFonts w:hint="eastAsia" w:ascii="宋体" w:hAnsi="宋体"/>
          <w:szCs w:val="21"/>
        </w:rPr>
        <w:t>供应商</w:t>
      </w:r>
      <w:r>
        <w:rPr>
          <w:rFonts w:ascii="宋体" w:hAnsi="宋体"/>
          <w:szCs w:val="21"/>
        </w:rPr>
        <w:t>可根据自身情况增加内容。</w:t>
      </w:r>
    </w:p>
    <w:p w14:paraId="5B33127E">
      <w:pPr>
        <w:spacing w:line="360" w:lineRule="auto"/>
        <w:ind w:firstLine="420" w:firstLineChars="200"/>
        <w:rPr>
          <w:szCs w:val="21"/>
        </w:rPr>
      </w:pPr>
      <w:r>
        <w:rPr>
          <w:rFonts w:hint="eastAsia" w:ascii="宋体" w:hAnsi="宋体"/>
          <w:szCs w:val="21"/>
        </w:rPr>
        <w:t>4.供应商</w:t>
      </w:r>
      <w:r>
        <w:rPr>
          <w:rFonts w:ascii="宋体" w:hAnsi="宋体"/>
          <w:szCs w:val="21"/>
        </w:rPr>
        <w:t>所报</w:t>
      </w:r>
      <w:r>
        <w:rPr>
          <w:rFonts w:hint="eastAsia" w:ascii="宋体" w:hAnsi="宋体"/>
          <w:szCs w:val="21"/>
        </w:rPr>
        <w:t>单价</w:t>
      </w:r>
      <w:r>
        <w:rPr>
          <w:rFonts w:ascii="宋体" w:hAnsi="宋体"/>
          <w:szCs w:val="21"/>
        </w:rPr>
        <w:t>不能超过所规定的</w:t>
      </w:r>
      <w:r>
        <w:rPr>
          <w:rFonts w:hint="eastAsia" w:ascii="宋体" w:hAnsi="宋体"/>
          <w:szCs w:val="21"/>
        </w:rPr>
        <w:t>预算</w:t>
      </w:r>
      <w:r>
        <w:rPr>
          <w:rFonts w:ascii="宋体" w:hAnsi="宋体"/>
          <w:szCs w:val="21"/>
        </w:rPr>
        <w:t>单价</w:t>
      </w:r>
      <w:r>
        <w:rPr>
          <w:rFonts w:hint="eastAsia" w:ascii="宋体" w:hAnsi="宋体"/>
          <w:szCs w:val="21"/>
        </w:rPr>
        <w:t>。</w:t>
      </w:r>
    </w:p>
    <w:p w14:paraId="6F075810">
      <w:pPr>
        <w:pStyle w:val="6"/>
        <w:sectPr>
          <w:pgSz w:w="12242" w:h="15842"/>
          <w:pgMar w:top="1418" w:right="1134" w:bottom="1134" w:left="1153" w:header="936" w:footer="720" w:gutter="0"/>
          <w:cols w:space="720" w:num="1"/>
          <w:docGrid w:type="linesAndChars" w:linePitch="331" w:charSpace="0"/>
        </w:sectPr>
      </w:pPr>
    </w:p>
    <w:p w14:paraId="7123CBEF">
      <w:pPr>
        <w:pStyle w:val="3"/>
        <w:numPr>
          <w:ilvl w:val="0"/>
          <w:numId w:val="0"/>
        </w:numPr>
        <w:adjustRightInd w:val="0"/>
        <w:snapToGrid w:val="0"/>
        <w:spacing w:before="0" w:after="0"/>
        <w:jc w:val="both"/>
        <w:rPr>
          <w:rFonts w:ascii="宋体" w:hAnsi="宋体"/>
          <w:szCs w:val="28"/>
        </w:rPr>
      </w:pPr>
      <w:bookmarkStart w:id="277" w:name="_Toc23259"/>
      <w:bookmarkStart w:id="278" w:name="_Toc14760"/>
      <w:r>
        <w:rPr>
          <w:rFonts w:hint="eastAsia" w:ascii="宋体" w:hAnsi="宋体"/>
          <w:szCs w:val="28"/>
        </w:rPr>
        <w:t>格式3 响应文件（技术部分）</w:t>
      </w:r>
      <w:bookmarkEnd w:id="277"/>
    </w:p>
    <w:p w14:paraId="7F437726">
      <w:pPr>
        <w:numPr>
          <w:ilvl w:val="1"/>
          <w:numId w:val="0"/>
        </w:numPr>
        <w:tabs>
          <w:tab w:val="left" w:pos="360"/>
          <w:tab w:val="left" w:pos="1021"/>
        </w:tabs>
        <w:ind w:left="425"/>
        <w:jc w:val="left"/>
        <w:rPr>
          <w:rFonts w:ascii="宋体" w:hAnsi="宋体" w:cs="宋体"/>
          <w:b/>
          <w:kern w:val="0"/>
          <w:sz w:val="28"/>
          <w:szCs w:val="28"/>
        </w:rPr>
      </w:pPr>
      <w:bookmarkStart w:id="279" w:name="_Toc22528"/>
      <w:r>
        <w:rPr>
          <w:rFonts w:hint="eastAsia" w:ascii="宋体" w:hAnsi="宋体" w:cs="宋体"/>
          <w:b/>
          <w:kern w:val="0"/>
          <w:sz w:val="28"/>
          <w:szCs w:val="28"/>
        </w:rPr>
        <w:t>格式3-1</w:t>
      </w:r>
      <w:bookmarkEnd w:id="279"/>
      <w:bookmarkStart w:id="280" w:name="_Toc337822254"/>
      <w:bookmarkStart w:id="281" w:name="_Toc9439"/>
      <w:bookmarkStart w:id="282" w:name="_Toc54095517"/>
      <w:r>
        <w:rPr>
          <w:rFonts w:hint="eastAsia" w:ascii="宋体" w:hAnsi="宋体" w:cs="宋体"/>
          <w:b/>
          <w:kern w:val="0"/>
          <w:sz w:val="28"/>
          <w:szCs w:val="28"/>
        </w:rPr>
        <w:t>技术规格偏离表</w:t>
      </w:r>
      <w:bookmarkEnd w:id="280"/>
      <w:bookmarkEnd w:id="281"/>
      <w:bookmarkEnd w:id="282"/>
    </w:p>
    <w:p w14:paraId="1E395F96">
      <w:pPr>
        <w:spacing w:line="360" w:lineRule="auto"/>
        <w:ind w:firstLine="420" w:firstLineChars="200"/>
        <w:rPr>
          <w:rFonts w:ascii="宋体" w:hAnsi="宋体"/>
        </w:rPr>
      </w:pPr>
      <w:r>
        <w:rPr>
          <w:rFonts w:ascii="宋体" w:hAnsi="宋体"/>
        </w:rPr>
        <w:t>参加谈判的供应商应按所报产品的实际技术参数，逐条对应谈判文件的第五章“货物需求一览表”中要求的技术规范如实、完整、准确的填写该表。</w:t>
      </w:r>
    </w:p>
    <w:p w14:paraId="7BE30A82">
      <w:pPr>
        <w:spacing w:line="360" w:lineRule="auto"/>
        <w:ind w:firstLine="420" w:firstLineChars="200"/>
        <w:rPr>
          <w:rFonts w:ascii="宋体" w:hAnsi="宋体"/>
        </w:rPr>
      </w:pPr>
      <w:r>
        <w:rPr>
          <w:rFonts w:hint="eastAsia" w:ascii="宋体" w:hAnsi="宋体"/>
          <w:b/>
          <w:szCs w:val="21"/>
        </w:rPr>
        <w:t>★</w:t>
      </w:r>
      <w:r>
        <w:rPr>
          <w:rFonts w:ascii="宋体" w:hAnsi="宋体"/>
          <w:b/>
        </w:rPr>
        <w:t>本表格将作为谈判小组对参加谈判的供应商技术部分的评审依据，未填写本表格的供应商将不能通过</w:t>
      </w:r>
      <w:r>
        <w:rPr>
          <w:rFonts w:hint="eastAsia" w:ascii="宋体" w:hAnsi="宋体"/>
          <w:b/>
        </w:rPr>
        <w:t>符合性审查</w:t>
      </w:r>
      <w:r>
        <w:rPr>
          <w:rFonts w:ascii="宋体" w:hAnsi="宋体"/>
          <w:b/>
        </w:rPr>
        <w:t>。</w:t>
      </w:r>
    </w:p>
    <w:p w14:paraId="072D71E5">
      <w:pPr>
        <w:spacing w:line="360" w:lineRule="auto"/>
        <w:rPr>
          <w:rFonts w:ascii="宋体" w:hAnsi="宋体"/>
        </w:rPr>
      </w:pPr>
      <w:r>
        <w:rPr>
          <w:rFonts w:ascii="宋体" w:hAnsi="宋体"/>
        </w:rPr>
        <w:t>项目名称：项目编号：</w:t>
      </w:r>
    </w:p>
    <w:tbl>
      <w:tblPr>
        <w:tblStyle w:val="24"/>
        <w:tblW w:w="149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526"/>
        <w:gridCol w:w="4634"/>
        <w:gridCol w:w="3762"/>
        <w:gridCol w:w="1144"/>
        <w:gridCol w:w="3084"/>
      </w:tblGrid>
      <w:tr w14:paraId="6824DD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775" w:type="dxa"/>
            <w:vAlign w:val="center"/>
          </w:tcPr>
          <w:p w14:paraId="75AC0191">
            <w:pPr>
              <w:jc w:val="center"/>
              <w:rPr>
                <w:rFonts w:ascii="宋体" w:hAnsi="宋体"/>
              </w:rPr>
            </w:pPr>
            <w:r>
              <w:rPr>
                <w:rFonts w:ascii="宋体" w:hAnsi="宋体"/>
              </w:rPr>
              <w:t>序号</w:t>
            </w:r>
          </w:p>
        </w:tc>
        <w:tc>
          <w:tcPr>
            <w:tcW w:w="1526" w:type="dxa"/>
            <w:vAlign w:val="center"/>
          </w:tcPr>
          <w:p w14:paraId="3412440A">
            <w:pPr>
              <w:jc w:val="center"/>
              <w:rPr>
                <w:rFonts w:ascii="宋体" w:hAnsi="宋体"/>
              </w:rPr>
            </w:pPr>
            <w:r>
              <w:rPr>
                <w:rFonts w:ascii="宋体" w:hAnsi="宋体"/>
              </w:rPr>
              <w:t>货物名称</w:t>
            </w:r>
          </w:p>
        </w:tc>
        <w:tc>
          <w:tcPr>
            <w:tcW w:w="4634" w:type="dxa"/>
            <w:vAlign w:val="center"/>
          </w:tcPr>
          <w:p w14:paraId="2429B3B0">
            <w:pPr>
              <w:jc w:val="center"/>
              <w:rPr>
                <w:rFonts w:ascii="宋体" w:hAnsi="宋体"/>
              </w:rPr>
            </w:pPr>
            <w:r>
              <w:rPr>
                <w:rFonts w:ascii="宋体" w:hAnsi="宋体"/>
              </w:rPr>
              <w:t>谈判文件技术规范、要求</w:t>
            </w:r>
          </w:p>
        </w:tc>
        <w:tc>
          <w:tcPr>
            <w:tcW w:w="3762" w:type="dxa"/>
            <w:vAlign w:val="center"/>
          </w:tcPr>
          <w:p w14:paraId="3F3F38D0">
            <w:pPr>
              <w:jc w:val="center"/>
              <w:rPr>
                <w:rFonts w:ascii="宋体" w:hAnsi="宋体"/>
              </w:rPr>
            </w:pPr>
            <w:r>
              <w:rPr>
                <w:rFonts w:ascii="宋体" w:hAnsi="宋体"/>
              </w:rPr>
              <w:t>所报品牌、型号、技术参数及配置</w:t>
            </w:r>
          </w:p>
        </w:tc>
        <w:tc>
          <w:tcPr>
            <w:tcW w:w="1144" w:type="dxa"/>
            <w:vAlign w:val="center"/>
          </w:tcPr>
          <w:p w14:paraId="4E7EA354">
            <w:pPr>
              <w:jc w:val="center"/>
              <w:rPr>
                <w:rFonts w:ascii="宋体" w:hAnsi="宋体"/>
              </w:rPr>
            </w:pPr>
            <w:r>
              <w:rPr>
                <w:rFonts w:ascii="宋体" w:hAnsi="宋体"/>
              </w:rPr>
              <w:t>偏离</w:t>
            </w:r>
          </w:p>
        </w:tc>
        <w:tc>
          <w:tcPr>
            <w:tcW w:w="3084" w:type="dxa"/>
            <w:vAlign w:val="center"/>
          </w:tcPr>
          <w:p w14:paraId="44230A02">
            <w:pPr>
              <w:jc w:val="center"/>
              <w:rPr>
                <w:rFonts w:ascii="宋体" w:hAnsi="宋体"/>
              </w:rPr>
            </w:pPr>
            <w:r>
              <w:rPr>
                <w:rFonts w:ascii="宋体" w:hAnsi="宋体"/>
              </w:rPr>
              <w:t>说明</w:t>
            </w:r>
          </w:p>
        </w:tc>
      </w:tr>
      <w:tr w14:paraId="671121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775" w:type="dxa"/>
            <w:vAlign w:val="center"/>
          </w:tcPr>
          <w:p w14:paraId="770874CB">
            <w:pPr>
              <w:jc w:val="center"/>
              <w:rPr>
                <w:rFonts w:ascii="宋体" w:hAnsi="宋体"/>
              </w:rPr>
            </w:pPr>
          </w:p>
        </w:tc>
        <w:tc>
          <w:tcPr>
            <w:tcW w:w="1526" w:type="dxa"/>
            <w:vAlign w:val="center"/>
          </w:tcPr>
          <w:p w14:paraId="77F69B7F">
            <w:pPr>
              <w:jc w:val="center"/>
              <w:rPr>
                <w:rFonts w:ascii="宋体" w:hAnsi="宋体"/>
              </w:rPr>
            </w:pPr>
          </w:p>
        </w:tc>
        <w:tc>
          <w:tcPr>
            <w:tcW w:w="4634" w:type="dxa"/>
            <w:vAlign w:val="center"/>
          </w:tcPr>
          <w:p w14:paraId="4D958D9D">
            <w:pPr>
              <w:jc w:val="center"/>
              <w:rPr>
                <w:rFonts w:ascii="宋体" w:hAnsi="宋体"/>
              </w:rPr>
            </w:pPr>
          </w:p>
        </w:tc>
        <w:tc>
          <w:tcPr>
            <w:tcW w:w="3762" w:type="dxa"/>
            <w:vAlign w:val="center"/>
          </w:tcPr>
          <w:p w14:paraId="7B0493A3">
            <w:pPr>
              <w:jc w:val="center"/>
              <w:rPr>
                <w:rFonts w:ascii="宋体" w:hAnsi="宋体"/>
              </w:rPr>
            </w:pPr>
          </w:p>
        </w:tc>
        <w:tc>
          <w:tcPr>
            <w:tcW w:w="1144" w:type="dxa"/>
            <w:vAlign w:val="center"/>
          </w:tcPr>
          <w:p w14:paraId="61A92614">
            <w:pPr>
              <w:jc w:val="center"/>
              <w:rPr>
                <w:rFonts w:ascii="宋体" w:hAnsi="宋体"/>
              </w:rPr>
            </w:pPr>
          </w:p>
        </w:tc>
        <w:tc>
          <w:tcPr>
            <w:tcW w:w="3084" w:type="dxa"/>
            <w:vAlign w:val="center"/>
          </w:tcPr>
          <w:p w14:paraId="3D271165">
            <w:pPr>
              <w:jc w:val="center"/>
              <w:rPr>
                <w:rFonts w:ascii="宋体" w:hAnsi="宋体"/>
              </w:rPr>
            </w:pPr>
          </w:p>
        </w:tc>
      </w:tr>
      <w:tr w14:paraId="74D163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775" w:type="dxa"/>
            <w:vAlign w:val="center"/>
          </w:tcPr>
          <w:p w14:paraId="5D2E390E">
            <w:pPr>
              <w:jc w:val="center"/>
              <w:rPr>
                <w:rFonts w:ascii="宋体" w:hAnsi="宋体"/>
              </w:rPr>
            </w:pPr>
          </w:p>
        </w:tc>
        <w:tc>
          <w:tcPr>
            <w:tcW w:w="1526" w:type="dxa"/>
            <w:vAlign w:val="center"/>
          </w:tcPr>
          <w:p w14:paraId="28BE3A99">
            <w:pPr>
              <w:jc w:val="center"/>
              <w:rPr>
                <w:rFonts w:ascii="宋体" w:hAnsi="宋体"/>
              </w:rPr>
            </w:pPr>
          </w:p>
        </w:tc>
        <w:tc>
          <w:tcPr>
            <w:tcW w:w="4634" w:type="dxa"/>
            <w:vAlign w:val="center"/>
          </w:tcPr>
          <w:p w14:paraId="5C58DDE6">
            <w:pPr>
              <w:jc w:val="center"/>
              <w:rPr>
                <w:rFonts w:ascii="宋体" w:hAnsi="宋体"/>
              </w:rPr>
            </w:pPr>
          </w:p>
        </w:tc>
        <w:tc>
          <w:tcPr>
            <w:tcW w:w="3762" w:type="dxa"/>
            <w:vAlign w:val="center"/>
          </w:tcPr>
          <w:p w14:paraId="37A06D32">
            <w:pPr>
              <w:jc w:val="center"/>
              <w:rPr>
                <w:rFonts w:ascii="宋体" w:hAnsi="宋体"/>
              </w:rPr>
            </w:pPr>
          </w:p>
        </w:tc>
        <w:tc>
          <w:tcPr>
            <w:tcW w:w="1144" w:type="dxa"/>
            <w:vAlign w:val="center"/>
          </w:tcPr>
          <w:p w14:paraId="11346273">
            <w:pPr>
              <w:jc w:val="center"/>
              <w:rPr>
                <w:rFonts w:ascii="宋体" w:hAnsi="宋体"/>
              </w:rPr>
            </w:pPr>
          </w:p>
        </w:tc>
        <w:tc>
          <w:tcPr>
            <w:tcW w:w="3084" w:type="dxa"/>
            <w:vAlign w:val="center"/>
          </w:tcPr>
          <w:p w14:paraId="4FAC1507">
            <w:pPr>
              <w:jc w:val="center"/>
              <w:rPr>
                <w:rFonts w:ascii="宋体" w:hAnsi="宋体"/>
              </w:rPr>
            </w:pPr>
          </w:p>
        </w:tc>
      </w:tr>
      <w:tr w14:paraId="0A1F16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775" w:type="dxa"/>
            <w:vAlign w:val="center"/>
          </w:tcPr>
          <w:p w14:paraId="34CA0EE9">
            <w:pPr>
              <w:jc w:val="center"/>
              <w:rPr>
                <w:rFonts w:ascii="宋体" w:hAnsi="宋体"/>
              </w:rPr>
            </w:pPr>
          </w:p>
        </w:tc>
        <w:tc>
          <w:tcPr>
            <w:tcW w:w="1526" w:type="dxa"/>
            <w:vAlign w:val="center"/>
          </w:tcPr>
          <w:p w14:paraId="51802D63">
            <w:pPr>
              <w:jc w:val="center"/>
              <w:rPr>
                <w:rFonts w:ascii="宋体" w:hAnsi="宋体"/>
              </w:rPr>
            </w:pPr>
          </w:p>
        </w:tc>
        <w:tc>
          <w:tcPr>
            <w:tcW w:w="4634" w:type="dxa"/>
            <w:vAlign w:val="center"/>
          </w:tcPr>
          <w:p w14:paraId="51E93F67">
            <w:pPr>
              <w:jc w:val="center"/>
              <w:rPr>
                <w:rFonts w:ascii="宋体" w:hAnsi="宋体"/>
              </w:rPr>
            </w:pPr>
          </w:p>
        </w:tc>
        <w:tc>
          <w:tcPr>
            <w:tcW w:w="3762" w:type="dxa"/>
            <w:vAlign w:val="center"/>
          </w:tcPr>
          <w:p w14:paraId="7A9F925F">
            <w:pPr>
              <w:jc w:val="center"/>
              <w:rPr>
                <w:rFonts w:ascii="宋体" w:hAnsi="宋体"/>
              </w:rPr>
            </w:pPr>
          </w:p>
        </w:tc>
        <w:tc>
          <w:tcPr>
            <w:tcW w:w="1144" w:type="dxa"/>
            <w:vAlign w:val="center"/>
          </w:tcPr>
          <w:p w14:paraId="30DE278C">
            <w:pPr>
              <w:jc w:val="center"/>
              <w:rPr>
                <w:rFonts w:ascii="宋体" w:hAnsi="宋体"/>
              </w:rPr>
            </w:pPr>
          </w:p>
        </w:tc>
        <w:tc>
          <w:tcPr>
            <w:tcW w:w="3084" w:type="dxa"/>
            <w:vAlign w:val="center"/>
          </w:tcPr>
          <w:p w14:paraId="6A28A8A3">
            <w:pPr>
              <w:jc w:val="center"/>
              <w:rPr>
                <w:rFonts w:ascii="宋体" w:hAnsi="宋体"/>
              </w:rPr>
            </w:pPr>
          </w:p>
        </w:tc>
      </w:tr>
      <w:tr w14:paraId="7D1C6F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775" w:type="dxa"/>
            <w:vAlign w:val="center"/>
          </w:tcPr>
          <w:p w14:paraId="1667DC7A">
            <w:pPr>
              <w:jc w:val="center"/>
              <w:rPr>
                <w:rFonts w:ascii="宋体" w:hAnsi="宋体"/>
              </w:rPr>
            </w:pPr>
          </w:p>
        </w:tc>
        <w:tc>
          <w:tcPr>
            <w:tcW w:w="1526" w:type="dxa"/>
            <w:vAlign w:val="center"/>
          </w:tcPr>
          <w:p w14:paraId="2DC178E0">
            <w:pPr>
              <w:jc w:val="center"/>
              <w:rPr>
                <w:rFonts w:ascii="宋体" w:hAnsi="宋体"/>
              </w:rPr>
            </w:pPr>
          </w:p>
        </w:tc>
        <w:tc>
          <w:tcPr>
            <w:tcW w:w="4634" w:type="dxa"/>
            <w:vAlign w:val="center"/>
          </w:tcPr>
          <w:p w14:paraId="5382C288">
            <w:pPr>
              <w:jc w:val="center"/>
              <w:rPr>
                <w:rFonts w:ascii="宋体" w:hAnsi="宋体"/>
              </w:rPr>
            </w:pPr>
          </w:p>
        </w:tc>
        <w:tc>
          <w:tcPr>
            <w:tcW w:w="3762" w:type="dxa"/>
            <w:vAlign w:val="center"/>
          </w:tcPr>
          <w:p w14:paraId="6420D8E5">
            <w:pPr>
              <w:jc w:val="center"/>
              <w:rPr>
                <w:rFonts w:ascii="宋体" w:hAnsi="宋体"/>
              </w:rPr>
            </w:pPr>
          </w:p>
        </w:tc>
        <w:tc>
          <w:tcPr>
            <w:tcW w:w="1144" w:type="dxa"/>
            <w:vAlign w:val="center"/>
          </w:tcPr>
          <w:p w14:paraId="2584BF00">
            <w:pPr>
              <w:jc w:val="center"/>
              <w:rPr>
                <w:rFonts w:ascii="宋体" w:hAnsi="宋体"/>
              </w:rPr>
            </w:pPr>
          </w:p>
        </w:tc>
        <w:tc>
          <w:tcPr>
            <w:tcW w:w="3084" w:type="dxa"/>
            <w:vAlign w:val="center"/>
          </w:tcPr>
          <w:p w14:paraId="6EFA3829">
            <w:pPr>
              <w:jc w:val="center"/>
              <w:rPr>
                <w:rFonts w:ascii="宋体" w:hAnsi="宋体"/>
              </w:rPr>
            </w:pPr>
          </w:p>
        </w:tc>
      </w:tr>
      <w:tr w14:paraId="763C7E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775" w:type="dxa"/>
            <w:vAlign w:val="center"/>
          </w:tcPr>
          <w:p w14:paraId="73A6CC10">
            <w:pPr>
              <w:jc w:val="center"/>
              <w:rPr>
                <w:rFonts w:ascii="宋体" w:hAnsi="宋体"/>
              </w:rPr>
            </w:pPr>
          </w:p>
        </w:tc>
        <w:tc>
          <w:tcPr>
            <w:tcW w:w="1526" w:type="dxa"/>
            <w:vAlign w:val="center"/>
          </w:tcPr>
          <w:p w14:paraId="39439CCC">
            <w:pPr>
              <w:jc w:val="center"/>
              <w:rPr>
                <w:rFonts w:ascii="宋体" w:hAnsi="宋体"/>
              </w:rPr>
            </w:pPr>
          </w:p>
        </w:tc>
        <w:tc>
          <w:tcPr>
            <w:tcW w:w="4634" w:type="dxa"/>
            <w:vAlign w:val="center"/>
          </w:tcPr>
          <w:p w14:paraId="39908835">
            <w:pPr>
              <w:jc w:val="center"/>
              <w:rPr>
                <w:rFonts w:ascii="宋体" w:hAnsi="宋体"/>
              </w:rPr>
            </w:pPr>
          </w:p>
        </w:tc>
        <w:tc>
          <w:tcPr>
            <w:tcW w:w="3762" w:type="dxa"/>
            <w:vAlign w:val="center"/>
          </w:tcPr>
          <w:p w14:paraId="46C931AD">
            <w:pPr>
              <w:jc w:val="center"/>
              <w:rPr>
                <w:rFonts w:ascii="宋体" w:hAnsi="宋体"/>
              </w:rPr>
            </w:pPr>
          </w:p>
        </w:tc>
        <w:tc>
          <w:tcPr>
            <w:tcW w:w="1144" w:type="dxa"/>
            <w:vAlign w:val="center"/>
          </w:tcPr>
          <w:p w14:paraId="6C6106A6">
            <w:pPr>
              <w:jc w:val="center"/>
              <w:rPr>
                <w:rFonts w:ascii="宋体" w:hAnsi="宋体"/>
              </w:rPr>
            </w:pPr>
          </w:p>
        </w:tc>
        <w:tc>
          <w:tcPr>
            <w:tcW w:w="3084" w:type="dxa"/>
            <w:vAlign w:val="center"/>
          </w:tcPr>
          <w:p w14:paraId="253B0A8F">
            <w:pPr>
              <w:jc w:val="center"/>
              <w:rPr>
                <w:rFonts w:ascii="宋体" w:hAnsi="宋体"/>
              </w:rPr>
            </w:pPr>
          </w:p>
        </w:tc>
      </w:tr>
    </w:tbl>
    <w:p w14:paraId="2E6A749C">
      <w:pPr>
        <w:spacing w:line="360" w:lineRule="auto"/>
        <w:ind w:firstLine="2" w:firstLineChars="1"/>
        <w:rPr>
          <w:rFonts w:ascii="宋体" w:hAnsi="宋体"/>
          <w:szCs w:val="21"/>
        </w:rPr>
      </w:pPr>
      <w:r>
        <w:rPr>
          <w:rFonts w:ascii="宋体" w:hAnsi="宋体"/>
          <w:szCs w:val="21"/>
        </w:rPr>
        <w:t>供应商：（盖单位</w:t>
      </w:r>
      <w:r>
        <w:rPr>
          <w:rFonts w:hint="eastAsia" w:ascii="宋体" w:hAnsi="宋体"/>
          <w:szCs w:val="21"/>
        </w:rPr>
        <w:t>公章</w:t>
      </w:r>
      <w:r>
        <w:rPr>
          <w:rFonts w:ascii="宋体" w:hAnsi="宋体"/>
          <w:szCs w:val="21"/>
        </w:rPr>
        <w:t>）</w:t>
      </w:r>
    </w:p>
    <w:p w14:paraId="5BA282B4">
      <w:pPr>
        <w:spacing w:line="360" w:lineRule="auto"/>
        <w:ind w:firstLine="2" w:firstLineChars="1"/>
        <w:rPr>
          <w:rFonts w:ascii="宋体" w:hAnsi="宋体"/>
          <w:szCs w:val="21"/>
        </w:rPr>
      </w:pPr>
      <w:r>
        <w:rPr>
          <w:rFonts w:ascii="宋体" w:hAnsi="宋体"/>
          <w:szCs w:val="21"/>
        </w:rPr>
        <w:t>法定代表人</w:t>
      </w:r>
      <w:r>
        <w:rPr>
          <w:rFonts w:hint="eastAsia" w:ascii="宋体" w:hAnsi="宋体"/>
          <w:szCs w:val="21"/>
        </w:rPr>
        <w:t>或委托代理人</w:t>
      </w:r>
      <w:r>
        <w:rPr>
          <w:rFonts w:ascii="宋体" w:hAnsi="宋体"/>
          <w:szCs w:val="21"/>
        </w:rPr>
        <w:t>：（签名或签章）</w:t>
      </w:r>
    </w:p>
    <w:p w14:paraId="0189F728">
      <w:pPr>
        <w:spacing w:line="360" w:lineRule="auto"/>
        <w:ind w:firstLine="630" w:firstLineChars="300"/>
        <w:rPr>
          <w:rFonts w:ascii="宋体" w:hAnsi="宋体"/>
          <w:szCs w:val="21"/>
          <w:u w:val="single"/>
        </w:rPr>
      </w:pPr>
      <w:r>
        <w:rPr>
          <w:rFonts w:ascii="宋体" w:hAnsi="宋体"/>
          <w:szCs w:val="21"/>
        </w:rPr>
        <w:t>年</w:t>
      </w:r>
      <w:r>
        <w:rPr>
          <w:rFonts w:hint="eastAsia" w:ascii="宋体" w:hAnsi="宋体"/>
          <w:szCs w:val="21"/>
        </w:rPr>
        <w:t xml:space="preserve">   </w:t>
      </w:r>
      <w:r>
        <w:rPr>
          <w:rFonts w:ascii="宋体" w:hAnsi="宋体"/>
          <w:szCs w:val="21"/>
        </w:rPr>
        <w:t>月</w:t>
      </w:r>
      <w:r>
        <w:rPr>
          <w:rFonts w:hint="eastAsia" w:ascii="宋体" w:hAnsi="宋体"/>
          <w:szCs w:val="21"/>
        </w:rPr>
        <w:t xml:space="preserve">   </w:t>
      </w:r>
      <w:r>
        <w:rPr>
          <w:rFonts w:ascii="宋体" w:hAnsi="宋体"/>
          <w:szCs w:val="21"/>
        </w:rPr>
        <w:t>日</w:t>
      </w:r>
    </w:p>
    <w:p w14:paraId="4BAA6B4E">
      <w:pPr>
        <w:pStyle w:val="13"/>
        <w:spacing w:line="360" w:lineRule="auto"/>
        <w:rPr>
          <w:rFonts w:hAnsi="宋体"/>
          <w:b/>
        </w:rPr>
      </w:pPr>
      <w:r>
        <w:rPr>
          <w:rFonts w:hAnsi="宋体"/>
          <w:b/>
        </w:rPr>
        <w:t>表格填写说明：</w:t>
      </w:r>
    </w:p>
    <w:p w14:paraId="57EB0CCE">
      <w:pPr>
        <w:pStyle w:val="13"/>
        <w:spacing w:line="360" w:lineRule="auto"/>
        <w:rPr>
          <w:rFonts w:hAnsi="宋体"/>
        </w:rPr>
      </w:pPr>
      <w:r>
        <w:rPr>
          <w:rFonts w:hAnsi="宋体"/>
        </w:rPr>
        <w:t>1、表格中“货物名称”及“谈判文件技术规范、要求”可按“货物需求一览表”内容复制。</w:t>
      </w:r>
    </w:p>
    <w:p w14:paraId="5D833A8A">
      <w:pPr>
        <w:pStyle w:val="13"/>
        <w:spacing w:line="360" w:lineRule="auto"/>
        <w:rPr>
          <w:rFonts w:hAnsi="宋体"/>
          <w:b/>
          <w:szCs w:val="21"/>
        </w:rPr>
      </w:pPr>
      <w:r>
        <w:rPr>
          <w:rFonts w:hAnsi="宋体"/>
          <w:szCs w:val="21"/>
        </w:rPr>
        <w:t>2、表格中“所报品牌、型号、技术参数及配置”请根据实际所报产品情况如实、完整、准确地填写，请勿复制、粘贴谈判文件要求。</w:t>
      </w:r>
      <w:r>
        <w:rPr>
          <w:rFonts w:hAnsi="宋体"/>
          <w:b/>
          <w:szCs w:val="21"/>
        </w:rPr>
        <w:t>若由于疏忽大意或未能完整、如实填写，导致的一切后果由参加谈判的供应商自行承担。</w:t>
      </w:r>
    </w:p>
    <w:p w14:paraId="6F40F810">
      <w:pPr>
        <w:pStyle w:val="13"/>
        <w:spacing w:line="360" w:lineRule="auto"/>
        <w:rPr>
          <w:rFonts w:hAnsi="宋体"/>
          <w:szCs w:val="21"/>
        </w:rPr>
      </w:pPr>
      <w:r>
        <w:rPr>
          <w:rFonts w:hAnsi="宋体"/>
          <w:szCs w:val="21"/>
        </w:rPr>
        <w:t>3、表格中“偏离”部分，只能如实填写“有偏离”或“无偏离”。凡响应内容与谈判文件要求有区别的均按“有偏离</w:t>
      </w:r>
      <w:r>
        <w:rPr>
          <w:rFonts w:hint="eastAsia" w:hAnsi="宋体"/>
          <w:szCs w:val="21"/>
        </w:rPr>
        <w:t>”</w:t>
      </w:r>
      <w:r>
        <w:rPr>
          <w:rFonts w:hAnsi="宋体"/>
          <w:szCs w:val="21"/>
        </w:rPr>
        <w:t>填写，并在说明栏中写明技术指标。</w:t>
      </w:r>
    </w:p>
    <w:p w14:paraId="5003EF84">
      <w:pPr>
        <w:pStyle w:val="13"/>
        <w:spacing w:line="360" w:lineRule="auto"/>
        <w:rPr>
          <w:rFonts w:hAnsi="宋体"/>
          <w:szCs w:val="21"/>
        </w:rPr>
      </w:pPr>
      <w:r>
        <w:rPr>
          <w:rFonts w:hAnsi="宋体"/>
          <w:szCs w:val="21"/>
        </w:rPr>
        <w:t>4、表格中“说明”部分，若有偏离，则填写偏离指标。若无偏离，则不填写内容。</w:t>
      </w:r>
    </w:p>
    <w:p w14:paraId="0B8DD3EF">
      <w:pPr>
        <w:pStyle w:val="13"/>
        <w:spacing w:line="360" w:lineRule="auto"/>
        <w:rPr>
          <w:rFonts w:hAnsi="宋体"/>
          <w:b/>
          <w:szCs w:val="21"/>
        </w:rPr>
      </w:pPr>
      <w:r>
        <w:rPr>
          <w:rFonts w:hAnsi="宋体"/>
          <w:szCs w:val="21"/>
        </w:rPr>
        <w:t>5、</w:t>
      </w:r>
      <w:r>
        <w:rPr>
          <w:rFonts w:hAnsi="宋体"/>
          <w:b/>
          <w:szCs w:val="21"/>
        </w:rPr>
        <w:t>本表格中内容与响应文件其余部分不一致的，以本表格为准。</w:t>
      </w:r>
    </w:p>
    <w:p w14:paraId="6144EA58">
      <w:pPr>
        <w:pStyle w:val="13"/>
        <w:spacing w:line="360" w:lineRule="auto"/>
        <w:rPr>
          <w:rFonts w:hAnsi="宋体"/>
          <w:szCs w:val="21"/>
        </w:rPr>
      </w:pPr>
      <w:r>
        <w:rPr>
          <w:rFonts w:hAnsi="宋体"/>
          <w:szCs w:val="21"/>
        </w:rPr>
        <w:t>6、填表示例：</w:t>
      </w:r>
    </w:p>
    <w:tbl>
      <w:tblPr>
        <w:tblStyle w:val="24"/>
        <w:tblW w:w="149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5"/>
        <w:gridCol w:w="1319"/>
        <w:gridCol w:w="4587"/>
        <w:gridCol w:w="4078"/>
        <w:gridCol w:w="1235"/>
        <w:gridCol w:w="2823"/>
      </w:tblGrid>
      <w:tr w14:paraId="70E7C5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945" w:type="dxa"/>
            <w:vAlign w:val="center"/>
          </w:tcPr>
          <w:p w14:paraId="21EBE316">
            <w:pPr>
              <w:jc w:val="center"/>
              <w:rPr>
                <w:rFonts w:ascii="宋体" w:hAnsi="宋体"/>
                <w:szCs w:val="21"/>
              </w:rPr>
            </w:pPr>
            <w:r>
              <w:rPr>
                <w:rFonts w:ascii="宋体" w:hAnsi="宋体"/>
                <w:szCs w:val="21"/>
              </w:rPr>
              <w:t>序号</w:t>
            </w:r>
          </w:p>
        </w:tc>
        <w:tc>
          <w:tcPr>
            <w:tcW w:w="1319" w:type="dxa"/>
            <w:vAlign w:val="center"/>
          </w:tcPr>
          <w:p w14:paraId="111CD52E">
            <w:pPr>
              <w:jc w:val="center"/>
              <w:rPr>
                <w:rFonts w:ascii="宋体" w:hAnsi="宋体"/>
                <w:szCs w:val="21"/>
              </w:rPr>
            </w:pPr>
            <w:r>
              <w:rPr>
                <w:rFonts w:ascii="宋体" w:hAnsi="宋体"/>
                <w:szCs w:val="21"/>
              </w:rPr>
              <w:t>货物名称</w:t>
            </w:r>
          </w:p>
        </w:tc>
        <w:tc>
          <w:tcPr>
            <w:tcW w:w="4587" w:type="dxa"/>
            <w:vAlign w:val="center"/>
          </w:tcPr>
          <w:p w14:paraId="06A9D313">
            <w:pPr>
              <w:jc w:val="center"/>
              <w:rPr>
                <w:rFonts w:ascii="宋体" w:hAnsi="宋体"/>
                <w:szCs w:val="21"/>
              </w:rPr>
            </w:pPr>
            <w:r>
              <w:rPr>
                <w:rFonts w:ascii="宋体" w:hAnsi="宋体"/>
                <w:szCs w:val="21"/>
              </w:rPr>
              <w:t>谈判文件技术规范、要求</w:t>
            </w:r>
          </w:p>
        </w:tc>
        <w:tc>
          <w:tcPr>
            <w:tcW w:w="4078" w:type="dxa"/>
            <w:vAlign w:val="center"/>
          </w:tcPr>
          <w:p w14:paraId="06CA2A40">
            <w:pPr>
              <w:jc w:val="center"/>
              <w:rPr>
                <w:rFonts w:ascii="宋体" w:hAnsi="宋体"/>
                <w:szCs w:val="21"/>
              </w:rPr>
            </w:pPr>
            <w:r>
              <w:rPr>
                <w:rFonts w:ascii="宋体" w:hAnsi="宋体"/>
                <w:szCs w:val="21"/>
              </w:rPr>
              <w:t>所报品牌、型号、技术参数及配置</w:t>
            </w:r>
          </w:p>
        </w:tc>
        <w:tc>
          <w:tcPr>
            <w:tcW w:w="1235" w:type="dxa"/>
            <w:vAlign w:val="center"/>
          </w:tcPr>
          <w:p w14:paraId="526A642C">
            <w:pPr>
              <w:jc w:val="center"/>
              <w:rPr>
                <w:rFonts w:ascii="宋体" w:hAnsi="宋体"/>
                <w:szCs w:val="21"/>
              </w:rPr>
            </w:pPr>
            <w:r>
              <w:rPr>
                <w:rFonts w:ascii="宋体" w:hAnsi="宋体"/>
                <w:szCs w:val="21"/>
              </w:rPr>
              <w:t>偏离</w:t>
            </w:r>
          </w:p>
        </w:tc>
        <w:tc>
          <w:tcPr>
            <w:tcW w:w="2823" w:type="dxa"/>
            <w:vAlign w:val="center"/>
          </w:tcPr>
          <w:p w14:paraId="11A67152">
            <w:pPr>
              <w:jc w:val="center"/>
              <w:rPr>
                <w:rFonts w:ascii="宋体" w:hAnsi="宋体"/>
                <w:szCs w:val="21"/>
              </w:rPr>
            </w:pPr>
            <w:r>
              <w:rPr>
                <w:rFonts w:ascii="宋体" w:hAnsi="宋体"/>
                <w:szCs w:val="21"/>
              </w:rPr>
              <w:t>说明</w:t>
            </w:r>
          </w:p>
        </w:tc>
      </w:tr>
      <w:tr w14:paraId="5F1A0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945" w:type="dxa"/>
            <w:vAlign w:val="center"/>
          </w:tcPr>
          <w:p w14:paraId="67945F88">
            <w:pPr>
              <w:jc w:val="center"/>
              <w:rPr>
                <w:rFonts w:ascii="宋体" w:hAnsi="宋体"/>
                <w:szCs w:val="21"/>
              </w:rPr>
            </w:pPr>
            <w:r>
              <w:rPr>
                <w:rFonts w:ascii="宋体" w:hAnsi="宋体"/>
                <w:szCs w:val="21"/>
              </w:rPr>
              <w:t>1</w:t>
            </w:r>
          </w:p>
        </w:tc>
        <w:tc>
          <w:tcPr>
            <w:tcW w:w="1319" w:type="dxa"/>
            <w:vAlign w:val="center"/>
          </w:tcPr>
          <w:p w14:paraId="4B889987">
            <w:pPr>
              <w:jc w:val="center"/>
              <w:rPr>
                <w:rFonts w:ascii="宋体" w:hAnsi="宋体"/>
                <w:szCs w:val="21"/>
              </w:rPr>
            </w:pPr>
            <w:r>
              <w:rPr>
                <w:rFonts w:ascii="宋体" w:hAnsi="宋体"/>
                <w:szCs w:val="21"/>
              </w:rPr>
              <w:t>台式电脑</w:t>
            </w:r>
          </w:p>
        </w:tc>
        <w:tc>
          <w:tcPr>
            <w:tcW w:w="4587" w:type="dxa"/>
            <w:vAlign w:val="center"/>
          </w:tcPr>
          <w:p w14:paraId="4BC18B8B">
            <w:pPr>
              <w:widowControl/>
              <w:rPr>
                <w:rFonts w:ascii="宋体"/>
                <w:szCs w:val="21"/>
              </w:rPr>
            </w:pPr>
            <w:r>
              <w:rPr>
                <w:kern w:val="0"/>
                <w:szCs w:val="21"/>
              </w:rPr>
              <w:t xml:space="preserve"> Intel</w:t>
            </w:r>
            <w:r>
              <w:rPr>
                <w:rFonts w:hint="eastAsia" w:ascii="宋体" w:hAnsi="宋体"/>
                <w:kern w:val="0"/>
                <w:szCs w:val="21"/>
              </w:rPr>
              <w:t>酷睿双核</w:t>
            </w:r>
            <w:r>
              <w:rPr>
                <w:kern w:val="0"/>
                <w:szCs w:val="21"/>
              </w:rPr>
              <w:t xml:space="preserve"> E7400/Intel </w:t>
            </w:r>
            <w:r>
              <w:rPr>
                <w:rFonts w:hint="eastAsia" w:ascii="宋体" w:hAnsi="宋体"/>
                <w:kern w:val="0"/>
                <w:szCs w:val="21"/>
              </w:rPr>
              <w:t>芯片组</w:t>
            </w:r>
            <w:r>
              <w:rPr>
                <w:kern w:val="0"/>
                <w:szCs w:val="21"/>
              </w:rPr>
              <w:t xml:space="preserve">/2*1G DDR2/320G SATA/256M </w:t>
            </w:r>
            <w:r>
              <w:rPr>
                <w:rFonts w:hint="eastAsia" w:ascii="宋体" w:hAnsi="宋体"/>
                <w:kern w:val="0"/>
                <w:szCs w:val="21"/>
              </w:rPr>
              <w:t>双头独立显卡</w:t>
            </w:r>
            <w:r>
              <w:rPr>
                <w:kern w:val="0"/>
                <w:szCs w:val="21"/>
              </w:rPr>
              <w:t>/DVD</w:t>
            </w:r>
            <w:r>
              <w:rPr>
                <w:rFonts w:hint="eastAsia" w:ascii="宋体" w:hAnsi="宋体"/>
                <w:kern w:val="0"/>
                <w:szCs w:val="21"/>
              </w:rPr>
              <w:t>刻录</w:t>
            </w:r>
            <w:r>
              <w:rPr>
                <w:kern w:val="0"/>
                <w:szCs w:val="21"/>
              </w:rPr>
              <w:t>/</w:t>
            </w:r>
            <w:r>
              <w:rPr>
                <w:rFonts w:hint="eastAsia" w:ascii="宋体" w:hAnsi="宋体"/>
                <w:kern w:val="0"/>
                <w:szCs w:val="21"/>
              </w:rPr>
              <w:t>主板集成声卡网卡</w:t>
            </w:r>
            <w:r>
              <w:rPr>
                <w:kern w:val="0"/>
                <w:szCs w:val="21"/>
              </w:rPr>
              <w:t>/</w:t>
            </w:r>
            <w:r>
              <w:rPr>
                <w:rFonts w:hint="eastAsia" w:ascii="宋体" w:hAnsi="宋体"/>
                <w:kern w:val="0"/>
                <w:szCs w:val="21"/>
              </w:rPr>
              <w:t>机箱电源</w:t>
            </w:r>
            <w:r>
              <w:rPr>
                <w:kern w:val="0"/>
                <w:szCs w:val="21"/>
              </w:rPr>
              <w:t>/</w:t>
            </w:r>
            <w:r>
              <w:rPr>
                <w:rFonts w:hint="eastAsia" w:ascii="宋体" w:hAnsi="宋体"/>
                <w:kern w:val="0"/>
                <w:szCs w:val="21"/>
              </w:rPr>
              <w:t>鼠标</w:t>
            </w:r>
            <w:r>
              <w:rPr>
                <w:kern w:val="0"/>
                <w:szCs w:val="21"/>
              </w:rPr>
              <w:t>/</w:t>
            </w:r>
            <w:r>
              <w:rPr>
                <w:rFonts w:hint="eastAsia" w:ascii="宋体" w:hAnsi="宋体"/>
                <w:kern w:val="0"/>
                <w:szCs w:val="21"/>
              </w:rPr>
              <w:t>键盘</w:t>
            </w:r>
            <w:r>
              <w:rPr>
                <w:kern w:val="0"/>
                <w:szCs w:val="21"/>
              </w:rPr>
              <w:t>/</w:t>
            </w:r>
            <w:r>
              <w:rPr>
                <w:rFonts w:hint="eastAsia" w:ascii="宋体" w:hAnsi="宋体"/>
                <w:kern w:val="0"/>
                <w:szCs w:val="21"/>
              </w:rPr>
              <w:t>硬盘保护卡</w:t>
            </w:r>
            <w:r>
              <w:rPr>
                <w:kern w:val="0"/>
                <w:szCs w:val="21"/>
              </w:rPr>
              <w:t>/ 22</w:t>
            </w:r>
            <w:r>
              <w:rPr>
                <w:rFonts w:hint="eastAsia" w:ascii="宋体" w:hAnsi="宋体"/>
                <w:kern w:val="0"/>
                <w:szCs w:val="21"/>
              </w:rPr>
              <w:t>″</w:t>
            </w:r>
            <w:r>
              <w:rPr>
                <w:kern w:val="0"/>
                <w:szCs w:val="21"/>
              </w:rPr>
              <w:t xml:space="preserve">LCD </w:t>
            </w:r>
            <w:r>
              <w:rPr>
                <w:rFonts w:hint="eastAsia"/>
                <w:kern w:val="0"/>
                <w:szCs w:val="21"/>
              </w:rPr>
              <w:t>1</w:t>
            </w:r>
            <w:r>
              <w:rPr>
                <w:rFonts w:hint="eastAsia" w:ascii="宋体" w:hAnsi="宋体"/>
                <w:kern w:val="0"/>
                <w:szCs w:val="21"/>
              </w:rPr>
              <w:t>台</w:t>
            </w:r>
          </w:p>
        </w:tc>
        <w:tc>
          <w:tcPr>
            <w:tcW w:w="4078" w:type="dxa"/>
            <w:vAlign w:val="center"/>
          </w:tcPr>
          <w:p w14:paraId="2B29FF20">
            <w:pPr>
              <w:widowControl/>
              <w:jc w:val="left"/>
              <w:rPr>
                <w:rFonts w:ascii="宋体" w:hAnsi="宋体"/>
                <w:kern w:val="0"/>
                <w:szCs w:val="21"/>
              </w:rPr>
            </w:pPr>
            <w:r>
              <w:rPr>
                <w:rFonts w:hint="eastAsia"/>
                <w:kern w:val="0"/>
                <w:szCs w:val="21"/>
              </w:rPr>
              <w:t>联想扬天 M5300N；AMD Athlon64 X2 7750 2.7G ；RS690V芯片组；DDR2 2GB；SATA硬盘 7200转、320GB；</w:t>
            </w:r>
            <w:r>
              <w:rPr>
                <w:rFonts w:hint="eastAsia" w:ascii="宋体" w:hAnsi="宋体"/>
                <w:kern w:val="0"/>
                <w:szCs w:val="21"/>
              </w:rPr>
              <w:t>硬盘保护卡；</w:t>
            </w:r>
            <w:r>
              <w:rPr>
                <w:rFonts w:hint="eastAsia"/>
                <w:kern w:val="0"/>
                <w:szCs w:val="21"/>
              </w:rPr>
              <w:t>光驱 DVD刻录；22寸液晶 1台；显卡 ATI Radeon HD 4350 显存512M 支持DirectX 10；板载声卡；网卡板载10-100M网卡；键盘/光电鼠标；操作系统 Windows XP Home。</w:t>
            </w:r>
          </w:p>
        </w:tc>
        <w:tc>
          <w:tcPr>
            <w:tcW w:w="1235" w:type="dxa"/>
            <w:vAlign w:val="center"/>
          </w:tcPr>
          <w:p w14:paraId="55217449">
            <w:pPr>
              <w:jc w:val="center"/>
              <w:rPr>
                <w:rFonts w:ascii="宋体" w:hAnsi="宋体"/>
                <w:szCs w:val="21"/>
              </w:rPr>
            </w:pPr>
            <w:r>
              <w:rPr>
                <w:rFonts w:ascii="宋体" w:hAnsi="宋体"/>
                <w:szCs w:val="21"/>
              </w:rPr>
              <w:t>有偏离</w:t>
            </w:r>
          </w:p>
        </w:tc>
        <w:tc>
          <w:tcPr>
            <w:tcW w:w="2823" w:type="dxa"/>
            <w:vAlign w:val="center"/>
          </w:tcPr>
          <w:p w14:paraId="387F0D3A">
            <w:pPr>
              <w:rPr>
                <w:rFonts w:ascii="宋体" w:hAnsi="宋体"/>
                <w:kern w:val="0"/>
                <w:szCs w:val="21"/>
              </w:rPr>
            </w:pPr>
            <w:r>
              <w:rPr>
                <w:rFonts w:ascii="宋体" w:hAnsi="宋体"/>
                <w:kern w:val="0"/>
                <w:szCs w:val="21"/>
              </w:rPr>
              <w:t>1、AMD Athlon64 X2 7750 2.7G；</w:t>
            </w:r>
          </w:p>
          <w:p w14:paraId="4FDD45FF">
            <w:pPr>
              <w:rPr>
                <w:rFonts w:ascii="宋体" w:hAnsi="宋体"/>
                <w:szCs w:val="21"/>
              </w:rPr>
            </w:pPr>
            <w:r>
              <w:rPr>
                <w:rFonts w:ascii="宋体" w:hAnsi="宋体"/>
                <w:szCs w:val="21"/>
              </w:rPr>
              <w:t>2、</w:t>
            </w:r>
            <w:r>
              <w:rPr>
                <w:rFonts w:ascii="宋体" w:hAnsi="宋体"/>
                <w:kern w:val="0"/>
                <w:szCs w:val="21"/>
              </w:rPr>
              <w:t>RS690V芯片组</w:t>
            </w:r>
          </w:p>
          <w:p w14:paraId="79797186">
            <w:pPr>
              <w:rPr>
                <w:rFonts w:ascii="宋体" w:hAnsi="宋体"/>
                <w:szCs w:val="21"/>
              </w:rPr>
            </w:pPr>
            <w:r>
              <w:rPr>
                <w:rFonts w:ascii="宋体" w:hAnsi="宋体"/>
                <w:szCs w:val="21"/>
              </w:rPr>
              <w:t>3、显卡 ATI HD 4350 显存512M 支持DirectX 10</w:t>
            </w:r>
          </w:p>
          <w:p w14:paraId="210F6EAE">
            <w:pPr>
              <w:rPr>
                <w:rFonts w:ascii="宋体" w:hAnsi="宋体"/>
                <w:szCs w:val="21"/>
              </w:rPr>
            </w:pPr>
            <w:r>
              <w:rPr>
                <w:rFonts w:ascii="宋体" w:hAnsi="宋体"/>
                <w:szCs w:val="21"/>
              </w:rPr>
              <w:t>4、</w:t>
            </w:r>
            <w:r>
              <w:rPr>
                <w:rFonts w:ascii="宋体" w:hAnsi="宋体"/>
                <w:kern w:val="0"/>
                <w:szCs w:val="21"/>
              </w:rPr>
              <w:t>操作系统 Windows XP Home</w:t>
            </w:r>
          </w:p>
        </w:tc>
      </w:tr>
      <w:tr w14:paraId="5C673E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945" w:type="dxa"/>
            <w:vAlign w:val="center"/>
          </w:tcPr>
          <w:p w14:paraId="600D2674">
            <w:pPr>
              <w:jc w:val="center"/>
              <w:rPr>
                <w:rFonts w:ascii="宋体" w:hAnsi="宋体"/>
                <w:szCs w:val="21"/>
              </w:rPr>
            </w:pPr>
            <w:r>
              <w:rPr>
                <w:rFonts w:ascii="宋体" w:hAnsi="宋体"/>
                <w:szCs w:val="21"/>
              </w:rPr>
              <w:t>2</w:t>
            </w:r>
          </w:p>
        </w:tc>
        <w:tc>
          <w:tcPr>
            <w:tcW w:w="1319" w:type="dxa"/>
            <w:vAlign w:val="center"/>
          </w:tcPr>
          <w:p w14:paraId="5AB82C9B">
            <w:pPr>
              <w:jc w:val="center"/>
              <w:rPr>
                <w:rFonts w:ascii="宋体" w:hAnsi="宋体"/>
                <w:szCs w:val="21"/>
              </w:rPr>
            </w:pPr>
            <w:r>
              <w:rPr>
                <w:rFonts w:ascii="宋体" w:hAnsi="宋体"/>
                <w:szCs w:val="21"/>
              </w:rPr>
              <w:t>打印机</w:t>
            </w:r>
          </w:p>
        </w:tc>
        <w:tc>
          <w:tcPr>
            <w:tcW w:w="4587" w:type="dxa"/>
            <w:vAlign w:val="center"/>
          </w:tcPr>
          <w:p w14:paraId="433D9978">
            <w:pPr>
              <w:rPr>
                <w:rFonts w:ascii="宋体" w:hAnsi="宋体"/>
                <w:szCs w:val="21"/>
              </w:rPr>
            </w:pPr>
            <w:r>
              <w:rPr>
                <w:rFonts w:ascii="宋体" w:hAnsi="宋体"/>
                <w:szCs w:val="21"/>
              </w:rPr>
              <w:t>黑白23/1200*1200（有效输出）/2MB/USB2.0接口/嵌入式网络打印服务器/纸张、信封、投影胶片、标签、卡片、明信片、硫酸纸//A4幅面，采用零秒预热技术；</w:t>
            </w:r>
          </w:p>
        </w:tc>
        <w:tc>
          <w:tcPr>
            <w:tcW w:w="4078" w:type="dxa"/>
            <w:vAlign w:val="center"/>
          </w:tcPr>
          <w:p w14:paraId="589B1A62">
            <w:pPr>
              <w:rPr>
                <w:rFonts w:ascii="宋体" w:hAnsi="宋体"/>
                <w:szCs w:val="21"/>
              </w:rPr>
            </w:pPr>
            <w:r>
              <w:rPr>
                <w:rFonts w:ascii="宋体" w:hAnsi="宋体"/>
                <w:szCs w:val="21"/>
              </w:rPr>
              <w:t>爱普生Aculaser M8000N激光打印机；黑白23/1200*1200（有效输出）/2MB/USB2.0接口/嵌入式网络打印服务器/纸张、信封、投影胶片、标签、卡片、明信片、硫酸纸/A4幅面，零秒预热。</w:t>
            </w:r>
          </w:p>
        </w:tc>
        <w:tc>
          <w:tcPr>
            <w:tcW w:w="1235" w:type="dxa"/>
            <w:vAlign w:val="center"/>
          </w:tcPr>
          <w:p w14:paraId="730E06F4">
            <w:pPr>
              <w:jc w:val="center"/>
              <w:rPr>
                <w:rFonts w:ascii="宋体" w:hAnsi="宋体"/>
                <w:szCs w:val="21"/>
              </w:rPr>
            </w:pPr>
            <w:r>
              <w:rPr>
                <w:rFonts w:ascii="宋体" w:hAnsi="宋体"/>
                <w:szCs w:val="21"/>
              </w:rPr>
              <w:t>无偏离</w:t>
            </w:r>
          </w:p>
        </w:tc>
        <w:tc>
          <w:tcPr>
            <w:tcW w:w="2823" w:type="dxa"/>
            <w:vAlign w:val="center"/>
          </w:tcPr>
          <w:p w14:paraId="5DA09CAF">
            <w:pPr>
              <w:jc w:val="center"/>
              <w:rPr>
                <w:rFonts w:ascii="宋体" w:hAnsi="宋体"/>
                <w:szCs w:val="21"/>
              </w:rPr>
            </w:pPr>
          </w:p>
        </w:tc>
      </w:tr>
    </w:tbl>
    <w:p w14:paraId="3B46EB32">
      <w:pPr>
        <w:pStyle w:val="13"/>
        <w:rPr>
          <w:rFonts w:hAnsi="宋体" w:cs="宋体"/>
          <w:b/>
          <w:szCs w:val="21"/>
        </w:rPr>
        <w:sectPr>
          <w:footerReference r:id="rId10" w:type="default"/>
          <w:pgSz w:w="16838" w:h="11906" w:orient="landscape"/>
          <w:pgMar w:top="1153" w:right="1418" w:bottom="1134" w:left="1134" w:header="936" w:footer="720" w:gutter="0"/>
          <w:cols w:space="720" w:num="1"/>
          <w:docGrid w:type="linesAndChars" w:linePitch="331" w:charSpace="0"/>
        </w:sectPr>
      </w:pPr>
    </w:p>
    <w:p w14:paraId="6ADE72BE">
      <w:pPr>
        <w:numPr>
          <w:ilvl w:val="1"/>
          <w:numId w:val="0"/>
        </w:numPr>
        <w:tabs>
          <w:tab w:val="left" w:pos="360"/>
          <w:tab w:val="left" w:pos="1021"/>
        </w:tabs>
        <w:ind w:left="425"/>
        <w:jc w:val="left"/>
        <w:rPr>
          <w:rFonts w:ascii="宋体" w:hAnsi="宋体" w:cs="宋体"/>
          <w:b/>
          <w:kern w:val="0"/>
          <w:sz w:val="28"/>
          <w:szCs w:val="28"/>
        </w:rPr>
      </w:pPr>
      <w:bookmarkStart w:id="283" w:name="_Toc23262"/>
      <w:bookmarkStart w:id="284" w:name="_Toc54095519"/>
      <w:bookmarkStart w:id="285" w:name="_Toc337822256"/>
      <w:r>
        <w:rPr>
          <w:rFonts w:hint="eastAsia" w:ascii="宋体" w:hAnsi="宋体" w:cs="宋体"/>
          <w:b/>
          <w:kern w:val="0"/>
          <w:sz w:val="28"/>
          <w:szCs w:val="28"/>
        </w:rPr>
        <w:t>格式3-2质量保证书</w:t>
      </w:r>
      <w:bookmarkEnd w:id="283"/>
      <w:bookmarkEnd w:id="284"/>
      <w:bookmarkEnd w:id="285"/>
    </w:p>
    <w:p w14:paraId="0E3FEDFD">
      <w:pPr>
        <w:spacing w:line="360" w:lineRule="auto"/>
        <w:rPr>
          <w:rFonts w:ascii="宋体" w:hAnsi="宋体"/>
          <w:szCs w:val="21"/>
        </w:rPr>
      </w:pPr>
      <w:r>
        <w:rPr>
          <w:rFonts w:ascii="宋体" w:hAnsi="宋体"/>
          <w:szCs w:val="21"/>
        </w:rPr>
        <w:t>致：</w:t>
      </w:r>
      <w:r>
        <w:rPr>
          <w:rFonts w:ascii="宋体" w:hAnsi="宋体"/>
          <w:szCs w:val="21"/>
          <w:u w:val="single"/>
        </w:rPr>
        <w:t>（采购人）</w:t>
      </w:r>
    </w:p>
    <w:p w14:paraId="20123019">
      <w:pPr>
        <w:spacing w:line="360" w:lineRule="auto"/>
        <w:ind w:firstLine="420" w:firstLineChars="200"/>
        <w:rPr>
          <w:rFonts w:ascii="宋体" w:hAnsi="宋体"/>
          <w:szCs w:val="21"/>
        </w:rPr>
      </w:pPr>
      <w:r>
        <w:rPr>
          <w:rFonts w:ascii="宋体" w:hAnsi="宋体"/>
          <w:szCs w:val="21"/>
        </w:rPr>
        <w:t>本保证书作为</w:t>
      </w:r>
      <w:r>
        <w:rPr>
          <w:rFonts w:ascii="宋体" w:hAnsi="宋体"/>
          <w:szCs w:val="21"/>
          <w:u w:val="single"/>
        </w:rPr>
        <w:t>（供应商名称）</w:t>
      </w:r>
      <w:r>
        <w:rPr>
          <w:rFonts w:ascii="宋体" w:hAnsi="宋体"/>
          <w:szCs w:val="21"/>
        </w:rPr>
        <w:t>对_______________项目（项目编号：__________）竞争性谈判提供的质量和服务的保证。</w:t>
      </w:r>
    </w:p>
    <w:p w14:paraId="2A3C2244">
      <w:pPr>
        <w:spacing w:line="360" w:lineRule="auto"/>
        <w:ind w:firstLine="420" w:firstLineChars="200"/>
        <w:rPr>
          <w:rFonts w:ascii="宋体" w:hAnsi="宋体"/>
          <w:szCs w:val="21"/>
        </w:rPr>
      </w:pPr>
      <w:r>
        <w:rPr>
          <w:rFonts w:ascii="宋体" w:hAnsi="宋体"/>
          <w:szCs w:val="21"/>
        </w:rPr>
        <w:t>我方承诺提供以下质量保证并承担相应的法律责任：</w:t>
      </w:r>
    </w:p>
    <w:p w14:paraId="29DAFB8E">
      <w:pPr>
        <w:spacing w:line="360" w:lineRule="auto"/>
        <w:ind w:firstLine="420" w:firstLineChars="200"/>
        <w:rPr>
          <w:rFonts w:ascii="宋体" w:hAnsi="宋体"/>
          <w:szCs w:val="21"/>
        </w:rPr>
      </w:pPr>
      <w:r>
        <w:rPr>
          <w:rFonts w:ascii="宋体" w:hAnsi="宋体"/>
          <w:szCs w:val="21"/>
        </w:rPr>
        <w:t>1. 提供的货物是全新的、符合国家质量标准、国家有关部门手续完备、具有生产厂家质量保证书（或合格证明）的设备；</w:t>
      </w:r>
    </w:p>
    <w:p w14:paraId="2A7DFE9C">
      <w:pPr>
        <w:spacing w:line="360" w:lineRule="auto"/>
        <w:ind w:firstLine="420" w:firstLineChars="200"/>
        <w:rPr>
          <w:rFonts w:ascii="宋体" w:hAnsi="宋体"/>
          <w:szCs w:val="21"/>
        </w:rPr>
      </w:pPr>
      <w:r>
        <w:rPr>
          <w:rFonts w:ascii="宋体" w:hAnsi="宋体"/>
          <w:szCs w:val="21"/>
        </w:rPr>
        <w:t>2. 提供的货物符合响应文件承诺和所签合同规定的技术要求；</w:t>
      </w:r>
    </w:p>
    <w:p w14:paraId="676A1485">
      <w:pPr>
        <w:spacing w:line="360" w:lineRule="auto"/>
        <w:ind w:firstLine="420" w:firstLineChars="200"/>
        <w:rPr>
          <w:rFonts w:ascii="宋体" w:hAnsi="宋体"/>
          <w:szCs w:val="21"/>
        </w:rPr>
      </w:pPr>
      <w:r>
        <w:rPr>
          <w:rFonts w:ascii="宋体" w:hAnsi="宋体"/>
          <w:szCs w:val="21"/>
        </w:rPr>
        <w:t>3. 保证“售后服务承诺”全部内容的满足；</w:t>
      </w:r>
    </w:p>
    <w:p w14:paraId="4D560F59">
      <w:pPr>
        <w:spacing w:line="360" w:lineRule="auto"/>
        <w:ind w:firstLine="420" w:firstLineChars="200"/>
      </w:pPr>
      <w:r>
        <w:rPr>
          <w:rFonts w:ascii="宋体" w:hAnsi="宋体"/>
          <w:szCs w:val="21"/>
        </w:rPr>
        <w:t>4. 我单位承诺的性能保证如下：（请详细列明）</w:t>
      </w:r>
    </w:p>
    <w:p w14:paraId="78450DC5">
      <w:pPr>
        <w:spacing w:line="360" w:lineRule="auto"/>
        <w:ind w:firstLine="420" w:firstLineChars="200"/>
        <w:rPr>
          <w:rFonts w:ascii="宋体" w:hAnsi="宋体"/>
          <w:szCs w:val="21"/>
        </w:rPr>
      </w:pPr>
      <w:r>
        <w:rPr>
          <w:rFonts w:ascii="宋体" w:hAnsi="宋体"/>
          <w:szCs w:val="21"/>
        </w:rPr>
        <w:t>_______________________________________________________________________</w:t>
      </w:r>
    </w:p>
    <w:p w14:paraId="20D2DE31">
      <w:pPr>
        <w:spacing w:line="360" w:lineRule="auto"/>
        <w:ind w:firstLine="420" w:firstLineChars="200"/>
        <w:rPr>
          <w:rFonts w:ascii="宋体" w:hAnsi="宋体"/>
          <w:szCs w:val="21"/>
        </w:rPr>
      </w:pPr>
      <w:r>
        <w:rPr>
          <w:rFonts w:ascii="宋体" w:hAnsi="宋体"/>
          <w:szCs w:val="21"/>
        </w:rPr>
        <w:t>_______________________________________________________________________</w:t>
      </w:r>
    </w:p>
    <w:p w14:paraId="5A5D3EBD">
      <w:pPr>
        <w:spacing w:line="360" w:lineRule="auto"/>
        <w:ind w:firstLine="420" w:firstLineChars="200"/>
        <w:rPr>
          <w:rFonts w:ascii="宋体" w:hAnsi="宋体"/>
          <w:szCs w:val="21"/>
        </w:rPr>
      </w:pPr>
      <w:r>
        <w:rPr>
          <w:rFonts w:ascii="宋体" w:hAnsi="宋体"/>
          <w:szCs w:val="21"/>
        </w:rPr>
        <w:t>本保证书自谈判之日起有效，如我方成交，则至货物保质期满为止有效。</w:t>
      </w:r>
    </w:p>
    <w:p w14:paraId="723F275E">
      <w:pPr>
        <w:spacing w:line="360" w:lineRule="auto"/>
        <w:ind w:firstLine="420" w:firstLineChars="200"/>
        <w:rPr>
          <w:rFonts w:ascii="宋体" w:hAnsi="宋体"/>
          <w:szCs w:val="21"/>
        </w:rPr>
      </w:pPr>
    </w:p>
    <w:p w14:paraId="67A280F1">
      <w:pPr>
        <w:spacing w:line="360" w:lineRule="auto"/>
        <w:ind w:firstLine="420" w:firstLineChars="200"/>
        <w:rPr>
          <w:rFonts w:ascii="宋体" w:hAnsi="宋体"/>
          <w:szCs w:val="21"/>
        </w:rPr>
      </w:pPr>
    </w:p>
    <w:p w14:paraId="6508288B">
      <w:pPr>
        <w:spacing w:line="360" w:lineRule="auto"/>
        <w:ind w:left="2159" w:leftChars="1028" w:firstLine="2" w:firstLineChars="1"/>
        <w:rPr>
          <w:rFonts w:ascii="宋体" w:hAnsi="宋体"/>
          <w:szCs w:val="21"/>
        </w:rPr>
      </w:pPr>
      <w:r>
        <w:rPr>
          <w:rFonts w:ascii="宋体" w:hAnsi="宋体"/>
          <w:szCs w:val="21"/>
        </w:rPr>
        <w:t>供应商：（盖单位</w:t>
      </w:r>
      <w:r>
        <w:rPr>
          <w:rFonts w:hint="eastAsia" w:ascii="宋体" w:hAnsi="宋体"/>
          <w:szCs w:val="21"/>
        </w:rPr>
        <w:t>公章</w:t>
      </w:r>
      <w:r>
        <w:rPr>
          <w:rFonts w:ascii="宋体" w:hAnsi="宋体"/>
          <w:szCs w:val="21"/>
        </w:rPr>
        <w:t>）</w:t>
      </w:r>
    </w:p>
    <w:p w14:paraId="327EA6B5">
      <w:pPr>
        <w:spacing w:line="360" w:lineRule="auto"/>
        <w:ind w:left="2159" w:leftChars="1028" w:firstLine="2" w:firstLineChars="1"/>
        <w:rPr>
          <w:rFonts w:ascii="宋体" w:hAnsi="宋体"/>
          <w:szCs w:val="21"/>
        </w:rPr>
      </w:pPr>
      <w:r>
        <w:rPr>
          <w:rFonts w:ascii="宋体" w:hAnsi="宋体"/>
          <w:szCs w:val="21"/>
        </w:rPr>
        <w:t>法定代表人</w:t>
      </w:r>
      <w:r>
        <w:rPr>
          <w:rFonts w:hint="eastAsia" w:ascii="宋体" w:hAnsi="宋体"/>
          <w:szCs w:val="21"/>
        </w:rPr>
        <w:t>或委托代理人</w:t>
      </w:r>
      <w:r>
        <w:rPr>
          <w:rFonts w:ascii="宋体" w:hAnsi="宋体"/>
          <w:szCs w:val="21"/>
        </w:rPr>
        <w:t>：（</w:t>
      </w:r>
      <w:r>
        <w:rPr>
          <w:rFonts w:hint="eastAsia" w:ascii="宋体" w:hAnsi="宋体"/>
        </w:rPr>
        <w:t>签名或盖章</w:t>
      </w:r>
      <w:r>
        <w:rPr>
          <w:rFonts w:ascii="宋体" w:hAnsi="宋体"/>
          <w:szCs w:val="21"/>
        </w:rPr>
        <w:t>）</w:t>
      </w:r>
    </w:p>
    <w:p w14:paraId="60C64D72">
      <w:pPr>
        <w:spacing w:line="360" w:lineRule="auto"/>
        <w:ind w:left="1739" w:firstLine="420"/>
        <w:rPr>
          <w:rFonts w:ascii="宋体" w:hAnsi="宋体"/>
          <w:szCs w:val="21"/>
          <w:u w:val="single"/>
        </w:rPr>
      </w:pPr>
      <w:r>
        <w:rPr>
          <w:rFonts w:ascii="宋体" w:hAnsi="宋体"/>
          <w:szCs w:val="21"/>
        </w:rPr>
        <w:t>年</w:t>
      </w:r>
      <w:r>
        <w:rPr>
          <w:rFonts w:hint="eastAsia" w:ascii="宋体" w:hAnsi="宋体"/>
          <w:szCs w:val="21"/>
        </w:rPr>
        <w:t xml:space="preserve">  </w:t>
      </w:r>
      <w:r>
        <w:rPr>
          <w:rFonts w:ascii="宋体" w:hAnsi="宋体"/>
          <w:szCs w:val="21"/>
        </w:rPr>
        <w:t>月</w:t>
      </w:r>
      <w:r>
        <w:rPr>
          <w:rFonts w:hint="eastAsia" w:ascii="宋体" w:hAnsi="宋体"/>
          <w:szCs w:val="21"/>
        </w:rPr>
        <w:t xml:space="preserve">  </w:t>
      </w:r>
      <w:r>
        <w:rPr>
          <w:rFonts w:ascii="宋体" w:hAnsi="宋体"/>
          <w:szCs w:val="21"/>
        </w:rPr>
        <w:t>日</w:t>
      </w:r>
    </w:p>
    <w:p w14:paraId="6C55168E">
      <w:pPr>
        <w:spacing w:line="360" w:lineRule="auto"/>
        <w:ind w:firstLine="480" w:firstLineChars="200"/>
        <w:rPr>
          <w:rFonts w:ascii="宋体" w:hAnsi="宋体"/>
          <w:sz w:val="24"/>
        </w:rPr>
      </w:pPr>
    </w:p>
    <w:p w14:paraId="1BEFD077">
      <w:pPr>
        <w:numPr>
          <w:ilvl w:val="1"/>
          <w:numId w:val="0"/>
        </w:numPr>
        <w:tabs>
          <w:tab w:val="left" w:pos="360"/>
          <w:tab w:val="left" w:pos="1021"/>
        </w:tabs>
        <w:ind w:left="425"/>
        <w:rPr>
          <w:rFonts w:ascii="宋体" w:hAnsi="宋体"/>
          <w:sz w:val="32"/>
        </w:rPr>
      </w:pPr>
      <w:r>
        <w:rPr>
          <w:rFonts w:ascii="宋体" w:hAnsi="宋体"/>
          <w:sz w:val="32"/>
        </w:rPr>
        <w:br w:type="page"/>
      </w:r>
      <w:bookmarkStart w:id="286" w:name="_Toc54095520"/>
      <w:bookmarkStart w:id="287" w:name="_Toc8585"/>
      <w:bookmarkStart w:id="288" w:name="_Toc337822257"/>
      <w:r>
        <w:rPr>
          <w:rFonts w:hint="eastAsia" w:ascii="宋体" w:hAnsi="宋体" w:cs="宋体"/>
          <w:b/>
          <w:kern w:val="0"/>
          <w:sz w:val="28"/>
          <w:szCs w:val="28"/>
        </w:rPr>
        <w:t>格式3-3售后服务承诺书</w:t>
      </w:r>
      <w:bookmarkEnd w:id="286"/>
      <w:bookmarkEnd w:id="287"/>
      <w:bookmarkEnd w:id="288"/>
    </w:p>
    <w:p w14:paraId="52F484CA">
      <w:pPr>
        <w:spacing w:line="360" w:lineRule="auto"/>
        <w:rPr>
          <w:rFonts w:ascii="宋体" w:hAnsi="宋体"/>
        </w:rPr>
      </w:pPr>
    </w:p>
    <w:p w14:paraId="1EE1299C">
      <w:pPr>
        <w:spacing w:line="360" w:lineRule="auto"/>
        <w:jc w:val="center"/>
        <w:rPr>
          <w:rFonts w:ascii="宋体" w:hAnsi="宋体"/>
          <w:szCs w:val="21"/>
        </w:rPr>
      </w:pPr>
      <w:r>
        <w:rPr>
          <w:rFonts w:ascii="宋体" w:hAnsi="宋体"/>
          <w:szCs w:val="21"/>
        </w:rPr>
        <w:t>（由供应商按第五章“</w:t>
      </w:r>
      <w:r>
        <w:rPr>
          <w:rFonts w:ascii="宋体" w:hAnsi="宋体"/>
          <w:b/>
          <w:bCs/>
          <w:szCs w:val="21"/>
        </w:rPr>
        <w:t>货物需求一览表</w:t>
      </w:r>
      <w:r>
        <w:rPr>
          <w:rFonts w:ascii="宋体" w:hAnsi="宋体"/>
          <w:szCs w:val="21"/>
        </w:rPr>
        <w:t>”中售后服务及要求自行编写）</w:t>
      </w:r>
    </w:p>
    <w:p w14:paraId="1924022F">
      <w:pPr>
        <w:pStyle w:val="13"/>
        <w:spacing w:line="360" w:lineRule="auto"/>
        <w:rPr>
          <w:rFonts w:ascii="Times New Roman"/>
          <w:sz w:val="21"/>
          <w:szCs w:val="21"/>
        </w:rPr>
      </w:pPr>
    </w:p>
    <w:p w14:paraId="327E62B7">
      <w:pPr>
        <w:pStyle w:val="13"/>
        <w:spacing w:line="360" w:lineRule="auto"/>
        <w:rPr>
          <w:rFonts w:ascii="Times New Roman"/>
          <w:sz w:val="21"/>
          <w:szCs w:val="21"/>
        </w:rPr>
      </w:pPr>
    </w:p>
    <w:p w14:paraId="59FCF895">
      <w:pPr>
        <w:pStyle w:val="13"/>
        <w:spacing w:line="360" w:lineRule="auto"/>
        <w:rPr>
          <w:rFonts w:ascii="Times New Roman"/>
          <w:sz w:val="21"/>
          <w:szCs w:val="21"/>
        </w:rPr>
      </w:pPr>
    </w:p>
    <w:p w14:paraId="5AF79060">
      <w:pPr>
        <w:pStyle w:val="13"/>
        <w:spacing w:line="360" w:lineRule="auto"/>
        <w:rPr>
          <w:rFonts w:ascii="Times New Roman"/>
          <w:sz w:val="21"/>
          <w:szCs w:val="21"/>
        </w:rPr>
      </w:pPr>
    </w:p>
    <w:p w14:paraId="4EB669AE">
      <w:pPr>
        <w:spacing w:line="360" w:lineRule="auto"/>
        <w:ind w:firstLine="2" w:firstLineChars="1"/>
        <w:rPr>
          <w:szCs w:val="21"/>
        </w:rPr>
      </w:pPr>
      <w:r>
        <w:rPr>
          <w:szCs w:val="21"/>
        </w:rPr>
        <w:t>供应商：（盖单位</w:t>
      </w:r>
      <w:r>
        <w:rPr>
          <w:rFonts w:hint="eastAsia"/>
          <w:szCs w:val="21"/>
        </w:rPr>
        <w:t>公章</w:t>
      </w:r>
      <w:r>
        <w:rPr>
          <w:szCs w:val="21"/>
        </w:rPr>
        <w:t>）</w:t>
      </w:r>
    </w:p>
    <w:p w14:paraId="255FD50D">
      <w:pPr>
        <w:spacing w:line="360" w:lineRule="auto"/>
        <w:ind w:firstLine="2" w:firstLineChars="1"/>
        <w:rPr>
          <w:szCs w:val="21"/>
        </w:rPr>
      </w:pPr>
      <w:r>
        <w:rPr>
          <w:szCs w:val="21"/>
        </w:rPr>
        <w:t>法定代表人</w:t>
      </w:r>
      <w:r>
        <w:rPr>
          <w:rFonts w:hint="eastAsia"/>
          <w:szCs w:val="21"/>
        </w:rPr>
        <w:t>或委托代理人</w:t>
      </w:r>
      <w:r>
        <w:rPr>
          <w:szCs w:val="21"/>
        </w:rPr>
        <w:t>：（</w:t>
      </w:r>
      <w:r>
        <w:rPr>
          <w:rFonts w:hint="eastAsia" w:ascii="宋体"/>
        </w:rPr>
        <w:t>签名或盖章</w:t>
      </w:r>
      <w:r>
        <w:rPr>
          <w:szCs w:val="21"/>
        </w:rPr>
        <w:t>）</w:t>
      </w:r>
    </w:p>
    <w:p w14:paraId="523F0EE6">
      <w:pPr>
        <w:spacing w:line="360" w:lineRule="auto"/>
        <w:rPr>
          <w:rFonts w:ascii="宋体" w:hAnsi="宋体"/>
          <w:szCs w:val="21"/>
          <w:u w:val="single"/>
        </w:rPr>
      </w:pPr>
      <w:r>
        <w:rPr>
          <w:rFonts w:ascii="宋体" w:hAnsi="宋体"/>
          <w:szCs w:val="21"/>
        </w:rPr>
        <w:t>年</w:t>
      </w:r>
      <w:r>
        <w:rPr>
          <w:rFonts w:hint="eastAsia" w:ascii="宋体" w:hAnsi="宋体"/>
          <w:szCs w:val="21"/>
        </w:rPr>
        <w:t xml:space="preserve">   </w:t>
      </w:r>
      <w:r>
        <w:rPr>
          <w:rFonts w:ascii="宋体" w:hAnsi="宋体"/>
          <w:szCs w:val="21"/>
        </w:rPr>
        <w:t>月</w:t>
      </w:r>
      <w:r>
        <w:rPr>
          <w:rFonts w:hint="eastAsia" w:ascii="宋体" w:hAnsi="宋体"/>
          <w:szCs w:val="21"/>
        </w:rPr>
        <w:t xml:space="preserve">   </w:t>
      </w:r>
      <w:r>
        <w:rPr>
          <w:rFonts w:ascii="宋体" w:hAnsi="宋体"/>
          <w:szCs w:val="21"/>
        </w:rPr>
        <w:t>日</w:t>
      </w:r>
    </w:p>
    <w:p w14:paraId="6B333725">
      <w:pPr>
        <w:spacing w:line="360" w:lineRule="auto"/>
        <w:rPr>
          <w:rFonts w:ascii="宋体" w:hAnsi="Arial"/>
          <w:b/>
          <w:bCs/>
          <w:sz w:val="28"/>
          <w:szCs w:val="21"/>
        </w:rPr>
      </w:pPr>
    </w:p>
    <w:p w14:paraId="77C07FDA">
      <w:pPr>
        <w:spacing w:line="360" w:lineRule="auto"/>
        <w:rPr>
          <w:rFonts w:ascii="宋体" w:hAnsi="Arial"/>
          <w:b/>
          <w:bCs/>
          <w:sz w:val="28"/>
          <w:szCs w:val="21"/>
        </w:rPr>
      </w:pPr>
    </w:p>
    <w:p w14:paraId="0E144619">
      <w:pPr>
        <w:spacing w:line="360" w:lineRule="auto"/>
        <w:rPr>
          <w:rFonts w:ascii="宋体" w:hAnsi="Arial"/>
          <w:b/>
          <w:bCs/>
          <w:sz w:val="28"/>
          <w:szCs w:val="21"/>
        </w:rPr>
      </w:pPr>
    </w:p>
    <w:p w14:paraId="4139200E">
      <w:pPr>
        <w:spacing w:line="360" w:lineRule="auto"/>
        <w:rPr>
          <w:rFonts w:ascii="宋体" w:hAnsi="Arial"/>
          <w:b/>
          <w:bCs/>
          <w:sz w:val="28"/>
          <w:szCs w:val="21"/>
        </w:rPr>
      </w:pPr>
    </w:p>
    <w:p w14:paraId="2E8D54EE">
      <w:pPr>
        <w:spacing w:line="360" w:lineRule="auto"/>
        <w:rPr>
          <w:rFonts w:ascii="宋体" w:hAnsi="宋体"/>
          <w:sz w:val="24"/>
        </w:rPr>
      </w:pPr>
      <w:r>
        <w:rPr>
          <w:rFonts w:hint="eastAsia" w:ascii="宋体" w:hAnsi="Arial"/>
          <w:b/>
          <w:bCs/>
          <w:sz w:val="28"/>
          <w:szCs w:val="21"/>
        </w:rPr>
        <w:t>格式3-4构成响应文件技术部分的其它资料</w:t>
      </w:r>
    </w:p>
    <w:p w14:paraId="51F1EE91">
      <w:pPr>
        <w:spacing w:line="360" w:lineRule="auto"/>
        <w:jc w:val="center"/>
        <w:rPr>
          <w:rFonts w:ascii="宋体" w:hAnsi="宋体" w:cs="宋体"/>
          <w:kern w:val="0"/>
          <w:szCs w:val="21"/>
        </w:rPr>
      </w:pPr>
      <w:r>
        <w:rPr>
          <w:rFonts w:hint="eastAsia" w:ascii="宋体" w:hAnsi="宋体" w:cs="宋体"/>
          <w:kern w:val="0"/>
          <w:szCs w:val="21"/>
        </w:rPr>
        <w:t>（如采购需求或供应商认为所须的其他资料）</w:t>
      </w:r>
    </w:p>
    <w:p w14:paraId="1A084AB3">
      <w:pPr>
        <w:spacing w:line="360" w:lineRule="auto"/>
        <w:rPr>
          <w:rFonts w:ascii="宋体" w:hAnsi="宋体"/>
          <w:sz w:val="24"/>
        </w:rPr>
      </w:pPr>
    </w:p>
    <w:bookmarkEnd w:id="278"/>
    <w:p w14:paraId="0724C017">
      <w:pPr>
        <w:rPr>
          <w:rFonts w:ascii="宋体" w:hAnsi="宋体"/>
          <w:sz w:val="36"/>
        </w:rPr>
      </w:pPr>
      <w:bookmarkStart w:id="289" w:name="_Toc54095525"/>
      <w:bookmarkStart w:id="290" w:name="_Toc14658"/>
      <w:bookmarkStart w:id="291" w:name="_Toc337822261"/>
      <w:r>
        <w:rPr>
          <w:rFonts w:ascii="宋体" w:hAnsi="宋体"/>
          <w:sz w:val="36"/>
        </w:rPr>
        <w:br w:type="page"/>
      </w:r>
    </w:p>
    <w:p w14:paraId="5369434A">
      <w:pPr>
        <w:pStyle w:val="2"/>
        <w:numPr>
          <w:ilvl w:val="0"/>
          <w:numId w:val="0"/>
        </w:numPr>
        <w:spacing w:line="360" w:lineRule="auto"/>
        <w:jc w:val="center"/>
        <w:rPr>
          <w:rFonts w:ascii="宋体" w:hAnsi="宋体" w:eastAsia="宋体"/>
          <w:color w:val="auto"/>
          <w:sz w:val="36"/>
        </w:rPr>
      </w:pPr>
      <w:bookmarkStart w:id="292" w:name="_Toc29819"/>
      <w:r>
        <w:rPr>
          <w:rFonts w:ascii="宋体" w:hAnsi="宋体" w:eastAsia="宋体"/>
          <w:color w:val="auto"/>
          <w:sz w:val="36"/>
        </w:rPr>
        <w:t>第五章</w:t>
      </w:r>
      <w:r>
        <w:rPr>
          <w:rFonts w:hint="eastAsia" w:ascii="宋体" w:hAnsi="宋体" w:eastAsia="宋体"/>
          <w:color w:val="auto"/>
          <w:sz w:val="36"/>
        </w:rPr>
        <w:t xml:space="preserve">  </w:t>
      </w:r>
      <w:r>
        <w:rPr>
          <w:rFonts w:ascii="宋体" w:hAnsi="宋体" w:eastAsia="宋体"/>
          <w:color w:val="auto"/>
          <w:sz w:val="36"/>
        </w:rPr>
        <w:t>货物需求一览表</w:t>
      </w:r>
      <w:bookmarkEnd w:id="263"/>
      <w:bookmarkEnd w:id="289"/>
      <w:bookmarkEnd w:id="290"/>
      <w:bookmarkEnd w:id="291"/>
      <w:bookmarkEnd w:id="292"/>
    </w:p>
    <w:p w14:paraId="373EEBBD">
      <w:pPr>
        <w:adjustRightInd w:val="0"/>
        <w:spacing w:line="360" w:lineRule="auto"/>
        <w:rPr>
          <w:rFonts w:ascii="宋体" w:hAnsi="宋体"/>
          <w:b/>
          <w:bCs/>
          <w:sz w:val="24"/>
        </w:rPr>
      </w:pPr>
      <w:r>
        <w:rPr>
          <w:rFonts w:ascii="宋体" w:hAnsi="宋体"/>
          <w:b/>
          <w:bCs/>
          <w:sz w:val="24"/>
        </w:rPr>
        <w:t>说明：</w:t>
      </w:r>
    </w:p>
    <w:p w14:paraId="447A71A3">
      <w:pPr>
        <w:adjustRightInd w:val="0"/>
        <w:spacing w:line="360" w:lineRule="auto"/>
        <w:ind w:left="6" w:leftChars="3" w:firstLine="480" w:firstLineChars="200"/>
        <w:rPr>
          <w:rFonts w:ascii="宋体" w:hAnsi="宋体"/>
          <w:sz w:val="24"/>
        </w:rPr>
      </w:pPr>
      <w:r>
        <w:rPr>
          <w:rFonts w:hint="eastAsia" w:ascii="宋体" w:hAnsi="宋体"/>
          <w:sz w:val="24"/>
        </w:rPr>
        <w:t>1.本一览表中的各项技术参数和规格要求如出现引用某一特定的专利技术、商标、名称、设计、原产地或供应者等情况，则仅起参考作用。供应商可选用实质上“相当于”或“优于”该参考技术规格要求的产品。同时填写技术规格偏离表。</w:t>
      </w:r>
    </w:p>
    <w:p w14:paraId="6B559D02">
      <w:pPr>
        <w:adjustRightInd w:val="0"/>
        <w:spacing w:line="360" w:lineRule="auto"/>
        <w:ind w:left="6" w:leftChars="3" w:firstLine="480" w:firstLineChars="200"/>
        <w:rPr>
          <w:rFonts w:ascii="宋体" w:hAnsi="宋体"/>
          <w:sz w:val="24"/>
        </w:rPr>
      </w:pPr>
      <w:r>
        <w:rPr>
          <w:rFonts w:hint="eastAsia" w:ascii="宋体" w:hAnsi="宋体"/>
          <w:sz w:val="24"/>
        </w:rPr>
        <w:t>2.凡在“</w:t>
      </w:r>
      <w:r>
        <w:rPr>
          <w:rFonts w:hint="eastAsia" w:ascii="宋体" w:hAnsi="宋体"/>
          <w:b/>
          <w:bCs/>
          <w:sz w:val="24"/>
        </w:rPr>
        <w:t>技术参数要求</w:t>
      </w:r>
      <w:r>
        <w:rPr>
          <w:rFonts w:hint="eastAsia" w:ascii="宋体" w:hAnsi="宋体"/>
          <w:sz w:val="24"/>
        </w:rPr>
        <w:t>”中表述为“标配”或“标准配置”的设备，供应商应在报价表中将其标配参数详细列明。</w:t>
      </w:r>
    </w:p>
    <w:p w14:paraId="138A1413">
      <w:pPr>
        <w:adjustRightInd w:val="0"/>
        <w:spacing w:line="360" w:lineRule="auto"/>
        <w:ind w:left="6" w:leftChars="3" w:firstLine="480" w:firstLineChars="200"/>
        <w:rPr>
          <w:rFonts w:ascii="宋体" w:hAnsi="宋体"/>
          <w:sz w:val="24"/>
        </w:rPr>
      </w:pPr>
      <w:r>
        <w:rPr>
          <w:rFonts w:hint="eastAsia" w:ascii="宋体" w:hAnsi="宋体"/>
          <w:sz w:val="24"/>
        </w:rPr>
        <w:t>3.本货物需求一览表中标注★号的部分为实质性要求和条件，供应商应必须作出满足或者优于原要求和条件的承诺。</w:t>
      </w:r>
    </w:p>
    <w:p w14:paraId="3BF61541">
      <w:pPr>
        <w:adjustRightInd w:val="0"/>
        <w:spacing w:line="360" w:lineRule="auto"/>
        <w:rPr>
          <w:rFonts w:asciiTheme="minorEastAsia" w:hAnsiTheme="minorEastAsia" w:eastAsiaTheme="minorEastAsia" w:cstheme="minorEastAsia"/>
          <w:sz w:val="24"/>
        </w:rPr>
      </w:pPr>
    </w:p>
    <w:p w14:paraId="28C9E8B6">
      <w:pPr>
        <w:widowControl/>
        <w:jc w:val="left"/>
        <w:textAlignment w:val="bottom"/>
        <w:rPr>
          <w:rFonts w:asciiTheme="minorEastAsia" w:hAnsiTheme="minorEastAsia" w:eastAsiaTheme="minorEastAsia" w:cstheme="minorEastAsia"/>
          <w:b/>
          <w:bCs/>
          <w:sz w:val="24"/>
        </w:rPr>
      </w:pPr>
      <w:bookmarkStart w:id="293" w:name="_Toc86124092"/>
      <w:bookmarkStart w:id="294" w:name="_Toc337822264"/>
      <w:bookmarkStart w:id="295" w:name="_Toc54095526"/>
      <w:bookmarkStart w:id="296" w:name="_Toc5628"/>
      <w:r>
        <w:rPr>
          <w:rFonts w:hint="eastAsia" w:asciiTheme="minorEastAsia" w:hAnsiTheme="minorEastAsia" w:eastAsiaTheme="minorEastAsia" w:cstheme="minorEastAsia"/>
          <w:b/>
          <w:bCs/>
          <w:sz w:val="24"/>
        </w:rPr>
        <w:t>一、项目概况</w:t>
      </w:r>
    </w:p>
    <w:p w14:paraId="76401446">
      <w:pPr>
        <w:spacing w:line="560" w:lineRule="exact"/>
        <w:ind w:firstLine="480" w:firstLineChars="200"/>
        <w:jc w:val="left"/>
        <w:rPr>
          <w:rFonts w:asciiTheme="minorEastAsia" w:hAnsiTheme="minorEastAsia" w:eastAsiaTheme="minorEastAsia" w:cstheme="minorEastAsia"/>
          <w:kern w:val="0"/>
          <w:sz w:val="24"/>
          <w:lang w:bidi="hi-IN"/>
        </w:rPr>
      </w:pPr>
      <w:bookmarkStart w:id="297" w:name="_Hlk198202917"/>
      <w:r>
        <w:rPr>
          <w:rFonts w:hint="eastAsia" w:asciiTheme="minorEastAsia" w:hAnsiTheme="minorEastAsia" w:eastAsiaTheme="minorEastAsia" w:cstheme="minorEastAsia"/>
          <w:kern w:val="0"/>
          <w:sz w:val="24"/>
          <w:lang w:bidi="hi-IN"/>
        </w:rPr>
        <w:t>云南师范大学法学与社会学学院报告厅会议室政府采购项目</w:t>
      </w:r>
      <w:bookmarkEnd w:id="297"/>
      <w:r>
        <w:rPr>
          <w:rFonts w:hint="eastAsia" w:asciiTheme="minorEastAsia" w:hAnsiTheme="minorEastAsia" w:eastAsiaTheme="minorEastAsia" w:cstheme="minorEastAsia"/>
          <w:kern w:val="0"/>
          <w:sz w:val="24"/>
          <w:lang w:bidi="hi-IN"/>
        </w:rPr>
        <w:t>，云南师范大学呈贡校区明德1号楼301报告厅和416会议室，根据法学与社会学学院学科建设及人才培养要求，本着有利于推动高质量发展，按照知识传授、能力培养，素质提高、协调发展的教育理念; 推进纪检监察工作高质量发展为核心，学院教学场地硬件设施现代化，满足学科专业建设、纪检监察、反腐败专题研修、实践实验课程教学的需要，集教学、训练、科研、学科建设为一体的教学场地。</w:t>
      </w:r>
    </w:p>
    <w:p w14:paraId="5D1B95F1">
      <w:pPr>
        <w:widowControl/>
        <w:spacing w:line="560" w:lineRule="exact"/>
        <w:jc w:val="left"/>
        <w:textAlignment w:val="bottom"/>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二、需执行的国家相关标准、行业标准及规范</w:t>
      </w:r>
    </w:p>
    <w:p w14:paraId="0DADEB9B">
      <w:pPr>
        <w:pStyle w:val="42"/>
        <w:spacing w:line="560" w:lineRule="exact"/>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保证提供的设备是全新（包括零部件）、符合采购需求、符合国家质量检测标准（进口产品具有国家有关部门完整手续）和产品出厂标准的设备。</w:t>
      </w:r>
    </w:p>
    <w:p w14:paraId="6D04D73A">
      <w:pPr>
        <w:pStyle w:val="42"/>
        <w:spacing w:line="560" w:lineRule="exact"/>
        <w:ind w:firstLine="480" w:firstLineChars="200"/>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sz w:val="24"/>
          <w:szCs w:val="24"/>
        </w:rPr>
        <w:t>保证在合同内设备（有配套软件的还包括软件产品）使用期间不受第三方提出侵犯其专利权、商标权和工业设计权的起诉。</w:t>
      </w:r>
    </w:p>
    <w:p w14:paraId="228456A3">
      <w:pPr>
        <w:widowControl/>
        <w:spacing w:line="560" w:lineRule="exact"/>
        <w:jc w:val="left"/>
        <w:textAlignment w:val="bottom"/>
        <w:rPr>
          <w:rFonts w:asciiTheme="minorEastAsia" w:hAnsiTheme="minorEastAsia" w:eastAsiaTheme="minorEastAsia" w:cstheme="minorEastAsia"/>
          <w:sz w:val="24"/>
        </w:rPr>
      </w:pPr>
      <w:r>
        <w:rPr>
          <w:rFonts w:hint="eastAsia" w:asciiTheme="minorEastAsia" w:hAnsiTheme="minorEastAsia" w:eastAsiaTheme="minorEastAsia" w:cstheme="minorEastAsia"/>
          <w:b/>
          <w:bCs/>
          <w:sz w:val="24"/>
        </w:rPr>
        <w:t>三、质量及售后服务要求：</w:t>
      </w:r>
    </w:p>
    <w:p w14:paraId="446ADE7E">
      <w:pPr>
        <w:adjustRightInd w:val="0"/>
        <w:spacing w:line="360" w:lineRule="auto"/>
        <w:ind w:firstLine="600" w:firstLineChars="250"/>
        <w:contextualSpacing/>
        <w:rPr>
          <w:rFonts w:ascii="宋体" w:hAnsi="宋体"/>
          <w:color w:val="000000"/>
          <w:sz w:val="24"/>
        </w:rPr>
      </w:pPr>
      <w:r>
        <w:rPr>
          <w:rFonts w:hint="eastAsia" w:ascii="宋体" w:hAnsi="宋体"/>
          <w:color w:val="000000"/>
          <w:sz w:val="24"/>
        </w:rPr>
        <w:t>保证提供的设备是全新（包括零部件）、具有国家有关部门注册并符合国家质量检测标准和产品出厂标准的设备；并保证设备在报废前正常运行。</w:t>
      </w:r>
    </w:p>
    <w:p w14:paraId="15975D38">
      <w:pPr>
        <w:pStyle w:val="43"/>
        <w:adjustRightInd/>
        <w:spacing w:after="0" w:line="560" w:lineRule="exact"/>
        <w:ind w:firstLine="480" w:firstLineChars="200"/>
        <w:rPr>
          <w:rFonts w:asciiTheme="minorEastAsia" w:hAnsiTheme="minorEastAsia" w:eastAsiaTheme="minorEastAsia" w:cstheme="minorEastAsia"/>
          <w:color w:val="auto"/>
          <w:sz w:val="24"/>
          <w:szCs w:val="24"/>
          <w:lang w:val="en-US"/>
        </w:rPr>
      </w:pPr>
      <w:r>
        <w:rPr>
          <w:rFonts w:hint="eastAsia" w:ascii="宋体" w:hAnsi="宋体"/>
          <w:color w:val="000000"/>
          <w:sz w:val="24"/>
        </w:rPr>
        <w:t>质保及服务期限：设备及主要配件质保期为验收合格之日起</w:t>
      </w:r>
      <w:r>
        <w:rPr>
          <w:rFonts w:hint="eastAsia" w:ascii="宋体" w:hAnsi="宋体"/>
          <w:color w:val="000000"/>
          <w:sz w:val="24"/>
          <w:lang w:val="en-US"/>
        </w:rPr>
        <w:t>3</w:t>
      </w:r>
      <w:r>
        <w:rPr>
          <w:rFonts w:hint="eastAsia" w:ascii="宋体" w:hAnsi="宋体"/>
          <w:color w:val="000000"/>
          <w:sz w:val="24"/>
        </w:rPr>
        <w:t>年，并保证设备正常使用。主设备乙方提供现场维修，维修人员在收到故障报告后保证2小时内到达现场，简单类故障保证由售后人员或工程师在</w:t>
      </w:r>
      <w:r>
        <w:rPr>
          <w:rFonts w:ascii="宋体" w:hAnsi="宋体"/>
          <w:color w:val="000000"/>
          <w:sz w:val="24"/>
        </w:rPr>
        <w:t>1</w:t>
      </w:r>
      <w:r>
        <w:rPr>
          <w:rFonts w:hint="eastAsia" w:ascii="宋体" w:hAnsi="宋体"/>
          <w:color w:val="000000"/>
          <w:sz w:val="24"/>
        </w:rPr>
        <w:t>天内修复，复杂类故障保证由售后人员或工程师在2天内修复；供应商保证在甲方指定地点供应备品备件含易损件、和配套消耗品；供应商对所提供的设备实行每6个月时间定期进行保养或维护、巡检、制度</w:t>
      </w:r>
      <w:r>
        <w:rPr>
          <w:rFonts w:hint="eastAsia" w:asciiTheme="minorEastAsia" w:hAnsiTheme="minorEastAsia" w:eastAsiaTheme="minorEastAsia" w:cstheme="minorEastAsia"/>
          <w:color w:val="auto"/>
          <w:sz w:val="24"/>
          <w:szCs w:val="24"/>
          <w:lang w:val="en-US"/>
        </w:rPr>
        <w:t>。</w:t>
      </w:r>
    </w:p>
    <w:p w14:paraId="0502E9E1">
      <w:pPr>
        <w:widowControl/>
        <w:spacing w:line="560" w:lineRule="exact"/>
        <w:jc w:val="left"/>
        <w:textAlignment w:val="bottom"/>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四、验收要求：</w:t>
      </w:r>
    </w:p>
    <w:p w14:paraId="5A15DB7B">
      <w:pPr>
        <w:pStyle w:val="42"/>
        <w:spacing w:line="560" w:lineRule="exact"/>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1.设备验收：设备到达甲方指定地点后甲方统一初验是否符合合同要求；</w:t>
      </w:r>
    </w:p>
    <w:p w14:paraId="0B978548">
      <w:pPr>
        <w:pStyle w:val="42"/>
        <w:spacing w:line="560" w:lineRule="exact"/>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2.项目验收：乙方负责设备安装和调试，完工后，甲方测试是否合格并满足技术要求；</w:t>
      </w:r>
    </w:p>
    <w:p w14:paraId="0F62A67B">
      <w:pPr>
        <w:pStyle w:val="42"/>
        <w:spacing w:line="560" w:lineRule="exact"/>
        <w:ind w:firstLine="480" w:firstLineChars="200"/>
        <w:rPr>
          <w:rFonts w:asciiTheme="minorEastAsia" w:hAnsiTheme="minorEastAsia" w:eastAsiaTheme="minorEastAsia" w:cstheme="minorEastAsia"/>
          <w:sz w:val="24"/>
          <w:szCs w:val="24"/>
          <w:lang w:val="zh-TW" w:eastAsia="zh-TW"/>
        </w:rPr>
      </w:pPr>
      <w:r>
        <w:rPr>
          <w:rFonts w:hint="eastAsia" w:asciiTheme="minorEastAsia" w:hAnsiTheme="minorEastAsia" w:eastAsiaTheme="minorEastAsia" w:cstheme="minorEastAsia"/>
          <w:sz w:val="24"/>
          <w:szCs w:val="24"/>
        </w:rPr>
        <w:t>3.实作性操作验收：设备是否正常运作（试运行 1个月，具体时间在签订合同时协定）。</w:t>
      </w:r>
    </w:p>
    <w:p w14:paraId="31079CF8">
      <w:pPr>
        <w:pStyle w:val="23"/>
        <w:snapToGrid w:val="0"/>
        <w:ind w:firstLine="349" w:firstLineChars="150"/>
        <w:rPr>
          <w:rFonts w:asciiTheme="minorEastAsia" w:hAnsiTheme="minorEastAsia" w:eastAsiaTheme="minorEastAsia" w:cstheme="minorEastAsia"/>
          <w:b/>
          <w:bCs/>
          <w:sz w:val="24"/>
        </w:rPr>
      </w:pPr>
    </w:p>
    <w:p w14:paraId="24B66C63">
      <w:pPr>
        <w:pStyle w:val="23"/>
        <w:ind w:firstLine="0" w:firstLineChars="0"/>
        <w:sectPr>
          <w:pgSz w:w="11906" w:h="16838"/>
          <w:pgMar w:top="720" w:right="720" w:bottom="720" w:left="720" w:header="851" w:footer="992" w:gutter="0"/>
          <w:cols w:space="720" w:num="1"/>
          <w:docGrid w:type="lines" w:linePitch="312" w:charSpace="0"/>
        </w:sectPr>
      </w:pPr>
    </w:p>
    <w:tbl>
      <w:tblPr>
        <w:tblStyle w:val="24"/>
        <w:tblW w:w="15342" w:type="dxa"/>
        <w:tblInd w:w="0" w:type="dxa"/>
        <w:tblLayout w:type="fixed"/>
        <w:tblCellMar>
          <w:top w:w="0" w:type="dxa"/>
          <w:left w:w="0" w:type="dxa"/>
          <w:bottom w:w="0" w:type="dxa"/>
          <w:right w:w="0" w:type="dxa"/>
        </w:tblCellMar>
      </w:tblPr>
      <w:tblGrid>
        <w:gridCol w:w="435"/>
        <w:gridCol w:w="1812"/>
        <w:gridCol w:w="435"/>
        <w:gridCol w:w="540"/>
        <w:gridCol w:w="1245"/>
        <w:gridCol w:w="9825"/>
        <w:gridCol w:w="1050"/>
      </w:tblGrid>
      <w:tr w14:paraId="05E8A7B4">
        <w:tblPrEx>
          <w:tblCellMar>
            <w:top w:w="0" w:type="dxa"/>
            <w:left w:w="0" w:type="dxa"/>
            <w:bottom w:w="0" w:type="dxa"/>
            <w:right w:w="0" w:type="dxa"/>
          </w:tblCellMar>
        </w:tblPrEx>
        <w:trPr>
          <w:trHeight w:val="375" w:hRule="atLeast"/>
        </w:trPr>
        <w:tc>
          <w:tcPr>
            <w:tcW w:w="15342" w:type="dxa"/>
            <w:gridSpan w:val="7"/>
            <w:tcBorders>
              <w:top w:val="nil"/>
              <w:left w:val="nil"/>
              <w:bottom w:val="nil"/>
              <w:right w:val="nil"/>
            </w:tcBorders>
            <w:shd w:val="clear" w:color="auto" w:fill="FFFFFF"/>
            <w:tcMar>
              <w:top w:w="15" w:type="dxa"/>
              <w:left w:w="15" w:type="dxa"/>
              <w:right w:w="15" w:type="dxa"/>
            </w:tcMar>
            <w:vAlign w:val="center"/>
          </w:tcPr>
          <w:p w14:paraId="7C6045EF">
            <w:pPr>
              <w:widowControl/>
              <w:numPr>
                <w:ilvl w:val="0"/>
                <w:numId w:val="4"/>
              </w:numPr>
              <w:jc w:val="center"/>
              <w:textAlignment w:val="center"/>
              <w:rPr>
                <w:rFonts w:ascii="宋体" w:hAnsi="宋体" w:cs="宋体"/>
                <w:b/>
                <w:color w:val="000000"/>
                <w:kern w:val="0"/>
                <w:sz w:val="28"/>
                <w:szCs w:val="28"/>
                <w:lang w:bidi="ar"/>
              </w:rPr>
            </w:pPr>
            <w:r>
              <w:rPr>
                <w:rFonts w:hint="eastAsia" w:ascii="宋体" w:hAnsi="宋体" w:cs="宋体"/>
                <w:b/>
                <w:color w:val="000000"/>
                <w:kern w:val="0"/>
                <w:sz w:val="28"/>
                <w:szCs w:val="28"/>
                <w:lang w:bidi="ar"/>
              </w:rPr>
              <w:t>需求及参数表</w:t>
            </w:r>
          </w:p>
        </w:tc>
      </w:tr>
      <w:tr w14:paraId="3425987C">
        <w:tblPrEx>
          <w:tblCellMar>
            <w:top w:w="0" w:type="dxa"/>
            <w:left w:w="0" w:type="dxa"/>
            <w:bottom w:w="0" w:type="dxa"/>
            <w:right w:w="0" w:type="dxa"/>
          </w:tblCellMar>
        </w:tblPrEx>
        <w:trPr>
          <w:trHeight w:val="245" w:hRule="atLeast"/>
        </w:trPr>
        <w:tc>
          <w:tcPr>
            <w:tcW w:w="435" w:type="dxa"/>
            <w:vMerge w:val="restar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100CFE3">
            <w:pPr>
              <w:widowControl/>
              <w:jc w:val="center"/>
              <w:textAlignment w:val="center"/>
              <w:rPr>
                <w:rFonts w:ascii="宋体" w:hAnsi="宋体" w:cs="宋体"/>
                <w:b/>
                <w:color w:val="000000"/>
                <w:sz w:val="20"/>
                <w:szCs w:val="20"/>
              </w:rPr>
            </w:pPr>
            <w:r>
              <w:rPr>
                <w:rFonts w:hint="eastAsia" w:ascii="宋体" w:hAnsi="宋体" w:cs="宋体"/>
                <w:b/>
                <w:color w:val="000000"/>
                <w:kern w:val="0"/>
                <w:sz w:val="20"/>
                <w:szCs w:val="20"/>
                <w:lang w:bidi="ar"/>
              </w:rPr>
              <w:t>序号</w:t>
            </w:r>
          </w:p>
        </w:tc>
        <w:tc>
          <w:tcPr>
            <w:tcW w:w="1812" w:type="dxa"/>
            <w:vMerge w:val="restar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7B484D7">
            <w:pPr>
              <w:widowControl/>
              <w:jc w:val="center"/>
              <w:textAlignment w:val="center"/>
              <w:rPr>
                <w:rFonts w:ascii="宋体" w:hAnsi="宋体" w:cs="宋体"/>
                <w:b/>
                <w:color w:val="000000"/>
                <w:sz w:val="20"/>
                <w:szCs w:val="20"/>
              </w:rPr>
            </w:pPr>
            <w:r>
              <w:rPr>
                <w:rFonts w:hint="eastAsia" w:ascii="宋体" w:hAnsi="宋体" w:cs="宋体"/>
                <w:b/>
                <w:color w:val="000000"/>
                <w:kern w:val="0"/>
                <w:sz w:val="20"/>
                <w:szCs w:val="20"/>
                <w:lang w:bidi="ar"/>
              </w:rPr>
              <w:t>产品（项目）名称</w:t>
            </w:r>
          </w:p>
        </w:tc>
        <w:tc>
          <w:tcPr>
            <w:tcW w:w="435" w:type="dxa"/>
            <w:vMerge w:val="restar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7897B3D">
            <w:pPr>
              <w:widowControl/>
              <w:jc w:val="center"/>
              <w:textAlignment w:val="center"/>
              <w:rPr>
                <w:rFonts w:ascii="宋体" w:hAnsi="宋体" w:cs="宋体"/>
                <w:b/>
                <w:color w:val="000000"/>
                <w:sz w:val="20"/>
                <w:szCs w:val="20"/>
              </w:rPr>
            </w:pPr>
            <w:r>
              <w:rPr>
                <w:rFonts w:hint="eastAsia" w:ascii="宋体" w:hAnsi="宋体" w:cs="宋体"/>
                <w:b/>
                <w:color w:val="000000"/>
                <w:kern w:val="0"/>
                <w:sz w:val="20"/>
                <w:szCs w:val="20"/>
                <w:lang w:bidi="ar"/>
              </w:rPr>
              <w:t>数量</w:t>
            </w:r>
          </w:p>
        </w:tc>
        <w:tc>
          <w:tcPr>
            <w:tcW w:w="540" w:type="dxa"/>
            <w:vMerge w:val="restar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66E992AF">
            <w:pPr>
              <w:widowControl/>
              <w:jc w:val="center"/>
              <w:textAlignment w:val="center"/>
              <w:rPr>
                <w:rFonts w:ascii="宋体" w:hAnsi="宋体" w:cs="宋体"/>
                <w:b/>
                <w:color w:val="000000"/>
                <w:sz w:val="20"/>
                <w:szCs w:val="20"/>
              </w:rPr>
            </w:pPr>
            <w:r>
              <w:rPr>
                <w:rFonts w:hint="eastAsia" w:ascii="宋体" w:hAnsi="宋体" w:cs="宋体"/>
                <w:b/>
                <w:color w:val="000000"/>
                <w:kern w:val="0"/>
                <w:sz w:val="20"/>
                <w:szCs w:val="20"/>
                <w:lang w:bidi="ar"/>
              </w:rPr>
              <w:t>计量单位</w:t>
            </w:r>
          </w:p>
        </w:tc>
        <w:tc>
          <w:tcPr>
            <w:tcW w:w="124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B7A8781">
            <w:pPr>
              <w:widowControl/>
              <w:jc w:val="center"/>
              <w:textAlignment w:val="center"/>
              <w:rPr>
                <w:rFonts w:ascii="宋体" w:hAnsi="宋体" w:cs="宋体"/>
                <w:b/>
                <w:color w:val="000000"/>
                <w:kern w:val="0"/>
                <w:sz w:val="20"/>
                <w:szCs w:val="20"/>
                <w:lang w:bidi="ar"/>
              </w:rPr>
            </w:pPr>
            <w:r>
              <w:rPr>
                <w:rFonts w:hint="eastAsia" w:ascii="宋体" w:hAnsi="宋体" w:cs="宋体"/>
                <w:b/>
                <w:color w:val="000000"/>
                <w:kern w:val="0"/>
                <w:sz w:val="20"/>
                <w:szCs w:val="20"/>
                <w:lang w:bidi="ar"/>
              </w:rPr>
              <w:t>须控制的</w:t>
            </w:r>
          </w:p>
          <w:p w14:paraId="7B9E6755">
            <w:pPr>
              <w:widowControl/>
              <w:jc w:val="center"/>
              <w:textAlignment w:val="center"/>
              <w:rPr>
                <w:rFonts w:ascii="宋体" w:hAnsi="宋体" w:cs="宋体"/>
                <w:b/>
                <w:color w:val="000000"/>
                <w:sz w:val="20"/>
                <w:szCs w:val="20"/>
              </w:rPr>
            </w:pPr>
            <w:r>
              <w:rPr>
                <w:rFonts w:hint="eastAsia" w:ascii="宋体" w:hAnsi="宋体" w:cs="宋体"/>
                <w:b/>
                <w:color w:val="000000"/>
                <w:kern w:val="0"/>
                <w:sz w:val="20"/>
                <w:szCs w:val="20"/>
                <w:lang w:bidi="ar"/>
              </w:rPr>
              <w:t>预算单价</w:t>
            </w:r>
          </w:p>
        </w:tc>
        <w:tc>
          <w:tcPr>
            <w:tcW w:w="9825" w:type="dxa"/>
            <w:vMerge w:val="restar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3F7F3AA">
            <w:pPr>
              <w:widowControl/>
              <w:jc w:val="center"/>
              <w:textAlignment w:val="center"/>
              <w:rPr>
                <w:rFonts w:ascii="宋体" w:hAnsi="宋体" w:cs="宋体"/>
                <w:b/>
                <w:color w:val="000000"/>
                <w:sz w:val="20"/>
                <w:szCs w:val="20"/>
              </w:rPr>
            </w:pPr>
            <w:r>
              <w:rPr>
                <w:rFonts w:hint="eastAsia" w:ascii="宋体" w:hAnsi="宋体" w:cs="宋体"/>
                <w:b/>
                <w:color w:val="000000"/>
                <w:kern w:val="0"/>
                <w:sz w:val="20"/>
                <w:szCs w:val="20"/>
                <w:lang w:bidi="ar"/>
              </w:rPr>
              <w:t>配置要求及参数（不能指定品牌）</w:t>
            </w:r>
          </w:p>
        </w:tc>
        <w:tc>
          <w:tcPr>
            <w:tcW w:w="1050" w:type="dxa"/>
            <w:vMerge w:val="restar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CF93EAE">
            <w:pPr>
              <w:widowControl/>
              <w:jc w:val="center"/>
              <w:textAlignment w:val="center"/>
              <w:rPr>
                <w:rFonts w:ascii="宋体" w:hAnsi="宋体" w:cs="宋体"/>
                <w:b/>
                <w:color w:val="000000"/>
                <w:kern w:val="0"/>
                <w:sz w:val="20"/>
                <w:szCs w:val="20"/>
                <w:lang w:bidi="ar"/>
              </w:rPr>
            </w:pPr>
            <w:r>
              <w:rPr>
                <w:rFonts w:hint="eastAsia" w:ascii="宋体" w:hAnsi="宋体" w:cs="宋体"/>
                <w:b/>
                <w:color w:val="000000"/>
                <w:kern w:val="0"/>
                <w:sz w:val="20"/>
                <w:szCs w:val="20"/>
                <w:lang w:bidi="ar"/>
              </w:rPr>
              <w:t>交货地点</w:t>
            </w:r>
          </w:p>
          <w:p w14:paraId="78EEE8F9">
            <w:pPr>
              <w:widowControl/>
              <w:jc w:val="center"/>
              <w:textAlignment w:val="center"/>
              <w:rPr>
                <w:rFonts w:ascii="宋体" w:hAnsi="宋体" w:cs="宋体"/>
                <w:b/>
                <w:color w:val="000000"/>
                <w:sz w:val="20"/>
                <w:szCs w:val="20"/>
              </w:rPr>
            </w:pPr>
            <w:r>
              <w:rPr>
                <w:rFonts w:hint="eastAsia" w:ascii="宋体" w:hAnsi="宋体" w:cs="宋体"/>
                <w:b/>
                <w:color w:val="000000"/>
                <w:kern w:val="0"/>
                <w:sz w:val="20"/>
                <w:szCs w:val="20"/>
                <w:lang w:bidi="ar"/>
              </w:rPr>
              <w:t>（备注）</w:t>
            </w:r>
          </w:p>
        </w:tc>
      </w:tr>
      <w:tr w14:paraId="7DA23254">
        <w:tblPrEx>
          <w:tblCellMar>
            <w:top w:w="0" w:type="dxa"/>
            <w:left w:w="0" w:type="dxa"/>
            <w:bottom w:w="0" w:type="dxa"/>
            <w:right w:w="0" w:type="dxa"/>
          </w:tblCellMar>
        </w:tblPrEx>
        <w:trPr>
          <w:trHeight w:val="245" w:hRule="atLeast"/>
        </w:trPr>
        <w:tc>
          <w:tcPr>
            <w:tcW w:w="435" w:type="dxa"/>
            <w:vMerge w:val="continue"/>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6F754FD">
            <w:pPr>
              <w:jc w:val="center"/>
              <w:rPr>
                <w:rFonts w:ascii="宋体" w:hAnsi="宋体" w:cs="宋体"/>
                <w:b/>
                <w:color w:val="000000"/>
                <w:sz w:val="20"/>
                <w:szCs w:val="20"/>
              </w:rPr>
            </w:pPr>
          </w:p>
        </w:tc>
        <w:tc>
          <w:tcPr>
            <w:tcW w:w="1812" w:type="dxa"/>
            <w:vMerge w:val="continue"/>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E18E217">
            <w:pPr>
              <w:jc w:val="center"/>
              <w:rPr>
                <w:rFonts w:ascii="宋体" w:hAnsi="宋体" w:cs="宋体"/>
                <w:b/>
                <w:color w:val="000000"/>
                <w:sz w:val="20"/>
                <w:szCs w:val="20"/>
              </w:rPr>
            </w:pPr>
          </w:p>
        </w:tc>
        <w:tc>
          <w:tcPr>
            <w:tcW w:w="435" w:type="dxa"/>
            <w:vMerge w:val="continue"/>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6D656EF9">
            <w:pPr>
              <w:jc w:val="center"/>
              <w:rPr>
                <w:rFonts w:ascii="宋体" w:hAnsi="宋体" w:cs="宋体"/>
                <w:b/>
                <w:color w:val="000000"/>
                <w:sz w:val="20"/>
                <w:szCs w:val="20"/>
              </w:rPr>
            </w:pPr>
          </w:p>
        </w:tc>
        <w:tc>
          <w:tcPr>
            <w:tcW w:w="540" w:type="dxa"/>
            <w:vMerge w:val="continue"/>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CC77224">
            <w:pPr>
              <w:jc w:val="center"/>
              <w:rPr>
                <w:rFonts w:ascii="宋体" w:hAnsi="宋体" w:cs="宋体"/>
                <w:b/>
                <w:color w:val="000000"/>
                <w:sz w:val="20"/>
                <w:szCs w:val="20"/>
              </w:rPr>
            </w:pPr>
          </w:p>
        </w:tc>
        <w:tc>
          <w:tcPr>
            <w:tcW w:w="124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E44A9BD">
            <w:pPr>
              <w:widowControl/>
              <w:jc w:val="center"/>
              <w:textAlignment w:val="center"/>
              <w:rPr>
                <w:rFonts w:ascii="宋体" w:hAnsi="宋体" w:cs="宋体"/>
                <w:b/>
                <w:color w:val="000000"/>
                <w:sz w:val="20"/>
                <w:szCs w:val="20"/>
              </w:rPr>
            </w:pPr>
            <w:r>
              <w:rPr>
                <w:rFonts w:hint="eastAsia" w:ascii="宋体" w:hAnsi="宋体" w:cs="宋体"/>
                <w:b/>
                <w:color w:val="000000"/>
                <w:kern w:val="0"/>
                <w:sz w:val="20"/>
                <w:szCs w:val="20"/>
                <w:lang w:bidi="ar"/>
              </w:rPr>
              <w:t>（单位：元）</w:t>
            </w:r>
          </w:p>
        </w:tc>
        <w:tc>
          <w:tcPr>
            <w:tcW w:w="9825" w:type="dxa"/>
            <w:vMerge w:val="continue"/>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A608E45">
            <w:pPr>
              <w:jc w:val="center"/>
              <w:rPr>
                <w:rFonts w:ascii="宋体" w:hAnsi="宋体" w:cs="宋体"/>
                <w:b/>
                <w:color w:val="000000"/>
                <w:sz w:val="20"/>
                <w:szCs w:val="20"/>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26638B9D">
            <w:pPr>
              <w:jc w:val="center"/>
              <w:rPr>
                <w:rFonts w:ascii="宋体" w:hAnsi="宋体" w:cs="宋体"/>
                <w:b/>
                <w:color w:val="000000"/>
                <w:sz w:val="20"/>
                <w:szCs w:val="20"/>
              </w:rPr>
            </w:pPr>
          </w:p>
        </w:tc>
      </w:tr>
      <w:tr w14:paraId="4892C143">
        <w:tblPrEx>
          <w:tblCellMar>
            <w:top w:w="0" w:type="dxa"/>
            <w:left w:w="0" w:type="dxa"/>
            <w:bottom w:w="0" w:type="dxa"/>
            <w:right w:w="0" w:type="dxa"/>
          </w:tblCellMar>
        </w:tblPrEx>
        <w:trPr>
          <w:trHeight w:val="285" w:hRule="atLeast"/>
        </w:trPr>
        <w:tc>
          <w:tcPr>
            <w:tcW w:w="435"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0A3D08CC">
            <w:pPr>
              <w:widowControl/>
              <w:jc w:val="center"/>
              <w:rPr>
                <w:kern w:val="0"/>
                <w:sz w:val="24"/>
              </w:rPr>
            </w:pPr>
            <w:r>
              <w:rPr>
                <w:rFonts w:hint="eastAsia"/>
              </w:rPr>
              <w:t>1</w:t>
            </w:r>
          </w:p>
        </w:tc>
        <w:tc>
          <w:tcPr>
            <w:tcW w:w="1812"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2F870B2D">
            <w:pPr>
              <w:widowControl/>
              <w:jc w:val="center"/>
              <w:rPr>
                <w:kern w:val="0"/>
                <w:sz w:val="24"/>
              </w:rPr>
            </w:pPr>
            <w:r>
              <w:rPr>
                <w:rFonts w:hint="eastAsia"/>
              </w:rPr>
              <w:t>互动显示系统</w:t>
            </w:r>
          </w:p>
        </w:tc>
        <w:tc>
          <w:tcPr>
            <w:tcW w:w="435"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69626ADE">
            <w:pPr>
              <w:widowControl/>
              <w:jc w:val="center"/>
              <w:rPr>
                <w:kern w:val="0"/>
                <w:sz w:val="24"/>
              </w:rPr>
            </w:pPr>
            <w:r>
              <w:rPr>
                <w:rFonts w:hint="eastAsia"/>
              </w:rPr>
              <w:t>1</w:t>
            </w:r>
          </w:p>
        </w:tc>
        <w:tc>
          <w:tcPr>
            <w:tcW w:w="540" w:type="dxa"/>
            <w:tcBorders>
              <w:top w:val="single" w:color="auto" w:sz="4" w:space="0"/>
              <w:left w:val="nil"/>
              <w:bottom w:val="single" w:color="auto" w:sz="4" w:space="0"/>
              <w:right w:val="single" w:color="auto" w:sz="4" w:space="0"/>
            </w:tcBorders>
            <w:tcMar>
              <w:top w:w="15" w:type="dxa"/>
              <w:left w:w="15" w:type="dxa"/>
              <w:right w:w="15" w:type="dxa"/>
            </w:tcMar>
            <w:vAlign w:val="center"/>
          </w:tcPr>
          <w:p w14:paraId="37D29840">
            <w:pPr>
              <w:jc w:val="center"/>
            </w:pPr>
            <w:r>
              <w:rPr>
                <w:rFonts w:hint="eastAsia"/>
              </w:rPr>
              <w:t>套</w:t>
            </w:r>
          </w:p>
        </w:tc>
        <w:tc>
          <w:tcPr>
            <w:tcW w:w="1245"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3C2204F2">
            <w:pPr>
              <w:widowControl/>
              <w:jc w:val="center"/>
              <w:rPr>
                <w:kern w:val="0"/>
                <w:sz w:val="24"/>
              </w:rPr>
            </w:pPr>
            <w:r>
              <w:rPr>
                <w:rFonts w:hint="eastAsia"/>
              </w:rPr>
              <w:t>370000.00</w:t>
            </w:r>
          </w:p>
        </w:tc>
        <w:tc>
          <w:tcPr>
            <w:tcW w:w="9825" w:type="dxa"/>
            <w:tcBorders>
              <w:top w:val="single" w:color="auto" w:sz="4" w:space="0"/>
              <w:left w:val="single" w:color="auto" w:sz="4" w:space="0"/>
              <w:bottom w:val="single" w:color="auto" w:sz="4" w:space="0"/>
              <w:right w:val="single" w:color="auto" w:sz="4" w:space="0"/>
            </w:tcBorders>
            <w:noWrap/>
            <w:tcMar>
              <w:top w:w="15" w:type="dxa"/>
              <w:left w:w="15" w:type="dxa"/>
              <w:right w:w="15" w:type="dxa"/>
            </w:tcMar>
          </w:tcPr>
          <w:p w14:paraId="129C367C">
            <w:pPr>
              <w:widowControl/>
              <w:numPr>
                <w:ilvl w:val="0"/>
                <w:numId w:val="5"/>
              </w:numPr>
              <w:adjustRightInd w:val="0"/>
              <w:snapToGrid w:val="0"/>
              <w:jc w:val="left"/>
              <w:rPr>
                <w:szCs w:val="21"/>
              </w:rPr>
            </w:pPr>
            <w:r>
              <w:rPr>
                <w:rFonts w:hint="eastAsia"/>
                <w:szCs w:val="21"/>
              </w:rPr>
              <w:t xml:space="preserve">点间距≤1.538mm， 物理密度：≥422500点/㎡，封装要求：SMD；显示尺寸：6.4m(W)*3.2m(H)，显示面积：20.48㎡；分辨率：4161*2080点； </w:t>
            </w:r>
          </w:p>
          <w:p w14:paraId="505AA7E6">
            <w:pPr>
              <w:widowControl/>
              <w:adjustRightInd w:val="0"/>
              <w:snapToGrid w:val="0"/>
              <w:jc w:val="left"/>
              <w:rPr>
                <w:szCs w:val="21"/>
              </w:rPr>
            </w:pPr>
            <w:r>
              <w:rPr>
                <w:rFonts w:hint="eastAsia"/>
                <w:szCs w:val="21"/>
              </w:rPr>
              <w:t xml:space="preserve">2. 功耗：峰值功耗：≤300W/㎡，平均功耗：≤110W/㎡； </w:t>
            </w:r>
          </w:p>
          <w:p w14:paraId="78DD84E3">
            <w:pPr>
              <w:widowControl/>
              <w:adjustRightInd w:val="0"/>
              <w:snapToGrid w:val="0"/>
              <w:jc w:val="left"/>
              <w:rPr>
                <w:szCs w:val="21"/>
              </w:rPr>
            </w:pPr>
            <w:r>
              <w:rPr>
                <w:rFonts w:hint="eastAsia"/>
                <w:szCs w:val="21"/>
              </w:rPr>
              <w:t>3. 色域：NTSC 色域覆盖率≥138%，具备CIE-1931 可视化色域调节能力；对比度：≥180000：1；</w:t>
            </w:r>
          </w:p>
          <w:p w14:paraId="0E4F33DD">
            <w:pPr>
              <w:widowControl/>
              <w:adjustRightInd w:val="0"/>
              <w:snapToGrid w:val="0"/>
              <w:jc w:val="left"/>
              <w:rPr>
                <w:szCs w:val="21"/>
              </w:rPr>
            </w:pPr>
            <w:r>
              <w:rPr>
                <w:rFonts w:hint="eastAsia"/>
                <w:szCs w:val="21"/>
              </w:rPr>
              <w:t>4. 显示画面：采用面光显示技术可避免光源直射；（提供第三方检测机构出具的检验报告复印件）</w:t>
            </w:r>
          </w:p>
          <w:p w14:paraId="09F543BD">
            <w:pPr>
              <w:widowControl/>
              <w:adjustRightInd w:val="0"/>
              <w:snapToGrid w:val="0"/>
              <w:jc w:val="left"/>
              <w:rPr>
                <w:szCs w:val="21"/>
              </w:rPr>
            </w:pPr>
            <w:r>
              <w:rPr>
                <w:rFonts w:hint="eastAsia"/>
                <w:szCs w:val="21"/>
              </w:rPr>
              <w:t>5. 亮度均匀性(校正后)≥99.5%；整屏色度均匀性±0.003Cx，Cy之内；刷新频率≥3840Hz，20Hz-7680Hz可调；</w:t>
            </w:r>
          </w:p>
          <w:p w14:paraId="2FA0907A">
            <w:pPr>
              <w:widowControl/>
              <w:adjustRightInd w:val="0"/>
              <w:snapToGrid w:val="0"/>
              <w:jc w:val="left"/>
              <w:rPr>
                <w:szCs w:val="21"/>
              </w:rPr>
            </w:pPr>
            <w:r>
              <w:rPr>
                <w:rFonts w:hint="eastAsia"/>
                <w:szCs w:val="21"/>
              </w:rPr>
              <w:t xml:space="preserve">6. 灰度：低亮高灰，100%亮度时，16bit灰度；70%亮度时，16bit灰度；50%亮度时，16bit灰度，20%亮度时，15bit灰度； </w:t>
            </w:r>
          </w:p>
          <w:p w14:paraId="0276C790">
            <w:pPr>
              <w:widowControl/>
              <w:adjustRightInd w:val="0"/>
              <w:snapToGrid w:val="0"/>
              <w:jc w:val="left"/>
              <w:rPr>
                <w:szCs w:val="21"/>
              </w:rPr>
            </w:pPr>
            <w:r>
              <w:rPr>
                <w:rFonts w:hint="eastAsia"/>
                <w:szCs w:val="21"/>
              </w:rPr>
              <w:t>7. 颜色校正：用户可以根据实际使用场合自主进行颜色校正，支持模块单点亮度及颜色校正；</w:t>
            </w:r>
          </w:p>
          <w:p w14:paraId="63D0BE92">
            <w:pPr>
              <w:widowControl/>
              <w:adjustRightInd w:val="0"/>
              <w:snapToGrid w:val="0"/>
              <w:jc w:val="left"/>
              <w:rPr>
                <w:b/>
                <w:bCs/>
                <w:szCs w:val="21"/>
                <w:u w:val="single"/>
              </w:rPr>
            </w:pPr>
            <w:r>
              <w:rPr>
                <w:rFonts w:hint="eastAsia"/>
                <w:b/>
                <w:bCs/>
                <w:szCs w:val="21"/>
                <w:u w:val="single"/>
              </w:rPr>
              <w:t>★8. 裸眼3D：支持裸眼3D技术；（提供第三方检测机构出具的检验报告复印件）</w:t>
            </w:r>
          </w:p>
          <w:p w14:paraId="62AF99BE">
            <w:pPr>
              <w:widowControl/>
              <w:numPr>
                <w:ilvl w:val="0"/>
                <w:numId w:val="6"/>
              </w:numPr>
              <w:adjustRightInd w:val="0"/>
              <w:snapToGrid w:val="0"/>
              <w:jc w:val="left"/>
              <w:rPr>
                <w:szCs w:val="21"/>
              </w:rPr>
            </w:pPr>
            <w:r>
              <w:rPr>
                <w:rFonts w:hint="eastAsia"/>
                <w:szCs w:val="21"/>
              </w:rPr>
              <w:t xml:space="preserve">最佳可视角：水平视角≥178度；垂直视角≥178度； </w:t>
            </w:r>
          </w:p>
          <w:p w14:paraId="19EF50F9">
            <w:pPr>
              <w:widowControl/>
              <w:adjustRightInd w:val="0"/>
              <w:snapToGrid w:val="0"/>
              <w:jc w:val="left"/>
              <w:rPr>
                <w:szCs w:val="21"/>
              </w:rPr>
            </w:pPr>
            <w:r>
              <w:rPr>
                <w:rFonts w:hint="eastAsia"/>
                <w:szCs w:val="21"/>
              </w:rPr>
              <w:t>10. 衰减率：≤5%（工作5年），≤10%（工作10年）；</w:t>
            </w:r>
          </w:p>
          <w:p w14:paraId="71CC2BFB">
            <w:pPr>
              <w:widowControl/>
              <w:adjustRightInd w:val="0"/>
              <w:snapToGrid w:val="0"/>
              <w:jc w:val="left"/>
              <w:rPr>
                <w:b/>
                <w:bCs/>
                <w:szCs w:val="21"/>
                <w:u w:val="single"/>
              </w:rPr>
            </w:pPr>
            <w:r>
              <w:rPr>
                <w:rFonts w:hint="eastAsia"/>
                <w:b/>
                <w:bCs/>
                <w:szCs w:val="21"/>
                <w:u w:val="single"/>
              </w:rPr>
              <w:t>★11. 具备跨屏融合功能、网络智能播控功能、三维视频管理功能；（需提供国家认可的第三方权威检测机构出具的检测报告复印件）</w:t>
            </w:r>
          </w:p>
          <w:p w14:paraId="66B1E1DA">
            <w:pPr>
              <w:widowControl/>
              <w:numPr>
                <w:ilvl w:val="0"/>
                <w:numId w:val="7"/>
              </w:numPr>
              <w:adjustRightInd w:val="0"/>
              <w:snapToGrid w:val="0"/>
              <w:jc w:val="left"/>
              <w:rPr>
                <w:szCs w:val="21"/>
              </w:rPr>
            </w:pPr>
            <w:r>
              <w:rPr>
                <w:rFonts w:hint="eastAsia"/>
                <w:szCs w:val="21"/>
              </w:rPr>
              <w:t xml:space="preserve">驱动芯片功能：具有列下消隐功能、倍频刷新率提升2/4/8倍、低灰偏色改善； </w:t>
            </w:r>
          </w:p>
          <w:p w14:paraId="19A769DE">
            <w:pPr>
              <w:widowControl/>
              <w:numPr>
                <w:ilvl w:val="0"/>
                <w:numId w:val="7"/>
              </w:numPr>
              <w:adjustRightInd w:val="0"/>
              <w:snapToGrid w:val="0"/>
              <w:jc w:val="left"/>
              <w:rPr>
                <w:szCs w:val="21"/>
              </w:rPr>
            </w:pPr>
            <w:r>
              <w:rPr>
                <w:rFonts w:hint="eastAsia"/>
                <w:szCs w:val="21"/>
              </w:rPr>
              <w:t>MTTR平均修复时间：≤5mins，可用度大于99.999%；MTBF平均无故障时间≥100000h；</w:t>
            </w:r>
          </w:p>
          <w:p w14:paraId="7BB5E091">
            <w:pPr>
              <w:widowControl/>
              <w:numPr>
                <w:ilvl w:val="0"/>
                <w:numId w:val="7"/>
              </w:numPr>
              <w:adjustRightInd w:val="0"/>
              <w:snapToGrid w:val="0"/>
              <w:jc w:val="left"/>
              <w:rPr>
                <w:szCs w:val="21"/>
              </w:rPr>
            </w:pPr>
            <w:r>
              <w:rPr>
                <w:rFonts w:hint="eastAsia"/>
                <w:szCs w:val="21"/>
              </w:rPr>
              <w:t>热成象检测：最大温度与平均温度相差在3°C以内（白屏老化50分钟转为普通视频老化状态）；（提供第三方检测机构出具的检验报告复印件）</w:t>
            </w:r>
            <w:r>
              <w:rPr>
                <w:rFonts w:hint="eastAsia"/>
                <w:szCs w:val="21"/>
              </w:rPr>
              <w:br w:type="textWrapping"/>
            </w:r>
            <w:r>
              <w:rPr>
                <w:rFonts w:hint="eastAsia"/>
                <w:szCs w:val="21"/>
              </w:rPr>
              <w:t xml:space="preserve">15. 摩尔纹抑制：消除掉 98%以上的拍摄摩尔纹现象(特定环境下可100%消除)； </w:t>
            </w:r>
          </w:p>
          <w:p w14:paraId="1B6DD6C7">
            <w:pPr>
              <w:widowControl/>
              <w:adjustRightInd w:val="0"/>
              <w:snapToGrid w:val="0"/>
              <w:jc w:val="left"/>
              <w:rPr>
                <w:szCs w:val="21"/>
              </w:rPr>
            </w:pPr>
            <w:r>
              <w:rPr>
                <w:rFonts w:hint="eastAsia"/>
                <w:szCs w:val="21"/>
              </w:rPr>
              <w:t>16.人眼视觉舒适度：人眼视觉舒适度（VICO指数）,0≤VICO≤1,满足CSA035.2-2017标准；</w:t>
            </w:r>
          </w:p>
          <w:p w14:paraId="20E8E471">
            <w:pPr>
              <w:widowControl/>
              <w:adjustRightInd w:val="0"/>
              <w:snapToGrid w:val="0"/>
              <w:jc w:val="left"/>
              <w:rPr>
                <w:szCs w:val="21"/>
              </w:rPr>
            </w:pPr>
            <w:r>
              <w:rPr>
                <w:rFonts w:hint="eastAsia"/>
                <w:szCs w:val="21"/>
              </w:rPr>
              <w:t>17.LED 模块：LED模块表面无塑胶结构件，采用电喷技术，模块表面墨色一致；（提供第三方检测机构出具的检验报告复印件）</w:t>
            </w:r>
          </w:p>
          <w:p w14:paraId="1C38161D">
            <w:pPr>
              <w:widowControl/>
              <w:adjustRightInd w:val="0"/>
              <w:snapToGrid w:val="0"/>
              <w:jc w:val="left"/>
              <w:rPr>
                <w:b/>
                <w:bCs/>
                <w:szCs w:val="21"/>
                <w:u w:val="single"/>
              </w:rPr>
            </w:pPr>
            <w:r>
              <w:rPr>
                <w:rFonts w:hint="eastAsia"/>
                <w:b/>
                <w:bCs/>
                <w:szCs w:val="21"/>
                <w:u w:val="single"/>
              </w:rPr>
              <w:t>★18. 具备LED屏幕电源监控功能（需提供国家认可的第三方权威检测机构出具的检测报告复印件）；配手机 APP 控制软件,软件上显示实时电能质量数据;可以设定电流、电压、温湿度、烟雾等报警值，可以合闸、拉闸。实时采集电力参数及电能质量数据，并通过网络发送至后台控制系统和手机 APP，以达到对整个配电系统的实时监控和运行质量的有效管理；（提供第三方检测机构出具的检验报告复印件）；</w:t>
            </w:r>
          </w:p>
          <w:p w14:paraId="43BC38CD">
            <w:pPr>
              <w:widowControl/>
              <w:numPr>
                <w:ilvl w:val="0"/>
                <w:numId w:val="8"/>
              </w:numPr>
              <w:adjustRightInd w:val="0"/>
              <w:snapToGrid w:val="0"/>
              <w:jc w:val="left"/>
              <w:rPr>
                <w:kern w:val="0"/>
                <w:szCs w:val="21"/>
              </w:rPr>
            </w:pPr>
            <w:r>
              <w:rPr>
                <w:rFonts w:hint="eastAsia"/>
                <w:szCs w:val="21"/>
              </w:rPr>
              <w:t>原厂三年质保服务。</w:t>
            </w:r>
          </w:p>
        </w:tc>
        <w:tc>
          <w:tcPr>
            <w:tcW w:w="1050" w:type="dxa"/>
            <w:vMerge w:val="restart"/>
            <w:tcBorders>
              <w:top w:val="single" w:color="000000" w:sz="4" w:space="0"/>
              <w:left w:val="single" w:color="000000" w:sz="4" w:space="0"/>
              <w:right w:val="single" w:color="000000" w:sz="4" w:space="0"/>
            </w:tcBorders>
            <w:noWrap/>
            <w:tcMar>
              <w:top w:w="15" w:type="dxa"/>
              <w:left w:w="15" w:type="dxa"/>
              <w:right w:w="15" w:type="dxa"/>
            </w:tcMar>
            <w:textDirection w:val="tbRlV"/>
            <w:vAlign w:val="center"/>
          </w:tcPr>
          <w:p w14:paraId="1A9B2E92">
            <w:pPr>
              <w:ind w:left="113" w:right="113"/>
              <w:jc w:val="center"/>
              <w:rPr>
                <w:rFonts w:ascii="宋体" w:hAnsi="宋体" w:cs="宋体"/>
                <w:color w:val="000000"/>
                <w:sz w:val="24"/>
              </w:rPr>
            </w:pPr>
            <w:r>
              <w:rPr>
                <w:rFonts w:hint="eastAsia"/>
              </w:rPr>
              <w:t>云南师范大学指定地点</w:t>
            </w:r>
          </w:p>
        </w:tc>
      </w:tr>
      <w:tr w14:paraId="36D071E8">
        <w:tblPrEx>
          <w:tblCellMar>
            <w:top w:w="0" w:type="dxa"/>
            <w:left w:w="0" w:type="dxa"/>
            <w:bottom w:w="0" w:type="dxa"/>
            <w:right w:w="0" w:type="dxa"/>
          </w:tblCellMar>
        </w:tblPrEx>
        <w:trPr>
          <w:trHeight w:val="285" w:hRule="atLeast"/>
        </w:trPr>
        <w:tc>
          <w:tcPr>
            <w:tcW w:w="435" w:type="dxa"/>
            <w:tcBorders>
              <w:top w:val="nil"/>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64D36EFC">
            <w:pPr>
              <w:jc w:val="center"/>
            </w:pPr>
            <w:r>
              <w:rPr>
                <w:rFonts w:hint="eastAsia"/>
              </w:rPr>
              <w:t>2</w:t>
            </w:r>
          </w:p>
        </w:tc>
        <w:tc>
          <w:tcPr>
            <w:tcW w:w="1812" w:type="dxa"/>
            <w:tcBorders>
              <w:top w:val="nil"/>
              <w:left w:val="single" w:color="auto" w:sz="4" w:space="0"/>
              <w:bottom w:val="single" w:color="auto" w:sz="4" w:space="0"/>
              <w:right w:val="single" w:color="auto" w:sz="4" w:space="0"/>
            </w:tcBorders>
            <w:tcMar>
              <w:top w:w="15" w:type="dxa"/>
              <w:left w:w="15" w:type="dxa"/>
              <w:right w:w="15" w:type="dxa"/>
            </w:tcMar>
            <w:vAlign w:val="center"/>
          </w:tcPr>
          <w:p w14:paraId="66B871BC">
            <w:pPr>
              <w:jc w:val="center"/>
            </w:pPr>
            <w:r>
              <w:rPr>
                <w:rFonts w:hint="eastAsia"/>
              </w:rPr>
              <w:t>左右主扩音箱</w:t>
            </w:r>
          </w:p>
        </w:tc>
        <w:tc>
          <w:tcPr>
            <w:tcW w:w="435" w:type="dxa"/>
            <w:tcBorders>
              <w:top w:val="nil"/>
              <w:left w:val="single" w:color="auto" w:sz="4" w:space="0"/>
              <w:bottom w:val="single" w:color="auto" w:sz="4" w:space="0"/>
              <w:right w:val="single" w:color="auto" w:sz="4" w:space="0"/>
            </w:tcBorders>
            <w:tcMar>
              <w:top w:w="15" w:type="dxa"/>
              <w:left w:w="15" w:type="dxa"/>
              <w:right w:w="15" w:type="dxa"/>
            </w:tcMar>
            <w:vAlign w:val="center"/>
          </w:tcPr>
          <w:p w14:paraId="08C73FCB">
            <w:pPr>
              <w:jc w:val="center"/>
            </w:pPr>
            <w:r>
              <w:rPr>
                <w:rFonts w:hint="eastAsia"/>
              </w:rPr>
              <w:t>2</w:t>
            </w:r>
          </w:p>
        </w:tc>
        <w:tc>
          <w:tcPr>
            <w:tcW w:w="540" w:type="dxa"/>
            <w:tcBorders>
              <w:top w:val="nil"/>
              <w:left w:val="nil"/>
              <w:bottom w:val="single" w:color="auto" w:sz="4" w:space="0"/>
              <w:right w:val="single" w:color="auto" w:sz="4" w:space="0"/>
            </w:tcBorders>
            <w:tcMar>
              <w:top w:w="15" w:type="dxa"/>
              <w:left w:w="15" w:type="dxa"/>
              <w:right w:w="15" w:type="dxa"/>
            </w:tcMar>
            <w:vAlign w:val="center"/>
          </w:tcPr>
          <w:p w14:paraId="0D054A59">
            <w:pPr>
              <w:jc w:val="center"/>
            </w:pPr>
            <w:r>
              <w:rPr>
                <w:rFonts w:hint="eastAsia"/>
              </w:rPr>
              <w:t>只</w:t>
            </w:r>
          </w:p>
        </w:tc>
        <w:tc>
          <w:tcPr>
            <w:tcW w:w="1245" w:type="dxa"/>
            <w:tcBorders>
              <w:top w:val="nil"/>
              <w:left w:val="single" w:color="auto" w:sz="4" w:space="0"/>
              <w:bottom w:val="single" w:color="auto" w:sz="4" w:space="0"/>
              <w:right w:val="single" w:color="auto" w:sz="4" w:space="0"/>
            </w:tcBorders>
            <w:tcMar>
              <w:top w:w="15" w:type="dxa"/>
              <w:left w:w="15" w:type="dxa"/>
              <w:right w:w="15" w:type="dxa"/>
            </w:tcMar>
            <w:vAlign w:val="center"/>
          </w:tcPr>
          <w:p w14:paraId="3752B713">
            <w:pPr>
              <w:jc w:val="center"/>
            </w:pPr>
            <w:r>
              <w:rPr>
                <w:rFonts w:hint="eastAsia"/>
              </w:rPr>
              <w:t>1600.00</w:t>
            </w:r>
          </w:p>
        </w:tc>
        <w:tc>
          <w:tcPr>
            <w:tcW w:w="9825" w:type="dxa"/>
            <w:tcBorders>
              <w:top w:val="nil"/>
              <w:left w:val="single" w:color="auto" w:sz="4" w:space="0"/>
              <w:bottom w:val="single" w:color="auto" w:sz="4" w:space="0"/>
              <w:right w:val="single" w:color="auto" w:sz="4" w:space="0"/>
            </w:tcBorders>
            <w:noWrap/>
            <w:tcMar>
              <w:top w:w="15" w:type="dxa"/>
              <w:left w:w="15" w:type="dxa"/>
              <w:right w:w="15" w:type="dxa"/>
            </w:tcMar>
            <w:vAlign w:val="center"/>
          </w:tcPr>
          <w:p w14:paraId="39596664">
            <w:pPr>
              <w:numPr>
                <w:ilvl w:val="0"/>
                <w:numId w:val="9"/>
              </w:numPr>
              <w:adjustRightInd w:val="0"/>
              <w:snapToGrid w:val="0"/>
              <w:rPr>
                <w:szCs w:val="21"/>
              </w:rPr>
            </w:pPr>
            <w:r>
              <w:rPr>
                <w:rFonts w:hint="eastAsia"/>
                <w:szCs w:val="21"/>
              </w:rPr>
              <w:t xml:space="preserve">不少于2个喇叭单元，低频单元≤10″，高频单元≤1.3″，且需采用倒相式设计； </w:t>
            </w:r>
          </w:p>
          <w:p w14:paraId="520396DB">
            <w:pPr>
              <w:numPr>
                <w:ilvl w:val="0"/>
                <w:numId w:val="9"/>
              </w:numPr>
              <w:adjustRightInd w:val="0"/>
              <w:snapToGrid w:val="0"/>
              <w:rPr>
                <w:szCs w:val="21"/>
              </w:rPr>
            </w:pPr>
            <w:r>
              <w:rPr>
                <w:rFonts w:hint="eastAsia"/>
                <w:szCs w:val="21"/>
              </w:rPr>
              <w:t xml:space="preserve">箱体采用圆弧造型设计，号角可旋转； </w:t>
            </w:r>
          </w:p>
          <w:p w14:paraId="3F11454C">
            <w:pPr>
              <w:numPr>
                <w:ilvl w:val="0"/>
                <w:numId w:val="9"/>
              </w:numPr>
              <w:adjustRightInd w:val="0"/>
              <w:snapToGrid w:val="0"/>
              <w:rPr>
                <w:szCs w:val="21"/>
              </w:rPr>
            </w:pPr>
            <w:r>
              <w:rPr>
                <w:rFonts w:hint="eastAsia"/>
                <w:szCs w:val="21"/>
              </w:rPr>
              <w:t xml:space="preserve">分频器采用LICC功率分频器； </w:t>
            </w:r>
          </w:p>
          <w:p w14:paraId="6F54B59B">
            <w:pPr>
              <w:numPr>
                <w:ilvl w:val="0"/>
                <w:numId w:val="9"/>
              </w:numPr>
              <w:adjustRightInd w:val="0"/>
              <w:snapToGrid w:val="0"/>
              <w:rPr>
                <w:szCs w:val="21"/>
              </w:rPr>
            </w:pPr>
            <w:r>
              <w:rPr>
                <w:rFonts w:hint="eastAsia"/>
                <w:szCs w:val="21"/>
              </w:rPr>
              <w:t xml:space="preserve">低音单元采用CCT技术； </w:t>
            </w:r>
          </w:p>
          <w:p w14:paraId="1C0E5BD0">
            <w:pPr>
              <w:numPr>
                <w:ilvl w:val="0"/>
                <w:numId w:val="9"/>
              </w:numPr>
              <w:adjustRightInd w:val="0"/>
              <w:snapToGrid w:val="0"/>
              <w:rPr>
                <w:szCs w:val="21"/>
              </w:rPr>
            </w:pPr>
            <w:r>
              <w:rPr>
                <w:rFonts w:hint="eastAsia"/>
                <w:szCs w:val="21"/>
              </w:rPr>
              <w:t xml:space="preserve">具备两种以上接线方式； </w:t>
            </w:r>
          </w:p>
          <w:p w14:paraId="19D2EA87">
            <w:pPr>
              <w:numPr>
                <w:ilvl w:val="0"/>
                <w:numId w:val="9"/>
              </w:numPr>
              <w:adjustRightInd w:val="0"/>
              <w:snapToGrid w:val="0"/>
              <w:rPr>
                <w:szCs w:val="21"/>
              </w:rPr>
            </w:pPr>
            <w:r>
              <w:rPr>
                <w:rFonts w:hint="eastAsia"/>
                <w:szCs w:val="21"/>
              </w:rPr>
              <w:t xml:space="preserve">额定功率≥350 W； </w:t>
            </w:r>
          </w:p>
          <w:p w14:paraId="2FE02106">
            <w:pPr>
              <w:numPr>
                <w:ilvl w:val="0"/>
                <w:numId w:val="9"/>
              </w:numPr>
              <w:adjustRightInd w:val="0"/>
              <w:snapToGrid w:val="0"/>
              <w:rPr>
                <w:szCs w:val="21"/>
              </w:rPr>
            </w:pPr>
            <w:r>
              <w:rPr>
                <w:rFonts w:hint="eastAsia"/>
                <w:szCs w:val="21"/>
              </w:rPr>
              <w:t xml:space="preserve">灵敏度≥97 dB； </w:t>
            </w:r>
          </w:p>
          <w:p w14:paraId="41A26303">
            <w:pPr>
              <w:numPr>
                <w:ilvl w:val="0"/>
                <w:numId w:val="9"/>
              </w:numPr>
              <w:adjustRightInd w:val="0"/>
              <w:snapToGrid w:val="0"/>
              <w:rPr>
                <w:szCs w:val="21"/>
              </w:rPr>
            </w:pPr>
            <w:r>
              <w:rPr>
                <w:rFonts w:hint="eastAsia"/>
                <w:szCs w:val="21"/>
              </w:rPr>
              <w:t xml:space="preserve">最大连续声压级≥122 dB ； </w:t>
            </w:r>
          </w:p>
          <w:p w14:paraId="42FC3D28">
            <w:pPr>
              <w:numPr>
                <w:ilvl w:val="0"/>
                <w:numId w:val="9"/>
              </w:numPr>
              <w:adjustRightInd w:val="0"/>
              <w:snapToGrid w:val="0"/>
              <w:rPr>
                <w:szCs w:val="21"/>
              </w:rPr>
            </w:pPr>
            <w:r>
              <w:rPr>
                <w:rFonts w:hint="eastAsia"/>
                <w:szCs w:val="21"/>
              </w:rPr>
              <w:t xml:space="preserve">指向特性(-6dB)：90°±2°H×70°±2°V； </w:t>
            </w:r>
          </w:p>
          <w:p w14:paraId="33ECFEF8">
            <w:pPr>
              <w:adjustRightInd w:val="0"/>
              <w:snapToGrid w:val="0"/>
              <w:rPr>
                <w:szCs w:val="21"/>
              </w:rPr>
            </w:pPr>
            <w:r>
              <w:rPr>
                <w:rFonts w:hint="eastAsia"/>
                <w:szCs w:val="21"/>
              </w:rPr>
              <w:t xml:space="preserve">10. 频率范围：下限≤65Hz，上限≥19.5KHz； </w:t>
            </w:r>
          </w:p>
          <w:p w14:paraId="2F0DC66C">
            <w:pPr>
              <w:adjustRightInd w:val="0"/>
              <w:snapToGrid w:val="0"/>
              <w:rPr>
                <w:szCs w:val="21"/>
              </w:rPr>
            </w:pPr>
            <w:r>
              <w:rPr>
                <w:rFonts w:hint="eastAsia"/>
                <w:szCs w:val="21"/>
              </w:rPr>
              <w:t>11. 提供该产品第三方检测机构出具的检验报告复印件。</w:t>
            </w:r>
          </w:p>
        </w:tc>
        <w:tc>
          <w:tcPr>
            <w:tcW w:w="1050" w:type="dxa"/>
            <w:vMerge w:val="continue"/>
            <w:tcBorders>
              <w:left w:val="single" w:color="000000" w:sz="4" w:space="0"/>
              <w:right w:val="single" w:color="000000" w:sz="4" w:space="0"/>
            </w:tcBorders>
            <w:noWrap/>
            <w:tcMar>
              <w:top w:w="15" w:type="dxa"/>
              <w:left w:w="15" w:type="dxa"/>
              <w:right w:w="15" w:type="dxa"/>
            </w:tcMar>
            <w:vAlign w:val="center"/>
          </w:tcPr>
          <w:p w14:paraId="49439CFF">
            <w:pPr>
              <w:jc w:val="center"/>
              <w:rPr>
                <w:rFonts w:ascii="宋体" w:hAnsi="宋体" w:cs="宋体"/>
                <w:color w:val="000000"/>
                <w:sz w:val="24"/>
              </w:rPr>
            </w:pPr>
          </w:p>
        </w:tc>
      </w:tr>
      <w:tr w14:paraId="1ECD7241">
        <w:tblPrEx>
          <w:tblCellMar>
            <w:top w:w="0" w:type="dxa"/>
            <w:left w:w="0" w:type="dxa"/>
            <w:bottom w:w="0" w:type="dxa"/>
            <w:right w:w="0" w:type="dxa"/>
          </w:tblCellMar>
        </w:tblPrEx>
        <w:trPr>
          <w:trHeight w:val="285" w:hRule="atLeast"/>
        </w:trPr>
        <w:tc>
          <w:tcPr>
            <w:tcW w:w="435" w:type="dxa"/>
            <w:tcBorders>
              <w:top w:val="nil"/>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1E44CB73">
            <w:pPr>
              <w:jc w:val="center"/>
            </w:pPr>
            <w:r>
              <w:rPr>
                <w:rFonts w:hint="eastAsia"/>
              </w:rPr>
              <w:t>3</w:t>
            </w:r>
          </w:p>
        </w:tc>
        <w:tc>
          <w:tcPr>
            <w:tcW w:w="1812" w:type="dxa"/>
            <w:tcBorders>
              <w:top w:val="nil"/>
              <w:left w:val="single" w:color="auto" w:sz="4" w:space="0"/>
              <w:bottom w:val="single" w:color="auto" w:sz="4" w:space="0"/>
              <w:right w:val="single" w:color="auto" w:sz="4" w:space="0"/>
            </w:tcBorders>
            <w:tcMar>
              <w:top w:w="15" w:type="dxa"/>
              <w:left w:w="15" w:type="dxa"/>
              <w:right w:w="15" w:type="dxa"/>
            </w:tcMar>
            <w:vAlign w:val="center"/>
          </w:tcPr>
          <w:p w14:paraId="475FA436">
            <w:pPr>
              <w:jc w:val="center"/>
            </w:pPr>
            <w:r>
              <w:rPr>
                <w:rFonts w:hint="eastAsia"/>
              </w:rPr>
              <w:t>左右主扩音箱功放</w:t>
            </w:r>
          </w:p>
        </w:tc>
        <w:tc>
          <w:tcPr>
            <w:tcW w:w="435" w:type="dxa"/>
            <w:tcBorders>
              <w:top w:val="nil"/>
              <w:left w:val="single" w:color="auto" w:sz="4" w:space="0"/>
              <w:bottom w:val="single" w:color="auto" w:sz="4" w:space="0"/>
              <w:right w:val="single" w:color="auto" w:sz="4" w:space="0"/>
            </w:tcBorders>
            <w:tcMar>
              <w:top w:w="15" w:type="dxa"/>
              <w:left w:w="15" w:type="dxa"/>
              <w:right w:w="15" w:type="dxa"/>
            </w:tcMar>
            <w:vAlign w:val="center"/>
          </w:tcPr>
          <w:p w14:paraId="20F87937">
            <w:pPr>
              <w:jc w:val="center"/>
            </w:pPr>
            <w:r>
              <w:rPr>
                <w:rFonts w:hint="eastAsia"/>
              </w:rPr>
              <w:t>1</w:t>
            </w:r>
          </w:p>
        </w:tc>
        <w:tc>
          <w:tcPr>
            <w:tcW w:w="540" w:type="dxa"/>
            <w:tcBorders>
              <w:top w:val="nil"/>
              <w:left w:val="nil"/>
              <w:bottom w:val="single" w:color="auto" w:sz="4" w:space="0"/>
              <w:right w:val="single" w:color="auto" w:sz="4" w:space="0"/>
            </w:tcBorders>
            <w:tcMar>
              <w:top w:w="15" w:type="dxa"/>
              <w:left w:w="15" w:type="dxa"/>
              <w:right w:w="15" w:type="dxa"/>
            </w:tcMar>
            <w:vAlign w:val="center"/>
          </w:tcPr>
          <w:p w14:paraId="7E8E6CF8">
            <w:pPr>
              <w:jc w:val="center"/>
            </w:pPr>
            <w:r>
              <w:rPr>
                <w:rFonts w:hint="eastAsia"/>
              </w:rPr>
              <w:t>台</w:t>
            </w:r>
          </w:p>
        </w:tc>
        <w:tc>
          <w:tcPr>
            <w:tcW w:w="1245" w:type="dxa"/>
            <w:tcBorders>
              <w:top w:val="nil"/>
              <w:left w:val="single" w:color="auto" w:sz="4" w:space="0"/>
              <w:bottom w:val="single" w:color="auto" w:sz="4" w:space="0"/>
              <w:right w:val="single" w:color="auto" w:sz="4" w:space="0"/>
            </w:tcBorders>
            <w:tcMar>
              <w:top w:w="15" w:type="dxa"/>
              <w:left w:w="15" w:type="dxa"/>
              <w:right w:w="15" w:type="dxa"/>
            </w:tcMar>
            <w:vAlign w:val="center"/>
          </w:tcPr>
          <w:p w14:paraId="7C0A16A8">
            <w:pPr>
              <w:jc w:val="center"/>
            </w:pPr>
            <w:r>
              <w:rPr>
                <w:rFonts w:hint="eastAsia"/>
              </w:rPr>
              <w:t>3000.00</w:t>
            </w:r>
          </w:p>
        </w:tc>
        <w:tc>
          <w:tcPr>
            <w:tcW w:w="9825" w:type="dxa"/>
            <w:tcBorders>
              <w:top w:val="nil"/>
              <w:left w:val="single" w:color="auto" w:sz="4" w:space="0"/>
              <w:bottom w:val="single" w:color="auto" w:sz="4" w:space="0"/>
              <w:right w:val="single" w:color="auto" w:sz="4" w:space="0"/>
            </w:tcBorders>
            <w:noWrap/>
            <w:tcMar>
              <w:top w:w="15" w:type="dxa"/>
              <w:left w:w="15" w:type="dxa"/>
              <w:right w:w="15" w:type="dxa"/>
            </w:tcMar>
            <w:vAlign w:val="center"/>
          </w:tcPr>
          <w:p w14:paraId="11BBED91">
            <w:pPr>
              <w:adjustRightInd w:val="0"/>
              <w:snapToGrid w:val="0"/>
              <w:rPr>
                <w:szCs w:val="21"/>
              </w:rPr>
            </w:pPr>
            <w:r>
              <w:rPr>
                <w:rFonts w:hint="eastAsia"/>
                <w:szCs w:val="21"/>
              </w:rPr>
              <w:t xml:space="preserve">1. 固定开关频率的ClassD功放； </w:t>
            </w:r>
          </w:p>
          <w:p w14:paraId="24AB84FF">
            <w:pPr>
              <w:adjustRightInd w:val="0"/>
              <w:snapToGrid w:val="0"/>
              <w:rPr>
                <w:szCs w:val="21"/>
              </w:rPr>
            </w:pPr>
            <w:r>
              <w:rPr>
                <w:rFonts w:hint="eastAsia"/>
                <w:szCs w:val="21"/>
              </w:rPr>
              <w:t>2. 采用主动功率因数校正技术及谐振软开关技术；</w:t>
            </w:r>
          </w:p>
          <w:p w14:paraId="4C1D6422">
            <w:pPr>
              <w:adjustRightInd w:val="0"/>
              <w:snapToGrid w:val="0"/>
              <w:rPr>
                <w:szCs w:val="21"/>
              </w:rPr>
            </w:pPr>
            <w:r>
              <w:rPr>
                <w:rFonts w:hint="eastAsia"/>
                <w:szCs w:val="21"/>
              </w:rPr>
              <w:t>3. 采用智能温控调速散热系统及功率智能恒定技术；（提供第三方检测机构出具的检验报告复印件）</w:t>
            </w:r>
          </w:p>
          <w:p w14:paraId="1DE4A3A7">
            <w:pPr>
              <w:adjustRightInd w:val="0"/>
              <w:snapToGrid w:val="0"/>
              <w:rPr>
                <w:szCs w:val="21"/>
              </w:rPr>
            </w:pPr>
            <w:r>
              <w:rPr>
                <w:rFonts w:hint="eastAsia"/>
                <w:szCs w:val="21"/>
              </w:rPr>
              <w:t xml:space="preserve">4. 隧道式冷风散热技术； </w:t>
            </w:r>
          </w:p>
          <w:p w14:paraId="2D4BC07E">
            <w:pPr>
              <w:adjustRightInd w:val="0"/>
              <w:snapToGrid w:val="0"/>
              <w:rPr>
                <w:szCs w:val="21"/>
              </w:rPr>
            </w:pPr>
            <w:r>
              <w:rPr>
                <w:rFonts w:hint="eastAsia"/>
                <w:szCs w:val="21"/>
              </w:rPr>
              <w:t xml:space="preserve">5. 其电源具备双环谐振及谐振软开关技术； </w:t>
            </w:r>
          </w:p>
          <w:p w14:paraId="2FF4D603">
            <w:pPr>
              <w:adjustRightInd w:val="0"/>
              <w:snapToGrid w:val="0"/>
              <w:rPr>
                <w:szCs w:val="21"/>
              </w:rPr>
            </w:pPr>
            <w:r>
              <w:rPr>
                <w:rFonts w:hint="eastAsia"/>
                <w:szCs w:val="21"/>
              </w:rPr>
              <w:t xml:space="preserve">6. 选用配对性能优异对管； </w:t>
            </w:r>
          </w:p>
          <w:p w14:paraId="31454B51">
            <w:pPr>
              <w:adjustRightInd w:val="0"/>
              <w:snapToGrid w:val="0"/>
              <w:rPr>
                <w:szCs w:val="21"/>
              </w:rPr>
            </w:pPr>
            <w:r>
              <w:rPr>
                <w:rFonts w:hint="eastAsia"/>
                <w:szCs w:val="21"/>
              </w:rPr>
              <w:t>7. 机载1602 OLED屏，实时显示设备温度、音量及模式</w:t>
            </w:r>
          </w:p>
          <w:p w14:paraId="4207A4B9">
            <w:pPr>
              <w:adjustRightInd w:val="0"/>
              <w:snapToGrid w:val="0"/>
              <w:rPr>
                <w:szCs w:val="21"/>
              </w:rPr>
            </w:pPr>
            <w:r>
              <w:rPr>
                <w:rFonts w:hint="eastAsia"/>
                <w:szCs w:val="21"/>
              </w:rPr>
              <w:t xml:space="preserve">8. 具备完善的保护功能，包含但不限于软启动保护、直流保护、短路保护、削波保护、失真保护、过热保护、过温保护等； </w:t>
            </w:r>
          </w:p>
          <w:p w14:paraId="606943CA">
            <w:pPr>
              <w:adjustRightInd w:val="0"/>
              <w:snapToGrid w:val="0"/>
              <w:rPr>
                <w:szCs w:val="21"/>
              </w:rPr>
            </w:pPr>
            <w:r>
              <w:rPr>
                <w:rFonts w:hint="eastAsia"/>
                <w:szCs w:val="21"/>
              </w:rPr>
              <w:t xml:space="preserve">9. 输出功率要求≥800W×2(8Ω)，1200W×2(4Ω)，1400W×2(2Ω) </w:t>
            </w:r>
          </w:p>
          <w:p w14:paraId="0DAB769F">
            <w:pPr>
              <w:adjustRightInd w:val="0"/>
              <w:snapToGrid w:val="0"/>
              <w:rPr>
                <w:szCs w:val="21"/>
              </w:rPr>
            </w:pPr>
            <w:r>
              <w:rPr>
                <w:rFonts w:hint="eastAsia"/>
                <w:szCs w:val="21"/>
              </w:rPr>
              <w:t xml:space="preserve">10. 支持桥接模式，且桥接输出功率≥2000W（1x8Ω），2400W（1x4Ω）； </w:t>
            </w:r>
          </w:p>
          <w:p w14:paraId="47CB0704">
            <w:pPr>
              <w:adjustRightInd w:val="0"/>
              <w:snapToGrid w:val="0"/>
              <w:rPr>
                <w:szCs w:val="21"/>
              </w:rPr>
            </w:pPr>
            <w:r>
              <w:rPr>
                <w:rFonts w:hint="eastAsia"/>
                <w:szCs w:val="21"/>
              </w:rPr>
              <w:t xml:space="preserve">11. 总谐波失真：&lt;0.5dB； </w:t>
            </w:r>
          </w:p>
          <w:p w14:paraId="3F0C93E5">
            <w:pPr>
              <w:adjustRightInd w:val="0"/>
              <w:snapToGrid w:val="0"/>
              <w:rPr>
                <w:szCs w:val="21"/>
              </w:rPr>
            </w:pPr>
            <w:r>
              <w:rPr>
                <w:rFonts w:hint="eastAsia"/>
                <w:szCs w:val="21"/>
              </w:rPr>
              <w:t>12. 频率响应：20Hzto20kHz,+/-1dB；</w:t>
            </w:r>
            <w:r>
              <w:rPr>
                <w:rFonts w:hint="eastAsia"/>
                <w:szCs w:val="21"/>
              </w:rPr>
              <w:br w:type="textWrapping"/>
            </w:r>
            <w:r>
              <w:rPr>
                <w:rFonts w:hint="eastAsia"/>
                <w:szCs w:val="21"/>
              </w:rPr>
              <w:t xml:space="preserve">13. 输入灵敏度可选：1.44V、0.775V； </w:t>
            </w:r>
          </w:p>
          <w:p w14:paraId="10C1401C">
            <w:pPr>
              <w:adjustRightInd w:val="0"/>
              <w:snapToGrid w:val="0"/>
              <w:rPr>
                <w:szCs w:val="21"/>
              </w:rPr>
            </w:pPr>
            <w:r>
              <w:rPr>
                <w:rFonts w:hint="eastAsia"/>
                <w:szCs w:val="21"/>
              </w:rPr>
              <w:t>14. 阻尼系数：&gt;500。</w:t>
            </w:r>
          </w:p>
        </w:tc>
        <w:tc>
          <w:tcPr>
            <w:tcW w:w="1050" w:type="dxa"/>
            <w:vMerge w:val="continue"/>
            <w:tcBorders>
              <w:left w:val="single" w:color="000000" w:sz="4" w:space="0"/>
              <w:right w:val="single" w:color="000000" w:sz="4" w:space="0"/>
            </w:tcBorders>
            <w:noWrap/>
            <w:tcMar>
              <w:top w:w="15" w:type="dxa"/>
              <w:left w:w="15" w:type="dxa"/>
              <w:right w:w="15" w:type="dxa"/>
            </w:tcMar>
            <w:vAlign w:val="center"/>
          </w:tcPr>
          <w:p w14:paraId="6A6817D5">
            <w:pPr>
              <w:jc w:val="center"/>
              <w:rPr>
                <w:rFonts w:ascii="宋体" w:hAnsi="宋体" w:cs="宋体"/>
                <w:color w:val="000000"/>
                <w:sz w:val="24"/>
              </w:rPr>
            </w:pPr>
          </w:p>
        </w:tc>
      </w:tr>
      <w:tr w14:paraId="51E6C1D2">
        <w:tblPrEx>
          <w:tblCellMar>
            <w:top w:w="0" w:type="dxa"/>
            <w:left w:w="0" w:type="dxa"/>
            <w:bottom w:w="0" w:type="dxa"/>
            <w:right w:w="0" w:type="dxa"/>
          </w:tblCellMar>
        </w:tblPrEx>
        <w:trPr>
          <w:trHeight w:val="285" w:hRule="atLeast"/>
        </w:trPr>
        <w:tc>
          <w:tcPr>
            <w:tcW w:w="435" w:type="dxa"/>
            <w:tcBorders>
              <w:top w:val="nil"/>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6BCA74D8">
            <w:pPr>
              <w:jc w:val="center"/>
            </w:pPr>
            <w:r>
              <w:rPr>
                <w:rFonts w:hint="eastAsia"/>
              </w:rPr>
              <w:t>4</w:t>
            </w:r>
          </w:p>
        </w:tc>
        <w:tc>
          <w:tcPr>
            <w:tcW w:w="1812" w:type="dxa"/>
            <w:tcBorders>
              <w:top w:val="nil"/>
              <w:left w:val="single" w:color="auto" w:sz="4" w:space="0"/>
              <w:bottom w:val="single" w:color="auto" w:sz="4" w:space="0"/>
              <w:right w:val="single" w:color="auto" w:sz="4" w:space="0"/>
            </w:tcBorders>
            <w:tcMar>
              <w:top w:w="15" w:type="dxa"/>
              <w:left w:w="15" w:type="dxa"/>
              <w:right w:w="15" w:type="dxa"/>
            </w:tcMar>
            <w:vAlign w:val="center"/>
          </w:tcPr>
          <w:p w14:paraId="76B392AE">
            <w:pPr>
              <w:jc w:val="center"/>
            </w:pPr>
            <w:r>
              <w:rPr>
                <w:rFonts w:hint="eastAsia"/>
              </w:rPr>
              <w:t>辅助音箱</w:t>
            </w:r>
          </w:p>
        </w:tc>
        <w:tc>
          <w:tcPr>
            <w:tcW w:w="435" w:type="dxa"/>
            <w:tcBorders>
              <w:top w:val="nil"/>
              <w:left w:val="single" w:color="auto" w:sz="4" w:space="0"/>
              <w:bottom w:val="single" w:color="auto" w:sz="4" w:space="0"/>
              <w:right w:val="single" w:color="auto" w:sz="4" w:space="0"/>
            </w:tcBorders>
            <w:tcMar>
              <w:top w:w="15" w:type="dxa"/>
              <w:left w:w="15" w:type="dxa"/>
              <w:right w:w="15" w:type="dxa"/>
            </w:tcMar>
            <w:vAlign w:val="center"/>
          </w:tcPr>
          <w:p w14:paraId="41B00E18">
            <w:pPr>
              <w:jc w:val="center"/>
            </w:pPr>
            <w:r>
              <w:rPr>
                <w:rFonts w:hint="eastAsia"/>
              </w:rPr>
              <w:t>4</w:t>
            </w:r>
          </w:p>
        </w:tc>
        <w:tc>
          <w:tcPr>
            <w:tcW w:w="540" w:type="dxa"/>
            <w:tcBorders>
              <w:top w:val="nil"/>
              <w:left w:val="nil"/>
              <w:bottom w:val="single" w:color="auto" w:sz="4" w:space="0"/>
              <w:right w:val="single" w:color="auto" w:sz="4" w:space="0"/>
            </w:tcBorders>
            <w:tcMar>
              <w:top w:w="15" w:type="dxa"/>
              <w:left w:w="15" w:type="dxa"/>
              <w:right w:w="15" w:type="dxa"/>
            </w:tcMar>
            <w:vAlign w:val="center"/>
          </w:tcPr>
          <w:p w14:paraId="466438FD">
            <w:pPr>
              <w:jc w:val="center"/>
            </w:pPr>
            <w:r>
              <w:rPr>
                <w:rFonts w:hint="eastAsia"/>
              </w:rPr>
              <w:t>只</w:t>
            </w:r>
          </w:p>
        </w:tc>
        <w:tc>
          <w:tcPr>
            <w:tcW w:w="1245" w:type="dxa"/>
            <w:tcBorders>
              <w:top w:val="nil"/>
              <w:left w:val="single" w:color="auto" w:sz="4" w:space="0"/>
              <w:bottom w:val="single" w:color="auto" w:sz="4" w:space="0"/>
              <w:right w:val="single" w:color="auto" w:sz="4" w:space="0"/>
            </w:tcBorders>
            <w:tcMar>
              <w:top w:w="15" w:type="dxa"/>
              <w:left w:w="15" w:type="dxa"/>
              <w:right w:w="15" w:type="dxa"/>
            </w:tcMar>
            <w:vAlign w:val="center"/>
          </w:tcPr>
          <w:p w14:paraId="6EAA7784">
            <w:pPr>
              <w:jc w:val="center"/>
            </w:pPr>
            <w:r>
              <w:rPr>
                <w:rFonts w:hint="eastAsia"/>
              </w:rPr>
              <w:t>1250.00</w:t>
            </w:r>
          </w:p>
        </w:tc>
        <w:tc>
          <w:tcPr>
            <w:tcW w:w="9825" w:type="dxa"/>
            <w:tcBorders>
              <w:top w:val="nil"/>
              <w:left w:val="single" w:color="auto" w:sz="4" w:space="0"/>
              <w:bottom w:val="single" w:color="auto" w:sz="4" w:space="0"/>
              <w:right w:val="single" w:color="auto" w:sz="4" w:space="0"/>
            </w:tcBorders>
            <w:noWrap/>
            <w:tcMar>
              <w:top w:w="15" w:type="dxa"/>
              <w:left w:w="15" w:type="dxa"/>
              <w:right w:w="15" w:type="dxa"/>
            </w:tcMar>
            <w:vAlign w:val="center"/>
          </w:tcPr>
          <w:p w14:paraId="378B22B4">
            <w:pPr>
              <w:numPr>
                <w:ilvl w:val="0"/>
                <w:numId w:val="10"/>
              </w:numPr>
              <w:adjustRightInd w:val="0"/>
              <w:snapToGrid w:val="0"/>
              <w:rPr>
                <w:szCs w:val="21"/>
              </w:rPr>
            </w:pPr>
            <w:r>
              <w:rPr>
                <w:rFonts w:hint="eastAsia"/>
                <w:szCs w:val="21"/>
              </w:rPr>
              <w:t xml:space="preserve">不少于2个喇叭单元，低频单元≤8″，高频单元≤1.3″，且需采用倒相式设计； </w:t>
            </w:r>
          </w:p>
          <w:p w14:paraId="14C16F82">
            <w:pPr>
              <w:numPr>
                <w:ilvl w:val="0"/>
                <w:numId w:val="10"/>
              </w:numPr>
              <w:adjustRightInd w:val="0"/>
              <w:snapToGrid w:val="0"/>
              <w:rPr>
                <w:szCs w:val="21"/>
              </w:rPr>
            </w:pPr>
            <w:r>
              <w:rPr>
                <w:rFonts w:hint="eastAsia"/>
                <w:szCs w:val="21"/>
              </w:rPr>
              <w:t>箱体采用圆弧造型设计，号角可旋转；</w:t>
            </w:r>
          </w:p>
          <w:p w14:paraId="7D7D195C">
            <w:pPr>
              <w:adjustRightInd w:val="0"/>
              <w:snapToGrid w:val="0"/>
              <w:rPr>
                <w:b/>
                <w:bCs/>
                <w:szCs w:val="21"/>
                <w:u w:val="single"/>
              </w:rPr>
            </w:pPr>
            <w:r>
              <w:rPr>
                <w:rFonts w:hint="eastAsia"/>
                <w:szCs w:val="21"/>
              </w:rPr>
              <w:t xml:space="preserve">3. 分频器采用LICC功率分频器； </w:t>
            </w:r>
          </w:p>
          <w:p w14:paraId="42C42731">
            <w:pPr>
              <w:adjustRightInd w:val="0"/>
              <w:snapToGrid w:val="0"/>
              <w:rPr>
                <w:szCs w:val="21"/>
              </w:rPr>
            </w:pPr>
            <w:r>
              <w:rPr>
                <w:rFonts w:hint="eastAsia"/>
                <w:szCs w:val="21"/>
              </w:rPr>
              <w:t xml:space="preserve">4. 低音单元采用CCT技术； </w:t>
            </w:r>
          </w:p>
          <w:p w14:paraId="2132DFE4">
            <w:pPr>
              <w:adjustRightInd w:val="0"/>
              <w:snapToGrid w:val="0"/>
              <w:rPr>
                <w:szCs w:val="21"/>
              </w:rPr>
            </w:pPr>
            <w:r>
              <w:rPr>
                <w:rFonts w:hint="eastAsia"/>
                <w:szCs w:val="21"/>
              </w:rPr>
              <w:t>5. 产品自带折边式加强型U型支架，并具备两种以上接线方式；</w:t>
            </w:r>
          </w:p>
          <w:p w14:paraId="70F14212">
            <w:pPr>
              <w:adjustRightInd w:val="0"/>
              <w:snapToGrid w:val="0"/>
              <w:rPr>
                <w:szCs w:val="21"/>
              </w:rPr>
            </w:pPr>
            <w:r>
              <w:rPr>
                <w:rFonts w:hint="eastAsia"/>
                <w:szCs w:val="21"/>
              </w:rPr>
              <w:t xml:space="preserve">6. 额定功率≥250 W； </w:t>
            </w:r>
          </w:p>
          <w:p w14:paraId="7B77DD9E">
            <w:pPr>
              <w:adjustRightInd w:val="0"/>
              <w:snapToGrid w:val="0"/>
              <w:rPr>
                <w:szCs w:val="21"/>
              </w:rPr>
            </w:pPr>
            <w:r>
              <w:rPr>
                <w:rFonts w:hint="eastAsia"/>
                <w:szCs w:val="21"/>
              </w:rPr>
              <w:t>7. 灵敏度≥97 dB；</w:t>
            </w:r>
          </w:p>
          <w:p w14:paraId="4088BFDE">
            <w:pPr>
              <w:adjustRightInd w:val="0"/>
              <w:snapToGrid w:val="0"/>
              <w:rPr>
                <w:szCs w:val="21"/>
              </w:rPr>
            </w:pPr>
            <w:r>
              <w:rPr>
                <w:rFonts w:hint="eastAsia"/>
                <w:szCs w:val="21"/>
              </w:rPr>
              <w:t>8. 最大连续声压级≥121 dB ；</w:t>
            </w:r>
          </w:p>
          <w:p w14:paraId="2CAD5141">
            <w:pPr>
              <w:adjustRightInd w:val="0"/>
              <w:snapToGrid w:val="0"/>
              <w:rPr>
                <w:szCs w:val="21"/>
              </w:rPr>
            </w:pPr>
            <w:r>
              <w:rPr>
                <w:rFonts w:hint="eastAsia"/>
                <w:szCs w:val="21"/>
              </w:rPr>
              <w:t xml:space="preserve">9. 指向特性(-6dB)：100°±2°H×60°±2°V； </w:t>
            </w:r>
          </w:p>
          <w:p w14:paraId="0B44473E">
            <w:pPr>
              <w:adjustRightInd w:val="0"/>
              <w:snapToGrid w:val="0"/>
              <w:rPr>
                <w:szCs w:val="21"/>
              </w:rPr>
            </w:pPr>
            <w:r>
              <w:rPr>
                <w:rFonts w:hint="eastAsia"/>
                <w:szCs w:val="21"/>
              </w:rPr>
              <w:t xml:space="preserve">10. 频率范围：下限≤80Hz，上限≥19.5KHz； </w:t>
            </w:r>
          </w:p>
          <w:p w14:paraId="49E35E32">
            <w:pPr>
              <w:adjustRightInd w:val="0"/>
              <w:snapToGrid w:val="0"/>
              <w:rPr>
                <w:szCs w:val="21"/>
              </w:rPr>
            </w:pPr>
            <w:r>
              <w:rPr>
                <w:rFonts w:hint="eastAsia"/>
                <w:szCs w:val="21"/>
              </w:rPr>
              <w:t>11. 提供该产品第三方检测机构出具的检验报告复印件。</w:t>
            </w:r>
          </w:p>
        </w:tc>
        <w:tc>
          <w:tcPr>
            <w:tcW w:w="1050" w:type="dxa"/>
            <w:vMerge w:val="continue"/>
            <w:tcBorders>
              <w:left w:val="single" w:color="000000" w:sz="4" w:space="0"/>
              <w:right w:val="single" w:color="000000" w:sz="4" w:space="0"/>
            </w:tcBorders>
            <w:noWrap/>
            <w:tcMar>
              <w:top w:w="15" w:type="dxa"/>
              <w:left w:w="15" w:type="dxa"/>
              <w:right w:w="15" w:type="dxa"/>
            </w:tcMar>
            <w:vAlign w:val="center"/>
          </w:tcPr>
          <w:p w14:paraId="242CB9B4">
            <w:pPr>
              <w:jc w:val="center"/>
              <w:rPr>
                <w:rFonts w:ascii="宋体" w:hAnsi="宋体" w:cs="宋体"/>
                <w:color w:val="000000"/>
                <w:sz w:val="24"/>
              </w:rPr>
            </w:pPr>
          </w:p>
        </w:tc>
      </w:tr>
      <w:tr w14:paraId="1126C020">
        <w:tblPrEx>
          <w:tblCellMar>
            <w:top w:w="0" w:type="dxa"/>
            <w:left w:w="0" w:type="dxa"/>
            <w:bottom w:w="0" w:type="dxa"/>
            <w:right w:w="0" w:type="dxa"/>
          </w:tblCellMar>
        </w:tblPrEx>
        <w:trPr>
          <w:trHeight w:val="285" w:hRule="atLeast"/>
        </w:trPr>
        <w:tc>
          <w:tcPr>
            <w:tcW w:w="435" w:type="dxa"/>
            <w:tcBorders>
              <w:top w:val="nil"/>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3E2DCE9A">
            <w:pPr>
              <w:jc w:val="center"/>
            </w:pPr>
            <w:r>
              <w:rPr>
                <w:rFonts w:hint="eastAsia"/>
              </w:rPr>
              <w:t>5</w:t>
            </w:r>
          </w:p>
        </w:tc>
        <w:tc>
          <w:tcPr>
            <w:tcW w:w="1812" w:type="dxa"/>
            <w:tcBorders>
              <w:top w:val="nil"/>
              <w:left w:val="single" w:color="auto" w:sz="4" w:space="0"/>
              <w:bottom w:val="single" w:color="auto" w:sz="4" w:space="0"/>
              <w:right w:val="single" w:color="auto" w:sz="4" w:space="0"/>
            </w:tcBorders>
            <w:tcMar>
              <w:top w:w="15" w:type="dxa"/>
              <w:left w:w="15" w:type="dxa"/>
              <w:right w:w="15" w:type="dxa"/>
            </w:tcMar>
            <w:vAlign w:val="center"/>
          </w:tcPr>
          <w:p w14:paraId="4864AEE5">
            <w:pPr>
              <w:jc w:val="center"/>
            </w:pPr>
            <w:r>
              <w:rPr>
                <w:rFonts w:hint="eastAsia"/>
              </w:rPr>
              <w:t>辅助音箱功放</w:t>
            </w:r>
          </w:p>
        </w:tc>
        <w:tc>
          <w:tcPr>
            <w:tcW w:w="435" w:type="dxa"/>
            <w:tcBorders>
              <w:top w:val="nil"/>
              <w:left w:val="single" w:color="auto" w:sz="4" w:space="0"/>
              <w:bottom w:val="single" w:color="auto" w:sz="4" w:space="0"/>
              <w:right w:val="single" w:color="auto" w:sz="4" w:space="0"/>
            </w:tcBorders>
            <w:tcMar>
              <w:top w:w="15" w:type="dxa"/>
              <w:left w:w="15" w:type="dxa"/>
              <w:right w:w="15" w:type="dxa"/>
            </w:tcMar>
            <w:vAlign w:val="center"/>
          </w:tcPr>
          <w:p w14:paraId="31E3AF42">
            <w:pPr>
              <w:jc w:val="center"/>
            </w:pPr>
            <w:r>
              <w:rPr>
                <w:rFonts w:hint="eastAsia"/>
              </w:rPr>
              <w:t>2</w:t>
            </w:r>
          </w:p>
        </w:tc>
        <w:tc>
          <w:tcPr>
            <w:tcW w:w="540" w:type="dxa"/>
            <w:tcBorders>
              <w:top w:val="nil"/>
              <w:left w:val="nil"/>
              <w:bottom w:val="single" w:color="auto" w:sz="4" w:space="0"/>
              <w:right w:val="single" w:color="auto" w:sz="4" w:space="0"/>
            </w:tcBorders>
            <w:tcMar>
              <w:top w:w="15" w:type="dxa"/>
              <w:left w:w="15" w:type="dxa"/>
              <w:right w:w="15" w:type="dxa"/>
            </w:tcMar>
            <w:vAlign w:val="center"/>
          </w:tcPr>
          <w:p w14:paraId="4B2C1075">
            <w:pPr>
              <w:jc w:val="center"/>
            </w:pPr>
            <w:r>
              <w:rPr>
                <w:rFonts w:hint="eastAsia"/>
              </w:rPr>
              <w:t>台</w:t>
            </w:r>
          </w:p>
        </w:tc>
        <w:tc>
          <w:tcPr>
            <w:tcW w:w="1245" w:type="dxa"/>
            <w:tcBorders>
              <w:top w:val="nil"/>
              <w:left w:val="single" w:color="auto" w:sz="4" w:space="0"/>
              <w:bottom w:val="single" w:color="auto" w:sz="4" w:space="0"/>
              <w:right w:val="single" w:color="auto" w:sz="4" w:space="0"/>
            </w:tcBorders>
            <w:tcMar>
              <w:top w:w="15" w:type="dxa"/>
              <w:left w:w="15" w:type="dxa"/>
              <w:right w:w="15" w:type="dxa"/>
            </w:tcMar>
            <w:vAlign w:val="center"/>
          </w:tcPr>
          <w:p w14:paraId="6EE64085">
            <w:pPr>
              <w:jc w:val="center"/>
            </w:pPr>
            <w:r>
              <w:rPr>
                <w:rFonts w:hint="eastAsia"/>
              </w:rPr>
              <w:t>1950.00</w:t>
            </w:r>
          </w:p>
        </w:tc>
        <w:tc>
          <w:tcPr>
            <w:tcW w:w="9825" w:type="dxa"/>
            <w:tcBorders>
              <w:top w:val="nil"/>
              <w:left w:val="single" w:color="auto" w:sz="4" w:space="0"/>
              <w:bottom w:val="single" w:color="auto" w:sz="4" w:space="0"/>
              <w:right w:val="single" w:color="auto" w:sz="4" w:space="0"/>
            </w:tcBorders>
            <w:noWrap/>
            <w:tcMar>
              <w:top w:w="15" w:type="dxa"/>
              <w:left w:w="15" w:type="dxa"/>
              <w:right w:w="15" w:type="dxa"/>
            </w:tcMar>
            <w:vAlign w:val="center"/>
          </w:tcPr>
          <w:p w14:paraId="2363F542">
            <w:pPr>
              <w:adjustRightInd w:val="0"/>
              <w:snapToGrid w:val="0"/>
              <w:rPr>
                <w:szCs w:val="21"/>
              </w:rPr>
            </w:pPr>
            <w:r>
              <w:rPr>
                <w:rFonts w:hint="eastAsia"/>
                <w:szCs w:val="21"/>
              </w:rPr>
              <w:t>1. 固定开关频率的ClassD功放；</w:t>
            </w:r>
          </w:p>
          <w:p w14:paraId="53757C5D">
            <w:pPr>
              <w:adjustRightInd w:val="0"/>
              <w:snapToGrid w:val="0"/>
              <w:rPr>
                <w:szCs w:val="21"/>
              </w:rPr>
            </w:pPr>
            <w:r>
              <w:rPr>
                <w:rFonts w:hint="eastAsia"/>
                <w:szCs w:val="21"/>
              </w:rPr>
              <w:br w:type="page"/>
            </w:r>
            <w:r>
              <w:rPr>
                <w:rFonts w:hint="eastAsia"/>
                <w:szCs w:val="21"/>
              </w:rPr>
              <w:t>2. 采用主动功率因数校正技术及谐振软开关技术；</w:t>
            </w:r>
          </w:p>
          <w:p w14:paraId="238B034C">
            <w:pPr>
              <w:adjustRightInd w:val="0"/>
              <w:snapToGrid w:val="0"/>
              <w:rPr>
                <w:szCs w:val="21"/>
              </w:rPr>
            </w:pPr>
            <w:r>
              <w:rPr>
                <w:rFonts w:hint="eastAsia"/>
                <w:szCs w:val="21"/>
              </w:rPr>
              <w:br w:type="page"/>
            </w:r>
            <w:r>
              <w:rPr>
                <w:rFonts w:hint="eastAsia"/>
                <w:szCs w:val="21"/>
              </w:rPr>
              <w:t>3. 采用智能温控调速散热系统及功率智能恒定技术；</w:t>
            </w:r>
          </w:p>
          <w:p w14:paraId="3A4FBCC0">
            <w:pPr>
              <w:adjustRightInd w:val="0"/>
              <w:snapToGrid w:val="0"/>
              <w:rPr>
                <w:szCs w:val="21"/>
              </w:rPr>
            </w:pPr>
            <w:r>
              <w:rPr>
                <w:rFonts w:hint="eastAsia"/>
                <w:szCs w:val="21"/>
              </w:rPr>
              <w:br w:type="page"/>
            </w:r>
            <w:r>
              <w:rPr>
                <w:rFonts w:hint="eastAsia"/>
                <w:szCs w:val="21"/>
              </w:rPr>
              <w:t>4. 隧道式冷风散热技术；</w:t>
            </w:r>
          </w:p>
          <w:p w14:paraId="4D85556D">
            <w:pPr>
              <w:adjustRightInd w:val="0"/>
              <w:snapToGrid w:val="0"/>
              <w:rPr>
                <w:szCs w:val="21"/>
              </w:rPr>
            </w:pPr>
            <w:r>
              <w:rPr>
                <w:rFonts w:hint="eastAsia"/>
                <w:szCs w:val="21"/>
              </w:rPr>
              <w:br w:type="page"/>
            </w:r>
            <w:r>
              <w:rPr>
                <w:rFonts w:hint="eastAsia"/>
                <w:szCs w:val="21"/>
              </w:rPr>
              <w:t>5. 其电源具备双环谐振及谐振软开关技术；</w:t>
            </w:r>
          </w:p>
          <w:p w14:paraId="7225AE25">
            <w:pPr>
              <w:adjustRightInd w:val="0"/>
              <w:snapToGrid w:val="0"/>
              <w:rPr>
                <w:szCs w:val="21"/>
              </w:rPr>
            </w:pPr>
            <w:r>
              <w:rPr>
                <w:rFonts w:hint="eastAsia"/>
                <w:szCs w:val="21"/>
              </w:rPr>
              <w:br w:type="page"/>
            </w:r>
            <w:r>
              <w:rPr>
                <w:rFonts w:hint="eastAsia"/>
                <w:szCs w:val="21"/>
              </w:rPr>
              <w:t>6. 选用配对性能优异对管；</w:t>
            </w:r>
          </w:p>
          <w:p w14:paraId="3C21457D">
            <w:pPr>
              <w:adjustRightInd w:val="0"/>
              <w:snapToGrid w:val="0"/>
              <w:rPr>
                <w:szCs w:val="21"/>
              </w:rPr>
            </w:pPr>
            <w:r>
              <w:rPr>
                <w:rFonts w:hint="eastAsia"/>
                <w:szCs w:val="21"/>
              </w:rPr>
              <w:br w:type="page"/>
            </w:r>
            <w:r>
              <w:rPr>
                <w:rFonts w:hint="eastAsia"/>
                <w:szCs w:val="21"/>
              </w:rPr>
              <w:t>7. 机载1602 OLED屏，实时显示设备温度、音量及模式；</w:t>
            </w:r>
          </w:p>
          <w:p w14:paraId="4057FA09">
            <w:pPr>
              <w:adjustRightInd w:val="0"/>
              <w:snapToGrid w:val="0"/>
              <w:rPr>
                <w:szCs w:val="21"/>
              </w:rPr>
            </w:pPr>
            <w:r>
              <w:rPr>
                <w:rFonts w:hint="eastAsia"/>
                <w:szCs w:val="21"/>
              </w:rPr>
              <w:br w:type="page"/>
            </w:r>
            <w:r>
              <w:rPr>
                <w:rFonts w:hint="eastAsia"/>
                <w:szCs w:val="21"/>
              </w:rPr>
              <w:t>8. 具备完善的保护功能，包含但不限于软启动保护、直流保护、短路保护、削波保护、失真保护、过热保护、过温保护等；</w:t>
            </w:r>
          </w:p>
          <w:p w14:paraId="0AA870BD">
            <w:pPr>
              <w:adjustRightInd w:val="0"/>
              <w:snapToGrid w:val="0"/>
              <w:rPr>
                <w:szCs w:val="21"/>
              </w:rPr>
            </w:pPr>
            <w:r>
              <w:rPr>
                <w:rFonts w:hint="eastAsia"/>
                <w:szCs w:val="21"/>
              </w:rPr>
              <w:br w:type="page"/>
            </w:r>
            <w:r>
              <w:rPr>
                <w:rFonts w:hint="eastAsia"/>
                <w:szCs w:val="21"/>
              </w:rPr>
              <w:t>9. 输出功率要求≥400W×2(8Ω)，600W×2(4Ω)，700W×2(2Ω)；</w:t>
            </w:r>
          </w:p>
          <w:p w14:paraId="6E6B52E7">
            <w:pPr>
              <w:adjustRightInd w:val="0"/>
              <w:snapToGrid w:val="0"/>
              <w:rPr>
                <w:szCs w:val="21"/>
              </w:rPr>
            </w:pPr>
            <w:r>
              <w:rPr>
                <w:rFonts w:hint="eastAsia"/>
                <w:szCs w:val="21"/>
              </w:rPr>
              <w:br w:type="page"/>
            </w:r>
            <w:r>
              <w:rPr>
                <w:rFonts w:hint="eastAsia"/>
                <w:szCs w:val="21"/>
              </w:rPr>
              <w:t>10. 支持桥接模式，且桥接输出功率≥1000W（1x8Ω），1200W（1x4Ω）；</w:t>
            </w:r>
          </w:p>
          <w:p w14:paraId="11C58E86">
            <w:pPr>
              <w:adjustRightInd w:val="0"/>
              <w:snapToGrid w:val="0"/>
              <w:rPr>
                <w:szCs w:val="21"/>
              </w:rPr>
            </w:pPr>
            <w:r>
              <w:rPr>
                <w:rFonts w:hint="eastAsia"/>
                <w:szCs w:val="21"/>
              </w:rPr>
              <w:br w:type="page"/>
            </w:r>
            <w:r>
              <w:rPr>
                <w:rFonts w:hint="eastAsia"/>
                <w:szCs w:val="21"/>
              </w:rPr>
              <w:t>11. 总谐波失真：&lt;0.5dB；</w:t>
            </w:r>
          </w:p>
          <w:p w14:paraId="0F92FF3F">
            <w:pPr>
              <w:adjustRightInd w:val="0"/>
              <w:snapToGrid w:val="0"/>
              <w:rPr>
                <w:szCs w:val="21"/>
              </w:rPr>
            </w:pPr>
            <w:r>
              <w:rPr>
                <w:rFonts w:hint="eastAsia"/>
                <w:szCs w:val="21"/>
              </w:rPr>
              <w:br w:type="page"/>
            </w:r>
            <w:r>
              <w:rPr>
                <w:rFonts w:hint="eastAsia"/>
                <w:szCs w:val="21"/>
              </w:rPr>
              <w:t>12. 频率响应：20Hzto20kHz,+/-1dB；</w:t>
            </w:r>
          </w:p>
          <w:p w14:paraId="50ACEE5F">
            <w:pPr>
              <w:adjustRightInd w:val="0"/>
              <w:snapToGrid w:val="0"/>
              <w:rPr>
                <w:szCs w:val="21"/>
              </w:rPr>
            </w:pPr>
            <w:r>
              <w:rPr>
                <w:rFonts w:hint="eastAsia"/>
                <w:szCs w:val="21"/>
              </w:rPr>
              <w:br w:type="page"/>
            </w:r>
            <w:r>
              <w:rPr>
                <w:rFonts w:hint="eastAsia"/>
                <w:szCs w:val="21"/>
              </w:rPr>
              <w:t>13. 输入灵敏度可选：1.44V、0.775V；</w:t>
            </w:r>
          </w:p>
          <w:p w14:paraId="29D7924F">
            <w:pPr>
              <w:adjustRightInd w:val="0"/>
              <w:snapToGrid w:val="0"/>
              <w:rPr>
                <w:szCs w:val="21"/>
              </w:rPr>
            </w:pPr>
            <w:r>
              <w:rPr>
                <w:rFonts w:hint="eastAsia"/>
                <w:szCs w:val="21"/>
              </w:rPr>
              <w:br w:type="page"/>
            </w:r>
            <w:r>
              <w:rPr>
                <w:rFonts w:hint="eastAsia"/>
                <w:szCs w:val="21"/>
              </w:rPr>
              <w:t>14. 阻尼系数：&gt;500；</w:t>
            </w:r>
            <w:r>
              <w:rPr>
                <w:rFonts w:hint="eastAsia"/>
                <w:szCs w:val="21"/>
              </w:rPr>
              <w:br w:type="page"/>
            </w:r>
          </w:p>
        </w:tc>
        <w:tc>
          <w:tcPr>
            <w:tcW w:w="1050" w:type="dxa"/>
            <w:vMerge w:val="continue"/>
            <w:tcBorders>
              <w:left w:val="single" w:color="000000" w:sz="4" w:space="0"/>
              <w:right w:val="single" w:color="000000" w:sz="4" w:space="0"/>
            </w:tcBorders>
            <w:noWrap/>
            <w:tcMar>
              <w:top w:w="15" w:type="dxa"/>
              <w:left w:w="15" w:type="dxa"/>
              <w:right w:w="15" w:type="dxa"/>
            </w:tcMar>
            <w:vAlign w:val="center"/>
          </w:tcPr>
          <w:p w14:paraId="47E77B03">
            <w:pPr>
              <w:jc w:val="center"/>
              <w:rPr>
                <w:rFonts w:ascii="宋体" w:hAnsi="宋体" w:cs="宋体"/>
                <w:color w:val="000000"/>
                <w:sz w:val="24"/>
              </w:rPr>
            </w:pPr>
          </w:p>
        </w:tc>
      </w:tr>
      <w:tr w14:paraId="046E90BC">
        <w:tblPrEx>
          <w:tblCellMar>
            <w:top w:w="0" w:type="dxa"/>
            <w:left w:w="0" w:type="dxa"/>
            <w:bottom w:w="0" w:type="dxa"/>
            <w:right w:w="0" w:type="dxa"/>
          </w:tblCellMar>
        </w:tblPrEx>
        <w:trPr>
          <w:trHeight w:val="285" w:hRule="atLeast"/>
        </w:trPr>
        <w:tc>
          <w:tcPr>
            <w:tcW w:w="435" w:type="dxa"/>
            <w:tcBorders>
              <w:top w:val="nil"/>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17053628">
            <w:pPr>
              <w:jc w:val="center"/>
            </w:pPr>
            <w:r>
              <w:rPr>
                <w:rFonts w:hint="eastAsia"/>
              </w:rPr>
              <w:t>6</w:t>
            </w:r>
          </w:p>
        </w:tc>
        <w:tc>
          <w:tcPr>
            <w:tcW w:w="1812" w:type="dxa"/>
            <w:tcBorders>
              <w:top w:val="nil"/>
              <w:left w:val="single" w:color="auto" w:sz="4" w:space="0"/>
              <w:bottom w:val="single" w:color="auto" w:sz="4" w:space="0"/>
              <w:right w:val="single" w:color="auto" w:sz="4" w:space="0"/>
            </w:tcBorders>
            <w:tcMar>
              <w:top w:w="15" w:type="dxa"/>
              <w:left w:w="15" w:type="dxa"/>
              <w:right w:w="15" w:type="dxa"/>
            </w:tcMar>
            <w:vAlign w:val="center"/>
          </w:tcPr>
          <w:p w14:paraId="3866E019">
            <w:pPr>
              <w:jc w:val="center"/>
            </w:pPr>
            <w:r>
              <w:rPr>
                <w:rFonts w:hint="eastAsia"/>
              </w:rPr>
              <w:t>返听音箱</w:t>
            </w:r>
          </w:p>
        </w:tc>
        <w:tc>
          <w:tcPr>
            <w:tcW w:w="435" w:type="dxa"/>
            <w:tcBorders>
              <w:top w:val="nil"/>
              <w:left w:val="single" w:color="auto" w:sz="4" w:space="0"/>
              <w:bottom w:val="single" w:color="auto" w:sz="4" w:space="0"/>
              <w:right w:val="single" w:color="auto" w:sz="4" w:space="0"/>
            </w:tcBorders>
            <w:tcMar>
              <w:top w:w="15" w:type="dxa"/>
              <w:left w:w="15" w:type="dxa"/>
              <w:right w:w="15" w:type="dxa"/>
            </w:tcMar>
            <w:vAlign w:val="center"/>
          </w:tcPr>
          <w:p w14:paraId="4B0B2081">
            <w:pPr>
              <w:jc w:val="center"/>
            </w:pPr>
            <w:r>
              <w:rPr>
                <w:rFonts w:hint="eastAsia"/>
              </w:rPr>
              <w:t>2</w:t>
            </w:r>
          </w:p>
        </w:tc>
        <w:tc>
          <w:tcPr>
            <w:tcW w:w="540" w:type="dxa"/>
            <w:tcBorders>
              <w:top w:val="nil"/>
              <w:left w:val="nil"/>
              <w:bottom w:val="single" w:color="auto" w:sz="4" w:space="0"/>
              <w:right w:val="single" w:color="auto" w:sz="4" w:space="0"/>
            </w:tcBorders>
            <w:tcMar>
              <w:top w:w="15" w:type="dxa"/>
              <w:left w:w="15" w:type="dxa"/>
              <w:right w:w="15" w:type="dxa"/>
            </w:tcMar>
            <w:vAlign w:val="center"/>
          </w:tcPr>
          <w:p w14:paraId="367BEF28">
            <w:pPr>
              <w:jc w:val="center"/>
            </w:pPr>
            <w:r>
              <w:rPr>
                <w:rFonts w:hint="eastAsia"/>
              </w:rPr>
              <w:t>只</w:t>
            </w:r>
          </w:p>
        </w:tc>
        <w:tc>
          <w:tcPr>
            <w:tcW w:w="1245" w:type="dxa"/>
            <w:tcBorders>
              <w:top w:val="nil"/>
              <w:left w:val="single" w:color="auto" w:sz="4" w:space="0"/>
              <w:bottom w:val="single" w:color="auto" w:sz="4" w:space="0"/>
              <w:right w:val="single" w:color="auto" w:sz="4" w:space="0"/>
            </w:tcBorders>
            <w:tcMar>
              <w:top w:w="15" w:type="dxa"/>
              <w:left w:w="15" w:type="dxa"/>
              <w:right w:w="15" w:type="dxa"/>
            </w:tcMar>
            <w:vAlign w:val="center"/>
          </w:tcPr>
          <w:p w14:paraId="27BB6EF9">
            <w:pPr>
              <w:jc w:val="center"/>
            </w:pPr>
            <w:r>
              <w:rPr>
                <w:rFonts w:hint="eastAsia"/>
              </w:rPr>
              <w:t>1600.00</w:t>
            </w:r>
          </w:p>
        </w:tc>
        <w:tc>
          <w:tcPr>
            <w:tcW w:w="9825" w:type="dxa"/>
            <w:tcBorders>
              <w:top w:val="nil"/>
              <w:left w:val="single" w:color="auto" w:sz="4" w:space="0"/>
              <w:bottom w:val="single" w:color="auto" w:sz="4" w:space="0"/>
              <w:right w:val="single" w:color="auto" w:sz="4" w:space="0"/>
            </w:tcBorders>
            <w:noWrap/>
            <w:tcMar>
              <w:top w:w="15" w:type="dxa"/>
              <w:left w:w="15" w:type="dxa"/>
              <w:right w:w="15" w:type="dxa"/>
            </w:tcMar>
            <w:vAlign w:val="center"/>
          </w:tcPr>
          <w:p w14:paraId="3C14574E">
            <w:pPr>
              <w:adjustRightInd w:val="0"/>
              <w:snapToGrid w:val="0"/>
              <w:rPr>
                <w:szCs w:val="21"/>
              </w:rPr>
            </w:pPr>
            <w:r>
              <w:rPr>
                <w:rFonts w:hint="eastAsia"/>
                <w:szCs w:val="21"/>
              </w:rPr>
              <w:t xml:space="preserve">1. 不少于2个喇叭单元，低频单元≤10″，高频单元≤1.3″，且需采用倒相式设计； </w:t>
            </w:r>
          </w:p>
          <w:p w14:paraId="10A73D90">
            <w:pPr>
              <w:adjustRightInd w:val="0"/>
              <w:snapToGrid w:val="0"/>
              <w:rPr>
                <w:szCs w:val="21"/>
              </w:rPr>
            </w:pPr>
            <w:r>
              <w:rPr>
                <w:rFonts w:hint="eastAsia"/>
                <w:szCs w:val="21"/>
              </w:rPr>
              <w:t xml:space="preserve">2. 箱体采用圆弧造型设计，号角可旋转； </w:t>
            </w:r>
          </w:p>
          <w:p w14:paraId="65D891CE">
            <w:pPr>
              <w:adjustRightInd w:val="0"/>
              <w:snapToGrid w:val="0"/>
              <w:rPr>
                <w:szCs w:val="21"/>
              </w:rPr>
            </w:pPr>
            <w:r>
              <w:rPr>
                <w:rFonts w:hint="eastAsia"/>
                <w:szCs w:val="21"/>
              </w:rPr>
              <w:t xml:space="preserve">3. 分频器采用LICC功率分频器； </w:t>
            </w:r>
          </w:p>
          <w:p w14:paraId="61904E9A">
            <w:pPr>
              <w:adjustRightInd w:val="0"/>
              <w:snapToGrid w:val="0"/>
              <w:rPr>
                <w:szCs w:val="21"/>
              </w:rPr>
            </w:pPr>
            <w:r>
              <w:rPr>
                <w:rFonts w:hint="eastAsia"/>
                <w:szCs w:val="21"/>
              </w:rPr>
              <w:t xml:space="preserve">4. 低音单元采用CCT技术； </w:t>
            </w:r>
          </w:p>
          <w:p w14:paraId="1F61C927">
            <w:pPr>
              <w:adjustRightInd w:val="0"/>
              <w:snapToGrid w:val="0"/>
              <w:rPr>
                <w:szCs w:val="21"/>
              </w:rPr>
            </w:pPr>
            <w:r>
              <w:rPr>
                <w:rFonts w:hint="eastAsia"/>
                <w:szCs w:val="21"/>
              </w:rPr>
              <w:t xml:space="preserve">5. 具备两种以上接线方式； </w:t>
            </w:r>
          </w:p>
          <w:p w14:paraId="1DC8022C">
            <w:pPr>
              <w:adjustRightInd w:val="0"/>
              <w:snapToGrid w:val="0"/>
              <w:rPr>
                <w:szCs w:val="21"/>
              </w:rPr>
            </w:pPr>
            <w:r>
              <w:rPr>
                <w:rFonts w:hint="eastAsia"/>
                <w:szCs w:val="21"/>
              </w:rPr>
              <w:t xml:space="preserve">6. 额定功率≥350 W； </w:t>
            </w:r>
          </w:p>
          <w:p w14:paraId="0BD86CA5">
            <w:pPr>
              <w:adjustRightInd w:val="0"/>
              <w:snapToGrid w:val="0"/>
              <w:rPr>
                <w:szCs w:val="21"/>
              </w:rPr>
            </w:pPr>
            <w:r>
              <w:rPr>
                <w:rFonts w:hint="eastAsia"/>
                <w:szCs w:val="21"/>
              </w:rPr>
              <w:t xml:space="preserve">7. 灵敏度≥97 dB； </w:t>
            </w:r>
          </w:p>
          <w:p w14:paraId="0A246388">
            <w:pPr>
              <w:adjustRightInd w:val="0"/>
              <w:snapToGrid w:val="0"/>
              <w:rPr>
                <w:szCs w:val="21"/>
              </w:rPr>
            </w:pPr>
            <w:r>
              <w:rPr>
                <w:rFonts w:hint="eastAsia"/>
                <w:szCs w:val="21"/>
              </w:rPr>
              <w:t xml:space="preserve">8. 最大连续声压级≥122 dB ； </w:t>
            </w:r>
          </w:p>
          <w:p w14:paraId="6EA7A5BF">
            <w:pPr>
              <w:adjustRightInd w:val="0"/>
              <w:snapToGrid w:val="0"/>
              <w:rPr>
                <w:szCs w:val="21"/>
              </w:rPr>
            </w:pPr>
            <w:r>
              <w:rPr>
                <w:rFonts w:hint="eastAsia"/>
                <w:szCs w:val="21"/>
              </w:rPr>
              <w:t xml:space="preserve">9. 指向特性(-6dB)：90°±2°H×70°±2°V； 10、频率范围：下限≤65Hz，上限≥19.5KHz； </w:t>
            </w:r>
          </w:p>
        </w:tc>
        <w:tc>
          <w:tcPr>
            <w:tcW w:w="1050" w:type="dxa"/>
            <w:vMerge w:val="continue"/>
            <w:tcBorders>
              <w:left w:val="single" w:color="000000" w:sz="4" w:space="0"/>
              <w:right w:val="single" w:color="000000" w:sz="4" w:space="0"/>
            </w:tcBorders>
            <w:noWrap/>
            <w:tcMar>
              <w:top w:w="15" w:type="dxa"/>
              <w:left w:w="15" w:type="dxa"/>
              <w:right w:w="15" w:type="dxa"/>
            </w:tcMar>
            <w:vAlign w:val="center"/>
          </w:tcPr>
          <w:p w14:paraId="1A1A6B0D">
            <w:pPr>
              <w:jc w:val="center"/>
              <w:rPr>
                <w:rFonts w:ascii="宋体" w:hAnsi="宋体" w:cs="宋体"/>
                <w:color w:val="000000"/>
                <w:sz w:val="24"/>
              </w:rPr>
            </w:pPr>
          </w:p>
        </w:tc>
      </w:tr>
      <w:tr w14:paraId="6F234269">
        <w:tblPrEx>
          <w:tblCellMar>
            <w:top w:w="0" w:type="dxa"/>
            <w:left w:w="0" w:type="dxa"/>
            <w:bottom w:w="0" w:type="dxa"/>
            <w:right w:w="0" w:type="dxa"/>
          </w:tblCellMar>
        </w:tblPrEx>
        <w:trPr>
          <w:trHeight w:val="285" w:hRule="atLeast"/>
        </w:trPr>
        <w:tc>
          <w:tcPr>
            <w:tcW w:w="435" w:type="dxa"/>
            <w:tcBorders>
              <w:top w:val="nil"/>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5CDC9D8D">
            <w:pPr>
              <w:jc w:val="center"/>
            </w:pPr>
            <w:r>
              <w:rPr>
                <w:rFonts w:hint="eastAsia"/>
              </w:rPr>
              <w:t>7</w:t>
            </w:r>
          </w:p>
        </w:tc>
        <w:tc>
          <w:tcPr>
            <w:tcW w:w="1812" w:type="dxa"/>
            <w:tcBorders>
              <w:top w:val="nil"/>
              <w:left w:val="single" w:color="auto" w:sz="4" w:space="0"/>
              <w:bottom w:val="single" w:color="auto" w:sz="4" w:space="0"/>
              <w:right w:val="single" w:color="auto" w:sz="4" w:space="0"/>
            </w:tcBorders>
            <w:tcMar>
              <w:top w:w="15" w:type="dxa"/>
              <w:left w:w="15" w:type="dxa"/>
              <w:right w:w="15" w:type="dxa"/>
            </w:tcMar>
            <w:vAlign w:val="center"/>
          </w:tcPr>
          <w:p w14:paraId="727BCB05">
            <w:pPr>
              <w:jc w:val="center"/>
            </w:pPr>
            <w:r>
              <w:rPr>
                <w:rFonts w:hint="eastAsia"/>
              </w:rPr>
              <w:t>返听音箱功放</w:t>
            </w:r>
          </w:p>
        </w:tc>
        <w:tc>
          <w:tcPr>
            <w:tcW w:w="435" w:type="dxa"/>
            <w:tcBorders>
              <w:top w:val="nil"/>
              <w:left w:val="single" w:color="auto" w:sz="4" w:space="0"/>
              <w:bottom w:val="single" w:color="auto" w:sz="4" w:space="0"/>
              <w:right w:val="single" w:color="auto" w:sz="4" w:space="0"/>
            </w:tcBorders>
            <w:tcMar>
              <w:top w:w="15" w:type="dxa"/>
              <w:left w:w="15" w:type="dxa"/>
              <w:right w:w="15" w:type="dxa"/>
            </w:tcMar>
            <w:vAlign w:val="center"/>
          </w:tcPr>
          <w:p w14:paraId="273164DA">
            <w:pPr>
              <w:jc w:val="center"/>
            </w:pPr>
            <w:r>
              <w:rPr>
                <w:rFonts w:hint="eastAsia"/>
              </w:rPr>
              <w:t>1</w:t>
            </w:r>
          </w:p>
        </w:tc>
        <w:tc>
          <w:tcPr>
            <w:tcW w:w="540" w:type="dxa"/>
            <w:tcBorders>
              <w:top w:val="nil"/>
              <w:left w:val="nil"/>
              <w:bottom w:val="single" w:color="auto" w:sz="4" w:space="0"/>
              <w:right w:val="single" w:color="auto" w:sz="4" w:space="0"/>
            </w:tcBorders>
            <w:tcMar>
              <w:top w:w="15" w:type="dxa"/>
              <w:left w:w="15" w:type="dxa"/>
              <w:right w:w="15" w:type="dxa"/>
            </w:tcMar>
            <w:vAlign w:val="center"/>
          </w:tcPr>
          <w:p w14:paraId="08AE5F40">
            <w:pPr>
              <w:jc w:val="center"/>
            </w:pPr>
            <w:r>
              <w:rPr>
                <w:rFonts w:hint="eastAsia"/>
              </w:rPr>
              <w:t>台</w:t>
            </w:r>
          </w:p>
        </w:tc>
        <w:tc>
          <w:tcPr>
            <w:tcW w:w="1245" w:type="dxa"/>
            <w:tcBorders>
              <w:top w:val="nil"/>
              <w:left w:val="single" w:color="auto" w:sz="4" w:space="0"/>
              <w:bottom w:val="single" w:color="auto" w:sz="4" w:space="0"/>
              <w:right w:val="single" w:color="auto" w:sz="4" w:space="0"/>
            </w:tcBorders>
            <w:tcMar>
              <w:top w:w="15" w:type="dxa"/>
              <w:left w:w="15" w:type="dxa"/>
              <w:right w:w="15" w:type="dxa"/>
            </w:tcMar>
            <w:vAlign w:val="center"/>
          </w:tcPr>
          <w:p w14:paraId="520BD56F">
            <w:pPr>
              <w:jc w:val="center"/>
            </w:pPr>
            <w:r>
              <w:rPr>
                <w:rFonts w:hint="eastAsia"/>
              </w:rPr>
              <w:t>3100.00</w:t>
            </w:r>
          </w:p>
        </w:tc>
        <w:tc>
          <w:tcPr>
            <w:tcW w:w="9825" w:type="dxa"/>
            <w:tcBorders>
              <w:top w:val="nil"/>
              <w:left w:val="single" w:color="auto" w:sz="4" w:space="0"/>
              <w:bottom w:val="single" w:color="auto" w:sz="4" w:space="0"/>
              <w:right w:val="single" w:color="auto" w:sz="4" w:space="0"/>
            </w:tcBorders>
            <w:noWrap/>
            <w:tcMar>
              <w:top w:w="15" w:type="dxa"/>
              <w:left w:w="15" w:type="dxa"/>
              <w:right w:w="15" w:type="dxa"/>
            </w:tcMar>
            <w:vAlign w:val="center"/>
          </w:tcPr>
          <w:p w14:paraId="532354F7">
            <w:pPr>
              <w:adjustRightInd w:val="0"/>
              <w:snapToGrid w:val="0"/>
              <w:rPr>
                <w:szCs w:val="21"/>
              </w:rPr>
            </w:pPr>
            <w:r>
              <w:rPr>
                <w:rFonts w:hint="eastAsia"/>
                <w:szCs w:val="21"/>
              </w:rPr>
              <w:t xml:space="preserve">1. 固定开关频率的ClassD功放； </w:t>
            </w:r>
          </w:p>
          <w:p w14:paraId="3412F04B">
            <w:pPr>
              <w:adjustRightInd w:val="0"/>
              <w:snapToGrid w:val="0"/>
              <w:rPr>
                <w:szCs w:val="21"/>
              </w:rPr>
            </w:pPr>
            <w:r>
              <w:rPr>
                <w:rFonts w:hint="eastAsia"/>
                <w:szCs w:val="21"/>
              </w:rPr>
              <w:t xml:space="preserve">2. 采用主动功率因数校正技术及谐振软开关技术； </w:t>
            </w:r>
          </w:p>
          <w:p w14:paraId="5C6D2364">
            <w:pPr>
              <w:adjustRightInd w:val="0"/>
              <w:snapToGrid w:val="0"/>
              <w:rPr>
                <w:szCs w:val="21"/>
              </w:rPr>
            </w:pPr>
            <w:r>
              <w:rPr>
                <w:rFonts w:hint="eastAsia"/>
                <w:szCs w:val="21"/>
              </w:rPr>
              <w:t>3. 采用智能温控调速散热系统及功率智能恒定技术；（提供第三方检测机构出具的检验报告复印件）</w:t>
            </w:r>
          </w:p>
          <w:p w14:paraId="13650FE9">
            <w:pPr>
              <w:adjustRightInd w:val="0"/>
              <w:snapToGrid w:val="0"/>
              <w:rPr>
                <w:szCs w:val="21"/>
              </w:rPr>
            </w:pPr>
            <w:r>
              <w:rPr>
                <w:rFonts w:hint="eastAsia"/>
                <w:szCs w:val="21"/>
              </w:rPr>
              <w:t xml:space="preserve">4. 隧道式冷风散热技术； </w:t>
            </w:r>
          </w:p>
          <w:p w14:paraId="5D1CA829">
            <w:pPr>
              <w:adjustRightInd w:val="0"/>
              <w:snapToGrid w:val="0"/>
              <w:rPr>
                <w:szCs w:val="21"/>
              </w:rPr>
            </w:pPr>
            <w:r>
              <w:rPr>
                <w:rFonts w:hint="eastAsia"/>
                <w:szCs w:val="21"/>
              </w:rPr>
              <w:t xml:space="preserve">5. 其电源具备双环谐振及谐振软开关技术； </w:t>
            </w:r>
          </w:p>
          <w:p w14:paraId="569697F6">
            <w:pPr>
              <w:adjustRightInd w:val="0"/>
              <w:snapToGrid w:val="0"/>
              <w:rPr>
                <w:szCs w:val="21"/>
              </w:rPr>
            </w:pPr>
            <w:r>
              <w:rPr>
                <w:rFonts w:hint="eastAsia"/>
                <w:szCs w:val="21"/>
              </w:rPr>
              <w:t xml:space="preserve">6. 选用配对性能优异对管； </w:t>
            </w:r>
          </w:p>
          <w:p w14:paraId="519342B5">
            <w:pPr>
              <w:adjustRightInd w:val="0"/>
              <w:snapToGrid w:val="0"/>
              <w:rPr>
                <w:szCs w:val="21"/>
              </w:rPr>
            </w:pPr>
            <w:r>
              <w:rPr>
                <w:rFonts w:hint="eastAsia"/>
                <w:szCs w:val="21"/>
              </w:rPr>
              <w:t>7. 机载1602 OLED屏，实时显示设备温度、音量及模式</w:t>
            </w:r>
          </w:p>
          <w:p w14:paraId="5E254B66">
            <w:pPr>
              <w:adjustRightInd w:val="0"/>
              <w:snapToGrid w:val="0"/>
              <w:rPr>
                <w:szCs w:val="21"/>
              </w:rPr>
            </w:pPr>
            <w:r>
              <w:rPr>
                <w:rFonts w:hint="eastAsia"/>
                <w:szCs w:val="21"/>
              </w:rPr>
              <w:t xml:space="preserve">8. 具备完善的保护功能，包含但不限于软启动保护、直流保护、短路保护、削波保护、失真保护、过热保护、过温保护等； </w:t>
            </w:r>
          </w:p>
          <w:p w14:paraId="17ACD1E3">
            <w:pPr>
              <w:adjustRightInd w:val="0"/>
              <w:snapToGrid w:val="0"/>
              <w:rPr>
                <w:szCs w:val="21"/>
              </w:rPr>
            </w:pPr>
            <w:r>
              <w:rPr>
                <w:rFonts w:hint="eastAsia"/>
                <w:szCs w:val="21"/>
              </w:rPr>
              <w:t xml:space="preserve">9. 输出功率要求≥800W×2(8Ω)，1200W×2(4Ω)，1400W×2(2Ω) </w:t>
            </w:r>
          </w:p>
          <w:p w14:paraId="611920AC">
            <w:pPr>
              <w:adjustRightInd w:val="0"/>
              <w:snapToGrid w:val="0"/>
              <w:rPr>
                <w:szCs w:val="21"/>
              </w:rPr>
            </w:pPr>
            <w:r>
              <w:rPr>
                <w:rFonts w:hint="eastAsia"/>
                <w:szCs w:val="21"/>
              </w:rPr>
              <w:t xml:space="preserve">10. 支持桥接模式，且桥接输出功率≥2000W（1x8Ω），2400W（1x4Ω）； </w:t>
            </w:r>
          </w:p>
          <w:p w14:paraId="4B81F36F">
            <w:pPr>
              <w:adjustRightInd w:val="0"/>
              <w:snapToGrid w:val="0"/>
              <w:rPr>
                <w:szCs w:val="21"/>
              </w:rPr>
            </w:pPr>
            <w:r>
              <w:rPr>
                <w:rFonts w:hint="eastAsia"/>
                <w:szCs w:val="21"/>
              </w:rPr>
              <w:t xml:space="preserve">11. 总谐波失真：&lt;0.5dB； </w:t>
            </w:r>
          </w:p>
          <w:p w14:paraId="727934F6">
            <w:pPr>
              <w:adjustRightInd w:val="0"/>
              <w:snapToGrid w:val="0"/>
              <w:rPr>
                <w:szCs w:val="21"/>
              </w:rPr>
            </w:pPr>
            <w:r>
              <w:rPr>
                <w:rFonts w:hint="eastAsia"/>
                <w:szCs w:val="21"/>
              </w:rPr>
              <w:t>12. 频率响应：20Hzto20kHz,+/-1dB；</w:t>
            </w:r>
            <w:r>
              <w:rPr>
                <w:rFonts w:hint="eastAsia"/>
                <w:szCs w:val="21"/>
              </w:rPr>
              <w:br w:type="textWrapping"/>
            </w:r>
            <w:r>
              <w:rPr>
                <w:rFonts w:hint="eastAsia"/>
                <w:szCs w:val="21"/>
              </w:rPr>
              <w:t xml:space="preserve">13. 输入灵敏度可选：1.44V、0.775V； </w:t>
            </w:r>
          </w:p>
          <w:p w14:paraId="7252537E">
            <w:pPr>
              <w:adjustRightInd w:val="0"/>
              <w:snapToGrid w:val="0"/>
              <w:rPr>
                <w:szCs w:val="21"/>
              </w:rPr>
            </w:pPr>
            <w:r>
              <w:rPr>
                <w:rFonts w:hint="eastAsia"/>
                <w:szCs w:val="21"/>
              </w:rPr>
              <w:t>14. 阻尼系数：&gt;500。</w:t>
            </w:r>
          </w:p>
        </w:tc>
        <w:tc>
          <w:tcPr>
            <w:tcW w:w="1050" w:type="dxa"/>
            <w:vMerge w:val="continue"/>
            <w:tcBorders>
              <w:left w:val="single" w:color="000000" w:sz="4" w:space="0"/>
              <w:right w:val="single" w:color="000000" w:sz="4" w:space="0"/>
            </w:tcBorders>
            <w:noWrap/>
            <w:tcMar>
              <w:top w:w="15" w:type="dxa"/>
              <w:left w:w="15" w:type="dxa"/>
              <w:right w:w="15" w:type="dxa"/>
            </w:tcMar>
            <w:vAlign w:val="center"/>
          </w:tcPr>
          <w:p w14:paraId="4EE8360F">
            <w:pPr>
              <w:jc w:val="center"/>
              <w:rPr>
                <w:rFonts w:ascii="宋体" w:hAnsi="宋体" w:cs="宋体"/>
                <w:color w:val="000000"/>
                <w:sz w:val="24"/>
              </w:rPr>
            </w:pPr>
          </w:p>
        </w:tc>
      </w:tr>
      <w:tr w14:paraId="49FCD3E4">
        <w:tblPrEx>
          <w:tblCellMar>
            <w:top w:w="0" w:type="dxa"/>
            <w:left w:w="0" w:type="dxa"/>
            <w:bottom w:w="0" w:type="dxa"/>
            <w:right w:w="0" w:type="dxa"/>
          </w:tblCellMar>
        </w:tblPrEx>
        <w:trPr>
          <w:trHeight w:val="285" w:hRule="atLeast"/>
        </w:trPr>
        <w:tc>
          <w:tcPr>
            <w:tcW w:w="435" w:type="dxa"/>
            <w:tcBorders>
              <w:top w:val="nil"/>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7AAB855A">
            <w:pPr>
              <w:jc w:val="center"/>
            </w:pPr>
            <w:r>
              <w:rPr>
                <w:rFonts w:hint="eastAsia"/>
              </w:rPr>
              <w:t>8</w:t>
            </w:r>
          </w:p>
        </w:tc>
        <w:tc>
          <w:tcPr>
            <w:tcW w:w="1812" w:type="dxa"/>
            <w:tcBorders>
              <w:top w:val="nil"/>
              <w:left w:val="single" w:color="auto" w:sz="4" w:space="0"/>
              <w:bottom w:val="single" w:color="auto" w:sz="4" w:space="0"/>
              <w:right w:val="single" w:color="auto" w:sz="4" w:space="0"/>
            </w:tcBorders>
            <w:tcMar>
              <w:top w:w="15" w:type="dxa"/>
              <w:left w:w="15" w:type="dxa"/>
              <w:right w:w="15" w:type="dxa"/>
            </w:tcMar>
            <w:vAlign w:val="center"/>
          </w:tcPr>
          <w:p w14:paraId="580B9F0F">
            <w:pPr>
              <w:jc w:val="center"/>
            </w:pPr>
            <w:r>
              <w:rPr>
                <w:rFonts w:hint="eastAsia"/>
              </w:rPr>
              <w:t>报告厅调音台</w:t>
            </w:r>
          </w:p>
        </w:tc>
        <w:tc>
          <w:tcPr>
            <w:tcW w:w="435" w:type="dxa"/>
            <w:tcBorders>
              <w:top w:val="nil"/>
              <w:left w:val="single" w:color="auto" w:sz="4" w:space="0"/>
              <w:bottom w:val="single" w:color="auto" w:sz="4" w:space="0"/>
              <w:right w:val="single" w:color="auto" w:sz="4" w:space="0"/>
            </w:tcBorders>
            <w:tcMar>
              <w:top w:w="15" w:type="dxa"/>
              <w:left w:w="15" w:type="dxa"/>
              <w:right w:w="15" w:type="dxa"/>
            </w:tcMar>
            <w:vAlign w:val="center"/>
          </w:tcPr>
          <w:p w14:paraId="78DA7BE7">
            <w:pPr>
              <w:jc w:val="center"/>
            </w:pPr>
            <w:r>
              <w:rPr>
                <w:rFonts w:hint="eastAsia"/>
              </w:rPr>
              <w:t>1</w:t>
            </w:r>
          </w:p>
        </w:tc>
        <w:tc>
          <w:tcPr>
            <w:tcW w:w="540" w:type="dxa"/>
            <w:tcBorders>
              <w:top w:val="nil"/>
              <w:left w:val="nil"/>
              <w:bottom w:val="single" w:color="auto" w:sz="4" w:space="0"/>
              <w:right w:val="single" w:color="auto" w:sz="4" w:space="0"/>
            </w:tcBorders>
            <w:tcMar>
              <w:top w:w="15" w:type="dxa"/>
              <w:left w:w="15" w:type="dxa"/>
              <w:right w:w="15" w:type="dxa"/>
            </w:tcMar>
            <w:vAlign w:val="center"/>
          </w:tcPr>
          <w:p w14:paraId="0D21EDCB">
            <w:pPr>
              <w:jc w:val="center"/>
            </w:pPr>
            <w:r>
              <w:rPr>
                <w:rFonts w:hint="eastAsia"/>
              </w:rPr>
              <w:t>台</w:t>
            </w:r>
          </w:p>
        </w:tc>
        <w:tc>
          <w:tcPr>
            <w:tcW w:w="1245" w:type="dxa"/>
            <w:tcBorders>
              <w:top w:val="nil"/>
              <w:left w:val="single" w:color="auto" w:sz="4" w:space="0"/>
              <w:bottom w:val="single" w:color="auto" w:sz="4" w:space="0"/>
              <w:right w:val="single" w:color="auto" w:sz="4" w:space="0"/>
            </w:tcBorders>
            <w:tcMar>
              <w:top w:w="15" w:type="dxa"/>
              <w:left w:w="15" w:type="dxa"/>
              <w:right w:w="15" w:type="dxa"/>
            </w:tcMar>
            <w:vAlign w:val="center"/>
          </w:tcPr>
          <w:p w14:paraId="0A41E64D">
            <w:pPr>
              <w:jc w:val="center"/>
            </w:pPr>
            <w:r>
              <w:rPr>
                <w:rFonts w:hint="eastAsia"/>
              </w:rPr>
              <w:t>2500.00</w:t>
            </w:r>
          </w:p>
        </w:tc>
        <w:tc>
          <w:tcPr>
            <w:tcW w:w="9825" w:type="dxa"/>
            <w:tcBorders>
              <w:top w:val="nil"/>
              <w:left w:val="single" w:color="auto" w:sz="4" w:space="0"/>
              <w:bottom w:val="single" w:color="auto" w:sz="4" w:space="0"/>
              <w:right w:val="single" w:color="auto" w:sz="4" w:space="0"/>
            </w:tcBorders>
            <w:noWrap/>
            <w:tcMar>
              <w:top w:w="15" w:type="dxa"/>
              <w:left w:w="15" w:type="dxa"/>
              <w:right w:w="15" w:type="dxa"/>
            </w:tcMar>
            <w:vAlign w:val="center"/>
          </w:tcPr>
          <w:p w14:paraId="6EEFA4BE">
            <w:pPr>
              <w:adjustRightInd w:val="0"/>
              <w:snapToGrid w:val="0"/>
              <w:rPr>
                <w:szCs w:val="21"/>
              </w:rPr>
            </w:pPr>
            <w:r>
              <w:rPr>
                <w:rFonts w:hint="eastAsia"/>
                <w:szCs w:val="21"/>
              </w:rPr>
              <w:t xml:space="preserve">1. 不少于12路MIC/LINE可切换单声道输入； </w:t>
            </w:r>
          </w:p>
          <w:p w14:paraId="70B0CA41">
            <w:pPr>
              <w:adjustRightInd w:val="0"/>
              <w:snapToGrid w:val="0"/>
              <w:rPr>
                <w:szCs w:val="21"/>
              </w:rPr>
            </w:pPr>
            <w:r>
              <w:rPr>
                <w:rFonts w:hint="eastAsia"/>
                <w:szCs w:val="21"/>
              </w:rPr>
              <w:t xml:space="preserve">2. 不少于2组立体声/单声道可切换LINE输入； </w:t>
            </w:r>
          </w:p>
          <w:p w14:paraId="29BAC093">
            <w:pPr>
              <w:adjustRightInd w:val="0"/>
              <w:snapToGrid w:val="0"/>
              <w:rPr>
                <w:szCs w:val="21"/>
              </w:rPr>
            </w:pPr>
            <w:r>
              <w:rPr>
                <w:rFonts w:hint="eastAsia"/>
                <w:szCs w:val="21"/>
              </w:rPr>
              <w:t xml:space="preserve">3. 不少于1组立体声RCA输入； </w:t>
            </w:r>
          </w:p>
          <w:p w14:paraId="38668FC3">
            <w:pPr>
              <w:adjustRightInd w:val="0"/>
              <w:snapToGrid w:val="0"/>
              <w:rPr>
                <w:szCs w:val="21"/>
              </w:rPr>
            </w:pPr>
            <w:r>
              <w:rPr>
                <w:rFonts w:hint="eastAsia"/>
                <w:szCs w:val="21"/>
              </w:rPr>
              <w:t>4. 不少于1组L/R输出，2路编组输出，1路AUX输出</w:t>
            </w:r>
          </w:p>
          <w:p w14:paraId="6345F2FB">
            <w:pPr>
              <w:adjustRightInd w:val="0"/>
              <w:snapToGrid w:val="0"/>
              <w:rPr>
                <w:szCs w:val="21"/>
              </w:rPr>
            </w:pPr>
            <w:r>
              <w:rPr>
                <w:rFonts w:hint="eastAsia"/>
                <w:szCs w:val="21"/>
              </w:rPr>
              <w:t xml:space="preserve">5. 不少于99个出厂效果FX预设模式；； </w:t>
            </w:r>
          </w:p>
          <w:p w14:paraId="2DBBF26A">
            <w:pPr>
              <w:adjustRightInd w:val="0"/>
              <w:snapToGrid w:val="0"/>
              <w:rPr>
                <w:szCs w:val="21"/>
              </w:rPr>
            </w:pPr>
            <w:r>
              <w:rPr>
                <w:rFonts w:hint="eastAsia"/>
                <w:szCs w:val="21"/>
              </w:rPr>
              <w:t>6. 具备7段以上均衡，且MIC通道具备单独+48v幻象电源开关</w:t>
            </w:r>
          </w:p>
          <w:p w14:paraId="6686EF34">
            <w:pPr>
              <w:adjustRightInd w:val="0"/>
              <w:snapToGrid w:val="0"/>
              <w:rPr>
                <w:szCs w:val="21"/>
              </w:rPr>
            </w:pPr>
            <w:r>
              <w:rPr>
                <w:rFonts w:hint="eastAsia"/>
                <w:szCs w:val="21"/>
              </w:rPr>
              <w:t>7. 内置USB声卡，支持录制播放选择；</w:t>
            </w:r>
            <w:r>
              <w:rPr>
                <w:rFonts w:hint="eastAsia"/>
                <w:szCs w:val="21"/>
              </w:rPr>
              <w:br w:type="textWrapping"/>
            </w:r>
            <w:r>
              <w:rPr>
                <w:rFonts w:hint="eastAsia"/>
                <w:szCs w:val="21"/>
              </w:rPr>
              <w:t xml:space="preserve">8. 内置MP3大屏播放器； </w:t>
            </w:r>
          </w:p>
          <w:p w14:paraId="726C27B1">
            <w:pPr>
              <w:adjustRightInd w:val="0"/>
              <w:snapToGrid w:val="0"/>
              <w:rPr>
                <w:szCs w:val="21"/>
              </w:rPr>
            </w:pPr>
            <w:r>
              <w:rPr>
                <w:rFonts w:hint="eastAsia"/>
                <w:szCs w:val="21"/>
              </w:rPr>
              <w:t xml:space="preserve">9. 内置蓝牙播放； </w:t>
            </w:r>
          </w:p>
          <w:p w14:paraId="525D69B7">
            <w:pPr>
              <w:adjustRightInd w:val="0"/>
              <w:snapToGrid w:val="0"/>
              <w:rPr>
                <w:szCs w:val="21"/>
              </w:rPr>
            </w:pPr>
            <w:r>
              <w:rPr>
                <w:rFonts w:hint="eastAsia"/>
                <w:szCs w:val="21"/>
              </w:rPr>
              <w:t xml:space="preserve">10. 具备PAN/BAL声像平衡控制旋钮； </w:t>
            </w:r>
          </w:p>
          <w:p w14:paraId="3FBC6A9B">
            <w:pPr>
              <w:adjustRightInd w:val="0"/>
              <w:snapToGrid w:val="0"/>
              <w:rPr>
                <w:szCs w:val="21"/>
              </w:rPr>
            </w:pPr>
            <w:r>
              <w:rPr>
                <w:rFonts w:hint="eastAsia"/>
                <w:szCs w:val="21"/>
              </w:rPr>
              <w:t>11. 提供该产品第三方检测机构出具的检验报告复印件。</w:t>
            </w:r>
          </w:p>
        </w:tc>
        <w:tc>
          <w:tcPr>
            <w:tcW w:w="1050" w:type="dxa"/>
            <w:vMerge w:val="continue"/>
            <w:tcBorders>
              <w:left w:val="single" w:color="000000" w:sz="4" w:space="0"/>
              <w:right w:val="single" w:color="000000" w:sz="4" w:space="0"/>
            </w:tcBorders>
            <w:noWrap/>
            <w:tcMar>
              <w:top w:w="15" w:type="dxa"/>
              <w:left w:w="15" w:type="dxa"/>
              <w:right w:w="15" w:type="dxa"/>
            </w:tcMar>
            <w:vAlign w:val="center"/>
          </w:tcPr>
          <w:p w14:paraId="7F098657">
            <w:pPr>
              <w:jc w:val="center"/>
              <w:rPr>
                <w:rFonts w:ascii="宋体" w:hAnsi="宋体" w:cs="宋体"/>
                <w:color w:val="000000"/>
                <w:sz w:val="24"/>
              </w:rPr>
            </w:pPr>
          </w:p>
        </w:tc>
      </w:tr>
      <w:tr w14:paraId="15E93098">
        <w:tblPrEx>
          <w:tblCellMar>
            <w:top w:w="0" w:type="dxa"/>
            <w:left w:w="0" w:type="dxa"/>
            <w:bottom w:w="0" w:type="dxa"/>
            <w:right w:w="0" w:type="dxa"/>
          </w:tblCellMar>
        </w:tblPrEx>
        <w:trPr>
          <w:trHeight w:val="285" w:hRule="atLeast"/>
        </w:trPr>
        <w:tc>
          <w:tcPr>
            <w:tcW w:w="435" w:type="dxa"/>
            <w:tcBorders>
              <w:top w:val="nil"/>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3094AD2A">
            <w:pPr>
              <w:jc w:val="center"/>
            </w:pPr>
            <w:r>
              <w:rPr>
                <w:rFonts w:hint="eastAsia"/>
              </w:rPr>
              <w:t>9</w:t>
            </w:r>
          </w:p>
        </w:tc>
        <w:tc>
          <w:tcPr>
            <w:tcW w:w="1812" w:type="dxa"/>
            <w:tcBorders>
              <w:top w:val="nil"/>
              <w:left w:val="single" w:color="auto" w:sz="4" w:space="0"/>
              <w:bottom w:val="single" w:color="auto" w:sz="4" w:space="0"/>
              <w:right w:val="single" w:color="auto" w:sz="4" w:space="0"/>
            </w:tcBorders>
            <w:tcMar>
              <w:top w:w="15" w:type="dxa"/>
              <w:left w:w="15" w:type="dxa"/>
              <w:right w:w="15" w:type="dxa"/>
            </w:tcMar>
            <w:vAlign w:val="center"/>
          </w:tcPr>
          <w:p w14:paraId="1A76B43A">
            <w:pPr>
              <w:jc w:val="center"/>
            </w:pPr>
            <w:r>
              <w:rPr>
                <w:rFonts w:hint="eastAsia"/>
              </w:rPr>
              <w:t>报告厅数字音频处理器</w:t>
            </w:r>
          </w:p>
        </w:tc>
        <w:tc>
          <w:tcPr>
            <w:tcW w:w="435" w:type="dxa"/>
            <w:tcBorders>
              <w:top w:val="nil"/>
              <w:left w:val="single" w:color="auto" w:sz="4" w:space="0"/>
              <w:bottom w:val="single" w:color="auto" w:sz="4" w:space="0"/>
              <w:right w:val="single" w:color="auto" w:sz="4" w:space="0"/>
            </w:tcBorders>
            <w:tcMar>
              <w:top w:w="15" w:type="dxa"/>
              <w:left w:w="15" w:type="dxa"/>
              <w:right w:w="15" w:type="dxa"/>
            </w:tcMar>
            <w:vAlign w:val="center"/>
          </w:tcPr>
          <w:p w14:paraId="1129868B">
            <w:pPr>
              <w:jc w:val="center"/>
            </w:pPr>
            <w:r>
              <w:rPr>
                <w:rFonts w:hint="eastAsia"/>
              </w:rPr>
              <w:t>1</w:t>
            </w:r>
          </w:p>
        </w:tc>
        <w:tc>
          <w:tcPr>
            <w:tcW w:w="540" w:type="dxa"/>
            <w:tcBorders>
              <w:top w:val="nil"/>
              <w:left w:val="nil"/>
              <w:bottom w:val="single" w:color="auto" w:sz="4" w:space="0"/>
              <w:right w:val="single" w:color="auto" w:sz="4" w:space="0"/>
            </w:tcBorders>
            <w:tcMar>
              <w:top w:w="15" w:type="dxa"/>
              <w:left w:w="15" w:type="dxa"/>
              <w:right w:w="15" w:type="dxa"/>
            </w:tcMar>
            <w:vAlign w:val="center"/>
          </w:tcPr>
          <w:p w14:paraId="66DE64E1">
            <w:pPr>
              <w:jc w:val="center"/>
            </w:pPr>
            <w:r>
              <w:rPr>
                <w:rFonts w:hint="eastAsia"/>
              </w:rPr>
              <w:t>台</w:t>
            </w:r>
          </w:p>
        </w:tc>
        <w:tc>
          <w:tcPr>
            <w:tcW w:w="1245" w:type="dxa"/>
            <w:tcBorders>
              <w:top w:val="nil"/>
              <w:left w:val="single" w:color="auto" w:sz="4" w:space="0"/>
              <w:bottom w:val="single" w:color="auto" w:sz="4" w:space="0"/>
              <w:right w:val="single" w:color="auto" w:sz="4" w:space="0"/>
            </w:tcBorders>
            <w:tcMar>
              <w:top w:w="15" w:type="dxa"/>
              <w:left w:w="15" w:type="dxa"/>
              <w:right w:w="15" w:type="dxa"/>
            </w:tcMar>
            <w:vAlign w:val="center"/>
          </w:tcPr>
          <w:p w14:paraId="543BE8AF">
            <w:pPr>
              <w:jc w:val="center"/>
            </w:pPr>
            <w:r>
              <w:rPr>
                <w:rFonts w:hint="eastAsia"/>
              </w:rPr>
              <w:t>5300.00</w:t>
            </w:r>
          </w:p>
        </w:tc>
        <w:tc>
          <w:tcPr>
            <w:tcW w:w="9825" w:type="dxa"/>
            <w:tcBorders>
              <w:top w:val="nil"/>
              <w:left w:val="single" w:color="auto" w:sz="4" w:space="0"/>
              <w:bottom w:val="single" w:color="auto" w:sz="4" w:space="0"/>
              <w:right w:val="single" w:color="auto" w:sz="4" w:space="0"/>
            </w:tcBorders>
            <w:noWrap/>
            <w:tcMar>
              <w:top w:w="15" w:type="dxa"/>
              <w:left w:w="15" w:type="dxa"/>
              <w:right w:w="15" w:type="dxa"/>
            </w:tcMar>
            <w:vAlign w:val="center"/>
          </w:tcPr>
          <w:p w14:paraId="10A74C59">
            <w:pPr>
              <w:adjustRightInd w:val="0"/>
              <w:snapToGrid w:val="0"/>
              <w:rPr>
                <w:szCs w:val="21"/>
              </w:rPr>
            </w:pPr>
            <w:r>
              <w:rPr>
                <w:rFonts w:hint="eastAsia"/>
                <w:szCs w:val="21"/>
              </w:rPr>
              <w:t xml:space="preserve">1. 18x16通道的全混音矩阵设计； </w:t>
            </w:r>
          </w:p>
          <w:p w14:paraId="2A0FBFF6">
            <w:pPr>
              <w:adjustRightInd w:val="0"/>
              <w:snapToGrid w:val="0"/>
              <w:rPr>
                <w:szCs w:val="21"/>
              </w:rPr>
            </w:pPr>
            <w:r>
              <w:rPr>
                <w:rFonts w:hint="eastAsia"/>
                <w:szCs w:val="21"/>
              </w:rPr>
              <w:t xml:space="preserve">2. 8通道独立话放/线路可选平衡输入及8通道平衡线路输出； </w:t>
            </w:r>
          </w:p>
          <w:p w14:paraId="76C40425">
            <w:pPr>
              <w:adjustRightInd w:val="0"/>
              <w:snapToGrid w:val="0"/>
              <w:rPr>
                <w:szCs w:val="21"/>
              </w:rPr>
            </w:pPr>
            <w:r>
              <w:rPr>
                <w:rFonts w:hint="eastAsia"/>
                <w:szCs w:val="21"/>
              </w:rPr>
              <w:t>3. 支持AES67跨协议、跨网段传输；（提供第三方检测机构出具的检验报告复印件）</w:t>
            </w:r>
          </w:p>
          <w:p w14:paraId="0059D124">
            <w:pPr>
              <w:adjustRightInd w:val="0"/>
              <w:snapToGrid w:val="0"/>
              <w:rPr>
                <w:szCs w:val="21"/>
              </w:rPr>
            </w:pPr>
            <w:r>
              <w:rPr>
                <w:rFonts w:hint="eastAsia"/>
                <w:szCs w:val="21"/>
              </w:rPr>
              <w:t>4. 内置AEC远程声学回声消除模块，具备自动混音、自动增益控制、自动反馈抑制、噪声抑制等功能。应对远程视频会议中网络延迟所造成的声学回声问题；</w:t>
            </w:r>
            <w:r>
              <w:rPr>
                <w:rFonts w:hint="eastAsia"/>
                <w:szCs w:val="21"/>
              </w:rPr>
              <w:br w:type="textWrapping"/>
            </w:r>
            <w:r>
              <w:rPr>
                <w:rFonts w:hint="eastAsia"/>
                <w:szCs w:val="21"/>
              </w:rPr>
              <w:t xml:space="preserve">5. 可选配（插卡式）8*8通道Dante网络音频传输卡，具备网络音频传输能力； </w:t>
            </w:r>
          </w:p>
          <w:p w14:paraId="0B6144A1">
            <w:pPr>
              <w:adjustRightInd w:val="0"/>
              <w:snapToGrid w:val="0"/>
              <w:rPr>
                <w:szCs w:val="21"/>
              </w:rPr>
            </w:pPr>
            <w:r>
              <w:rPr>
                <w:rFonts w:hint="eastAsia"/>
                <w:szCs w:val="21"/>
              </w:rPr>
              <w:t xml:space="preserve">6. DSP输出部分每通道均具有通道预设存储功能（包含分频、参数均衡、压缩限幅数据），可针对后级设备搭配进行预置保存、调用。采用该系列产品可享用特定知名品牌音箱数据库数据； </w:t>
            </w:r>
          </w:p>
          <w:p w14:paraId="37404D49">
            <w:pPr>
              <w:adjustRightInd w:val="0"/>
              <w:snapToGrid w:val="0"/>
              <w:rPr>
                <w:szCs w:val="21"/>
              </w:rPr>
            </w:pPr>
            <w:r>
              <w:rPr>
                <w:rFonts w:hint="eastAsia"/>
                <w:szCs w:val="21"/>
              </w:rPr>
              <w:t xml:space="preserve">7. 输入部分拾音灵敏度可自适应调节，达到远近、大小声能幅度不会偏差过大； </w:t>
            </w:r>
          </w:p>
          <w:p w14:paraId="792F887C">
            <w:pPr>
              <w:adjustRightInd w:val="0"/>
              <w:snapToGrid w:val="0"/>
              <w:rPr>
                <w:szCs w:val="21"/>
              </w:rPr>
            </w:pPr>
            <w:r>
              <w:rPr>
                <w:rFonts w:hint="eastAsia"/>
                <w:szCs w:val="21"/>
              </w:rPr>
              <w:t xml:space="preserve">8. 每通道多达10种斜率可选独立高低通分频滤波器； </w:t>
            </w:r>
          </w:p>
          <w:p w14:paraId="6E562947">
            <w:pPr>
              <w:adjustRightInd w:val="0"/>
              <w:snapToGrid w:val="0"/>
              <w:rPr>
                <w:szCs w:val="21"/>
              </w:rPr>
            </w:pPr>
            <w:r>
              <w:rPr>
                <w:rFonts w:hint="eastAsia"/>
                <w:szCs w:val="21"/>
              </w:rPr>
              <w:t>9. 5段、多达9种参数均衡滤波类型可配选；</w:t>
            </w:r>
            <w:r>
              <w:rPr>
                <w:rFonts w:hint="eastAsia"/>
                <w:szCs w:val="21"/>
              </w:rPr>
              <w:br w:type="textWrapping"/>
            </w:r>
            <w:r>
              <w:rPr>
                <w:rFonts w:hint="eastAsia"/>
                <w:szCs w:val="21"/>
              </w:rPr>
              <w:t>10. 每个输入通道独享（含Close）共5级反馈抑制能力，针对单个音源抑制处理而不影响整个系统链路原始音色；</w:t>
            </w:r>
            <w:r>
              <w:rPr>
                <w:rFonts w:hint="eastAsia"/>
                <w:szCs w:val="21"/>
              </w:rPr>
              <w:br w:type="textWrapping"/>
            </w:r>
            <w:r>
              <w:rPr>
                <w:rFonts w:hint="eastAsia"/>
                <w:szCs w:val="21"/>
              </w:rPr>
              <w:t xml:space="preserve">11. 双引擎虚拟总线设计：针对会议类自动混音、摄像跟踪、集体均衡、压缩等DSP处理；针对效果类集中均衡、回声、混响DSP调节及直接效果输出； </w:t>
            </w:r>
          </w:p>
          <w:p w14:paraId="750B1FDB">
            <w:pPr>
              <w:adjustRightInd w:val="0"/>
              <w:snapToGrid w:val="0"/>
              <w:rPr>
                <w:szCs w:val="21"/>
              </w:rPr>
            </w:pPr>
            <w:r>
              <w:rPr>
                <w:rFonts w:hint="eastAsia"/>
                <w:szCs w:val="21"/>
              </w:rPr>
              <w:t xml:space="preserve">12. 可选配标准版ARC控制面板，直接对设备进行用户端简单操控； </w:t>
            </w:r>
          </w:p>
          <w:p w14:paraId="32291E05">
            <w:pPr>
              <w:adjustRightInd w:val="0"/>
              <w:snapToGrid w:val="0"/>
              <w:rPr>
                <w:szCs w:val="21"/>
              </w:rPr>
            </w:pPr>
            <w:r>
              <w:rPr>
                <w:rFonts w:hint="eastAsia"/>
                <w:szCs w:val="21"/>
              </w:rPr>
              <w:t xml:space="preserve">13. DSP软件可根据用户偏好任意联动控制及处理； </w:t>
            </w:r>
          </w:p>
          <w:p w14:paraId="43EAC3BA">
            <w:pPr>
              <w:adjustRightInd w:val="0"/>
              <w:snapToGrid w:val="0"/>
              <w:rPr>
                <w:szCs w:val="21"/>
              </w:rPr>
            </w:pPr>
            <w:r>
              <w:rPr>
                <w:rFonts w:hint="eastAsia"/>
                <w:szCs w:val="21"/>
              </w:rPr>
              <w:t xml:space="preserve">14. 具备输入、输出两组独立的Subcotrol集控能力，即数字调音台DCA功能； </w:t>
            </w:r>
          </w:p>
          <w:p w14:paraId="14CB13D0">
            <w:pPr>
              <w:adjustRightInd w:val="0"/>
              <w:snapToGrid w:val="0"/>
              <w:rPr>
                <w:szCs w:val="21"/>
              </w:rPr>
            </w:pPr>
            <w:r>
              <w:rPr>
                <w:rFonts w:hint="eastAsia"/>
                <w:szCs w:val="21"/>
              </w:rPr>
              <w:t xml:space="preserve">15. 支持网络IP化联机管理，最大可级联250台设备； </w:t>
            </w:r>
          </w:p>
          <w:p w14:paraId="0FA9AEAA">
            <w:pPr>
              <w:adjustRightInd w:val="0"/>
              <w:snapToGrid w:val="0"/>
              <w:rPr>
                <w:szCs w:val="21"/>
              </w:rPr>
            </w:pPr>
            <w:r>
              <w:rPr>
                <w:rFonts w:hint="eastAsia"/>
                <w:szCs w:val="21"/>
              </w:rPr>
              <w:t xml:space="preserve">16. 本机DSP具备信号发生器功能，可用于系统信号检测、校准工作； </w:t>
            </w:r>
          </w:p>
          <w:p w14:paraId="6E02FC39">
            <w:pPr>
              <w:adjustRightInd w:val="0"/>
              <w:snapToGrid w:val="0"/>
              <w:rPr>
                <w:szCs w:val="21"/>
              </w:rPr>
            </w:pPr>
            <w:r>
              <w:rPr>
                <w:rFonts w:hint="eastAsia"/>
                <w:szCs w:val="21"/>
              </w:rPr>
              <w:t>17. 单机支持12个用户预设，可根据不同应用场景存储、调用。</w:t>
            </w:r>
          </w:p>
        </w:tc>
        <w:tc>
          <w:tcPr>
            <w:tcW w:w="1050" w:type="dxa"/>
            <w:vMerge w:val="continue"/>
            <w:tcBorders>
              <w:left w:val="single" w:color="000000" w:sz="4" w:space="0"/>
              <w:right w:val="single" w:color="000000" w:sz="4" w:space="0"/>
            </w:tcBorders>
            <w:noWrap/>
            <w:tcMar>
              <w:top w:w="15" w:type="dxa"/>
              <w:left w:w="15" w:type="dxa"/>
              <w:right w:w="15" w:type="dxa"/>
            </w:tcMar>
            <w:vAlign w:val="center"/>
          </w:tcPr>
          <w:p w14:paraId="5141A339">
            <w:pPr>
              <w:jc w:val="center"/>
              <w:rPr>
                <w:rFonts w:ascii="宋体" w:hAnsi="宋体" w:cs="宋体"/>
                <w:color w:val="000000"/>
                <w:sz w:val="24"/>
              </w:rPr>
            </w:pPr>
          </w:p>
        </w:tc>
      </w:tr>
      <w:tr w14:paraId="0F197446">
        <w:tblPrEx>
          <w:tblCellMar>
            <w:top w:w="0" w:type="dxa"/>
            <w:left w:w="0" w:type="dxa"/>
            <w:bottom w:w="0" w:type="dxa"/>
            <w:right w:w="0" w:type="dxa"/>
          </w:tblCellMar>
        </w:tblPrEx>
        <w:trPr>
          <w:trHeight w:val="285" w:hRule="atLeast"/>
        </w:trPr>
        <w:tc>
          <w:tcPr>
            <w:tcW w:w="435" w:type="dxa"/>
            <w:tcBorders>
              <w:top w:val="nil"/>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3370E605">
            <w:pPr>
              <w:jc w:val="center"/>
            </w:pPr>
            <w:r>
              <w:rPr>
                <w:rFonts w:hint="eastAsia"/>
              </w:rPr>
              <w:t>10</w:t>
            </w:r>
          </w:p>
        </w:tc>
        <w:tc>
          <w:tcPr>
            <w:tcW w:w="1812" w:type="dxa"/>
            <w:tcBorders>
              <w:top w:val="nil"/>
              <w:left w:val="single" w:color="auto" w:sz="4" w:space="0"/>
              <w:bottom w:val="single" w:color="auto" w:sz="4" w:space="0"/>
              <w:right w:val="single" w:color="auto" w:sz="4" w:space="0"/>
            </w:tcBorders>
            <w:tcMar>
              <w:top w:w="15" w:type="dxa"/>
              <w:left w:w="15" w:type="dxa"/>
              <w:right w:w="15" w:type="dxa"/>
            </w:tcMar>
            <w:vAlign w:val="center"/>
          </w:tcPr>
          <w:p w14:paraId="67614BC5">
            <w:pPr>
              <w:jc w:val="center"/>
            </w:pPr>
            <w:r>
              <w:rPr>
                <w:rFonts w:hint="eastAsia"/>
              </w:rPr>
              <w:t>数字会议系统主机</w:t>
            </w:r>
          </w:p>
        </w:tc>
        <w:tc>
          <w:tcPr>
            <w:tcW w:w="435" w:type="dxa"/>
            <w:tcBorders>
              <w:top w:val="nil"/>
              <w:left w:val="single" w:color="auto" w:sz="4" w:space="0"/>
              <w:bottom w:val="single" w:color="auto" w:sz="4" w:space="0"/>
              <w:right w:val="single" w:color="auto" w:sz="4" w:space="0"/>
            </w:tcBorders>
            <w:tcMar>
              <w:top w:w="15" w:type="dxa"/>
              <w:left w:w="15" w:type="dxa"/>
              <w:right w:w="15" w:type="dxa"/>
            </w:tcMar>
            <w:vAlign w:val="center"/>
          </w:tcPr>
          <w:p w14:paraId="4D6C5EDF">
            <w:pPr>
              <w:jc w:val="center"/>
            </w:pPr>
            <w:r>
              <w:rPr>
                <w:rFonts w:hint="eastAsia"/>
              </w:rPr>
              <w:t>1</w:t>
            </w:r>
          </w:p>
        </w:tc>
        <w:tc>
          <w:tcPr>
            <w:tcW w:w="540" w:type="dxa"/>
            <w:tcBorders>
              <w:top w:val="nil"/>
              <w:left w:val="nil"/>
              <w:bottom w:val="single" w:color="auto" w:sz="4" w:space="0"/>
              <w:right w:val="single" w:color="auto" w:sz="4" w:space="0"/>
            </w:tcBorders>
            <w:tcMar>
              <w:top w:w="15" w:type="dxa"/>
              <w:left w:w="15" w:type="dxa"/>
              <w:right w:w="15" w:type="dxa"/>
            </w:tcMar>
            <w:vAlign w:val="center"/>
          </w:tcPr>
          <w:p w14:paraId="2E669916">
            <w:pPr>
              <w:jc w:val="center"/>
            </w:pPr>
            <w:r>
              <w:rPr>
                <w:rFonts w:hint="eastAsia"/>
              </w:rPr>
              <w:t>套</w:t>
            </w:r>
          </w:p>
        </w:tc>
        <w:tc>
          <w:tcPr>
            <w:tcW w:w="1245" w:type="dxa"/>
            <w:tcBorders>
              <w:top w:val="nil"/>
              <w:left w:val="single" w:color="auto" w:sz="4" w:space="0"/>
              <w:bottom w:val="single" w:color="auto" w:sz="4" w:space="0"/>
              <w:right w:val="single" w:color="auto" w:sz="4" w:space="0"/>
            </w:tcBorders>
            <w:tcMar>
              <w:top w:w="15" w:type="dxa"/>
              <w:left w:w="15" w:type="dxa"/>
              <w:right w:w="15" w:type="dxa"/>
            </w:tcMar>
            <w:vAlign w:val="center"/>
          </w:tcPr>
          <w:p w14:paraId="437AF09B">
            <w:pPr>
              <w:jc w:val="center"/>
            </w:pPr>
            <w:r>
              <w:rPr>
                <w:rFonts w:hint="eastAsia"/>
              </w:rPr>
              <w:t>8500.00</w:t>
            </w:r>
          </w:p>
        </w:tc>
        <w:tc>
          <w:tcPr>
            <w:tcW w:w="9825" w:type="dxa"/>
            <w:tcBorders>
              <w:top w:val="nil"/>
              <w:left w:val="single" w:color="auto" w:sz="4" w:space="0"/>
              <w:bottom w:val="single" w:color="auto" w:sz="4" w:space="0"/>
              <w:right w:val="single" w:color="auto" w:sz="4" w:space="0"/>
            </w:tcBorders>
            <w:noWrap/>
            <w:tcMar>
              <w:top w:w="15" w:type="dxa"/>
              <w:left w:w="15" w:type="dxa"/>
              <w:right w:w="15" w:type="dxa"/>
            </w:tcMar>
            <w:vAlign w:val="center"/>
          </w:tcPr>
          <w:p w14:paraId="372F8F0B">
            <w:pPr>
              <w:adjustRightInd w:val="0"/>
              <w:snapToGrid w:val="0"/>
              <w:rPr>
                <w:szCs w:val="21"/>
              </w:rPr>
            </w:pPr>
            <w:r>
              <w:rPr>
                <w:rFonts w:hint="eastAsia"/>
                <w:szCs w:val="21"/>
              </w:rPr>
              <w:t>1. 全数字会议技术，基于数字网络架构开发，支持讨论、视像跟踪功能；</w:t>
            </w:r>
          </w:p>
          <w:p w14:paraId="0C94F2D6">
            <w:pPr>
              <w:adjustRightInd w:val="0"/>
              <w:snapToGrid w:val="0"/>
              <w:rPr>
                <w:szCs w:val="21"/>
              </w:rPr>
            </w:pPr>
            <w:r>
              <w:rPr>
                <w:rFonts w:hint="eastAsia"/>
                <w:szCs w:val="21"/>
              </w:rPr>
              <w:br w:type="page"/>
            </w:r>
            <w:r>
              <w:rPr>
                <w:rFonts w:hint="eastAsia"/>
                <w:szCs w:val="21"/>
              </w:rPr>
              <w:t>2. 采用FM调频传输音频，配合高还原电路及防啸叫设计，加上采用新型防啸叫单指向高灵敏度电容咪芯，使会议声音音质实现高保真度还原；</w:t>
            </w:r>
          </w:p>
          <w:p w14:paraId="2199B7AA">
            <w:pPr>
              <w:adjustRightInd w:val="0"/>
              <w:snapToGrid w:val="0"/>
              <w:rPr>
                <w:szCs w:val="21"/>
              </w:rPr>
            </w:pPr>
            <w:r>
              <w:rPr>
                <w:rFonts w:hint="eastAsia"/>
                <w:szCs w:val="21"/>
              </w:rPr>
              <w:br w:type="page"/>
            </w:r>
            <w:r>
              <w:rPr>
                <w:rFonts w:hint="eastAsia"/>
                <w:szCs w:val="21"/>
              </w:rPr>
              <w:t>3. 不少于4.3寸全视角IPS电容触摸屏，直观显示和方便调节系统的各项参数；</w:t>
            </w:r>
          </w:p>
          <w:p w14:paraId="2954B2F2">
            <w:pPr>
              <w:adjustRightInd w:val="0"/>
              <w:snapToGrid w:val="0"/>
              <w:rPr>
                <w:szCs w:val="21"/>
              </w:rPr>
            </w:pPr>
            <w:r>
              <w:rPr>
                <w:rFonts w:hint="eastAsia"/>
                <w:szCs w:val="21"/>
              </w:rPr>
              <w:br w:type="page"/>
            </w:r>
            <w:r>
              <w:rPr>
                <w:rFonts w:hint="eastAsia"/>
                <w:szCs w:val="21"/>
              </w:rPr>
              <w:t>4. 支持USB录音，高保真WAV格式输出；</w:t>
            </w:r>
          </w:p>
          <w:p w14:paraId="064B6B9B">
            <w:pPr>
              <w:adjustRightInd w:val="0"/>
              <w:snapToGrid w:val="0"/>
              <w:rPr>
                <w:szCs w:val="21"/>
              </w:rPr>
            </w:pPr>
            <w:r>
              <w:rPr>
                <w:rFonts w:hint="eastAsia"/>
                <w:szCs w:val="21"/>
              </w:rPr>
              <w:br w:type="page"/>
            </w:r>
            <w:r>
              <w:rPr>
                <w:rFonts w:hint="eastAsia"/>
                <w:szCs w:val="21"/>
              </w:rPr>
              <w:t>5. 每套系统可支持不少于200个无线会议单元，同时发言人数可设定为1-6人，最大支持6个主席同时发言；</w:t>
            </w:r>
          </w:p>
          <w:p w14:paraId="599E3CB3">
            <w:pPr>
              <w:adjustRightInd w:val="0"/>
              <w:snapToGrid w:val="0"/>
              <w:rPr>
                <w:szCs w:val="21"/>
              </w:rPr>
            </w:pPr>
            <w:r>
              <w:rPr>
                <w:rFonts w:hint="eastAsia"/>
                <w:szCs w:val="21"/>
              </w:rPr>
              <w:br w:type="page"/>
            </w:r>
            <w:r>
              <w:rPr>
                <w:rFonts w:hint="eastAsia"/>
                <w:szCs w:val="21"/>
              </w:rPr>
              <w:t>6. 兼容有线会议单元同时使用，具有不少于1组共2路RJ45的话筒单元接口，支持有线网线话筒单元的双边供电，支持20个网线接口的单元。另外具有1路8芯话筒单元接口，支持30个8芯接口的单元；（提供第三方检测机构出具的检验报告复印件）</w:t>
            </w:r>
          </w:p>
          <w:p w14:paraId="66329DC4">
            <w:pPr>
              <w:adjustRightInd w:val="0"/>
              <w:snapToGrid w:val="0"/>
              <w:rPr>
                <w:szCs w:val="21"/>
              </w:rPr>
            </w:pPr>
            <w:r>
              <w:rPr>
                <w:rFonts w:hint="eastAsia"/>
                <w:szCs w:val="21"/>
              </w:rPr>
              <w:br w:type="page"/>
            </w:r>
            <w:r>
              <w:rPr>
                <w:rFonts w:hint="eastAsia"/>
                <w:szCs w:val="21"/>
              </w:rPr>
              <w:t>7. 系统具备会议服务功能，发言单元可申请茶水、纸笔、帮助等服务；</w:t>
            </w:r>
          </w:p>
          <w:p w14:paraId="12AAA814">
            <w:pPr>
              <w:adjustRightInd w:val="0"/>
              <w:snapToGrid w:val="0"/>
              <w:rPr>
                <w:szCs w:val="21"/>
              </w:rPr>
            </w:pPr>
            <w:r>
              <w:rPr>
                <w:rFonts w:hint="eastAsia"/>
                <w:szCs w:val="21"/>
              </w:rPr>
              <w:br w:type="page"/>
            </w:r>
            <w:r>
              <w:rPr>
                <w:rFonts w:hint="eastAsia"/>
                <w:szCs w:val="21"/>
              </w:rPr>
              <w:t>8. 采用高性能DSP处理器对音频进行高低音调节、降噪处理，使声音清晰透彻；配合现场调整参数并有效的抑制啸叫；</w:t>
            </w:r>
          </w:p>
          <w:p w14:paraId="6D509C9E">
            <w:pPr>
              <w:adjustRightInd w:val="0"/>
              <w:snapToGrid w:val="0"/>
              <w:rPr>
                <w:szCs w:val="21"/>
              </w:rPr>
            </w:pPr>
            <w:r>
              <w:rPr>
                <w:rFonts w:hint="eastAsia"/>
                <w:szCs w:val="21"/>
              </w:rPr>
              <w:br w:type="page"/>
            </w:r>
            <w:r>
              <w:rPr>
                <w:rFonts w:hint="eastAsia"/>
                <w:szCs w:val="21"/>
              </w:rPr>
              <w:t>9. 系统主机可设置IP地址，具有TCP/IP网络接口，可连接无线路由器，使用同一局域网内的电脑、手机、平板等设备对主机进行操作设置，支持谷歌Android/微软Windows系统等操作系统；</w:t>
            </w:r>
          </w:p>
          <w:p w14:paraId="0423A88A">
            <w:pPr>
              <w:adjustRightInd w:val="0"/>
              <w:snapToGrid w:val="0"/>
              <w:rPr>
                <w:szCs w:val="21"/>
              </w:rPr>
            </w:pPr>
            <w:r>
              <w:rPr>
                <w:rFonts w:hint="eastAsia"/>
                <w:szCs w:val="21"/>
              </w:rPr>
              <w:br w:type="page"/>
            </w:r>
            <w:r>
              <w:rPr>
                <w:rFonts w:hint="eastAsia"/>
                <w:szCs w:val="21"/>
              </w:rPr>
              <w:t>10. 具有4x1 HDMI高清视频切换接口；</w:t>
            </w:r>
          </w:p>
          <w:p w14:paraId="10179026">
            <w:pPr>
              <w:adjustRightInd w:val="0"/>
              <w:snapToGrid w:val="0"/>
              <w:rPr>
                <w:szCs w:val="21"/>
              </w:rPr>
            </w:pPr>
            <w:r>
              <w:rPr>
                <w:rFonts w:hint="eastAsia"/>
                <w:szCs w:val="21"/>
              </w:rPr>
              <w:br w:type="page"/>
            </w:r>
            <w:r>
              <w:rPr>
                <w:rFonts w:hint="eastAsia"/>
                <w:szCs w:val="21"/>
              </w:rPr>
              <w:t>11. 具有中控代码232接口（3P凤凰插），可连接中控系统，并可接入物联网平台进行统一管理；</w:t>
            </w:r>
          </w:p>
          <w:p w14:paraId="368C50E5">
            <w:pPr>
              <w:adjustRightInd w:val="0"/>
              <w:snapToGrid w:val="0"/>
              <w:rPr>
                <w:szCs w:val="21"/>
              </w:rPr>
            </w:pPr>
            <w:r>
              <w:rPr>
                <w:rFonts w:hint="eastAsia"/>
                <w:szCs w:val="21"/>
              </w:rPr>
              <w:br w:type="page"/>
            </w:r>
            <w:r>
              <w:rPr>
                <w:rFonts w:hint="eastAsia"/>
                <w:szCs w:val="21"/>
              </w:rPr>
              <w:t>12. 不少于1路平衡音频输出接口、1路非平衡音频输出接口，1路非平衡音频输入接口、1路警报信号输入接口。</w:t>
            </w:r>
          </w:p>
        </w:tc>
        <w:tc>
          <w:tcPr>
            <w:tcW w:w="1050" w:type="dxa"/>
            <w:vMerge w:val="continue"/>
            <w:tcBorders>
              <w:left w:val="single" w:color="000000" w:sz="4" w:space="0"/>
              <w:right w:val="single" w:color="000000" w:sz="4" w:space="0"/>
            </w:tcBorders>
            <w:noWrap/>
            <w:tcMar>
              <w:top w:w="15" w:type="dxa"/>
              <w:left w:w="15" w:type="dxa"/>
              <w:right w:w="15" w:type="dxa"/>
            </w:tcMar>
            <w:vAlign w:val="center"/>
          </w:tcPr>
          <w:p w14:paraId="65AA8922">
            <w:pPr>
              <w:jc w:val="center"/>
              <w:rPr>
                <w:rFonts w:ascii="宋体" w:hAnsi="宋体" w:cs="宋体"/>
                <w:color w:val="000000"/>
                <w:sz w:val="24"/>
              </w:rPr>
            </w:pPr>
          </w:p>
        </w:tc>
      </w:tr>
      <w:tr w14:paraId="092F1EFC">
        <w:tblPrEx>
          <w:tblCellMar>
            <w:top w:w="0" w:type="dxa"/>
            <w:left w:w="0" w:type="dxa"/>
            <w:bottom w:w="0" w:type="dxa"/>
            <w:right w:w="0" w:type="dxa"/>
          </w:tblCellMar>
        </w:tblPrEx>
        <w:trPr>
          <w:trHeight w:val="285" w:hRule="atLeast"/>
        </w:trPr>
        <w:tc>
          <w:tcPr>
            <w:tcW w:w="435" w:type="dxa"/>
            <w:tcBorders>
              <w:top w:val="nil"/>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52D5DC89">
            <w:pPr>
              <w:jc w:val="center"/>
            </w:pPr>
            <w:r>
              <w:rPr>
                <w:rFonts w:hint="eastAsia"/>
              </w:rPr>
              <w:t>11</w:t>
            </w:r>
          </w:p>
        </w:tc>
        <w:tc>
          <w:tcPr>
            <w:tcW w:w="1812" w:type="dxa"/>
            <w:tcBorders>
              <w:top w:val="nil"/>
              <w:left w:val="single" w:color="auto" w:sz="4" w:space="0"/>
              <w:bottom w:val="single" w:color="auto" w:sz="4" w:space="0"/>
              <w:right w:val="single" w:color="auto" w:sz="4" w:space="0"/>
            </w:tcBorders>
            <w:tcMar>
              <w:top w:w="15" w:type="dxa"/>
              <w:left w:w="15" w:type="dxa"/>
              <w:right w:w="15" w:type="dxa"/>
            </w:tcMar>
            <w:vAlign w:val="center"/>
          </w:tcPr>
          <w:p w14:paraId="3FD375B9">
            <w:pPr>
              <w:jc w:val="center"/>
            </w:pPr>
            <w:r>
              <w:rPr>
                <w:rFonts w:hint="eastAsia"/>
              </w:rPr>
              <w:t>无线主席单元</w:t>
            </w:r>
          </w:p>
        </w:tc>
        <w:tc>
          <w:tcPr>
            <w:tcW w:w="435" w:type="dxa"/>
            <w:tcBorders>
              <w:top w:val="nil"/>
              <w:left w:val="single" w:color="auto" w:sz="4" w:space="0"/>
              <w:bottom w:val="single" w:color="auto" w:sz="4" w:space="0"/>
              <w:right w:val="single" w:color="auto" w:sz="4" w:space="0"/>
            </w:tcBorders>
            <w:tcMar>
              <w:top w:w="15" w:type="dxa"/>
              <w:left w:w="15" w:type="dxa"/>
              <w:right w:w="15" w:type="dxa"/>
            </w:tcMar>
            <w:vAlign w:val="center"/>
          </w:tcPr>
          <w:p w14:paraId="003A1C7A">
            <w:pPr>
              <w:jc w:val="center"/>
            </w:pPr>
            <w:r>
              <w:rPr>
                <w:rFonts w:hint="eastAsia"/>
              </w:rPr>
              <w:t>1</w:t>
            </w:r>
          </w:p>
        </w:tc>
        <w:tc>
          <w:tcPr>
            <w:tcW w:w="540" w:type="dxa"/>
            <w:tcBorders>
              <w:top w:val="nil"/>
              <w:left w:val="nil"/>
              <w:bottom w:val="single" w:color="auto" w:sz="4" w:space="0"/>
              <w:right w:val="single" w:color="auto" w:sz="4" w:space="0"/>
            </w:tcBorders>
            <w:tcMar>
              <w:top w:w="15" w:type="dxa"/>
              <w:left w:w="15" w:type="dxa"/>
              <w:right w:w="15" w:type="dxa"/>
            </w:tcMar>
            <w:vAlign w:val="center"/>
          </w:tcPr>
          <w:p w14:paraId="0ACAD94F">
            <w:pPr>
              <w:jc w:val="center"/>
            </w:pPr>
            <w:r>
              <w:rPr>
                <w:rFonts w:hint="eastAsia"/>
              </w:rPr>
              <w:t>台</w:t>
            </w:r>
          </w:p>
        </w:tc>
        <w:tc>
          <w:tcPr>
            <w:tcW w:w="1245" w:type="dxa"/>
            <w:tcBorders>
              <w:top w:val="nil"/>
              <w:left w:val="single" w:color="auto" w:sz="4" w:space="0"/>
              <w:bottom w:val="single" w:color="auto" w:sz="4" w:space="0"/>
              <w:right w:val="single" w:color="auto" w:sz="4" w:space="0"/>
            </w:tcBorders>
            <w:tcMar>
              <w:top w:w="15" w:type="dxa"/>
              <w:left w:w="15" w:type="dxa"/>
              <w:right w:w="15" w:type="dxa"/>
            </w:tcMar>
            <w:vAlign w:val="center"/>
          </w:tcPr>
          <w:p w14:paraId="68837DE6">
            <w:pPr>
              <w:jc w:val="center"/>
            </w:pPr>
            <w:r>
              <w:rPr>
                <w:rFonts w:hint="eastAsia"/>
              </w:rPr>
              <w:t>1600.00</w:t>
            </w:r>
          </w:p>
        </w:tc>
        <w:tc>
          <w:tcPr>
            <w:tcW w:w="9825" w:type="dxa"/>
            <w:tcBorders>
              <w:top w:val="nil"/>
              <w:left w:val="single" w:color="auto" w:sz="4" w:space="0"/>
              <w:bottom w:val="single" w:color="auto" w:sz="4" w:space="0"/>
              <w:right w:val="single" w:color="auto" w:sz="4" w:space="0"/>
            </w:tcBorders>
            <w:noWrap/>
            <w:tcMar>
              <w:top w:w="15" w:type="dxa"/>
              <w:left w:w="15" w:type="dxa"/>
              <w:right w:w="15" w:type="dxa"/>
            </w:tcMar>
            <w:vAlign w:val="center"/>
          </w:tcPr>
          <w:p w14:paraId="3DC9449C">
            <w:pPr>
              <w:adjustRightInd w:val="0"/>
              <w:snapToGrid w:val="0"/>
              <w:rPr>
                <w:szCs w:val="21"/>
              </w:rPr>
            </w:pPr>
            <w:r>
              <w:rPr>
                <w:rFonts w:hint="eastAsia"/>
                <w:szCs w:val="21"/>
              </w:rPr>
              <w:t xml:space="preserve">1. 符合人体工程学的金属面板设计； </w:t>
            </w:r>
          </w:p>
          <w:p w14:paraId="78652818">
            <w:pPr>
              <w:adjustRightInd w:val="0"/>
              <w:snapToGrid w:val="0"/>
              <w:rPr>
                <w:szCs w:val="21"/>
              </w:rPr>
            </w:pPr>
            <w:r>
              <w:rPr>
                <w:rFonts w:hint="eastAsia"/>
                <w:szCs w:val="21"/>
              </w:rPr>
              <w:t xml:space="preserve">2. 采用压铸式铝合金多菱角方形麦克风，通过固定接头连接话筒底座，可调俯仰角度; </w:t>
            </w:r>
          </w:p>
          <w:p w14:paraId="5F8A36D5">
            <w:pPr>
              <w:adjustRightInd w:val="0"/>
              <w:snapToGrid w:val="0"/>
              <w:rPr>
                <w:szCs w:val="21"/>
              </w:rPr>
            </w:pPr>
            <w:r>
              <w:rPr>
                <w:rFonts w:hint="eastAsia"/>
                <w:szCs w:val="21"/>
              </w:rPr>
              <w:t>3. 内置完全隔离的主麦克风及备份麦克风，两路音频信号同时输出，主麦克风所在系统出现故障时，不影响备份麦克风输出，</w:t>
            </w:r>
          </w:p>
          <w:p w14:paraId="0074E8FB">
            <w:pPr>
              <w:adjustRightInd w:val="0"/>
              <w:snapToGrid w:val="0"/>
              <w:rPr>
                <w:szCs w:val="21"/>
              </w:rPr>
            </w:pPr>
            <w:r>
              <w:rPr>
                <w:rFonts w:hint="eastAsia"/>
                <w:szCs w:val="21"/>
              </w:rPr>
              <w:t>4. 话筒头部带三个LED显示灯，用于显示发言状态，</w:t>
            </w:r>
          </w:p>
          <w:p w14:paraId="31BAA639">
            <w:pPr>
              <w:adjustRightInd w:val="0"/>
              <w:snapToGrid w:val="0"/>
              <w:rPr>
                <w:szCs w:val="21"/>
              </w:rPr>
            </w:pPr>
            <w:r>
              <w:rPr>
                <w:rFonts w:hint="eastAsia"/>
                <w:szCs w:val="21"/>
              </w:rPr>
              <w:t>5. 灵敏的触摸式开关，待机未按时图案常亮发光绿色，按下后图案常亮发光红色</w:t>
            </w:r>
          </w:p>
          <w:p w14:paraId="15325401">
            <w:pPr>
              <w:adjustRightInd w:val="0"/>
              <w:snapToGrid w:val="0"/>
              <w:rPr>
                <w:szCs w:val="21"/>
              </w:rPr>
            </w:pPr>
            <w:r>
              <w:rPr>
                <w:rFonts w:hint="eastAsia"/>
                <w:szCs w:val="21"/>
              </w:rPr>
              <w:t>6. 2.4寸高亮度IPS TFT显示屏，显示内容清晰，可以显示话筒状态、通道地址、电池电量、单元参数、日期时间、发言音量等；</w:t>
            </w:r>
          </w:p>
          <w:p w14:paraId="69AEED60">
            <w:pPr>
              <w:adjustRightInd w:val="0"/>
              <w:snapToGrid w:val="0"/>
              <w:rPr>
                <w:szCs w:val="21"/>
              </w:rPr>
            </w:pPr>
            <w:r>
              <w:rPr>
                <w:rFonts w:hint="eastAsia"/>
                <w:szCs w:val="21"/>
              </w:rPr>
              <w:t xml:space="preserve">7. 内置高性能锂电池，自带TYPE-C接口，可以边充电边使用； </w:t>
            </w:r>
          </w:p>
          <w:p w14:paraId="5F4B1283">
            <w:pPr>
              <w:adjustRightInd w:val="0"/>
              <w:snapToGrid w:val="0"/>
              <w:rPr>
                <w:szCs w:val="21"/>
              </w:rPr>
            </w:pPr>
            <w:r>
              <w:rPr>
                <w:rFonts w:hint="eastAsia"/>
                <w:szCs w:val="21"/>
              </w:rPr>
              <w:t xml:space="preserve">8. 话筒带发言计时功能； </w:t>
            </w:r>
          </w:p>
          <w:p w14:paraId="5F49C888">
            <w:pPr>
              <w:adjustRightInd w:val="0"/>
              <w:snapToGrid w:val="0"/>
              <w:rPr>
                <w:szCs w:val="21"/>
              </w:rPr>
            </w:pPr>
            <w:r>
              <w:rPr>
                <w:rFonts w:hint="eastAsia"/>
                <w:szCs w:val="21"/>
              </w:rPr>
              <w:t xml:space="preserve">9. 主席单元不受发言人数限制； </w:t>
            </w:r>
          </w:p>
          <w:p w14:paraId="63F47B78">
            <w:pPr>
              <w:adjustRightInd w:val="0"/>
              <w:snapToGrid w:val="0"/>
              <w:rPr>
                <w:szCs w:val="21"/>
              </w:rPr>
            </w:pPr>
            <w:r>
              <w:rPr>
                <w:rFonts w:hint="eastAsia"/>
                <w:szCs w:val="21"/>
              </w:rPr>
              <w:t>10. 提供该产品第三方检测机构出具的检验报告复印件。</w:t>
            </w:r>
          </w:p>
        </w:tc>
        <w:tc>
          <w:tcPr>
            <w:tcW w:w="1050" w:type="dxa"/>
            <w:vMerge w:val="continue"/>
            <w:tcBorders>
              <w:left w:val="single" w:color="000000" w:sz="4" w:space="0"/>
              <w:right w:val="single" w:color="000000" w:sz="4" w:space="0"/>
            </w:tcBorders>
            <w:noWrap/>
            <w:tcMar>
              <w:top w:w="15" w:type="dxa"/>
              <w:left w:w="15" w:type="dxa"/>
              <w:right w:w="15" w:type="dxa"/>
            </w:tcMar>
            <w:vAlign w:val="center"/>
          </w:tcPr>
          <w:p w14:paraId="4462B6B0">
            <w:pPr>
              <w:jc w:val="center"/>
              <w:rPr>
                <w:rFonts w:ascii="宋体" w:hAnsi="宋体" w:cs="宋体"/>
                <w:color w:val="000000"/>
                <w:sz w:val="24"/>
              </w:rPr>
            </w:pPr>
          </w:p>
        </w:tc>
      </w:tr>
      <w:tr w14:paraId="22E6E958">
        <w:tblPrEx>
          <w:tblCellMar>
            <w:top w:w="0" w:type="dxa"/>
            <w:left w:w="0" w:type="dxa"/>
            <w:bottom w:w="0" w:type="dxa"/>
            <w:right w:w="0" w:type="dxa"/>
          </w:tblCellMar>
        </w:tblPrEx>
        <w:trPr>
          <w:trHeight w:val="285" w:hRule="atLeast"/>
        </w:trPr>
        <w:tc>
          <w:tcPr>
            <w:tcW w:w="435" w:type="dxa"/>
            <w:tcBorders>
              <w:top w:val="nil"/>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1FB0132C">
            <w:pPr>
              <w:jc w:val="center"/>
            </w:pPr>
            <w:r>
              <w:rPr>
                <w:rFonts w:hint="eastAsia"/>
              </w:rPr>
              <w:t>12</w:t>
            </w:r>
          </w:p>
        </w:tc>
        <w:tc>
          <w:tcPr>
            <w:tcW w:w="1812" w:type="dxa"/>
            <w:tcBorders>
              <w:top w:val="nil"/>
              <w:left w:val="single" w:color="auto" w:sz="4" w:space="0"/>
              <w:bottom w:val="single" w:color="auto" w:sz="4" w:space="0"/>
              <w:right w:val="single" w:color="auto" w:sz="4" w:space="0"/>
            </w:tcBorders>
            <w:tcMar>
              <w:top w:w="15" w:type="dxa"/>
              <w:left w:w="15" w:type="dxa"/>
              <w:right w:w="15" w:type="dxa"/>
            </w:tcMar>
            <w:vAlign w:val="center"/>
          </w:tcPr>
          <w:p w14:paraId="07F54615">
            <w:pPr>
              <w:jc w:val="center"/>
            </w:pPr>
            <w:r>
              <w:rPr>
                <w:rFonts w:hint="eastAsia"/>
              </w:rPr>
              <w:t>无线客席单元2</w:t>
            </w:r>
          </w:p>
        </w:tc>
        <w:tc>
          <w:tcPr>
            <w:tcW w:w="435" w:type="dxa"/>
            <w:tcBorders>
              <w:top w:val="nil"/>
              <w:left w:val="single" w:color="auto" w:sz="4" w:space="0"/>
              <w:bottom w:val="single" w:color="auto" w:sz="4" w:space="0"/>
              <w:right w:val="single" w:color="auto" w:sz="4" w:space="0"/>
            </w:tcBorders>
            <w:tcMar>
              <w:top w:w="15" w:type="dxa"/>
              <w:left w:w="15" w:type="dxa"/>
              <w:right w:w="15" w:type="dxa"/>
            </w:tcMar>
            <w:vAlign w:val="center"/>
          </w:tcPr>
          <w:p w14:paraId="59F6F714">
            <w:pPr>
              <w:jc w:val="center"/>
            </w:pPr>
            <w:r>
              <w:rPr>
                <w:rFonts w:hint="eastAsia"/>
              </w:rPr>
              <w:t>7</w:t>
            </w:r>
          </w:p>
        </w:tc>
        <w:tc>
          <w:tcPr>
            <w:tcW w:w="540" w:type="dxa"/>
            <w:tcBorders>
              <w:top w:val="nil"/>
              <w:left w:val="nil"/>
              <w:bottom w:val="single" w:color="auto" w:sz="4" w:space="0"/>
              <w:right w:val="single" w:color="auto" w:sz="4" w:space="0"/>
            </w:tcBorders>
            <w:tcMar>
              <w:top w:w="15" w:type="dxa"/>
              <w:left w:w="15" w:type="dxa"/>
              <w:right w:w="15" w:type="dxa"/>
            </w:tcMar>
            <w:vAlign w:val="center"/>
          </w:tcPr>
          <w:p w14:paraId="0B29B727">
            <w:pPr>
              <w:jc w:val="center"/>
            </w:pPr>
            <w:r>
              <w:rPr>
                <w:rFonts w:hint="eastAsia"/>
              </w:rPr>
              <w:t>台</w:t>
            </w:r>
          </w:p>
        </w:tc>
        <w:tc>
          <w:tcPr>
            <w:tcW w:w="1245" w:type="dxa"/>
            <w:tcBorders>
              <w:top w:val="nil"/>
              <w:left w:val="single" w:color="auto" w:sz="4" w:space="0"/>
              <w:bottom w:val="single" w:color="auto" w:sz="4" w:space="0"/>
              <w:right w:val="single" w:color="auto" w:sz="4" w:space="0"/>
            </w:tcBorders>
            <w:tcMar>
              <w:top w:w="15" w:type="dxa"/>
              <w:left w:w="15" w:type="dxa"/>
              <w:right w:w="15" w:type="dxa"/>
            </w:tcMar>
            <w:vAlign w:val="center"/>
          </w:tcPr>
          <w:p w14:paraId="0D7E5F1C">
            <w:pPr>
              <w:jc w:val="center"/>
            </w:pPr>
            <w:r>
              <w:rPr>
                <w:rFonts w:hint="eastAsia"/>
              </w:rPr>
              <w:t>1600.00</w:t>
            </w:r>
          </w:p>
        </w:tc>
        <w:tc>
          <w:tcPr>
            <w:tcW w:w="9825" w:type="dxa"/>
            <w:tcBorders>
              <w:top w:val="nil"/>
              <w:left w:val="single" w:color="auto" w:sz="4" w:space="0"/>
              <w:bottom w:val="single" w:color="auto" w:sz="4" w:space="0"/>
              <w:right w:val="single" w:color="auto" w:sz="4" w:space="0"/>
            </w:tcBorders>
            <w:noWrap/>
            <w:tcMar>
              <w:top w:w="15" w:type="dxa"/>
              <w:left w:w="15" w:type="dxa"/>
              <w:right w:w="15" w:type="dxa"/>
            </w:tcMar>
            <w:vAlign w:val="center"/>
          </w:tcPr>
          <w:p w14:paraId="70D42F28">
            <w:pPr>
              <w:adjustRightInd w:val="0"/>
              <w:snapToGrid w:val="0"/>
              <w:rPr>
                <w:szCs w:val="21"/>
              </w:rPr>
            </w:pPr>
            <w:r>
              <w:rPr>
                <w:rFonts w:hint="eastAsia"/>
                <w:szCs w:val="21"/>
              </w:rPr>
              <w:t xml:space="preserve">1. 符合人体工程学的金属面板设计； </w:t>
            </w:r>
          </w:p>
          <w:p w14:paraId="2E111285">
            <w:pPr>
              <w:adjustRightInd w:val="0"/>
              <w:snapToGrid w:val="0"/>
              <w:rPr>
                <w:szCs w:val="21"/>
              </w:rPr>
            </w:pPr>
            <w:r>
              <w:rPr>
                <w:rFonts w:hint="eastAsia"/>
                <w:szCs w:val="21"/>
              </w:rPr>
              <w:t xml:space="preserve">2. 采用压铸式铝合金多菱角方形麦克风，通过固定接头连接话筒底座，可调俯仰角度； </w:t>
            </w:r>
          </w:p>
          <w:p w14:paraId="033BE970">
            <w:pPr>
              <w:adjustRightInd w:val="0"/>
              <w:snapToGrid w:val="0"/>
              <w:rPr>
                <w:szCs w:val="21"/>
              </w:rPr>
            </w:pPr>
            <w:r>
              <w:rPr>
                <w:rFonts w:hint="eastAsia"/>
                <w:szCs w:val="21"/>
              </w:rPr>
              <w:t xml:space="preserve">3. 内置完全隔离的主麦克风及备份麦克风，两路音频信号同时输出，主麦克风所在系统出现故障时，不影响备份麦克风输出； </w:t>
            </w:r>
          </w:p>
          <w:p w14:paraId="3DF6AB4A">
            <w:pPr>
              <w:adjustRightInd w:val="0"/>
              <w:snapToGrid w:val="0"/>
              <w:rPr>
                <w:szCs w:val="21"/>
              </w:rPr>
            </w:pPr>
            <w:r>
              <w:rPr>
                <w:rFonts w:hint="eastAsia"/>
                <w:szCs w:val="21"/>
              </w:rPr>
              <w:t xml:space="preserve">4. 话筒头部带三个LED显示灯，用于显示发言状态； </w:t>
            </w:r>
          </w:p>
          <w:p w14:paraId="373EFF55">
            <w:pPr>
              <w:adjustRightInd w:val="0"/>
              <w:snapToGrid w:val="0"/>
              <w:rPr>
                <w:szCs w:val="21"/>
              </w:rPr>
            </w:pPr>
            <w:r>
              <w:rPr>
                <w:rFonts w:hint="eastAsia"/>
                <w:szCs w:val="21"/>
              </w:rPr>
              <w:t>5. 灵敏的触摸式开关，待机未按时图案常亮发光绿色，按下后图案常亮发光红色；</w:t>
            </w:r>
          </w:p>
          <w:p w14:paraId="53AD1ED2">
            <w:pPr>
              <w:adjustRightInd w:val="0"/>
              <w:snapToGrid w:val="0"/>
              <w:rPr>
                <w:szCs w:val="21"/>
              </w:rPr>
            </w:pPr>
            <w:r>
              <w:rPr>
                <w:rFonts w:hint="eastAsia"/>
                <w:szCs w:val="21"/>
              </w:rPr>
              <w:t xml:space="preserve">6. 2.4寸高亮度IPS TFT显示屏，显示内容清晰，可以显示话筒状态、通道地址、电池电量、单元参数、日期时间、发言音量等，清晰了解当前的使用情况； </w:t>
            </w:r>
          </w:p>
          <w:p w14:paraId="0A415339">
            <w:pPr>
              <w:adjustRightInd w:val="0"/>
              <w:snapToGrid w:val="0"/>
              <w:rPr>
                <w:szCs w:val="21"/>
              </w:rPr>
            </w:pPr>
            <w:r>
              <w:rPr>
                <w:rFonts w:hint="eastAsia"/>
                <w:szCs w:val="21"/>
              </w:rPr>
              <w:t xml:space="preserve">7. 内置高性能锂电池，自带TYPE-C接口，可以边充电边使用； </w:t>
            </w:r>
          </w:p>
          <w:p w14:paraId="20AE0D63">
            <w:pPr>
              <w:adjustRightInd w:val="0"/>
              <w:snapToGrid w:val="0"/>
              <w:rPr>
                <w:szCs w:val="21"/>
              </w:rPr>
            </w:pPr>
            <w:r>
              <w:rPr>
                <w:rFonts w:hint="eastAsia"/>
                <w:szCs w:val="21"/>
              </w:rPr>
              <w:t xml:space="preserve">8. 话筒带发言计时功能； </w:t>
            </w:r>
          </w:p>
          <w:p w14:paraId="4F1D8112">
            <w:pPr>
              <w:adjustRightInd w:val="0"/>
              <w:snapToGrid w:val="0"/>
              <w:rPr>
                <w:szCs w:val="21"/>
              </w:rPr>
            </w:pPr>
            <w:r>
              <w:rPr>
                <w:rFonts w:hint="eastAsia"/>
                <w:szCs w:val="21"/>
              </w:rPr>
              <w:t xml:space="preserve">9. 主席单元不受发言人数限制； </w:t>
            </w:r>
          </w:p>
          <w:p w14:paraId="667008FA">
            <w:pPr>
              <w:adjustRightInd w:val="0"/>
              <w:snapToGrid w:val="0"/>
              <w:rPr>
                <w:szCs w:val="21"/>
              </w:rPr>
            </w:pPr>
            <w:r>
              <w:rPr>
                <w:rFonts w:hint="eastAsia"/>
                <w:szCs w:val="21"/>
              </w:rPr>
              <w:t>10. 提供该产品第三方检测机构出具的检验报告复印件。</w:t>
            </w:r>
          </w:p>
        </w:tc>
        <w:tc>
          <w:tcPr>
            <w:tcW w:w="1050" w:type="dxa"/>
            <w:vMerge w:val="continue"/>
            <w:tcBorders>
              <w:left w:val="single" w:color="000000" w:sz="4" w:space="0"/>
              <w:right w:val="single" w:color="000000" w:sz="4" w:space="0"/>
            </w:tcBorders>
            <w:noWrap/>
            <w:tcMar>
              <w:top w:w="15" w:type="dxa"/>
              <w:left w:w="15" w:type="dxa"/>
              <w:right w:w="15" w:type="dxa"/>
            </w:tcMar>
            <w:vAlign w:val="center"/>
          </w:tcPr>
          <w:p w14:paraId="546E80DE">
            <w:pPr>
              <w:jc w:val="center"/>
              <w:rPr>
                <w:rFonts w:ascii="宋体" w:hAnsi="宋体" w:cs="宋体"/>
                <w:color w:val="000000"/>
                <w:sz w:val="24"/>
              </w:rPr>
            </w:pPr>
          </w:p>
        </w:tc>
      </w:tr>
      <w:tr w14:paraId="3B519545">
        <w:tblPrEx>
          <w:tblCellMar>
            <w:top w:w="0" w:type="dxa"/>
            <w:left w:w="0" w:type="dxa"/>
            <w:bottom w:w="0" w:type="dxa"/>
            <w:right w:w="0" w:type="dxa"/>
          </w:tblCellMar>
        </w:tblPrEx>
        <w:trPr>
          <w:trHeight w:val="285" w:hRule="atLeast"/>
        </w:trPr>
        <w:tc>
          <w:tcPr>
            <w:tcW w:w="435" w:type="dxa"/>
            <w:tcBorders>
              <w:top w:val="nil"/>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37098C20">
            <w:pPr>
              <w:jc w:val="center"/>
            </w:pPr>
            <w:r>
              <w:rPr>
                <w:rFonts w:hint="eastAsia"/>
              </w:rPr>
              <w:t>13</w:t>
            </w:r>
          </w:p>
        </w:tc>
        <w:tc>
          <w:tcPr>
            <w:tcW w:w="1812" w:type="dxa"/>
            <w:tcBorders>
              <w:top w:val="nil"/>
              <w:left w:val="single" w:color="auto" w:sz="4" w:space="0"/>
              <w:bottom w:val="single" w:color="auto" w:sz="4" w:space="0"/>
              <w:right w:val="single" w:color="auto" w:sz="4" w:space="0"/>
            </w:tcBorders>
            <w:tcMar>
              <w:top w:w="15" w:type="dxa"/>
              <w:left w:w="15" w:type="dxa"/>
              <w:right w:w="15" w:type="dxa"/>
            </w:tcMar>
            <w:vAlign w:val="center"/>
          </w:tcPr>
          <w:p w14:paraId="0E5FEA64">
            <w:pPr>
              <w:jc w:val="center"/>
            </w:pPr>
            <w:r>
              <w:rPr>
                <w:rFonts w:hint="eastAsia"/>
              </w:rPr>
              <w:t>控制信号扩展器</w:t>
            </w:r>
          </w:p>
        </w:tc>
        <w:tc>
          <w:tcPr>
            <w:tcW w:w="435" w:type="dxa"/>
            <w:tcBorders>
              <w:top w:val="nil"/>
              <w:left w:val="single" w:color="auto" w:sz="4" w:space="0"/>
              <w:bottom w:val="single" w:color="auto" w:sz="4" w:space="0"/>
              <w:right w:val="single" w:color="auto" w:sz="4" w:space="0"/>
            </w:tcBorders>
            <w:tcMar>
              <w:top w:w="15" w:type="dxa"/>
              <w:left w:w="15" w:type="dxa"/>
              <w:right w:w="15" w:type="dxa"/>
            </w:tcMar>
            <w:vAlign w:val="center"/>
          </w:tcPr>
          <w:p w14:paraId="78BA86EE">
            <w:pPr>
              <w:jc w:val="center"/>
            </w:pPr>
            <w:r>
              <w:rPr>
                <w:rFonts w:hint="eastAsia"/>
              </w:rPr>
              <w:t>1</w:t>
            </w:r>
          </w:p>
        </w:tc>
        <w:tc>
          <w:tcPr>
            <w:tcW w:w="540" w:type="dxa"/>
            <w:tcBorders>
              <w:top w:val="nil"/>
              <w:left w:val="nil"/>
              <w:bottom w:val="single" w:color="auto" w:sz="4" w:space="0"/>
              <w:right w:val="single" w:color="auto" w:sz="4" w:space="0"/>
            </w:tcBorders>
            <w:tcMar>
              <w:top w:w="15" w:type="dxa"/>
              <w:left w:w="15" w:type="dxa"/>
              <w:right w:w="15" w:type="dxa"/>
            </w:tcMar>
            <w:vAlign w:val="center"/>
          </w:tcPr>
          <w:p w14:paraId="6FFA1F2A">
            <w:pPr>
              <w:jc w:val="center"/>
            </w:pPr>
            <w:r>
              <w:rPr>
                <w:rFonts w:hint="eastAsia"/>
              </w:rPr>
              <w:t>个</w:t>
            </w:r>
          </w:p>
        </w:tc>
        <w:tc>
          <w:tcPr>
            <w:tcW w:w="1245" w:type="dxa"/>
            <w:tcBorders>
              <w:top w:val="nil"/>
              <w:left w:val="single" w:color="auto" w:sz="4" w:space="0"/>
              <w:bottom w:val="single" w:color="auto" w:sz="4" w:space="0"/>
              <w:right w:val="single" w:color="auto" w:sz="4" w:space="0"/>
            </w:tcBorders>
            <w:tcMar>
              <w:top w:w="15" w:type="dxa"/>
              <w:left w:w="15" w:type="dxa"/>
              <w:right w:w="15" w:type="dxa"/>
            </w:tcMar>
            <w:vAlign w:val="center"/>
          </w:tcPr>
          <w:p w14:paraId="27E15F35">
            <w:pPr>
              <w:jc w:val="center"/>
            </w:pPr>
            <w:r>
              <w:rPr>
                <w:rFonts w:hint="eastAsia"/>
              </w:rPr>
              <w:t>900.00</w:t>
            </w:r>
          </w:p>
        </w:tc>
        <w:tc>
          <w:tcPr>
            <w:tcW w:w="9825" w:type="dxa"/>
            <w:tcBorders>
              <w:top w:val="nil"/>
              <w:left w:val="single" w:color="auto" w:sz="4" w:space="0"/>
              <w:bottom w:val="single" w:color="auto" w:sz="4" w:space="0"/>
              <w:right w:val="single" w:color="auto" w:sz="4" w:space="0"/>
            </w:tcBorders>
            <w:noWrap/>
            <w:tcMar>
              <w:top w:w="15" w:type="dxa"/>
              <w:left w:w="15" w:type="dxa"/>
              <w:right w:w="15" w:type="dxa"/>
            </w:tcMar>
            <w:vAlign w:val="center"/>
          </w:tcPr>
          <w:p w14:paraId="1926BFF5">
            <w:pPr>
              <w:adjustRightInd w:val="0"/>
              <w:snapToGrid w:val="0"/>
              <w:rPr>
                <w:szCs w:val="21"/>
              </w:rPr>
            </w:pPr>
            <w:r>
              <w:rPr>
                <w:rFonts w:hint="eastAsia"/>
                <w:szCs w:val="21"/>
              </w:rPr>
              <w:t xml:space="preserve">1. 支持无线会议主机控制信号扩展覆盖，单个收发半径≥38米； </w:t>
            </w:r>
          </w:p>
          <w:p w14:paraId="50C135BC">
            <w:pPr>
              <w:adjustRightInd w:val="0"/>
              <w:snapToGrid w:val="0"/>
              <w:rPr>
                <w:szCs w:val="21"/>
              </w:rPr>
            </w:pPr>
            <w:r>
              <w:rPr>
                <w:rFonts w:hint="eastAsia"/>
                <w:szCs w:val="21"/>
              </w:rPr>
              <w:t xml:space="preserve">2. 电压≥DC24V； </w:t>
            </w:r>
          </w:p>
          <w:p w14:paraId="50A56F5F">
            <w:pPr>
              <w:adjustRightInd w:val="0"/>
              <w:snapToGrid w:val="0"/>
              <w:rPr>
                <w:szCs w:val="21"/>
              </w:rPr>
            </w:pPr>
            <w:r>
              <w:rPr>
                <w:rFonts w:hint="eastAsia"/>
                <w:szCs w:val="21"/>
              </w:rPr>
              <w:t xml:space="preserve">3. 传输方式：双向 UHF无线方式； </w:t>
            </w:r>
          </w:p>
          <w:p w14:paraId="219C06C5">
            <w:pPr>
              <w:adjustRightInd w:val="0"/>
              <w:snapToGrid w:val="0"/>
              <w:rPr>
                <w:szCs w:val="21"/>
              </w:rPr>
            </w:pPr>
            <w:r>
              <w:rPr>
                <w:rFonts w:hint="eastAsia"/>
                <w:szCs w:val="21"/>
              </w:rPr>
              <w:t xml:space="preserve">4. 信道数≥20; </w:t>
            </w:r>
          </w:p>
          <w:p w14:paraId="03BF699D">
            <w:pPr>
              <w:adjustRightInd w:val="0"/>
              <w:snapToGrid w:val="0"/>
              <w:rPr>
                <w:szCs w:val="21"/>
              </w:rPr>
            </w:pPr>
            <w:r>
              <w:rPr>
                <w:rFonts w:hint="eastAsia"/>
                <w:szCs w:val="21"/>
              </w:rPr>
              <w:t>5. 调制方式：FSK。</w:t>
            </w:r>
          </w:p>
        </w:tc>
        <w:tc>
          <w:tcPr>
            <w:tcW w:w="1050" w:type="dxa"/>
            <w:vMerge w:val="continue"/>
            <w:tcBorders>
              <w:left w:val="single" w:color="000000" w:sz="4" w:space="0"/>
              <w:right w:val="single" w:color="000000" w:sz="4" w:space="0"/>
            </w:tcBorders>
            <w:noWrap/>
            <w:tcMar>
              <w:top w:w="15" w:type="dxa"/>
              <w:left w:w="15" w:type="dxa"/>
              <w:right w:w="15" w:type="dxa"/>
            </w:tcMar>
            <w:vAlign w:val="center"/>
          </w:tcPr>
          <w:p w14:paraId="53B85978">
            <w:pPr>
              <w:jc w:val="center"/>
              <w:rPr>
                <w:rFonts w:ascii="宋体" w:hAnsi="宋体" w:cs="宋体"/>
                <w:color w:val="000000"/>
                <w:sz w:val="24"/>
              </w:rPr>
            </w:pPr>
          </w:p>
        </w:tc>
      </w:tr>
      <w:tr w14:paraId="030662F5">
        <w:tblPrEx>
          <w:tblCellMar>
            <w:top w:w="0" w:type="dxa"/>
            <w:left w:w="0" w:type="dxa"/>
            <w:bottom w:w="0" w:type="dxa"/>
            <w:right w:w="0" w:type="dxa"/>
          </w:tblCellMar>
        </w:tblPrEx>
        <w:trPr>
          <w:trHeight w:val="285" w:hRule="atLeast"/>
        </w:trPr>
        <w:tc>
          <w:tcPr>
            <w:tcW w:w="435" w:type="dxa"/>
            <w:tcBorders>
              <w:top w:val="nil"/>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5FE2921F">
            <w:pPr>
              <w:jc w:val="center"/>
            </w:pPr>
            <w:r>
              <w:rPr>
                <w:rFonts w:hint="eastAsia"/>
              </w:rPr>
              <w:t>14</w:t>
            </w:r>
          </w:p>
        </w:tc>
        <w:tc>
          <w:tcPr>
            <w:tcW w:w="1812" w:type="dxa"/>
            <w:tcBorders>
              <w:top w:val="nil"/>
              <w:left w:val="single" w:color="auto" w:sz="4" w:space="0"/>
              <w:bottom w:val="single" w:color="auto" w:sz="4" w:space="0"/>
              <w:right w:val="single" w:color="auto" w:sz="4" w:space="0"/>
            </w:tcBorders>
            <w:tcMar>
              <w:top w:w="15" w:type="dxa"/>
              <w:left w:w="15" w:type="dxa"/>
              <w:right w:w="15" w:type="dxa"/>
            </w:tcMar>
            <w:vAlign w:val="center"/>
          </w:tcPr>
          <w:p w14:paraId="20C8B46C">
            <w:pPr>
              <w:jc w:val="center"/>
            </w:pPr>
            <w:r>
              <w:rPr>
                <w:rFonts w:hint="eastAsia"/>
              </w:rPr>
              <w:t>一拖二无线手持话筒</w:t>
            </w:r>
          </w:p>
        </w:tc>
        <w:tc>
          <w:tcPr>
            <w:tcW w:w="435" w:type="dxa"/>
            <w:tcBorders>
              <w:top w:val="nil"/>
              <w:left w:val="single" w:color="auto" w:sz="4" w:space="0"/>
              <w:bottom w:val="single" w:color="auto" w:sz="4" w:space="0"/>
              <w:right w:val="single" w:color="auto" w:sz="4" w:space="0"/>
            </w:tcBorders>
            <w:tcMar>
              <w:top w:w="15" w:type="dxa"/>
              <w:left w:w="15" w:type="dxa"/>
              <w:right w:w="15" w:type="dxa"/>
            </w:tcMar>
            <w:vAlign w:val="center"/>
          </w:tcPr>
          <w:p w14:paraId="1A31986D">
            <w:pPr>
              <w:jc w:val="center"/>
            </w:pPr>
            <w:r>
              <w:rPr>
                <w:rFonts w:hint="eastAsia"/>
              </w:rPr>
              <w:t>1</w:t>
            </w:r>
          </w:p>
        </w:tc>
        <w:tc>
          <w:tcPr>
            <w:tcW w:w="540" w:type="dxa"/>
            <w:tcBorders>
              <w:top w:val="nil"/>
              <w:left w:val="nil"/>
              <w:bottom w:val="single" w:color="auto" w:sz="4" w:space="0"/>
              <w:right w:val="single" w:color="auto" w:sz="4" w:space="0"/>
            </w:tcBorders>
            <w:tcMar>
              <w:top w:w="15" w:type="dxa"/>
              <w:left w:w="15" w:type="dxa"/>
              <w:right w:w="15" w:type="dxa"/>
            </w:tcMar>
            <w:vAlign w:val="center"/>
          </w:tcPr>
          <w:p w14:paraId="688071A8">
            <w:pPr>
              <w:jc w:val="center"/>
            </w:pPr>
            <w:r>
              <w:rPr>
                <w:rFonts w:hint="eastAsia"/>
              </w:rPr>
              <w:t>套</w:t>
            </w:r>
          </w:p>
        </w:tc>
        <w:tc>
          <w:tcPr>
            <w:tcW w:w="1245" w:type="dxa"/>
            <w:tcBorders>
              <w:top w:val="nil"/>
              <w:left w:val="single" w:color="auto" w:sz="4" w:space="0"/>
              <w:bottom w:val="single" w:color="auto" w:sz="4" w:space="0"/>
              <w:right w:val="single" w:color="auto" w:sz="4" w:space="0"/>
            </w:tcBorders>
            <w:tcMar>
              <w:top w:w="15" w:type="dxa"/>
              <w:left w:w="15" w:type="dxa"/>
              <w:right w:w="15" w:type="dxa"/>
            </w:tcMar>
            <w:vAlign w:val="center"/>
          </w:tcPr>
          <w:p w14:paraId="6C85FBA4">
            <w:pPr>
              <w:jc w:val="center"/>
            </w:pPr>
            <w:r>
              <w:rPr>
                <w:rFonts w:hint="eastAsia"/>
              </w:rPr>
              <w:t>3100.00</w:t>
            </w:r>
          </w:p>
        </w:tc>
        <w:tc>
          <w:tcPr>
            <w:tcW w:w="9825" w:type="dxa"/>
            <w:tcBorders>
              <w:top w:val="nil"/>
              <w:left w:val="single" w:color="auto" w:sz="4" w:space="0"/>
              <w:bottom w:val="single" w:color="auto" w:sz="4" w:space="0"/>
              <w:right w:val="single" w:color="auto" w:sz="4" w:space="0"/>
            </w:tcBorders>
            <w:noWrap/>
            <w:tcMar>
              <w:top w:w="15" w:type="dxa"/>
              <w:left w:w="15" w:type="dxa"/>
              <w:right w:w="15" w:type="dxa"/>
            </w:tcMar>
            <w:vAlign w:val="center"/>
          </w:tcPr>
          <w:p w14:paraId="4EBDDD47">
            <w:pPr>
              <w:adjustRightInd w:val="0"/>
              <w:snapToGrid w:val="0"/>
              <w:rPr>
                <w:szCs w:val="21"/>
              </w:rPr>
            </w:pPr>
            <w:r>
              <w:rPr>
                <w:rFonts w:hint="eastAsia"/>
                <w:szCs w:val="21"/>
              </w:rPr>
              <w:t xml:space="preserve">1. 双色LCD面板液晶显示屏，直观显示各项功能数据; </w:t>
            </w:r>
          </w:p>
          <w:p w14:paraId="7144A4C2">
            <w:pPr>
              <w:adjustRightInd w:val="0"/>
              <w:snapToGrid w:val="0"/>
              <w:rPr>
                <w:szCs w:val="21"/>
              </w:rPr>
            </w:pPr>
            <w:r>
              <w:rPr>
                <w:rFonts w:hint="eastAsia"/>
                <w:szCs w:val="21"/>
              </w:rPr>
              <w:t>2. 接收机以飞梭旋钮取代传统的按键操作，</w:t>
            </w:r>
          </w:p>
          <w:p w14:paraId="5D0CC690">
            <w:pPr>
              <w:adjustRightInd w:val="0"/>
              <w:snapToGrid w:val="0"/>
              <w:rPr>
                <w:szCs w:val="21"/>
              </w:rPr>
            </w:pPr>
            <w:r>
              <w:rPr>
                <w:rFonts w:hint="eastAsia"/>
                <w:szCs w:val="21"/>
              </w:rPr>
              <w:t>3. 数字导频及噪音抑制技术，提升信号稳定性，有效去除无线射频干扰（提供第三方检测机构出具的检验报告复印件）；</w:t>
            </w:r>
          </w:p>
          <w:p w14:paraId="199CA2B4">
            <w:pPr>
              <w:adjustRightInd w:val="0"/>
              <w:snapToGrid w:val="0"/>
              <w:rPr>
                <w:szCs w:val="21"/>
              </w:rPr>
            </w:pPr>
            <w:r>
              <w:rPr>
                <w:rFonts w:hint="eastAsia"/>
                <w:szCs w:val="21"/>
              </w:rPr>
              <w:t>4. 具备可使用传输频道搜索功能，拥有互不干扰的频率可以设定及变换（提供第三方检测机构出具的检验报告复印件）；</w:t>
            </w:r>
          </w:p>
          <w:p w14:paraId="0F8FEE02">
            <w:pPr>
              <w:adjustRightInd w:val="0"/>
              <w:snapToGrid w:val="0"/>
              <w:rPr>
                <w:szCs w:val="21"/>
              </w:rPr>
            </w:pPr>
            <w:r>
              <w:rPr>
                <w:rFonts w:hint="eastAsia"/>
                <w:szCs w:val="21"/>
              </w:rPr>
              <w:t xml:space="preserve">5. 自动选讯接收技术，消除短讯，延长接收距离及稳定性（提供第三方检测机构出具的检验报告复印件）; </w:t>
            </w:r>
          </w:p>
          <w:p w14:paraId="75B09671">
            <w:pPr>
              <w:adjustRightInd w:val="0"/>
              <w:snapToGrid w:val="0"/>
              <w:rPr>
                <w:szCs w:val="21"/>
              </w:rPr>
            </w:pPr>
            <w:r>
              <w:rPr>
                <w:rFonts w:hint="eastAsia"/>
                <w:szCs w:val="21"/>
              </w:rPr>
              <w:t xml:space="preserve">6. 红外自动同步技术，可自动快速的与发射器对频（提供第三方检测机构出具的检验报告复印件）; </w:t>
            </w:r>
          </w:p>
          <w:p w14:paraId="7BCE367C">
            <w:pPr>
              <w:adjustRightInd w:val="0"/>
              <w:snapToGrid w:val="0"/>
              <w:rPr>
                <w:szCs w:val="21"/>
              </w:rPr>
            </w:pPr>
            <w:r>
              <w:rPr>
                <w:rFonts w:hint="eastAsia"/>
                <w:szCs w:val="21"/>
              </w:rPr>
              <w:t xml:space="preserve">7. 频率自动扫描功能，可查看实时频率干扰信号，并快速搜索不受干扰的频道（提供第三方检测机构出具的检验报告复印件）； </w:t>
            </w:r>
          </w:p>
          <w:p w14:paraId="6DEE1DEC">
            <w:pPr>
              <w:adjustRightInd w:val="0"/>
              <w:snapToGrid w:val="0"/>
              <w:rPr>
                <w:szCs w:val="21"/>
              </w:rPr>
            </w:pPr>
            <w:r>
              <w:rPr>
                <w:rFonts w:hint="eastAsia"/>
                <w:szCs w:val="21"/>
              </w:rPr>
              <w:t>8. 工作范围优于100m;</w:t>
            </w:r>
          </w:p>
          <w:p w14:paraId="3EB82143">
            <w:pPr>
              <w:adjustRightInd w:val="0"/>
              <w:snapToGrid w:val="0"/>
              <w:rPr>
                <w:szCs w:val="21"/>
              </w:rPr>
            </w:pPr>
            <w:r>
              <w:rPr>
                <w:rFonts w:hint="eastAsia"/>
                <w:szCs w:val="21"/>
              </w:rPr>
              <w:t>9. 音频响应优于20Hz-18KHz；</w:t>
            </w:r>
          </w:p>
          <w:p w14:paraId="7949E963">
            <w:pPr>
              <w:adjustRightInd w:val="0"/>
              <w:snapToGrid w:val="0"/>
              <w:rPr>
                <w:szCs w:val="21"/>
              </w:rPr>
            </w:pPr>
            <w:r>
              <w:rPr>
                <w:rFonts w:hint="eastAsia"/>
                <w:szCs w:val="21"/>
              </w:rPr>
              <w:t>10. 总谐波失真＜0.7%；</w:t>
            </w:r>
          </w:p>
          <w:p w14:paraId="1B6184BD">
            <w:pPr>
              <w:adjustRightInd w:val="0"/>
              <w:snapToGrid w:val="0"/>
              <w:rPr>
                <w:szCs w:val="21"/>
              </w:rPr>
            </w:pPr>
            <w:r>
              <w:rPr>
                <w:rFonts w:hint="eastAsia"/>
                <w:szCs w:val="21"/>
              </w:rPr>
              <w:t>11. 频率范围：UHF603-699MHz；</w:t>
            </w:r>
          </w:p>
          <w:p w14:paraId="29393E3B">
            <w:pPr>
              <w:adjustRightInd w:val="0"/>
              <w:snapToGrid w:val="0"/>
              <w:rPr>
                <w:szCs w:val="21"/>
              </w:rPr>
            </w:pPr>
            <w:r>
              <w:rPr>
                <w:rFonts w:hint="eastAsia"/>
                <w:szCs w:val="21"/>
              </w:rPr>
              <w:t>12. 信噪比≥105dB。</w:t>
            </w:r>
          </w:p>
        </w:tc>
        <w:tc>
          <w:tcPr>
            <w:tcW w:w="1050" w:type="dxa"/>
            <w:vMerge w:val="continue"/>
            <w:tcBorders>
              <w:left w:val="single" w:color="000000" w:sz="4" w:space="0"/>
              <w:right w:val="single" w:color="000000" w:sz="4" w:space="0"/>
            </w:tcBorders>
            <w:noWrap/>
            <w:tcMar>
              <w:top w:w="15" w:type="dxa"/>
              <w:left w:w="15" w:type="dxa"/>
              <w:right w:w="15" w:type="dxa"/>
            </w:tcMar>
            <w:vAlign w:val="center"/>
          </w:tcPr>
          <w:p w14:paraId="547C38ED">
            <w:pPr>
              <w:jc w:val="center"/>
              <w:rPr>
                <w:rFonts w:ascii="宋体" w:hAnsi="宋体" w:cs="宋体"/>
                <w:color w:val="000000"/>
                <w:sz w:val="24"/>
              </w:rPr>
            </w:pPr>
          </w:p>
        </w:tc>
      </w:tr>
      <w:tr w14:paraId="2A0861ED">
        <w:tblPrEx>
          <w:tblCellMar>
            <w:top w:w="0" w:type="dxa"/>
            <w:left w:w="0" w:type="dxa"/>
            <w:bottom w:w="0" w:type="dxa"/>
            <w:right w:w="0" w:type="dxa"/>
          </w:tblCellMar>
        </w:tblPrEx>
        <w:trPr>
          <w:trHeight w:val="285" w:hRule="atLeast"/>
        </w:trPr>
        <w:tc>
          <w:tcPr>
            <w:tcW w:w="435" w:type="dxa"/>
            <w:tcBorders>
              <w:top w:val="nil"/>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01816188">
            <w:pPr>
              <w:jc w:val="center"/>
            </w:pPr>
            <w:r>
              <w:rPr>
                <w:rFonts w:hint="eastAsia"/>
              </w:rPr>
              <w:t>15</w:t>
            </w:r>
          </w:p>
        </w:tc>
        <w:tc>
          <w:tcPr>
            <w:tcW w:w="1812" w:type="dxa"/>
            <w:tcBorders>
              <w:top w:val="nil"/>
              <w:left w:val="single" w:color="auto" w:sz="4" w:space="0"/>
              <w:bottom w:val="single" w:color="auto" w:sz="4" w:space="0"/>
              <w:right w:val="single" w:color="auto" w:sz="4" w:space="0"/>
            </w:tcBorders>
            <w:tcMar>
              <w:top w:w="15" w:type="dxa"/>
              <w:left w:w="15" w:type="dxa"/>
              <w:right w:w="15" w:type="dxa"/>
            </w:tcMar>
            <w:vAlign w:val="center"/>
          </w:tcPr>
          <w:p w14:paraId="730BCACE">
            <w:pPr>
              <w:jc w:val="center"/>
            </w:pPr>
            <w:r>
              <w:rPr>
                <w:rFonts w:hint="eastAsia"/>
              </w:rPr>
              <w:t>天线分配器</w:t>
            </w:r>
          </w:p>
        </w:tc>
        <w:tc>
          <w:tcPr>
            <w:tcW w:w="435" w:type="dxa"/>
            <w:tcBorders>
              <w:top w:val="nil"/>
              <w:left w:val="single" w:color="auto" w:sz="4" w:space="0"/>
              <w:bottom w:val="single" w:color="auto" w:sz="4" w:space="0"/>
              <w:right w:val="single" w:color="auto" w:sz="4" w:space="0"/>
            </w:tcBorders>
            <w:tcMar>
              <w:top w:w="15" w:type="dxa"/>
              <w:left w:w="15" w:type="dxa"/>
              <w:right w:w="15" w:type="dxa"/>
            </w:tcMar>
            <w:vAlign w:val="center"/>
          </w:tcPr>
          <w:p w14:paraId="40AA7008">
            <w:pPr>
              <w:jc w:val="center"/>
            </w:pPr>
            <w:r>
              <w:rPr>
                <w:rFonts w:hint="eastAsia"/>
              </w:rPr>
              <w:t>1</w:t>
            </w:r>
          </w:p>
        </w:tc>
        <w:tc>
          <w:tcPr>
            <w:tcW w:w="540" w:type="dxa"/>
            <w:tcBorders>
              <w:top w:val="nil"/>
              <w:left w:val="nil"/>
              <w:bottom w:val="single" w:color="auto" w:sz="4" w:space="0"/>
              <w:right w:val="single" w:color="auto" w:sz="4" w:space="0"/>
            </w:tcBorders>
            <w:tcMar>
              <w:top w:w="15" w:type="dxa"/>
              <w:left w:w="15" w:type="dxa"/>
              <w:right w:w="15" w:type="dxa"/>
            </w:tcMar>
            <w:vAlign w:val="center"/>
          </w:tcPr>
          <w:p w14:paraId="03107C77">
            <w:pPr>
              <w:jc w:val="center"/>
            </w:pPr>
            <w:r>
              <w:rPr>
                <w:rFonts w:hint="eastAsia"/>
              </w:rPr>
              <w:t>台</w:t>
            </w:r>
          </w:p>
        </w:tc>
        <w:tc>
          <w:tcPr>
            <w:tcW w:w="1245" w:type="dxa"/>
            <w:tcBorders>
              <w:top w:val="nil"/>
              <w:left w:val="single" w:color="auto" w:sz="4" w:space="0"/>
              <w:bottom w:val="single" w:color="auto" w:sz="4" w:space="0"/>
              <w:right w:val="single" w:color="auto" w:sz="4" w:space="0"/>
            </w:tcBorders>
            <w:tcMar>
              <w:top w:w="15" w:type="dxa"/>
              <w:left w:w="15" w:type="dxa"/>
              <w:right w:w="15" w:type="dxa"/>
            </w:tcMar>
            <w:vAlign w:val="center"/>
          </w:tcPr>
          <w:p w14:paraId="4CCFE101">
            <w:pPr>
              <w:jc w:val="center"/>
            </w:pPr>
            <w:r>
              <w:rPr>
                <w:rFonts w:hint="eastAsia"/>
              </w:rPr>
              <w:t>1500.00</w:t>
            </w:r>
          </w:p>
        </w:tc>
        <w:tc>
          <w:tcPr>
            <w:tcW w:w="9825" w:type="dxa"/>
            <w:tcBorders>
              <w:top w:val="nil"/>
              <w:left w:val="single" w:color="auto" w:sz="4" w:space="0"/>
              <w:bottom w:val="single" w:color="auto" w:sz="4" w:space="0"/>
              <w:right w:val="single" w:color="auto" w:sz="4" w:space="0"/>
            </w:tcBorders>
            <w:noWrap/>
            <w:tcMar>
              <w:top w:w="15" w:type="dxa"/>
              <w:left w:w="15" w:type="dxa"/>
              <w:right w:w="15" w:type="dxa"/>
            </w:tcMar>
            <w:vAlign w:val="center"/>
          </w:tcPr>
          <w:p w14:paraId="6D4EA459">
            <w:pPr>
              <w:adjustRightInd w:val="0"/>
              <w:snapToGrid w:val="0"/>
              <w:rPr>
                <w:szCs w:val="21"/>
              </w:rPr>
            </w:pPr>
            <w:r>
              <w:rPr>
                <w:rFonts w:hint="eastAsia"/>
                <w:szCs w:val="21"/>
              </w:rPr>
              <w:t>1. 有源天线分配器，支持4路DC 12V电源输出，并具备2个天线级联接口；</w:t>
            </w:r>
          </w:p>
          <w:p w14:paraId="2624D9AB">
            <w:pPr>
              <w:adjustRightInd w:val="0"/>
              <w:snapToGrid w:val="0"/>
              <w:rPr>
                <w:szCs w:val="21"/>
              </w:rPr>
            </w:pPr>
            <w:r>
              <w:rPr>
                <w:rFonts w:hint="eastAsia"/>
                <w:szCs w:val="21"/>
              </w:rPr>
              <w:br w:type="page"/>
            </w:r>
            <w:r>
              <w:rPr>
                <w:rFonts w:hint="eastAsia"/>
                <w:szCs w:val="21"/>
              </w:rPr>
              <w:t>2. 射频波段下限≤410MHz，上限≥950MHz；</w:t>
            </w:r>
          </w:p>
          <w:p w14:paraId="4AD70C37">
            <w:pPr>
              <w:adjustRightInd w:val="0"/>
              <w:snapToGrid w:val="0"/>
              <w:rPr>
                <w:szCs w:val="21"/>
              </w:rPr>
            </w:pPr>
            <w:r>
              <w:rPr>
                <w:rFonts w:hint="eastAsia"/>
                <w:szCs w:val="21"/>
              </w:rPr>
              <w:br w:type="page"/>
            </w:r>
            <w:r>
              <w:rPr>
                <w:rFonts w:hint="eastAsia"/>
                <w:szCs w:val="21"/>
              </w:rPr>
              <w:t>3. 阻抗≥50Ω；</w:t>
            </w:r>
          </w:p>
          <w:p w14:paraId="08BCD0E3">
            <w:pPr>
              <w:adjustRightInd w:val="0"/>
              <w:snapToGrid w:val="0"/>
              <w:rPr>
                <w:szCs w:val="21"/>
              </w:rPr>
            </w:pPr>
            <w:r>
              <w:rPr>
                <w:rFonts w:hint="eastAsia"/>
                <w:szCs w:val="21"/>
              </w:rPr>
              <w:br w:type="page"/>
            </w:r>
            <w:r>
              <w:rPr>
                <w:rFonts w:hint="eastAsia"/>
                <w:szCs w:val="21"/>
              </w:rPr>
              <w:t>4. 具备信号增益可调，调节下限≤2.5dbm，上限≥12dbm；</w:t>
            </w:r>
          </w:p>
          <w:p w14:paraId="1CBAB848">
            <w:pPr>
              <w:adjustRightInd w:val="0"/>
              <w:snapToGrid w:val="0"/>
              <w:rPr>
                <w:szCs w:val="21"/>
              </w:rPr>
            </w:pPr>
            <w:r>
              <w:rPr>
                <w:rFonts w:hint="eastAsia"/>
                <w:szCs w:val="21"/>
              </w:rPr>
              <w:br w:type="page"/>
            </w:r>
            <w:r>
              <w:rPr>
                <w:rFonts w:hint="eastAsia"/>
                <w:szCs w:val="21"/>
              </w:rPr>
              <w:t>5. 不少于10个BNC射频端口。</w:t>
            </w:r>
          </w:p>
        </w:tc>
        <w:tc>
          <w:tcPr>
            <w:tcW w:w="1050" w:type="dxa"/>
            <w:vMerge w:val="continue"/>
            <w:tcBorders>
              <w:left w:val="single" w:color="000000" w:sz="4" w:space="0"/>
              <w:right w:val="single" w:color="000000" w:sz="4" w:space="0"/>
            </w:tcBorders>
            <w:noWrap/>
            <w:tcMar>
              <w:top w:w="15" w:type="dxa"/>
              <w:left w:w="15" w:type="dxa"/>
              <w:right w:w="15" w:type="dxa"/>
            </w:tcMar>
            <w:vAlign w:val="center"/>
          </w:tcPr>
          <w:p w14:paraId="61F53D77">
            <w:pPr>
              <w:jc w:val="center"/>
              <w:rPr>
                <w:rFonts w:ascii="宋体" w:hAnsi="宋体" w:cs="宋体"/>
                <w:color w:val="000000"/>
                <w:sz w:val="24"/>
              </w:rPr>
            </w:pPr>
          </w:p>
        </w:tc>
      </w:tr>
      <w:tr w14:paraId="72C71FF8">
        <w:tblPrEx>
          <w:tblCellMar>
            <w:top w:w="0" w:type="dxa"/>
            <w:left w:w="0" w:type="dxa"/>
            <w:bottom w:w="0" w:type="dxa"/>
            <w:right w:w="0" w:type="dxa"/>
          </w:tblCellMar>
        </w:tblPrEx>
        <w:trPr>
          <w:trHeight w:val="285" w:hRule="atLeast"/>
        </w:trPr>
        <w:tc>
          <w:tcPr>
            <w:tcW w:w="435" w:type="dxa"/>
            <w:tcBorders>
              <w:top w:val="nil"/>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5A2DE1CB">
            <w:pPr>
              <w:jc w:val="center"/>
            </w:pPr>
            <w:r>
              <w:rPr>
                <w:rFonts w:hint="eastAsia"/>
              </w:rPr>
              <w:t>16</w:t>
            </w:r>
          </w:p>
        </w:tc>
        <w:tc>
          <w:tcPr>
            <w:tcW w:w="1812" w:type="dxa"/>
            <w:tcBorders>
              <w:top w:val="nil"/>
              <w:left w:val="single" w:color="auto" w:sz="4" w:space="0"/>
              <w:bottom w:val="single" w:color="auto" w:sz="4" w:space="0"/>
              <w:right w:val="single" w:color="auto" w:sz="4" w:space="0"/>
            </w:tcBorders>
            <w:tcMar>
              <w:top w:w="15" w:type="dxa"/>
              <w:left w:w="15" w:type="dxa"/>
              <w:right w:w="15" w:type="dxa"/>
            </w:tcMar>
            <w:vAlign w:val="center"/>
          </w:tcPr>
          <w:p w14:paraId="5A9B3DE1">
            <w:pPr>
              <w:jc w:val="center"/>
            </w:pPr>
            <w:r>
              <w:rPr>
                <w:rFonts w:hint="eastAsia"/>
              </w:rPr>
              <w:t>天线放大器</w:t>
            </w:r>
          </w:p>
        </w:tc>
        <w:tc>
          <w:tcPr>
            <w:tcW w:w="435" w:type="dxa"/>
            <w:tcBorders>
              <w:top w:val="nil"/>
              <w:left w:val="single" w:color="auto" w:sz="4" w:space="0"/>
              <w:bottom w:val="single" w:color="auto" w:sz="4" w:space="0"/>
              <w:right w:val="single" w:color="auto" w:sz="4" w:space="0"/>
            </w:tcBorders>
            <w:tcMar>
              <w:top w:w="15" w:type="dxa"/>
              <w:left w:w="15" w:type="dxa"/>
              <w:right w:w="15" w:type="dxa"/>
            </w:tcMar>
            <w:vAlign w:val="center"/>
          </w:tcPr>
          <w:p w14:paraId="3286F3D3">
            <w:pPr>
              <w:jc w:val="center"/>
            </w:pPr>
            <w:r>
              <w:rPr>
                <w:rFonts w:hint="eastAsia"/>
              </w:rPr>
              <w:t>1</w:t>
            </w:r>
          </w:p>
        </w:tc>
        <w:tc>
          <w:tcPr>
            <w:tcW w:w="540" w:type="dxa"/>
            <w:tcBorders>
              <w:top w:val="nil"/>
              <w:left w:val="nil"/>
              <w:bottom w:val="single" w:color="auto" w:sz="4" w:space="0"/>
              <w:right w:val="single" w:color="auto" w:sz="4" w:space="0"/>
            </w:tcBorders>
            <w:tcMar>
              <w:top w:w="15" w:type="dxa"/>
              <w:left w:w="15" w:type="dxa"/>
              <w:right w:w="15" w:type="dxa"/>
            </w:tcMar>
            <w:vAlign w:val="center"/>
          </w:tcPr>
          <w:p w14:paraId="64DD9F7B">
            <w:pPr>
              <w:jc w:val="center"/>
            </w:pPr>
            <w:r>
              <w:rPr>
                <w:rFonts w:hint="eastAsia"/>
              </w:rPr>
              <w:t>对</w:t>
            </w:r>
          </w:p>
        </w:tc>
        <w:tc>
          <w:tcPr>
            <w:tcW w:w="1245" w:type="dxa"/>
            <w:tcBorders>
              <w:top w:val="nil"/>
              <w:left w:val="single" w:color="auto" w:sz="4" w:space="0"/>
              <w:bottom w:val="single" w:color="auto" w:sz="4" w:space="0"/>
              <w:right w:val="single" w:color="auto" w:sz="4" w:space="0"/>
            </w:tcBorders>
            <w:tcMar>
              <w:top w:w="15" w:type="dxa"/>
              <w:left w:w="15" w:type="dxa"/>
              <w:right w:w="15" w:type="dxa"/>
            </w:tcMar>
            <w:vAlign w:val="center"/>
          </w:tcPr>
          <w:p w14:paraId="4243EB0C">
            <w:pPr>
              <w:jc w:val="center"/>
            </w:pPr>
            <w:r>
              <w:rPr>
                <w:rFonts w:hint="eastAsia"/>
              </w:rPr>
              <w:t>1500.00</w:t>
            </w:r>
          </w:p>
        </w:tc>
        <w:tc>
          <w:tcPr>
            <w:tcW w:w="9825" w:type="dxa"/>
            <w:tcBorders>
              <w:top w:val="nil"/>
              <w:left w:val="single" w:color="auto" w:sz="4" w:space="0"/>
              <w:bottom w:val="single" w:color="auto" w:sz="4" w:space="0"/>
              <w:right w:val="single" w:color="auto" w:sz="4" w:space="0"/>
            </w:tcBorders>
            <w:noWrap/>
            <w:tcMar>
              <w:top w:w="15" w:type="dxa"/>
              <w:left w:w="15" w:type="dxa"/>
              <w:right w:w="15" w:type="dxa"/>
            </w:tcMar>
            <w:vAlign w:val="center"/>
          </w:tcPr>
          <w:p w14:paraId="552AC71F">
            <w:pPr>
              <w:adjustRightInd w:val="0"/>
              <w:snapToGrid w:val="0"/>
              <w:rPr>
                <w:szCs w:val="21"/>
              </w:rPr>
            </w:pPr>
            <w:r>
              <w:rPr>
                <w:rFonts w:hint="eastAsia"/>
                <w:szCs w:val="21"/>
              </w:rPr>
              <w:t>1. 射频波段下限≤410MHz，上限≥950MHz；</w:t>
            </w:r>
          </w:p>
          <w:p w14:paraId="31832928">
            <w:pPr>
              <w:adjustRightInd w:val="0"/>
              <w:snapToGrid w:val="0"/>
              <w:rPr>
                <w:szCs w:val="21"/>
              </w:rPr>
            </w:pPr>
            <w:r>
              <w:rPr>
                <w:rFonts w:hint="eastAsia"/>
                <w:szCs w:val="21"/>
              </w:rPr>
              <w:t>2. 阻抗≥50Ω；</w:t>
            </w:r>
          </w:p>
          <w:p w14:paraId="1FF24975">
            <w:pPr>
              <w:adjustRightInd w:val="0"/>
              <w:snapToGrid w:val="0"/>
              <w:rPr>
                <w:szCs w:val="21"/>
              </w:rPr>
            </w:pPr>
            <w:r>
              <w:rPr>
                <w:rFonts w:hint="eastAsia"/>
                <w:szCs w:val="21"/>
              </w:rPr>
              <w:t>3. 指向特性：90°±3°H×60°±2°V；</w:t>
            </w:r>
          </w:p>
          <w:p w14:paraId="45048B89">
            <w:pPr>
              <w:adjustRightInd w:val="0"/>
              <w:snapToGrid w:val="0"/>
              <w:rPr>
                <w:szCs w:val="21"/>
              </w:rPr>
            </w:pPr>
            <w:r>
              <w:rPr>
                <w:rFonts w:hint="eastAsia"/>
                <w:szCs w:val="21"/>
              </w:rPr>
              <w:t>4. TNC接口。</w:t>
            </w:r>
          </w:p>
        </w:tc>
        <w:tc>
          <w:tcPr>
            <w:tcW w:w="1050" w:type="dxa"/>
            <w:vMerge w:val="continue"/>
            <w:tcBorders>
              <w:left w:val="single" w:color="000000" w:sz="4" w:space="0"/>
              <w:right w:val="single" w:color="000000" w:sz="4" w:space="0"/>
            </w:tcBorders>
            <w:noWrap/>
            <w:tcMar>
              <w:top w:w="15" w:type="dxa"/>
              <w:left w:w="15" w:type="dxa"/>
              <w:right w:w="15" w:type="dxa"/>
            </w:tcMar>
            <w:vAlign w:val="center"/>
          </w:tcPr>
          <w:p w14:paraId="7AA132D2">
            <w:pPr>
              <w:jc w:val="center"/>
              <w:rPr>
                <w:rFonts w:ascii="宋体" w:hAnsi="宋体" w:cs="宋体"/>
                <w:color w:val="000000"/>
                <w:sz w:val="24"/>
              </w:rPr>
            </w:pPr>
          </w:p>
        </w:tc>
      </w:tr>
      <w:tr w14:paraId="58FB2787">
        <w:tblPrEx>
          <w:tblCellMar>
            <w:top w:w="0" w:type="dxa"/>
            <w:left w:w="0" w:type="dxa"/>
            <w:bottom w:w="0" w:type="dxa"/>
            <w:right w:w="0" w:type="dxa"/>
          </w:tblCellMar>
        </w:tblPrEx>
        <w:trPr>
          <w:trHeight w:val="285" w:hRule="atLeast"/>
        </w:trPr>
        <w:tc>
          <w:tcPr>
            <w:tcW w:w="435" w:type="dxa"/>
            <w:tcBorders>
              <w:top w:val="nil"/>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491189A5">
            <w:pPr>
              <w:jc w:val="center"/>
            </w:pPr>
            <w:r>
              <w:rPr>
                <w:rFonts w:hint="eastAsia"/>
              </w:rPr>
              <w:t>17</w:t>
            </w:r>
          </w:p>
        </w:tc>
        <w:tc>
          <w:tcPr>
            <w:tcW w:w="1812" w:type="dxa"/>
            <w:tcBorders>
              <w:top w:val="nil"/>
              <w:left w:val="single" w:color="auto" w:sz="4" w:space="0"/>
              <w:bottom w:val="single" w:color="auto" w:sz="4" w:space="0"/>
              <w:right w:val="single" w:color="auto" w:sz="4" w:space="0"/>
            </w:tcBorders>
            <w:tcMar>
              <w:top w:w="15" w:type="dxa"/>
              <w:left w:w="15" w:type="dxa"/>
              <w:right w:w="15" w:type="dxa"/>
            </w:tcMar>
            <w:vAlign w:val="center"/>
          </w:tcPr>
          <w:p w14:paraId="55213E0D">
            <w:pPr>
              <w:jc w:val="center"/>
            </w:pPr>
            <w:r>
              <w:rPr>
                <w:rFonts w:hint="eastAsia"/>
              </w:rPr>
              <w:t>增益器</w:t>
            </w:r>
          </w:p>
        </w:tc>
        <w:tc>
          <w:tcPr>
            <w:tcW w:w="435" w:type="dxa"/>
            <w:tcBorders>
              <w:top w:val="nil"/>
              <w:left w:val="single" w:color="auto" w:sz="4" w:space="0"/>
              <w:bottom w:val="single" w:color="auto" w:sz="4" w:space="0"/>
              <w:right w:val="single" w:color="auto" w:sz="4" w:space="0"/>
            </w:tcBorders>
            <w:tcMar>
              <w:top w:w="15" w:type="dxa"/>
              <w:left w:w="15" w:type="dxa"/>
              <w:right w:w="15" w:type="dxa"/>
            </w:tcMar>
            <w:vAlign w:val="center"/>
          </w:tcPr>
          <w:p w14:paraId="6472FAD5">
            <w:pPr>
              <w:jc w:val="center"/>
            </w:pPr>
            <w:r>
              <w:rPr>
                <w:rFonts w:hint="eastAsia"/>
              </w:rPr>
              <w:t>2</w:t>
            </w:r>
          </w:p>
        </w:tc>
        <w:tc>
          <w:tcPr>
            <w:tcW w:w="540" w:type="dxa"/>
            <w:tcBorders>
              <w:top w:val="nil"/>
              <w:left w:val="nil"/>
              <w:bottom w:val="single" w:color="auto" w:sz="4" w:space="0"/>
              <w:right w:val="single" w:color="auto" w:sz="4" w:space="0"/>
            </w:tcBorders>
            <w:tcMar>
              <w:top w:w="15" w:type="dxa"/>
              <w:left w:w="15" w:type="dxa"/>
              <w:right w:w="15" w:type="dxa"/>
            </w:tcMar>
            <w:vAlign w:val="center"/>
          </w:tcPr>
          <w:p w14:paraId="4E0D7426">
            <w:pPr>
              <w:jc w:val="center"/>
            </w:pPr>
            <w:r>
              <w:rPr>
                <w:rFonts w:hint="eastAsia"/>
              </w:rPr>
              <w:t>个</w:t>
            </w:r>
          </w:p>
        </w:tc>
        <w:tc>
          <w:tcPr>
            <w:tcW w:w="1245" w:type="dxa"/>
            <w:tcBorders>
              <w:top w:val="nil"/>
              <w:left w:val="single" w:color="auto" w:sz="4" w:space="0"/>
              <w:bottom w:val="single" w:color="auto" w:sz="4" w:space="0"/>
              <w:right w:val="single" w:color="auto" w:sz="4" w:space="0"/>
            </w:tcBorders>
            <w:tcMar>
              <w:top w:w="15" w:type="dxa"/>
              <w:left w:w="15" w:type="dxa"/>
              <w:right w:w="15" w:type="dxa"/>
            </w:tcMar>
            <w:vAlign w:val="center"/>
          </w:tcPr>
          <w:p w14:paraId="109DF60F">
            <w:pPr>
              <w:jc w:val="center"/>
            </w:pPr>
            <w:r>
              <w:rPr>
                <w:rFonts w:hint="eastAsia"/>
              </w:rPr>
              <w:t>350.00</w:t>
            </w:r>
          </w:p>
        </w:tc>
        <w:tc>
          <w:tcPr>
            <w:tcW w:w="9825" w:type="dxa"/>
            <w:tcBorders>
              <w:top w:val="nil"/>
              <w:left w:val="single" w:color="auto" w:sz="4" w:space="0"/>
              <w:bottom w:val="single" w:color="auto" w:sz="4" w:space="0"/>
              <w:right w:val="single" w:color="auto" w:sz="4" w:space="0"/>
            </w:tcBorders>
            <w:noWrap/>
            <w:tcMar>
              <w:top w:w="15" w:type="dxa"/>
              <w:left w:w="15" w:type="dxa"/>
              <w:right w:w="15" w:type="dxa"/>
            </w:tcMar>
            <w:vAlign w:val="center"/>
          </w:tcPr>
          <w:p w14:paraId="4FADD88C">
            <w:pPr>
              <w:adjustRightInd w:val="0"/>
              <w:snapToGrid w:val="0"/>
              <w:rPr>
                <w:szCs w:val="21"/>
              </w:rPr>
            </w:pPr>
            <w:r>
              <w:rPr>
                <w:rFonts w:hint="eastAsia"/>
                <w:szCs w:val="21"/>
              </w:rPr>
              <w:t>1. 可提供12V 150mA增幅电压，可补偿≥34米线缆线损；</w:t>
            </w:r>
          </w:p>
          <w:p w14:paraId="47778A95">
            <w:pPr>
              <w:adjustRightInd w:val="0"/>
              <w:snapToGrid w:val="0"/>
              <w:rPr>
                <w:szCs w:val="21"/>
              </w:rPr>
            </w:pPr>
            <w:r>
              <w:rPr>
                <w:rFonts w:hint="eastAsia"/>
                <w:szCs w:val="21"/>
              </w:rPr>
              <w:t>2. 具备不少于2挡可调增益</w:t>
            </w:r>
          </w:p>
          <w:p w14:paraId="57F485A1">
            <w:pPr>
              <w:adjustRightInd w:val="0"/>
              <w:snapToGrid w:val="0"/>
              <w:rPr>
                <w:szCs w:val="21"/>
              </w:rPr>
            </w:pPr>
            <w:r>
              <w:rPr>
                <w:rFonts w:hint="eastAsia"/>
                <w:szCs w:val="21"/>
              </w:rPr>
              <w:t>3. 频率范围下限≤450MHz，上限≥960MHz；</w:t>
            </w:r>
          </w:p>
          <w:p w14:paraId="0E0AA15E">
            <w:pPr>
              <w:adjustRightInd w:val="0"/>
              <w:snapToGrid w:val="0"/>
              <w:rPr>
                <w:szCs w:val="21"/>
              </w:rPr>
            </w:pPr>
            <w:r>
              <w:rPr>
                <w:rFonts w:hint="eastAsia"/>
                <w:szCs w:val="21"/>
              </w:rPr>
              <w:t>4. 阻抗≥50Ω。</w:t>
            </w:r>
          </w:p>
        </w:tc>
        <w:tc>
          <w:tcPr>
            <w:tcW w:w="1050" w:type="dxa"/>
            <w:vMerge w:val="continue"/>
            <w:tcBorders>
              <w:left w:val="single" w:color="000000" w:sz="4" w:space="0"/>
              <w:right w:val="single" w:color="000000" w:sz="4" w:space="0"/>
            </w:tcBorders>
            <w:noWrap/>
            <w:tcMar>
              <w:top w:w="15" w:type="dxa"/>
              <w:left w:w="15" w:type="dxa"/>
              <w:right w:w="15" w:type="dxa"/>
            </w:tcMar>
            <w:vAlign w:val="center"/>
          </w:tcPr>
          <w:p w14:paraId="55026AE3">
            <w:pPr>
              <w:jc w:val="center"/>
              <w:rPr>
                <w:rFonts w:ascii="宋体" w:hAnsi="宋体" w:cs="宋体"/>
                <w:color w:val="000000"/>
                <w:sz w:val="24"/>
              </w:rPr>
            </w:pPr>
          </w:p>
        </w:tc>
      </w:tr>
      <w:tr w14:paraId="6618E879">
        <w:tblPrEx>
          <w:tblCellMar>
            <w:top w:w="0" w:type="dxa"/>
            <w:left w:w="0" w:type="dxa"/>
            <w:bottom w:w="0" w:type="dxa"/>
            <w:right w:w="0" w:type="dxa"/>
          </w:tblCellMar>
        </w:tblPrEx>
        <w:trPr>
          <w:trHeight w:val="285" w:hRule="atLeast"/>
        </w:trPr>
        <w:tc>
          <w:tcPr>
            <w:tcW w:w="435" w:type="dxa"/>
            <w:tcBorders>
              <w:top w:val="nil"/>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158836FA">
            <w:pPr>
              <w:jc w:val="center"/>
            </w:pPr>
            <w:r>
              <w:rPr>
                <w:rFonts w:hint="eastAsia"/>
              </w:rPr>
              <w:t>18</w:t>
            </w:r>
          </w:p>
        </w:tc>
        <w:tc>
          <w:tcPr>
            <w:tcW w:w="1812" w:type="dxa"/>
            <w:tcBorders>
              <w:top w:val="nil"/>
              <w:left w:val="single" w:color="auto" w:sz="4" w:space="0"/>
              <w:bottom w:val="single" w:color="auto" w:sz="4" w:space="0"/>
              <w:right w:val="single" w:color="auto" w:sz="4" w:space="0"/>
            </w:tcBorders>
            <w:tcMar>
              <w:top w:w="15" w:type="dxa"/>
              <w:left w:w="15" w:type="dxa"/>
              <w:right w:w="15" w:type="dxa"/>
            </w:tcMar>
            <w:vAlign w:val="center"/>
          </w:tcPr>
          <w:p w14:paraId="3E35D966">
            <w:pPr>
              <w:jc w:val="center"/>
            </w:pPr>
            <w:r>
              <w:rPr>
                <w:rFonts w:hint="eastAsia"/>
              </w:rPr>
              <w:t>电源时序器1</w:t>
            </w:r>
          </w:p>
        </w:tc>
        <w:tc>
          <w:tcPr>
            <w:tcW w:w="435" w:type="dxa"/>
            <w:tcBorders>
              <w:top w:val="nil"/>
              <w:left w:val="single" w:color="auto" w:sz="4" w:space="0"/>
              <w:bottom w:val="single" w:color="auto" w:sz="4" w:space="0"/>
              <w:right w:val="single" w:color="auto" w:sz="4" w:space="0"/>
            </w:tcBorders>
            <w:tcMar>
              <w:top w:w="15" w:type="dxa"/>
              <w:left w:w="15" w:type="dxa"/>
              <w:right w:w="15" w:type="dxa"/>
            </w:tcMar>
            <w:vAlign w:val="center"/>
          </w:tcPr>
          <w:p w14:paraId="7CE120F2">
            <w:pPr>
              <w:jc w:val="center"/>
            </w:pPr>
            <w:r>
              <w:rPr>
                <w:rFonts w:hint="eastAsia"/>
              </w:rPr>
              <w:t>2</w:t>
            </w:r>
          </w:p>
        </w:tc>
        <w:tc>
          <w:tcPr>
            <w:tcW w:w="540" w:type="dxa"/>
            <w:tcBorders>
              <w:top w:val="nil"/>
              <w:left w:val="nil"/>
              <w:bottom w:val="single" w:color="auto" w:sz="4" w:space="0"/>
              <w:right w:val="single" w:color="auto" w:sz="4" w:space="0"/>
            </w:tcBorders>
            <w:tcMar>
              <w:top w:w="15" w:type="dxa"/>
              <w:left w:w="15" w:type="dxa"/>
              <w:right w:w="15" w:type="dxa"/>
            </w:tcMar>
            <w:vAlign w:val="center"/>
          </w:tcPr>
          <w:p w14:paraId="59399B02">
            <w:pPr>
              <w:jc w:val="center"/>
            </w:pPr>
            <w:r>
              <w:rPr>
                <w:rFonts w:hint="eastAsia"/>
              </w:rPr>
              <w:t>台</w:t>
            </w:r>
          </w:p>
        </w:tc>
        <w:tc>
          <w:tcPr>
            <w:tcW w:w="1245" w:type="dxa"/>
            <w:tcBorders>
              <w:top w:val="nil"/>
              <w:left w:val="single" w:color="auto" w:sz="4" w:space="0"/>
              <w:bottom w:val="single" w:color="auto" w:sz="4" w:space="0"/>
              <w:right w:val="single" w:color="auto" w:sz="4" w:space="0"/>
            </w:tcBorders>
            <w:tcMar>
              <w:top w:w="15" w:type="dxa"/>
              <w:left w:w="15" w:type="dxa"/>
              <w:right w:w="15" w:type="dxa"/>
            </w:tcMar>
            <w:vAlign w:val="center"/>
          </w:tcPr>
          <w:p w14:paraId="7748A110">
            <w:pPr>
              <w:jc w:val="center"/>
            </w:pPr>
            <w:r>
              <w:rPr>
                <w:rFonts w:hint="eastAsia"/>
              </w:rPr>
              <w:t>3300.00</w:t>
            </w:r>
          </w:p>
        </w:tc>
        <w:tc>
          <w:tcPr>
            <w:tcW w:w="9825" w:type="dxa"/>
            <w:tcBorders>
              <w:top w:val="nil"/>
              <w:left w:val="single" w:color="auto" w:sz="4" w:space="0"/>
              <w:bottom w:val="single" w:color="auto" w:sz="4" w:space="0"/>
              <w:right w:val="single" w:color="auto" w:sz="4" w:space="0"/>
            </w:tcBorders>
            <w:noWrap/>
            <w:tcMar>
              <w:top w:w="15" w:type="dxa"/>
              <w:left w:w="15" w:type="dxa"/>
              <w:right w:w="15" w:type="dxa"/>
            </w:tcMar>
            <w:vAlign w:val="center"/>
          </w:tcPr>
          <w:p w14:paraId="254FDC08">
            <w:pPr>
              <w:adjustRightInd w:val="0"/>
              <w:snapToGrid w:val="0"/>
              <w:rPr>
                <w:szCs w:val="21"/>
              </w:rPr>
            </w:pPr>
            <w:r>
              <w:rPr>
                <w:rFonts w:hint="eastAsia"/>
                <w:szCs w:val="21"/>
              </w:rPr>
              <w:t xml:space="preserve">1. 不少于15路可控通道； </w:t>
            </w:r>
          </w:p>
          <w:p w14:paraId="4EA96892">
            <w:pPr>
              <w:adjustRightInd w:val="0"/>
              <w:snapToGrid w:val="0"/>
              <w:rPr>
                <w:szCs w:val="21"/>
              </w:rPr>
            </w:pPr>
            <w:r>
              <w:rPr>
                <w:rFonts w:hint="eastAsia"/>
                <w:szCs w:val="21"/>
              </w:rPr>
              <w:t xml:space="preserve">2. 额定总电流≥90A，且单路输出电流≥16A; </w:t>
            </w:r>
          </w:p>
          <w:p w14:paraId="29940387">
            <w:pPr>
              <w:adjustRightInd w:val="0"/>
              <w:snapToGrid w:val="0"/>
              <w:rPr>
                <w:szCs w:val="21"/>
              </w:rPr>
            </w:pPr>
            <w:r>
              <w:rPr>
                <w:rFonts w:hint="eastAsia"/>
                <w:szCs w:val="21"/>
              </w:rPr>
              <w:t xml:space="preserve">3. 1000级延时可调； </w:t>
            </w:r>
          </w:p>
          <w:p w14:paraId="653F3C45">
            <w:pPr>
              <w:adjustRightInd w:val="0"/>
              <w:snapToGrid w:val="0"/>
              <w:rPr>
                <w:szCs w:val="21"/>
              </w:rPr>
            </w:pPr>
            <w:r>
              <w:rPr>
                <w:rFonts w:hint="eastAsia"/>
                <w:szCs w:val="21"/>
              </w:rPr>
              <w:t>4. 自带不小于2寸彩色液晶显示屏，显示电压、时间及通道状态等信息；</w:t>
            </w:r>
          </w:p>
          <w:p w14:paraId="23A7AA66">
            <w:pPr>
              <w:adjustRightInd w:val="0"/>
              <w:snapToGrid w:val="0"/>
              <w:rPr>
                <w:szCs w:val="21"/>
              </w:rPr>
            </w:pPr>
            <w:r>
              <w:rPr>
                <w:rFonts w:hint="eastAsia"/>
                <w:szCs w:val="21"/>
              </w:rPr>
              <w:t>5. 必须具备欠压、过压等保护功能，支持定时功能；</w:t>
            </w:r>
          </w:p>
          <w:p w14:paraId="20709EB3">
            <w:pPr>
              <w:adjustRightInd w:val="0"/>
              <w:snapToGrid w:val="0"/>
              <w:rPr>
                <w:szCs w:val="21"/>
              </w:rPr>
            </w:pPr>
            <w:r>
              <w:rPr>
                <w:rFonts w:hint="eastAsia"/>
                <w:szCs w:val="21"/>
              </w:rPr>
              <w:t>6. 可实现远程集中控制及级联控制。</w:t>
            </w:r>
          </w:p>
        </w:tc>
        <w:tc>
          <w:tcPr>
            <w:tcW w:w="1050" w:type="dxa"/>
            <w:vMerge w:val="continue"/>
            <w:tcBorders>
              <w:left w:val="single" w:color="000000" w:sz="4" w:space="0"/>
              <w:right w:val="single" w:color="000000" w:sz="4" w:space="0"/>
            </w:tcBorders>
            <w:noWrap/>
            <w:tcMar>
              <w:top w:w="15" w:type="dxa"/>
              <w:left w:w="15" w:type="dxa"/>
              <w:right w:w="15" w:type="dxa"/>
            </w:tcMar>
            <w:vAlign w:val="center"/>
          </w:tcPr>
          <w:p w14:paraId="52695AD4">
            <w:pPr>
              <w:jc w:val="center"/>
              <w:rPr>
                <w:rFonts w:ascii="宋体" w:hAnsi="宋体" w:cs="宋体"/>
                <w:color w:val="000000"/>
                <w:sz w:val="24"/>
              </w:rPr>
            </w:pPr>
          </w:p>
        </w:tc>
      </w:tr>
      <w:tr w14:paraId="570FF394">
        <w:tblPrEx>
          <w:tblCellMar>
            <w:top w:w="0" w:type="dxa"/>
            <w:left w:w="0" w:type="dxa"/>
            <w:bottom w:w="0" w:type="dxa"/>
            <w:right w:w="0" w:type="dxa"/>
          </w:tblCellMar>
        </w:tblPrEx>
        <w:trPr>
          <w:trHeight w:val="285" w:hRule="atLeast"/>
        </w:trPr>
        <w:tc>
          <w:tcPr>
            <w:tcW w:w="435" w:type="dxa"/>
            <w:tcBorders>
              <w:top w:val="nil"/>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7EDF7B03">
            <w:pPr>
              <w:jc w:val="center"/>
            </w:pPr>
            <w:r>
              <w:rPr>
                <w:rFonts w:hint="eastAsia"/>
              </w:rPr>
              <w:t>19</w:t>
            </w:r>
          </w:p>
        </w:tc>
        <w:tc>
          <w:tcPr>
            <w:tcW w:w="1812" w:type="dxa"/>
            <w:tcBorders>
              <w:top w:val="nil"/>
              <w:left w:val="single" w:color="auto" w:sz="4" w:space="0"/>
              <w:bottom w:val="single" w:color="auto" w:sz="4" w:space="0"/>
              <w:right w:val="single" w:color="auto" w:sz="4" w:space="0"/>
            </w:tcBorders>
            <w:tcMar>
              <w:top w:w="15" w:type="dxa"/>
              <w:left w:w="15" w:type="dxa"/>
              <w:right w:w="15" w:type="dxa"/>
            </w:tcMar>
            <w:vAlign w:val="center"/>
          </w:tcPr>
          <w:p w14:paraId="5834E27C">
            <w:pPr>
              <w:jc w:val="center"/>
            </w:pPr>
            <w:r>
              <w:rPr>
                <w:rFonts w:hint="eastAsia"/>
              </w:rPr>
              <w:t>高清混合矩阵</w:t>
            </w:r>
          </w:p>
        </w:tc>
        <w:tc>
          <w:tcPr>
            <w:tcW w:w="435" w:type="dxa"/>
            <w:tcBorders>
              <w:top w:val="nil"/>
              <w:left w:val="single" w:color="auto" w:sz="4" w:space="0"/>
              <w:bottom w:val="single" w:color="auto" w:sz="4" w:space="0"/>
              <w:right w:val="single" w:color="auto" w:sz="4" w:space="0"/>
            </w:tcBorders>
            <w:tcMar>
              <w:top w:w="15" w:type="dxa"/>
              <w:left w:w="15" w:type="dxa"/>
              <w:right w:w="15" w:type="dxa"/>
            </w:tcMar>
            <w:vAlign w:val="center"/>
          </w:tcPr>
          <w:p w14:paraId="62F5EF48">
            <w:pPr>
              <w:jc w:val="center"/>
            </w:pPr>
            <w:r>
              <w:rPr>
                <w:rFonts w:hint="eastAsia"/>
              </w:rPr>
              <w:t>1</w:t>
            </w:r>
          </w:p>
        </w:tc>
        <w:tc>
          <w:tcPr>
            <w:tcW w:w="540" w:type="dxa"/>
            <w:tcBorders>
              <w:top w:val="nil"/>
              <w:left w:val="nil"/>
              <w:bottom w:val="single" w:color="auto" w:sz="4" w:space="0"/>
              <w:right w:val="single" w:color="auto" w:sz="4" w:space="0"/>
            </w:tcBorders>
            <w:tcMar>
              <w:top w:w="15" w:type="dxa"/>
              <w:left w:w="15" w:type="dxa"/>
              <w:right w:w="15" w:type="dxa"/>
            </w:tcMar>
            <w:vAlign w:val="center"/>
          </w:tcPr>
          <w:p w14:paraId="7C56F3BE">
            <w:pPr>
              <w:jc w:val="center"/>
            </w:pPr>
            <w:r>
              <w:rPr>
                <w:rFonts w:hint="eastAsia"/>
              </w:rPr>
              <w:t>台</w:t>
            </w:r>
          </w:p>
        </w:tc>
        <w:tc>
          <w:tcPr>
            <w:tcW w:w="1245" w:type="dxa"/>
            <w:tcBorders>
              <w:top w:val="nil"/>
              <w:left w:val="single" w:color="auto" w:sz="4" w:space="0"/>
              <w:bottom w:val="single" w:color="auto" w:sz="4" w:space="0"/>
              <w:right w:val="single" w:color="auto" w:sz="4" w:space="0"/>
            </w:tcBorders>
            <w:tcMar>
              <w:top w:w="15" w:type="dxa"/>
              <w:left w:w="15" w:type="dxa"/>
              <w:right w:w="15" w:type="dxa"/>
            </w:tcMar>
            <w:vAlign w:val="center"/>
          </w:tcPr>
          <w:p w14:paraId="2B6F3F5D">
            <w:pPr>
              <w:jc w:val="center"/>
            </w:pPr>
            <w:r>
              <w:rPr>
                <w:rFonts w:hint="eastAsia"/>
              </w:rPr>
              <w:t>5700.00</w:t>
            </w:r>
          </w:p>
        </w:tc>
        <w:tc>
          <w:tcPr>
            <w:tcW w:w="9825" w:type="dxa"/>
            <w:tcBorders>
              <w:top w:val="nil"/>
              <w:left w:val="single" w:color="auto" w:sz="4" w:space="0"/>
              <w:bottom w:val="single" w:color="auto" w:sz="4" w:space="0"/>
              <w:right w:val="single" w:color="auto" w:sz="4" w:space="0"/>
            </w:tcBorders>
            <w:noWrap/>
            <w:tcMar>
              <w:top w:w="15" w:type="dxa"/>
              <w:left w:w="15" w:type="dxa"/>
              <w:right w:w="15" w:type="dxa"/>
            </w:tcMar>
            <w:vAlign w:val="center"/>
          </w:tcPr>
          <w:p w14:paraId="2202FBD7">
            <w:pPr>
              <w:adjustRightInd w:val="0"/>
              <w:snapToGrid w:val="0"/>
              <w:rPr>
                <w:szCs w:val="21"/>
              </w:rPr>
            </w:pPr>
            <w:r>
              <w:rPr>
                <w:rFonts w:hint="eastAsia"/>
                <w:szCs w:val="21"/>
              </w:rPr>
              <w:t xml:space="preserve">1. 可将任意的输入信号源切换到任意输出； </w:t>
            </w:r>
          </w:p>
          <w:p w14:paraId="69DBCB6B">
            <w:pPr>
              <w:adjustRightInd w:val="0"/>
              <w:snapToGrid w:val="0"/>
              <w:rPr>
                <w:szCs w:val="21"/>
              </w:rPr>
            </w:pPr>
            <w:r>
              <w:rPr>
                <w:rFonts w:hint="eastAsia"/>
                <w:szCs w:val="21"/>
              </w:rPr>
              <w:t xml:space="preserve">2. 支持不少于8路音视频输入、8路音视频输出； </w:t>
            </w:r>
          </w:p>
          <w:p w14:paraId="4CAD4256">
            <w:pPr>
              <w:adjustRightInd w:val="0"/>
              <w:snapToGrid w:val="0"/>
              <w:rPr>
                <w:szCs w:val="21"/>
              </w:rPr>
            </w:pPr>
            <w:r>
              <w:rPr>
                <w:rFonts w:hint="eastAsia"/>
                <w:szCs w:val="21"/>
              </w:rPr>
              <w:t xml:space="preserve">3. 支持音频加嵌及解嵌功能； </w:t>
            </w:r>
          </w:p>
          <w:p w14:paraId="3AACBE4B">
            <w:pPr>
              <w:adjustRightInd w:val="0"/>
              <w:snapToGrid w:val="0"/>
              <w:rPr>
                <w:szCs w:val="21"/>
              </w:rPr>
            </w:pPr>
            <w:r>
              <w:rPr>
                <w:rFonts w:hint="eastAsia"/>
                <w:szCs w:val="21"/>
              </w:rPr>
              <w:t xml:space="preserve">4. 支持4K信号输入输出； </w:t>
            </w:r>
          </w:p>
          <w:p w14:paraId="02BB1627">
            <w:pPr>
              <w:adjustRightInd w:val="0"/>
              <w:snapToGrid w:val="0"/>
              <w:rPr>
                <w:szCs w:val="21"/>
              </w:rPr>
            </w:pPr>
            <w:r>
              <w:rPr>
                <w:rFonts w:hint="eastAsia"/>
                <w:szCs w:val="21"/>
              </w:rPr>
              <w:t xml:space="preserve">5. 具备倍频倍线功能，支持将不同分辨率的信号统一处理输出； </w:t>
            </w:r>
          </w:p>
          <w:p w14:paraId="6055493E">
            <w:pPr>
              <w:adjustRightInd w:val="0"/>
              <w:snapToGrid w:val="0"/>
              <w:rPr>
                <w:szCs w:val="21"/>
              </w:rPr>
            </w:pPr>
            <w:r>
              <w:rPr>
                <w:rFonts w:hint="eastAsia"/>
                <w:szCs w:val="21"/>
              </w:rPr>
              <w:t>6. 具备EDID管理，兼容HDCP；</w:t>
            </w:r>
          </w:p>
          <w:p w14:paraId="0229DFE1">
            <w:pPr>
              <w:adjustRightInd w:val="0"/>
              <w:snapToGrid w:val="0"/>
              <w:rPr>
                <w:szCs w:val="21"/>
              </w:rPr>
            </w:pPr>
            <w:r>
              <w:rPr>
                <w:rFonts w:hint="eastAsia"/>
                <w:szCs w:val="21"/>
              </w:rPr>
              <w:t>7. 具备多种控制方式，包括面板按钮、IR、RS232，且可扩展TCP/IP控制；</w:t>
            </w:r>
          </w:p>
          <w:p w14:paraId="381F3795">
            <w:pPr>
              <w:adjustRightInd w:val="0"/>
              <w:snapToGrid w:val="0"/>
              <w:rPr>
                <w:szCs w:val="21"/>
              </w:rPr>
            </w:pPr>
            <w:r>
              <w:rPr>
                <w:rFonts w:hint="eastAsia"/>
                <w:szCs w:val="21"/>
              </w:rPr>
              <w:t>8. 支持热拔插及掉电保护功能。</w:t>
            </w:r>
          </w:p>
        </w:tc>
        <w:tc>
          <w:tcPr>
            <w:tcW w:w="1050" w:type="dxa"/>
            <w:vMerge w:val="continue"/>
            <w:tcBorders>
              <w:left w:val="single" w:color="000000" w:sz="4" w:space="0"/>
              <w:right w:val="single" w:color="000000" w:sz="4" w:space="0"/>
            </w:tcBorders>
            <w:noWrap/>
            <w:tcMar>
              <w:top w:w="15" w:type="dxa"/>
              <w:left w:w="15" w:type="dxa"/>
              <w:right w:w="15" w:type="dxa"/>
            </w:tcMar>
            <w:vAlign w:val="center"/>
          </w:tcPr>
          <w:p w14:paraId="179F5853">
            <w:pPr>
              <w:jc w:val="center"/>
              <w:rPr>
                <w:rFonts w:ascii="宋体" w:hAnsi="宋体" w:cs="宋体"/>
                <w:color w:val="000000"/>
                <w:sz w:val="24"/>
              </w:rPr>
            </w:pPr>
          </w:p>
        </w:tc>
      </w:tr>
      <w:tr w14:paraId="05ED4C5B">
        <w:tblPrEx>
          <w:tblCellMar>
            <w:top w:w="0" w:type="dxa"/>
            <w:left w:w="0" w:type="dxa"/>
            <w:bottom w:w="0" w:type="dxa"/>
            <w:right w:w="0" w:type="dxa"/>
          </w:tblCellMar>
        </w:tblPrEx>
        <w:trPr>
          <w:trHeight w:val="285" w:hRule="atLeast"/>
        </w:trPr>
        <w:tc>
          <w:tcPr>
            <w:tcW w:w="435" w:type="dxa"/>
            <w:tcBorders>
              <w:top w:val="nil"/>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45765097">
            <w:pPr>
              <w:jc w:val="center"/>
            </w:pPr>
            <w:r>
              <w:rPr>
                <w:rFonts w:hint="eastAsia"/>
              </w:rPr>
              <w:t>20</w:t>
            </w:r>
          </w:p>
        </w:tc>
        <w:tc>
          <w:tcPr>
            <w:tcW w:w="1812" w:type="dxa"/>
            <w:tcBorders>
              <w:top w:val="nil"/>
              <w:left w:val="single" w:color="auto" w:sz="4" w:space="0"/>
              <w:bottom w:val="single" w:color="auto" w:sz="4" w:space="0"/>
              <w:right w:val="single" w:color="auto" w:sz="4" w:space="0"/>
            </w:tcBorders>
            <w:tcMar>
              <w:top w:w="15" w:type="dxa"/>
              <w:left w:w="15" w:type="dxa"/>
              <w:right w:w="15" w:type="dxa"/>
            </w:tcMar>
            <w:vAlign w:val="center"/>
          </w:tcPr>
          <w:p w14:paraId="70031EFF">
            <w:pPr>
              <w:jc w:val="center"/>
            </w:pPr>
            <w:r>
              <w:rPr>
                <w:rFonts w:hint="eastAsia"/>
              </w:rPr>
              <w:t>HDMI输入卡</w:t>
            </w:r>
          </w:p>
        </w:tc>
        <w:tc>
          <w:tcPr>
            <w:tcW w:w="435" w:type="dxa"/>
            <w:tcBorders>
              <w:top w:val="nil"/>
              <w:left w:val="single" w:color="auto" w:sz="4" w:space="0"/>
              <w:bottom w:val="single" w:color="auto" w:sz="4" w:space="0"/>
              <w:right w:val="single" w:color="auto" w:sz="4" w:space="0"/>
            </w:tcBorders>
            <w:tcMar>
              <w:top w:w="15" w:type="dxa"/>
              <w:left w:w="15" w:type="dxa"/>
              <w:right w:w="15" w:type="dxa"/>
            </w:tcMar>
            <w:vAlign w:val="center"/>
          </w:tcPr>
          <w:p w14:paraId="6251B604">
            <w:pPr>
              <w:jc w:val="center"/>
            </w:pPr>
            <w:r>
              <w:rPr>
                <w:rFonts w:hint="eastAsia"/>
              </w:rPr>
              <w:t>1</w:t>
            </w:r>
          </w:p>
        </w:tc>
        <w:tc>
          <w:tcPr>
            <w:tcW w:w="540" w:type="dxa"/>
            <w:tcBorders>
              <w:top w:val="nil"/>
              <w:left w:val="nil"/>
              <w:bottom w:val="single" w:color="auto" w:sz="4" w:space="0"/>
              <w:right w:val="single" w:color="auto" w:sz="4" w:space="0"/>
            </w:tcBorders>
            <w:tcMar>
              <w:top w:w="15" w:type="dxa"/>
              <w:left w:w="15" w:type="dxa"/>
              <w:right w:w="15" w:type="dxa"/>
            </w:tcMar>
            <w:vAlign w:val="center"/>
          </w:tcPr>
          <w:p w14:paraId="6F6DED08">
            <w:pPr>
              <w:jc w:val="center"/>
            </w:pPr>
            <w:r>
              <w:rPr>
                <w:rFonts w:hint="eastAsia"/>
              </w:rPr>
              <w:t>张</w:t>
            </w:r>
          </w:p>
        </w:tc>
        <w:tc>
          <w:tcPr>
            <w:tcW w:w="1245" w:type="dxa"/>
            <w:tcBorders>
              <w:top w:val="nil"/>
              <w:left w:val="single" w:color="auto" w:sz="4" w:space="0"/>
              <w:bottom w:val="single" w:color="auto" w:sz="4" w:space="0"/>
              <w:right w:val="single" w:color="auto" w:sz="4" w:space="0"/>
            </w:tcBorders>
            <w:tcMar>
              <w:top w:w="15" w:type="dxa"/>
              <w:left w:w="15" w:type="dxa"/>
              <w:right w:w="15" w:type="dxa"/>
            </w:tcMar>
            <w:vAlign w:val="center"/>
          </w:tcPr>
          <w:p w14:paraId="5FE58E0E">
            <w:pPr>
              <w:jc w:val="center"/>
            </w:pPr>
            <w:r>
              <w:rPr>
                <w:rFonts w:hint="eastAsia"/>
              </w:rPr>
              <w:t>1450.00</w:t>
            </w:r>
          </w:p>
        </w:tc>
        <w:tc>
          <w:tcPr>
            <w:tcW w:w="9825" w:type="dxa"/>
            <w:tcBorders>
              <w:top w:val="nil"/>
              <w:left w:val="single" w:color="auto" w:sz="4" w:space="0"/>
              <w:bottom w:val="single" w:color="auto" w:sz="4" w:space="0"/>
              <w:right w:val="single" w:color="auto" w:sz="4" w:space="0"/>
            </w:tcBorders>
            <w:noWrap/>
            <w:tcMar>
              <w:top w:w="15" w:type="dxa"/>
              <w:left w:w="15" w:type="dxa"/>
              <w:right w:w="15" w:type="dxa"/>
            </w:tcMar>
            <w:vAlign w:val="center"/>
          </w:tcPr>
          <w:p w14:paraId="16267456">
            <w:pPr>
              <w:adjustRightInd w:val="0"/>
              <w:snapToGrid w:val="0"/>
              <w:rPr>
                <w:szCs w:val="21"/>
              </w:rPr>
            </w:pPr>
            <w:r>
              <w:rPr>
                <w:rFonts w:hint="eastAsia"/>
                <w:szCs w:val="21"/>
              </w:rPr>
              <w:t>1. 不少于4路HDMI输入，支持音频同步传输，</w:t>
            </w:r>
          </w:p>
          <w:p w14:paraId="575F9BB0">
            <w:pPr>
              <w:adjustRightInd w:val="0"/>
              <w:snapToGrid w:val="0"/>
              <w:rPr>
                <w:szCs w:val="21"/>
              </w:rPr>
            </w:pPr>
            <w:r>
              <w:rPr>
                <w:rFonts w:hint="eastAsia"/>
                <w:szCs w:val="21"/>
              </w:rPr>
              <w:t>2. 支持EDID管理，且兼容HDCP，</w:t>
            </w:r>
          </w:p>
          <w:p w14:paraId="493DB68F">
            <w:pPr>
              <w:adjustRightInd w:val="0"/>
              <w:snapToGrid w:val="0"/>
              <w:rPr>
                <w:szCs w:val="21"/>
              </w:rPr>
            </w:pPr>
            <w:r>
              <w:rPr>
                <w:rFonts w:hint="eastAsia"/>
                <w:szCs w:val="21"/>
              </w:rPr>
              <w:t>3. 支持热拔插。</w:t>
            </w:r>
          </w:p>
        </w:tc>
        <w:tc>
          <w:tcPr>
            <w:tcW w:w="1050" w:type="dxa"/>
            <w:vMerge w:val="continue"/>
            <w:tcBorders>
              <w:left w:val="single" w:color="000000" w:sz="4" w:space="0"/>
              <w:right w:val="single" w:color="000000" w:sz="4" w:space="0"/>
            </w:tcBorders>
            <w:noWrap/>
            <w:tcMar>
              <w:top w:w="15" w:type="dxa"/>
              <w:left w:w="15" w:type="dxa"/>
              <w:right w:w="15" w:type="dxa"/>
            </w:tcMar>
            <w:vAlign w:val="center"/>
          </w:tcPr>
          <w:p w14:paraId="7D33C3D2">
            <w:pPr>
              <w:jc w:val="center"/>
              <w:rPr>
                <w:rFonts w:ascii="宋体" w:hAnsi="宋体" w:cs="宋体"/>
                <w:color w:val="000000"/>
                <w:sz w:val="24"/>
              </w:rPr>
            </w:pPr>
          </w:p>
        </w:tc>
      </w:tr>
      <w:tr w14:paraId="6A305BBA">
        <w:tblPrEx>
          <w:tblCellMar>
            <w:top w:w="0" w:type="dxa"/>
            <w:left w:w="0" w:type="dxa"/>
            <w:bottom w:w="0" w:type="dxa"/>
            <w:right w:w="0" w:type="dxa"/>
          </w:tblCellMar>
        </w:tblPrEx>
        <w:trPr>
          <w:trHeight w:val="285" w:hRule="atLeast"/>
        </w:trPr>
        <w:tc>
          <w:tcPr>
            <w:tcW w:w="435" w:type="dxa"/>
            <w:tcBorders>
              <w:top w:val="nil"/>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0280B71C">
            <w:pPr>
              <w:jc w:val="center"/>
            </w:pPr>
            <w:r>
              <w:rPr>
                <w:rFonts w:hint="eastAsia"/>
              </w:rPr>
              <w:t>21</w:t>
            </w:r>
          </w:p>
        </w:tc>
        <w:tc>
          <w:tcPr>
            <w:tcW w:w="1812" w:type="dxa"/>
            <w:tcBorders>
              <w:top w:val="nil"/>
              <w:left w:val="single" w:color="auto" w:sz="4" w:space="0"/>
              <w:bottom w:val="single" w:color="auto" w:sz="4" w:space="0"/>
              <w:right w:val="single" w:color="auto" w:sz="4" w:space="0"/>
            </w:tcBorders>
            <w:tcMar>
              <w:top w:w="15" w:type="dxa"/>
              <w:left w:w="15" w:type="dxa"/>
              <w:right w:w="15" w:type="dxa"/>
            </w:tcMar>
            <w:vAlign w:val="center"/>
          </w:tcPr>
          <w:p w14:paraId="29CDD4BB">
            <w:pPr>
              <w:jc w:val="center"/>
            </w:pPr>
            <w:r>
              <w:rPr>
                <w:rFonts w:hint="eastAsia"/>
              </w:rPr>
              <w:t>HDMI输出卡</w:t>
            </w:r>
          </w:p>
        </w:tc>
        <w:tc>
          <w:tcPr>
            <w:tcW w:w="435" w:type="dxa"/>
            <w:tcBorders>
              <w:top w:val="nil"/>
              <w:left w:val="single" w:color="auto" w:sz="4" w:space="0"/>
              <w:bottom w:val="single" w:color="auto" w:sz="4" w:space="0"/>
              <w:right w:val="single" w:color="auto" w:sz="4" w:space="0"/>
            </w:tcBorders>
            <w:tcMar>
              <w:top w:w="15" w:type="dxa"/>
              <w:left w:w="15" w:type="dxa"/>
              <w:right w:w="15" w:type="dxa"/>
            </w:tcMar>
            <w:vAlign w:val="center"/>
          </w:tcPr>
          <w:p w14:paraId="36AFE896">
            <w:pPr>
              <w:jc w:val="center"/>
            </w:pPr>
            <w:r>
              <w:rPr>
                <w:rFonts w:hint="eastAsia"/>
              </w:rPr>
              <w:t>1</w:t>
            </w:r>
          </w:p>
        </w:tc>
        <w:tc>
          <w:tcPr>
            <w:tcW w:w="540" w:type="dxa"/>
            <w:tcBorders>
              <w:top w:val="nil"/>
              <w:left w:val="nil"/>
              <w:bottom w:val="single" w:color="auto" w:sz="4" w:space="0"/>
              <w:right w:val="single" w:color="auto" w:sz="4" w:space="0"/>
            </w:tcBorders>
            <w:tcMar>
              <w:top w:w="15" w:type="dxa"/>
              <w:left w:w="15" w:type="dxa"/>
              <w:right w:w="15" w:type="dxa"/>
            </w:tcMar>
            <w:vAlign w:val="center"/>
          </w:tcPr>
          <w:p w14:paraId="5C17C512">
            <w:pPr>
              <w:jc w:val="center"/>
            </w:pPr>
            <w:r>
              <w:rPr>
                <w:rFonts w:hint="eastAsia"/>
              </w:rPr>
              <w:t>张</w:t>
            </w:r>
          </w:p>
        </w:tc>
        <w:tc>
          <w:tcPr>
            <w:tcW w:w="1245" w:type="dxa"/>
            <w:tcBorders>
              <w:top w:val="nil"/>
              <w:left w:val="single" w:color="auto" w:sz="4" w:space="0"/>
              <w:bottom w:val="single" w:color="auto" w:sz="4" w:space="0"/>
              <w:right w:val="single" w:color="auto" w:sz="4" w:space="0"/>
            </w:tcBorders>
            <w:tcMar>
              <w:top w:w="15" w:type="dxa"/>
              <w:left w:w="15" w:type="dxa"/>
              <w:right w:w="15" w:type="dxa"/>
            </w:tcMar>
            <w:vAlign w:val="center"/>
          </w:tcPr>
          <w:p w14:paraId="0395467B">
            <w:pPr>
              <w:jc w:val="center"/>
            </w:pPr>
            <w:r>
              <w:rPr>
                <w:rFonts w:hint="eastAsia"/>
              </w:rPr>
              <w:t>1900.00</w:t>
            </w:r>
          </w:p>
        </w:tc>
        <w:tc>
          <w:tcPr>
            <w:tcW w:w="9825" w:type="dxa"/>
            <w:tcBorders>
              <w:top w:val="nil"/>
              <w:left w:val="single" w:color="auto" w:sz="4" w:space="0"/>
              <w:bottom w:val="single" w:color="auto" w:sz="4" w:space="0"/>
              <w:right w:val="single" w:color="auto" w:sz="4" w:space="0"/>
            </w:tcBorders>
            <w:noWrap/>
            <w:tcMar>
              <w:top w:w="15" w:type="dxa"/>
              <w:left w:w="15" w:type="dxa"/>
              <w:right w:w="15" w:type="dxa"/>
            </w:tcMar>
            <w:vAlign w:val="center"/>
          </w:tcPr>
          <w:p w14:paraId="644D638D">
            <w:pPr>
              <w:adjustRightInd w:val="0"/>
              <w:snapToGrid w:val="0"/>
              <w:rPr>
                <w:szCs w:val="21"/>
              </w:rPr>
            </w:pPr>
            <w:r>
              <w:rPr>
                <w:rFonts w:hint="eastAsia"/>
                <w:szCs w:val="21"/>
              </w:rPr>
              <w:t>1. 不少于4路HDMI输出，支持音频同步传输；</w:t>
            </w:r>
          </w:p>
          <w:p w14:paraId="548FE676">
            <w:pPr>
              <w:adjustRightInd w:val="0"/>
              <w:snapToGrid w:val="0"/>
              <w:rPr>
                <w:szCs w:val="21"/>
              </w:rPr>
            </w:pPr>
            <w:r>
              <w:rPr>
                <w:rFonts w:hint="eastAsia"/>
                <w:szCs w:val="21"/>
              </w:rPr>
              <w:t>2. 支持EDID管理，且兼容HDCP，</w:t>
            </w:r>
          </w:p>
          <w:p w14:paraId="74498509">
            <w:pPr>
              <w:adjustRightInd w:val="0"/>
              <w:snapToGrid w:val="0"/>
              <w:rPr>
                <w:szCs w:val="21"/>
              </w:rPr>
            </w:pPr>
            <w:r>
              <w:rPr>
                <w:rFonts w:hint="eastAsia"/>
                <w:szCs w:val="21"/>
              </w:rPr>
              <w:t>3. 支持热拔插。</w:t>
            </w:r>
          </w:p>
        </w:tc>
        <w:tc>
          <w:tcPr>
            <w:tcW w:w="1050" w:type="dxa"/>
            <w:vMerge w:val="continue"/>
            <w:tcBorders>
              <w:left w:val="single" w:color="000000" w:sz="4" w:space="0"/>
              <w:right w:val="single" w:color="000000" w:sz="4" w:space="0"/>
            </w:tcBorders>
            <w:noWrap/>
            <w:tcMar>
              <w:top w:w="15" w:type="dxa"/>
              <w:left w:w="15" w:type="dxa"/>
              <w:right w:w="15" w:type="dxa"/>
            </w:tcMar>
            <w:vAlign w:val="center"/>
          </w:tcPr>
          <w:p w14:paraId="37F20668">
            <w:pPr>
              <w:jc w:val="center"/>
              <w:rPr>
                <w:rFonts w:ascii="宋体" w:hAnsi="宋体" w:cs="宋体"/>
                <w:color w:val="000000"/>
                <w:sz w:val="24"/>
              </w:rPr>
            </w:pPr>
          </w:p>
        </w:tc>
      </w:tr>
      <w:tr w14:paraId="66462D33">
        <w:tblPrEx>
          <w:tblCellMar>
            <w:top w:w="0" w:type="dxa"/>
            <w:left w:w="0" w:type="dxa"/>
            <w:bottom w:w="0" w:type="dxa"/>
            <w:right w:w="0" w:type="dxa"/>
          </w:tblCellMar>
        </w:tblPrEx>
        <w:trPr>
          <w:trHeight w:val="285" w:hRule="atLeast"/>
        </w:trPr>
        <w:tc>
          <w:tcPr>
            <w:tcW w:w="435" w:type="dxa"/>
            <w:tcBorders>
              <w:top w:val="nil"/>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63B01640">
            <w:pPr>
              <w:jc w:val="center"/>
            </w:pPr>
            <w:r>
              <w:rPr>
                <w:rFonts w:hint="eastAsia"/>
              </w:rPr>
              <w:t>22</w:t>
            </w:r>
          </w:p>
        </w:tc>
        <w:tc>
          <w:tcPr>
            <w:tcW w:w="1812" w:type="dxa"/>
            <w:tcBorders>
              <w:top w:val="nil"/>
              <w:left w:val="single" w:color="auto" w:sz="4" w:space="0"/>
              <w:bottom w:val="single" w:color="auto" w:sz="4" w:space="0"/>
              <w:right w:val="single" w:color="auto" w:sz="4" w:space="0"/>
            </w:tcBorders>
            <w:tcMar>
              <w:top w:w="15" w:type="dxa"/>
              <w:left w:w="15" w:type="dxa"/>
              <w:right w:w="15" w:type="dxa"/>
            </w:tcMar>
            <w:vAlign w:val="center"/>
          </w:tcPr>
          <w:p w14:paraId="3C168F4E">
            <w:pPr>
              <w:jc w:val="center"/>
            </w:pPr>
            <w:r>
              <w:rPr>
                <w:rFonts w:hint="eastAsia"/>
              </w:rPr>
              <w:t>HDbaseT传输器（HDMI）</w:t>
            </w:r>
          </w:p>
        </w:tc>
        <w:tc>
          <w:tcPr>
            <w:tcW w:w="435" w:type="dxa"/>
            <w:tcBorders>
              <w:top w:val="nil"/>
              <w:left w:val="single" w:color="auto" w:sz="4" w:space="0"/>
              <w:bottom w:val="single" w:color="auto" w:sz="4" w:space="0"/>
              <w:right w:val="single" w:color="auto" w:sz="4" w:space="0"/>
            </w:tcBorders>
            <w:tcMar>
              <w:top w:w="15" w:type="dxa"/>
              <w:left w:w="15" w:type="dxa"/>
              <w:right w:w="15" w:type="dxa"/>
            </w:tcMar>
            <w:vAlign w:val="center"/>
          </w:tcPr>
          <w:p w14:paraId="730F3861">
            <w:pPr>
              <w:jc w:val="center"/>
            </w:pPr>
            <w:r>
              <w:rPr>
                <w:rFonts w:hint="eastAsia"/>
              </w:rPr>
              <w:t>1</w:t>
            </w:r>
          </w:p>
        </w:tc>
        <w:tc>
          <w:tcPr>
            <w:tcW w:w="540" w:type="dxa"/>
            <w:tcBorders>
              <w:top w:val="nil"/>
              <w:left w:val="nil"/>
              <w:bottom w:val="single" w:color="auto" w:sz="4" w:space="0"/>
              <w:right w:val="single" w:color="auto" w:sz="4" w:space="0"/>
            </w:tcBorders>
            <w:tcMar>
              <w:top w:w="15" w:type="dxa"/>
              <w:left w:w="15" w:type="dxa"/>
              <w:right w:w="15" w:type="dxa"/>
            </w:tcMar>
            <w:vAlign w:val="center"/>
          </w:tcPr>
          <w:p w14:paraId="20E48F2E">
            <w:pPr>
              <w:jc w:val="center"/>
            </w:pPr>
            <w:r>
              <w:rPr>
                <w:rFonts w:hint="eastAsia"/>
              </w:rPr>
              <w:t>对</w:t>
            </w:r>
          </w:p>
        </w:tc>
        <w:tc>
          <w:tcPr>
            <w:tcW w:w="1245" w:type="dxa"/>
            <w:tcBorders>
              <w:top w:val="nil"/>
              <w:left w:val="single" w:color="auto" w:sz="4" w:space="0"/>
              <w:bottom w:val="single" w:color="auto" w:sz="4" w:space="0"/>
              <w:right w:val="single" w:color="auto" w:sz="4" w:space="0"/>
            </w:tcBorders>
            <w:tcMar>
              <w:top w:w="15" w:type="dxa"/>
              <w:left w:w="15" w:type="dxa"/>
              <w:right w:w="15" w:type="dxa"/>
            </w:tcMar>
            <w:vAlign w:val="center"/>
          </w:tcPr>
          <w:p w14:paraId="17551BFA">
            <w:pPr>
              <w:jc w:val="center"/>
            </w:pPr>
            <w:r>
              <w:rPr>
                <w:rFonts w:hint="eastAsia"/>
              </w:rPr>
              <w:t>1000.00</w:t>
            </w:r>
          </w:p>
        </w:tc>
        <w:tc>
          <w:tcPr>
            <w:tcW w:w="9825" w:type="dxa"/>
            <w:tcBorders>
              <w:top w:val="nil"/>
              <w:left w:val="single" w:color="auto" w:sz="4" w:space="0"/>
              <w:bottom w:val="single" w:color="auto" w:sz="4" w:space="0"/>
              <w:right w:val="single" w:color="auto" w:sz="4" w:space="0"/>
            </w:tcBorders>
            <w:noWrap/>
            <w:tcMar>
              <w:top w:w="15" w:type="dxa"/>
              <w:left w:w="15" w:type="dxa"/>
              <w:right w:w="15" w:type="dxa"/>
            </w:tcMar>
            <w:vAlign w:val="center"/>
          </w:tcPr>
          <w:p w14:paraId="65713AE1">
            <w:pPr>
              <w:adjustRightInd w:val="0"/>
              <w:snapToGrid w:val="0"/>
              <w:rPr>
                <w:szCs w:val="21"/>
              </w:rPr>
            </w:pPr>
            <w:r>
              <w:rPr>
                <w:rFonts w:hint="eastAsia"/>
                <w:szCs w:val="21"/>
              </w:rPr>
              <w:t xml:space="preserve">1. 包含发射器（TX）和接收器（RX）。基于PoC技术，1080p HDMI信号经网线传输的距离可达70米，4K信号可达35米； </w:t>
            </w:r>
          </w:p>
          <w:p w14:paraId="1A4868B9">
            <w:pPr>
              <w:adjustRightInd w:val="0"/>
              <w:snapToGrid w:val="0"/>
              <w:rPr>
                <w:szCs w:val="21"/>
              </w:rPr>
            </w:pPr>
            <w:r>
              <w:rPr>
                <w:rFonts w:hint="eastAsia"/>
                <w:szCs w:val="21"/>
              </w:rPr>
              <w:t>2. 支持双向IR和RS232透传控制功能，</w:t>
            </w:r>
          </w:p>
          <w:p w14:paraId="03655826">
            <w:pPr>
              <w:adjustRightInd w:val="0"/>
              <w:snapToGrid w:val="0"/>
              <w:rPr>
                <w:szCs w:val="21"/>
              </w:rPr>
            </w:pPr>
            <w:r>
              <w:rPr>
                <w:rFonts w:hint="eastAsia"/>
                <w:szCs w:val="21"/>
              </w:rPr>
              <w:t xml:space="preserve">3. 支持HDMI1.4，符合HDCP2.2； </w:t>
            </w:r>
          </w:p>
          <w:p w14:paraId="2DAD76AF">
            <w:pPr>
              <w:adjustRightInd w:val="0"/>
              <w:snapToGrid w:val="0"/>
              <w:rPr>
                <w:szCs w:val="21"/>
              </w:rPr>
            </w:pPr>
            <w:r>
              <w:rPr>
                <w:rFonts w:hint="eastAsia"/>
                <w:szCs w:val="21"/>
              </w:rPr>
              <w:t xml:space="preserve">4. 4Kx2K信号传输距离达35米，1080p信号达70米； </w:t>
            </w:r>
          </w:p>
          <w:p w14:paraId="5F6228AF">
            <w:pPr>
              <w:adjustRightInd w:val="0"/>
              <w:snapToGrid w:val="0"/>
              <w:rPr>
                <w:szCs w:val="21"/>
              </w:rPr>
            </w:pPr>
            <w:r>
              <w:rPr>
                <w:rFonts w:hint="eastAsia"/>
                <w:szCs w:val="21"/>
              </w:rPr>
              <w:t xml:space="preserve">5. 支持双向IR和RS232透传控制； </w:t>
            </w:r>
          </w:p>
          <w:p w14:paraId="2CD2B0D8">
            <w:pPr>
              <w:adjustRightInd w:val="0"/>
              <w:snapToGrid w:val="0"/>
              <w:rPr>
                <w:szCs w:val="21"/>
              </w:rPr>
            </w:pPr>
            <w:r>
              <w:rPr>
                <w:rFonts w:hint="eastAsia"/>
                <w:szCs w:val="21"/>
              </w:rPr>
              <w:t xml:space="preserve">6. 支持双向12V PoC供电； </w:t>
            </w:r>
          </w:p>
          <w:p w14:paraId="7441E60E">
            <w:pPr>
              <w:adjustRightInd w:val="0"/>
              <w:snapToGrid w:val="0"/>
              <w:rPr>
                <w:szCs w:val="21"/>
              </w:rPr>
            </w:pPr>
            <w:r>
              <w:rPr>
                <w:rFonts w:hint="eastAsia"/>
                <w:szCs w:val="21"/>
              </w:rPr>
              <w:t>7. 支持CEC；</w:t>
            </w:r>
            <w:r>
              <w:rPr>
                <w:rFonts w:hint="eastAsia"/>
                <w:szCs w:val="21"/>
              </w:rPr>
              <w:br w:type="textWrapping"/>
            </w:r>
            <w:r>
              <w:rPr>
                <w:rFonts w:hint="eastAsia"/>
                <w:szCs w:val="21"/>
              </w:rPr>
              <w:t>8. RS232模式选择开关：控制，升级。</w:t>
            </w:r>
          </w:p>
        </w:tc>
        <w:tc>
          <w:tcPr>
            <w:tcW w:w="1050" w:type="dxa"/>
            <w:vMerge w:val="continue"/>
            <w:tcBorders>
              <w:left w:val="single" w:color="000000" w:sz="4" w:space="0"/>
              <w:right w:val="single" w:color="000000" w:sz="4" w:space="0"/>
            </w:tcBorders>
            <w:noWrap/>
            <w:tcMar>
              <w:top w:w="15" w:type="dxa"/>
              <w:left w:w="15" w:type="dxa"/>
              <w:right w:w="15" w:type="dxa"/>
            </w:tcMar>
            <w:vAlign w:val="center"/>
          </w:tcPr>
          <w:p w14:paraId="582F53FC">
            <w:pPr>
              <w:jc w:val="center"/>
              <w:rPr>
                <w:rFonts w:ascii="宋体" w:hAnsi="宋体" w:cs="宋体"/>
                <w:color w:val="000000"/>
                <w:sz w:val="24"/>
              </w:rPr>
            </w:pPr>
          </w:p>
        </w:tc>
      </w:tr>
      <w:tr w14:paraId="19D68050">
        <w:tblPrEx>
          <w:tblCellMar>
            <w:top w:w="0" w:type="dxa"/>
            <w:left w:w="0" w:type="dxa"/>
            <w:bottom w:w="0" w:type="dxa"/>
            <w:right w:w="0" w:type="dxa"/>
          </w:tblCellMar>
        </w:tblPrEx>
        <w:trPr>
          <w:trHeight w:val="285" w:hRule="atLeast"/>
        </w:trPr>
        <w:tc>
          <w:tcPr>
            <w:tcW w:w="435" w:type="dxa"/>
            <w:tcBorders>
              <w:top w:val="nil"/>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2B044863">
            <w:pPr>
              <w:jc w:val="center"/>
            </w:pPr>
            <w:r>
              <w:rPr>
                <w:rFonts w:hint="eastAsia"/>
              </w:rPr>
              <w:t>23</w:t>
            </w:r>
          </w:p>
        </w:tc>
        <w:tc>
          <w:tcPr>
            <w:tcW w:w="1812" w:type="dxa"/>
            <w:tcBorders>
              <w:top w:val="nil"/>
              <w:left w:val="single" w:color="auto" w:sz="4" w:space="0"/>
              <w:bottom w:val="single" w:color="auto" w:sz="4" w:space="0"/>
              <w:right w:val="single" w:color="auto" w:sz="4" w:space="0"/>
            </w:tcBorders>
            <w:tcMar>
              <w:top w:w="15" w:type="dxa"/>
              <w:left w:w="15" w:type="dxa"/>
              <w:right w:w="15" w:type="dxa"/>
            </w:tcMar>
            <w:vAlign w:val="center"/>
          </w:tcPr>
          <w:p w14:paraId="64747B23">
            <w:pPr>
              <w:jc w:val="center"/>
            </w:pPr>
            <w:r>
              <w:rPr>
                <w:rFonts w:hint="eastAsia"/>
              </w:rPr>
              <w:t>中央控制系统主机</w:t>
            </w:r>
          </w:p>
        </w:tc>
        <w:tc>
          <w:tcPr>
            <w:tcW w:w="435" w:type="dxa"/>
            <w:tcBorders>
              <w:top w:val="nil"/>
              <w:left w:val="single" w:color="auto" w:sz="4" w:space="0"/>
              <w:bottom w:val="single" w:color="auto" w:sz="4" w:space="0"/>
              <w:right w:val="single" w:color="auto" w:sz="4" w:space="0"/>
            </w:tcBorders>
            <w:tcMar>
              <w:top w:w="15" w:type="dxa"/>
              <w:left w:w="15" w:type="dxa"/>
              <w:right w:w="15" w:type="dxa"/>
            </w:tcMar>
            <w:vAlign w:val="center"/>
          </w:tcPr>
          <w:p w14:paraId="57C16537">
            <w:pPr>
              <w:jc w:val="center"/>
            </w:pPr>
            <w:r>
              <w:rPr>
                <w:rFonts w:hint="eastAsia"/>
              </w:rPr>
              <w:t>1</w:t>
            </w:r>
          </w:p>
        </w:tc>
        <w:tc>
          <w:tcPr>
            <w:tcW w:w="540" w:type="dxa"/>
            <w:tcBorders>
              <w:top w:val="nil"/>
              <w:left w:val="nil"/>
              <w:bottom w:val="single" w:color="auto" w:sz="4" w:space="0"/>
              <w:right w:val="single" w:color="auto" w:sz="4" w:space="0"/>
            </w:tcBorders>
            <w:tcMar>
              <w:top w:w="15" w:type="dxa"/>
              <w:left w:w="15" w:type="dxa"/>
              <w:right w:w="15" w:type="dxa"/>
            </w:tcMar>
            <w:vAlign w:val="center"/>
          </w:tcPr>
          <w:p w14:paraId="0F3CC1EE">
            <w:pPr>
              <w:jc w:val="center"/>
            </w:pPr>
            <w:r>
              <w:rPr>
                <w:rFonts w:hint="eastAsia"/>
              </w:rPr>
              <w:t>台</w:t>
            </w:r>
          </w:p>
        </w:tc>
        <w:tc>
          <w:tcPr>
            <w:tcW w:w="1245" w:type="dxa"/>
            <w:tcBorders>
              <w:top w:val="nil"/>
              <w:left w:val="single" w:color="auto" w:sz="4" w:space="0"/>
              <w:bottom w:val="single" w:color="auto" w:sz="4" w:space="0"/>
              <w:right w:val="single" w:color="auto" w:sz="4" w:space="0"/>
            </w:tcBorders>
            <w:tcMar>
              <w:top w:w="15" w:type="dxa"/>
              <w:left w:w="15" w:type="dxa"/>
              <w:right w:w="15" w:type="dxa"/>
            </w:tcMar>
            <w:vAlign w:val="center"/>
          </w:tcPr>
          <w:p w14:paraId="70851409">
            <w:pPr>
              <w:jc w:val="center"/>
            </w:pPr>
            <w:r>
              <w:rPr>
                <w:rFonts w:hint="eastAsia"/>
              </w:rPr>
              <w:t>13500.00</w:t>
            </w:r>
          </w:p>
        </w:tc>
        <w:tc>
          <w:tcPr>
            <w:tcW w:w="9825" w:type="dxa"/>
            <w:tcBorders>
              <w:top w:val="nil"/>
              <w:left w:val="single" w:color="auto" w:sz="4" w:space="0"/>
              <w:bottom w:val="single" w:color="auto" w:sz="4" w:space="0"/>
              <w:right w:val="single" w:color="auto" w:sz="4" w:space="0"/>
            </w:tcBorders>
            <w:noWrap/>
            <w:tcMar>
              <w:top w:w="15" w:type="dxa"/>
              <w:left w:w="15" w:type="dxa"/>
              <w:right w:w="15" w:type="dxa"/>
            </w:tcMar>
            <w:vAlign w:val="center"/>
          </w:tcPr>
          <w:p w14:paraId="3CE06EEE">
            <w:pPr>
              <w:adjustRightInd w:val="0"/>
              <w:snapToGrid w:val="0"/>
              <w:rPr>
                <w:szCs w:val="21"/>
              </w:rPr>
            </w:pPr>
            <w:r>
              <w:rPr>
                <w:rFonts w:hint="eastAsia"/>
                <w:szCs w:val="21"/>
              </w:rPr>
              <w:t>1. 云中央控制系统；</w:t>
            </w:r>
          </w:p>
          <w:p w14:paraId="144E6CF4">
            <w:pPr>
              <w:adjustRightInd w:val="0"/>
              <w:snapToGrid w:val="0"/>
              <w:rPr>
                <w:szCs w:val="21"/>
              </w:rPr>
            </w:pPr>
            <w:r>
              <w:rPr>
                <w:rFonts w:hint="eastAsia"/>
                <w:szCs w:val="21"/>
              </w:rPr>
              <w:br w:type="page"/>
            </w:r>
            <w:r>
              <w:rPr>
                <w:rFonts w:hint="eastAsia"/>
                <w:szCs w:val="21"/>
              </w:rPr>
              <w:t>2. 基于云端网络通讯型的中央控制主机采用多线程多核双核处理器，主核处理能力最高可达1.4GHz；</w:t>
            </w:r>
          </w:p>
          <w:p w14:paraId="643FB4D5">
            <w:pPr>
              <w:adjustRightInd w:val="0"/>
              <w:snapToGrid w:val="0"/>
              <w:rPr>
                <w:szCs w:val="21"/>
              </w:rPr>
            </w:pPr>
            <w:r>
              <w:rPr>
                <w:rFonts w:hint="eastAsia"/>
                <w:szCs w:val="21"/>
              </w:rPr>
              <w:br w:type="page"/>
            </w:r>
            <w:r>
              <w:rPr>
                <w:rFonts w:hint="eastAsia"/>
                <w:szCs w:val="21"/>
              </w:rPr>
              <w:t>3. ≥4核CPU，≥1G内存，≥8G闪存；</w:t>
            </w:r>
          </w:p>
          <w:p w14:paraId="17E0F3D2">
            <w:pPr>
              <w:adjustRightInd w:val="0"/>
              <w:snapToGrid w:val="0"/>
              <w:rPr>
                <w:szCs w:val="21"/>
              </w:rPr>
            </w:pPr>
            <w:r>
              <w:rPr>
                <w:rFonts w:hint="eastAsia"/>
                <w:szCs w:val="21"/>
              </w:rPr>
              <w:br w:type="page"/>
            </w:r>
            <w:r>
              <w:rPr>
                <w:rFonts w:hint="eastAsia"/>
                <w:szCs w:val="21"/>
              </w:rPr>
              <w:t>4. 可级联使用，最大可达30台；</w:t>
            </w:r>
          </w:p>
          <w:p w14:paraId="17107719">
            <w:pPr>
              <w:adjustRightInd w:val="0"/>
              <w:snapToGrid w:val="0"/>
              <w:rPr>
                <w:szCs w:val="21"/>
              </w:rPr>
            </w:pPr>
            <w:r>
              <w:rPr>
                <w:rFonts w:hint="eastAsia"/>
                <w:szCs w:val="21"/>
              </w:rPr>
              <w:br w:type="page"/>
            </w:r>
            <w:r>
              <w:rPr>
                <w:rFonts w:hint="eastAsia"/>
                <w:szCs w:val="21"/>
              </w:rPr>
              <w:t>5. 可多级权限管理分配，三种以上管理模式；</w:t>
            </w:r>
          </w:p>
          <w:p w14:paraId="44788111">
            <w:pPr>
              <w:adjustRightInd w:val="0"/>
              <w:snapToGrid w:val="0"/>
              <w:rPr>
                <w:szCs w:val="21"/>
              </w:rPr>
            </w:pPr>
            <w:r>
              <w:rPr>
                <w:rFonts w:hint="eastAsia"/>
                <w:szCs w:val="21"/>
              </w:rPr>
              <w:br w:type="page"/>
            </w:r>
            <w:r>
              <w:rPr>
                <w:rFonts w:hint="eastAsia"/>
                <w:szCs w:val="21"/>
              </w:rPr>
              <w:t>6. 支持DMX512控制协议；</w:t>
            </w:r>
          </w:p>
          <w:p w14:paraId="42D3DA68">
            <w:pPr>
              <w:adjustRightInd w:val="0"/>
              <w:snapToGrid w:val="0"/>
              <w:rPr>
                <w:szCs w:val="21"/>
              </w:rPr>
            </w:pPr>
            <w:r>
              <w:rPr>
                <w:rFonts w:hint="eastAsia"/>
                <w:szCs w:val="21"/>
              </w:rPr>
              <w:br w:type="page"/>
            </w:r>
            <w:r>
              <w:rPr>
                <w:rFonts w:hint="eastAsia"/>
                <w:szCs w:val="21"/>
              </w:rPr>
              <w:t>7. 支持有线、无线WiFi控制；</w:t>
            </w:r>
          </w:p>
          <w:p w14:paraId="7ECA044D">
            <w:pPr>
              <w:adjustRightInd w:val="0"/>
              <w:snapToGrid w:val="0"/>
              <w:rPr>
                <w:szCs w:val="21"/>
              </w:rPr>
            </w:pPr>
            <w:r>
              <w:rPr>
                <w:rFonts w:hint="eastAsia"/>
                <w:szCs w:val="21"/>
              </w:rPr>
              <w:br w:type="page"/>
            </w:r>
            <w:r>
              <w:rPr>
                <w:rFonts w:hint="eastAsia"/>
                <w:szCs w:val="21"/>
              </w:rPr>
              <w:t>8. 支持自动时钟同步功能及时间轴多线程事件编辑功能。（需提供第三方权威机构检测报告证明复印件）</w:t>
            </w:r>
          </w:p>
        </w:tc>
        <w:tc>
          <w:tcPr>
            <w:tcW w:w="1050" w:type="dxa"/>
            <w:vMerge w:val="continue"/>
            <w:tcBorders>
              <w:left w:val="single" w:color="000000" w:sz="4" w:space="0"/>
              <w:right w:val="single" w:color="000000" w:sz="4" w:space="0"/>
            </w:tcBorders>
            <w:noWrap/>
            <w:tcMar>
              <w:top w:w="15" w:type="dxa"/>
              <w:left w:w="15" w:type="dxa"/>
              <w:right w:w="15" w:type="dxa"/>
            </w:tcMar>
            <w:vAlign w:val="center"/>
          </w:tcPr>
          <w:p w14:paraId="74CC565C">
            <w:pPr>
              <w:jc w:val="center"/>
              <w:rPr>
                <w:rFonts w:ascii="宋体" w:hAnsi="宋体" w:cs="宋体"/>
                <w:color w:val="000000"/>
                <w:sz w:val="24"/>
              </w:rPr>
            </w:pPr>
          </w:p>
        </w:tc>
      </w:tr>
      <w:tr w14:paraId="71F31A3D">
        <w:tblPrEx>
          <w:tblCellMar>
            <w:top w:w="0" w:type="dxa"/>
            <w:left w:w="0" w:type="dxa"/>
            <w:bottom w:w="0" w:type="dxa"/>
            <w:right w:w="0" w:type="dxa"/>
          </w:tblCellMar>
        </w:tblPrEx>
        <w:trPr>
          <w:trHeight w:val="285" w:hRule="atLeast"/>
        </w:trPr>
        <w:tc>
          <w:tcPr>
            <w:tcW w:w="435" w:type="dxa"/>
            <w:tcBorders>
              <w:top w:val="nil"/>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50D45D7B">
            <w:pPr>
              <w:jc w:val="center"/>
            </w:pPr>
            <w:r>
              <w:rPr>
                <w:rFonts w:hint="eastAsia"/>
              </w:rPr>
              <w:t>24</w:t>
            </w:r>
          </w:p>
        </w:tc>
        <w:tc>
          <w:tcPr>
            <w:tcW w:w="1812" w:type="dxa"/>
            <w:tcBorders>
              <w:top w:val="nil"/>
              <w:left w:val="single" w:color="auto" w:sz="4" w:space="0"/>
              <w:bottom w:val="single" w:color="auto" w:sz="4" w:space="0"/>
              <w:right w:val="single" w:color="auto" w:sz="4" w:space="0"/>
            </w:tcBorders>
            <w:tcMar>
              <w:top w:w="15" w:type="dxa"/>
              <w:left w:w="15" w:type="dxa"/>
              <w:right w:w="15" w:type="dxa"/>
            </w:tcMar>
            <w:vAlign w:val="center"/>
          </w:tcPr>
          <w:p w14:paraId="283FE5C5">
            <w:pPr>
              <w:jc w:val="center"/>
            </w:pPr>
            <w:r>
              <w:rPr>
                <w:rFonts w:hint="eastAsia"/>
              </w:rPr>
              <w:t>IVS智能云管理中心控制软件</w:t>
            </w:r>
          </w:p>
        </w:tc>
        <w:tc>
          <w:tcPr>
            <w:tcW w:w="435" w:type="dxa"/>
            <w:tcBorders>
              <w:top w:val="nil"/>
              <w:left w:val="single" w:color="auto" w:sz="4" w:space="0"/>
              <w:bottom w:val="single" w:color="auto" w:sz="4" w:space="0"/>
              <w:right w:val="single" w:color="auto" w:sz="4" w:space="0"/>
            </w:tcBorders>
            <w:tcMar>
              <w:top w:w="15" w:type="dxa"/>
              <w:left w:w="15" w:type="dxa"/>
              <w:right w:w="15" w:type="dxa"/>
            </w:tcMar>
            <w:vAlign w:val="center"/>
          </w:tcPr>
          <w:p w14:paraId="1C415BD8">
            <w:pPr>
              <w:jc w:val="center"/>
            </w:pPr>
            <w:r>
              <w:rPr>
                <w:rFonts w:hint="eastAsia"/>
              </w:rPr>
              <w:t>1</w:t>
            </w:r>
          </w:p>
        </w:tc>
        <w:tc>
          <w:tcPr>
            <w:tcW w:w="540" w:type="dxa"/>
            <w:tcBorders>
              <w:top w:val="nil"/>
              <w:left w:val="nil"/>
              <w:bottom w:val="single" w:color="auto" w:sz="4" w:space="0"/>
              <w:right w:val="single" w:color="auto" w:sz="4" w:space="0"/>
            </w:tcBorders>
            <w:tcMar>
              <w:top w:w="15" w:type="dxa"/>
              <w:left w:w="15" w:type="dxa"/>
              <w:right w:w="15" w:type="dxa"/>
            </w:tcMar>
            <w:vAlign w:val="center"/>
          </w:tcPr>
          <w:p w14:paraId="4CDB7E98">
            <w:pPr>
              <w:jc w:val="center"/>
            </w:pPr>
            <w:r>
              <w:rPr>
                <w:rFonts w:hint="eastAsia"/>
              </w:rPr>
              <w:t>套</w:t>
            </w:r>
          </w:p>
        </w:tc>
        <w:tc>
          <w:tcPr>
            <w:tcW w:w="1245" w:type="dxa"/>
            <w:tcBorders>
              <w:top w:val="nil"/>
              <w:left w:val="single" w:color="auto" w:sz="4" w:space="0"/>
              <w:bottom w:val="single" w:color="auto" w:sz="4" w:space="0"/>
              <w:right w:val="single" w:color="auto" w:sz="4" w:space="0"/>
            </w:tcBorders>
            <w:tcMar>
              <w:top w:w="15" w:type="dxa"/>
              <w:left w:w="15" w:type="dxa"/>
              <w:right w:w="15" w:type="dxa"/>
            </w:tcMar>
            <w:vAlign w:val="center"/>
          </w:tcPr>
          <w:p w14:paraId="42C38288">
            <w:pPr>
              <w:jc w:val="center"/>
            </w:pPr>
            <w:r>
              <w:rPr>
                <w:rFonts w:hint="eastAsia"/>
              </w:rPr>
              <w:t>3200.00</w:t>
            </w:r>
          </w:p>
        </w:tc>
        <w:tc>
          <w:tcPr>
            <w:tcW w:w="9825" w:type="dxa"/>
            <w:tcBorders>
              <w:top w:val="nil"/>
              <w:left w:val="single" w:color="auto" w:sz="4" w:space="0"/>
              <w:bottom w:val="single" w:color="auto" w:sz="4" w:space="0"/>
              <w:right w:val="single" w:color="auto" w:sz="4" w:space="0"/>
            </w:tcBorders>
            <w:noWrap/>
            <w:tcMar>
              <w:top w:w="15" w:type="dxa"/>
              <w:left w:w="15" w:type="dxa"/>
              <w:right w:w="15" w:type="dxa"/>
            </w:tcMar>
            <w:vAlign w:val="center"/>
          </w:tcPr>
          <w:p w14:paraId="7A6195AF">
            <w:pPr>
              <w:adjustRightInd w:val="0"/>
              <w:snapToGrid w:val="0"/>
              <w:rPr>
                <w:szCs w:val="21"/>
              </w:rPr>
            </w:pPr>
            <w:r>
              <w:rPr>
                <w:rFonts w:hint="eastAsia"/>
                <w:szCs w:val="21"/>
              </w:rPr>
              <w:t xml:space="preserve">1. 定制化操作界面； </w:t>
            </w:r>
          </w:p>
          <w:p w14:paraId="43CC6C36">
            <w:pPr>
              <w:adjustRightInd w:val="0"/>
              <w:snapToGrid w:val="0"/>
              <w:rPr>
                <w:szCs w:val="21"/>
              </w:rPr>
            </w:pPr>
            <w:r>
              <w:rPr>
                <w:rFonts w:hint="eastAsia"/>
                <w:szCs w:val="21"/>
              </w:rPr>
              <w:t xml:space="preserve">2. 跨平台控制系统，支持安卓、IOS、Windows系统； </w:t>
            </w:r>
          </w:p>
          <w:p w14:paraId="7639F6CC">
            <w:pPr>
              <w:adjustRightInd w:val="0"/>
              <w:snapToGrid w:val="0"/>
              <w:rPr>
                <w:szCs w:val="21"/>
              </w:rPr>
            </w:pPr>
            <w:r>
              <w:rPr>
                <w:rFonts w:hint="eastAsia"/>
                <w:szCs w:val="21"/>
              </w:rPr>
              <w:t>3. 支持底层开发，丰富的逻辑判断能力，</w:t>
            </w:r>
          </w:p>
          <w:p w14:paraId="56B29C0A">
            <w:pPr>
              <w:adjustRightInd w:val="0"/>
              <w:snapToGrid w:val="0"/>
              <w:rPr>
                <w:szCs w:val="21"/>
              </w:rPr>
            </w:pPr>
            <w:r>
              <w:rPr>
                <w:rFonts w:hint="eastAsia"/>
                <w:szCs w:val="21"/>
              </w:rPr>
              <w:t>4. 可支持三种自定义变量，含模拟量、数字量、字符串变量；</w:t>
            </w:r>
          </w:p>
          <w:p w14:paraId="64885DF9">
            <w:pPr>
              <w:adjustRightInd w:val="0"/>
              <w:snapToGrid w:val="0"/>
              <w:rPr>
                <w:szCs w:val="21"/>
              </w:rPr>
            </w:pPr>
            <w:r>
              <w:rPr>
                <w:rFonts w:hint="eastAsia"/>
                <w:szCs w:val="21"/>
              </w:rPr>
              <w:t xml:space="preserve">5. 可支持“宏”的保存与调用； </w:t>
            </w:r>
          </w:p>
          <w:p w14:paraId="33756DA0">
            <w:pPr>
              <w:adjustRightInd w:val="0"/>
              <w:snapToGrid w:val="0"/>
              <w:rPr>
                <w:szCs w:val="21"/>
              </w:rPr>
            </w:pPr>
            <w:r>
              <w:rPr>
                <w:rFonts w:hint="eastAsia"/>
                <w:szCs w:val="21"/>
              </w:rPr>
              <w:t>6. 具备软件著作权。</w:t>
            </w:r>
          </w:p>
        </w:tc>
        <w:tc>
          <w:tcPr>
            <w:tcW w:w="1050" w:type="dxa"/>
            <w:vMerge w:val="continue"/>
            <w:tcBorders>
              <w:left w:val="single" w:color="000000" w:sz="4" w:space="0"/>
              <w:right w:val="single" w:color="000000" w:sz="4" w:space="0"/>
            </w:tcBorders>
            <w:noWrap/>
            <w:tcMar>
              <w:top w:w="15" w:type="dxa"/>
              <w:left w:w="15" w:type="dxa"/>
              <w:right w:w="15" w:type="dxa"/>
            </w:tcMar>
            <w:vAlign w:val="center"/>
          </w:tcPr>
          <w:p w14:paraId="02B43F2C">
            <w:pPr>
              <w:jc w:val="center"/>
              <w:rPr>
                <w:rFonts w:ascii="宋体" w:hAnsi="宋体" w:cs="宋体"/>
                <w:color w:val="000000"/>
                <w:sz w:val="24"/>
              </w:rPr>
            </w:pPr>
          </w:p>
        </w:tc>
      </w:tr>
      <w:tr w14:paraId="121E8F0E">
        <w:tblPrEx>
          <w:tblCellMar>
            <w:top w:w="0" w:type="dxa"/>
            <w:left w:w="0" w:type="dxa"/>
            <w:bottom w:w="0" w:type="dxa"/>
            <w:right w:w="0" w:type="dxa"/>
          </w:tblCellMar>
        </w:tblPrEx>
        <w:trPr>
          <w:trHeight w:val="285" w:hRule="atLeast"/>
        </w:trPr>
        <w:tc>
          <w:tcPr>
            <w:tcW w:w="435" w:type="dxa"/>
            <w:tcBorders>
              <w:top w:val="nil"/>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6EB7FDCE">
            <w:pPr>
              <w:jc w:val="center"/>
            </w:pPr>
            <w:r>
              <w:rPr>
                <w:rFonts w:hint="eastAsia"/>
              </w:rPr>
              <w:t>25</w:t>
            </w:r>
          </w:p>
        </w:tc>
        <w:tc>
          <w:tcPr>
            <w:tcW w:w="1812" w:type="dxa"/>
            <w:tcBorders>
              <w:top w:val="nil"/>
              <w:left w:val="single" w:color="auto" w:sz="4" w:space="0"/>
              <w:bottom w:val="single" w:color="auto" w:sz="4" w:space="0"/>
              <w:right w:val="single" w:color="auto" w:sz="4" w:space="0"/>
            </w:tcBorders>
            <w:tcMar>
              <w:top w:w="15" w:type="dxa"/>
              <w:left w:w="15" w:type="dxa"/>
              <w:right w:w="15" w:type="dxa"/>
            </w:tcMar>
            <w:vAlign w:val="center"/>
          </w:tcPr>
          <w:p w14:paraId="02055EEC">
            <w:pPr>
              <w:jc w:val="center"/>
            </w:pPr>
            <w:r>
              <w:rPr>
                <w:rFonts w:hint="eastAsia"/>
              </w:rPr>
              <w:t>8通道IP继电器控制箱</w:t>
            </w:r>
          </w:p>
        </w:tc>
        <w:tc>
          <w:tcPr>
            <w:tcW w:w="435" w:type="dxa"/>
            <w:tcBorders>
              <w:top w:val="nil"/>
              <w:left w:val="single" w:color="auto" w:sz="4" w:space="0"/>
              <w:bottom w:val="single" w:color="auto" w:sz="4" w:space="0"/>
              <w:right w:val="single" w:color="auto" w:sz="4" w:space="0"/>
            </w:tcBorders>
            <w:tcMar>
              <w:top w:w="15" w:type="dxa"/>
              <w:left w:w="15" w:type="dxa"/>
              <w:right w:w="15" w:type="dxa"/>
            </w:tcMar>
            <w:vAlign w:val="center"/>
          </w:tcPr>
          <w:p w14:paraId="2EDA48F4">
            <w:pPr>
              <w:jc w:val="center"/>
            </w:pPr>
            <w:r>
              <w:rPr>
                <w:rFonts w:hint="eastAsia"/>
              </w:rPr>
              <w:t>1</w:t>
            </w:r>
          </w:p>
        </w:tc>
        <w:tc>
          <w:tcPr>
            <w:tcW w:w="540" w:type="dxa"/>
            <w:tcBorders>
              <w:top w:val="nil"/>
              <w:left w:val="nil"/>
              <w:bottom w:val="single" w:color="auto" w:sz="4" w:space="0"/>
              <w:right w:val="single" w:color="auto" w:sz="4" w:space="0"/>
            </w:tcBorders>
            <w:tcMar>
              <w:top w:w="15" w:type="dxa"/>
              <w:left w:w="15" w:type="dxa"/>
              <w:right w:w="15" w:type="dxa"/>
            </w:tcMar>
            <w:vAlign w:val="center"/>
          </w:tcPr>
          <w:p w14:paraId="50511F82">
            <w:pPr>
              <w:jc w:val="center"/>
            </w:pPr>
            <w:r>
              <w:rPr>
                <w:rFonts w:hint="eastAsia"/>
              </w:rPr>
              <w:t>台</w:t>
            </w:r>
          </w:p>
        </w:tc>
        <w:tc>
          <w:tcPr>
            <w:tcW w:w="1245" w:type="dxa"/>
            <w:tcBorders>
              <w:top w:val="nil"/>
              <w:left w:val="single" w:color="auto" w:sz="4" w:space="0"/>
              <w:bottom w:val="single" w:color="auto" w:sz="4" w:space="0"/>
              <w:right w:val="single" w:color="auto" w:sz="4" w:space="0"/>
            </w:tcBorders>
            <w:tcMar>
              <w:top w:w="15" w:type="dxa"/>
              <w:left w:w="15" w:type="dxa"/>
              <w:right w:w="15" w:type="dxa"/>
            </w:tcMar>
            <w:vAlign w:val="center"/>
          </w:tcPr>
          <w:p w14:paraId="3BB6EB29">
            <w:pPr>
              <w:jc w:val="center"/>
            </w:pPr>
            <w:r>
              <w:rPr>
                <w:rFonts w:hint="eastAsia"/>
              </w:rPr>
              <w:t>3200.00</w:t>
            </w:r>
          </w:p>
        </w:tc>
        <w:tc>
          <w:tcPr>
            <w:tcW w:w="9825" w:type="dxa"/>
            <w:tcBorders>
              <w:top w:val="nil"/>
              <w:left w:val="single" w:color="auto" w:sz="4" w:space="0"/>
              <w:bottom w:val="single" w:color="auto" w:sz="4" w:space="0"/>
              <w:right w:val="single" w:color="auto" w:sz="4" w:space="0"/>
            </w:tcBorders>
            <w:noWrap/>
            <w:tcMar>
              <w:top w:w="15" w:type="dxa"/>
              <w:left w:w="15" w:type="dxa"/>
              <w:right w:w="15" w:type="dxa"/>
            </w:tcMar>
            <w:vAlign w:val="center"/>
          </w:tcPr>
          <w:p w14:paraId="337D28F7">
            <w:pPr>
              <w:adjustRightInd w:val="0"/>
              <w:snapToGrid w:val="0"/>
              <w:rPr>
                <w:szCs w:val="21"/>
              </w:rPr>
            </w:pPr>
            <w:r>
              <w:rPr>
                <w:rFonts w:hint="eastAsia"/>
                <w:szCs w:val="21"/>
              </w:rPr>
              <w:t>1. 8路大电流带常开/常闭触点继电器； 2. 自带配线架，3. 机架式安装，4. CAN总线通讯，RS232，TCP/IP；</w:t>
            </w:r>
            <w:r>
              <w:rPr>
                <w:rFonts w:hint="eastAsia"/>
                <w:szCs w:val="21"/>
              </w:rPr>
              <w:br w:type="textWrapping"/>
            </w:r>
            <w:r>
              <w:rPr>
                <w:rFonts w:hint="eastAsia"/>
                <w:szCs w:val="21"/>
              </w:rPr>
              <w:t>5. 任意变换的网路IP设置，6. 支持手动及总线控制方式。7. 支持RS232级联控制功能。</w:t>
            </w:r>
          </w:p>
        </w:tc>
        <w:tc>
          <w:tcPr>
            <w:tcW w:w="1050" w:type="dxa"/>
            <w:vMerge w:val="continue"/>
            <w:tcBorders>
              <w:left w:val="single" w:color="000000" w:sz="4" w:space="0"/>
              <w:right w:val="single" w:color="000000" w:sz="4" w:space="0"/>
            </w:tcBorders>
            <w:noWrap/>
            <w:tcMar>
              <w:top w:w="15" w:type="dxa"/>
              <w:left w:w="15" w:type="dxa"/>
              <w:right w:w="15" w:type="dxa"/>
            </w:tcMar>
            <w:vAlign w:val="center"/>
          </w:tcPr>
          <w:p w14:paraId="3BBCAC65">
            <w:pPr>
              <w:jc w:val="center"/>
              <w:rPr>
                <w:rFonts w:ascii="宋体" w:hAnsi="宋体" w:cs="宋体"/>
                <w:color w:val="000000"/>
                <w:sz w:val="24"/>
              </w:rPr>
            </w:pPr>
          </w:p>
        </w:tc>
      </w:tr>
      <w:tr w14:paraId="550093E6">
        <w:tblPrEx>
          <w:tblCellMar>
            <w:top w:w="0" w:type="dxa"/>
            <w:left w:w="0" w:type="dxa"/>
            <w:bottom w:w="0" w:type="dxa"/>
            <w:right w:w="0" w:type="dxa"/>
          </w:tblCellMar>
        </w:tblPrEx>
        <w:trPr>
          <w:trHeight w:val="285" w:hRule="atLeast"/>
        </w:trPr>
        <w:tc>
          <w:tcPr>
            <w:tcW w:w="435" w:type="dxa"/>
            <w:tcBorders>
              <w:top w:val="nil"/>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04590008">
            <w:pPr>
              <w:jc w:val="center"/>
            </w:pPr>
            <w:r>
              <w:rPr>
                <w:rFonts w:hint="eastAsia"/>
              </w:rPr>
              <w:t>26</w:t>
            </w:r>
          </w:p>
        </w:tc>
        <w:tc>
          <w:tcPr>
            <w:tcW w:w="1812" w:type="dxa"/>
            <w:tcBorders>
              <w:top w:val="nil"/>
              <w:left w:val="single" w:color="auto" w:sz="4" w:space="0"/>
              <w:bottom w:val="single" w:color="auto" w:sz="4" w:space="0"/>
              <w:right w:val="single" w:color="auto" w:sz="4" w:space="0"/>
            </w:tcBorders>
            <w:tcMar>
              <w:top w:w="15" w:type="dxa"/>
              <w:left w:w="15" w:type="dxa"/>
              <w:right w:w="15" w:type="dxa"/>
            </w:tcMar>
            <w:vAlign w:val="center"/>
          </w:tcPr>
          <w:p w14:paraId="6DCAC6A0">
            <w:pPr>
              <w:jc w:val="center"/>
            </w:pPr>
            <w:r>
              <w:rPr>
                <w:rFonts w:hint="eastAsia"/>
              </w:rPr>
              <w:t>42U机柜</w:t>
            </w:r>
          </w:p>
        </w:tc>
        <w:tc>
          <w:tcPr>
            <w:tcW w:w="435" w:type="dxa"/>
            <w:tcBorders>
              <w:top w:val="nil"/>
              <w:left w:val="single" w:color="auto" w:sz="4" w:space="0"/>
              <w:bottom w:val="single" w:color="auto" w:sz="4" w:space="0"/>
              <w:right w:val="single" w:color="auto" w:sz="4" w:space="0"/>
            </w:tcBorders>
            <w:tcMar>
              <w:top w:w="15" w:type="dxa"/>
              <w:left w:w="15" w:type="dxa"/>
              <w:right w:w="15" w:type="dxa"/>
            </w:tcMar>
            <w:vAlign w:val="center"/>
          </w:tcPr>
          <w:p w14:paraId="3251077A">
            <w:pPr>
              <w:jc w:val="center"/>
            </w:pPr>
            <w:r>
              <w:rPr>
                <w:rFonts w:hint="eastAsia"/>
              </w:rPr>
              <w:t>1</w:t>
            </w:r>
          </w:p>
        </w:tc>
        <w:tc>
          <w:tcPr>
            <w:tcW w:w="540" w:type="dxa"/>
            <w:tcBorders>
              <w:top w:val="nil"/>
              <w:left w:val="nil"/>
              <w:bottom w:val="single" w:color="auto" w:sz="4" w:space="0"/>
              <w:right w:val="single" w:color="auto" w:sz="4" w:space="0"/>
            </w:tcBorders>
            <w:tcMar>
              <w:top w:w="15" w:type="dxa"/>
              <w:left w:w="15" w:type="dxa"/>
              <w:right w:w="15" w:type="dxa"/>
            </w:tcMar>
            <w:vAlign w:val="center"/>
          </w:tcPr>
          <w:p w14:paraId="3BA3269E">
            <w:pPr>
              <w:jc w:val="center"/>
            </w:pPr>
            <w:r>
              <w:rPr>
                <w:rFonts w:hint="eastAsia"/>
              </w:rPr>
              <w:t>套</w:t>
            </w:r>
          </w:p>
        </w:tc>
        <w:tc>
          <w:tcPr>
            <w:tcW w:w="1245" w:type="dxa"/>
            <w:tcBorders>
              <w:top w:val="nil"/>
              <w:left w:val="single" w:color="auto" w:sz="4" w:space="0"/>
              <w:bottom w:val="single" w:color="auto" w:sz="4" w:space="0"/>
              <w:right w:val="single" w:color="auto" w:sz="4" w:space="0"/>
            </w:tcBorders>
            <w:tcMar>
              <w:top w:w="15" w:type="dxa"/>
              <w:left w:w="15" w:type="dxa"/>
              <w:right w:w="15" w:type="dxa"/>
            </w:tcMar>
            <w:vAlign w:val="center"/>
          </w:tcPr>
          <w:p w14:paraId="6FE5805B">
            <w:pPr>
              <w:jc w:val="center"/>
            </w:pPr>
            <w:r>
              <w:rPr>
                <w:rFonts w:hint="eastAsia"/>
              </w:rPr>
              <w:t>3500.00</w:t>
            </w:r>
          </w:p>
        </w:tc>
        <w:tc>
          <w:tcPr>
            <w:tcW w:w="9825" w:type="dxa"/>
            <w:tcBorders>
              <w:top w:val="nil"/>
              <w:left w:val="single" w:color="auto" w:sz="4" w:space="0"/>
              <w:bottom w:val="single" w:color="auto" w:sz="4" w:space="0"/>
              <w:right w:val="single" w:color="auto" w:sz="4" w:space="0"/>
            </w:tcBorders>
            <w:noWrap/>
            <w:tcMar>
              <w:top w:w="15" w:type="dxa"/>
              <w:left w:w="15" w:type="dxa"/>
              <w:right w:w="15" w:type="dxa"/>
            </w:tcMar>
            <w:vAlign w:val="center"/>
          </w:tcPr>
          <w:p w14:paraId="243047F2">
            <w:pPr>
              <w:adjustRightInd w:val="0"/>
              <w:snapToGrid w:val="0"/>
              <w:rPr>
                <w:szCs w:val="21"/>
              </w:rPr>
            </w:pPr>
            <w:r>
              <w:rPr>
                <w:rFonts w:hint="eastAsia"/>
                <w:szCs w:val="21"/>
              </w:rPr>
              <w:t>1. ≥W*D*H/600mm*600mm*2000mm，≥42U网络机柜，19英寸标准安装，前后单开平板网孔门；</w:t>
            </w:r>
          </w:p>
          <w:p w14:paraId="728335BE">
            <w:pPr>
              <w:adjustRightInd w:val="0"/>
              <w:snapToGrid w:val="0"/>
              <w:rPr>
                <w:szCs w:val="21"/>
              </w:rPr>
            </w:pPr>
            <w:r>
              <w:rPr>
                <w:rFonts w:hint="eastAsia"/>
                <w:szCs w:val="21"/>
              </w:rPr>
              <w:t xml:space="preserve">2. 方孔条和安装梁为耐指纹镀铝锌板，其余为SPCC优质冷轧钢板，方孔条≥2.0mm，安装梁≥1.5mm，其他≥1.2mm；静载≥800公斤； </w:t>
            </w:r>
          </w:p>
          <w:p w14:paraId="37707E7E">
            <w:pPr>
              <w:adjustRightInd w:val="0"/>
              <w:snapToGrid w:val="0"/>
              <w:rPr>
                <w:szCs w:val="21"/>
              </w:rPr>
            </w:pPr>
            <w:r>
              <w:rPr>
                <w:rFonts w:hint="eastAsia"/>
                <w:szCs w:val="21"/>
              </w:rPr>
              <w:t xml:space="preserve">3. 防护等级≥IP20； </w:t>
            </w:r>
          </w:p>
          <w:p w14:paraId="4360D520">
            <w:pPr>
              <w:adjustRightInd w:val="0"/>
              <w:snapToGrid w:val="0"/>
              <w:rPr>
                <w:szCs w:val="21"/>
              </w:rPr>
            </w:pPr>
            <w:r>
              <w:rPr>
                <w:rFonts w:hint="eastAsia"/>
                <w:szCs w:val="21"/>
              </w:rPr>
              <w:t>4. 配置：8位新国标电源排插≥1只，固定板≥3块，风扇部件≥1套，支脚和脚轮各≥4只，螺钉≥40套，内六角扳手≥1套。</w:t>
            </w:r>
          </w:p>
        </w:tc>
        <w:tc>
          <w:tcPr>
            <w:tcW w:w="1050" w:type="dxa"/>
            <w:vMerge w:val="continue"/>
            <w:tcBorders>
              <w:left w:val="single" w:color="000000" w:sz="4" w:space="0"/>
              <w:right w:val="single" w:color="000000" w:sz="4" w:space="0"/>
            </w:tcBorders>
            <w:noWrap/>
            <w:tcMar>
              <w:top w:w="15" w:type="dxa"/>
              <w:left w:w="15" w:type="dxa"/>
              <w:right w:w="15" w:type="dxa"/>
            </w:tcMar>
            <w:vAlign w:val="center"/>
          </w:tcPr>
          <w:p w14:paraId="499EC8CA">
            <w:pPr>
              <w:jc w:val="center"/>
              <w:rPr>
                <w:rFonts w:ascii="宋体" w:hAnsi="宋体" w:cs="宋体"/>
                <w:color w:val="000000"/>
                <w:sz w:val="24"/>
              </w:rPr>
            </w:pPr>
          </w:p>
        </w:tc>
      </w:tr>
      <w:tr w14:paraId="2C5D4EC5">
        <w:tblPrEx>
          <w:tblCellMar>
            <w:top w:w="0" w:type="dxa"/>
            <w:left w:w="0" w:type="dxa"/>
            <w:bottom w:w="0" w:type="dxa"/>
            <w:right w:w="0" w:type="dxa"/>
          </w:tblCellMar>
        </w:tblPrEx>
        <w:trPr>
          <w:trHeight w:val="285" w:hRule="atLeast"/>
        </w:trPr>
        <w:tc>
          <w:tcPr>
            <w:tcW w:w="435" w:type="dxa"/>
            <w:tcBorders>
              <w:top w:val="nil"/>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4A9ABE0B">
            <w:pPr>
              <w:jc w:val="center"/>
            </w:pPr>
            <w:r>
              <w:rPr>
                <w:rFonts w:hint="eastAsia"/>
              </w:rPr>
              <w:t>27</w:t>
            </w:r>
          </w:p>
        </w:tc>
        <w:tc>
          <w:tcPr>
            <w:tcW w:w="1812" w:type="dxa"/>
            <w:tcBorders>
              <w:top w:val="nil"/>
              <w:left w:val="single" w:color="auto" w:sz="4" w:space="0"/>
              <w:bottom w:val="single" w:color="auto" w:sz="4" w:space="0"/>
              <w:right w:val="single" w:color="auto" w:sz="4" w:space="0"/>
            </w:tcBorders>
            <w:tcMar>
              <w:top w:w="15" w:type="dxa"/>
              <w:left w:w="15" w:type="dxa"/>
              <w:right w:w="15" w:type="dxa"/>
            </w:tcMar>
            <w:vAlign w:val="center"/>
          </w:tcPr>
          <w:p w14:paraId="0DA36BFF">
            <w:pPr>
              <w:jc w:val="center"/>
            </w:pPr>
            <w:r>
              <w:rPr>
                <w:rFonts w:hint="eastAsia"/>
              </w:rPr>
              <w:t>会议显示终端</w:t>
            </w:r>
          </w:p>
        </w:tc>
        <w:tc>
          <w:tcPr>
            <w:tcW w:w="435" w:type="dxa"/>
            <w:tcBorders>
              <w:top w:val="nil"/>
              <w:left w:val="single" w:color="auto" w:sz="4" w:space="0"/>
              <w:bottom w:val="single" w:color="auto" w:sz="4" w:space="0"/>
              <w:right w:val="single" w:color="auto" w:sz="4" w:space="0"/>
            </w:tcBorders>
            <w:tcMar>
              <w:top w:w="15" w:type="dxa"/>
              <w:left w:w="15" w:type="dxa"/>
              <w:right w:w="15" w:type="dxa"/>
            </w:tcMar>
            <w:vAlign w:val="center"/>
          </w:tcPr>
          <w:p w14:paraId="771FCFE1">
            <w:pPr>
              <w:jc w:val="center"/>
            </w:pPr>
            <w:r>
              <w:rPr>
                <w:rFonts w:hint="eastAsia"/>
              </w:rPr>
              <w:t>1</w:t>
            </w:r>
          </w:p>
        </w:tc>
        <w:tc>
          <w:tcPr>
            <w:tcW w:w="540" w:type="dxa"/>
            <w:tcBorders>
              <w:top w:val="nil"/>
              <w:left w:val="nil"/>
              <w:bottom w:val="single" w:color="auto" w:sz="4" w:space="0"/>
              <w:right w:val="single" w:color="auto" w:sz="4" w:space="0"/>
            </w:tcBorders>
            <w:tcMar>
              <w:top w:w="15" w:type="dxa"/>
              <w:left w:w="15" w:type="dxa"/>
              <w:right w:w="15" w:type="dxa"/>
            </w:tcMar>
            <w:vAlign w:val="center"/>
          </w:tcPr>
          <w:p w14:paraId="6D03557B">
            <w:pPr>
              <w:jc w:val="center"/>
            </w:pPr>
            <w:r>
              <w:rPr>
                <w:rFonts w:hint="eastAsia"/>
              </w:rPr>
              <w:t>套</w:t>
            </w:r>
          </w:p>
        </w:tc>
        <w:tc>
          <w:tcPr>
            <w:tcW w:w="1245" w:type="dxa"/>
            <w:tcBorders>
              <w:top w:val="nil"/>
              <w:left w:val="single" w:color="auto" w:sz="4" w:space="0"/>
              <w:bottom w:val="single" w:color="auto" w:sz="4" w:space="0"/>
              <w:right w:val="single" w:color="auto" w:sz="4" w:space="0"/>
            </w:tcBorders>
            <w:tcMar>
              <w:top w:w="15" w:type="dxa"/>
              <w:left w:w="15" w:type="dxa"/>
              <w:right w:w="15" w:type="dxa"/>
            </w:tcMar>
            <w:vAlign w:val="center"/>
          </w:tcPr>
          <w:p w14:paraId="740EAC31">
            <w:pPr>
              <w:jc w:val="center"/>
            </w:pPr>
            <w:r>
              <w:rPr>
                <w:rFonts w:hint="eastAsia"/>
              </w:rPr>
              <w:t>78000.00</w:t>
            </w:r>
          </w:p>
        </w:tc>
        <w:tc>
          <w:tcPr>
            <w:tcW w:w="9825" w:type="dxa"/>
            <w:tcBorders>
              <w:top w:val="nil"/>
              <w:left w:val="single" w:color="auto" w:sz="4" w:space="0"/>
              <w:bottom w:val="single" w:color="auto" w:sz="4" w:space="0"/>
              <w:right w:val="single" w:color="auto" w:sz="4" w:space="0"/>
            </w:tcBorders>
            <w:noWrap/>
            <w:tcMar>
              <w:top w:w="15" w:type="dxa"/>
              <w:left w:w="15" w:type="dxa"/>
              <w:right w:w="15" w:type="dxa"/>
            </w:tcMar>
          </w:tcPr>
          <w:p w14:paraId="3B54334D">
            <w:pPr>
              <w:adjustRightInd w:val="0"/>
              <w:snapToGrid w:val="0"/>
              <w:rPr>
                <w:szCs w:val="21"/>
              </w:rPr>
            </w:pPr>
            <w:r>
              <w:rPr>
                <w:rFonts w:hint="eastAsia"/>
                <w:szCs w:val="21"/>
              </w:rPr>
              <w:t>一、整机设计。</w:t>
            </w:r>
          </w:p>
          <w:p w14:paraId="5E810533">
            <w:pPr>
              <w:adjustRightInd w:val="0"/>
              <w:snapToGrid w:val="0"/>
              <w:rPr>
                <w:szCs w:val="21"/>
              </w:rPr>
            </w:pPr>
            <w:r>
              <w:rPr>
                <w:rFonts w:hint="eastAsia"/>
                <w:szCs w:val="21"/>
              </w:rPr>
              <w:t xml:space="preserve">1. 整机采用一体设计，外部无任何可见内部功能模块连接线。边角采用弧形设计，表面无尖锐边缘或凸起； </w:t>
            </w:r>
          </w:p>
          <w:p w14:paraId="67ED280B">
            <w:pPr>
              <w:adjustRightInd w:val="0"/>
              <w:snapToGrid w:val="0"/>
              <w:rPr>
                <w:szCs w:val="21"/>
              </w:rPr>
            </w:pPr>
            <w:r>
              <w:rPr>
                <w:rFonts w:hint="eastAsia"/>
                <w:szCs w:val="21"/>
              </w:rPr>
              <w:t>2. 整机屏幕采用≥110英寸液晶屏，整机屏占比≥89%以上，整机采用超高清LED液晶显示屏，显示比例16:9,分辨率3840×2160；（需提供国家认可的第三方权威检测机构出具的检测报告复印件）；</w:t>
            </w:r>
          </w:p>
          <w:p w14:paraId="5F3C56F5">
            <w:pPr>
              <w:adjustRightInd w:val="0"/>
              <w:snapToGrid w:val="0"/>
              <w:rPr>
                <w:szCs w:val="21"/>
              </w:rPr>
            </w:pPr>
            <w:r>
              <w:rPr>
                <w:rFonts w:hint="eastAsia"/>
                <w:szCs w:val="21"/>
              </w:rPr>
              <w:t>3. 嵌入式系统版本不低于Android 14，内存≥8GB，存储空间≥128GB；（需提供国家认可的第三方权威检测机构出具的检测报告复印件）；</w:t>
            </w:r>
          </w:p>
          <w:p w14:paraId="0A21A26C">
            <w:pPr>
              <w:adjustRightInd w:val="0"/>
              <w:snapToGrid w:val="0"/>
              <w:rPr>
                <w:szCs w:val="21"/>
              </w:rPr>
            </w:pPr>
            <w:r>
              <w:rPr>
                <w:rFonts w:hint="eastAsia"/>
                <w:szCs w:val="21"/>
              </w:rPr>
              <w:t>4. 采用红外触控技术，支持Windows系统中进行20点或以上触控，支持在Android系统中进行20点或以上触控；</w:t>
            </w:r>
          </w:p>
          <w:p w14:paraId="51869D7F">
            <w:pPr>
              <w:adjustRightInd w:val="0"/>
              <w:snapToGrid w:val="0"/>
              <w:rPr>
                <w:szCs w:val="21"/>
              </w:rPr>
            </w:pPr>
            <w:r>
              <w:rPr>
                <w:rFonts w:hint="eastAsia"/>
                <w:szCs w:val="21"/>
              </w:rPr>
              <w:t>5. 整机内置2.1声道扬声器，前朝向功率≥15W中高音扬声器2个，后朝向功率≥20W低音扬声器1个，额定总功率50W；</w:t>
            </w:r>
          </w:p>
          <w:p w14:paraId="01F0159A">
            <w:pPr>
              <w:adjustRightInd w:val="0"/>
              <w:snapToGrid w:val="0"/>
              <w:rPr>
                <w:szCs w:val="21"/>
              </w:rPr>
            </w:pPr>
            <w:r>
              <w:rPr>
                <w:rFonts w:hint="eastAsia"/>
                <w:szCs w:val="21"/>
              </w:rPr>
              <w:t xml:space="preserve">6. 整机支持全通道4K显示，全通道OSD菜单及整机内置系统均支持4K图像显示； </w:t>
            </w:r>
          </w:p>
          <w:p w14:paraId="2B7754A7">
            <w:pPr>
              <w:adjustRightInd w:val="0"/>
              <w:snapToGrid w:val="0"/>
              <w:rPr>
                <w:szCs w:val="21"/>
              </w:rPr>
            </w:pPr>
            <w:r>
              <w:rPr>
                <w:rFonts w:hint="eastAsia"/>
                <w:szCs w:val="21"/>
              </w:rPr>
              <w:t>7. 为方便使用，前置物理按键≤1个，支持交互一体机待机、开关机；（需提供国家认可的第三方权威检测机构出具的检测报告复印件）；</w:t>
            </w:r>
          </w:p>
          <w:p w14:paraId="29E843A5">
            <w:pPr>
              <w:adjustRightInd w:val="0"/>
              <w:snapToGrid w:val="0"/>
              <w:rPr>
                <w:szCs w:val="21"/>
              </w:rPr>
            </w:pPr>
            <w:r>
              <w:rPr>
                <w:rFonts w:hint="eastAsia"/>
                <w:szCs w:val="21"/>
              </w:rPr>
              <w:t xml:space="preserve">8. 无线模块采用插拔式快拆结构，无需拆卸整机背板即可快速拆除； </w:t>
            </w:r>
          </w:p>
          <w:p w14:paraId="002EEE2C">
            <w:pPr>
              <w:adjustRightInd w:val="0"/>
              <w:snapToGrid w:val="0"/>
              <w:rPr>
                <w:szCs w:val="21"/>
              </w:rPr>
            </w:pPr>
            <w:r>
              <w:rPr>
                <w:rFonts w:hint="eastAsia"/>
                <w:szCs w:val="21"/>
              </w:rPr>
              <w:t xml:space="preserve">9. 整机支持蓝牙Bluetooth 5.2标准，固件版本号≥LMP 11； </w:t>
            </w:r>
          </w:p>
          <w:p w14:paraId="08357EEF">
            <w:pPr>
              <w:adjustRightInd w:val="0"/>
              <w:snapToGrid w:val="0"/>
              <w:rPr>
                <w:szCs w:val="21"/>
              </w:rPr>
            </w:pPr>
            <w:r>
              <w:rPr>
                <w:rFonts w:hint="eastAsia"/>
                <w:szCs w:val="21"/>
              </w:rPr>
              <w:t>10. 整机无需外接无线网卡，在Android和Windows系统下可实现Wi-Fi无线上网连接、AP无线热点发射和BT蓝牙连接功能；</w:t>
            </w:r>
          </w:p>
          <w:p w14:paraId="640B8169">
            <w:pPr>
              <w:adjustRightInd w:val="0"/>
              <w:snapToGrid w:val="0"/>
              <w:rPr>
                <w:szCs w:val="21"/>
              </w:rPr>
            </w:pPr>
            <w:r>
              <w:rPr>
                <w:rFonts w:hint="eastAsia"/>
                <w:b/>
                <w:bCs/>
                <w:szCs w:val="21"/>
                <w:u w:val="single"/>
              </w:rPr>
              <w:t>★11.整机内置双WiFi6无线网卡(不接受外接),在Android和Windows系统下，可实现Wi-Fi无线上网连接、AP无线热点发射。（需提供国家认可的第三方权威检测机构出具的检测报告复印件）</w:t>
            </w:r>
            <w:r>
              <w:rPr>
                <w:rFonts w:hint="eastAsia"/>
                <w:szCs w:val="21"/>
              </w:rPr>
              <w:br w:type="textWrapping"/>
            </w:r>
            <w:r>
              <w:rPr>
                <w:rFonts w:hint="eastAsia"/>
                <w:szCs w:val="21"/>
              </w:rPr>
              <w:t>12. 整机上边框内置非独立摄像头，采用一体化集成设计，可拍摄≥4800万像素数的照片，可拍摄输出4K分辨率的视频；（需提供国家认可的第三方权威检测机构出具的检测报告复印件）</w:t>
            </w:r>
          </w:p>
          <w:p w14:paraId="4749731F">
            <w:pPr>
              <w:numPr>
                <w:ilvl w:val="0"/>
                <w:numId w:val="11"/>
              </w:numPr>
              <w:adjustRightInd w:val="0"/>
              <w:snapToGrid w:val="0"/>
              <w:rPr>
                <w:szCs w:val="21"/>
              </w:rPr>
            </w:pPr>
            <w:r>
              <w:rPr>
                <w:rFonts w:hint="eastAsia"/>
                <w:szCs w:val="21"/>
              </w:rPr>
              <w:t>支持通过Type-C接口U盘进行文件传输，兼容Type-C接口手机充电，支持65W快充。</w:t>
            </w:r>
          </w:p>
          <w:p w14:paraId="44A946AB">
            <w:pPr>
              <w:numPr>
                <w:ilvl w:val="0"/>
                <w:numId w:val="11"/>
              </w:numPr>
              <w:adjustRightInd w:val="0"/>
              <w:snapToGrid w:val="0"/>
              <w:rPr>
                <w:szCs w:val="21"/>
              </w:rPr>
            </w:pPr>
            <w:r>
              <w:rPr>
                <w:rFonts w:hint="eastAsia"/>
                <w:szCs w:val="21"/>
              </w:rPr>
              <w:t xml:space="preserve">外接电脑设备经双头Type-C线连接至整机，可调用整机内置的摄像头、麦克风、扬声器，在外接电脑即可控制整机拍摄教室画面； </w:t>
            </w:r>
          </w:p>
          <w:p w14:paraId="5CB4A050">
            <w:pPr>
              <w:numPr>
                <w:ilvl w:val="0"/>
                <w:numId w:val="11"/>
              </w:numPr>
              <w:adjustRightInd w:val="0"/>
              <w:snapToGrid w:val="0"/>
              <w:rPr>
                <w:szCs w:val="21"/>
              </w:rPr>
            </w:pPr>
            <w:r>
              <w:rPr>
                <w:rFonts w:hint="eastAsia"/>
                <w:szCs w:val="21"/>
              </w:rPr>
              <w:t xml:space="preserve">整机全通道侧边栏支持将设备屏幕降低为半屏幕状态，点击上半屏幕可返回全屏状态； </w:t>
            </w:r>
          </w:p>
          <w:p w14:paraId="7AC4733B">
            <w:pPr>
              <w:numPr>
                <w:ilvl w:val="0"/>
                <w:numId w:val="11"/>
              </w:numPr>
              <w:adjustRightInd w:val="0"/>
              <w:snapToGrid w:val="0"/>
              <w:rPr>
                <w:szCs w:val="21"/>
              </w:rPr>
            </w:pPr>
            <w:r>
              <w:rPr>
                <w:rFonts w:hint="eastAsia"/>
                <w:szCs w:val="21"/>
              </w:rPr>
              <w:t>支持智能书写功能，书写文字自动识别为标准印刷体；</w:t>
            </w:r>
          </w:p>
          <w:p w14:paraId="3C27BBF6">
            <w:pPr>
              <w:adjustRightInd w:val="0"/>
              <w:snapToGrid w:val="0"/>
              <w:rPr>
                <w:szCs w:val="21"/>
              </w:rPr>
            </w:pPr>
            <w:r>
              <w:rPr>
                <w:rFonts w:hint="eastAsia"/>
                <w:szCs w:val="21"/>
              </w:rPr>
              <w:t>二、内置OPS</w:t>
            </w:r>
          </w:p>
          <w:p w14:paraId="2E4FBC0D">
            <w:pPr>
              <w:adjustRightInd w:val="0"/>
              <w:snapToGrid w:val="0"/>
              <w:rPr>
                <w:szCs w:val="21"/>
              </w:rPr>
            </w:pPr>
            <w:r>
              <w:rPr>
                <w:rFonts w:hint="eastAsia"/>
                <w:szCs w:val="21"/>
              </w:rPr>
              <w:t>1. .和整机的连接接口针脚数≤80pin和独立电源接口，支持直流电源12V～19V范围，电流≤8.0A，</w:t>
            </w:r>
          </w:p>
          <w:p w14:paraId="09098F56">
            <w:pPr>
              <w:adjustRightInd w:val="0"/>
              <w:snapToGrid w:val="0"/>
              <w:rPr>
                <w:szCs w:val="21"/>
              </w:rPr>
            </w:pPr>
            <w:r>
              <w:rPr>
                <w:rFonts w:hint="eastAsia"/>
                <w:szCs w:val="21"/>
              </w:rPr>
              <w:t xml:space="preserve">2. CPU≥Intel 12代酷睿i7系列CPU； </w:t>
            </w:r>
          </w:p>
          <w:p w14:paraId="2ED3FECB">
            <w:pPr>
              <w:adjustRightInd w:val="0"/>
              <w:snapToGrid w:val="0"/>
              <w:rPr>
                <w:szCs w:val="21"/>
              </w:rPr>
            </w:pPr>
            <w:r>
              <w:rPr>
                <w:rFonts w:hint="eastAsia"/>
                <w:szCs w:val="21"/>
              </w:rPr>
              <w:t xml:space="preserve">3. 内存≥16GB，硬盘容量≥512GB； </w:t>
            </w:r>
          </w:p>
          <w:p w14:paraId="7954C467">
            <w:pPr>
              <w:adjustRightInd w:val="0"/>
              <w:snapToGrid w:val="0"/>
              <w:rPr>
                <w:szCs w:val="21"/>
              </w:rPr>
            </w:pPr>
            <w:r>
              <w:rPr>
                <w:rFonts w:hint="eastAsia"/>
                <w:szCs w:val="21"/>
              </w:rPr>
              <w:t xml:space="preserve">4. 具有独立非外拓展的电脑USB接口，至少具有3个USB3.0接口，至少具有1个Type-C 接口；至少具有1个HDMI out 接口；至少具有1个DP接口； </w:t>
            </w:r>
          </w:p>
          <w:p w14:paraId="6E6B8F48">
            <w:pPr>
              <w:adjustRightInd w:val="0"/>
              <w:snapToGrid w:val="0"/>
              <w:rPr>
                <w:szCs w:val="21"/>
              </w:rPr>
            </w:pPr>
            <w:r>
              <w:rPr>
                <w:rFonts w:hint="eastAsia"/>
                <w:szCs w:val="21"/>
              </w:rPr>
              <w:t>5. 和整机的连接采用万兆级网口，传输速率≥10Gbps。</w:t>
            </w:r>
          </w:p>
        </w:tc>
        <w:tc>
          <w:tcPr>
            <w:tcW w:w="1050" w:type="dxa"/>
            <w:vMerge w:val="continue"/>
            <w:tcBorders>
              <w:left w:val="single" w:color="000000" w:sz="4" w:space="0"/>
              <w:right w:val="single" w:color="000000" w:sz="4" w:space="0"/>
            </w:tcBorders>
            <w:noWrap/>
            <w:tcMar>
              <w:top w:w="15" w:type="dxa"/>
              <w:left w:w="15" w:type="dxa"/>
              <w:right w:w="15" w:type="dxa"/>
            </w:tcMar>
            <w:vAlign w:val="center"/>
          </w:tcPr>
          <w:p w14:paraId="13792367">
            <w:pPr>
              <w:jc w:val="center"/>
              <w:rPr>
                <w:rFonts w:ascii="宋体" w:hAnsi="宋体" w:cs="宋体"/>
                <w:color w:val="000000"/>
                <w:sz w:val="24"/>
              </w:rPr>
            </w:pPr>
          </w:p>
        </w:tc>
      </w:tr>
      <w:tr w14:paraId="6BBB3312">
        <w:tblPrEx>
          <w:tblCellMar>
            <w:top w:w="0" w:type="dxa"/>
            <w:left w:w="0" w:type="dxa"/>
            <w:bottom w:w="0" w:type="dxa"/>
            <w:right w:w="0" w:type="dxa"/>
          </w:tblCellMar>
        </w:tblPrEx>
        <w:trPr>
          <w:trHeight w:val="285" w:hRule="atLeast"/>
        </w:trPr>
        <w:tc>
          <w:tcPr>
            <w:tcW w:w="435" w:type="dxa"/>
            <w:tcBorders>
              <w:top w:val="nil"/>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5BFAF273">
            <w:pPr>
              <w:jc w:val="center"/>
            </w:pPr>
            <w:r>
              <w:rPr>
                <w:rFonts w:hint="eastAsia"/>
              </w:rPr>
              <w:t>28</w:t>
            </w:r>
          </w:p>
        </w:tc>
        <w:tc>
          <w:tcPr>
            <w:tcW w:w="1812" w:type="dxa"/>
            <w:tcBorders>
              <w:top w:val="nil"/>
              <w:left w:val="single" w:color="auto" w:sz="4" w:space="0"/>
              <w:bottom w:val="single" w:color="auto" w:sz="4" w:space="0"/>
              <w:right w:val="single" w:color="auto" w:sz="4" w:space="0"/>
            </w:tcBorders>
            <w:tcMar>
              <w:top w:w="15" w:type="dxa"/>
              <w:left w:w="15" w:type="dxa"/>
              <w:right w:w="15" w:type="dxa"/>
            </w:tcMar>
            <w:vAlign w:val="center"/>
          </w:tcPr>
          <w:p w14:paraId="6F12109E">
            <w:pPr>
              <w:jc w:val="center"/>
            </w:pPr>
            <w:r>
              <w:rPr>
                <w:rFonts w:hint="eastAsia"/>
              </w:rPr>
              <w:t>全数字会议系统主机</w:t>
            </w:r>
          </w:p>
        </w:tc>
        <w:tc>
          <w:tcPr>
            <w:tcW w:w="435" w:type="dxa"/>
            <w:tcBorders>
              <w:top w:val="nil"/>
              <w:left w:val="single" w:color="auto" w:sz="4" w:space="0"/>
              <w:bottom w:val="single" w:color="auto" w:sz="4" w:space="0"/>
              <w:right w:val="single" w:color="auto" w:sz="4" w:space="0"/>
            </w:tcBorders>
            <w:tcMar>
              <w:top w:w="15" w:type="dxa"/>
              <w:left w:w="15" w:type="dxa"/>
              <w:right w:w="15" w:type="dxa"/>
            </w:tcMar>
            <w:vAlign w:val="center"/>
          </w:tcPr>
          <w:p w14:paraId="42BF29C3">
            <w:pPr>
              <w:jc w:val="center"/>
            </w:pPr>
            <w:r>
              <w:rPr>
                <w:rFonts w:hint="eastAsia"/>
              </w:rPr>
              <w:t>1</w:t>
            </w:r>
          </w:p>
        </w:tc>
        <w:tc>
          <w:tcPr>
            <w:tcW w:w="540" w:type="dxa"/>
            <w:tcBorders>
              <w:top w:val="nil"/>
              <w:left w:val="nil"/>
              <w:bottom w:val="single" w:color="auto" w:sz="4" w:space="0"/>
              <w:right w:val="single" w:color="auto" w:sz="4" w:space="0"/>
            </w:tcBorders>
            <w:tcMar>
              <w:top w:w="15" w:type="dxa"/>
              <w:left w:w="15" w:type="dxa"/>
              <w:right w:w="15" w:type="dxa"/>
            </w:tcMar>
            <w:vAlign w:val="center"/>
          </w:tcPr>
          <w:p w14:paraId="67D4F835">
            <w:pPr>
              <w:jc w:val="center"/>
            </w:pPr>
            <w:r>
              <w:rPr>
                <w:rFonts w:hint="eastAsia"/>
              </w:rPr>
              <w:t>套</w:t>
            </w:r>
          </w:p>
        </w:tc>
        <w:tc>
          <w:tcPr>
            <w:tcW w:w="1245" w:type="dxa"/>
            <w:tcBorders>
              <w:top w:val="nil"/>
              <w:left w:val="single" w:color="auto" w:sz="4" w:space="0"/>
              <w:bottom w:val="single" w:color="auto" w:sz="4" w:space="0"/>
              <w:right w:val="single" w:color="auto" w:sz="4" w:space="0"/>
            </w:tcBorders>
            <w:tcMar>
              <w:top w:w="15" w:type="dxa"/>
              <w:left w:w="15" w:type="dxa"/>
              <w:right w:w="15" w:type="dxa"/>
            </w:tcMar>
            <w:vAlign w:val="center"/>
          </w:tcPr>
          <w:p w14:paraId="557B7528">
            <w:pPr>
              <w:jc w:val="center"/>
            </w:pPr>
            <w:r>
              <w:rPr>
                <w:rFonts w:hint="eastAsia"/>
              </w:rPr>
              <w:t>9800.00</w:t>
            </w:r>
          </w:p>
        </w:tc>
        <w:tc>
          <w:tcPr>
            <w:tcW w:w="9825" w:type="dxa"/>
            <w:tcBorders>
              <w:top w:val="nil"/>
              <w:left w:val="single" w:color="auto" w:sz="4" w:space="0"/>
              <w:bottom w:val="single" w:color="auto" w:sz="4" w:space="0"/>
              <w:right w:val="single" w:color="auto" w:sz="4" w:space="0"/>
            </w:tcBorders>
            <w:noWrap/>
            <w:tcMar>
              <w:top w:w="15" w:type="dxa"/>
              <w:left w:w="15" w:type="dxa"/>
              <w:right w:w="15" w:type="dxa"/>
            </w:tcMar>
            <w:vAlign w:val="center"/>
          </w:tcPr>
          <w:p w14:paraId="70DADB8E">
            <w:pPr>
              <w:adjustRightInd w:val="0"/>
              <w:snapToGrid w:val="0"/>
              <w:rPr>
                <w:szCs w:val="21"/>
              </w:rPr>
            </w:pPr>
            <w:r>
              <w:rPr>
                <w:rFonts w:hint="eastAsia"/>
                <w:szCs w:val="21"/>
              </w:rPr>
              <w:t xml:space="preserve">1. 完全数字化的会议控制主机，音频信号采用专用的高性能 DSP进行处理； </w:t>
            </w:r>
          </w:p>
          <w:p w14:paraId="12A8B892">
            <w:pPr>
              <w:adjustRightInd w:val="0"/>
              <w:snapToGrid w:val="0"/>
              <w:rPr>
                <w:szCs w:val="21"/>
              </w:rPr>
            </w:pPr>
            <w:r>
              <w:rPr>
                <w:rFonts w:hint="eastAsia"/>
                <w:szCs w:val="21"/>
              </w:rPr>
              <w:t xml:space="preserve">2. 内置监听扬声器，可直接应用于小型会议室而无需扩音设备； </w:t>
            </w:r>
          </w:p>
          <w:p w14:paraId="4CA1A536">
            <w:pPr>
              <w:adjustRightInd w:val="0"/>
              <w:snapToGrid w:val="0"/>
              <w:rPr>
                <w:szCs w:val="21"/>
              </w:rPr>
            </w:pPr>
            <w:r>
              <w:rPr>
                <w:rFonts w:hint="eastAsia"/>
                <w:szCs w:val="21"/>
              </w:rPr>
              <w:t xml:space="preserve">3. 每个会议单元具备全球唯一的 ID 号，可方便安装并避免 ID 号重复； </w:t>
            </w:r>
          </w:p>
          <w:p w14:paraId="26E428B8">
            <w:pPr>
              <w:adjustRightInd w:val="0"/>
              <w:snapToGrid w:val="0"/>
              <w:rPr>
                <w:szCs w:val="21"/>
              </w:rPr>
            </w:pPr>
            <w:r>
              <w:rPr>
                <w:rFonts w:hint="eastAsia"/>
                <w:szCs w:val="21"/>
              </w:rPr>
              <w:t xml:space="preserve">4. 可将任一台代表发言单元设定为 VIP 单元，只要整个会议系统中已开启的话筒总数不超过6台（包括主席/代表/VIP 单元），VIP代表发言单元就可以自由开启（VOICE 模式除外）256×64 OLED 显示屏，可显示会议系统主机状态及系统设置菜单； </w:t>
            </w:r>
          </w:p>
          <w:p w14:paraId="17FDC09C">
            <w:pPr>
              <w:adjustRightInd w:val="0"/>
              <w:snapToGrid w:val="0"/>
              <w:rPr>
                <w:szCs w:val="21"/>
              </w:rPr>
            </w:pPr>
            <w:r>
              <w:rPr>
                <w:rFonts w:hint="eastAsia"/>
                <w:szCs w:val="21"/>
              </w:rPr>
              <w:t xml:space="preserve">5. 2 路会议单元输出端口通过连接多台扩展单元，可连接多达 255 台发言单元； </w:t>
            </w:r>
          </w:p>
          <w:p w14:paraId="25B7F865">
            <w:pPr>
              <w:adjustRightInd w:val="0"/>
              <w:snapToGrid w:val="0"/>
              <w:rPr>
                <w:szCs w:val="21"/>
              </w:rPr>
            </w:pPr>
            <w:r>
              <w:rPr>
                <w:rFonts w:hint="eastAsia"/>
                <w:szCs w:val="21"/>
              </w:rPr>
              <w:t xml:space="preserve">6. 不使用 WEB 页面控制时，作为一套基本的会议系统，具备以下功能； </w:t>
            </w:r>
          </w:p>
          <w:p w14:paraId="7D95BE58">
            <w:pPr>
              <w:adjustRightInd w:val="0"/>
              <w:snapToGrid w:val="0"/>
              <w:rPr>
                <w:szCs w:val="21"/>
              </w:rPr>
            </w:pPr>
            <w:r>
              <w:rPr>
                <w:rFonts w:hint="eastAsia"/>
                <w:szCs w:val="21"/>
              </w:rPr>
              <w:t>7. 发言人数限制功能（1/2/3/4），可以设置同时开启的代表发言单元数量；</w:t>
            </w:r>
          </w:p>
          <w:p w14:paraId="11EAA22D">
            <w:pPr>
              <w:adjustRightInd w:val="0"/>
              <w:snapToGrid w:val="0"/>
              <w:rPr>
                <w:szCs w:val="21"/>
              </w:rPr>
            </w:pPr>
            <w:r>
              <w:rPr>
                <w:rFonts w:hint="eastAsia"/>
                <w:szCs w:val="21"/>
              </w:rPr>
              <w:t xml:space="preserve">8. 可为发言代表设定发言时间限制（1~240 分钟），“OPEN”模式，达到开机数量后有请求发言登记功能，“OVERRIDE”模式，达到开机数量后可将正在发言的话筒越权关闭，“VOICE”（声控）模式，灵敏度连续可调，自动关闭时间可调，内置“Flash-on”技术，声音启控更快速，“APPLY”模式，由系统中具有控制功能的主席单元批准或否决代表发言申请，“PTT” (Push To Talk) 模式，代表按着话筒开关键开启话筒发言，松开后话筒即关闭； </w:t>
            </w:r>
          </w:p>
          <w:p w14:paraId="37346E31">
            <w:pPr>
              <w:adjustRightInd w:val="0"/>
              <w:snapToGrid w:val="0"/>
              <w:rPr>
                <w:szCs w:val="21"/>
              </w:rPr>
            </w:pPr>
            <w:r>
              <w:rPr>
                <w:rFonts w:hint="eastAsia"/>
                <w:szCs w:val="21"/>
              </w:rPr>
              <w:t>9. 具备 WEB 页面控制功能，可通过 WEB 页面访问控制主机，集中进行话筒管理配合摄像机、视频切换台，通过 WEB 页面预设后，可进行摄像自动跟踪；</w:t>
            </w:r>
          </w:p>
          <w:p w14:paraId="53F39959">
            <w:pPr>
              <w:adjustRightInd w:val="0"/>
              <w:snapToGrid w:val="0"/>
              <w:rPr>
                <w:szCs w:val="21"/>
              </w:rPr>
            </w:pPr>
            <w:r>
              <w:rPr>
                <w:rFonts w:hint="eastAsia"/>
                <w:szCs w:val="21"/>
              </w:rPr>
              <w:t>10. 频率响应40 ~ 16000 Hz；</w:t>
            </w:r>
          </w:p>
          <w:p w14:paraId="5C1E7967">
            <w:pPr>
              <w:adjustRightInd w:val="0"/>
              <w:snapToGrid w:val="0"/>
              <w:rPr>
                <w:szCs w:val="21"/>
              </w:rPr>
            </w:pPr>
            <w:r>
              <w:rPr>
                <w:rFonts w:hint="eastAsia"/>
                <w:szCs w:val="21"/>
              </w:rPr>
              <w:t xml:space="preserve">11. 信噪比&gt;90 dBA； </w:t>
            </w:r>
          </w:p>
          <w:p w14:paraId="6FA6DFD6">
            <w:pPr>
              <w:adjustRightInd w:val="0"/>
              <w:snapToGrid w:val="0"/>
              <w:rPr>
                <w:szCs w:val="21"/>
              </w:rPr>
            </w:pPr>
            <w:r>
              <w:rPr>
                <w:rFonts w:hint="eastAsia"/>
                <w:szCs w:val="21"/>
              </w:rPr>
              <w:t>12. 动态范围&gt;94 dB；</w:t>
            </w:r>
          </w:p>
          <w:p w14:paraId="18A9B47D">
            <w:pPr>
              <w:adjustRightInd w:val="0"/>
              <w:snapToGrid w:val="0"/>
              <w:rPr>
                <w:b/>
                <w:bCs/>
                <w:szCs w:val="21"/>
                <w:u w:val="single"/>
              </w:rPr>
            </w:pPr>
            <w:r>
              <w:rPr>
                <w:rFonts w:hint="eastAsia"/>
                <w:b/>
                <w:bCs/>
                <w:szCs w:val="21"/>
                <w:u w:val="single"/>
              </w:rPr>
              <w:t>★13</w:t>
            </w:r>
            <w:r>
              <w:rPr>
                <w:rFonts w:hint="eastAsia"/>
                <w:szCs w:val="21"/>
              </w:rPr>
              <w:t xml:space="preserve">. </w:t>
            </w:r>
            <w:r>
              <w:rPr>
                <w:rFonts w:hint="eastAsia"/>
                <w:b/>
                <w:bCs/>
                <w:szCs w:val="21"/>
                <w:u w:val="single"/>
              </w:rPr>
              <w:t>总谐波失真&lt;0.05%,需提供国家相关部门提供的检测报告；</w:t>
            </w:r>
          </w:p>
          <w:p w14:paraId="394C64B1">
            <w:pPr>
              <w:adjustRightInd w:val="0"/>
              <w:snapToGrid w:val="0"/>
              <w:rPr>
                <w:szCs w:val="21"/>
              </w:rPr>
            </w:pPr>
            <w:r>
              <w:rPr>
                <w:rFonts w:hint="eastAsia"/>
                <w:szCs w:val="21"/>
              </w:rPr>
              <w:t xml:space="preserve">14. 输出阻抗&gt;1 kΩ； </w:t>
            </w:r>
          </w:p>
          <w:p w14:paraId="4B47840D">
            <w:pPr>
              <w:adjustRightInd w:val="0"/>
              <w:snapToGrid w:val="0"/>
              <w:rPr>
                <w:szCs w:val="21"/>
              </w:rPr>
            </w:pPr>
            <w:r>
              <w:rPr>
                <w:rFonts w:hint="eastAsia"/>
                <w:szCs w:val="21"/>
              </w:rPr>
              <w:t>15. 最大功耗152 W。</w:t>
            </w:r>
          </w:p>
        </w:tc>
        <w:tc>
          <w:tcPr>
            <w:tcW w:w="1050" w:type="dxa"/>
            <w:vMerge w:val="continue"/>
            <w:tcBorders>
              <w:left w:val="single" w:color="000000" w:sz="4" w:space="0"/>
              <w:right w:val="single" w:color="000000" w:sz="4" w:space="0"/>
            </w:tcBorders>
            <w:noWrap/>
            <w:tcMar>
              <w:top w:w="15" w:type="dxa"/>
              <w:left w:w="15" w:type="dxa"/>
              <w:right w:w="15" w:type="dxa"/>
            </w:tcMar>
            <w:vAlign w:val="center"/>
          </w:tcPr>
          <w:p w14:paraId="7EB9CBDE">
            <w:pPr>
              <w:jc w:val="center"/>
              <w:rPr>
                <w:rFonts w:ascii="宋体" w:hAnsi="宋体" w:cs="宋体"/>
                <w:color w:val="000000"/>
                <w:sz w:val="24"/>
              </w:rPr>
            </w:pPr>
          </w:p>
        </w:tc>
      </w:tr>
      <w:tr w14:paraId="1ACDDB43">
        <w:tblPrEx>
          <w:tblCellMar>
            <w:top w:w="0" w:type="dxa"/>
            <w:left w:w="0" w:type="dxa"/>
            <w:bottom w:w="0" w:type="dxa"/>
            <w:right w:w="0" w:type="dxa"/>
          </w:tblCellMar>
        </w:tblPrEx>
        <w:trPr>
          <w:trHeight w:val="285" w:hRule="atLeast"/>
        </w:trPr>
        <w:tc>
          <w:tcPr>
            <w:tcW w:w="435" w:type="dxa"/>
            <w:tcBorders>
              <w:top w:val="nil"/>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3862249C">
            <w:pPr>
              <w:jc w:val="center"/>
            </w:pPr>
            <w:r>
              <w:rPr>
                <w:rFonts w:hint="eastAsia"/>
              </w:rPr>
              <w:t>29</w:t>
            </w:r>
          </w:p>
        </w:tc>
        <w:tc>
          <w:tcPr>
            <w:tcW w:w="1812" w:type="dxa"/>
            <w:tcBorders>
              <w:top w:val="nil"/>
              <w:left w:val="single" w:color="auto" w:sz="4" w:space="0"/>
              <w:bottom w:val="single" w:color="auto" w:sz="4" w:space="0"/>
              <w:right w:val="single" w:color="auto" w:sz="4" w:space="0"/>
            </w:tcBorders>
            <w:tcMar>
              <w:top w:w="15" w:type="dxa"/>
              <w:left w:w="15" w:type="dxa"/>
              <w:right w:w="15" w:type="dxa"/>
            </w:tcMar>
            <w:vAlign w:val="center"/>
          </w:tcPr>
          <w:p w14:paraId="56153A57">
            <w:pPr>
              <w:jc w:val="center"/>
            </w:pPr>
            <w:r>
              <w:rPr>
                <w:rFonts w:hint="eastAsia"/>
              </w:rPr>
              <w:t>会议系统代表单元</w:t>
            </w:r>
          </w:p>
        </w:tc>
        <w:tc>
          <w:tcPr>
            <w:tcW w:w="435" w:type="dxa"/>
            <w:tcBorders>
              <w:top w:val="nil"/>
              <w:left w:val="single" w:color="auto" w:sz="4" w:space="0"/>
              <w:bottom w:val="single" w:color="auto" w:sz="4" w:space="0"/>
              <w:right w:val="single" w:color="auto" w:sz="4" w:space="0"/>
            </w:tcBorders>
            <w:tcMar>
              <w:top w:w="15" w:type="dxa"/>
              <w:left w:w="15" w:type="dxa"/>
              <w:right w:w="15" w:type="dxa"/>
            </w:tcMar>
            <w:vAlign w:val="center"/>
          </w:tcPr>
          <w:p w14:paraId="058CCB77">
            <w:pPr>
              <w:jc w:val="center"/>
            </w:pPr>
            <w:r>
              <w:rPr>
                <w:rFonts w:hint="eastAsia"/>
              </w:rPr>
              <w:t>10</w:t>
            </w:r>
          </w:p>
        </w:tc>
        <w:tc>
          <w:tcPr>
            <w:tcW w:w="540" w:type="dxa"/>
            <w:tcBorders>
              <w:top w:val="nil"/>
              <w:left w:val="nil"/>
              <w:bottom w:val="single" w:color="auto" w:sz="4" w:space="0"/>
              <w:right w:val="single" w:color="auto" w:sz="4" w:space="0"/>
            </w:tcBorders>
            <w:tcMar>
              <w:top w:w="15" w:type="dxa"/>
              <w:left w:w="15" w:type="dxa"/>
              <w:right w:w="15" w:type="dxa"/>
            </w:tcMar>
            <w:vAlign w:val="center"/>
          </w:tcPr>
          <w:p w14:paraId="5A425CCA">
            <w:pPr>
              <w:jc w:val="center"/>
            </w:pPr>
            <w:r>
              <w:rPr>
                <w:rFonts w:hint="eastAsia"/>
              </w:rPr>
              <w:t>只</w:t>
            </w:r>
          </w:p>
        </w:tc>
        <w:tc>
          <w:tcPr>
            <w:tcW w:w="1245" w:type="dxa"/>
            <w:tcBorders>
              <w:top w:val="nil"/>
              <w:left w:val="single" w:color="auto" w:sz="4" w:space="0"/>
              <w:bottom w:val="single" w:color="auto" w:sz="4" w:space="0"/>
              <w:right w:val="single" w:color="auto" w:sz="4" w:space="0"/>
            </w:tcBorders>
            <w:tcMar>
              <w:top w:w="15" w:type="dxa"/>
              <w:left w:w="15" w:type="dxa"/>
              <w:right w:w="15" w:type="dxa"/>
            </w:tcMar>
            <w:vAlign w:val="center"/>
          </w:tcPr>
          <w:p w14:paraId="2E94042F">
            <w:pPr>
              <w:jc w:val="center"/>
            </w:pPr>
            <w:r>
              <w:rPr>
                <w:rFonts w:hint="eastAsia"/>
              </w:rPr>
              <w:t>2200.00</w:t>
            </w:r>
          </w:p>
        </w:tc>
        <w:tc>
          <w:tcPr>
            <w:tcW w:w="9825" w:type="dxa"/>
            <w:tcBorders>
              <w:top w:val="nil"/>
              <w:left w:val="single" w:color="auto" w:sz="4" w:space="0"/>
              <w:bottom w:val="single" w:color="auto" w:sz="4" w:space="0"/>
              <w:right w:val="single" w:color="auto" w:sz="4" w:space="0"/>
            </w:tcBorders>
            <w:noWrap/>
            <w:tcMar>
              <w:top w:w="15" w:type="dxa"/>
              <w:left w:w="15" w:type="dxa"/>
              <w:right w:w="15" w:type="dxa"/>
            </w:tcMar>
            <w:vAlign w:val="center"/>
          </w:tcPr>
          <w:p w14:paraId="36284EEC">
            <w:pPr>
              <w:adjustRightInd w:val="0"/>
              <w:snapToGrid w:val="0"/>
              <w:rPr>
                <w:szCs w:val="21"/>
              </w:rPr>
            </w:pPr>
            <w:r>
              <w:rPr>
                <w:rFonts w:hint="eastAsia"/>
                <w:szCs w:val="21"/>
              </w:rPr>
              <w:t>1. 符合 ISO22259 国际标准；</w:t>
            </w:r>
          </w:p>
          <w:p w14:paraId="1914AC16">
            <w:pPr>
              <w:adjustRightInd w:val="0"/>
              <w:snapToGrid w:val="0"/>
              <w:rPr>
                <w:szCs w:val="21"/>
              </w:rPr>
            </w:pPr>
            <w:r>
              <w:rPr>
                <w:rFonts w:hint="eastAsia"/>
                <w:szCs w:val="21"/>
              </w:rPr>
              <w:br w:type="page"/>
            </w:r>
            <w:r>
              <w:rPr>
                <w:rFonts w:hint="eastAsia"/>
                <w:szCs w:val="21"/>
              </w:rPr>
              <w:t>2. 面板按键配置盲文标识，方便视障人士使用；</w:t>
            </w:r>
          </w:p>
          <w:p w14:paraId="64DA5472">
            <w:pPr>
              <w:adjustRightInd w:val="0"/>
              <w:snapToGrid w:val="0"/>
              <w:rPr>
                <w:szCs w:val="21"/>
              </w:rPr>
            </w:pPr>
            <w:r>
              <w:rPr>
                <w:rFonts w:hint="eastAsia"/>
                <w:szCs w:val="21"/>
              </w:rPr>
              <w:br w:type="page"/>
            </w:r>
            <w:r>
              <w:rPr>
                <w:rFonts w:hint="eastAsia"/>
                <w:szCs w:val="21"/>
              </w:rPr>
              <w:t>3. 会议单元之间、会议单元与主机之间均采用全数字音频传输技术；</w:t>
            </w:r>
          </w:p>
          <w:p w14:paraId="26FDF2C0">
            <w:pPr>
              <w:adjustRightInd w:val="0"/>
              <w:snapToGrid w:val="0"/>
              <w:rPr>
                <w:szCs w:val="21"/>
              </w:rPr>
            </w:pPr>
            <w:r>
              <w:rPr>
                <w:rFonts w:hint="eastAsia"/>
                <w:szCs w:val="21"/>
              </w:rPr>
              <w:br w:type="page"/>
            </w:r>
            <w:r>
              <w:rPr>
                <w:rFonts w:hint="eastAsia"/>
                <w:szCs w:val="21"/>
              </w:rPr>
              <w:t>4. 支持32 kHz音频采样频率，频率响应可达40 Hz ~ 16 KHz；</w:t>
            </w:r>
          </w:p>
          <w:p w14:paraId="69EDEFDF">
            <w:pPr>
              <w:adjustRightInd w:val="0"/>
              <w:snapToGrid w:val="0"/>
              <w:rPr>
                <w:szCs w:val="21"/>
              </w:rPr>
            </w:pPr>
            <w:r>
              <w:rPr>
                <w:rFonts w:hint="eastAsia"/>
                <w:szCs w:val="21"/>
              </w:rPr>
              <w:br w:type="page"/>
            </w:r>
            <w:r>
              <w:rPr>
                <w:rFonts w:hint="eastAsia"/>
                <w:szCs w:val="21"/>
              </w:rPr>
              <w:t>5. 可以独立调节增益；</w:t>
            </w:r>
          </w:p>
          <w:p w14:paraId="1DD2BBFA">
            <w:pPr>
              <w:adjustRightInd w:val="0"/>
              <w:snapToGrid w:val="0"/>
              <w:rPr>
                <w:szCs w:val="21"/>
              </w:rPr>
            </w:pPr>
            <w:r>
              <w:rPr>
                <w:rFonts w:hint="eastAsia"/>
                <w:szCs w:val="21"/>
              </w:rPr>
              <w:br w:type="page"/>
            </w:r>
            <w:r>
              <w:rPr>
                <w:rFonts w:hint="eastAsia"/>
                <w:szCs w:val="21"/>
              </w:rPr>
              <w:t>6. 内置高通滤波器（低切开关），方便在需要时切去声音中的低频成分；</w:t>
            </w:r>
          </w:p>
          <w:p w14:paraId="0B856851">
            <w:pPr>
              <w:adjustRightInd w:val="0"/>
              <w:snapToGrid w:val="0"/>
              <w:rPr>
                <w:szCs w:val="21"/>
              </w:rPr>
            </w:pPr>
            <w:r>
              <w:rPr>
                <w:rFonts w:hint="eastAsia"/>
                <w:szCs w:val="21"/>
              </w:rPr>
              <w:br w:type="page"/>
            </w:r>
            <w:r>
              <w:rPr>
                <w:rFonts w:hint="eastAsia"/>
                <w:szCs w:val="21"/>
              </w:rPr>
              <w:t>7. 系统具有自动修复功能，支持线路的“热插拔”；</w:t>
            </w:r>
          </w:p>
          <w:p w14:paraId="118C3602">
            <w:pPr>
              <w:adjustRightInd w:val="0"/>
              <w:snapToGrid w:val="0"/>
              <w:rPr>
                <w:szCs w:val="21"/>
              </w:rPr>
            </w:pPr>
            <w:r>
              <w:rPr>
                <w:rFonts w:hint="eastAsia"/>
                <w:szCs w:val="21"/>
              </w:rPr>
              <w:br w:type="page"/>
            </w:r>
            <w:r>
              <w:rPr>
                <w:rFonts w:hint="eastAsia"/>
                <w:szCs w:val="21"/>
              </w:rPr>
              <w:t>8. 内置高保真扬声器，打开话筒后自动静音；</w:t>
            </w:r>
          </w:p>
          <w:p w14:paraId="204DA2C7">
            <w:pPr>
              <w:adjustRightInd w:val="0"/>
              <w:snapToGrid w:val="0"/>
              <w:rPr>
                <w:szCs w:val="21"/>
              </w:rPr>
            </w:pPr>
            <w:r>
              <w:rPr>
                <w:rFonts w:hint="eastAsia"/>
                <w:szCs w:val="21"/>
              </w:rPr>
              <w:br w:type="page"/>
            </w:r>
            <w:r>
              <w:rPr>
                <w:rFonts w:hint="eastAsia"/>
                <w:szCs w:val="21"/>
              </w:rPr>
              <w:t>9. 超强抗手机干扰能力；</w:t>
            </w:r>
          </w:p>
          <w:p w14:paraId="2BCA899A">
            <w:pPr>
              <w:adjustRightInd w:val="0"/>
              <w:snapToGrid w:val="0"/>
              <w:rPr>
                <w:szCs w:val="21"/>
              </w:rPr>
            </w:pPr>
            <w:r>
              <w:rPr>
                <w:rFonts w:hint="eastAsia"/>
                <w:szCs w:val="21"/>
              </w:rPr>
              <w:br w:type="page"/>
            </w:r>
            <w:r>
              <w:rPr>
                <w:rFonts w:hint="eastAsia"/>
                <w:szCs w:val="21"/>
              </w:rPr>
              <w:t>10. 具有话筒开关键；</w:t>
            </w:r>
          </w:p>
          <w:p w14:paraId="3875DB4B">
            <w:pPr>
              <w:adjustRightInd w:val="0"/>
              <w:snapToGrid w:val="0"/>
              <w:rPr>
                <w:szCs w:val="21"/>
              </w:rPr>
            </w:pPr>
            <w:r>
              <w:rPr>
                <w:rFonts w:hint="eastAsia"/>
                <w:szCs w:val="21"/>
              </w:rPr>
              <w:br w:type="page"/>
            </w:r>
            <w:r>
              <w:rPr>
                <w:rFonts w:hint="eastAsia"/>
                <w:szCs w:val="21"/>
              </w:rPr>
              <w:t>11. 会议单元有唯一的序列号，会议系统可以自动或者手动给会议单元分配 ID；</w:t>
            </w:r>
          </w:p>
          <w:p w14:paraId="5B551B6B">
            <w:pPr>
              <w:adjustRightInd w:val="0"/>
              <w:snapToGrid w:val="0"/>
              <w:rPr>
                <w:szCs w:val="21"/>
              </w:rPr>
            </w:pPr>
            <w:r>
              <w:rPr>
                <w:rFonts w:hint="eastAsia"/>
                <w:szCs w:val="21"/>
              </w:rPr>
              <w:br w:type="page"/>
            </w:r>
            <w:r>
              <w:rPr>
                <w:rFonts w:hint="eastAsia"/>
                <w:szCs w:val="21"/>
              </w:rPr>
              <w:t>12. 发言人数限制功能，可以设置同时开启的代表发言单元；</w:t>
            </w:r>
          </w:p>
          <w:p w14:paraId="0C3E6FA6">
            <w:pPr>
              <w:adjustRightInd w:val="0"/>
              <w:snapToGrid w:val="0"/>
              <w:rPr>
                <w:szCs w:val="21"/>
              </w:rPr>
            </w:pPr>
            <w:r>
              <w:rPr>
                <w:rFonts w:hint="eastAsia"/>
                <w:szCs w:val="21"/>
              </w:rPr>
              <w:br w:type="page"/>
            </w:r>
            <w:r>
              <w:rPr>
                <w:rFonts w:hint="eastAsia"/>
                <w:szCs w:val="21"/>
              </w:rPr>
              <w:t>13. 具有 OPEN/OVERRIDE/VOICE/APPLY/PTT 发言模式；</w:t>
            </w:r>
          </w:p>
          <w:p w14:paraId="3047EA13">
            <w:pPr>
              <w:adjustRightInd w:val="0"/>
              <w:snapToGrid w:val="0"/>
              <w:rPr>
                <w:szCs w:val="21"/>
              </w:rPr>
            </w:pPr>
            <w:r>
              <w:rPr>
                <w:rFonts w:hint="eastAsia"/>
                <w:szCs w:val="21"/>
              </w:rPr>
              <w:br w:type="page"/>
            </w:r>
            <w:r>
              <w:rPr>
                <w:rFonts w:hint="eastAsia"/>
                <w:szCs w:val="21"/>
              </w:rPr>
              <w:t>14. 配合摄像机和高清视频跟踪矩阵，通过 WEB 页面预设后，可进行摄像机自动跟踪</w:t>
            </w:r>
            <w:r>
              <w:rPr>
                <w:rFonts w:hint="eastAsia"/>
                <w:szCs w:val="21"/>
              </w:rPr>
              <w:br w:type="page"/>
            </w:r>
            <w:r>
              <w:rPr>
                <w:rFonts w:hint="eastAsia"/>
                <w:szCs w:val="21"/>
              </w:rPr>
              <w:t>一个 Ø 3.5 mm 的立体声耳机插口可连接耳机，且音量可调；</w:t>
            </w:r>
          </w:p>
          <w:p w14:paraId="3CAFBD7B">
            <w:pPr>
              <w:adjustRightInd w:val="0"/>
              <w:snapToGrid w:val="0"/>
              <w:rPr>
                <w:szCs w:val="21"/>
              </w:rPr>
            </w:pPr>
            <w:r>
              <w:rPr>
                <w:rFonts w:hint="eastAsia"/>
                <w:szCs w:val="21"/>
              </w:rPr>
              <w:br w:type="page"/>
            </w:r>
            <w:r>
              <w:rPr>
                <w:rFonts w:hint="eastAsia"/>
                <w:szCs w:val="21"/>
              </w:rPr>
              <w:t>15. 可以通过主机前面板将代表单元设置为VIP单元，通过主机前面板可将代表发言单元设定为 VIP 单元，最多可以设置 32 台VIP单元，只要整个会议系统中已开启的话筒总数不超过6台（包括主席/代表/VIP 单元），VIP代表发言单元就可以自由开启（VOICE 模式除外）；</w:t>
            </w:r>
          </w:p>
          <w:p w14:paraId="53EB5098">
            <w:pPr>
              <w:adjustRightInd w:val="0"/>
              <w:snapToGrid w:val="0"/>
              <w:rPr>
                <w:szCs w:val="21"/>
              </w:rPr>
            </w:pPr>
            <w:r>
              <w:rPr>
                <w:rFonts w:hint="eastAsia"/>
                <w:szCs w:val="21"/>
              </w:rPr>
              <w:br w:type="page"/>
            </w:r>
            <w:r>
              <w:rPr>
                <w:rFonts w:hint="eastAsia"/>
                <w:szCs w:val="21"/>
              </w:rPr>
              <w:t>16. 输出频率响应≥40 ~ 16000 Hz；</w:t>
            </w:r>
          </w:p>
          <w:p w14:paraId="66962557">
            <w:pPr>
              <w:adjustRightInd w:val="0"/>
              <w:snapToGrid w:val="0"/>
              <w:rPr>
                <w:szCs w:val="21"/>
              </w:rPr>
            </w:pPr>
            <w:r>
              <w:rPr>
                <w:rFonts w:hint="eastAsia"/>
                <w:szCs w:val="21"/>
              </w:rPr>
              <w:br w:type="page"/>
            </w:r>
            <w:r>
              <w:rPr>
                <w:rFonts w:hint="eastAsia"/>
                <w:szCs w:val="21"/>
              </w:rPr>
              <w:t>17. 最大功耗≤2 W。</w:t>
            </w:r>
          </w:p>
        </w:tc>
        <w:tc>
          <w:tcPr>
            <w:tcW w:w="1050" w:type="dxa"/>
            <w:vMerge w:val="continue"/>
            <w:tcBorders>
              <w:left w:val="single" w:color="000000" w:sz="4" w:space="0"/>
              <w:right w:val="single" w:color="000000" w:sz="4" w:space="0"/>
            </w:tcBorders>
            <w:noWrap/>
            <w:tcMar>
              <w:top w:w="15" w:type="dxa"/>
              <w:left w:w="15" w:type="dxa"/>
              <w:right w:w="15" w:type="dxa"/>
            </w:tcMar>
            <w:vAlign w:val="center"/>
          </w:tcPr>
          <w:p w14:paraId="5C14A7EB">
            <w:pPr>
              <w:jc w:val="center"/>
              <w:rPr>
                <w:rFonts w:ascii="宋体" w:hAnsi="宋体" w:cs="宋体"/>
                <w:color w:val="000000"/>
                <w:sz w:val="24"/>
              </w:rPr>
            </w:pPr>
          </w:p>
        </w:tc>
      </w:tr>
      <w:tr w14:paraId="53DE0725">
        <w:tblPrEx>
          <w:tblCellMar>
            <w:top w:w="0" w:type="dxa"/>
            <w:left w:w="0" w:type="dxa"/>
            <w:bottom w:w="0" w:type="dxa"/>
            <w:right w:w="0" w:type="dxa"/>
          </w:tblCellMar>
        </w:tblPrEx>
        <w:trPr>
          <w:trHeight w:val="285" w:hRule="atLeast"/>
        </w:trPr>
        <w:tc>
          <w:tcPr>
            <w:tcW w:w="435" w:type="dxa"/>
            <w:tcBorders>
              <w:top w:val="nil"/>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087CBEE4">
            <w:pPr>
              <w:jc w:val="center"/>
            </w:pPr>
            <w:r>
              <w:rPr>
                <w:rFonts w:hint="eastAsia"/>
              </w:rPr>
              <w:t>30</w:t>
            </w:r>
          </w:p>
        </w:tc>
        <w:tc>
          <w:tcPr>
            <w:tcW w:w="1812" w:type="dxa"/>
            <w:tcBorders>
              <w:top w:val="nil"/>
              <w:left w:val="single" w:color="auto" w:sz="4" w:space="0"/>
              <w:bottom w:val="single" w:color="auto" w:sz="4" w:space="0"/>
              <w:right w:val="single" w:color="auto" w:sz="4" w:space="0"/>
            </w:tcBorders>
            <w:tcMar>
              <w:top w:w="15" w:type="dxa"/>
              <w:left w:w="15" w:type="dxa"/>
              <w:right w:w="15" w:type="dxa"/>
            </w:tcMar>
            <w:vAlign w:val="center"/>
          </w:tcPr>
          <w:p w14:paraId="36F0F77C">
            <w:pPr>
              <w:jc w:val="center"/>
            </w:pPr>
            <w:r>
              <w:rPr>
                <w:rFonts w:hint="eastAsia"/>
              </w:rPr>
              <w:t>无线1拖2手持</w:t>
            </w:r>
          </w:p>
        </w:tc>
        <w:tc>
          <w:tcPr>
            <w:tcW w:w="435" w:type="dxa"/>
            <w:tcBorders>
              <w:top w:val="nil"/>
              <w:left w:val="single" w:color="auto" w:sz="4" w:space="0"/>
              <w:bottom w:val="single" w:color="auto" w:sz="4" w:space="0"/>
              <w:right w:val="single" w:color="auto" w:sz="4" w:space="0"/>
            </w:tcBorders>
            <w:tcMar>
              <w:top w:w="15" w:type="dxa"/>
              <w:left w:w="15" w:type="dxa"/>
              <w:right w:w="15" w:type="dxa"/>
            </w:tcMar>
            <w:vAlign w:val="center"/>
          </w:tcPr>
          <w:p w14:paraId="03C6CA15">
            <w:pPr>
              <w:jc w:val="center"/>
            </w:pPr>
            <w:r>
              <w:rPr>
                <w:rFonts w:hint="eastAsia"/>
              </w:rPr>
              <w:t>1</w:t>
            </w:r>
          </w:p>
        </w:tc>
        <w:tc>
          <w:tcPr>
            <w:tcW w:w="540" w:type="dxa"/>
            <w:tcBorders>
              <w:top w:val="nil"/>
              <w:left w:val="nil"/>
              <w:bottom w:val="single" w:color="auto" w:sz="4" w:space="0"/>
              <w:right w:val="single" w:color="auto" w:sz="4" w:space="0"/>
            </w:tcBorders>
            <w:tcMar>
              <w:top w:w="15" w:type="dxa"/>
              <w:left w:w="15" w:type="dxa"/>
              <w:right w:w="15" w:type="dxa"/>
            </w:tcMar>
            <w:vAlign w:val="center"/>
          </w:tcPr>
          <w:p w14:paraId="2EDD122D">
            <w:pPr>
              <w:jc w:val="center"/>
            </w:pPr>
            <w:r>
              <w:rPr>
                <w:rFonts w:hint="eastAsia"/>
              </w:rPr>
              <w:t>套</w:t>
            </w:r>
          </w:p>
        </w:tc>
        <w:tc>
          <w:tcPr>
            <w:tcW w:w="1245" w:type="dxa"/>
            <w:tcBorders>
              <w:top w:val="nil"/>
              <w:left w:val="single" w:color="auto" w:sz="4" w:space="0"/>
              <w:bottom w:val="single" w:color="auto" w:sz="4" w:space="0"/>
              <w:right w:val="single" w:color="auto" w:sz="4" w:space="0"/>
            </w:tcBorders>
            <w:tcMar>
              <w:top w:w="15" w:type="dxa"/>
              <w:left w:w="15" w:type="dxa"/>
              <w:right w:w="15" w:type="dxa"/>
            </w:tcMar>
            <w:vAlign w:val="center"/>
          </w:tcPr>
          <w:p w14:paraId="6D123070">
            <w:pPr>
              <w:jc w:val="center"/>
            </w:pPr>
            <w:r>
              <w:rPr>
                <w:rFonts w:hint="eastAsia"/>
              </w:rPr>
              <w:t>3800.00</w:t>
            </w:r>
          </w:p>
        </w:tc>
        <w:tc>
          <w:tcPr>
            <w:tcW w:w="9825" w:type="dxa"/>
            <w:tcBorders>
              <w:top w:val="nil"/>
              <w:left w:val="single" w:color="auto" w:sz="4" w:space="0"/>
              <w:bottom w:val="single" w:color="auto" w:sz="4" w:space="0"/>
              <w:right w:val="single" w:color="auto" w:sz="4" w:space="0"/>
            </w:tcBorders>
            <w:noWrap/>
            <w:tcMar>
              <w:top w:w="15" w:type="dxa"/>
              <w:left w:w="15" w:type="dxa"/>
              <w:right w:w="15" w:type="dxa"/>
            </w:tcMar>
            <w:vAlign w:val="center"/>
          </w:tcPr>
          <w:p w14:paraId="3867311F">
            <w:pPr>
              <w:adjustRightInd w:val="0"/>
              <w:snapToGrid w:val="0"/>
              <w:rPr>
                <w:szCs w:val="21"/>
              </w:rPr>
            </w:pPr>
            <w:r>
              <w:rPr>
                <w:rFonts w:hint="eastAsia"/>
                <w:szCs w:val="21"/>
              </w:rPr>
              <w:t xml:space="preserve">1. 载波频段:UHF620~680MHz； </w:t>
            </w:r>
          </w:p>
          <w:p w14:paraId="34B8E681">
            <w:pPr>
              <w:adjustRightInd w:val="0"/>
              <w:snapToGrid w:val="0"/>
              <w:rPr>
                <w:szCs w:val="21"/>
              </w:rPr>
            </w:pPr>
            <w:r>
              <w:rPr>
                <w:rFonts w:hint="eastAsia"/>
                <w:szCs w:val="21"/>
              </w:rPr>
              <w:t xml:space="preserve">2. 通道数:≥2通道； </w:t>
            </w:r>
          </w:p>
          <w:p w14:paraId="64E56556">
            <w:pPr>
              <w:adjustRightInd w:val="0"/>
              <w:snapToGrid w:val="0"/>
              <w:rPr>
                <w:szCs w:val="21"/>
              </w:rPr>
            </w:pPr>
            <w:r>
              <w:rPr>
                <w:rFonts w:hint="eastAsia"/>
                <w:szCs w:val="21"/>
              </w:rPr>
              <w:t xml:space="preserve">3. 调制方式:FM； </w:t>
            </w:r>
          </w:p>
          <w:p w14:paraId="15DE768F">
            <w:pPr>
              <w:adjustRightInd w:val="0"/>
              <w:snapToGrid w:val="0"/>
              <w:rPr>
                <w:szCs w:val="21"/>
              </w:rPr>
            </w:pPr>
            <w:r>
              <w:rPr>
                <w:rFonts w:hint="eastAsia"/>
                <w:szCs w:val="21"/>
              </w:rPr>
              <w:t>4. 灵敏度:输入6dBv时，S/N&gt;60Db；</w:t>
            </w:r>
            <w:r>
              <w:rPr>
                <w:rFonts w:hint="eastAsia"/>
                <w:szCs w:val="21"/>
              </w:rPr>
              <w:br w:type="textWrapping"/>
            </w:r>
            <w:r>
              <w:rPr>
                <w:rFonts w:hint="eastAsia"/>
                <w:szCs w:val="21"/>
              </w:rPr>
              <w:t xml:space="preserve">5. 频带宽度:30MHz； </w:t>
            </w:r>
          </w:p>
          <w:p w14:paraId="4495C1A8">
            <w:pPr>
              <w:adjustRightInd w:val="0"/>
              <w:snapToGrid w:val="0"/>
              <w:rPr>
                <w:szCs w:val="21"/>
              </w:rPr>
            </w:pPr>
            <w:r>
              <w:rPr>
                <w:rFonts w:hint="eastAsia"/>
                <w:szCs w:val="21"/>
              </w:rPr>
              <w:t>6. 信道间隔:±25KHz；</w:t>
            </w:r>
          </w:p>
          <w:p w14:paraId="1E98FDA0">
            <w:pPr>
              <w:adjustRightInd w:val="0"/>
              <w:snapToGrid w:val="0"/>
              <w:rPr>
                <w:szCs w:val="21"/>
              </w:rPr>
            </w:pPr>
            <w:r>
              <w:rPr>
                <w:rFonts w:hint="eastAsia"/>
                <w:szCs w:val="21"/>
              </w:rPr>
              <w:t xml:space="preserve">7. 综合S/N比:&gt;105dB； </w:t>
            </w:r>
          </w:p>
          <w:p w14:paraId="522D8851">
            <w:pPr>
              <w:adjustRightInd w:val="0"/>
              <w:snapToGrid w:val="0"/>
              <w:rPr>
                <w:szCs w:val="21"/>
              </w:rPr>
            </w:pPr>
            <w:r>
              <w:rPr>
                <w:rFonts w:hint="eastAsia"/>
                <w:szCs w:val="21"/>
              </w:rPr>
              <w:t xml:space="preserve">8. 综合T.H.D:&lt;0.7% @1KHz； </w:t>
            </w:r>
          </w:p>
          <w:p w14:paraId="21A0AD2E">
            <w:pPr>
              <w:adjustRightInd w:val="0"/>
              <w:snapToGrid w:val="0"/>
              <w:rPr>
                <w:szCs w:val="21"/>
              </w:rPr>
            </w:pPr>
            <w:r>
              <w:rPr>
                <w:rFonts w:hint="eastAsia"/>
                <w:szCs w:val="21"/>
              </w:rPr>
              <w:t xml:space="preserve">9. 综合频率响应:45Hz~18KHZ ±3dB； </w:t>
            </w:r>
          </w:p>
          <w:p w14:paraId="3115A824">
            <w:pPr>
              <w:adjustRightInd w:val="0"/>
              <w:snapToGrid w:val="0"/>
              <w:rPr>
                <w:szCs w:val="21"/>
              </w:rPr>
            </w:pPr>
            <w:r>
              <w:rPr>
                <w:rFonts w:hint="eastAsia"/>
                <w:szCs w:val="21"/>
              </w:rPr>
              <w:t xml:space="preserve">10. 供电:DC 12V~16V 10W； </w:t>
            </w:r>
          </w:p>
          <w:p w14:paraId="581730BB">
            <w:pPr>
              <w:adjustRightInd w:val="0"/>
              <w:snapToGrid w:val="0"/>
              <w:rPr>
                <w:szCs w:val="21"/>
              </w:rPr>
            </w:pPr>
            <w:r>
              <w:rPr>
                <w:rFonts w:hint="eastAsia"/>
                <w:szCs w:val="21"/>
              </w:rPr>
              <w:t>11. 手持咪参数:；</w:t>
            </w:r>
          </w:p>
          <w:p w14:paraId="7F0FBDC8">
            <w:pPr>
              <w:adjustRightInd w:val="0"/>
              <w:snapToGrid w:val="0"/>
              <w:rPr>
                <w:szCs w:val="21"/>
              </w:rPr>
            </w:pPr>
            <w:r>
              <w:rPr>
                <w:rFonts w:hint="eastAsia"/>
                <w:szCs w:val="21"/>
              </w:rPr>
              <w:t>12. 载波频段:UHF620~680MHz；</w:t>
            </w:r>
            <w:r>
              <w:rPr>
                <w:rFonts w:hint="eastAsia"/>
                <w:szCs w:val="21"/>
              </w:rPr>
              <w:br w:type="textWrapping"/>
            </w:r>
            <w:r>
              <w:rPr>
                <w:rFonts w:hint="eastAsia"/>
                <w:szCs w:val="21"/>
              </w:rPr>
              <w:t xml:space="preserve">13. 振荡方式:PLL相位锁定频率合成； </w:t>
            </w:r>
          </w:p>
          <w:p w14:paraId="35B39E54">
            <w:pPr>
              <w:adjustRightInd w:val="0"/>
              <w:snapToGrid w:val="0"/>
              <w:rPr>
                <w:szCs w:val="21"/>
              </w:rPr>
            </w:pPr>
            <w:r>
              <w:rPr>
                <w:rFonts w:hint="eastAsia"/>
                <w:szCs w:val="21"/>
              </w:rPr>
              <w:t xml:space="preserve">14. 谐波幅射:&lt;-65dBm； </w:t>
            </w:r>
          </w:p>
          <w:p w14:paraId="1A547614">
            <w:pPr>
              <w:adjustRightInd w:val="0"/>
              <w:snapToGrid w:val="0"/>
              <w:rPr>
                <w:szCs w:val="21"/>
              </w:rPr>
            </w:pPr>
            <w:r>
              <w:rPr>
                <w:rFonts w:hint="eastAsia"/>
                <w:szCs w:val="21"/>
              </w:rPr>
              <w:t xml:space="preserve">15. 最大偏移度:±45KHz； </w:t>
            </w:r>
          </w:p>
          <w:p w14:paraId="23954454">
            <w:pPr>
              <w:adjustRightInd w:val="0"/>
              <w:snapToGrid w:val="0"/>
              <w:rPr>
                <w:szCs w:val="21"/>
              </w:rPr>
            </w:pPr>
            <w:r>
              <w:rPr>
                <w:rFonts w:hint="eastAsia"/>
                <w:szCs w:val="21"/>
              </w:rPr>
              <w:t xml:space="preserve">16. 频率响应:≥45Hz~18KHZ +3dB； </w:t>
            </w:r>
          </w:p>
          <w:p w14:paraId="50FAB3F4">
            <w:pPr>
              <w:adjustRightInd w:val="0"/>
              <w:snapToGrid w:val="0"/>
              <w:rPr>
                <w:szCs w:val="21"/>
              </w:rPr>
            </w:pPr>
            <w:r>
              <w:rPr>
                <w:rFonts w:hint="eastAsia"/>
                <w:szCs w:val="21"/>
              </w:rPr>
              <w:t xml:space="preserve">17. 频带宽度:≥120MHz； </w:t>
            </w:r>
          </w:p>
          <w:p w14:paraId="64253A3A">
            <w:pPr>
              <w:adjustRightInd w:val="0"/>
              <w:snapToGrid w:val="0"/>
              <w:rPr>
                <w:szCs w:val="21"/>
              </w:rPr>
            </w:pPr>
            <w:r>
              <w:rPr>
                <w:rFonts w:hint="eastAsia"/>
                <w:szCs w:val="21"/>
              </w:rPr>
              <w:t xml:space="preserve">18. 音头:超心型电容； </w:t>
            </w:r>
          </w:p>
          <w:p w14:paraId="2E52B775">
            <w:pPr>
              <w:adjustRightInd w:val="0"/>
              <w:snapToGrid w:val="0"/>
              <w:rPr>
                <w:szCs w:val="21"/>
              </w:rPr>
            </w:pPr>
            <w:r>
              <w:rPr>
                <w:rFonts w:hint="eastAsia"/>
                <w:szCs w:val="21"/>
              </w:rPr>
              <w:t xml:space="preserve">19. RF功率输出:≥15MW； </w:t>
            </w:r>
          </w:p>
          <w:p w14:paraId="0A3CA534">
            <w:pPr>
              <w:adjustRightInd w:val="0"/>
              <w:snapToGrid w:val="0"/>
              <w:rPr>
                <w:szCs w:val="21"/>
              </w:rPr>
            </w:pPr>
            <w:r>
              <w:rPr>
                <w:rFonts w:hint="eastAsia"/>
                <w:szCs w:val="21"/>
              </w:rPr>
              <w:t xml:space="preserve">20. 连续工作时间:12小时输出插座:XLR平行式及6.3非平行式插座； </w:t>
            </w:r>
          </w:p>
          <w:p w14:paraId="4368D76D">
            <w:pPr>
              <w:adjustRightInd w:val="0"/>
              <w:snapToGrid w:val="0"/>
              <w:rPr>
                <w:szCs w:val="21"/>
              </w:rPr>
            </w:pPr>
            <w:r>
              <w:rPr>
                <w:rFonts w:hint="eastAsia"/>
                <w:szCs w:val="21"/>
              </w:rPr>
              <w:t>21. 工作有效距离:≥100M。</w:t>
            </w:r>
          </w:p>
        </w:tc>
        <w:tc>
          <w:tcPr>
            <w:tcW w:w="1050" w:type="dxa"/>
            <w:vMerge w:val="continue"/>
            <w:tcBorders>
              <w:left w:val="single" w:color="000000" w:sz="4" w:space="0"/>
              <w:right w:val="single" w:color="000000" w:sz="4" w:space="0"/>
            </w:tcBorders>
            <w:noWrap/>
            <w:tcMar>
              <w:top w:w="15" w:type="dxa"/>
              <w:left w:w="15" w:type="dxa"/>
              <w:right w:w="15" w:type="dxa"/>
            </w:tcMar>
            <w:vAlign w:val="center"/>
          </w:tcPr>
          <w:p w14:paraId="390370F8">
            <w:pPr>
              <w:jc w:val="center"/>
              <w:rPr>
                <w:rFonts w:ascii="宋体" w:hAnsi="宋体" w:cs="宋体"/>
                <w:color w:val="000000"/>
                <w:sz w:val="24"/>
              </w:rPr>
            </w:pPr>
          </w:p>
        </w:tc>
      </w:tr>
      <w:tr w14:paraId="5E0F4ABF">
        <w:tblPrEx>
          <w:tblCellMar>
            <w:top w:w="0" w:type="dxa"/>
            <w:left w:w="0" w:type="dxa"/>
            <w:bottom w:w="0" w:type="dxa"/>
            <w:right w:w="0" w:type="dxa"/>
          </w:tblCellMar>
        </w:tblPrEx>
        <w:trPr>
          <w:trHeight w:val="285" w:hRule="atLeast"/>
        </w:trPr>
        <w:tc>
          <w:tcPr>
            <w:tcW w:w="435" w:type="dxa"/>
            <w:tcBorders>
              <w:top w:val="nil"/>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517E5327">
            <w:pPr>
              <w:jc w:val="center"/>
            </w:pPr>
            <w:r>
              <w:rPr>
                <w:rFonts w:hint="eastAsia"/>
              </w:rPr>
              <w:t>31</w:t>
            </w:r>
          </w:p>
        </w:tc>
        <w:tc>
          <w:tcPr>
            <w:tcW w:w="1812" w:type="dxa"/>
            <w:tcBorders>
              <w:top w:val="nil"/>
              <w:left w:val="single" w:color="auto" w:sz="4" w:space="0"/>
              <w:bottom w:val="single" w:color="auto" w:sz="4" w:space="0"/>
              <w:right w:val="single" w:color="auto" w:sz="4" w:space="0"/>
            </w:tcBorders>
            <w:tcMar>
              <w:top w:w="15" w:type="dxa"/>
              <w:left w:w="15" w:type="dxa"/>
              <w:right w:w="15" w:type="dxa"/>
            </w:tcMar>
            <w:vAlign w:val="center"/>
          </w:tcPr>
          <w:p w14:paraId="7C9AF162">
            <w:pPr>
              <w:jc w:val="center"/>
            </w:pPr>
            <w:r>
              <w:rPr>
                <w:rFonts w:hint="eastAsia"/>
              </w:rPr>
              <w:t>无源4单元两分频音柱</w:t>
            </w:r>
          </w:p>
        </w:tc>
        <w:tc>
          <w:tcPr>
            <w:tcW w:w="435" w:type="dxa"/>
            <w:tcBorders>
              <w:top w:val="nil"/>
              <w:left w:val="single" w:color="auto" w:sz="4" w:space="0"/>
              <w:bottom w:val="single" w:color="auto" w:sz="4" w:space="0"/>
              <w:right w:val="single" w:color="auto" w:sz="4" w:space="0"/>
            </w:tcBorders>
            <w:tcMar>
              <w:top w:w="15" w:type="dxa"/>
              <w:left w:w="15" w:type="dxa"/>
              <w:right w:w="15" w:type="dxa"/>
            </w:tcMar>
            <w:vAlign w:val="center"/>
          </w:tcPr>
          <w:p w14:paraId="04D7EA70">
            <w:pPr>
              <w:jc w:val="center"/>
            </w:pPr>
            <w:r>
              <w:rPr>
                <w:rFonts w:hint="eastAsia"/>
              </w:rPr>
              <w:t>4</w:t>
            </w:r>
          </w:p>
        </w:tc>
        <w:tc>
          <w:tcPr>
            <w:tcW w:w="540" w:type="dxa"/>
            <w:tcBorders>
              <w:top w:val="nil"/>
              <w:left w:val="nil"/>
              <w:bottom w:val="single" w:color="auto" w:sz="4" w:space="0"/>
              <w:right w:val="single" w:color="auto" w:sz="4" w:space="0"/>
            </w:tcBorders>
            <w:tcMar>
              <w:top w:w="15" w:type="dxa"/>
              <w:left w:w="15" w:type="dxa"/>
              <w:right w:w="15" w:type="dxa"/>
            </w:tcMar>
            <w:vAlign w:val="center"/>
          </w:tcPr>
          <w:p w14:paraId="478ED337">
            <w:pPr>
              <w:jc w:val="center"/>
            </w:pPr>
            <w:r>
              <w:rPr>
                <w:rFonts w:hint="eastAsia"/>
              </w:rPr>
              <w:t>只</w:t>
            </w:r>
          </w:p>
        </w:tc>
        <w:tc>
          <w:tcPr>
            <w:tcW w:w="1245" w:type="dxa"/>
            <w:tcBorders>
              <w:top w:val="nil"/>
              <w:left w:val="single" w:color="auto" w:sz="4" w:space="0"/>
              <w:bottom w:val="single" w:color="auto" w:sz="4" w:space="0"/>
              <w:right w:val="single" w:color="auto" w:sz="4" w:space="0"/>
            </w:tcBorders>
            <w:tcMar>
              <w:top w:w="15" w:type="dxa"/>
              <w:left w:w="15" w:type="dxa"/>
              <w:right w:w="15" w:type="dxa"/>
            </w:tcMar>
            <w:vAlign w:val="center"/>
          </w:tcPr>
          <w:p w14:paraId="24AC984B">
            <w:pPr>
              <w:jc w:val="center"/>
            </w:pPr>
            <w:r>
              <w:rPr>
                <w:rFonts w:hint="eastAsia"/>
              </w:rPr>
              <w:t>3500.00</w:t>
            </w:r>
          </w:p>
        </w:tc>
        <w:tc>
          <w:tcPr>
            <w:tcW w:w="9825" w:type="dxa"/>
            <w:tcBorders>
              <w:top w:val="nil"/>
              <w:left w:val="single" w:color="auto" w:sz="4" w:space="0"/>
              <w:bottom w:val="single" w:color="auto" w:sz="4" w:space="0"/>
              <w:right w:val="single" w:color="auto" w:sz="4" w:space="0"/>
            </w:tcBorders>
            <w:noWrap/>
            <w:tcMar>
              <w:top w:w="15" w:type="dxa"/>
              <w:left w:w="15" w:type="dxa"/>
              <w:right w:w="15" w:type="dxa"/>
            </w:tcMar>
            <w:vAlign w:val="center"/>
          </w:tcPr>
          <w:p w14:paraId="21FAFF65">
            <w:pPr>
              <w:adjustRightInd w:val="0"/>
              <w:snapToGrid w:val="0"/>
              <w:rPr>
                <w:szCs w:val="21"/>
              </w:rPr>
            </w:pPr>
            <w:r>
              <w:rPr>
                <w:rFonts w:hint="eastAsia"/>
                <w:szCs w:val="21"/>
              </w:rPr>
              <w:t xml:space="preserve">1. 两分频单驱动全音域音柱； </w:t>
            </w:r>
          </w:p>
          <w:p w14:paraId="44E13CA6">
            <w:pPr>
              <w:adjustRightInd w:val="0"/>
              <w:snapToGrid w:val="0"/>
              <w:rPr>
                <w:szCs w:val="21"/>
              </w:rPr>
            </w:pPr>
            <w:r>
              <w:rPr>
                <w:rFonts w:hint="eastAsia"/>
                <w:szCs w:val="21"/>
              </w:rPr>
              <w:t xml:space="preserve">2. 频率响应：≥80Hz-20kHz（±3dB）/60Hz-25kHz(-10dB)； </w:t>
            </w:r>
          </w:p>
          <w:p w14:paraId="00FD167E">
            <w:pPr>
              <w:adjustRightInd w:val="0"/>
              <w:snapToGrid w:val="0"/>
              <w:rPr>
                <w:szCs w:val="21"/>
              </w:rPr>
            </w:pPr>
            <w:r>
              <w:rPr>
                <w:rFonts w:hint="eastAsia"/>
                <w:szCs w:val="21"/>
              </w:rPr>
              <w:t>3. 灵敏度：≥98dB；</w:t>
            </w:r>
            <w:r>
              <w:rPr>
                <w:rFonts w:hint="eastAsia"/>
                <w:szCs w:val="21"/>
              </w:rPr>
              <w:br w:type="textWrapping"/>
            </w:r>
            <w:r>
              <w:rPr>
                <w:rFonts w:hint="eastAsia"/>
                <w:szCs w:val="21"/>
              </w:rPr>
              <w:t>4. 标称阻抗：≥8 Ohm ；</w:t>
            </w:r>
          </w:p>
          <w:p w14:paraId="1C4DE071">
            <w:pPr>
              <w:adjustRightInd w:val="0"/>
              <w:snapToGrid w:val="0"/>
              <w:rPr>
                <w:szCs w:val="21"/>
              </w:rPr>
            </w:pPr>
            <w:r>
              <w:rPr>
                <w:rFonts w:hint="eastAsia"/>
                <w:szCs w:val="21"/>
              </w:rPr>
              <w:t xml:space="preserve">5. 额定功率：≥200W(AES)； </w:t>
            </w:r>
          </w:p>
          <w:p w14:paraId="40978859">
            <w:pPr>
              <w:adjustRightInd w:val="0"/>
              <w:snapToGrid w:val="0"/>
              <w:rPr>
                <w:szCs w:val="21"/>
              </w:rPr>
            </w:pPr>
            <w:r>
              <w:rPr>
                <w:rFonts w:hint="eastAsia"/>
                <w:szCs w:val="21"/>
              </w:rPr>
              <w:t xml:space="preserve">6. 中音单元：不少于4个4〞中音单元（单元结构不大于4〞）； </w:t>
            </w:r>
          </w:p>
          <w:p w14:paraId="03AAD749">
            <w:pPr>
              <w:adjustRightInd w:val="0"/>
              <w:snapToGrid w:val="0"/>
              <w:rPr>
                <w:szCs w:val="21"/>
              </w:rPr>
            </w:pPr>
            <w:r>
              <w:rPr>
                <w:rFonts w:hint="eastAsia"/>
                <w:szCs w:val="21"/>
              </w:rPr>
              <w:t xml:space="preserve">7. 高音单元：不少于12个0.75〞高音单元（单元结构不大于0.75〞）； </w:t>
            </w:r>
          </w:p>
          <w:p w14:paraId="6C7602AC">
            <w:pPr>
              <w:adjustRightInd w:val="0"/>
              <w:snapToGrid w:val="0"/>
              <w:rPr>
                <w:szCs w:val="21"/>
              </w:rPr>
            </w:pPr>
            <w:r>
              <w:rPr>
                <w:rFonts w:hint="eastAsia"/>
                <w:szCs w:val="21"/>
              </w:rPr>
              <w:t xml:space="preserve">8. 标称覆盖角：≥100°(H)×40°(V)(+15°/-25°)； </w:t>
            </w:r>
          </w:p>
          <w:p w14:paraId="76335555">
            <w:pPr>
              <w:adjustRightInd w:val="0"/>
              <w:snapToGrid w:val="0"/>
              <w:rPr>
                <w:szCs w:val="21"/>
              </w:rPr>
            </w:pPr>
            <w:r>
              <w:rPr>
                <w:rFonts w:hint="eastAsia"/>
                <w:szCs w:val="21"/>
              </w:rPr>
              <w:t>9. 最大声压级：≥121dB SPL，127 dB SPLpeak。</w:t>
            </w:r>
          </w:p>
        </w:tc>
        <w:tc>
          <w:tcPr>
            <w:tcW w:w="1050" w:type="dxa"/>
            <w:vMerge w:val="continue"/>
            <w:tcBorders>
              <w:left w:val="single" w:color="000000" w:sz="4" w:space="0"/>
              <w:right w:val="single" w:color="000000" w:sz="4" w:space="0"/>
            </w:tcBorders>
            <w:noWrap/>
            <w:tcMar>
              <w:top w:w="15" w:type="dxa"/>
              <w:left w:w="15" w:type="dxa"/>
              <w:right w:w="15" w:type="dxa"/>
            </w:tcMar>
            <w:vAlign w:val="center"/>
          </w:tcPr>
          <w:p w14:paraId="0526081E">
            <w:pPr>
              <w:jc w:val="center"/>
              <w:rPr>
                <w:rFonts w:ascii="宋体" w:hAnsi="宋体" w:cs="宋体"/>
                <w:color w:val="000000"/>
                <w:sz w:val="24"/>
              </w:rPr>
            </w:pPr>
          </w:p>
        </w:tc>
      </w:tr>
      <w:tr w14:paraId="56227504">
        <w:tblPrEx>
          <w:tblCellMar>
            <w:top w:w="0" w:type="dxa"/>
            <w:left w:w="0" w:type="dxa"/>
            <w:bottom w:w="0" w:type="dxa"/>
            <w:right w:w="0" w:type="dxa"/>
          </w:tblCellMar>
        </w:tblPrEx>
        <w:trPr>
          <w:trHeight w:val="285" w:hRule="atLeast"/>
        </w:trPr>
        <w:tc>
          <w:tcPr>
            <w:tcW w:w="435" w:type="dxa"/>
            <w:tcBorders>
              <w:top w:val="nil"/>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52AAD24E">
            <w:pPr>
              <w:jc w:val="center"/>
            </w:pPr>
            <w:r>
              <w:rPr>
                <w:rFonts w:hint="eastAsia"/>
              </w:rPr>
              <w:t>32</w:t>
            </w:r>
          </w:p>
        </w:tc>
        <w:tc>
          <w:tcPr>
            <w:tcW w:w="1812" w:type="dxa"/>
            <w:tcBorders>
              <w:top w:val="nil"/>
              <w:left w:val="single" w:color="auto" w:sz="4" w:space="0"/>
              <w:bottom w:val="single" w:color="auto" w:sz="4" w:space="0"/>
              <w:right w:val="single" w:color="auto" w:sz="4" w:space="0"/>
            </w:tcBorders>
            <w:tcMar>
              <w:top w:w="15" w:type="dxa"/>
              <w:left w:w="15" w:type="dxa"/>
              <w:right w:w="15" w:type="dxa"/>
            </w:tcMar>
            <w:vAlign w:val="center"/>
          </w:tcPr>
          <w:p w14:paraId="2E764F98">
            <w:pPr>
              <w:jc w:val="center"/>
            </w:pPr>
            <w:r>
              <w:rPr>
                <w:rFonts w:hint="eastAsia"/>
              </w:rPr>
              <w:t>2通道数字音频功率放大器</w:t>
            </w:r>
          </w:p>
        </w:tc>
        <w:tc>
          <w:tcPr>
            <w:tcW w:w="435" w:type="dxa"/>
            <w:tcBorders>
              <w:top w:val="nil"/>
              <w:left w:val="single" w:color="auto" w:sz="4" w:space="0"/>
              <w:bottom w:val="single" w:color="auto" w:sz="4" w:space="0"/>
              <w:right w:val="single" w:color="auto" w:sz="4" w:space="0"/>
            </w:tcBorders>
            <w:tcMar>
              <w:top w:w="15" w:type="dxa"/>
              <w:left w:w="15" w:type="dxa"/>
              <w:right w:w="15" w:type="dxa"/>
            </w:tcMar>
            <w:vAlign w:val="center"/>
          </w:tcPr>
          <w:p w14:paraId="728FC584">
            <w:pPr>
              <w:jc w:val="center"/>
            </w:pPr>
            <w:r>
              <w:rPr>
                <w:rFonts w:hint="eastAsia"/>
              </w:rPr>
              <w:t>2</w:t>
            </w:r>
          </w:p>
        </w:tc>
        <w:tc>
          <w:tcPr>
            <w:tcW w:w="540" w:type="dxa"/>
            <w:tcBorders>
              <w:top w:val="nil"/>
              <w:left w:val="nil"/>
              <w:bottom w:val="single" w:color="auto" w:sz="4" w:space="0"/>
              <w:right w:val="single" w:color="auto" w:sz="4" w:space="0"/>
            </w:tcBorders>
            <w:tcMar>
              <w:top w:w="15" w:type="dxa"/>
              <w:left w:w="15" w:type="dxa"/>
              <w:right w:w="15" w:type="dxa"/>
            </w:tcMar>
            <w:vAlign w:val="center"/>
          </w:tcPr>
          <w:p w14:paraId="1C2263EE">
            <w:pPr>
              <w:jc w:val="center"/>
            </w:pPr>
            <w:r>
              <w:rPr>
                <w:rFonts w:hint="eastAsia"/>
              </w:rPr>
              <w:t>台</w:t>
            </w:r>
          </w:p>
        </w:tc>
        <w:tc>
          <w:tcPr>
            <w:tcW w:w="1245" w:type="dxa"/>
            <w:tcBorders>
              <w:top w:val="nil"/>
              <w:left w:val="single" w:color="auto" w:sz="4" w:space="0"/>
              <w:bottom w:val="single" w:color="auto" w:sz="4" w:space="0"/>
              <w:right w:val="single" w:color="auto" w:sz="4" w:space="0"/>
            </w:tcBorders>
            <w:tcMar>
              <w:top w:w="15" w:type="dxa"/>
              <w:left w:w="15" w:type="dxa"/>
              <w:right w:w="15" w:type="dxa"/>
            </w:tcMar>
            <w:vAlign w:val="center"/>
          </w:tcPr>
          <w:p w14:paraId="3A1A8EAA">
            <w:pPr>
              <w:jc w:val="center"/>
            </w:pPr>
            <w:r>
              <w:rPr>
                <w:rFonts w:hint="eastAsia"/>
              </w:rPr>
              <w:t>4700.00</w:t>
            </w:r>
          </w:p>
        </w:tc>
        <w:tc>
          <w:tcPr>
            <w:tcW w:w="9825" w:type="dxa"/>
            <w:tcBorders>
              <w:top w:val="nil"/>
              <w:left w:val="single" w:color="auto" w:sz="4" w:space="0"/>
              <w:bottom w:val="single" w:color="auto" w:sz="4" w:space="0"/>
              <w:right w:val="single" w:color="auto" w:sz="4" w:space="0"/>
            </w:tcBorders>
            <w:noWrap/>
            <w:tcMar>
              <w:top w:w="15" w:type="dxa"/>
              <w:left w:w="15" w:type="dxa"/>
              <w:right w:w="15" w:type="dxa"/>
            </w:tcMar>
            <w:vAlign w:val="center"/>
          </w:tcPr>
          <w:p w14:paraId="0A00957D">
            <w:pPr>
              <w:adjustRightInd w:val="0"/>
              <w:snapToGrid w:val="0"/>
              <w:rPr>
                <w:szCs w:val="21"/>
              </w:rPr>
            </w:pPr>
            <w:r>
              <w:rPr>
                <w:rFonts w:hint="eastAsia"/>
                <w:szCs w:val="21"/>
              </w:rPr>
              <w:t>1. 采用D类功放技术和开关电源技术，常规使用下的效率≥80%，</w:t>
            </w:r>
          </w:p>
          <w:p w14:paraId="7B4A07C5">
            <w:pPr>
              <w:adjustRightInd w:val="0"/>
              <w:snapToGrid w:val="0"/>
              <w:rPr>
                <w:szCs w:val="21"/>
              </w:rPr>
            </w:pPr>
            <w:r>
              <w:rPr>
                <w:rFonts w:hint="eastAsia"/>
                <w:szCs w:val="21"/>
              </w:rPr>
              <w:t>2. 通过背面板开关切换工作模式，具有多种工作模式：立体声、单声道、桥接模式，放大器增益可选；</w:t>
            </w:r>
          </w:p>
          <w:p w14:paraId="661D7AB2">
            <w:pPr>
              <w:adjustRightInd w:val="0"/>
              <w:snapToGrid w:val="0"/>
              <w:rPr>
                <w:szCs w:val="21"/>
              </w:rPr>
            </w:pPr>
            <w:r>
              <w:rPr>
                <w:rFonts w:hint="eastAsia"/>
                <w:szCs w:val="21"/>
              </w:rPr>
              <w:t>3. 配有卡侬头音频输入接口和Speakon音频输出接口，输入信号通过卡农公座可环出到下一台功放，削波限幅器：放置功放输出削波损坏喇叭，功放输出直流保护：放置输出端输出次声信号，短路保护机制，提供不间断声音输出，温度功率控制，过温保护，电源欠压保护；</w:t>
            </w:r>
          </w:p>
          <w:p w14:paraId="5B583E24">
            <w:pPr>
              <w:adjustRightInd w:val="0"/>
              <w:snapToGrid w:val="0"/>
              <w:rPr>
                <w:szCs w:val="21"/>
              </w:rPr>
            </w:pPr>
            <w:r>
              <w:rPr>
                <w:rFonts w:hint="eastAsia"/>
                <w:szCs w:val="21"/>
              </w:rPr>
              <w:t xml:space="preserve">4. 额定功率（THD=1%，1 kHz）：2×450 W （8 Ω/立体声）；2×600 W （4 Ω/立体声）；1×900 W （16 Ω/桥接）；1×1200 W （8 Ω/桥接）； </w:t>
            </w:r>
          </w:p>
          <w:p w14:paraId="49E69B30">
            <w:pPr>
              <w:adjustRightInd w:val="0"/>
              <w:snapToGrid w:val="0"/>
              <w:rPr>
                <w:szCs w:val="21"/>
              </w:rPr>
            </w:pPr>
            <w:r>
              <w:rPr>
                <w:rFonts w:hint="eastAsia"/>
                <w:szCs w:val="21"/>
              </w:rPr>
              <w:t>5. RMS输出电压（THD=1%，1 kHz）：60 V；</w:t>
            </w:r>
          </w:p>
          <w:p w14:paraId="296F7060">
            <w:pPr>
              <w:adjustRightInd w:val="0"/>
              <w:snapToGrid w:val="0"/>
              <w:rPr>
                <w:szCs w:val="21"/>
              </w:rPr>
            </w:pPr>
            <w:r>
              <w:rPr>
                <w:rFonts w:hint="eastAsia"/>
                <w:szCs w:val="21"/>
              </w:rPr>
              <w:t xml:space="preserve">6. 输入灵敏度（额定输出功率，1 kHz）： 1 Vrms，0.775 Vrms； </w:t>
            </w:r>
          </w:p>
          <w:p w14:paraId="067764C4">
            <w:pPr>
              <w:adjustRightInd w:val="0"/>
              <w:snapToGrid w:val="0"/>
              <w:rPr>
                <w:szCs w:val="21"/>
                <w:highlight w:val="yellow"/>
              </w:rPr>
            </w:pPr>
            <w:r>
              <w:rPr>
                <w:rFonts w:hint="eastAsia"/>
                <w:szCs w:val="21"/>
              </w:rPr>
              <w:t>7. 频率响应（10%额定输出功率；</w:t>
            </w:r>
            <w:r>
              <w:rPr>
                <w:rFonts w:hint="eastAsia"/>
                <w:szCs w:val="21"/>
                <w:highlight w:val="none"/>
              </w:rPr>
              <w:t xml:space="preserve">8Ω，20 Hz - 20 kHz）： ±0.2 dB； </w:t>
            </w:r>
          </w:p>
          <w:p w14:paraId="3D0E97DF">
            <w:pPr>
              <w:adjustRightInd w:val="0"/>
              <w:snapToGrid w:val="0"/>
              <w:rPr>
                <w:szCs w:val="21"/>
              </w:rPr>
            </w:pPr>
            <w:r>
              <w:rPr>
                <w:rFonts w:hint="eastAsia"/>
                <w:szCs w:val="21"/>
                <w:lang w:val="en-US" w:eastAsia="zh-CN"/>
              </w:rPr>
              <w:t>8</w:t>
            </w:r>
            <w:r>
              <w:rPr>
                <w:rFonts w:hint="eastAsia"/>
                <w:szCs w:val="21"/>
              </w:rPr>
              <w:t xml:space="preserve">. 输入阻抗： 20 kΩ（平衡）；10 kΩ（非平衡）； </w:t>
            </w:r>
          </w:p>
          <w:p w14:paraId="456727F9">
            <w:pPr>
              <w:adjustRightInd w:val="0"/>
              <w:snapToGrid w:val="0"/>
              <w:rPr>
                <w:szCs w:val="21"/>
              </w:rPr>
            </w:pPr>
            <w:r>
              <w:rPr>
                <w:rFonts w:hint="eastAsia"/>
                <w:szCs w:val="21"/>
                <w:lang w:val="en-US" w:eastAsia="zh-CN"/>
              </w:rPr>
              <w:t>9</w:t>
            </w:r>
            <w:r>
              <w:rPr>
                <w:rFonts w:hint="eastAsia"/>
                <w:szCs w:val="21"/>
              </w:rPr>
              <w:t xml:space="preserve">. 阻尼系数（8 Ω，20 Hz - 200 Hz）： ≥1000； </w:t>
            </w:r>
          </w:p>
          <w:p w14:paraId="73DD734D">
            <w:pPr>
              <w:adjustRightInd w:val="0"/>
              <w:snapToGrid w:val="0"/>
              <w:rPr>
                <w:szCs w:val="21"/>
              </w:rPr>
            </w:pPr>
            <w:r>
              <w:rPr>
                <w:rFonts w:hint="eastAsia"/>
                <w:szCs w:val="21"/>
              </w:rPr>
              <w:t>1</w:t>
            </w:r>
            <w:r>
              <w:rPr>
                <w:rFonts w:hint="eastAsia"/>
                <w:szCs w:val="21"/>
                <w:lang w:val="en-US" w:eastAsia="zh-CN"/>
              </w:rPr>
              <w:t>0</w:t>
            </w:r>
            <w:bookmarkStart w:id="331" w:name="_GoBack"/>
            <w:bookmarkEnd w:id="331"/>
            <w:r>
              <w:rPr>
                <w:rFonts w:hint="eastAsia"/>
                <w:szCs w:val="21"/>
              </w:rPr>
              <w:t>.信噪比（A计权，20 Hz – 20 kHz）： ≥105 dB。</w:t>
            </w:r>
          </w:p>
        </w:tc>
        <w:tc>
          <w:tcPr>
            <w:tcW w:w="1050" w:type="dxa"/>
            <w:vMerge w:val="continue"/>
            <w:tcBorders>
              <w:left w:val="single" w:color="000000" w:sz="4" w:space="0"/>
              <w:right w:val="single" w:color="000000" w:sz="4" w:space="0"/>
            </w:tcBorders>
            <w:noWrap/>
            <w:tcMar>
              <w:top w:w="15" w:type="dxa"/>
              <w:left w:w="15" w:type="dxa"/>
              <w:right w:w="15" w:type="dxa"/>
            </w:tcMar>
            <w:vAlign w:val="center"/>
          </w:tcPr>
          <w:p w14:paraId="590443EE">
            <w:pPr>
              <w:jc w:val="center"/>
              <w:rPr>
                <w:rFonts w:ascii="宋体" w:hAnsi="宋体" w:cs="宋体"/>
                <w:color w:val="000000"/>
                <w:sz w:val="24"/>
              </w:rPr>
            </w:pPr>
          </w:p>
        </w:tc>
      </w:tr>
      <w:tr w14:paraId="6F44E287">
        <w:tblPrEx>
          <w:tblCellMar>
            <w:top w:w="0" w:type="dxa"/>
            <w:left w:w="0" w:type="dxa"/>
            <w:bottom w:w="0" w:type="dxa"/>
            <w:right w:w="0" w:type="dxa"/>
          </w:tblCellMar>
        </w:tblPrEx>
        <w:trPr>
          <w:trHeight w:val="285" w:hRule="atLeast"/>
        </w:trPr>
        <w:tc>
          <w:tcPr>
            <w:tcW w:w="435" w:type="dxa"/>
            <w:tcBorders>
              <w:top w:val="nil"/>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54815F53">
            <w:pPr>
              <w:jc w:val="center"/>
            </w:pPr>
            <w:r>
              <w:rPr>
                <w:rFonts w:hint="eastAsia"/>
              </w:rPr>
              <w:t>33</w:t>
            </w:r>
          </w:p>
        </w:tc>
        <w:tc>
          <w:tcPr>
            <w:tcW w:w="1812" w:type="dxa"/>
            <w:tcBorders>
              <w:top w:val="nil"/>
              <w:left w:val="single" w:color="auto" w:sz="4" w:space="0"/>
              <w:bottom w:val="single" w:color="auto" w:sz="4" w:space="0"/>
              <w:right w:val="single" w:color="auto" w:sz="4" w:space="0"/>
            </w:tcBorders>
            <w:tcMar>
              <w:top w:w="15" w:type="dxa"/>
              <w:left w:w="15" w:type="dxa"/>
              <w:right w:w="15" w:type="dxa"/>
            </w:tcMar>
            <w:vAlign w:val="center"/>
          </w:tcPr>
          <w:p w14:paraId="5CD6A172">
            <w:pPr>
              <w:jc w:val="center"/>
            </w:pPr>
            <w:r>
              <w:rPr>
                <w:rFonts w:hint="eastAsia"/>
              </w:rPr>
              <w:t>反馈抑制器</w:t>
            </w:r>
          </w:p>
        </w:tc>
        <w:tc>
          <w:tcPr>
            <w:tcW w:w="435" w:type="dxa"/>
            <w:tcBorders>
              <w:top w:val="nil"/>
              <w:left w:val="single" w:color="auto" w:sz="4" w:space="0"/>
              <w:bottom w:val="single" w:color="auto" w:sz="4" w:space="0"/>
              <w:right w:val="single" w:color="auto" w:sz="4" w:space="0"/>
            </w:tcBorders>
            <w:tcMar>
              <w:top w:w="15" w:type="dxa"/>
              <w:left w:w="15" w:type="dxa"/>
              <w:right w:w="15" w:type="dxa"/>
            </w:tcMar>
            <w:vAlign w:val="center"/>
          </w:tcPr>
          <w:p w14:paraId="6443C968">
            <w:pPr>
              <w:jc w:val="center"/>
            </w:pPr>
            <w:r>
              <w:rPr>
                <w:rFonts w:hint="eastAsia"/>
              </w:rPr>
              <w:t>1</w:t>
            </w:r>
          </w:p>
        </w:tc>
        <w:tc>
          <w:tcPr>
            <w:tcW w:w="540" w:type="dxa"/>
            <w:tcBorders>
              <w:top w:val="nil"/>
              <w:left w:val="nil"/>
              <w:bottom w:val="single" w:color="auto" w:sz="4" w:space="0"/>
              <w:right w:val="single" w:color="auto" w:sz="4" w:space="0"/>
            </w:tcBorders>
            <w:tcMar>
              <w:top w:w="15" w:type="dxa"/>
              <w:left w:w="15" w:type="dxa"/>
              <w:right w:w="15" w:type="dxa"/>
            </w:tcMar>
            <w:vAlign w:val="center"/>
          </w:tcPr>
          <w:p w14:paraId="5A8D3A2A">
            <w:pPr>
              <w:jc w:val="center"/>
            </w:pPr>
            <w:r>
              <w:rPr>
                <w:rFonts w:hint="eastAsia"/>
              </w:rPr>
              <w:t>台</w:t>
            </w:r>
          </w:p>
        </w:tc>
        <w:tc>
          <w:tcPr>
            <w:tcW w:w="1245" w:type="dxa"/>
            <w:tcBorders>
              <w:top w:val="nil"/>
              <w:left w:val="single" w:color="auto" w:sz="4" w:space="0"/>
              <w:bottom w:val="single" w:color="auto" w:sz="4" w:space="0"/>
              <w:right w:val="single" w:color="auto" w:sz="4" w:space="0"/>
            </w:tcBorders>
            <w:tcMar>
              <w:top w:w="15" w:type="dxa"/>
              <w:left w:w="15" w:type="dxa"/>
              <w:right w:w="15" w:type="dxa"/>
            </w:tcMar>
            <w:vAlign w:val="center"/>
          </w:tcPr>
          <w:p w14:paraId="70D7FB0D">
            <w:pPr>
              <w:jc w:val="center"/>
            </w:pPr>
            <w:r>
              <w:rPr>
                <w:rFonts w:hint="eastAsia"/>
              </w:rPr>
              <w:t>4200.00</w:t>
            </w:r>
          </w:p>
        </w:tc>
        <w:tc>
          <w:tcPr>
            <w:tcW w:w="9825" w:type="dxa"/>
            <w:tcBorders>
              <w:top w:val="nil"/>
              <w:left w:val="single" w:color="auto" w:sz="4" w:space="0"/>
              <w:bottom w:val="single" w:color="auto" w:sz="4" w:space="0"/>
              <w:right w:val="single" w:color="auto" w:sz="4" w:space="0"/>
            </w:tcBorders>
            <w:noWrap/>
            <w:tcMar>
              <w:top w:w="15" w:type="dxa"/>
              <w:left w:w="15" w:type="dxa"/>
              <w:right w:w="15" w:type="dxa"/>
            </w:tcMar>
            <w:vAlign w:val="center"/>
          </w:tcPr>
          <w:p w14:paraId="382E379B">
            <w:pPr>
              <w:adjustRightInd w:val="0"/>
              <w:snapToGrid w:val="0"/>
              <w:rPr>
                <w:szCs w:val="21"/>
              </w:rPr>
            </w:pPr>
            <w:r>
              <w:rPr>
                <w:rFonts w:hint="eastAsia"/>
                <w:szCs w:val="21"/>
              </w:rPr>
              <w:t xml:space="preserve">1. 采用高性能DSP处理器和自适应反馈抑制和回声消除算法，有效抑制声学反馈的发生； </w:t>
            </w:r>
          </w:p>
          <w:p w14:paraId="20FA8017">
            <w:pPr>
              <w:adjustRightInd w:val="0"/>
              <w:snapToGrid w:val="0"/>
              <w:rPr>
                <w:szCs w:val="21"/>
              </w:rPr>
            </w:pPr>
            <w:r>
              <w:rPr>
                <w:rFonts w:hint="eastAsia"/>
                <w:szCs w:val="21"/>
              </w:rPr>
              <w:t>2. 采用AI算法，极强的自学习能力，有效滤除房间混响，实现消除声学反馈的目的，同时大幅度改善了直通和反馈处理后的音色差异；</w:t>
            </w:r>
            <w:r>
              <w:rPr>
                <w:rFonts w:hint="eastAsia"/>
                <w:szCs w:val="21"/>
              </w:rPr>
              <w:br w:type="textWrapping"/>
            </w:r>
            <w:r>
              <w:rPr>
                <w:rFonts w:hint="eastAsia"/>
                <w:szCs w:val="21"/>
              </w:rPr>
              <w:t>3. ≥48 kHz音频采样，≥20 ~ 20000 Hz频率响应；内置自适应反馈抑制（AFC）和自动回声消除（AEC）开关；</w:t>
            </w:r>
            <w:r>
              <w:rPr>
                <w:rFonts w:hint="eastAsia"/>
                <w:szCs w:val="21"/>
              </w:rPr>
              <w:br w:type="textWrapping"/>
            </w:r>
            <w:r>
              <w:rPr>
                <w:rFonts w:hint="eastAsia"/>
                <w:szCs w:val="21"/>
              </w:rPr>
              <w:t xml:space="preserve">4. 频率响应：≥20 ~ 20000 Hz； </w:t>
            </w:r>
          </w:p>
          <w:p w14:paraId="7D015741">
            <w:pPr>
              <w:adjustRightInd w:val="0"/>
              <w:snapToGrid w:val="0"/>
              <w:rPr>
                <w:szCs w:val="21"/>
              </w:rPr>
            </w:pPr>
            <w:r>
              <w:rPr>
                <w:rFonts w:hint="eastAsia"/>
                <w:szCs w:val="21"/>
              </w:rPr>
              <w:t xml:space="preserve">5. 采样频率：≥48 kHz； </w:t>
            </w:r>
          </w:p>
          <w:p w14:paraId="52A15AEC">
            <w:pPr>
              <w:adjustRightInd w:val="0"/>
              <w:snapToGrid w:val="0"/>
              <w:rPr>
                <w:szCs w:val="21"/>
              </w:rPr>
            </w:pPr>
            <w:r>
              <w:rPr>
                <w:rFonts w:hint="eastAsia"/>
                <w:szCs w:val="21"/>
              </w:rPr>
              <w:t xml:space="preserve">6. 信噪比：≥90 dBA； </w:t>
            </w:r>
          </w:p>
          <w:p w14:paraId="2F951D94">
            <w:pPr>
              <w:adjustRightInd w:val="0"/>
              <w:snapToGrid w:val="0"/>
              <w:rPr>
                <w:szCs w:val="21"/>
              </w:rPr>
            </w:pPr>
            <w:r>
              <w:rPr>
                <w:rFonts w:hint="eastAsia"/>
                <w:szCs w:val="21"/>
              </w:rPr>
              <w:t>7. 总谐波失真：≤0.1%；</w:t>
            </w:r>
          </w:p>
          <w:p w14:paraId="49C2414A">
            <w:pPr>
              <w:adjustRightInd w:val="0"/>
              <w:snapToGrid w:val="0"/>
              <w:rPr>
                <w:szCs w:val="21"/>
              </w:rPr>
            </w:pPr>
            <w:r>
              <w:rPr>
                <w:rFonts w:hint="eastAsia"/>
                <w:szCs w:val="21"/>
              </w:rPr>
              <w:t xml:space="preserve">8. 输入阻抗：≥10 kΩ； </w:t>
            </w:r>
          </w:p>
          <w:p w14:paraId="3690F6E5">
            <w:pPr>
              <w:adjustRightInd w:val="0"/>
              <w:snapToGrid w:val="0"/>
              <w:rPr>
                <w:szCs w:val="21"/>
              </w:rPr>
            </w:pPr>
            <w:r>
              <w:rPr>
                <w:rFonts w:hint="eastAsia"/>
                <w:szCs w:val="21"/>
              </w:rPr>
              <w:t>9. 输出阻抗：≥1kΩ；</w:t>
            </w:r>
          </w:p>
          <w:p w14:paraId="45AC2E47">
            <w:pPr>
              <w:adjustRightInd w:val="0"/>
              <w:snapToGrid w:val="0"/>
              <w:rPr>
                <w:szCs w:val="21"/>
              </w:rPr>
            </w:pPr>
            <w:r>
              <w:rPr>
                <w:rFonts w:hint="eastAsia"/>
                <w:szCs w:val="21"/>
              </w:rPr>
              <w:t>10. 反馈抑制时间：≤400 ms；</w:t>
            </w:r>
          </w:p>
          <w:p w14:paraId="7985860C">
            <w:pPr>
              <w:adjustRightInd w:val="0"/>
              <w:snapToGrid w:val="0"/>
              <w:rPr>
                <w:szCs w:val="21"/>
              </w:rPr>
            </w:pPr>
            <w:r>
              <w:rPr>
                <w:rFonts w:hint="eastAsia"/>
                <w:szCs w:val="21"/>
              </w:rPr>
              <w:t xml:space="preserve">11. 信号延时：≤11 ms； </w:t>
            </w:r>
          </w:p>
          <w:p w14:paraId="7555B652">
            <w:pPr>
              <w:adjustRightInd w:val="0"/>
              <w:snapToGrid w:val="0"/>
              <w:rPr>
                <w:szCs w:val="21"/>
              </w:rPr>
            </w:pPr>
            <w:r>
              <w:rPr>
                <w:rFonts w:hint="eastAsia"/>
                <w:szCs w:val="21"/>
              </w:rPr>
              <w:t xml:space="preserve">12. 噪音消除量：≤15 dB; </w:t>
            </w:r>
          </w:p>
          <w:p w14:paraId="7B0198DB">
            <w:pPr>
              <w:adjustRightInd w:val="0"/>
              <w:snapToGrid w:val="0"/>
              <w:rPr>
                <w:szCs w:val="21"/>
              </w:rPr>
            </w:pPr>
            <w:r>
              <w:rPr>
                <w:rFonts w:hint="eastAsia"/>
                <w:szCs w:val="21"/>
              </w:rPr>
              <w:t>13. 回声消除能力:≥65 dB；</w:t>
            </w:r>
          </w:p>
          <w:p w14:paraId="67214009">
            <w:pPr>
              <w:adjustRightInd w:val="0"/>
              <w:snapToGrid w:val="0"/>
              <w:rPr>
                <w:szCs w:val="21"/>
              </w:rPr>
            </w:pPr>
            <w:r>
              <w:rPr>
                <w:rFonts w:hint="eastAsia"/>
                <w:szCs w:val="21"/>
              </w:rPr>
              <w:t>14. 与会议系统主机同一品牌。</w:t>
            </w:r>
          </w:p>
        </w:tc>
        <w:tc>
          <w:tcPr>
            <w:tcW w:w="1050" w:type="dxa"/>
            <w:vMerge w:val="continue"/>
            <w:tcBorders>
              <w:left w:val="single" w:color="000000" w:sz="4" w:space="0"/>
              <w:right w:val="single" w:color="000000" w:sz="4" w:space="0"/>
            </w:tcBorders>
            <w:noWrap/>
            <w:tcMar>
              <w:top w:w="15" w:type="dxa"/>
              <w:left w:w="15" w:type="dxa"/>
              <w:right w:w="15" w:type="dxa"/>
            </w:tcMar>
            <w:vAlign w:val="center"/>
          </w:tcPr>
          <w:p w14:paraId="44AA07D3">
            <w:pPr>
              <w:jc w:val="center"/>
              <w:rPr>
                <w:rFonts w:ascii="宋体" w:hAnsi="宋体" w:cs="宋体"/>
                <w:color w:val="000000"/>
                <w:sz w:val="24"/>
              </w:rPr>
            </w:pPr>
          </w:p>
        </w:tc>
      </w:tr>
      <w:tr w14:paraId="4DBD4D34">
        <w:tblPrEx>
          <w:tblCellMar>
            <w:top w:w="0" w:type="dxa"/>
            <w:left w:w="0" w:type="dxa"/>
            <w:bottom w:w="0" w:type="dxa"/>
            <w:right w:w="0" w:type="dxa"/>
          </w:tblCellMar>
        </w:tblPrEx>
        <w:trPr>
          <w:trHeight w:val="285" w:hRule="atLeast"/>
        </w:trPr>
        <w:tc>
          <w:tcPr>
            <w:tcW w:w="435" w:type="dxa"/>
            <w:tcBorders>
              <w:top w:val="nil"/>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727B684E">
            <w:pPr>
              <w:jc w:val="center"/>
            </w:pPr>
            <w:r>
              <w:rPr>
                <w:rFonts w:hint="eastAsia"/>
              </w:rPr>
              <w:t>34</w:t>
            </w:r>
          </w:p>
        </w:tc>
        <w:tc>
          <w:tcPr>
            <w:tcW w:w="1812" w:type="dxa"/>
            <w:tcBorders>
              <w:top w:val="nil"/>
              <w:left w:val="single" w:color="auto" w:sz="4" w:space="0"/>
              <w:bottom w:val="single" w:color="auto" w:sz="4" w:space="0"/>
              <w:right w:val="single" w:color="auto" w:sz="4" w:space="0"/>
            </w:tcBorders>
            <w:tcMar>
              <w:top w:w="15" w:type="dxa"/>
              <w:left w:w="15" w:type="dxa"/>
              <w:right w:w="15" w:type="dxa"/>
            </w:tcMar>
            <w:vAlign w:val="center"/>
          </w:tcPr>
          <w:p w14:paraId="0FF611AF">
            <w:pPr>
              <w:jc w:val="center"/>
            </w:pPr>
            <w:r>
              <w:rPr>
                <w:rFonts w:hint="eastAsia"/>
              </w:rPr>
              <w:t>会议室数字音频处理器</w:t>
            </w:r>
          </w:p>
        </w:tc>
        <w:tc>
          <w:tcPr>
            <w:tcW w:w="435" w:type="dxa"/>
            <w:tcBorders>
              <w:top w:val="nil"/>
              <w:left w:val="single" w:color="auto" w:sz="4" w:space="0"/>
              <w:bottom w:val="single" w:color="auto" w:sz="4" w:space="0"/>
              <w:right w:val="single" w:color="auto" w:sz="4" w:space="0"/>
            </w:tcBorders>
            <w:tcMar>
              <w:top w:w="15" w:type="dxa"/>
              <w:left w:w="15" w:type="dxa"/>
              <w:right w:w="15" w:type="dxa"/>
            </w:tcMar>
            <w:vAlign w:val="center"/>
          </w:tcPr>
          <w:p w14:paraId="74F83E1D">
            <w:pPr>
              <w:jc w:val="center"/>
            </w:pPr>
            <w:r>
              <w:rPr>
                <w:rFonts w:hint="eastAsia"/>
              </w:rPr>
              <w:t>1</w:t>
            </w:r>
          </w:p>
        </w:tc>
        <w:tc>
          <w:tcPr>
            <w:tcW w:w="540" w:type="dxa"/>
            <w:tcBorders>
              <w:top w:val="nil"/>
              <w:left w:val="nil"/>
              <w:bottom w:val="single" w:color="auto" w:sz="4" w:space="0"/>
              <w:right w:val="single" w:color="auto" w:sz="4" w:space="0"/>
            </w:tcBorders>
            <w:tcMar>
              <w:top w:w="15" w:type="dxa"/>
              <w:left w:w="15" w:type="dxa"/>
              <w:right w:w="15" w:type="dxa"/>
            </w:tcMar>
            <w:vAlign w:val="center"/>
          </w:tcPr>
          <w:p w14:paraId="69F8EEDA">
            <w:pPr>
              <w:jc w:val="center"/>
            </w:pPr>
            <w:r>
              <w:rPr>
                <w:rFonts w:hint="eastAsia"/>
              </w:rPr>
              <w:t>台</w:t>
            </w:r>
          </w:p>
        </w:tc>
        <w:tc>
          <w:tcPr>
            <w:tcW w:w="1245" w:type="dxa"/>
            <w:tcBorders>
              <w:top w:val="nil"/>
              <w:left w:val="single" w:color="auto" w:sz="4" w:space="0"/>
              <w:bottom w:val="single" w:color="auto" w:sz="4" w:space="0"/>
              <w:right w:val="single" w:color="auto" w:sz="4" w:space="0"/>
            </w:tcBorders>
            <w:tcMar>
              <w:top w:w="15" w:type="dxa"/>
              <w:left w:w="15" w:type="dxa"/>
              <w:right w:w="15" w:type="dxa"/>
            </w:tcMar>
            <w:vAlign w:val="center"/>
          </w:tcPr>
          <w:p w14:paraId="577868CC">
            <w:pPr>
              <w:jc w:val="center"/>
            </w:pPr>
            <w:r>
              <w:rPr>
                <w:rFonts w:hint="eastAsia"/>
              </w:rPr>
              <w:t>6100.00</w:t>
            </w:r>
          </w:p>
        </w:tc>
        <w:tc>
          <w:tcPr>
            <w:tcW w:w="9825" w:type="dxa"/>
            <w:tcBorders>
              <w:top w:val="nil"/>
              <w:left w:val="single" w:color="auto" w:sz="4" w:space="0"/>
              <w:bottom w:val="single" w:color="auto" w:sz="4" w:space="0"/>
              <w:right w:val="single" w:color="auto" w:sz="4" w:space="0"/>
            </w:tcBorders>
            <w:noWrap/>
            <w:tcMar>
              <w:top w:w="15" w:type="dxa"/>
              <w:left w:w="15" w:type="dxa"/>
              <w:right w:w="15" w:type="dxa"/>
            </w:tcMar>
            <w:vAlign w:val="center"/>
          </w:tcPr>
          <w:p w14:paraId="6340907F">
            <w:pPr>
              <w:adjustRightInd w:val="0"/>
              <w:snapToGrid w:val="0"/>
              <w:rPr>
                <w:szCs w:val="21"/>
              </w:rPr>
            </w:pPr>
            <w:r>
              <w:rPr>
                <w:rFonts w:hint="eastAsia"/>
                <w:szCs w:val="21"/>
              </w:rPr>
              <w:t>1. 系统处理器具有与用户界面耦合的4个输入和8个输出，可以控制每一输入的增益、延时、和6个滤波器；</w:t>
            </w:r>
          </w:p>
          <w:p w14:paraId="00AC5E77">
            <w:pPr>
              <w:adjustRightInd w:val="0"/>
              <w:snapToGrid w:val="0"/>
              <w:rPr>
                <w:szCs w:val="21"/>
              </w:rPr>
            </w:pPr>
            <w:r>
              <w:rPr>
                <w:rFonts w:hint="eastAsia"/>
                <w:szCs w:val="21"/>
              </w:rPr>
              <w:br w:type="page"/>
            </w:r>
            <w:r>
              <w:rPr>
                <w:rFonts w:hint="eastAsia"/>
                <w:szCs w:val="21"/>
              </w:rPr>
              <w:t>2. 不少于4组输入、8组输出；</w:t>
            </w:r>
          </w:p>
          <w:p w14:paraId="4C6DD790">
            <w:pPr>
              <w:adjustRightInd w:val="0"/>
              <w:snapToGrid w:val="0"/>
              <w:rPr>
                <w:szCs w:val="21"/>
              </w:rPr>
            </w:pPr>
            <w:r>
              <w:rPr>
                <w:rFonts w:hint="eastAsia"/>
                <w:szCs w:val="21"/>
              </w:rPr>
              <w:br w:type="page"/>
            </w:r>
            <w:r>
              <w:rPr>
                <w:rFonts w:hint="eastAsia"/>
                <w:szCs w:val="21"/>
              </w:rPr>
              <w:t>3. 可指定任意输入至输出；</w:t>
            </w:r>
          </w:p>
          <w:p w14:paraId="758BD7A6">
            <w:pPr>
              <w:adjustRightInd w:val="0"/>
              <w:snapToGrid w:val="0"/>
              <w:rPr>
                <w:szCs w:val="21"/>
              </w:rPr>
            </w:pPr>
            <w:r>
              <w:rPr>
                <w:rFonts w:hint="eastAsia"/>
                <w:szCs w:val="21"/>
              </w:rPr>
              <w:br w:type="page"/>
            </w:r>
            <w:r>
              <w:rPr>
                <w:rFonts w:hint="eastAsia"/>
                <w:szCs w:val="21"/>
              </w:rPr>
              <w:t>4. 具有分频、均衡、延时和限幅功能；</w:t>
            </w:r>
          </w:p>
          <w:p w14:paraId="3EE168D3">
            <w:pPr>
              <w:adjustRightInd w:val="0"/>
              <w:snapToGrid w:val="0"/>
              <w:rPr>
                <w:szCs w:val="21"/>
              </w:rPr>
            </w:pPr>
            <w:r>
              <w:rPr>
                <w:rFonts w:hint="eastAsia"/>
                <w:szCs w:val="21"/>
              </w:rPr>
              <w:br w:type="page"/>
            </w:r>
            <w:r>
              <w:rPr>
                <w:rFonts w:hint="eastAsia"/>
                <w:szCs w:val="21"/>
              </w:rPr>
              <w:t>5. 频率响应：20Hz~20kHz, ±0.25dB；</w:t>
            </w:r>
          </w:p>
          <w:p w14:paraId="2C4D28C7">
            <w:pPr>
              <w:adjustRightInd w:val="0"/>
              <w:snapToGrid w:val="0"/>
              <w:rPr>
                <w:szCs w:val="21"/>
              </w:rPr>
            </w:pPr>
            <w:r>
              <w:rPr>
                <w:rFonts w:hint="eastAsia"/>
                <w:szCs w:val="21"/>
              </w:rPr>
              <w:br w:type="page"/>
            </w:r>
            <w:r>
              <w:rPr>
                <w:rFonts w:hint="eastAsia"/>
                <w:szCs w:val="21"/>
              </w:rPr>
              <w:t>6. 总谐波失真：&lt;0.01%@1kHz, +20dBu；</w:t>
            </w:r>
          </w:p>
          <w:p w14:paraId="10069D94">
            <w:pPr>
              <w:adjustRightInd w:val="0"/>
              <w:snapToGrid w:val="0"/>
              <w:rPr>
                <w:szCs w:val="21"/>
              </w:rPr>
            </w:pPr>
            <w:r>
              <w:rPr>
                <w:rFonts w:hint="eastAsia"/>
                <w:szCs w:val="21"/>
              </w:rPr>
              <w:br w:type="page"/>
            </w:r>
            <w:r>
              <w:rPr>
                <w:rFonts w:hint="eastAsia"/>
                <w:szCs w:val="21"/>
              </w:rPr>
              <w:t>7. 动态范围：&gt;110dB (20Hz~20kHz)；</w:t>
            </w:r>
          </w:p>
          <w:p w14:paraId="2C82977F">
            <w:pPr>
              <w:adjustRightInd w:val="0"/>
              <w:snapToGrid w:val="0"/>
              <w:rPr>
                <w:szCs w:val="21"/>
              </w:rPr>
            </w:pPr>
            <w:r>
              <w:rPr>
                <w:rFonts w:hint="eastAsia"/>
                <w:szCs w:val="21"/>
              </w:rPr>
              <w:br w:type="page"/>
            </w:r>
            <w:r>
              <w:rPr>
                <w:rFonts w:hint="eastAsia"/>
                <w:szCs w:val="21"/>
              </w:rPr>
              <w:t>8. 输出噪声：&lt;－90dBu。</w:t>
            </w:r>
          </w:p>
        </w:tc>
        <w:tc>
          <w:tcPr>
            <w:tcW w:w="1050" w:type="dxa"/>
            <w:vMerge w:val="continue"/>
            <w:tcBorders>
              <w:left w:val="single" w:color="000000" w:sz="4" w:space="0"/>
              <w:right w:val="single" w:color="000000" w:sz="4" w:space="0"/>
            </w:tcBorders>
            <w:noWrap/>
            <w:tcMar>
              <w:top w:w="15" w:type="dxa"/>
              <w:left w:w="15" w:type="dxa"/>
              <w:right w:w="15" w:type="dxa"/>
            </w:tcMar>
            <w:vAlign w:val="center"/>
          </w:tcPr>
          <w:p w14:paraId="5F7BF876">
            <w:pPr>
              <w:jc w:val="center"/>
              <w:rPr>
                <w:rFonts w:ascii="宋体" w:hAnsi="宋体" w:cs="宋体"/>
                <w:color w:val="000000"/>
                <w:sz w:val="24"/>
              </w:rPr>
            </w:pPr>
          </w:p>
        </w:tc>
      </w:tr>
      <w:tr w14:paraId="252B56F6">
        <w:tblPrEx>
          <w:tblCellMar>
            <w:top w:w="0" w:type="dxa"/>
            <w:left w:w="0" w:type="dxa"/>
            <w:bottom w:w="0" w:type="dxa"/>
            <w:right w:w="0" w:type="dxa"/>
          </w:tblCellMar>
        </w:tblPrEx>
        <w:trPr>
          <w:trHeight w:val="285" w:hRule="atLeast"/>
        </w:trPr>
        <w:tc>
          <w:tcPr>
            <w:tcW w:w="435" w:type="dxa"/>
            <w:tcBorders>
              <w:top w:val="nil"/>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6F9888B9">
            <w:pPr>
              <w:jc w:val="center"/>
            </w:pPr>
            <w:r>
              <w:rPr>
                <w:rFonts w:hint="eastAsia"/>
              </w:rPr>
              <w:t>35</w:t>
            </w:r>
          </w:p>
        </w:tc>
        <w:tc>
          <w:tcPr>
            <w:tcW w:w="1812" w:type="dxa"/>
            <w:tcBorders>
              <w:top w:val="nil"/>
              <w:left w:val="single" w:color="auto" w:sz="4" w:space="0"/>
              <w:bottom w:val="single" w:color="auto" w:sz="4" w:space="0"/>
              <w:right w:val="single" w:color="auto" w:sz="4" w:space="0"/>
            </w:tcBorders>
            <w:tcMar>
              <w:top w:w="15" w:type="dxa"/>
              <w:left w:w="15" w:type="dxa"/>
              <w:right w:w="15" w:type="dxa"/>
            </w:tcMar>
            <w:vAlign w:val="center"/>
          </w:tcPr>
          <w:p w14:paraId="0A913089">
            <w:pPr>
              <w:jc w:val="center"/>
            </w:pPr>
            <w:r>
              <w:rPr>
                <w:rFonts w:hint="eastAsia"/>
              </w:rPr>
              <w:t>会议室调音台</w:t>
            </w:r>
          </w:p>
        </w:tc>
        <w:tc>
          <w:tcPr>
            <w:tcW w:w="435" w:type="dxa"/>
            <w:tcBorders>
              <w:top w:val="nil"/>
              <w:left w:val="single" w:color="auto" w:sz="4" w:space="0"/>
              <w:bottom w:val="single" w:color="auto" w:sz="4" w:space="0"/>
              <w:right w:val="single" w:color="auto" w:sz="4" w:space="0"/>
            </w:tcBorders>
            <w:tcMar>
              <w:top w:w="15" w:type="dxa"/>
              <w:left w:w="15" w:type="dxa"/>
              <w:right w:w="15" w:type="dxa"/>
            </w:tcMar>
            <w:vAlign w:val="center"/>
          </w:tcPr>
          <w:p w14:paraId="00DF00CE">
            <w:pPr>
              <w:jc w:val="center"/>
            </w:pPr>
            <w:r>
              <w:rPr>
                <w:rFonts w:hint="eastAsia"/>
              </w:rPr>
              <w:t>1</w:t>
            </w:r>
          </w:p>
        </w:tc>
        <w:tc>
          <w:tcPr>
            <w:tcW w:w="540" w:type="dxa"/>
            <w:tcBorders>
              <w:top w:val="nil"/>
              <w:left w:val="nil"/>
              <w:bottom w:val="single" w:color="auto" w:sz="4" w:space="0"/>
              <w:right w:val="single" w:color="auto" w:sz="4" w:space="0"/>
            </w:tcBorders>
            <w:tcMar>
              <w:top w:w="15" w:type="dxa"/>
              <w:left w:w="15" w:type="dxa"/>
              <w:right w:w="15" w:type="dxa"/>
            </w:tcMar>
            <w:vAlign w:val="center"/>
          </w:tcPr>
          <w:p w14:paraId="299D3918">
            <w:pPr>
              <w:jc w:val="center"/>
            </w:pPr>
            <w:r>
              <w:rPr>
                <w:rFonts w:hint="eastAsia"/>
              </w:rPr>
              <w:t>台</w:t>
            </w:r>
          </w:p>
        </w:tc>
        <w:tc>
          <w:tcPr>
            <w:tcW w:w="1245" w:type="dxa"/>
            <w:tcBorders>
              <w:top w:val="nil"/>
              <w:left w:val="single" w:color="auto" w:sz="4" w:space="0"/>
              <w:bottom w:val="single" w:color="auto" w:sz="4" w:space="0"/>
              <w:right w:val="single" w:color="auto" w:sz="4" w:space="0"/>
            </w:tcBorders>
            <w:tcMar>
              <w:top w:w="15" w:type="dxa"/>
              <w:left w:w="15" w:type="dxa"/>
              <w:right w:w="15" w:type="dxa"/>
            </w:tcMar>
            <w:vAlign w:val="center"/>
          </w:tcPr>
          <w:p w14:paraId="01ADED44">
            <w:pPr>
              <w:jc w:val="center"/>
            </w:pPr>
            <w:r>
              <w:rPr>
                <w:rFonts w:hint="eastAsia"/>
              </w:rPr>
              <w:t>3000.00</w:t>
            </w:r>
          </w:p>
        </w:tc>
        <w:tc>
          <w:tcPr>
            <w:tcW w:w="9825" w:type="dxa"/>
            <w:tcBorders>
              <w:top w:val="nil"/>
              <w:left w:val="single" w:color="auto" w:sz="4" w:space="0"/>
              <w:bottom w:val="single" w:color="auto" w:sz="4" w:space="0"/>
              <w:right w:val="single" w:color="auto" w:sz="4" w:space="0"/>
            </w:tcBorders>
            <w:noWrap/>
            <w:tcMar>
              <w:top w:w="15" w:type="dxa"/>
              <w:left w:w="15" w:type="dxa"/>
              <w:right w:w="15" w:type="dxa"/>
            </w:tcMar>
            <w:vAlign w:val="center"/>
          </w:tcPr>
          <w:p w14:paraId="0B70E169">
            <w:pPr>
              <w:adjustRightInd w:val="0"/>
              <w:snapToGrid w:val="0"/>
              <w:rPr>
                <w:szCs w:val="21"/>
              </w:rPr>
            </w:pPr>
            <w:r>
              <w:rPr>
                <w:rFonts w:hint="eastAsia"/>
                <w:szCs w:val="21"/>
              </w:rPr>
              <w:t xml:space="preserve">1. ≥8路MIC单声通道+ ≥4路立体声输入； </w:t>
            </w:r>
          </w:p>
          <w:p w14:paraId="2ABF04C5">
            <w:pPr>
              <w:adjustRightInd w:val="0"/>
              <w:snapToGrid w:val="0"/>
              <w:rPr>
                <w:szCs w:val="21"/>
              </w:rPr>
            </w:pPr>
            <w:r>
              <w:rPr>
                <w:rFonts w:hint="eastAsia"/>
                <w:szCs w:val="21"/>
              </w:rPr>
              <w:t>2. 带4编组输出+4组AUX母线辅助输出（包括EFF)；</w:t>
            </w:r>
          </w:p>
          <w:p w14:paraId="152D3225">
            <w:pPr>
              <w:adjustRightInd w:val="0"/>
              <w:snapToGrid w:val="0"/>
              <w:rPr>
                <w:szCs w:val="21"/>
              </w:rPr>
            </w:pPr>
            <w:r>
              <w:rPr>
                <w:rFonts w:hint="eastAsia"/>
                <w:szCs w:val="21"/>
              </w:rPr>
              <w:t>3. 1组立体声返回（可分配主输出或编组输出）；</w:t>
            </w:r>
          </w:p>
          <w:p w14:paraId="333670CC">
            <w:pPr>
              <w:adjustRightInd w:val="0"/>
              <w:snapToGrid w:val="0"/>
              <w:rPr>
                <w:szCs w:val="21"/>
              </w:rPr>
            </w:pPr>
            <w:r>
              <w:rPr>
                <w:rFonts w:hint="eastAsia"/>
                <w:szCs w:val="21"/>
              </w:rPr>
              <w:t>4. 一组监听耳机输出；</w:t>
            </w:r>
          </w:p>
          <w:p w14:paraId="13AE2A7E">
            <w:pPr>
              <w:adjustRightInd w:val="0"/>
              <w:snapToGrid w:val="0"/>
              <w:rPr>
                <w:szCs w:val="21"/>
              </w:rPr>
            </w:pPr>
            <w:r>
              <w:rPr>
                <w:rFonts w:hint="eastAsia"/>
                <w:szCs w:val="21"/>
              </w:rPr>
              <w:t>5. 来自立体声的LPF低通滤波器输出（60-150HZ可调），</w:t>
            </w:r>
          </w:p>
          <w:p w14:paraId="2449867E">
            <w:pPr>
              <w:adjustRightInd w:val="0"/>
              <w:snapToGrid w:val="0"/>
              <w:rPr>
                <w:szCs w:val="21"/>
              </w:rPr>
            </w:pPr>
            <w:r>
              <w:rPr>
                <w:rFonts w:hint="eastAsia"/>
                <w:szCs w:val="21"/>
              </w:rPr>
              <w:t>6. USB音频声卡（连接电脑)将电脑播放的声音传输到调音台，</w:t>
            </w:r>
          </w:p>
          <w:p w14:paraId="5FC34091">
            <w:pPr>
              <w:adjustRightInd w:val="0"/>
              <w:snapToGrid w:val="0"/>
              <w:rPr>
                <w:szCs w:val="21"/>
              </w:rPr>
            </w:pPr>
            <w:r>
              <w:rPr>
                <w:rFonts w:hint="eastAsia"/>
                <w:szCs w:val="21"/>
              </w:rPr>
              <w:t>7. 内置48V幻象电源供电；每个通道带独立开关；</w:t>
            </w:r>
          </w:p>
          <w:p w14:paraId="1CE9F8B2">
            <w:pPr>
              <w:adjustRightInd w:val="0"/>
              <w:snapToGrid w:val="0"/>
              <w:rPr>
                <w:szCs w:val="21"/>
              </w:rPr>
            </w:pPr>
            <w:r>
              <w:rPr>
                <w:rFonts w:hint="eastAsia"/>
                <w:szCs w:val="21"/>
              </w:rPr>
              <w:t xml:space="preserve">8. 主输出9段立体声图示均衡器； </w:t>
            </w:r>
          </w:p>
          <w:p w14:paraId="07554661">
            <w:pPr>
              <w:adjustRightInd w:val="0"/>
              <w:snapToGrid w:val="0"/>
              <w:rPr>
                <w:szCs w:val="21"/>
              </w:rPr>
            </w:pPr>
            <w:r>
              <w:rPr>
                <w:rFonts w:hint="eastAsia"/>
                <w:szCs w:val="21"/>
              </w:rPr>
              <w:t xml:space="preserve">9. USB可与一路立体声切换，USB可独立调节； </w:t>
            </w:r>
          </w:p>
          <w:p w14:paraId="01EAA332">
            <w:pPr>
              <w:adjustRightInd w:val="0"/>
              <w:snapToGrid w:val="0"/>
              <w:rPr>
                <w:szCs w:val="21"/>
              </w:rPr>
            </w:pPr>
            <w:r>
              <w:rPr>
                <w:rFonts w:hint="eastAsia"/>
                <w:szCs w:val="21"/>
              </w:rPr>
              <w:t xml:space="preserve">10. 单声通道100HZ低频衰减开关（高通滤波器）； </w:t>
            </w:r>
          </w:p>
          <w:p w14:paraId="3295E71D">
            <w:pPr>
              <w:adjustRightInd w:val="0"/>
              <w:snapToGrid w:val="0"/>
              <w:rPr>
                <w:szCs w:val="21"/>
              </w:rPr>
            </w:pPr>
            <w:r>
              <w:rPr>
                <w:rFonts w:hint="eastAsia"/>
                <w:szCs w:val="21"/>
              </w:rPr>
              <w:t xml:space="preserve">11. 每通道3段参量均衡，80Hz； </w:t>
            </w:r>
          </w:p>
          <w:p w14:paraId="3804A003">
            <w:pPr>
              <w:adjustRightInd w:val="0"/>
              <w:snapToGrid w:val="0"/>
              <w:rPr>
                <w:szCs w:val="21"/>
              </w:rPr>
            </w:pPr>
            <w:r>
              <w:rPr>
                <w:rFonts w:hint="eastAsia"/>
                <w:szCs w:val="21"/>
              </w:rPr>
              <w:t xml:space="preserve">12. 单声通道带（350Hz-3.5K中音扫频）.12KHz； </w:t>
            </w:r>
          </w:p>
          <w:p w14:paraId="2DBB6E60">
            <w:pPr>
              <w:adjustRightInd w:val="0"/>
              <w:snapToGrid w:val="0"/>
              <w:rPr>
                <w:szCs w:val="21"/>
              </w:rPr>
            </w:pPr>
            <w:r>
              <w:rPr>
                <w:rFonts w:hint="eastAsia"/>
                <w:szCs w:val="21"/>
              </w:rPr>
              <w:t>13. 每输入通道MUTE静音开关，PFL耳机开关，平滑100MM行程推子器。</w:t>
            </w:r>
          </w:p>
        </w:tc>
        <w:tc>
          <w:tcPr>
            <w:tcW w:w="1050" w:type="dxa"/>
            <w:vMerge w:val="continue"/>
            <w:tcBorders>
              <w:left w:val="single" w:color="000000" w:sz="4" w:space="0"/>
              <w:right w:val="single" w:color="000000" w:sz="4" w:space="0"/>
            </w:tcBorders>
            <w:noWrap/>
            <w:tcMar>
              <w:top w:w="15" w:type="dxa"/>
              <w:left w:w="15" w:type="dxa"/>
              <w:right w:w="15" w:type="dxa"/>
            </w:tcMar>
            <w:vAlign w:val="center"/>
          </w:tcPr>
          <w:p w14:paraId="34233ECA">
            <w:pPr>
              <w:jc w:val="center"/>
              <w:rPr>
                <w:rFonts w:ascii="宋体" w:hAnsi="宋体" w:cs="宋体"/>
                <w:color w:val="000000"/>
                <w:sz w:val="24"/>
              </w:rPr>
            </w:pPr>
          </w:p>
        </w:tc>
      </w:tr>
      <w:tr w14:paraId="4D6F551D">
        <w:tblPrEx>
          <w:tblCellMar>
            <w:top w:w="0" w:type="dxa"/>
            <w:left w:w="0" w:type="dxa"/>
            <w:bottom w:w="0" w:type="dxa"/>
            <w:right w:w="0" w:type="dxa"/>
          </w:tblCellMar>
        </w:tblPrEx>
        <w:trPr>
          <w:trHeight w:val="285" w:hRule="atLeast"/>
        </w:trPr>
        <w:tc>
          <w:tcPr>
            <w:tcW w:w="435" w:type="dxa"/>
            <w:tcBorders>
              <w:top w:val="nil"/>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1874E8D7">
            <w:pPr>
              <w:jc w:val="center"/>
            </w:pPr>
            <w:r>
              <w:rPr>
                <w:rFonts w:hint="eastAsia"/>
              </w:rPr>
              <w:t>36</w:t>
            </w:r>
          </w:p>
        </w:tc>
        <w:tc>
          <w:tcPr>
            <w:tcW w:w="1812" w:type="dxa"/>
            <w:tcBorders>
              <w:top w:val="nil"/>
              <w:left w:val="single" w:color="auto" w:sz="4" w:space="0"/>
              <w:bottom w:val="single" w:color="auto" w:sz="4" w:space="0"/>
              <w:right w:val="single" w:color="auto" w:sz="4" w:space="0"/>
            </w:tcBorders>
            <w:tcMar>
              <w:top w:w="15" w:type="dxa"/>
              <w:left w:w="15" w:type="dxa"/>
              <w:right w:w="15" w:type="dxa"/>
            </w:tcMar>
            <w:vAlign w:val="center"/>
          </w:tcPr>
          <w:p w14:paraId="621F7764">
            <w:pPr>
              <w:jc w:val="center"/>
            </w:pPr>
            <w:r>
              <w:rPr>
                <w:rFonts w:hint="eastAsia"/>
              </w:rPr>
              <w:t>电源时序器2</w:t>
            </w:r>
          </w:p>
        </w:tc>
        <w:tc>
          <w:tcPr>
            <w:tcW w:w="435" w:type="dxa"/>
            <w:tcBorders>
              <w:top w:val="nil"/>
              <w:left w:val="single" w:color="auto" w:sz="4" w:space="0"/>
              <w:bottom w:val="single" w:color="auto" w:sz="4" w:space="0"/>
              <w:right w:val="single" w:color="auto" w:sz="4" w:space="0"/>
            </w:tcBorders>
            <w:tcMar>
              <w:top w:w="15" w:type="dxa"/>
              <w:left w:w="15" w:type="dxa"/>
              <w:right w:w="15" w:type="dxa"/>
            </w:tcMar>
            <w:vAlign w:val="center"/>
          </w:tcPr>
          <w:p w14:paraId="711093C1">
            <w:pPr>
              <w:jc w:val="center"/>
            </w:pPr>
            <w:r>
              <w:rPr>
                <w:rFonts w:hint="eastAsia"/>
              </w:rPr>
              <w:t>1</w:t>
            </w:r>
          </w:p>
        </w:tc>
        <w:tc>
          <w:tcPr>
            <w:tcW w:w="540" w:type="dxa"/>
            <w:tcBorders>
              <w:top w:val="nil"/>
              <w:left w:val="nil"/>
              <w:bottom w:val="single" w:color="auto" w:sz="4" w:space="0"/>
              <w:right w:val="single" w:color="auto" w:sz="4" w:space="0"/>
            </w:tcBorders>
            <w:tcMar>
              <w:top w:w="15" w:type="dxa"/>
              <w:left w:w="15" w:type="dxa"/>
              <w:right w:w="15" w:type="dxa"/>
            </w:tcMar>
            <w:vAlign w:val="center"/>
          </w:tcPr>
          <w:p w14:paraId="40ECCC10">
            <w:pPr>
              <w:jc w:val="center"/>
            </w:pPr>
            <w:r>
              <w:rPr>
                <w:rFonts w:hint="eastAsia"/>
              </w:rPr>
              <w:t>台</w:t>
            </w:r>
          </w:p>
        </w:tc>
        <w:tc>
          <w:tcPr>
            <w:tcW w:w="1245" w:type="dxa"/>
            <w:tcBorders>
              <w:top w:val="nil"/>
              <w:left w:val="single" w:color="auto" w:sz="4" w:space="0"/>
              <w:bottom w:val="single" w:color="auto" w:sz="4" w:space="0"/>
              <w:right w:val="single" w:color="auto" w:sz="4" w:space="0"/>
            </w:tcBorders>
            <w:tcMar>
              <w:top w:w="15" w:type="dxa"/>
              <w:left w:w="15" w:type="dxa"/>
              <w:right w:w="15" w:type="dxa"/>
            </w:tcMar>
            <w:vAlign w:val="center"/>
          </w:tcPr>
          <w:p w14:paraId="7ED4E132">
            <w:pPr>
              <w:jc w:val="center"/>
            </w:pPr>
            <w:r>
              <w:rPr>
                <w:rFonts w:hint="eastAsia"/>
              </w:rPr>
              <w:t>3300.00</w:t>
            </w:r>
          </w:p>
        </w:tc>
        <w:tc>
          <w:tcPr>
            <w:tcW w:w="9825" w:type="dxa"/>
            <w:tcBorders>
              <w:top w:val="nil"/>
              <w:left w:val="single" w:color="auto" w:sz="4" w:space="0"/>
              <w:bottom w:val="single" w:color="auto" w:sz="4" w:space="0"/>
              <w:right w:val="single" w:color="auto" w:sz="4" w:space="0"/>
            </w:tcBorders>
            <w:noWrap/>
            <w:tcMar>
              <w:top w:w="15" w:type="dxa"/>
              <w:left w:w="15" w:type="dxa"/>
              <w:right w:w="15" w:type="dxa"/>
            </w:tcMar>
            <w:vAlign w:val="center"/>
          </w:tcPr>
          <w:p w14:paraId="1935EA94">
            <w:pPr>
              <w:adjustRightInd w:val="0"/>
              <w:snapToGrid w:val="0"/>
              <w:rPr>
                <w:szCs w:val="21"/>
              </w:rPr>
            </w:pPr>
            <w:r>
              <w:rPr>
                <w:rFonts w:hint="eastAsia"/>
                <w:szCs w:val="21"/>
              </w:rPr>
              <w:t xml:space="preserve">1. 不少于15路可控通道； </w:t>
            </w:r>
          </w:p>
          <w:p w14:paraId="01CC503D">
            <w:pPr>
              <w:adjustRightInd w:val="0"/>
              <w:snapToGrid w:val="0"/>
              <w:rPr>
                <w:szCs w:val="21"/>
              </w:rPr>
            </w:pPr>
            <w:r>
              <w:rPr>
                <w:rFonts w:hint="eastAsia"/>
                <w:szCs w:val="21"/>
              </w:rPr>
              <w:t>2. 额定总电流≥90A，且单路输出电流≥16A;</w:t>
            </w:r>
          </w:p>
          <w:p w14:paraId="7A7B389D">
            <w:pPr>
              <w:adjustRightInd w:val="0"/>
              <w:snapToGrid w:val="0"/>
              <w:rPr>
                <w:szCs w:val="21"/>
              </w:rPr>
            </w:pPr>
            <w:r>
              <w:rPr>
                <w:rFonts w:hint="eastAsia"/>
                <w:szCs w:val="21"/>
              </w:rPr>
              <w:t xml:space="preserve">3. 1000级延时可调； </w:t>
            </w:r>
          </w:p>
          <w:p w14:paraId="40D4127F">
            <w:pPr>
              <w:adjustRightInd w:val="0"/>
              <w:snapToGrid w:val="0"/>
              <w:rPr>
                <w:szCs w:val="21"/>
              </w:rPr>
            </w:pPr>
            <w:r>
              <w:rPr>
                <w:rFonts w:hint="eastAsia"/>
                <w:szCs w:val="21"/>
              </w:rPr>
              <w:t>4. 自带不小于2寸彩色液晶显示屏，显示电压、时间及通道状态等信息；</w:t>
            </w:r>
          </w:p>
          <w:p w14:paraId="085180B7">
            <w:pPr>
              <w:adjustRightInd w:val="0"/>
              <w:snapToGrid w:val="0"/>
              <w:rPr>
                <w:szCs w:val="21"/>
              </w:rPr>
            </w:pPr>
            <w:r>
              <w:rPr>
                <w:rFonts w:hint="eastAsia"/>
                <w:szCs w:val="21"/>
              </w:rPr>
              <w:t>5. 必须具备欠压、过压等保护功能，支持定时功能；</w:t>
            </w:r>
          </w:p>
          <w:p w14:paraId="1F12B670">
            <w:pPr>
              <w:adjustRightInd w:val="0"/>
              <w:snapToGrid w:val="0"/>
              <w:rPr>
                <w:szCs w:val="21"/>
              </w:rPr>
            </w:pPr>
            <w:r>
              <w:rPr>
                <w:rFonts w:hint="eastAsia"/>
                <w:szCs w:val="21"/>
              </w:rPr>
              <w:t>6. 可实现远程集中控制及级联控制。</w:t>
            </w:r>
          </w:p>
        </w:tc>
        <w:tc>
          <w:tcPr>
            <w:tcW w:w="1050" w:type="dxa"/>
            <w:vMerge w:val="continue"/>
            <w:tcBorders>
              <w:left w:val="single" w:color="000000" w:sz="4" w:space="0"/>
              <w:bottom w:val="single" w:color="000000" w:sz="4" w:space="0"/>
              <w:right w:val="single" w:color="000000" w:sz="4" w:space="0"/>
            </w:tcBorders>
            <w:noWrap/>
            <w:tcMar>
              <w:top w:w="15" w:type="dxa"/>
              <w:left w:w="15" w:type="dxa"/>
              <w:right w:w="15" w:type="dxa"/>
            </w:tcMar>
            <w:vAlign w:val="center"/>
          </w:tcPr>
          <w:p w14:paraId="019E0EA9">
            <w:pPr>
              <w:jc w:val="center"/>
              <w:rPr>
                <w:rFonts w:ascii="宋体" w:hAnsi="宋体" w:cs="宋体"/>
                <w:color w:val="000000"/>
                <w:sz w:val="24"/>
              </w:rPr>
            </w:pPr>
          </w:p>
        </w:tc>
      </w:tr>
    </w:tbl>
    <w:p w14:paraId="6833B8D3"/>
    <w:p w14:paraId="54D33C09">
      <w:pPr>
        <w:sectPr>
          <w:footerReference r:id="rId11" w:type="default"/>
          <w:pgSz w:w="16838" w:h="11906" w:orient="landscape"/>
          <w:pgMar w:top="720" w:right="720" w:bottom="720" w:left="720" w:header="850" w:footer="992" w:gutter="0"/>
          <w:cols w:space="720" w:num="1"/>
          <w:docGrid w:type="lines" w:linePitch="314" w:charSpace="0"/>
        </w:sectPr>
      </w:pPr>
    </w:p>
    <w:p w14:paraId="547B2F67"/>
    <w:p w14:paraId="645001EA">
      <w:pPr>
        <w:pStyle w:val="2"/>
        <w:numPr>
          <w:ilvl w:val="0"/>
          <w:numId w:val="0"/>
        </w:numPr>
        <w:jc w:val="center"/>
        <w:rPr>
          <w:rFonts w:ascii="宋体" w:hAnsi="宋体" w:eastAsia="宋体"/>
          <w:color w:val="auto"/>
          <w:sz w:val="36"/>
        </w:rPr>
      </w:pPr>
      <w:bookmarkStart w:id="298" w:name="_Toc16390"/>
      <w:r>
        <w:rPr>
          <w:rFonts w:ascii="宋体" w:hAnsi="宋体" w:eastAsia="宋体"/>
          <w:color w:val="auto"/>
          <w:sz w:val="36"/>
        </w:rPr>
        <w:t>第六章  评审</w:t>
      </w:r>
      <w:bookmarkEnd w:id="293"/>
      <w:bookmarkEnd w:id="294"/>
      <w:r>
        <w:rPr>
          <w:rFonts w:hint="eastAsia" w:ascii="宋体" w:hAnsi="宋体" w:eastAsia="宋体"/>
          <w:color w:val="auto"/>
          <w:sz w:val="36"/>
        </w:rPr>
        <w:t>办法（最低评标价法）</w:t>
      </w:r>
      <w:bookmarkEnd w:id="295"/>
      <w:bookmarkEnd w:id="296"/>
      <w:bookmarkEnd w:id="298"/>
    </w:p>
    <w:p w14:paraId="5D4C6615">
      <w:pPr>
        <w:pStyle w:val="3"/>
        <w:numPr>
          <w:ilvl w:val="1"/>
          <w:numId w:val="0"/>
        </w:numPr>
        <w:spacing w:before="0"/>
        <w:ind w:left="425"/>
        <w:rPr>
          <w:rFonts w:ascii="宋体" w:hAnsi="宋体"/>
          <w:szCs w:val="28"/>
        </w:rPr>
      </w:pPr>
      <w:bookmarkStart w:id="299" w:name="_Toc30381"/>
      <w:bookmarkStart w:id="300" w:name="_Toc86124093"/>
      <w:bookmarkStart w:id="301" w:name="_Toc191374457"/>
      <w:bookmarkStart w:id="302" w:name="_Toc2064"/>
      <w:bookmarkStart w:id="303" w:name="_Toc54095527"/>
      <w:bookmarkStart w:id="304" w:name="_Toc337822265"/>
      <w:r>
        <w:rPr>
          <w:rFonts w:hint="eastAsia" w:ascii="宋体" w:hAnsi="宋体"/>
          <w:szCs w:val="28"/>
        </w:rPr>
        <w:t>评审办法</w:t>
      </w:r>
      <w:r>
        <w:rPr>
          <w:rFonts w:ascii="宋体" w:hAnsi="宋体"/>
          <w:szCs w:val="28"/>
        </w:rPr>
        <w:t>前附表</w:t>
      </w:r>
      <w:bookmarkEnd w:id="299"/>
      <w:bookmarkEnd w:id="300"/>
      <w:bookmarkEnd w:id="301"/>
      <w:bookmarkEnd w:id="302"/>
      <w:bookmarkEnd w:id="303"/>
      <w:bookmarkEnd w:id="304"/>
    </w:p>
    <w:tbl>
      <w:tblPr>
        <w:tblStyle w:val="24"/>
        <w:tblW w:w="10206" w:type="dxa"/>
        <w:jc w:val="center"/>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top w:w="0" w:type="dxa"/>
          <w:left w:w="108" w:type="dxa"/>
          <w:bottom w:w="0" w:type="dxa"/>
          <w:right w:w="108" w:type="dxa"/>
        </w:tblCellMar>
      </w:tblPr>
      <w:tblGrid>
        <w:gridCol w:w="812"/>
        <w:gridCol w:w="966"/>
        <w:gridCol w:w="1915"/>
        <w:gridCol w:w="6513"/>
      </w:tblGrid>
      <w:tr w14:paraId="19D7C632">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293" w:hRule="atLeast"/>
          <w:tblHeader/>
          <w:jc w:val="center"/>
        </w:trPr>
        <w:tc>
          <w:tcPr>
            <w:tcW w:w="1778" w:type="dxa"/>
            <w:gridSpan w:val="2"/>
            <w:vAlign w:val="center"/>
          </w:tcPr>
          <w:p w14:paraId="317AFA39">
            <w:pPr>
              <w:jc w:val="center"/>
              <w:rPr>
                <w:rFonts w:ascii="宋体" w:hAnsi="宋体"/>
                <w:b/>
                <w:szCs w:val="21"/>
              </w:rPr>
            </w:pPr>
            <w:r>
              <w:rPr>
                <w:rFonts w:ascii="宋体" w:hAnsi="宋体"/>
                <w:b/>
                <w:szCs w:val="21"/>
              </w:rPr>
              <w:t>条款号</w:t>
            </w:r>
          </w:p>
        </w:tc>
        <w:tc>
          <w:tcPr>
            <w:tcW w:w="1915" w:type="dxa"/>
            <w:vAlign w:val="center"/>
          </w:tcPr>
          <w:p w14:paraId="5AE6BB38">
            <w:pPr>
              <w:jc w:val="center"/>
              <w:rPr>
                <w:rFonts w:ascii="宋体" w:hAnsi="宋体"/>
                <w:b/>
                <w:szCs w:val="21"/>
              </w:rPr>
            </w:pPr>
            <w:r>
              <w:rPr>
                <w:rFonts w:ascii="宋体" w:hAnsi="宋体"/>
                <w:b/>
                <w:szCs w:val="21"/>
              </w:rPr>
              <w:t>评审因素</w:t>
            </w:r>
          </w:p>
        </w:tc>
        <w:tc>
          <w:tcPr>
            <w:tcW w:w="6513" w:type="dxa"/>
            <w:vAlign w:val="center"/>
          </w:tcPr>
          <w:p w14:paraId="7136A030">
            <w:pPr>
              <w:jc w:val="center"/>
              <w:rPr>
                <w:rFonts w:ascii="宋体" w:hAnsi="宋体"/>
                <w:b/>
                <w:szCs w:val="21"/>
              </w:rPr>
            </w:pPr>
            <w:r>
              <w:rPr>
                <w:rFonts w:ascii="宋体" w:hAnsi="宋体"/>
                <w:b/>
                <w:szCs w:val="21"/>
              </w:rPr>
              <w:t>评审标准</w:t>
            </w:r>
          </w:p>
        </w:tc>
      </w:tr>
      <w:tr w14:paraId="64C559D7">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481" w:hRule="atLeast"/>
          <w:jc w:val="center"/>
        </w:trPr>
        <w:tc>
          <w:tcPr>
            <w:tcW w:w="812" w:type="dxa"/>
            <w:vMerge w:val="restart"/>
            <w:vAlign w:val="center"/>
          </w:tcPr>
          <w:p w14:paraId="38309C03">
            <w:pPr>
              <w:jc w:val="center"/>
              <w:rPr>
                <w:rFonts w:ascii="宋体" w:hAnsi="宋体"/>
                <w:szCs w:val="21"/>
              </w:rPr>
            </w:pPr>
            <w:r>
              <w:rPr>
                <w:rFonts w:ascii="宋体" w:hAnsi="宋体"/>
                <w:szCs w:val="21"/>
              </w:rPr>
              <w:t>2.1</w:t>
            </w:r>
          </w:p>
        </w:tc>
        <w:tc>
          <w:tcPr>
            <w:tcW w:w="966" w:type="dxa"/>
            <w:vMerge w:val="restart"/>
            <w:vAlign w:val="center"/>
          </w:tcPr>
          <w:p w14:paraId="1CD35BDD">
            <w:pPr>
              <w:jc w:val="center"/>
              <w:rPr>
                <w:rFonts w:ascii="宋体" w:hAnsi="宋体"/>
                <w:szCs w:val="21"/>
              </w:rPr>
            </w:pPr>
            <w:r>
              <w:rPr>
                <w:rFonts w:hint="eastAsia" w:ascii="宋体" w:hAnsi="宋体"/>
                <w:szCs w:val="21"/>
              </w:rPr>
              <w:t>资格</w:t>
            </w:r>
          </w:p>
          <w:p w14:paraId="292E3B72">
            <w:pPr>
              <w:jc w:val="center"/>
              <w:rPr>
                <w:rFonts w:ascii="宋体" w:hAnsi="宋体"/>
                <w:szCs w:val="21"/>
              </w:rPr>
            </w:pPr>
            <w:r>
              <w:rPr>
                <w:rFonts w:hint="eastAsia" w:ascii="宋体" w:hAnsi="宋体"/>
                <w:szCs w:val="21"/>
              </w:rPr>
              <w:t>审查</w:t>
            </w:r>
          </w:p>
          <w:p w14:paraId="7A4FE767">
            <w:pPr>
              <w:jc w:val="center"/>
              <w:rPr>
                <w:rFonts w:ascii="宋体" w:hAnsi="宋体"/>
                <w:szCs w:val="21"/>
              </w:rPr>
            </w:pPr>
            <w:r>
              <w:rPr>
                <w:rFonts w:hint="eastAsia" w:ascii="宋体" w:hAnsi="宋体"/>
                <w:szCs w:val="21"/>
              </w:rPr>
              <w:t>标准</w:t>
            </w:r>
          </w:p>
        </w:tc>
        <w:tc>
          <w:tcPr>
            <w:tcW w:w="1915" w:type="dxa"/>
            <w:vAlign w:val="center"/>
          </w:tcPr>
          <w:p w14:paraId="48F280CB">
            <w:pPr>
              <w:jc w:val="center"/>
              <w:rPr>
                <w:rFonts w:ascii="宋体" w:hAnsi="宋体"/>
                <w:szCs w:val="21"/>
              </w:rPr>
            </w:pPr>
            <w:r>
              <w:rPr>
                <w:rFonts w:ascii="宋体" w:hAnsi="宋体"/>
                <w:szCs w:val="21"/>
              </w:rPr>
              <w:t>资格条件</w:t>
            </w:r>
          </w:p>
        </w:tc>
        <w:tc>
          <w:tcPr>
            <w:tcW w:w="6513" w:type="dxa"/>
            <w:vAlign w:val="center"/>
          </w:tcPr>
          <w:p w14:paraId="646A092E">
            <w:pPr>
              <w:rPr>
                <w:rFonts w:ascii="宋体" w:hAnsi="宋体"/>
                <w:szCs w:val="21"/>
              </w:rPr>
            </w:pPr>
            <w:r>
              <w:rPr>
                <w:rFonts w:ascii="宋体" w:hAnsi="宋体"/>
                <w:szCs w:val="21"/>
              </w:rPr>
              <w:t>符合第二章“谈判供应商须知”第4条的规定</w:t>
            </w:r>
          </w:p>
        </w:tc>
      </w:tr>
      <w:tr w14:paraId="3E3E14B3">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429" w:hRule="atLeast"/>
          <w:jc w:val="center"/>
        </w:trPr>
        <w:tc>
          <w:tcPr>
            <w:tcW w:w="812" w:type="dxa"/>
            <w:vMerge w:val="continue"/>
            <w:vAlign w:val="center"/>
          </w:tcPr>
          <w:p w14:paraId="4C428EA4">
            <w:pPr>
              <w:rPr>
                <w:rFonts w:ascii="宋体" w:hAnsi="宋体"/>
                <w:szCs w:val="21"/>
              </w:rPr>
            </w:pPr>
          </w:p>
        </w:tc>
        <w:tc>
          <w:tcPr>
            <w:tcW w:w="966" w:type="dxa"/>
            <w:vMerge w:val="continue"/>
            <w:vAlign w:val="center"/>
          </w:tcPr>
          <w:p w14:paraId="00EF9813">
            <w:pPr>
              <w:rPr>
                <w:rFonts w:ascii="宋体" w:hAnsi="宋体"/>
                <w:szCs w:val="21"/>
              </w:rPr>
            </w:pPr>
          </w:p>
        </w:tc>
        <w:tc>
          <w:tcPr>
            <w:tcW w:w="1915" w:type="dxa"/>
            <w:vAlign w:val="center"/>
          </w:tcPr>
          <w:p w14:paraId="1F92CF4A">
            <w:pPr>
              <w:jc w:val="center"/>
              <w:rPr>
                <w:rFonts w:ascii="宋体" w:hAnsi="宋体"/>
                <w:szCs w:val="21"/>
              </w:rPr>
            </w:pPr>
            <w:r>
              <w:rPr>
                <w:rFonts w:ascii="宋体" w:hAnsi="宋体"/>
                <w:szCs w:val="21"/>
              </w:rPr>
              <w:t>保证金</w:t>
            </w:r>
          </w:p>
        </w:tc>
        <w:tc>
          <w:tcPr>
            <w:tcW w:w="6513" w:type="dxa"/>
            <w:vAlign w:val="center"/>
          </w:tcPr>
          <w:p w14:paraId="4EA8870E">
            <w:pPr>
              <w:rPr>
                <w:rFonts w:ascii="宋体" w:hAnsi="宋体"/>
                <w:szCs w:val="21"/>
              </w:rPr>
            </w:pPr>
            <w:r>
              <w:rPr>
                <w:rFonts w:hint="eastAsia" w:ascii="宋体" w:hAnsi="宋体"/>
                <w:szCs w:val="21"/>
              </w:rPr>
              <w:t>无</w:t>
            </w:r>
          </w:p>
        </w:tc>
      </w:tr>
      <w:tr w14:paraId="1A22EAB7">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563" w:hRule="atLeast"/>
          <w:jc w:val="center"/>
        </w:trPr>
        <w:tc>
          <w:tcPr>
            <w:tcW w:w="812" w:type="dxa"/>
            <w:vMerge w:val="restart"/>
            <w:vAlign w:val="center"/>
          </w:tcPr>
          <w:p w14:paraId="496F8AED">
            <w:pPr>
              <w:jc w:val="center"/>
              <w:rPr>
                <w:rFonts w:ascii="宋体" w:hAnsi="宋体"/>
                <w:szCs w:val="21"/>
              </w:rPr>
            </w:pPr>
            <w:r>
              <w:rPr>
                <w:rFonts w:ascii="宋体" w:hAnsi="宋体"/>
                <w:szCs w:val="21"/>
              </w:rPr>
              <w:t>2.2</w:t>
            </w:r>
          </w:p>
        </w:tc>
        <w:tc>
          <w:tcPr>
            <w:tcW w:w="966" w:type="dxa"/>
            <w:vMerge w:val="restart"/>
            <w:vAlign w:val="center"/>
          </w:tcPr>
          <w:p w14:paraId="0B3A1E6D">
            <w:pPr>
              <w:jc w:val="center"/>
              <w:rPr>
                <w:rFonts w:ascii="宋体" w:hAnsi="宋体"/>
                <w:szCs w:val="21"/>
              </w:rPr>
            </w:pPr>
            <w:r>
              <w:rPr>
                <w:rFonts w:hint="eastAsia" w:ascii="宋体" w:hAnsi="宋体"/>
                <w:szCs w:val="21"/>
              </w:rPr>
              <w:t>符合</w:t>
            </w:r>
          </w:p>
          <w:p w14:paraId="63DDBFF0">
            <w:pPr>
              <w:jc w:val="center"/>
              <w:rPr>
                <w:rFonts w:ascii="宋体" w:hAnsi="宋体"/>
                <w:szCs w:val="21"/>
              </w:rPr>
            </w:pPr>
            <w:r>
              <w:rPr>
                <w:rFonts w:hint="eastAsia" w:ascii="宋体" w:hAnsi="宋体"/>
                <w:szCs w:val="21"/>
              </w:rPr>
              <w:t>性审</w:t>
            </w:r>
          </w:p>
          <w:p w14:paraId="36E8A41A">
            <w:pPr>
              <w:jc w:val="center"/>
              <w:rPr>
                <w:rFonts w:ascii="宋体" w:hAnsi="宋体"/>
                <w:szCs w:val="21"/>
              </w:rPr>
            </w:pPr>
            <w:r>
              <w:rPr>
                <w:rFonts w:hint="eastAsia" w:ascii="宋体" w:hAnsi="宋体"/>
                <w:szCs w:val="21"/>
              </w:rPr>
              <w:t>查标</w:t>
            </w:r>
          </w:p>
          <w:p w14:paraId="51620C08">
            <w:pPr>
              <w:jc w:val="center"/>
              <w:rPr>
                <w:rFonts w:ascii="宋体" w:hAnsi="宋体"/>
                <w:szCs w:val="21"/>
              </w:rPr>
            </w:pPr>
            <w:r>
              <w:rPr>
                <w:rFonts w:hint="eastAsia" w:ascii="宋体" w:hAnsi="宋体"/>
                <w:szCs w:val="21"/>
              </w:rPr>
              <w:t>准</w:t>
            </w:r>
          </w:p>
        </w:tc>
        <w:tc>
          <w:tcPr>
            <w:tcW w:w="1915" w:type="dxa"/>
            <w:vAlign w:val="center"/>
          </w:tcPr>
          <w:p w14:paraId="232E1E34">
            <w:pPr>
              <w:jc w:val="center"/>
              <w:rPr>
                <w:rFonts w:ascii="宋体" w:hAnsi="宋体"/>
                <w:szCs w:val="21"/>
              </w:rPr>
            </w:pPr>
            <w:r>
              <w:rPr>
                <w:rFonts w:hint="eastAsia" w:ascii="宋体" w:hAnsi="宋体"/>
                <w:szCs w:val="21"/>
              </w:rPr>
              <w:t>响应文件格式</w:t>
            </w:r>
          </w:p>
        </w:tc>
        <w:tc>
          <w:tcPr>
            <w:tcW w:w="6513" w:type="dxa"/>
            <w:vAlign w:val="center"/>
          </w:tcPr>
          <w:p w14:paraId="0091F5DB">
            <w:pPr>
              <w:rPr>
                <w:rFonts w:ascii="宋体" w:hAnsi="宋体"/>
                <w:szCs w:val="21"/>
              </w:rPr>
            </w:pPr>
            <w:r>
              <w:rPr>
                <w:rFonts w:hint="eastAsia" w:ascii="宋体" w:hAnsi="宋体"/>
                <w:szCs w:val="21"/>
              </w:rPr>
              <w:t>响应文件按谈判文件格式及内容要求签署、盖章</w:t>
            </w:r>
          </w:p>
        </w:tc>
      </w:tr>
      <w:tr w14:paraId="0A378566">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284" w:hRule="atLeast"/>
          <w:jc w:val="center"/>
        </w:trPr>
        <w:tc>
          <w:tcPr>
            <w:tcW w:w="812" w:type="dxa"/>
            <w:vMerge w:val="continue"/>
            <w:vAlign w:val="center"/>
          </w:tcPr>
          <w:p w14:paraId="6B7040D6">
            <w:pPr>
              <w:rPr>
                <w:rFonts w:ascii="宋体" w:hAnsi="宋体"/>
                <w:szCs w:val="21"/>
              </w:rPr>
            </w:pPr>
          </w:p>
        </w:tc>
        <w:tc>
          <w:tcPr>
            <w:tcW w:w="966" w:type="dxa"/>
            <w:vMerge w:val="continue"/>
            <w:vAlign w:val="center"/>
          </w:tcPr>
          <w:p w14:paraId="0C89D816">
            <w:pPr>
              <w:rPr>
                <w:rFonts w:ascii="宋体" w:hAnsi="宋体"/>
                <w:szCs w:val="21"/>
              </w:rPr>
            </w:pPr>
          </w:p>
        </w:tc>
        <w:tc>
          <w:tcPr>
            <w:tcW w:w="1915" w:type="dxa"/>
            <w:vAlign w:val="center"/>
          </w:tcPr>
          <w:p w14:paraId="233C00E8">
            <w:pPr>
              <w:jc w:val="center"/>
              <w:rPr>
                <w:rFonts w:ascii="宋体" w:hAnsi="宋体"/>
                <w:szCs w:val="21"/>
              </w:rPr>
            </w:pPr>
            <w:r>
              <w:rPr>
                <w:rFonts w:ascii="宋体" w:hAnsi="宋体"/>
                <w:szCs w:val="21"/>
              </w:rPr>
              <w:t>谈判响应承诺</w:t>
            </w:r>
            <w:r>
              <w:rPr>
                <w:rFonts w:hint="eastAsia" w:ascii="宋体" w:hAnsi="宋体"/>
                <w:szCs w:val="21"/>
              </w:rPr>
              <w:t>函</w:t>
            </w:r>
          </w:p>
        </w:tc>
        <w:tc>
          <w:tcPr>
            <w:tcW w:w="6513" w:type="dxa"/>
            <w:vAlign w:val="center"/>
          </w:tcPr>
          <w:p w14:paraId="5D937215">
            <w:pPr>
              <w:rPr>
                <w:rFonts w:ascii="宋体" w:hAnsi="宋体"/>
                <w:szCs w:val="21"/>
              </w:rPr>
            </w:pPr>
            <w:r>
              <w:rPr>
                <w:rFonts w:hint="eastAsia" w:ascii="宋体" w:hAnsi="宋体"/>
              </w:rPr>
              <w:t>有法定代表人签字或盖章，并加盖单位公章；符合谈判文件给定格式及内容；</w:t>
            </w:r>
          </w:p>
        </w:tc>
      </w:tr>
      <w:tr w14:paraId="5BE51AB0">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284" w:hRule="atLeast"/>
          <w:jc w:val="center"/>
        </w:trPr>
        <w:tc>
          <w:tcPr>
            <w:tcW w:w="812" w:type="dxa"/>
            <w:vMerge w:val="continue"/>
            <w:vAlign w:val="center"/>
          </w:tcPr>
          <w:p w14:paraId="1F74004B">
            <w:pPr>
              <w:rPr>
                <w:rFonts w:ascii="宋体" w:hAnsi="宋体"/>
                <w:szCs w:val="21"/>
              </w:rPr>
            </w:pPr>
          </w:p>
        </w:tc>
        <w:tc>
          <w:tcPr>
            <w:tcW w:w="966" w:type="dxa"/>
            <w:vMerge w:val="continue"/>
            <w:vAlign w:val="center"/>
          </w:tcPr>
          <w:p w14:paraId="2CEFB0BB">
            <w:pPr>
              <w:rPr>
                <w:rFonts w:ascii="宋体" w:hAnsi="宋体"/>
                <w:szCs w:val="21"/>
              </w:rPr>
            </w:pPr>
          </w:p>
        </w:tc>
        <w:tc>
          <w:tcPr>
            <w:tcW w:w="1915" w:type="dxa"/>
            <w:vAlign w:val="center"/>
          </w:tcPr>
          <w:p w14:paraId="3FE83DD8">
            <w:pPr>
              <w:jc w:val="center"/>
              <w:rPr>
                <w:rFonts w:ascii="宋体" w:hAnsi="宋体"/>
                <w:szCs w:val="21"/>
              </w:rPr>
            </w:pPr>
            <w:r>
              <w:rPr>
                <w:rFonts w:ascii="宋体" w:hAnsi="宋体"/>
                <w:szCs w:val="21"/>
              </w:rPr>
              <w:t>法定代表人资格证明书</w:t>
            </w:r>
          </w:p>
        </w:tc>
        <w:tc>
          <w:tcPr>
            <w:tcW w:w="6513" w:type="dxa"/>
            <w:vAlign w:val="center"/>
          </w:tcPr>
          <w:p w14:paraId="270912C9">
            <w:pPr>
              <w:rPr>
                <w:rFonts w:ascii="宋体" w:hAnsi="宋体"/>
              </w:rPr>
            </w:pPr>
            <w:r>
              <w:rPr>
                <w:rFonts w:hint="eastAsia" w:ascii="宋体" w:hAnsi="宋体"/>
              </w:rPr>
              <w:t>符合谈判文件给定格式及内容,并加盖单位公章；</w:t>
            </w:r>
          </w:p>
        </w:tc>
      </w:tr>
      <w:tr w14:paraId="3AAF552F">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284" w:hRule="atLeast"/>
          <w:jc w:val="center"/>
        </w:trPr>
        <w:tc>
          <w:tcPr>
            <w:tcW w:w="812" w:type="dxa"/>
            <w:vMerge w:val="continue"/>
            <w:vAlign w:val="center"/>
          </w:tcPr>
          <w:p w14:paraId="51F2146C">
            <w:pPr>
              <w:rPr>
                <w:rFonts w:ascii="宋体" w:hAnsi="宋体"/>
                <w:szCs w:val="21"/>
              </w:rPr>
            </w:pPr>
          </w:p>
        </w:tc>
        <w:tc>
          <w:tcPr>
            <w:tcW w:w="966" w:type="dxa"/>
            <w:vMerge w:val="continue"/>
            <w:vAlign w:val="center"/>
          </w:tcPr>
          <w:p w14:paraId="5B00555A">
            <w:pPr>
              <w:rPr>
                <w:rFonts w:ascii="宋体" w:hAnsi="宋体"/>
                <w:szCs w:val="21"/>
              </w:rPr>
            </w:pPr>
          </w:p>
        </w:tc>
        <w:tc>
          <w:tcPr>
            <w:tcW w:w="1915" w:type="dxa"/>
            <w:vMerge w:val="restart"/>
            <w:vAlign w:val="center"/>
          </w:tcPr>
          <w:p w14:paraId="6A341349">
            <w:pPr>
              <w:jc w:val="center"/>
              <w:rPr>
                <w:rFonts w:ascii="宋体" w:hAnsi="宋体"/>
                <w:szCs w:val="21"/>
              </w:rPr>
            </w:pPr>
            <w:r>
              <w:rPr>
                <w:rFonts w:ascii="宋体" w:hAnsi="宋体"/>
                <w:szCs w:val="21"/>
              </w:rPr>
              <w:t>法定代表人授权委托书</w:t>
            </w:r>
          </w:p>
        </w:tc>
        <w:tc>
          <w:tcPr>
            <w:tcW w:w="6513" w:type="dxa"/>
            <w:vAlign w:val="center"/>
          </w:tcPr>
          <w:p w14:paraId="68A15706">
            <w:pPr>
              <w:rPr>
                <w:rFonts w:ascii="宋体" w:hAnsi="宋体"/>
              </w:rPr>
            </w:pPr>
            <w:r>
              <w:rPr>
                <w:rFonts w:hint="eastAsia" w:ascii="宋体" w:hAnsi="宋体"/>
              </w:rPr>
              <w:t>有法定代表人签字或盖章，并加盖单位公章；符合谈判文件给定格式及内容；</w:t>
            </w:r>
          </w:p>
        </w:tc>
      </w:tr>
      <w:tr w14:paraId="6ADC0578">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284" w:hRule="atLeast"/>
          <w:jc w:val="center"/>
        </w:trPr>
        <w:tc>
          <w:tcPr>
            <w:tcW w:w="812" w:type="dxa"/>
            <w:vMerge w:val="continue"/>
            <w:vAlign w:val="center"/>
          </w:tcPr>
          <w:p w14:paraId="5DA206C4">
            <w:pPr>
              <w:rPr>
                <w:rFonts w:ascii="宋体" w:hAnsi="宋体"/>
                <w:szCs w:val="21"/>
              </w:rPr>
            </w:pPr>
          </w:p>
        </w:tc>
        <w:tc>
          <w:tcPr>
            <w:tcW w:w="966" w:type="dxa"/>
            <w:vMerge w:val="continue"/>
            <w:vAlign w:val="center"/>
          </w:tcPr>
          <w:p w14:paraId="73097725">
            <w:pPr>
              <w:rPr>
                <w:rFonts w:ascii="宋体" w:hAnsi="宋体"/>
                <w:szCs w:val="21"/>
              </w:rPr>
            </w:pPr>
          </w:p>
        </w:tc>
        <w:tc>
          <w:tcPr>
            <w:tcW w:w="1915" w:type="dxa"/>
            <w:vMerge w:val="continue"/>
            <w:vAlign w:val="center"/>
          </w:tcPr>
          <w:p w14:paraId="7573AF24">
            <w:pPr>
              <w:jc w:val="center"/>
              <w:rPr>
                <w:rFonts w:ascii="宋体" w:hAnsi="宋体"/>
                <w:szCs w:val="21"/>
              </w:rPr>
            </w:pPr>
          </w:p>
        </w:tc>
        <w:tc>
          <w:tcPr>
            <w:tcW w:w="6513" w:type="dxa"/>
            <w:vAlign w:val="center"/>
          </w:tcPr>
          <w:p w14:paraId="2F95A60A">
            <w:pPr>
              <w:rPr>
                <w:rFonts w:ascii="宋体" w:hAnsi="宋体"/>
              </w:rPr>
            </w:pPr>
            <w:r>
              <w:rPr>
                <w:rFonts w:hint="eastAsia" w:ascii="宋体" w:hAnsi="宋体"/>
              </w:rPr>
              <w:t>注：响应文件（包括谈判过程中的澄清、说明或者补正）由法定代表人签署的，不审查该项。</w:t>
            </w:r>
          </w:p>
        </w:tc>
      </w:tr>
      <w:tr w14:paraId="63DEA47B">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522" w:hRule="atLeast"/>
          <w:jc w:val="center"/>
        </w:trPr>
        <w:tc>
          <w:tcPr>
            <w:tcW w:w="812" w:type="dxa"/>
            <w:vMerge w:val="continue"/>
            <w:vAlign w:val="center"/>
          </w:tcPr>
          <w:p w14:paraId="489D7F25">
            <w:pPr>
              <w:rPr>
                <w:rFonts w:ascii="宋体" w:hAnsi="宋体"/>
                <w:szCs w:val="21"/>
              </w:rPr>
            </w:pPr>
          </w:p>
        </w:tc>
        <w:tc>
          <w:tcPr>
            <w:tcW w:w="966" w:type="dxa"/>
            <w:vMerge w:val="continue"/>
            <w:vAlign w:val="center"/>
          </w:tcPr>
          <w:p w14:paraId="5536B23E">
            <w:pPr>
              <w:rPr>
                <w:rFonts w:ascii="宋体" w:hAnsi="宋体"/>
                <w:szCs w:val="21"/>
              </w:rPr>
            </w:pPr>
          </w:p>
        </w:tc>
        <w:tc>
          <w:tcPr>
            <w:tcW w:w="1915" w:type="dxa"/>
            <w:vAlign w:val="center"/>
          </w:tcPr>
          <w:p w14:paraId="60C4B833">
            <w:pPr>
              <w:jc w:val="center"/>
              <w:rPr>
                <w:rFonts w:ascii="宋体" w:hAnsi="宋体"/>
                <w:szCs w:val="21"/>
              </w:rPr>
            </w:pPr>
            <w:r>
              <w:rPr>
                <w:rFonts w:ascii="宋体" w:hAnsi="宋体"/>
                <w:szCs w:val="21"/>
              </w:rPr>
              <w:t>报价</w:t>
            </w:r>
          </w:p>
        </w:tc>
        <w:tc>
          <w:tcPr>
            <w:tcW w:w="6513" w:type="dxa"/>
            <w:vAlign w:val="center"/>
          </w:tcPr>
          <w:p w14:paraId="6E915300">
            <w:pPr>
              <w:rPr>
                <w:rFonts w:ascii="宋体" w:hAnsi="宋体"/>
                <w:szCs w:val="21"/>
              </w:rPr>
            </w:pPr>
            <w:r>
              <w:rPr>
                <w:rFonts w:ascii="宋体" w:hAnsi="宋体"/>
                <w:szCs w:val="21"/>
              </w:rPr>
              <w:t>完整且只有一个有效报价</w:t>
            </w:r>
            <w:r>
              <w:rPr>
                <w:rFonts w:hint="eastAsia" w:ascii="宋体" w:hAnsi="宋体"/>
                <w:szCs w:val="21"/>
              </w:rPr>
              <w:t>且</w:t>
            </w:r>
            <w:r>
              <w:rPr>
                <w:rFonts w:ascii="宋体" w:hAnsi="宋体"/>
                <w:szCs w:val="21"/>
              </w:rPr>
              <w:t>不</w:t>
            </w:r>
            <w:r>
              <w:rPr>
                <w:rFonts w:hint="eastAsia" w:ascii="宋体" w:hAnsi="宋体"/>
                <w:szCs w:val="21"/>
              </w:rPr>
              <w:t>超过须控制的预算</w:t>
            </w:r>
          </w:p>
        </w:tc>
      </w:tr>
      <w:tr w14:paraId="664E2A69">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544" w:hRule="atLeast"/>
          <w:jc w:val="center"/>
        </w:trPr>
        <w:tc>
          <w:tcPr>
            <w:tcW w:w="812" w:type="dxa"/>
            <w:vMerge w:val="continue"/>
            <w:vAlign w:val="center"/>
          </w:tcPr>
          <w:p w14:paraId="76B66697">
            <w:pPr>
              <w:rPr>
                <w:rFonts w:ascii="宋体" w:hAnsi="宋体"/>
                <w:szCs w:val="21"/>
              </w:rPr>
            </w:pPr>
          </w:p>
        </w:tc>
        <w:tc>
          <w:tcPr>
            <w:tcW w:w="966" w:type="dxa"/>
            <w:vMerge w:val="continue"/>
            <w:vAlign w:val="center"/>
          </w:tcPr>
          <w:p w14:paraId="4C41FB79">
            <w:pPr>
              <w:rPr>
                <w:rFonts w:ascii="宋体" w:hAnsi="宋体"/>
                <w:szCs w:val="21"/>
              </w:rPr>
            </w:pPr>
          </w:p>
        </w:tc>
        <w:tc>
          <w:tcPr>
            <w:tcW w:w="1915" w:type="dxa"/>
            <w:vAlign w:val="center"/>
          </w:tcPr>
          <w:p w14:paraId="427BCE8C">
            <w:pPr>
              <w:jc w:val="center"/>
              <w:rPr>
                <w:rFonts w:ascii="宋体" w:hAnsi="宋体"/>
                <w:szCs w:val="21"/>
              </w:rPr>
            </w:pPr>
            <w:r>
              <w:rPr>
                <w:rFonts w:ascii="宋体" w:hAnsi="宋体"/>
                <w:szCs w:val="21"/>
              </w:rPr>
              <w:t>有效期</w:t>
            </w:r>
          </w:p>
        </w:tc>
        <w:tc>
          <w:tcPr>
            <w:tcW w:w="6513" w:type="dxa"/>
            <w:vAlign w:val="center"/>
          </w:tcPr>
          <w:p w14:paraId="16F1644A">
            <w:pPr>
              <w:rPr>
                <w:rFonts w:ascii="宋体" w:hAnsi="宋体"/>
                <w:szCs w:val="21"/>
              </w:rPr>
            </w:pPr>
            <w:r>
              <w:rPr>
                <w:rFonts w:ascii="宋体" w:hAnsi="宋体"/>
                <w:szCs w:val="21"/>
              </w:rPr>
              <w:t>符合第二章“谈判供应商须知”第11条的规定</w:t>
            </w:r>
          </w:p>
        </w:tc>
      </w:tr>
      <w:tr w14:paraId="26A54416">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544" w:hRule="atLeast"/>
          <w:jc w:val="center"/>
        </w:trPr>
        <w:tc>
          <w:tcPr>
            <w:tcW w:w="812" w:type="dxa"/>
            <w:vMerge w:val="continue"/>
            <w:vAlign w:val="center"/>
          </w:tcPr>
          <w:p w14:paraId="2854EB19">
            <w:pPr>
              <w:rPr>
                <w:rFonts w:ascii="宋体" w:hAnsi="宋体"/>
                <w:szCs w:val="21"/>
              </w:rPr>
            </w:pPr>
          </w:p>
        </w:tc>
        <w:tc>
          <w:tcPr>
            <w:tcW w:w="966" w:type="dxa"/>
            <w:vMerge w:val="continue"/>
            <w:vAlign w:val="center"/>
          </w:tcPr>
          <w:p w14:paraId="4662E7ED">
            <w:pPr>
              <w:rPr>
                <w:rFonts w:ascii="宋体" w:hAnsi="宋体"/>
                <w:szCs w:val="21"/>
              </w:rPr>
            </w:pPr>
          </w:p>
        </w:tc>
        <w:tc>
          <w:tcPr>
            <w:tcW w:w="1915" w:type="dxa"/>
            <w:vAlign w:val="center"/>
          </w:tcPr>
          <w:p w14:paraId="10B983DF">
            <w:pPr>
              <w:jc w:val="center"/>
              <w:rPr>
                <w:rFonts w:ascii="宋体" w:hAnsi="宋体"/>
                <w:szCs w:val="21"/>
              </w:rPr>
            </w:pPr>
            <w:r>
              <w:rPr>
                <w:rFonts w:ascii="宋体" w:hAnsi="宋体"/>
                <w:szCs w:val="21"/>
              </w:rPr>
              <w:t>实质性</w:t>
            </w:r>
            <w:r>
              <w:rPr>
                <w:rFonts w:hint="eastAsia" w:ascii="宋体" w:hAnsi="宋体"/>
                <w:szCs w:val="21"/>
              </w:rPr>
              <w:t>条件</w:t>
            </w:r>
          </w:p>
        </w:tc>
        <w:tc>
          <w:tcPr>
            <w:tcW w:w="6513" w:type="dxa"/>
            <w:vAlign w:val="center"/>
          </w:tcPr>
          <w:p w14:paraId="62107E15">
            <w:pPr>
              <w:rPr>
                <w:rFonts w:ascii="宋体" w:hAnsi="宋体"/>
                <w:szCs w:val="21"/>
              </w:rPr>
            </w:pPr>
            <w:r>
              <w:rPr>
                <w:rFonts w:ascii="宋体" w:hAnsi="宋体"/>
                <w:szCs w:val="21"/>
              </w:rPr>
              <w:t>实质性响应谈判文件中标注</w:t>
            </w:r>
            <w:r>
              <w:rPr>
                <w:rFonts w:hint="eastAsia" w:ascii="宋体" w:hAnsi="宋体" w:cs="宋体"/>
                <w:szCs w:val="21"/>
              </w:rPr>
              <w:t>★</w:t>
            </w:r>
            <w:r>
              <w:rPr>
                <w:rFonts w:ascii="宋体" w:hAnsi="宋体"/>
                <w:szCs w:val="21"/>
              </w:rPr>
              <w:t>条款</w:t>
            </w:r>
            <w:r>
              <w:rPr>
                <w:rFonts w:hint="eastAsia" w:ascii="宋体" w:hAnsi="宋体"/>
                <w:szCs w:val="21"/>
              </w:rPr>
              <w:t>要求</w:t>
            </w:r>
          </w:p>
        </w:tc>
      </w:tr>
      <w:tr w14:paraId="1D778014">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552" w:hRule="atLeast"/>
          <w:jc w:val="center"/>
        </w:trPr>
        <w:tc>
          <w:tcPr>
            <w:tcW w:w="812" w:type="dxa"/>
            <w:vMerge w:val="continue"/>
            <w:vAlign w:val="center"/>
          </w:tcPr>
          <w:p w14:paraId="7C03CCEA">
            <w:pPr>
              <w:rPr>
                <w:rFonts w:ascii="宋体" w:hAnsi="宋体"/>
                <w:szCs w:val="21"/>
              </w:rPr>
            </w:pPr>
          </w:p>
        </w:tc>
        <w:tc>
          <w:tcPr>
            <w:tcW w:w="966" w:type="dxa"/>
            <w:vMerge w:val="continue"/>
            <w:vAlign w:val="center"/>
          </w:tcPr>
          <w:p w14:paraId="219A893F">
            <w:pPr>
              <w:rPr>
                <w:rFonts w:ascii="宋体" w:hAnsi="宋体"/>
                <w:szCs w:val="21"/>
              </w:rPr>
            </w:pPr>
          </w:p>
        </w:tc>
        <w:tc>
          <w:tcPr>
            <w:tcW w:w="1915" w:type="dxa"/>
            <w:vAlign w:val="center"/>
          </w:tcPr>
          <w:p w14:paraId="6B9691BC">
            <w:pPr>
              <w:jc w:val="center"/>
              <w:rPr>
                <w:rFonts w:ascii="宋体" w:hAnsi="宋体"/>
                <w:szCs w:val="21"/>
              </w:rPr>
            </w:pPr>
            <w:r>
              <w:rPr>
                <w:rFonts w:hint="eastAsia" w:ascii="宋体" w:hAnsi="宋体"/>
                <w:szCs w:val="21"/>
              </w:rPr>
              <w:t>响应文件无效</w:t>
            </w:r>
          </w:p>
        </w:tc>
        <w:tc>
          <w:tcPr>
            <w:tcW w:w="6513" w:type="dxa"/>
            <w:vAlign w:val="center"/>
          </w:tcPr>
          <w:p w14:paraId="38D11932">
            <w:pPr>
              <w:rPr>
                <w:rFonts w:ascii="宋体" w:hAnsi="宋体"/>
                <w:szCs w:val="21"/>
              </w:rPr>
            </w:pPr>
            <w:r>
              <w:rPr>
                <w:rFonts w:hint="eastAsia" w:ascii="宋体" w:hAnsi="宋体"/>
                <w:szCs w:val="21"/>
              </w:rPr>
              <w:t>无谈判文件规定的其他响应文件无效情形</w:t>
            </w:r>
          </w:p>
        </w:tc>
      </w:tr>
      <w:tr w14:paraId="2E0CD3FD">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552" w:hRule="atLeast"/>
          <w:jc w:val="center"/>
        </w:trPr>
        <w:tc>
          <w:tcPr>
            <w:tcW w:w="812" w:type="dxa"/>
            <w:vAlign w:val="center"/>
          </w:tcPr>
          <w:p w14:paraId="7F6A1724">
            <w:pPr>
              <w:jc w:val="center"/>
              <w:rPr>
                <w:rFonts w:ascii="宋体" w:hAnsi="宋体"/>
                <w:szCs w:val="21"/>
              </w:rPr>
            </w:pPr>
            <w:r>
              <w:rPr>
                <w:rFonts w:hint="eastAsia" w:ascii="宋体" w:hAnsi="宋体"/>
                <w:szCs w:val="21"/>
              </w:rPr>
              <w:t>2.3</w:t>
            </w:r>
          </w:p>
        </w:tc>
        <w:tc>
          <w:tcPr>
            <w:tcW w:w="966" w:type="dxa"/>
            <w:vAlign w:val="center"/>
          </w:tcPr>
          <w:p w14:paraId="10F1A466">
            <w:pPr>
              <w:jc w:val="center"/>
              <w:rPr>
                <w:rFonts w:ascii="宋体" w:hAnsi="宋体"/>
              </w:rPr>
            </w:pPr>
            <w:r>
              <w:rPr>
                <w:rFonts w:hint="eastAsia" w:ascii="宋体"/>
                <w:szCs w:val="21"/>
              </w:rPr>
              <w:t>最后报价价格扣除标准</w:t>
            </w:r>
          </w:p>
        </w:tc>
        <w:tc>
          <w:tcPr>
            <w:tcW w:w="8428" w:type="dxa"/>
            <w:gridSpan w:val="2"/>
            <w:vAlign w:val="center"/>
          </w:tcPr>
          <w:p w14:paraId="47FE2583">
            <w:r>
              <w:rPr>
                <w:rFonts w:hint="eastAsia" w:ascii="宋体" w:hAnsi="宋体"/>
                <w:szCs w:val="21"/>
              </w:rPr>
              <w:t>1、因落实政府采购政策进行价格调整的，以调整后的价格计算最后报价。</w:t>
            </w:r>
          </w:p>
          <w:p w14:paraId="74371D2E">
            <w:pPr>
              <w:rPr>
                <w:rFonts w:ascii="宋体" w:hAnsi="宋体"/>
                <w:szCs w:val="21"/>
              </w:rPr>
            </w:pPr>
            <w:r>
              <w:rPr>
                <w:rFonts w:hint="eastAsia" w:ascii="宋体" w:hAnsi="宋体"/>
                <w:szCs w:val="21"/>
              </w:rPr>
              <w:t>2若货物为</w:t>
            </w:r>
            <w:r>
              <w:rPr>
                <w:rFonts w:hint="eastAsia" w:ascii="宋体" w:hAnsi="宋体"/>
                <w:spacing w:val="6"/>
                <w:szCs w:val="21"/>
              </w:rPr>
              <w:t>小微型企业（</w:t>
            </w:r>
            <w:r>
              <w:rPr>
                <w:rFonts w:hint="eastAsia" w:ascii="宋体" w:hAnsi="宋体"/>
              </w:rPr>
              <w:t>残疾人福利性单位、监狱企业</w:t>
            </w:r>
            <w:r>
              <w:rPr>
                <w:rFonts w:hint="eastAsia" w:ascii="宋体" w:hAnsi="宋体"/>
                <w:spacing w:val="6"/>
                <w:szCs w:val="21"/>
              </w:rPr>
              <w:t>）产品、服务，请按响应文件要求格式提供中小企业声明函（详见第四章响应文件商务部分格式），经谈判小组核实</w:t>
            </w:r>
            <w:r>
              <w:rPr>
                <w:rFonts w:ascii="宋体" w:hAnsi="宋体"/>
                <w:szCs w:val="21"/>
              </w:rPr>
              <w:t>方可获得价格</w:t>
            </w:r>
            <w:r>
              <w:rPr>
                <w:rFonts w:hint="eastAsia" w:ascii="宋体"/>
              </w:rPr>
              <w:t>扣除</w:t>
            </w:r>
            <w:r>
              <w:rPr>
                <w:rFonts w:hint="eastAsia" w:ascii="宋体" w:hAnsi="宋体"/>
                <w:szCs w:val="21"/>
              </w:rPr>
              <w:t>；</w:t>
            </w:r>
          </w:p>
          <w:p w14:paraId="6232461F">
            <w:pPr>
              <w:rPr>
                <w:rFonts w:ascii="宋体" w:hAnsi="宋体"/>
                <w:szCs w:val="21"/>
              </w:rPr>
            </w:pPr>
            <w:r>
              <w:rPr>
                <w:rFonts w:hint="eastAsia" w:ascii="宋体" w:hAnsi="宋体" w:cs="宋体"/>
                <w:kern w:val="0"/>
                <w:szCs w:val="21"/>
              </w:rPr>
              <w:t>3、对小型和微型企业产品、服务的价格给予10%的扣除，用扣除后的价格参与评审</w:t>
            </w:r>
            <w:r>
              <w:rPr>
                <w:rFonts w:ascii="宋体" w:hAnsi="宋体"/>
                <w:szCs w:val="21"/>
              </w:rPr>
              <w:t>（</w:t>
            </w:r>
            <w:r>
              <w:rPr>
                <w:rFonts w:hint="eastAsia" w:ascii="宋体" w:hAnsi="宋体"/>
                <w:szCs w:val="21"/>
              </w:rPr>
              <w:t>如为</w:t>
            </w:r>
            <w:r>
              <w:rPr>
                <w:rFonts w:hint="eastAsia" w:ascii="宋体" w:hAnsi="宋体"/>
                <w:spacing w:val="6"/>
                <w:szCs w:val="21"/>
              </w:rPr>
              <w:t>联合体，联合协议中约定，小型、微型企业的协议合同金额占到联合体协议合同总金额30%以上的，可给予联合体</w:t>
            </w:r>
            <w:r>
              <w:rPr>
                <w:rFonts w:hint="eastAsia" w:ascii="宋体" w:hAnsi="宋体"/>
                <w:spacing w:val="6"/>
                <w:szCs w:val="21"/>
                <w:u w:val="single"/>
              </w:rPr>
              <w:t>4%</w:t>
            </w:r>
            <w:r>
              <w:rPr>
                <w:rFonts w:hint="eastAsia" w:ascii="宋体" w:hAnsi="宋体"/>
                <w:spacing w:val="6"/>
                <w:szCs w:val="21"/>
              </w:rPr>
              <w:t>的价格扣除</w:t>
            </w:r>
            <w:r>
              <w:rPr>
                <w:rFonts w:ascii="宋体" w:hAnsi="宋体"/>
                <w:szCs w:val="21"/>
              </w:rPr>
              <w:t>）</w:t>
            </w:r>
            <w:r>
              <w:rPr>
                <w:rFonts w:hint="eastAsia" w:ascii="宋体" w:hAnsi="宋体"/>
                <w:szCs w:val="21"/>
              </w:rPr>
              <w:t>；</w:t>
            </w:r>
          </w:p>
          <w:p w14:paraId="5FE238C8">
            <w:r>
              <w:rPr>
                <w:rFonts w:hint="eastAsia" w:ascii="宋体" w:hAnsi="宋体"/>
                <w:spacing w:val="6"/>
                <w:szCs w:val="21"/>
              </w:rPr>
              <w:t>4、残疾人福利性单位（监狱企业）产品、服务视同小型、微型企业产品、服务，享受同等价格扣除；</w:t>
            </w:r>
          </w:p>
        </w:tc>
      </w:tr>
    </w:tbl>
    <w:p w14:paraId="3C2320DE">
      <w:bookmarkStart w:id="305" w:name="_Toc86124094"/>
      <w:bookmarkStart w:id="306" w:name="_Toc446494209"/>
      <w:bookmarkStart w:id="307" w:name="_Toc337822266"/>
    </w:p>
    <w:p w14:paraId="490200BB">
      <w:pPr>
        <w:pStyle w:val="3"/>
        <w:numPr>
          <w:ilvl w:val="0"/>
          <w:numId w:val="0"/>
        </w:numPr>
        <w:adjustRightInd w:val="0"/>
        <w:snapToGrid w:val="0"/>
        <w:spacing w:before="0" w:after="0"/>
        <w:jc w:val="both"/>
        <w:rPr>
          <w:rFonts w:ascii="宋体" w:hAnsi="宋体"/>
          <w:szCs w:val="28"/>
        </w:rPr>
      </w:pPr>
      <w:bookmarkStart w:id="308" w:name="_Toc5153"/>
      <w:bookmarkStart w:id="309" w:name="_Toc54095528"/>
      <w:bookmarkStart w:id="310" w:name="_Toc10304"/>
      <w:r>
        <w:rPr>
          <w:rFonts w:ascii="宋体" w:hAnsi="宋体"/>
          <w:szCs w:val="28"/>
        </w:rPr>
        <w:t xml:space="preserve">1. </w:t>
      </w:r>
      <w:bookmarkEnd w:id="305"/>
      <w:r>
        <w:rPr>
          <w:rFonts w:ascii="宋体" w:hAnsi="宋体"/>
          <w:szCs w:val="28"/>
        </w:rPr>
        <w:t>评审方法</w:t>
      </w:r>
      <w:bookmarkEnd w:id="306"/>
      <w:bookmarkEnd w:id="307"/>
      <w:bookmarkEnd w:id="308"/>
      <w:bookmarkEnd w:id="309"/>
      <w:bookmarkEnd w:id="310"/>
    </w:p>
    <w:p w14:paraId="357ED7E8">
      <w:pPr>
        <w:adjustRightInd w:val="0"/>
        <w:snapToGrid w:val="0"/>
        <w:spacing w:line="360" w:lineRule="auto"/>
        <w:ind w:firstLine="420" w:firstLineChars="200"/>
        <w:rPr>
          <w:rFonts w:ascii="宋体" w:hAnsi="宋体"/>
          <w:szCs w:val="21"/>
        </w:rPr>
      </w:pPr>
      <w:r>
        <w:rPr>
          <w:rFonts w:hint="eastAsia" w:ascii="宋体" w:hAnsi="宋体"/>
          <w:szCs w:val="21"/>
        </w:rPr>
        <w:t>谈判小组对通过资格审查、符合性审查的响应文件按最后报价由低到高顺序排列推荐成交候选人；最后报价相同的并列。响应文件满足谈判文件全部实质性要求且最后报价最低的供应商为排名第一的成交候选人。</w:t>
      </w:r>
    </w:p>
    <w:p w14:paraId="44537125">
      <w:pPr>
        <w:adjustRightInd w:val="0"/>
        <w:snapToGrid w:val="0"/>
        <w:spacing w:line="360" w:lineRule="auto"/>
        <w:ind w:firstLine="422" w:firstLineChars="200"/>
        <w:rPr>
          <w:rFonts w:ascii="宋体" w:hAnsi="宋体"/>
          <w:b/>
          <w:szCs w:val="21"/>
          <w:u w:val="single"/>
        </w:rPr>
      </w:pPr>
      <w:r>
        <w:rPr>
          <w:rFonts w:hint="eastAsia" w:ascii="宋体" w:hAnsi="宋体"/>
          <w:b/>
          <w:szCs w:val="21"/>
          <w:u w:val="single"/>
        </w:rPr>
        <w:t>注：本办法所述价格排序使用的最后报价为落实政府采购政策进行价格扣除后的供应商最后报价。</w:t>
      </w:r>
    </w:p>
    <w:p w14:paraId="0FBD42AF">
      <w:pPr>
        <w:pStyle w:val="3"/>
        <w:numPr>
          <w:ilvl w:val="0"/>
          <w:numId w:val="0"/>
        </w:numPr>
        <w:adjustRightInd w:val="0"/>
        <w:snapToGrid w:val="0"/>
        <w:spacing w:before="0" w:after="0"/>
        <w:jc w:val="both"/>
        <w:rPr>
          <w:rFonts w:ascii="宋体" w:hAnsi="宋体"/>
          <w:szCs w:val="28"/>
        </w:rPr>
      </w:pPr>
      <w:bookmarkStart w:id="311" w:name="_Toc9792"/>
      <w:bookmarkStart w:id="312" w:name="_Toc22227"/>
      <w:bookmarkStart w:id="313" w:name="_Toc54095529"/>
      <w:r>
        <w:rPr>
          <w:rFonts w:hint="eastAsia" w:ascii="宋体" w:hAnsi="宋体"/>
          <w:szCs w:val="28"/>
        </w:rPr>
        <w:t>2. 评审标准</w:t>
      </w:r>
      <w:bookmarkEnd w:id="311"/>
      <w:bookmarkEnd w:id="312"/>
      <w:bookmarkEnd w:id="313"/>
    </w:p>
    <w:p w14:paraId="4C3A0EC8">
      <w:pPr>
        <w:pStyle w:val="36"/>
        <w:snapToGrid w:val="0"/>
        <w:spacing w:line="360" w:lineRule="auto"/>
        <w:rPr>
          <w:rFonts w:hAnsi="宋体"/>
          <w:b/>
          <w:sz w:val="24"/>
        </w:rPr>
      </w:pPr>
      <w:bookmarkStart w:id="314" w:name="_Toc482351221"/>
      <w:r>
        <w:rPr>
          <w:rFonts w:hint="eastAsia" w:hAnsi="宋体"/>
          <w:b/>
          <w:sz w:val="24"/>
        </w:rPr>
        <w:t>2.1 资格审查标准</w:t>
      </w:r>
    </w:p>
    <w:p w14:paraId="0BAA7782">
      <w:pPr>
        <w:adjustRightInd w:val="0"/>
        <w:snapToGrid w:val="0"/>
        <w:spacing w:line="360" w:lineRule="auto"/>
        <w:ind w:firstLine="420" w:firstLineChars="200"/>
        <w:jc w:val="left"/>
        <w:rPr>
          <w:rFonts w:ascii="宋体" w:hAnsi="宋体"/>
          <w:szCs w:val="21"/>
        </w:rPr>
      </w:pPr>
      <w:r>
        <w:rPr>
          <w:rFonts w:hint="eastAsia" w:ascii="宋体" w:hAnsi="宋体"/>
          <w:szCs w:val="21"/>
        </w:rPr>
        <w:t>资格审查标准：</w:t>
      </w:r>
      <w:r>
        <w:rPr>
          <w:rFonts w:ascii="宋体" w:hAnsi="宋体"/>
          <w:szCs w:val="21"/>
        </w:rPr>
        <w:t>依据法律法规和</w:t>
      </w:r>
      <w:r>
        <w:rPr>
          <w:rFonts w:hint="eastAsia" w:ascii="宋体" w:hAnsi="宋体"/>
          <w:szCs w:val="21"/>
        </w:rPr>
        <w:t>谈判</w:t>
      </w:r>
      <w:r>
        <w:rPr>
          <w:rFonts w:ascii="宋体" w:hAnsi="宋体"/>
          <w:szCs w:val="21"/>
        </w:rPr>
        <w:t>文件的规定，对</w:t>
      </w:r>
      <w:r>
        <w:rPr>
          <w:rFonts w:hint="eastAsia" w:ascii="宋体" w:hAnsi="宋体"/>
          <w:szCs w:val="21"/>
        </w:rPr>
        <w:t>响应</w:t>
      </w:r>
      <w:r>
        <w:rPr>
          <w:rFonts w:ascii="宋体" w:hAnsi="宋体"/>
          <w:szCs w:val="21"/>
        </w:rPr>
        <w:t>文件中的资格证明</w:t>
      </w:r>
      <w:r>
        <w:rPr>
          <w:rFonts w:hint="eastAsia" w:ascii="宋体" w:hAnsi="宋体"/>
          <w:szCs w:val="21"/>
        </w:rPr>
        <w:t>文件</w:t>
      </w:r>
      <w:r>
        <w:rPr>
          <w:rFonts w:ascii="宋体" w:hAnsi="宋体"/>
          <w:szCs w:val="21"/>
        </w:rPr>
        <w:t>、保证金等进行审查，以确定</w:t>
      </w:r>
      <w:r>
        <w:rPr>
          <w:rFonts w:hint="eastAsia" w:ascii="宋体" w:hAnsi="宋体"/>
          <w:szCs w:val="21"/>
        </w:rPr>
        <w:t>供应商</w:t>
      </w:r>
      <w:r>
        <w:rPr>
          <w:rFonts w:ascii="宋体" w:hAnsi="宋体"/>
          <w:szCs w:val="21"/>
        </w:rPr>
        <w:t>是否具备</w:t>
      </w:r>
      <w:r>
        <w:rPr>
          <w:rFonts w:hint="eastAsia" w:ascii="宋体" w:hAnsi="宋体"/>
          <w:szCs w:val="21"/>
        </w:rPr>
        <w:t>谈判</w:t>
      </w:r>
      <w:r>
        <w:rPr>
          <w:rFonts w:ascii="宋体" w:hAnsi="宋体"/>
          <w:szCs w:val="21"/>
        </w:rPr>
        <w:t>资格</w:t>
      </w:r>
      <w:r>
        <w:rPr>
          <w:rFonts w:hint="eastAsia" w:ascii="宋体" w:hAnsi="宋体"/>
          <w:szCs w:val="21"/>
        </w:rPr>
        <w:t>；见评审办法前附表。</w:t>
      </w:r>
    </w:p>
    <w:p w14:paraId="0EAF7F1E">
      <w:pPr>
        <w:pStyle w:val="36"/>
        <w:snapToGrid w:val="0"/>
        <w:spacing w:line="360" w:lineRule="auto"/>
        <w:rPr>
          <w:rFonts w:hAnsi="宋体"/>
          <w:b/>
          <w:sz w:val="24"/>
        </w:rPr>
      </w:pPr>
      <w:r>
        <w:rPr>
          <w:rFonts w:hint="eastAsia" w:hAnsi="宋体"/>
          <w:b/>
          <w:sz w:val="24"/>
        </w:rPr>
        <w:t>2.2 符合性审查标准</w:t>
      </w:r>
    </w:p>
    <w:p w14:paraId="6F45A116">
      <w:pPr>
        <w:pStyle w:val="13"/>
        <w:tabs>
          <w:tab w:val="left" w:pos="2472"/>
        </w:tabs>
        <w:snapToGrid w:val="0"/>
        <w:spacing w:line="360" w:lineRule="auto"/>
        <w:ind w:firstLine="420" w:firstLineChars="200"/>
        <w:rPr>
          <w:rFonts w:hAnsi="宋体"/>
          <w:sz w:val="21"/>
          <w:szCs w:val="21"/>
        </w:rPr>
      </w:pPr>
      <w:r>
        <w:rPr>
          <w:rFonts w:hint="eastAsia" w:hAnsi="宋体"/>
          <w:sz w:val="21"/>
          <w:szCs w:val="21"/>
        </w:rPr>
        <w:t>符合性审查标准：</w:t>
      </w:r>
      <w:r>
        <w:rPr>
          <w:rFonts w:hAnsi="宋体"/>
          <w:sz w:val="21"/>
          <w:szCs w:val="21"/>
        </w:rPr>
        <w:t>依据</w:t>
      </w:r>
      <w:r>
        <w:rPr>
          <w:rFonts w:hint="eastAsia" w:hAnsi="宋体"/>
          <w:sz w:val="21"/>
          <w:szCs w:val="21"/>
        </w:rPr>
        <w:t>谈判</w:t>
      </w:r>
      <w:r>
        <w:rPr>
          <w:rFonts w:hAnsi="宋体"/>
          <w:sz w:val="21"/>
          <w:szCs w:val="21"/>
        </w:rPr>
        <w:t>文件的规定，从</w:t>
      </w:r>
      <w:r>
        <w:rPr>
          <w:rFonts w:hint="eastAsia" w:hAnsi="宋体"/>
          <w:sz w:val="21"/>
          <w:szCs w:val="21"/>
        </w:rPr>
        <w:t>响应</w:t>
      </w:r>
      <w:r>
        <w:rPr>
          <w:rFonts w:hAnsi="宋体"/>
          <w:sz w:val="21"/>
          <w:szCs w:val="21"/>
        </w:rPr>
        <w:t>文件的有效性、完整性和对</w:t>
      </w:r>
      <w:r>
        <w:rPr>
          <w:rFonts w:hint="eastAsia" w:hAnsi="宋体"/>
          <w:sz w:val="21"/>
          <w:szCs w:val="21"/>
        </w:rPr>
        <w:t>谈判</w:t>
      </w:r>
      <w:r>
        <w:rPr>
          <w:rFonts w:hAnsi="宋体"/>
          <w:sz w:val="21"/>
          <w:szCs w:val="21"/>
        </w:rPr>
        <w:t>文件的响应程度进行审查，以确定是否对</w:t>
      </w:r>
      <w:r>
        <w:rPr>
          <w:rFonts w:hint="eastAsia" w:hAnsi="宋体"/>
          <w:sz w:val="21"/>
          <w:szCs w:val="21"/>
        </w:rPr>
        <w:t>谈判</w:t>
      </w:r>
      <w:r>
        <w:rPr>
          <w:rFonts w:hAnsi="宋体"/>
          <w:sz w:val="21"/>
          <w:szCs w:val="21"/>
        </w:rPr>
        <w:t>文件的实质性要求作出响应</w:t>
      </w:r>
      <w:r>
        <w:rPr>
          <w:rFonts w:hint="eastAsia" w:hAnsi="宋体"/>
          <w:sz w:val="21"/>
          <w:szCs w:val="21"/>
        </w:rPr>
        <w:t>；见评审办法前附表。</w:t>
      </w:r>
    </w:p>
    <w:bookmarkEnd w:id="314"/>
    <w:p w14:paraId="7B082A29">
      <w:pPr>
        <w:pStyle w:val="36"/>
        <w:snapToGrid w:val="0"/>
        <w:spacing w:line="360" w:lineRule="auto"/>
        <w:rPr>
          <w:rFonts w:hAnsi="宋体"/>
          <w:b/>
          <w:sz w:val="24"/>
        </w:rPr>
      </w:pPr>
      <w:r>
        <w:rPr>
          <w:rFonts w:hint="eastAsia" w:hAnsi="宋体"/>
          <w:b/>
          <w:sz w:val="24"/>
        </w:rPr>
        <w:t>2.3 最后报价价格扣除标准</w:t>
      </w:r>
    </w:p>
    <w:p w14:paraId="2D17873D">
      <w:pPr>
        <w:pStyle w:val="13"/>
        <w:tabs>
          <w:tab w:val="left" w:pos="2472"/>
        </w:tabs>
        <w:snapToGrid w:val="0"/>
        <w:spacing w:line="360" w:lineRule="auto"/>
        <w:ind w:firstLine="420" w:firstLineChars="200"/>
        <w:rPr>
          <w:rFonts w:hAnsi="宋体"/>
          <w:sz w:val="21"/>
          <w:szCs w:val="21"/>
        </w:rPr>
      </w:pPr>
      <w:r>
        <w:rPr>
          <w:rFonts w:hint="eastAsia" w:hAnsi="宋体"/>
          <w:sz w:val="21"/>
          <w:szCs w:val="21"/>
        </w:rPr>
        <w:t>最后报价价格扣除标准：依据法律法规和谈判文件的规定，</w:t>
      </w:r>
      <w:r>
        <w:rPr>
          <w:rFonts w:hint="eastAsia" w:hAnsi="宋体"/>
          <w:b/>
          <w:sz w:val="21"/>
          <w:szCs w:val="21"/>
          <w:u w:val="single"/>
        </w:rPr>
        <w:t>对符合价格扣除条件的供应商最后报价进行价格扣除，经价格扣除后的最后报价作为谈判小组排序推荐成交候选人的依据。</w:t>
      </w:r>
    </w:p>
    <w:p w14:paraId="767A0F3B">
      <w:pPr>
        <w:pStyle w:val="3"/>
        <w:numPr>
          <w:ilvl w:val="0"/>
          <w:numId w:val="0"/>
        </w:numPr>
        <w:adjustRightInd w:val="0"/>
        <w:snapToGrid w:val="0"/>
        <w:spacing w:before="0" w:after="0"/>
        <w:jc w:val="both"/>
        <w:rPr>
          <w:rFonts w:ascii="宋体" w:hAnsi="宋体"/>
          <w:szCs w:val="28"/>
        </w:rPr>
      </w:pPr>
      <w:bookmarkStart w:id="315" w:name="_Toc24508"/>
      <w:bookmarkStart w:id="316" w:name="_Toc446494211"/>
      <w:bookmarkStart w:id="317" w:name="_Toc54095530"/>
      <w:bookmarkStart w:id="318" w:name="_Toc2821"/>
      <w:bookmarkStart w:id="319" w:name="_Toc191374451"/>
      <w:bookmarkStart w:id="320" w:name="_Toc86124098"/>
      <w:bookmarkStart w:id="321" w:name="_Toc337822270"/>
      <w:r>
        <w:rPr>
          <w:rFonts w:ascii="宋体" w:hAnsi="宋体"/>
          <w:szCs w:val="28"/>
        </w:rPr>
        <w:t>3. 评审程序</w:t>
      </w:r>
      <w:bookmarkEnd w:id="315"/>
      <w:bookmarkEnd w:id="316"/>
      <w:bookmarkEnd w:id="317"/>
      <w:bookmarkEnd w:id="318"/>
      <w:bookmarkEnd w:id="319"/>
      <w:bookmarkEnd w:id="320"/>
      <w:bookmarkEnd w:id="321"/>
    </w:p>
    <w:p w14:paraId="6B963BB0">
      <w:pPr>
        <w:pStyle w:val="36"/>
        <w:snapToGrid w:val="0"/>
        <w:spacing w:line="360" w:lineRule="auto"/>
        <w:rPr>
          <w:rFonts w:hAnsi="宋体"/>
          <w:b/>
          <w:sz w:val="24"/>
        </w:rPr>
      </w:pPr>
      <w:r>
        <w:rPr>
          <w:rFonts w:hint="eastAsia" w:hAnsi="宋体"/>
          <w:b/>
          <w:sz w:val="24"/>
        </w:rPr>
        <w:t>3.1 资格审查</w:t>
      </w:r>
    </w:p>
    <w:p w14:paraId="30E15D98">
      <w:pPr>
        <w:pStyle w:val="13"/>
        <w:tabs>
          <w:tab w:val="left" w:pos="2472"/>
        </w:tabs>
        <w:snapToGrid w:val="0"/>
        <w:spacing w:line="360" w:lineRule="auto"/>
        <w:ind w:firstLine="420" w:firstLineChars="200"/>
        <w:rPr>
          <w:rFonts w:hAnsi="宋体"/>
          <w:sz w:val="21"/>
          <w:szCs w:val="21"/>
        </w:rPr>
      </w:pPr>
      <w:r>
        <w:rPr>
          <w:rFonts w:hint="eastAsia" w:hAnsi="宋体"/>
          <w:sz w:val="21"/>
          <w:szCs w:val="21"/>
        </w:rPr>
        <w:t>谈判小组依据本章第2.1项规定的标准对响应文件进行资格审查。有一项不符合评审标准的，响应文件无效。</w:t>
      </w:r>
    </w:p>
    <w:p w14:paraId="2C3EF94F">
      <w:pPr>
        <w:pStyle w:val="13"/>
        <w:tabs>
          <w:tab w:val="left" w:pos="2472"/>
        </w:tabs>
        <w:snapToGrid w:val="0"/>
        <w:spacing w:line="360" w:lineRule="auto"/>
        <w:ind w:firstLine="420" w:firstLineChars="200"/>
        <w:rPr>
          <w:rFonts w:hAnsi="宋体"/>
          <w:sz w:val="21"/>
          <w:szCs w:val="21"/>
        </w:rPr>
      </w:pPr>
      <w:r>
        <w:rPr>
          <w:rFonts w:hint="eastAsia" w:hAnsi="宋体"/>
          <w:sz w:val="21"/>
          <w:szCs w:val="21"/>
        </w:rPr>
        <w:t>注：合格供应商不足3家的，不再进入下一评审程序，项目终止。</w:t>
      </w:r>
    </w:p>
    <w:p w14:paraId="4724ABCF">
      <w:pPr>
        <w:pStyle w:val="36"/>
        <w:snapToGrid w:val="0"/>
        <w:spacing w:line="360" w:lineRule="auto"/>
        <w:rPr>
          <w:rFonts w:hAnsi="宋体"/>
          <w:b/>
          <w:sz w:val="24"/>
        </w:rPr>
      </w:pPr>
      <w:r>
        <w:rPr>
          <w:rFonts w:hint="eastAsia" w:hAnsi="宋体"/>
          <w:b/>
          <w:sz w:val="24"/>
        </w:rPr>
        <w:t>3.2 符合性审查</w:t>
      </w:r>
    </w:p>
    <w:p w14:paraId="4B889E89">
      <w:pPr>
        <w:pStyle w:val="13"/>
        <w:tabs>
          <w:tab w:val="left" w:pos="2472"/>
        </w:tabs>
        <w:snapToGrid w:val="0"/>
        <w:spacing w:line="360" w:lineRule="auto"/>
        <w:ind w:firstLine="420" w:firstLineChars="200"/>
        <w:rPr>
          <w:rFonts w:hAnsi="宋体"/>
          <w:sz w:val="21"/>
          <w:szCs w:val="21"/>
        </w:rPr>
      </w:pPr>
      <w:r>
        <w:rPr>
          <w:rFonts w:hint="eastAsia" w:hAnsi="宋体"/>
          <w:sz w:val="21"/>
          <w:szCs w:val="21"/>
        </w:rPr>
        <w:t>谈判小组依据本章第2.2项规定的标准对资格审查合格的响应文件进行符合性审查。有一项不符合评审标准的，响应文件无效。</w:t>
      </w:r>
    </w:p>
    <w:p w14:paraId="5CAFB871">
      <w:pPr>
        <w:pStyle w:val="36"/>
        <w:snapToGrid w:val="0"/>
        <w:spacing w:line="360" w:lineRule="auto"/>
        <w:rPr>
          <w:rFonts w:hAnsi="宋体"/>
          <w:b/>
          <w:sz w:val="24"/>
        </w:rPr>
      </w:pPr>
      <w:r>
        <w:rPr>
          <w:rFonts w:hint="eastAsia" w:hAnsi="宋体"/>
          <w:b/>
          <w:sz w:val="24"/>
        </w:rPr>
        <w:t>3.3</w:t>
      </w:r>
      <w:r>
        <w:rPr>
          <w:rFonts w:hAnsi="宋体"/>
          <w:b/>
          <w:sz w:val="24"/>
        </w:rPr>
        <w:t>供应商有以下情形之一的，取消其谈判资格：</w:t>
      </w:r>
    </w:p>
    <w:p w14:paraId="1FF37FC9">
      <w:pPr>
        <w:adjustRightInd w:val="0"/>
        <w:snapToGrid w:val="0"/>
        <w:spacing w:line="360" w:lineRule="auto"/>
        <w:ind w:firstLine="420" w:firstLineChars="200"/>
        <w:jc w:val="left"/>
        <w:rPr>
          <w:rFonts w:ascii="宋体" w:hAnsi="宋体"/>
          <w:szCs w:val="21"/>
        </w:rPr>
      </w:pPr>
      <w:r>
        <w:rPr>
          <w:rFonts w:ascii="宋体" w:hAnsi="宋体"/>
          <w:szCs w:val="21"/>
        </w:rPr>
        <w:t>（1）串通报价或弄虚作假或有其他违法行为的；</w:t>
      </w:r>
    </w:p>
    <w:p w14:paraId="6C26FCD4">
      <w:pPr>
        <w:adjustRightInd w:val="0"/>
        <w:snapToGrid w:val="0"/>
        <w:spacing w:line="360" w:lineRule="auto"/>
        <w:ind w:firstLine="420" w:firstLineChars="200"/>
        <w:jc w:val="left"/>
        <w:rPr>
          <w:rFonts w:ascii="宋体" w:hAnsi="宋体"/>
          <w:szCs w:val="21"/>
        </w:rPr>
      </w:pPr>
      <w:r>
        <w:rPr>
          <w:rFonts w:ascii="宋体" w:hAnsi="宋体"/>
          <w:szCs w:val="21"/>
        </w:rPr>
        <w:t>（2）不按谈判小组要求澄清、说明或补正的。</w:t>
      </w:r>
    </w:p>
    <w:p w14:paraId="0EA210B1">
      <w:pPr>
        <w:pStyle w:val="36"/>
        <w:snapToGrid w:val="0"/>
        <w:spacing w:line="360" w:lineRule="auto"/>
        <w:rPr>
          <w:rFonts w:hAnsi="宋体"/>
          <w:b/>
          <w:sz w:val="24"/>
        </w:rPr>
      </w:pPr>
      <w:r>
        <w:rPr>
          <w:rFonts w:hint="eastAsia" w:hAnsi="宋体"/>
          <w:b/>
          <w:sz w:val="24"/>
        </w:rPr>
        <w:t>3.4</w:t>
      </w:r>
      <w:r>
        <w:rPr>
          <w:rFonts w:hAnsi="宋体"/>
          <w:b/>
          <w:sz w:val="24"/>
        </w:rPr>
        <w:t xml:space="preserve"> 响应文件如果出现计算或表达上的错误，修正错误的原则如下：</w:t>
      </w:r>
    </w:p>
    <w:p w14:paraId="6C31FBEA">
      <w:pPr>
        <w:pStyle w:val="13"/>
        <w:tabs>
          <w:tab w:val="left" w:pos="2472"/>
        </w:tabs>
        <w:snapToGrid w:val="0"/>
        <w:spacing w:line="360" w:lineRule="auto"/>
        <w:ind w:firstLine="420" w:firstLineChars="200"/>
        <w:rPr>
          <w:sz w:val="21"/>
          <w:szCs w:val="21"/>
        </w:rPr>
      </w:pPr>
      <w:r>
        <w:rPr>
          <w:rFonts w:hint="eastAsia"/>
          <w:sz w:val="21"/>
          <w:szCs w:val="21"/>
        </w:rPr>
        <w:t>（1）响应文件中报价表内容与响应文件中相应内容不一致的，以报价表为准。</w:t>
      </w:r>
    </w:p>
    <w:p w14:paraId="500900A4">
      <w:pPr>
        <w:pStyle w:val="13"/>
        <w:tabs>
          <w:tab w:val="left" w:pos="2472"/>
        </w:tabs>
        <w:snapToGrid w:val="0"/>
        <w:spacing w:line="360" w:lineRule="auto"/>
        <w:ind w:firstLine="420" w:firstLineChars="200"/>
        <w:rPr>
          <w:sz w:val="21"/>
          <w:szCs w:val="21"/>
        </w:rPr>
      </w:pPr>
      <w:r>
        <w:rPr>
          <w:rFonts w:hint="eastAsia"/>
          <w:sz w:val="21"/>
          <w:szCs w:val="21"/>
        </w:rPr>
        <w:t>（2）大写金额和小写金额不一致的，以大写金额为准；</w:t>
      </w:r>
    </w:p>
    <w:p w14:paraId="1D8F9BB2">
      <w:pPr>
        <w:pStyle w:val="13"/>
        <w:tabs>
          <w:tab w:val="left" w:pos="2472"/>
        </w:tabs>
        <w:snapToGrid w:val="0"/>
        <w:spacing w:line="360" w:lineRule="auto"/>
        <w:ind w:firstLine="420" w:firstLineChars="200"/>
        <w:rPr>
          <w:sz w:val="21"/>
          <w:szCs w:val="21"/>
        </w:rPr>
      </w:pPr>
      <w:r>
        <w:rPr>
          <w:rFonts w:hint="eastAsia"/>
          <w:sz w:val="21"/>
          <w:szCs w:val="21"/>
        </w:rPr>
        <w:t>（3）单价金额小数点或者百分比有明显错位的，以报价表的总价为准，并修改单价；</w:t>
      </w:r>
    </w:p>
    <w:p w14:paraId="29287CEB">
      <w:pPr>
        <w:pStyle w:val="13"/>
        <w:tabs>
          <w:tab w:val="left" w:pos="2472"/>
        </w:tabs>
        <w:snapToGrid w:val="0"/>
        <w:spacing w:line="360" w:lineRule="auto"/>
        <w:ind w:firstLine="420" w:firstLineChars="200"/>
        <w:rPr>
          <w:sz w:val="21"/>
          <w:szCs w:val="21"/>
        </w:rPr>
      </w:pPr>
      <w:r>
        <w:rPr>
          <w:rFonts w:hint="eastAsia"/>
          <w:sz w:val="21"/>
          <w:szCs w:val="21"/>
        </w:rPr>
        <w:t>（4）总价金额与按单价汇总金额不一致的，以单价金额计算结果为准；</w:t>
      </w:r>
    </w:p>
    <w:p w14:paraId="0239BD95">
      <w:pPr>
        <w:pStyle w:val="13"/>
        <w:tabs>
          <w:tab w:val="left" w:pos="2472"/>
        </w:tabs>
        <w:snapToGrid w:val="0"/>
        <w:spacing w:line="360" w:lineRule="auto"/>
        <w:ind w:firstLine="420" w:firstLineChars="200"/>
        <w:rPr>
          <w:sz w:val="21"/>
          <w:szCs w:val="21"/>
        </w:rPr>
      </w:pPr>
      <w:r>
        <w:rPr>
          <w:rFonts w:hint="eastAsia"/>
          <w:sz w:val="21"/>
          <w:szCs w:val="21"/>
        </w:rPr>
        <w:t>（5）对不同文字文本响应文件的解释发生异议的，以中文文本为准。</w:t>
      </w:r>
    </w:p>
    <w:p w14:paraId="066FEAE5">
      <w:pPr>
        <w:pStyle w:val="13"/>
        <w:tabs>
          <w:tab w:val="left" w:pos="2472"/>
        </w:tabs>
        <w:snapToGrid w:val="0"/>
        <w:spacing w:line="360" w:lineRule="auto"/>
        <w:ind w:firstLine="420" w:firstLineChars="200"/>
        <w:rPr>
          <w:sz w:val="21"/>
          <w:szCs w:val="21"/>
        </w:rPr>
      </w:pPr>
      <w:r>
        <w:rPr>
          <w:rFonts w:hint="eastAsia"/>
          <w:sz w:val="21"/>
          <w:szCs w:val="21"/>
        </w:rPr>
        <w:t>（6）同时出现两种以上不一致的，按照前款规定的顺序修正。按上述规定修正后的报价经供应商确认后对供应商起约束作用。如果供应商不确认修正后的报价，则其响应文件无效。</w:t>
      </w:r>
    </w:p>
    <w:p w14:paraId="07443C2D">
      <w:pPr>
        <w:pStyle w:val="36"/>
        <w:snapToGrid w:val="0"/>
        <w:spacing w:line="360" w:lineRule="auto"/>
        <w:rPr>
          <w:rFonts w:hAnsi="宋体"/>
          <w:b/>
          <w:sz w:val="24"/>
        </w:rPr>
      </w:pPr>
      <w:bookmarkStart w:id="322" w:name="_Toc191374453"/>
      <w:bookmarkStart w:id="323" w:name="_Toc86124100"/>
      <w:bookmarkStart w:id="324" w:name="_Toc48271433"/>
      <w:bookmarkStart w:id="325" w:name="_Toc337822272"/>
      <w:bookmarkStart w:id="326" w:name="_Toc446494213"/>
      <w:r>
        <w:rPr>
          <w:rFonts w:hAnsi="宋体"/>
          <w:b/>
          <w:sz w:val="24"/>
        </w:rPr>
        <w:t>3.</w:t>
      </w:r>
      <w:r>
        <w:rPr>
          <w:rFonts w:hint="eastAsia" w:hAnsi="宋体"/>
          <w:b/>
          <w:sz w:val="24"/>
        </w:rPr>
        <w:t>5</w:t>
      </w:r>
      <w:bookmarkEnd w:id="322"/>
      <w:bookmarkEnd w:id="323"/>
      <w:bookmarkStart w:id="327" w:name="_Toc191374454"/>
      <w:bookmarkStart w:id="328" w:name="_Toc86124101"/>
      <w:r>
        <w:rPr>
          <w:rFonts w:hAnsi="宋体"/>
          <w:b/>
          <w:sz w:val="24"/>
        </w:rPr>
        <w:t>谈判</w:t>
      </w:r>
      <w:bookmarkEnd w:id="324"/>
      <w:bookmarkEnd w:id="325"/>
      <w:bookmarkEnd w:id="326"/>
    </w:p>
    <w:p w14:paraId="7399AF80">
      <w:pPr>
        <w:adjustRightInd w:val="0"/>
        <w:snapToGrid w:val="0"/>
        <w:spacing w:line="360" w:lineRule="auto"/>
        <w:ind w:firstLine="420" w:firstLineChars="200"/>
        <w:rPr>
          <w:rFonts w:ascii="宋体" w:hAnsi="宋体"/>
          <w:szCs w:val="21"/>
        </w:rPr>
      </w:pPr>
      <w:r>
        <w:rPr>
          <w:rFonts w:ascii="宋体" w:hAnsi="宋体"/>
          <w:szCs w:val="21"/>
        </w:rPr>
        <w:t>3.</w:t>
      </w:r>
      <w:r>
        <w:rPr>
          <w:rFonts w:hint="eastAsia" w:ascii="宋体" w:hAnsi="宋体"/>
          <w:szCs w:val="21"/>
        </w:rPr>
        <w:t>5</w:t>
      </w:r>
      <w:r>
        <w:rPr>
          <w:rFonts w:ascii="宋体" w:hAnsi="宋体"/>
          <w:szCs w:val="21"/>
        </w:rPr>
        <w:t>.1谈判小组所有成员集中与</w:t>
      </w:r>
      <w:r>
        <w:rPr>
          <w:rFonts w:hint="eastAsia" w:ascii="宋体" w:hAnsi="宋体"/>
          <w:szCs w:val="21"/>
        </w:rPr>
        <w:t>通过资格审查、符合性审查</w:t>
      </w:r>
      <w:r>
        <w:rPr>
          <w:rFonts w:ascii="宋体" w:hAnsi="宋体"/>
          <w:szCs w:val="21"/>
        </w:rPr>
        <w:t>的单一供应商分别进行谈判。在谈判中，谈判的任何一方不得透露与谈判有关的其他供应商的技术资料、价格、折扣和其他信息。</w:t>
      </w:r>
    </w:p>
    <w:p w14:paraId="693EA283">
      <w:pPr>
        <w:adjustRightInd w:val="0"/>
        <w:snapToGrid w:val="0"/>
        <w:spacing w:line="360" w:lineRule="auto"/>
        <w:ind w:firstLine="420" w:firstLineChars="200"/>
        <w:rPr>
          <w:rFonts w:ascii="宋体" w:hAnsi="宋体"/>
          <w:szCs w:val="21"/>
        </w:rPr>
      </w:pPr>
      <w:r>
        <w:rPr>
          <w:rFonts w:ascii="宋体" w:hAnsi="宋体"/>
          <w:szCs w:val="21"/>
        </w:rPr>
        <w:t>3.</w:t>
      </w:r>
      <w:r>
        <w:rPr>
          <w:rFonts w:hint="eastAsia" w:ascii="宋体" w:hAnsi="宋体"/>
          <w:szCs w:val="21"/>
        </w:rPr>
        <w:t>5</w:t>
      </w:r>
      <w:r>
        <w:rPr>
          <w:rFonts w:ascii="宋体" w:hAnsi="宋体"/>
          <w:szCs w:val="21"/>
        </w:rPr>
        <w:t>.2谈判文件有实质性变动的，谈判小组将以书面形式通知所有参加谈判的供应商。但不得对涉及竞争的公平、公正性内容进行修改、变动。</w:t>
      </w:r>
    </w:p>
    <w:p w14:paraId="70F55033">
      <w:pPr>
        <w:adjustRightInd w:val="0"/>
        <w:snapToGrid w:val="0"/>
        <w:spacing w:line="360" w:lineRule="auto"/>
        <w:ind w:firstLine="420" w:firstLineChars="200"/>
        <w:rPr>
          <w:rFonts w:ascii="宋体" w:hAnsi="宋体"/>
          <w:szCs w:val="21"/>
        </w:rPr>
      </w:pPr>
      <w:r>
        <w:rPr>
          <w:rFonts w:ascii="宋体" w:hAnsi="宋体"/>
          <w:szCs w:val="21"/>
        </w:rPr>
        <w:t>3.</w:t>
      </w:r>
      <w:r>
        <w:rPr>
          <w:rFonts w:hint="eastAsia" w:ascii="宋体" w:hAnsi="宋体"/>
          <w:szCs w:val="21"/>
        </w:rPr>
        <w:t>5</w:t>
      </w:r>
      <w:r>
        <w:rPr>
          <w:rFonts w:ascii="宋体" w:hAnsi="宋体"/>
          <w:szCs w:val="21"/>
        </w:rPr>
        <w:t>.3为有助于对响应文件的审查、评价和比较，谈判小组可对供应商分别进行技术询问、澄清，有关要求和答复均现场进行。</w:t>
      </w:r>
    </w:p>
    <w:p w14:paraId="1AD47BEE">
      <w:pPr>
        <w:adjustRightInd w:val="0"/>
        <w:snapToGrid w:val="0"/>
        <w:spacing w:line="360" w:lineRule="auto"/>
        <w:ind w:firstLine="420" w:firstLineChars="200"/>
        <w:rPr>
          <w:rFonts w:ascii="宋体" w:hAnsi="宋体"/>
          <w:szCs w:val="21"/>
        </w:rPr>
      </w:pPr>
      <w:r>
        <w:rPr>
          <w:rFonts w:ascii="宋体" w:hAnsi="宋体"/>
          <w:szCs w:val="21"/>
        </w:rPr>
        <w:t>3.</w:t>
      </w:r>
      <w:r>
        <w:rPr>
          <w:rFonts w:hint="eastAsia" w:ascii="宋体" w:hAnsi="宋体"/>
          <w:szCs w:val="21"/>
        </w:rPr>
        <w:t>5</w:t>
      </w:r>
      <w:r>
        <w:rPr>
          <w:rFonts w:ascii="宋体" w:hAnsi="宋体"/>
          <w:szCs w:val="21"/>
        </w:rPr>
        <w:t>.4</w:t>
      </w:r>
      <w:r>
        <w:rPr>
          <w:rFonts w:hint="eastAsia" w:ascii="宋体" w:hAnsi="宋体"/>
          <w:szCs w:val="21"/>
        </w:rPr>
        <w:t>谈判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ascii="宋体" w:hAnsi="宋体"/>
          <w:szCs w:val="21"/>
        </w:rPr>
        <w:t>谈判小组不接受供应商主动提出的澄清、说明或补正。</w:t>
      </w:r>
    </w:p>
    <w:p w14:paraId="22A33CBE">
      <w:pPr>
        <w:adjustRightInd w:val="0"/>
        <w:snapToGrid w:val="0"/>
        <w:spacing w:line="360" w:lineRule="auto"/>
        <w:ind w:firstLine="420" w:firstLineChars="200"/>
        <w:jc w:val="left"/>
        <w:rPr>
          <w:rFonts w:ascii="宋体" w:hAnsi="宋体"/>
          <w:szCs w:val="21"/>
        </w:rPr>
      </w:pPr>
      <w:r>
        <w:rPr>
          <w:rFonts w:ascii="宋体" w:hAnsi="宋体"/>
          <w:szCs w:val="21"/>
        </w:rPr>
        <w:t>3.</w:t>
      </w:r>
      <w:r>
        <w:rPr>
          <w:rFonts w:hint="eastAsia" w:ascii="宋体" w:hAnsi="宋体"/>
          <w:szCs w:val="21"/>
        </w:rPr>
        <w:t>5</w:t>
      </w:r>
      <w:r>
        <w:rPr>
          <w:rFonts w:ascii="宋体" w:hAnsi="宋体"/>
          <w:szCs w:val="21"/>
        </w:rPr>
        <w:t>.5供应商的书面澄清、说明和补正属于响应文件的组成部分。</w:t>
      </w:r>
    </w:p>
    <w:p w14:paraId="041B5DB3">
      <w:pPr>
        <w:adjustRightInd w:val="0"/>
        <w:snapToGrid w:val="0"/>
        <w:spacing w:line="360" w:lineRule="auto"/>
        <w:ind w:firstLine="420" w:firstLineChars="200"/>
        <w:rPr>
          <w:rFonts w:ascii="宋体" w:hAnsi="宋体"/>
          <w:szCs w:val="21"/>
        </w:rPr>
      </w:pPr>
      <w:r>
        <w:rPr>
          <w:rFonts w:ascii="宋体" w:hAnsi="宋体"/>
          <w:szCs w:val="21"/>
        </w:rPr>
        <w:t>3.</w:t>
      </w:r>
      <w:r>
        <w:rPr>
          <w:rFonts w:hint="eastAsia" w:ascii="宋体" w:hAnsi="宋体"/>
          <w:szCs w:val="21"/>
        </w:rPr>
        <w:t>5</w:t>
      </w:r>
      <w:r>
        <w:rPr>
          <w:rFonts w:ascii="宋体" w:hAnsi="宋体"/>
          <w:szCs w:val="21"/>
        </w:rPr>
        <w:t>.</w:t>
      </w:r>
      <w:r>
        <w:rPr>
          <w:rFonts w:hint="eastAsia" w:ascii="宋体" w:hAnsi="宋体"/>
          <w:szCs w:val="21"/>
        </w:rPr>
        <w:t>6</w:t>
      </w:r>
      <w:r>
        <w:rPr>
          <w:rFonts w:ascii="宋体" w:hAnsi="宋体"/>
          <w:szCs w:val="21"/>
        </w:rPr>
        <w:t>谈判小组将要求所有供应商在规定时间内进行最后报价，并对响应文件及供应商按要求提交的澄清、说明或补正进行综合比较和评价。</w:t>
      </w:r>
    </w:p>
    <w:p w14:paraId="36A14A80">
      <w:pPr>
        <w:adjustRightInd w:val="0"/>
        <w:snapToGrid w:val="0"/>
        <w:spacing w:line="360" w:lineRule="auto"/>
        <w:ind w:firstLine="420" w:firstLineChars="200"/>
        <w:rPr>
          <w:rFonts w:ascii="宋体" w:hAnsi="宋体"/>
          <w:szCs w:val="21"/>
        </w:rPr>
      </w:pPr>
      <w:r>
        <w:rPr>
          <w:rFonts w:ascii="宋体" w:hAnsi="宋体"/>
          <w:szCs w:val="21"/>
        </w:rPr>
        <w:t>3.</w:t>
      </w:r>
      <w:r>
        <w:rPr>
          <w:rFonts w:hint="eastAsia" w:ascii="宋体" w:hAnsi="宋体"/>
          <w:szCs w:val="21"/>
        </w:rPr>
        <w:t>5</w:t>
      </w:r>
      <w:r>
        <w:rPr>
          <w:rFonts w:ascii="宋体" w:hAnsi="宋体"/>
          <w:szCs w:val="21"/>
        </w:rPr>
        <w:t>.</w:t>
      </w:r>
      <w:r>
        <w:rPr>
          <w:rFonts w:hint="eastAsia" w:ascii="宋体" w:hAnsi="宋体"/>
          <w:szCs w:val="21"/>
        </w:rPr>
        <w:t>7</w:t>
      </w:r>
      <w:r>
        <w:rPr>
          <w:rFonts w:ascii="宋体" w:hAnsi="宋体"/>
          <w:szCs w:val="21"/>
        </w:rPr>
        <w:t>供应商不得哄抬报价，也不应低于成本价</w:t>
      </w:r>
      <w:r>
        <w:rPr>
          <w:rFonts w:hint="eastAsia" w:ascii="宋体" w:hAnsi="宋体"/>
          <w:szCs w:val="21"/>
        </w:rPr>
        <w:t>（</w:t>
      </w:r>
      <w:r>
        <w:rPr>
          <w:rFonts w:ascii="宋体" w:hAnsi="宋体"/>
          <w:szCs w:val="21"/>
        </w:rPr>
        <w:t>或进价</w:t>
      </w:r>
      <w:r>
        <w:rPr>
          <w:rFonts w:hint="eastAsia" w:ascii="宋体" w:hAnsi="宋体"/>
          <w:szCs w:val="21"/>
        </w:rPr>
        <w:t>）</w:t>
      </w:r>
      <w:r>
        <w:rPr>
          <w:rFonts w:ascii="宋体" w:hAnsi="宋体"/>
          <w:szCs w:val="21"/>
        </w:rPr>
        <w:t>报价。</w:t>
      </w:r>
      <w:r>
        <w:rPr>
          <w:rFonts w:hint="eastAsia" w:ascii="宋体" w:hAnsi="宋体"/>
          <w:szCs w:val="21"/>
        </w:rPr>
        <w:t>谈判小组认为供应商的最后报价明显低于其他通过符合性审查供应商的最后报价，有可能影响产品质量或者不能诚信履约的，应当要求其在评审现场合理的时间内提供书面说明，必要时提交相关证明材料；供应商不能证明其报价合理性的，谈判小组应当将其响应文件作为无效处理。</w:t>
      </w:r>
    </w:p>
    <w:p w14:paraId="0415A877">
      <w:pPr>
        <w:pStyle w:val="36"/>
        <w:snapToGrid w:val="0"/>
        <w:spacing w:line="360" w:lineRule="auto"/>
        <w:rPr>
          <w:rFonts w:hAnsi="宋体"/>
          <w:b/>
          <w:sz w:val="24"/>
        </w:rPr>
      </w:pPr>
      <w:bookmarkStart w:id="329" w:name="_Toc446494214"/>
      <w:bookmarkStart w:id="330" w:name="_Toc337822273"/>
      <w:r>
        <w:rPr>
          <w:rFonts w:hAnsi="宋体"/>
          <w:b/>
          <w:sz w:val="24"/>
        </w:rPr>
        <w:t>3.</w:t>
      </w:r>
      <w:r>
        <w:rPr>
          <w:rFonts w:hint="eastAsia" w:hAnsi="宋体"/>
          <w:b/>
          <w:sz w:val="24"/>
        </w:rPr>
        <w:t>6</w:t>
      </w:r>
      <w:r>
        <w:rPr>
          <w:rFonts w:hAnsi="宋体"/>
          <w:b/>
          <w:sz w:val="24"/>
        </w:rPr>
        <w:t xml:space="preserve"> 评审结果</w:t>
      </w:r>
      <w:bookmarkEnd w:id="329"/>
      <w:bookmarkEnd w:id="330"/>
    </w:p>
    <w:bookmarkEnd w:id="327"/>
    <w:bookmarkEnd w:id="328"/>
    <w:p w14:paraId="6C7757E6">
      <w:pPr>
        <w:adjustRightInd w:val="0"/>
        <w:snapToGrid w:val="0"/>
        <w:spacing w:line="360" w:lineRule="auto"/>
        <w:ind w:firstLine="420" w:firstLineChars="200"/>
        <w:jc w:val="left"/>
        <w:rPr>
          <w:rFonts w:ascii="宋体" w:hAnsi="宋体"/>
          <w:szCs w:val="21"/>
        </w:rPr>
      </w:pPr>
      <w:r>
        <w:rPr>
          <w:rFonts w:hint="eastAsia" w:ascii="宋体" w:hAnsi="宋体"/>
          <w:szCs w:val="21"/>
        </w:rPr>
        <w:t>3.6.1 谈判小组按最后报价由低到高顺序推荐成交候选人，并提出书面评审报告。</w:t>
      </w:r>
    </w:p>
    <w:p w14:paraId="6D6BEE6A">
      <w:pPr>
        <w:adjustRightInd w:val="0"/>
        <w:snapToGrid w:val="0"/>
        <w:spacing w:line="360" w:lineRule="auto"/>
        <w:ind w:firstLine="420" w:firstLineChars="200"/>
        <w:jc w:val="left"/>
        <w:rPr>
          <w:rFonts w:ascii="宋体" w:hAnsi="宋体"/>
          <w:szCs w:val="21"/>
        </w:rPr>
      </w:pPr>
      <w:r>
        <w:rPr>
          <w:rFonts w:hint="eastAsia" w:ascii="宋体" w:hAnsi="宋体"/>
          <w:szCs w:val="21"/>
        </w:rPr>
        <w:t>3.6.2 采购人根据谈判小组提出的书面评审报告和推荐的成交候选人名单，确定成交人。</w:t>
      </w:r>
    </w:p>
    <w:p w14:paraId="38A78E09">
      <w:pPr>
        <w:adjustRightInd w:val="0"/>
        <w:spacing w:line="360" w:lineRule="auto"/>
        <w:ind w:firstLine="472" w:firstLineChars="225"/>
        <w:rPr>
          <w:rFonts w:ascii="宋体" w:hAnsi="宋体"/>
          <w:szCs w:val="21"/>
        </w:rPr>
      </w:pPr>
    </w:p>
    <w:p w14:paraId="2364BBDA"/>
    <w:sectPr>
      <w:pgSz w:w="11906" w:h="16838"/>
      <w:pgMar w:top="720" w:right="720" w:bottom="720" w:left="720" w:header="850" w:footer="992" w:gutter="0"/>
      <w:cols w:space="720" w:num="1"/>
      <w:docGrid w:type="lines" w:linePitch="314"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Wingdings 2">
    <w:panose1 w:val="05020102010507070707"/>
    <w:charset w:val="02"/>
    <w:family w:val="roman"/>
    <w:pitch w:val="default"/>
    <w:sig w:usb0="00000000" w:usb1="00000000" w:usb2="00000000" w:usb3="00000000" w:csb0="80000000" w:csb1="00000000"/>
  </w:font>
  <w:font w:name="金山简黑体">
    <w:altName w:val="宋体"/>
    <w:panose1 w:val="00000000000000000000"/>
    <w:charset w:val="00"/>
    <w:family w:val="auto"/>
    <w:pitch w:val="default"/>
    <w:sig w:usb0="00000000" w:usb1="00000000" w:usb2="00000000" w:usb3="00000000" w:csb0="00040001"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B1D809">
    <w:pPr>
      <w:pStyle w:val="15"/>
      <w:ind w:right="360"/>
      <w:rPr>
        <w:sz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087949">
    <w:pPr>
      <w:pStyle w:val="15"/>
      <w:framePr w:wrap="around" w:vAnchor="text" w:hAnchor="margin" w:xAlign="center" w:y="1"/>
      <w:rPr>
        <w:rStyle w:val="28"/>
      </w:rPr>
    </w:pPr>
    <w:r>
      <w:fldChar w:fldCharType="begin"/>
    </w:r>
    <w:r>
      <w:rPr>
        <w:rStyle w:val="28"/>
      </w:rPr>
      <w:instrText xml:space="preserve">PAGE  </w:instrText>
    </w:r>
    <w:r>
      <w:fldChar w:fldCharType="end"/>
    </w:r>
  </w:p>
  <w:p w14:paraId="3098129D">
    <w:pPr>
      <w:pStyle w:val="15"/>
      <w:ind w:right="360"/>
    </w:pPr>
    <w:r>
      <mc:AlternateContent>
        <mc:Choice Requires="wps">
          <w:drawing>
            <wp:anchor distT="0" distB="0" distL="0" distR="0" simplePos="0" relativeHeight="251659264" behindDoc="0" locked="0" layoutInCell="1" allowOverlap="1">
              <wp:simplePos x="0" y="0"/>
              <wp:positionH relativeFrom="margin">
                <wp:align>right</wp:align>
              </wp:positionH>
              <wp:positionV relativeFrom="paragraph">
                <wp:posOffset>0</wp:posOffset>
              </wp:positionV>
              <wp:extent cx="27940" cy="152400"/>
              <wp:effectExtent l="0" t="0" r="0" b="0"/>
              <wp:wrapSquare wrapText="bothSides"/>
              <wp:docPr id="2" name="文本框 2"/>
              <wp:cNvGraphicFramePr/>
              <a:graphic xmlns:a="http://schemas.openxmlformats.org/drawingml/2006/main">
                <a:graphicData uri="http://schemas.microsoft.com/office/word/2010/wordprocessingShape">
                  <wps:wsp>
                    <wps:cNvSpPr txBox="1">
                      <a:spLocks noChangeArrowheads="1"/>
                    </wps:cNvSpPr>
                    <wps:spPr bwMode="auto">
                      <a:xfrm>
                        <a:off x="0" y="0"/>
                        <a:ext cx="27940" cy="152400"/>
                      </a:xfrm>
                      <a:prstGeom prst="rect">
                        <a:avLst/>
                      </a:prstGeom>
                      <a:noFill/>
                      <a:ln>
                        <a:noFill/>
                      </a:ln>
                      <a:effectLst/>
                    </wps:spPr>
                    <wps:txbx>
                      <w:txbxContent>
                        <w:p w14:paraId="4EA9F3DD">
                          <w:pPr>
                            <w:pStyle w:val="15"/>
                            <w:rPr>
                              <w:rStyle w:val="28"/>
                            </w:rPr>
                          </w:pPr>
                          <w:r>
                            <w:fldChar w:fldCharType="begin"/>
                          </w:r>
                          <w:r>
                            <w:rPr>
                              <w:rStyle w:val="28"/>
                            </w:rPr>
                            <w:instrText xml:space="preserve">PAGE  </w:instrText>
                          </w:r>
                          <w:r>
                            <w:fldChar w:fldCharType="end"/>
                          </w:r>
                        </w:p>
                      </w:txbxContent>
                    </wps:txbx>
                    <wps:bodyPr rot="0" vert="horz" wrap="none" lIns="0" tIns="0" rIns="0" bIns="0" anchor="t" anchorCtr="0" upright="1">
                      <a:spAutoFit/>
                    </wps:bodyPr>
                  </wps:wsp>
                </a:graphicData>
              </a:graphic>
            </wp:anchor>
          </w:drawing>
        </mc:Choice>
        <mc:Fallback>
          <w:pict>
            <v:shape id="_x0000_s1026" o:spid="_x0000_s1026" o:spt="202" type="#_x0000_t202" style="position:absolute;left:0pt;margin-top:0pt;height:12pt;width:2.2pt;mso-position-horizontal:right;mso-position-horizontal-relative:margin;mso-wrap-distance-bottom:0pt;mso-wrap-distance-left:0pt;mso-wrap-distance-right:0pt;mso-wrap-distance-top:0pt;mso-wrap-style:none;z-index:251659264;mso-width-relative:page;mso-height-relative:page;" filled="f" stroked="f" coordsize="21600,21600" o:gfxdata="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Fh6DkXQAAAAAgEAAA8AAAAAAAAAAQAgAAAAIgAAAGRy&#10;cy9kb3ducmV2LnhtbFBLAQIUABQAAAAIAIdO4kCR40IlDQIAAA8EAAAOAAAAAAAAAAEAIAAAAB8B&#10;AABkcnMvZTJvRG9jLnhtbFBLBQYAAAAABgAGAFkBAACeBQAAAAA=&#10;">
              <v:fill on="f" focussize="0,0"/>
              <v:stroke on="f"/>
              <v:imagedata o:title=""/>
              <o:lock v:ext="edit" aspectratio="f"/>
              <v:textbox inset="0mm,0mm,0mm,0mm" style="mso-fit-shape-to-text:t;">
                <w:txbxContent>
                  <w:p w14:paraId="4EA9F3DD">
                    <w:pPr>
                      <w:pStyle w:val="15"/>
                      <w:rPr>
                        <w:rStyle w:val="28"/>
                      </w:rPr>
                    </w:pPr>
                    <w:r>
                      <w:fldChar w:fldCharType="begin"/>
                    </w:r>
                    <w:r>
                      <w:rPr>
                        <w:rStyle w:val="28"/>
                      </w:rPr>
                      <w:instrText xml:space="preserve">PAGE  </w:instrText>
                    </w:r>
                    <w:r>
                      <w:fldChar w:fldCharType="end"/>
                    </w:r>
                  </w:p>
                </w:txbxContent>
              </v:textbox>
              <w10:wrap type="squar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1614D8">
    <w:pPr>
      <w:tabs>
        <w:tab w:val="center" w:pos="4153"/>
        <w:tab w:val="right" w:pos="8306"/>
      </w:tabs>
      <w:ind w:right="360"/>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78E47B7">
                          <w:pPr>
                            <w:tabs>
                              <w:tab w:val="center" w:pos="4153"/>
                              <w:tab w:val="right" w:pos="8306"/>
                            </w:tabs>
                          </w:pPr>
                          <w:r>
                            <w:fldChar w:fldCharType="begin"/>
                          </w:r>
                          <w:r>
                            <w:instrText xml:space="preserve">PAGE  </w:instrText>
                          </w:r>
                          <w:r>
                            <w:fldChar w:fldCharType="separate"/>
                          </w:r>
                          <w:r>
                            <w:t>40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H3jSMsAgAAVwQAAA4AAABkcnMvZTJvRG9jLnhtbK1UzY7TMBC+I/EO&#10;lu80aRGrUj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4feNIywCAABXBAAADgAAAAAAAAABACAAAAAfAQAAZHJzL2Uyb0RvYy54bWxQSwUGAAAAAAYA&#10;BgBZAQAAvQUAAAAA&#10;">
              <v:fill on="f" focussize="0,0"/>
              <v:stroke on="f" weight="0.5pt"/>
              <v:imagedata o:title=""/>
              <o:lock v:ext="edit" aspectratio="f"/>
              <v:textbox inset="0mm,0mm,0mm,0mm" style="mso-fit-shape-to-text:t;">
                <w:txbxContent>
                  <w:p w14:paraId="778E47B7">
                    <w:pPr>
                      <w:tabs>
                        <w:tab w:val="center" w:pos="4153"/>
                        <w:tab w:val="right" w:pos="8306"/>
                      </w:tabs>
                    </w:pPr>
                    <w:r>
                      <w:fldChar w:fldCharType="begin"/>
                    </w:r>
                    <w:r>
                      <w:instrText xml:space="preserve">PAGE  </w:instrText>
                    </w:r>
                    <w:r>
                      <w:fldChar w:fldCharType="separate"/>
                    </w:r>
                    <w:r>
                      <w:t>40</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967846">
    <w:pPr>
      <w:pStyle w:val="15"/>
      <w:ind w:right="360"/>
      <w:rPr>
        <w:sz w:val="21"/>
      </w:rPr>
    </w:pPr>
    <w:r>
      <w:rPr>
        <w:sz w:val="21"/>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1C6A0B9">
                          <w:pPr>
                            <w:pStyle w:val="15"/>
                            <w:rPr>
                              <w:rStyle w:val="28"/>
                            </w:rPr>
                          </w:pPr>
                          <w:r>
                            <w:fldChar w:fldCharType="begin"/>
                          </w:r>
                          <w:r>
                            <w:rPr>
                              <w:rStyle w:val="28"/>
                            </w:rPr>
                            <w:instrText xml:space="preserve">PAGE  </w:instrText>
                          </w:r>
                          <w:r>
                            <w:fldChar w:fldCharType="separate"/>
                          </w:r>
                          <w:r>
                            <w:rPr>
                              <w:rStyle w:val="28"/>
                            </w:rPr>
                            <w:t>62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51C6A0B9">
                    <w:pPr>
                      <w:pStyle w:val="15"/>
                      <w:rPr>
                        <w:rStyle w:val="28"/>
                      </w:rPr>
                    </w:pPr>
                    <w:r>
                      <w:fldChar w:fldCharType="begin"/>
                    </w:r>
                    <w:r>
                      <w:rPr>
                        <w:rStyle w:val="28"/>
                      </w:rPr>
                      <w:instrText xml:space="preserve">PAGE  </w:instrText>
                    </w:r>
                    <w:r>
                      <w:fldChar w:fldCharType="separate"/>
                    </w:r>
                    <w:r>
                      <w:rPr>
                        <w:rStyle w:val="28"/>
                      </w:rPr>
                      <w:t>62</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48C28F">
    <w:pPr>
      <w:pStyle w:val="15"/>
      <w:framePr w:wrap="around" w:vAnchor="text" w:hAnchor="margin" w:xAlign="center" w:y="1"/>
      <w:rPr>
        <w:rStyle w:val="28"/>
      </w:rPr>
    </w:pPr>
    <w:r>
      <w:fldChar w:fldCharType="begin"/>
    </w:r>
    <w:r>
      <w:rPr>
        <w:rStyle w:val="28"/>
      </w:rPr>
      <w:instrText xml:space="preserve">PAGE  </w:instrText>
    </w:r>
    <w:r>
      <w:fldChar w:fldCharType="separate"/>
    </w:r>
    <w:r>
      <w:rPr>
        <w:rStyle w:val="28"/>
      </w:rPr>
      <w:t>47</w:t>
    </w:r>
    <w:r>
      <w:fldChar w:fldCharType="end"/>
    </w:r>
  </w:p>
  <w:p w14:paraId="4822B5B9">
    <w:pPr>
      <w:pStyle w:val="15"/>
      <w:ind w:right="360"/>
      <w:rPr>
        <w:sz w:val="21"/>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4D7CBA">
    <w:pPr>
      <w:pStyle w:val="16"/>
      <w:pBdr>
        <w:bottom w:val="single" w:color="auto" w:sz="4" w:space="1"/>
      </w:pBdr>
      <w:jc w:val="left"/>
      <w:rPr>
        <w:rFonts w:ascii="宋体" w:hAnsi="宋体"/>
        <w:sz w:val="21"/>
        <w:szCs w:val="21"/>
      </w:rPr>
    </w:pPr>
    <w:r>
      <w:rPr>
        <w:rFonts w:hint="eastAsia"/>
      </w:rPr>
      <w:t xml:space="preserve">云南省第五强制隔离戒毒所设备采购（校办、外国语学院、经济管理学院）                             </w:t>
    </w:r>
    <w:r>
      <w:t>项目编号</w:t>
    </w:r>
    <w:r>
      <w:rPr>
        <w:rFonts w:hint="eastAsia"/>
      </w:rPr>
      <w:t>：YNZC2025-J1-01084-YNSZ-0062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E6DF68">
    <w:pPr>
      <w:pStyle w:val="1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2D95B8">
    <w:pPr>
      <w:pStyle w:val="16"/>
      <w:pBdr>
        <w:bottom w:val="none" w:color="auto" w:sz="0" w:space="1"/>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A9F992">
    <w:pPr>
      <w:pStyle w:val="23"/>
      <w:ind w:firstLine="0" w:firstLineChars="0"/>
      <w:jc w:val="both"/>
      <w:rPr>
        <w:u w:val="single"/>
      </w:rPr>
    </w:pPr>
    <w:r>
      <w:rPr>
        <w:rFonts w:hint="eastAsia" w:ascii="Times New Roman" w:eastAsia="宋体"/>
        <w:spacing w:val="0"/>
        <w:kern w:val="0"/>
        <w:sz w:val="18"/>
        <w:szCs w:val="20"/>
        <w:u w:val="single"/>
      </w:rPr>
      <w:t xml:space="preserve">云南师范大学法学与社会学学院(云南纪检监察学院)报告厅会议室政府采购项目        YNZC2025-J1-03091-YNSZ-0179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AF0BA1"/>
    <w:multiLevelType w:val="singleLevel"/>
    <w:tmpl w:val="8EAF0BA1"/>
    <w:lvl w:ilvl="0" w:tentative="0">
      <w:start w:val="12"/>
      <w:numFmt w:val="decimal"/>
      <w:suff w:val="space"/>
      <w:lvlText w:val="%1."/>
      <w:lvlJc w:val="left"/>
    </w:lvl>
  </w:abstractNum>
  <w:abstractNum w:abstractNumId="1">
    <w:nsid w:val="A8292170"/>
    <w:multiLevelType w:val="singleLevel"/>
    <w:tmpl w:val="A8292170"/>
    <w:lvl w:ilvl="0" w:tentative="0">
      <w:start w:val="9"/>
      <w:numFmt w:val="decimal"/>
      <w:suff w:val="space"/>
      <w:lvlText w:val="%1."/>
      <w:lvlJc w:val="left"/>
    </w:lvl>
  </w:abstractNum>
  <w:abstractNum w:abstractNumId="2">
    <w:nsid w:val="AEF71574"/>
    <w:multiLevelType w:val="singleLevel"/>
    <w:tmpl w:val="AEF71574"/>
    <w:lvl w:ilvl="0" w:tentative="0">
      <w:start w:val="19"/>
      <w:numFmt w:val="decimal"/>
      <w:suff w:val="space"/>
      <w:lvlText w:val="%1."/>
      <w:lvlJc w:val="left"/>
    </w:lvl>
  </w:abstractNum>
  <w:abstractNum w:abstractNumId="3">
    <w:nsid w:val="B1E41DF3"/>
    <w:multiLevelType w:val="singleLevel"/>
    <w:tmpl w:val="B1E41DF3"/>
    <w:lvl w:ilvl="0" w:tentative="0">
      <w:start w:val="1"/>
      <w:numFmt w:val="decimal"/>
      <w:suff w:val="nothing"/>
      <w:lvlText w:val="（%1）"/>
      <w:lvlJc w:val="left"/>
    </w:lvl>
  </w:abstractNum>
  <w:abstractNum w:abstractNumId="4">
    <w:nsid w:val="DEAA434D"/>
    <w:multiLevelType w:val="singleLevel"/>
    <w:tmpl w:val="DEAA434D"/>
    <w:lvl w:ilvl="0" w:tentative="0">
      <w:start w:val="5"/>
      <w:numFmt w:val="chineseCounting"/>
      <w:suff w:val="nothing"/>
      <w:lvlText w:val="%1、"/>
      <w:lvlJc w:val="left"/>
      <w:rPr>
        <w:rFonts w:hint="eastAsia"/>
      </w:rPr>
    </w:lvl>
  </w:abstractNum>
  <w:abstractNum w:abstractNumId="5">
    <w:nsid w:val="ED2784AB"/>
    <w:multiLevelType w:val="multilevel"/>
    <w:tmpl w:val="ED2784AB"/>
    <w:lvl w:ilvl="0" w:tentative="0">
      <w:start w:val="1"/>
      <w:numFmt w:val="decimal"/>
      <w:suff w:val="space"/>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6">
    <w:nsid w:val="F973AB9E"/>
    <w:multiLevelType w:val="singleLevel"/>
    <w:tmpl w:val="F973AB9E"/>
    <w:lvl w:ilvl="0" w:tentative="0">
      <w:start w:val="1"/>
      <w:numFmt w:val="decimal"/>
      <w:suff w:val="space"/>
      <w:lvlText w:val="%1."/>
      <w:lvlJc w:val="left"/>
    </w:lvl>
  </w:abstractNum>
  <w:abstractNum w:abstractNumId="7">
    <w:nsid w:val="0315620E"/>
    <w:multiLevelType w:val="multilevel"/>
    <w:tmpl w:val="0315620E"/>
    <w:lvl w:ilvl="0" w:tentative="0">
      <w:start w:val="1"/>
      <w:numFmt w:val="decimal"/>
      <w:pStyle w:val="2"/>
      <w:lvlText w:val="%1"/>
      <w:lvlJc w:val="left"/>
      <w:pPr>
        <w:tabs>
          <w:tab w:val="left" w:pos="360"/>
        </w:tabs>
        <w:ind w:left="284" w:hanging="284"/>
      </w:pPr>
      <w:rPr>
        <w:rFonts w:hint="default" w:ascii="宋体" w:hAnsi="宋体" w:eastAsia="宋体"/>
        <w:b/>
        <w:i w:val="0"/>
        <w:sz w:val="28"/>
      </w:rPr>
    </w:lvl>
    <w:lvl w:ilvl="1" w:tentative="0">
      <w:start w:val="1"/>
      <w:numFmt w:val="decimal"/>
      <w:pStyle w:val="3"/>
      <w:lvlText w:val="%1.%2"/>
      <w:lvlJc w:val="left"/>
      <w:pPr>
        <w:tabs>
          <w:tab w:val="left" w:pos="1021"/>
        </w:tabs>
        <w:ind w:left="1021" w:hanging="596"/>
      </w:pPr>
      <w:rPr>
        <w:rFonts w:hint="default" w:ascii="Times New Roman" w:hAnsi="Times New Roman"/>
        <w:b/>
        <w:i w:val="0"/>
        <w:sz w:val="28"/>
      </w:rPr>
    </w:lvl>
    <w:lvl w:ilvl="2" w:tentative="0">
      <w:start w:val="1"/>
      <w:numFmt w:val="decimal"/>
      <w:pStyle w:val="4"/>
      <w:lvlText w:val="%1.%2.%3"/>
      <w:lvlJc w:val="left"/>
      <w:pPr>
        <w:tabs>
          <w:tab w:val="left" w:pos="1588"/>
        </w:tabs>
        <w:ind w:left="1588" w:hanging="737"/>
      </w:pPr>
      <w:rPr>
        <w:rFonts w:hint="default" w:ascii="Times New Roman" w:hAnsi="Times New Roman"/>
        <w:b/>
        <w:i w:val="0"/>
        <w:sz w:val="24"/>
      </w:rPr>
    </w:lvl>
    <w:lvl w:ilvl="3" w:tentative="0">
      <w:start w:val="1"/>
      <w:numFmt w:val="decimal"/>
      <w:lvlText w:val="%1.%2.%3.%4"/>
      <w:lvlJc w:val="left"/>
      <w:pPr>
        <w:tabs>
          <w:tab w:val="left" w:pos="2155"/>
        </w:tabs>
        <w:ind w:left="2155" w:hanging="1078"/>
      </w:pPr>
      <w:rPr>
        <w:rFonts w:hint="default" w:ascii="Arial" w:hAnsi="Arial"/>
        <w:b w:val="0"/>
        <w:i w:val="0"/>
        <w:sz w:val="24"/>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435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abstractNum w:abstractNumId="8">
    <w:nsid w:val="52F02E20"/>
    <w:multiLevelType w:val="singleLevel"/>
    <w:tmpl w:val="52F02E20"/>
    <w:lvl w:ilvl="0" w:tentative="0">
      <w:start w:val="1"/>
      <w:numFmt w:val="decimal"/>
      <w:suff w:val="space"/>
      <w:lvlText w:val="%1."/>
      <w:lvlJc w:val="left"/>
    </w:lvl>
  </w:abstractNum>
  <w:abstractNum w:abstractNumId="9">
    <w:nsid w:val="58CA51D5"/>
    <w:multiLevelType w:val="singleLevel"/>
    <w:tmpl w:val="58CA51D5"/>
    <w:lvl w:ilvl="0" w:tentative="0">
      <w:start w:val="1"/>
      <w:numFmt w:val="decimal"/>
      <w:suff w:val="space"/>
      <w:lvlText w:val="%1."/>
      <w:lvlJc w:val="left"/>
    </w:lvl>
  </w:abstractNum>
  <w:abstractNum w:abstractNumId="10">
    <w:nsid w:val="6AACF6E2"/>
    <w:multiLevelType w:val="singleLevel"/>
    <w:tmpl w:val="6AACF6E2"/>
    <w:lvl w:ilvl="0" w:tentative="0">
      <w:start w:val="13"/>
      <w:numFmt w:val="decimal"/>
      <w:suff w:val="space"/>
      <w:lvlText w:val="%1."/>
      <w:lvlJc w:val="left"/>
    </w:lvl>
  </w:abstractNum>
  <w:num w:numId="1">
    <w:abstractNumId w:val="7"/>
  </w:num>
  <w:num w:numId="2">
    <w:abstractNumId w:val="3"/>
  </w:num>
  <w:num w:numId="3">
    <w:abstractNumId w:val="5"/>
  </w:num>
  <w:num w:numId="4">
    <w:abstractNumId w:val="4"/>
  </w:num>
  <w:num w:numId="5">
    <w:abstractNumId w:val="9"/>
  </w:num>
  <w:num w:numId="6">
    <w:abstractNumId w:val="1"/>
  </w:num>
  <w:num w:numId="7">
    <w:abstractNumId w:val="0"/>
  </w:num>
  <w:num w:numId="8">
    <w:abstractNumId w:val="2"/>
  </w:num>
  <w:num w:numId="9">
    <w:abstractNumId w:val="6"/>
  </w:num>
  <w:num w:numId="10">
    <w:abstractNumId w:val="8"/>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g5N2MzNTk4NmFlNGQ2ZmE3ZmZkZGVhZTE5ODExMmIifQ=="/>
  </w:docVars>
  <w:rsids>
    <w:rsidRoot w:val="1E59555B"/>
    <w:rsid w:val="00030708"/>
    <w:rsid w:val="00050078"/>
    <w:rsid w:val="000635C9"/>
    <w:rsid w:val="000C6EA6"/>
    <w:rsid w:val="000D120D"/>
    <w:rsid w:val="000D12ED"/>
    <w:rsid w:val="00105EFF"/>
    <w:rsid w:val="00131844"/>
    <w:rsid w:val="001532C8"/>
    <w:rsid w:val="00175B76"/>
    <w:rsid w:val="00177BE1"/>
    <w:rsid w:val="0022020E"/>
    <w:rsid w:val="00247C5A"/>
    <w:rsid w:val="003916DD"/>
    <w:rsid w:val="003B48E6"/>
    <w:rsid w:val="004C7381"/>
    <w:rsid w:val="005B400C"/>
    <w:rsid w:val="005E0AA6"/>
    <w:rsid w:val="00656B51"/>
    <w:rsid w:val="006735E6"/>
    <w:rsid w:val="006E2CCD"/>
    <w:rsid w:val="006E4DA6"/>
    <w:rsid w:val="006F6A66"/>
    <w:rsid w:val="007367C0"/>
    <w:rsid w:val="007C2CDB"/>
    <w:rsid w:val="00854D15"/>
    <w:rsid w:val="00910CD7"/>
    <w:rsid w:val="00975522"/>
    <w:rsid w:val="009F29B3"/>
    <w:rsid w:val="00A03343"/>
    <w:rsid w:val="00A10065"/>
    <w:rsid w:val="00AA0DB5"/>
    <w:rsid w:val="00BC1799"/>
    <w:rsid w:val="00C20571"/>
    <w:rsid w:val="00D36254"/>
    <w:rsid w:val="00D629E6"/>
    <w:rsid w:val="00D81A24"/>
    <w:rsid w:val="00F12620"/>
    <w:rsid w:val="00F96E22"/>
    <w:rsid w:val="013712F7"/>
    <w:rsid w:val="014F03EF"/>
    <w:rsid w:val="019B3634"/>
    <w:rsid w:val="01C6120F"/>
    <w:rsid w:val="01FF0067"/>
    <w:rsid w:val="02C31D2D"/>
    <w:rsid w:val="031E4CD8"/>
    <w:rsid w:val="03465822"/>
    <w:rsid w:val="039607AD"/>
    <w:rsid w:val="039D25FD"/>
    <w:rsid w:val="03F86B1C"/>
    <w:rsid w:val="04260200"/>
    <w:rsid w:val="043F0573"/>
    <w:rsid w:val="049F168E"/>
    <w:rsid w:val="04A70542"/>
    <w:rsid w:val="04BF3ADE"/>
    <w:rsid w:val="04D8694E"/>
    <w:rsid w:val="04DE0FCB"/>
    <w:rsid w:val="051315F4"/>
    <w:rsid w:val="05687CD1"/>
    <w:rsid w:val="056D353A"/>
    <w:rsid w:val="0575419C"/>
    <w:rsid w:val="057A571F"/>
    <w:rsid w:val="05A30034"/>
    <w:rsid w:val="05AA02EA"/>
    <w:rsid w:val="05AA7E88"/>
    <w:rsid w:val="05CC17A6"/>
    <w:rsid w:val="06694D7E"/>
    <w:rsid w:val="06D110F2"/>
    <w:rsid w:val="072D4989"/>
    <w:rsid w:val="07A1396F"/>
    <w:rsid w:val="07C31F5C"/>
    <w:rsid w:val="08111701"/>
    <w:rsid w:val="08360ABF"/>
    <w:rsid w:val="084E626A"/>
    <w:rsid w:val="0855248B"/>
    <w:rsid w:val="086C4739"/>
    <w:rsid w:val="08A60BF7"/>
    <w:rsid w:val="094937EC"/>
    <w:rsid w:val="095B2A4F"/>
    <w:rsid w:val="097E3F67"/>
    <w:rsid w:val="099D71DF"/>
    <w:rsid w:val="099F3713"/>
    <w:rsid w:val="09A35803"/>
    <w:rsid w:val="09EC7C18"/>
    <w:rsid w:val="0A2368BD"/>
    <w:rsid w:val="0A4703B1"/>
    <w:rsid w:val="0A9045FB"/>
    <w:rsid w:val="0AA7129C"/>
    <w:rsid w:val="0ACE5651"/>
    <w:rsid w:val="0AD16319"/>
    <w:rsid w:val="0ADA6434"/>
    <w:rsid w:val="0B25319F"/>
    <w:rsid w:val="0B354AFA"/>
    <w:rsid w:val="0B6D3CA7"/>
    <w:rsid w:val="0B817886"/>
    <w:rsid w:val="0B837647"/>
    <w:rsid w:val="0BE91440"/>
    <w:rsid w:val="0BF16C73"/>
    <w:rsid w:val="0BF72CEF"/>
    <w:rsid w:val="0C007B93"/>
    <w:rsid w:val="0C104211"/>
    <w:rsid w:val="0C526FE5"/>
    <w:rsid w:val="0C75647E"/>
    <w:rsid w:val="0C762C64"/>
    <w:rsid w:val="0C823C84"/>
    <w:rsid w:val="0CF32576"/>
    <w:rsid w:val="0D281315"/>
    <w:rsid w:val="0D2A25C8"/>
    <w:rsid w:val="0D8A7CFB"/>
    <w:rsid w:val="0D982AF1"/>
    <w:rsid w:val="0DA41AC3"/>
    <w:rsid w:val="0DDB52D9"/>
    <w:rsid w:val="0E415563"/>
    <w:rsid w:val="0EC24761"/>
    <w:rsid w:val="0F0A3BA7"/>
    <w:rsid w:val="0F197366"/>
    <w:rsid w:val="0F293D2A"/>
    <w:rsid w:val="0F360E40"/>
    <w:rsid w:val="0F9F7EC0"/>
    <w:rsid w:val="0FE95EB3"/>
    <w:rsid w:val="10173F04"/>
    <w:rsid w:val="104F52E1"/>
    <w:rsid w:val="10563548"/>
    <w:rsid w:val="106704E6"/>
    <w:rsid w:val="1073643D"/>
    <w:rsid w:val="10AB744C"/>
    <w:rsid w:val="10C04426"/>
    <w:rsid w:val="10DE52EC"/>
    <w:rsid w:val="110900E6"/>
    <w:rsid w:val="1169123B"/>
    <w:rsid w:val="11880CFD"/>
    <w:rsid w:val="118934A9"/>
    <w:rsid w:val="1198193E"/>
    <w:rsid w:val="11A606D7"/>
    <w:rsid w:val="11C444E1"/>
    <w:rsid w:val="11D26A55"/>
    <w:rsid w:val="120E4F99"/>
    <w:rsid w:val="121D1E44"/>
    <w:rsid w:val="122D0B62"/>
    <w:rsid w:val="12470DFF"/>
    <w:rsid w:val="12982F18"/>
    <w:rsid w:val="129C02AC"/>
    <w:rsid w:val="12C86656"/>
    <w:rsid w:val="12E144B4"/>
    <w:rsid w:val="130F3E82"/>
    <w:rsid w:val="13211947"/>
    <w:rsid w:val="136E7CC0"/>
    <w:rsid w:val="138D2EFB"/>
    <w:rsid w:val="13AA32FC"/>
    <w:rsid w:val="13BE784A"/>
    <w:rsid w:val="13CE24B6"/>
    <w:rsid w:val="144310D2"/>
    <w:rsid w:val="14615AFD"/>
    <w:rsid w:val="14A8633C"/>
    <w:rsid w:val="14E23D6F"/>
    <w:rsid w:val="15423611"/>
    <w:rsid w:val="15464A66"/>
    <w:rsid w:val="154D7D6B"/>
    <w:rsid w:val="15786151"/>
    <w:rsid w:val="157E175C"/>
    <w:rsid w:val="157E6743"/>
    <w:rsid w:val="159F14ED"/>
    <w:rsid w:val="15A5287C"/>
    <w:rsid w:val="15BE4C2D"/>
    <w:rsid w:val="15C63CE1"/>
    <w:rsid w:val="15D45DFD"/>
    <w:rsid w:val="15F50F73"/>
    <w:rsid w:val="16282BD1"/>
    <w:rsid w:val="168D00A0"/>
    <w:rsid w:val="169A7F07"/>
    <w:rsid w:val="16AC095E"/>
    <w:rsid w:val="16AE5760"/>
    <w:rsid w:val="16D831AB"/>
    <w:rsid w:val="16DA4A0E"/>
    <w:rsid w:val="16F271C0"/>
    <w:rsid w:val="17253C74"/>
    <w:rsid w:val="17267EBB"/>
    <w:rsid w:val="17930E14"/>
    <w:rsid w:val="179606CE"/>
    <w:rsid w:val="184B770B"/>
    <w:rsid w:val="186B570D"/>
    <w:rsid w:val="18E334F9"/>
    <w:rsid w:val="1A530AF8"/>
    <w:rsid w:val="1A5D02B4"/>
    <w:rsid w:val="1A5F283E"/>
    <w:rsid w:val="1A735699"/>
    <w:rsid w:val="1A766290"/>
    <w:rsid w:val="1A78230D"/>
    <w:rsid w:val="1A8962C8"/>
    <w:rsid w:val="1A9D6217"/>
    <w:rsid w:val="1ABA2925"/>
    <w:rsid w:val="1AC76DF0"/>
    <w:rsid w:val="1B1E1106"/>
    <w:rsid w:val="1B1F09DB"/>
    <w:rsid w:val="1B392558"/>
    <w:rsid w:val="1BB41786"/>
    <w:rsid w:val="1BBB236E"/>
    <w:rsid w:val="1BCB23FF"/>
    <w:rsid w:val="1BD01CD5"/>
    <w:rsid w:val="1BE340FE"/>
    <w:rsid w:val="1C2F2632"/>
    <w:rsid w:val="1C431A1E"/>
    <w:rsid w:val="1C6161EF"/>
    <w:rsid w:val="1C714ED2"/>
    <w:rsid w:val="1C7A6EFC"/>
    <w:rsid w:val="1C7C33A5"/>
    <w:rsid w:val="1C946857"/>
    <w:rsid w:val="1CA27B15"/>
    <w:rsid w:val="1CAC68BC"/>
    <w:rsid w:val="1CB877D8"/>
    <w:rsid w:val="1D2D32C6"/>
    <w:rsid w:val="1D4E30E0"/>
    <w:rsid w:val="1D531C2A"/>
    <w:rsid w:val="1D6D0123"/>
    <w:rsid w:val="1D870E9F"/>
    <w:rsid w:val="1DB33E68"/>
    <w:rsid w:val="1DE60A0A"/>
    <w:rsid w:val="1E366767"/>
    <w:rsid w:val="1E3C1639"/>
    <w:rsid w:val="1E470974"/>
    <w:rsid w:val="1E516766"/>
    <w:rsid w:val="1E59555B"/>
    <w:rsid w:val="1E9B0CC0"/>
    <w:rsid w:val="1EB458DE"/>
    <w:rsid w:val="1EBA0591"/>
    <w:rsid w:val="1F36564B"/>
    <w:rsid w:val="1F62468E"/>
    <w:rsid w:val="1FD35F01"/>
    <w:rsid w:val="1FF266BE"/>
    <w:rsid w:val="209459C7"/>
    <w:rsid w:val="20983709"/>
    <w:rsid w:val="20B00A53"/>
    <w:rsid w:val="20D9317C"/>
    <w:rsid w:val="20F20CAE"/>
    <w:rsid w:val="20F47E1D"/>
    <w:rsid w:val="2109726F"/>
    <w:rsid w:val="21132902"/>
    <w:rsid w:val="21324420"/>
    <w:rsid w:val="21352D06"/>
    <w:rsid w:val="21452B65"/>
    <w:rsid w:val="214F1A43"/>
    <w:rsid w:val="216D6944"/>
    <w:rsid w:val="21710F36"/>
    <w:rsid w:val="21B95C22"/>
    <w:rsid w:val="21ED3D22"/>
    <w:rsid w:val="21F04AA1"/>
    <w:rsid w:val="21F7620D"/>
    <w:rsid w:val="21FE3393"/>
    <w:rsid w:val="2211627B"/>
    <w:rsid w:val="22192627"/>
    <w:rsid w:val="223F28BA"/>
    <w:rsid w:val="22C65CB0"/>
    <w:rsid w:val="22CE6861"/>
    <w:rsid w:val="22E7031A"/>
    <w:rsid w:val="230B6414"/>
    <w:rsid w:val="23124760"/>
    <w:rsid w:val="234611FA"/>
    <w:rsid w:val="23694EE9"/>
    <w:rsid w:val="23A841A0"/>
    <w:rsid w:val="23B43A08"/>
    <w:rsid w:val="23BF403D"/>
    <w:rsid w:val="23F24DF1"/>
    <w:rsid w:val="240D557B"/>
    <w:rsid w:val="24446926"/>
    <w:rsid w:val="24485062"/>
    <w:rsid w:val="2467677D"/>
    <w:rsid w:val="24923371"/>
    <w:rsid w:val="24A067C0"/>
    <w:rsid w:val="24D1708C"/>
    <w:rsid w:val="251C3507"/>
    <w:rsid w:val="253357AE"/>
    <w:rsid w:val="253D08C9"/>
    <w:rsid w:val="2545686D"/>
    <w:rsid w:val="254E025E"/>
    <w:rsid w:val="259C1E6E"/>
    <w:rsid w:val="25AB3597"/>
    <w:rsid w:val="25CD1358"/>
    <w:rsid w:val="25DF6087"/>
    <w:rsid w:val="25EB7E37"/>
    <w:rsid w:val="26055FBB"/>
    <w:rsid w:val="262B4A82"/>
    <w:rsid w:val="264E4B47"/>
    <w:rsid w:val="268141E3"/>
    <w:rsid w:val="269112A0"/>
    <w:rsid w:val="26991EBE"/>
    <w:rsid w:val="26BF366E"/>
    <w:rsid w:val="26CD76D4"/>
    <w:rsid w:val="26E66363"/>
    <w:rsid w:val="26F60CB7"/>
    <w:rsid w:val="27764078"/>
    <w:rsid w:val="278249A0"/>
    <w:rsid w:val="27AB7CE2"/>
    <w:rsid w:val="27B67E30"/>
    <w:rsid w:val="27BC5F2F"/>
    <w:rsid w:val="280712FF"/>
    <w:rsid w:val="28137BB2"/>
    <w:rsid w:val="28330D5C"/>
    <w:rsid w:val="285364B4"/>
    <w:rsid w:val="285C326E"/>
    <w:rsid w:val="287835F9"/>
    <w:rsid w:val="28A15125"/>
    <w:rsid w:val="29372A1D"/>
    <w:rsid w:val="293908EE"/>
    <w:rsid w:val="294A31BB"/>
    <w:rsid w:val="2950307E"/>
    <w:rsid w:val="2976035F"/>
    <w:rsid w:val="29A10B8E"/>
    <w:rsid w:val="29BA3F71"/>
    <w:rsid w:val="29E63D17"/>
    <w:rsid w:val="29F7331D"/>
    <w:rsid w:val="2A1536D4"/>
    <w:rsid w:val="2A54552C"/>
    <w:rsid w:val="2A685E08"/>
    <w:rsid w:val="2A85015B"/>
    <w:rsid w:val="2AED3246"/>
    <w:rsid w:val="2B3029F2"/>
    <w:rsid w:val="2B6366C1"/>
    <w:rsid w:val="2B955A93"/>
    <w:rsid w:val="2B976809"/>
    <w:rsid w:val="2BB84C5F"/>
    <w:rsid w:val="2BD55D4B"/>
    <w:rsid w:val="2BED68A1"/>
    <w:rsid w:val="2C33078A"/>
    <w:rsid w:val="2C4209CD"/>
    <w:rsid w:val="2D0669E7"/>
    <w:rsid w:val="2D281BA0"/>
    <w:rsid w:val="2D2D7E99"/>
    <w:rsid w:val="2D4853F0"/>
    <w:rsid w:val="2D5E19BE"/>
    <w:rsid w:val="2D665547"/>
    <w:rsid w:val="2D7062BE"/>
    <w:rsid w:val="2DAF2092"/>
    <w:rsid w:val="2DC071BC"/>
    <w:rsid w:val="2DE56FA9"/>
    <w:rsid w:val="2DF415FF"/>
    <w:rsid w:val="2E0B7907"/>
    <w:rsid w:val="2E570934"/>
    <w:rsid w:val="2E717347"/>
    <w:rsid w:val="2F215289"/>
    <w:rsid w:val="2F4405B8"/>
    <w:rsid w:val="2F784F1A"/>
    <w:rsid w:val="2F923A19"/>
    <w:rsid w:val="2FC57EE8"/>
    <w:rsid w:val="2FF344B8"/>
    <w:rsid w:val="304E18ED"/>
    <w:rsid w:val="30545A61"/>
    <w:rsid w:val="307B625B"/>
    <w:rsid w:val="30BA13F0"/>
    <w:rsid w:val="30BD0622"/>
    <w:rsid w:val="311E5564"/>
    <w:rsid w:val="31552F50"/>
    <w:rsid w:val="317653A0"/>
    <w:rsid w:val="318F0210"/>
    <w:rsid w:val="31974929"/>
    <w:rsid w:val="32123913"/>
    <w:rsid w:val="329F428B"/>
    <w:rsid w:val="32AB72CC"/>
    <w:rsid w:val="330C4D0A"/>
    <w:rsid w:val="330E137C"/>
    <w:rsid w:val="331D7A9E"/>
    <w:rsid w:val="332832EE"/>
    <w:rsid w:val="3330332D"/>
    <w:rsid w:val="333B3CA1"/>
    <w:rsid w:val="33935606"/>
    <w:rsid w:val="33AF6948"/>
    <w:rsid w:val="33CD7C3C"/>
    <w:rsid w:val="34050FDC"/>
    <w:rsid w:val="341B5D8B"/>
    <w:rsid w:val="34311E1F"/>
    <w:rsid w:val="345E575E"/>
    <w:rsid w:val="35111F9B"/>
    <w:rsid w:val="35230BBD"/>
    <w:rsid w:val="35EC149E"/>
    <w:rsid w:val="35F75C25"/>
    <w:rsid w:val="360F18E4"/>
    <w:rsid w:val="366624F1"/>
    <w:rsid w:val="36E96615"/>
    <w:rsid w:val="37B14D16"/>
    <w:rsid w:val="37BA7B59"/>
    <w:rsid w:val="37E1075A"/>
    <w:rsid w:val="380547BD"/>
    <w:rsid w:val="382B0567"/>
    <w:rsid w:val="382C4A0B"/>
    <w:rsid w:val="386F66A6"/>
    <w:rsid w:val="386F72D7"/>
    <w:rsid w:val="38852E97"/>
    <w:rsid w:val="38FF7B80"/>
    <w:rsid w:val="393341D1"/>
    <w:rsid w:val="39461AFC"/>
    <w:rsid w:val="39830B5F"/>
    <w:rsid w:val="39887E98"/>
    <w:rsid w:val="3A042C93"/>
    <w:rsid w:val="3A2D77BF"/>
    <w:rsid w:val="3A4514D5"/>
    <w:rsid w:val="3A7358A6"/>
    <w:rsid w:val="3A993C47"/>
    <w:rsid w:val="3AC24EFC"/>
    <w:rsid w:val="3ACF5B21"/>
    <w:rsid w:val="3AD97B7A"/>
    <w:rsid w:val="3B0414EF"/>
    <w:rsid w:val="3B5A4046"/>
    <w:rsid w:val="3B8019FF"/>
    <w:rsid w:val="3B852828"/>
    <w:rsid w:val="3B8667CA"/>
    <w:rsid w:val="3B951FA7"/>
    <w:rsid w:val="3B95220B"/>
    <w:rsid w:val="3BC12C44"/>
    <w:rsid w:val="3BC431AC"/>
    <w:rsid w:val="3C1A0056"/>
    <w:rsid w:val="3C670AD0"/>
    <w:rsid w:val="3C6D73A0"/>
    <w:rsid w:val="3C942B7F"/>
    <w:rsid w:val="3CB5204F"/>
    <w:rsid w:val="3CE56210"/>
    <w:rsid w:val="3CF33D49"/>
    <w:rsid w:val="3D1418EB"/>
    <w:rsid w:val="3D7E5700"/>
    <w:rsid w:val="3D9720E4"/>
    <w:rsid w:val="3D9D29D5"/>
    <w:rsid w:val="3DE34CFF"/>
    <w:rsid w:val="3E196400"/>
    <w:rsid w:val="3E1F60CE"/>
    <w:rsid w:val="3E232E19"/>
    <w:rsid w:val="3E762CD2"/>
    <w:rsid w:val="3E910182"/>
    <w:rsid w:val="3EC040FF"/>
    <w:rsid w:val="3ECD21D6"/>
    <w:rsid w:val="3EDD455B"/>
    <w:rsid w:val="3F1F729A"/>
    <w:rsid w:val="3F30252F"/>
    <w:rsid w:val="3F4A1EEB"/>
    <w:rsid w:val="3FDF2363"/>
    <w:rsid w:val="40067982"/>
    <w:rsid w:val="402F0187"/>
    <w:rsid w:val="405670AD"/>
    <w:rsid w:val="40935DBA"/>
    <w:rsid w:val="411E335F"/>
    <w:rsid w:val="416274D7"/>
    <w:rsid w:val="418B38A6"/>
    <w:rsid w:val="41AA4BF2"/>
    <w:rsid w:val="42062425"/>
    <w:rsid w:val="4219146C"/>
    <w:rsid w:val="42424E2B"/>
    <w:rsid w:val="42435D3F"/>
    <w:rsid w:val="427D3690"/>
    <w:rsid w:val="4290565E"/>
    <w:rsid w:val="42AC5D2C"/>
    <w:rsid w:val="42B908A8"/>
    <w:rsid w:val="43402A23"/>
    <w:rsid w:val="436948A8"/>
    <w:rsid w:val="43751C0D"/>
    <w:rsid w:val="43AF64F0"/>
    <w:rsid w:val="43BD2088"/>
    <w:rsid w:val="44022AC4"/>
    <w:rsid w:val="444538DF"/>
    <w:rsid w:val="4452301B"/>
    <w:rsid w:val="44983E14"/>
    <w:rsid w:val="44EB79FC"/>
    <w:rsid w:val="45182123"/>
    <w:rsid w:val="454E5CC2"/>
    <w:rsid w:val="45A50A10"/>
    <w:rsid w:val="45EE0CE7"/>
    <w:rsid w:val="45FB4991"/>
    <w:rsid w:val="46350276"/>
    <w:rsid w:val="465D66D7"/>
    <w:rsid w:val="466E2692"/>
    <w:rsid w:val="46B50A13"/>
    <w:rsid w:val="46CE4CED"/>
    <w:rsid w:val="46D87298"/>
    <w:rsid w:val="46F25EC7"/>
    <w:rsid w:val="47086643"/>
    <w:rsid w:val="47367CC6"/>
    <w:rsid w:val="47583A02"/>
    <w:rsid w:val="47967523"/>
    <w:rsid w:val="481B5EDD"/>
    <w:rsid w:val="48621D83"/>
    <w:rsid w:val="486817F1"/>
    <w:rsid w:val="489A5D60"/>
    <w:rsid w:val="48B30BBB"/>
    <w:rsid w:val="48F46E8B"/>
    <w:rsid w:val="49156DF5"/>
    <w:rsid w:val="492F1157"/>
    <w:rsid w:val="493A68E9"/>
    <w:rsid w:val="49413DB3"/>
    <w:rsid w:val="494476DB"/>
    <w:rsid w:val="495905C4"/>
    <w:rsid w:val="498A69C6"/>
    <w:rsid w:val="498B57D8"/>
    <w:rsid w:val="49A062D9"/>
    <w:rsid w:val="49D21EAE"/>
    <w:rsid w:val="49F035FE"/>
    <w:rsid w:val="4ACB00B3"/>
    <w:rsid w:val="4AE65096"/>
    <w:rsid w:val="4AFF2E46"/>
    <w:rsid w:val="4B1E17C7"/>
    <w:rsid w:val="4B737395"/>
    <w:rsid w:val="4B9A5CD8"/>
    <w:rsid w:val="4BC36A87"/>
    <w:rsid w:val="4BC57449"/>
    <w:rsid w:val="4BFA0736"/>
    <w:rsid w:val="4C062146"/>
    <w:rsid w:val="4C104D00"/>
    <w:rsid w:val="4C6B2E05"/>
    <w:rsid w:val="4C7402D7"/>
    <w:rsid w:val="4C7A5761"/>
    <w:rsid w:val="4CA86B33"/>
    <w:rsid w:val="4CCE2137"/>
    <w:rsid w:val="4D243AAB"/>
    <w:rsid w:val="4D502AF2"/>
    <w:rsid w:val="4D561528"/>
    <w:rsid w:val="4D7D31BB"/>
    <w:rsid w:val="4DF6699B"/>
    <w:rsid w:val="4E05146F"/>
    <w:rsid w:val="4E067654"/>
    <w:rsid w:val="4E157A52"/>
    <w:rsid w:val="4E50041A"/>
    <w:rsid w:val="4E7D4DD8"/>
    <w:rsid w:val="4E8A5B90"/>
    <w:rsid w:val="4EAD1FCD"/>
    <w:rsid w:val="4ECA31C9"/>
    <w:rsid w:val="4EDA6023"/>
    <w:rsid w:val="4EE93DE3"/>
    <w:rsid w:val="4EEE25C2"/>
    <w:rsid w:val="4F200B10"/>
    <w:rsid w:val="4F376156"/>
    <w:rsid w:val="4F381A8F"/>
    <w:rsid w:val="4FB01626"/>
    <w:rsid w:val="4FBA1075"/>
    <w:rsid w:val="4FBF15ED"/>
    <w:rsid w:val="4FD05F75"/>
    <w:rsid w:val="4FD317B8"/>
    <w:rsid w:val="50137E07"/>
    <w:rsid w:val="50212524"/>
    <w:rsid w:val="50373AF5"/>
    <w:rsid w:val="5085626F"/>
    <w:rsid w:val="509A5564"/>
    <w:rsid w:val="50A84D81"/>
    <w:rsid w:val="51171EC6"/>
    <w:rsid w:val="512A50C0"/>
    <w:rsid w:val="51340732"/>
    <w:rsid w:val="51415C97"/>
    <w:rsid w:val="5167665C"/>
    <w:rsid w:val="51A06ACD"/>
    <w:rsid w:val="51A9170A"/>
    <w:rsid w:val="51C11D63"/>
    <w:rsid w:val="51CD5850"/>
    <w:rsid w:val="51E952C3"/>
    <w:rsid w:val="51EA0B39"/>
    <w:rsid w:val="51F402C4"/>
    <w:rsid w:val="5221038C"/>
    <w:rsid w:val="52464017"/>
    <w:rsid w:val="527E2316"/>
    <w:rsid w:val="52A002BB"/>
    <w:rsid w:val="52A24BF7"/>
    <w:rsid w:val="52A50EE6"/>
    <w:rsid w:val="52BE22AC"/>
    <w:rsid w:val="52ED2D3B"/>
    <w:rsid w:val="530C74BB"/>
    <w:rsid w:val="531D0009"/>
    <w:rsid w:val="532D4233"/>
    <w:rsid w:val="533126C4"/>
    <w:rsid w:val="53894668"/>
    <w:rsid w:val="53C27B7A"/>
    <w:rsid w:val="53D8114B"/>
    <w:rsid w:val="54396C1B"/>
    <w:rsid w:val="5446270A"/>
    <w:rsid w:val="54490586"/>
    <w:rsid w:val="544B4013"/>
    <w:rsid w:val="54BC0A6D"/>
    <w:rsid w:val="54BE3E70"/>
    <w:rsid w:val="554622A8"/>
    <w:rsid w:val="55653932"/>
    <w:rsid w:val="557D4DBD"/>
    <w:rsid w:val="558F7F2F"/>
    <w:rsid w:val="559E0172"/>
    <w:rsid w:val="55C4536B"/>
    <w:rsid w:val="55E3705C"/>
    <w:rsid w:val="561C7125"/>
    <w:rsid w:val="56350AD7"/>
    <w:rsid w:val="56551179"/>
    <w:rsid w:val="56666EE2"/>
    <w:rsid w:val="566A5DBC"/>
    <w:rsid w:val="56701D9E"/>
    <w:rsid w:val="56706A9B"/>
    <w:rsid w:val="56845BF6"/>
    <w:rsid w:val="569F41A2"/>
    <w:rsid w:val="56CF648E"/>
    <w:rsid w:val="56D04AC4"/>
    <w:rsid w:val="56DD16D5"/>
    <w:rsid w:val="56E1345E"/>
    <w:rsid w:val="571D0537"/>
    <w:rsid w:val="573D614D"/>
    <w:rsid w:val="576B0117"/>
    <w:rsid w:val="57882E88"/>
    <w:rsid w:val="57CD5CC0"/>
    <w:rsid w:val="57D64006"/>
    <w:rsid w:val="57E879E4"/>
    <w:rsid w:val="580F333A"/>
    <w:rsid w:val="581265F8"/>
    <w:rsid w:val="582D0006"/>
    <w:rsid w:val="584515DF"/>
    <w:rsid w:val="588C2C1B"/>
    <w:rsid w:val="5895585D"/>
    <w:rsid w:val="58A805FB"/>
    <w:rsid w:val="5907084C"/>
    <w:rsid w:val="593F14EE"/>
    <w:rsid w:val="59A91970"/>
    <w:rsid w:val="5A1B16FC"/>
    <w:rsid w:val="5A1E4C82"/>
    <w:rsid w:val="5A5956A6"/>
    <w:rsid w:val="5A707A3E"/>
    <w:rsid w:val="5ABB4618"/>
    <w:rsid w:val="5AD912B7"/>
    <w:rsid w:val="5B1B2731"/>
    <w:rsid w:val="5B411CCC"/>
    <w:rsid w:val="5B6B7732"/>
    <w:rsid w:val="5BA74225"/>
    <w:rsid w:val="5BAF6C35"/>
    <w:rsid w:val="5BBA1D5B"/>
    <w:rsid w:val="5BDB5270"/>
    <w:rsid w:val="5BDC789A"/>
    <w:rsid w:val="5C0E6052"/>
    <w:rsid w:val="5C1F6468"/>
    <w:rsid w:val="5C3721F1"/>
    <w:rsid w:val="5C3D2493"/>
    <w:rsid w:val="5CB80B51"/>
    <w:rsid w:val="5CCD7034"/>
    <w:rsid w:val="5CEB062A"/>
    <w:rsid w:val="5D284AE6"/>
    <w:rsid w:val="5D3C274B"/>
    <w:rsid w:val="5D430E5E"/>
    <w:rsid w:val="5DA459FF"/>
    <w:rsid w:val="5E1611EE"/>
    <w:rsid w:val="5E3561A3"/>
    <w:rsid w:val="5E8949FA"/>
    <w:rsid w:val="5EE4309A"/>
    <w:rsid w:val="5F117C07"/>
    <w:rsid w:val="5F1F4781"/>
    <w:rsid w:val="5F380B81"/>
    <w:rsid w:val="5FA556E2"/>
    <w:rsid w:val="5FAA26D0"/>
    <w:rsid w:val="600B4B1F"/>
    <w:rsid w:val="601D5143"/>
    <w:rsid w:val="60513216"/>
    <w:rsid w:val="605930EA"/>
    <w:rsid w:val="609556BB"/>
    <w:rsid w:val="60F17CF0"/>
    <w:rsid w:val="60F90189"/>
    <w:rsid w:val="6138129C"/>
    <w:rsid w:val="615C09AA"/>
    <w:rsid w:val="618E553F"/>
    <w:rsid w:val="619B4A85"/>
    <w:rsid w:val="61B431F8"/>
    <w:rsid w:val="61C55405"/>
    <w:rsid w:val="61C84EF5"/>
    <w:rsid w:val="61DD75B7"/>
    <w:rsid w:val="61E03F8E"/>
    <w:rsid w:val="61FF2779"/>
    <w:rsid w:val="62165C60"/>
    <w:rsid w:val="62274C51"/>
    <w:rsid w:val="62287742"/>
    <w:rsid w:val="62402D30"/>
    <w:rsid w:val="6299063F"/>
    <w:rsid w:val="62A379A4"/>
    <w:rsid w:val="62EC4F71"/>
    <w:rsid w:val="630B0BB1"/>
    <w:rsid w:val="6347009B"/>
    <w:rsid w:val="63844520"/>
    <w:rsid w:val="63BF5E84"/>
    <w:rsid w:val="63D8423A"/>
    <w:rsid w:val="63ED479F"/>
    <w:rsid w:val="649A251A"/>
    <w:rsid w:val="64A92074"/>
    <w:rsid w:val="64B654D9"/>
    <w:rsid w:val="64CB2AC5"/>
    <w:rsid w:val="650746FA"/>
    <w:rsid w:val="655014ED"/>
    <w:rsid w:val="658B2B75"/>
    <w:rsid w:val="65B5753E"/>
    <w:rsid w:val="65F91B21"/>
    <w:rsid w:val="66373B0D"/>
    <w:rsid w:val="66D47E98"/>
    <w:rsid w:val="67065B78"/>
    <w:rsid w:val="672237DA"/>
    <w:rsid w:val="67604A93"/>
    <w:rsid w:val="679C6C08"/>
    <w:rsid w:val="67AB0BF9"/>
    <w:rsid w:val="67AF44DB"/>
    <w:rsid w:val="67E330DB"/>
    <w:rsid w:val="684D7B1B"/>
    <w:rsid w:val="68541290"/>
    <w:rsid w:val="686873A4"/>
    <w:rsid w:val="688A4CB2"/>
    <w:rsid w:val="68E15F6D"/>
    <w:rsid w:val="6922313D"/>
    <w:rsid w:val="69357889"/>
    <w:rsid w:val="69497048"/>
    <w:rsid w:val="69794D27"/>
    <w:rsid w:val="69A97868"/>
    <w:rsid w:val="69E5416A"/>
    <w:rsid w:val="69F85234"/>
    <w:rsid w:val="6A1B6F16"/>
    <w:rsid w:val="6A251BF0"/>
    <w:rsid w:val="6A5A70C2"/>
    <w:rsid w:val="6A70612A"/>
    <w:rsid w:val="6A831360"/>
    <w:rsid w:val="6A863A54"/>
    <w:rsid w:val="6A9813CD"/>
    <w:rsid w:val="6B142F59"/>
    <w:rsid w:val="6B926706"/>
    <w:rsid w:val="6B963A9A"/>
    <w:rsid w:val="6C7157E6"/>
    <w:rsid w:val="6CAB169B"/>
    <w:rsid w:val="6CC17684"/>
    <w:rsid w:val="6CDE737B"/>
    <w:rsid w:val="6D446BC7"/>
    <w:rsid w:val="6D9F0FC8"/>
    <w:rsid w:val="6DDA4CE5"/>
    <w:rsid w:val="6DEA7FA1"/>
    <w:rsid w:val="6DF1359C"/>
    <w:rsid w:val="6E240780"/>
    <w:rsid w:val="6E26547D"/>
    <w:rsid w:val="6E71759A"/>
    <w:rsid w:val="6E8126B3"/>
    <w:rsid w:val="6E9C129B"/>
    <w:rsid w:val="6EA7717F"/>
    <w:rsid w:val="6EBC2BAF"/>
    <w:rsid w:val="6EBF07BE"/>
    <w:rsid w:val="6ECB4906"/>
    <w:rsid w:val="6EEB1F4E"/>
    <w:rsid w:val="6F635077"/>
    <w:rsid w:val="6F893A71"/>
    <w:rsid w:val="6F9D0F21"/>
    <w:rsid w:val="6FE520CF"/>
    <w:rsid w:val="708B6902"/>
    <w:rsid w:val="70C43402"/>
    <w:rsid w:val="70D76C6E"/>
    <w:rsid w:val="70F33611"/>
    <w:rsid w:val="71411BAE"/>
    <w:rsid w:val="71512FC8"/>
    <w:rsid w:val="71A85829"/>
    <w:rsid w:val="71AF5333"/>
    <w:rsid w:val="71B20647"/>
    <w:rsid w:val="71FE0291"/>
    <w:rsid w:val="71FE13A2"/>
    <w:rsid w:val="720946AE"/>
    <w:rsid w:val="72462C7C"/>
    <w:rsid w:val="72836766"/>
    <w:rsid w:val="73000A27"/>
    <w:rsid w:val="73372EAE"/>
    <w:rsid w:val="735A7369"/>
    <w:rsid w:val="738B5DD5"/>
    <w:rsid w:val="73A62BBC"/>
    <w:rsid w:val="73BE4628"/>
    <w:rsid w:val="73C80D84"/>
    <w:rsid w:val="73D83AB7"/>
    <w:rsid w:val="743E26BA"/>
    <w:rsid w:val="74635464"/>
    <w:rsid w:val="751E25D4"/>
    <w:rsid w:val="752379E5"/>
    <w:rsid w:val="758E68E9"/>
    <w:rsid w:val="75A25B0E"/>
    <w:rsid w:val="75B553ED"/>
    <w:rsid w:val="760D13CE"/>
    <w:rsid w:val="760F67F7"/>
    <w:rsid w:val="76200A04"/>
    <w:rsid w:val="76263B40"/>
    <w:rsid w:val="763F065D"/>
    <w:rsid w:val="764346F2"/>
    <w:rsid w:val="764B54BC"/>
    <w:rsid w:val="76534514"/>
    <w:rsid w:val="76590078"/>
    <w:rsid w:val="76FD758F"/>
    <w:rsid w:val="771B13FB"/>
    <w:rsid w:val="772346C5"/>
    <w:rsid w:val="7734249D"/>
    <w:rsid w:val="776367F3"/>
    <w:rsid w:val="77A84CE7"/>
    <w:rsid w:val="77F23F49"/>
    <w:rsid w:val="780D3580"/>
    <w:rsid w:val="78385533"/>
    <w:rsid w:val="785B3F75"/>
    <w:rsid w:val="788E4965"/>
    <w:rsid w:val="78A339D3"/>
    <w:rsid w:val="78CD6342"/>
    <w:rsid w:val="78E242D1"/>
    <w:rsid w:val="78F374A8"/>
    <w:rsid w:val="79020971"/>
    <w:rsid w:val="79221EAB"/>
    <w:rsid w:val="793B5B55"/>
    <w:rsid w:val="793F0BA4"/>
    <w:rsid w:val="7951144C"/>
    <w:rsid w:val="79554E68"/>
    <w:rsid w:val="79A27982"/>
    <w:rsid w:val="79B00025"/>
    <w:rsid w:val="79CD0EA3"/>
    <w:rsid w:val="79E104AA"/>
    <w:rsid w:val="7A020A64"/>
    <w:rsid w:val="7A252A8D"/>
    <w:rsid w:val="7A6335B5"/>
    <w:rsid w:val="7A6412ED"/>
    <w:rsid w:val="7A672D6C"/>
    <w:rsid w:val="7A7F1A71"/>
    <w:rsid w:val="7A9D3591"/>
    <w:rsid w:val="7AAC346B"/>
    <w:rsid w:val="7AC027B5"/>
    <w:rsid w:val="7ADA0B96"/>
    <w:rsid w:val="7B5D1C3E"/>
    <w:rsid w:val="7B7404CB"/>
    <w:rsid w:val="7B7F018E"/>
    <w:rsid w:val="7B846F29"/>
    <w:rsid w:val="7B963516"/>
    <w:rsid w:val="7BD65CCD"/>
    <w:rsid w:val="7C51777A"/>
    <w:rsid w:val="7C615C4E"/>
    <w:rsid w:val="7C97590C"/>
    <w:rsid w:val="7CC20C25"/>
    <w:rsid w:val="7CD27F01"/>
    <w:rsid w:val="7CD71AFC"/>
    <w:rsid w:val="7CD948F6"/>
    <w:rsid w:val="7CF624BE"/>
    <w:rsid w:val="7D723DB3"/>
    <w:rsid w:val="7DB749CE"/>
    <w:rsid w:val="7DBB0F87"/>
    <w:rsid w:val="7DBF6D54"/>
    <w:rsid w:val="7DCC6ADE"/>
    <w:rsid w:val="7E0F1D9E"/>
    <w:rsid w:val="7E2706C0"/>
    <w:rsid w:val="7E3F3E39"/>
    <w:rsid w:val="7E897D0F"/>
    <w:rsid w:val="7E9C52E7"/>
    <w:rsid w:val="7EDC7EFB"/>
    <w:rsid w:val="7EDE50A9"/>
    <w:rsid w:val="7EE051D4"/>
    <w:rsid w:val="7EE527EB"/>
    <w:rsid w:val="7F08472B"/>
    <w:rsid w:val="7F2878C7"/>
    <w:rsid w:val="7F572AF7"/>
    <w:rsid w:val="7F5C3F0B"/>
    <w:rsid w:val="7F83465F"/>
    <w:rsid w:val="7F9B39AC"/>
    <w:rsid w:val="7FBE7BDA"/>
    <w:rsid w:val="7FDF548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nhideWhenUsed="0" w:uiPriority="99"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38"/>
    <w:qFormat/>
    <w:uiPriority w:val="0"/>
    <w:pPr>
      <w:keepNext/>
      <w:numPr>
        <w:ilvl w:val="0"/>
        <w:numId w:val="1"/>
      </w:numPr>
      <w:autoSpaceDE w:val="0"/>
      <w:autoSpaceDN w:val="0"/>
      <w:adjustRightInd w:val="0"/>
      <w:jc w:val="left"/>
      <w:outlineLvl w:val="0"/>
    </w:pPr>
    <w:rPr>
      <w:rFonts w:ascii="仿宋_GB2312" w:eastAsia="仿宋_GB2312"/>
      <w:b/>
      <w:bCs/>
      <w:color w:val="000000"/>
      <w:kern w:val="0"/>
      <w:sz w:val="28"/>
      <w:szCs w:val="20"/>
    </w:rPr>
  </w:style>
  <w:style w:type="paragraph" w:styleId="3">
    <w:name w:val="heading 2"/>
    <w:basedOn w:val="1"/>
    <w:next w:val="1"/>
    <w:qFormat/>
    <w:uiPriority w:val="0"/>
    <w:pPr>
      <w:keepNext/>
      <w:keepLines/>
      <w:numPr>
        <w:ilvl w:val="1"/>
        <w:numId w:val="1"/>
      </w:numPr>
      <w:tabs>
        <w:tab w:val="left" w:pos="360"/>
      </w:tabs>
      <w:spacing w:before="120" w:after="120" w:line="360" w:lineRule="auto"/>
      <w:jc w:val="center"/>
      <w:outlineLvl w:val="1"/>
    </w:pPr>
    <w:rPr>
      <w:rFonts w:ascii="Arial" w:hAnsi="Arial"/>
      <w:b/>
      <w:bCs/>
      <w:sz w:val="28"/>
      <w:szCs w:val="32"/>
    </w:rPr>
  </w:style>
  <w:style w:type="paragraph" w:styleId="4">
    <w:name w:val="heading 3"/>
    <w:basedOn w:val="1"/>
    <w:next w:val="1"/>
    <w:qFormat/>
    <w:uiPriority w:val="0"/>
    <w:pPr>
      <w:keepNext/>
      <w:keepLines/>
      <w:numPr>
        <w:ilvl w:val="2"/>
        <w:numId w:val="1"/>
      </w:numPr>
      <w:tabs>
        <w:tab w:val="left" w:pos="360"/>
      </w:tabs>
      <w:spacing w:before="120" w:after="120" w:line="360" w:lineRule="auto"/>
      <w:jc w:val="center"/>
      <w:outlineLvl w:val="2"/>
    </w:pPr>
    <w:rPr>
      <w:rFonts w:ascii="宋体"/>
      <w:b/>
      <w:bCs/>
      <w:sz w:val="24"/>
      <w:szCs w:val="32"/>
    </w:rPr>
  </w:style>
  <w:style w:type="character" w:default="1" w:styleId="26">
    <w:name w:val="Default Paragraph Font"/>
    <w:semiHidden/>
    <w:unhideWhenUsed/>
    <w:qFormat/>
    <w:uiPriority w:val="1"/>
  </w:style>
  <w:style w:type="table" w:default="1" w:styleId="24">
    <w:name w:val="Normal Table"/>
    <w:semiHidden/>
    <w:unhideWhenUsed/>
    <w:qFormat/>
    <w:uiPriority w:val="99"/>
    <w:tblPr>
      <w:tblCellMar>
        <w:top w:w="0" w:type="dxa"/>
        <w:left w:w="108" w:type="dxa"/>
        <w:bottom w:w="0" w:type="dxa"/>
        <w:right w:w="108" w:type="dxa"/>
      </w:tblCellMar>
    </w:tblPr>
  </w:style>
  <w:style w:type="paragraph" w:styleId="5">
    <w:name w:val="Normal Indent"/>
    <w:basedOn w:val="1"/>
    <w:next w:val="1"/>
    <w:qFormat/>
    <w:uiPriority w:val="0"/>
    <w:pPr>
      <w:tabs>
        <w:tab w:val="left" w:pos="750"/>
      </w:tabs>
      <w:spacing w:beforeLines="50" w:line="300" w:lineRule="auto"/>
      <w:ind w:firstLine="200" w:firstLineChars="200"/>
    </w:pPr>
    <w:rPr>
      <w:rFonts w:ascii="宋体"/>
      <w:szCs w:val="20"/>
    </w:rPr>
  </w:style>
  <w:style w:type="paragraph" w:styleId="6">
    <w:name w:val="Document Map"/>
    <w:basedOn w:val="1"/>
    <w:qFormat/>
    <w:uiPriority w:val="0"/>
    <w:pPr>
      <w:shd w:val="clear" w:color="auto" w:fill="000080"/>
    </w:pPr>
  </w:style>
  <w:style w:type="paragraph" w:styleId="7">
    <w:name w:val="annotation text"/>
    <w:basedOn w:val="1"/>
    <w:qFormat/>
    <w:uiPriority w:val="0"/>
    <w:pPr>
      <w:jc w:val="left"/>
    </w:pPr>
  </w:style>
  <w:style w:type="paragraph" w:styleId="8">
    <w:name w:val="Body Text"/>
    <w:basedOn w:val="1"/>
    <w:next w:val="9"/>
    <w:qFormat/>
    <w:uiPriority w:val="0"/>
    <w:pPr>
      <w:adjustRightInd w:val="0"/>
      <w:spacing w:line="360" w:lineRule="auto"/>
    </w:pPr>
    <w:rPr>
      <w:rFonts w:ascii="宋体"/>
      <w:bCs/>
      <w:iCs/>
      <w:color w:val="FF00FF"/>
      <w:kern w:val="44"/>
      <w:sz w:val="28"/>
      <w:szCs w:val="20"/>
    </w:rPr>
  </w:style>
  <w:style w:type="paragraph" w:styleId="9">
    <w:name w:val="toc 5"/>
    <w:basedOn w:val="1"/>
    <w:next w:val="1"/>
    <w:qFormat/>
    <w:uiPriority w:val="0"/>
    <w:pPr>
      <w:ind w:left="840"/>
      <w:jc w:val="left"/>
    </w:pPr>
    <w:rPr>
      <w:sz w:val="18"/>
      <w:szCs w:val="18"/>
    </w:rPr>
  </w:style>
  <w:style w:type="paragraph" w:styleId="10">
    <w:name w:val="Body Text Indent"/>
    <w:basedOn w:val="1"/>
    <w:next w:val="11"/>
    <w:qFormat/>
    <w:uiPriority w:val="0"/>
    <w:pPr>
      <w:ind w:firstLine="200" w:firstLineChars="200"/>
      <w:jc w:val="left"/>
    </w:pPr>
    <w:rPr>
      <w:rFonts w:ascii="仿宋_GB2312" w:eastAsia="仿宋_GB2312"/>
      <w:sz w:val="28"/>
    </w:rPr>
  </w:style>
  <w:style w:type="paragraph" w:styleId="11">
    <w:name w:val="annotation subject"/>
    <w:basedOn w:val="7"/>
    <w:next w:val="1"/>
    <w:semiHidden/>
    <w:qFormat/>
    <w:uiPriority w:val="0"/>
    <w:rPr>
      <w:b/>
      <w:bCs/>
    </w:rPr>
  </w:style>
  <w:style w:type="paragraph" w:styleId="12">
    <w:name w:val="toc 3"/>
    <w:basedOn w:val="1"/>
    <w:next w:val="1"/>
    <w:qFormat/>
    <w:uiPriority w:val="39"/>
    <w:pPr>
      <w:tabs>
        <w:tab w:val="right" w:leader="dot" w:pos="9515"/>
      </w:tabs>
      <w:ind w:left="400" w:leftChars="400"/>
    </w:pPr>
  </w:style>
  <w:style w:type="paragraph" w:styleId="13">
    <w:name w:val="Plain Text"/>
    <w:basedOn w:val="1"/>
    <w:qFormat/>
    <w:uiPriority w:val="99"/>
    <w:pPr>
      <w:autoSpaceDE w:val="0"/>
      <w:autoSpaceDN w:val="0"/>
      <w:adjustRightInd w:val="0"/>
      <w:jc w:val="left"/>
    </w:pPr>
    <w:rPr>
      <w:rFonts w:ascii="宋体"/>
      <w:kern w:val="0"/>
      <w:sz w:val="20"/>
    </w:rPr>
  </w:style>
  <w:style w:type="paragraph" w:styleId="14">
    <w:name w:val="Balloon Text"/>
    <w:basedOn w:val="1"/>
    <w:link w:val="37"/>
    <w:qFormat/>
    <w:uiPriority w:val="0"/>
    <w:rPr>
      <w:sz w:val="18"/>
      <w:szCs w:val="18"/>
    </w:rPr>
  </w:style>
  <w:style w:type="paragraph" w:styleId="15">
    <w:name w:val="footer"/>
    <w:basedOn w:val="1"/>
    <w:qFormat/>
    <w:uiPriority w:val="99"/>
    <w:pPr>
      <w:tabs>
        <w:tab w:val="center" w:pos="4153"/>
        <w:tab w:val="right" w:pos="8306"/>
      </w:tabs>
      <w:adjustRightInd w:val="0"/>
      <w:spacing w:line="240" w:lineRule="atLeast"/>
      <w:jc w:val="left"/>
      <w:textAlignment w:val="baseline"/>
    </w:pPr>
    <w:rPr>
      <w:kern w:val="0"/>
      <w:sz w:val="18"/>
      <w:szCs w:val="20"/>
    </w:rPr>
  </w:style>
  <w:style w:type="paragraph" w:styleId="16">
    <w:name w:val="header"/>
    <w:basedOn w:val="1"/>
    <w:qFormat/>
    <w:uiPriority w:val="99"/>
    <w:pPr>
      <w:pBdr>
        <w:bottom w:val="single" w:color="auto" w:sz="6" w:space="1"/>
      </w:pBdr>
      <w:tabs>
        <w:tab w:val="center" w:pos="4153"/>
        <w:tab w:val="right" w:pos="8306"/>
      </w:tabs>
      <w:adjustRightInd w:val="0"/>
      <w:spacing w:line="240" w:lineRule="atLeast"/>
      <w:jc w:val="center"/>
      <w:textAlignment w:val="baseline"/>
    </w:pPr>
    <w:rPr>
      <w:kern w:val="0"/>
      <w:sz w:val="18"/>
      <w:szCs w:val="20"/>
    </w:rPr>
  </w:style>
  <w:style w:type="paragraph" w:styleId="17">
    <w:name w:val="toc 1"/>
    <w:basedOn w:val="1"/>
    <w:next w:val="1"/>
    <w:qFormat/>
    <w:uiPriority w:val="39"/>
  </w:style>
  <w:style w:type="paragraph" w:styleId="18">
    <w:name w:val="toc 2"/>
    <w:basedOn w:val="1"/>
    <w:next w:val="1"/>
    <w:qFormat/>
    <w:uiPriority w:val="39"/>
    <w:pPr>
      <w:ind w:left="60" w:firstLine="300"/>
    </w:pPr>
  </w:style>
  <w:style w:type="paragraph" w:styleId="19">
    <w:name w:val="Body Text 2"/>
    <w:basedOn w:val="1"/>
    <w:qFormat/>
    <w:uiPriority w:val="0"/>
    <w:rPr>
      <w:rFonts w:ascii="宋体"/>
      <w:sz w:val="13"/>
      <w:szCs w:val="20"/>
    </w:rPr>
  </w:style>
  <w:style w:type="paragraph" w:styleId="20">
    <w:name w:val="Message Header"/>
    <w:basedOn w:val="1"/>
    <w:qFormat/>
    <w:uiPriority w:val="99"/>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Arial" w:hAnsi="Arial"/>
      <w:sz w:val="24"/>
    </w:rPr>
  </w:style>
  <w:style w:type="paragraph" w:styleId="21">
    <w:name w:val="Normal (Web)"/>
    <w:basedOn w:val="1"/>
    <w:qFormat/>
    <w:uiPriority w:val="0"/>
    <w:pPr>
      <w:spacing w:before="100" w:beforeAutospacing="1" w:after="100" w:afterAutospacing="1"/>
      <w:jc w:val="left"/>
    </w:pPr>
    <w:rPr>
      <w:kern w:val="0"/>
      <w:sz w:val="24"/>
    </w:rPr>
  </w:style>
  <w:style w:type="paragraph" w:styleId="22">
    <w:name w:val="Body Text First Indent"/>
    <w:basedOn w:val="8"/>
    <w:qFormat/>
    <w:uiPriority w:val="0"/>
    <w:pPr>
      <w:tabs>
        <w:tab w:val="center" w:pos="2185"/>
      </w:tabs>
      <w:adjustRightInd/>
      <w:spacing w:beforeLines="50" w:line="300" w:lineRule="auto"/>
      <w:ind w:firstLine="200" w:firstLineChars="200"/>
    </w:pPr>
    <w:rPr>
      <w:rFonts w:ascii="楷体_GB2312" w:eastAsia="楷体_GB2312"/>
      <w:bCs w:val="0"/>
      <w:iCs w:val="0"/>
      <w:color w:val="auto"/>
      <w:spacing w:val="4"/>
      <w:kern w:val="2"/>
      <w:sz w:val="21"/>
    </w:rPr>
  </w:style>
  <w:style w:type="paragraph" w:styleId="23">
    <w:name w:val="Body Text First Indent 2"/>
    <w:basedOn w:val="10"/>
    <w:unhideWhenUsed/>
    <w:qFormat/>
    <w:uiPriority w:val="99"/>
    <w:pPr>
      <w:ind w:firstLine="420"/>
    </w:pPr>
    <w:rPr>
      <w:rFonts w:ascii="宋体"/>
      <w:spacing w:val="-4"/>
    </w:rPr>
  </w:style>
  <w:style w:type="table" w:styleId="25">
    <w:name w:val="Table Grid"/>
    <w:basedOn w:val="2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7">
    <w:name w:val="Strong"/>
    <w:basedOn w:val="26"/>
    <w:qFormat/>
    <w:uiPriority w:val="0"/>
    <w:rPr>
      <w:b/>
    </w:rPr>
  </w:style>
  <w:style w:type="character" w:styleId="28">
    <w:name w:val="page number"/>
    <w:qFormat/>
    <w:uiPriority w:val="0"/>
  </w:style>
  <w:style w:type="character" w:styleId="29">
    <w:name w:val="Emphasis"/>
    <w:qFormat/>
    <w:uiPriority w:val="0"/>
    <w:rPr>
      <w:i/>
    </w:rPr>
  </w:style>
  <w:style w:type="character" w:styleId="30">
    <w:name w:val="Hyperlink"/>
    <w:qFormat/>
    <w:uiPriority w:val="99"/>
    <w:rPr>
      <w:color w:val="0000FF"/>
      <w:u w:val="single"/>
    </w:rPr>
  </w:style>
  <w:style w:type="character" w:styleId="31">
    <w:name w:val="annotation reference"/>
    <w:basedOn w:val="26"/>
    <w:qFormat/>
    <w:uiPriority w:val="0"/>
    <w:rPr>
      <w:sz w:val="21"/>
      <w:szCs w:val="21"/>
    </w:rPr>
  </w:style>
  <w:style w:type="paragraph" w:customStyle="1" w:styleId="32">
    <w:name w:val="样式 正文文字缩进 + 小四 首行缩进:  2 字符"/>
    <w:basedOn w:val="1"/>
    <w:qFormat/>
    <w:uiPriority w:val="0"/>
    <w:pPr>
      <w:spacing w:line="600" w:lineRule="exact"/>
      <w:jc w:val="center"/>
    </w:pPr>
    <w:rPr>
      <w:rFonts w:ascii="宋体"/>
      <w:b/>
      <w:u w:val="double"/>
    </w:rPr>
  </w:style>
  <w:style w:type="paragraph" w:customStyle="1" w:styleId="33">
    <w:name w:val="p2"/>
    <w:basedOn w:val="1"/>
    <w:qFormat/>
    <w:uiPriority w:val="0"/>
    <w:pPr>
      <w:widowControl/>
      <w:spacing w:line="480" w:lineRule="auto"/>
      <w:ind w:firstLine="420"/>
      <w:jc w:val="left"/>
    </w:pPr>
    <w:rPr>
      <w:rFonts w:ascii="宋体" w:hAnsi="宋体" w:cs="宋体"/>
      <w:kern w:val="0"/>
      <w:szCs w:val="21"/>
    </w:rPr>
  </w:style>
  <w:style w:type="paragraph" w:customStyle="1" w:styleId="34">
    <w:name w:val="列表段落1"/>
    <w:basedOn w:val="1"/>
    <w:qFormat/>
    <w:uiPriority w:val="34"/>
    <w:pPr>
      <w:ind w:firstLine="420" w:firstLineChars="200"/>
    </w:pPr>
  </w:style>
  <w:style w:type="paragraph" w:customStyle="1" w:styleId="35">
    <w:name w:val="正文_13"/>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6">
    <w:name w:val="纯文本 New New"/>
    <w:basedOn w:val="1"/>
    <w:next w:val="1"/>
    <w:qFormat/>
    <w:uiPriority w:val="0"/>
    <w:pPr>
      <w:autoSpaceDE w:val="0"/>
      <w:autoSpaceDN w:val="0"/>
      <w:adjustRightInd w:val="0"/>
      <w:jc w:val="left"/>
    </w:pPr>
    <w:rPr>
      <w:rFonts w:ascii="宋体"/>
    </w:rPr>
  </w:style>
  <w:style w:type="character" w:customStyle="1" w:styleId="37">
    <w:name w:val="批注框文本 字符"/>
    <w:basedOn w:val="26"/>
    <w:link w:val="14"/>
    <w:qFormat/>
    <w:uiPriority w:val="0"/>
    <w:rPr>
      <w:kern w:val="2"/>
      <w:sz w:val="18"/>
      <w:szCs w:val="18"/>
    </w:rPr>
  </w:style>
  <w:style w:type="character" w:customStyle="1" w:styleId="38">
    <w:name w:val="标题 1 字符"/>
    <w:link w:val="2"/>
    <w:qFormat/>
    <w:uiPriority w:val="0"/>
    <w:rPr>
      <w:rFonts w:ascii="仿宋_GB2312" w:eastAsia="仿宋_GB2312"/>
      <w:b/>
      <w:bCs/>
      <w:color w:val="000000"/>
      <w:kern w:val="0"/>
      <w:sz w:val="28"/>
      <w:szCs w:val="20"/>
    </w:rPr>
  </w:style>
  <w:style w:type="paragraph" w:customStyle="1" w:styleId="39">
    <w:name w:val="Body Text First Indent 21"/>
    <w:basedOn w:val="40"/>
    <w:qFormat/>
    <w:uiPriority w:val="0"/>
    <w:pPr>
      <w:spacing w:after="120" w:line="240" w:lineRule="auto"/>
      <w:ind w:left="420" w:leftChars="200" w:firstLine="420" w:firstLineChars="200"/>
    </w:pPr>
    <w:rPr>
      <w:sz w:val="21"/>
      <w:szCs w:val="24"/>
    </w:rPr>
  </w:style>
  <w:style w:type="paragraph" w:customStyle="1" w:styleId="40">
    <w:name w:val="Body Text Indent1"/>
    <w:basedOn w:val="1"/>
    <w:next w:val="32"/>
    <w:qFormat/>
    <w:uiPriority w:val="0"/>
    <w:pPr>
      <w:spacing w:line="200" w:lineRule="exact"/>
      <w:ind w:firstLine="301"/>
    </w:pPr>
    <w:rPr>
      <w:rFonts w:ascii="宋体"/>
      <w:spacing w:val="-4"/>
      <w:sz w:val="18"/>
      <w:szCs w:val="20"/>
    </w:rPr>
  </w:style>
  <w:style w:type="paragraph" w:customStyle="1" w:styleId="41">
    <w:name w:val="正文文本首行缩进 21"/>
    <w:basedOn w:val="10"/>
    <w:qFormat/>
    <w:uiPriority w:val="0"/>
    <w:pPr>
      <w:spacing w:after="120"/>
      <w:ind w:left="420" w:leftChars="200" w:firstLine="420"/>
    </w:pPr>
    <w:rPr>
      <w:sz w:val="21"/>
    </w:rPr>
  </w:style>
  <w:style w:type="paragraph" w:customStyle="1" w:styleId="42">
    <w:name w:val="p0"/>
    <w:basedOn w:val="1"/>
    <w:qFormat/>
    <w:uiPriority w:val="0"/>
    <w:pPr>
      <w:widowControl/>
    </w:pPr>
    <w:rPr>
      <w:rFonts w:cs="宋体"/>
      <w:kern w:val="0"/>
      <w:szCs w:val="21"/>
      <w:lang w:bidi="hi-IN"/>
    </w:rPr>
  </w:style>
  <w:style w:type="paragraph" w:customStyle="1" w:styleId="43">
    <w:name w:val="First Paragraph"/>
    <w:basedOn w:val="8"/>
    <w:next w:val="8"/>
    <w:qFormat/>
    <w:uiPriority w:val="0"/>
    <w:pPr>
      <w:spacing w:after="120"/>
    </w:pPr>
    <w:rPr>
      <w:rFonts w:ascii="Times New Roman"/>
      <w:lang w:val="zh-CN"/>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63</Pages>
  <Words>21649</Words>
  <Characters>23585</Characters>
  <Lines>310</Lines>
  <Paragraphs>87</Paragraphs>
  <TotalTime>13</TotalTime>
  <ScaleCrop>false</ScaleCrop>
  <LinksUpToDate>false</LinksUpToDate>
  <CharactersWithSpaces>24689</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2025-06-10T08:51:00Z</dcterms:created>
  <dc:creator>Administrator</dc:creator>
  <cp:lastModifiedBy>Lenovo</cp:lastModifiedBy>
  <cp:lastPrinted>2025-04-01T06:05:00Z</cp:lastPrinted>
  <dcterms:modified xsi:type="dcterms:W3CDTF">2025-06-16T09:06:04Z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A13A98B45635469287EFE2001344EF87_13</vt:lpwstr>
  </property>
  <property fmtid="{D5CDD505-2E9C-101B-9397-08002B2CF9AE}" pid="4" name="KSOTemplateDocerSaveRecord">
    <vt:lpwstr>eyJoZGlkIjoiMTUxZThjOTI3NjRjYmU4NmFmNmZjYzNhNGE1YWU5OWQifQ==</vt:lpwstr>
  </property>
</Properties>
</file>