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2" w:firstLineChars="200"/>
        <w:jc w:val="both"/>
        <w:textAlignment w:val="auto"/>
        <w:rPr>
          <w:rFonts w:hint="default" w:ascii="仿宋" w:hAnsi="仿宋" w:eastAsia="仿宋" w:cs="仿宋"/>
          <w:b/>
          <w:color w:val="auto"/>
          <w:kern w:val="2"/>
          <w:sz w:val="22"/>
          <w:szCs w:val="22"/>
          <w:highlight w:val="none"/>
          <w:lang w:val="en-US" w:eastAsia="zh-CN" w:bidi="ar-SA"/>
        </w:rPr>
      </w:pPr>
      <w:r>
        <w:rPr>
          <w:rFonts w:hint="eastAsia" w:ascii="仿宋" w:hAnsi="仿宋" w:eastAsia="仿宋" w:cs="仿宋"/>
          <w:b/>
          <w:color w:val="auto"/>
          <w:kern w:val="2"/>
          <w:sz w:val="22"/>
          <w:szCs w:val="22"/>
          <w:highlight w:val="none"/>
          <w:lang w:val="en-US" w:eastAsia="zh-CN" w:bidi="ar-SA"/>
        </w:rPr>
        <w:t>一、采购内容及技术要求</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2" w:firstLineChars="200"/>
        <w:jc w:val="both"/>
        <w:textAlignment w:val="auto"/>
        <w:rPr>
          <w:rFonts w:hint="eastAsia" w:ascii="仿宋" w:hAnsi="仿宋" w:eastAsia="仿宋" w:cs="仿宋"/>
          <w:b/>
          <w:color w:val="auto"/>
          <w:kern w:val="2"/>
          <w:sz w:val="22"/>
          <w:szCs w:val="22"/>
          <w:highlight w:val="none"/>
          <w:lang w:val="en-US" w:eastAsia="zh-CN" w:bidi="ar-SA"/>
        </w:rPr>
      </w:pPr>
      <w:r>
        <w:rPr>
          <w:rFonts w:hint="eastAsia" w:ascii="仿宋" w:hAnsi="仿宋" w:eastAsia="仿宋" w:cs="仿宋"/>
          <w:b/>
          <w:color w:val="auto"/>
          <w:kern w:val="2"/>
          <w:sz w:val="22"/>
          <w:szCs w:val="22"/>
          <w:highlight w:val="none"/>
          <w:lang w:val="en-US" w:eastAsia="zh-CN" w:bidi="ar-SA"/>
        </w:rPr>
        <w:t>（一）技术要求</w:t>
      </w: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
        <w:gridCol w:w="951"/>
        <w:gridCol w:w="793"/>
        <w:gridCol w:w="837"/>
        <w:gridCol w:w="4702"/>
        <w:gridCol w:w="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 w:type="pct"/>
            <w:noWrap w:val="0"/>
            <w:vAlign w:val="center"/>
          </w:tcPr>
          <w:p>
            <w:pPr>
              <w:pStyle w:val="8"/>
              <w:widowControl w:val="0"/>
              <w:numPr>
                <w:ilvl w:val="0"/>
                <w:numId w:val="0"/>
              </w:numPr>
              <w:ind w:leftChars="0"/>
              <w:jc w:val="center"/>
              <w:rPr>
                <w:rFonts w:hint="default"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序号</w:t>
            </w:r>
          </w:p>
        </w:tc>
        <w:tc>
          <w:tcPr>
            <w:tcW w:w="558" w:type="pct"/>
            <w:noWrap w:val="0"/>
            <w:vAlign w:val="center"/>
          </w:tcPr>
          <w:p>
            <w:pPr>
              <w:pStyle w:val="8"/>
              <w:widowControl w:val="0"/>
              <w:jc w:val="center"/>
              <w:rPr>
                <w:rFonts w:hint="default"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名称</w:t>
            </w:r>
          </w:p>
        </w:tc>
        <w:tc>
          <w:tcPr>
            <w:tcW w:w="465" w:type="pct"/>
            <w:noWrap w:val="0"/>
            <w:vAlign w:val="center"/>
          </w:tcPr>
          <w:p>
            <w:pPr>
              <w:pStyle w:val="8"/>
              <w:widowControl w:val="0"/>
              <w:jc w:val="center"/>
              <w:rPr>
                <w:rFonts w:hint="default" w:ascii="仿宋" w:hAnsi="仿宋" w:eastAsia="仿宋" w:cs="仿宋"/>
                <w:b/>
                <w:bCs/>
                <w:color w:val="auto"/>
                <w:sz w:val="24"/>
                <w:szCs w:val="24"/>
                <w:vertAlign w:val="baseline"/>
                <w:lang w:val="en-US" w:eastAsia="zh-CN" w:bidi="ar-SA"/>
              </w:rPr>
            </w:pPr>
            <w:r>
              <w:rPr>
                <w:rFonts w:hint="eastAsia" w:ascii="仿宋" w:hAnsi="仿宋" w:eastAsia="仿宋" w:cs="仿宋"/>
                <w:b/>
                <w:bCs/>
                <w:color w:val="auto"/>
                <w:sz w:val="24"/>
                <w:szCs w:val="24"/>
                <w:vertAlign w:val="baseline"/>
                <w:lang w:val="en-US" w:eastAsia="zh-CN"/>
              </w:rPr>
              <w:t>数量</w:t>
            </w:r>
          </w:p>
        </w:tc>
        <w:tc>
          <w:tcPr>
            <w:tcW w:w="491" w:type="pct"/>
            <w:noWrap w:val="0"/>
            <w:vAlign w:val="center"/>
          </w:tcPr>
          <w:p>
            <w:pPr>
              <w:pStyle w:val="8"/>
              <w:widowControl w:val="0"/>
              <w:jc w:val="center"/>
              <w:rPr>
                <w:rFonts w:hint="default" w:ascii="仿宋" w:hAnsi="仿宋" w:eastAsia="仿宋" w:cs="仿宋"/>
                <w:b/>
                <w:bCs/>
                <w:color w:val="auto"/>
                <w:sz w:val="24"/>
                <w:szCs w:val="24"/>
                <w:vertAlign w:val="baseline"/>
                <w:lang w:val="en-US" w:eastAsia="zh-CN" w:bidi="ar-SA"/>
              </w:rPr>
            </w:pPr>
            <w:r>
              <w:rPr>
                <w:rFonts w:hint="eastAsia" w:ascii="仿宋" w:hAnsi="仿宋" w:eastAsia="仿宋" w:cs="仿宋"/>
                <w:b/>
                <w:bCs/>
                <w:color w:val="auto"/>
                <w:sz w:val="24"/>
                <w:szCs w:val="24"/>
                <w:vertAlign w:val="baseline"/>
                <w:lang w:val="en-US" w:eastAsia="zh-CN"/>
              </w:rPr>
              <w:t>单位</w:t>
            </w:r>
          </w:p>
        </w:tc>
        <w:tc>
          <w:tcPr>
            <w:tcW w:w="2758" w:type="pct"/>
            <w:noWrap w:val="0"/>
            <w:vAlign w:val="center"/>
          </w:tcPr>
          <w:p>
            <w:pPr>
              <w:pStyle w:val="8"/>
              <w:widowControl w:val="0"/>
              <w:jc w:val="center"/>
              <w:rPr>
                <w:rFonts w:hint="default" w:ascii="仿宋" w:hAnsi="仿宋" w:eastAsia="仿宋" w:cs="仿宋"/>
                <w:b/>
                <w:bCs/>
                <w:color w:val="auto"/>
                <w:sz w:val="24"/>
                <w:szCs w:val="24"/>
                <w:vertAlign w:val="baseline"/>
                <w:lang w:val="en-US" w:eastAsia="zh-CN" w:bidi="ar-SA"/>
              </w:rPr>
            </w:pPr>
            <w:r>
              <w:rPr>
                <w:rFonts w:hint="eastAsia" w:ascii="仿宋" w:hAnsi="仿宋" w:eastAsia="仿宋" w:cs="仿宋"/>
                <w:b/>
                <w:bCs/>
                <w:color w:val="auto"/>
                <w:sz w:val="24"/>
                <w:szCs w:val="24"/>
                <w:vertAlign w:val="baseline"/>
                <w:lang w:val="en-US" w:eastAsia="zh-CN"/>
              </w:rPr>
              <w:t>技术参数</w:t>
            </w:r>
          </w:p>
        </w:tc>
        <w:tc>
          <w:tcPr>
            <w:tcW w:w="426" w:type="pct"/>
            <w:noWrap w:val="0"/>
            <w:vAlign w:val="center"/>
          </w:tcPr>
          <w:p>
            <w:pPr>
              <w:pStyle w:val="8"/>
              <w:widowControl w:val="0"/>
              <w:jc w:val="center"/>
              <w:rPr>
                <w:rFonts w:hint="default"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 w:type="pct"/>
            <w:noWrap w:val="0"/>
            <w:vAlign w:val="center"/>
          </w:tcPr>
          <w:p>
            <w:pPr>
              <w:pStyle w:val="8"/>
              <w:widowControl w:val="0"/>
              <w:numPr>
                <w:ilvl w:val="0"/>
                <w:numId w:val="1"/>
              </w:numPr>
              <w:ind w:left="425" w:leftChars="0" w:hanging="425" w:firstLineChars="0"/>
              <w:jc w:val="center"/>
              <w:rPr>
                <w:rFonts w:hint="eastAsia" w:ascii="仿宋" w:hAnsi="仿宋" w:eastAsia="仿宋" w:cs="仿宋"/>
                <w:b/>
                <w:bCs/>
                <w:color w:val="auto"/>
                <w:sz w:val="24"/>
                <w:szCs w:val="24"/>
                <w:vertAlign w:val="baseline"/>
                <w:lang w:val="en-US" w:eastAsia="zh-CN"/>
              </w:rPr>
            </w:pPr>
          </w:p>
        </w:tc>
        <w:tc>
          <w:tcPr>
            <w:tcW w:w="558" w:type="pct"/>
            <w:noWrap w:val="0"/>
            <w:vAlign w:val="center"/>
          </w:tcPr>
          <w:p>
            <w:pPr>
              <w:pStyle w:val="8"/>
              <w:widowControl w:val="0"/>
              <w:jc w:val="center"/>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公卫老年人体检系统</w:t>
            </w:r>
          </w:p>
        </w:tc>
        <w:tc>
          <w:tcPr>
            <w:tcW w:w="465"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2</w:t>
            </w:r>
          </w:p>
        </w:tc>
        <w:tc>
          <w:tcPr>
            <w:tcW w:w="491"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套</w:t>
            </w:r>
          </w:p>
        </w:tc>
        <w:tc>
          <w:tcPr>
            <w:tcW w:w="2758" w:type="pct"/>
            <w:noWrap w:val="0"/>
            <w:vAlign w:val="center"/>
          </w:tcPr>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按照《国家基本公共卫生第三版》文件中的居民体检部分提供信息化技术服务支撑软件；</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整体架构应为B/S式架构，网站问询。管理部分系统可以部署到云服务器中，无需进行软件安装；</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bCs/>
                <w:color w:val="auto"/>
                <w:sz w:val="21"/>
                <w:szCs w:val="21"/>
              </w:rPr>
              <w:t>※</w:t>
            </w:r>
            <w:r>
              <w:rPr>
                <w:rFonts w:hint="eastAsia" w:ascii="仿宋" w:hAnsi="仿宋" w:eastAsia="仿宋" w:cs="仿宋"/>
                <w:b w:val="0"/>
                <w:bCs w:val="0"/>
                <w:color w:val="auto"/>
                <w:sz w:val="24"/>
                <w:szCs w:val="24"/>
                <w:lang w:val="en-US" w:eastAsia="zh-CN"/>
              </w:rPr>
              <w:t>可在内网情况下体检数据完整上传到医院公共卫生系统，接口费由供应商承担；</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具备体检人员的登记、打印条码、抽血、基本测量、尿液分析、生化分析、B超、心电、问询等现场体检信息的采集、上传等功能；</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登记功能:居民登记时支持身份证读卡器读取居民相关信息。支持一维码打印，支持体检信息的查验以及居民信息的离线处理，支持现场电子签名和拍照功能并实现实时进行查看、上传、导出；</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基础测量功能:支持现场居民进行的身高、体重、血压等基础测量实现信息化数据采集、上传功能，实时上传，支持串口及网络接口连接功能；</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B超测量功能:支持B超图片采集、查看、打印、导出、上传等功能，支持一维码扫码，可实现B超图片和报告连接到体检系统，最终上传到医院的公共卫生系统；</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心电测量功能：支持心电图机提取报告及图片，采集好的图片及报告可直接连接到体检系统，能够上传到医院的公共卫生系统。</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支持中医体质辨识；经问询后自动计算体质并打分；</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支持自理评估：经问询后</w:t>
            </w:r>
            <w:r>
              <w:rPr>
                <w:rFonts w:hint="eastAsia" w:ascii="仿宋" w:hAnsi="仿宋" w:eastAsia="仿宋" w:cs="仿宋"/>
                <w:b w:val="0"/>
                <w:bCs w:val="0"/>
                <w:color w:val="auto"/>
                <w:sz w:val="24"/>
                <w:szCs w:val="24"/>
                <w:vertAlign w:val="baseline"/>
                <w:lang w:val="en-US" w:eastAsia="zh-CN"/>
              </w:rPr>
              <w:t>可进行自动总评分并打印出自理评估表；</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设备对接：连接各辅捡科室的设备，把辅捡科室体检报告汇集到一起，形成统一的体检报告。</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公卫对接：可将所有体检数据汇集，审核无误后上传到公卫系统中，可无缝对接公共卫生系统；</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支持居民体检数据的查看、填写、统计等基本功能，支持打印功能，支持用户需求模板的调整；</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支持自动智能分析异常的健康检查数据，包括异常心电图、异常血压、血糖、尿常规、中医体质辨识等体检数据，给出异常信息的相关建议。支持健康监控、评估、干预以及预警等功能;实现数据统计分析，可以根据用户体检出来的数据情况，进行人员整体的数据统计分析，并且可以根据实际需要进行修改;</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在微信公众号上进行二次开发，可输入身份证和姓名等信息后进行个人健康档案查询;</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sz w:val="24"/>
                <w:szCs w:val="24"/>
                <w:lang w:val="en-US" w:eastAsia="zh-CN"/>
              </w:rPr>
              <w:t>在自助机上进行二次开发，将老年人体检报告通过刷身份证查询出来后进行打印。</w:t>
            </w:r>
          </w:p>
        </w:tc>
        <w:tc>
          <w:tcPr>
            <w:tcW w:w="426" w:type="pct"/>
            <w:noWrap w:val="0"/>
            <w:vAlign w:val="center"/>
          </w:tcPr>
          <w:p>
            <w:pPr>
              <w:pStyle w:val="8"/>
              <w:widowControl w:val="0"/>
              <w:jc w:val="center"/>
              <w:rPr>
                <w:rFonts w:hint="eastAsia" w:ascii="仿宋" w:hAnsi="仿宋" w:eastAsia="仿宋" w:cs="仿宋"/>
                <w:b/>
                <w:bCs/>
                <w:color w:val="auto"/>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 w:type="pct"/>
            <w:noWrap w:val="0"/>
            <w:vAlign w:val="center"/>
          </w:tcPr>
          <w:p>
            <w:pPr>
              <w:pStyle w:val="8"/>
              <w:widowControl w:val="0"/>
              <w:numPr>
                <w:ilvl w:val="0"/>
                <w:numId w:val="1"/>
              </w:numPr>
              <w:ind w:left="425" w:leftChars="0" w:hanging="425" w:firstLineChars="0"/>
              <w:jc w:val="center"/>
              <w:rPr>
                <w:rFonts w:hint="eastAsia" w:ascii="仿宋" w:hAnsi="仿宋" w:eastAsia="仿宋" w:cs="仿宋"/>
                <w:b/>
                <w:bCs/>
                <w:color w:val="auto"/>
                <w:sz w:val="24"/>
                <w:szCs w:val="24"/>
                <w:vertAlign w:val="baseline"/>
                <w:lang w:val="en-US" w:eastAsia="zh-CN"/>
              </w:rPr>
            </w:pPr>
          </w:p>
        </w:tc>
        <w:tc>
          <w:tcPr>
            <w:tcW w:w="558" w:type="pct"/>
            <w:noWrap w:val="0"/>
            <w:vAlign w:val="center"/>
          </w:tcPr>
          <w:p>
            <w:pPr>
              <w:pStyle w:val="8"/>
              <w:widowControl w:val="0"/>
              <w:jc w:val="center"/>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身高体重秤</w:t>
            </w:r>
          </w:p>
        </w:tc>
        <w:tc>
          <w:tcPr>
            <w:tcW w:w="465"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bidi="ar-SA"/>
              </w:rPr>
            </w:pPr>
            <w:r>
              <w:rPr>
                <w:rFonts w:hint="eastAsia" w:ascii="仿宋" w:hAnsi="仿宋" w:eastAsia="仿宋" w:cs="仿宋"/>
                <w:b w:val="0"/>
                <w:bCs w:val="0"/>
                <w:color w:val="auto"/>
                <w:sz w:val="24"/>
                <w:szCs w:val="24"/>
                <w:vertAlign w:val="baseline"/>
                <w:lang w:val="en-US" w:eastAsia="zh-CN"/>
              </w:rPr>
              <w:t>2</w:t>
            </w:r>
          </w:p>
        </w:tc>
        <w:tc>
          <w:tcPr>
            <w:tcW w:w="491"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bidi="ar-SA"/>
              </w:rPr>
            </w:pPr>
            <w:r>
              <w:rPr>
                <w:rFonts w:hint="eastAsia" w:ascii="仿宋" w:hAnsi="仿宋" w:eastAsia="仿宋" w:cs="仿宋"/>
                <w:b w:val="0"/>
                <w:bCs w:val="0"/>
                <w:color w:val="auto"/>
                <w:sz w:val="24"/>
                <w:szCs w:val="24"/>
                <w:vertAlign w:val="baseline"/>
                <w:lang w:val="en-US" w:eastAsia="zh-CN"/>
              </w:rPr>
              <w:t>台</w:t>
            </w:r>
          </w:p>
        </w:tc>
        <w:tc>
          <w:tcPr>
            <w:tcW w:w="2758" w:type="pct"/>
            <w:noWrap w:val="0"/>
            <w:vAlign w:val="center"/>
          </w:tcPr>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全自动测量；超声波无接触测量身高。</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自动计算 BMI 指数，并显示和打印结果和 BMI 指数范围。</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测高范围及精度：不低于20-210cm, 鉴定精度:不低于±0.5cm ；分度值精确至0.1cm。称重范围及精度不低于2.0-500KG，鉴定精度不低于0.1kg；分度值精确至0.01kg；</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default" w:ascii="仿宋" w:hAnsi="仿宋" w:eastAsia="仿宋" w:cs="仿宋"/>
                <w:b w:val="0"/>
                <w:bCs w:val="0"/>
                <w:color w:val="auto"/>
                <w:sz w:val="24"/>
                <w:szCs w:val="24"/>
                <w:vertAlign w:val="baseline"/>
                <w:lang w:val="en-US" w:eastAsia="zh-CN"/>
              </w:rPr>
              <w:t>提供 RS232 接口和 WiFi 接口，方便用户接入医院系统或远程健康系统，测量结果可以发送到手机，并提供健康建议，方便用户关注体重对健康的影响</w:t>
            </w:r>
            <w:r>
              <w:rPr>
                <w:rFonts w:hint="eastAsia" w:ascii="仿宋" w:hAnsi="仿宋" w:eastAsia="仿宋" w:cs="仿宋"/>
                <w:b w:val="0"/>
                <w:bCs w:val="0"/>
                <w:color w:val="auto"/>
                <w:sz w:val="24"/>
                <w:szCs w:val="24"/>
                <w:vertAlign w:val="baseline"/>
                <w:lang w:val="en-US" w:eastAsia="zh-CN"/>
              </w:rPr>
              <w:t>。</w:t>
            </w:r>
          </w:p>
          <w:p>
            <w:pPr>
              <w:pStyle w:val="8"/>
              <w:widowControl w:val="0"/>
              <w:numPr>
                <w:ilvl w:val="0"/>
                <w:numId w:val="2"/>
              </w:numPr>
              <w:jc w:val="left"/>
              <w:rPr>
                <w:rFonts w:hint="default" w:ascii="仿宋" w:hAnsi="仿宋" w:eastAsia="仿宋" w:cs="仿宋"/>
                <w:b w:val="0"/>
                <w:bCs w:val="0"/>
                <w:color w:val="auto"/>
                <w:sz w:val="24"/>
                <w:szCs w:val="24"/>
                <w:vertAlign w:val="baseline"/>
                <w:lang w:val="en-US" w:eastAsia="zh-CN"/>
              </w:rPr>
            </w:pPr>
            <w:r>
              <w:rPr>
                <w:rFonts w:hint="default" w:ascii="仿宋" w:hAnsi="仿宋" w:eastAsia="仿宋" w:cs="仿宋"/>
                <w:b w:val="0"/>
                <w:bCs w:val="0"/>
                <w:color w:val="auto"/>
                <w:sz w:val="24"/>
                <w:szCs w:val="24"/>
                <w:vertAlign w:val="baseline"/>
                <w:lang w:val="en-US" w:eastAsia="zh-CN"/>
              </w:rPr>
              <w:t>提供测量数据和微信公众号的绑定，居民在通过手机获取测量数据的同时关注医疗单位公众号，方便医疗单位健康知识的宣传和卫生政策的传达</w:t>
            </w:r>
            <w:r>
              <w:rPr>
                <w:rFonts w:hint="eastAsia" w:ascii="仿宋" w:hAnsi="仿宋" w:eastAsia="仿宋" w:cs="仿宋"/>
                <w:b w:val="0"/>
                <w:bCs w:val="0"/>
                <w:color w:val="auto"/>
                <w:sz w:val="24"/>
                <w:szCs w:val="24"/>
                <w:vertAlign w:val="baseline"/>
                <w:lang w:val="en-US" w:eastAsia="zh-CN"/>
              </w:rPr>
              <w:t>。</w:t>
            </w:r>
          </w:p>
        </w:tc>
        <w:tc>
          <w:tcPr>
            <w:tcW w:w="426" w:type="pct"/>
            <w:noWrap w:val="0"/>
            <w:vAlign w:val="center"/>
          </w:tcPr>
          <w:p>
            <w:pPr>
              <w:pStyle w:val="8"/>
              <w:widowControl w:val="0"/>
              <w:jc w:val="center"/>
              <w:rPr>
                <w:rFonts w:hint="eastAsia" w:ascii="仿宋" w:hAnsi="仿宋" w:eastAsia="仿宋" w:cs="仿宋"/>
                <w:b/>
                <w:bCs/>
                <w:color w:val="auto"/>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 w:type="pct"/>
            <w:noWrap w:val="0"/>
            <w:vAlign w:val="center"/>
          </w:tcPr>
          <w:p>
            <w:pPr>
              <w:pStyle w:val="8"/>
              <w:widowControl w:val="0"/>
              <w:numPr>
                <w:ilvl w:val="0"/>
                <w:numId w:val="1"/>
              </w:numPr>
              <w:ind w:left="425" w:leftChars="0" w:hanging="425" w:firstLineChars="0"/>
              <w:jc w:val="center"/>
              <w:rPr>
                <w:rFonts w:hint="eastAsia" w:ascii="仿宋" w:hAnsi="仿宋" w:eastAsia="仿宋" w:cs="仿宋"/>
                <w:b/>
                <w:bCs/>
                <w:color w:val="auto"/>
                <w:sz w:val="24"/>
                <w:szCs w:val="24"/>
                <w:vertAlign w:val="baseline"/>
                <w:lang w:val="en-US" w:eastAsia="zh-CN"/>
              </w:rPr>
            </w:pPr>
          </w:p>
        </w:tc>
        <w:tc>
          <w:tcPr>
            <w:tcW w:w="558" w:type="pct"/>
            <w:noWrap w:val="0"/>
            <w:vAlign w:val="center"/>
          </w:tcPr>
          <w:p>
            <w:pPr>
              <w:pStyle w:val="8"/>
              <w:widowControl w:val="0"/>
              <w:jc w:val="center"/>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采集卡</w:t>
            </w:r>
          </w:p>
        </w:tc>
        <w:tc>
          <w:tcPr>
            <w:tcW w:w="465"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2</w:t>
            </w:r>
          </w:p>
        </w:tc>
        <w:tc>
          <w:tcPr>
            <w:tcW w:w="491"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张</w:t>
            </w:r>
          </w:p>
        </w:tc>
        <w:tc>
          <w:tcPr>
            <w:tcW w:w="2758" w:type="pct"/>
            <w:noWrap w:val="0"/>
            <w:vAlign w:val="center"/>
          </w:tcPr>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使用于便携式B超和彩超采集图片。</w:t>
            </w:r>
          </w:p>
        </w:tc>
        <w:tc>
          <w:tcPr>
            <w:tcW w:w="426" w:type="pct"/>
            <w:noWrap w:val="0"/>
            <w:vAlign w:val="center"/>
          </w:tcPr>
          <w:p>
            <w:pPr>
              <w:pStyle w:val="8"/>
              <w:widowControl w:val="0"/>
              <w:jc w:val="center"/>
              <w:rPr>
                <w:rFonts w:hint="eastAsia" w:ascii="仿宋" w:hAnsi="仿宋" w:eastAsia="仿宋" w:cs="仿宋"/>
                <w:b/>
                <w:bCs/>
                <w:color w:val="auto"/>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 w:type="pct"/>
            <w:noWrap w:val="0"/>
            <w:vAlign w:val="center"/>
          </w:tcPr>
          <w:p>
            <w:pPr>
              <w:pStyle w:val="8"/>
              <w:widowControl w:val="0"/>
              <w:numPr>
                <w:ilvl w:val="0"/>
                <w:numId w:val="1"/>
              </w:numPr>
              <w:ind w:left="425" w:leftChars="0" w:hanging="425" w:firstLineChars="0"/>
              <w:jc w:val="center"/>
              <w:rPr>
                <w:rFonts w:hint="eastAsia" w:ascii="仿宋" w:hAnsi="仿宋" w:eastAsia="仿宋" w:cs="仿宋"/>
                <w:b/>
                <w:bCs/>
                <w:color w:val="auto"/>
                <w:sz w:val="24"/>
                <w:szCs w:val="24"/>
                <w:vertAlign w:val="baseline"/>
                <w:lang w:val="en-US" w:eastAsia="zh-CN"/>
              </w:rPr>
            </w:pPr>
          </w:p>
        </w:tc>
        <w:tc>
          <w:tcPr>
            <w:tcW w:w="558" w:type="pct"/>
            <w:noWrap w:val="0"/>
            <w:vAlign w:val="center"/>
          </w:tcPr>
          <w:p>
            <w:pPr>
              <w:pStyle w:val="8"/>
              <w:widowControl w:val="0"/>
              <w:jc w:val="center"/>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扫描枪</w:t>
            </w:r>
          </w:p>
        </w:tc>
        <w:tc>
          <w:tcPr>
            <w:tcW w:w="465"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5</w:t>
            </w:r>
          </w:p>
        </w:tc>
        <w:tc>
          <w:tcPr>
            <w:tcW w:w="491"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把</w:t>
            </w:r>
          </w:p>
        </w:tc>
        <w:tc>
          <w:tcPr>
            <w:tcW w:w="2758" w:type="pct"/>
            <w:noWrap w:val="0"/>
            <w:vAlign w:val="center"/>
          </w:tcPr>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登记和扫码使用。</w:t>
            </w:r>
          </w:p>
        </w:tc>
        <w:tc>
          <w:tcPr>
            <w:tcW w:w="426" w:type="pct"/>
            <w:noWrap w:val="0"/>
            <w:vAlign w:val="center"/>
          </w:tcPr>
          <w:p>
            <w:pPr>
              <w:pStyle w:val="8"/>
              <w:widowControl w:val="0"/>
              <w:jc w:val="center"/>
              <w:rPr>
                <w:rFonts w:hint="eastAsia" w:ascii="仿宋" w:hAnsi="仿宋" w:eastAsia="仿宋" w:cs="仿宋"/>
                <w:b/>
                <w:bCs/>
                <w:color w:val="auto"/>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 w:type="pct"/>
            <w:noWrap w:val="0"/>
            <w:vAlign w:val="center"/>
          </w:tcPr>
          <w:p>
            <w:pPr>
              <w:pStyle w:val="8"/>
              <w:widowControl w:val="0"/>
              <w:numPr>
                <w:ilvl w:val="0"/>
                <w:numId w:val="1"/>
              </w:numPr>
              <w:ind w:left="425" w:leftChars="0" w:hanging="425" w:firstLineChars="0"/>
              <w:jc w:val="center"/>
              <w:rPr>
                <w:rFonts w:hint="eastAsia" w:ascii="仿宋" w:hAnsi="仿宋" w:eastAsia="仿宋" w:cs="仿宋"/>
                <w:b/>
                <w:bCs/>
                <w:color w:val="auto"/>
                <w:sz w:val="24"/>
                <w:szCs w:val="24"/>
                <w:vertAlign w:val="baseline"/>
                <w:lang w:val="en-US" w:eastAsia="zh-CN"/>
              </w:rPr>
            </w:pPr>
          </w:p>
        </w:tc>
        <w:tc>
          <w:tcPr>
            <w:tcW w:w="558" w:type="pct"/>
            <w:noWrap w:val="0"/>
            <w:vAlign w:val="center"/>
          </w:tcPr>
          <w:p>
            <w:pPr>
              <w:pStyle w:val="8"/>
              <w:widowControl w:val="0"/>
              <w:jc w:val="center"/>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条码打印机</w:t>
            </w:r>
          </w:p>
        </w:tc>
        <w:tc>
          <w:tcPr>
            <w:tcW w:w="465"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2</w:t>
            </w:r>
          </w:p>
        </w:tc>
        <w:tc>
          <w:tcPr>
            <w:tcW w:w="491"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台</w:t>
            </w:r>
          </w:p>
        </w:tc>
        <w:tc>
          <w:tcPr>
            <w:tcW w:w="2758" w:type="pct"/>
            <w:noWrap w:val="0"/>
            <w:vAlign w:val="center"/>
          </w:tcPr>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分辨率不低于203dpi/8点/毫米；</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内存不低于256mb闪存；</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最大打印宽度不低于4.09英寸/104毫米；</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最高打印速度不低于6英寸/152毫米/秒。</w:t>
            </w:r>
          </w:p>
        </w:tc>
        <w:tc>
          <w:tcPr>
            <w:tcW w:w="426" w:type="pct"/>
            <w:noWrap w:val="0"/>
            <w:vAlign w:val="center"/>
          </w:tcPr>
          <w:p>
            <w:pPr>
              <w:pStyle w:val="8"/>
              <w:widowControl w:val="0"/>
              <w:jc w:val="center"/>
              <w:rPr>
                <w:rFonts w:hint="eastAsia" w:ascii="仿宋" w:hAnsi="仿宋" w:eastAsia="仿宋" w:cs="仿宋"/>
                <w:b/>
                <w:bCs/>
                <w:color w:val="auto"/>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 w:type="pct"/>
            <w:noWrap w:val="0"/>
            <w:vAlign w:val="center"/>
          </w:tcPr>
          <w:p>
            <w:pPr>
              <w:pStyle w:val="8"/>
              <w:widowControl w:val="0"/>
              <w:numPr>
                <w:ilvl w:val="0"/>
                <w:numId w:val="1"/>
              </w:numPr>
              <w:ind w:left="425" w:leftChars="0" w:hanging="425" w:firstLineChars="0"/>
              <w:jc w:val="center"/>
              <w:rPr>
                <w:rFonts w:hint="eastAsia" w:ascii="仿宋" w:hAnsi="仿宋" w:eastAsia="仿宋" w:cs="仿宋"/>
                <w:b/>
                <w:bCs/>
                <w:color w:val="auto"/>
                <w:sz w:val="24"/>
                <w:szCs w:val="24"/>
                <w:vertAlign w:val="baseline"/>
                <w:lang w:val="en-US" w:eastAsia="zh-CN"/>
              </w:rPr>
            </w:pPr>
          </w:p>
        </w:tc>
        <w:tc>
          <w:tcPr>
            <w:tcW w:w="558" w:type="pct"/>
            <w:noWrap w:val="0"/>
            <w:vAlign w:val="center"/>
          </w:tcPr>
          <w:p>
            <w:pPr>
              <w:pStyle w:val="8"/>
              <w:widowControl w:val="0"/>
              <w:jc w:val="center"/>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身份证阅读器</w:t>
            </w:r>
          </w:p>
        </w:tc>
        <w:tc>
          <w:tcPr>
            <w:tcW w:w="465"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2</w:t>
            </w:r>
          </w:p>
        </w:tc>
        <w:tc>
          <w:tcPr>
            <w:tcW w:w="491" w:type="pct"/>
            <w:noWrap w:val="0"/>
            <w:vAlign w:val="center"/>
          </w:tcPr>
          <w:p>
            <w:pPr>
              <w:pStyle w:val="8"/>
              <w:widowControl w:val="0"/>
              <w:jc w:val="center"/>
              <w:rPr>
                <w:rFonts w:hint="default"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台</w:t>
            </w:r>
          </w:p>
        </w:tc>
        <w:tc>
          <w:tcPr>
            <w:tcW w:w="2758" w:type="pct"/>
            <w:noWrap w:val="0"/>
            <w:vAlign w:val="center"/>
          </w:tcPr>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射频技术：支持符合Type B规范的非接触卡；</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保密模块：居民身份证验证安全控制模块；</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读卡距离：0～3cm</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工作频率：13.56MHz</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阅读器调制输出：调制输出比特率106Kbit/s（fc/128）;  调制方式 ASK调制; 调制系数8％～14％; 编码方式 NRZ-L</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天线能量输出：天线表面电磁场强度 H(mAH)x≤7.5A/m rms;天线表面法线方向5cm处电磁场强度 Hmin≥1.5A/m rms</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通讯接口：USB口（符合USB2.0标准）、串口RS232波特率9600―115200bps</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供电方式：外置电源；USB接口供电；2种方式；</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应用平台：可支持Windows系列、安卓、Linux、WinCE和UNIX等不同操作系统；</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工作环境：工作温度0至+50℃、贮运温度－40℃至+60℃、工作湿度&lt;90％RH、贮运湿度20％ ～93％RH(40℃)、大气压力86Kpa～110Kpa</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平均无故障工作时间（MTBF）不小于5000小时</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适用标准：《GA450-2013 台式居民身份证阅读器通用技术要求》；《GA467-2013 居民身份证验证安全控制模块接口技术规范 》</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外形尺寸：155mm*96mm*26mm；重量：0.8kg</w:t>
            </w:r>
          </w:p>
          <w:p>
            <w:pPr>
              <w:pStyle w:val="8"/>
              <w:widowControl w:val="0"/>
              <w:numPr>
                <w:ilvl w:val="0"/>
                <w:numId w:val="2"/>
              </w:numPr>
              <w:jc w:val="lef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开发工具：SDK支持VC/DELPHI/VB/PB</w:t>
            </w:r>
          </w:p>
        </w:tc>
        <w:tc>
          <w:tcPr>
            <w:tcW w:w="426" w:type="pct"/>
            <w:noWrap w:val="0"/>
            <w:vAlign w:val="center"/>
          </w:tcPr>
          <w:p>
            <w:pPr>
              <w:pStyle w:val="8"/>
              <w:widowControl w:val="0"/>
              <w:jc w:val="center"/>
              <w:rPr>
                <w:rFonts w:hint="eastAsia" w:ascii="仿宋" w:hAnsi="仿宋" w:eastAsia="仿宋" w:cs="仿宋"/>
                <w:b/>
                <w:bCs/>
                <w:color w:val="auto"/>
                <w:sz w:val="24"/>
                <w:szCs w:val="24"/>
                <w:vertAlign w:val="baseline"/>
                <w:lang w:val="en-US" w:eastAsia="zh-CN" w:bidi="ar-SA"/>
              </w:rPr>
            </w:pPr>
          </w:p>
        </w:tc>
      </w:tr>
    </w:tbl>
    <w:p>
      <w:pPr>
        <w:pStyle w:val="4"/>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1"/>
          <w:szCs w:val="21"/>
        </w:rPr>
        <w:t>※</w:t>
      </w:r>
      <w:r>
        <w:rPr>
          <w:rFonts w:hint="eastAsia" w:ascii="仿宋" w:hAnsi="仿宋" w:eastAsia="仿宋" w:cs="仿宋"/>
          <w:b/>
          <w:color w:val="auto"/>
          <w:kern w:val="2"/>
          <w:sz w:val="24"/>
          <w:szCs w:val="24"/>
          <w:highlight w:val="none"/>
          <w:lang w:val="en-US" w:eastAsia="zh-CN" w:bidi="ar-SA"/>
        </w:rPr>
        <w:t>二、商务要求：</w:t>
      </w:r>
    </w:p>
    <w:p>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color w:val="auto"/>
          <w:sz w:val="24"/>
          <w:szCs w:val="24"/>
          <w:highlight w:val="none"/>
        </w:rPr>
        <w:t>1、交货时间：</w:t>
      </w:r>
      <w:r>
        <w:rPr>
          <w:rFonts w:hint="eastAsia" w:ascii="仿宋" w:hAnsi="仿宋" w:eastAsia="仿宋" w:cs="仿宋"/>
          <w:b w:val="0"/>
          <w:bCs/>
          <w:color w:val="auto"/>
          <w:sz w:val="24"/>
          <w:szCs w:val="24"/>
          <w:highlight w:val="none"/>
          <w:lang w:val="en-US" w:eastAsia="zh-CN"/>
        </w:rPr>
        <w:t>合同签订后14</w:t>
      </w:r>
      <w:r>
        <w:rPr>
          <w:rFonts w:hint="eastAsia" w:ascii="仿宋" w:hAnsi="仿宋" w:eastAsia="仿宋" w:cs="仿宋"/>
          <w:b w:val="0"/>
          <w:bCs/>
          <w:color w:val="auto"/>
          <w:sz w:val="24"/>
          <w:szCs w:val="24"/>
          <w:highlight w:val="none"/>
        </w:rPr>
        <w:t>个日历日内</w:t>
      </w:r>
      <w:r>
        <w:rPr>
          <w:rFonts w:hint="eastAsia" w:ascii="仿宋" w:hAnsi="仿宋" w:eastAsia="仿宋" w:cs="仿宋"/>
          <w:b w:val="0"/>
          <w:bCs/>
          <w:color w:val="auto"/>
          <w:sz w:val="24"/>
          <w:szCs w:val="24"/>
          <w:highlight w:val="none"/>
          <w:lang w:eastAsia="zh-CN"/>
        </w:rPr>
        <w:t>。</w:t>
      </w:r>
    </w:p>
    <w:p>
      <w:pPr>
        <w:pStyle w:val="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2、交货地点：</w:t>
      </w:r>
      <w:r>
        <w:rPr>
          <w:rFonts w:hint="eastAsia" w:ascii="仿宋" w:hAnsi="仿宋" w:eastAsia="仿宋" w:cs="仿宋"/>
          <w:b w:val="0"/>
          <w:bCs/>
          <w:color w:val="auto"/>
          <w:sz w:val="24"/>
          <w:szCs w:val="24"/>
          <w:highlight w:val="none"/>
          <w:lang w:val="en-US" w:eastAsia="zh-CN"/>
        </w:rPr>
        <w:t>用户指定地点。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3、付款方式：</w:t>
      </w:r>
      <w:r>
        <w:rPr>
          <w:rFonts w:hint="eastAsia" w:ascii="仿宋" w:hAnsi="仿宋" w:eastAsia="仿宋" w:cs="仿宋"/>
          <w:b w:val="0"/>
          <w:bCs/>
          <w:color w:val="auto"/>
          <w:sz w:val="24"/>
          <w:szCs w:val="24"/>
          <w:highlight w:val="none"/>
          <w:lang w:val="en-US" w:eastAsia="zh-CN"/>
        </w:rPr>
        <w:t>签订合同后15个工作日内支付货款的50%,验收合格后15个工作日付款剩余50%。</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4、质保期：</w:t>
      </w:r>
      <w:r>
        <w:rPr>
          <w:rFonts w:hint="eastAsia" w:ascii="仿宋" w:hAnsi="仿宋" w:eastAsia="仿宋" w:cs="仿宋"/>
          <w:b w:val="0"/>
          <w:bCs/>
          <w:color w:val="auto"/>
          <w:sz w:val="24"/>
          <w:szCs w:val="24"/>
          <w:highlight w:val="none"/>
          <w:lang w:val="en-US" w:eastAsia="zh-CN"/>
        </w:rPr>
        <w:t>验收合格后1年。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5、验收方式、验收时间和验收标准：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5.1</w:t>
      </w:r>
      <w:r>
        <w:rPr>
          <w:rFonts w:hint="eastAsia" w:ascii="仿宋" w:hAnsi="仿宋" w:eastAsia="仿宋" w:cs="仿宋"/>
          <w:b/>
          <w:bCs w:val="0"/>
          <w:color w:val="auto"/>
          <w:sz w:val="24"/>
          <w:szCs w:val="24"/>
          <w:highlight w:val="none"/>
          <w:lang w:val="en-US" w:eastAsia="zh-CN"/>
        </w:rPr>
        <w:t>验收方式：</w:t>
      </w:r>
      <w:r>
        <w:rPr>
          <w:rFonts w:hint="eastAsia" w:ascii="仿宋" w:hAnsi="仿宋" w:eastAsia="仿宋" w:cs="仿宋"/>
          <w:b w:val="0"/>
          <w:bCs/>
          <w:color w:val="auto"/>
          <w:sz w:val="24"/>
          <w:szCs w:val="24"/>
          <w:highlight w:val="none"/>
          <w:lang w:val="en-US" w:eastAsia="zh-CN"/>
        </w:rPr>
        <w:t>按照《关于进一步加强政府采购需求和履约验收管理的指导意见》(财库〔2016〕205 号)的要求进行验收。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5.2 验收时间：</w:t>
      </w:r>
      <w:r>
        <w:rPr>
          <w:rFonts w:hint="eastAsia" w:ascii="仿宋" w:hAnsi="仿宋" w:eastAsia="仿宋" w:cs="仿宋"/>
          <w:b w:val="0"/>
          <w:bCs/>
          <w:color w:val="auto"/>
          <w:sz w:val="24"/>
          <w:szCs w:val="24"/>
          <w:highlight w:val="none"/>
          <w:lang w:val="en-US" w:eastAsia="zh-CN"/>
        </w:rPr>
        <w:t>供应商提出验收申请后7个工作日内。</w:t>
      </w:r>
    </w:p>
    <w:p>
      <w:pPr>
        <w:spacing w:line="360" w:lineRule="auto"/>
        <w:ind w:firstLine="482" w:firstLineChars="200"/>
        <w:textAlignment w:val="baseline"/>
        <w:rPr>
          <w:rFonts w:ascii="仿宋" w:hAnsi="仿宋" w:eastAsia="仿宋" w:cs="仿宋"/>
          <w:color w:val="auto"/>
          <w:sz w:val="24"/>
          <w:szCs w:val="24"/>
          <w:lang w:val="zh-CN"/>
        </w:rPr>
      </w:pPr>
      <w:r>
        <w:rPr>
          <w:rFonts w:hint="eastAsia" w:ascii="仿宋" w:hAnsi="仿宋" w:eastAsia="仿宋" w:cs="仿宋"/>
          <w:b/>
          <w:bCs w:val="0"/>
          <w:color w:val="auto"/>
          <w:sz w:val="24"/>
          <w:szCs w:val="24"/>
          <w:highlight w:val="none"/>
          <w:lang w:val="en-US" w:eastAsia="zh-CN"/>
        </w:rPr>
        <w:t>5.3 验收标准：</w:t>
      </w:r>
      <w:r>
        <w:rPr>
          <w:rFonts w:hint="eastAsia" w:ascii="仿宋" w:hAnsi="仿宋" w:eastAsia="仿宋" w:cs="仿宋"/>
          <w:b w:val="0"/>
          <w:bCs/>
          <w:color w:val="auto"/>
          <w:sz w:val="24"/>
          <w:szCs w:val="24"/>
          <w:highlight w:val="none"/>
          <w:lang w:val="en-US" w:eastAsia="zh-CN"/>
        </w:rPr>
        <w:t>依据本项目采购文件要求和成交人响应文件及双方订立的合同进行验收。验收结果不合格的，将不予支付采购资金。</w:t>
      </w:r>
    </w:p>
    <w:p>
      <w:pPr>
        <w:spacing w:line="360" w:lineRule="auto"/>
        <w:textAlignment w:val="baseline"/>
        <w:rPr>
          <w:rFonts w:hint="eastAsia" w:ascii="仿宋" w:hAnsi="仿宋" w:eastAsia="仿宋" w:cs="仿宋"/>
          <w:b/>
          <w:bCs/>
          <w:color w:val="auto"/>
          <w:sz w:val="21"/>
          <w:szCs w:val="21"/>
        </w:rPr>
      </w:pPr>
    </w:p>
    <w:p>
      <w:r>
        <w:rPr>
          <w:rFonts w:hint="eastAsia" w:ascii="仿宋" w:hAnsi="仿宋" w:eastAsia="仿宋" w:cs="仿宋"/>
          <w:b/>
          <w:bCs/>
          <w:color w:val="auto"/>
          <w:sz w:val="21"/>
          <w:szCs w:val="21"/>
        </w:rPr>
        <w:t>注意：①本章带“※”号条款为实质性要求，供应商若未满足的，将被视为无效响应。②本项目涉及企业资质、产品认证、人员执业资格、国家行业标准等描述与国家最新要求不一致时以最新要求为准。</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AE851F"/>
    <w:multiLevelType w:val="singleLevel"/>
    <w:tmpl w:val="ADAE851F"/>
    <w:lvl w:ilvl="0" w:tentative="0">
      <w:start w:val="1"/>
      <w:numFmt w:val="decimal"/>
      <w:suff w:val="nothing"/>
      <w:lvlText w:val="%1、"/>
      <w:lvlJc w:val="left"/>
    </w:lvl>
  </w:abstractNum>
  <w:abstractNum w:abstractNumId="1">
    <w:nsid w:val="5ADA37AE"/>
    <w:multiLevelType w:val="singleLevel"/>
    <w:tmpl w:val="5ADA37AE"/>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6965B3"/>
    <w:rsid w:val="612F2FDA"/>
    <w:rsid w:val="6C696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240" w:lineRule="auto"/>
      <w:jc w:val="center"/>
      <w:outlineLvl w:val="0"/>
    </w:pPr>
    <w:rPr>
      <w:rFonts w:ascii="Calibri" w:hAnsi="Calibri" w:eastAsia="仿宋" w:cs="Times New Roman"/>
      <w:b/>
      <w:kern w:val="44"/>
      <w:sz w:val="4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uiPriority w:val="0"/>
    <w:pPr>
      <w:spacing w:line="480" w:lineRule="exact"/>
    </w:pPr>
    <w:rPr>
      <w:rFonts w:ascii="仿宋_GB2312" w:eastAsia="仿宋_GB2312"/>
      <w:sz w:val="28"/>
      <w:szCs w:val="28"/>
    </w:rPr>
  </w:style>
  <w:style w:type="paragraph" w:styleId="4">
    <w:name w:val="Normal Indent"/>
    <w:basedOn w:val="1"/>
    <w:uiPriority w:val="0"/>
    <w:pPr>
      <w:ind w:firstLine="420" w:firstLineChars="200"/>
    </w:p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正文（绿盟科技）"/>
    <w:qFormat/>
    <w:uiPriority w:val="0"/>
    <w:pPr>
      <w:spacing w:line="300" w:lineRule="auto"/>
    </w:pPr>
    <w:rPr>
      <w:rFonts w:ascii="Arial" w:hAnsi="Arial" w:eastAsia="宋体" w:cs="黑体"/>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2022-03-11T06:01:00Z</dcterms:created>
  <dc:creator>全国栽迷头儿总冠军</dc:creator>
  <cp:lastModifiedBy>全国栽迷头儿总冠军</cp:lastModifiedBy>
  <dcterms:modified xsi:type="dcterms:W3CDTF">2022-03-11T06:01:19Z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03D1AA54A81A4D9BBBEE2879197F13EA</vt:lpwstr>
  </property>
</Properties>
</file>