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8AF06D6">
      <w:pPr>
        <w:pStyle w:val="11"/>
        <w:jc w:val="center"/>
        <w:rPr>
          <w:rFonts w:hint="eastAsia" w:ascii="宋体" w:hAnsi="宋体" w:eastAsia="宋体"/>
          <w:b/>
          <w:bCs/>
          <w:sz w:val="52"/>
          <w:szCs w:val="52"/>
          <w:highlight w:val="none"/>
          <w:lang w:eastAsia="zh-CN"/>
        </w:rPr>
      </w:pPr>
      <w:r>
        <w:rPr>
          <w:rFonts w:hint="eastAsia" w:ascii="宋体" w:hAnsi="宋体"/>
          <w:b/>
          <w:bCs/>
          <w:sz w:val="60"/>
          <w:szCs w:val="60"/>
          <w:highlight w:val="none"/>
          <w:lang w:eastAsia="zh-CN"/>
        </w:rPr>
        <w:t>沪滇协作香格里拉市人民医院多导睡眠检测仪、血液净化机等采购项目</w:t>
      </w:r>
    </w:p>
    <w:p w14:paraId="3B507D01">
      <w:pPr>
        <w:pStyle w:val="11"/>
        <w:jc w:val="center"/>
        <w:rPr>
          <w:rFonts w:hint="eastAsia" w:ascii="宋体" w:hAnsi="宋体"/>
          <w:b/>
          <w:bCs/>
          <w:sz w:val="40"/>
          <w:szCs w:val="40"/>
          <w:highlight w:val="none"/>
          <w:lang w:val="en-US" w:eastAsia="zh-CN"/>
        </w:rPr>
      </w:pPr>
    </w:p>
    <w:p w14:paraId="1CAACB15">
      <w:pPr>
        <w:pStyle w:val="11"/>
        <w:jc w:val="center"/>
        <w:rPr>
          <w:rFonts w:hint="eastAsia" w:ascii="宋体" w:hAnsi="宋体" w:eastAsia="宋体"/>
          <w:b/>
          <w:bCs/>
          <w:sz w:val="40"/>
          <w:szCs w:val="40"/>
          <w:highlight w:val="none"/>
          <w:lang w:val="en-US" w:eastAsia="zh-CN"/>
        </w:rPr>
      </w:pPr>
      <w:r>
        <w:rPr>
          <w:rFonts w:hint="eastAsia" w:ascii="宋体" w:hAnsi="宋体"/>
          <w:b/>
          <w:bCs/>
          <w:sz w:val="40"/>
          <w:szCs w:val="40"/>
          <w:highlight w:val="none"/>
          <w:lang w:val="en-US" w:eastAsia="zh-CN"/>
        </w:rPr>
        <w:t>项目编号：DQZC2025-G1-00159-YNYZ-0016</w:t>
      </w:r>
    </w:p>
    <w:p w14:paraId="067629A2">
      <w:pPr>
        <w:ind w:firstLine="3012" w:firstLineChars="500"/>
        <w:jc w:val="both"/>
        <w:rPr>
          <w:rFonts w:hint="eastAsia" w:ascii="宋体" w:hAnsi="宋体"/>
          <w:sz w:val="28"/>
          <w:szCs w:val="28"/>
          <w:highlight w:val="none"/>
        </w:rPr>
      </w:pPr>
      <w:r>
        <w:rPr>
          <w:rFonts w:hint="eastAsia"/>
          <w:b/>
          <w:bCs/>
          <w:sz w:val="60"/>
          <w:szCs w:val="60"/>
          <w:highlight w:val="none"/>
        </w:rPr>
        <w:t>招</w:t>
      </w:r>
      <w:r>
        <w:rPr>
          <w:rFonts w:hint="eastAsia"/>
          <w:b/>
          <w:bCs/>
          <w:sz w:val="60"/>
          <w:szCs w:val="60"/>
          <w:highlight w:val="none"/>
          <w:lang w:val="en-US" w:eastAsia="zh-CN"/>
        </w:rPr>
        <w:t xml:space="preserve"> </w:t>
      </w:r>
      <w:r>
        <w:rPr>
          <w:rFonts w:hint="eastAsia"/>
          <w:b/>
          <w:bCs/>
          <w:sz w:val="60"/>
          <w:szCs w:val="60"/>
          <w:highlight w:val="none"/>
        </w:rPr>
        <w:t>标</w:t>
      </w:r>
      <w:r>
        <w:rPr>
          <w:rFonts w:hint="eastAsia"/>
          <w:b/>
          <w:bCs/>
          <w:sz w:val="60"/>
          <w:szCs w:val="60"/>
          <w:highlight w:val="none"/>
          <w:lang w:val="en-US" w:eastAsia="zh-CN"/>
        </w:rPr>
        <w:t xml:space="preserve"> </w:t>
      </w:r>
      <w:r>
        <w:rPr>
          <w:rFonts w:hint="eastAsia"/>
          <w:b/>
          <w:bCs/>
          <w:sz w:val="60"/>
          <w:szCs w:val="60"/>
          <w:highlight w:val="none"/>
        </w:rPr>
        <w:t>文</w:t>
      </w:r>
      <w:r>
        <w:rPr>
          <w:rFonts w:hint="eastAsia"/>
          <w:b/>
          <w:bCs/>
          <w:sz w:val="60"/>
          <w:szCs w:val="60"/>
          <w:highlight w:val="none"/>
          <w:lang w:val="en-US" w:eastAsia="zh-CN"/>
        </w:rPr>
        <w:t xml:space="preserve"> </w:t>
      </w:r>
      <w:r>
        <w:rPr>
          <w:rFonts w:hint="eastAsia"/>
          <w:b/>
          <w:bCs/>
          <w:sz w:val="60"/>
          <w:szCs w:val="60"/>
          <w:highlight w:val="none"/>
        </w:rPr>
        <w:t>件</w:t>
      </w:r>
      <w:r>
        <w:rPr>
          <w:rFonts w:hint="eastAsia" w:ascii="宋体" w:hAnsi="宋体"/>
          <w:sz w:val="28"/>
          <w:szCs w:val="28"/>
          <w:highlight w:val="none"/>
        </w:rPr>
        <w:t xml:space="preserve">  </w:t>
      </w:r>
    </w:p>
    <w:p w14:paraId="190ABAD3">
      <w:pPr>
        <w:pStyle w:val="11"/>
        <w:rPr>
          <w:rFonts w:hint="eastAsia" w:ascii="宋体" w:hAnsi="宋体"/>
          <w:sz w:val="28"/>
          <w:szCs w:val="28"/>
          <w:highlight w:val="none"/>
        </w:rPr>
      </w:pPr>
      <w:r>
        <w:rPr>
          <w:rFonts w:hint="eastAsia" w:ascii="宋体" w:hAnsi="宋体" w:eastAsia="宋体" w:cs="宋体"/>
          <w:highlight w:val="none"/>
          <w:lang w:eastAsia="zh-CN"/>
        </w:rPr>
        <w:drawing>
          <wp:anchor distT="0" distB="0" distL="114300" distR="114300" simplePos="0" relativeHeight="251659264" behindDoc="0" locked="0" layoutInCell="1" allowOverlap="1">
            <wp:simplePos x="0" y="0"/>
            <wp:positionH relativeFrom="column">
              <wp:posOffset>606425</wp:posOffset>
            </wp:positionH>
            <wp:positionV relativeFrom="paragraph">
              <wp:posOffset>382270</wp:posOffset>
            </wp:positionV>
            <wp:extent cx="4743450" cy="3721100"/>
            <wp:effectExtent l="0" t="0" r="6350" b="0"/>
            <wp:wrapNone/>
            <wp:docPr id="1" name="图片 2" descr="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descr="图片1"/>
                    <pic:cNvPicPr>
                      <a:picLocks noChangeAspect="1"/>
                    </pic:cNvPicPr>
                  </pic:nvPicPr>
                  <pic:blipFill>
                    <a:blip r:embed="rId15"/>
                    <a:stretch>
                      <a:fillRect/>
                    </a:stretch>
                  </pic:blipFill>
                  <pic:spPr>
                    <a:xfrm>
                      <a:off x="0" y="0"/>
                      <a:ext cx="4743450" cy="3721100"/>
                    </a:xfrm>
                    <a:prstGeom prst="rect">
                      <a:avLst/>
                    </a:prstGeom>
                    <a:noFill/>
                    <a:ln>
                      <a:noFill/>
                    </a:ln>
                  </pic:spPr>
                </pic:pic>
              </a:graphicData>
            </a:graphic>
          </wp:anchor>
        </w:drawing>
      </w:r>
    </w:p>
    <w:p w14:paraId="71895935">
      <w:pPr>
        <w:pStyle w:val="11"/>
        <w:rPr>
          <w:rFonts w:hint="eastAsia" w:ascii="宋体" w:hAnsi="宋体"/>
          <w:sz w:val="28"/>
          <w:szCs w:val="28"/>
          <w:highlight w:val="none"/>
        </w:rPr>
      </w:pPr>
    </w:p>
    <w:p w14:paraId="64144EB0">
      <w:pPr>
        <w:pStyle w:val="11"/>
        <w:rPr>
          <w:rFonts w:hint="eastAsia" w:ascii="宋体" w:hAnsi="宋体"/>
          <w:sz w:val="28"/>
          <w:szCs w:val="28"/>
          <w:highlight w:val="none"/>
        </w:rPr>
      </w:pPr>
    </w:p>
    <w:p w14:paraId="192284F9">
      <w:pPr>
        <w:pStyle w:val="11"/>
        <w:ind w:firstLine="2327" w:firstLineChars="644"/>
        <w:rPr>
          <w:rFonts w:hint="eastAsia" w:ascii="宋体" w:hAnsi="宋体"/>
          <w:b/>
          <w:sz w:val="36"/>
          <w:szCs w:val="36"/>
          <w:highlight w:val="none"/>
        </w:rPr>
      </w:pPr>
    </w:p>
    <w:p w14:paraId="1829E1AF">
      <w:pPr>
        <w:pStyle w:val="11"/>
        <w:ind w:firstLine="2327" w:firstLineChars="644"/>
        <w:rPr>
          <w:rFonts w:hint="eastAsia" w:ascii="宋体" w:hAnsi="宋体"/>
          <w:b/>
          <w:sz w:val="36"/>
          <w:szCs w:val="36"/>
          <w:highlight w:val="none"/>
        </w:rPr>
      </w:pPr>
    </w:p>
    <w:p w14:paraId="3C3492CC">
      <w:pPr>
        <w:pStyle w:val="11"/>
        <w:ind w:firstLine="2327" w:firstLineChars="644"/>
        <w:rPr>
          <w:rFonts w:hint="eastAsia" w:ascii="宋体" w:hAnsi="宋体"/>
          <w:b/>
          <w:sz w:val="36"/>
          <w:szCs w:val="36"/>
          <w:highlight w:val="none"/>
        </w:rPr>
      </w:pPr>
    </w:p>
    <w:p w14:paraId="7FDB796B">
      <w:pPr>
        <w:pStyle w:val="11"/>
        <w:ind w:left="1898" w:leftChars="904" w:firstLine="0" w:firstLineChars="0"/>
        <w:rPr>
          <w:rFonts w:hint="eastAsia" w:ascii="宋体" w:hAnsi="宋体"/>
          <w:b/>
          <w:sz w:val="36"/>
          <w:szCs w:val="36"/>
          <w:highlight w:val="none"/>
          <w:lang w:eastAsia="zh-CN"/>
        </w:rPr>
      </w:pPr>
      <w:r>
        <w:rPr>
          <w:rFonts w:hint="eastAsia" w:ascii="宋体" w:hAnsi="宋体"/>
          <w:b/>
          <w:sz w:val="36"/>
          <w:szCs w:val="36"/>
          <w:highlight w:val="none"/>
        </w:rPr>
        <w:t>采购人：</w:t>
      </w:r>
      <w:r>
        <w:rPr>
          <w:rFonts w:hint="eastAsia" w:ascii="宋体" w:hAnsi="宋体"/>
          <w:b/>
          <w:sz w:val="36"/>
          <w:szCs w:val="36"/>
          <w:highlight w:val="none"/>
          <w:lang w:eastAsia="zh-CN"/>
        </w:rPr>
        <w:t>香格里拉市人民医院</w:t>
      </w:r>
    </w:p>
    <w:p w14:paraId="5B27EFFB">
      <w:pPr>
        <w:pStyle w:val="11"/>
        <w:ind w:left="1898" w:leftChars="904" w:firstLine="0" w:firstLineChars="0"/>
        <w:rPr>
          <w:rFonts w:hint="eastAsia" w:ascii="宋体" w:hAnsi="宋体"/>
          <w:b/>
          <w:sz w:val="36"/>
          <w:szCs w:val="36"/>
          <w:highlight w:val="none"/>
          <w:lang w:eastAsia="zh-CN"/>
        </w:rPr>
      </w:pPr>
    </w:p>
    <w:p w14:paraId="6FD8C75B">
      <w:pPr>
        <w:pStyle w:val="11"/>
        <w:spacing w:line="900" w:lineRule="exact"/>
        <w:jc w:val="both"/>
        <w:rPr>
          <w:rFonts w:hint="eastAsia" w:ascii="宋体" w:hAnsi="宋体" w:eastAsia="宋体" w:cs="宋体"/>
          <w:b/>
          <w:w w:val="90"/>
          <w:sz w:val="32"/>
          <w:szCs w:val="32"/>
          <w:highlight w:val="none"/>
        </w:rPr>
      </w:pPr>
    </w:p>
    <w:p w14:paraId="5DD5F726">
      <w:pPr>
        <w:pStyle w:val="11"/>
        <w:spacing w:line="900" w:lineRule="exact"/>
        <w:jc w:val="both"/>
        <w:rPr>
          <w:rFonts w:hint="eastAsia" w:ascii="宋体" w:hAnsi="宋体" w:eastAsia="宋体" w:cs="宋体"/>
          <w:b/>
          <w:w w:val="90"/>
          <w:sz w:val="32"/>
          <w:szCs w:val="32"/>
          <w:highlight w:val="none"/>
        </w:rPr>
      </w:pPr>
    </w:p>
    <w:p w14:paraId="5097A69F">
      <w:pPr>
        <w:pStyle w:val="11"/>
        <w:spacing w:line="900" w:lineRule="exact"/>
        <w:jc w:val="center"/>
        <w:rPr>
          <w:rFonts w:hint="eastAsia" w:ascii="宋体" w:hAnsi="宋体" w:eastAsia="宋体" w:cs="宋体"/>
          <w:b/>
          <w:w w:val="90"/>
          <w:sz w:val="32"/>
          <w:szCs w:val="32"/>
          <w:highlight w:val="none"/>
          <w:lang w:val="en-US" w:eastAsia="zh-CN"/>
        </w:rPr>
      </w:pPr>
      <w:r>
        <w:rPr>
          <w:rFonts w:hint="eastAsia" w:ascii="宋体" w:hAnsi="宋体" w:eastAsia="宋体" w:cs="宋体"/>
          <w:b/>
          <w:w w:val="90"/>
          <w:sz w:val="32"/>
          <w:szCs w:val="32"/>
          <w:highlight w:val="none"/>
        </w:rPr>
        <w:t>采购人：</w:t>
      </w:r>
      <w:bookmarkStart w:id="0" w:name="OLE_LINK12"/>
      <w:r>
        <w:rPr>
          <w:rFonts w:hint="eastAsia" w:ascii="宋体" w:hAnsi="宋体" w:eastAsia="宋体" w:cs="宋体"/>
          <w:b/>
          <w:w w:val="90"/>
          <w:sz w:val="32"/>
          <w:szCs w:val="32"/>
          <w:highlight w:val="none"/>
          <w:lang w:eastAsia="zh-CN"/>
        </w:rPr>
        <w:t>香格里拉市人民医院</w:t>
      </w:r>
    </w:p>
    <w:bookmarkEnd w:id="0"/>
    <w:p w14:paraId="2E45A6B4">
      <w:pPr>
        <w:pStyle w:val="11"/>
        <w:spacing w:line="900" w:lineRule="exact"/>
        <w:jc w:val="center"/>
        <w:rPr>
          <w:rFonts w:hint="eastAsia" w:ascii="宋体" w:hAnsi="宋体" w:eastAsia="宋体" w:cs="宋体"/>
          <w:b/>
          <w:w w:val="90"/>
          <w:sz w:val="32"/>
          <w:szCs w:val="32"/>
          <w:highlight w:val="none"/>
          <w:lang w:eastAsia="zh-CN"/>
        </w:rPr>
      </w:pPr>
      <w:r>
        <w:rPr>
          <w:rFonts w:hint="eastAsia" w:ascii="宋体" w:hAnsi="宋体" w:eastAsia="宋体" w:cs="宋体"/>
          <w:b/>
          <w:w w:val="90"/>
          <w:sz w:val="32"/>
          <w:szCs w:val="32"/>
          <w:highlight w:val="none"/>
        </w:rPr>
        <w:t>采购代理机构：</w:t>
      </w:r>
      <w:r>
        <w:rPr>
          <w:rFonts w:hint="eastAsia" w:ascii="宋体" w:hAnsi="宋体" w:eastAsia="宋体" w:cs="宋体"/>
          <w:b/>
          <w:w w:val="90"/>
          <w:sz w:val="32"/>
          <w:szCs w:val="32"/>
          <w:highlight w:val="none"/>
          <w:lang w:eastAsia="zh-CN"/>
        </w:rPr>
        <w:t>云南玉昭工程咨询有限公司</w:t>
      </w:r>
    </w:p>
    <w:p w14:paraId="3006CC29">
      <w:pPr>
        <w:keepNext w:val="0"/>
        <w:keepLines w:val="0"/>
        <w:pageBreakBefore w:val="0"/>
        <w:widowControl/>
        <w:kinsoku/>
        <w:wordWrap/>
        <w:overflowPunct/>
        <w:topLinePunct w:val="0"/>
        <w:autoSpaceDE/>
        <w:autoSpaceDN/>
        <w:bidi w:val="0"/>
        <w:adjustRightInd/>
        <w:snapToGrid/>
        <w:spacing w:line="500" w:lineRule="exact"/>
        <w:ind w:firstLine="4339" w:firstLineChars="1500"/>
        <w:jc w:val="both"/>
        <w:textAlignment w:val="auto"/>
        <w:rPr>
          <w:rFonts w:hint="eastAsia" w:ascii="宋体" w:hAnsi="宋体" w:eastAsia="宋体" w:cs="宋体"/>
          <w:b/>
          <w:w w:val="90"/>
          <w:sz w:val="32"/>
          <w:szCs w:val="32"/>
          <w:highlight w:val="none"/>
        </w:rPr>
      </w:pPr>
    </w:p>
    <w:p w14:paraId="5DF63881">
      <w:pPr>
        <w:keepNext w:val="0"/>
        <w:keepLines w:val="0"/>
        <w:pageBreakBefore w:val="0"/>
        <w:widowControl/>
        <w:kinsoku/>
        <w:wordWrap/>
        <w:overflowPunct/>
        <w:topLinePunct w:val="0"/>
        <w:autoSpaceDE/>
        <w:autoSpaceDN/>
        <w:bidi w:val="0"/>
        <w:adjustRightInd/>
        <w:snapToGrid/>
        <w:spacing w:line="500" w:lineRule="exact"/>
        <w:ind w:firstLine="4339" w:firstLineChars="1500"/>
        <w:jc w:val="both"/>
        <w:textAlignment w:val="auto"/>
        <w:rPr>
          <w:rFonts w:hint="eastAsia" w:ascii="宋体" w:hAnsi="宋体" w:cs="宋体"/>
          <w:bCs/>
          <w:caps/>
          <w:sz w:val="22"/>
          <w:szCs w:val="22"/>
          <w:highlight w:val="none"/>
          <w:lang w:val="en-US" w:eastAsia="zh-CN" w:bidi="ar-SA"/>
        </w:rPr>
      </w:pPr>
      <w:r>
        <w:rPr>
          <w:rFonts w:hint="eastAsia" w:ascii="宋体" w:hAnsi="宋体" w:eastAsia="宋体" w:cs="宋体"/>
          <w:b/>
          <w:w w:val="90"/>
          <w:sz w:val="32"/>
          <w:szCs w:val="32"/>
          <w:highlight w:val="none"/>
        </w:rPr>
        <w:t>202</w:t>
      </w:r>
      <w:r>
        <w:rPr>
          <w:rFonts w:hint="eastAsia" w:ascii="宋体" w:hAnsi="宋体" w:eastAsia="宋体" w:cs="宋体"/>
          <w:b/>
          <w:w w:val="90"/>
          <w:sz w:val="32"/>
          <w:szCs w:val="32"/>
          <w:highlight w:val="none"/>
          <w:lang w:val="en-US" w:eastAsia="zh-CN"/>
        </w:rPr>
        <w:t>5</w:t>
      </w:r>
      <w:r>
        <w:rPr>
          <w:rFonts w:hint="eastAsia" w:ascii="宋体" w:hAnsi="宋体" w:eastAsia="宋体" w:cs="宋体"/>
          <w:b/>
          <w:w w:val="90"/>
          <w:sz w:val="32"/>
          <w:szCs w:val="32"/>
          <w:highlight w:val="none"/>
        </w:rPr>
        <w:t>年</w:t>
      </w:r>
      <w:r>
        <w:rPr>
          <w:rFonts w:hint="eastAsia" w:ascii="宋体" w:hAnsi="宋体" w:eastAsia="宋体" w:cs="宋体"/>
          <w:b/>
          <w:w w:val="90"/>
          <w:sz w:val="32"/>
          <w:szCs w:val="32"/>
          <w:highlight w:val="none"/>
          <w:lang w:val="en-US" w:eastAsia="zh-CN"/>
        </w:rPr>
        <w:t>6</w:t>
      </w:r>
      <w:r>
        <w:rPr>
          <w:rFonts w:hint="eastAsia" w:ascii="宋体" w:hAnsi="宋体" w:eastAsia="宋体" w:cs="宋体"/>
          <w:b/>
          <w:w w:val="90"/>
          <w:sz w:val="32"/>
          <w:szCs w:val="32"/>
          <w:highlight w:val="none"/>
        </w:rPr>
        <w:t>月</w:t>
      </w:r>
      <w:r>
        <w:rPr>
          <w:rFonts w:hint="eastAsia" w:ascii="宋体" w:hAnsi="宋体"/>
          <w:b/>
          <w:bCs/>
          <w:sz w:val="44"/>
          <w:szCs w:val="44"/>
          <w:highlight w:val="none"/>
        </w:rPr>
        <w:br w:type="page"/>
      </w:r>
      <w:r>
        <w:rPr>
          <w:rFonts w:hint="eastAsia" w:ascii="宋体" w:hAnsi="宋体"/>
          <w:b/>
          <w:bCs/>
          <w:sz w:val="44"/>
          <w:szCs w:val="44"/>
          <w:highlight w:val="none"/>
          <w:lang w:val="en-US" w:eastAsia="zh-CN"/>
        </w:rPr>
        <w:t xml:space="preserve">                   </w:t>
      </w:r>
      <w:r>
        <w:rPr>
          <w:rFonts w:hint="eastAsia" w:ascii="宋体" w:hAnsi="宋体"/>
          <w:b/>
          <w:bCs/>
          <w:sz w:val="44"/>
          <w:szCs w:val="44"/>
          <w:highlight w:val="none"/>
        </w:rPr>
        <w:t>目  录</w:t>
      </w:r>
      <w:r>
        <w:rPr>
          <w:rFonts w:hint="eastAsia" w:ascii="宋体" w:hAnsi="宋体" w:cs="宋体"/>
          <w:b/>
          <w:bCs/>
          <w:caps/>
          <w:sz w:val="22"/>
          <w:szCs w:val="22"/>
          <w:highlight w:val="none"/>
        </w:rPr>
        <w:fldChar w:fldCharType="begin"/>
      </w:r>
      <w:r>
        <w:rPr>
          <w:rFonts w:hint="eastAsia" w:ascii="宋体" w:hAnsi="宋体" w:cs="宋体"/>
          <w:b/>
          <w:bCs/>
          <w:caps/>
          <w:sz w:val="22"/>
          <w:szCs w:val="22"/>
          <w:highlight w:val="none"/>
        </w:rPr>
        <w:instrText xml:space="preserve"> TOC \o "1-3" \h \z \u </w:instrText>
      </w:r>
      <w:r>
        <w:rPr>
          <w:rFonts w:hint="eastAsia" w:ascii="宋体" w:hAnsi="宋体" w:cs="宋体"/>
          <w:b/>
          <w:bCs/>
          <w:caps/>
          <w:sz w:val="22"/>
          <w:szCs w:val="22"/>
          <w:highlight w:val="none"/>
        </w:rPr>
        <w:fldChar w:fldCharType="separate"/>
      </w:r>
    </w:p>
    <w:p w14:paraId="73D0F174">
      <w:pPr>
        <w:pStyle w:val="20"/>
        <w:keepNext w:val="0"/>
        <w:keepLines w:val="0"/>
        <w:pageBreakBefore w:val="0"/>
        <w:widowControl/>
        <w:tabs>
          <w:tab w:val="right" w:leader="dot" w:pos="9740"/>
        </w:tabs>
        <w:kinsoku/>
        <w:wordWrap/>
        <w:overflowPunct/>
        <w:topLinePunct w:val="0"/>
        <w:autoSpaceDE/>
        <w:autoSpaceDN/>
        <w:bidi w:val="0"/>
        <w:adjustRightInd/>
        <w:snapToGrid/>
        <w:spacing w:line="360" w:lineRule="auto"/>
        <w:textAlignment w:val="auto"/>
        <w:rPr>
          <w:rFonts w:hint="eastAsia" w:ascii="宋体" w:hAnsi="宋体" w:eastAsia="宋体" w:cs="宋体"/>
          <w:i w:val="0"/>
          <w:iCs w:val="0"/>
          <w:sz w:val="24"/>
          <w:szCs w:val="24"/>
        </w:rPr>
      </w:pPr>
      <w:r>
        <w:rPr>
          <w:rFonts w:hint="eastAsia" w:ascii="宋体" w:hAnsi="宋体" w:eastAsia="宋体" w:cs="宋体"/>
          <w:bCs w:val="0"/>
          <w:i w:val="0"/>
          <w:iCs w:val="0"/>
          <w:caps w:val="0"/>
          <w:sz w:val="24"/>
          <w:szCs w:val="24"/>
          <w:highlight w:val="none"/>
        </w:rPr>
        <w:fldChar w:fldCharType="begin"/>
      </w:r>
      <w:r>
        <w:rPr>
          <w:rFonts w:hint="eastAsia" w:ascii="宋体" w:hAnsi="宋体" w:eastAsia="宋体" w:cs="宋体"/>
          <w:bCs w:val="0"/>
          <w:i w:val="0"/>
          <w:iCs w:val="0"/>
          <w:caps w:val="0"/>
          <w:sz w:val="24"/>
          <w:szCs w:val="24"/>
          <w:highlight w:val="none"/>
        </w:rPr>
        <w:instrText xml:space="preserve"> HYPERLINK \l _Toc26822 </w:instrText>
      </w:r>
      <w:r>
        <w:rPr>
          <w:rFonts w:hint="eastAsia" w:ascii="宋体" w:hAnsi="宋体" w:eastAsia="宋体" w:cs="宋体"/>
          <w:bCs w:val="0"/>
          <w:i w:val="0"/>
          <w:iCs w:val="0"/>
          <w:caps w:val="0"/>
          <w:sz w:val="24"/>
          <w:szCs w:val="24"/>
          <w:highlight w:val="none"/>
        </w:rPr>
        <w:fldChar w:fldCharType="separate"/>
      </w:r>
      <w:r>
        <w:rPr>
          <w:rFonts w:hint="eastAsia" w:ascii="宋体" w:hAnsi="宋体" w:eastAsia="宋体" w:cs="宋体"/>
          <w:i w:val="0"/>
          <w:iCs w:val="0"/>
          <w:sz w:val="24"/>
          <w:szCs w:val="24"/>
          <w:highlight w:val="none"/>
        </w:rPr>
        <w:t>第一章 招标公告</w:t>
      </w:r>
      <w:r>
        <w:rPr>
          <w:rFonts w:hint="eastAsia" w:ascii="宋体" w:hAnsi="宋体" w:eastAsia="宋体" w:cs="宋体"/>
          <w:i w:val="0"/>
          <w:iCs w:val="0"/>
          <w:sz w:val="24"/>
          <w:szCs w:val="24"/>
        </w:rPr>
        <w:tab/>
      </w:r>
      <w:r>
        <w:rPr>
          <w:rFonts w:hint="eastAsia" w:ascii="宋体" w:hAnsi="宋体" w:eastAsia="宋体" w:cs="宋体"/>
          <w:i w:val="0"/>
          <w:iCs w:val="0"/>
          <w:sz w:val="24"/>
          <w:szCs w:val="24"/>
        </w:rPr>
        <w:fldChar w:fldCharType="begin"/>
      </w:r>
      <w:r>
        <w:rPr>
          <w:rFonts w:hint="eastAsia" w:ascii="宋体" w:hAnsi="宋体" w:eastAsia="宋体" w:cs="宋体"/>
          <w:i w:val="0"/>
          <w:iCs w:val="0"/>
          <w:sz w:val="24"/>
          <w:szCs w:val="24"/>
        </w:rPr>
        <w:instrText xml:space="preserve"> PAGEREF _Toc26822 \h </w:instrText>
      </w:r>
      <w:r>
        <w:rPr>
          <w:rFonts w:hint="eastAsia" w:ascii="宋体" w:hAnsi="宋体" w:eastAsia="宋体" w:cs="宋体"/>
          <w:i w:val="0"/>
          <w:iCs w:val="0"/>
          <w:sz w:val="24"/>
          <w:szCs w:val="24"/>
        </w:rPr>
        <w:fldChar w:fldCharType="separate"/>
      </w:r>
      <w:r>
        <w:rPr>
          <w:rFonts w:hint="eastAsia" w:ascii="宋体" w:hAnsi="宋体" w:eastAsia="宋体" w:cs="宋体"/>
          <w:i w:val="0"/>
          <w:iCs w:val="0"/>
          <w:sz w:val="24"/>
          <w:szCs w:val="24"/>
        </w:rPr>
        <w:t>1</w:t>
      </w:r>
      <w:r>
        <w:rPr>
          <w:rFonts w:hint="eastAsia" w:ascii="宋体" w:hAnsi="宋体" w:eastAsia="宋体" w:cs="宋体"/>
          <w:i w:val="0"/>
          <w:iCs w:val="0"/>
          <w:sz w:val="24"/>
          <w:szCs w:val="24"/>
        </w:rPr>
        <w:fldChar w:fldCharType="end"/>
      </w:r>
      <w:r>
        <w:rPr>
          <w:rFonts w:hint="eastAsia" w:ascii="宋体" w:hAnsi="宋体" w:eastAsia="宋体" w:cs="宋体"/>
          <w:bCs w:val="0"/>
          <w:i w:val="0"/>
          <w:iCs w:val="0"/>
          <w:caps w:val="0"/>
          <w:sz w:val="24"/>
          <w:szCs w:val="24"/>
          <w:highlight w:val="none"/>
        </w:rPr>
        <w:fldChar w:fldCharType="end"/>
      </w:r>
    </w:p>
    <w:p w14:paraId="3DE24FFE">
      <w:pPr>
        <w:pStyle w:val="24"/>
        <w:keepNext w:val="0"/>
        <w:keepLines w:val="0"/>
        <w:pageBreakBefore w:val="0"/>
        <w:widowControl/>
        <w:tabs>
          <w:tab w:val="right" w:leader="dot" w:pos="9740"/>
        </w:tabs>
        <w:kinsoku/>
        <w:wordWrap/>
        <w:overflowPunct/>
        <w:topLinePunct w:val="0"/>
        <w:autoSpaceDE/>
        <w:autoSpaceDN/>
        <w:bidi w:val="0"/>
        <w:adjustRightInd/>
        <w:snapToGrid/>
        <w:spacing w:line="360" w:lineRule="auto"/>
        <w:textAlignment w:val="auto"/>
        <w:rPr>
          <w:rFonts w:hint="eastAsia" w:ascii="宋体" w:hAnsi="宋体" w:eastAsia="宋体" w:cs="宋体"/>
          <w:i w:val="0"/>
          <w:iCs w:val="0"/>
          <w:sz w:val="24"/>
          <w:szCs w:val="24"/>
        </w:rPr>
      </w:pPr>
      <w:r>
        <w:rPr>
          <w:rFonts w:hint="eastAsia" w:ascii="宋体" w:hAnsi="宋体" w:eastAsia="宋体" w:cs="宋体"/>
          <w:bCs/>
          <w:i w:val="0"/>
          <w:iCs w:val="0"/>
          <w:caps/>
          <w:sz w:val="24"/>
          <w:szCs w:val="24"/>
          <w:highlight w:val="none"/>
        </w:rPr>
        <w:fldChar w:fldCharType="begin"/>
      </w:r>
      <w:r>
        <w:rPr>
          <w:rFonts w:hint="eastAsia" w:ascii="宋体" w:hAnsi="宋体" w:eastAsia="宋体" w:cs="宋体"/>
          <w:bCs/>
          <w:i w:val="0"/>
          <w:iCs w:val="0"/>
          <w:caps/>
          <w:sz w:val="24"/>
          <w:szCs w:val="24"/>
          <w:highlight w:val="none"/>
        </w:rPr>
        <w:instrText xml:space="preserve"> HYPERLINK \l _Toc23453 </w:instrText>
      </w:r>
      <w:r>
        <w:rPr>
          <w:rFonts w:hint="eastAsia" w:ascii="宋体" w:hAnsi="宋体" w:eastAsia="宋体" w:cs="宋体"/>
          <w:bCs/>
          <w:i w:val="0"/>
          <w:iCs w:val="0"/>
          <w:caps/>
          <w:sz w:val="24"/>
          <w:szCs w:val="24"/>
          <w:highlight w:val="none"/>
        </w:rPr>
        <w:fldChar w:fldCharType="separate"/>
      </w:r>
      <w:r>
        <w:rPr>
          <w:rFonts w:hint="eastAsia" w:ascii="宋体" w:hAnsi="宋体" w:eastAsia="宋体" w:cs="宋体"/>
          <w:bCs w:val="0"/>
          <w:i w:val="0"/>
          <w:iCs w:val="0"/>
          <w:sz w:val="24"/>
          <w:szCs w:val="24"/>
          <w:highlight w:val="none"/>
          <w:lang w:eastAsia="zh-CN"/>
        </w:rPr>
        <w:t>一、项目基本情况</w:t>
      </w:r>
      <w:r>
        <w:rPr>
          <w:rFonts w:hint="eastAsia" w:ascii="宋体" w:hAnsi="宋体" w:eastAsia="宋体" w:cs="宋体"/>
          <w:i w:val="0"/>
          <w:iCs w:val="0"/>
          <w:sz w:val="24"/>
          <w:szCs w:val="24"/>
        </w:rPr>
        <w:tab/>
      </w:r>
      <w:r>
        <w:rPr>
          <w:rFonts w:hint="eastAsia" w:ascii="宋体" w:hAnsi="宋体" w:eastAsia="宋体" w:cs="宋体"/>
          <w:i w:val="0"/>
          <w:iCs w:val="0"/>
          <w:sz w:val="24"/>
          <w:szCs w:val="24"/>
        </w:rPr>
        <w:fldChar w:fldCharType="begin"/>
      </w:r>
      <w:r>
        <w:rPr>
          <w:rFonts w:hint="eastAsia" w:ascii="宋体" w:hAnsi="宋体" w:eastAsia="宋体" w:cs="宋体"/>
          <w:i w:val="0"/>
          <w:iCs w:val="0"/>
          <w:sz w:val="24"/>
          <w:szCs w:val="24"/>
        </w:rPr>
        <w:instrText xml:space="preserve"> PAGEREF _Toc23453 \h </w:instrText>
      </w:r>
      <w:r>
        <w:rPr>
          <w:rFonts w:hint="eastAsia" w:ascii="宋体" w:hAnsi="宋体" w:eastAsia="宋体" w:cs="宋体"/>
          <w:i w:val="0"/>
          <w:iCs w:val="0"/>
          <w:sz w:val="24"/>
          <w:szCs w:val="24"/>
        </w:rPr>
        <w:fldChar w:fldCharType="separate"/>
      </w:r>
      <w:r>
        <w:rPr>
          <w:rFonts w:hint="eastAsia" w:ascii="宋体" w:hAnsi="宋体" w:eastAsia="宋体" w:cs="宋体"/>
          <w:i w:val="0"/>
          <w:iCs w:val="0"/>
          <w:sz w:val="24"/>
          <w:szCs w:val="24"/>
        </w:rPr>
        <w:t>1</w:t>
      </w:r>
      <w:r>
        <w:rPr>
          <w:rFonts w:hint="eastAsia" w:ascii="宋体" w:hAnsi="宋体" w:eastAsia="宋体" w:cs="宋体"/>
          <w:i w:val="0"/>
          <w:iCs w:val="0"/>
          <w:sz w:val="24"/>
          <w:szCs w:val="24"/>
        </w:rPr>
        <w:fldChar w:fldCharType="end"/>
      </w:r>
      <w:r>
        <w:rPr>
          <w:rFonts w:hint="eastAsia" w:ascii="宋体" w:hAnsi="宋体" w:eastAsia="宋体" w:cs="宋体"/>
          <w:bCs/>
          <w:i w:val="0"/>
          <w:iCs w:val="0"/>
          <w:caps/>
          <w:sz w:val="24"/>
          <w:szCs w:val="24"/>
          <w:highlight w:val="none"/>
        </w:rPr>
        <w:fldChar w:fldCharType="end"/>
      </w:r>
    </w:p>
    <w:p w14:paraId="5F6E8DA2">
      <w:pPr>
        <w:pStyle w:val="24"/>
        <w:keepNext w:val="0"/>
        <w:keepLines w:val="0"/>
        <w:pageBreakBefore w:val="0"/>
        <w:widowControl/>
        <w:tabs>
          <w:tab w:val="right" w:leader="dot" w:pos="9740"/>
        </w:tabs>
        <w:kinsoku/>
        <w:wordWrap/>
        <w:overflowPunct/>
        <w:topLinePunct w:val="0"/>
        <w:autoSpaceDE/>
        <w:autoSpaceDN/>
        <w:bidi w:val="0"/>
        <w:adjustRightInd/>
        <w:snapToGrid/>
        <w:spacing w:line="360" w:lineRule="auto"/>
        <w:textAlignment w:val="auto"/>
        <w:rPr>
          <w:rFonts w:hint="eastAsia" w:ascii="宋体" w:hAnsi="宋体" w:eastAsia="宋体" w:cs="宋体"/>
          <w:i w:val="0"/>
          <w:iCs w:val="0"/>
          <w:sz w:val="24"/>
          <w:szCs w:val="24"/>
        </w:rPr>
      </w:pPr>
      <w:r>
        <w:rPr>
          <w:rFonts w:hint="eastAsia" w:ascii="宋体" w:hAnsi="宋体" w:eastAsia="宋体" w:cs="宋体"/>
          <w:bCs/>
          <w:i w:val="0"/>
          <w:iCs w:val="0"/>
          <w:caps/>
          <w:sz w:val="24"/>
          <w:szCs w:val="24"/>
          <w:highlight w:val="none"/>
        </w:rPr>
        <w:fldChar w:fldCharType="begin"/>
      </w:r>
      <w:r>
        <w:rPr>
          <w:rFonts w:hint="eastAsia" w:ascii="宋体" w:hAnsi="宋体" w:eastAsia="宋体" w:cs="宋体"/>
          <w:bCs/>
          <w:i w:val="0"/>
          <w:iCs w:val="0"/>
          <w:caps/>
          <w:sz w:val="24"/>
          <w:szCs w:val="24"/>
          <w:highlight w:val="none"/>
        </w:rPr>
        <w:instrText xml:space="preserve"> HYPERLINK \l _Toc11222 </w:instrText>
      </w:r>
      <w:r>
        <w:rPr>
          <w:rFonts w:hint="eastAsia" w:ascii="宋体" w:hAnsi="宋体" w:eastAsia="宋体" w:cs="宋体"/>
          <w:bCs/>
          <w:i w:val="0"/>
          <w:iCs w:val="0"/>
          <w:caps/>
          <w:sz w:val="24"/>
          <w:szCs w:val="24"/>
          <w:highlight w:val="none"/>
        </w:rPr>
        <w:fldChar w:fldCharType="separate"/>
      </w:r>
      <w:r>
        <w:rPr>
          <w:rFonts w:hint="eastAsia" w:ascii="宋体" w:hAnsi="宋体" w:eastAsia="宋体" w:cs="宋体"/>
          <w:bCs w:val="0"/>
          <w:i w:val="0"/>
          <w:iCs w:val="0"/>
          <w:sz w:val="24"/>
          <w:szCs w:val="24"/>
          <w:lang w:eastAsia="zh-CN"/>
        </w:rPr>
        <w:t>二、申请人的资格要求</w:t>
      </w:r>
      <w:r>
        <w:rPr>
          <w:rFonts w:hint="eastAsia" w:ascii="宋体" w:hAnsi="宋体" w:eastAsia="宋体" w:cs="宋体"/>
          <w:i w:val="0"/>
          <w:iCs w:val="0"/>
          <w:sz w:val="24"/>
          <w:szCs w:val="24"/>
        </w:rPr>
        <w:tab/>
      </w:r>
      <w:r>
        <w:rPr>
          <w:rFonts w:hint="eastAsia" w:ascii="宋体" w:hAnsi="宋体" w:eastAsia="宋体" w:cs="宋体"/>
          <w:i w:val="0"/>
          <w:iCs w:val="0"/>
          <w:sz w:val="24"/>
          <w:szCs w:val="24"/>
        </w:rPr>
        <w:fldChar w:fldCharType="begin"/>
      </w:r>
      <w:r>
        <w:rPr>
          <w:rFonts w:hint="eastAsia" w:ascii="宋体" w:hAnsi="宋体" w:eastAsia="宋体" w:cs="宋体"/>
          <w:i w:val="0"/>
          <w:iCs w:val="0"/>
          <w:sz w:val="24"/>
          <w:szCs w:val="24"/>
        </w:rPr>
        <w:instrText xml:space="preserve"> PAGEREF _Toc11222 \h </w:instrText>
      </w:r>
      <w:r>
        <w:rPr>
          <w:rFonts w:hint="eastAsia" w:ascii="宋体" w:hAnsi="宋体" w:eastAsia="宋体" w:cs="宋体"/>
          <w:i w:val="0"/>
          <w:iCs w:val="0"/>
          <w:sz w:val="24"/>
          <w:szCs w:val="24"/>
        </w:rPr>
        <w:fldChar w:fldCharType="separate"/>
      </w:r>
      <w:r>
        <w:rPr>
          <w:rFonts w:hint="eastAsia" w:ascii="宋体" w:hAnsi="宋体" w:eastAsia="宋体" w:cs="宋体"/>
          <w:i w:val="0"/>
          <w:iCs w:val="0"/>
          <w:sz w:val="24"/>
          <w:szCs w:val="24"/>
        </w:rPr>
        <w:t>1</w:t>
      </w:r>
      <w:r>
        <w:rPr>
          <w:rFonts w:hint="eastAsia" w:ascii="宋体" w:hAnsi="宋体" w:eastAsia="宋体" w:cs="宋体"/>
          <w:i w:val="0"/>
          <w:iCs w:val="0"/>
          <w:sz w:val="24"/>
          <w:szCs w:val="24"/>
        </w:rPr>
        <w:fldChar w:fldCharType="end"/>
      </w:r>
      <w:r>
        <w:rPr>
          <w:rFonts w:hint="eastAsia" w:ascii="宋体" w:hAnsi="宋体" w:eastAsia="宋体" w:cs="宋体"/>
          <w:bCs/>
          <w:i w:val="0"/>
          <w:iCs w:val="0"/>
          <w:caps/>
          <w:sz w:val="24"/>
          <w:szCs w:val="24"/>
          <w:highlight w:val="none"/>
        </w:rPr>
        <w:fldChar w:fldCharType="end"/>
      </w:r>
    </w:p>
    <w:p w14:paraId="583BB5D2">
      <w:pPr>
        <w:pStyle w:val="24"/>
        <w:keepNext w:val="0"/>
        <w:keepLines w:val="0"/>
        <w:pageBreakBefore w:val="0"/>
        <w:widowControl/>
        <w:tabs>
          <w:tab w:val="right" w:leader="dot" w:pos="9740"/>
        </w:tabs>
        <w:kinsoku/>
        <w:wordWrap/>
        <w:overflowPunct/>
        <w:topLinePunct w:val="0"/>
        <w:autoSpaceDE/>
        <w:autoSpaceDN/>
        <w:bidi w:val="0"/>
        <w:adjustRightInd/>
        <w:snapToGrid/>
        <w:spacing w:line="360" w:lineRule="auto"/>
        <w:textAlignment w:val="auto"/>
        <w:rPr>
          <w:rFonts w:hint="eastAsia" w:ascii="宋体" w:hAnsi="宋体" w:eastAsia="宋体" w:cs="宋体"/>
          <w:i w:val="0"/>
          <w:iCs w:val="0"/>
          <w:sz w:val="24"/>
          <w:szCs w:val="24"/>
        </w:rPr>
      </w:pPr>
      <w:r>
        <w:rPr>
          <w:rFonts w:hint="eastAsia" w:ascii="宋体" w:hAnsi="宋体" w:eastAsia="宋体" w:cs="宋体"/>
          <w:bCs/>
          <w:i w:val="0"/>
          <w:iCs w:val="0"/>
          <w:caps/>
          <w:sz w:val="24"/>
          <w:szCs w:val="24"/>
          <w:highlight w:val="none"/>
        </w:rPr>
        <w:fldChar w:fldCharType="begin"/>
      </w:r>
      <w:r>
        <w:rPr>
          <w:rFonts w:hint="eastAsia" w:ascii="宋体" w:hAnsi="宋体" w:eastAsia="宋体" w:cs="宋体"/>
          <w:bCs/>
          <w:i w:val="0"/>
          <w:iCs w:val="0"/>
          <w:caps/>
          <w:sz w:val="24"/>
          <w:szCs w:val="24"/>
          <w:highlight w:val="none"/>
        </w:rPr>
        <w:instrText xml:space="preserve"> HYPERLINK \l _Toc25951 </w:instrText>
      </w:r>
      <w:r>
        <w:rPr>
          <w:rFonts w:hint="eastAsia" w:ascii="宋体" w:hAnsi="宋体" w:eastAsia="宋体" w:cs="宋体"/>
          <w:bCs/>
          <w:i w:val="0"/>
          <w:iCs w:val="0"/>
          <w:caps/>
          <w:sz w:val="24"/>
          <w:szCs w:val="24"/>
          <w:highlight w:val="none"/>
        </w:rPr>
        <w:fldChar w:fldCharType="separate"/>
      </w:r>
      <w:r>
        <w:rPr>
          <w:rFonts w:hint="eastAsia" w:ascii="宋体" w:hAnsi="宋体" w:eastAsia="宋体" w:cs="宋体"/>
          <w:bCs w:val="0"/>
          <w:i w:val="0"/>
          <w:iCs w:val="0"/>
          <w:sz w:val="24"/>
          <w:szCs w:val="24"/>
          <w:lang w:eastAsia="zh-CN"/>
        </w:rPr>
        <w:t>三、获</w:t>
      </w:r>
      <w:r>
        <w:rPr>
          <w:rFonts w:hint="eastAsia" w:ascii="宋体" w:hAnsi="宋体" w:eastAsia="宋体" w:cs="宋体"/>
          <w:bCs w:val="0"/>
          <w:i w:val="0"/>
          <w:iCs w:val="0"/>
          <w:sz w:val="24"/>
          <w:szCs w:val="24"/>
          <w:highlight w:val="none"/>
          <w:lang w:eastAsia="zh-CN"/>
        </w:rPr>
        <w:t>取招标文件</w:t>
      </w:r>
      <w:r>
        <w:rPr>
          <w:rFonts w:hint="eastAsia" w:ascii="宋体" w:hAnsi="宋体" w:eastAsia="宋体" w:cs="宋体"/>
          <w:i w:val="0"/>
          <w:iCs w:val="0"/>
          <w:sz w:val="24"/>
          <w:szCs w:val="24"/>
        </w:rPr>
        <w:tab/>
      </w:r>
      <w:r>
        <w:rPr>
          <w:rFonts w:hint="eastAsia" w:ascii="宋体" w:hAnsi="宋体" w:eastAsia="宋体" w:cs="宋体"/>
          <w:i w:val="0"/>
          <w:iCs w:val="0"/>
          <w:sz w:val="24"/>
          <w:szCs w:val="24"/>
        </w:rPr>
        <w:fldChar w:fldCharType="begin"/>
      </w:r>
      <w:r>
        <w:rPr>
          <w:rFonts w:hint="eastAsia" w:ascii="宋体" w:hAnsi="宋体" w:eastAsia="宋体" w:cs="宋体"/>
          <w:i w:val="0"/>
          <w:iCs w:val="0"/>
          <w:sz w:val="24"/>
          <w:szCs w:val="24"/>
        </w:rPr>
        <w:instrText xml:space="preserve"> PAGEREF _Toc25951 \h </w:instrText>
      </w:r>
      <w:r>
        <w:rPr>
          <w:rFonts w:hint="eastAsia" w:ascii="宋体" w:hAnsi="宋体" w:eastAsia="宋体" w:cs="宋体"/>
          <w:i w:val="0"/>
          <w:iCs w:val="0"/>
          <w:sz w:val="24"/>
          <w:szCs w:val="24"/>
        </w:rPr>
        <w:fldChar w:fldCharType="separate"/>
      </w:r>
      <w:r>
        <w:rPr>
          <w:rFonts w:hint="eastAsia" w:ascii="宋体" w:hAnsi="宋体" w:eastAsia="宋体" w:cs="宋体"/>
          <w:i w:val="0"/>
          <w:iCs w:val="0"/>
          <w:sz w:val="24"/>
          <w:szCs w:val="24"/>
        </w:rPr>
        <w:t>2</w:t>
      </w:r>
      <w:r>
        <w:rPr>
          <w:rFonts w:hint="eastAsia" w:ascii="宋体" w:hAnsi="宋体" w:eastAsia="宋体" w:cs="宋体"/>
          <w:i w:val="0"/>
          <w:iCs w:val="0"/>
          <w:sz w:val="24"/>
          <w:szCs w:val="24"/>
        </w:rPr>
        <w:fldChar w:fldCharType="end"/>
      </w:r>
      <w:r>
        <w:rPr>
          <w:rFonts w:hint="eastAsia" w:ascii="宋体" w:hAnsi="宋体" w:eastAsia="宋体" w:cs="宋体"/>
          <w:bCs/>
          <w:i w:val="0"/>
          <w:iCs w:val="0"/>
          <w:caps/>
          <w:sz w:val="24"/>
          <w:szCs w:val="24"/>
          <w:highlight w:val="none"/>
        </w:rPr>
        <w:fldChar w:fldCharType="end"/>
      </w:r>
    </w:p>
    <w:p w14:paraId="6E4CEE97">
      <w:pPr>
        <w:pStyle w:val="24"/>
        <w:keepNext w:val="0"/>
        <w:keepLines w:val="0"/>
        <w:pageBreakBefore w:val="0"/>
        <w:widowControl/>
        <w:tabs>
          <w:tab w:val="right" w:leader="dot" w:pos="9740"/>
        </w:tabs>
        <w:kinsoku/>
        <w:wordWrap/>
        <w:overflowPunct/>
        <w:topLinePunct w:val="0"/>
        <w:autoSpaceDE/>
        <w:autoSpaceDN/>
        <w:bidi w:val="0"/>
        <w:adjustRightInd/>
        <w:snapToGrid/>
        <w:spacing w:line="360" w:lineRule="auto"/>
        <w:textAlignment w:val="auto"/>
        <w:rPr>
          <w:rFonts w:hint="eastAsia" w:ascii="宋体" w:hAnsi="宋体" w:eastAsia="宋体" w:cs="宋体"/>
          <w:i w:val="0"/>
          <w:iCs w:val="0"/>
          <w:sz w:val="24"/>
          <w:szCs w:val="24"/>
        </w:rPr>
      </w:pPr>
      <w:r>
        <w:rPr>
          <w:rFonts w:hint="eastAsia" w:ascii="宋体" w:hAnsi="宋体" w:eastAsia="宋体" w:cs="宋体"/>
          <w:bCs/>
          <w:i w:val="0"/>
          <w:iCs w:val="0"/>
          <w:caps/>
          <w:sz w:val="24"/>
          <w:szCs w:val="24"/>
          <w:highlight w:val="none"/>
        </w:rPr>
        <w:fldChar w:fldCharType="begin"/>
      </w:r>
      <w:r>
        <w:rPr>
          <w:rFonts w:hint="eastAsia" w:ascii="宋体" w:hAnsi="宋体" w:eastAsia="宋体" w:cs="宋体"/>
          <w:bCs/>
          <w:i w:val="0"/>
          <w:iCs w:val="0"/>
          <w:caps/>
          <w:sz w:val="24"/>
          <w:szCs w:val="24"/>
          <w:highlight w:val="none"/>
        </w:rPr>
        <w:instrText xml:space="preserve"> HYPERLINK \l _Toc3285 </w:instrText>
      </w:r>
      <w:r>
        <w:rPr>
          <w:rFonts w:hint="eastAsia" w:ascii="宋体" w:hAnsi="宋体" w:eastAsia="宋体" w:cs="宋体"/>
          <w:bCs/>
          <w:i w:val="0"/>
          <w:iCs w:val="0"/>
          <w:caps/>
          <w:sz w:val="24"/>
          <w:szCs w:val="24"/>
          <w:highlight w:val="none"/>
        </w:rPr>
        <w:fldChar w:fldCharType="separate"/>
      </w:r>
      <w:r>
        <w:rPr>
          <w:rFonts w:hint="eastAsia" w:ascii="宋体" w:hAnsi="宋体" w:eastAsia="宋体" w:cs="宋体"/>
          <w:bCs w:val="0"/>
          <w:i w:val="0"/>
          <w:iCs w:val="0"/>
          <w:sz w:val="24"/>
          <w:szCs w:val="24"/>
          <w:highlight w:val="none"/>
          <w:lang w:eastAsia="zh-CN"/>
        </w:rPr>
        <w:t>四、提交投标文件截止时间、开标时间和地点</w:t>
      </w:r>
      <w:r>
        <w:rPr>
          <w:rFonts w:hint="eastAsia" w:ascii="宋体" w:hAnsi="宋体" w:eastAsia="宋体" w:cs="宋体"/>
          <w:i w:val="0"/>
          <w:iCs w:val="0"/>
          <w:sz w:val="24"/>
          <w:szCs w:val="24"/>
        </w:rPr>
        <w:tab/>
      </w:r>
      <w:r>
        <w:rPr>
          <w:rFonts w:hint="eastAsia" w:ascii="宋体" w:hAnsi="宋体" w:eastAsia="宋体" w:cs="宋体"/>
          <w:i w:val="0"/>
          <w:iCs w:val="0"/>
          <w:sz w:val="24"/>
          <w:szCs w:val="24"/>
        </w:rPr>
        <w:fldChar w:fldCharType="begin"/>
      </w:r>
      <w:r>
        <w:rPr>
          <w:rFonts w:hint="eastAsia" w:ascii="宋体" w:hAnsi="宋体" w:eastAsia="宋体" w:cs="宋体"/>
          <w:i w:val="0"/>
          <w:iCs w:val="0"/>
          <w:sz w:val="24"/>
          <w:szCs w:val="24"/>
        </w:rPr>
        <w:instrText xml:space="preserve"> PAGEREF _Toc3285 \h </w:instrText>
      </w:r>
      <w:r>
        <w:rPr>
          <w:rFonts w:hint="eastAsia" w:ascii="宋体" w:hAnsi="宋体" w:eastAsia="宋体" w:cs="宋体"/>
          <w:i w:val="0"/>
          <w:iCs w:val="0"/>
          <w:sz w:val="24"/>
          <w:szCs w:val="24"/>
        </w:rPr>
        <w:fldChar w:fldCharType="separate"/>
      </w:r>
      <w:r>
        <w:rPr>
          <w:rFonts w:hint="eastAsia" w:ascii="宋体" w:hAnsi="宋体" w:eastAsia="宋体" w:cs="宋体"/>
          <w:i w:val="0"/>
          <w:iCs w:val="0"/>
          <w:sz w:val="24"/>
          <w:szCs w:val="24"/>
        </w:rPr>
        <w:t>3</w:t>
      </w:r>
      <w:r>
        <w:rPr>
          <w:rFonts w:hint="eastAsia" w:ascii="宋体" w:hAnsi="宋体" w:eastAsia="宋体" w:cs="宋体"/>
          <w:i w:val="0"/>
          <w:iCs w:val="0"/>
          <w:sz w:val="24"/>
          <w:szCs w:val="24"/>
        </w:rPr>
        <w:fldChar w:fldCharType="end"/>
      </w:r>
      <w:r>
        <w:rPr>
          <w:rFonts w:hint="eastAsia" w:ascii="宋体" w:hAnsi="宋体" w:eastAsia="宋体" w:cs="宋体"/>
          <w:bCs/>
          <w:i w:val="0"/>
          <w:iCs w:val="0"/>
          <w:caps/>
          <w:sz w:val="24"/>
          <w:szCs w:val="24"/>
          <w:highlight w:val="none"/>
        </w:rPr>
        <w:fldChar w:fldCharType="end"/>
      </w:r>
    </w:p>
    <w:p w14:paraId="18C615C7">
      <w:pPr>
        <w:pStyle w:val="24"/>
        <w:keepNext w:val="0"/>
        <w:keepLines w:val="0"/>
        <w:pageBreakBefore w:val="0"/>
        <w:widowControl/>
        <w:tabs>
          <w:tab w:val="right" w:leader="dot" w:pos="9740"/>
        </w:tabs>
        <w:kinsoku/>
        <w:wordWrap/>
        <w:overflowPunct/>
        <w:topLinePunct w:val="0"/>
        <w:autoSpaceDE/>
        <w:autoSpaceDN/>
        <w:bidi w:val="0"/>
        <w:adjustRightInd/>
        <w:snapToGrid/>
        <w:spacing w:line="360" w:lineRule="auto"/>
        <w:textAlignment w:val="auto"/>
        <w:rPr>
          <w:rFonts w:hint="eastAsia" w:ascii="宋体" w:hAnsi="宋体" w:eastAsia="宋体" w:cs="宋体"/>
          <w:i w:val="0"/>
          <w:iCs w:val="0"/>
          <w:sz w:val="24"/>
          <w:szCs w:val="24"/>
        </w:rPr>
      </w:pPr>
      <w:r>
        <w:rPr>
          <w:rFonts w:hint="eastAsia" w:ascii="宋体" w:hAnsi="宋体" w:eastAsia="宋体" w:cs="宋体"/>
          <w:bCs/>
          <w:i w:val="0"/>
          <w:iCs w:val="0"/>
          <w:caps/>
          <w:sz w:val="24"/>
          <w:szCs w:val="24"/>
          <w:highlight w:val="none"/>
        </w:rPr>
        <w:fldChar w:fldCharType="begin"/>
      </w:r>
      <w:r>
        <w:rPr>
          <w:rFonts w:hint="eastAsia" w:ascii="宋体" w:hAnsi="宋体" w:eastAsia="宋体" w:cs="宋体"/>
          <w:bCs/>
          <w:i w:val="0"/>
          <w:iCs w:val="0"/>
          <w:caps/>
          <w:sz w:val="24"/>
          <w:szCs w:val="24"/>
          <w:highlight w:val="none"/>
        </w:rPr>
        <w:instrText xml:space="preserve"> HYPERLINK \l _Toc25135 </w:instrText>
      </w:r>
      <w:r>
        <w:rPr>
          <w:rFonts w:hint="eastAsia" w:ascii="宋体" w:hAnsi="宋体" w:eastAsia="宋体" w:cs="宋体"/>
          <w:bCs/>
          <w:i w:val="0"/>
          <w:iCs w:val="0"/>
          <w:caps/>
          <w:sz w:val="24"/>
          <w:szCs w:val="24"/>
          <w:highlight w:val="none"/>
        </w:rPr>
        <w:fldChar w:fldCharType="separate"/>
      </w:r>
      <w:r>
        <w:rPr>
          <w:rFonts w:hint="eastAsia" w:ascii="宋体" w:hAnsi="宋体" w:eastAsia="宋体" w:cs="宋体"/>
          <w:bCs w:val="0"/>
          <w:i w:val="0"/>
          <w:iCs w:val="0"/>
          <w:sz w:val="24"/>
          <w:szCs w:val="24"/>
          <w:highlight w:val="none"/>
          <w:lang w:eastAsia="zh-CN"/>
        </w:rPr>
        <w:t>五、公告期限</w:t>
      </w:r>
      <w:r>
        <w:rPr>
          <w:rFonts w:hint="eastAsia" w:ascii="宋体" w:hAnsi="宋体" w:eastAsia="宋体" w:cs="宋体"/>
          <w:i w:val="0"/>
          <w:iCs w:val="0"/>
          <w:sz w:val="24"/>
          <w:szCs w:val="24"/>
        </w:rPr>
        <w:tab/>
      </w:r>
      <w:r>
        <w:rPr>
          <w:rFonts w:hint="eastAsia" w:ascii="宋体" w:hAnsi="宋体" w:eastAsia="宋体" w:cs="宋体"/>
          <w:i w:val="0"/>
          <w:iCs w:val="0"/>
          <w:sz w:val="24"/>
          <w:szCs w:val="24"/>
        </w:rPr>
        <w:fldChar w:fldCharType="begin"/>
      </w:r>
      <w:r>
        <w:rPr>
          <w:rFonts w:hint="eastAsia" w:ascii="宋体" w:hAnsi="宋体" w:eastAsia="宋体" w:cs="宋体"/>
          <w:i w:val="0"/>
          <w:iCs w:val="0"/>
          <w:sz w:val="24"/>
          <w:szCs w:val="24"/>
        </w:rPr>
        <w:instrText xml:space="preserve"> PAGEREF _Toc25135 \h </w:instrText>
      </w:r>
      <w:r>
        <w:rPr>
          <w:rFonts w:hint="eastAsia" w:ascii="宋体" w:hAnsi="宋体" w:eastAsia="宋体" w:cs="宋体"/>
          <w:i w:val="0"/>
          <w:iCs w:val="0"/>
          <w:sz w:val="24"/>
          <w:szCs w:val="24"/>
        </w:rPr>
        <w:fldChar w:fldCharType="separate"/>
      </w:r>
      <w:r>
        <w:rPr>
          <w:rFonts w:hint="eastAsia" w:ascii="宋体" w:hAnsi="宋体" w:eastAsia="宋体" w:cs="宋体"/>
          <w:i w:val="0"/>
          <w:iCs w:val="0"/>
          <w:sz w:val="24"/>
          <w:szCs w:val="24"/>
        </w:rPr>
        <w:t>3</w:t>
      </w:r>
      <w:r>
        <w:rPr>
          <w:rFonts w:hint="eastAsia" w:ascii="宋体" w:hAnsi="宋体" w:eastAsia="宋体" w:cs="宋体"/>
          <w:i w:val="0"/>
          <w:iCs w:val="0"/>
          <w:sz w:val="24"/>
          <w:szCs w:val="24"/>
        </w:rPr>
        <w:fldChar w:fldCharType="end"/>
      </w:r>
      <w:r>
        <w:rPr>
          <w:rFonts w:hint="eastAsia" w:ascii="宋体" w:hAnsi="宋体" w:eastAsia="宋体" w:cs="宋体"/>
          <w:bCs/>
          <w:i w:val="0"/>
          <w:iCs w:val="0"/>
          <w:caps/>
          <w:sz w:val="24"/>
          <w:szCs w:val="24"/>
          <w:highlight w:val="none"/>
        </w:rPr>
        <w:fldChar w:fldCharType="end"/>
      </w:r>
    </w:p>
    <w:p w14:paraId="3E277F36">
      <w:pPr>
        <w:pStyle w:val="24"/>
        <w:keepNext w:val="0"/>
        <w:keepLines w:val="0"/>
        <w:pageBreakBefore w:val="0"/>
        <w:widowControl/>
        <w:tabs>
          <w:tab w:val="right" w:leader="dot" w:pos="9740"/>
        </w:tabs>
        <w:kinsoku/>
        <w:wordWrap/>
        <w:overflowPunct/>
        <w:topLinePunct w:val="0"/>
        <w:autoSpaceDE/>
        <w:autoSpaceDN/>
        <w:bidi w:val="0"/>
        <w:adjustRightInd/>
        <w:snapToGrid/>
        <w:spacing w:line="360" w:lineRule="auto"/>
        <w:textAlignment w:val="auto"/>
        <w:rPr>
          <w:rFonts w:hint="eastAsia" w:ascii="宋体" w:hAnsi="宋体" w:eastAsia="宋体" w:cs="宋体"/>
          <w:i w:val="0"/>
          <w:iCs w:val="0"/>
          <w:sz w:val="24"/>
          <w:szCs w:val="24"/>
        </w:rPr>
      </w:pPr>
      <w:r>
        <w:rPr>
          <w:rFonts w:hint="eastAsia" w:ascii="宋体" w:hAnsi="宋体" w:eastAsia="宋体" w:cs="宋体"/>
          <w:bCs/>
          <w:i w:val="0"/>
          <w:iCs w:val="0"/>
          <w:caps/>
          <w:sz w:val="24"/>
          <w:szCs w:val="24"/>
          <w:highlight w:val="none"/>
        </w:rPr>
        <w:fldChar w:fldCharType="begin"/>
      </w:r>
      <w:r>
        <w:rPr>
          <w:rFonts w:hint="eastAsia" w:ascii="宋体" w:hAnsi="宋体" w:eastAsia="宋体" w:cs="宋体"/>
          <w:bCs/>
          <w:i w:val="0"/>
          <w:iCs w:val="0"/>
          <w:caps/>
          <w:sz w:val="24"/>
          <w:szCs w:val="24"/>
          <w:highlight w:val="none"/>
        </w:rPr>
        <w:instrText xml:space="preserve"> HYPERLINK \l _Toc26398 </w:instrText>
      </w:r>
      <w:r>
        <w:rPr>
          <w:rFonts w:hint="eastAsia" w:ascii="宋体" w:hAnsi="宋体" w:eastAsia="宋体" w:cs="宋体"/>
          <w:bCs/>
          <w:i w:val="0"/>
          <w:iCs w:val="0"/>
          <w:caps/>
          <w:sz w:val="24"/>
          <w:szCs w:val="24"/>
          <w:highlight w:val="none"/>
        </w:rPr>
        <w:fldChar w:fldCharType="separate"/>
      </w:r>
      <w:r>
        <w:rPr>
          <w:rFonts w:hint="eastAsia" w:ascii="宋体" w:hAnsi="宋体" w:eastAsia="宋体" w:cs="宋体"/>
          <w:bCs w:val="0"/>
          <w:i w:val="0"/>
          <w:iCs w:val="0"/>
          <w:sz w:val="24"/>
          <w:szCs w:val="24"/>
          <w:highlight w:val="none"/>
          <w:lang w:eastAsia="zh-CN"/>
        </w:rPr>
        <w:t>六、其他补充事宜</w:t>
      </w:r>
      <w:r>
        <w:rPr>
          <w:rFonts w:hint="eastAsia" w:ascii="宋体" w:hAnsi="宋体" w:eastAsia="宋体" w:cs="宋体"/>
          <w:i w:val="0"/>
          <w:iCs w:val="0"/>
          <w:sz w:val="24"/>
          <w:szCs w:val="24"/>
        </w:rPr>
        <w:tab/>
      </w:r>
      <w:r>
        <w:rPr>
          <w:rFonts w:hint="eastAsia" w:ascii="宋体" w:hAnsi="宋体" w:eastAsia="宋体" w:cs="宋体"/>
          <w:i w:val="0"/>
          <w:iCs w:val="0"/>
          <w:sz w:val="24"/>
          <w:szCs w:val="24"/>
        </w:rPr>
        <w:fldChar w:fldCharType="begin"/>
      </w:r>
      <w:r>
        <w:rPr>
          <w:rFonts w:hint="eastAsia" w:ascii="宋体" w:hAnsi="宋体" w:eastAsia="宋体" w:cs="宋体"/>
          <w:i w:val="0"/>
          <w:iCs w:val="0"/>
          <w:sz w:val="24"/>
          <w:szCs w:val="24"/>
        </w:rPr>
        <w:instrText xml:space="preserve"> PAGEREF _Toc26398 \h </w:instrText>
      </w:r>
      <w:r>
        <w:rPr>
          <w:rFonts w:hint="eastAsia" w:ascii="宋体" w:hAnsi="宋体" w:eastAsia="宋体" w:cs="宋体"/>
          <w:i w:val="0"/>
          <w:iCs w:val="0"/>
          <w:sz w:val="24"/>
          <w:szCs w:val="24"/>
        </w:rPr>
        <w:fldChar w:fldCharType="separate"/>
      </w:r>
      <w:r>
        <w:rPr>
          <w:rFonts w:hint="eastAsia" w:ascii="宋体" w:hAnsi="宋体" w:eastAsia="宋体" w:cs="宋体"/>
          <w:i w:val="0"/>
          <w:iCs w:val="0"/>
          <w:sz w:val="24"/>
          <w:szCs w:val="24"/>
        </w:rPr>
        <w:t>3</w:t>
      </w:r>
      <w:r>
        <w:rPr>
          <w:rFonts w:hint="eastAsia" w:ascii="宋体" w:hAnsi="宋体" w:eastAsia="宋体" w:cs="宋体"/>
          <w:i w:val="0"/>
          <w:iCs w:val="0"/>
          <w:sz w:val="24"/>
          <w:szCs w:val="24"/>
        </w:rPr>
        <w:fldChar w:fldCharType="end"/>
      </w:r>
      <w:r>
        <w:rPr>
          <w:rFonts w:hint="eastAsia" w:ascii="宋体" w:hAnsi="宋体" w:eastAsia="宋体" w:cs="宋体"/>
          <w:bCs/>
          <w:i w:val="0"/>
          <w:iCs w:val="0"/>
          <w:caps/>
          <w:sz w:val="24"/>
          <w:szCs w:val="24"/>
          <w:highlight w:val="none"/>
        </w:rPr>
        <w:fldChar w:fldCharType="end"/>
      </w:r>
    </w:p>
    <w:p w14:paraId="51CA98CA">
      <w:pPr>
        <w:pStyle w:val="24"/>
        <w:keepNext w:val="0"/>
        <w:keepLines w:val="0"/>
        <w:pageBreakBefore w:val="0"/>
        <w:widowControl/>
        <w:tabs>
          <w:tab w:val="right" w:leader="dot" w:pos="9740"/>
        </w:tabs>
        <w:kinsoku/>
        <w:wordWrap/>
        <w:overflowPunct/>
        <w:topLinePunct w:val="0"/>
        <w:autoSpaceDE/>
        <w:autoSpaceDN/>
        <w:bidi w:val="0"/>
        <w:adjustRightInd/>
        <w:snapToGrid/>
        <w:spacing w:line="360" w:lineRule="auto"/>
        <w:textAlignment w:val="auto"/>
        <w:rPr>
          <w:rFonts w:hint="eastAsia" w:ascii="宋体" w:hAnsi="宋体" w:eastAsia="宋体" w:cs="宋体"/>
          <w:i w:val="0"/>
          <w:iCs w:val="0"/>
          <w:sz w:val="24"/>
          <w:szCs w:val="24"/>
        </w:rPr>
      </w:pPr>
      <w:r>
        <w:rPr>
          <w:rFonts w:hint="eastAsia" w:ascii="宋体" w:hAnsi="宋体" w:eastAsia="宋体" w:cs="宋体"/>
          <w:bCs/>
          <w:i w:val="0"/>
          <w:iCs w:val="0"/>
          <w:caps/>
          <w:sz w:val="24"/>
          <w:szCs w:val="24"/>
          <w:highlight w:val="none"/>
        </w:rPr>
        <w:fldChar w:fldCharType="begin"/>
      </w:r>
      <w:r>
        <w:rPr>
          <w:rFonts w:hint="eastAsia" w:ascii="宋体" w:hAnsi="宋体" w:eastAsia="宋体" w:cs="宋体"/>
          <w:bCs/>
          <w:i w:val="0"/>
          <w:iCs w:val="0"/>
          <w:caps/>
          <w:sz w:val="24"/>
          <w:szCs w:val="24"/>
          <w:highlight w:val="none"/>
        </w:rPr>
        <w:instrText xml:space="preserve"> HYPERLINK \l _Toc20688 </w:instrText>
      </w:r>
      <w:r>
        <w:rPr>
          <w:rFonts w:hint="eastAsia" w:ascii="宋体" w:hAnsi="宋体" w:eastAsia="宋体" w:cs="宋体"/>
          <w:bCs/>
          <w:i w:val="0"/>
          <w:iCs w:val="0"/>
          <w:caps/>
          <w:sz w:val="24"/>
          <w:szCs w:val="24"/>
          <w:highlight w:val="none"/>
        </w:rPr>
        <w:fldChar w:fldCharType="separate"/>
      </w:r>
      <w:r>
        <w:rPr>
          <w:rFonts w:hint="eastAsia" w:ascii="宋体" w:hAnsi="宋体" w:eastAsia="宋体" w:cs="宋体"/>
          <w:bCs w:val="0"/>
          <w:i w:val="0"/>
          <w:iCs w:val="0"/>
          <w:sz w:val="24"/>
          <w:szCs w:val="24"/>
          <w:lang w:eastAsia="zh-CN"/>
        </w:rPr>
        <w:t>七、对本次招标提出询问，请按以下方式联系</w:t>
      </w:r>
      <w:r>
        <w:rPr>
          <w:rFonts w:hint="eastAsia" w:ascii="宋体" w:hAnsi="宋体" w:eastAsia="宋体" w:cs="宋体"/>
          <w:i w:val="0"/>
          <w:iCs w:val="0"/>
          <w:sz w:val="24"/>
          <w:szCs w:val="24"/>
        </w:rPr>
        <w:tab/>
      </w:r>
      <w:r>
        <w:rPr>
          <w:rFonts w:hint="eastAsia" w:ascii="宋体" w:hAnsi="宋体" w:eastAsia="宋体" w:cs="宋体"/>
          <w:i w:val="0"/>
          <w:iCs w:val="0"/>
          <w:sz w:val="24"/>
          <w:szCs w:val="24"/>
        </w:rPr>
        <w:fldChar w:fldCharType="begin"/>
      </w:r>
      <w:r>
        <w:rPr>
          <w:rFonts w:hint="eastAsia" w:ascii="宋体" w:hAnsi="宋体" w:eastAsia="宋体" w:cs="宋体"/>
          <w:i w:val="0"/>
          <w:iCs w:val="0"/>
          <w:sz w:val="24"/>
          <w:szCs w:val="24"/>
        </w:rPr>
        <w:instrText xml:space="preserve"> PAGEREF _Toc20688 \h </w:instrText>
      </w:r>
      <w:r>
        <w:rPr>
          <w:rFonts w:hint="eastAsia" w:ascii="宋体" w:hAnsi="宋体" w:eastAsia="宋体" w:cs="宋体"/>
          <w:i w:val="0"/>
          <w:iCs w:val="0"/>
          <w:sz w:val="24"/>
          <w:szCs w:val="24"/>
        </w:rPr>
        <w:fldChar w:fldCharType="separate"/>
      </w:r>
      <w:r>
        <w:rPr>
          <w:rFonts w:hint="eastAsia" w:ascii="宋体" w:hAnsi="宋体" w:eastAsia="宋体" w:cs="宋体"/>
          <w:i w:val="0"/>
          <w:iCs w:val="0"/>
          <w:sz w:val="24"/>
          <w:szCs w:val="24"/>
        </w:rPr>
        <w:t>4</w:t>
      </w:r>
      <w:r>
        <w:rPr>
          <w:rFonts w:hint="eastAsia" w:ascii="宋体" w:hAnsi="宋体" w:eastAsia="宋体" w:cs="宋体"/>
          <w:i w:val="0"/>
          <w:iCs w:val="0"/>
          <w:sz w:val="24"/>
          <w:szCs w:val="24"/>
        </w:rPr>
        <w:fldChar w:fldCharType="end"/>
      </w:r>
      <w:r>
        <w:rPr>
          <w:rFonts w:hint="eastAsia" w:ascii="宋体" w:hAnsi="宋体" w:eastAsia="宋体" w:cs="宋体"/>
          <w:bCs/>
          <w:i w:val="0"/>
          <w:iCs w:val="0"/>
          <w:caps/>
          <w:sz w:val="24"/>
          <w:szCs w:val="24"/>
          <w:highlight w:val="none"/>
        </w:rPr>
        <w:fldChar w:fldCharType="end"/>
      </w:r>
    </w:p>
    <w:p w14:paraId="56D0E13E">
      <w:pPr>
        <w:pStyle w:val="20"/>
        <w:keepNext w:val="0"/>
        <w:keepLines w:val="0"/>
        <w:pageBreakBefore w:val="0"/>
        <w:widowControl/>
        <w:tabs>
          <w:tab w:val="right" w:leader="dot" w:pos="9740"/>
        </w:tabs>
        <w:kinsoku/>
        <w:wordWrap/>
        <w:overflowPunct/>
        <w:topLinePunct w:val="0"/>
        <w:autoSpaceDE/>
        <w:autoSpaceDN/>
        <w:bidi w:val="0"/>
        <w:adjustRightInd/>
        <w:snapToGrid/>
        <w:spacing w:line="360" w:lineRule="auto"/>
        <w:textAlignment w:val="auto"/>
        <w:rPr>
          <w:rFonts w:hint="eastAsia" w:ascii="宋体" w:hAnsi="宋体" w:eastAsia="宋体" w:cs="宋体"/>
          <w:i w:val="0"/>
          <w:iCs w:val="0"/>
          <w:sz w:val="24"/>
          <w:szCs w:val="24"/>
        </w:rPr>
      </w:pPr>
      <w:r>
        <w:rPr>
          <w:rFonts w:hint="eastAsia" w:ascii="宋体" w:hAnsi="宋体" w:eastAsia="宋体" w:cs="宋体"/>
          <w:bCs w:val="0"/>
          <w:i w:val="0"/>
          <w:iCs w:val="0"/>
          <w:caps w:val="0"/>
          <w:sz w:val="24"/>
          <w:szCs w:val="24"/>
          <w:highlight w:val="none"/>
        </w:rPr>
        <w:fldChar w:fldCharType="begin"/>
      </w:r>
      <w:r>
        <w:rPr>
          <w:rFonts w:hint="eastAsia" w:ascii="宋体" w:hAnsi="宋体" w:eastAsia="宋体" w:cs="宋体"/>
          <w:bCs w:val="0"/>
          <w:i w:val="0"/>
          <w:iCs w:val="0"/>
          <w:caps w:val="0"/>
          <w:sz w:val="24"/>
          <w:szCs w:val="24"/>
          <w:highlight w:val="none"/>
        </w:rPr>
        <w:instrText xml:space="preserve"> HYPERLINK \l _Toc21485 </w:instrText>
      </w:r>
      <w:r>
        <w:rPr>
          <w:rFonts w:hint="eastAsia" w:ascii="宋体" w:hAnsi="宋体" w:eastAsia="宋体" w:cs="宋体"/>
          <w:bCs w:val="0"/>
          <w:i w:val="0"/>
          <w:iCs w:val="0"/>
          <w:caps w:val="0"/>
          <w:sz w:val="24"/>
          <w:szCs w:val="24"/>
          <w:highlight w:val="none"/>
        </w:rPr>
        <w:fldChar w:fldCharType="separate"/>
      </w:r>
      <w:r>
        <w:rPr>
          <w:rFonts w:hint="eastAsia" w:ascii="宋体" w:hAnsi="宋体" w:eastAsia="宋体" w:cs="宋体"/>
          <w:bCs/>
          <w:i w:val="0"/>
          <w:iCs w:val="0"/>
          <w:sz w:val="24"/>
          <w:szCs w:val="24"/>
          <w:highlight w:val="none"/>
        </w:rPr>
        <w:t>第二章 投标人须知</w:t>
      </w:r>
      <w:r>
        <w:rPr>
          <w:rFonts w:hint="eastAsia" w:ascii="宋体" w:hAnsi="宋体" w:eastAsia="宋体" w:cs="宋体"/>
          <w:i w:val="0"/>
          <w:iCs w:val="0"/>
          <w:sz w:val="24"/>
          <w:szCs w:val="24"/>
        </w:rPr>
        <w:tab/>
      </w:r>
      <w:r>
        <w:rPr>
          <w:rFonts w:hint="eastAsia" w:ascii="宋体" w:hAnsi="宋体" w:eastAsia="宋体" w:cs="宋体"/>
          <w:i w:val="0"/>
          <w:iCs w:val="0"/>
          <w:sz w:val="24"/>
          <w:szCs w:val="24"/>
        </w:rPr>
        <w:fldChar w:fldCharType="begin"/>
      </w:r>
      <w:r>
        <w:rPr>
          <w:rFonts w:hint="eastAsia" w:ascii="宋体" w:hAnsi="宋体" w:eastAsia="宋体" w:cs="宋体"/>
          <w:i w:val="0"/>
          <w:iCs w:val="0"/>
          <w:sz w:val="24"/>
          <w:szCs w:val="24"/>
        </w:rPr>
        <w:instrText xml:space="preserve"> PAGEREF _Toc21485 \h </w:instrText>
      </w:r>
      <w:r>
        <w:rPr>
          <w:rFonts w:hint="eastAsia" w:ascii="宋体" w:hAnsi="宋体" w:eastAsia="宋体" w:cs="宋体"/>
          <w:i w:val="0"/>
          <w:iCs w:val="0"/>
          <w:sz w:val="24"/>
          <w:szCs w:val="24"/>
        </w:rPr>
        <w:fldChar w:fldCharType="separate"/>
      </w:r>
      <w:r>
        <w:rPr>
          <w:rFonts w:hint="eastAsia" w:ascii="宋体" w:hAnsi="宋体" w:eastAsia="宋体" w:cs="宋体"/>
          <w:i w:val="0"/>
          <w:iCs w:val="0"/>
          <w:sz w:val="24"/>
          <w:szCs w:val="24"/>
        </w:rPr>
        <w:t>6</w:t>
      </w:r>
      <w:r>
        <w:rPr>
          <w:rFonts w:hint="eastAsia" w:ascii="宋体" w:hAnsi="宋体" w:eastAsia="宋体" w:cs="宋体"/>
          <w:i w:val="0"/>
          <w:iCs w:val="0"/>
          <w:sz w:val="24"/>
          <w:szCs w:val="24"/>
        </w:rPr>
        <w:fldChar w:fldCharType="end"/>
      </w:r>
      <w:r>
        <w:rPr>
          <w:rFonts w:hint="eastAsia" w:ascii="宋体" w:hAnsi="宋体" w:eastAsia="宋体" w:cs="宋体"/>
          <w:bCs w:val="0"/>
          <w:i w:val="0"/>
          <w:iCs w:val="0"/>
          <w:caps w:val="0"/>
          <w:sz w:val="24"/>
          <w:szCs w:val="24"/>
          <w:highlight w:val="none"/>
        </w:rPr>
        <w:fldChar w:fldCharType="end"/>
      </w:r>
    </w:p>
    <w:p w14:paraId="7F493651">
      <w:pPr>
        <w:pStyle w:val="24"/>
        <w:keepNext w:val="0"/>
        <w:keepLines w:val="0"/>
        <w:pageBreakBefore w:val="0"/>
        <w:widowControl/>
        <w:tabs>
          <w:tab w:val="right" w:leader="dot" w:pos="9740"/>
        </w:tabs>
        <w:kinsoku/>
        <w:wordWrap/>
        <w:overflowPunct/>
        <w:topLinePunct w:val="0"/>
        <w:autoSpaceDE/>
        <w:autoSpaceDN/>
        <w:bidi w:val="0"/>
        <w:adjustRightInd/>
        <w:snapToGrid/>
        <w:spacing w:line="360" w:lineRule="auto"/>
        <w:textAlignment w:val="auto"/>
        <w:rPr>
          <w:rFonts w:hint="eastAsia" w:ascii="宋体" w:hAnsi="宋体" w:eastAsia="宋体" w:cs="宋体"/>
          <w:i w:val="0"/>
          <w:iCs w:val="0"/>
          <w:sz w:val="24"/>
          <w:szCs w:val="24"/>
        </w:rPr>
      </w:pPr>
      <w:r>
        <w:rPr>
          <w:rFonts w:hint="eastAsia" w:ascii="宋体" w:hAnsi="宋体" w:eastAsia="宋体" w:cs="宋体"/>
          <w:bCs/>
          <w:i w:val="0"/>
          <w:iCs w:val="0"/>
          <w:caps/>
          <w:sz w:val="24"/>
          <w:szCs w:val="24"/>
          <w:highlight w:val="none"/>
        </w:rPr>
        <w:fldChar w:fldCharType="begin"/>
      </w:r>
      <w:r>
        <w:rPr>
          <w:rFonts w:hint="eastAsia" w:ascii="宋体" w:hAnsi="宋体" w:eastAsia="宋体" w:cs="宋体"/>
          <w:bCs/>
          <w:i w:val="0"/>
          <w:iCs w:val="0"/>
          <w:caps/>
          <w:sz w:val="24"/>
          <w:szCs w:val="24"/>
          <w:highlight w:val="none"/>
        </w:rPr>
        <w:instrText xml:space="preserve"> HYPERLINK \l _Toc19689 </w:instrText>
      </w:r>
      <w:r>
        <w:rPr>
          <w:rFonts w:hint="eastAsia" w:ascii="宋体" w:hAnsi="宋体" w:eastAsia="宋体" w:cs="宋体"/>
          <w:bCs/>
          <w:i w:val="0"/>
          <w:iCs w:val="0"/>
          <w:caps/>
          <w:sz w:val="24"/>
          <w:szCs w:val="24"/>
          <w:highlight w:val="none"/>
        </w:rPr>
        <w:fldChar w:fldCharType="separate"/>
      </w:r>
      <w:r>
        <w:rPr>
          <w:rFonts w:hint="eastAsia" w:ascii="宋体" w:hAnsi="宋体" w:eastAsia="宋体" w:cs="宋体"/>
          <w:i w:val="0"/>
          <w:iCs w:val="0"/>
          <w:sz w:val="24"/>
          <w:szCs w:val="24"/>
          <w:highlight w:val="none"/>
        </w:rPr>
        <w:t>投标人须知前附表</w:t>
      </w:r>
      <w:r>
        <w:rPr>
          <w:rFonts w:hint="eastAsia" w:ascii="宋体" w:hAnsi="宋体" w:eastAsia="宋体" w:cs="宋体"/>
          <w:i w:val="0"/>
          <w:iCs w:val="0"/>
          <w:sz w:val="24"/>
          <w:szCs w:val="24"/>
        </w:rPr>
        <w:tab/>
      </w:r>
      <w:r>
        <w:rPr>
          <w:rFonts w:hint="eastAsia" w:ascii="宋体" w:hAnsi="宋体" w:eastAsia="宋体" w:cs="宋体"/>
          <w:i w:val="0"/>
          <w:iCs w:val="0"/>
          <w:sz w:val="24"/>
          <w:szCs w:val="24"/>
        </w:rPr>
        <w:fldChar w:fldCharType="begin"/>
      </w:r>
      <w:r>
        <w:rPr>
          <w:rFonts w:hint="eastAsia" w:ascii="宋体" w:hAnsi="宋体" w:eastAsia="宋体" w:cs="宋体"/>
          <w:i w:val="0"/>
          <w:iCs w:val="0"/>
          <w:sz w:val="24"/>
          <w:szCs w:val="24"/>
        </w:rPr>
        <w:instrText xml:space="preserve"> PAGEREF _Toc19689 \h </w:instrText>
      </w:r>
      <w:r>
        <w:rPr>
          <w:rFonts w:hint="eastAsia" w:ascii="宋体" w:hAnsi="宋体" w:eastAsia="宋体" w:cs="宋体"/>
          <w:i w:val="0"/>
          <w:iCs w:val="0"/>
          <w:sz w:val="24"/>
          <w:szCs w:val="24"/>
        </w:rPr>
        <w:fldChar w:fldCharType="separate"/>
      </w:r>
      <w:r>
        <w:rPr>
          <w:rFonts w:hint="eastAsia" w:ascii="宋体" w:hAnsi="宋体" w:eastAsia="宋体" w:cs="宋体"/>
          <w:i w:val="0"/>
          <w:iCs w:val="0"/>
          <w:sz w:val="24"/>
          <w:szCs w:val="24"/>
        </w:rPr>
        <w:t>6</w:t>
      </w:r>
      <w:r>
        <w:rPr>
          <w:rFonts w:hint="eastAsia" w:ascii="宋体" w:hAnsi="宋体" w:eastAsia="宋体" w:cs="宋体"/>
          <w:i w:val="0"/>
          <w:iCs w:val="0"/>
          <w:sz w:val="24"/>
          <w:szCs w:val="24"/>
        </w:rPr>
        <w:fldChar w:fldCharType="end"/>
      </w:r>
      <w:r>
        <w:rPr>
          <w:rFonts w:hint="eastAsia" w:ascii="宋体" w:hAnsi="宋体" w:eastAsia="宋体" w:cs="宋体"/>
          <w:bCs/>
          <w:i w:val="0"/>
          <w:iCs w:val="0"/>
          <w:caps/>
          <w:sz w:val="24"/>
          <w:szCs w:val="24"/>
          <w:highlight w:val="none"/>
        </w:rPr>
        <w:fldChar w:fldCharType="end"/>
      </w:r>
    </w:p>
    <w:p w14:paraId="744CDF40">
      <w:pPr>
        <w:pStyle w:val="24"/>
        <w:keepNext w:val="0"/>
        <w:keepLines w:val="0"/>
        <w:pageBreakBefore w:val="0"/>
        <w:widowControl/>
        <w:tabs>
          <w:tab w:val="right" w:leader="dot" w:pos="9740"/>
        </w:tabs>
        <w:kinsoku/>
        <w:wordWrap/>
        <w:overflowPunct/>
        <w:topLinePunct w:val="0"/>
        <w:autoSpaceDE/>
        <w:autoSpaceDN/>
        <w:bidi w:val="0"/>
        <w:adjustRightInd/>
        <w:snapToGrid/>
        <w:spacing w:line="360" w:lineRule="auto"/>
        <w:textAlignment w:val="auto"/>
        <w:rPr>
          <w:rFonts w:hint="eastAsia" w:ascii="宋体" w:hAnsi="宋体" w:eastAsia="宋体" w:cs="宋体"/>
          <w:i w:val="0"/>
          <w:iCs w:val="0"/>
          <w:sz w:val="24"/>
          <w:szCs w:val="24"/>
        </w:rPr>
      </w:pPr>
      <w:r>
        <w:rPr>
          <w:rFonts w:hint="eastAsia" w:ascii="宋体" w:hAnsi="宋体" w:eastAsia="宋体" w:cs="宋体"/>
          <w:bCs/>
          <w:i w:val="0"/>
          <w:iCs w:val="0"/>
          <w:caps/>
          <w:sz w:val="24"/>
          <w:szCs w:val="24"/>
          <w:highlight w:val="none"/>
        </w:rPr>
        <w:fldChar w:fldCharType="begin"/>
      </w:r>
      <w:r>
        <w:rPr>
          <w:rFonts w:hint="eastAsia" w:ascii="宋体" w:hAnsi="宋体" w:eastAsia="宋体" w:cs="宋体"/>
          <w:bCs/>
          <w:i w:val="0"/>
          <w:iCs w:val="0"/>
          <w:caps/>
          <w:sz w:val="24"/>
          <w:szCs w:val="24"/>
          <w:highlight w:val="none"/>
        </w:rPr>
        <w:instrText xml:space="preserve"> HYPERLINK \l _Toc21034 </w:instrText>
      </w:r>
      <w:r>
        <w:rPr>
          <w:rFonts w:hint="eastAsia" w:ascii="宋体" w:hAnsi="宋体" w:eastAsia="宋体" w:cs="宋体"/>
          <w:bCs/>
          <w:i w:val="0"/>
          <w:iCs w:val="0"/>
          <w:caps/>
          <w:sz w:val="24"/>
          <w:szCs w:val="24"/>
          <w:highlight w:val="none"/>
        </w:rPr>
        <w:fldChar w:fldCharType="separate"/>
      </w:r>
      <w:r>
        <w:rPr>
          <w:rFonts w:hint="eastAsia" w:ascii="宋体" w:hAnsi="宋体" w:eastAsia="宋体" w:cs="宋体"/>
          <w:i w:val="0"/>
          <w:iCs w:val="0"/>
          <w:sz w:val="24"/>
          <w:szCs w:val="24"/>
          <w:highlight w:val="none"/>
        </w:rPr>
        <w:t>1. 总则</w:t>
      </w:r>
      <w:r>
        <w:rPr>
          <w:rFonts w:hint="eastAsia" w:ascii="宋体" w:hAnsi="宋体" w:eastAsia="宋体" w:cs="宋体"/>
          <w:i w:val="0"/>
          <w:iCs w:val="0"/>
          <w:sz w:val="24"/>
          <w:szCs w:val="24"/>
        </w:rPr>
        <w:tab/>
      </w:r>
      <w:r>
        <w:rPr>
          <w:rFonts w:hint="eastAsia" w:ascii="宋体" w:hAnsi="宋体" w:eastAsia="宋体" w:cs="宋体"/>
          <w:i w:val="0"/>
          <w:iCs w:val="0"/>
          <w:sz w:val="24"/>
          <w:szCs w:val="24"/>
        </w:rPr>
        <w:fldChar w:fldCharType="begin"/>
      </w:r>
      <w:r>
        <w:rPr>
          <w:rFonts w:hint="eastAsia" w:ascii="宋体" w:hAnsi="宋体" w:eastAsia="宋体" w:cs="宋体"/>
          <w:i w:val="0"/>
          <w:iCs w:val="0"/>
          <w:sz w:val="24"/>
          <w:szCs w:val="24"/>
        </w:rPr>
        <w:instrText xml:space="preserve"> PAGEREF _Toc21034 \h </w:instrText>
      </w:r>
      <w:r>
        <w:rPr>
          <w:rFonts w:hint="eastAsia" w:ascii="宋体" w:hAnsi="宋体" w:eastAsia="宋体" w:cs="宋体"/>
          <w:i w:val="0"/>
          <w:iCs w:val="0"/>
          <w:sz w:val="24"/>
          <w:szCs w:val="24"/>
        </w:rPr>
        <w:fldChar w:fldCharType="separate"/>
      </w:r>
      <w:r>
        <w:rPr>
          <w:rFonts w:hint="eastAsia" w:ascii="宋体" w:hAnsi="宋体" w:eastAsia="宋体" w:cs="宋体"/>
          <w:i w:val="0"/>
          <w:iCs w:val="0"/>
          <w:sz w:val="24"/>
          <w:szCs w:val="24"/>
        </w:rPr>
        <w:t>11</w:t>
      </w:r>
      <w:r>
        <w:rPr>
          <w:rFonts w:hint="eastAsia" w:ascii="宋体" w:hAnsi="宋体" w:eastAsia="宋体" w:cs="宋体"/>
          <w:i w:val="0"/>
          <w:iCs w:val="0"/>
          <w:sz w:val="24"/>
          <w:szCs w:val="24"/>
        </w:rPr>
        <w:fldChar w:fldCharType="end"/>
      </w:r>
      <w:r>
        <w:rPr>
          <w:rFonts w:hint="eastAsia" w:ascii="宋体" w:hAnsi="宋体" w:eastAsia="宋体" w:cs="宋体"/>
          <w:bCs/>
          <w:i w:val="0"/>
          <w:iCs w:val="0"/>
          <w:caps/>
          <w:sz w:val="24"/>
          <w:szCs w:val="24"/>
          <w:highlight w:val="none"/>
        </w:rPr>
        <w:fldChar w:fldCharType="end"/>
      </w:r>
    </w:p>
    <w:p w14:paraId="100B5AF7">
      <w:pPr>
        <w:pStyle w:val="24"/>
        <w:keepNext w:val="0"/>
        <w:keepLines w:val="0"/>
        <w:pageBreakBefore w:val="0"/>
        <w:widowControl/>
        <w:tabs>
          <w:tab w:val="right" w:leader="dot" w:pos="9740"/>
        </w:tabs>
        <w:kinsoku/>
        <w:wordWrap/>
        <w:overflowPunct/>
        <w:topLinePunct w:val="0"/>
        <w:autoSpaceDE/>
        <w:autoSpaceDN/>
        <w:bidi w:val="0"/>
        <w:adjustRightInd/>
        <w:snapToGrid/>
        <w:spacing w:line="360" w:lineRule="auto"/>
        <w:textAlignment w:val="auto"/>
        <w:rPr>
          <w:rFonts w:hint="eastAsia" w:ascii="宋体" w:hAnsi="宋体" w:eastAsia="宋体" w:cs="宋体"/>
          <w:i w:val="0"/>
          <w:iCs w:val="0"/>
          <w:sz w:val="24"/>
          <w:szCs w:val="24"/>
        </w:rPr>
      </w:pPr>
      <w:r>
        <w:rPr>
          <w:rFonts w:hint="eastAsia" w:ascii="宋体" w:hAnsi="宋体" w:eastAsia="宋体" w:cs="宋体"/>
          <w:bCs/>
          <w:i w:val="0"/>
          <w:iCs w:val="0"/>
          <w:caps/>
          <w:sz w:val="24"/>
          <w:szCs w:val="24"/>
          <w:highlight w:val="none"/>
        </w:rPr>
        <w:fldChar w:fldCharType="begin"/>
      </w:r>
      <w:r>
        <w:rPr>
          <w:rFonts w:hint="eastAsia" w:ascii="宋体" w:hAnsi="宋体" w:eastAsia="宋体" w:cs="宋体"/>
          <w:bCs/>
          <w:i w:val="0"/>
          <w:iCs w:val="0"/>
          <w:caps/>
          <w:sz w:val="24"/>
          <w:szCs w:val="24"/>
          <w:highlight w:val="none"/>
        </w:rPr>
        <w:instrText xml:space="preserve"> HYPERLINK \l _Toc19514 </w:instrText>
      </w:r>
      <w:r>
        <w:rPr>
          <w:rFonts w:hint="eastAsia" w:ascii="宋体" w:hAnsi="宋体" w:eastAsia="宋体" w:cs="宋体"/>
          <w:bCs/>
          <w:i w:val="0"/>
          <w:iCs w:val="0"/>
          <w:caps/>
          <w:sz w:val="24"/>
          <w:szCs w:val="24"/>
          <w:highlight w:val="none"/>
        </w:rPr>
        <w:fldChar w:fldCharType="separate"/>
      </w:r>
      <w:r>
        <w:rPr>
          <w:rFonts w:hint="eastAsia" w:ascii="宋体" w:hAnsi="宋体" w:eastAsia="宋体" w:cs="宋体"/>
          <w:i w:val="0"/>
          <w:iCs w:val="0"/>
          <w:sz w:val="24"/>
          <w:szCs w:val="24"/>
          <w:highlight w:val="none"/>
        </w:rPr>
        <w:t>2. 招标文件</w:t>
      </w:r>
      <w:r>
        <w:rPr>
          <w:rFonts w:hint="eastAsia" w:ascii="宋体" w:hAnsi="宋体" w:eastAsia="宋体" w:cs="宋体"/>
          <w:i w:val="0"/>
          <w:iCs w:val="0"/>
          <w:sz w:val="24"/>
          <w:szCs w:val="24"/>
        </w:rPr>
        <w:tab/>
      </w:r>
      <w:r>
        <w:rPr>
          <w:rFonts w:hint="eastAsia" w:ascii="宋体" w:hAnsi="宋体" w:eastAsia="宋体" w:cs="宋体"/>
          <w:i w:val="0"/>
          <w:iCs w:val="0"/>
          <w:sz w:val="24"/>
          <w:szCs w:val="24"/>
        </w:rPr>
        <w:fldChar w:fldCharType="begin"/>
      </w:r>
      <w:r>
        <w:rPr>
          <w:rFonts w:hint="eastAsia" w:ascii="宋体" w:hAnsi="宋体" w:eastAsia="宋体" w:cs="宋体"/>
          <w:i w:val="0"/>
          <w:iCs w:val="0"/>
          <w:sz w:val="24"/>
          <w:szCs w:val="24"/>
        </w:rPr>
        <w:instrText xml:space="preserve"> PAGEREF _Toc19514 \h </w:instrText>
      </w:r>
      <w:r>
        <w:rPr>
          <w:rFonts w:hint="eastAsia" w:ascii="宋体" w:hAnsi="宋体" w:eastAsia="宋体" w:cs="宋体"/>
          <w:i w:val="0"/>
          <w:iCs w:val="0"/>
          <w:sz w:val="24"/>
          <w:szCs w:val="24"/>
        </w:rPr>
        <w:fldChar w:fldCharType="separate"/>
      </w:r>
      <w:r>
        <w:rPr>
          <w:rFonts w:hint="eastAsia" w:ascii="宋体" w:hAnsi="宋体" w:eastAsia="宋体" w:cs="宋体"/>
          <w:i w:val="0"/>
          <w:iCs w:val="0"/>
          <w:sz w:val="24"/>
          <w:szCs w:val="24"/>
        </w:rPr>
        <w:t>12</w:t>
      </w:r>
      <w:r>
        <w:rPr>
          <w:rFonts w:hint="eastAsia" w:ascii="宋体" w:hAnsi="宋体" w:eastAsia="宋体" w:cs="宋体"/>
          <w:i w:val="0"/>
          <w:iCs w:val="0"/>
          <w:sz w:val="24"/>
          <w:szCs w:val="24"/>
        </w:rPr>
        <w:fldChar w:fldCharType="end"/>
      </w:r>
      <w:r>
        <w:rPr>
          <w:rFonts w:hint="eastAsia" w:ascii="宋体" w:hAnsi="宋体" w:eastAsia="宋体" w:cs="宋体"/>
          <w:bCs/>
          <w:i w:val="0"/>
          <w:iCs w:val="0"/>
          <w:caps/>
          <w:sz w:val="24"/>
          <w:szCs w:val="24"/>
          <w:highlight w:val="none"/>
        </w:rPr>
        <w:fldChar w:fldCharType="end"/>
      </w:r>
    </w:p>
    <w:p w14:paraId="5CBD3B97">
      <w:pPr>
        <w:pStyle w:val="24"/>
        <w:keepNext w:val="0"/>
        <w:keepLines w:val="0"/>
        <w:pageBreakBefore w:val="0"/>
        <w:widowControl/>
        <w:tabs>
          <w:tab w:val="right" w:leader="dot" w:pos="9740"/>
        </w:tabs>
        <w:kinsoku/>
        <w:wordWrap/>
        <w:overflowPunct/>
        <w:topLinePunct w:val="0"/>
        <w:autoSpaceDE/>
        <w:autoSpaceDN/>
        <w:bidi w:val="0"/>
        <w:adjustRightInd/>
        <w:snapToGrid/>
        <w:spacing w:line="360" w:lineRule="auto"/>
        <w:textAlignment w:val="auto"/>
        <w:rPr>
          <w:rFonts w:hint="eastAsia" w:ascii="宋体" w:hAnsi="宋体" w:eastAsia="宋体" w:cs="宋体"/>
          <w:i w:val="0"/>
          <w:iCs w:val="0"/>
          <w:sz w:val="24"/>
          <w:szCs w:val="24"/>
        </w:rPr>
      </w:pPr>
      <w:r>
        <w:rPr>
          <w:rFonts w:hint="eastAsia" w:ascii="宋体" w:hAnsi="宋体" w:eastAsia="宋体" w:cs="宋体"/>
          <w:bCs/>
          <w:i w:val="0"/>
          <w:iCs w:val="0"/>
          <w:caps/>
          <w:sz w:val="24"/>
          <w:szCs w:val="24"/>
          <w:highlight w:val="none"/>
        </w:rPr>
        <w:fldChar w:fldCharType="begin"/>
      </w:r>
      <w:r>
        <w:rPr>
          <w:rFonts w:hint="eastAsia" w:ascii="宋体" w:hAnsi="宋体" w:eastAsia="宋体" w:cs="宋体"/>
          <w:bCs/>
          <w:i w:val="0"/>
          <w:iCs w:val="0"/>
          <w:caps/>
          <w:sz w:val="24"/>
          <w:szCs w:val="24"/>
          <w:highlight w:val="none"/>
        </w:rPr>
        <w:instrText xml:space="preserve"> HYPERLINK \l _Toc28991 </w:instrText>
      </w:r>
      <w:r>
        <w:rPr>
          <w:rFonts w:hint="eastAsia" w:ascii="宋体" w:hAnsi="宋体" w:eastAsia="宋体" w:cs="宋体"/>
          <w:bCs/>
          <w:i w:val="0"/>
          <w:iCs w:val="0"/>
          <w:caps/>
          <w:sz w:val="24"/>
          <w:szCs w:val="24"/>
          <w:highlight w:val="none"/>
        </w:rPr>
        <w:fldChar w:fldCharType="separate"/>
      </w:r>
      <w:r>
        <w:rPr>
          <w:rFonts w:hint="eastAsia" w:ascii="宋体" w:hAnsi="宋体" w:eastAsia="宋体" w:cs="宋体"/>
          <w:i w:val="0"/>
          <w:iCs w:val="0"/>
          <w:sz w:val="24"/>
          <w:szCs w:val="24"/>
          <w:highlight w:val="none"/>
        </w:rPr>
        <w:t>3. 投标文件</w:t>
      </w:r>
      <w:r>
        <w:rPr>
          <w:rFonts w:hint="eastAsia" w:ascii="宋体" w:hAnsi="宋体" w:eastAsia="宋体" w:cs="宋体"/>
          <w:i w:val="0"/>
          <w:iCs w:val="0"/>
          <w:sz w:val="24"/>
          <w:szCs w:val="24"/>
        </w:rPr>
        <w:tab/>
      </w:r>
      <w:r>
        <w:rPr>
          <w:rFonts w:hint="eastAsia" w:ascii="宋体" w:hAnsi="宋体" w:eastAsia="宋体" w:cs="宋体"/>
          <w:i w:val="0"/>
          <w:iCs w:val="0"/>
          <w:sz w:val="24"/>
          <w:szCs w:val="24"/>
        </w:rPr>
        <w:fldChar w:fldCharType="begin"/>
      </w:r>
      <w:r>
        <w:rPr>
          <w:rFonts w:hint="eastAsia" w:ascii="宋体" w:hAnsi="宋体" w:eastAsia="宋体" w:cs="宋体"/>
          <w:i w:val="0"/>
          <w:iCs w:val="0"/>
          <w:sz w:val="24"/>
          <w:szCs w:val="24"/>
        </w:rPr>
        <w:instrText xml:space="preserve"> PAGEREF _Toc28991 \h </w:instrText>
      </w:r>
      <w:r>
        <w:rPr>
          <w:rFonts w:hint="eastAsia" w:ascii="宋体" w:hAnsi="宋体" w:eastAsia="宋体" w:cs="宋体"/>
          <w:i w:val="0"/>
          <w:iCs w:val="0"/>
          <w:sz w:val="24"/>
          <w:szCs w:val="24"/>
        </w:rPr>
        <w:fldChar w:fldCharType="separate"/>
      </w:r>
      <w:r>
        <w:rPr>
          <w:rFonts w:hint="eastAsia" w:ascii="宋体" w:hAnsi="宋体" w:eastAsia="宋体" w:cs="宋体"/>
          <w:i w:val="0"/>
          <w:iCs w:val="0"/>
          <w:sz w:val="24"/>
          <w:szCs w:val="24"/>
        </w:rPr>
        <w:t>13</w:t>
      </w:r>
      <w:r>
        <w:rPr>
          <w:rFonts w:hint="eastAsia" w:ascii="宋体" w:hAnsi="宋体" w:eastAsia="宋体" w:cs="宋体"/>
          <w:i w:val="0"/>
          <w:iCs w:val="0"/>
          <w:sz w:val="24"/>
          <w:szCs w:val="24"/>
        </w:rPr>
        <w:fldChar w:fldCharType="end"/>
      </w:r>
      <w:r>
        <w:rPr>
          <w:rFonts w:hint="eastAsia" w:ascii="宋体" w:hAnsi="宋体" w:eastAsia="宋体" w:cs="宋体"/>
          <w:bCs/>
          <w:i w:val="0"/>
          <w:iCs w:val="0"/>
          <w:caps/>
          <w:sz w:val="24"/>
          <w:szCs w:val="24"/>
          <w:highlight w:val="none"/>
        </w:rPr>
        <w:fldChar w:fldCharType="end"/>
      </w:r>
    </w:p>
    <w:p w14:paraId="7113A27E">
      <w:pPr>
        <w:pStyle w:val="24"/>
        <w:keepNext w:val="0"/>
        <w:keepLines w:val="0"/>
        <w:pageBreakBefore w:val="0"/>
        <w:widowControl/>
        <w:tabs>
          <w:tab w:val="right" w:leader="dot" w:pos="9740"/>
        </w:tabs>
        <w:kinsoku/>
        <w:wordWrap/>
        <w:overflowPunct/>
        <w:topLinePunct w:val="0"/>
        <w:autoSpaceDE/>
        <w:autoSpaceDN/>
        <w:bidi w:val="0"/>
        <w:adjustRightInd/>
        <w:snapToGrid/>
        <w:spacing w:line="360" w:lineRule="auto"/>
        <w:textAlignment w:val="auto"/>
        <w:rPr>
          <w:rFonts w:hint="eastAsia" w:ascii="宋体" w:hAnsi="宋体" w:eastAsia="宋体" w:cs="宋体"/>
          <w:i w:val="0"/>
          <w:iCs w:val="0"/>
          <w:sz w:val="24"/>
          <w:szCs w:val="24"/>
        </w:rPr>
      </w:pPr>
      <w:r>
        <w:rPr>
          <w:rFonts w:hint="eastAsia" w:ascii="宋体" w:hAnsi="宋体" w:eastAsia="宋体" w:cs="宋体"/>
          <w:bCs/>
          <w:i w:val="0"/>
          <w:iCs w:val="0"/>
          <w:caps/>
          <w:sz w:val="24"/>
          <w:szCs w:val="24"/>
          <w:highlight w:val="none"/>
        </w:rPr>
        <w:fldChar w:fldCharType="begin"/>
      </w:r>
      <w:r>
        <w:rPr>
          <w:rFonts w:hint="eastAsia" w:ascii="宋体" w:hAnsi="宋体" w:eastAsia="宋体" w:cs="宋体"/>
          <w:bCs/>
          <w:i w:val="0"/>
          <w:iCs w:val="0"/>
          <w:caps/>
          <w:sz w:val="24"/>
          <w:szCs w:val="24"/>
          <w:highlight w:val="none"/>
        </w:rPr>
        <w:instrText xml:space="preserve"> HYPERLINK \l _Toc30344 </w:instrText>
      </w:r>
      <w:r>
        <w:rPr>
          <w:rFonts w:hint="eastAsia" w:ascii="宋体" w:hAnsi="宋体" w:eastAsia="宋体" w:cs="宋体"/>
          <w:bCs/>
          <w:i w:val="0"/>
          <w:iCs w:val="0"/>
          <w:caps/>
          <w:sz w:val="24"/>
          <w:szCs w:val="24"/>
          <w:highlight w:val="none"/>
        </w:rPr>
        <w:fldChar w:fldCharType="separate"/>
      </w:r>
      <w:r>
        <w:rPr>
          <w:rFonts w:hint="eastAsia" w:ascii="宋体" w:hAnsi="宋体" w:eastAsia="宋体" w:cs="宋体"/>
          <w:i w:val="0"/>
          <w:iCs w:val="0"/>
          <w:sz w:val="24"/>
          <w:szCs w:val="24"/>
          <w:highlight w:val="none"/>
        </w:rPr>
        <w:t>4. 投标</w:t>
      </w:r>
      <w:r>
        <w:rPr>
          <w:rFonts w:hint="eastAsia" w:ascii="宋体" w:hAnsi="宋体" w:eastAsia="宋体" w:cs="宋体"/>
          <w:i w:val="0"/>
          <w:iCs w:val="0"/>
          <w:sz w:val="24"/>
          <w:szCs w:val="24"/>
        </w:rPr>
        <w:tab/>
      </w:r>
      <w:r>
        <w:rPr>
          <w:rFonts w:hint="eastAsia" w:ascii="宋体" w:hAnsi="宋体" w:eastAsia="宋体" w:cs="宋体"/>
          <w:i w:val="0"/>
          <w:iCs w:val="0"/>
          <w:sz w:val="24"/>
          <w:szCs w:val="24"/>
        </w:rPr>
        <w:fldChar w:fldCharType="begin"/>
      </w:r>
      <w:r>
        <w:rPr>
          <w:rFonts w:hint="eastAsia" w:ascii="宋体" w:hAnsi="宋体" w:eastAsia="宋体" w:cs="宋体"/>
          <w:i w:val="0"/>
          <w:iCs w:val="0"/>
          <w:sz w:val="24"/>
          <w:szCs w:val="24"/>
        </w:rPr>
        <w:instrText xml:space="preserve"> PAGEREF _Toc30344 \h </w:instrText>
      </w:r>
      <w:r>
        <w:rPr>
          <w:rFonts w:hint="eastAsia" w:ascii="宋体" w:hAnsi="宋体" w:eastAsia="宋体" w:cs="宋体"/>
          <w:i w:val="0"/>
          <w:iCs w:val="0"/>
          <w:sz w:val="24"/>
          <w:szCs w:val="24"/>
        </w:rPr>
        <w:fldChar w:fldCharType="separate"/>
      </w:r>
      <w:r>
        <w:rPr>
          <w:rFonts w:hint="eastAsia" w:ascii="宋体" w:hAnsi="宋体" w:eastAsia="宋体" w:cs="宋体"/>
          <w:i w:val="0"/>
          <w:iCs w:val="0"/>
          <w:sz w:val="24"/>
          <w:szCs w:val="24"/>
        </w:rPr>
        <w:t>14</w:t>
      </w:r>
      <w:r>
        <w:rPr>
          <w:rFonts w:hint="eastAsia" w:ascii="宋体" w:hAnsi="宋体" w:eastAsia="宋体" w:cs="宋体"/>
          <w:i w:val="0"/>
          <w:iCs w:val="0"/>
          <w:sz w:val="24"/>
          <w:szCs w:val="24"/>
        </w:rPr>
        <w:fldChar w:fldCharType="end"/>
      </w:r>
      <w:r>
        <w:rPr>
          <w:rFonts w:hint="eastAsia" w:ascii="宋体" w:hAnsi="宋体" w:eastAsia="宋体" w:cs="宋体"/>
          <w:bCs/>
          <w:i w:val="0"/>
          <w:iCs w:val="0"/>
          <w:caps/>
          <w:sz w:val="24"/>
          <w:szCs w:val="24"/>
          <w:highlight w:val="none"/>
        </w:rPr>
        <w:fldChar w:fldCharType="end"/>
      </w:r>
    </w:p>
    <w:p w14:paraId="6FE375FE">
      <w:pPr>
        <w:pStyle w:val="24"/>
        <w:keepNext w:val="0"/>
        <w:keepLines w:val="0"/>
        <w:pageBreakBefore w:val="0"/>
        <w:widowControl/>
        <w:tabs>
          <w:tab w:val="right" w:leader="dot" w:pos="9740"/>
        </w:tabs>
        <w:kinsoku/>
        <w:wordWrap/>
        <w:overflowPunct/>
        <w:topLinePunct w:val="0"/>
        <w:autoSpaceDE/>
        <w:autoSpaceDN/>
        <w:bidi w:val="0"/>
        <w:adjustRightInd/>
        <w:snapToGrid/>
        <w:spacing w:line="360" w:lineRule="auto"/>
        <w:textAlignment w:val="auto"/>
        <w:rPr>
          <w:rFonts w:hint="eastAsia" w:ascii="宋体" w:hAnsi="宋体" w:eastAsia="宋体" w:cs="宋体"/>
          <w:i w:val="0"/>
          <w:iCs w:val="0"/>
          <w:sz w:val="24"/>
          <w:szCs w:val="24"/>
        </w:rPr>
      </w:pPr>
      <w:r>
        <w:rPr>
          <w:rFonts w:hint="eastAsia" w:ascii="宋体" w:hAnsi="宋体" w:eastAsia="宋体" w:cs="宋体"/>
          <w:bCs/>
          <w:i w:val="0"/>
          <w:iCs w:val="0"/>
          <w:caps/>
          <w:sz w:val="24"/>
          <w:szCs w:val="24"/>
          <w:highlight w:val="none"/>
        </w:rPr>
        <w:fldChar w:fldCharType="begin"/>
      </w:r>
      <w:r>
        <w:rPr>
          <w:rFonts w:hint="eastAsia" w:ascii="宋体" w:hAnsi="宋体" w:eastAsia="宋体" w:cs="宋体"/>
          <w:bCs/>
          <w:i w:val="0"/>
          <w:iCs w:val="0"/>
          <w:caps/>
          <w:sz w:val="24"/>
          <w:szCs w:val="24"/>
          <w:highlight w:val="none"/>
        </w:rPr>
        <w:instrText xml:space="preserve"> HYPERLINK \l _Toc16340 </w:instrText>
      </w:r>
      <w:r>
        <w:rPr>
          <w:rFonts w:hint="eastAsia" w:ascii="宋体" w:hAnsi="宋体" w:eastAsia="宋体" w:cs="宋体"/>
          <w:bCs/>
          <w:i w:val="0"/>
          <w:iCs w:val="0"/>
          <w:caps/>
          <w:sz w:val="24"/>
          <w:szCs w:val="24"/>
          <w:highlight w:val="none"/>
        </w:rPr>
        <w:fldChar w:fldCharType="separate"/>
      </w:r>
      <w:r>
        <w:rPr>
          <w:rFonts w:hint="eastAsia" w:ascii="宋体" w:hAnsi="宋体" w:eastAsia="宋体" w:cs="宋体"/>
          <w:i w:val="0"/>
          <w:iCs w:val="0"/>
          <w:sz w:val="24"/>
          <w:szCs w:val="24"/>
          <w:highlight w:val="none"/>
        </w:rPr>
        <w:t>5. 开标</w:t>
      </w:r>
      <w:r>
        <w:rPr>
          <w:rFonts w:hint="eastAsia" w:ascii="宋体" w:hAnsi="宋体" w:eastAsia="宋体" w:cs="宋体"/>
          <w:i w:val="0"/>
          <w:iCs w:val="0"/>
          <w:sz w:val="24"/>
          <w:szCs w:val="24"/>
        </w:rPr>
        <w:tab/>
      </w:r>
      <w:r>
        <w:rPr>
          <w:rFonts w:hint="eastAsia" w:ascii="宋体" w:hAnsi="宋体" w:eastAsia="宋体" w:cs="宋体"/>
          <w:i w:val="0"/>
          <w:iCs w:val="0"/>
          <w:sz w:val="24"/>
          <w:szCs w:val="24"/>
        </w:rPr>
        <w:fldChar w:fldCharType="begin"/>
      </w:r>
      <w:r>
        <w:rPr>
          <w:rFonts w:hint="eastAsia" w:ascii="宋体" w:hAnsi="宋体" w:eastAsia="宋体" w:cs="宋体"/>
          <w:i w:val="0"/>
          <w:iCs w:val="0"/>
          <w:sz w:val="24"/>
          <w:szCs w:val="24"/>
        </w:rPr>
        <w:instrText xml:space="preserve"> PAGEREF _Toc16340 \h </w:instrText>
      </w:r>
      <w:r>
        <w:rPr>
          <w:rFonts w:hint="eastAsia" w:ascii="宋体" w:hAnsi="宋体" w:eastAsia="宋体" w:cs="宋体"/>
          <w:i w:val="0"/>
          <w:iCs w:val="0"/>
          <w:sz w:val="24"/>
          <w:szCs w:val="24"/>
        </w:rPr>
        <w:fldChar w:fldCharType="separate"/>
      </w:r>
      <w:r>
        <w:rPr>
          <w:rFonts w:hint="eastAsia" w:ascii="宋体" w:hAnsi="宋体" w:eastAsia="宋体" w:cs="宋体"/>
          <w:i w:val="0"/>
          <w:iCs w:val="0"/>
          <w:sz w:val="24"/>
          <w:szCs w:val="24"/>
        </w:rPr>
        <w:t>15</w:t>
      </w:r>
      <w:r>
        <w:rPr>
          <w:rFonts w:hint="eastAsia" w:ascii="宋体" w:hAnsi="宋体" w:eastAsia="宋体" w:cs="宋体"/>
          <w:i w:val="0"/>
          <w:iCs w:val="0"/>
          <w:sz w:val="24"/>
          <w:szCs w:val="24"/>
        </w:rPr>
        <w:fldChar w:fldCharType="end"/>
      </w:r>
      <w:r>
        <w:rPr>
          <w:rFonts w:hint="eastAsia" w:ascii="宋体" w:hAnsi="宋体" w:eastAsia="宋体" w:cs="宋体"/>
          <w:bCs/>
          <w:i w:val="0"/>
          <w:iCs w:val="0"/>
          <w:caps/>
          <w:sz w:val="24"/>
          <w:szCs w:val="24"/>
          <w:highlight w:val="none"/>
        </w:rPr>
        <w:fldChar w:fldCharType="end"/>
      </w:r>
    </w:p>
    <w:p w14:paraId="27DF8396">
      <w:pPr>
        <w:pStyle w:val="24"/>
        <w:keepNext w:val="0"/>
        <w:keepLines w:val="0"/>
        <w:pageBreakBefore w:val="0"/>
        <w:widowControl/>
        <w:tabs>
          <w:tab w:val="right" w:leader="dot" w:pos="9740"/>
        </w:tabs>
        <w:kinsoku/>
        <w:wordWrap/>
        <w:overflowPunct/>
        <w:topLinePunct w:val="0"/>
        <w:autoSpaceDE/>
        <w:autoSpaceDN/>
        <w:bidi w:val="0"/>
        <w:adjustRightInd/>
        <w:snapToGrid/>
        <w:spacing w:line="360" w:lineRule="auto"/>
        <w:textAlignment w:val="auto"/>
        <w:rPr>
          <w:rFonts w:hint="eastAsia" w:ascii="宋体" w:hAnsi="宋体" w:eastAsia="宋体" w:cs="宋体"/>
          <w:i w:val="0"/>
          <w:iCs w:val="0"/>
          <w:sz w:val="24"/>
          <w:szCs w:val="24"/>
        </w:rPr>
      </w:pPr>
      <w:r>
        <w:rPr>
          <w:rFonts w:hint="eastAsia" w:ascii="宋体" w:hAnsi="宋体" w:eastAsia="宋体" w:cs="宋体"/>
          <w:bCs/>
          <w:i w:val="0"/>
          <w:iCs w:val="0"/>
          <w:caps/>
          <w:sz w:val="24"/>
          <w:szCs w:val="24"/>
          <w:highlight w:val="none"/>
        </w:rPr>
        <w:fldChar w:fldCharType="begin"/>
      </w:r>
      <w:r>
        <w:rPr>
          <w:rFonts w:hint="eastAsia" w:ascii="宋体" w:hAnsi="宋体" w:eastAsia="宋体" w:cs="宋体"/>
          <w:bCs/>
          <w:i w:val="0"/>
          <w:iCs w:val="0"/>
          <w:caps/>
          <w:sz w:val="24"/>
          <w:szCs w:val="24"/>
          <w:highlight w:val="none"/>
        </w:rPr>
        <w:instrText xml:space="preserve"> HYPERLINK \l _Toc30183 </w:instrText>
      </w:r>
      <w:r>
        <w:rPr>
          <w:rFonts w:hint="eastAsia" w:ascii="宋体" w:hAnsi="宋体" w:eastAsia="宋体" w:cs="宋体"/>
          <w:bCs/>
          <w:i w:val="0"/>
          <w:iCs w:val="0"/>
          <w:caps/>
          <w:sz w:val="24"/>
          <w:szCs w:val="24"/>
          <w:highlight w:val="none"/>
        </w:rPr>
        <w:fldChar w:fldCharType="separate"/>
      </w:r>
      <w:r>
        <w:rPr>
          <w:rFonts w:hint="eastAsia" w:ascii="宋体" w:hAnsi="宋体" w:eastAsia="宋体" w:cs="宋体"/>
          <w:i w:val="0"/>
          <w:iCs w:val="0"/>
          <w:sz w:val="24"/>
          <w:szCs w:val="24"/>
          <w:highlight w:val="none"/>
        </w:rPr>
        <w:t>6. 资格审查</w:t>
      </w:r>
      <w:r>
        <w:rPr>
          <w:rFonts w:hint="eastAsia" w:ascii="宋体" w:hAnsi="宋体" w:eastAsia="宋体" w:cs="宋体"/>
          <w:i w:val="0"/>
          <w:iCs w:val="0"/>
          <w:sz w:val="24"/>
          <w:szCs w:val="24"/>
        </w:rPr>
        <w:tab/>
      </w:r>
      <w:r>
        <w:rPr>
          <w:rFonts w:hint="eastAsia" w:ascii="宋体" w:hAnsi="宋体" w:eastAsia="宋体" w:cs="宋体"/>
          <w:i w:val="0"/>
          <w:iCs w:val="0"/>
          <w:sz w:val="24"/>
          <w:szCs w:val="24"/>
        </w:rPr>
        <w:fldChar w:fldCharType="begin"/>
      </w:r>
      <w:r>
        <w:rPr>
          <w:rFonts w:hint="eastAsia" w:ascii="宋体" w:hAnsi="宋体" w:eastAsia="宋体" w:cs="宋体"/>
          <w:i w:val="0"/>
          <w:iCs w:val="0"/>
          <w:sz w:val="24"/>
          <w:szCs w:val="24"/>
        </w:rPr>
        <w:instrText xml:space="preserve"> PAGEREF _Toc30183 \h </w:instrText>
      </w:r>
      <w:r>
        <w:rPr>
          <w:rFonts w:hint="eastAsia" w:ascii="宋体" w:hAnsi="宋体" w:eastAsia="宋体" w:cs="宋体"/>
          <w:i w:val="0"/>
          <w:iCs w:val="0"/>
          <w:sz w:val="24"/>
          <w:szCs w:val="24"/>
        </w:rPr>
        <w:fldChar w:fldCharType="separate"/>
      </w:r>
      <w:r>
        <w:rPr>
          <w:rFonts w:hint="eastAsia" w:ascii="宋体" w:hAnsi="宋体" w:eastAsia="宋体" w:cs="宋体"/>
          <w:i w:val="0"/>
          <w:iCs w:val="0"/>
          <w:sz w:val="24"/>
          <w:szCs w:val="24"/>
        </w:rPr>
        <w:t>15</w:t>
      </w:r>
      <w:r>
        <w:rPr>
          <w:rFonts w:hint="eastAsia" w:ascii="宋体" w:hAnsi="宋体" w:eastAsia="宋体" w:cs="宋体"/>
          <w:i w:val="0"/>
          <w:iCs w:val="0"/>
          <w:sz w:val="24"/>
          <w:szCs w:val="24"/>
        </w:rPr>
        <w:fldChar w:fldCharType="end"/>
      </w:r>
      <w:r>
        <w:rPr>
          <w:rFonts w:hint="eastAsia" w:ascii="宋体" w:hAnsi="宋体" w:eastAsia="宋体" w:cs="宋体"/>
          <w:bCs/>
          <w:i w:val="0"/>
          <w:iCs w:val="0"/>
          <w:caps/>
          <w:sz w:val="24"/>
          <w:szCs w:val="24"/>
          <w:highlight w:val="none"/>
        </w:rPr>
        <w:fldChar w:fldCharType="end"/>
      </w:r>
    </w:p>
    <w:p w14:paraId="730D839E">
      <w:pPr>
        <w:pStyle w:val="24"/>
        <w:keepNext w:val="0"/>
        <w:keepLines w:val="0"/>
        <w:pageBreakBefore w:val="0"/>
        <w:widowControl/>
        <w:tabs>
          <w:tab w:val="right" w:leader="dot" w:pos="9740"/>
        </w:tabs>
        <w:kinsoku/>
        <w:wordWrap/>
        <w:overflowPunct/>
        <w:topLinePunct w:val="0"/>
        <w:autoSpaceDE/>
        <w:autoSpaceDN/>
        <w:bidi w:val="0"/>
        <w:adjustRightInd/>
        <w:snapToGrid/>
        <w:spacing w:line="360" w:lineRule="auto"/>
        <w:textAlignment w:val="auto"/>
        <w:rPr>
          <w:rFonts w:hint="eastAsia" w:ascii="宋体" w:hAnsi="宋体" w:eastAsia="宋体" w:cs="宋体"/>
          <w:i w:val="0"/>
          <w:iCs w:val="0"/>
          <w:sz w:val="24"/>
          <w:szCs w:val="24"/>
        </w:rPr>
      </w:pPr>
      <w:r>
        <w:rPr>
          <w:rFonts w:hint="eastAsia" w:ascii="宋体" w:hAnsi="宋体" w:eastAsia="宋体" w:cs="宋体"/>
          <w:bCs/>
          <w:i w:val="0"/>
          <w:iCs w:val="0"/>
          <w:caps/>
          <w:sz w:val="24"/>
          <w:szCs w:val="24"/>
          <w:highlight w:val="none"/>
        </w:rPr>
        <w:fldChar w:fldCharType="begin"/>
      </w:r>
      <w:r>
        <w:rPr>
          <w:rFonts w:hint="eastAsia" w:ascii="宋体" w:hAnsi="宋体" w:eastAsia="宋体" w:cs="宋体"/>
          <w:bCs/>
          <w:i w:val="0"/>
          <w:iCs w:val="0"/>
          <w:caps/>
          <w:sz w:val="24"/>
          <w:szCs w:val="24"/>
          <w:highlight w:val="none"/>
        </w:rPr>
        <w:instrText xml:space="preserve"> HYPERLINK \l _Toc1404 </w:instrText>
      </w:r>
      <w:r>
        <w:rPr>
          <w:rFonts w:hint="eastAsia" w:ascii="宋体" w:hAnsi="宋体" w:eastAsia="宋体" w:cs="宋体"/>
          <w:bCs/>
          <w:i w:val="0"/>
          <w:iCs w:val="0"/>
          <w:caps/>
          <w:sz w:val="24"/>
          <w:szCs w:val="24"/>
          <w:highlight w:val="none"/>
        </w:rPr>
        <w:fldChar w:fldCharType="separate"/>
      </w:r>
      <w:r>
        <w:rPr>
          <w:rFonts w:hint="eastAsia" w:ascii="宋体" w:hAnsi="宋体" w:eastAsia="宋体" w:cs="宋体"/>
          <w:i w:val="0"/>
          <w:iCs w:val="0"/>
          <w:sz w:val="24"/>
          <w:szCs w:val="24"/>
          <w:highlight w:val="none"/>
        </w:rPr>
        <w:t>7. 评标</w:t>
      </w:r>
      <w:r>
        <w:rPr>
          <w:rFonts w:hint="eastAsia" w:ascii="宋体" w:hAnsi="宋体" w:eastAsia="宋体" w:cs="宋体"/>
          <w:i w:val="0"/>
          <w:iCs w:val="0"/>
          <w:sz w:val="24"/>
          <w:szCs w:val="24"/>
        </w:rPr>
        <w:tab/>
      </w:r>
      <w:r>
        <w:rPr>
          <w:rFonts w:hint="eastAsia" w:ascii="宋体" w:hAnsi="宋体" w:eastAsia="宋体" w:cs="宋体"/>
          <w:i w:val="0"/>
          <w:iCs w:val="0"/>
          <w:sz w:val="24"/>
          <w:szCs w:val="24"/>
        </w:rPr>
        <w:fldChar w:fldCharType="begin"/>
      </w:r>
      <w:r>
        <w:rPr>
          <w:rFonts w:hint="eastAsia" w:ascii="宋体" w:hAnsi="宋体" w:eastAsia="宋体" w:cs="宋体"/>
          <w:i w:val="0"/>
          <w:iCs w:val="0"/>
          <w:sz w:val="24"/>
          <w:szCs w:val="24"/>
        </w:rPr>
        <w:instrText xml:space="preserve"> PAGEREF _Toc1404 \h </w:instrText>
      </w:r>
      <w:r>
        <w:rPr>
          <w:rFonts w:hint="eastAsia" w:ascii="宋体" w:hAnsi="宋体" w:eastAsia="宋体" w:cs="宋体"/>
          <w:i w:val="0"/>
          <w:iCs w:val="0"/>
          <w:sz w:val="24"/>
          <w:szCs w:val="24"/>
        </w:rPr>
        <w:fldChar w:fldCharType="separate"/>
      </w:r>
      <w:r>
        <w:rPr>
          <w:rFonts w:hint="eastAsia" w:ascii="宋体" w:hAnsi="宋体" w:eastAsia="宋体" w:cs="宋体"/>
          <w:i w:val="0"/>
          <w:iCs w:val="0"/>
          <w:sz w:val="24"/>
          <w:szCs w:val="24"/>
        </w:rPr>
        <w:t>15</w:t>
      </w:r>
      <w:r>
        <w:rPr>
          <w:rFonts w:hint="eastAsia" w:ascii="宋体" w:hAnsi="宋体" w:eastAsia="宋体" w:cs="宋体"/>
          <w:i w:val="0"/>
          <w:iCs w:val="0"/>
          <w:sz w:val="24"/>
          <w:szCs w:val="24"/>
        </w:rPr>
        <w:fldChar w:fldCharType="end"/>
      </w:r>
      <w:r>
        <w:rPr>
          <w:rFonts w:hint="eastAsia" w:ascii="宋体" w:hAnsi="宋体" w:eastAsia="宋体" w:cs="宋体"/>
          <w:bCs/>
          <w:i w:val="0"/>
          <w:iCs w:val="0"/>
          <w:caps/>
          <w:sz w:val="24"/>
          <w:szCs w:val="24"/>
          <w:highlight w:val="none"/>
        </w:rPr>
        <w:fldChar w:fldCharType="end"/>
      </w:r>
    </w:p>
    <w:p w14:paraId="7DB33287">
      <w:pPr>
        <w:pStyle w:val="24"/>
        <w:keepNext w:val="0"/>
        <w:keepLines w:val="0"/>
        <w:pageBreakBefore w:val="0"/>
        <w:widowControl/>
        <w:tabs>
          <w:tab w:val="right" w:leader="dot" w:pos="9740"/>
        </w:tabs>
        <w:kinsoku/>
        <w:wordWrap/>
        <w:overflowPunct/>
        <w:topLinePunct w:val="0"/>
        <w:autoSpaceDE/>
        <w:autoSpaceDN/>
        <w:bidi w:val="0"/>
        <w:adjustRightInd/>
        <w:snapToGrid/>
        <w:spacing w:line="360" w:lineRule="auto"/>
        <w:textAlignment w:val="auto"/>
        <w:rPr>
          <w:rFonts w:hint="eastAsia" w:ascii="宋体" w:hAnsi="宋体" w:eastAsia="宋体" w:cs="宋体"/>
          <w:i w:val="0"/>
          <w:iCs w:val="0"/>
          <w:sz w:val="24"/>
          <w:szCs w:val="24"/>
        </w:rPr>
      </w:pPr>
      <w:r>
        <w:rPr>
          <w:rFonts w:hint="eastAsia" w:ascii="宋体" w:hAnsi="宋体" w:eastAsia="宋体" w:cs="宋体"/>
          <w:bCs/>
          <w:i w:val="0"/>
          <w:iCs w:val="0"/>
          <w:caps/>
          <w:sz w:val="24"/>
          <w:szCs w:val="24"/>
          <w:highlight w:val="none"/>
        </w:rPr>
        <w:fldChar w:fldCharType="begin"/>
      </w:r>
      <w:r>
        <w:rPr>
          <w:rFonts w:hint="eastAsia" w:ascii="宋体" w:hAnsi="宋体" w:eastAsia="宋体" w:cs="宋体"/>
          <w:bCs/>
          <w:i w:val="0"/>
          <w:iCs w:val="0"/>
          <w:caps/>
          <w:sz w:val="24"/>
          <w:szCs w:val="24"/>
          <w:highlight w:val="none"/>
        </w:rPr>
        <w:instrText xml:space="preserve"> HYPERLINK \l _Toc19012 </w:instrText>
      </w:r>
      <w:r>
        <w:rPr>
          <w:rFonts w:hint="eastAsia" w:ascii="宋体" w:hAnsi="宋体" w:eastAsia="宋体" w:cs="宋体"/>
          <w:bCs/>
          <w:i w:val="0"/>
          <w:iCs w:val="0"/>
          <w:caps/>
          <w:sz w:val="24"/>
          <w:szCs w:val="24"/>
          <w:highlight w:val="none"/>
        </w:rPr>
        <w:fldChar w:fldCharType="separate"/>
      </w:r>
      <w:r>
        <w:rPr>
          <w:rFonts w:hint="eastAsia" w:ascii="宋体" w:hAnsi="宋体" w:eastAsia="宋体" w:cs="宋体"/>
          <w:i w:val="0"/>
          <w:iCs w:val="0"/>
          <w:sz w:val="24"/>
          <w:szCs w:val="24"/>
          <w:highlight w:val="none"/>
        </w:rPr>
        <w:t>8. 中标和合同</w:t>
      </w:r>
      <w:r>
        <w:rPr>
          <w:rFonts w:hint="eastAsia" w:ascii="宋体" w:hAnsi="宋体" w:eastAsia="宋体" w:cs="宋体"/>
          <w:i w:val="0"/>
          <w:iCs w:val="0"/>
          <w:sz w:val="24"/>
          <w:szCs w:val="24"/>
        </w:rPr>
        <w:tab/>
      </w:r>
      <w:r>
        <w:rPr>
          <w:rFonts w:hint="eastAsia" w:ascii="宋体" w:hAnsi="宋体" w:eastAsia="宋体" w:cs="宋体"/>
          <w:i w:val="0"/>
          <w:iCs w:val="0"/>
          <w:sz w:val="24"/>
          <w:szCs w:val="24"/>
        </w:rPr>
        <w:fldChar w:fldCharType="begin"/>
      </w:r>
      <w:r>
        <w:rPr>
          <w:rFonts w:hint="eastAsia" w:ascii="宋体" w:hAnsi="宋体" w:eastAsia="宋体" w:cs="宋体"/>
          <w:i w:val="0"/>
          <w:iCs w:val="0"/>
          <w:sz w:val="24"/>
          <w:szCs w:val="24"/>
        </w:rPr>
        <w:instrText xml:space="preserve"> PAGEREF _Toc19012 \h </w:instrText>
      </w:r>
      <w:r>
        <w:rPr>
          <w:rFonts w:hint="eastAsia" w:ascii="宋体" w:hAnsi="宋体" w:eastAsia="宋体" w:cs="宋体"/>
          <w:i w:val="0"/>
          <w:iCs w:val="0"/>
          <w:sz w:val="24"/>
          <w:szCs w:val="24"/>
        </w:rPr>
        <w:fldChar w:fldCharType="separate"/>
      </w:r>
      <w:r>
        <w:rPr>
          <w:rFonts w:hint="eastAsia" w:ascii="宋体" w:hAnsi="宋体" w:eastAsia="宋体" w:cs="宋体"/>
          <w:i w:val="0"/>
          <w:iCs w:val="0"/>
          <w:sz w:val="24"/>
          <w:szCs w:val="24"/>
        </w:rPr>
        <w:t>16</w:t>
      </w:r>
      <w:r>
        <w:rPr>
          <w:rFonts w:hint="eastAsia" w:ascii="宋体" w:hAnsi="宋体" w:eastAsia="宋体" w:cs="宋体"/>
          <w:i w:val="0"/>
          <w:iCs w:val="0"/>
          <w:sz w:val="24"/>
          <w:szCs w:val="24"/>
        </w:rPr>
        <w:fldChar w:fldCharType="end"/>
      </w:r>
      <w:r>
        <w:rPr>
          <w:rFonts w:hint="eastAsia" w:ascii="宋体" w:hAnsi="宋体" w:eastAsia="宋体" w:cs="宋体"/>
          <w:bCs/>
          <w:i w:val="0"/>
          <w:iCs w:val="0"/>
          <w:caps/>
          <w:sz w:val="24"/>
          <w:szCs w:val="24"/>
          <w:highlight w:val="none"/>
        </w:rPr>
        <w:fldChar w:fldCharType="end"/>
      </w:r>
    </w:p>
    <w:p w14:paraId="525EE403">
      <w:pPr>
        <w:pStyle w:val="24"/>
        <w:keepNext w:val="0"/>
        <w:keepLines w:val="0"/>
        <w:pageBreakBefore w:val="0"/>
        <w:widowControl/>
        <w:tabs>
          <w:tab w:val="right" w:leader="dot" w:pos="9740"/>
        </w:tabs>
        <w:kinsoku/>
        <w:wordWrap/>
        <w:overflowPunct/>
        <w:topLinePunct w:val="0"/>
        <w:autoSpaceDE/>
        <w:autoSpaceDN/>
        <w:bidi w:val="0"/>
        <w:adjustRightInd/>
        <w:snapToGrid/>
        <w:spacing w:line="360" w:lineRule="auto"/>
        <w:textAlignment w:val="auto"/>
        <w:rPr>
          <w:rFonts w:hint="eastAsia" w:ascii="宋体" w:hAnsi="宋体" w:eastAsia="宋体" w:cs="宋体"/>
          <w:i w:val="0"/>
          <w:iCs w:val="0"/>
          <w:sz w:val="24"/>
          <w:szCs w:val="24"/>
        </w:rPr>
      </w:pPr>
      <w:r>
        <w:rPr>
          <w:rFonts w:hint="eastAsia" w:ascii="宋体" w:hAnsi="宋体" w:eastAsia="宋体" w:cs="宋体"/>
          <w:bCs/>
          <w:i w:val="0"/>
          <w:iCs w:val="0"/>
          <w:caps/>
          <w:sz w:val="24"/>
          <w:szCs w:val="24"/>
          <w:highlight w:val="none"/>
        </w:rPr>
        <w:fldChar w:fldCharType="begin"/>
      </w:r>
      <w:r>
        <w:rPr>
          <w:rFonts w:hint="eastAsia" w:ascii="宋体" w:hAnsi="宋体" w:eastAsia="宋体" w:cs="宋体"/>
          <w:bCs/>
          <w:i w:val="0"/>
          <w:iCs w:val="0"/>
          <w:caps/>
          <w:sz w:val="24"/>
          <w:szCs w:val="24"/>
          <w:highlight w:val="none"/>
        </w:rPr>
        <w:instrText xml:space="preserve"> HYPERLINK \l _Toc18054 </w:instrText>
      </w:r>
      <w:r>
        <w:rPr>
          <w:rFonts w:hint="eastAsia" w:ascii="宋体" w:hAnsi="宋体" w:eastAsia="宋体" w:cs="宋体"/>
          <w:bCs/>
          <w:i w:val="0"/>
          <w:iCs w:val="0"/>
          <w:caps/>
          <w:sz w:val="24"/>
          <w:szCs w:val="24"/>
          <w:highlight w:val="none"/>
        </w:rPr>
        <w:fldChar w:fldCharType="separate"/>
      </w:r>
      <w:r>
        <w:rPr>
          <w:rFonts w:hint="eastAsia" w:ascii="宋体" w:hAnsi="宋体" w:eastAsia="宋体" w:cs="宋体"/>
          <w:i w:val="0"/>
          <w:iCs w:val="0"/>
          <w:sz w:val="24"/>
          <w:szCs w:val="24"/>
          <w:highlight w:val="none"/>
        </w:rPr>
        <w:t>9. 询问与答复</w:t>
      </w:r>
      <w:r>
        <w:rPr>
          <w:rFonts w:hint="eastAsia" w:ascii="宋体" w:hAnsi="宋体" w:eastAsia="宋体" w:cs="宋体"/>
          <w:i w:val="0"/>
          <w:iCs w:val="0"/>
          <w:sz w:val="24"/>
          <w:szCs w:val="24"/>
        </w:rPr>
        <w:tab/>
      </w:r>
      <w:r>
        <w:rPr>
          <w:rFonts w:hint="eastAsia" w:ascii="宋体" w:hAnsi="宋体" w:eastAsia="宋体" w:cs="宋体"/>
          <w:i w:val="0"/>
          <w:iCs w:val="0"/>
          <w:sz w:val="24"/>
          <w:szCs w:val="24"/>
        </w:rPr>
        <w:fldChar w:fldCharType="begin"/>
      </w:r>
      <w:r>
        <w:rPr>
          <w:rFonts w:hint="eastAsia" w:ascii="宋体" w:hAnsi="宋体" w:eastAsia="宋体" w:cs="宋体"/>
          <w:i w:val="0"/>
          <w:iCs w:val="0"/>
          <w:sz w:val="24"/>
          <w:szCs w:val="24"/>
        </w:rPr>
        <w:instrText xml:space="preserve"> PAGEREF _Toc18054 \h </w:instrText>
      </w:r>
      <w:r>
        <w:rPr>
          <w:rFonts w:hint="eastAsia" w:ascii="宋体" w:hAnsi="宋体" w:eastAsia="宋体" w:cs="宋体"/>
          <w:i w:val="0"/>
          <w:iCs w:val="0"/>
          <w:sz w:val="24"/>
          <w:szCs w:val="24"/>
        </w:rPr>
        <w:fldChar w:fldCharType="separate"/>
      </w:r>
      <w:r>
        <w:rPr>
          <w:rFonts w:hint="eastAsia" w:ascii="宋体" w:hAnsi="宋体" w:eastAsia="宋体" w:cs="宋体"/>
          <w:i w:val="0"/>
          <w:iCs w:val="0"/>
          <w:sz w:val="24"/>
          <w:szCs w:val="24"/>
        </w:rPr>
        <w:t>17</w:t>
      </w:r>
      <w:r>
        <w:rPr>
          <w:rFonts w:hint="eastAsia" w:ascii="宋体" w:hAnsi="宋体" w:eastAsia="宋体" w:cs="宋体"/>
          <w:i w:val="0"/>
          <w:iCs w:val="0"/>
          <w:sz w:val="24"/>
          <w:szCs w:val="24"/>
        </w:rPr>
        <w:fldChar w:fldCharType="end"/>
      </w:r>
      <w:r>
        <w:rPr>
          <w:rFonts w:hint="eastAsia" w:ascii="宋体" w:hAnsi="宋体" w:eastAsia="宋体" w:cs="宋体"/>
          <w:bCs/>
          <w:i w:val="0"/>
          <w:iCs w:val="0"/>
          <w:caps/>
          <w:sz w:val="24"/>
          <w:szCs w:val="24"/>
          <w:highlight w:val="none"/>
        </w:rPr>
        <w:fldChar w:fldCharType="end"/>
      </w:r>
    </w:p>
    <w:p w14:paraId="7E1EE86A">
      <w:pPr>
        <w:pStyle w:val="24"/>
        <w:keepNext w:val="0"/>
        <w:keepLines w:val="0"/>
        <w:pageBreakBefore w:val="0"/>
        <w:widowControl/>
        <w:tabs>
          <w:tab w:val="right" w:leader="dot" w:pos="9740"/>
        </w:tabs>
        <w:kinsoku/>
        <w:wordWrap/>
        <w:overflowPunct/>
        <w:topLinePunct w:val="0"/>
        <w:autoSpaceDE/>
        <w:autoSpaceDN/>
        <w:bidi w:val="0"/>
        <w:adjustRightInd/>
        <w:snapToGrid/>
        <w:spacing w:line="360" w:lineRule="auto"/>
        <w:textAlignment w:val="auto"/>
        <w:rPr>
          <w:rFonts w:hint="eastAsia" w:ascii="宋体" w:hAnsi="宋体" w:eastAsia="宋体" w:cs="宋体"/>
          <w:i w:val="0"/>
          <w:iCs w:val="0"/>
          <w:sz w:val="24"/>
          <w:szCs w:val="24"/>
        </w:rPr>
      </w:pPr>
      <w:r>
        <w:rPr>
          <w:rFonts w:hint="eastAsia" w:ascii="宋体" w:hAnsi="宋体" w:eastAsia="宋体" w:cs="宋体"/>
          <w:bCs/>
          <w:i w:val="0"/>
          <w:iCs w:val="0"/>
          <w:caps/>
          <w:sz w:val="24"/>
          <w:szCs w:val="24"/>
          <w:highlight w:val="none"/>
        </w:rPr>
        <w:fldChar w:fldCharType="begin"/>
      </w:r>
      <w:r>
        <w:rPr>
          <w:rFonts w:hint="eastAsia" w:ascii="宋体" w:hAnsi="宋体" w:eastAsia="宋体" w:cs="宋体"/>
          <w:bCs/>
          <w:i w:val="0"/>
          <w:iCs w:val="0"/>
          <w:caps/>
          <w:sz w:val="24"/>
          <w:szCs w:val="24"/>
          <w:highlight w:val="none"/>
        </w:rPr>
        <w:instrText xml:space="preserve"> HYPERLINK \l _Toc16995 </w:instrText>
      </w:r>
      <w:r>
        <w:rPr>
          <w:rFonts w:hint="eastAsia" w:ascii="宋体" w:hAnsi="宋体" w:eastAsia="宋体" w:cs="宋体"/>
          <w:bCs/>
          <w:i w:val="0"/>
          <w:iCs w:val="0"/>
          <w:caps/>
          <w:sz w:val="24"/>
          <w:szCs w:val="24"/>
          <w:highlight w:val="none"/>
        </w:rPr>
        <w:fldChar w:fldCharType="separate"/>
      </w:r>
      <w:r>
        <w:rPr>
          <w:rFonts w:hint="eastAsia" w:ascii="宋体" w:hAnsi="宋体" w:eastAsia="宋体" w:cs="宋体"/>
          <w:i w:val="0"/>
          <w:iCs w:val="0"/>
          <w:sz w:val="24"/>
          <w:szCs w:val="24"/>
          <w:highlight w:val="none"/>
        </w:rPr>
        <w:t>10. 质疑接收、回复</w:t>
      </w:r>
      <w:r>
        <w:rPr>
          <w:rFonts w:hint="eastAsia" w:ascii="宋体" w:hAnsi="宋体" w:eastAsia="宋体" w:cs="宋体"/>
          <w:i w:val="0"/>
          <w:iCs w:val="0"/>
          <w:sz w:val="24"/>
          <w:szCs w:val="24"/>
        </w:rPr>
        <w:tab/>
      </w:r>
      <w:r>
        <w:rPr>
          <w:rFonts w:hint="eastAsia" w:ascii="宋体" w:hAnsi="宋体" w:eastAsia="宋体" w:cs="宋体"/>
          <w:i w:val="0"/>
          <w:iCs w:val="0"/>
          <w:sz w:val="24"/>
          <w:szCs w:val="24"/>
        </w:rPr>
        <w:fldChar w:fldCharType="begin"/>
      </w:r>
      <w:r>
        <w:rPr>
          <w:rFonts w:hint="eastAsia" w:ascii="宋体" w:hAnsi="宋体" w:eastAsia="宋体" w:cs="宋体"/>
          <w:i w:val="0"/>
          <w:iCs w:val="0"/>
          <w:sz w:val="24"/>
          <w:szCs w:val="24"/>
        </w:rPr>
        <w:instrText xml:space="preserve"> PAGEREF _Toc16995 \h </w:instrText>
      </w:r>
      <w:r>
        <w:rPr>
          <w:rFonts w:hint="eastAsia" w:ascii="宋体" w:hAnsi="宋体" w:eastAsia="宋体" w:cs="宋体"/>
          <w:i w:val="0"/>
          <w:iCs w:val="0"/>
          <w:sz w:val="24"/>
          <w:szCs w:val="24"/>
        </w:rPr>
        <w:fldChar w:fldCharType="separate"/>
      </w:r>
      <w:r>
        <w:rPr>
          <w:rFonts w:hint="eastAsia" w:ascii="宋体" w:hAnsi="宋体" w:eastAsia="宋体" w:cs="宋体"/>
          <w:i w:val="0"/>
          <w:iCs w:val="0"/>
          <w:sz w:val="24"/>
          <w:szCs w:val="24"/>
        </w:rPr>
        <w:t>17</w:t>
      </w:r>
      <w:r>
        <w:rPr>
          <w:rFonts w:hint="eastAsia" w:ascii="宋体" w:hAnsi="宋体" w:eastAsia="宋体" w:cs="宋体"/>
          <w:i w:val="0"/>
          <w:iCs w:val="0"/>
          <w:sz w:val="24"/>
          <w:szCs w:val="24"/>
        </w:rPr>
        <w:fldChar w:fldCharType="end"/>
      </w:r>
      <w:r>
        <w:rPr>
          <w:rFonts w:hint="eastAsia" w:ascii="宋体" w:hAnsi="宋体" w:eastAsia="宋体" w:cs="宋体"/>
          <w:bCs/>
          <w:i w:val="0"/>
          <w:iCs w:val="0"/>
          <w:caps/>
          <w:sz w:val="24"/>
          <w:szCs w:val="24"/>
          <w:highlight w:val="none"/>
        </w:rPr>
        <w:fldChar w:fldCharType="end"/>
      </w:r>
    </w:p>
    <w:p w14:paraId="57862A7D">
      <w:pPr>
        <w:pStyle w:val="24"/>
        <w:keepNext w:val="0"/>
        <w:keepLines w:val="0"/>
        <w:pageBreakBefore w:val="0"/>
        <w:widowControl/>
        <w:tabs>
          <w:tab w:val="right" w:leader="dot" w:pos="9740"/>
        </w:tabs>
        <w:kinsoku/>
        <w:wordWrap/>
        <w:overflowPunct/>
        <w:topLinePunct w:val="0"/>
        <w:autoSpaceDE/>
        <w:autoSpaceDN/>
        <w:bidi w:val="0"/>
        <w:adjustRightInd/>
        <w:snapToGrid/>
        <w:spacing w:line="360" w:lineRule="auto"/>
        <w:textAlignment w:val="auto"/>
        <w:rPr>
          <w:rFonts w:hint="eastAsia" w:ascii="宋体" w:hAnsi="宋体" w:eastAsia="宋体" w:cs="宋体"/>
          <w:i w:val="0"/>
          <w:iCs w:val="0"/>
          <w:sz w:val="24"/>
          <w:szCs w:val="24"/>
        </w:rPr>
      </w:pPr>
      <w:r>
        <w:rPr>
          <w:rFonts w:hint="eastAsia" w:ascii="宋体" w:hAnsi="宋体" w:eastAsia="宋体" w:cs="宋体"/>
          <w:bCs/>
          <w:i w:val="0"/>
          <w:iCs w:val="0"/>
          <w:caps/>
          <w:sz w:val="24"/>
          <w:szCs w:val="24"/>
          <w:highlight w:val="none"/>
        </w:rPr>
        <w:fldChar w:fldCharType="begin"/>
      </w:r>
      <w:r>
        <w:rPr>
          <w:rFonts w:hint="eastAsia" w:ascii="宋体" w:hAnsi="宋体" w:eastAsia="宋体" w:cs="宋体"/>
          <w:bCs/>
          <w:i w:val="0"/>
          <w:iCs w:val="0"/>
          <w:caps/>
          <w:sz w:val="24"/>
          <w:szCs w:val="24"/>
          <w:highlight w:val="none"/>
        </w:rPr>
        <w:instrText xml:space="preserve"> HYPERLINK \l _Toc19343 </w:instrText>
      </w:r>
      <w:r>
        <w:rPr>
          <w:rFonts w:hint="eastAsia" w:ascii="宋体" w:hAnsi="宋体" w:eastAsia="宋体" w:cs="宋体"/>
          <w:bCs/>
          <w:i w:val="0"/>
          <w:iCs w:val="0"/>
          <w:caps/>
          <w:sz w:val="24"/>
          <w:szCs w:val="24"/>
          <w:highlight w:val="none"/>
        </w:rPr>
        <w:fldChar w:fldCharType="separate"/>
      </w:r>
      <w:r>
        <w:rPr>
          <w:rFonts w:hint="eastAsia" w:ascii="宋体" w:hAnsi="宋体" w:eastAsia="宋体" w:cs="宋体"/>
          <w:i w:val="0"/>
          <w:iCs w:val="0"/>
          <w:sz w:val="24"/>
          <w:szCs w:val="24"/>
          <w:highlight w:val="none"/>
        </w:rPr>
        <w:t>11. 纪律和监督</w:t>
      </w:r>
      <w:r>
        <w:rPr>
          <w:rFonts w:hint="eastAsia" w:ascii="宋体" w:hAnsi="宋体" w:eastAsia="宋体" w:cs="宋体"/>
          <w:i w:val="0"/>
          <w:iCs w:val="0"/>
          <w:sz w:val="24"/>
          <w:szCs w:val="24"/>
        </w:rPr>
        <w:tab/>
      </w:r>
      <w:r>
        <w:rPr>
          <w:rFonts w:hint="eastAsia" w:ascii="宋体" w:hAnsi="宋体" w:eastAsia="宋体" w:cs="宋体"/>
          <w:i w:val="0"/>
          <w:iCs w:val="0"/>
          <w:sz w:val="24"/>
          <w:szCs w:val="24"/>
        </w:rPr>
        <w:fldChar w:fldCharType="begin"/>
      </w:r>
      <w:r>
        <w:rPr>
          <w:rFonts w:hint="eastAsia" w:ascii="宋体" w:hAnsi="宋体" w:eastAsia="宋体" w:cs="宋体"/>
          <w:i w:val="0"/>
          <w:iCs w:val="0"/>
          <w:sz w:val="24"/>
          <w:szCs w:val="24"/>
        </w:rPr>
        <w:instrText xml:space="preserve"> PAGEREF _Toc19343 \h </w:instrText>
      </w:r>
      <w:r>
        <w:rPr>
          <w:rFonts w:hint="eastAsia" w:ascii="宋体" w:hAnsi="宋体" w:eastAsia="宋体" w:cs="宋体"/>
          <w:i w:val="0"/>
          <w:iCs w:val="0"/>
          <w:sz w:val="24"/>
          <w:szCs w:val="24"/>
        </w:rPr>
        <w:fldChar w:fldCharType="separate"/>
      </w:r>
      <w:r>
        <w:rPr>
          <w:rFonts w:hint="eastAsia" w:ascii="宋体" w:hAnsi="宋体" w:eastAsia="宋体" w:cs="宋体"/>
          <w:i w:val="0"/>
          <w:iCs w:val="0"/>
          <w:sz w:val="24"/>
          <w:szCs w:val="24"/>
        </w:rPr>
        <w:t>18</w:t>
      </w:r>
      <w:r>
        <w:rPr>
          <w:rFonts w:hint="eastAsia" w:ascii="宋体" w:hAnsi="宋体" w:eastAsia="宋体" w:cs="宋体"/>
          <w:i w:val="0"/>
          <w:iCs w:val="0"/>
          <w:sz w:val="24"/>
          <w:szCs w:val="24"/>
        </w:rPr>
        <w:fldChar w:fldCharType="end"/>
      </w:r>
      <w:r>
        <w:rPr>
          <w:rFonts w:hint="eastAsia" w:ascii="宋体" w:hAnsi="宋体" w:eastAsia="宋体" w:cs="宋体"/>
          <w:bCs/>
          <w:i w:val="0"/>
          <w:iCs w:val="0"/>
          <w:caps/>
          <w:sz w:val="24"/>
          <w:szCs w:val="24"/>
          <w:highlight w:val="none"/>
        </w:rPr>
        <w:fldChar w:fldCharType="end"/>
      </w:r>
    </w:p>
    <w:p w14:paraId="71F0E8F2">
      <w:pPr>
        <w:pStyle w:val="24"/>
        <w:keepNext w:val="0"/>
        <w:keepLines w:val="0"/>
        <w:pageBreakBefore w:val="0"/>
        <w:widowControl/>
        <w:tabs>
          <w:tab w:val="right" w:leader="dot" w:pos="9740"/>
        </w:tabs>
        <w:kinsoku/>
        <w:wordWrap/>
        <w:overflowPunct/>
        <w:topLinePunct w:val="0"/>
        <w:autoSpaceDE/>
        <w:autoSpaceDN/>
        <w:bidi w:val="0"/>
        <w:adjustRightInd/>
        <w:snapToGrid/>
        <w:spacing w:line="360" w:lineRule="auto"/>
        <w:textAlignment w:val="auto"/>
        <w:rPr>
          <w:rFonts w:hint="eastAsia" w:ascii="宋体" w:hAnsi="宋体" w:eastAsia="宋体" w:cs="宋体"/>
          <w:i w:val="0"/>
          <w:iCs w:val="0"/>
          <w:sz w:val="24"/>
          <w:szCs w:val="24"/>
        </w:rPr>
      </w:pPr>
      <w:r>
        <w:rPr>
          <w:rFonts w:hint="eastAsia" w:ascii="宋体" w:hAnsi="宋体" w:eastAsia="宋体" w:cs="宋体"/>
          <w:bCs/>
          <w:i w:val="0"/>
          <w:iCs w:val="0"/>
          <w:caps/>
          <w:sz w:val="24"/>
          <w:szCs w:val="24"/>
          <w:highlight w:val="none"/>
        </w:rPr>
        <w:fldChar w:fldCharType="begin"/>
      </w:r>
      <w:r>
        <w:rPr>
          <w:rFonts w:hint="eastAsia" w:ascii="宋体" w:hAnsi="宋体" w:eastAsia="宋体" w:cs="宋体"/>
          <w:bCs/>
          <w:i w:val="0"/>
          <w:iCs w:val="0"/>
          <w:caps/>
          <w:sz w:val="24"/>
          <w:szCs w:val="24"/>
          <w:highlight w:val="none"/>
        </w:rPr>
        <w:instrText xml:space="preserve"> HYPERLINK \l _Toc3503 </w:instrText>
      </w:r>
      <w:r>
        <w:rPr>
          <w:rFonts w:hint="eastAsia" w:ascii="宋体" w:hAnsi="宋体" w:eastAsia="宋体" w:cs="宋体"/>
          <w:bCs/>
          <w:i w:val="0"/>
          <w:iCs w:val="0"/>
          <w:caps/>
          <w:sz w:val="24"/>
          <w:szCs w:val="24"/>
          <w:highlight w:val="none"/>
        </w:rPr>
        <w:fldChar w:fldCharType="separate"/>
      </w:r>
      <w:r>
        <w:rPr>
          <w:rFonts w:hint="eastAsia" w:ascii="宋体" w:hAnsi="宋体" w:eastAsia="宋体" w:cs="宋体"/>
          <w:i w:val="0"/>
          <w:iCs w:val="0"/>
          <w:sz w:val="24"/>
          <w:szCs w:val="24"/>
          <w:highlight w:val="none"/>
        </w:rPr>
        <w:t>12.需要补充的其他内容</w:t>
      </w:r>
      <w:r>
        <w:rPr>
          <w:rFonts w:hint="eastAsia" w:ascii="宋体" w:hAnsi="宋体" w:eastAsia="宋体" w:cs="宋体"/>
          <w:i w:val="0"/>
          <w:iCs w:val="0"/>
          <w:sz w:val="24"/>
          <w:szCs w:val="24"/>
        </w:rPr>
        <w:tab/>
      </w:r>
      <w:r>
        <w:rPr>
          <w:rFonts w:hint="eastAsia" w:ascii="宋体" w:hAnsi="宋体" w:eastAsia="宋体" w:cs="宋体"/>
          <w:i w:val="0"/>
          <w:iCs w:val="0"/>
          <w:sz w:val="24"/>
          <w:szCs w:val="24"/>
        </w:rPr>
        <w:fldChar w:fldCharType="begin"/>
      </w:r>
      <w:r>
        <w:rPr>
          <w:rFonts w:hint="eastAsia" w:ascii="宋体" w:hAnsi="宋体" w:eastAsia="宋体" w:cs="宋体"/>
          <w:i w:val="0"/>
          <w:iCs w:val="0"/>
          <w:sz w:val="24"/>
          <w:szCs w:val="24"/>
        </w:rPr>
        <w:instrText xml:space="preserve"> PAGEREF _Toc3503 \h </w:instrText>
      </w:r>
      <w:r>
        <w:rPr>
          <w:rFonts w:hint="eastAsia" w:ascii="宋体" w:hAnsi="宋体" w:eastAsia="宋体" w:cs="宋体"/>
          <w:i w:val="0"/>
          <w:iCs w:val="0"/>
          <w:sz w:val="24"/>
          <w:szCs w:val="24"/>
        </w:rPr>
        <w:fldChar w:fldCharType="separate"/>
      </w:r>
      <w:r>
        <w:rPr>
          <w:rFonts w:hint="eastAsia" w:ascii="宋体" w:hAnsi="宋体" w:eastAsia="宋体" w:cs="宋体"/>
          <w:i w:val="0"/>
          <w:iCs w:val="0"/>
          <w:sz w:val="24"/>
          <w:szCs w:val="24"/>
        </w:rPr>
        <w:t>19</w:t>
      </w:r>
      <w:r>
        <w:rPr>
          <w:rFonts w:hint="eastAsia" w:ascii="宋体" w:hAnsi="宋体" w:eastAsia="宋体" w:cs="宋体"/>
          <w:i w:val="0"/>
          <w:iCs w:val="0"/>
          <w:sz w:val="24"/>
          <w:szCs w:val="24"/>
        </w:rPr>
        <w:fldChar w:fldCharType="end"/>
      </w:r>
      <w:r>
        <w:rPr>
          <w:rFonts w:hint="eastAsia" w:ascii="宋体" w:hAnsi="宋体" w:eastAsia="宋体" w:cs="宋体"/>
          <w:bCs/>
          <w:i w:val="0"/>
          <w:iCs w:val="0"/>
          <w:caps/>
          <w:sz w:val="24"/>
          <w:szCs w:val="24"/>
          <w:highlight w:val="none"/>
        </w:rPr>
        <w:fldChar w:fldCharType="end"/>
      </w:r>
    </w:p>
    <w:p w14:paraId="2FDDB49C">
      <w:pPr>
        <w:pStyle w:val="20"/>
        <w:keepNext w:val="0"/>
        <w:keepLines w:val="0"/>
        <w:pageBreakBefore w:val="0"/>
        <w:widowControl/>
        <w:tabs>
          <w:tab w:val="right" w:leader="dot" w:pos="9740"/>
        </w:tabs>
        <w:kinsoku/>
        <w:wordWrap/>
        <w:overflowPunct/>
        <w:topLinePunct w:val="0"/>
        <w:autoSpaceDE/>
        <w:autoSpaceDN/>
        <w:bidi w:val="0"/>
        <w:adjustRightInd/>
        <w:snapToGrid/>
        <w:spacing w:line="360" w:lineRule="auto"/>
        <w:textAlignment w:val="auto"/>
        <w:rPr>
          <w:rFonts w:hint="eastAsia" w:ascii="宋体" w:hAnsi="宋体" w:eastAsia="宋体" w:cs="宋体"/>
          <w:i w:val="0"/>
          <w:iCs w:val="0"/>
          <w:sz w:val="24"/>
          <w:szCs w:val="24"/>
        </w:rPr>
      </w:pPr>
      <w:r>
        <w:rPr>
          <w:rFonts w:hint="eastAsia" w:ascii="宋体" w:hAnsi="宋体" w:eastAsia="宋体" w:cs="宋体"/>
          <w:bCs w:val="0"/>
          <w:i w:val="0"/>
          <w:iCs w:val="0"/>
          <w:caps w:val="0"/>
          <w:sz w:val="24"/>
          <w:szCs w:val="24"/>
          <w:highlight w:val="none"/>
        </w:rPr>
        <w:fldChar w:fldCharType="begin"/>
      </w:r>
      <w:r>
        <w:rPr>
          <w:rFonts w:hint="eastAsia" w:ascii="宋体" w:hAnsi="宋体" w:eastAsia="宋体" w:cs="宋体"/>
          <w:bCs w:val="0"/>
          <w:i w:val="0"/>
          <w:iCs w:val="0"/>
          <w:caps w:val="0"/>
          <w:sz w:val="24"/>
          <w:szCs w:val="24"/>
          <w:highlight w:val="none"/>
        </w:rPr>
        <w:instrText xml:space="preserve"> HYPERLINK \l _Toc29332 </w:instrText>
      </w:r>
      <w:r>
        <w:rPr>
          <w:rFonts w:hint="eastAsia" w:ascii="宋体" w:hAnsi="宋体" w:eastAsia="宋体" w:cs="宋体"/>
          <w:bCs w:val="0"/>
          <w:i w:val="0"/>
          <w:iCs w:val="0"/>
          <w:caps w:val="0"/>
          <w:sz w:val="24"/>
          <w:szCs w:val="24"/>
          <w:highlight w:val="none"/>
        </w:rPr>
        <w:fldChar w:fldCharType="separate"/>
      </w:r>
      <w:r>
        <w:rPr>
          <w:rFonts w:hint="eastAsia" w:ascii="宋体" w:hAnsi="宋体" w:eastAsia="宋体" w:cs="宋体"/>
          <w:bCs/>
          <w:i w:val="0"/>
          <w:iCs w:val="0"/>
          <w:sz w:val="24"/>
          <w:szCs w:val="24"/>
          <w:highlight w:val="none"/>
        </w:rPr>
        <w:t>第三章 资格审查</w:t>
      </w:r>
      <w:r>
        <w:rPr>
          <w:rFonts w:hint="eastAsia" w:ascii="宋体" w:hAnsi="宋体" w:eastAsia="宋体" w:cs="宋体"/>
          <w:i w:val="0"/>
          <w:iCs w:val="0"/>
          <w:sz w:val="24"/>
          <w:szCs w:val="24"/>
        </w:rPr>
        <w:tab/>
      </w:r>
      <w:r>
        <w:rPr>
          <w:rFonts w:hint="eastAsia" w:ascii="宋体" w:hAnsi="宋体" w:eastAsia="宋体" w:cs="宋体"/>
          <w:i w:val="0"/>
          <w:iCs w:val="0"/>
          <w:sz w:val="24"/>
          <w:szCs w:val="24"/>
        </w:rPr>
        <w:fldChar w:fldCharType="begin"/>
      </w:r>
      <w:r>
        <w:rPr>
          <w:rFonts w:hint="eastAsia" w:ascii="宋体" w:hAnsi="宋体" w:eastAsia="宋体" w:cs="宋体"/>
          <w:i w:val="0"/>
          <w:iCs w:val="0"/>
          <w:sz w:val="24"/>
          <w:szCs w:val="24"/>
        </w:rPr>
        <w:instrText xml:space="preserve"> PAGEREF _Toc29332 \h </w:instrText>
      </w:r>
      <w:r>
        <w:rPr>
          <w:rFonts w:hint="eastAsia" w:ascii="宋体" w:hAnsi="宋体" w:eastAsia="宋体" w:cs="宋体"/>
          <w:i w:val="0"/>
          <w:iCs w:val="0"/>
          <w:sz w:val="24"/>
          <w:szCs w:val="24"/>
        </w:rPr>
        <w:fldChar w:fldCharType="separate"/>
      </w:r>
      <w:r>
        <w:rPr>
          <w:rFonts w:hint="eastAsia" w:ascii="宋体" w:hAnsi="宋体" w:eastAsia="宋体" w:cs="宋体"/>
          <w:i w:val="0"/>
          <w:iCs w:val="0"/>
          <w:sz w:val="24"/>
          <w:szCs w:val="24"/>
        </w:rPr>
        <w:t>20</w:t>
      </w:r>
      <w:r>
        <w:rPr>
          <w:rFonts w:hint="eastAsia" w:ascii="宋体" w:hAnsi="宋体" w:eastAsia="宋体" w:cs="宋体"/>
          <w:i w:val="0"/>
          <w:iCs w:val="0"/>
          <w:sz w:val="24"/>
          <w:szCs w:val="24"/>
        </w:rPr>
        <w:fldChar w:fldCharType="end"/>
      </w:r>
      <w:r>
        <w:rPr>
          <w:rFonts w:hint="eastAsia" w:ascii="宋体" w:hAnsi="宋体" w:eastAsia="宋体" w:cs="宋体"/>
          <w:bCs w:val="0"/>
          <w:i w:val="0"/>
          <w:iCs w:val="0"/>
          <w:caps w:val="0"/>
          <w:sz w:val="24"/>
          <w:szCs w:val="24"/>
          <w:highlight w:val="none"/>
        </w:rPr>
        <w:fldChar w:fldCharType="end"/>
      </w:r>
    </w:p>
    <w:p w14:paraId="7B9416EE">
      <w:pPr>
        <w:pStyle w:val="20"/>
        <w:keepNext w:val="0"/>
        <w:keepLines w:val="0"/>
        <w:pageBreakBefore w:val="0"/>
        <w:widowControl/>
        <w:tabs>
          <w:tab w:val="right" w:leader="dot" w:pos="9740"/>
        </w:tabs>
        <w:kinsoku/>
        <w:wordWrap/>
        <w:overflowPunct/>
        <w:topLinePunct w:val="0"/>
        <w:autoSpaceDE/>
        <w:autoSpaceDN/>
        <w:bidi w:val="0"/>
        <w:adjustRightInd/>
        <w:snapToGrid/>
        <w:spacing w:line="360" w:lineRule="auto"/>
        <w:textAlignment w:val="auto"/>
        <w:rPr>
          <w:rFonts w:hint="eastAsia" w:ascii="宋体" w:hAnsi="宋体" w:eastAsia="宋体" w:cs="宋体"/>
          <w:i w:val="0"/>
          <w:iCs w:val="0"/>
          <w:sz w:val="24"/>
          <w:szCs w:val="24"/>
        </w:rPr>
      </w:pPr>
      <w:r>
        <w:rPr>
          <w:rFonts w:hint="eastAsia" w:ascii="宋体" w:hAnsi="宋体" w:eastAsia="宋体" w:cs="宋体"/>
          <w:bCs w:val="0"/>
          <w:i w:val="0"/>
          <w:iCs w:val="0"/>
          <w:caps w:val="0"/>
          <w:sz w:val="24"/>
          <w:szCs w:val="24"/>
          <w:highlight w:val="none"/>
        </w:rPr>
        <w:fldChar w:fldCharType="begin"/>
      </w:r>
      <w:r>
        <w:rPr>
          <w:rFonts w:hint="eastAsia" w:ascii="宋体" w:hAnsi="宋体" w:eastAsia="宋体" w:cs="宋体"/>
          <w:bCs w:val="0"/>
          <w:i w:val="0"/>
          <w:iCs w:val="0"/>
          <w:caps w:val="0"/>
          <w:sz w:val="24"/>
          <w:szCs w:val="24"/>
          <w:highlight w:val="none"/>
        </w:rPr>
        <w:instrText xml:space="preserve"> HYPERLINK \l _Toc13700 </w:instrText>
      </w:r>
      <w:r>
        <w:rPr>
          <w:rFonts w:hint="eastAsia" w:ascii="宋体" w:hAnsi="宋体" w:eastAsia="宋体" w:cs="宋体"/>
          <w:bCs w:val="0"/>
          <w:i w:val="0"/>
          <w:iCs w:val="0"/>
          <w:caps w:val="0"/>
          <w:sz w:val="24"/>
          <w:szCs w:val="24"/>
          <w:highlight w:val="none"/>
        </w:rPr>
        <w:fldChar w:fldCharType="separate"/>
      </w:r>
      <w:r>
        <w:rPr>
          <w:rFonts w:hint="eastAsia" w:ascii="宋体" w:hAnsi="宋体" w:eastAsia="宋体" w:cs="宋体"/>
          <w:i w:val="0"/>
          <w:iCs w:val="0"/>
          <w:sz w:val="24"/>
          <w:szCs w:val="24"/>
          <w:highlight w:val="none"/>
        </w:rPr>
        <w:t>第四章 评标办法(综合评分法)</w:t>
      </w:r>
      <w:r>
        <w:rPr>
          <w:rFonts w:hint="eastAsia" w:ascii="宋体" w:hAnsi="宋体" w:eastAsia="宋体" w:cs="宋体"/>
          <w:i w:val="0"/>
          <w:iCs w:val="0"/>
          <w:sz w:val="24"/>
          <w:szCs w:val="24"/>
        </w:rPr>
        <w:tab/>
      </w:r>
      <w:r>
        <w:rPr>
          <w:rFonts w:hint="eastAsia" w:ascii="宋体" w:hAnsi="宋体" w:eastAsia="宋体" w:cs="宋体"/>
          <w:i w:val="0"/>
          <w:iCs w:val="0"/>
          <w:sz w:val="24"/>
          <w:szCs w:val="24"/>
        </w:rPr>
        <w:fldChar w:fldCharType="begin"/>
      </w:r>
      <w:r>
        <w:rPr>
          <w:rFonts w:hint="eastAsia" w:ascii="宋体" w:hAnsi="宋体" w:eastAsia="宋体" w:cs="宋体"/>
          <w:i w:val="0"/>
          <w:iCs w:val="0"/>
          <w:sz w:val="24"/>
          <w:szCs w:val="24"/>
        </w:rPr>
        <w:instrText xml:space="preserve"> PAGEREF _Toc13700 \h </w:instrText>
      </w:r>
      <w:r>
        <w:rPr>
          <w:rFonts w:hint="eastAsia" w:ascii="宋体" w:hAnsi="宋体" w:eastAsia="宋体" w:cs="宋体"/>
          <w:i w:val="0"/>
          <w:iCs w:val="0"/>
          <w:sz w:val="24"/>
          <w:szCs w:val="24"/>
        </w:rPr>
        <w:fldChar w:fldCharType="separate"/>
      </w:r>
      <w:r>
        <w:rPr>
          <w:rFonts w:hint="eastAsia" w:ascii="宋体" w:hAnsi="宋体" w:eastAsia="宋体" w:cs="宋体"/>
          <w:i w:val="0"/>
          <w:iCs w:val="0"/>
          <w:sz w:val="24"/>
          <w:szCs w:val="24"/>
        </w:rPr>
        <w:t>22</w:t>
      </w:r>
      <w:r>
        <w:rPr>
          <w:rFonts w:hint="eastAsia" w:ascii="宋体" w:hAnsi="宋体" w:eastAsia="宋体" w:cs="宋体"/>
          <w:i w:val="0"/>
          <w:iCs w:val="0"/>
          <w:sz w:val="24"/>
          <w:szCs w:val="24"/>
        </w:rPr>
        <w:fldChar w:fldCharType="end"/>
      </w:r>
      <w:r>
        <w:rPr>
          <w:rFonts w:hint="eastAsia" w:ascii="宋体" w:hAnsi="宋体" w:eastAsia="宋体" w:cs="宋体"/>
          <w:bCs w:val="0"/>
          <w:i w:val="0"/>
          <w:iCs w:val="0"/>
          <w:caps w:val="0"/>
          <w:sz w:val="24"/>
          <w:szCs w:val="24"/>
          <w:highlight w:val="none"/>
        </w:rPr>
        <w:fldChar w:fldCharType="end"/>
      </w:r>
    </w:p>
    <w:p w14:paraId="674B85F6">
      <w:pPr>
        <w:pStyle w:val="20"/>
        <w:keepNext w:val="0"/>
        <w:keepLines w:val="0"/>
        <w:pageBreakBefore w:val="0"/>
        <w:widowControl/>
        <w:tabs>
          <w:tab w:val="right" w:leader="dot" w:pos="9740"/>
        </w:tabs>
        <w:kinsoku/>
        <w:wordWrap/>
        <w:overflowPunct/>
        <w:topLinePunct w:val="0"/>
        <w:autoSpaceDE/>
        <w:autoSpaceDN/>
        <w:bidi w:val="0"/>
        <w:adjustRightInd/>
        <w:snapToGrid/>
        <w:spacing w:line="360" w:lineRule="auto"/>
        <w:textAlignment w:val="auto"/>
        <w:rPr>
          <w:rFonts w:hint="eastAsia" w:ascii="宋体" w:hAnsi="宋体" w:eastAsia="宋体" w:cs="宋体"/>
          <w:i w:val="0"/>
          <w:iCs w:val="0"/>
          <w:sz w:val="24"/>
          <w:szCs w:val="24"/>
        </w:rPr>
      </w:pPr>
      <w:r>
        <w:rPr>
          <w:rFonts w:hint="eastAsia" w:ascii="宋体" w:hAnsi="宋体" w:eastAsia="宋体" w:cs="宋体"/>
          <w:bCs w:val="0"/>
          <w:i w:val="0"/>
          <w:iCs w:val="0"/>
          <w:caps w:val="0"/>
          <w:sz w:val="24"/>
          <w:szCs w:val="24"/>
          <w:highlight w:val="none"/>
        </w:rPr>
        <w:fldChar w:fldCharType="begin"/>
      </w:r>
      <w:r>
        <w:rPr>
          <w:rFonts w:hint="eastAsia" w:ascii="宋体" w:hAnsi="宋体" w:eastAsia="宋体" w:cs="宋体"/>
          <w:bCs w:val="0"/>
          <w:i w:val="0"/>
          <w:iCs w:val="0"/>
          <w:caps w:val="0"/>
          <w:sz w:val="24"/>
          <w:szCs w:val="24"/>
          <w:highlight w:val="none"/>
        </w:rPr>
        <w:instrText xml:space="preserve"> HYPERLINK \l _Toc32139 </w:instrText>
      </w:r>
      <w:r>
        <w:rPr>
          <w:rFonts w:hint="eastAsia" w:ascii="宋体" w:hAnsi="宋体" w:eastAsia="宋体" w:cs="宋体"/>
          <w:bCs w:val="0"/>
          <w:i w:val="0"/>
          <w:iCs w:val="0"/>
          <w:caps w:val="0"/>
          <w:sz w:val="24"/>
          <w:szCs w:val="24"/>
          <w:highlight w:val="none"/>
        </w:rPr>
        <w:fldChar w:fldCharType="separate"/>
      </w:r>
      <w:r>
        <w:rPr>
          <w:rFonts w:hint="eastAsia" w:ascii="宋体" w:hAnsi="宋体" w:eastAsia="宋体" w:cs="宋体"/>
          <w:i w:val="0"/>
          <w:iCs w:val="0"/>
          <w:sz w:val="24"/>
          <w:szCs w:val="24"/>
          <w:highlight w:val="none"/>
        </w:rPr>
        <w:t>第五章 合同条款及格式</w:t>
      </w:r>
      <w:r>
        <w:rPr>
          <w:rFonts w:hint="eastAsia" w:ascii="宋体" w:hAnsi="宋体" w:eastAsia="宋体" w:cs="宋体"/>
          <w:i w:val="0"/>
          <w:iCs w:val="0"/>
          <w:sz w:val="24"/>
          <w:szCs w:val="24"/>
        </w:rPr>
        <w:tab/>
      </w:r>
      <w:r>
        <w:rPr>
          <w:rFonts w:hint="eastAsia" w:ascii="宋体" w:hAnsi="宋体" w:eastAsia="宋体" w:cs="宋体"/>
          <w:i w:val="0"/>
          <w:iCs w:val="0"/>
          <w:sz w:val="24"/>
          <w:szCs w:val="24"/>
        </w:rPr>
        <w:fldChar w:fldCharType="begin"/>
      </w:r>
      <w:r>
        <w:rPr>
          <w:rFonts w:hint="eastAsia" w:ascii="宋体" w:hAnsi="宋体" w:eastAsia="宋体" w:cs="宋体"/>
          <w:i w:val="0"/>
          <w:iCs w:val="0"/>
          <w:sz w:val="24"/>
          <w:szCs w:val="24"/>
        </w:rPr>
        <w:instrText xml:space="preserve"> PAGEREF _Toc32139 \h </w:instrText>
      </w:r>
      <w:r>
        <w:rPr>
          <w:rFonts w:hint="eastAsia" w:ascii="宋体" w:hAnsi="宋体" w:eastAsia="宋体" w:cs="宋体"/>
          <w:i w:val="0"/>
          <w:iCs w:val="0"/>
          <w:sz w:val="24"/>
          <w:szCs w:val="24"/>
        </w:rPr>
        <w:fldChar w:fldCharType="separate"/>
      </w:r>
      <w:r>
        <w:rPr>
          <w:rFonts w:hint="eastAsia" w:ascii="宋体" w:hAnsi="宋体" w:eastAsia="宋体" w:cs="宋体"/>
          <w:i w:val="0"/>
          <w:iCs w:val="0"/>
          <w:sz w:val="24"/>
          <w:szCs w:val="24"/>
        </w:rPr>
        <w:t>31</w:t>
      </w:r>
      <w:r>
        <w:rPr>
          <w:rFonts w:hint="eastAsia" w:ascii="宋体" w:hAnsi="宋体" w:eastAsia="宋体" w:cs="宋体"/>
          <w:i w:val="0"/>
          <w:iCs w:val="0"/>
          <w:sz w:val="24"/>
          <w:szCs w:val="24"/>
        </w:rPr>
        <w:fldChar w:fldCharType="end"/>
      </w:r>
      <w:r>
        <w:rPr>
          <w:rFonts w:hint="eastAsia" w:ascii="宋体" w:hAnsi="宋体" w:eastAsia="宋体" w:cs="宋体"/>
          <w:bCs w:val="0"/>
          <w:i w:val="0"/>
          <w:iCs w:val="0"/>
          <w:caps w:val="0"/>
          <w:sz w:val="24"/>
          <w:szCs w:val="24"/>
          <w:highlight w:val="none"/>
        </w:rPr>
        <w:fldChar w:fldCharType="end"/>
      </w:r>
    </w:p>
    <w:p w14:paraId="0967CDCF">
      <w:pPr>
        <w:pStyle w:val="24"/>
        <w:keepNext w:val="0"/>
        <w:keepLines w:val="0"/>
        <w:pageBreakBefore w:val="0"/>
        <w:widowControl/>
        <w:tabs>
          <w:tab w:val="right" w:leader="dot" w:pos="9740"/>
        </w:tabs>
        <w:kinsoku/>
        <w:wordWrap/>
        <w:overflowPunct/>
        <w:topLinePunct w:val="0"/>
        <w:autoSpaceDE/>
        <w:autoSpaceDN/>
        <w:bidi w:val="0"/>
        <w:adjustRightInd/>
        <w:snapToGrid/>
        <w:spacing w:line="360" w:lineRule="auto"/>
        <w:textAlignment w:val="auto"/>
        <w:rPr>
          <w:rFonts w:hint="eastAsia" w:ascii="宋体" w:hAnsi="宋体" w:eastAsia="宋体" w:cs="宋体"/>
          <w:i w:val="0"/>
          <w:iCs w:val="0"/>
          <w:sz w:val="24"/>
          <w:szCs w:val="24"/>
        </w:rPr>
      </w:pPr>
      <w:r>
        <w:rPr>
          <w:rFonts w:hint="eastAsia" w:ascii="宋体" w:hAnsi="宋体" w:eastAsia="宋体" w:cs="宋体"/>
          <w:bCs/>
          <w:i w:val="0"/>
          <w:iCs w:val="0"/>
          <w:caps/>
          <w:sz w:val="24"/>
          <w:szCs w:val="24"/>
          <w:highlight w:val="none"/>
        </w:rPr>
        <w:fldChar w:fldCharType="begin"/>
      </w:r>
      <w:r>
        <w:rPr>
          <w:rFonts w:hint="eastAsia" w:ascii="宋体" w:hAnsi="宋体" w:eastAsia="宋体" w:cs="宋体"/>
          <w:bCs/>
          <w:i w:val="0"/>
          <w:iCs w:val="0"/>
          <w:caps/>
          <w:sz w:val="24"/>
          <w:szCs w:val="24"/>
          <w:highlight w:val="none"/>
        </w:rPr>
        <w:instrText xml:space="preserve"> HYPERLINK \l _Toc481 </w:instrText>
      </w:r>
      <w:r>
        <w:rPr>
          <w:rFonts w:hint="eastAsia" w:ascii="宋体" w:hAnsi="宋体" w:eastAsia="宋体" w:cs="宋体"/>
          <w:bCs/>
          <w:i w:val="0"/>
          <w:iCs w:val="0"/>
          <w:caps/>
          <w:sz w:val="24"/>
          <w:szCs w:val="24"/>
          <w:highlight w:val="none"/>
        </w:rPr>
        <w:fldChar w:fldCharType="separate"/>
      </w:r>
      <w:r>
        <w:rPr>
          <w:rFonts w:hint="eastAsia" w:ascii="宋体" w:hAnsi="宋体" w:eastAsia="宋体" w:cs="宋体"/>
          <w:bCs w:val="0"/>
          <w:i w:val="0"/>
          <w:iCs w:val="0"/>
          <w:sz w:val="24"/>
          <w:szCs w:val="24"/>
        </w:rPr>
        <w:t>第一节 政府采购合同协议书</w:t>
      </w:r>
      <w:r>
        <w:rPr>
          <w:rFonts w:hint="eastAsia" w:ascii="宋体" w:hAnsi="宋体" w:eastAsia="宋体" w:cs="宋体"/>
          <w:i w:val="0"/>
          <w:iCs w:val="0"/>
          <w:sz w:val="24"/>
          <w:szCs w:val="24"/>
        </w:rPr>
        <w:tab/>
      </w:r>
      <w:r>
        <w:rPr>
          <w:rFonts w:hint="eastAsia" w:ascii="宋体" w:hAnsi="宋体" w:eastAsia="宋体" w:cs="宋体"/>
          <w:i w:val="0"/>
          <w:iCs w:val="0"/>
          <w:sz w:val="24"/>
          <w:szCs w:val="24"/>
        </w:rPr>
        <w:fldChar w:fldCharType="begin"/>
      </w:r>
      <w:r>
        <w:rPr>
          <w:rFonts w:hint="eastAsia" w:ascii="宋体" w:hAnsi="宋体" w:eastAsia="宋体" w:cs="宋体"/>
          <w:i w:val="0"/>
          <w:iCs w:val="0"/>
          <w:sz w:val="24"/>
          <w:szCs w:val="24"/>
        </w:rPr>
        <w:instrText xml:space="preserve"> PAGEREF _Toc481 \h </w:instrText>
      </w:r>
      <w:r>
        <w:rPr>
          <w:rFonts w:hint="eastAsia" w:ascii="宋体" w:hAnsi="宋体" w:eastAsia="宋体" w:cs="宋体"/>
          <w:i w:val="0"/>
          <w:iCs w:val="0"/>
          <w:sz w:val="24"/>
          <w:szCs w:val="24"/>
        </w:rPr>
        <w:fldChar w:fldCharType="separate"/>
      </w:r>
      <w:r>
        <w:rPr>
          <w:rFonts w:hint="eastAsia" w:ascii="宋体" w:hAnsi="宋体" w:eastAsia="宋体" w:cs="宋体"/>
          <w:i w:val="0"/>
          <w:iCs w:val="0"/>
          <w:sz w:val="24"/>
          <w:szCs w:val="24"/>
        </w:rPr>
        <w:t>33</w:t>
      </w:r>
      <w:r>
        <w:rPr>
          <w:rFonts w:hint="eastAsia" w:ascii="宋体" w:hAnsi="宋体" w:eastAsia="宋体" w:cs="宋体"/>
          <w:i w:val="0"/>
          <w:iCs w:val="0"/>
          <w:sz w:val="24"/>
          <w:szCs w:val="24"/>
        </w:rPr>
        <w:fldChar w:fldCharType="end"/>
      </w:r>
      <w:r>
        <w:rPr>
          <w:rFonts w:hint="eastAsia" w:ascii="宋体" w:hAnsi="宋体" w:eastAsia="宋体" w:cs="宋体"/>
          <w:bCs/>
          <w:i w:val="0"/>
          <w:iCs w:val="0"/>
          <w:caps/>
          <w:sz w:val="24"/>
          <w:szCs w:val="24"/>
          <w:highlight w:val="none"/>
        </w:rPr>
        <w:fldChar w:fldCharType="end"/>
      </w:r>
    </w:p>
    <w:p w14:paraId="0F7A0B24">
      <w:pPr>
        <w:pStyle w:val="24"/>
        <w:keepNext w:val="0"/>
        <w:keepLines w:val="0"/>
        <w:pageBreakBefore w:val="0"/>
        <w:widowControl/>
        <w:tabs>
          <w:tab w:val="right" w:leader="dot" w:pos="9740"/>
        </w:tabs>
        <w:kinsoku/>
        <w:wordWrap/>
        <w:overflowPunct/>
        <w:topLinePunct w:val="0"/>
        <w:autoSpaceDE/>
        <w:autoSpaceDN/>
        <w:bidi w:val="0"/>
        <w:adjustRightInd/>
        <w:snapToGrid/>
        <w:spacing w:line="360" w:lineRule="auto"/>
        <w:textAlignment w:val="auto"/>
        <w:rPr>
          <w:rFonts w:hint="eastAsia" w:ascii="宋体" w:hAnsi="宋体" w:eastAsia="宋体" w:cs="宋体"/>
          <w:i w:val="0"/>
          <w:iCs w:val="0"/>
          <w:sz w:val="24"/>
          <w:szCs w:val="24"/>
        </w:rPr>
      </w:pPr>
      <w:r>
        <w:rPr>
          <w:rFonts w:hint="eastAsia" w:ascii="宋体" w:hAnsi="宋体" w:eastAsia="宋体" w:cs="宋体"/>
          <w:bCs/>
          <w:i w:val="0"/>
          <w:iCs w:val="0"/>
          <w:caps/>
          <w:sz w:val="24"/>
          <w:szCs w:val="24"/>
          <w:highlight w:val="none"/>
        </w:rPr>
        <w:fldChar w:fldCharType="begin"/>
      </w:r>
      <w:r>
        <w:rPr>
          <w:rFonts w:hint="eastAsia" w:ascii="宋体" w:hAnsi="宋体" w:eastAsia="宋体" w:cs="宋体"/>
          <w:bCs/>
          <w:i w:val="0"/>
          <w:iCs w:val="0"/>
          <w:caps/>
          <w:sz w:val="24"/>
          <w:szCs w:val="24"/>
          <w:highlight w:val="none"/>
        </w:rPr>
        <w:instrText xml:space="preserve"> HYPERLINK \l _Toc29391 </w:instrText>
      </w:r>
      <w:r>
        <w:rPr>
          <w:rFonts w:hint="eastAsia" w:ascii="宋体" w:hAnsi="宋体" w:eastAsia="宋体" w:cs="宋体"/>
          <w:bCs/>
          <w:i w:val="0"/>
          <w:iCs w:val="0"/>
          <w:caps/>
          <w:sz w:val="24"/>
          <w:szCs w:val="24"/>
          <w:highlight w:val="none"/>
        </w:rPr>
        <w:fldChar w:fldCharType="separate"/>
      </w:r>
      <w:r>
        <w:rPr>
          <w:rFonts w:hint="eastAsia" w:ascii="宋体" w:hAnsi="宋体" w:eastAsia="宋体" w:cs="宋体"/>
          <w:bCs w:val="0"/>
          <w:i w:val="0"/>
          <w:iCs w:val="0"/>
          <w:sz w:val="24"/>
          <w:szCs w:val="24"/>
        </w:rPr>
        <w:t>第二节 政府采购合同通用条款</w:t>
      </w:r>
      <w:r>
        <w:rPr>
          <w:rFonts w:hint="eastAsia" w:ascii="宋体" w:hAnsi="宋体" w:eastAsia="宋体" w:cs="宋体"/>
          <w:i w:val="0"/>
          <w:iCs w:val="0"/>
          <w:sz w:val="24"/>
          <w:szCs w:val="24"/>
        </w:rPr>
        <w:tab/>
      </w:r>
      <w:r>
        <w:rPr>
          <w:rFonts w:hint="eastAsia" w:ascii="宋体" w:hAnsi="宋体" w:eastAsia="宋体" w:cs="宋体"/>
          <w:i w:val="0"/>
          <w:iCs w:val="0"/>
          <w:sz w:val="24"/>
          <w:szCs w:val="24"/>
        </w:rPr>
        <w:fldChar w:fldCharType="begin"/>
      </w:r>
      <w:r>
        <w:rPr>
          <w:rFonts w:hint="eastAsia" w:ascii="宋体" w:hAnsi="宋体" w:eastAsia="宋体" w:cs="宋体"/>
          <w:i w:val="0"/>
          <w:iCs w:val="0"/>
          <w:sz w:val="24"/>
          <w:szCs w:val="24"/>
        </w:rPr>
        <w:instrText xml:space="preserve"> PAGEREF _Toc29391 \h </w:instrText>
      </w:r>
      <w:r>
        <w:rPr>
          <w:rFonts w:hint="eastAsia" w:ascii="宋体" w:hAnsi="宋体" w:eastAsia="宋体" w:cs="宋体"/>
          <w:i w:val="0"/>
          <w:iCs w:val="0"/>
          <w:sz w:val="24"/>
          <w:szCs w:val="24"/>
        </w:rPr>
        <w:fldChar w:fldCharType="separate"/>
      </w:r>
      <w:r>
        <w:rPr>
          <w:rFonts w:hint="eastAsia" w:ascii="宋体" w:hAnsi="宋体" w:eastAsia="宋体" w:cs="宋体"/>
          <w:i w:val="0"/>
          <w:iCs w:val="0"/>
          <w:sz w:val="24"/>
          <w:szCs w:val="24"/>
        </w:rPr>
        <w:t>39</w:t>
      </w:r>
      <w:r>
        <w:rPr>
          <w:rFonts w:hint="eastAsia" w:ascii="宋体" w:hAnsi="宋体" w:eastAsia="宋体" w:cs="宋体"/>
          <w:i w:val="0"/>
          <w:iCs w:val="0"/>
          <w:sz w:val="24"/>
          <w:szCs w:val="24"/>
        </w:rPr>
        <w:fldChar w:fldCharType="end"/>
      </w:r>
      <w:r>
        <w:rPr>
          <w:rFonts w:hint="eastAsia" w:ascii="宋体" w:hAnsi="宋体" w:eastAsia="宋体" w:cs="宋体"/>
          <w:bCs/>
          <w:i w:val="0"/>
          <w:iCs w:val="0"/>
          <w:caps/>
          <w:sz w:val="24"/>
          <w:szCs w:val="24"/>
          <w:highlight w:val="none"/>
        </w:rPr>
        <w:fldChar w:fldCharType="end"/>
      </w:r>
    </w:p>
    <w:p w14:paraId="6AAB4F5F">
      <w:pPr>
        <w:pStyle w:val="24"/>
        <w:keepNext w:val="0"/>
        <w:keepLines w:val="0"/>
        <w:pageBreakBefore w:val="0"/>
        <w:widowControl/>
        <w:tabs>
          <w:tab w:val="right" w:leader="dot" w:pos="9740"/>
        </w:tabs>
        <w:kinsoku/>
        <w:wordWrap/>
        <w:overflowPunct/>
        <w:topLinePunct w:val="0"/>
        <w:autoSpaceDE/>
        <w:autoSpaceDN/>
        <w:bidi w:val="0"/>
        <w:adjustRightInd/>
        <w:snapToGrid/>
        <w:spacing w:line="360" w:lineRule="auto"/>
        <w:textAlignment w:val="auto"/>
        <w:rPr>
          <w:rFonts w:hint="eastAsia" w:ascii="宋体" w:hAnsi="宋体" w:eastAsia="宋体" w:cs="宋体"/>
          <w:i w:val="0"/>
          <w:iCs w:val="0"/>
          <w:sz w:val="24"/>
          <w:szCs w:val="24"/>
        </w:rPr>
      </w:pPr>
      <w:r>
        <w:rPr>
          <w:rFonts w:hint="eastAsia" w:ascii="宋体" w:hAnsi="宋体" w:eastAsia="宋体" w:cs="宋体"/>
          <w:bCs/>
          <w:i w:val="0"/>
          <w:iCs w:val="0"/>
          <w:caps/>
          <w:sz w:val="24"/>
          <w:szCs w:val="24"/>
          <w:highlight w:val="none"/>
        </w:rPr>
        <w:fldChar w:fldCharType="begin"/>
      </w:r>
      <w:r>
        <w:rPr>
          <w:rFonts w:hint="eastAsia" w:ascii="宋体" w:hAnsi="宋体" w:eastAsia="宋体" w:cs="宋体"/>
          <w:bCs/>
          <w:i w:val="0"/>
          <w:iCs w:val="0"/>
          <w:caps/>
          <w:sz w:val="24"/>
          <w:szCs w:val="24"/>
          <w:highlight w:val="none"/>
        </w:rPr>
        <w:instrText xml:space="preserve"> HYPERLINK \l _Toc11432 </w:instrText>
      </w:r>
      <w:r>
        <w:rPr>
          <w:rFonts w:hint="eastAsia" w:ascii="宋体" w:hAnsi="宋体" w:eastAsia="宋体" w:cs="宋体"/>
          <w:bCs/>
          <w:i w:val="0"/>
          <w:iCs w:val="0"/>
          <w:caps/>
          <w:sz w:val="24"/>
          <w:szCs w:val="24"/>
          <w:highlight w:val="none"/>
        </w:rPr>
        <w:fldChar w:fldCharType="separate"/>
      </w:r>
      <w:r>
        <w:rPr>
          <w:rFonts w:hint="eastAsia" w:ascii="宋体" w:hAnsi="宋体" w:eastAsia="宋体" w:cs="宋体"/>
          <w:bCs w:val="0"/>
          <w:i w:val="0"/>
          <w:iCs w:val="0"/>
          <w:sz w:val="24"/>
          <w:szCs w:val="24"/>
        </w:rPr>
        <w:t>第三节 政府采购合同专用条款</w:t>
      </w:r>
      <w:r>
        <w:rPr>
          <w:rFonts w:hint="eastAsia" w:ascii="宋体" w:hAnsi="宋体" w:eastAsia="宋体" w:cs="宋体"/>
          <w:i w:val="0"/>
          <w:iCs w:val="0"/>
          <w:sz w:val="24"/>
          <w:szCs w:val="24"/>
        </w:rPr>
        <w:tab/>
      </w:r>
      <w:r>
        <w:rPr>
          <w:rFonts w:hint="eastAsia" w:ascii="宋体" w:hAnsi="宋体" w:eastAsia="宋体" w:cs="宋体"/>
          <w:i w:val="0"/>
          <w:iCs w:val="0"/>
          <w:sz w:val="24"/>
          <w:szCs w:val="24"/>
        </w:rPr>
        <w:fldChar w:fldCharType="begin"/>
      </w:r>
      <w:r>
        <w:rPr>
          <w:rFonts w:hint="eastAsia" w:ascii="宋体" w:hAnsi="宋体" w:eastAsia="宋体" w:cs="宋体"/>
          <w:i w:val="0"/>
          <w:iCs w:val="0"/>
          <w:sz w:val="24"/>
          <w:szCs w:val="24"/>
        </w:rPr>
        <w:instrText xml:space="preserve"> PAGEREF _Toc11432 \h </w:instrText>
      </w:r>
      <w:r>
        <w:rPr>
          <w:rFonts w:hint="eastAsia" w:ascii="宋体" w:hAnsi="宋体" w:eastAsia="宋体" w:cs="宋体"/>
          <w:i w:val="0"/>
          <w:iCs w:val="0"/>
          <w:sz w:val="24"/>
          <w:szCs w:val="24"/>
        </w:rPr>
        <w:fldChar w:fldCharType="separate"/>
      </w:r>
      <w:r>
        <w:rPr>
          <w:rFonts w:hint="eastAsia" w:ascii="宋体" w:hAnsi="宋体" w:eastAsia="宋体" w:cs="宋体"/>
          <w:i w:val="0"/>
          <w:iCs w:val="0"/>
          <w:sz w:val="24"/>
          <w:szCs w:val="24"/>
        </w:rPr>
        <w:t>45</w:t>
      </w:r>
      <w:r>
        <w:rPr>
          <w:rFonts w:hint="eastAsia" w:ascii="宋体" w:hAnsi="宋体" w:eastAsia="宋体" w:cs="宋体"/>
          <w:i w:val="0"/>
          <w:iCs w:val="0"/>
          <w:sz w:val="24"/>
          <w:szCs w:val="24"/>
        </w:rPr>
        <w:fldChar w:fldCharType="end"/>
      </w:r>
      <w:r>
        <w:rPr>
          <w:rFonts w:hint="eastAsia" w:ascii="宋体" w:hAnsi="宋体" w:eastAsia="宋体" w:cs="宋体"/>
          <w:bCs/>
          <w:i w:val="0"/>
          <w:iCs w:val="0"/>
          <w:caps/>
          <w:sz w:val="24"/>
          <w:szCs w:val="24"/>
          <w:highlight w:val="none"/>
        </w:rPr>
        <w:fldChar w:fldCharType="end"/>
      </w:r>
    </w:p>
    <w:p w14:paraId="14704959">
      <w:pPr>
        <w:pStyle w:val="20"/>
        <w:keepNext w:val="0"/>
        <w:keepLines w:val="0"/>
        <w:pageBreakBefore w:val="0"/>
        <w:widowControl/>
        <w:tabs>
          <w:tab w:val="right" w:leader="dot" w:pos="9740"/>
        </w:tabs>
        <w:kinsoku/>
        <w:wordWrap/>
        <w:overflowPunct/>
        <w:topLinePunct w:val="0"/>
        <w:autoSpaceDE/>
        <w:autoSpaceDN/>
        <w:bidi w:val="0"/>
        <w:adjustRightInd/>
        <w:snapToGrid/>
        <w:spacing w:line="360" w:lineRule="auto"/>
        <w:textAlignment w:val="auto"/>
        <w:rPr>
          <w:rFonts w:hint="eastAsia" w:ascii="宋体" w:hAnsi="宋体" w:eastAsia="宋体" w:cs="宋体"/>
          <w:i w:val="0"/>
          <w:iCs w:val="0"/>
          <w:sz w:val="24"/>
          <w:szCs w:val="24"/>
        </w:rPr>
      </w:pPr>
      <w:r>
        <w:rPr>
          <w:rFonts w:hint="eastAsia" w:ascii="宋体" w:hAnsi="宋体" w:eastAsia="宋体" w:cs="宋体"/>
          <w:bCs w:val="0"/>
          <w:i w:val="0"/>
          <w:iCs w:val="0"/>
          <w:caps w:val="0"/>
          <w:sz w:val="24"/>
          <w:szCs w:val="24"/>
          <w:highlight w:val="none"/>
        </w:rPr>
        <w:fldChar w:fldCharType="begin"/>
      </w:r>
      <w:r>
        <w:rPr>
          <w:rFonts w:hint="eastAsia" w:ascii="宋体" w:hAnsi="宋体" w:eastAsia="宋体" w:cs="宋体"/>
          <w:bCs w:val="0"/>
          <w:i w:val="0"/>
          <w:iCs w:val="0"/>
          <w:caps w:val="0"/>
          <w:sz w:val="24"/>
          <w:szCs w:val="24"/>
          <w:highlight w:val="none"/>
        </w:rPr>
        <w:instrText xml:space="preserve"> HYPERLINK \l _Toc1506 </w:instrText>
      </w:r>
      <w:r>
        <w:rPr>
          <w:rFonts w:hint="eastAsia" w:ascii="宋体" w:hAnsi="宋体" w:eastAsia="宋体" w:cs="宋体"/>
          <w:bCs w:val="0"/>
          <w:i w:val="0"/>
          <w:iCs w:val="0"/>
          <w:caps w:val="0"/>
          <w:sz w:val="24"/>
          <w:szCs w:val="24"/>
          <w:highlight w:val="none"/>
        </w:rPr>
        <w:fldChar w:fldCharType="separate"/>
      </w:r>
      <w:r>
        <w:rPr>
          <w:rFonts w:hint="eastAsia" w:ascii="宋体" w:hAnsi="宋体" w:eastAsia="宋体" w:cs="宋体"/>
          <w:i w:val="0"/>
          <w:iCs w:val="0"/>
          <w:sz w:val="24"/>
          <w:szCs w:val="24"/>
          <w:highlight w:val="none"/>
        </w:rPr>
        <w:t xml:space="preserve">第六章 </w:t>
      </w:r>
      <w:r>
        <w:rPr>
          <w:rFonts w:hint="eastAsia" w:ascii="宋体" w:hAnsi="宋体" w:eastAsia="宋体" w:cs="宋体"/>
          <w:i w:val="0"/>
          <w:iCs w:val="0"/>
          <w:sz w:val="24"/>
          <w:szCs w:val="24"/>
          <w:highlight w:val="none"/>
          <w:lang w:eastAsia="zh-CN"/>
        </w:rPr>
        <w:t>招标内容及要求</w:t>
      </w:r>
      <w:r>
        <w:rPr>
          <w:rFonts w:hint="eastAsia" w:ascii="宋体" w:hAnsi="宋体" w:eastAsia="宋体" w:cs="宋体"/>
          <w:i w:val="0"/>
          <w:iCs w:val="0"/>
          <w:sz w:val="24"/>
          <w:szCs w:val="24"/>
        </w:rPr>
        <w:tab/>
      </w:r>
      <w:r>
        <w:rPr>
          <w:rFonts w:hint="eastAsia" w:ascii="宋体" w:hAnsi="宋体" w:eastAsia="宋体" w:cs="宋体"/>
          <w:i w:val="0"/>
          <w:iCs w:val="0"/>
          <w:sz w:val="24"/>
          <w:szCs w:val="24"/>
        </w:rPr>
        <w:fldChar w:fldCharType="begin"/>
      </w:r>
      <w:r>
        <w:rPr>
          <w:rFonts w:hint="eastAsia" w:ascii="宋体" w:hAnsi="宋体" w:eastAsia="宋体" w:cs="宋体"/>
          <w:i w:val="0"/>
          <w:iCs w:val="0"/>
          <w:sz w:val="24"/>
          <w:szCs w:val="24"/>
        </w:rPr>
        <w:instrText xml:space="preserve"> PAGEREF _Toc1506 \h </w:instrText>
      </w:r>
      <w:r>
        <w:rPr>
          <w:rFonts w:hint="eastAsia" w:ascii="宋体" w:hAnsi="宋体" w:eastAsia="宋体" w:cs="宋体"/>
          <w:i w:val="0"/>
          <w:iCs w:val="0"/>
          <w:sz w:val="24"/>
          <w:szCs w:val="24"/>
        </w:rPr>
        <w:fldChar w:fldCharType="separate"/>
      </w:r>
      <w:r>
        <w:rPr>
          <w:rFonts w:hint="eastAsia" w:ascii="宋体" w:hAnsi="宋体" w:eastAsia="宋体" w:cs="宋体"/>
          <w:i w:val="0"/>
          <w:iCs w:val="0"/>
          <w:sz w:val="24"/>
          <w:szCs w:val="24"/>
        </w:rPr>
        <w:t>46</w:t>
      </w:r>
      <w:r>
        <w:rPr>
          <w:rFonts w:hint="eastAsia" w:ascii="宋体" w:hAnsi="宋体" w:eastAsia="宋体" w:cs="宋体"/>
          <w:i w:val="0"/>
          <w:iCs w:val="0"/>
          <w:sz w:val="24"/>
          <w:szCs w:val="24"/>
        </w:rPr>
        <w:fldChar w:fldCharType="end"/>
      </w:r>
      <w:r>
        <w:rPr>
          <w:rFonts w:hint="eastAsia" w:ascii="宋体" w:hAnsi="宋体" w:eastAsia="宋体" w:cs="宋体"/>
          <w:bCs w:val="0"/>
          <w:i w:val="0"/>
          <w:iCs w:val="0"/>
          <w:caps w:val="0"/>
          <w:sz w:val="24"/>
          <w:szCs w:val="24"/>
          <w:highlight w:val="none"/>
        </w:rPr>
        <w:fldChar w:fldCharType="end"/>
      </w:r>
    </w:p>
    <w:p w14:paraId="3544564D">
      <w:pPr>
        <w:pStyle w:val="20"/>
        <w:keepNext w:val="0"/>
        <w:keepLines w:val="0"/>
        <w:pageBreakBefore w:val="0"/>
        <w:widowControl/>
        <w:tabs>
          <w:tab w:val="right" w:leader="dot" w:pos="9740"/>
        </w:tabs>
        <w:kinsoku/>
        <w:wordWrap/>
        <w:overflowPunct/>
        <w:topLinePunct w:val="0"/>
        <w:autoSpaceDE/>
        <w:autoSpaceDN/>
        <w:bidi w:val="0"/>
        <w:adjustRightInd/>
        <w:snapToGrid/>
        <w:spacing w:line="360" w:lineRule="auto"/>
        <w:textAlignment w:val="auto"/>
        <w:rPr>
          <w:rFonts w:hint="eastAsia" w:ascii="宋体" w:hAnsi="宋体" w:eastAsia="宋体" w:cs="宋体"/>
          <w:i w:val="0"/>
          <w:iCs w:val="0"/>
          <w:sz w:val="24"/>
          <w:szCs w:val="24"/>
        </w:rPr>
      </w:pPr>
      <w:r>
        <w:rPr>
          <w:rFonts w:hint="eastAsia" w:ascii="宋体" w:hAnsi="宋体" w:eastAsia="宋体" w:cs="宋体"/>
          <w:bCs w:val="0"/>
          <w:i w:val="0"/>
          <w:iCs w:val="0"/>
          <w:caps w:val="0"/>
          <w:sz w:val="24"/>
          <w:szCs w:val="24"/>
          <w:highlight w:val="none"/>
        </w:rPr>
        <w:fldChar w:fldCharType="begin"/>
      </w:r>
      <w:r>
        <w:rPr>
          <w:rFonts w:hint="eastAsia" w:ascii="宋体" w:hAnsi="宋体" w:eastAsia="宋体" w:cs="宋体"/>
          <w:bCs w:val="0"/>
          <w:i w:val="0"/>
          <w:iCs w:val="0"/>
          <w:caps w:val="0"/>
          <w:sz w:val="24"/>
          <w:szCs w:val="24"/>
          <w:highlight w:val="none"/>
        </w:rPr>
        <w:instrText xml:space="preserve"> HYPERLINK \l _Toc8146 </w:instrText>
      </w:r>
      <w:r>
        <w:rPr>
          <w:rFonts w:hint="eastAsia" w:ascii="宋体" w:hAnsi="宋体" w:eastAsia="宋体" w:cs="宋体"/>
          <w:bCs w:val="0"/>
          <w:i w:val="0"/>
          <w:iCs w:val="0"/>
          <w:caps w:val="0"/>
          <w:sz w:val="24"/>
          <w:szCs w:val="24"/>
          <w:highlight w:val="none"/>
        </w:rPr>
        <w:fldChar w:fldCharType="separate"/>
      </w:r>
      <w:r>
        <w:rPr>
          <w:rFonts w:hint="eastAsia" w:ascii="宋体" w:hAnsi="宋体" w:eastAsia="宋体" w:cs="宋体"/>
          <w:i w:val="0"/>
          <w:iCs w:val="0"/>
          <w:sz w:val="24"/>
          <w:szCs w:val="24"/>
          <w:highlight w:val="none"/>
        </w:rPr>
        <w:t>第七章 投标文件格式</w:t>
      </w:r>
      <w:r>
        <w:rPr>
          <w:rFonts w:hint="eastAsia" w:ascii="宋体" w:hAnsi="宋体" w:eastAsia="宋体" w:cs="宋体"/>
          <w:i w:val="0"/>
          <w:iCs w:val="0"/>
          <w:sz w:val="24"/>
          <w:szCs w:val="24"/>
        </w:rPr>
        <w:tab/>
      </w:r>
      <w:r>
        <w:rPr>
          <w:rFonts w:hint="eastAsia" w:ascii="宋体" w:hAnsi="宋体" w:eastAsia="宋体" w:cs="宋体"/>
          <w:i w:val="0"/>
          <w:iCs w:val="0"/>
          <w:sz w:val="24"/>
          <w:szCs w:val="24"/>
        </w:rPr>
        <w:fldChar w:fldCharType="begin"/>
      </w:r>
      <w:r>
        <w:rPr>
          <w:rFonts w:hint="eastAsia" w:ascii="宋体" w:hAnsi="宋体" w:eastAsia="宋体" w:cs="宋体"/>
          <w:i w:val="0"/>
          <w:iCs w:val="0"/>
          <w:sz w:val="24"/>
          <w:szCs w:val="24"/>
        </w:rPr>
        <w:instrText xml:space="preserve"> PAGEREF _Toc8146 \h </w:instrText>
      </w:r>
      <w:r>
        <w:rPr>
          <w:rFonts w:hint="eastAsia" w:ascii="宋体" w:hAnsi="宋体" w:eastAsia="宋体" w:cs="宋体"/>
          <w:i w:val="0"/>
          <w:iCs w:val="0"/>
          <w:sz w:val="24"/>
          <w:szCs w:val="24"/>
        </w:rPr>
        <w:fldChar w:fldCharType="separate"/>
      </w:r>
      <w:r>
        <w:rPr>
          <w:rFonts w:hint="eastAsia" w:ascii="宋体" w:hAnsi="宋体" w:eastAsia="宋体" w:cs="宋体"/>
          <w:i w:val="0"/>
          <w:iCs w:val="0"/>
          <w:sz w:val="24"/>
          <w:szCs w:val="24"/>
        </w:rPr>
        <w:t>53</w:t>
      </w:r>
      <w:r>
        <w:rPr>
          <w:rFonts w:hint="eastAsia" w:ascii="宋体" w:hAnsi="宋体" w:eastAsia="宋体" w:cs="宋体"/>
          <w:i w:val="0"/>
          <w:iCs w:val="0"/>
          <w:sz w:val="24"/>
          <w:szCs w:val="24"/>
        </w:rPr>
        <w:fldChar w:fldCharType="end"/>
      </w:r>
      <w:r>
        <w:rPr>
          <w:rFonts w:hint="eastAsia" w:ascii="宋体" w:hAnsi="宋体" w:eastAsia="宋体" w:cs="宋体"/>
          <w:bCs w:val="0"/>
          <w:i w:val="0"/>
          <w:iCs w:val="0"/>
          <w:caps w:val="0"/>
          <w:sz w:val="24"/>
          <w:szCs w:val="24"/>
          <w:highlight w:val="none"/>
        </w:rPr>
        <w:fldChar w:fldCharType="end"/>
      </w:r>
    </w:p>
    <w:p w14:paraId="4D07416F">
      <w:pPr>
        <w:pStyle w:val="14"/>
        <w:keepNext w:val="0"/>
        <w:keepLines w:val="0"/>
        <w:pageBreakBefore w:val="0"/>
        <w:widowControl/>
        <w:tabs>
          <w:tab w:val="right" w:leader="dot" w:pos="9740"/>
        </w:tabs>
        <w:kinsoku/>
        <w:wordWrap/>
        <w:overflowPunct/>
        <w:topLinePunct w:val="0"/>
        <w:autoSpaceDE/>
        <w:autoSpaceDN/>
        <w:bidi w:val="0"/>
        <w:adjustRightInd/>
        <w:snapToGrid/>
        <w:spacing w:line="360" w:lineRule="auto"/>
        <w:textAlignment w:val="auto"/>
        <w:rPr>
          <w:rFonts w:hint="eastAsia" w:ascii="宋体" w:hAnsi="宋体" w:eastAsia="宋体" w:cs="宋体"/>
          <w:i w:val="0"/>
          <w:iCs w:val="0"/>
          <w:sz w:val="24"/>
          <w:szCs w:val="24"/>
        </w:rPr>
      </w:pPr>
      <w:r>
        <w:rPr>
          <w:rFonts w:hint="eastAsia" w:ascii="宋体" w:hAnsi="宋体" w:eastAsia="宋体" w:cs="宋体"/>
          <w:bCs/>
          <w:i w:val="0"/>
          <w:iCs w:val="0"/>
          <w:caps/>
          <w:sz w:val="24"/>
          <w:szCs w:val="24"/>
          <w:highlight w:val="none"/>
        </w:rPr>
        <w:fldChar w:fldCharType="begin"/>
      </w:r>
      <w:r>
        <w:rPr>
          <w:rFonts w:hint="eastAsia" w:ascii="宋体" w:hAnsi="宋体" w:eastAsia="宋体" w:cs="宋体"/>
          <w:bCs/>
          <w:i w:val="0"/>
          <w:iCs w:val="0"/>
          <w:caps/>
          <w:sz w:val="24"/>
          <w:szCs w:val="24"/>
          <w:highlight w:val="none"/>
        </w:rPr>
        <w:instrText xml:space="preserve"> HYPERLINK \l _Toc29527 </w:instrText>
      </w:r>
      <w:r>
        <w:rPr>
          <w:rFonts w:hint="eastAsia" w:ascii="宋体" w:hAnsi="宋体" w:eastAsia="宋体" w:cs="宋体"/>
          <w:bCs/>
          <w:i w:val="0"/>
          <w:iCs w:val="0"/>
          <w:caps/>
          <w:sz w:val="24"/>
          <w:szCs w:val="24"/>
          <w:highlight w:val="none"/>
        </w:rPr>
        <w:fldChar w:fldCharType="separate"/>
      </w:r>
      <w:r>
        <w:rPr>
          <w:rFonts w:hint="eastAsia" w:ascii="宋体" w:hAnsi="宋体" w:eastAsia="宋体" w:cs="宋体"/>
          <w:bCs/>
          <w:i w:val="0"/>
          <w:iCs w:val="0"/>
          <w:sz w:val="24"/>
          <w:szCs w:val="24"/>
          <w:highlight w:val="none"/>
        </w:rPr>
        <w:t>资格审查部分</w:t>
      </w:r>
      <w:r>
        <w:rPr>
          <w:rFonts w:hint="eastAsia" w:ascii="宋体" w:hAnsi="宋体" w:eastAsia="宋体" w:cs="宋体"/>
          <w:i w:val="0"/>
          <w:iCs w:val="0"/>
          <w:sz w:val="24"/>
          <w:szCs w:val="24"/>
        </w:rPr>
        <w:tab/>
      </w:r>
      <w:r>
        <w:rPr>
          <w:rFonts w:hint="eastAsia" w:ascii="宋体" w:hAnsi="宋体" w:eastAsia="宋体" w:cs="宋体"/>
          <w:i w:val="0"/>
          <w:iCs w:val="0"/>
          <w:sz w:val="24"/>
          <w:szCs w:val="24"/>
        </w:rPr>
        <w:fldChar w:fldCharType="begin"/>
      </w:r>
      <w:r>
        <w:rPr>
          <w:rFonts w:hint="eastAsia" w:ascii="宋体" w:hAnsi="宋体" w:eastAsia="宋体" w:cs="宋体"/>
          <w:i w:val="0"/>
          <w:iCs w:val="0"/>
          <w:sz w:val="24"/>
          <w:szCs w:val="24"/>
        </w:rPr>
        <w:instrText xml:space="preserve"> PAGEREF _Toc29527 \h </w:instrText>
      </w:r>
      <w:r>
        <w:rPr>
          <w:rFonts w:hint="eastAsia" w:ascii="宋体" w:hAnsi="宋体" w:eastAsia="宋体" w:cs="宋体"/>
          <w:i w:val="0"/>
          <w:iCs w:val="0"/>
          <w:sz w:val="24"/>
          <w:szCs w:val="24"/>
        </w:rPr>
        <w:fldChar w:fldCharType="separate"/>
      </w:r>
      <w:r>
        <w:rPr>
          <w:rFonts w:hint="eastAsia" w:ascii="宋体" w:hAnsi="宋体" w:eastAsia="宋体" w:cs="宋体"/>
          <w:i w:val="0"/>
          <w:iCs w:val="0"/>
          <w:sz w:val="24"/>
          <w:szCs w:val="24"/>
        </w:rPr>
        <w:t>53</w:t>
      </w:r>
      <w:r>
        <w:rPr>
          <w:rFonts w:hint="eastAsia" w:ascii="宋体" w:hAnsi="宋体" w:eastAsia="宋体" w:cs="宋体"/>
          <w:i w:val="0"/>
          <w:iCs w:val="0"/>
          <w:sz w:val="24"/>
          <w:szCs w:val="24"/>
        </w:rPr>
        <w:fldChar w:fldCharType="end"/>
      </w:r>
      <w:r>
        <w:rPr>
          <w:rFonts w:hint="eastAsia" w:ascii="宋体" w:hAnsi="宋体" w:eastAsia="宋体" w:cs="宋体"/>
          <w:bCs/>
          <w:i w:val="0"/>
          <w:iCs w:val="0"/>
          <w:caps/>
          <w:sz w:val="24"/>
          <w:szCs w:val="24"/>
          <w:highlight w:val="none"/>
        </w:rPr>
        <w:fldChar w:fldCharType="end"/>
      </w:r>
    </w:p>
    <w:p w14:paraId="384C89FE">
      <w:pPr>
        <w:pStyle w:val="14"/>
        <w:keepNext w:val="0"/>
        <w:keepLines w:val="0"/>
        <w:pageBreakBefore w:val="0"/>
        <w:widowControl/>
        <w:tabs>
          <w:tab w:val="right" w:leader="dot" w:pos="9740"/>
        </w:tabs>
        <w:kinsoku/>
        <w:wordWrap/>
        <w:overflowPunct/>
        <w:topLinePunct w:val="0"/>
        <w:autoSpaceDE/>
        <w:autoSpaceDN/>
        <w:bidi w:val="0"/>
        <w:adjustRightInd/>
        <w:snapToGrid/>
        <w:spacing w:line="360" w:lineRule="auto"/>
        <w:textAlignment w:val="auto"/>
        <w:rPr>
          <w:rFonts w:hint="eastAsia" w:ascii="宋体" w:hAnsi="宋体" w:eastAsia="宋体" w:cs="宋体"/>
          <w:i w:val="0"/>
          <w:iCs w:val="0"/>
          <w:sz w:val="24"/>
          <w:szCs w:val="24"/>
        </w:rPr>
      </w:pPr>
      <w:r>
        <w:rPr>
          <w:rFonts w:hint="eastAsia" w:ascii="宋体" w:hAnsi="宋体" w:eastAsia="宋体" w:cs="宋体"/>
          <w:bCs/>
          <w:i w:val="0"/>
          <w:iCs w:val="0"/>
          <w:caps/>
          <w:sz w:val="24"/>
          <w:szCs w:val="24"/>
          <w:highlight w:val="none"/>
        </w:rPr>
        <w:fldChar w:fldCharType="begin"/>
      </w:r>
      <w:r>
        <w:rPr>
          <w:rFonts w:hint="eastAsia" w:ascii="宋体" w:hAnsi="宋体" w:eastAsia="宋体" w:cs="宋体"/>
          <w:bCs/>
          <w:i w:val="0"/>
          <w:iCs w:val="0"/>
          <w:caps/>
          <w:sz w:val="24"/>
          <w:szCs w:val="24"/>
          <w:highlight w:val="none"/>
        </w:rPr>
        <w:instrText xml:space="preserve"> HYPERLINK \l _Toc7742 </w:instrText>
      </w:r>
      <w:r>
        <w:rPr>
          <w:rFonts w:hint="eastAsia" w:ascii="宋体" w:hAnsi="宋体" w:eastAsia="宋体" w:cs="宋体"/>
          <w:bCs/>
          <w:i w:val="0"/>
          <w:iCs w:val="0"/>
          <w:caps/>
          <w:sz w:val="24"/>
          <w:szCs w:val="24"/>
          <w:highlight w:val="none"/>
        </w:rPr>
        <w:fldChar w:fldCharType="separate"/>
      </w:r>
      <w:r>
        <w:rPr>
          <w:rFonts w:hint="eastAsia" w:ascii="宋体" w:hAnsi="宋体" w:eastAsia="宋体" w:cs="宋体"/>
          <w:i w:val="0"/>
          <w:iCs w:val="0"/>
          <w:sz w:val="24"/>
          <w:szCs w:val="24"/>
          <w:highlight w:val="none"/>
        </w:rPr>
        <w:t>一、具有独立承担民事责任的能力</w:t>
      </w:r>
      <w:r>
        <w:rPr>
          <w:rFonts w:hint="eastAsia" w:ascii="宋体" w:hAnsi="宋体" w:eastAsia="宋体" w:cs="宋体"/>
          <w:i w:val="0"/>
          <w:iCs w:val="0"/>
          <w:sz w:val="24"/>
          <w:szCs w:val="24"/>
        </w:rPr>
        <w:tab/>
      </w:r>
      <w:r>
        <w:rPr>
          <w:rFonts w:hint="eastAsia" w:ascii="宋体" w:hAnsi="宋体" w:eastAsia="宋体" w:cs="宋体"/>
          <w:i w:val="0"/>
          <w:iCs w:val="0"/>
          <w:sz w:val="24"/>
          <w:szCs w:val="24"/>
        </w:rPr>
        <w:fldChar w:fldCharType="begin"/>
      </w:r>
      <w:r>
        <w:rPr>
          <w:rFonts w:hint="eastAsia" w:ascii="宋体" w:hAnsi="宋体" w:eastAsia="宋体" w:cs="宋体"/>
          <w:i w:val="0"/>
          <w:iCs w:val="0"/>
          <w:sz w:val="24"/>
          <w:szCs w:val="24"/>
        </w:rPr>
        <w:instrText xml:space="preserve"> PAGEREF _Toc7742 \h </w:instrText>
      </w:r>
      <w:r>
        <w:rPr>
          <w:rFonts w:hint="eastAsia" w:ascii="宋体" w:hAnsi="宋体" w:eastAsia="宋体" w:cs="宋体"/>
          <w:i w:val="0"/>
          <w:iCs w:val="0"/>
          <w:sz w:val="24"/>
          <w:szCs w:val="24"/>
        </w:rPr>
        <w:fldChar w:fldCharType="separate"/>
      </w:r>
      <w:r>
        <w:rPr>
          <w:rFonts w:hint="eastAsia" w:ascii="宋体" w:hAnsi="宋体" w:eastAsia="宋体" w:cs="宋体"/>
          <w:i w:val="0"/>
          <w:iCs w:val="0"/>
          <w:sz w:val="24"/>
          <w:szCs w:val="24"/>
        </w:rPr>
        <w:t>54</w:t>
      </w:r>
      <w:r>
        <w:rPr>
          <w:rFonts w:hint="eastAsia" w:ascii="宋体" w:hAnsi="宋体" w:eastAsia="宋体" w:cs="宋体"/>
          <w:i w:val="0"/>
          <w:iCs w:val="0"/>
          <w:sz w:val="24"/>
          <w:szCs w:val="24"/>
        </w:rPr>
        <w:fldChar w:fldCharType="end"/>
      </w:r>
      <w:r>
        <w:rPr>
          <w:rFonts w:hint="eastAsia" w:ascii="宋体" w:hAnsi="宋体" w:eastAsia="宋体" w:cs="宋体"/>
          <w:bCs/>
          <w:i w:val="0"/>
          <w:iCs w:val="0"/>
          <w:caps/>
          <w:sz w:val="24"/>
          <w:szCs w:val="24"/>
          <w:highlight w:val="none"/>
        </w:rPr>
        <w:fldChar w:fldCharType="end"/>
      </w:r>
    </w:p>
    <w:p w14:paraId="76A092EF">
      <w:pPr>
        <w:pStyle w:val="14"/>
        <w:keepNext w:val="0"/>
        <w:keepLines w:val="0"/>
        <w:pageBreakBefore w:val="0"/>
        <w:widowControl/>
        <w:tabs>
          <w:tab w:val="right" w:leader="dot" w:pos="9740"/>
        </w:tabs>
        <w:kinsoku/>
        <w:wordWrap/>
        <w:overflowPunct/>
        <w:topLinePunct w:val="0"/>
        <w:autoSpaceDE/>
        <w:autoSpaceDN/>
        <w:bidi w:val="0"/>
        <w:adjustRightInd/>
        <w:snapToGrid/>
        <w:spacing w:line="360" w:lineRule="auto"/>
        <w:textAlignment w:val="auto"/>
        <w:rPr>
          <w:rFonts w:hint="eastAsia" w:ascii="宋体" w:hAnsi="宋体" w:eastAsia="宋体" w:cs="宋体"/>
          <w:i w:val="0"/>
          <w:iCs w:val="0"/>
          <w:sz w:val="24"/>
          <w:szCs w:val="24"/>
        </w:rPr>
      </w:pPr>
      <w:r>
        <w:rPr>
          <w:rFonts w:hint="eastAsia" w:ascii="宋体" w:hAnsi="宋体" w:eastAsia="宋体" w:cs="宋体"/>
          <w:bCs/>
          <w:i w:val="0"/>
          <w:iCs w:val="0"/>
          <w:caps/>
          <w:sz w:val="24"/>
          <w:szCs w:val="24"/>
          <w:highlight w:val="none"/>
        </w:rPr>
        <w:fldChar w:fldCharType="begin"/>
      </w:r>
      <w:r>
        <w:rPr>
          <w:rFonts w:hint="eastAsia" w:ascii="宋体" w:hAnsi="宋体" w:eastAsia="宋体" w:cs="宋体"/>
          <w:bCs/>
          <w:i w:val="0"/>
          <w:iCs w:val="0"/>
          <w:caps/>
          <w:sz w:val="24"/>
          <w:szCs w:val="24"/>
          <w:highlight w:val="none"/>
        </w:rPr>
        <w:instrText xml:space="preserve"> HYPERLINK \l _Toc20697 </w:instrText>
      </w:r>
      <w:r>
        <w:rPr>
          <w:rFonts w:hint="eastAsia" w:ascii="宋体" w:hAnsi="宋体" w:eastAsia="宋体" w:cs="宋体"/>
          <w:bCs/>
          <w:i w:val="0"/>
          <w:iCs w:val="0"/>
          <w:caps/>
          <w:sz w:val="24"/>
          <w:szCs w:val="24"/>
          <w:highlight w:val="none"/>
        </w:rPr>
        <w:fldChar w:fldCharType="separate"/>
      </w:r>
      <w:r>
        <w:rPr>
          <w:rFonts w:hint="eastAsia" w:ascii="宋体" w:hAnsi="宋体" w:eastAsia="宋体" w:cs="宋体"/>
          <w:i w:val="0"/>
          <w:iCs w:val="0"/>
          <w:sz w:val="24"/>
          <w:szCs w:val="24"/>
          <w:highlight w:val="none"/>
        </w:rPr>
        <w:t>二、具有良好的商业信誉和健全的财务会计制度</w:t>
      </w:r>
      <w:r>
        <w:rPr>
          <w:rFonts w:hint="eastAsia" w:ascii="宋体" w:hAnsi="宋体" w:eastAsia="宋体" w:cs="宋体"/>
          <w:i w:val="0"/>
          <w:iCs w:val="0"/>
          <w:sz w:val="24"/>
          <w:szCs w:val="24"/>
        </w:rPr>
        <w:tab/>
      </w:r>
      <w:r>
        <w:rPr>
          <w:rFonts w:hint="eastAsia" w:ascii="宋体" w:hAnsi="宋体" w:eastAsia="宋体" w:cs="宋体"/>
          <w:i w:val="0"/>
          <w:iCs w:val="0"/>
          <w:sz w:val="24"/>
          <w:szCs w:val="24"/>
        </w:rPr>
        <w:fldChar w:fldCharType="begin"/>
      </w:r>
      <w:r>
        <w:rPr>
          <w:rFonts w:hint="eastAsia" w:ascii="宋体" w:hAnsi="宋体" w:eastAsia="宋体" w:cs="宋体"/>
          <w:i w:val="0"/>
          <w:iCs w:val="0"/>
          <w:sz w:val="24"/>
          <w:szCs w:val="24"/>
        </w:rPr>
        <w:instrText xml:space="preserve"> PAGEREF _Toc20697 \h </w:instrText>
      </w:r>
      <w:r>
        <w:rPr>
          <w:rFonts w:hint="eastAsia" w:ascii="宋体" w:hAnsi="宋体" w:eastAsia="宋体" w:cs="宋体"/>
          <w:i w:val="0"/>
          <w:iCs w:val="0"/>
          <w:sz w:val="24"/>
          <w:szCs w:val="24"/>
        </w:rPr>
        <w:fldChar w:fldCharType="separate"/>
      </w:r>
      <w:r>
        <w:rPr>
          <w:rFonts w:hint="eastAsia" w:ascii="宋体" w:hAnsi="宋体" w:eastAsia="宋体" w:cs="宋体"/>
          <w:i w:val="0"/>
          <w:iCs w:val="0"/>
          <w:sz w:val="24"/>
          <w:szCs w:val="24"/>
        </w:rPr>
        <w:t>54</w:t>
      </w:r>
      <w:r>
        <w:rPr>
          <w:rFonts w:hint="eastAsia" w:ascii="宋体" w:hAnsi="宋体" w:eastAsia="宋体" w:cs="宋体"/>
          <w:i w:val="0"/>
          <w:iCs w:val="0"/>
          <w:sz w:val="24"/>
          <w:szCs w:val="24"/>
        </w:rPr>
        <w:fldChar w:fldCharType="end"/>
      </w:r>
      <w:r>
        <w:rPr>
          <w:rFonts w:hint="eastAsia" w:ascii="宋体" w:hAnsi="宋体" w:eastAsia="宋体" w:cs="宋体"/>
          <w:bCs/>
          <w:i w:val="0"/>
          <w:iCs w:val="0"/>
          <w:caps/>
          <w:sz w:val="24"/>
          <w:szCs w:val="24"/>
          <w:highlight w:val="none"/>
        </w:rPr>
        <w:fldChar w:fldCharType="end"/>
      </w:r>
    </w:p>
    <w:p w14:paraId="5E428F04">
      <w:pPr>
        <w:pStyle w:val="14"/>
        <w:keepNext w:val="0"/>
        <w:keepLines w:val="0"/>
        <w:pageBreakBefore w:val="0"/>
        <w:widowControl/>
        <w:tabs>
          <w:tab w:val="right" w:leader="dot" w:pos="9740"/>
        </w:tabs>
        <w:kinsoku/>
        <w:wordWrap/>
        <w:overflowPunct/>
        <w:topLinePunct w:val="0"/>
        <w:autoSpaceDE/>
        <w:autoSpaceDN/>
        <w:bidi w:val="0"/>
        <w:adjustRightInd/>
        <w:snapToGrid/>
        <w:spacing w:line="360" w:lineRule="auto"/>
        <w:textAlignment w:val="auto"/>
        <w:rPr>
          <w:rFonts w:hint="eastAsia" w:ascii="宋体" w:hAnsi="宋体" w:eastAsia="宋体" w:cs="宋体"/>
          <w:i w:val="0"/>
          <w:iCs w:val="0"/>
          <w:sz w:val="24"/>
          <w:szCs w:val="24"/>
        </w:rPr>
      </w:pPr>
      <w:r>
        <w:rPr>
          <w:rFonts w:hint="eastAsia" w:ascii="宋体" w:hAnsi="宋体" w:eastAsia="宋体" w:cs="宋体"/>
          <w:bCs/>
          <w:i w:val="0"/>
          <w:iCs w:val="0"/>
          <w:caps/>
          <w:sz w:val="24"/>
          <w:szCs w:val="24"/>
          <w:highlight w:val="none"/>
        </w:rPr>
        <w:fldChar w:fldCharType="begin"/>
      </w:r>
      <w:r>
        <w:rPr>
          <w:rFonts w:hint="eastAsia" w:ascii="宋体" w:hAnsi="宋体" w:eastAsia="宋体" w:cs="宋体"/>
          <w:bCs/>
          <w:i w:val="0"/>
          <w:iCs w:val="0"/>
          <w:caps/>
          <w:sz w:val="24"/>
          <w:szCs w:val="24"/>
          <w:highlight w:val="none"/>
        </w:rPr>
        <w:instrText xml:space="preserve"> HYPERLINK \l _Toc29703 </w:instrText>
      </w:r>
      <w:r>
        <w:rPr>
          <w:rFonts w:hint="eastAsia" w:ascii="宋体" w:hAnsi="宋体" w:eastAsia="宋体" w:cs="宋体"/>
          <w:bCs/>
          <w:i w:val="0"/>
          <w:iCs w:val="0"/>
          <w:caps/>
          <w:sz w:val="24"/>
          <w:szCs w:val="24"/>
          <w:highlight w:val="none"/>
        </w:rPr>
        <w:fldChar w:fldCharType="separate"/>
      </w:r>
      <w:r>
        <w:rPr>
          <w:rFonts w:hint="eastAsia" w:ascii="宋体" w:hAnsi="宋体" w:eastAsia="宋体" w:cs="宋体"/>
          <w:i w:val="0"/>
          <w:iCs w:val="0"/>
          <w:sz w:val="24"/>
          <w:szCs w:val="24"/>
          <w:highlight w:val="none"/>
        </w:rPr>
        <w:t>三、</w:t>
      </w:r>
      <w:r>
        <w:rPr>
          <w:rFonts w:hint="eastAsia" w:ascii="宋体" w:hAnsi="宋体" w:eastAsia="宋体" w:cs="宋体"/>
          <w:i w:val="0"/>
          <w:iCs w:val="0"/>
          <w:sz w:val="24"/>
          <w:szCs w:val="24"/>
          <w:highlight w:val="none"/>
          <w:lang w:eastAsia="zh-CN"/>
        </w:rPr>
        <w:t>具有履行合同所必需的设备和专业技术能力</w:t>
      </w:r>
      <w:r>
        <w:rPr>
          <w:rFonts w:hint="eastAsia" w:ascii="宋体" w:hAnsi="宋体" w:eastAsia="宋体" w:cs="宋体"/>
          <w:i w:val="0"/>
          <w:iCs w:val="0"/>
          <w:sz w:val="24"/>
          <w:szCs w:val="24"/>
        </w:rPr>
        <w:tab/>
      </w:r>
      <w:r>
        <w:rPr>
          <w:rFonts w:hint="eastAsia" w:ascii="宋体" w:hAnsi="宋体" w:eastAsia="宋体" w:cs="宋体"/>
          <w:i w:val="0"/>
          <w:iCs w:val="0"/>
          <w:sz w:val="24"/>
          <w:szCs w:val="24"/>
        </w:rPr>
        <w:fldChar w:fldCharType="begin"/>
      </w:r>
      <w:r>
        <w:rPr>
          <w:rFonts w:hint="eastAsia" w:ascii="宋体" w:hAnsi="宋体" w:eastAsia="宋体" w:cs="宋体"/>
          <w:i w:val="0"/>
          <w:iCs w:val="0"/>
          <w:sz w:val="24"/>
          <w:szCs w:val="24"/>
        </w:rPr>
        <w:instrText xml:space="preserve"> PAGEREF _Toc29703 \h </w:instrText>
      </w:r>
      <w:r>
        <w:rPr>
          <w:rFonts w:hint="eastAsia" w:ascii="宋体" w:hAnsi="宋体" w:eastAsia="宋体" w:cs="宋体"/>
          <w:i w:val="0"/>
          <w:iCs w:val="0"/>
          <w:sz w:val="24"/>
          <w:szCs w:val="24"/>
        </w:rPr>
        <w:fldChar w:fldCharType="separate"/>
      </w:r>
      <w:r>
        <w:rPr>
          <w:rFonts w:hint="eastAsia" w:ascii="宋体" w:hAnsi="宋体" w:eastAsia="宋体" w:cs="宋体"/>
          <w:i w:val="0"/>
          <w:iCs w:val="0"/>
          <w:sz w:val="24"/>
          <w:szCs w:val="24"/>
        </w:rPr>
        <w:t>54</w:t>
      </w:r>
      <w:r>
        <w:rPr>
          <w:rFonts w:hint="eastAsia" w:ascii="宋体" w:hAnsi="宋体" w:eastAsia="宋体" w:cs="宋体"/>
          <w:i w:val="0"/>
          <w:iCs w:val="0"/>
          <w:sz w:val="24"/>
          <w:szCs w:val="24"/>
        </w:rPr>
        <w:fldChar w:fldCharType="end"/>
      </w:r>
      <w:r>
        <w:rPr>
          <w:rFonts w:hint="eastAsia" w:ascii="宋体" w:hAnsi="宋体" w:eastAsia="宋体" w:cs="宋体"/>
          <w:bCs/>
          <w:i w:val="0"/>
          <w:iCs w:val="0"/>
          <w:caps/>
          <w:sz w:val="24"/>
          <w:szCs w:val="24"/>
          <w:highlight w:val="none"/>
        </w:rPr>
        <w:fldChar w:fldCharType="end"/>
      </w:r>
    </w:p>
    <w:p w14:paraId="05344581">
      <w:pPr>
        <w:pStyle w:val="14"/>
        <w:keepNext w:val="0"/>
        <w:keepLines w:val="0"/>
        <w:pageBreakBefore w:val="0"/>
        <w:widowControl/>
        <w:tabs>
          <w:tab w:val="right" w:leader="dot" w:pos="9740"/>
        </w:tabs>
        <w:kinsoku/>
        <w:wordWrap/>
        <w:overflowPunct/>
        <w:topLinePunct w:val="0"/>
        <w:autoSpaceDE/>
        <w:autoSpaceDN/>
        <w:bidi w:val="0"/>
        <w:adjustRightInd/>
        <w:snapToGrid/>
        <w:spacing w:line="360" w:lineRule="auto"/>
        <w:textAlignment w:val="auto"/>
        <w:rPr>
          <w:rFonts w:hint="eastAsia" w:ascii="宋体" w:hAnsi="宋体" w:eastAsia="宋体" w:cs="宋体"/>
          <w:i w:val="0"/>
          <w:iCs w:val="0"/>
          <w:sz w:val="24"/>
          <w:szCs w:val="24"/>
        </w:rPr>
      </w:pPr>
      <w:r>
        <w:rPr>
          <w:rFonts w:hint="eastAsia" w:ascii="宋体" w:hAnsi="宋体" w:eastAsia="宋体" w:cs="宋体"/>
          <w:bCs/>
          <w:i w:val="0"/>
          <w:iCs w:val="0"/>
          <w:caps/>
          <w:sz w:val="24"/>
          <w:szCs w:val="24"/>
          <w:highlight w:val="none"/>
        </w:rPr>
        <w:fldChar w:fldCharType="begin"/>
      </w:r>
      <w:r>
        <w:rPr>
          <w:rFonts w:hint="eastAsia" w:ascii="宋体" w:hAnsi="宋体" w:eastAsia="宋体" w:cs="宋体"/>
          <w:bCs/>
          <w:i w:val="0"/>
          <w:iCs w:val="0"/>
          <w:caps/>
          <w:sz w:val="24"/>
          <w:szCs w:val="24"/>
          <w:highlight w:val="none"/>
        </w:rPr>
        <w:instrText xml:space="preserve"> HYPERLINK \l _Toc6832 </w:instrText>
      </w:r>
      <w:r>
        <w:rPr>
          <w:rFonts w:hint="eastAsia" w:ascii="宋体" w:hAnsi="宋体" w:eastAsia="宋体" w:cs="宋体"/>
          <w:bCs/>
          <w:i w:val="0"/>
          <w:iCs w:val="0"/>
          <w:caps/>
          <w:sz w:val="24"/>
          <w:szCs w:val="24"/>
          <w:highlight w:val="none"/>
        </w:rPr>
        <w:fldChar w:fldCharType="separate"/>
      </w:r>
      <w:r>
        <w:rPr>
          <w:rFonts w:hint="eastAsia" w:ascii="宋体" w:hAnsi="宋体" w:eastAsia="宋体" w:cs="宋体"/>
          <w:i w:val="0"/>
          <w:iCs w:val="0"/>
          <w:sz w:val="24"/>
          <w:szCs w:val="24"/>
          <w:highlight w:val="none"/>
        </w:rPr>
        <w:t>四、</w:t>
      </w:r>
      <w:r>
        <w:rPr>
          <w:rFonts w:hint="eastAsia" w:ascii="宋体" w:hAnsi="宋体" w:eastAsia="宋体" w:cs="宋体"/>
          <w:i w:val="0"/>
          <w:iCs w:val="0"/>
          <w:sz w:val="24"/>
          <w:szCs w:val="24"/>
          <w:highlight w:val="none"/>
          <w:lang w:eastAsia="zh-CN"/>
        </w:rPr>
        <w:t>有依法缴纳税收和社会保障资金的良好记录</w:t>
      </w:r>
      <w:r>
        <w:rPr>
          <w:rFonts w:hint="eastAsia" w:ascii="宋体" w:hAnsi="宋体" w:eastAsia="宋体" w:cs="宋体"/>
          <w:i w:val="0"/>
          <w:iCs w:val="0"/>
          <w:sz w:val="24"/>
          <w:szCs w:val="24"/>
        </w:rPr>
        <w:tab/>
      </w:r>
      <w:r>
        <w:rPr>
          <w:rFonts w:hint="eastAsia" w:ascii="宋体" w:hAnsi="宋体" w:eastAsia="宋体" w:cs="宋体"/>
          <w:i w:val="0"/>
          <w:iCs w:val="0"/>
          <w:sz w:val="24"/>
          <w:szCs w:val="24"/>
        </w:rPr>
        <w:fldChar w:fldCharType="begin"/>
      </w:r>
      <w:r>
        <w:rPr>
          <w:rFonts w:hint="eastAsia" w:ascii="宋体" w:hAnsi="宋体" w:eastAsia="宋体" w:cs="宋体"/>
          <w:i w:val="0"/>
          <w:iCs w:val="0"/>
          <w:sz w:val="24"/>
          <w:szCs w:val="24"/>
        </w:rPr>
        <w:instrText xml:space="preserve"> PAGEREF _Toc6832 \h </w:instrText>
      </w:r>
      <w:r>
        <w:rPr>
          <w:rFonts w:hint="eastAsia" w:ascii="宋体" w:hAnsi="宋体" w:eastAsia="宋体" w:cs="宋体"/>
          <w:i w:val="0"/>
          <w:iCs w:val="0"/>
          <w:sz w:val="24"/>
          <w:szCs w:val="24"/>
        </w:rPr>
        <w:fldChar w:fldCharType="separate"/>
      </w:r>
      <w:r>
        <w:rPr>
          <w:rFonts w:hint="eastAsia" w:ascii="宋体" w:hAnsi="宋体" w:eastAsia="宋体" w:cs="宋体"/>
          <w:i w:val="0"/>
          <w:iCs w:val="0"/>
          <w:sz w:val="24"/>
          <w:szCs w:val="24"/>
        </w:rPr>
        <w:t>54</w:t>
      </w:r>
      <w:r>
        <w:rPr>
          <w:rFonts w:hint="eastAsia" w:ascii="宋体" w:hAnsi="宋体" w:eastAsia="宋体" w:cs="宋体"/>
          <w:i w:val="0"/>
          <w:iCs w:val="0"/>
          <w:sz w:val="24"/>
          <w:szCs w:val="24"/>
        </w:rPr>
        <w:fldChar w:fldCharType="end"/>
      </w:r>
      <w:r>
        <w:rPr>
          <w:rFonts w:hint="eastAsia" w:ascii="宋体" w:hAnsi="宋体" w:eastAsia="宋体" w:cs="宋体"/>
          <w:bCs/>
          <w:i w:val="0"/>
          <w:iCs w:val="0"/>
          <w:caps/>
          <w:sz w:val="24"/>
          <w:szCs w:val="24"/>
          <w:highlight w:val="none"/>
        </w:rPr>
        <w:fldChar w:fldCharType="end"/>
      </w:r>
    </w:p>
    <w:p w14:paraId="3FE66AD6">
      <w:pPr>
        <w:pStyle w:val="14"/>
        <w:keepNext w:val="0"/>
        <w:keepLines w:val="0"/>
        <w:pageBreakBefore w:val="0"/>
        <w:widowControl/>
        <w:tabs>
          <w:tab w:val="right" w:leader="dot" w:pos="9740"/>
        </w:tabs>
        <w:kinsoku/>
        <w:wordWrap/>
        <w:overflowPunct/>
        <w:topLinePunct w:val="0"/>
        <w:autoSpaceDE/>
        <w:autoSpaceDN/>
        <w:bidi w:val="0"/>
        <w:adjustRightInd/>
        <w:snapToGrid/>
        <w:spacing w:line="360" w:lineRule="auto"/>
        <w:textAlignment w:val="auto"/>
        <w:rPr>
          <w:rFonts w:hint="eastAsia" w:ascii="宋体" w:hAnsi="宋体" w:eastAsia="宋体" w:cs="宋体"/>
          <w:i w:val="0"/>
          <w:iCs w:val="0"/>
          <w:sz w:val="24"/>
          <w:szCs w:val="24"/>
        </w:rPr>
      </w:pPr>
      <w:r>
        <w:rPr>
          <w:rFonts w:hint="eastAsia" w:ascii="宋体" w:hAnsi="宋体" w:eastAsia="宋体" w:cs="宋体"/>
          <w:bCs/>
          <w:i w:val="0"/>
          <w:iCs w:val="0"/>
          <w:caps/>
          <w:sz w:val="24"/>
          <w:szCs w:val="24"/>
          <w:highlight w:val="none"/>
        </w:rPr>
        <w:fldChar w:fldCharType="begin"/>
      </w:r>
      <w:r>
        <w:rPr>
          <w:rFonts w:hint="eastAsia" w:ascii="宋体" w:hAnsi="宋体" w:eastAsia="宋体" w:cs="宋体"/>
          <w:bCs/>
          <w:i w:val="0"/>
          <w:iCs w:val="0"/>
          <w:caps/>
          <w:sz w:val="24"/>
          <w:szCs w:val="24"/>
          <w:highlight w:val="none"/>
        </w:rPr>
        <w:instrText xml:space="preserve"> HYPERLINK \l _Toc29320 </w:instrText>
      </w:r>
      <w:r>
        <w:rPr>
          <w:rFonts w:hint="eastAsia" w:ascii="宋体" w:hAnsi="宋体" w:eastAsia="宋体" w:cs="宋体"/>
          <w:bCs/>
          <w:i w:val="0"/>
          <w:iCs w:val="0"/>
          <w:caps/>
          <w:sz w:val="24"/>
          <w:szCs w:val="24"/>
          <w:highlight w:val="none"/>
        </w:rPr>
        <w:fldChar w:fldCharType="separate"/>
      </w:r>
      <w:r>
        <w:rPr>
          <w:rFonts w:hint="eastAsia" w:ascii="宋体" w:hAnsi="宋体" w:eastAsia="宋体" w:cs="宋体"/>
          <w:i w:val="0"/>
          <w:iCs w:val="0"/>
          <w:sz w:val="24"/>
          <w:szCs w:val="24"/>
          <w:highlight w:val="none"/>
        </w:rPr>
        <w:t>五、参加政府采购活动前三年内，在经营活动中没有重大违法记录</w:t>
      </w:r>
      <w:r>
        <w:rPr>
          <w:rFonts w:hint="eastAsia" w:ascii="宋体" w:hAnsi="宋体" w:eastAsia="宋体" w:cs="宋体"/>
          <w:i w:val="0"/>
          <w:iCs w:val="0"/>
          <w:sz w:val="24"/>
          <w:szCs w:val="24"/>
        </w:rPr>
        <w:tab/>
      </w:r>
      <w:r>
        <w:rPr>
          <w:rFonts w:hint="eastAsia" w:ascii="宋体" w:hAnsi="宋体" w:eastAsia="宋体" w:cs="宋体"/>
          <w:i w:val="0"/>
          <w:iCs w:val="0"/>
          <w:sz w:val="24"/>
          <w:szCs w:val="24"/>
        </w:rPr>
        <w:fldChar w:fldCharType="begin"/>
      </w:r>
      <w:r>
        <w:rPr>
          <w:rFonts w:hint="eastAsia" w:ascii="宋体" w:hAnsi="宋体" w:eastAsia="宋体" w:cs="宋体"/>
          <w:i w:val="0"/>
          <w:iCs w:val="0"/>
          <w:sz w:val="24"/>
          <w:szCs w:val="24"/>
        </w:rPr>
        <w:instrText xml:space="preserve"> PAGEREF _Toc29320 \h </w:instrText>
      </w:r>
      <w:r>
        <w:rPr>
          <w:rFonts w:hint="eastAsia" w:ascii="宋体" w:hAnsi="宋体" w:eastAsia="宋体" w:cs="宋体"/>
          <w:i w:val="0"/>
          <w:iCs w:val="0"/>
          <w:sz w:val="24"/>
          <w:szCs w:val="24"/>
        </w:rPr>
        <w:fldChar w:fldCharType="separate"/>
      </w:r>
      <w:r>
        <w:rPr>
          <w:rFonts w:hint="eastAsia" w:ascii="宋体" w:hAnsi="宋体" w:eastAsia="宋体" w:cs="宋体"/>
          <w:i w:val="0"/>
          <w:iCs w:val="0"/>
          <w:sz w:val="24"/>
          <w:szCs w:val="24"/>
        </w:rPr>
        <w:t>55</w:t>
      </w:r>
      <w:r>
        <w:rPr>
          <w:rFonts w:hint="eastAsia" w:ascii="宋体" w:hAnsi="宋体" w:eastAsia="宋体" w:cs="宋体"/>
          <w:i w:val="0"/>
          <w:iCs w:val="0"/>
          <w:sz w:val="24"/>
          <w:szCs w:val="24"/>
        </w:rPr>
        <w:fldChar w:fldCharType="end"/>
      </w:r>
      <w:r>
        <w:rPr>
          <w:rFonts w:hint="eastAsia" w:ascii="宋体" w:hAnsi="宋体" w:eastAsia="宋体" w:cs="宋体"/>
          <w:bCs/>
          <w:i w:val="0"/>
          <w:iCs w:val="0"/>
          <w:caps/>
          <w:sz w:val="24"/>
          <w:szCs w:val="24"/>
          <w:highlight w:val="none"/>
        </w:rPr>
        <w:fldChar w:fldCharType="end"/>
      </w:r>
    </w:p>
    <w:p w14:paraId="27004C08">
      <w:pPr>
        <w:pStyle w:val="14"/>
        <w:keepNext w:val="0"/>
        <w:keepLines w:val="0"/>
        <w:pageBreakBefore w:val="0"/>
        <w:widowControl/>
        <w:tabs>
          <w:tab w:val="right" w:leader="dot" w:pos="9740"/>
        </w:tabs>
        <w:kinsoku/>
        <w:wordWrap/>
        <w:overflowPunct/>
        <w:topLinePunct w:val="0"/>
        <w:autoSpaceDE/>
        <w:autoSpaceDN/>
        <w:bidi w:val="0"/>
        <w:adjustRightInd/>
        <w:snapToGrid/>
        <w:spacing w:line="360" w:lineRule="auto"/>
        <w:textAlignment w:val="auto"/>
        <w:rPr>
          <w:rFonts w:hint="eastAsia" w:ascii="宋体" w:hAnsi="宋体" w:eastAsia="宋体" w:cs="宋体"/>
          <w:i w:val="0"/>
          <w:iCs w:val="0"/>
          <w:sz w:val="24"/>
          <w:szCs w:val="24"/>
        </w:rPr>
      </w:pPr>
      <w:r>
        <w:rPr>
          <w:rFonts w:hint="eastAsia" w:ascii="宋体" w:hAnsi="宋体" w:eastAsia="宋体" w:cs="宋体"/>
          <w:bCs/>
          <w:i w:val="0"/>
          <w:iCs w:val="0"/>
          <w:caps/>
          <w:sz w:val="24"/>
          <w:szCs w:val="24"/>
          <w:highlight w:val="none"/>
        </w:rPr>
        <w:fldChar w:fldCharType="begin"/>
      </w:r>
      <w:r>
        <w:rPr>
          <w:rFonts w:hint="eastAsia" w:ascii="宋体" w:hAnsi="宋体" w:eastAsia="宋体" w:cs="宋体"/>
          <w:bCs/>
          <w:i w:val="0"/>
          <w:iCs w:val="0"/>
          <w:caps/>
          <w:sz w:val="24"/>
          <w:szCs w:val="24"/>
          <w:highlight w:val="none"/>
        </w:rPr>
        <w:instrText xml:space="preserve"> HYPERLINK \l _Toc21048 </w:instrText>
      </w:r>
      <w:r>
        <w:rPr>
          <w:rFonts w:hint="eastAsia" w:ascii="宋体" w:hAnsi="宋体" w:eastAsia="宋体" w:cs="宋体"/>
          <w:bCs/>
          <w:i w:val="0"/>
          <w:iCs w:val="0"/>
          <w:caps/>
          <w:sz w:val="24"/>
          <w:szCs w:val="24"/>
          <w:highlight w:val="none"/>
        </w:rPr>
        <w:fldChar w:fldCharType="separate"/>
      </w:r>
      <w:r>
        <w:rPr>
          <w:rFonts w:hint="eastAsia" w:ascii="宋体" w:hAnsi="宋体" w:eastAsia="宋体" w:cs="宋体"/>
          <w:i w:val="0"/>
          <w:iCs w:val="0"/>
          <w:sz w:val="24"/>
          <w:szCs w:val="24"/>
          <w:highlight w:val="none"/>
          <w:lang w:val="en-US" w:eastAsia="zh-CN"/>
        </w:rPr>
        <w:t>六</w:t>
      </w:r>
      <w:r>
        <w:rPr>
          <w:rFonts w:hint="eastAsia" w:ascii="宋体" w:hAnsi="宋体" w:eastAsia="宋体" w:cs="宋体"/>
          <w:i w:val="0"/>
          <w:iCs w:val="0"/>
          <w:sz w:val="24"/>
          <w:szCs w:val="24"/>
          <w:highlight w:val="none"/>
        </w:rPr>
        <w:t>、其他</w:t>
      </w:r>
      <w:r>
        <w:rPr>
          <w:rFonts w:hint="eastAsia" w:ascii="宋体" w:hAnsi="宋体" w:eastAsia="宋体" w:cs="宋体"/>
          <w:i w:val="0"/>
          <w:iCs w:val="0"/>
          <w:sz w:val="24"/>
          <w:szCs w:val="24"/>
        </w:rPr>
        <w:tab/>
      </w:r>
      <w:r>
        <w:rPr>
          <w:rFonts w:hint="eastAsia" w:ascii="宋体" w:hAnsi="宋体" w:eastAsia="宋体" w:cs="宋体"/>
          <w:i w:val="0"/>
          <w:iCs w:val="0"/>
          <w:sz w:val="24"/>
          <w:szCs w:val="24"/>
        </w:rPr>
        <w:fldChar w:fldCharType="begin"/>
      </w:r>
      <w:r>
        <w:rPr>
          <w:rFonts w:hint="eastAsia" w:ascii="宋体" w:hAnsi="宋体" w:eastAsia="宋体" w:cs="宋体"/>
          <w:i w:val="0"/>
          <w:iCs w:val="0"/>
          <w:sz w:val="24"/>
          <w:szCs w:val="24"/>
        </w:rPr>
        <w:instrText xml:space="preserve"> PAGEREF _Toc21048 \h </w:instrText>
      </w:r>
      <w:r>
        <w:rPr>
          <w:rFonts w:hint="eastAsia" w:ascii="宋体" w:hAnsi="宋体" w:eastAsia="宋体" w:cs="宋体"/>
          <w:i w:val="0"/>
          <w:iCs w:val="0"/>
          <w:sz w:val="24"/>
          <w:szCs w:val="24"/>
        </w:rPr>
        <w:fldChar w:fldCharType="separate"/>
      </w:r>
      <w:r>
        <w:rPr>
          <w:rFonts w:hint="eastAsia" w:ascii="宋体" w:hAnsi="宋体" w:eastAsia="宋体" w:cs="宋体"/>
          <w:i w:val="0"/>
          <w:iCs w:val="0"/>
          <w:sz w:val="24"/>
          <w:szCs w:val="24"/>
        </w:rPr>
        <w:t>56</w:t>
      </w:r>
      <w:r>
        <w:rPr>
          <w:rFonts w:hint="eastAsia" w:ascii="宋体" w:hAnsi="宋体" w:eastAsia="宋体" w:cs="宋体"/>
          <w:i w:val="0"/>
          <w:iCs w:val="0"/>
          <w:sz w:val="24"/>
          <w:szCs w:val="24"/>
        </w:rPr>
        <w:fldChar w:fldCharType="end"/>
      </w:r>
      <w:r>
        <w:rPr>
          <w:rFonts w:hint="eastAsia" w:ascii="宋体" w:hAnsi="宋体" w:eastAsia="宋体" w:cs="宋体"/>
          <w:bCs/>
          <w:i w:val="0"/>
          <w:iCs w:val="0"/>
          <w:caps/>
          <w:sz w:val="24"/>
          <w:szCs w:val="24"/>
          <w:highlight w:val="none"/>
        </w:rPr>
        <w:fldChar w:fldCharType="end"/>
      </w:r>
    </w:p>
    <w:p w14:paraId="1B957025">
      <w:pPr>
        <w:pStyle w:val="14"/>
        <w:keepNext w:val="0"/>
        <w:keepLines w:val="0"/>
        <w:pageBreakBefore w:val="0"/>
        <w:widowControl/>
        <w:tabs>
          <w:tab w:val="right" w:leader="dot" w:pos="9740"/>
        </w:tabs>
        <w:kinsoku/>
        <w:wordWrap/>
        <w:overflowPunct/>
        <w:topLinePunct w:val="0"/>
        <w:autoSpaceDE/>
        <w:autoSpaceDN/>
        <w:bidi w:val="0"/>
        <w:adjustRightInd/>
        <w:snapToGrid/>
        <w:spacing w:line="360" w:lineRule="auto"/>
        <w:textAlignment w:val="auto"/>
        <w:rPr>
          <w:rFonts w:hint="eastAsia" w:ascii="宋体" w:hAnsi="宋体" w:eastAsia="宋体" w:cs="宋体"/>
          <w:i w:val="0"/>
          <w:iCs w:val="0"/>
          <w:sz w:val="24"/>
          <w:szCs w:val="24"/>
        </w:rPr>
      </w:pPr>
      <w:r>
        <w:rPr>
          <w:rFonts w:hint="eastAsia" w:ascii="宋体" w:hAnsi="宋体" w:eastAsia="宋体" w:cs="宋体"/>
          <w:bCs/>
          <w:i w:val="0"/>
          <w:iCs w:val="0"/>
          <w:caps/>
          <w:sz w:val="24"/>
          <w:szCs w:val="24"/>
          <w:highlight w:val="none"/>
        </w:rPr>
        <w:fldChar w:fldCharType="begin"/>
      </w:r>
      <w:r>
        <w:rPr>
          <w:rFonts w:hint="eastAsia" w:ascii="宋体" w:hAnsi="宋体" w:eastAsia="宋体" w:cs="宋体"/>
          <w:bCs/>
          <w:i w:val="0"/>
          <w:iCs w:val="0"/>
          <w:caps/>
          <w:sz w:val="24"/>
          <w:szCs w:val="24"/>
          <w:highlight w:val="none"/>
        </w:rPr>
        <w:instrText xml:space="preserve"> HYPERLINK \l _Toc23921 </w:instrText>
      </w:r>
      <w:r>
        <w:rPr>
          <w:rFonts w:hint="eastAsia" w:ascii="宋体" w:hAnsi="宋体" w:eastAsia="宋体" w:cs="宋体"/>
          <w:bCs/>
          <w:i w:val="0"/>
          <w:iCs w:val="0"/>
          <w:caps/>
          <w:sz w:val="24"/>
          <w:szCs w:val="24"/>
          <w:highlight w:val="none"/>
        </w:rPr>
        <w:fldChar w:fldCharType="separate"/>
      </w:r>
      <w:r>
        <w:rPr>
          <w:rFonts w:hint="eastAsia" w:ascii="宋体" w:hAnsi="宋体" w:eastAsia="宋体" w:cs="宋体"/>
          <w:bCs/>
          <w:i w:val="0"/>
          <w:iCs w:val="0"/>
          <w:sz w:val="24"/>
          <w:szCs w:val="24"/>
          <w:highlight w:val="none"/>
        </w:rPr>
        <w:t>商务技术部分</w:t>
      </w:r>
      <w:r>
        <w:rPr>
          <w:rFonts w:hint="eastAsia" w:ascii="宋体" w:hAnsi="宋体" w:eastAsia="宋体" w:cs="宋体"/>
          <w:i w:val="0"/>
          <w:iCs w:val="0"/>
          <w:sz w:val="24"/>
          <w:szCs w:val="24"/>
        </w:rPr>
        <w:tab/>
      </w:r>
      <w:r>
        <w:rPr>
          <w:rFonts w:hint="eastAsia" w:ascii="宋体" w:hAnsi="宋体" w:eastAsia="宋体" w:cs="宋体"/>
          <w:i w:val="0"/>
          <w:iCs w:val="0"/>
          <w:sz w:val="24"/>
          <w:szCs w:val="24"/>
        </w:rPr>
        <w:fldChar w:fldCharType="begin"/>
      </w:r>
      <w:r>
        <w:rPr>
          <w:rFonts w:hint="eastAsia" w:ascii="宋体" w:hAnsi="宋体" w:eastAsia="宋体" w:cs="宋体"/>
          <w:i w:val="0"/>
          <w:iCs w:val="0"/>
          <w:sz w:val="24"/>
          <w:szCs w:val="24"/>
        </w:rPr>
        <w:instrText xml:space="preserve"> PAGEREF _Toc23921 \h </w:instrText>
      </w:r>
      <w:r>
        <w:rPr>
          <w:rFonts w:hint="eastAsia" w:ascii="宋体" w:hAnsi="宋体" w:eastAsia="宋体" w:cs="宋体"/>
          <w:i w:val="0"/>
          <w:iCs w:val="0"/>
          <w:sz w:val="24"/>
          <w:szCs w:val="24"/>
        </w:rPr>
        <w:fldChar w:fldCharType="separate"/>
      </w:r>
      <w:r>
        <w:rPr>
          <w:rFonts w:hint="eastAsia" w:ascii="宋体" w:hAnsi="宋体" w:eastAsia="宋体" w:cs="宋体"/>
          <w:i w:val="0"/>
          <w:iCs w:val="0"/>
          <w:sz w:val="24"/>
          <w:szCs w:val="24"/>
        </w:rPr>
        <w:t>57</w:t>
      </w:r>
      <w:r>
        <w:rPr>
          <w:rFonts w:hint="eastAsia" w:ascii="宋体" w:hAnsi="宋体" w:eastAsia="宋体" w:cs="宋体"/>
          <w:i w:val="0"/>
          <w:iCs w:val="0"/>
          <w:sz w:val="24"/>
          <w:szCs w:val="24"/>
        </w:rPr>
        <w:fldChar w:fldCharType="end"/>
      </w:r>
      <w:r>
        <w:rPr>
          <w:rFonts w:hint="eastAsia" w:ascii="宋体" w:hAnsi="宋体" w:eastAsia="宋体" w:cs="宋体"/>
          <w:bCs/>
          <w:i w:val="0"/>
          <w:iCs w:val="0"/>
          <w:caps/>
          <w:sz w:val="24"/>
          <w:szCs w:val="24"/>
          <w:highlight w:val="none"/>
        </w:rPr>
        <w:fldChar w:fldCharType="end"/>
      </w:r>
    </w:p>
    <w:p w14:paraId="07E62FD4">
      <w:pPr>
        <w:pStyle w:val="14"/>
        <w:keepNext w:val="0"/>
        <w:keepLines w:val="0"/>
        <w:pageBreakBefore w:val="0"/>
        <w:widowControl/>
        <w:tabs>
          <w:tab w:val="right" w:leader="dot" w:pos="9740"/>
        </w:tabs>
        <w:kinsoku/>
        <w:wordWrap/>
        <w:overflowPunct/>
        <w:topLinePunct w:val="0"/>
        <w:autoSpaceDE/>
        <w:autoSpaceDN/>
        <w:bidi w:val="0"/>
        <w:adjustRightInd/>
        <w:snapToGrid/>
        <w:spacing w:line="360" w:lineRule="auto"/>
        <w:textAlignment w:val="auto"/>
        <w:rPr>
          <w:rFonts w:hint="eastAsia" w:ascii="宋体" w:hAnsi="宋体" w:eastAsia="宋体" w:cs="宋体"/>
          <w:i w:val="0"/>
          <w:iCs w:val="0"/>
          <w:sz w:val="24"/>
          <w:szCs w:val="24"/>
        </w:rPr>
      </w:pPr>
      <w:r>
        <w:rPr>
          <w:rFonts w:hint="eastAsia" w:ascii="宋体" w:hAnsi="宋体" w:eastAsia="宋体" w:cs="宋体"/>
          <w:bCs/>
          <w:i w:val="0"/>
          <w:iCs w:val="0"/>
          <w:caps/>
          <w:sz w:val="24"/>
          <w:szCs w:val="24"/>
          <w:highlight w:val="none"/>
        </w:rPr>
        <w:fldChar w:fldCharType="begin"/>
      </w:r>
      <w:r>
        <w:rPr>
          <w:rFonts w:hint="eastAsia" w:ascii="宋体" w:hAnsi="宋体" w:eastAsia="宋体" w:cs="宋体"/>
          <w:bCs/>
          <w:i w:val="0"/>
          <w:iCs w:val="0"/>
          <w:caps/>
          <w:sz w:val="24"/>
          <w:szCs w:val="24"/>
          <w:highlight w:val="none"/>
        </w:rPr>
        <w:instrText xml:space="preserve"> HYPERLINK \l _Toc23832 </w:instrText>
      </w:r>
      <w:r>
        <w:rPr>
          <w:rFonts w:hint="eastAsia" w:ascii="宋体" w:hAnsi="宋体" w:eastAsia="宋体" w:cs="宋体"/>
          <w:bCs/>
          <w:i w:val="0"/>
          <w:iCs w:val="0"/>
          <w:caps/>
          <w:sz w:val="24"/>
          <w:szCs w:val="24"/>
          <w:highlight w:val="none"/>
        </w:rPr>
        <w:fldChar w:fldCharType="separate"/>
      </w:r>
      <w:r>
        <w:rPr>
          <w:rFonts w:hint="eastAsia" w:ascii="宋体" w:hAnsi="宋体" w:eastAsia="宋体" w:cs="宋体"/>
          <w:i w:val="0"/>
          <w:iCs w:val="0"/>
          <w:sz w:val="24"/>
          <w:szCs w:val="24"/>
          <w:highlight w:val="none"/>
        </w:rPr>
        <w:t>一、开标一览表</w:t>
      </w:r>
      <w:r>
        <w:rPr>
          <w:rFonts w:hint="eastAsia" w:ascii="宋体" w:hAnsi="宋体" w:eastAsia="宋体" w:cs="宋体"/>
          <w:i w:val="0"/>
          <w:iCs w:val="0"/>
          <w:sz w:val="24"/>
          <w:szCs w:val="24"/>
        </w:rPr>
        <w:tab/>
      </w:r>
      <w:r>
        <w:rPr>
          <w:rFonts w:hint="eastAsia" w:ascii="宋体" w:hAnsi="宋体" w:eastAsia="宋体" w:cs="宋体"/>
          <w:i w:val="0"/>
          <w:iCs w:val="0"/>
          <w:sz w:val="24"/>
          <w:szCs w:val="24"/>
        </w:rPr>
        <w:fldChar w:fldCharType="begin"/>
      </w:r>
      <w:r>
        <w:rPr>
          <w:rFonts w:hint="eastAsia" w:ascii="宋体" w:hAnsi="宋体" w:eastAsia="宋体" w:cs="宋体"/>
          <w:i w:val="0"/>
          <w:iCs w:val="0"/>
          <w:sz w:val="24"/>
          <w:szCs w:val="24"/>
        </w:rPr>
        <w:instrText xml:space="preserve"> PAGEREF _Toc23832 \h </w:instrText>
      </w:r>
      <w:r>
        <w:rPr>
          <w:rFonts w:hint="eastAsia" w:ascii="宋体" w:hAnsi="宋体" w:eastAsia="宋体" w:cs="宋体"/>
          <w:i w:val="0"/>
          <w:iCs w:val="0"/>
          <w:sz w:val="24"/>
          <w:szCs w:val="24"/>
        </w:rPr>
        <w:fldChar w:fldCharType="separate"/>
      </w:r>
      <w:r>
        <w:rPr>
          <w:rFonts w:hint="eastAsia" w:ascii="宋体" w:hAnsi="宋体" w:eastAsia="宋体" w:cs="宋体"/>
          <w:i w:val="0"/>
          <w:iCs w:val="0"/>
          <w:sz w:val="24"/>
          <w:szCs w:val="24"/>
        </w:rPr>
        <w:t>58</w:t>
      </w:r>
      <w:r>
        <w:rPr>
          <w:rFonts w:hint="eastAsia" w:ascii="宋体" w:hAnsi="宋体" w:eastAsia="宋体" w:cs="宋体"/>
          <w:i w:val="0"/>
          <w:iCs w:val="0"/>
          <w:sz w:val="24"/>
          <w:szCs w:val="24"/>
        </w:rPr>
        <w:fldChar w:fldCharType="end"/>
      </w:r>
      <w:r>
        <w:rPr>
          <w:rFonts w:hint="eastAsia" w:ascii="宋体" w:hAnsi="宋体" w:eastAsia="宋体" w:cs="宋体"/>
          <w:bCs/>
          <w:i w:val="0"/>
          <w:iCs w:val="0"/>
          <w:caps/>
          <w:sz w:val="24"/>
          <w:szCs w:val="24"/>
          <w:highlight w:val="none"/>
        </w:rPr>
        <w:fldChar w:fldCharType="end"/>
      </w:r>
    </w:p>
    <w:p w14:paraId="5A51C9B9">
      <w:pPr>
        <w:pStyle w:val="14"/>
        <w:keepNext w:val="0"/>
        <w:keepLines w:val="0"/>
        <w:pageBreakBefore w:val="0"/>
        <w:widowControl/>
        <w:tabs>
          <w:tab w:val="right" w:leader="dot" w:pos="9740"/>
        </w:tabs>
        <w:kinsoku/>
        <w:wordWrap/>
        <w:overflowPunct/>
        <w:topLinePunct w:val="0"/>
        <w:autoSpaceDE/>
        <w:autoSpaceDN/>
        <w:bidi w:val="0"/>
        <w:adjustRightInd/>
        <w:snapToGrid/>
        <w:spacing w:line="360" w:lineRule="auto"/>
        <w:textAlignment w:val="auto"/>
        <w:rPr>
          <w:rFonts w:hint="eastAsia" w:ascii="宋体" w:hAnsi="宋体" w:eastAsia="宋体" w:cs="宋体"/>
          <w:i w:val="0"/>
          <w:iCs w:val="0"/>
          <w:sz w:val="24"/>
          <w:szCs w:val="24"/>
        </w:rPr>
      </w:pPr>
      <w:r>
        <w:rPr>
          <w:rFonts w:hint="eastAsia" w:ascii="宋体" w:hAnsi="宋体" w:eastAsia="宋体" w:cs="宋体"/>
          <w:bCs/>
          <w:i w:val="0"/>
          <w:iCs w:val="0"/>
          <w:caps/>
          <w:sz w:val="24"/>
          <w:szCs w:val="24"/>
          <w:highlight w:val="none"/>
        </w:rPr>
        <w:fldChar w:fldCharType="begin"/>
      </w:r>
      <w:r>
        <w:rPr>
          <w:rFonts w:hint="eastAsia" w:ascii="宋体" w:hAnsi="宋体" w:eastAsia="宋体" w:cs="宋体"/>
          <w:bCs/>
          <w:i w:val="0"/>
          <w:iCs w:val="0"/>
          <w:caps/>
          <w:sz w:val="24"/>
          <w:szCs w:val="24"/>
          <w:highlight w:val="none"/>
        </w:rPr>
        <w:instrText xml:space="preserve"> HYPERLINK \l _Toc22942 </w:instrText>
      </w:r>
      <w:r>
        <w:rPr>
          <w:rFonts w:hint="eastAsia" w:ascii="宋体" w:hAnsi="宋体" w:eastAsia="宋体" w:cs="宋体"/>
          <w:bCs/>
          <w:i w:val="0"/>
          <w:iCs w:val="0"/>
          <w:caps/>
          <w:sz w:val="24"/>
          <w:szCs w:val="24"/>
          <w:highlight w:val="none"/>
        </w:rPr>
        <w:fldChar w:fldCharType="separate"/>
      </w:r>
      <w:r>
        <w:rPr>
          <w:rFonts w:hint="eastAsia" w:ascii="宋体" w:hAnsi="宋体" w:eastAsia="宋体" w:cs="宋体"/>
          <w:i w:val="0"/>
          <w:iCs w:val="0"/>
          <w:sz w:val="24"/>
          <w:szCs w:val="24"/>
          <w:highlight w:val="none"/>
        </w:rPr>
        <w:t>二、投标函</w:t>
      </w:r>
      <w:r>
        <w:rPr>
          <w:rFonts w:hint="eastAsia" w:ascii="宋体" w:hAnsi="宋体" w:eastAsia="宋体" w:cs="宋体"/>
          <w:i w:val="0"/>
          <w:iCs w:val="0"/>
          <w:sz w:val="24"/>
          <w:szCs w:val="24"/>
        </w:rPr>
        <w:tab/>
      </w:r>
      <w:r>
        <w:rPr>
          <w:rFonts w:hint="eastAsia" w:ascii="宋体" w:hAnsi="宋体" w:eastAsia="宋体" w:cs="宋体"/>
          <w:i w:val="0"/>
          <w:iCs w:val="0"/>
          <w:sz w:val="24"/>
          <w:szCs w:val="24"/>
        </w:rPr>
        <w:fldChar w:fldCharType="begin"/>
      </w:r>
      <w:r>
        <w:rPr>
          <w:rFonts w:hint="eastAsia" w:ascii="宋体" w:hAnsi="宋体" w:eastAsia="宋体" w:cs="宋体"/>
          <w:i w:val="0"/>
          <w:iCs w:val="0"/>
          <w:sz w:val="24"/>
          <w:szCs w:val="24"/>
        </w:rPr>
        <w:instrText xml:space="preserve"> PAGEREF _Toc22942 \h </w:instrText>
      </w:r>
      <w:r>
        <w:rPr>
          <w:rFonts w:hint="eastAsia" w:ascii="宋体" w:hAnsi="宋体" w:eastAsia="宋体" w:cs="宋体"/>
          <w:i w:val="0"/>
          <w:iCs w:val="0"/>
          <w:sz w:val="24"/>
          <w:szCs w:val="24"/>
        </w:rPr>
        <w:fldChar w:fldCharType="separate"/>
      </w:r>
      <w:r>
        <w:rPr>
          <w:rFonts w:hint="eastAsia" w:ascii="宋体" w:hAnsi="宋体" w:eastAsia="宋体" w:cs="宋体"/>
          <w:i w:val="0"/>
          <w:iCs w:val="0"/>
          <w:sz w:val="24"/>
          <w:szCs w:val="24"/>
        </w:rPr>
        <w:t>59</w:t>
      </w:r>
      <w:r>
        <w:rPr>
          <w:rFonts w:hint="eastAsia" w:ascii="宋体" w:hAnsi="宋体" w:eastAsia="宋体" w:cs="宋体"/>
          <w:i w:val="0"/>
          <w:iCs w:val="0"/>
          <w:sz w:val="24"/>
          <w:szCs w:val="24"/>
        </w:rPr>
        <w:fldChar w:fldCharType="end"/>
      </w:r>
      <w:r>
        <w:rPr>
          <w:rFonts w:hint="eastAsia" w:ascii="宋体" w:hAnsi="宋体" w:eastAsia="宋体" w:cs="宋体"/>
          <w:bCs/>
          <w:i w:val="0"/>
          <w:iCs w:val="0"/>
          <w:caps/>
          <w:sz w:val="24"/>
          <w:szCs w:val="24"/>
          <w:highlight w:val="none"/>
        </w:rPr>
        <w:fldChar w:fldCharType="end"/>
      </w:r>
    </w:p>
    <w:p w14:paraId="580646C0">
      <w:pPr>
        <w:pStyle w:val="14"/>
        <w:keepNext w:val="0"/>
        <w:keepLines w:val="0"/>
        <w:pageBreakBefore w:val="0"/>
        <w:widowControl/>
        <w:tabs>
          <w:tab w:val="right" w:leader="dot" w:pos="9740"/>
        </w:tabs>
        <w:kinsoku/>
        <w:wordWrap/>
        <w:overflowPunct/>
        <w:topLinePunct w:val="0"/>
        <w:autoSpaceDE/>
        <w:autoSpaceDN/>
        <w:bidi w:val="0"/>
        <w:adjustRightInd/>
        <w:snapToGrid/>
        <w:spacing w:line="360" w:lineRule="auto"/>
        <w:textAlignment w:val="auto"/>
        <w:rPr>
          <w:rFonts w:hint="eastAsia" w:ascii="宋体" w:hAnsi="宋体" w:eastAsia="宋体" w:cs="宋体"/>
          <w:i w:val="0"/>
          <w:iCs w:val="0"/>
          <w:sz w:val="24"/>
          <w:szCs w:val="24"/>
        </w:rPr>
      </w:pPr>
      <w:r>
        <w:rPr>
          <w:rFonts w:hint="eastAsia" w:ascii="宋体" w:hAnsi="宋体" w:eastAsia="宋体" w:cs="宋体"/>
          <w:bCs/>
          <w:i w:val="0"/>
          <w:iCs w:val="0"/>
          <w:caps/>
          <w:sz w:val="24"/>
          <w:szCs w:val="24"/>
          <w:highlight w:val="none"/>
        </w:rPr>
        <w:fldChar w:fldCharType="begin"/>
      </w:r>
      <w:r>
        <w:rPr>
          <w:rFonts w:hint="eastAsia" w:ascii="宋体" w:hAnsi="宋体" w:eastAsia="宋体" w:cs="宋体"/>
          <w:bCs/>
          <w:i w:val="0"/>
          <w:iCs w:val="0"/>
          <w:caps/>
          <w:sz w:val="24"/>
          <w:szCs w:val="24"/>
          <w:highlight w:val="none"/>
        </w:rPr>
        <w:instrText xml:space="preserve"> HYPERLINK \l _Toc4934 </w:instrText>
      </w:r>
      <w:r>
        <w:rPr>
          <w:rFonts w:hint="eastAsia" w:ascii="宋体" w:hAnsi="宋体" w:eastAsia="宋体" w:cs="宋体"/>
          <w:bCs/>
          <w:i w:val="0"/>
          <w:iCs w:val="0"/>
          <w:caps/>
          <w:sz w:val="24"/>
          <w:szCs w:val="24"/>
          <w:highlight w:val="none"/>
        </w:rPr>
        <w:fldChar w:fldCharType="separate"/>
      </w:r>
      <w:r>
        <w:rPr>
          <w:rFonts w:hint="eastAsia" w:ascii="宋体" w:hAnsi="宋体" w:eastAsia="宋体" w:cs="宋体"/>
          <w:bCs/>
          <w:i w:val="0"/>
          <w:iCs w:val="0"/>
          <w:sz w:val="24"/>
          <w:szCs w:val="24"/>
          <w:highlight w:val="none"/>
        </w:rPr>
        <w:t>三、法定代表人(单位负责人)身份证明书</w:t>
      </w:r>
      <w:r>
        <w:rPr>
          <w:rFonts w:hint="eastAsia" w:ascii="宋体" w:hAnsi="宋体" w:eastAsia="宋体" w:cs="宋体"/>
          <w:i w:val="0"/>
          <w:iCs w:val="0"/>
          <w:sz w:val="24"/>
          <w:szCs w:val="24"/>
        </w:rPr>
        <w:tab/>
      </w:r>
      <w:r>
        <w:rPr>
          <w:rFonts w:hint="eastAsia" w:ascii="宋体" w:hAnsi="宋体" w:eastAsia="宋体" w:cs="宋体"/>
          <w:i w:val="0"/>
          <w:iCs w:val="0"/>
          <w:sz w:val="24"/>
          <w:szCs w:val="24"/>
        </w:rPr>
        <w:fldChar w:fldCharType="begin"/>
      </w:r>
      <w:r>
        <w:rPr>
          <w:rFonts w:hint="eastAsia" w:ascii="宋体" w:hAnsi="宋体" w:eastAsia="宋体" w:cs="宋体"/>
          <w:i w:val="0"/>
          <w:iCs w:val="0"/>
          <w:sz w:val="24"/>
          <w:szCs w:val="24"/>
        </w:rPr>
        <w:instrText xml:space="preserve"> PAGEREF _Toc4934 \h </w:instrText>
      </w:r>
      <w:r>
        <w:rPr>
          <w:rFonts w:hint="eastAsia" w:ascii="宋体" w:hAnsi="宋体" w:eastAsia="宋体" w:cs="宋体"/>
          <w:i w:val="0"/>
          <w:iCs w:val="0"/>
          <w:sz w:val="24"/>
          <w:szCs w:val="24"/>
        </w:rPr>
        <w:fldChar w:fldCharType="separate"/>
      </w:r>
      <w:r>
        <w:rPr>
          <w:rFonts w:hint="eastAsia" w:ascii="宋体" w:hAnsi="宋体" w:eastAsia="宋体" w:cs="宋体"/>
          <w:i w:val="0"/>
          <w:iCs w:val="0"/>
          <w:sz w:val="24"/>
          <w:szCs w:val="24"/>
        </w:rPr>
        <w:t>60</w:t>
      </w:r>
      <w:r>
        <w:rPr>
          <w:rFonts w:hint="eastAsia" w:ascii="宋体" w:hAnsi="宋体" w:eastAsia="宋体" w:cs="宋体"/>
          <w:i w:val="0"/>
          <w:iCs w:val="0"/>
          <w:sz w:val="24"/>
          <w:szCs w:val="24"/>
        </w:rPr>
        <w:fldChar w:fldCharType="end"/>
      </w:r>
      <w:r>
        <w:rPr>
          <w:rFonts w:hint="eastAsia" w:ascii="宋体" w:hAnsi="宋体" w:eastAsia="宋体" w:cs="宋体"/>
          <w:bCs/>
          <w:i w:val="0"/>
          <w:iCs w:val="0"/>
          <w:caps/>
          <w:sz w:val="24"/>
          <w:szCs w:val="24"/>
          <w:highlight w:val="none"/>
        </w:rPr>
        <w:fldChar w:fldCharType="end"/>
      </w:r>
    </w:p>
    <w:p w14:paraId="68011140">
      <w:pPr>
        <w:pStyle w:val="14"/>
        <w:keepNext w:val="0"/>
        <w:keepLines w:val="0"/>
        <w:pageBreakBefore w:val="0"/>
        <w:widowControl/>
        <w:tabs>
          <w:tab w:val="right" w:leader="dot" w:pos="9740"/>
        </w:tabs>
        <w:kinsoku/>
        <w:wordWrap/>
        <w:overflowPunct/>
        <w:topLinePunct w:val="0"/>
        <w:autoSpaceDE/>
        <w:autoSpaceDN/>
        <w:bidi w:val="0"/>
        <w:adjustRightInd/>
        <w:snapToGrid/>
        <w:spacing w:line="360" w:lineRule="auto"/>
        <w:textAlignment w:val="auto"/>
        <w:rPr>
          <w:rFonts w:hint="eastAsia" w:ascii="宋体" w:hAnsi="宋体" w:eastAsia="宋体" w:cs="宋体"/>
          <w:i w:val="0"/>
          <w:iCs w:val="0"/>
          <w:sz w:val="24"/>
          <w:szCs w:val="24"/>
        </w:rPr>
      </w:pPr>
      <w:r>
        <w:rPr>
          <w:rFonts w:hint="eastAsia" w:ascii="宋体" w:hAnsi="宋体" w:eastAsia="宋体" w:cs="宋体"/>
          <w:bCs/>
          <w:i w:val="0"/>
          <w:iCs w:val="0"/>
          <w:caps/>
          <w:sz w:val="24"/>
          <w:szCs w:val="24"/>
          <w:highlight w:val="none"/>
        </w:rPr>
        <w:fldChar w:fldCharType="begin"/>
      </w:r>
      <w:r>
        <w:rPr>
          <w:rFonts w:hint="eastAsia" w:ascii="宋体" w:hAnsi="宋体" w:eastAsia="宋体" w:cs="宋体"/>
          <w:bCs/>
          <w:i w:val="0"/>
          <w:iCs w:val="0"/>
          <w:caps/>
          <w:sz w:val="24"/>
          <w:szCs w:val="24"/>
          <w:highlight w:val="none"/>
        </w:rPr>
        <w:instrText xml:space="preserve"> HYPERLINK \l _Toc13202 </w:instrText>
      </w:r>
      <w:r>
        <w:rPr>
          <w:rFonts w:hint="eastAsia" w:ascii="宋体" w:hAnsi="宋体" w:eastAsia="宋体" w:cs="宋体"/>
          <w:bCs/>
          <w:i w:val="0"/>
          <w:iCs w:val="0"/>
          <w:caps/>
          <w:sz w:val="24"/>
          <w:szCs w:val="24"/>
          <w:highlight w:val="none"/>
        </w:rPr>
        <w:fldChar w:fldCharType="separate"/>
      </w:r>
      <w:r>
        <w:rPr>
          <w:rFonts w:hint="eastAsia" w:ascii="宋体" w:hAnsi="宋体" w:eastAsia="宋体" w:cs="宋体"/>
          <w:i w:val="0"/>
          <w:iCs w:val="0"/>
          <w:sz w:val="24"/>
          <w:szCs w:val="24"/>
          <w:highlight w:val="none"/>
        </w:rPr>
        <w:t>四、授权委托书</w:t>
      </w:r>
      <w:r>
        <w:rPr>
          <w:rFonts w:hint="eastAsia" w:ascii="宋体" w:hAnsi="宋体" w:eastAsia="宋体" w:cs="宋体"/>
          <w:i w:val="0"/>
          <w:iCs w:val="0"/>
          <w:sz w:val="24"/>
          <w:szCs w:val="24"/>
        </w:rPr>
        <w:tab/>
      </w:r>
      <w:r>
        <w:rPr>
          <w:rFonts w:hint="eastAsia" w:ascii="宋体" w:hAnsi="宋体" w:eastAsia="宋体" w:cs="宋体"/>
          <w:i w:val="0"/>
          <w:iCs w:val="0"/>
          <w:sz w:val="24"/>
          <w:szCs w:val="24"/>
        </w:rPr>
        <w:fldChar w:fldCharType="begin"/>
      </w:r>
      <w:r>
        <w:rPr>
          <w:rFonts w:hint="eastAsia" w:ascii="宋体" w:hAnsi="宋体" w:eastAsia="宋体" w:cs="宋体"/>
          <w:i w:val="0"/>
          <w:iCs w:val="0"/>
          <w:sz w:val="24"/>
          <w:szCs w:val="24"/>
        </w:rPr>
        <w:instrText xml:space="preserve"> PAGEREF _Toc13202 \h </w:instrText>
      </w:r>
      <w:r>
        <w:rPr>
          <w:rFonts w:hint="eastAsia" w:ascii="宋体" w:hAnsi="宋体" w:eastAsia="宋体" w:cs="宋体"/>
          <w:i w:val="0"/>
          <w:iCs w:val="0"/>
          <w:sz w:val="24"/>
          <w:szCs w:val="24"/>
        </w:rPr>
        <w:fldChar w:fldCharType="separate"/>
      </w:r>
      <w:r>
        <w:rPr>
          <w:rFonts w:hint="eastAsia" w:ascii="宋体" w:hAnsi="宋体" w:eastAsia="宋体" w:cs="宋体"/>
          <w:i w:val="0"/>
          <w:iCs w:val="0"/>
          <w:sz w:val="24"/>
          <w:szCs w:val="24"/>
        </w:rPr>
        <w:t>61</w:t>
      </w:r>
      <w:r>
        <w:rPr>
          <w:rFonts w:hint="eastAsia" w:ascii="宋体" w:hAnsi="宋体" w:eastAsia="宋体" w:cs="宋体"/>
          <w:i w:val="0"/>
          <w:iCs w:val="0"/>
          <w:sz w:val="24"/>
          <w:szCs w:val="24"/>
        </w:rPr>
        <w:fldChar w:fldCharType="end"/>
      </w:r>
      <w:r>
        <w:rPr>
          <w:rFonts w:hint="eastAsia" w:ascii="宋体" w:hAnsi="宋体" w:eastAsia="宋体" w:cs="宋体"/>
          <w:bCs/>
          <w:i w:val="0"/>
          <w:iCs w:val="0"/>
          <w:caps/>
          <w:sz w:val="24"/>
          <w:szCs w:val="24"/>
          <w:highlight w:val="none"/>
        </w:rPr>
        <w:fldChar w:fldCharType="end"/>
      </w:r>
    </w:p>
    <w:p w14:paraId="0ACA2A99">
      <w:pPr>
        <w:pStyle w:val="14"/>
        <w:keepNext w:val="0"/>
        <w:keepLines w:val="0"/>
        <w:pageBreakBefore w:val="0"/>
        <w:widowControl/>
        <w:tabs>
          <w:tab w:val="right" w:leader="dot" w:pos="9740"/>
        </w:tabs>
        <w:kinsoku/>
        <w:wordWrap/>
        <w:overflowPunct/>
        <w:topLinePunct w:val="0"/>
        <w:autoSpaceDE/>
        <w:autoSpaceDN/>
        <w:bidi w:val="0"/>
        <w:adjustRightInd/>
        <w:snapToGrid/>
        <w:spacing w:line="360" w:lineRule="auto"/>
        <w:textAlignment w:val="auto"/>
        <w:rPr>
          <w:rFonts w:hint="eastAsia" w:ascii="宋体" w:hAnsi="宋体" w:eastAsia="宋体" w:cs="宋体"/>
          <w:i w:val="0"/>
          <w:iCs w:val="0"/>
          <w:sz w:val="24"/>
          <w:szCs w:val="24"/>
        </w:rPr>
      </w:pPr>
      <w:r>
        <w:rPr>
          <w:rFonts w:hint="eastAsia" w:ascii="宋体" w:hAnsi="宋体" w:eastAsia="宋体" w:cs="宋体"/>
          <w:bCs/>
          <w:i w:val="0"/>
          <w:iCs w:val="0"/>
          <w:caps/>
          <w:sz w:val="24"/>
          <w:szCs w:val="24"/>
          <w:highlight w:val="none"/>
        </w:rPr>
        <w:fldChar w:fldCharType="begin"/>
      </w:r>
      <w:r>
        <w:rPr>
          <w:rFonts w:hint="eastAsia" w:ascii="宋体" w:hAnsi="宋体" w:eastAsia="宋体" w:cs="宋体"/>
          <w:bCs/>
          <w:i w:val="0"/>
          <w:iCs w:val="0"/>
          <w:caps/>
          <w:sz w:val="24"/>
          <w:szCs w:val="24"/>
          <w:highlight w:val="none"/>
        </w:rPr>
        <w:instrText xml:space="preserve"> HYPERLINK \l _Toc6680 </w:instrText>
      </w:r>
      <w:r>
        <w:rPr>
          <w:rFonts w:hint="eastAsia" w:ascii="宋体" w:hAnsi="宋体" w:eastAsia="宋体" w:cs="宋体"/>
          <w:bCs/>
          <w:i w:val="0"/>
          <w:iCs w:val="0"/>
          <w:caps/>
          <w:sz w:val="24"/>
          <w:szCs w:val="24"/>
          <w:highlight w:val="none"/>
        </w:rPr>
        <w:fldChar w:fldCharType="separate"/>
      </w:r>
      <w:r>
        <w:rPr>
          <w:rFonts w:hint="eastAsia" w:ascii="宋体" w:hAnsi="宋体" w:eastAsia="宋体" w:cs="宋体"/>
          <w:i w:val="0"/>
          <w:iCs w:val="0"/>
          <w:sz w:val="24"/>
          <w:szCs w:val="24"/>
        </w:rPr>
        <w:t>五、投标人基本情况表</w:t>
      </w:r>
      <w:r>
        <w:rPr>
          <w:rFonts w:hint="eastAsia" w:ascii="宋体" w:hAnsi="宋体" w:eastAsia="宋体" w:cs="宋体"/>
          <w:i w:val="0"/>
          <w:iCs w:val="0"/>
          <w:sz w:val="24"/>
          <w:szCs w:val="24"/>
        </w:rPr>
        <w:tab/>
      </w:r>
      <w:r>
        <w:rPr>
          <w:rFonts w:hint="eastAsia" w:ascii="宋体" w:hAnsi="宋体" w:eastAsia="宋体" w:cs="宋体"/>
          <w:i w:val="0"/>
          <w:iCs w:val="0"/>
          <w:sz w:val="24"/>
          <w:szCs w:val="24"/>
        </w:rPr>
        <w:fldChar w:fldCharType="begin"/>
      </w:r>
      <w:r>
        <w:rPr>
          <w:rFonts w:hint="eastAsia" w:ascii="宋体" w:hAnsi="宋体" w:eastAsia="宋体" w:cs="宋体"/>
          <w:i w:val="0"/>
          <w:iCs w:val="0"/>
          <w:sz w:val="24"/>
          <w:szCs w:val="24"/>
        </w:rPr>
        <w:instrText xml:space="preserve"> PAGEREF _Toc6680 \h </w:instrText>
      </w:r>
      <w:r>
        <w:rPr>
          <w:rFonts w:hint="eastAsia" w:ascii="宋体" w:hAnsi="宋体" w:eastAsia="宋体" w:cs="宋体"/>
          <w:i w:val="0"/>
          <w:iCs w:val="0"/>
          <w:sz w:val="24"/>
          <w:szCs w:val="24"/>
        </w:rPr>
        <w:fldChar w:fldCharType="separate"/>
      </w:r>
      <w:r>
        <w:rPr>
          <w:rFonts w:hint="eastAsia" w:ascii="宋体" w:hAnsi="宋体" w:eastAsia="宋体" w:cs="宋体"/>
          <w:i w:val="0"/>
          <w:iCs w:val="0"/>
          <w:sz w:val="24"/>
          <w:szCs w:val="24"/>
        </w:rPr>
        <w:t>62</w:t>
      </w:r>
      <w:r>
        <w:rPr>
          <w:rFonts w:hint="eastAsia" w:ascii="宋体" w:hAnsi="宋体" w:eastAsia="宋体" w:cs="宋体"/>
          <w:i w:val="0"/>
          <w:iCs w:val="0"/>
          <w:sz w:val="24"/>
          <w:szCs w:val="24"/>
        </w:rPr>
        <w:fldChar w:fldCharType="end"/>
      </w:r>
      <w:r>
        <w:rPr>
          <w:rFonts w:hint="eastAsia" w:ascii="宋体" w:hAnsi="宋体" w:eastAsia="宋体" w:cs="宋体"/>
          <w:bCs/>
          <w:i w:val="0"/>
          <w:iCs w:val="0"/>
          <w:caps/>
          <w:sz w:val="24"/>
          <w:szCs w:val="24"/>
          <w:highlight w:val="none"/>
        </w:rPr>
        <w:fldChar w:fldCharType="end"/>
      </w:r>
    </w:p>
    <w:p w14:paraId="67FE6291">
      <w:pPr>
        <w:pStyle w:val="14"/>
        <w:keepNext w:val="0"/>
        <w:keepLines w:val="0"/>
        <w:pageBreakBefore w:val="0"/>
        <w:widowControl/>
        <w:tabs>
          <w:tab w:val="right" w:leader="dot" w:pos="9740"/>
        </w:tabs>
        <w:kinsoku/>
        <w:wordWrap/>
        <w:overflowPunct/>
        <w:topLinePunct w:val="0"/>
        <w:autoSpaceDE/>
        <w:autoSpaceDN/>
        <w:bidi w:val="0"/>
        <w:adjustRightInd/>
        <w:snapToGrid/>
        <w:spacing w:line="360" w:lineRule="auto"/>
        <w:textAlignment w:val="auto"/>
        <w:rPr>
          <w:rFonts w:hint="eastAsia" w:ascii="宋体" w:hAnsi="宋体" w:eastAsia="宋体" w:cs="宋体"/>
          <w:i w:val="0"/>
          <w:iCs w:val="0"/>
          <w:sz w:val="24"/>
          <w:szCs w:val="24"/>
        </w:rPr>
      </w:pPr>
      <w:r>
        <w:rPr>
          <w:rFonts w:hint="eastAsia" w:ascii="宋体" w:hAnsi="宋体" w:eastAsia="宋体" w:cs="宋体"/>
          <w:bCs/>
          <w:i w:val="0"/>
          <w:iCs w:val="0"/>
          <w:caps/>
          <w:sz w:val="24"/>
          <w:szCs w:val="24"/>
          <w:highlight w:val="none"/>
        </w:rPr>
        <w:fldChar w:fldCharType="begin"/>
      </w:r>
      <w:r>
        <w:rPr>
          <w:rFonts w:hint="eastAsia" w:ascii="宋体" w:hAnsi="宋体" w:eastAsia="宋体" w:cs="宋体"/>
          <w:bCs/>
          <w:i w:val="0"/>
          <w:iCs w:val="0"/>
          <w:caps/>
          <w:sz w:val="24"/>
          <w:szCs w:val="24"/>
          <w:highlight w:val="none"/>
        </w:rPr>
        <w:instrText xml:space="preserve"> HYPERLINK \l _Toc17079 </w:instrText>
      </w:r>
      <w:r>
        <w:rPr>
          <w:rFonts w:hint="eastAsia" w:ascii="宋体" w:hAnsi="宋体" w:eastAsia="宋体" w:cs="宋体"/>
          <w:bCs/>
          <w:i w:val="0"/>
          <w:iCs w:val="0"/>
          <w:caps/>
          <w:sz w:val="24"/>
          <w:szCs w:val="24"/>
          <w:highlight w:val="none"/>
        </w:rPr>
        <w:fldChar w:fldCharType="separate"/>
      </w:r>
      <w:r>
        <w:rPr>
          <w:rFonts w:hint="eastAsia" w:ascii="宋体" w:hAnsi="宋体" w:eastAsia="宋体" w:cs="宋体"/>
          <w:i w:val="0"/>
          <w:iCs w:val="0"/>
          <w:sz w:val="24"/>
          <w:szCs w:val="24"/>
          <w:highlight w:val="none"/>
          <w:lang w:val="en-US" w:eastAsia="zh-CN"/>
        </w:rPr>
        <w:t>六</w:t>
      </w:r>
      <w:r>
        <w:rPr>
          <w:rFonts w:hint="eastAsia" w:ascii="宋体" w:hAnsi="宋体" w:eastAsia="宋体" w:cs="宋体"/>
          <w:i w:val="0"/>
          <w:iCs w:val="0"/>
          <w:sz w:val="24"/>
          <w:szCs w:val="24"/>
          <w:highlight w:val="none"/>
        </w:rPr>
        <w:t>、投标保证金</w:t>
      </w:r>
      <w:r>
        <w:rPr>
          <w:rFonts w:hint="eastAsia" w:ascii="宋体" w:hAnsi="宋体" w:eastAsia="宋体" w:cs="宋体"/>
          <w:i w:val="0"/>
          <w:iCs w:val="0"/>
          <w:sz w:val="24"/>
          <w:szCs w:val="24"/>
        </w:rPr>
        <w:tab/>
      </w:r>
      <w:r>
        <w:rPr>
          <w:rFonts w:hint="eastAsia" w:ascii="宋体" w:hAnsi="宋体" w:eastAsia="宋体" w:cs="宋体"/>
          <w:i w:val="0"/>
          <w:iCs w:val="0"/>
          <w:sz w:val="24"/>
          <w:szCs w:val="24"/>
        </w:rPr>
        <w:fldChar w:fldCharType="begin"/>
      </w:r>
      <w:r>
        <w:rPr>
          <w:rFonts w:hint="eastAsia" w:ascii="宋体" w:hAnsi="宋体" w:eastAsia="宋体" w:cs="宋体"/>
          <w:i w:val="0"/>
          <w:iCs w:val="0"/>
          <w:sz w:val="24"/>
          <w:szCs w:val="24"/>
        </w:rPr>
        <w:instrText xml:space="preserve"> PAGEREF _Toc17079 \h </w:instrText>
      </w:r>
      <w:r>
        <w:rPr>
          <w:rFonts w:hint="eastAsia" w:ascii="宋体" w:hAnsi="宋体" w:eastAsia="宋体" w:cs="宋体"/>
          <w:i w:val="0"/>
          <w:iCs w:val="0"/>
          <w:sz w:val="24"/>
          <w:szCs w:val="24"/>
        </w:rPr>
        <w:fldChar w:fldCharType="separate"/>
      </w:r>
      <w:r>
        <w:rPr>
          <w:rFonts w:hint="eastAsia" w:ascii="宋体" w:hAnsi="宋体" w:eastAsia="宋体" w:cs="宋体"/>
          <w:i w:val="0"/>
          <w:iCs w:val="0"/>
          <w:sz w:val="24"/>
          <w:szCs w:val="24"/>
        </w:rPr>
        <w:t>63</w:t>
      </w:r>
      <w:r>
        <w:rPr>
          <w:rFonts w:hint="eastAsia" w:ascii="宋体" w:hAnsi="宋体" w:eastAsia="宋体" w:cs="宋体"/>
          <w:i w:val="0"/>
          <w:iCs w:val="0"/>
          <w:sz w:val="24"/>
          <w:szCs w:val="24"/>
        </w:rPr>
        <w:fldChar w:fldCharType="end"/>
      </w:r>
      <w:r>
        <w:rPr>
          <w:rFonts w:hint="eastAsia" w:ascii="宋体" w:hAnsi="宋体" w:eastAsia="宋体" w:cs="宋体"/>
          <w:bCs/>
          <w:i w:val="0"/>
          <w:iCs w:val="0"/>
          <w:caps/>
          <w:sz w:val="24"/>
          <w:szCs w:val="24"/>
          <w:highlight w:val="none"/>
        </w:rPr>
        <w:fldChar w:fldCharType="end"/>
      </w:r>
    </w:p>
    <w:p w14:paraId="35E3E8C1">
      <w:pPr>
        <w:pStyle w:val="14"/>
        <w:keepNext w:val="0"/>
        <w:keepLines w:val="0"/>
        <w:pageBreakBefore w:val="0"/>
        <w:widowControl/>
        <w:tabs>
          <w:tab w:val="right" w:leader="dot" w:pos="9740"/>
        </w:tabs>
        <w:kinsoku/>
        <w:wordWrap/>
        <w:overflowPunct/>
        <w:topLinePunct w:val="0"/>
        <w:autoSpaceDE/>
        <w:autoSpaceDN/>
        <w:bidi w:val="0"/>
        <w:adjustRightInd/>
        <w:snapToGrid/>
        <w:spacing w:line="360" w:lineRule="auto"/>
        <w:textAlignment w:val="auto"/>
        <w:rPr>
          <w:rFonts w:hint="eastAsia" w:ascii="宋体" w:hAnsi="宋体" w:eastAsia="宋体" w:cs="宋体"/>
          <w:i w:val="0"/>
          <w:iCs w:val="0"/>
          <w:sz w:val="24"/>
          <w:szCs w:val="24"/>
        </w:rPr>
      </w:pPr>
      <w:r>
        <w:rPr>
          <w:rFonts w:hint="eastAsia" w:ascii="宋体" w:hAnsi="宋体" w:eastAsia="宋体" w:cs="宋体"/>
          <w:bCs/>
          <w:i w:val="0"/>
          <w:iCs w:val="0"/>
          <w:caps/>
          <w:sz w:val="24"/>
          <w:szCs w:val="24"/>
          <w:highlight w:val="none"/>
        </w:rPr>
        <w:fldChar w:fldCharType="begin"/>
      </w:r>
      <w:r>
        <w:rPr>
          <w:rFonts w:hint="eastAsia" w:ascii="宋体" w:hAnsi="宋体" w:eastAsia="宋体" w:cs="宋体"/>
          <w:bCs/>
          <w:i w:val="0"/>
          <w:iCs w:val="0"/>
          <w:caps/>
          <w:sz w:val="24"/>
          <w:szCs w:val="24"/>
          <w:highlight w:val="none"/>
        </w:rPr>
        <w:instrText xml:space="preserve"> HYPERLINK \l _Toc23796 </w:instrText>
      </w:r>
      <w:r>
        <w:rPr>
          <w:rFonts w:hint="eastAsia" w:ascii="宋体" w:hAnsi="宋体" w:eastAsia="宋体" w:cs="宋体"/>
          <w:bCs/>
          <w:i w:val="0"/>
          <w:iCs w:val="0"/>
          <w:caps/>
          <w:sz w:val="24"/>
          <w:szCs w:val="24"/>
          <w:highlight w:val="none"/>
        </w:rPr>
        <w:fldChar w:fldCharType="separate"/>
      </w:r>
      <w:r>
        <w:rPr>
          <w:rFonts w:hint="eastAsia" w:ascii="宋体" w:hAnsi="宋体" w:eastAsia="宋体" w:cs="宋体"/>
          <w:i w:val="0"/>
          <w:iCs w:val="0"/>
          <w:sz w:val="24"/>
          <w:szCs w:val="24"/>
          <w:highlight w:val="none"/>
          <w:lang w:val="en-US" w:eastAsia="zh-CN"/>
        </w:rPr>
        <w:t>七</w:t>
      </w:r>
      <w:r>
        <w:rPr>
          <w:rFonts w:hint="eastAsia" w:ascii="宋体" w:hAnsi="宋体" w:eastAsia="宋体" w:cs="宋体"/>
          <w:i w:val="0"/>
          <w:iCs w:val="0"/>
          <w:sz w:val="24"/>
          <w:szCs w:val="24"/>
          <w:highlight w:val="none"/>
        </w:rPr>
        <w:t>、商务条款偏离表和技术规格偏离表</w:t>
      </w:r>
      <w:r>
        <w:rPr>
          <w:rFonts w:hint="eastAsia" w:ascii="宋体" w:hAnsi="宋体" w:eastAsia="宋体" w:cs="宋体"/>
          <w:i w:val="0"/>
          <w:iCs w:val="0"/>
          <w:sz w:val="24"/>
          <w:szCs w:val="24"/>
        </w:rPr>
        <w:tab/>
      </w:r>
      <w:r>
        <w:rPr>
          <w:rFonts w:hint="eastAsia" w:ascii="宋体" w:hAnsi="宋体" w:eastAsia="宋体" w:cs="宋体"/>
          <w:i w:val="0"/>
          <w:iCs w:val="0"/>
          <w:sz w:val="24"/>
          <w:szCs w:val="24"/>
        </w:rPr>
        <w:fldChar w:fldCharType="begin"/>
      </w:r>
      <w:r>
        <w:rPr>
          <w:rFonts w:hint="eastAsia" w:ascii="宋体" w:hAnsi="宋体" w:eastAsia="宋体" w:cs="宋体"/>
          <w:i w:val="0"/>
          <w:iCs w:val="0"/>
          <w:sz w:val="24"/>
          <w:szCs w:val="24"/>
        </w:rPr>
        <w:instrText xml:space="preserve"> PAGEREF _Toc23796 \h </w:instrText>
      </w:r>
      <w:r>
        <w:rPr>
          <w:rFonts w:hint="eastAsia" w:ascii="宋体" w:hAnsi="宋体" w:eastAsia="宋体" w:cs="宋体"/>
          <w:i w:val="0"/>
          <w:iCs w:val="0"/>
          <w:sz w:val="24"/>
          <w:szCs w:val="24"/>
        </w:rPr>
        <w:fldChar w:fldCharType="separate"/>
      </w:r>
      <w:r>
        <w:rPr>
          <w:rFonts w:hint="eastAsia" w:ascii="宋体" w:hAnsi="宋体" w:eastAsia="宋体" w:cs="宋体"/>
          <w:i w:val="0"/>
          <w:iCs w:val="0"/>
          <w:sz w:val="24"/>
          <w:szCs w:val="24"/>
        </w:rPr>
        <w:t>64</w:t>
      </w:r>
      <w:r>
        <w:rPr>
          <w:rFonts w:hint="eastAsia" w:ascii="宋体" w:hAnsi="宋体" w:eastAsia="宋体" w:cs="宋体"/>
          <w:i w:val="0"/>
          <w:iCs w:val="0"/>
          <w:sz w:val="24"/>
          <w:szCs w:val="24"/>
        </w:rPr>
        <w:fldChar w:fldCharType="end"/>
      </w:r>
      <w:r>
        <w:rPr>
          <w:rFonts w:hint="eastAsia" w:ascii="宋体" w:hAnsi="宋体" w:eastAsia="宋体" w:cs="宋体"/>
          <w:bCs/>
          <w:i w:val="0"/>
          <w:iCs w:val="0"/>
          <w:caps/>
          <w:sz w:val="24"/>
          <w:szCs w:val="24"/>
          <w:highlight w:val="none"/>
        </w:rPr>
        <w:fldChar w:fldCharType="end"/>
      </w:r>
    </w:p>
    <w:p w14:paraId="68D7E9E8">
      <w:pPr>
        <w:pStyle w:val="14"/>
        <w:keepNext w:val="0"/>
        <w:keepLines w:val="0"/>
        <w:pageBreakBefore w:val="0"/>
        <w:widowControl/>
        <w:tabs>
          <w:tab w:val="right" w:leader="dot" w:pos="9740"/>
        </w:tabs>
        <w:kinsoku/>
        <w:wordWrap/>
        <w:overflowPunct/>
        <w:topLinePunct w:val="0"/>
        <w:autoSpaceDE/>
        <w:autoSpaceDN/>
        <w:bidi w:val="0"/>
        <w:adjustRightInd/>
        <w:snapToGrid/>
        <w:spacing w:line="360" w:lineRule="auto"/>
        <w:textAlignment w:val="auto"/>
        <w:rPr>
          <w:rFonts w:hint="eastAsia" w:ascii="宋体" w:hAnsi="宋体" w:eastAsia="宋体" w:cs="宋体"/>
          <w:i w:val="0"/>
          <w:iCs w:val="0"/>
          <w:sz w:val="24"/>
          <w:szCs w:val="24"/>
        </w:rPr>
      </w:pPr>
      <w:r>
        <w:rPr>
          <w:rFonts w:hint="eastAsia" w:ascii="宋体" w:hAnsi="宋体" w:eastAsia="宋体" w:cs="宋体"/>
          <w:bCs/>
          <w:i w:val="0"/>
          <w:iCs w:val="0"/>
          <w:caps/>
          <w:sz w:val="24"/>
          <w:szCs w:val="24"/>
          <w:highlight w:val="none"/>
        </w:rPr>
        <w:fldChar w:fldCharType="begin"/>
      </w:r>
      <w:r>
        <w:rPr>
          <w:rFonts w:hint="eastAsia" w:ascii="宋体" w:hAnsi="宋体" w:eastAsia="宋体" w:cs="宋体"/>
          <w:bCs/>
          <w:i w:val="0"/>
          <w:iCs w:val="0"/>
          <w:caps/>
          <w:sz w:val="24"/>
          <w:szCs w:val="24"/>
          <w:highlight w:val="none"/>
        </w:rPr>
        <w:instrText xml:space="preserve"> HYPERLINK \l _Toc6113 </w:instrText>
      </w:r>
      <w:r>
        <w:rPr>
          <w:rFonts w:hint="eastAsia" w:ascii="宋体" w:hAnsi="宋体" w:eastAsia="宋体" w:cs="宋体"/>
          <w:bCs/>
          <w:i w:val="0"/>
          <w:iCs w:val="0"/>
          <w:caps/>
          <w:sz w:val="24"/>
          <w:szCs w:val="24"/>
          <w:highlight w:val="none"/>
        </w:rPr>
        <w:fldChar w:fldCharType="separate"/>
      </w:r>
      <w:r>
        <w:rPr>
          <w:rFonts w:hint="eastAsia" w:ascii="宋体" w:hAnsi="宋体" w:eastAsia="宋体" w:cs="宋体"/>
          <w:i w:val="0"/>
          <w:iCs w:val="0"/>
          <w:sz w:val="24"/>
          <w:szCs w:val="24"/>
          <w:highlight w:val="none"/>
          <w:lang w:val="en-US" w:eastAsia="zh-CN"/>
        </w:rPr>
        <w:t>八</w:t>
      </w:r>
      <w:r>
        <w:rPr>
          <w:rFonts w:hint="eastAsia" w:ascii="宋体" w:hAnsi="宋体" w:eastAsia="宋体" w:cs="宋体"/>
          <w:i w:val="0"/>
          <w:iCs w:val="0"/>
          <w:sz w:val="24"/>
          <w:szCs w:val="24"/>
          <w:highlight w:val="none"/>
        </w:rPr>
        <w:t>、分项报价表</w:t>
      </w:r>
      <w:r>
        <w:rPr>
          <w:rFonts w:hint="eastAsia" w:ascii="宋体" w:hAnsi="宋体" w:eastAsia="宋体" w:cs="宋体"/>
          <w:i w:val="0"/>
          <w:iCs w:val="0"/>
          <w:sz w:val="24"/>
          <w:szCs w:val="24"/>
        </w:rPr>
        <w:tab/>
      </w:r>
      <w:r>
        <w:rPr>
          <w:rFonts w:hint="eastAsia" w:ascii="宋体" w:hAnsi="宋体" w:eastAsia="宋体" w:cs="宋体"/>
          <w:i w:val="0"/>
          <w:iCs w:val="0"/>
          <w:sz w:val="24"/>
          <w:szCs w:val="24"/>
        </w:rPr>
        <w:fldChar w:fldCharType="begin"/>
      </w:r>
      <w:r>
        <w:rPr>
          <w:rFonts w:hint="eastAsia" w:ascii="宋体" w:hAnsi="宋体" w:eastAsia="宋体" w:cs="宋体"/>
          <w:i w:val="0"/>
          <w:iCs w:val="0"/>
          <w:sz w:val="24"/>
          <w:szCs w:val="24"/>
        </w:rPr>
        <w:instrText xml:space="preserve"> PAGEREF _Toc6113 \h </w:instrText>
      </w:r>
      <w:r>
        <w:rPr>
          <w:rFonts w:hint="eastAsia" w:ascii="宋体" w:hAnsi="宋体" w:eastAsia="宋体" w:cs="宋体"/>
          <w:i w:val="0"/>
          <w:iCs w:val="0"/>
          <w:sz w:val="24"/>
          <w:szCs w:val="24"/>
        </w:rPr>
        <w:fldChar w:fldCharType="separate"/>
      </w:r>
      <w:r>
        <w:rPr>
          <w:rFonts w:hint="eastAsia" w:ascii="宋体" w:hAnsi="宋体" w:eastAsia="宋体" w:cs="宋体"/>
          <w:i w:val="0"/>
          <w:iCs w:val="0"/>
          <w:sz w:val="24"/>
          <w:szCs w:val="24"/>
        </w:rPr>
        <w:t>66</w:t>
      </w:r>
      <w:r>
        <w:rPr>
          <w:rFonts w:hint="eastAsia" w:ascii="宋体" w:hAnsi="宋体" w:eastAsia="宋体" w:cs="宋体"/>
          <w:i w:val="0"/>
          <w:iCs w:val="0"/>
          <w:sz w:val="24"/>
          <w:szCs w:val="24"/>
        </w:rPr>
        <w:fldChar w:fldCharType="end"/>
      </w:r>
      <w:r>
        <w:rPr>
          <w:rFonts w:hint="eastAsia" w:ascii="宋体" w:hAnsi="宋体" w:eastAsia="宋体" w:cs="宋体"/>
          <w:bCs/>
          <w:i w:val="0"/>
          <w:iCs w:val="0"/>
          <w:caps/>
          <w:sz w:val="24"/>
          <w:szCs w:val="24"/>
          <w:highlight w:val="none"/>
        </w:rPr>
        <w:fldChar w:fldCharType="end"/>
      </w:r>
    </w:p>
    <w:p w14:paraId="32035C3F">
      <w:pPr>
        <w:pStyle w:val="14"/>
        <w:keepNext w:val="0"/>
        <w:keepLines w:val="0"/>
        <w:pageBreakBefore w:val="0"/>
        <w:widowControl/>
        <w:tabs>
          <w:tab w:val="right" w:leader="dot" w:pos="9740"/>
        </w:tabs>
        <w:kinsoku/>
        <w:wordWrap/>
        <w:overflowPunct/>
        <w:topLinePunct w:val="0"/>
        <w:autoSpaceDE/>
        <w:autoSpaceDN/>
        <w:bidi w:val="0"/>
        <w:adjustRightInd/>
        <w:snapToGrid/>
        <w:spacing w:line="360" w:lineRule="auto"/>
        <w:textAlignment w:val="auto"/>
        <w:rPr>
          <w:rFonts w:hint="eastAsia" w:ascii="宋体" w:hAnsi="宋体" w:eastAsia="宋体" w:cs="宋体"/>
          <w:i w:val="0"/>
          <w:iCs w:val="0"/>
          <w:sz w:val="24"/>
          <w:szCs w:val="24"/>
        </w:rPr>
      </w:pPr>
      <w:r>
        <w:rPr>
          <w:rFonts w:hint="eastAsia" w:ascii="宋体" w:hAnsi="宋体" w:eastAsia="宋体" w:cs="宋体"/>
          <w:bCs/>
          <w:i w:val="0"/>
          <w:iCs w:val="0"/>
          <w:caps/>
          <w:sz w:val="24"/>
          <w:szCs w:val="24"/>
          <w:highlight w:val="none"/>
        </w:rPr>
        <w:fldChar w:fldCharType="begin"/>
      </w:r>
      <w:r>
        <w:rPr>
          <w:rFonts w:hint="eastAsia" w:ascii="宋体" w:hAnsi="宋体" w:eastAsia="宋体" w:cs="宋体"/>
          <w:bCs/>
          <w:i w:val="0"/>
          <w:iCs w:val="0"/>
          <w:caps/>
          <w:sz w:val="24"/>
          <w:szCs w:val="24"/>
          <w:highlight w:val="none"/>
        </w:rPr>
        <w:instrText xml:space="preserve"> HYPERLINK \l _Toc14426 </w:instrText>
      </w:r>
      <w:r>
        <w:rPr>
          <w:rFonts w:hint="eastAsia" w:ascii="宋体" w:hAnsi="宋体" w:eastAsia="宋体" w:cs="宋体"/>
          <w:bCs/>
          <w:i w:val="0"/>
          <w:iCs w:val="0"/>
          <w:caps/>
          <w:sz w:val="24"/>
          <w:szCs w:val="24"/>
          <w:highlight w:val="none"/>
        </w:rPr>
        <w:fldChar w:fldCharType="separate"/>
      </w:r>
      <w:r>
        <w:rPr>
          <w:rFonts w:hint="eastAsia" w:ascii="宋体" w:hAnsi="宋体" w:eastAsia="宋体" w:cs="宋体"/>
          <w:i w:val="0"/>
          <w:iCs w:val="0"/>
          <w:sz w:val="24"/>
          <w:szCs w:val="24"/>
          <w:highlight w:val="none"/>
          <w:lang w:val="en-US" w:eastAsia="zh-CN"/>
        </w:rPr>
        <w:t>九</w:t>
      </w:r>
      <w:r>
        <w:rPr>
          <w:rFonts w:hint="eastAsia" w:ascii="宋体" w:hAnsi="宋体" w:eastAsia="宋体" w:cs="宋体"/>
          <w:i w:val="0"/>
          <w:iCs w:val="0"/>
          <w:sz w:val="24"/>
          <w:szCs w:val="24"/>
          <w:highlight w:val="none"/>
          <w:lang w:eastAsia="zh-CN"/>
        </w:rPr>
        <w:t>、交货方案及时间进度计划安排</w:t>
      </w:r>
      <w:r>
        <w:rPr>
          <w:rFonts w:hint="eastAsia" w:ascii="宋体" w:hAnsi="宋体" w:eastAsia="宋体" w:cs="宋体"/>
          <w:i w:val="0"/>
          <w:iCs w:val="0"/>
          <w:sz w:val="24"/>
          <w:szCs w:val="24"/>
        </w:rPr>
        <w:tab/>
      </w:r>
      <w:r>
        <w:rPr>
          <w:rFonts w:hint="eastAsia" w:ascii="宋体" w:hAnsi="宋体" w:eastAsia="宋体" w:cs="宋体"/>
          <w:i w:val="0"/>
          <w:iCs w:val="0"/>
          <w:sz w:val="24"/>
          <w:szCs w:val="24"/>
        </w:rPr>
        <w:fldChar w:fldCharType="begin"/>
      </w:r>
      <w:r>
        <w:rPr>
          <w:rFonts w:hint="eastAsia" w:ascii="宋体" w:hAnsi="宋体" w:eastAsia="宋体" w:cs="宋体"/>
          <w:i w:val="0"/>
          <w:iCs w:val="0"/>
          <w:sz w:val="24"/>
          <w:szCs w:val="24"/>
        </w:rPr>
        <w:instrText xml:space="preserve"> PAGEREF _Toc14426 \h </w:instrText>
      </w:r>
      <w:r>
        <w:rPr>
          <w:rFonts w:hint="eastAsia" w:ascii="宋体" w:hAnsi="宋体" w:eastAsia="宋体" w:cs="宋体"/>
          <w:i w:val="0"/>
          <w:iCs w:val="0"/>
          <w:sz w:val="24"/>
          <w:szCs w:val="24"/>
        </w:rPr>
        <w:fldChar w:fldCharType="separate"/>
      </w:r>
      <w:r>
        <w:rPr>
          <w:rFonts w:hint="eastAsia" w:ascii="宋体" w:hAnsi="宋体" w:eastAsia="宋体" w:cs="宋体"/>
          <w:i w:val="0"/>
          <w:iCs w:val="0"/>
          <w:sz w:val="24"/>
          <w:szCs w:val="24"/>
        </w:rPr>
        <w:t>67</w:t>
      </w:r>
      <w:r>
        <w:rPr>
          <w:rFonts w:hint="eastAsia" w:ascii="宋体" w:hAnsi="宋体" w:eastAsia="宋体" w:cs="宋体"/>
          <w:i w:val="0"/>
          <w:iCs w:val="0"/>
          <w:sz w:val="24"/>
          <w:szCs w:val="24"/>
        </w:rPr>
        <w:fldChar w:fldCharType="end"/>
      </w:r>
      <w:r>
        <w:rPr>
          <w:rFonts w:hint="eastAsia" w:ascii="宋体" w:hAnsi="宋体" w:eastAsia="宋体" w:cs="宋体"/>
          <w:bCs/>
          <w:i w:val="0"/>
          <w:iCs w:val="0"/>
          <w:caps/>
          <w:sz w:val="24"/>
          <w:szCs w:val="24"/>
          <w:highlight w:val="none"/>
        </w:rPr>
        <w:fldChar w:fldCharType="end"/>
      </w:r>
    </w:p>
    <w:p w14:paraId="76F10E05">
      <w:pPr>
        <w:pStyle w:val="14"/>
        <w:keepNext w:val="0"/>
        <w:keepLines w:val="0"/>
        <w:pageBreakBefore w:val="0"/>
        <w:widowControl/>
        <w:tabs>
          <w:tab w:val="right" w:leader="dot" w:pos="9740"/>
        </w:tabs>
        <w:kinsoku/>
        <w:wordWrap/>
        <w:overflowPunct/>
        <w:topLinePunct w:val="0"/>
        <w:autoSpaceDE/>
        <w:autoSpaceDN/>
        <w:bidi w:val="0"/>
        <w:adjustRightInd/>
        <w:snapToGrid/>
        <w:spacing w:line="360" w:lineRule="auto"/>
        <w:textAlignment w:val="auto"/>
        <w:rPr>
          <w:rFonts w:hint="eastAsia" w:ascii="宋体" w:hAnsi="宋体" w:eastAsia="宋体" w:cs="宋体"/>
          <w:i w:val="0"/>
          <w:iCs w:val="0"/>
          <w:sz w:val="24"/>
          <w:szCs w:val="24"/>
        </w:rPr>
      </w:pPr>
      <w:r>
        <w:rPr>
          <w:rFonts w:hint="eastAsia" w:ascii="宋体" w:hAnsi="宋体" w:eastAsia="宋体" w:cs="宋体"/>
          <w:bCs/>
          <w:i w:val="0"/>
          <w:iCs w:val="0"/>
          <w:caps/>
          <w:sz w:val="24"/>
          <w:szCs w:val="24"/>
          <w:highlight w:val="none"/>
        </w:rPr>
        <w:fldChar w:fldCharType="begin"/>
      </w:r>
      <w:r>
        <w:rPr>
          <w:rFonts w:hint="eastAsia" w:ascii="宋体" w:hAnsi="宋体" w:eastAsia="宋体" w:cs="宋体"/>
          <w:bCs/>
          <w:i w:val="0"/>
          <w:iCs w:val="0"/>
          <w:caps/>
          <w:sz w:val="24"/>
          <w:szCs w:val="24"/>
          <w:highlight w:val="none"/>
        </w:rPr>
        <w:instrText xml:space="preserve"> HYPERLINK \l _Toc22692 </w:instrText>
      </w:r>
      <w:r>
        <w:rPr>
          <w:rFonts w:hint="eastAsia" w:ascii="宋体" w:hAnsi="宋体" w:eastAsia="宋体" w:cs="宋体"/>
          <w:bCs/>
          <w:i w:val="0"/>
          <w:iCs w:val="0"/>
          <w:caps/>
          <w:sz w:val="24"/>
          <w:szCs w:val="24"/>
          <w:highlight w:val="none"/>
        </w:rPr>
        <w:fldChar w:fldCharType="separate"/>
      </w:r>
      <w:r>
        <w:rPr>
          <w:rFonts w:hint="eastAsia" w:ascii="宋体" w:hAnsi="宋体" w:eastAsia="宋体" w:cs="宋体"/>
          <w:bCs/>
          <w:i w:val="0"/>
          <w:iCs w:val="0"/>
          <w:sz w:val="24"/>
          <w:szCs w:val="24"/>
          <w:highlight w:val="none"/>
          <w:lang w:val="en-US" w:eastAsia="zh-CN"/>
        </w:rPr>
        <w:t>十、</w:t>
      </w:r>
      <w:r>
        <w:rPr>
          <w:rFonts w:hint="eastAsia" w:ascii="宋体" w:hAnsi="宋体" w:eastAsia="宋体" w:cs="宋体"/>
          <w:bCs/>
          <w:i w:val="0"/>
          <w:iCs w:val="0"/>
          <w:sz w:val="24"/>
          <w:szCs w:val="24"/>
          <w:highlight w:val="none"/>
          <w:lang w:eastAsia="zh-CN"/>
        </w:rPr>
        <w:t>质量保证及保障承诺</w:t>
      </w:r>
      <w:r>
        <w:rPr>
          <w:rFonts w:hint="eastAsia" w:ascii="宋体" w:hAnsi="宋体" w:eastAsia="宋体" w:cs="宋体"/>
          <w:i w:val="0"/>
          <w:iCs w:val="0"/>
          <w:sz w:val="24"/>
          <w:szCs w:val="24"/>
        </w:rPr>
        <w:tab/>
      </w:r>
      <w:r>
        <w:rPr>
          <w:rFonts w:hint="eastAsia" w:ascii="宋体" w:hAnsi="宋体" w:eastAsia="宋体" w:cs="宋体"/>
          <w:i w:val="0"/>
          <w:iCs w:val="0"/>
          <w:sz w:val="24"/>
          <w:szCs w:val="24"/>
        </w:rPr>
        <w:fldChar w:fldCharType="begin"/>
      </w:r>
      <w:r>
        <w:rPr>
          <w:rFonts w:hint="eastAsia" w:ascii="宋体" w:hAnsi="宋体" w:eastAsia="宋体" w:cs="宋体"/>
          <w:i w:val="0"/>
          <w:iCs w:val="0"/>
          <w:sz w:val="24"/>
          <w:szCs w:val="24"/>
        </w:rPr>
        <w:instrText xml:space="preserve"> PAGEREF _Toc22692 \h </w:instrText>
      </w:r>
      <w:r>
        <w:rPr>
          <w:rFonts w:hint="eastAsia" w:ascii="宋体" w:hAnsi="宋体" w:eastAsia="宋体" w:cs="宋体"/>
          <w:i w:val="0"/>
          <w:iCs w:val="0"/>
          <w:sz w:val="24"/>
          <w:szCs w:val="24"/>
        </w:rPr>
        <w:fldChar w:fldCharType="separate"/>
      </w:r>
      <w:r>
        <w:rPr>
          <w:rFonts w:hint="eastAsia" w:ascii="宋体" w:hAnsi="宋体" w:eastAsia="宋体" w:cs="宋体"/>
          <w:i w:val="0"/>
          <w:iCs w:val="0"/>
          <w:sz w:val="24"/>
          <w:szCs w:val="24"/>
        </w:rPr>
        <w:t>67</w:t>
      </w:r>
      <w:r>
        <w:rPr>
          <w:rFonts w:hint="eastAsia" w:ascii="宋体" w:hAnsi="宋体" w:eastAsia="宋体" w:cs="宋体"/>
          <w:i w:val="0"/>
          <w:iCs w:val="0"/>
          <w:sz w:val="24"/>
          <w:szCs w:val="24"/>
        </w:rPr>
        <w:fldChar w:fldCharType="end"/>
      </w:r>
      <w:r>
        <w:rPr>
          <w:rFonts w:hint="eastAsia" w:ascii="宋体" w:hAnsi="宋体" w:eastAsia="宋体" w:cs="宋体"/>
          <w:bCs/>
          <w:i w:val="0"/>
          <w:iCs w:val="0"/>
          <w:caps/>
          <w:sz w:val="24"/>
          <w:szCs w:val="24"/>
          <w:highlight w:val="none"/>
        </w:rPr>
        <w:fldChar w:fldCharType="end"/>
      </w:r>
    </w:p>
    <w:p w14:paraId="2693A1E4">
      <w:pPr>
        <w:pStyle w:val="14"/>
        <w:keepNext w:val="0"/>
        <w:keepLines w:val="0"/>
        <w:pageBreakBefore w:val="0"/>
        <w:widowControl/>
        <w:tabs>
          <w:tab w:val="right" w:leader="dot" w:pos="9740"/>
        </w:tabs>
        <w:kinsoku/>
        <w:wordWrap/>
        <w:overflowPunct/>
        <w:topLinePunct w:val="0"/>
        <w:autoSpaceDE/>
        <w:autoSpaceDN/>
        <w:bidi w:val="0"/>
        <w:adjustRightInd/>
        <w:snapToGrid/>
        <w:spacing w:line="360" w:lineRule="auto"/>
        <w:textAlignment w:val="auto"/>
        <w:rPr>
          <w:rFonts w:hint="eastAsia" w:ascii="宋体" w:hAnsi="宋体" w:eastAsia="宋体" w:cs="宋体"/>
          <w:i w:val="0"/>
          <w:iCs w:val="0"/>
          <w:sz w:val="24"/>
          <w:szCs w:val="24"/>
        </w:rPr>
      </w:pPr>
      <w:r>
        <w:rPr>
          <w:rFonts w:hint="eastAsia" w:ascii="宋体" w:hAnsi="宋体" w:eastAsia="宋体" w:cs="宋体"/>
          <w:bCs/>
          <w:i w:val="0"/>
          <w:iCs w:val="0"/>
          <w:caps/>
          <w:sz w:val="24"/>
          <w:szCs w:val="24"/>
          <w:highlight w:val="none"/>
        </w:rPr>
        <w:fldChar w:fldCharType="begin"/>
      </w:r>
      <w:r>
        <w:rPr>
          <w:rFonts w:hint="eastAsia" w:ascii="宋体" w:hAnsi="宋体" w:eastAsia="宋体" w:cs="宋体"/>
          <w:bCs/>
          <w:i w:val="0"/>
          <w:iCs w:val="0"/>
          <w:caps/>
          <w:sz w:val="24"/>
          <w:szCs w:val="24"/>
          <w:highlight w:val="none"/>
        </w:rPr>
        <w:instrText xml:space="preserve"> HYPERLINK \l _Toc21081 </w:instrText>
      </w:r>
      <w:r>
        <w:rPr>
          <w:rFonts w:hint="eastAsia" w:ascii="宋体" w:hAnsi="宋体" w:eastAsia="宋体" w:cs="宋体"/>
          <w:bCs/>
          <w:i w:val="0"/>
          <w:iCs w:val="0"/>
          <w:caps/>
          <w:sz w:val="24"/>
          <w:szCs w:val="24"/>
          <w:highlight w:val="none"/>
        </w:rPr>
        <w:fldChar w:fldCharType="separate"/>
      </w:r>
      <w:r>
        <w:rPr>
          <w:rFonts w:hint="eastAsia" w:ascii="宋体" w:hAnsi="宋体" w:eastAsia="宋体" w:cs="宋体"/>
          <w:i w:val="0"/>
          <w:iCs w:val="0"/>
          <w:sz w:val="24"/>
          <w:szCs w:val="24"/>
          <w:highlight w:val="none"/>
          <w:lang w:val="en-US" w:eastAsia="zh-CN"/>
        </w:rPr>
        <w:t>十一、售后服务方案</w:t>
      </w:r>
      <w:r>
        <w:rPr>
          <w:rFonts w:hint="eastAsia" w:ascii="宋体" w:hAnsi="宋体" w:eastAsia="宋体" w:cs="宋体"/>
          <w:i w:val="0"/>
          <w:iCs w:val="0"/>
          <w:sz w:val="24"/>
          <w:szCs w:val="24"/>
        </w:rPr>
        <w:tab/>
      </w:r>
      <w:r>
        <w:rPr>
          <w:rFonts w:hint="eastAsia" w:ascii="宋体" w:hAnsi="宋体" w:eastAsia="宋体" w:cs="宋体"/>
          <w:i w:val="0"/>
          <w:iCs w:val="0"/>
          <w:sz w:val="24"/>
          <w:szCs w:val="24"/>
        </w:rPr>
        <w:fldChar w:fldCharType="begin"/>
      </w:r>
      <w:r>
        <w:rPr>
          <w:rFonts w:hint="eastAsia" w:ascii="宋体" w:hAnsi="宋体" w:eastAsia="宋体" w:cs="宋体"/>
          <w:i w:val="0"/>
          <w:iCs w:val="0"/>
          <w:sz w:val="24"/>
          <w:szCs w:val="24"/>
        </w:rPr>
        <w:instrText xml:space="preserve"> PAGEREF _Toc21081 \h </w:instrText>
      </w:r>
      <w:r>
        <w:rPr>
          <w:rFonts w:hint="eastAsia" w:ascii="宋体" w:hAnsi="宋体" w:eastAsia="宋体" w:cs="宋体"/>
          <w:i w:val="0"/>
          <w:iCs w:val="0"/>
          <w:sz w:val="24"/>
          <w:szCs w:val="24"/>
        </w:rPr>
        <w:fldChar w:fldCharType="separate"/>
      </w:r>
      <w:r>
        <w:rPr>
          <w:rFonts w:hint="eastAsia" w:ascii="宋体" w:hAnsi="宋体" w:eastAsia="宋体" w:cs="宋体"/>
          <w:i w:val="0"/>
          <w:iCs w:val="0"/>
          <w:sz w:val="24"/>
          <w:szCs w:val="24"/>
        </w:rPr>
        <w:t>67</w:t>
      </w:r>
      <w:r>
        <w:rPr>
          <w:rFonts w:hint="eastAsia" w:ascii="宋体" w:hAnsi="宋体" w:eastAsia="宋体" w:cs="宋体"/>
          <w:i w:val="0"/>
          <w:iCs w:val="0"/>
          <w:sz w:val="24"/>
          <w:szCs w:val="24"/>
        </w:rPr>
        <w:fldChar w:fldCharType="end"/>
      </w:r>
      <w:r>
        <w:rPr>
          <w:rFonts w:hint="eastAsia" w:ascii="宋体" w:hAnsi="宋体" w:eastAsia="宋体" w:cs="宋体"/>
          <w:bCs/>
          <w:i w:val="0"/>
          <w:iCs w:val="0"/>
          <w:caps/>
          <w:sz w:val="24"/>
          <w:szCs w:val="24"/>
          <w:highlight w:val="none"/>
        </w:rPr>
        <w:fldChar w:fldCharType="end"/>
      </w:r>
    </w:p>
    <w:p w14:paraId="2E405FF4">
      <w:pPr>
        <w:pStyle w:val="14"/>
        <w:keepNext w:val="0"/>
        <w:keepLines w:val="0"/>
        <w:pageBreakBefore w:val="0"/>
        <w:widowControl/>
        <w:tabs>
          <w:tab w:val="right" w:leader="dot" w:pos="9740"/>
        </w:tabs>
        <w:kinsoku/>
        <w:wordWrap/>
        <w:overflowPunct/>
        <w:topLinePunct w:val="0"/>
        <w:autoSpaceDE/>
        <w:autoSpaceDN/>
        <w:bidi w:val="0"/>
        <w:adjustRightInd/>
        <w:snapToGrid/>
        <w:spacing w:line="360" w:lineRule="auto"/>
        <w:textAlignment w:val="auto"/>
        <w:rPr>
          <w:rFonts w:hint="eastAsia" w:ascii="宋体" w:hAnsi="宋体" w:eastAsia="宋体" w:cs="宋体"/>
          <w:i w:val="0"/>
          <w:iCs w:val="0"/>
          <w:sz w:val="24"/>
          <w:szCs w:val="24"/>
        </w:rPr>
      </w:pPr>
      <w:r>
        <w:rPr>
          <w:rFonts w:hint="eastAsia" w:ascii="宋体" w:hAnsi="宋体" w:eastAsia="宋体" w:cs="宋体"/>
          <w:bCs/>
          <w:i w:val="0"/>
          <w:iCs w:val="0"/>
          <w:caps/>
          <w:sz w:val="24"/>
          <w:szCs w:val="24"/>
          <w:highlight w:val="none"/>
        </w:rPr>
        <w:fldChar w:fldCharType="begin"/>
      </w:r>
      <w:r>
        <w:rPr>
          <w:rFonts w:hint="eastAsia" w:ascii="宋体" w:hAnsi="宋体" w:eastAsia="宋体" w:cs="宋体"/>
          <w:bCs/>
          <w:i w:val="0"/>
          <w:iCs w:val="0"/>
          <w:caps/>
          <w:sz w:val="24"/>
          <w:szCs w:val="24"/>
          <w:highlight w:val="none"/>
        </w:rPr>
        <w:instrText xml:space="preserve"> HYPERLINK \l _Toc30320 </w:instrText>
      </w:r>
      <w:r>
        <w:rPr>
          <w:rFonts w:hint="eastAsia" w:ascii="宋体" w:hAnsi="宋体" w:eastAsia="宋体" w:cs="宋体"/>
          <w:bCs/>
          <w:i w:val="0"/>
          <w:iCs w:val="0"/>
          <w:caps/>
          <w:sz w:val="24"/>
          <w:szCs w:val="24"/>
          <w:highlight w:val="none"/>
        </w:rPr>
        <w:fldChar w:fldCharType="separate"/>
      </w:r>
      <w:r>
        <w:rPr>
          <w:rFonts w:hint="eastAsia" w:ascii="宋体" w:hAnsi="宋体" w:eastAsia="宋体" w:cs="宋体"/>
          <w:i w:val="0"/>
          <w:iCs w:val="0"/>
          <w:sz w:val="24"/>
          <w:szCs w:val="24"/>
          <w:highlight w:val="none"/>
          <w:lang w:val="en-US" w:eastAsia="zh-CN"/>
        </w:rPr>
        <w:t>十二、故障响应时间及应急措施</w:t>
      </w:r>
      <w:r>
        <w:rPr>
          <w:rFonts w:hint="eastAsia" w:ascii="宋体" w:hAnsi="宋体" w:eastAsia="宋体" w:cs="宋体"/>
          <w:i w:val="0"/>
          <w:iCs w:val="0"/>
          <w:sz w:val="24"/>
          <w:szCs w:val="24"/>
        </w:rPr>
        <w:tab/>
      </w:r>
      <w:r>
        <w:rPr>
          <w:rFonts w:hint="eastAsia" w:ascii="宋体" w:hAnsi="宋体" w:eastAsia="宋体" w:cs="宋体"/>
          <w:i w:val="0"/>
          <w:iCs w:val="0"/>
          <w:sz w:val="24"/>
          <w:szCs w:val="24"/>
        </w:rPr>
        <w:fldChar w:fldCharType="begin"/>
      </w:r>
      <w:r>
        <w:rPr>
          <w:rFonts w:hint="eastAsia" w:ascii="宋体" w:hAnsi="宋体" w:eastAsia="宋体" w:cs="宋体"/>
          <w:i w:val="0"/>
          <w:iCs w:val="0"/>
          <w:sz w:val="24"/>
          <w:szCs w:val="24"/>
        </w:rPr>
        <w:instrText xml:space="preserve"> PAGEREF _Toc30320 \h </w:instrText>
      </w:r>
      <w:r>
        <w:rPr>
          <w:rFonts w:hint="eastAsia" w:ascii="宋体" w:hAnsi="宋体" w:eastAsia="宋体" w:cs="宋体"/>
          <w:i w:val="0"/>
          <w:iCs w:val="0"/>
          <w:sz w:val="24"/>
          <w:szCs w:val="24"/>
        </w:rPr>
        <w:fldChar w:fldCharType="separate"/>
      </w:r>
      <w:r>
        <w:rPr>
          <w:rFonts w:hint="eastAsia" w:ascii="宋体" w:hAnsi="宋体" w:eastAsia="宋体" w:cs="宋体"/>
          <w:i w:val="0"/>
          <w:iCs w:val="0"/>
          <w:sz w:val="24"/>
          <w:szCs w:val="24"/>
        </w:rPr>
        <w:t>67</w:t>
      </w:r>
      <w:r>
        <w:rPr>
          <w:rFonts w:hint="eastAsia" w:ascii="宋体" w:hAnsi="宋体" w:eastAsia="宋体" w:cs="宋体"/>
          <w:i w:val="0"/>
          <w:iCs w:val="0"/>
          <w:sz w:val="24"/>
          <w:szCs w:val="24"/>
        </w:rPr>
        <w:fldChar w:fldCharType="end"/>
      </w:r>
      <w:r>
        <w:rPr>
          <w:rFonts w:hint="eastAsia" w:ascii="宋体" w:hAnsi="宋体" w:eastAsia="宋体" w:cs="宋体"/>
          <w:bCs/>
          <w:i w:val="0"/>
          <w:iCs w:val="0"/>
          <w:caps/>
          <w:sz w:val="24"/>
          <w:szCs w:val="24"/>
          <w:highlight w:val="none"/>
        </w:rPr>
        <w:fldChar w:fldCharType="end"/>
      </w:r>
    </w:p>
    <w:p w14:paraId="5D3290DC">
      <w:pPr>
        <w:pStyle w:val="14"/>
        <w:keepNext w:val="0"/>
        <w:keepLines w:val="0"/>
        <w:pageBreakBefore w:val="0"/>
        <w:widowControl/>
        <w:tabs>
          <w:tab w:val="right" w:leader="dot" w:pos="9740"/>
        </w:tabs>
        <w:kinsoku/>
        <w:wordWrap/>
        <w:overflowPunct/>
        <w:topLinePunct w:val="0"/>
        <w:autoSpaceDE/>
        <w:autoSpaceDN/>
        <w:bidi w:val="0"/>
        <w:adjustRightInd/>
        <w:snapToGrid/>
        <w:spacing w:line="360" w:lineRule="auto"/>
        <w:textAlignment w:val="auto"/>
        <w:rPr>
          <w:rFonts w:hint="eastAsia" w:ascii="宋体" w:hAnsi="宋体" w:eastAsia="宋体" w:cs="宋体"/>
          <w:i w:val="0"/>
          <w:iCs w:val="0"/>
          <w:sz w:val="24"/>
          <w:szCs w:val="24"/>
        </w:rPr>
      </w:pPr>
      <w:r>
        <w:rPr>
          <w:rFonts w:hint="eastAsia" w:ascii="宋体" w:hAnsi="宋体" w:eastAsia="宋体" w:cs="宋体"/>
          <w:bCs/>
          <w:i w:val="0"/>
          <w:iCs w:val="0"/>
          <w:caps/>
          <w:sz w:val="24"/>
          <w:szCs w:val="24"/>
          <w:highlight w:val="none"/>
        </w:rPr>
        <w:fldChar w:fldCharType="begin"/>
      </w:r>
      <w:r>
        <w:rPr>
          <w:rFonts w:hint="eastAsia" w:ascii="宋体" w:hAnsi="宋体" w:eastAsia="宋体" w:cs="宋体"/>
          <w:bCs/>
          <w:i w:val="0"/>
          <w:iCs w:val="0"/>
          <w:caps/>
          <w:sz w:val="24"/>
          <w:szCs w:val="24"/>
          <w:highlight w:val="none"/>
        </w:rPr>
        <w:instrText xml:space="preserve"> HYPERLINK \l _Toc13242 </w:instrText>
      </w:r>
      <w:r>
        <w:rPr>
          <w:rFonts w:hint="eastAsia" w:ascii="宋体" w:hAnsi="宋体" w:eastAsia="宋体" w:cs="宋体"/>
          <w:bCs/>
          <w:i w:val="0"/>
          <w:iCs w:val="0"/>
          <w:caps/>
          <w:sz w:val="24"/>
          <w:szCs w:val="24"/>
          <w:highlight w:val="none"/>
        </w:rPr>
        <w:fldChar w:fldCharType="separate"/>
      </w:r>
      <w:r>
        <w:rPr>
          <w:rFonts w:hint="eastAsia" w:ascii="宋体" w:hAnsi="宋体" w:eastAsia="宋体" w:cs="宋体"/>
          <w:i w:val="0"/>
          <w:iCs w:val="0"/>
          <w:sz w:val="24"/>
          <w:szCs w:val="24"/>
          <w:highlight w:val="none"/>
          <w:lang w:val="en-US" w:eastAsia="zh-CN"/>
        </w:rPr>
        <w:t>十三、培训方案</w:t>
      </w:r>
      <w:r>
        <w:rPr>
          <w:rFonts w:hint="eastAsia" w:ascii="宋体" w:hAnsi="宋体" w:eastAsia="宋体" w:cs="宋体"/>
          <w:i w:val="0"/>
          <w:iCs w:val="0"/>
          <w:sz w:val="24"/>
          <w:szCs w:val="24"/>
        </w:rPr>
        <w:tab/>
      </w:r>
      <w:r>
        <w:rPr>
          <w:rFonts w:hint="eastAsia" w:ascii="宋体" w:hAnsi="宋体" w:eastAsia="宋体" w:cs="宋体"/>
          <w:i w:val="0"/>
          <w:iCs w:val="0"/>
          <w:sz w:val="24"/>
          <w:szCs w:val="24"/>
        </w:rPr>
        <w:fldChar w:fldCharType="begin"/>
      </w:r>
      <w:r>
        <w:rPr>
          <w:rFonts w:hint="eastAsia" w:ascii="宋体" w:hAnsi="宋体" w:eastAsia="宋体" w:cs="宋体"/>
          <w:i w:val="0"/>
          <w:iCs w:val="0"/>
          <w:sz w:val="24"/>
          <w:szCs w:val="24"/>
        </w:rPr>
        <w:instrText xml:space="preserve"> PAGEREF _Toc13242 \h </w:instrText>
      </w:r>
      <w:r>
        <w:rPr>
          <w:rFonts w:hint="eastAsia" w:ascii="宋体" w:hAnsi="宋体" w:eastAsia="宋体" w:cs="宋体"/>
          <w:i w:val="0"/>
          <w:iCs w:val="0"/>
          <w:sz w:val="24"/>
          <w:szCs w:val="24"/>
        </w:rPr>
        <w:fldChar w:fldCharType="separate"/>
      </w:r>
      <w:r>
        <w:rPr>
          <w:rFonts w:hint="eastAsia" w:ascii="宋体" w:hAnsi="宋体" w:eastAsia="宋体" w:cs="宋体"/>
          <w:i w:val="0"/>
          <w:iCs w:val="0"/>
          <w:sz w:val="24"/>
          <w:szCs w:val="24"/>
        </w:rPr>
        <w:t>67</w:t>
      </w:r>
      <w:r>
        <w:rPr>
          <w:rFonts w:hint="eastAsia" w:ascii="宋体" w:hAnsi="宋体" w:eastAsia="宋体" w:cs="宋体"/>
          <w:i w:val="0"/>
          <w:iCs w:val="0"/>
          <w:sz w:val="24"/>
          <w:szCs w:val="24"/>
        </w:rPr>
        <w:fldChar w:fldCharType="end"/>
      </w:r>
      <w:r>
        <w:rPr>
          <w:rFonts w:hint="eastAsia" w:ascii="宋体" w:hAnsi="宋体" w:eastAsia="宋体" w:cs="宋体"/>
          <w:bCs/>
          <w:i w:val="0"/>
          <w:iCs w:val="0"/>
          <w:caps/>
          <w:sz w:val="24"/>
          <w:szCs w:val="24"/>
          <w:highlight w:val="none"/>
        </w:rPr>
        <w:fldChar w:fldCharType="end"/>
      </w:r>
    </w:p>
    <w:p w14:paraId="5B8EF970">
      <w:pPr>
        <w:pStyle w:val="14"/>
        <w:keepNext w:val="0"/>
        <w:keepLines w:val="0"/>
        <w:pageBreakBefore w:val="0"/>
        <w:widowControl/>
        <w:tabs>
          <w:tab w:val="right" w:leader="dot" w:pos="9740"/>
        </w:tabs>
        <w:kinsoku/>
        <w:wordWrap/>
        <w:overflowPunct/>
        <w:topLinePunct w:val="0"/>
        <w:autoSpaceDE/>
        <w:autoSpaceDN/>
        <w:bidi w:val="0"/>
        <w:adjustRightInd/>
        <w:snapToGrid/>
        <w:spacing w:line="360" w:lineRule="auto"/>
        <w:textAlignment w:val="auto"/>
        <w:rPr>
          <w:rFonts w:hint="eastAsia" w:ascii="宋体" w:hAnsi="宋体" w:eastAsia="宋体" w:cs="宋体"/>
          <w:i w:val="0"/>
          <w:iCs w:val="0"/>
          <w:sz w:val="24"/>
          <w:szCs w:val="24"/>
        </w:rPr>
      </w:pPr>
      <w:r>
        <w:rPr>
          <w:rFonts w:hint="eastAsia" w:ascii="宋体" w:hAnsi="宋体" w:eastAsia="宋体" w:cs="宋体"/>
          <w:bCs/>
          <w:i w:val="0"/>
          <w:iCs w:val="0"/>
          <w:caps/>
          <w:sz w:val="24"/>
          <w:szCs w:val="24"/>
          <w:highlight w:val="none"/>
        </w:rPr>
        <w:fldChar w:fldCharType="begin"/>
      </w:r>
      <w:r>
        <w:rPr>
          <w:rFonts w:hint="eastAsia" w:ascii="宋体" w:hAnsi="宋体" w:eastAsia="宋体" w:cs="宋体"/>
          <w:bCs/>
          <w:i w:val="0"/>
          <w:iCs w:val="0"/>
          <w:caps/>
          <w:sz w:val="24"/>
          <w:szCs w:val="24"/>
          <w:highlight w:val="none"/>
        </w:rPr>
        <w:instrText xml:space="preserve"> HYPERLINK \l _Toc10141 </w:instrText>
      </w:r>
      <w:r>
        <w:rPr>
          <w:rFonts w:hint="eastAsia" w:ascii="宋体" w:hAnsi="宋体" w:eastAsia="宋体" w:cs="宋体"/>
          <w:bCs/>
          <w:i w:val="0"/>
          <w:iCs w:val="0"/>
          <w:caps/>
          <w:sz w:val="24"/>
          <w:szCs w:val="24"/>
          <w:highlight w:val="none"/>
        </w:rPr>
        <w:fldChar w:fldCharType="separate"/>
      </w:r>
      <w:r>
        <w:rPr>
          <w:rFonts w:hint="eastAsia" w:ascii="宋体" w:hAnsi="宋体" w:eastAsia="宋体" w:cs="宋体"/>
          <w:i w:val="0"/>
          <w:iCs w:val="0"/>
          <w:sz w:val="24"/>
          <w:szCs w:val="24"/>
          <w:highlight w:val="none"/>
          <w:lang w:eastAsia="zh-CN"/>
        </w:rPr>
        <w:t>十</w:t>
      </w:r>
      <w:r>
        <w:rPr>
          <w:rFonts w:hint="eastAsia" w:ascii="宋体" w:hAnsi="宋体" w:eastAsia="宋体" w:cs="宋体"/>
          <w:i w:val="0"/>
          <w:iCs w:val="0"/>
          <w:sz w:val="24"/>
          <w:szCs w:val="24"/>
          <w:highlight w:val="none"/>
          <w:lang w:val="en-US" w:eastAsia="zh-CN"/>
        </w:rPr>
        <w:t>四</w:t>
      </w:r>
      <w:r>
        <w:rPr>
          <w:rFonts w:hint="eastAsia" w:ascii="宋体" w:hAnsi="宋体" w:eastAsia="宋体" w:cs="宋体"/>
          <w:i w:val="0"/>
          <w:iCs w:val="0"/>
          <w:sz w:val="24"/>
          <w:szCs w:val="24"/>
          <w:highlight w:val="none"/>
          <w:lang w:eastAsia="zh-CN"/>
        </w:rPr>
        <w:t>、</w:t>
      </w:r>
      <w:r>
        <w:rPr>
          <w:rFonts w:hint="eastAsia" w:ascii="宋体" w:hAnsi="宋体" w:eastAsia="宋体" w:cs="宋体"/>
          <w:i w:val="0"/>
          <w:iCs w:val="0"/>
          <w:sz w:val="24"/>
          <w:szCs w:val="24"/>
          <w:highlight w:val="none"/>
        </w:rPr>
        <w:t>其他资料</w:t>
      </w:r>
      <w:r>
        <w:rPr>
          <w:rFonts w:hint="eastAsia" w:ascii="宋体" w:hAnsi="宋体" w:eastAsia="宋体" w:cs="宋体"/>
          <w:i w:val="0"/>
          <w:iCs w:val="0"/>
          <w:sz w:val="24"/>
          <w:szCs w:val="24"/>
        </w:rPr>
        <w:tab/>
      </w:r>
      <w:r>
        <w:rPr>
          <w:rFonts w:hint="eastAsia" w:ascii="宋体" w:hAnsi="宋体" w:eastAsia="宋体" w:cs="宋体"/>
          <w:i w:val="0"/>
          <w:iCs w:val="0"/>
          <w:sz w:val="24"/>
          <w:szCs w:val="24"/>
        </w:rPr>
        <w:fldChar w:fldCharType="begin"/>
      </w:r>
      <w:r>
        <w:rPr>
          <w:rFonts w:hint="eastAsia" w:ascii="宋体" w:hAnsi="宋体" w:eastAsia="宋体" w:cs="宋体"/>
          <w:i w:val="0"/>
          <w:iCs w:val="0"/>
          <w:sz w:val="24"/>
          <w:szCs w:val="24"/>
        </w:rPr>
        <w:instrText xml:space="preserve"> PAGEREF _Toc10141 \h </w:instrText>
      </w:r>
      <w:r>
        <w:rPr>
          <w:rFonts w:hint="eastAsia" w:ascii="宋体" w:hAnsi="宋体" w:eastAsia="宋体" w:cs="宋体"/>
          <w:i w:val="0"/>
          <w:iCs w:val="0"/>
          <w:sz w:val="24"/>
          <w:szCs w:val="24"/>
        </w:rPr>
        <w:fldChar w:fldCharType="separate"/>
      </w:r>
      <w:r>
        <w:rPr>
          <w:rFonts w:hint="eastAsia" w:ascii="宋体" w:hAnsi="宋体" w:eastAsia="宋体" w:cs="宋体"/>
          <w:i w:val="0"/>
          <w:iCs w:val="0"/>
          <w:sz w:val="24"/>
          <w:szCs w:val="24"/>
        </w:rPr>
        <w:t>68</w:t>
      </w:r>
      <w:r>
        <w:rPr>
          <w:rFonts w:hint="eastAsia" w:ascii="宋体" w:hAnsi="宋体" w:eastAsia="宋体" w:cs="宋体"/>
          <w:i w:val="0"/>
          <w:iCs w:val="0"/>
          <w:sz w:val="24"/>
          <w:szCs w:val="24"/>
        </w:rPr>
        <w:fldChar w:fldCharType="end"/>
      </w:r>
      <w:r>
        <w:rPr>
          <w:rFonts w:hint="eastAsia" w:ascii="宋体" w:hAnsi="宋体" w:eastAsia="宋体" w:cs="宋体"/>
          <w:bCs/>
          <w:i w:val="0"/>
          <w:iCs w:val="0"/>
          <w:caps/>
          <w:sz w:val="24"/>
          <w:szCs w:val="24"/>
          <w:highlight w:val="none"/>
        </w:rPr>
        <w:fldChar w:fldCharType="end"/>
      </w:r>
    </w:p>
    <w:p w14:paraId="242D6365">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cs="宋体"/>
          <w:sz w:val="24"/>
          <w:szCs w:val="24"/>
          <w:highlight w:val="none"/>
        </w:rPr>
      </w:pPr>
      <w:r>
        <w:rPr>
          <w:rFonts w:hint="eastAsia" w:ascii="宋体" w:hAnsi="宋体" w:cs="宋体"/>
          <w:bCs/>
          <w:caps/>
          <w:sz w:val="22"/>
          <w:szCs w:val="22"/>
          <w:highlight w:val="none"/>
        </w:rPr>
        <w:fldChar w:fldCharType="end"/>
      </w:r>
      <w:bookmarkStart w:id="1" w:name="_Toc25108"/>
      <w:bookmarkEnd w:id="1"/>
      <w:bookmarkStart w:id="2" w:name="_Toc29067"/>
      <w:bookmarkEnd w:id="2"/>
      <w:r>
        <w:rPr>
          <w:rFonts w:hint="eastAsia" w:ascii="宋体" w:hAnsi="宋体" w:cs="宋体"/>
          <w:sz w:val="24"/>
          <w:szCs w:val="24"/>
          <w:highlight w:val="none"/>
        </w:rPr>
        <w:t xml:space="preserve"> </w:t>
      </w:r>
    </w:p>
    <w:p w14:paraId="5E7C0E36">
      <w:pPr>
        <w:spacing w:line="400" w:lineRule="exact"/>
        <w:rPr>
          <w:rFonts w:hint="eastAsia" w:ascii="宋体" w:hAnsi="宋体"/>
          <w:highlight w:val="none"/>
        </w:rPr>
        <w:sectPr>
          <w:headerReference r:id="rId4" w:type="first"/>
          <w:headerReference r:id="rId3" w:type="default"/>
          <w:pgSz w:w="11906" w:h="16838"/>
          <w:pgMar w:top="1440" w:right="1083" w:bottom="1440" w:left="1083" w:header="720" w:footer="720" w:gutter="0"/>
          <w:pgNumType w:fmt="numberInDash" w:start="1"/>
          <w:cols w:space="720" w:num="1"/>
          <w:titlePg/>
          <w:docGrid w:type="lines" w:linePitch="317" w:charSpace="0"/>
        </w:sectPr>
      </w:pPr>
      <w:bookmarkStart w:id="3" w:name="_Toc3039"/>
      <w:bookmarkEnd w:id="3"/>
      <w:bookmarkStart w:id="4" w:name="_Toc12916"/>
      <w:bookmarkEnd w:id="4"/>
      <w:bookmarkStart w:id="5" w:name="_Toc24776"/>
    </w:p>
    <w:p w14:paraId="0F0CECB4">
      <w:pPr>
        <w:pStyle w:val="2"/>
        <w:spacing w:before="0" w:after="0" w:line="360" w:lineRule="auto"/>
        <w:jc w:val="center"/>
        <w:rPr>
          <w:rFonts w:hint="eastAsia" w:ascii="宋体" w:hAnsi="宋体"/>
          <w:color w:val="FF0000"/>
          <w:highlight w:val="none"/>
        </w:rPr>
      </w:pPr>
      <w:bookmarkStart w:id="6" w:name="_Toc26822"/>
      <w:r>
        <w:rPr>
          <w:rFonts w:hint="eastAsia" w:ascii="宋体" w:hAnsi="宋体"/>
          <w:highlight w:val="none"/>
        </w:rPr>
        <w:t>第一章 招标公告</w:t>
      </w:r>
      <w:bookmarkEnd w:id="5"/>
      <w:bookmarkEnd w:id="6"/>
    </w:p>
    <w:p w14:paraId="29E6994A">
      <w:pPr>
        <w:rPr>
          <w:rFonts w:hint="eastAsia" w:ascii="宋体" w:hAnsi="宋体"/>
          <w:highlight w:val="none"/>
        </w:rPr>
      </w:pPr>
    </w:p>
    <w:p w14:paraId="3070E511">
      <w:pPr>
        <w:spacing w:line="360" w:lineRule="auto"/>
        <w:jc w:val="center"/>
        <w:rPr>
          <w:rFonts w:hint="eastAsia" w:ascii="宋体" w:hAnsi="宋体"/>
          <w:b/>
          <w:sz w:val="44"/>
          <w:szCs w:val="44"/>
          <w:highlight w:val="none"/>
          <w:lang w:eastAsia="zh-CN"/>
        </w:rPr>
      </w:pPr>
      <w:r>
        <w:rPr>
          <w:rFonts w:hint="eastAsia" w:ascii="宋体" w:hAnsi="宋体"/>
          <w:b/>
          <w:sz w:val="44"/>
          <w:szCs w:val="44"/>
          <w:highlight w:val="none"/>
          <w:lang w:eastAsia="zh-CN"/>
        </w:rPr>
        <w:t>沪滇协作香格里拉市人民医院多导睡眠检测仪、血液净化机等采购项目</w:t>
      </w:r>
    </w:p>
    <w:p w14:paraId="25A2FD9A">
      <w:pPr>
        <w:spacing w:line="360" w:lineRule="auto"/>
        <w:jc w:val="center"/>
        <w:rPr>
          <w:rFonts w:hint="eastAsia" w:ascii="宋体" w:hAnsi="宋体"/>
          <w:sz w:val="28"/>
          <w:szCs w:val="28"/>
          <w:highlight w:val="none"/>
        </w:rPr>
      </w:pPr>
      <w:r>
        <w:rPr>
          <w:rFonts w:hint="eastAsia" w:ascii="宋体" w:hAnsi="宋体"/>
          <w:b/>
          <w:sz w:val="36"/>
          <w:szCs w:val="36"/>
          <w:highlight w:val="none"/>
        </w:rPr>
        <w:t>招标公告</w:t>
      </w:r>
    </w:p>
    <w:p w14:paraId="4F0F30F1">
      <w:pPr>
        <w:keepNext w:val="0"/>
        <w:keepLines w:val="0"/>
        <w:pageBreakBefore w:val="0"/>
        <w:widowControl w:val="0"/>
        <w:suppressLineNumbers w:val="0"/>
        <w:pBdr>
          <w:top w:val="single" w:color="auto" w:sz="4" w:space="1"/>
          <w:left w:val="single" w:color="auto" w:sz="4" w:space="4"/>
          <w:bottom w:val="single" w:color="auto" w:sz="4" w:space="1"/>
          <w:right w:val="single" w:color="auto" w:sz="4" w:space="4"/>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i w:val="0"/>
          <w:iCs w:val="0"/>
          <w:sz w:val="24"/>
          <w:szCs w:val="24"/>
          <w:lang w:val="en-US"/>
        </w:rPr>
      </w:pPr>
      <w:bookmarkStart w:id="7" w:name="_Toc29108"/>
      <w:bookmarkEnd w:id="7"/>
      <w:bookmarkStart w:id="8" w:name="_Toc32031"/>
      <w:bookmarkEnd w:id="8"/>
      <w:r>
        <w:rPr>
          <w:rFonts w:hint="eastAsia" w:ascii="宋体" w:hAnsi="宋体" w:eastAsia="宋体" w:cs="宋体"/>
          <w:i w:val="0"/>
          <w:iCs w:val="0"/>
          <w:kern w:val="2"/>
          <w:sz w:val="24"/>
          <w:szCs w:val="24"/>
          <w:lang w:val="en-US" w:eastAsia="zh-CN" w:bidi="ar"/>
        </w:rPr>
        <w:t>项目概况</w:t>
      </w:r>
    </w:p>
    <w:p w14:paraId="66747BA7">
      <w:pPr>
        <w:keepNext w:val="0"/>
        <w:keepLines w:val="0"/>
        <w:pageBreakBefore w:val="0"/>
        <w:widowControl w:val="0"/>
        <w:suppressLineNumbers w:val="0"/>
        <w:pBdr>
          <w:top w:val="single" w:color="auto" w:sz="4" w:space="1"/>
          <w:left w:val="single" w:color="auto" w:sz="4" w:space="4"/>
          <w:bottom w:val="single" w:color="auto" w:sz="4" w:space="1"/>
          <w:right w:val="single" w:color="auto" w:sz="4" w:space="4"/>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i w:val="0"/>
          <w:iCs w:val="0"/>
          <w:sz w:val="24"/>
          <w:szCs w:val="24"/>
          <w:highlight w:val="none"/>
          <w:lang w:val="en-US"/>
        </w:rPr>
      </w:pPr>
      <w:r>
        <w:rPr>
          <w:rFonts w:hint="eastAsia" w:ascii="宋体" w:hAnsi="宋体" w:cs="宋体"/>
          <w:i w:val="0"/>
          <w:iCs w:val="0"/>
          <w:kern w:val="2"/>
          <w:sz w:val="24"/>
          <w:szCs w:val="24"/>
          <w:lang w:val="en-US" w:eastAsia="zh-CN" w:bidi="ar"/>
        </w:rPr>
        <w:t>沪滇协作香格里拉市人民医院多导睡眠检测仪、血液净化机等采购项目</w:t>
      </w:r>
      <w:r>
        <w:rPr>
          <w:rFonts w:hint="eastAsia" w:ascii="宋体" w:hAnsi="宋体" w:eastAsia="宋体" w:cs="宋体"/>
          <w:i w:val="0"/>
          <w:iCs w:val="0"/>
          <w:kern w:val="2"/>
          <w:sz w:val="24"/>
          <w:szCs w:val="24"/>
          <w:lang w:val="en-US" w:eastAsia="zh-CN" w:bidi="ar"/>
        </w:rPr>
        <w:t>的潜在</w:t>
      </w:r>
      <w:r>
        <w:rPr>
          <w:rFonts w:hint="eastAsia" w:ascii="宋体" w:hAnsi="宋体" w:eastAsia="宋体" w:cs="宋体"/>
          <w:i w:val="0"/>
          <w:iCs w:val="0"/>
          <w:kern w:val="2"/>
          <w:sz w:val="24"/>
          <w:szCs w:val="24"/>
          <w:highlight w:val="none"/>
          <w:lang w:val="en-US" w:eastAsia="zh-CN" w:bidi="ar"/>
        </w:rPr>
        <w:t>投标人应在</w:t>
      </w:r>
      <w:r>
        <w:rPr>
          <w:rFonts w:hint="eastAsia" w:ascii="宋体" w:hAnsi="宋体" w:cs="宋体"/>
          <w:sz w:val="24"/>
          <w:szCs w:val="24"/>
          <w:highlight w:val="none"/>
          <w:u w:val="single"/>
        </w:rPr>
        <w:t>政采云平台（</w:t>
      </w:r>
      <w:r>
        <w:rPr>
          <w:rFonts w:ascii="宋体" w:hAnsi="宋体" w:cs="宋体"/>
          <w:sz w:val="24"/>
          <w:szCs w:val="24"/>
          <w:highlight w:val="none"/>
          <w:u w:val="single"/>
        </w:rPr>
        <w:fldChar w:fldCharType="begin"/>
      </w:r>
      <w:r>
        <w:rPr>
          <w:rFonts w:ascii="宋体" w:hAnsi="宋体" w:cs="宋体"/>
          <w:sz w:val="24"/>
          <w:szCs w:val="24"/>
          <w:highlight w:val="none"/>
          <w:u w:val="single"/>
        </w:rPr>
        <w:instrText xml:space="preserve"> HYPERLINK "</w:instrText>
      </w:r>
      <w:r>
        <w:rPr>
          <w:rFonts w:hint="eastAsia" w:ascii="宋体" w:hAnsi="宋体" w:cs="宋体"/>
          <w:sz w:val="24"/>
          <w:szCs w:val="24"/>
          <w:highlight w:val="none"/>
          <w:u w:val="single"/>
        </w:rPr>
        <w:instrText xml:space="preserve">https://www.zcygov.cn/）获取（下载）</w:instrText>
      </w:r>
      <w:r>
        <w:rPr>
          <w:rFonts w:hint="eastAsia" w:ascii="宋体" w:hAnsi="宋体" w:cs="宋体"/>
          <w:kern w:val="2"/>
          <w:sz w:val="24"/>
          <w:szCs w:val="24"/>
          <w:highlight w:val="none"/>
          <w:u w:val="single"/>
          <w:lang w:bidi="ar"/>
        </w:rPr>
        <w:instrText xml:space="preserve">获取招标文件，并于</w:instrText>
      </w:r>
      <w:r>
        <w:rPr>
          <w:rFonts w:ascii="宋体" w:hAnsi="宋体" w:cs="宋体"/>
          <w:kern w:val="2"/>
          <w:sz w:val="24"/>
          <w:szCs w:val="24"/>
          <w:highlight w:val="none"/>
          <w:u w:val="single"/>
          <w:lang w:bidi="ar"/>
        </w:rPr>
        <w:instrText xml:space="preserve">2024</w:instrText>
      </w:r>
      <w:r>
        <w:rPr>
          <w:rFonts w:hint="eastAsia" w:ascii="宋体" w:hAnsi="宋体" w:cs="宋体"/>
          <w:bCs/>
          <w:kern w:val="2"/>
          <w:sz w:val="24"/>
          <w:szCs w:val="24"/>
          <w:highlight w:val="none"/>
          <w:u w:val="single"/>
          <w:lang w:bidi="ar"/>
        </w:rPr>
        <w:instrText xml:space="preserve">年</w:instrText>
      </w:r>
      <w:r>
        <w:rPr>
          <w:rFonts w:ascii="宋体" w:hAnsi="宋体" w:cs="宋体"/>
          <w:sz w:val="24"/>
          <w:szCs w:val="24"/>
          <w:highlight w:val="none"/>
          <w:u w:val="single"/>
        </w:rPr>
        <w:instrText xml:space="preserve">" </w:instrText>
      </w:r>
      <w:r>
        <w:rPr>
          <w:rFonts w:ascii="宋体" w:hAnsi="宋体" w:cs="宋体"/>
          <w:sz w:val="24"/>
          <w:szCs w:val="24"/>
          <w:highlight w:val="none"/>
          <w:u w:val="single"/>
        </w:rPr>
        <w:fldChar w:fldCharType="separate"/>
      </w:r>
      <w:r>
        <w:rPr>
          <w:rStyle w:val="33"/>
          <w:rFonts w:hint="eastAsia" w:ascii="宋体" w:hAnsi="宋体" w:cs="宋体"/>
          <w:color w:val="auto"/>
          <w:sz w:val="24"/>
          <w:szCs w:val="24"/>
          <w:highlight w:val="none"/>
          <w:u w:val="single"/>
        </w:rPr>
        <w:t>https://www.zcygov.cn/）获取（下载）</w:t>
      </w:r>
      <w:r>
        <w:rPr>
          <w:rStyle w:val="33"/>
          <w:rFonts w:hint="eastAsia" w:ascii="宋体" w:hAnsi="宋体" w:cs="宋体"/>
          <w:color w:val="auto"/>
          <w:kern w:val="2"/>
          <w:sz w:val="24"/>
          <w:szCs w:val="24"/>
          <w:highlight w:val="none"/>
          <w:u w:val="single"/>
          <w:lang w:bidi="ar"/>
        </w:rPr>
        <w:t>获取招标文件，并于</w:t>
      </w:r>
      <w:r>
        <w:rPr>
          <w:rStyle w:val="33"/>
          <w:rFonts w:ascii="宋体" w:hAnsi="宋体" w:cs="宋体"/>
          <w:color w:val="auto"/>
          <w:kern w:val="2"/>
          <w:sz w:val="24"/>
          <w:szCs w:val="24"/>
          <w:highlight w:val="none"/>
          <w:u w:val="single"/>
          <w:lang w:bidi="ar"/>
        </w:rPr>
        <w:t>202</w:t>
      </w:r>
      <w:r>
        <w:rPr>
          <w:rStyle w:val="33"/>
          <w:rFonts w:hint="eastAsia" w:ascii="宋体" w:hAnsi="宋体" w:cs="宋体"/>
          <w:color w:val="auto"/>
          <w:kern w:val="2"/>
          <w:sz w:val="24"/>
          <w:szCs w:val="24"/>
          <w:highlight w:val="none"/>
          <w:u w:val="single"/>
          <w:lang w:val="en-US" w:eastAsia="zh-CN" w:bidi="ar"/>
        </w:rPr>
        <w:t>5</w:t>
      </w:r>
      <w:r>
        <w:rPr>
          <w:rStyle w:val="33"/>
          <w:rFonts w:hint="eastAsia" w:ascii="宋体" w:hAnsi="宋体" w:cs="宋体"/>
          <w:bCs/>
          <w:color w:val="auto"/>
          <w:kern w:val="2"/>
          <w:sz w:val="24"/>
          <w:szCs w:val="24"/>
          <w:highlight w:val="none"/>
          <w:u w:val="single"/>
          <w:lang w:bidi="ar"/>
        </w:rPr>
        <w:t>年</w:t>
      </w:r>
      <w:r>
        <w:rPr>
          <w:rFonts w:ascii="宋体" w:hAnsi="宋体" w:cs="宋体"/>
          <w:sz w:val="24"/>
          <w:szCs w:val="24"/>
          <w:highlight w:val="none"/>
          <w:u w:val="single"/>
        </w:rPr>
        <w:fldChar w:fldCharType="end"/>
      </w:r>
      <w:r>
        <w:rPr>
          <w:rFonts w:hint="eastAsia" w:ascii="宋体" w:hAnsi="宋体" w:cs="宋体"/>
          <w:sz w:val="24"/>
          <w:szCs w:val="24"/>
          <w:highlight w:val="none"/>
          <w:u w:val="single"/>
          <w:lang w:val="en-US" w:eastAsia="zh-CN"/>
        </w:rPr>
        <w:t>7</w:t>
      </w:r>
      <w:r>
        <w:rPr>
          <w:rFonts w:ascii="宋体" w:hAnsi="宋体"/>
          <w:highlight w:val="none"/>
          <w:u w:val="single"/>
        </w:rPr>
        <w:fldChar w:fldCharType="begin"/>
      </w:r>
      <w:r>
        <w:rPr>
          <w:rFonts w:ascii="宋体" w:hAnsi="宋体"/>
          <w:highlight w:val="none"/>
          <w:u w:val="single"/>
        </w:rPr>
        <w:instrText xml:space="preserve"> HYPERLINK "http://ggzy.yn.gov.cn/" \l "/homePag）获取招标文件，并于2023年   月" </w:instrText>
      </w:r>
      <w:r>
        <w:rPr>
          <w:rFonts w:ascii="宋体" w:hAnsi="宋体"/>
          <w:highlight w:val="none"/>
          <w:u w:val="single"/>
        </w:rPr>
        <w:fldChar w:fldCharType="separate"/>
      </w:r>
      <w:r>
        <w:rPr>
          <w:rStyle w:val="33"/>
          <w:rFonts w:hint="eastAsia" w:ascii="宋体" w:hAnsi="宋体" w:cs="宋体"/>
          <w:color w:val="auto"/>
          <w:kern w:val="2"/>
          <w:sz w:val="24"/>
          <w:szCs w:val="24"/>
          <w:highlight w:val="none"/>
          <w:u w:val="single"/>
        </w:rPr>
        <w:t>月</w:t>
      </w:r>
      <w:r>
        <w:rPr>
          <w:rStyle w:val="33"/>
          <w:rFonts w:hint="eastAsia" w:ascii="宋体" w:hAnsi="宋体" w:cs="宋体"/>
          <w:color w:val="auto"/>
          <w:kern w:val="2"/>
          <w:sz w:val="24"/>
          <w:szCs w:val="24"/>
          <w:highlight w:val="none"/>
          <w:u w:val="single"/>
        </w:rPr>
        <w:fldChar w:fldCharType="end"/>
      </w:r>
      <w:r>
        <w:rPr>
          <w:rStyle w:val="33"/>
          <w:rFonts w:hint="eastAsia" w:ascii="宋体" w:hAnsi="宋体" w:cs="宋体"/>
          <w:color w:val="auto"/>
          <w:kern w:val="2"/>
          <w:sz w:val="24"/>
          <w:szCs w:val="24"/>
          <w:highlight w:val="none"/>
          <w:u w:val="single"/>
          <w:lang w:val="en-US" w:eastAsia="zh-CN"/>
        </w:rPr>
        <w:t>9</w:t>
      </w:r>
      <w:r>
        <w:rPr>
          <w:rFonts w:hint="eastAsia" w:ascii="宋体" w:hAnsi="宋体" w:cs="宋体"/>
          <w:kern w:val="2"/>
          <w:sz w:val="24"/>
          <w:szCs w:val="24"/>
          <w:highlight w:val="none"/>
          <w:u w:val="single"/>
        </w:rPr>
        <w:t>日</w:t>
      </w:r>
      <w:r>
        <w:rPr>
          <w:rFonts w:hint="eastAsia" w:ascii="宋体" w:hAnsi="宋体" w:cs="宋体"/>
          <w:kern w:val="2"/>
          <w:sz w:val="24"/>
          <w:szCs w:val="24"/>
          <w:highlight w:val="none"/>
          <w:u w:val="single"/>
          <w:lang w:val="en-US" w:eastAsia="zh-CN"/>
        </w:rPr>
        <w:t>14</w:t>
      </w:r>
      <w:r>
        <w:rPr>
          <w:rFonts w:hint="eastAsia" w:ascii="宋体" w:hAnsi="宋体" w:cs="宋体"/>
          <w:kern w:val="2"/>
          <w:sz w:val="24"/>
          <w:szCs w:val="24"/>
          <w:highlight w:val="none"/>
          <w:u w:val="single"/>
        </w:rPr>
        <w:t>点</w:t>
      </w:r>
      <w:r>
        <w:rPr>
          <w:rFonts w:hint="eastAsia" w:ascii="宋体" w:hAnsi="宋体" w:cs="宋体"/>
          <w:kern w:val="2"/>
          <w:sz w:val="24"/>
          <w:szCs w:val="24"/>
          <w:highlight w:val="none"/>
          <w:u w:val="single"/>
          <w:lang w:val="en-US" w:eastAsia="zh-CN"/>
        </w:rPr>
        <w:t>3</w:t>
      </w:r>
      <w:r>
        <w:rPr>
          <w:rFonts w:hint="eastAsia" w:ascii="宋体" w:hAnsi="宋体" w:cs="宋体"/>
          <w:kern w:val="2"/>
          <w:sz w:val="24"/>
          <w:szCs w:val="24"/>
          <w:highlight w:val="none"/>
          <w:u w:val="single"/>
        </w:rPr>
        <w:t>0分</w:t>
      </w:r>
      <w:r>
        <w:rPr>
          <w:rFonts w:hint="eastAsia" w:ascii="宋体" w:hAnsi="宋体" w:cs="宋体"/>
          <w:bCs/>
          <w:kern w:val="2"/>
          <w:sz w:val="24"/>
          <w:szCs w:val="24"/>
          <w:highlight w:val="none"/>
          <w:u w:val="single"/>
        </w:rPr>
        <w:t>（</w:t>
      </w:r>
      <w:r>
        <w:rPr>
          <w:rFonts w:hint="eastAsia" w:ascii="宋体" w:hAnsi="宋体" w:cs="宋体"/>
          <w:bCs/>
          <w:kern w:val="2"/>
          <w:sz w:val="24"/>
          <w:szCs w:val="24"/>
          <w:highlight w:val="none"/>
        </w:rPr>
        <w:t>北京时间）前递交投标文件</w:t>
      </w:r>
      <w:r>
        <w:rPr>
          <w:rFonts w:hint="eastAsia" w:ascii="宋体" w:hAnsi="宋体" w:cs="宋体"/>
          <w:kern w:val="2"/>
          <w:sz w:val="24"/>
          <w:szCs w:val="24"/>
          <w:highlight w:val="none"/>
        </w:rPr>
        <w:t>。</w:t>
      </w:r>
    </w:p>
    <w:p w14:paraId="4E283D48">
      <w:pPr>
        <w:pStyle w:val="11"/>
        <w:pageBreakBefore w:val="0"/>
        <w:kinsoku/>
        <w:wordWrap/>
        <w:overflowPunct/>
        <w:topLinePunct w:val="0"/>
        <w:autoSpaceDE/>
        <w:autoSpaceDN/>
        <w:bidi w:val="0"/>
        <w:adjustRightInd/>
        <w:snapToGrid/>
        <w:spacing w:line="360" w:lineRule="auto"/>
        <w:textAlignment w:val="auto"/>
        <w:rPr>
          <w:rFonts w:hint="eastAsia"/>
          <w:sz w:val="24"/>
          <w:szCs w:val="24"/>
          <w:highlight w:val="none"/>
        </w:rPr>
      </w:pPr>
    </w:p>
    <w:p w14:paraId="34EC9236">
      <w:pPr>
        <w:pStyle w:val="3"/>
        <w:pageBreakBefore w:val="0"/>
        <w:widowControl/>
        <w:kinsoku/>
        <w:wordWrap/>
        <w:overflowPunct/>
        <w:topLinePunct w:val="0"/>
        <w:autoSpaceDE/>
        <w:autoSpaceDN/>
        <w:bidi w:val="0"/>
        <w:adjustRightInd/>
        <w:snapToGrid/>
        <w:spacing w:before="0" w:after="0" w:line="360" w:lineRule="auto"/>
        <w:textAlignment w:val="auto"/>
        <w:rPr>
          <w:rFonts w:hint="eastAsia"/>
          <w:color w:val="auto"/>
          <w:highlight w:val="none"/>
          <w:lang w:val="en-US"/>
        </w:rPr>
      </w:pPr>
      <w:bookmarkStart w:id="9" w:name="_Toc28359002"/>
      <w:bookmarkStart w:id="10" w:name="_Toc23453"/>
      <w:bookmarkStart w:id="11" w:name="_Toc23839"/>
      <w:bookmarkStart w:id="12" w:name="_Toc35393790"/>
      <w:bookmarkStart w:id="13" w:name="_Toc28359079"/>
      <w:bookmarkStart w:id="14" w:name="_Toc35393621"/>
      <w:bookmarkStart w:id="15" w:name="_Hlk24379207"/>
      <w:r>
        <w:rPr>
          <w:rFonts w:hint="eastAsia" w:ascii="宋体" w:hAnsi="宋体" w:eastAsia="宋体" w:cs="宋体"/>
          <w:b/>
          <w:bCs w:val="0"/>
          <w:i w:val="0"/>
          <w:iCs w:val="0"/>
          <w:color w:val="auto"/>
          <w:sz w:val="24"/>
          <w:szCs w:val="24"/>
          <w:highlight w:val="none"/>
          <w:lang w:eastAsia="zh-CN"/>
        </w:rPr>
        <w:t>一、项目基本情况</w:t>
      </w:r>
      <w:bookmarkEnd w:id="9"/>
      <w:bookmarkEnd w:id="10"/>
      <w:bookmarkEnd w:id="11"/>
      <w:bookmarkEnd w:id="12"/>
      <w:bookmarkEnd w:id="13"/>
      <w:bookmarkEnd w:id="14"/>
    </w:p>
    <w:p w14:paraId="547D2CCC">
      <w:pPr>
        <w:keepNext w:val="0"/>
        <w:keepLines w:val="0"/>
        <w:pageBreakBefore w:val="0"/>
        <w:widowControl w:val="0"/>
        <w:suppressLineNumbers w:val="0"/>
        <w:kinsoku/>
        <w:wordWrap/>
        <w:overflowPunct/>
        <w:topLinePunct w:val="0"/>
        <w:autoSpaceDE/>
        <w:autoSpaceDN/>
        <w:bidi w:val="0"/>
        <w:adjustRightInd/>
        <w:snapToGrid/>
        <w:spacing w:beforeAutospacing="0" w:afterAutospacing="0" w:line="360" w:lineRule="auto"/>
        <w:ind w:left="0" w:right="0" w:firstLine="480" w:firstLineChars="200"/>
        <w:jc w:val="both"/>
        <w:textAlignment w:val="auto"/>
        <w:rPr>
          <w:rFonts w:hint="default" w:ascii="宋体" w:hAnsi="宋体" w:eastAsia="宋体" w:cs="宋体"/>
          <w:i w:val="0"/>
          <w:iCs w:val="0"/>
          <w:color w:val="auto"/>
          <w:sz w:val="24"/>
          <w:szCs w:val="24"/>
          <w:highlight w:val="none"/>
          <w:lang w:val="en-US"/>
        </w:rPr>
      </w:pPr>
      <w:r>
        <w:rPr>
          <w:rFonts w:hint="eastAsia" w:ascii="宋体" w:hAnsi="宋体" w:eastAsia="宋体" w:cs="宋体"/>
          <w:i w:val="0"/>
          <w:iCs w:val="0"/>
          <w:color w:val="auto"/>
          <w:kern w:val="2"/>
          <w:sz w:val="24"/>
          <w:szCs w:val="24"/>
          <w:highlight w:val="none"/>
          <w:lang w:val="en-US" w:eastAsia="zh-CN" w:bidi="ar"/>
        </w:rPr>
        <w:t>项目编号：</w:t>
      </w:r>
      <w:r>
        <w:rPr>
          <w:rFonts w:hint="eastAsia" w:ascii="宋体" w:hAnsi="宋体" w:cs="宋体"/>
          <w:color w:val="auto"/>
          <w:kern w:val="2"/>
          <w:sz w:val="24"/>
          <w:szCs w:val="24"/>
          <w:highlight w:val="none"/>
          <w:lang w:eastAsia="zh-CN" w:bidi="ar"/>
        </w:rPr>
        <w:t xml:space="preserve">DQZC2025-G1-00159-YNYZ-0016 </w:t>
      </w:r>
    </w:p>
    <w:p w14:paraId="7BA7EBF1">
      <w:pPr>
        <w:keepNext w:val="0"/>
        <w:keepLines w:val="0"/>
        <w:pageBreakBefore w:val="0"/>
        <w:widowControl w:val="0"/>
        <w:suppressLineNumbers w:val="0"/>
        <w:kinsoku/>
        <w:wordWrap/>
        <w:overflowPunct/>
        <w:topLinePunct w:val="0"/>
        <w:autoSpaceDE/>
        <w:autoSpaceDN/>
        <w:bidi w:val="0"/>
        <w:adjustRightInd/>
        <w:snapToGrid/>
        <w:spacing w:beforeAutospacing="0" w:afterAutospacing="0" w:line="360" w:lineRule="auto"/>
        <w:ind w:left="0" w:right="0" w:firstLine="480" w:firstLineChars="200"/>
        <w:jc w:val="both"/>
        <w:textAlignment w:val="auto"/>
        <w:rPr>
          <w:rFonts w:hint="default" w:ascii="宋体" w:hAnsi="宋体" w:eastAsia="宋体" w:cs="宋体"/>
          <w:i w:val="0"/>
          <w:iCs w:val="0"/>
          <w:color w:val="auto"/>
          <w:sz w:val="24"/>
          <w:szCs w:val="24"/>
          <w:highlight w:val="none"/>
          <w:lang w:val="en-US"/>
        </w:rPr>
      </w:pPr>
      <w:r>
        <w:rPr>
          <w:rFonts w:hint="eastAsia" w:ascii="宋体" w:hAnsi="宋体" w:eastAsia="宋体" w:cs="宋体"/>
          <w:i w:val="0"/>
          <w:iCs w:val="0"/>
          <w:color w:val="auto"/>
          <w:kern w:val="2"/>
          <w:sz w:val="24"/>
          <w:szCs w:val="24"/>
          <w:highlight w:val="none"/>
          <w:lang w:val="en-US" w:eastAsia="zh-CN" w:bidi="ar"/>
        </w:rPr>
        <w:t>项目名称：</w:t>
      </w:r>
      <w:r>
        <w:rPr>
          <w:rFonts w:hint="eastAsia" w:ascii="宋体" w:hAnsi="宋体" w:cs="宋体"/>
          <w:i w:val="0"/>
          <w:iCs w:val="0"/>
          <w:color w:val="auto"/>
          <w:kern w:val="2"/>
          <w:sz w:val="24"/>
          <w:szCs w:val="24"/>
          <w:highlight w:val="none"/>
          <w:lang w:val="en-US" w:eastAsia="zh-CN" w:bidi="ar"/>
        </w:rPr>
        <w:t>沪滇协作香格里拉市人民医院多导睡眠检测仪、血液净化机等采购项目</w:t>
      </w:r>
    </w:p>
    <w:bookmarkEnd w:id="15"/>
    <w:p w14:paraId="39DB6BF1">
      <w:pPr>
        <w:keepNext w:val="0"/>
        <w:keepLines w:val="0"/>
        <w:pageBreakBefore w:val="0"/>
        <w:widowControl w:val="0"/>
        <w:suppressLineNumbers w:val="0"/>
        <w:kinsoku/>
        <w:wordWrap/>
        <w:overflowPunct/>
        <w:topLinePunct w:val="0"/>
        <w:autoSpaceDE/>
        <w:autoSpaceDN/>
        <w:bidi w:val="0"/>
        <w:adjustRightInd/>
        <w:snapToGrid/>
        <w:spacing w:beforeAutospacing="0" w:afterAutospacing="0" w:line="360" w:lineRule="auto"/>
        <w:ind w:left="0" w:right="0" w:firstLine="480" w:firstLineChars="200"/>
        <w:jc w:val="both"/>
        <w:textAlignment w:val="auto"/>
        <w:rPr>
          <w:rFonts w:hint="default" w:ascii="宋体" w:hAnsi="宋体" w:eastAsia="宋体" w:cs="宋体"/>
          <w:i w:val="0"/>
          <w:iCs w:val="0"/>
          <w:color w:val="auto"/>
          <w:sz w:val="24"/>
          <w:szCs w:val="24"/>
          <w:highlight w:val="none"/>
          <w:lang w:val="en-US"/>
        </w:rPr>
      </w:pPr>
      <w:r>
        <w:rPr>
          <w:rFonts w:hint="eastAsia" w:ascii="宋体" w:hAnsi="宋体" w:eastAsia="宋体" w:cs="宋体"/>
          <w:i w:val="0"/>
          <w:iCs w:val="0"/>
          <w:color w:val="auto"/>
          <w:kern w:val="2"/>
          <w:sz w:val="24"/>
          <w:szCs w:val="24"/>
          <w:highlight w:val="none"/>
          <w:lang w:val="en-US" w:eastAsia="zh-CN" w:bidi="ar"/>
        </w:rPr>
        <w:t>预算金额：</w:t>
      </w:r>
      <w:r>
        <w:rPr>
          <w:rFonts w:hint="eastAsia" w:ascii="宋体" w:hAnsi="宋体" w:cs="宋体"/>
          <w:i w:val="0"/>
          <w:iCs w:val="0"/>
          <w:color w:val="auto"/>
          <w:kern w:val="2"/>
          <w:sz w:val="24"/>
          <w:szCs w:val="24"/>
          <w:highlight w:val="none"/>
          <w:lang w:val="en-US" w:eastAsia="zh-CN" w:bidi="ar"/>
        </w:rPr>
        <w:t>81.558</w:t>
      </w:r>
      <w:r>
        <w:rPr>
          <w:rFonts w:hint="eastAsia" w:ascii="宋体" w:hAnsi="宋体" w:eastAsia="宋体" w:cs="宋体"/>
          <w:i w:val="0"/>
          <w:iCs w:val="0"/>
          <w:color w:val="auto"/>
          <w:kern w:val="2"/>
          <w:sz w:val="24"/>
          <w:szCs w:val="24"/>
          <w:highlight w:val="none"/>
          <w:lang w:val="en-US" w:eastAsia="zh-CN" w:bidi="ar"/>
        </w:rPr>
        <w:t>万元</w:t>
      </w:r>
    </w:p>
    <w:p w14:paraId="73EFC76B">
      <w:pPr>
        <w:widowControl w:val="0"/>
        <w:spacing w:line="360" w:lineRule="auto"/>
        <w:ind w:firstLine="480" w:firstLineChars="200"/>
        <w:jc w:val="both"/>
        <w:rPr>
          <w:rFonts w:hint="eastAsia" w:ascii="宋体" w:hAnsi="宋体" w:cs="宋体"/>
          <w:color w:val="auto"/>
          <w:kern w:val="2"/>
          <w:sz w:val="24"/>
          <w:szCs w:val="24"/>
          <w:highlight w:val="none"/>
          <w:lang w:bidi="ar"/>
        </w:rPr>
      </w:pPr>
      <w:r>
        <w:rPr>
          <w:rFonts w:hint="eastAsia" w:ascii="宋体" w:hAnsi="宋体" w:eastAsia="宋体" w:cs="宋体"/>
          <w:i w:val="0"/>
          <w:iCs w:val="0"/>
          <w:color w:val="auto"/>
          <w:kern w:val="2"/>
          <w:sz w:val="24"/>
          <w:szCs w:val="24"/>
          <w:highlight w:val="none"/>
          <w:lang w:val="en-US" w:eastAsia="zh-CN" w:bidi="ar"/>
        </w:rPr>
        <w:t>采购需求：</w:t>
      </w:r>
    </w:p>
    <w:tbl>
      <w:tblPr>
        <w:tblStyle w:val="28"/>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46"/>
        <w:gridCol w:w="4254"/>
        <w:gridCol w:w="1527"/>
        <w:gridCol w:w="1258"/>
        <w:gridCol w:w="1749"/>
      </w:tblGrid>
      <w:tr w14:paraId="799B20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86" w:type="pct"/>
            <w:noWrap w:val="0"/>
            <w:vAlign w:val="center"/>
          </w:tcPr>
          <w:p w14:paraId="30012468">
            <w:pPr>
              <w:pStyle w:val="2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right="0"/>
              <w:jc w:val="center"/>
              <w:textAlignment w:val="auto"/>
              <w:rPr>
                <w:rFonts w:hint="default" w:ascii="宋体" w:hAnsi="宋体" w:eastAsia="宋体" w:cs="宋体"/>
                <w:b/>
                <w:bCs/>
                <w:kern w:val="0"/>
                <w:sz w:val="24"/>
                <w:szCs w:val="24"/>
                <w:vertAlign w:val="baseline"/>
                <w:lang w:val="en-US" w:eastAsia="zh-CN" w:bidi="ar-SA"/>
              </w:rPr>
            </w:pPr>
            <w:r>
              <w:rPr>
                <w:rFonts w:hint="eastAsia" w:ascii="宋体" w:hAnsi="宋体" w:eastAsia="Times New Roman" w:cs="宋体"/>
                <w:b/>
                <w:bCs/>
                <w:kern w:val="0"/>
                <w:sz w:val="24"/>
                <w:szCs w:val="24"/>
                <w:vertAlign w:val="baseline"/>
                <w:lang w:val="en-US" w:eastAsia="zh-CN" w:bidi="ar-SA"/>
              </w:rPr>
              <w:t>序号</w:t>
            </w:r>
          </w:p>
        </w:tc>
        <w:tc>
          <w:tcPr>
            <w:tcW w:w="2184" w:type="pct"/>
            <w:noWrap w:val="0"/>
            <w:vAlign w:val="center"/>
          </w:tcPr>
          <w:p w14:paraId="0AADF70A">
            <w:pPr>
              <w:pStyle w:val="2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right="0"/>
              <w:jc w:val="center"/>
              <w:textAlignment w:val="auto"/>
              <w:rPr>
                <w:rFonts w:hint="default" w:ascii="宋体" w:hAnsi="宋体" w:eastAsia="宋体" w:cs="宋体"/>
                <w:b/>
                <w:bCs/>
                <w:kern w:val="0"/>
                <w:sz w:val="24"/>
                <w:szCs w:val="24"/>
                <w:vertAlign w:val="baseline"/>
                <w:lang w:val="en-US" w:eastAsia="zh-CN" w:bidi="ar-SA"/>
              </w:rPr>
            </w:pPr>
            <w:r>
              <w:rPr>
                <w:rFonts w:hint="eastAsia" w:ascii="宋体" w:hAnsi="宋体" w:eastAsia="Times New Roman" w:cs="宋体"/>
                <w:b/>
                <w:bCs/>
                <w:kern w:val="0"/>
                <w:sz w:val="24"/>
                <w:szCs w:val="24"/>
                <w:vertAlign w:val="baseline"/>
                <w:lang w:val="en-US" w:eastAsia="zh-CN" w:bidi="ar-SA"/>
              </w:rPr>
              <w:t>设备名称</w:t>
            </w:r>
          </w:p>
        </w:tc>
        <w:tc>
          <w:tcPr>
            <w:tcW w:w="784" w:type="pct"/>
            <w:noWrap w:val="0"/>
            <w:vAlign w:val="center"/>
          </w:tcPr>
          <w:p w14:paraId="12D3EB4C">
            <w:pPr>
              <w:pStyle w:val="2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right="0"/>
              <w:jc w:val="center"/>
              <w:textAlignment w:val="auto"/>
              <w:rPr>
                <w:rFonts w:hint="default" w:ascii="宋体" w:hAnsi="宋体" w:eastAsia="宋体" w:cs="宋体"/>
                <w:b/>
                <w:bCs/>
                <w:kern w:val="0"/>
                <w:sz w:val="24"/>
                <w:szCs w:val="24"/>
                <w:vertAlign w:val="baseline"/>
                <w:lang w:val="en-US" w:eastAsia="zh-CN" w:bidi="ar-SA"/>
              </w:rPr>
            </w:pPr>
            <w:r>
              <w:rPr>
                <w:rFonts w:hint="eastAsia" w:ascii="宋体" w:hAnsi="宋体" w:eastAsia="Times New Roman" w:cs="宋体"/>
                <w:b/>
                <w:bCs/>
                <w:kern w:val="0"/>
                <w:sz w:val="24"/>
                <w:szCs w:val="24"/>
                <w:vertAlign w:val="baseline"/>
                <w:lang w:val="en-US" w:eastAsia="zh-CN" w:bidi="ar-SA"/>
              </w:rPr>
              <w:t>单位</w:t>
            </w:r>
          </w:p>
        </w:tc>
        <w:tc>
          <w:tcPr>
            <w:tcW w:w="646" w:type="pct"/>
            <w:noWrap w:val="0"/>
            <w:vAlign w:val="center"/>
          </w:tcPr>
          <w:p w14:paraId="7D03C178">
            <w:pPr>
              <w:pStyle w:val="2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right="0"/>
              <w:jc w:val="center"/>
              <w:textAlignment w:val="auto"/>
              <w:rPr>
                <w:rFonts w:hint="default" w:ascii="宋体" w:hAnsi="宋体" w:eastAsia="宋体" w:cs="宋体"/>
                <w:b/>
                <w:bCs/>
                <w:kern w:val="0"/>
                <w:sz w:val="24"/>
                <w:szCs w:val="24"/>
                <w:vertAlign w:val="baseline"/>
                <w:lang w:val="en-US" w:eastAsia="zh-CN" w:bidi="ar-SA"/>
              </w:rPr>
            </w:pPr>
            <w:r>
              <w:rPr>
                <w:rFonts w:hint="eastAsia" w:ascii="宋体" w:hAnsi="宋体" w:eastAsia="Times New Roman" w:cs="宋体"/>
                <w:b/>
                <w:bCs/>
                <w:kern w:val="0"/>
                <w:sz w:val="24"/>
                <w:szCs w:val="24"/>
                <w:vertAlign w:val="baseline"/>
                <w:lang w:val="en-US" w:eastAsia="zh-CN" w:bidi="ar-SA"/>
              </w:rPr>
              <w:t>数量</w:t>
            </w:r>
          </w:p>
        </w:tc>
        <w:tc>
          <w:tcPr>
            <w:tcW w:w="898" w:type="pct"/>
            <w:noWrap w:val="0"/>
            <w:vAlign w:val="center"/>
          </w:tcPr>
          <w:p w14:paraId="35F27893">
            <w:pPr>
              <w:pStyle w:val="2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right="0"/>
              <w:jc w:val="center"/>
              <w:textAlignment w:val="auto"/>
              <w:rPr>
                <w:rFonts w:hint="default" w:ascii="宋体" w:hAnsi="宋体" w:eastAsia="宋体" w:cs="宋体"/>
                <w:b/>
                <w:bCs/>
                <w:kern w:val="0"/>
                <w:sz w:val="24"/>
                <w:szCs w:val="24"/>
                <w:vertAlign w:val="baseline"/>
                <w:lang w:val="en-US" w:eastAsia="zh-CN" w:bidi="ar-SA"/>
              </w:rPr>
            </w:pPr>
            <w:r>
              <w:rPr>
                <w:rFonts w:hint="eastAsia" w:ascii="宋体" w:hAnsi="宋体" w:eastAsia="Times New Roman" w:cs="宋体"/>
                <w:b/>
                <w:bCs/>
                <w:kern w:val="0"/>
                <w:sz w:val="24"/>
                <w:szCs w:val="24"/>
                <w:vertAlign w:val="baseline"/>
                <w:lang w:val="en-US" w:eastAsia="zh-CN" w:bidi="ar-SA"/>
              </w:rPr>
              <w:t>单价（元）</w:t>
            </w:r>
          </w:p>
        </w:tc>
      </w:tr>
      <w:tr w14:paraId="74B774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 w:hRule="atLeast"/>
        </w:trPr>
        <w:tc>
          <w:tcPr>
            <w:tcW w:w="486" w:type="pct"/>
            <w:noWrap w:val="0"/>
            <w:vAlign w:val="top"/>
          </w:tcPr>
          <w:p w14:paraId="33B0F867">
            <w:pPr>
              <w:pStyle w:val="2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right="0"/>
              <w:jc w:val="center"/>
              <w:textAlignment w:val="auto"/>
              <w:rPr>
                <w:rFonts w:hint="default" w:ascii="宋体" w:hAnsi="宋体" w:eastAsia="宋体" w:cs="宋体"/>
                <w:kern w:val="0"/>
                <w:sz w:val="24"/>
                <w:szCs w:val="24"/>
                <w:vertAlign w:val="baseline"/>
                <w:lang w:val="en-US" w:eastAsia="zh-CN" w:bidi="ar-SA"/>
              </w:rPr>
            </w:pPr>
            <w:r>
              <w:rPr>
                <w:rFonts w:hint="eastAsia" w:ascii="宋体" w:hAnsi="宋体" w:eastAsia="Times New Roman" w:cs="宋体"/>
                <w:kern w:val="0"/>
                <w:sz w:val="24"/>
                <w:szCs w:val="24"/>
                <w:vertAlign w:val="baseline"/>
                <w:lang w:val="en-US" w:eastAsia="zh-CN" w:bidi="ar-SA"/>
              </w:rPr>
              <w:t>1</w:t>
            </w:r>
          </w:p>
        </w:tc>
        <w:tc>
          <w:tcPr>
            <w:tcW w:w="2184" w:type="pct"/>
            <w:noWrap w:val="0"/>
            <w:vAlign w:val="center"/>
          </w:tcPr>
          <w:p w14:paraId="39FED0C1">
            <w:pPr>
              <w:pStyle w:val="2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right="0"/>
              <w:jc w:val="center"/>
              <w:textAlignment w:val="auto"/>
              <w:rPr>
                <w:rFonts w:hint="eastAsia" w:ascii="宋体" w:hAnsi="宋体" w:eastAsia="宋体" w:cs="宋体"/>
                <w:kern w:val="0"/>
                <w:sz w:val="24"/>
                <w:szCs w:val="24"/>
                <w:vertAlign w:val="baseline"/>
                <w:lang w:val="en-US" w:eastAsia="zh-CN" w:bidi="ar-SA"/>
              </w:rPr>
            </w:pPr>
            <w:r>
              <w:rPr>
                <w:rFonts w:hint="eastAsia"/>
                <w:sz w:val="24"/>
                <w:szCs w:val="24"/>
              </w:rPr>
              <w:t>多</w:t>
            </w:r>
            <w:r>
              <w:rPr>
                <w:sz w:val="24"/>
                <w:szCs w:val="24"/>
              </w:rPr>
              <w:t>导睡眠监测仪</w:t>
            </w:r>
          </w:p>
        </w:tc>
        <w:tc>
          <w:tcPr>
            <w:tcW w:w="784" w:type="pct"/>
            <w:noWrap w:val="0"/>
            <w:vAlign w:val="center"/>
          </w:tcPr>
          <w:p w14:paraId="6F4E95C9">
            <w:pPr>
              <w:pStyle w:val="2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right="0"/>
              <w:jc w:val="center"/>
              <w:textAlignment w:val="auto"/>
              <w:rPr>
                <w:rFonts w:hint="default" w:ascii="宋体" w:hAnsi="宋体" w:eastAsia="宋体" w:cs="宋体"/>
                <w:kern w:val="0"/>
                <w:sz w:val="24"/>
                <w:szCs w:val="24"/>
                <w:vertAlign w:val="baseline"/>
                <w:lang w:val="en-US" w:eastAsia="zh-CN" w:bidi="ar-SA"/>
              </w:rPr>
            </w:pPr>
            <w:r>
              <w:rPr>
                <w:rFonts w:hint="eastAsia" w:ascii="宋体" w:hAnsi="宋体" w:eastAsia="Times New Roman" w:cs="宋体"/>
                <w:kern w:val="0"/>
                <w:sz w:val="24"/>
                <w:szCs w:val="24"/>
                <w:vertAlign w:val="baseline"/>
                <w:lang w:val="en-US" w:eastAsia="zh-CN" w:bidi="ar-SA"/>
              </w:rPr>
              <w:t>台</w:t>
            </w:r>
          </w:p>
        </w:tc>
        <w:tc>
          <w:tcPr>
            <w:tcW w:w="646" w:type="pct"/>
            <w:noWrap w:val="0"/>
            <w:vAlign w:val="center"/>
          </w:tcPr>
          <w:p w14:paraId="1BC8172F">
            <w:pPr>
              <w:pStyle w:val="2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right="0"/>
              <w:jc w:val="center"/>
              <w:textAlignment w:val="auto"/>
              <w:rPr>
                <w:rFonts w:hint="default" w:ascii="宋体" w:hAnsi="宋体" w:eastAsia="宋体" w:cs="宋体"/>
                <w:kern w:val="0"/>
                <w:sz w:val="24"/>
                <w:szCs w:val="24"/>
                <w:vertAlign w:val="baseline"/>
                <w:lang w:val="en-US" w:eastAsia="zh-CN" w:bidi="ar-SA"/>
              </w:rPr>
            </w:pPr>
            <w:r>
              <w:rPr>
                <w:rFonts w:hint="eastAsia" w:ascii="宋体" w:hAnsi="宋体" w:eastAsia="Times New Roman" w:cs="宋体"/>
                <w:kern w:val="0"/>
                <w:sz w:val="24"/>
                <w:szCs w:val="24"/>
                <w:vertAlign w:val="baseline"/>
                <w:lang w:val="en-US" w:eastAsia="zh-CN" w:bidi="ar-SA"/>
              </w:rPr>
              <w:t>1</w:t>
            </w:r>
          </w:p>
        </w:tc>
        <w:tc>
          <w:tcPr>
            <w:tcW w:w="898" w:type="pct"/>
            <w:noWrap w:val="0"/>
            <w:vAlign w:val="center"/>
          </w:tcPr>
          <w:p w14:paraId="327B2D9F">
            <w:pPr>
              <w:keepNext w:val="0"/>
              <w:keepLines w:val="0"/>
              <w:widowControl/>
              <w:suppressLineNumbers w:val="0"/>
              <w:jc w:val="center"/>
              <w:textAlignment w:val="center"/>
              <w:rPr>
                <w:rFonts w:hint="default" w:ascii="宋体" w:hAnsi="宋体" w:eastAsia="宋体" w:cs="宋体"/>
                <w:b w:val="0"/>
                <w:bCs w:val="0"/>
                <w:kern w:val="0"/>
                <w:sz w:val="24"/>
                <w:szCs w:val="24"/>
                <w:vertAlign w:val="baseline"/>
                <w:lang w:val="en-US" w:eastAsia="zh-CN" w:bidi="ar-SA"/>
              </w:rPr>
            </w:pPr>
            <w:r>
              <w:rPr>
                <w:rFonts w:hint="eastAsia"/>
                <w:sz w:val="24"/>
                <w:szCs w:val="24"/>
              </w:rPr>
              <w:t>265000.00</w:t>
            </w:r>
          </w:p>
        </w:tc>
      </w:tr>
      <w:tr w14:paraId="7B66B1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86" w:type="pct"/>
            <w:noWrap w:val="0"/>
            <w:vAlign w:val="top"/>
          </w:tcPr>
          <w:p w14:paraId="51348027">
            <w:pPr>
              <w:pStyle w:val="2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right="0"/>
              <w:jc w:val="center"/>
              <w:textAlignment w:val="auto"/>
              <w:rPr>
                <w:rFonts w:hint="default" w:ascii="宋体" w:hAnsi="宋体" w:eastAsia="宋体" w:cs="宋体"/>
                <w:kern w:val="0"/>
                <w:sz w:val="24"/>
                <w:szCs w:val="24"/>
                <w:vertAlign w:val="baseline"/>
                <w:lang w:val="en-US" w:eastAsia="zh-CN" w:bidi="ar-SA"/>
              </w:rPr>
            </w:pPr>
            <w:r>
              <w:rPr>
                <w:rFonts w:hint="eastAsia" w:ascii="宋体" w:hAnsi="宋体" w:eastAsia="Times New Roman" w:cs="宋体"/>
                <w:kern w:val="0"/>
                <w:sz w:val="24"/>
                <w:szCs w:val="24"/>
                <w:vertAlign w:val="baseline"/>
                <w:lang w:val="en-US" w:eastAsia="zh-CN" w:bidi="ar-SA"/>
              </w:rPr>
              <w:t>2</w:t>
            </w:r>
          </w:p>
        </w:tc>
        <w:tc>
          <w:tcPr>
            <w:tcW w:w="2184" w:type="pct"/>
            <w:noWrap w:val="0"/>
            <w:vAlign w:val="center"/>
          </w:tcPr>
          <w:p w14:paraId="2A3B1870">
            <w:pPr>
              <w:pStyle w:val="2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right="0"/>
              <w:jc w:val="center"/>
              <w:textAlignment w:val="auto"/>
              <w:rPr>
                <w:rFonts w:hint="eastAsia" w:ascii="宋体" w:hAnsi="宋体" w:eastAsia="宋体" w:cs="宋体"/>
                <w:kern w:val="0"/>
                <w:sz w:val="24"/>
                <w:szCs w:val="24"/>
                <w:vertAlign w:val="baseline"/>
                <w:lang w:val="en-US" w:eastAsia="zh-CN" w:bidi="ar-SA"/>
              </w:rPr>
            </w:pPr>
            <w:r>
              <w:rPr>
                <w:sz w:val="24"/>
                <w:szCs w:val="24"/>
              </w:rPr>
              <w:t>血液净化机</w:t>
            </w:r>
            <w:r>
              <w:rPr>
                <w:rFonts w:hint="eastAsia"/>
                <w:sz w:val="24"/>
                <w:szCs w:val="24"/>
              </w:rPr>
              <w:t>CRRT</w:t>
            </w:r>
          </w:p>
        </w:tc>
        <w:tc>
          <w:tcPr>
            <w:tcW w:w="784" w:type="pct"/>
            <w:noWrap w:val="0"/>
            <w:vAlign w:val="center"/>
          </w:tcPr>
          <w:p w14:paraId="4CE36B0D">
            <w:pPr>
              <w:pStyle w:val="2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right="0"/>
              <w:jc w:val="center"/>
              <w:textAlignment w:val="auto"/>
              <w:rPr>
                <w:rFonts w:hint="default" w:ascii="宋体" w:hAnsi="宋体" w:eastAsia="宋体" w:cs="宋体"/>
                <w:kern w:val="0"/>
                <w:sz w:val="24"/>
                <w:szCs w:val="24"/>
                <w:vertAlign w:val="baseline"/>
                <w:lang w:val="en-US" w:eastAsia="zh-CN" w:bidi="ar-SA"/>
              </w:rPr>
            </w:pPr>
            <w:r>
              <w:rPr>
                <w:rFonts w:hint="eastAsia" w:ascii="宋体" w:hAnsi="宋体" w:eastAsia="Times New Roman" w:cs="宋体"/>
                <w:kern w:val="0"/>
                <w:sz w:val="24"/>
                <w:szCs w:val="24"/>
                <w:vertAlign w:val="baseline"/>
                <w:lang w:val="en-US" w:eastAsia="zh-CN" w:bidi="ar-SA"/>
              </w:rPr>
              <w:t>台</w:t>
            </w:r>
          </w:p>
        </w:tc>
        <w:tc>
          <w:tcPr>
            <w:tcW w:w="646" w:type="pct"/>
            <w:noWrap w:val="0"/>
            <w:vAlign w:val="center"/>
          </w:tcPr>
          <w:p w14:paraId="44011718">
            <w:pPr>
              <w:pStyle w:val="2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right="0"/>
              <w:jc w:val="center"/>
              <w:textAlignment w:val="auto"/>
              <w:rPr>
                <w:rFonts w:hint="default" w:ascii="宋体" w:hAnsi="宋体" w:eastAsia="宋体" w:cs="宋体"/>
                <w:kern w:val="0"/>
                <w:sz w:val="24"/>
                <w:szCs w:val="24"/>
                <w:vertAlign w:val="baseline"/>
                <w:lang w:val="en-US" w:eastAsia="zh-CN" w:bidi="ar-SA"/>
              </w:rPr>
            </w:pPr>
            <w:r>
              <w:rPr>
                <w:rFonts w:hint="eastAsia" w:ascii="宋体" w:hAnsi="宋体" w:eastAsia="Times New Roman" w:cs="宋体"/>
                <w:kern w:val="0"/>
                <w:sz w:val="24"/>
                <w:szCs w:val="24"/>
                <w:vertAlign w:val="baseline"/>
                <w:lang w:val="en-US" w:eastAsia="zh-CN" w:bidi="ar-SA"/>
              </w:rPr>
              <w:t>1</w:t>
            </w:r>
          </w:p>
        </w:tc>
        <w:tc>
          <w:tcPr>
            <w:tcW w:w="898" w:type="pct"/>
            <w:noWrap w:val="0"/>
            <w:vAlign w:val="center"/>
          </w:tcPr>
          <w:p w14:paraId="46F9B342">
            <w:pPr>
              <w:keepNext w:val="0"/>
              <w:keepLines w:val="0"/>
              <w:widowControl/>
              <w:suppressLineNumbers w:val="0"/>
              <w:jc w:val="center"/>
              <w:textAlignment w:val="center"/>
              <w:rPr>
                <w:rFonts w:hint="default" w:ascii="宋体" w:hAnsi="宋体" w:eastAsia="宋体" w:cs="宋体"/>
                <w:b w:val="0"/>
                <w:bCs w:val="0"/>
                <w:kern w:val="0"/>
                <w:sz w:val="24"/>
                <w:szCs w:val="24"/>
                <w:vertAlign w:val="baseline"/>
                <w:lang w:val="en-US" w:eastAsia="zh-CN" w:bidi="ar-SA"/>
              </w:rPr>
            </w:pPr>
            <w:r>
              <w:rPr>
                <w:rFonts w:hint="eastAsia" w:ascii="宋体" w:hAnsi="宋体" w:cs="宋体"/>
                <w:spacing w:val="3"/>
                <w:sz w:val="24"/>
                <w:szCs w:val="24"/>
                <w:lang w:val="en-US" w:eastAsia="zh-CN"/>
              </w:rPr>
              <w:t>400000.00</w:t>
            </w:r>
          </w:p>
        </w:tc>
      </w:tr>
      <w:tr w14:paraId="542457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86" w:type="pct"/>
            <w:noWrap w:val="0"/>
            <w:vAlign w:val="top"/>
          </w:tcPr>
          <w:p w14:paraId="50CBA291">
            <w:pPr>
              <w:pStyle w:val="2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right="0"/>
              <w:jc w:val="center"/>
              <w:textAlignment w:val="auto"/>
              <w:rPr>
                <w:rFonts w:hint="default" w:ascii="宋体" w:hAnsi="宋体" w:eastAsia="Times New Roman" w:cs="宋体"/>
                <w:kern w:val="0"/>
                <w:sz w:val="24"/>
                <w:szCs w:val="24"/>
                <w:vertAlign w:val="baseline"/>
                <w:lang w:val="en-US" w:eastAsia="zh-CN" w:bidi="ar-SA"/>
              </w:rPr>
            </w:pPr>
            <w:r>
              <w:rPr>
                <w:rFonts w:hint="eastAsia" w:ascii="宋体" w:hAnsi="宋体" w:eastAsia="Times New Roman" w:cs="宋体"/>
                <w:kern w:val="0"/>
                <w:sz w:val="24"/>
                <w:szCs w:val="24"/>
                <w:vertAlign w:val="baseline"/>
                <w:lang w:val="en-US" w:eastAsia="zh-CN" w:bidi="ar-SA"/>
              </w:rPr>
              <w:t>3</w:t>
            </w:r>
          </w:p>
        </w:tc>
        <w:tc>
          <w:tcPr>
            <w:tcW w:w="2184" w:type="pct"/>
            <w:noWrap w:val="0"/>
            <w:vAlign w:val="center"/>
          </w:tcPr>
          <w:p w14:paraId="02CD239B">
            <w:pPr>
              <w:pStyle w:val="2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right="0"/>
              <w:jc w:val="center"/>
              <w:textAlignment w:val="auto"/>
              <w:rPr>
                <w:rFonts w:hint="default" w:ascii="宋体" w:hAnsi="宋体" w:eastAsia="宋体" w:cs="宋体"/>
                <w:kern w:val="0"/>
                <w:sz w:val="24"/>
                <w:szCs w:val="24"/>
                <w:vertAlign w:val="baseline"/>
                <w:lang w:val="en-US" w:eastAsia="zh-CN" w:bidi="ar-SA"/>
              </w:rPr>
            </w:pPr>
            <w:r>
              <w:rPr>
                <w:sz w:val="24"/>
                <w:szCs w:val="24"/>
              </w:rPr>
              <w:t>阴道分泌物检测仪</w:t>
            </w:r>
          </w:p>
        </w:tc>
        <w:tc>
          <w:tcPr>
            <w:tcW w:w="784" w:type="pct"/>
            <w:noWrap w:val="0"/>
            <w:vAlign w:val="center"/>
          </w:tcPr>
          <w:p w14:paraId="54FB76E8">
            <w:pPr>
              <w:pStyle w:val="2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right="0"/>
              <w:jc w:val="center"/>
              <w:textAlignment w:val="auto"/>
              <w:rPr>
                <w:rFonts w:hint="default" w:ascii="宋体" w:hAnsi="宋体" w:eastAsia="宋体" w:cs="宋体"/>
                <w:kern w:val="0"/>
                <w:sz w:val="24"/>
                <w:szCs w:val="24"/>
                <w:vertAlign w:val="baseline"/>
                <w:lang w:val="en-US" w:eastAsia="zh-CN" w:bidi="ar-SA"/>
              </w:rPr>
            </w:pPr>
            <w:r>
              <w:rPr>
                <w:rFonts w:hint="eastAsia" w:ascii="宋体" w:hAnsi="宋体" w:eastAsia="Times New Roman" w:cs="宋体"/>
                <w:kern w:val="0"/>
                <w:sz w:val="24"/>
                <w:szCs w:val="24"/>
                <w:vertAlign w:val="baseline"/>
                <w:lang w:val="en-US" w:eastAsia="zh-CN" w:bidi="ar-SA"/>
              </w:rPr>
              <w:t>台</w:t>
            </w:r>
          </w:p>
        </w:tc>
        <w:tc>
          <w:tcPr>
            <w:tcW w:w="646" w:type="pct"/>
            <w:noWrap w:val="0"/>
            <w:vAlign w:val="center"/>
          </w:tcPr>
          <w:p w14:paraId="60B5C99E">
            <w:pPr>
              <w:pStyle w:val="2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right="0"/>
              <w:jc w:val="center"/>
              <w:textAlignment w:val="auto"/>
              <w:rPr>
                <w:rFonts w:hint="default" w:ascii="宋体" w:hAnsi="宋体" w:eastAsia="宋体" w:cs="宋体"/>
                <w:kern w:val="0"/>
                <w:sz w:val="24"/>
                <w:szCs w:val="24"/>
                <w:vertAlign w:val="baseline"/>
                <w:lang w:val="en-US" w:eastAsia="zh-CN" w:bidi="ar-SA"/>
              </w:rPr>
            </w:pPr>
            <w:r>
              <w:rPr>
                <w:rFonts w:hint="eastAsia" w:ascii="宋体" w:hAnsi="宋体" w:cs="宋体"/>
                <w:kern w:val="0"/>
                <w:sz w:val="24"/>
                <w:szCs w:val="24"/>
                <w:vertAlign w:val="baseline"/>
                <w:lang w:val="en-US" w:eastAsia="zh-CN" w:bidi="ar-SA"/>
              </w:rPr>
              <w:t>1</w:t>
            </w:r>
          </w:p>
        </w:tc>
        <w:tc>
          <w:tcPr>
            <w:tcW w:w="898" w:type="pct"/>
            <w:noWrap w:val="0"/>
            <w:vAlign w:val="center"/>
          </w:tcPr>
          <w:p w14:paraId="255B2900">
            <w:pPr>
              <w:keepNext w:val="0"/>
              <w:keepLines w:val="0"/>
              <w:widowControl/>
              <w:suppressLineNumbers w:val="0"/>
              <w:jc w:val="center"/>
              <w:textAlignment w:val="center"/>
              <w:rPr>
                <w:rFonts w:hint="default" w:ascii="宋体" w:hAnsi="宋体" w:eastAsia="宋体" w:cs="宋体"/>
                <w:b w:val="0"/>
                <w:bCs w:val="0"/>
                <w:kern w:val="0"/>
                <w:sz w:val="24"/>
                <w:szCs w:val="24"/>
                <w:vertAlign w:val="baseline"/>
                <w:lang w:val="en-US" w:eastAsia="zh-CN" w:bidi="ar-SA"/>
              </w:rPr>
            </w:pPr>
            <w:r>
              <w:rPr>
                <w:rFonts w:hint="eastAsia" w:ascii="宋体" w:hAnsi="宋体" w:cs="宋体"/>
                <w:spacing w:val="1"/>
                <w:position w:val="1"/>
                <w:sz w:val="24"/>
                <w:szCs w:val="24"/>
                <w:lang w:val="en-US" w:eastAsia="zh-CN"/>
              </w:rPr>
              <w:t>80000.00</w:t>
            </w:r>
          </w:p>
        </w:tc>
      </w:tr>
      <w:tr w14:paraId="7BE0C6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486" w:type="pct"/>
            <w:noWrap w:val="0"/>
            <w:vAlign w:val="top"/>
          </w:tcPr>
          <w:p w14:paraId="55365EB6">
            <w:pPr>
              <w:pStyle w:val="2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right="0"/>
              <w:jc w:val="center"/>
              <w:textAlignment w:val="auto"/>
              <w:rPr>
                <w:rFonts w:hint="default" w:ascii="宋体" w:hAnsi="宋体" w:eastAsia="Times New Roman" w:cs="宋体"/>
                <w:kern w:val="0"/>
                <w:sz w:val="24"/>
                <w:szCs w:val="24"/>
                <w:vertAlign w:val="baseline"/>
                <w:lang w:val="en-US" w:eastAsia="zh-CN" w:bidi="ar-SA"/>
              </w:rPr>
            </w:pPr>
            <w:r>
              <w:rPr>
                <w:rFonts w:hint="eastAsia" w:ascii="宋体" w:hAnsi="宋体" w:eastAsia="Times New Roman" w:cs="宋体"/>
                <w:kern w:val="0"/>
                <w:sz w:val="24"/>
                <w:szCs w:val="24"/>
                <w:vertAlign w:val="baseline"/>
                <w:lang w:val="en-US" w:eastAsia="zh-CN" w:bidi="ar-SA"/>
              </w:rPr>
              <w:t>4</w:t>
            </w:r>
          </w:p>
        </w:tc>
        <w:tc>
          <w:tcPr>
            <w:tcW w:w="2184" w:type="pct"/>
            <w:noWrap w:val="0"/>
            <w:vAlign w:val="center"/>
          </w:tcPr>
          <w:p w14:paraId="052D9C52">
            <w:pPr>
              <w:pStyle w:val="2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right="0"/>
              <w:jc w:val="center"/>
              <w:textAlignment w:val="auto"/>
              <w:rPr>
                <w:rFonts w:hint="eastAsia" w:ascii="宋体" w:hAnsi="宋体" w:eastAsia="宋体" w:cs="宋体"/>
                <w:spacing w:val="7"/>
                <w:sz w:val="24"/>
                <w:szCs w:val="24"/>
              </w:rPr>
            </w:pPr>
            <w:r>
              <w:rPr>
                <w:sz w:val="24"/>
                <w:szCs w:val="24"/>
              </w:rPr>
              <w:t>心电图机</w:t>
            </w:r>
          </w:p>
        </w:tc>
        <w:tc>
          <w:tcPr>
            <w:tcW w:w="784" w:type="pct"/>
            <w:noWrap w:val="0"/>
            <w:vAlign w:val="center"/>
          </w:tcPr>
          <w:p w14:paraId="4A4CB5F4">
            <w:pPr>
              <w:pStyle w:val="2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right="0"/>
              <w:jc w:val="center"/>
              <w:textAlignment w:val="auto"/>
              <w:rPr>
                <w:rFonts w:hint="eastAsia" w:ascii="宋体" w:hAnsi="宋体" w:eastAsia="Times New Roman" w:cs="宋体"/>
                <w:kern w:val="0"/>
                <w:sz w:val="24"/>
                <w:szCs w:val="24"/>
                <w:vertAlign w:val="baseline"/>
                <w:lang w:val="en-US" w:eastAsia="zh-CN" w:bidi="ar-SA"/>
              </w:rPr>
            </w:pPr>
            <w:r>
              <w:rPr>
                <w:rFonts w:hint="eastAsia" w:ascii="宋体" w:hAnsi="宋体" w:eastAsia="Times New Roman" w:cs="宋体"/>
                <w:kern w:val="0"/>
                <w:sz w:val="24"/>
                <w:szCs w:val="24"/>
                <w:vertAlign w:val="baseline"/>
                <w:lang w:val="en-US" w:eastAsia="zh-CN" w:bidi="ar-SA"/>
              </w:rPr>
              <w:t>台</w:t>
            </w:r>
          </w:p>
        </w:tc>
        <w:tc>
          <w:tcPr>
            <w:tcW w:w="646" w:type="pct"/>
            <w:noWrap w:val="0"/>
            <w:vAlign w:val="center"/>
          </w:tcPr>
          <w:p w14:paraId="4B87E480">
            <w:pPr>
              <w:pStyle w:val="2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right="0"/>
              <w:jc w:val="center"/>
              <w:textAlignment w:val="auto"/>
              <w:rPr>
                <w:rFonts w:hint="default" w:ascii="宋体" w:hAnsi="宋体" w:cs="宋体"/>
                <w:kern w:val="0"/>
                <w:sz w:val="24"/>
                <w:szCs w:val="24"/>
                <w:vertAlign w:val="baseline"/>
                <w:lang w:val="en-US" w:eastAsia="zh-CN" w:bidi="ar-SA"/>
              </w:rPr>
            </w:pPr>
            <w:r>
              <w:rPr>
                <w:rFonts w:hint="eastAsia" w:ascii="宋体" w:hAnsi="宋体" w:cs="宋体"/>
                <w:kern w:val="0"/>
                <w:sz w:val="24"/>
                <w:szCs w:val="24"/>
                <w:vertAlign w:val="baseline"/>
                <w:lang w:val="en-US" w:eastAsia="zh-CN" w:bidi="ar-SA"/>
              </w:rPr>
              <w:t>2</w:t>
            </w:r>
          </w:p>
        </w:tc>
        <w:tc>
          <w:tcPr>
            <w:tcW w:w="898" w:type="pct"/>
            <w:noWrap w:val="0"/>
            <w:vAlign w:val="center"/>
          </w:tcPr>
          <w:p w14:paraId="0BB7E2D2">
            <w:pPr>
              <w:keepNext w:val="0"/>
              <w:keepLines w:val="0"/>
              <w:widowControl/>
              <w:suppressLineNumbers w:val="0"/>
              <w:jc w:val="center"/>
              <w:textAlignment w:val="center"/>
              <w:rPr>
                <w:rFonts w:hint="default" w:ascii="宋体" w:hAnsi="宋体" w:eastAsia="宋体" w:cs="宋体"/>
                <w:spacing w:val="1"/>
                <w:position w:val="1"/>
                <w:sz w:val="24"/>
                <w:szCs w:val="24"/>
                <w:lang w:val="en-US"/>
              </w:rPr>
            </w:pPr>
            <w:r>
              <w:rPr>
                <w:rFonts w:hint="eastAsia" w:ascii="宋体" w:hAnsi="宋体" w:cs="宋体"/>
                <w:sz w:val="24"/>
                <w:szCs w:val="24"/>
                <w:vertAlign w:val="baseline"/>
                <w:lang w:val="en-US" w:eastAsia="zh-CN"/>
              </w:rPr>
              <w:t>29000.00</w:t>
            </w:r>
          </w:p>
        </w:tc>
      </w:tr>
      <w:tr w14:paraId="2AA3A7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86" w:type="pct"/>
            <w:noWrap w:val="0"/>
            <w:vAlign w:val="top"/>
          </w:tcPr>
          <w:p w14:paraId="79FC21B1">
            <w:pPr>
              <w:pStyle w:val="2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right="0"/>
              <w:jc w:val="center"/>
              <w:textAlignment w:val="auto"/>
              <w:rPr>
                <w:rFonts w:hint="default" w:ascii="宋体" w:hAnsi="宋体" w:eastAsia="Times New Roman" w:cs="宋体"/>
                <w:kern w:val="0"/>
                <w:sz w:val="24"/>
                <w:szCs w:val="24"/>
                <w:vertAlign w:val="baseline"/>
                <w:lang w:val="en-US" w:eastAsia="zh-CN" w:bidi="ar-SA"/>
              </w:rPr>
            </w:pPr>
            <w:r>
              <w:rPr>
                <w:rFonts w:hint="eastAsia" w:ascii="宋体" w:hAnsi="宋体" w:eastAsia="Times New Roman" w:cs="宋体"/>
                <w:kern w:val="0"/>
                <w:sz w:val="24"/>
                <w:szCs w:val="24"/>
                <w:vertAlign w:val="baseline"/>
                <w:lang w:val="en-US" w:eastAsia="zh-CN" w:bidi="ar-SA"/>
              </w:rPr>
              <w:t>5</w:t>
            </w:r>
          </w:p>
        </w:tc>
        <w:tc>
          <w:tcPr>
            <w:tcW w:w="2184" w:type="pct"/>
            <w:noWrap w:val="0"/>
            <w:vAlign w:val="center"/>
          </w:tcPr>
          <w:p w14:paraId="0256C8FE">
            <w:pPr>
              <w:pStyle w:val="2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right="0"/>
              <w:jc w:val="center"/>
              <w:textAlignment w:val="auto"/>
              <w:rPr>
                <w:rFonts w:hint="eastAsia" w:ascii="宋体" w:hAnsi="宋体" w:eastAsia="宋体" w:cs="宋体"/>
                <w:spacing w:val="4"/>
                <w:sz w:val="24"/>
                <w:szCs w:val="24"/>
              </w:rPr>
            </w:pPr>
            <w:r>
              <w:rPr>
                <w:sz w:val="24"/>
                <w:szCs w:val="24"/>
              </w:rPr>
              <w:t>麻醉医生工作台</w:t>
            </w:r>
          </w:p>
        </w:tc>
        <w:tc>
          <w:tcPr>
            <w:tcW w:w="784" w:type="pct"/>
            <w:noWrap w:val="0"/>
            <w:vAlign w:val="center"/>
          </w:tcPr>
          <w:p w14:paraId="21FCE720">
            <w:pPr>
              <w:pStyle w:val="2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right="0"/>
              <w:jc w:val="center"/>
              <w:textAlignment w:val="auto"/>
              <w:rPr>
                <w:rFonts w:hint="default" w:ascii="宋体" w:hAnsi="宋体" w:eastAsia="Times New Roman" w:cs="宋体"/>
                <w:kern w:val="0"/>
                <w:sz w:val="24"/>
                <w:szCs w:val="24"/>
                <w:vertAlign w:val="baseline"/>
                <w:lang w:val="en-US" w:eastAsia="zh-CN" w:bidi="ar-SA"/>
              </w:rPr>
            </w:pPr>
            <w:r>
              <w:rPr>
                <w:rFonts w:hint="eastAsia" w:ascii="宋体" w:hAnsi="宋体" w:eastAsia="Times New Roman" w:cs="宋体"/>
                <w:kern w:val="0"/>
                <w:sz w:val="24"/>
                <w:szCs w:val="24"/>
                <w:vertAlign w:val="baseline"/>
                <w:lang w:val="en-US" w:eastAsia="zh-CN" w:bidi="ar-SA"/>
              </w:rPr>
              <w:t>张</w:t>
            </w:r>
          </w:p>
        </w:tc>
        <w:tc>
          <w:tcPr>
            <w:tcW w:w="646" w:type="pct"/>
            <w:noWrap w:val="0"/>
            <w:vAlign w:val="center"/>
          </w:tcPr>
          <w:p w14:paraId="3F82ABC8">
            <w:pPr>
              <w:pStyle w:val="2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right="0"/>
              <w:jc w:val="center"/>
              <w:textAlignment w:val="auto"/>
              <w:rPr>
                <w:rFonts w:hint="default" w:ascii="宋体" w:hAnsi="宋体" w:cs="宋体"/>
                <w:kern w:val="0"/>
                <w:sz w:val="24"/>
                <w:szCs w:val="24"/>
                <w:vertAlign w:val="baseline"/>
                <w:lang w:val="en-US" w:eastAsia="zh-CN" w:bidi="ar-SA"/>
              </w:rPr>
            </w:pPr>
            <w:r>
              <w:rPr>
                <w:rFonts w:hint="eastAsia" w:ascii="宋体" w:hAnsi="宋体" w:cs="宋体"/>
                <w:kern w:val="0"/>
                <w:sz w:val="24"/>
                <w:szCs w:val="24"/>
                <w:vertAlign w:val="baseline"/>
                <w:lang w:val="en-US" w:eastAsia="zh-CN" w:bidi="ar-SA"/>
              </w:rPr>
              <w:t>2</w:t>
            </w:r>
          </w:p>
        </w:tc>
        <w:tc>
          <w:tcPr>
            <w:tcW w:w="898" w:type="pct"/>
            <w:noWrap w:val="0"/>
            <w:vAlign w:val="center"/>
          </w:tcPr>
          <w:p w14:paraId="62E35EDE">
            <w:pPr>
              <w:keepNext w:val="0"/>
              <w:keepLines w:val="0"/>
              <w:widowControl/>
              <w:suppressLineNumbers w:val="0"/>
              <w:jc w:val="center"/>
              <w:textAlignment w:val="center"/>
              <w:rPr>
                <w:rFonts w:hint="default" w:ascii="宋体" w:hAnsi="宋体" w:eastAsia="宋体" w:cs="宋体"/>
                <w:sz w:val="24"/>
                <w:szCs w:val="24"/>
                <w:vertAlign w:val="baseline"/>
                <w:lang w:val="en-US" w:eastAsia="zh-CN"/>
              </w:rPr>
            </w:pPr>
            <w:r>
              <w:rPr>
                <w:rFonts w:hint="eastAsia" w:ascii="宋体" w:hAnsi="宋体" w:cs="宋体"/>
                <w:spacing w:val="2"/>
                <w:position w:val="1"/>
                <w:sz w:val="24"/>
                <w:szCs w:val="24"/>
                <w:lang w:val="en-US" w:eastAsia="zh-CN"/>
              </w:rPr>
              <w:t>3200.00</w:t>
            </w:r>
          </w:p>
        </w:tc>
      </w:tr>
      <w:tr w14:paraId="160878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86" w:type="pct"/>
            <w:noWrap w:val="0"/>
            <w:vAlign w:val="top"/>
          </w:tcPr>
          <w:p w14:paraId="5B4CF991">
            <w:pPr>
              <w:pStyle w:val="2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right="0"/>
              <w:jc w:val="center"/>
              <w:textAlignment w:val="auto"/>
              <w:rPr>
                <w:rFonts w:hint="default" w:ascii="宋体" w:hAnsi="宋体" w:eastAsia="Times New Roman" w:cs="宋体"/>
                <w:kern w:val="0"/>
                <w:sz w:val="24"/>
                <w:szCs w:val="24"/>
                <w:vertAlign w:val="baseline"/>
                <w:lang w:val="en-US" w:eastAsia="zh-CN" w:bidi="ar-SA"/>
              </w:rPr>
            </w:pPr>
            <w:r>
              <w:rPr>
                <w:rFonts w:hint="eastAsia" w:ascii="宋体" w:hAnsi="宋体" w:eastAsia="Times New Roman" w:cs="宋体"/>
                <w:kern w:val="0"/>
                <w:sz w:val="24"/>
                <w:szCs w:val="24"/>
                <w:vertAlign w:val="baseline"/>
                <w:lang w:val="en-US" w:eastAsia="zh-CN" w:bidi="ar-SA"/>
              </w:rPr>
              <w:t>6</w:t>
            </w:r>
          </w:p>
        </w:tc>
        <w:tc>
          <w:tcPr>
            <w:tcW w:w="2184" w:type="pct"/>
            <w:noWrap w:val="0"/>
            <w:vAlign w:val="center"/>
          </w:tcPr>
          <w:p w14:paraId="59E3DE34">
            <w:pPr>
              <w:pStyle w:val="2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right="0"/>
              <w:jc w:val="center"/>
              <w:textAlignment w:val="auto"/>
              <w:rPr>
                <w:rFonts w:hint="eastAsia" w:ascii="宋体" w:hAnsi="宋体" w:eastAsia="宋体" w:cs="宋体"/>
                <w:spacing w:val="4"/>
                <w:sz w:val="24"/>
                <w:szCs w:val="24"/>
              </w:rPr>
            </w:pPr>
            <w:r>
              <w:rPr>
                <w:sz w:val="24"/>
                <w:szCs w:val="24"/>
              </w:rPr>
              <w:t>骨科四肢清创台</w:t>
            </w:r>
          </w:p>
        </w:tc>
        <w:tc>
          <w:tcPr>
            <w:tcW w:w="784" w:type="pct"/>
            <w:noWrap w:val="0"/>
            <w:vAlign w:val="center"/>
          </w:tcPr>
          <w:p w14:paraId="41CAF287">
            <w:pPr>
              <w:pStyle w:val="2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right="0"/>
              <w:jc w:val="center"/>
              <w:textAlignment w:val="auto"/>
              <w:rPr>
                <w:rFonts w:hint="default" w:ascii="宋体" w:hAnsi="宋体" w:eastAsia="Times New Roman" w:cs="宋体"/>
                <w:kern w:val="0"/>
                <w:sz w:val="24"/>
                <w:szCs w:val="24"/>
                <w:vertAlign w:val="baseline"/>
                <w:lang w:val="en-US" w:eastAsia="zh-CN" w:bidi="ar-SA"/>
              </w:rPr>
            </w:pPr>
            <w:r>
              <w:rPr>
                <w:rFonts w:hint="eastAsia" w:ascii="宋体" w:hAnsi="宋体" w:eastAsia="Times New Roman" w:cs="宋体"/>
                <w:kern w:val="0"/>
                <w:sz w:val="24"/>
                <w:szCs w:val="24"/>
                <w:vertAlign w:val="baseline"/>
                <w:lang w:val="en-US" w:eastAsia="zh-CN" w:bidi="ar-SA"/>
              </w:rPr>
              <w:t>张</w:t>
            </w:r>
          </w:p>
        </w:tc>
        <w:tc>
          <w:tcPr>
            <w:tcW w:w="646" w:type="pct"/>
            <w:noWrap w:val="0"/>
            <w:vAlign w:val="center"/>
          </w:tcPr>
          <w:p w14:paraId="7E4687DF">
            <w:pPr>
              <w:pStyle w:val="2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right="0"/>
              <w:jc w:val="center"/>
              <w:textAlignment w:val="auto"/>
              <w:rPr>
                <w:rFonts w:hint="default" w:ascii="宋体" w:hAnsi="宋体" w:cs="宋体"/>
                <w:kern w:val="0"/>
                <w:sz w:val="24"/>
                <w:szCs w:val="24"/>
                <w:vertAlign w:val="baseline"/>
                <w:lang w:val="en-US" w:eastAsia="zh-CN" w:bidi="ar-SA"/>
              </w:rPr>
            </w:pPr>
            <w:r>
              <w:rPr>
                <w:rFonts w:hint="eastAsia" w:ascii="宋体" w:hAnsi="宋体" w:cs="宋体"/>
                <w:kern w:val="0"/>
                <w:sz w:val="24"/>
                <w:szCs w:val="24"/>
                <w:vertAlign w:val="baseline"/>
                <w:lang w:val="en-US" w:eastAsia="zh-CN" w:bidi="ar-SA"/>
              </w:rPr>
              <w:t>1</w:t>
            </w:r>
          </w:p>
        </w:tc>
        <w:tc>
          <w:tcPr>
            <w:tcW w:w="898" w:type="pct"/>
            <w:noWrap w:val="0"/>
            <w:vAlign w:val="center"/>
          </w:tcPr>
          <w:p w14:paraId="609A5DC5">
            <w:pPr>
              <w:keepNext w:val="0"/>
              <w:keepLines w:val="0"/>
              <w:widowControl/>
              <w:suppressLineNumbers w:val="0"/>
              <w:jc w:val="center"/>
              <w:textAlignment w:val="center"/>
              <w:rPr>
                <w:rFonts w:hint="eastAsia" w:ascii="宋体" w:hAnsi="宋体" w:eastAsia="宋体" w:cs="宋体"/>
                <w:spacing w:val="2"/>
                <w:position w:val="1"/>
                <w:sz w:val="24"/>
                <w:szCs w:val="24"/>
              </w:rPr>
            </w:pPr>
            <w:r>
              <w:rPr>
                <w:rFonts w:hint="eastAsia" w:ascii="宋体" w:hAnsi="宋体" w:cs="宋体"/>
                <w:spacing w:val="3"/>
                <w:position w:val="1"/>
                <w:sz w:val="24"/>
                <w:szCs w:val="24"/>
                <w:lang w:val="en-US" w:eastAsia="zh-CN"/>
              </w:rPr>
              <w:t>4300</w:t>
            </w:r>
            <w:r>
              <w:rPr>
                <w:rFonts w:hint="eastAsia" w:ascii="宋体" w:hAnsi="宋体" w:eastAsia="宋体" w:cs="宋体"/>
                <w:spacing w:val="3"/>
                <w:position w:val="1"/>
                <w:sz w:val="24"/>
                <w:szCs w:val="24"/>
              </w:rPr>
              <w:t>.0</w:t>
            </w:r>
            <w:r>
              <w:rPr>
                <w:rFonts w:hint="eastAsia" w:ascii="宋体" w:hAnsi="宋体" w:eastAsia="宋体" w:cs="宋体"/>
                <w:spacing w:val="3"/>
                <w:position w:val="1"/>
                <w:sz w:val="24"/>
                <w:szCs w:val="24"/>
                <w:lang w:val="en-US" w:eastAsia="zh-CN"/>
              </w:rPr>
              <w:t>0</w:t>
            </w:r>
          </w:p>
        </w:tc>
      </w:tr>
      <w:tr w14:paraId="3BCA4E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86" w:type="pct"/>
            <w:noWrap w:val="0"/>
            <w:vAlign w:val="top"/>
          </w:tcPr>
          <w:p w14:paraId="1018A32E">
            <w:pPr>
              <w:pStyle w:val="2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right="0"/>
              <w:jc w:val="center"/>
              <w:textAlignment w:val="auto"/>
              <w:rPr>
                <w:rFonts w:hint="default" w:ascii="宋体" w:hAnsi="宋体" w:eastAsia="Times New Roman" w:cs="宋体"/>
                <w:kern w:val="0"/>
                <w:sz w:val="24"/>
                <w:szCs w:val="24"/>
                <w:vertAlign w:val="baseline"/>
                <w:lang w:val="en-US" w:eastAsia="zh-CN" w:bidi="ar-SA"/>
              </w:rPr>
            </w:pPr>
            <w:r>
              <w:rPr>
                <w:rFonts w:hint="eastAsia" w:ascii="宋体" w:hAnsi="宋体" w:eastAsia="Times New Roman" w:cs="宋体"/>
                <w:kern w:val="0"/>
                <w:sz w:val="24"/>
                <w:szCs w:val="24"/>
                <w:vertAlign w:val="baseline"/>
                <w:lang w:val="en-US" w:eastAsia="zh-CN" w:bidi="ar-SA"/>
              </w:rPr>
              <w:t>7</w:t>
            </w:r>
          </w:p>
        </w:tc>
        <w:tc>
          <w:tcPr>
            <w:tcW w:w="2184" w:type="pct"/>
            <w:noWrap w:val="0"/>
            <w:vAlign w:val="center"/>
          </w:tcPr>
          <w:p w14:paraId="25A2EBB5">
            <w:pPr>
              <w:pStyle w:val="2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right="0"/>
              <w:jc w:val="center"/>
              <w:textAlignment w:val="auto"/>
              <w:rPr>
                <w:rFonts w:hint="eastAsia" w:ascii="宋体" w:hAnsi="宋体" w:eastAsia="宋体" w:cs="宋体"/>
                <w:spacing w:val="7"/>
                <w:sz w:val="24"/>
                <w:szCs w:val="24"/>
              </w:rPr>
            </w:pPr>
            <w:r>
              <w:rPr>
                <w:sz w:val="24"/>
                <w:szCs w:val="24"/>
              </w:rPr>
              <w:t>输血保温箱</w:t>
            </w:r>
          </w:p>
        </w:tc>
        <w:tc>
          <w:tcPr>
            <w:tcW w:w="784" w:type="pct"/>
            <w:noWrap w:val="0"/>
            <w:vAlign w:val="center"/>
          </w:tcPr>
          <w:p w14:paraId="5AC65A93">
            <w:pPr>
              <w:pStyle w:val="2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right="0"/>
              <w:jc w:val="center"/>
              <w:textAlignment w:val="auto"/>
              <w:rPr>
                <w:rFonts w:hint="eastAsia" w:ascii="宋体" w:hAnsi="宋体" w:eastAsia="Times New Roman" w:cs="宋体"/>
                <w:kern w:val="0"/>
                <w:sz w:val="24"/>
                <w:szCs w:val="24"/>
                <w:vertAlign w:val="baseline"/>
                <w:lang w:val="en-US" w:eastAsia="zh-CN" w:bidi="ar-SA"/>
              </w:rPr>
            </w:pPr>
            <w:r>
              <w:rPr>
                <w:rFonts w:hint="eastAsia" w:ascii="宋体" w:hAnsi="宋体" w:eastAsia="Times New Roman" w:cs="宋体"/>
                <w:kern w:val="0"/>
                <w:sz w:val="24"/>
                <w:szCs w:val="24"/>
                <w:vertAlign w:val="baseline"/>
                <w:lang w:val="en-US" w:eastAsia="zh-CN" w:bidi="ar-SA"/>
              </w:rPr>
              <w:t>1</w:t>
            </w:r>
          </w:p>
        </w:tc>
        <w:tc>
          <w:tcPr>
            <w:tcW w:w="646" w:type="pct"/>
            <w:noWrap w:val="0"/>
            <w:vAlign w:val="center"/>
          </w:tcPr>
          <w:p w14:paraId="370E6A92">
            <w:pPr>
              <w:pStyle w:val="2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right="0"/>
              <w:jc w:val="center"/>
              <w:textAlignment w:val="auto"/>
              <w:rPr>
                <w:rFonts w:hint="default" w:ascii="宋体" w:hAnsi="宋体" w:cs="宋体"/>
                <w:kern w:val="0"/>
                <w:sz w:val="24"/>
                <w:szCs w:val="24"/>
                <w:vertAlign w:val="baseline"/>
                <w:lang w:val="en-US" w:eastAsia="zh-CN" w:bidi="ar-SA"/>
              </w:rPr>
            </w:pPr>
            <w:r>
              <w:rPr>
                <w:rFonts w:hint="eastAsia" w:ascii="宋体" w:hAnsi="宋体" w:cs="宋体"/>
                <w:kern w:val="0"/>
                <w:sz w:val="24"/>
                <w:szCs w:val="24"/>
                <w:vertAlign w:val="baseline"/>
                <w:lang w:val="en-US" w:eastAsia="zh-CN" w:bidi="ar-SA"/>
              </w:rPr>
              <w:t>1</w:t>
            </w:r>
          </w:p>
        </w:tc>
        <w:tc>
          <w:tcPr>
            <w:tcW w:w="898" w:type="pct"/>
            <w:noWrap w:val="0"/>
            <w:vAlign w:val="center"/>
          </w:tcPr>
          <w:p w14:paraId="06F8A75F">
            <w:pPr>
              <w:keepNext w:val="0"/>
              <w:keepLines w:val="0"/>
              <w:widowControl/>
              <w:suppressLineNumbers w:val="0"/>
              <w:jc w:val="center"/>
              <w:textAlignment w:val="center"/>
              <w:rPr>
                <w:rFonts w:hint="eastAsia" w:ascii="宋体" w:hAnsi="宋体" w:eastAsia="宋体" w:cs="宋体"/>
                <w:spacing w:val="3"/>
                <w:position w:val="1"/>
                <w:sz w:val="24"/>
                <w:szCs w:val="24"/>
              </w:rPr>
            </w:pPr>
            <w:r>
              <w:rPr>
                <w:rFonts w:hint="eastAsia" w:ascii="宋体" w:hAnsi="宋体" w:cs="宋体"/>
                <w:spacing w:val="1"/>
                <w:sz w:val="24"/>
                <w:szCs w:val="24"/>
                <w:lang w:val="en-US" w:eastAsia="zh-CN"/>
              </w:rPr>
              <w:t>1880</w:t>
            </w:r>
            <w:r>
              <w:rPr>
                <w:rFonts w:hint="eastAsia" w:ascii="宋体" w:hAnsi="宋体" w:eastAsia="宋体" w:cs="宋体"/>
                <w:spacing w:val="1"/>
                <w:sz w:val="24"/>
                <w:szCs w:val="24"/>
                <w:lang w:val="en-US" w:eastAsia="zh-CN"/>
              </w:rPr>
              <w:t>.0</w:t>
            </w:r>
            <w:r>
              <w:rPr>
                <w:rFonts w:hint="eastAsia" w:ascii="宋体" w:hAnsi="宋体" w:cs="宋体"/>
                <w:spacing w:val="1"/>
                <w:sz w:val="24"/>
                <w:szCs w:val="24"/>
                <w:lang w:val="en-US" w:eastAsia="zh-CN"/>
              </w:rPr>
              <w:t>0</w:t>
            </w:r>
          </w:p>
        </w:tc>
      </w:tr>
    </w:tbl>
    <w:p w14:paraId="078BC0B0">
      <w:pPr>
        <w:keepNext w:val="0"/>
        <w:keepLines w:val="0"/>
        <w:pageBreakBefore w:val="0"/>
        <w:widowControl w:val="0"/>
        <w:suppressLineNumbers w:val="0"/>
        <w:kinsoku/>
        <w:wordWrap/>
        <w:overflowPunct/>
        <w:topLinePunct w:val="0"/>
        <w:autoSpaceDE/>
        <w:autoSpaceDN/>
        <w:bidi w:val="0"/>
        <w:adjustRightInd/>
        <w:snapToGrid/>
        <w:spacing w:beforeAutospacing="0" w:afterAutospacing="0" w:line="360" w:lineRule="auto"/>
        <w:ind w:left="0" w:right="0" w:firstLine="480" w:firstLineChars="200"/>
        <w:jc w:val="both"/>
        <w:textAlignment w:val="auto"/>
        <w:rPr>
          <w:rFonts w:hint="eastAsia" w:ascii="宋体" w:hAnsi="宋体" w:eastAsia="宋体" w:cs="宋体"/>
          <w:i w:val="0"/>
          <w:iCs w:val="0"/>
          <w:color w:val="auto"/>
          <w:sz w:val="24"/>
          <w:szCs w:val="24"/>
          <w:highlight w:val="none"/>
          <w:u w:val="single"/>
          <w:lang w:val="en-US"/>
        </w:rPr>
      </w:pPr>
      <w:r>
        <w:rPr>
          <w:rFonts w:hint="eastAsia" w:ascii="宋体" w:hAnsi="宋体" w:eastAsia="宋体" w:cs="宋体"/>
          <w:i w:val="0"/>
          <w:iCs w:val="0"/>
          <w:color w:val="auto"/>
          <w:kern w:val="2"/>
          <w:sz w:val="24"/>
          <w:szCs w:val="24"/>
          <w:highlight w:val="none"/>
          <w:lang w:val="en-US" w:eastAsia="zh-CN" w:bidi="ar"/>
        </w:rPr>
        <w:t>合同履行期限：</w:t>
      </w:r>
      <w:r>
        <w:rPr>
          <w:rFonts w:hint="eastAsia" w:ascii="宋体" w:hAnsi="宋体" w:cs="宋体"/>
          <w:color w:val="auto"/>
          <w:kern w:val="2"/>
          <w:sz w:val="24"/>
          <w:szCs w:val="24"/>
          <w:highlight w:val="none"/>
          <w:lang w:val="en-US" w:eastAsia="zh-CN" w:bidi="ar"/>
        </w:rPr>
        <w:t>自合同签订之日起至质保期满止。</w:t>
      </w:r>
    </w:p>
    <w:p w14:paraId="338CC0C0">
      <w:pPr>
        <w:keepNext w:val="0"/>
        <w:keepLines w:val="0"/>
        <w:pageBreakBefore w:val="0"/>
        <w:widowControl w:val="0"/>
        <w:suppressLineNumbers w:val="0"/>
        <w:kinsoku/>
        <w:wordWrap/>
        <w:overflowPunct/>
        <w:topLinePunct w:val="0"/>
        <w:autoSpaceDE/>
        <w:autoSpaceDN/>
        <w:bidi w:val="0"/>
        <w:adjustRightInd/>
        <w:snapToGrid/>
        <w:spacing w:beforeAutospacing="0" w:afterAutospacing="0" w:line="360" w:lineRule="auto"/>
        <w:ind w:left="0" w:right="0" w:firstLine="480" w:firstLineChars="200"/>
        <w:jc w:val="both"/>
        <w:textAlignment w:val="auto"/>
        <w:rPr>
          <w:rFonts w:hint="eastAsia" w:ascii="宋体" w:hAnsi="宋体" w:eastAsia="宋体" w:cs="宋体"/>
          <w:i w:val="0"/>
          <w:iCs w:val="0"/>
          <w:color w:val="auto"/>
          <w:kern w:val="2"/>
          <w:sz w:val="24"/>
          <w:szCs w:val="24"/>
          <w:highlight w:val="none"/>
          <w:lang w:val="en-US" w:eastAsia="zh-CN" w:bidi="ar"/>
        </w:rPr>
      </w:pPr>
      <w:r>
        <w:rPr>
          <w:rFonts w:hint="eastAsia" w:ascii="宋体" w:hAnsi="宋体"/>
          <w:kern w:val="2"/>
          <w:sz w:val="24"/>
          <w:szCs w:val="24"/>
          <w:highlight w:val="none"/>
        </w:rPr>
        <w:t>质保期：</w:t>
      </w:r>
      <w:r>
        <w:rPr>
          <w:rFonts w:hint="eastAsia" w:ascii="宋体" w:hAnsi="宋体" w:cs="宋体"/>
          <w:kern w:val="2"/>
          <w:sz w:val="24"/>
          <w:szCs w:val="24"/>
          <w:highlight w:val="none"/>
          <w:lang w:val="en-US" w:eastAsia="zh-CN"/>
        </w:rPr>
        <w:t>原厂5年质保</w:t>
      </w:r>
    </w:p>
    <w:p w14:paraId="6789A536">
      <w:pPr>
        <w:keepNext w:val="0"/>
        <w:keepLines w:val="0"/>
        <w:pageBreakBefore w:val="0"/>
        <w:widowControl w:val="0"/>
        <w:suppressLineNumbers w:val="0"/>
        <w:kinsoku/>
        <w:wordWrap/>
        <w:overflowPunct/>
        <w:topLinePunct w:val="0"/>
        <w:autoSpaceDE/>
        <w:autoSpaceDN/>
        <w:bidi w:val="0"/>
        <w:adjustRightInd/>
        <w:snapToGrid/>
        <w:spacing w:beforeAutospacing="0" w:afterAutospacing="0" w:line="360" w:lineRule="auto"/>
        <w:ind w:left="0" w:right="0" w:firstLine="480" w:firstLineChars="200"/>
        <w:jc w:val="both"/>
        <w:textAlignment w:val="auto"/>
        <w:rPr>
          <w:rFonts w:hint="eastAsia" w:ascii="宋体" w:hAnsi="宋体" w:eastAsia="宋体" w:cs="宋体"/>
          <w:i w:val="0"/>
          <w:iCs w:val="0"/>
          <w:color w:val="auto"/>
          <w:sz w:val="24"/>
          <w:szCs w:val="24"/>
          <w:highlight w:val="none"/>
          <w:lang w:val="en-US"/>
        </w:rPr>
      </w:pPr>
      <w:r>
        <w:rPr>
          <w:rFonts w:hint="eastAsia" w:ascii="宋体" w:hAnsi="宋体" w:eastAsia="宋体" w:cs="宋体"/>
          <w:i w:val="0"/>
          <w:iCs w:val="0"/>
          <w:color w:val="auto"/>
          <w:kern w:val="2"/>
          <w:sz w:val="24"/>
          <w:szCs w:val="24"/>
          <w:highlight w:val="none"/>
          <w:lang w:val="en-US" w:eastAsia="zh-CN" w:bidi="ar"/>
        </w:rPr>
        <w:t>本项目（否）接受联合体投标。</w:t>
      </w:r>
    </w:p>
    <w:p w14:paraId="10642ED9">
      <w:pPr>
        <w:pStyle w:val="3"/>
        <w:pageBreakBefore w:val="0"/>
        <w:widowControl/>
        <w:kinsoku/>
        <w:wordWrap/>
        <w:overflowPunct/>
        <w:topLinePunct w:val="0"/>
        <w:autoSpaceDE/>
        <w:autoSpaceDN/>
        <w:bidi w:val="0"/>
        <w:adjustRightInd/>
        <w:snapToGrid/>
        <w:spacing w:before="0" w:after="0" w:line="360" w:lineRule="auto"/>
        <w:textAlignment w:val="auto"/>
        <w:rPr>
          <w:rFonts w:hint="eastAsia" w:ascii="宋体" w:hAnsi="宋体" w:eastAsia="宋体" w:cs="宋体"/>
          <w:b/>
          <w:bCs w:val="0"/>
          <w:i w:val="0"/>
          <w:iCs w:val="0"/>
          <w:sz w:val="24"/>
          <w:szCs w:val="24"/>
          <w:lang w:val="en-US"/>
        </w:rPr>
      </w:pPr>
      <w:bookmarkStart w:id="16" w:name="_Toc11222"/>
      <w:r>
        <w:rPr>
          <w:rFonts w:hint="eastAsia" w:ascii="宋体" w:hAnsi="宋体" w:eastAsia="宋体" w:cs="宋体"/>
          <w:b/>
          <w:bCs w:val="0"/>
          <w:i w:val="0"/>
          <w:iCs w:val="0"/>
          <w:sz w:val="24"/>
          <w:szCs w:val="24"/>
          <w:lang w:eastAsia="zh-CN"/>
        </w:rPr>
        <w:t>二、申请人的资格要求</w:t>
      </w:r>
      <w:bookmarkEnd w:id="16"/>
    </w:p>
    <w:p w14:paraId="36AD0A6A">
      <w:pPr>
        <w:keepNext w:val="0"/>
        <w:keepLines w:val="0"/>
        <w:pageBreakBefore w:val="0"/>
        <w:widowControl w:val="0"/>
        <w:suppressLineNumbers w:val="0"/>
        <w:kinsoku/>
        <w:wordWrap/>
        <w:overflowPunct/>
        <w:topLinePunct w:val="0"/>
        <w:autoSpaceDE/>
        <w:autoSpaceDN/>
        <w:bidi w:val="0"/>
        <w:adjustRightInd/>
        <w:snapToGrid/>
        <w:spacing w:beforeAutospacing="0" w:afterAutospacing="0" w:line="360" w:lineRule="auto"/>
        <w:ind w:left="0" w:right="0" w:firstLine="480" w:firstLineChars="200"/>
        <w:jc w:val="both"/>
        <w:textAlignment w:val="auto"/>
        <w:rPr>
          <w:rFonts w:hint="eastAsia" w:ascii="宋体" w:hAnsi="宋体" w:eastAsia="宋体" w:cs="宋体"/>
          <w:i w:val="0"/>
          <w:iCs w:val="0"/>
          <w:kern w:val="2"/>
          <w:sz w:val="24"/>
          <w:szCs w:val="24"/>
          <w:lang w:val="en-US" w:eastAsia="zh-CN" w:bidi="ar"/>
        </w:rPr>
      </w:pPr>
      <w:r>
        <w:rPr>
          <w:rFonts w:hint="eastAsia" w:ascii="宋体" w:hAnsi="宋体" w:eastAsia="宋体" w:cs="宋体"/>
          <w:i w:val="0"/>
          <w:iCs w:val="0"/>
          <w:kern w:val="2"/>
          <w:sz w:val="24"/>
          <w:szCs w:val="24"/>
          <w:lang w:val="en-US" w:eastAsia="zh-CN" w:bidi="ar"/>
        </w:rPr>
        <w:t>1.满足《中华人民共和国政府采购法》第二十二条规定；</w:t>
      </w:r>
    </w:p>
    <w:p w14:paraId="4EBC01B7">
      <w:pPr>
        <w:keepNext w:val="0"/>
        <w:keepLines w:val="0"/>
        <w:pageBreakBefore w:val="0"/>
        <w:widowControl w:val="0"/>
        <w:suppressLineNumbers w:val="0"/>
        <w:kinsoku/>
        <w:wordWrap/>
        <w:overflowPunct/>
        <w:topLinePunct w:val="0"/>
        <w:autoSpaceDE/>
        <w:autoSpaceDN/>
        <w:bidi w:val="0"/>
        <w:adjustRightInd/>
        <w:snapToGrid/>
        <w:spacing w:beforeAutospacing="0" w:afterAutospacing="0" w:line="360" w:lineRule="auto"/>
        <w:ind w:left="0" w:right="0" w:firstLine="480" w:firstLineChars="200"/>
        <w:jc w:val="both"/>
        <w:textAlignment w:val="auto"/>
        <w:outlineLvl w:val="9"/>
        <w:rPr>
          <w:rFonts w:hint="eastAsia" w:ascii="宋体" w:hAnsi="宋体" w:eastAsia="宋体" w:cs="宋体"/>
          <w:i w:val="0"/>
          <w:iCs w:val="0"/>
          <w:kern w:val="2"/>
          <w:sz w:val="24"/>
          <w:szCs w:val="24"/>
          <w:highlight w:val="none"/>
          <w:lang w:val="en-US" w:eastAsia="zh-CN" w:bidi="ar"/>
        </w:rPr>
      </w:pPr>
      <w:r>
        <w:rPr>
          <w:rFonts w:hint="eastAsia" w:ascii="宋体" w:hAnsi="宋体" w:eastAsia="宋体" w:cs="宋体"/>
          <w:i w:val="0"/>
          <w:iCs w:val="0"/>
          <w:kern w:val="2"/>
          <w:sz w:val="24"/>
          <w:szCs w:val="24"/>
          <w:highlight w:val="none"/>
          <w:lang w:val="en-US" w:eastAsia="zh-CN" w:bidi="ar"/>
        </w:rPr>
        <w:t>1.1具有独立承担民事责任的能力。提供法人或者其他组织的营业执照等证明文件</w:t>
      </w:r>
      <w:r>
        <w:rPr>
          <w:rFonts w:hint="eastAsia" w:ascii="宋体" w:hAnsi="宋体" w:cs="宋体"/>
          <w:i w:val="0"/>
          <w:iCs w:val="0"/>
          <w:color w:val="auto"/>
          <w:kern w:val="2"/>
          <w:sz w:val="24"/>
          <w:szCs w:val="24"/>
          <w:highlight w:val="none"/>
          <w:lang w:val="en-US" w:eastAsia="zh-CN" w:bidi="ar"/>
        </w:rPr>
        <w:t>。</w:t>
      </w:r>
    </w:p>
    <w:p w14:paraId="7815707E">
      <w:pPr>
        <w:keepNext w:val="0"/>
        <w:keepLines w:val="0"/>
        <w:pageBreakBefore w:val="0"/>
        <w:widowControl w:val="0"/>
        <w:suppressLineNumbers w:val="0"/>
        <w:kinsoku/>
        <w:wordWrap/>
        <w:overflowPunct/>
        <w:topLinePunct w:val="0"/>
        <w:autoSpaceDE/>
        <w:autoSpaceDN/>
        <w:bidi w:val="0"/>
        <w:adjustRightInd/>
        <w:snapToGrid/>
        <w:spacing w:beforeAutospacing="0" w:afterAutospacing="0" w:line="360" w:lineRule="auto"/>
        <w:ind w:left="0" w:right="0" w:firstLine="480" w:firstLineChars="200"/>
        <w:jc w:val="both"/>
        <w:textAlignment w:val="auto"/>
        <w:outlineLvl w:val="9"/>
        <w:rPr>
          <w:rFonts w:hint="eastAsia" w:ascii="宋体" w:hAnsi="宋体" w:eastAsia="宋体" w:cs="宋体"/>
          <w:i w:val="0"/>
          <w:iCs w:val="0"/>
          <w:color w:val="auto"/>
          <w:kern w:val="2"/>
          <w:sz w:val="24"/>
          <w:szCs w:val="24"/>
          <w:highlight w:val="none"/>
          <w:lang w:val="en-US" w:eastAsia="zh-CN" w:bidi="ar"/>
        </w:rPr>
      </w:pPr>
      <w:r>
        <w:rPr>
          <w:rFonts w:hint="eastAsia" w:ascii="宋体" w:hAnsi="宋体" w:eastAsia="宋体" w:cs="宋体"/>
          <w:i w:val="0"/>
          <w:iCs w:val="0"/>
          <w:kern w:val="2"/>
          <w:sz w:val="24"/>
          <w:szCs w:val="24"/>
          <w:highlight w:val="none"/>
          <w:lang w:val="en-US" w:eastAsia="zh-CN" w:bidi="ar"/>
        </w:rPr>
        <w:t>1.2具有良好的商业信誉和健全的财务会计制度。投标人须提供</w:t>
      </w:r>
      <w:r>
        <w:rPr>
          <w:rFonts w:hint="eastAsia" w:ascii="宋体" w:hAnsi="宋体" w:eastAsia="宋体" w:cs="宋体"/>
          <w:i w:val="0"/>
          <w:iCs w:val="0"/>
          <w:color w:val="auto"/>
          <w:kern w:val="2"/>
          <w:sz w:val="24"/>
          <w:szCs w:val="24"/>
          <w:highlight w:val="none"/>
          <w:u w:val="none"/>
          <w:lang w:val="en-US" w:eastAsia="zh-CN" w:bidi="ar"/>
        </w:rPr>
        <w:t>2023</w:t>
      </w:r>
      <w:r>
        <w:rPr>
          <w:rFonts w:hint="eastAsia" w:ascii="宋体" w:hAnsi="宋体" w:eastAsia="宋体" w:cs="宋体"/>
          <w:i w:val="0"/>
          <w:iCs w:val="0"/>
          <w:color w:val="auto"/>
          <w:kern w:val="2"/>
          <w:sz w:val="24"/>
          <w:szCs w:val="24"/>
          <w:highlight w:val="none"/>
          <w:lang w:val="en-US" w:eastAsia="zh-CN" w:bidi="ar"/>
        </w:rPr>
        <w:t>年或2024年经</w:t>
      </w:r>
      <w:r>
        <w:rPr>
          <w:rFonts w:hint="eastAsia" w:ascii="宋体" w:hAnsi="宋体" w:cs="宋体"/>
          <w:i w:val="0"/>
          <w:iCs w:val="0"/>
          <w:color w:val="auto"/>
          <w:kern w:val="2"/>
          <w:sz w:val="24"/>
          <w:szCs w:val="24"/>
          <w:highlight w:val="none"/>
          <w:lang w:val="en-US" w:eastAsia="zh-CN" w:bidi="ar"/>
        </w:rPr>
        <w:t>审计的</w:t>
      </w:r>
      <w:r>
        <w:rPr>
          <w:rFonts w:hint="eastAsia" w:ascii="宋体" w:hAnsi="宋体" w:eastAsia="宋体" w:cs="宋体"/>
          <w:i w:val="0"/>
          <w:iCs w:val="0"/>
          <w:color w:val="auto"/>
          <w:kern w:val="2"/>
          <w:sz w:val="24"/>
          <w:szCs w:val="24"/>
          <w:highlight w:val="none"/>
          <w:lang w:val="en-US" w:eastAsia="zh-CN" w:bidi="ar"/>
        </w:rPr>
        <w:t>财务报</w:t>
      </w:r>
      <w:r>
        <w:rPr>
          <w:rFonts w:hint="eastAsia" w:ascii="宋体" w:hAnsi="宋体" w:cs="宋体"/>
          <w:i w:val="0"/>
          <w:iCs w:val="0"/>
          <w:color w:val="auto"/>
          <w:kern w:val="2"/>
          <w:sz w:val="24"/>
          <w:szCs w:val="24"/>
          <w:highlight w:val="none"/>
          <w:lang w:val="en-US" w:eastAsia="zh-CN" w:bidi="ar"/>
        </w:rPr>
        <w:t>告</w:t>
      </w:r>
      <w:r>
        <w:rPr>
          <w:rFonts w:hint="eastAsia" w:ascii="宋体" w:hAnsi="宋体" w:eastAsia="宋体" w:cs="宋体"/>
          <w:i w:val="0"/>
          <w:iCs w:val="0"/>
          <w:color w:val="auto"/>
          <w:kern w:val="2"/>
          <w:sz w:val="24"/>
          <w:szCs w:val="24"/>
          <w:highlight w:val="none"/>
          <w:lang w:val="en-US" w:eastAsia="zh-CN" w:bidi="ar"/>
        </w:rPr>
        <w:t>(包括资产负债表、利润表、现金流量表)，新成立不满</w:t>
      </w:r>
      <w:r>
        <w:rPr>
          <w:rFonts w:hint="eastAsia" w:ascii="宋体" w:hAnsi="宋体" w:eastAsia="宋体" w:cs="宋体"/>
          <w:i w:val="0"/>
          <w:iCs w:val="0"/>
          <w:color w:val="auto"/>
          <w:kern w:val="2"/>
          <w:sz w:val="24"/>
          <w:szCs w:val="24"/>
          <w:highlight w:val="none"/>
          <w:u w:val="single"/>
          <w:lang w:val="en-US" w:eastAsia="zh-CN" w:bidi="ar"/>
        </w:rPr>
        <w:t>1</w:t>
      </w:r>
      <w:r>
        <w:rPr>
          <w:rFonts w:hint="eastAsia" w:ascii="宋体" w:hAnsi="宋体" w:eastAsia="宋体" w:cs="宋体"/>
          <w:i w:val="0"/>
          <w:iCs w:val="0"/>
          <w:color w:val="auto"/>
          <w:kern w:val="2"/>
          <w:sz w:val="24"/>
          <w:szCs w:val="24"/>
          <w:highlight w:val="none"/>
          <w:lang w:val="en-US" w:eastAsia="zh-CN" w:bidi="ar"/>
        </w:rPr>
        <w:t>年的投标人提供自成立至今</w:t>
      </w:r>
      <w:r>
        <w:rPr>
          <w:rFonts w:hint="eastAsia" w:ascii="宋体" w:hAnsi="宋体" w:cs="宋体"/>
          <w:i w:val="0"/>
          <w:iCs w:val="0"/>
          <w:color w:val="auto"/>
          <w:kern w:val="2"/>
          <w:sz w:val="24"/>
          <w:szCs w:val="24"/>
          <w:highlight w:val="none"/>
          <w:lang w:val="en-US" w:eastAsia="zh-CN" w:bidi="ar"/>
        </w:rPr>
        <w:t>的</w:t>
      </w:r>
      <w:r>
        <w:rPr>
          <w:rFonts w:hint="eastAsia" w:ascii="宋体" w:hAnsi="宋体" w:eastAsia="宋体" w:cs="宋体"/>
          <w:i w:val="0"/>
          <w:iCs w:val="0"/>
          <w:color w:val="auto"/>
          <w:kern w:val="2"/>
          <w:sz w:val="24"/>
          <w:szCs w:val="24"/>
          <w:highlight w:val="none"/>
          <w:lang w:val="en-US" w:eastAsia="zh-CN" w:bidi="ar"/>
        </w:rPr>
        <w:t>财务报</w:t>
      </w:r>
      <w:r>
        <w:rPr>
          <w:rFonts w:hint="eastAsia" w:ascii="宋体" w:hAnsi="宋体" w:cs="宋体"/>
          <w:i w:val="0"/>
          <w:iCs w:val="0"/>
          <w:color w:val="auto"/>
          <w:kern w:val="2"/>
          <w:sz w:val="24"/>
          <w:szCs w:val="24"/>
          <w:highlight w:val="none"/>
          <w:lang w:val="en-US" w:eastAsia="zh-CN" w:bidi="ar"/>
        </w:rPr>
        <w:t>表；</w:t>
      </w:r>
    </w:p>
    <w:p w14:paraId="7545E818">
      <w:pPr>
        <w:keepNext w:val="0"/>
        <w:keepLines w:val="0"/>
        <w:pageBreakBefore w:val="0"/>
        <w:widowControl w:val="0"/>
        <w:suppressLineNumbers w:val="0"/>
        <w:kinsoku/>
        <w:wordWrap/>
        <w:overflowPunct/>
        <w:topLinePunct w:val="0"/>
        <w:autoSpaceDE/>
        <w:autoSpaceDN/>
        <w:bidi w:val="0"/>
        <w:adjustRightInd/>
        <w:snapToGrid/>
        <w:spacing w:beforeAutospacing="0" w:afterAutospacing="0" w:line="360" w:lineRule="auto"/>
        <w:ind w:left="0" w:right="0" w:firstLine="480" w:firstLineChars="200"/>
        <w:jc w:val="both"/>
        <w:textAlignment w:val="auto"/>
        <w:outlineLvl w:val="9"/>
        <w:rPr>
          <w:rFonts w:hint="eastAsia" w:ascii="宋体" w:hAnsi="宋体" w:eastAsia="宋体" w:cs="宋体"/>
          <w:color w:val="auto"/>
          <w:sz w:val="24"/>
          <w:szCs w:val="24"/>
          <w:highlight w:val="none"/>
        </w:rPr>
      </w:pPr>
      <w:r>
        <w:rPr>
          <w:rFonts w:hint="eastAsia" w:ascii="宋体" w:hAnsi="宋体" w:eastAsia="宋体" w:cs="宋体"/>
          <w:i w:val="0"/>
          <w:iCs w:val="0"/>
          <w:color w:val="auto"/>
          <w:kern w:val="2"/>
          <w:sz w:val="24"/>
          <w:szCs w:val="24"/>
          <w:highlight w:val="none"/>
          <w:lang w:val="en-US" w:eastAsia="zh-CN" w:bidi="ar"/>
        </w:rPr>
        <w:t>1.3具有履行合同所必需的设备和专业技术能力。</w:t>
      </w:r>
      <w:r>
        <w:rPr>
          <w:rFonts w:hint="eastAsia" w:ascii="宋体" w:hAnsi="宋体" w:eastAsia="宋体" w:cs="宋体"/>
          <w:color w:val="auto"/>
          <w:sz w:val="24"/>
          <w:szCs w:val="24"/>
          <w:highlight w:val="none"/>
          <w:lang w:eastAsia="zh-CN"/>
        </w:rPr>
        <w:t>提供具备履行合同所必需的设备和专业技术能力的证明材料</w:t>
      </w:r>
      <w:r>
        <w:rPr>
          <w:rFonts w:hint="eastAsia" w:ascii="宋体" w:hAnsi="宋体" w:eastAsia="宋体" w:cs="宋体"/>
          <w:color w:val="auto"/>
          <w:sz w:val="24"/>
          <w:szCs w:val="24"/>
          <w:highlight w:val="none"/>
        </w:rPr>
        <w:t>。</w:t>
      </w:r>
    </w:p>
    <w:p w14:paraId="4411A1D3">
      <w:pPr>
        <w:spacing w:line="360" w:lineRule="auto"/>
        <w:ind w:firstLine="480" w:firstLineChars="200"/>
        <w:jc w:val="both"/>
        <w:rPr>
          <w:rFonts w:hint="eastAsia" w:ascii="宋体" w:hAnsi="宋体" w:cs="宋体"/>
          <w:color w:val="auto"/>
          <w:kern w:val="2"/>
          <w:sz w:val="24"/>
          <w:szCs w:val="24"/>
          <w:highlight w:val="none"/>
          <w:lang w:bidi="ar"/>
        </w:rPr>
      </w:pPr>
      <w:r>
        <w:rPr>
          <w:rFonts w:hint="eastAsia" w:ascii="宋体" w:hAnsi="宋体" w:eastAsia="宋体" w:cs="宋体"/>
          <w:i w:val="0"/>
          <w:iCs w:val="0"/>
          <w:color w:val="auto"/>
          <w:kern w:val="2"/>
          <w:sz w:val="24"/>
          <w:szCs w:val="24"/>
          <w:highlight w:val="none"/>
          <w:lang w:val="en-US" w:eastAsia="zh-CN" w:bidi="ar"/>
        </w:rPr>
        <w:t>1.4</w:t>
      </w:r>
      <w:r>
        <w:rPr>
          <w:rFonts w:hint="eastAsia" w:ascii="宋体" w:hAnsi="宋体" w:eastAsia="宋体" w:cs="宋体"/>
          <w:b w:val="0"/>
          <w:bCs w:val="0"/>
          <w:i w:val="0"/>
          <w:iCs w:val="0"/>
          <w:color w:val="auto"/>
          <w:kern w:val="2"/>
          <w:sz w:val="24"/>
          <w:szCs w:val="24"/>
          <w:highlight w:val="none"/>
          <w:lang w:val="en-US" w:eastAsia="zh-CN" w:bidi="ar"/>
        </w:rPr>
        <w:t>有依法缴纳税收和社会保障资金的良好记录。</w:t>
      </w:r>
      <w:r>
        <w:rPr>
          <w:rFonts w:hint="eastAsia" w:ascii="宋体" w:hAnsi="宋体" w:cs="宋体"/>
          <w:color w:val="auto"/>
          <w:kern w:val="2"/>
          <w:sz w:val="24"/>
          <w:szCs w:val="24"/>
          <w:highlight w:val="none"/>
          <w:lang w:eastAsia="zh-CN" w:bidi="ar"/>
        </w:rPr>
        <w:t>提供202</w:t>
      </w:r>
      <w:r>
        <w:rPr>
          <w:rFonts w:hint="eastAsia" w:ascii="宋体" w:hAnsi="宋体" w:cs="宋体"/>
          <w:color w:val="auto"/>
          <w:kern w:val="2"/>
          <w:sz w:val="24"/>
          <w:szCs w:val="24"/>
          <w:highlight w:val="none"/>
          <w:lang w:val="en-US" w:eastAsia="zh-CN" w:bidi="ar"/>
        </w:rPr>
        <w:t>5</w:t>
      </w:r>
      <w:r>
        <w:rPr>
          <w:rFonts w:hint="eastAsia" w:ascii="宋体" w:hAnsi="宋体" w:cs="宋体"/>
          <w:color w:val="auto"/>
          <w:kern w:val="2"/>
          <w:sz w:val="24"/>
          <w:szCs w:val="24"/>
          <w:highlight w:val="none"/>
          <w:lang w:eastAsia="zh-CN" w:bidi="ar"/>
        </w:rPr>
        <w:t>年1月至今任意3个月</w:t>
      </w:r>
      <w:r>
        <w:rPr>
          <w:rFonts w:hint="eastAsia" w:ascii="宋体" w:hAnsi="宋体" w:cs="宋体"/>
          <w:color w:val="auto"/>
          <w:kern w:val="2"/>
          <w:sz w:val="24"/>
          <w:szCs w:val="24"/>
          <w:highlight w:val="none"/>
          <w:lang w:bidi="ar"/>
        </w:rPr>
        <w:t>依法缴纳税收和缴纳社会保障资金的证明(成立未满</w:t>
      </w:r>
      <w:r>
        <w:rPr>
          <w:rFonts w:hint="eastAsia" w:ascii="宋体" w:hAnsi="宋体" w:cs="宋体"/>
          <w:color w:val="auto"/>
          <w:kern w:val="2"/>
          <w:sz w:val="24"/>
          <w:szCs w:val="24"/>
          <w:highlight w:val="none"/>
          <w:lang w:val="en-US" w:eastAsia="zh-CN" w:bidi="ar"/>
        </w:rPr>
        <w:t>3</w:t>
      </w:r>
      <w:r>
        <w:rPr>
          <w:rFonts w:hint="eastAsia" w:ascii="宋体" w:hAnsi="宋体" w:cs="宋体"/>
          <w:color w:val="auto"/>
          <w:kern w:val="2"/>
          <w:sz w:val="24"/>
          <w:szCs w:val="24"/>
          <w:highlight w:val="none"/>
          <w:lang w:bidi="ar"/>
        </w:rPr>
        <w:t>个月的提供成立以来的税收和社会保障资金缴纳凭据；依法免税或不需要缴纳社会保障资金的供应商，应提供相应文</w:t>
      </w:r>
      <w:r>
        <w:rPr>
          <w:rFonts w:hint="eastAsia" w:ascii="宋体" w:hAnsi="宋体" w:cs="宋体"/>
          <w:color w:val="auto"/>
          <w:sz w:val="24"/>
          <w:szCs w:val="24"/>
          <w:highlight w:val="none"/>
        </w:rPr>
        <w:t>件证明其依法免税或不需要缴纳社会保障资金)。</w:t>
      </w:r>
    </w:p>
    <w:p w14:paraId="15526CF3">
      <w:pPr>
        <w:pageBreakBefore w:val="0"/>
        <w:kinsoku/>
        <w:wordWrap/>
        <w:overflowPunct/>
        <w:topLinePunct w:val="0"/>
        <w:autoSpaceDE/>
        <w:autoSpaceDN/>
        <w:bidi w:val="0"/>
        <w:adjustRightInd/>
        <w:snapToGrid/>
        <w:spacing w:before="0" w:after="0" w:line="360" w:lineRule="auto"/>
        <w:ind w:firstLine="480" w:firstLineChars="200"/>
        <w:jc w:val="both"/>
        <w:textAlignment w:val="auto"/>
        <w:outlineLvl w:val="9"/>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1.5参加政府采购活动前三年内，在经营活动中没有重大违法记录。提供参加政府采购活动前三年内在经营活动中没有重大违法记录的书面声明。</w:t>
      </w:r>
    </w:p>
    <w:p w14:paraId="0C193FEB">
      <w:pPr>
        <w:pageBreakBefore w:val="0"/>
        <w:kinsoku/>
        <w:wordWrap/>
        <w:overflowPunct/>
        <w:topLinePunct w:val="0"/>
        <w:autoSpaceDE/>
        <w:autoSpaceDN/>
        <w:bidi w:val="0"/>
        <w:adjustRightInd/>
        <w:snapToGrid/>
        <w:spacing w:line="360" w:lineRule="auto"/>
        <w:ind w:firstLine="465"/>
        <w:textAlignment w:val="auto"/>
        <w:outlineLvl w:val="9"/>
        <w:rPr>
          <w:rFonts w:hint="eastAsia" w:ascii="宋体" w:hAnsi="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1.6</w:t>
      </w:r>
      <w:r>
        <w:rPr>
          <w:rFonts w:hint="eastAsia" w:ascii="宋体" w:hAnsi="宋体" w:cs="宋体"/>
          <w:b w:val="0"/>
          <w:bCs w:val="0"/>
          <w:color w:val="auto"/>
          <w:sz w:val="24"/>
          <w:szCs w:val="24"/>
          <w:highlight w:val="none"/>
          <w:lang w:val="en-US" w:eastAsia="zh-CN" w:bidi="ar-SA"/>
        </w:rPr>
        <w:t>法律、行政法规规定的其他条件。</w:t>
      </w:r>
    </w:p>
    <w:p w14:paraId="1A40AE21">
      <w:pPr>
        <w:pStyle w:val="11"/>
        <w:ind w:firstLine="465"/>
        <w:outlineLvl w:val="9"/>
        <w:rPr>
          <w:rFonts w:hint="eastAsia" w:ascii="宋体" w:hAnsi="宋体" w:eastAsia="宋体" w:cs="宋体"/>
          <w:b w:val="0"/>
          <w:bCs w:val="0"/>
          <w:color w:val="auto"/>
          <w:kern w:val="0"/>
          <w:sz w:val="24"/>
          <w:szCs w:val="24"/>
          <w:highlight w:val="none"/>
          <w:lang w:val="en-US" w:eastAsia="zh-CN" w:bidi="ar-SA"/>
        </w:rPr>
      </w:pPr>
      <w:r>
        <w:rPr>
          <w:rFonts w:hint="eastAsia" w:ascii="宋体" w:hAnsi="宋体" w:eastAsia="宋体" w:cs="宋体"/>
          <w:b w:val="0"/>
          <w:bCs w:val="0"/>
          <w:color w:val="auto"/>
          <w:kern w:val="0"/>
          <w:sz w:val="24"/>
          <w:szCs w:val="24"/>
          <w:highlight w:val="none"/>
          <w:lang w:val="en-US" w:eastAsia="zh-CN" w:bidi="ar-SA"/>
        </w:rPr>
        <w:t>1.6.1 单位负责人为同一人或者存在直接控股、管理关系的不同供应商，不得参加同一合同项下的政府采购活动。</w:t>
      </w:r>
    </w:p>
    <w:p w14:paraId="29F8C683">
      <w:pPr>
        <w:pStyle w:val="11"/>
        <w:keepNext w:val="0"/>
        <w:keepLines w:val="0"/>
        <w:pageBreakBefore w:val="0"/>
        <w:kinsoku/>
        <w:wordWrap/>
        <w:overflowPunct/>
        <w:topLinePunct w:val="0"/>
        <w:autoSpaceDE/>
        <w:autoSpaceDN/>
        <w:bidi w:val="0"/>
        <w:adjustRightInd/>
        <w:snapToGrid/>
        <w:ind w:firstLine="465"/>
        <w:textAlignment w:val="auto"/>
        <w:outlineLvl w:val="9"/>
        <w:rPr>
          <w:rFonts w:hint="eastAsia" w:ascii="宋体" w:hAnsi="宋体" w:eastAsia="宋体" w:cs="宋体"/>
          <w:b w:val="0"/>
          <w:bCs w:val="0"/>
          <w:color w:val="auto"/>
          <w:kern w:val="0"/>
          <w:sz w:val="24"/>
          <w:szCs w:val="24"/>
          <w:highlight w:val="none"/>
          <w:lang w:val="en-US" w:eastAsia="zh-CN" w:bidi="ar-SA"/>
        </w:rPr>
      </w:pPr>
      <w:r>
        <w:rPr>
          <w:rFonts w:hint="eastAsia" w:ascii="宋体" w:hAnsi="宋体" w:eastAsia="宋体" w:cs="宋体"/>
          <w:b w:val="0"/>
          <w:bCs w:val="0"/>
          <w:color w:val="auto"/>
          <w:kern w:val="0"/>
          <w:sz w:val="24"/>
          <w:szCs w:val="24"/>
          <w:highlight w:val="none"/>
          <w:lang w:val="en-US" w:eastAsia="zh-CN" w:bidi="ar-SA"/>
        </w:rPr>
        <w:t>为采购项目提供整体设计、规范编制或者项目管理、监理、检测等服务的供应商，不得再参加该采购项目的其他采购活动。</w:t>
      </w:r>
    </w:p>
    <w:p w14:paraId="705140C9">
      <w:pPr>
        <w:pStyle w:val="11"/>
        <w:keepNext w:val="0"/>
        <w:keepLines w:val="0"/>
        <w:pageBreakBefore w:val="0"/>
        <w:kinsoku/>
        <w:wordWrap/>
        <w:overflowPunct/>
        <w:topLinePunct w:val="0"/>
        <w:autoSpaceDE/>
        <w:autoSpaceDN/>
        <w:bidi w:val="0"/>
        <w:adjustRightInd/>
        <w:snapToGrid/>
        <w:ind w:firstLine="465"/>
        <w:textAlignment w:val="auto"/>
        <w:outlineLvl w:val="9"/>
        <w:rPr>
          <w:rFonts w:hint="eastAsia"/>
          <w:color w:val="auto"/>
          <w:highlight w:val="none"/>
          <w:lang w:val="en-US"/>
        </w:rPr>
      </w:pPr>
      <w:r>
        <w:rPr>
          <w:rFonts w:hint="eastAsia" w:ascii="宋体" w:hAnsi="宋体" w:eastAsia="宋体" w:cs="宋体"/>
          <w:b w:val="0"/>
          <w:bCs w:val="0"/>
          <w:color w:val="auto"/>
          <w:kern w:val="0"/>
          <w:sz w:val="24"/>
          <w:szCs w:val="24"/>
          <w:highlight w:val="none"/>
          <w:lang w:val="en-US" w:eastAsia="zh-CN" w:bidi="ar-SA"/>
        </w:rPr>
        <w:t>1.6.2投标人应在“信用中国”网站(www.creditchina.gov.cn)未被列入失信被执行人记录、重大税收违法失信主体且在中国政府采购网(www.ccgp.gov.cn)没有政府采购严重违法失信行为记录。</w:t>
      </w:r>
    </w:p>
    <w:p w14:paraId="6C63675E">
      <w:pPr>
        <w:keepNext w:val="0"/>
        <w:keepLines w:val="0"/>
        <w:pageBreakBefore w:val="0"/>
        <w:widowControl w:val="0"/>
        <w:suppressLineNumbers w:val="0"/>
        <w:kinsoku/>
        <w:wordWrap/>
        <w:overflowPunct/>
        <w:topLinePunct w:val="0"/>
        <w:autoSpaceDE/>
        <w:autoSpaceDN/>
        <w:bidi w:val="0"/>
        <w:adjustRightInd/>
        <w:snapToGrid/>
        <w:spacing w:beforeAutospacing="0" w:afterAutospacing="0" w:line="360" w:lineRule="auto"/>
        <w:ind w:left="0" w:right="0" w:firstLine="480" w:firstLineChars="200"/>
        <w:jc w:val="both"/>
        <w:textAlignment w:val="auto"/>
        <w:rPr>
          <w:rFonts w:hint="default" w:ascii="宋体" w:hAnsi="宋体" w:eastAsia="宋体" w:cs="宋体"/>
          <w:i w:val="0"/>
          <w:iCs w:val="0"/>
          <w:color w:val="auto"/>
          <w:kern w:val="2"/>
          <w:sz w:val="24"/>
          <w:szCs w:val="24"/>
          <w:highlight w:val="none"/>
          <w:u w:val="single"/>
          <w:lang w:val="en-US" w:eastAsia="zh-CN" w:bidi="ar"/>
        </w:rPr>
      </w:pPr>
      <w:bookmarkStart w:id="17" w:name="_Toc28359081"/>
      <w:bookmarkStart w:id="18" w:name="_Toc28359004"/>
      <w:r>
        <w:rPr>
          <w:rFonts w:hint="eastAsia" w:ascii="宋体" w:hAnsi="宋体" w:eastAsia="宋体" w:cs="宋体"/>
          <w:i w:val="0"/>
          <w:iCs w:val="0"/>
          <w:color w:val="auto"/>
          <w:kern w:val="2"/>
          <w:sz w:val="24"/>
          <w:szCs w:val="24"/>
          <w:highlight w:val="none"/>
          <w:lang w:val="en-US" w:eastAsia="zh-CN" w:bidi="ar"/>
        </w:rPr>
        <w:t>2.落实政府采购政策需满足的资格要求</w:t>
      </w:r>
      <w:r>
        <w:rPr>
          <w:rFonts w:hint="eastAsia" w:ascii="宋体" w:hAnsi="宋体" w:eastAsia="宋体" w:cs="宋体"/>
          <w:i w:val="0"/>
          <w:iCs w:val="0"/>
          <w:color w:val="auto"/>
          <w:kern w:val="2"/>
          <w:sz w:val="24"/>
          <w:szCs w:val="24"/>
          <w:highlight w:val="none"/>
          <w:u w:val="none"/>
          <w:lang w:val="en-US" w:eastAsia="zh-CN" w:bidi="ar"/>
        </w:rPr>
        <w:t>：</w:t>
      </w:r>
      <w:r>
        <w:rPr>
          <w:rFonts w:hint="eastAsia" w:ascii="宋体" w:hAnsi="宋体" w:eastAsia="宋体" w:cs="宋体"/>
          <w:color w:val="auto"/>
          <w:sz w:val="24"/>
          <w:lang w:val="en-US" w:eastAsia="zh-CN" w:bidi="ar"/>
        </w:rPr>
        <w:t>本项</w:t>
      </w:r>
      <w:r>
        <w:rPr>
          <w:rFonts w:hint="eastAsia" w:ascii="宋体" w:hAnsi="宋体" w:eastAsia="宋体" w:cs="宋体"/>
          <w:color w:val="auto"/>
          <w:sz w:val="24"/>
          <w:highlight w:val="none"/>
          <w:shd w:val="clear"/>
          <w:lang w:val="en-US" w:eastAsia="zh-CN" w:bidi="ar"/>
        </w:rPr>
        <w:t>目不</w:t>
      </w:r>
      <w:r>
        <w:rPr>
          <w:rFonts w:hint="eastAsia" w:ascii="宋体" w:hAnsi="宋体" w:eastAsia="宋体" w:cs="宋体"/>
          <w:color w:val="auto"/>
          <w:sz w:val="24"/>
          <w:highlight w:val="none"/>
          <w:shd w:val="clear"/>
          <w:lang w:bidi="ar"/>
        </w:rPr>
        <w:t>专门面向中小企业</w:t>
      </w:r>
      <w:r>
        <w:rPr>
          <w:rFonts w:hint="eastAsia" w:ascii="宋体" w:hAnsi="宋体" w:eastAsia="宋体" w:cs="宋体"/>
          <w:i w:val="0"/>
          <w:iCs w:val="0"/>
          <w:color w:val="auto"/>
          <w:kern w:val="2"/>
          <w:sz w:val="24"/>
          <w:szCs w:val="24"/>
          <w:highlight w:val="none"/>
          <w:u w:val="none"/>
          <w:lang w:val="en-US" w:eastAsia="zh-CN" w:bidi="ar"/>
        </w:rPr>
        <w:t>。</w:t>
      </w:r>
    </w:p>
    <w:p w14:paraId="3555E191">
      <w:pPr>
        <w:pStyle w:val="11"/>
        <w:keepNext w:val="0"/>
        <w:keepLines w:val="0"/>
        <w:pageBreakBefore w:val="0"/>
        <w:widowControl w:val="0"/>
        <w:kinsoku/>
        <w:wordWrap/>
        <w:overflowPunct/>
        <w:topLinePunct w:val="0"/>
        <w:bidi w:val="0"/>
        <w:snapToGrid/>
        <w:spacing w:line="360" w:lineRule="auto"/>
        <w:ind w:firstLine="480" w:firstLineChars="200"/>
        <w:textAlignment w:val="auto"/>
        <w:rPr>
          <w:rFonts w:hint="eastAsia" w:ascii="宋体" w:hAnsi="宋体" w:eastAsia="宋体" w:cs="宋体"/>
          <w:i w:val="0"/>
          <w:iCs w:val="0"/>
          <w:color w:val="auto"/>
          <w:kern w:val="2"/>
          <w:sz w:val="24"/>
          <w:szCs w:val="24"/>
          <w:highlight w:val="none"/>
          <w:lang w:val="en-US" w:eastAsia="zh-CN" w:bidi="ar"/>
        </w:rPr>
      </w:pPr>
      <w:r>
        <w:rPr>
          <w:rFonts w:hint="eastAsia" w:ascii="宋体" w:hAnsi="宋体" w:eastAsia="宋体" w:cs="宋体"/>
          <w:i w:val="0"/>
          <w:iCs w:val="0"/>
          <w:color w:val="auto"/>
          <w:kern w:val="2"/>
          <w:sz w:val="24"/>
          <w:szCs w:val="24"/>
          <w:highlight w:val="none"/>
          <w:lang w:val="en-US" w:eastAsia="zh-CN" w:bidi="ar"/>
        </w:rPr>
        <w:t>3.本项目的特定资格要求：</w:t>
      </w:r>
    </w:p>
    <w:p w14:paraId="573C3EA5">
      <w:pPr>
        <w:keepNext w:val="0"/>
        <w:keepLines w:val="0"/>
        <w:pageBreakBefore w:val="0"/>
        <w:widowControl w:val="0"/>
        <w:kinsoku/>
        <w:wordWrap/>
        <w:overflowPunct/>
        <w:topLinePunct w:val="0"/>
        <w:autoSpaceDE/>
        <w:autoSpaceDN/>
        <w:bidi w:val="0"/>
        <w:adjustRightInd/>
        <w:snapToGrid w:val="0"/>
        <w:spacing w:line="520" w:lineRule="exact"/>
        <w:ind w:firstLine="540"/>
        <w:textAlignment w:val="baseline"/>
        <w:rPr>
          <w:rFonts w:hint="default" w:ascii="宋体" w:hAnsi="宋体" w:eastAsia="宋体" w:cs="宋体"/>
          <w:kern w:val="2"/>
          <w:sz w:val="24"/>
          <w:lang w:val="en-US" w:eastAsia="zh-CN"/>
        </w:rPr>
      </w:pPr>
      <w:r>
        <w:rPr>
          <w:rFonts w:hint="eastAsia" w:ascii="宋体" w:hAnsi="宋体" w:eastAsia="宋体" w:cs="宋体"/>
          <w:kern w:val="2"/>
          <w:sz w:val="24"/>
          <w:lang w:val="en-US" w:eastAsia="zh-CN"/>
        </w:rPr>
        <w:t>3</w:t>
      </w:r>
      <w:r>
        <w:rPr>
          <w:rFonts w:hint="default" w:ascii="宋体" w:hAnsi="宋体" w:eastAsia="宋体" w:cs="宋体"/>
          <w:kern w:val="2"/>
          <w:sz w:val="24"/>
          <w:lang w:val="en-US" w:eastAsia="zh-CN"/>
        </w:rPr>
        <w:t>.1 供应商若为代理商或经销商，须提供医疗器械经营许可/备案证，所投产品制造商医疗器械生产许可/备案证(制造商工商注册地在中华人民共和国境外的，不作此要求)、所投产品的医疗器械注册证及附件；</w:t>
      </w:r>
    </w:p>
    <w:p w14:paraId="3E1D2BE1">
      <w:pPr>
        <w:keepNext w:val="0"/>
        <w:keepLines w:val="0"/>
        <w:pageBreakBefore w:val="0"/>
        <w:widowControl w:val="0"/>
        <w:kinsoku/>
        <w:wordWrap/>
        <w:overflowPunct/>
        <w:topLinePunct w:val="0"/>
        <w:autoSpaceDE/>
        <w:autoSpaceDN/>
        <w:bidi w:val="0"/>
        <w:adjustRightInd/>
        <w:snapToGrid w:val="0"/>
        <w:spacing w:line="520" w:lineRule="exact"/>
        <w:ind w:firstLine="540"/>
        <w:textAlignment w:val="baseline"/>
        <w:rPr>
          <w:rFonts w:hint="default" w:ascii="宋体" w:hAnsi="宋体" w:eastAsia="宋体" w:cs="宋体"/>
          <w:kern w:val="2"/>
          <w:sz w:val="24"/>
          <w:lang w:val="en-US" w:eastAsia="zh-CN"/>
        </w:rPr>
      </w:pPr>
      <w:r>
        <w:rPr>
          <w:rFonts w:hint="eastAsia" w:ascii="宋体" w:hAnsi="宋体" w:eastAsia="宋体" w:cs="宋体"/>
          <w:kern w:val="2"/>
          <w:sz w:val="24"/>
          <w:lang w:val="en-US" w:eastAsia="zh-CN"/>
        </w:rPr>
        <w:t>3</w:t>
      </w:r>
      <w:r>
        <w:rPr>
          <w:rFonts w:hint="default" w:ascii="宋体" w:hAnsi="宋体" w:eastAsia="宋体" w:cs="宋体"/>
          <w:kern w:val="2"/>
          <w:sz w:val="24"/>
          <w:lang w:val="en-US" w:eastAsia="zh-CN"/>
        </w:rPr>
        <w:t>.2 供应商若为制造商，须提供医疗器械生产许可/备案证(制造商工商注册地在中华人民共和国境外的，不作此要求)、所投产品的医疗器械注册证及附件；</w:t>
      </w:r>
    </w:p>
    <w:p w14:paraId="237D7481">
      <w:pPr>
        <w:keepNext w:val="0"/>
        <w:keepLines w:val="0"/>
        <w:pageBreakBefore w:val="0"/>
        <w:widowControl w:val="0"/>
        <w:kinsoku/>
        <w:wordWrap/>
        <w:overflowPunct/>
        <w:topLinePunct w:val="0"/>
        <w:autoSpaceDE/>
        <w:autoSpaceDN/>
        <w:bidi w:val="0"/>
        <w:adjustRightInd/>
        <w:snapToGrid w:val="0"/>
        <w:spacing w:line="520" w:lineRule="exact"/>
        <w:ind w:firstLine="540"/>
        <w:textAlignment w:val="baseline"/>
        <w:rPr>
          <w:rFonts w:hint="default" w:ascii="宋体" w:hAnsi="宋体" w:eastAsia="宋体" w:cs="宋体"/>
          <w:kern w:val="2"/>
          <w:sz w:val="24"/>
          <w:lang w:val="en-US" w:eastAsia="zh-CN"/>
        </w:rPr>
      </w:pPr>
      <w:r>
        <w:rPr>
          <w:rFonts w:hint="eastAsia" w:ascii="宋体" w:hAnsi="宋体" w:eastAsia="宋体" w:cs="宋体"/>
          <w:kern w:val="2"/>
          <w:sz w:val="24"/>
          <w:lang w:val="en-US" w:eastAsia="zh-CN"/>
        </w:rPr>
        <w:t>3</w:t>
      </w:r>
      <w:r>
        <w:rPr>
          <w:rFonts w:hint="default" w:ascii="宋体" w:hAnsi="宋体" w:eastAsia="宋体" w:cs="宋体"/>
          <w:kern w:val="2"/>
          <w:sz w:val="24"/>
          <w:lang w:val="en-US" w:eastAsia="zh-CN"/>
        </w:rPr>
        <w:t>.3医疗器械生产或经营许可/备案证生产或经营范围须覆盖所投第二、三类医疗器械(扫描件加盖电 子公章。根据中华人民共和国国务院令第739号《医疗器械监督管理条例》和国家药品监督管理局《医疗 器械分类目录》的规定，在《医疗器械分类目录》内的产品必须按照《医疗器械监督管理条例》的要求提供，其他不在《医疗器械分类目录》内的不作强行要求)</w:t>
      </w:r>
      <w:r>
        <w:rPr>
          <w:rFonts w:hint="eastAsia" w:hAnsi="宋体" w:cs="宋体"/>
          <w:kern w:val="2"/>
          <w:sz w:val="24"/>
          <w:lang w:val="en-US" w:eastAsia="zh-CN"/>
        </w:rPr>
        <w:t>；</w:t>
      </w:r>
    </w:p>
    <w:p w14:paraId="0DB32BA4">
      <w:pPr>
        <w:pStyle w:val="11"/>
        <w:keepNext w:val="0"/>
        <w:keepLines w:val="0"/>
        <w:pageBreakBefore w:val="0"/>
        <w:widowControl w:val="0"/>
        <w:kinsoku/>
        <w:wordWrap/>
        <w:overflowPunct/>
        <w:topLinePunct w:val="0"/>
        <w:bidi w:val="0"/>
        <w:snapToGrid/>
        <w:spacing w:line="360" w:lineRule="auto"/>
        <w:ind w:firstLine="480" w:firstLineChars="200"/>
        <w:textAlignment w:val="auto"/>
        <w:rPr>
          <w:rFonts w:hint="eastAsia" w:ascii="宋体" w:hAnsi="宋体" w:cs="宋体"/>
          <w:color w:val="auto"/>
          <w:kern w:val="2"/>
          <w:sz w:val="24"/>
          <w:szCs w:val="24"/>
          <w:highlight w:val="none"/>
          <w:lang w:bidi="ar"/>
        </w:rPr>
      </w:pPr>
      <w:r>
        <w:rPr>
          <w:rFonts w:hint="eastAsia" w:ascii="宋体" w:hAnsi="宋体" w:eastAsia="宋体" w:cs="宋体"/>
          <w:kern w:val="2"/>
          <w:sz w:val="24"/>
          <w:lang w:val="en-US" w:eastAsia="zh-CN"/>
        </w:rPr>
        <w:t>3</w:t>
      </w:r>
      <w:r>
        <w:rPr>
          <w:rFonts w:hint="default" w:ascii="宋体" w:hAnsi="宋体" w:eastAsia="宋体" w:cs="宋体"/>
          <w:kern w:val="2"/>
          <w:sz w:val="24"/>
          <w:lang w:val="en-US" w:eastAsia="zh-CN"/>
        </w:rPr>
        <w:t>.4如果所投产品是进口产品并且为代理商或经销商进行投标，必须具有制造商或全国总代或有可追溯的区域产品代理商针对本项目的专项授权书或长期代理授权书(此条仅适用于允许进口产品投标的设备)。 如果授权是二级或二级以下的，必须提供上一级别的授权，并且对制造商所作的所有承诺负完全责任；如果授权书中明确规定不能转授权的，转授权无效，视为未提供授权书；不接受制造商的分公司出具的授权书</w:t>
      </w:r>
      <w:r>
        <w:rPr>
          <w:rFonts w:hint="eastAsia" w:ascii="宋体" w:hAnsi="宋体" w:cs="宋体"/>
          <w:color w:val="auto"/>
          <w:kern w:val="2"/>
          <w:sz w:val="24"/>
          <w:szCs w:val="24"/>
          <w:highlight w:val="none"/>
          <w:lang w:bidi="ar"/>
        </w:rPr>
        <w:t>。</w:t>
      </w:r>
    </w:p>
    <w:p w14:paraId="281FBEBA">
      <w:pPr>
        <w:pStyle w:val="11"/>
        <w:keepNext w:val="0"/>
        <w:keepLines w:val="0"/>
        <w:pageBreakBefore w:val="0"/>
        <w:widowControl w:val="0"/>
        <w:kinsoku/>
        <w:wordWrap/>
        <w:overflowPunct/>
        <w:topLinePunct w:val="0"/>
        <w:bidi w:val="0"/>
        <w:snapToGrid/>
        <w:spacing w:line="360" w:lineRule="auto"/>
        <w:ind w:firstLine="480" w:firstLineChars="200"/>
        <w:textAlignment w:val="auto"/>
        <w:rPr>
          <w:rFonts w:hint="eastAsia" w:ascii="宋体" w:hAnsi="宋体" w:cs="宋体"/>
          <w:sz w:val="24"/>
          <w:highlight w:val="none"/>
        </w:rPr>
      </w:pPr>
      <w:bookmarkStart w:id="19" w:name="_Toc35393623"/>
      <w:bookmarkStart w:id="20" w:name="_Toc35393792"/>
      <w:bookmarkStart w:id="21" w:name="_Toc29745"/>
      <w:r>
        <w:rPr>
          <w:rFonts w:hint="eastAsia" w:ascii="宋体" w:hAnsi="宋体" w:eastAsia="宋体" w:cs="宋体"/>
          <w:i w:val="0"/>
          <w:iCs w:val="0"/>
          <w:color w:val="auto"/>
          <w:kern w:val="2"/>
          <w:sz w:val="24"/>
          <w:szCs w:val="24"/>
          <w:highlight w:val="none"/>
          <w:lang w:val="en-US" w:eastAsia="zh-CN" w:bidi="ar"/>
        </w:rPr>
        <w:t>3.</w:t>
      </w:r>
      <w:r>
        <w:rPr>
          <w:rFonts w:hint="eastAsia" w:ascii="宋体" w:hAnsi="宋体" w:cs="宋体"/>
          <w:i w:val="0"/>
          <w:iCs w:val="0"/>
          <w:color w:val="auto"/>
          <w:kern w:val="2"/>
          <w:sz w:val="24"/>
          <w:szCs w:val="24"/>
          <w:highlight w:val="none"/>
          <w:lang w:val="en-US" w:eastAsia="zh-CN" w:bidi="ar"/>
        </w:rPr>
        <w:t>5</w:t>
      </w:r>
      <w:r>
        <w:rPr>
          <w:rFonts w:hint="eastAsia" w:ascii="宋体" w:hAnsi="宋体" w:eastAsia="宋体" w:cs="宋体"/>
          <w:i w:val="0"/>
          <w:iCs w:val="0"/>
          <w:color w:val="auto"/>
          <w:kern w:val="2"/>
          <w:sz w:val="24"/>
          <w:szCs w:val="24"/>
          <w:highlight w:val="none"/>
          <w:lang w:val="en-US" w:eastAsia="zh-CN" w:bidi="ar"/>
        </w:rPr>
        <w:t>本项目不接受联合体投标。</w:t>
      </w:r>
    </w:p>
    <w:p w14:paraId="656175D4">
      <w:pPr>
        <w:pStyle w:val="3"/>
        <w:pageBreakBefore w:val="0"/>
        <w:widowControl/>
        <w:kinsoku/>
        <w:wordWrap/>
        <w:overflowPunct/>
        <w:topLinePunct w:val="0"/>
        <w:autoSpaceDE/>
        <w:autoSpaceDN/>
        <w:bidi w:val="0"/>
        <w:adjustRightInd/>
        <w:snapToGrid/>
        <w:spacing w:before="0" w:after="0" w:line="360" w:lineRule="auto"/>
        <w:textAlignment w:val="auto"/>
        <w:rPr>
          <w:rFonts w:hint="eastAsia" w:ascii="宋体" w:hAnsi="宋体" w:eastAsia="宋体" w:cs="宋体"/>
          <w:b/>
          <w:bCs w:val="0"/>
          <w:i w:val="0"/>
          <w:iCs w:val="0"/>
          <w:sz w:val="24"/>
          <w:szCs w:val="24"/>
          <w:highlight w:val="none"/>
          <w:lang w:val="en-US"/>
        </w:rPr>
      </w:pPr>
      <w:bookmarkStart w:id="22" w:name="_Toc25951"/>
      <w:r>
        <w:rPr>
          <w:rFonts w:hint="eastAsia" w:ascii="宋体" w:hAnsi="宋体" w:eastAsia="宋体" w:cs="宋体"/>
          <w:b/>
          <w:bCs w:val="0"/>
          <w:i w:val="0"/>
          <w:iCs w:val="0"/>
          <w:sz w:val="24"/>
          <w:szCs w:val="24"/>
          <w:lang w:eastAsia="zh-CN"/>
        </w:rPr>
        <w:t>三、获</w:t>
      </w:r>
      <w:r>
        <w:rPr>
          <w:rFonts w:hint="eastAsia" w:ascii="宋体" w:hAnsi="宋体" w:eastAsia="宋体" w:cs="宋体"/>
          <w:b/>
          <w:bCs w:val="0"/>
          <w:i w:val="0"/>
          <w:iCs w:val="0"/>
          <w:sz w:val="24"/>
          <w:szCs w:val="24"/>
          <w:highlight w:val="none"/>
          <w:lang w:eastAsia="zh-CN"/>
        </w:rPr>
        <w:t>取招标文件</w:t>
      </w:r>
      <w:bookmarkEnd w:id="17"/>
      <w:bookmarkEnd w:id="18"/>
      <w:bookmarkEnd w:id="19"/>
      <w:bookmarkEnd w:id="20"/>
      <w:bookmarkEnd w:id="21"/>
      <w:bookmarkEnd w:id="22"/>
    </w:p>
    <w:p w14:paraId="595ED4F7">
      <w:pPr>
        <w:widowControl w:val="0"/>
        <w:spacing w:line="360" w:lineRule="auto"/>
        <w:ind w:firstLine="540"/>
        <w:jc w:val="both"/>
        <w:rPr>
          <w:rFonts w:ascii="宋体" w:hAnsi="宋体" w:cs="宋体"/>
          <w:kern w:val="2"/>
          <w:sz w:val="24"/>
          <w:szCs w:val="24"/>
          <w:highlight w:val="none"/>
        </w:rPr>
      </w:pPr>
      <w:bookmarkStart w:id="23" w:name="_Toc28359082"/>
      <w:bookmarkStart w:id="24" w:name="_Toc28359005"/>
      <w:bookmarkStart w:id="25" w:name="_Toc35393624"/>
      <w:bookmarkStart w:id="26" w:name="_Toc26119"/>
      <w:bookmarkStart w:id="27" w:name="_Toc35393793"/>
      <w:r>
        <w:rPr>
          <w:rFonts w:hint="eastAsia" w:ascii="宋体" w:hAnsi="宋体" w:cs="宋体"/>
          <w:kern w:val="2"/>
          <w:sz w:val="24"/>
          <w:szCs w:val="24"/>
          <w:highlight w:val="none"/>
        </w:rPr>
        <w:t>时间：</w:t>
      </w:r>
      <w:r>
        <w:rPr>
          <w:rFonts w:hint="eastAsia" w:ascii="宋体" w:hAnsi="宋体" w:cs="宋体"/>
          <w:kern w:val="2"/>
          <w:sz w:val="24"/>
          <w:szCs w:val="24"/>
          <w:highlight w:val="none"/>
          <w:u w:val="single"/>
        </w:rPr>
        <w:t>202</w:t>
      </w:r>
      <w:r>
        <w:rPr>
          <w:rFonts w:hint="eastAsia" w:ascii="宋体" w:hAnsi="宋体" w:cs="宋体"/>
          <w:kern w:val="2"/>
          <w:sz w:val="24"/>
          <w:szCs w:val="24"/>
          <w:highlight w:val="none"/>
          <w:u w:val="single"/>
          <w:lang w:val="en-US" w:eastAsia="zh-CN"/>
        </w:rPr>
        <w:t>5</w:t>
      </w:r>
      <w:r>
        <w:rPr>
          <w:rFonts w:hint="eastAsia" w:ascii="宋体" w:hAnsi="宋体" w:cs="宋体"/>
          <w:kern w:val="2"/>
          <w:sz w:val="24"/>
          <w:szCs w:val="24"/>
          <w:highlight w:val="none"/>
          <w:u w:val="single"/>
        </w:rPr>
        <w:t>年</w:t>
      </w:r>
      <w:r>
        <w:rPr>
          <w:rFonts w:hint="eastAsia" w:ascii="宋体" w:hAnsi="宋体" w:cs="宋体"/>
          <w:kern w:val="2"/>
          <w:sz w:val="24"/>
          <w:szCs w:val="24"/>
          <w:highlight w:val="none"/>
          <w:u w:val="single"/>
          <w:lang w:val="en-US" w:eastAsia="zh-CN"/>
        </w:rPr>
        <w:t xml:space="preserve"> 6 </w:t>
      </w:r>
      <w:r>
        <w:rPr>
          <w:rFonts w:hint="eastAsia" w:ascii="宋体" w:hAnsi="宋体" w:cs="宋体"/>
          <w:kern w:val="2"/>
          <w:sz w:val="24"/>
          <w:szCs w:val="24"/>
          <w:highlight w:val="none"/>
          <w:u w:val="single"/>
        </w:rPr>
        <w:t>月</w:t>
      </w:r>
      <w:r>
        <w:rPr>
          <w:rFonts w:hint="eastAsia" w:ascii="宋体" w:hAnsi="宋体" w:cs="宋体"/>
          <w:kern w:val="2"/>
          <w:sz w:val="24"/>
          <w:szCs w:val="24"/>
          <w:highlight w:val="none"/>
          <w:u w:val="single"/>
          <w:lang w:val="en-US" w:eastAsia="zh-CN"/>
        </w:rPr>
        <w:t xml:space="preserve"> 19 </w:t>
      </w:r>
      <w:r>
        <w:rPr>
          <w:rFonts w:ascii="宋体" w:hAnsi="宋体" w:cs="宋体"/>
          <w:kern w:val="2"/>
          <w:sz w:val="24"/>
          <w:szCs w:val="24"/>
          <w:highlight w:val="none"/>
          <w:u w:val="single"/>
        </w:rPr>
        <w:t>日</w:t>
      </w:r>
      <w:r>
        <w:rPr>
          <w:rFonts w:hint="eastAsia" w:ascii="宋体" w:hAnsi="宋体" w:cs="宋体"/>
          <w:kern w:val="2"/>
          <w:sz w:val="24"/>
          <w:szCs w:val="24"/>
          <w:highlight w:val="none"/>
        </w:rPr>
        <w:t>至</w:t>
      </w:r>
      <w:r>
        <w:rPr>
          <w:rFonts w:hint="eastAsia" w:ascii="宋体" w:hAnsi="宋体" w:cs="宋体"/>
          <w:kern w:val="2"/>
          <w:sz w:val="24"/>
          <w:szCs w:val="24"/>
          <w:highlight w:val="none"/>
          <w:u w:val="single"/>
        </w:rPr>
        <w:t>202</w:t>
      </w:r>
      <w:r>
        <w:rPr>
          <w:rFonts w:hint="eastAsia" w:ascii="宋体" w:hAnsi="宋体" w:cs="宋体"/>
          <w:kern w:val="2"/>
          <w:sz w:val="24"/>
          <w:szCs w:val="24"/>
          <w:highlight w:val="none"/>
          <w:u w:val="single"/>
          <w:lang w:val="en-US" w:eastAsia="zh-CN"/>
        </w:rPr>
        <w:t>5</w:t>
      </w:r>
      <w:r>
        <w:rPr>
          <w:rFonts w:hint="eastAsia" w:ascii="宋体" w:hAnsi="宋体" w:cs="宋体"/>
          <w:kern w:val="2"/>
          <w:sz w:val="24"/>
          <w:szCs w:val="24"/>
          <w:highlight w:val="none"/>
          <w:u w:val="single"/>
        </w:rPr>
        <w:t>年</w:t>
      </w:r>
      <w:r>
        <w:rPr>
          <w:rFonts w:hint="eastAsia" w:ascii="宋体" w:hAnsi="宋体" w:cs="宋体"/>
          <w:kern w:val="2"/>
          <w:sz w:val="24"/>
          <w:szCs w:val="24"/>
          <w:highlight w:val="none"/>
          <w:u w:val="single"/>
          <w:lang w:val="en-US" w:eastAsia="zh-CN"/>
        </w:rPr>
        <w:t xml:space="preserve"> 6 </w:t>
      </w:r>
      <w:r>
        <w:rPr>
          <w:rFonts w:hint="eastAsia" w:ascii="宋体" w:hAnsi="宋体" w:cs="宋体"/>
          <w:kern w:val="2"/>
          <w:sz w:val="24"/>
          <w:szCs w:val="24"/>
          <w:highlight w:val="none"/>
          <w:u w:val="single"/>
        </w:rPr>
        <w:t>月</w:t>
      </w:r>
      <w:r>
        <w:rPr>
          <w:rFonts w:hint="eastAsia" w:ascii="宋体" w:hAnsi="宋体" w:cs="宋体"/>
          <w:kern w:val="2"/>
          <w:sz w:val="24"/>
          <w:szCs w:val="24"/>
          <w:highlight w:val="none"/>
          <w:u w:val="single"/>
          <w:lang w:val="en-US" w:eastAsia="zh-CN"/>
        </w:rPr>
        <w:t xml:space="preserve"> 26 </w:t>
      </w:r>
      <w:r>
        <w:rPr>
          <w:rFonts w:hint="eastAsia" w:ascii="宋体" w:hAnsi="宋体" w:cs="宋体"/>
          <w:kern w:val="2"/>
          <w:sz w:val="24"/>
          <w:szCs w:val="24"/>
          <w:highlight w:val="none"/>
          <w:u w:val="single"/>
        </w:rPr>
        <w:t>日</w:t>
      </w:r>
      <w:r>
        <w:rPr>
          <w:rFonts w:hint="eastAsia" w:ascii="宋体" w:hAnsi="宋体" w:cs="宋体"/>
          <w:kern w:val="2"/>
          <w:sz w:val="24"/>
          <w:szCs w:val="24"/>
          <w:highlight w:val="none"/>
        </w:rPr>
        <w:t>，每天上午</w:t>
      </w:r>
      <w:r>
        <w:rPr>
          <w:rFonts w:hint="eastAsia" w:ascii="宋体" w:hAnsi="宋体" w:cs="宋体"/>
          <w:kern w:val="2"/>
          <w:sz w:val="24"/>
          <w:szCs w:val="24"/>
          <w:highlight w:val="none"/>
          <w:u w:val="single"/>
        </w:rPr>
        <w:t>0</w:t>
      </w:r>
      <w:r>
        <w:rPr>
          <w:rFonts w:hint="eastAsia" w:ascii="宋体" w:hAnsi="宋体" w:cs="宋体"/>
          <w:kern w:val="2"/>
          <w:sz w:val="24"/>
          <w:szCs w:val="24"/>
          <w:highlight w:val="none"/>
          <w:u w:val="single"/>
          <w:lang w:val="en-US" w:eastAsia="zh-CN"/>
        </w:rPr>
        <w:t>6</w:t>
      </w:r>
      <w:r>
        <w:rPr>
          <w:rFonts w:hint="eastAsia" w:ascii="宋体" w:hAnsi="宋体" w:cs="宋体"/>
          <w:kern w:val="2"/>
          <w:sz w:val="24"/>
          <w:szCs w:val="24"/>
          <w:highlight w:val="none"/>
          <w:u w:val="single"/>
        </w:rPr>
        <w:t>:00</w:t>
      </w:r>
      <w:r>
        <w:rPr>
          <w:rFonts w:hint="eastAsia" w:ascii="宋体" w:hAnsi="宋体" w:cs="宋体"/>
          <w:kern w:val="2"/>
          <w:sz w:val="24"/>
          <w:szCs w:val="24"/>
          <w:highlight w:val="none"/>
        </w:rPr>
        <w:t>至</w:t>
      </w:r>
      <w:r>
        <w:rPr>
          <w:rFonts w:hint="eastAsia" w:ascii="宋体" w:hAnsi="宋体" w:cs="宋体"/>
          <w:kern w:val="2"/>
          <w:sz w:val="24"/>
          <w:szCs w:val="24"/>
          <w:highlight w:val="none"/>
          <w:u w:val="single"/>
        </w:rPr>
        <w:t>1</w:t>
      </w:r>
      <w:r>
        <w:rPr>
          <w:rFonts w:ascii="宋体" w:hAnsi="宋体" w:cs="宋体"/>
          <w:kern w:val="2"/>
          <w:sz w:val="24"/>
          <w:szCs w:val="24"/>
          <w:highlight w:val="none"/>
          <w:u w:val="single"/>
        </w:rPr>
        <w:t>2</w:t>
      </w:r>
      <w:r>
        <w:rPr>
          <w:rFonts w:hint="eastAsia" w:ascii="宋体" w:hAnsi="宋体" w:cs="宋体"/>
          <w:kern w:val="2"/>
          <w:sz w:val="24"/>
          <w:szCs w:val="24"/>
          <w:highlight w:val="none"/>
          <w:u w:val="single"/>
        </w:rPr>
        <w:t>:0</w:t>
      </w:r>
      <w:r>
        <w:rPr>
          <w:rFonts w:ascii="宋体" w:hAnsi="宋体" w:cs="宋体"/>
          <w:kern w:val="2"/>
          <w:sz w:val="24"/>
          <w:szCs w:val="24"/>
          <w:highlight w:val="none"/>
          <w:u w:val="single"/>
        </w:rPr>
        <w:t>0</w:t>
      </w:r>
      <w:r>
        <w:rPr>
          <w:rFonts w:hint="eastAsia" w:ascii="宋体" w:hAnsi="宋体" w:cs="宋体"/>
          <w:kern w:val="2"/>
          <w:sz w:val="24"/>
          <w:szCs w:val="24"/>
          <w:highlight w:val="none"/>
        </w:rPr>
        <w:t>，下午</w:t>
      </w:r>
      <w:r>
        <w:rPr>
          <w:rFonts w:hint="eastAsia" w:ascii="宋体" w:hAnsi="宋体" w:cs="宋体"/>
          <w:kern w:val="2"/>
          <w:sz w:val="24"/>
          <w:szCs w:val="24"/>
          <w:highlight w:val="none"/>
          <w:u w:val="single"/>
        </w:rPr>
        <w:t>12:00</w:t>
      </w:r>
      <w:r>
        <w:rPr>
          <w:rFonts w:hint="eastAsia" w:ascii="宋体" w:hAnsi="宋体" w:cs="宋体"/>
          <w:kern w:val="2"/>
          <w:sz w:val="24"/>
          <w:szCs w:val="24"/>
          <w:highlight w:val="none"/>
        </w:rPr>
        <w:t>至</w:t>
      </w:r>
      <w:r>
        <w:rPr>
          <w:rFonts w:hint="eastAsia" w:ascii="宋体" w:hAnsi="宋体" w:cs="宋体"/>
          <w:kern w:val="2"/>
          <w:sz w:val="24"/>
          <w:szCs w:val="24"/>
          <w:highlight w:val="none"/>
          <w:u w:val="single"/>
        </w:rPr>
        <w:t>23:59</w:t>
      </w:r>
      <w:r>
        <w:rPr>
          <w:rFonts w:hint="eastAsia" w:ascii="宋体" w:hAnsi="宋体" w:cs="宋体"/>
          <w:kern w:val="2"/>
          <w:sz w:val="24"/>
          <w:szCs w:val="24"/>
          <w:highlight w:val="none"/>
        </w:rPr>
        <w:t>（北京时间，法定节假日除外）</w:t>
      </w:r>
    </w:p>
    <w:p w14:paraId="3A11982B">
      <w:pPr>
        <w:widowControl w:val="0"/>
        <w:spacing w:line="360" w:lineRule="auto"/>
        <w:ind w:firstLine="540"/>
        <w:jc w:val="both"/>
        <w:rPr>
          <w:rFonts w:ascii="宋体" w:hAnsi="宋体" w:cs="宋体"/>
          <w:kern w:val="2"/>
          <w:sz w:val="24"/>
          <w:szCs w:val="24"/>
          <w:highlight w:val="none"/>
          <w:lang w:bidi="ar"/>
        </w:rPr>
      </w:pPr>
      <w:r>
        <w:rPr>
          <w:rFonts w:hint="eastAsia" w:ascii="宋体" w:hAnsi="宋体" w:cs="宋体"/>
          <w:kern w:val="2"/>
          <w:sz w:val="24"/>
          <w:szCs w:val="24"/>
          <w:highlight w:val="none"/>
          <w:lang w:bidi="ar"/>
        </w:rPr>
        <w:t>地点：供应商可自行在“政采云”平台（http：//www.zcygov.cn）下载采购文件（操作路径：登录“政采云”平台-项目采购-获取采购文件-找到本项目-点击“申请获取采购文件”），电子投标文件制作需要基于“政采云”平台（http：//www.zcygov.cn）获取的采购文件编制。</w:t>
      </w:r>
    </w:p>
    <w:p w14:paraId="217A385C">
      <w:pPr>
        <w:widowControl w:val="0"/>
        <w:spacing w:line="360" w:lineRule="auto"/>
        <w:ind w:firstLine="540"/>
        <w:jc w:val="both"/>
        <w:rPr>
          <w:rFonts w:hint="eastAsia" w:ascii="宋体" w:hAnsi="宋体" w:cs="宋体"/>
          <w:kern w:val="2"/>
          <w:sz w:val="24"/>
          <w:szCs w:val="24"/>
          <w:highlight w:val="none"/>
          <w:lang w:val="en-US" w:eastAsia="zh-CN" w:bidi="ar"/>
        </w:rPr>
      </w:pPr>
      <w:r>
        <w:rPr>
          <w:rFonts w:hint="eastAsia" w:ascii="宋体" w:hAnsi="宋体" w:cs="宋体"/>
          <w:kern w:val="2"/>
          <w:sz w:val="24"/>
          <w:szCs w:val="24"/>
          <w:highlight w:val="none"/>
          <w:lang w:bidi="ar"/>
        </w:rPr>
        <w:t>方式：</w:t>
      </w:r>
      <w:r>
        <w:rPr>
          <w:rFonts w:hint="eastAsia" w:ascii="宋体" w:hAnsi="宋体" w:cs="宋体"/>
          <w:kern w:val="2"/>
          <w:sz w:val="24"/>
          <w:szCs w:val="24"/>
          <w:highlight w:val="none"/>
          <w:lang w:val="en-US" w:eastAsia="zh-CN" w:bidi="ar"/>
        </w:rPr>
        <w:t>网上获取。</w:t>
      </w:r>
    </w:p>
    <w:p w14:paraId="0010BF74">
      <w:pPr>
        <w:widowControl w:val="0"/>
        <w:spacing w:line="360" w:lineRule="auto"/>
        <w:ind w:firstLine="540"/>
        <w:jc w:val="both"/>
        <w:rPr>
          <w:rFonts w:hint="eastAsia" w:ascii="宋体" w:hAnsi="宋体" w:cs="宋体"/>
          <w:kern w:val="2"/>
          <w:sz w:val="24"/>
          <w:szCs w:val="24"/>
          <w:highlight w:val="none"/>
          <w:lang w:bidi="ar"/>
        </w:rPr>
      </w:pPr>
      <w:r>
        <w:rPr>
          <w:rFonts w:hint="eastAsia" w:ascii="宋体" w:hAnsi="宋体" w:cs="宋体"/>
          <w:kern w:val="2"/>
          <w:sz w:val="24"/>
          <w:szCs w:val="24"/>
          <w:highlight w:val="none"/>
          <w:lang w:val="en-US" w:eastAsia="zh-CN" w:bidi="ar"/>
        </w:rPr>
        <w:t>具体要求：</w:t>
      </w:r>
      <w:r>
        <w:rPr>
          <w:rFonts w:hint="eastAsia" w:ascii="宋体" w:hAnsi="宋体" w:cs="宋体"/>
          <w:kern w:val="2"/>
          <w:sz w:val="24"/>
          <w:szCs w:val="24"/>
          <w:highlight w:val="none"/>
          <w:lang w:bidi="ar"/>
        </w:rPr>
        <w:t>1.凡有意参加投标者，须在政采云平台办理数字证书（CA），并在政采云绑定数字证书（CA）后线上获取采购文件及其它采购资料。CA申领链接：https://middle.zcygov.cn/ca/apply/list?_app_=zcy.sys，CA申领后需登陆政采云平台完成数字证书（CA）绑定才可以使用，数字证书（CA）详见其办理流程。</w:t>
      </w:r>
    </w:p>
    <w:p w14:paraId="1D89F9C6">
      <w:pPr>
        <w:widowControl w:val="0"/>
        <w:spacing w:line="360" w:lineRule="auto"/>
        <w:ind w:firstLine="540"/>
        <w:jc w:val="both"/>
        <w:rPr>
          <w:rFonts w:ascii="宋体" w:hAnsi="宋体" w:cs="宋体"/>
          <w:kern w:val="2"/>
          <w:sz w:val="24"/>
          <w:szCs w:val="24"/>
          <w:highlight w:val="none"/>
          <w:lang w:bidi="ar"/>
        </w:rPr>
      </w:pPr>
      <w:r>
        <w:rPr>
          <w:rFonts w:hint="eastAsia" w:ascii="宋体" w:hAnsi="宋体" w:cs="宋体"/>
          <w:kern w:val="2"/>
          <w:sz w:val="24"/>
          <w:szCs w:val="24"/>
          <w:highlight w:val="none"/>
          <w:lang w:bidi="ar"/>
        </w:rPr>
        <w:t>2.按上述要求获取文件的供应商视为合法获取了本项目采购文件，具备本项目的投标资格。</w:t>
      </w:r>
    </w:p>
    <w:p w14:paraId="64708F66">
      <w:pPr>
        <w:widowControl w:val="0"/>
        <w:spacing w:line="360" w:lineRule="auto"/>
        <w:ind w:firstLine="540"/>
        <w:jc w:val="both"/>
        <w:rPr>
          <w:rFonts w:ascii="宋体" w:hAnsi="宋体" w:cs="宋体"/>
          <w:sz w:val="24"/>
          <w:szCs w:val="24"/>
          <w:highlight w:val="none"/>
        </w:rPr>
      </w:pPr>
      <w:r>
        <w:rPr>
          <w:rFonts w:hint="eastAsia" w:ascii="宋体" w:hAnsi="宋体" w:cs="宋体"/>
          <w:kern w:val="2"/>
          <w:sz w:val="24"/>
          <w:szCs w:val="24"/>
          <w:highlight w:val="none"/>
        </w:rPr>
        <w:t>售价：0元</w:t>
      </w:r>
    </w:p>
    <w:p w14:paraId="19E2BC97">
      <w:pPr>
        <w:pStyle w:val="3"/>
        <w:pageBreakBefore w:val="0"/>
        <w:widowControl/>
        <w:kinsoku/>
        <w:wordWrap/>
        <w:overflowPunct/>
        <w:topLinePunct w:val="0"/>
        <w:autoSpaceDE/>
        <w:autoSpaceDN/>
        <w:bidi w:val="0"/>
        <w:adjustRightInd/>
        <w:snapToGrid/>
        <w:spacing w:before="0" w:after="0" w:line="360" w:lineRule="auto"/>
        <w:textAlignment w:val="auto"/>
        <w:rPr>
          <w:rFonts w:hint="eastAsia" w:ascii="宋体" w:hAnsi="宋体" w:eastAsia="宋体" w:cs="宋体"/>
          <w:b/>
          <w:bCs w:val="0"/>
          <w:i w:val="0"/>
          <w:iCs w:val="0"/>
          <w:sz w:val="24"/>
          <w:szCs w:val="24"/>
          <w:highlight w:val="none"/>
          <w:lang w:val="en-US"/>
        </w:rPr>
      </w:pPr>
      <w:bookmarkStart w:id="28" w:name="_Toc3285"/>
      <w:r>
        <w:rPr>
          <w:rFonts w:hint="eastAsia" w:ascii="宋体" w:hAnsi="宋体" w:eastAsia="宋体" w:cs="宋体"/>
          <w:b/>
          <w:bCs w:val="0"/>
          <w:i w:val="0"/>
          <w:iCs w:val="0"/>
          <w:sz w:val="24"/>
          <w:szCs w:val="24"/>
          <w:highlight w:val="none"/>
          <w:lang w:eastAsia="zh-CN"/>
        </w:rPr>
        <w:t>四、提交投标文件</w:t>
      </w:r>
      <w:bookmarkEnd w:id="23"/>
      <w:bookmarkEnd w:id="24"/>
      <w:r>
        <w:rPr>
          <w:rFonts w:hint="eastAsia" w:ascii="宋体" w:hAnsi="宋体" w:eastAsia="宋体" w:cs="宋体"/>
          <w:b/>
          <w:bCs w:val="0"/>
          <w:i w:val="0"/>
          <w:iCs w:val="0"/>
          <w:sz w:val="24"/>
          <w:szCs w:val="24"/>
          <w:highlight w:val="none"/>
          <w:lang w:eastAsia="zh-CN"/>
        </w:rPr>
        <w:t>截止时间、开标时间和地点</w:t>
      </w:r>
      <w:bookmarkEnd w:id="25"/>
      <w:bookmarkEnd w:id="26"/>
      <w:bookmarkEnd w:id="27"/>
      <w:bookmarkEnd w:id="28"/>
    </w:p>
    <w:p w14:paraId="69A49C79">
      <w:pPr>
        <w:keepNext w:val="0"/>
        <w:keepLines w:val="0"/>
        <w:pageBreakBefore w:val="0"/>
        <w:widowControl w:val="0"/>
        <w:suppressLineNumbers w:val="0"/>
        <w:kinsoku/>
        <w:wordWrap/>
        <w:overflowPunct/>
        <w:topLinePunct w:val="0"/>
        <w:autoSpaceDE/>
        <w:autoSpaceDN/>
        <w:bidi w:val="0"/>
        <w:adjustRightInd/>
        <w:snapToGrid/>
        <w:spacing w:beforeAutospacing="0" w:afterAutospacing="0" w:line="360" w:lineRule="auto"/>
        <w:ind w:left="0" w:right="0" w:firstLine="480" w:firstLineChars="200"/>
        <w:jc w:val="both"/>
        <w:textAlignment w:val="auto"/>
        <w:rPr>
          <w:rFonts w:hint="eastAsia" w:ascii="宋体" w:hAnsi="宋体" w:eastAsia="宋体" w:cs="宋体"/>
          <w:bCs/>
          <w:i w:val="0"/>
          <w:iCs w:val="0"/>
          <w:color w:val="auto"/>
          <w:sz w:val="24"/>
          <w:szCs w:val="24"/>
          <w:highlight w:val="none"/>
          <w:u w:val="single"/>
          <w:lang w:val="en-US"/>
        </w:rPr>
      </w:pPr>
      <w:r>
        <w:rPr>
          <w:rFonts w:hint="eastAsia" w:ascii="宋体" w:hAnsi="宋体" w:eastAsia="宋体" w:cs="宋体"/>
          <w:bCs/>
          <w:i w:val="0"/>
          <w:iCs w:val="0"/>
          <w:color w:val="auto"/>
          <w:kern w:val="2"/>
          <w:sz w:val="24"/>
          <w:szCs w:val="24"/>
          <w:highlight w:val="none"/>
          <w:u w:val="single"/>
          <w:lang w:val="en-US" w:eastAsia="zh-CN" w:bidi="ar"/>
        </w:rPr>
        <w:t>2025年</w:t>
      </w:r>
      <w:r>
        <w:rPr>
          <w:rFonts w:hint="eastAsia" w:ascii="宋体" w:hAnsi="宋体" w:cs="宋体"/>
          <w:bCs/>
          <w:i w:val="0"/>
          <w:iCs w:val="0"/>
          <w:color w:val="auto"/>
          <w:kern w:val="2"/>
          <w:sz w:val="24"/>
          <w:szCs w:val="24"/>
          <w:highlight w:val="none"/>
          <w:u w:val="single"/>
          <w:lang w:val="en-US" w:eastAsia="zh-CN" w:bidi="ar"/>
        </w:rPr>
        <w:t>7</w:t>
      </w:r>
      <w:r>
        <w:rPr>
          <w:rFonts w:hint="eastAsia" w:ascii="宋体" w:hAnsi="宋体" w:eastAsia="宋体" w:cs="宋体"/>
          <w:bCs/>
          <w:i w:val="0"/>
          <w:iCs w:val="0"/>
          <w:color w:val="auto"/>
          <w:kern w:val="2"/>
          <w:sz w:val="24"/>
          <w:szCs w:val="24"/>
          <w:highlight w:val="none"/>
          <w:u w:val="single"/>
          <w:lang w:val="en-US" w:eastAsia="zh-CN" w:bidi="ar"/>
        </w:rPr>
        <w:t>月</w:t>
      </w:r>
      <w:r>
        <w:rPr>
          <w:rFonts w:hint="eastAsia" w:ascii="宋体" w:hAnsi="宋体" w:cs="宋体"/>
          <w:bCs/>
          <w:i w:val="0"/>
          <w:iCs w:val="0"/>
          <w:color w:val="auto"/>
          <w:kern w:val="2"/>
          <w:sz w:val="24"/>
          <w:szCs w:val="24"/>
          <w:highlight w:val="none"/>
          <w:u w:val="single"/>
          <w:lang w:val="en-US" w:eastAsia="zh-CN" w:bidi="ar"/>
        </w:rPr>
        <w:t>9</w:t>
      </w:r>
      <w:r>
        <w:rPr>
          <w:rFonts w:hint="eastAsia" w:ascii="宋体" w:hAnsi="宋体" w:eastAsia="宋体" w:cs="宋体"/>
          <w:bCs/>
          <w:i w:val="0"/>
          <w:iCs w:val="0"/>
          <w:color w:val="auto"/>
          <w:kern w:val="2"/>
          <w:sz w:val="24"/>
          <w:szCs w:val="24"/>
          <w:highlight w:val="none"/>
          <w:u w:val="single"/>
          <w:lang w:val="en-US" w:eastAsia="zh-CN" w:bidi="ar"/>
        </w:rPr>
        <w:t>日</w:t>
      </w:r>
      <w:r>
        <w:rPr>
          <w:rFonts w:hint="eastAsia" w:ascii="宋体" w:hAnsi="宋体" w:cs="宋体"/>
          <w:bCs/>
          <w:i w:val="0"/>
          <w:iCs w:val="0"/>
          <w:color w:val="auto"/>
          <w:kern w:val="2"/>
          <w:sz w:val="24"/>
          <w:szCs w:val="24"/>
          <w:highlight w:val="none"/>
          <w:u w:val="single"/>
          <w:lang w:val="en-US" w:eastAsia="zh-CN" w:bidi="ar"/>
        </w:rPr>
        <w:t>14</w:t>
      </w:r>
      <w:r>
        <w:rPr>
          <w:rFonts w:hint="eastAsia" w:ascii="宋体" w:hAnsi="宋体" w:eastAsia="宋体" w:cs="宋体"/>
          <w:bCs/>
          <w:i w:val="0"/>
          <w:iCs w:val="0"/>
          <w:color w:val="auto"/>
          <w:kern w:val="2"/>
          <w:sz w:val="24"/>
          <w:szCs w:val="24"/>
          <w:highlight w:val="none"/>
          <w:u w:val="single"/>
          <w:lang w:val="en-US" w:eastAsia="zh-CN" w:bidi="ar"/>
        </w:rPr>
        <w:t>点</w:t>
      </w:r>
      <w:r>
        <w:rPr>
          <w:rFonts w:hint="eastAsia" w:ascii="宋体" w:hAnsi="宋体" w:cs="宋体"/>
          <w:bCs/>
          <w:i w:val="0"/>
          <w:iCs w:val="0"/>
          <w:color w:val="auto"/>
          <w:kern w:val="2"/>
          <w:sz w:val="24"/>
          <w:szCs w:val="24"/>
          <w:highlight w:val="none"/>
          <w:u w:val="single"/>
          <w:lang w:val="en-US" w:eastAsia="zh-CN" w:bidi="ar"/>
        </w:rPr>
        <w:t>3</w:t>
      </w:r>
      <w:r>
        <w:rPr>
          <w:rFonts w:hint="eastAsia" w:ascii="宋体" w:hAnsi="宋体" w:eastAsia="宋体" w:cs="宋体"/>
          <w:bCs/>
          <w:i w:val="0"/>
          <w:iCs w:val="0"/>
          <w:color w:val="auto"/>
          <w:kern w:val="2"/>
          <w:sz w:val="24"/>
          <w:szCs w:val="24"/>
          <w:highlight w:val="none"/>
          <w:u w:val="single"/>
          <w:lang w:val="en-US" w:eastAsia="zh-CN" w:bidi="ar"/>
        </w:rPr>
        <w:t>0分</w:t>
      </w:r>
      <w:r>
        <w:rPr>
          <w:rFonts w:hint="eastAsia" w:ascii="宋体" w:hAnsi="宋体" w:eastAsia="宋体" w:cs="宋体"/>
          <w:bCs/>
          <w:i w:val="0"/>
          <w:iCs w:val="0"/>
          <w:color w:val="auto"/>
          <w:kern w:val="2"/>
          <w:sz w:val="24"/>
          <w:szCs w:val="24"/>
          <w:highlight w:val="none"/>
          <w:lang w:val="en-US" w:eastAsia="zh-CN" w:bidi="ar"/>
        </w:rPr>
        <w:t>（北京时间）</w:t>
      </w:r>
    </w:p>
    <w:p w14:paraId="0123CF1C">
      <w:pPr>
        <w:widowControl w:val="0"/>
        <w:spacing w:line="360" w:lineRule="auto"/>
        <w:ind w:firstLine="480" w:firstLineChars="200"/>
        <w:jc w:val="both"/>
        <w:rPr>
          <w:rFonts w:hint="eastAsia" w:ascii="宋体" w:hAnsi="宋体" w:cs="宋体"/>
          <w:bCs/>
          <w:sz w:val="24"/>
          <w:szCs w:val="24"/>
          <w:highlight w:val="none"/>
          <w:u w:val="single"/>
        </w:rPr>
      </w:pPr>
      <w:r>
        <w:rPr>
          <w:rFonts w:hint="eastAsia" w:ascii="宋体" w:hAnsi="宋体" w:cs="宋体"/>
          <w:kern w:val="2"/>
          <w:sz w:val="24"/>
          <w:szCs w:val="24"/>
          <w:highlight w:val="none"/>
          <w:lang w:bidi="ar"/>
        </w:rPr>
        <w:t>供应商应按照本项目采购文件和“政采云”平台的要求编制、加密后在响应文件提交截止时间前上传至“政采云”平台，响应文件提交截止时间前未完成响应文件上传的，视为撤回响应文件。供应商在“政采云”平台提交电子版响应文件时，请填写参加远程采购活动经办人联系方式。开标地点：“政采云”平台开标大厅。</w:t>
      </w:r>
    </w:p>
    <w:p w14:paraId="1FBD061C">
      <w:pPr>
        <w:pStyle w:val="3"/>
        <w:pageBreakBefore w:val="0"/>
        <w:widowControl/>
        <w:kinsoku/>
        <w:wordWrap/>
        <w:overflowPunct/>
        <w:topLinePunct w:val="0"/>
        <w:autoSpaceDE/>
        <w:autoSpaceDN/>
        <w:bidi w:val="0"/>
        <w:adjustRightInd/>
        <w:snapToGrid/>
        <w:spacing w:before="0" w:after="0" w:line="360" w:lineRule="auto"/>
        <w:textAlignment w:val="auto"/>
        <w:rPr>
          <w:rFonts w:hint="eastAsia" w:ascii="宋体" w:hAnsi="宋体" w:eastAsia="宋体" w:cs="宋体"/>
          <w:b/>
          <w:bCs w:val="0"/>
          <w:i w:val="0"/>
          <w:iCs w:val="0"/>
          <w:sz w:val="24"/>
          <w:szCs w:val="24"/>
          <w:highlight w:val="none"/>
          <w:lang w:val="en-US"/>
        </w:rPr>
      </w:pPr>
      <w:bookmarkStart w:id="29" w:name="_Toc35393625"/>
      <w:bookmarkStart w:id="30" w:name="_Toc35393794"/>
      <w:bookmarkStart w:id="31" w:name="_Toc28359007"/>
      <w:bookmarkStart w:id="32" w:name="_Toc28359084"/>
      <w:bookmarkStart w:id="33" w:name="_Toc25135"/>
      <w:bookmarkStart w:id="34" w:name="_Toc13971"/>
      <w:r>
        <w:rPr>
          <w:rFonts w:hint="eastAsia" w:ascii="宋体" w:hAnsi="宋体" w:eastAsia="宋体" w:cs="宋体"/>
          <w:b/>
          <w:bCs w:val="0"/>
          <w:i w:val="0"/>
          <w:iCs w:val="0"/>
          <w:sz w:val="24"/>
          <w:szCs w:val="24"/>
          <w:highlight w:val="none"/>
          <w:lang w:eastAsia="zh-CN"/>
        </w:rPr>
        <w:t>五、公告期限</w:t>
      </w:r>
      <w:bookmarkEnd w:id="29"/>
      <w:bookmarkEnd w:id="30"/>
      <w:bookmarkEnd w:id="31"/>
      <w:bookmarkEnd w:id="32"/>
      <w:bookmarkEnd w:id="33"/>
      <w:bookmarkEnd w:id="34"/>
    </w:p>
    <w:p w14:paraId="33E6E315">
      <w:pPr>
        <w:keepNext w:val="0"/>
        <w:keepLines w:val="0"/>
        <w:pageBreakBefore w:val="0"/>
        <w:widowControl w:val="0"/>
        <w:suppressLineNumbers w:val="0"/>
        <w:kinsoku/>
        <w:wordWrap/>
        <w:overflowPunct/>
        <w:topLinePunct w:val="0"/>
        <w:autoSpaceDE/>
        <w:autoSpaceDN/>
        <w:bidi w:val="0"/>
        <w:adjustRightInd/>
        <w:snapToGrid/>
        <w:spacing w:beforeAutospacing="0" w:afterAutospacing="0" w:line="360" w:lineRule="auto"/>
        <w:ind w:left="0" w:right="0" w:firstLine="480" w:firstLineChars="200"/>
        <w:jc w:val="both"/>
        <w:textAlignment w:val="auto"/>
        <w:rPr>
          <w:rFonts w:hint="eastAsia" w:ascii="宋体" w:hAnsi="宋体" w:eastAsia="宋体" w:cs="宋体"/>
          <w:i w:val="0"/>
          <w:iCs w:val="0"/>
          <w:kern w:val="0"/>
          <w:sz w:val="24"/>
          <w:szCs w:val="24"/>
          <w:highlight w:val="none"/>
          <w:lang w:val="en-US"/>
        </w:rPr>
      </w:pPr>
      <w:r>
        <w:rPr>
          <w:rFonts w:hint="eastAsia" w:ascii="宋体" w:hAnsi="宋体" w:eastAsia="宋体" w:cs="宋体"/>
          <w:i w:val="0"/>
          <w:iCs w:val="0"/>
          <w:kern w:val="0"/>
          <w:sz w:val="24"/>
          <w:szCs w:val="24"/>
          <w:highlight w:val="none"/>
          <w:lang w:val="en-US" w:eastAsia="zh-CN" w:bidi="ar"/>
        </w:rPr>
        <w:t>自本公告发布之日起5个工作日。</w:t>
      </w:r>
    </w:p>
    <w:p w14:paraId="2DF78899">
      <w:pPr>
        <w:pStyle w:val="3"/>
        <w:pageBreakBefore w:val="0"/>
        <w:widowControl/>
        <w:kinsoku/>
        <w:wordWrap/>
        <w:overflowPunct/>
        <w:topLinePunct w:val="0"/>
        <w:autoSpaceDE/>
        <w:autoSpaceDN/>
        <w:bidi w:val="0"/>
        <w:adjustRightInd/>
        <w:snapToGrid/>
        <w:spacing w:before="0" w:after="0" w:line="360" w:lineRule="auto"/>
        <w:textAlignment w:val="auto"/>
        <w:rPr>
          <w:rFonts w:hint="eastAsia" w:ascii="宋体" w:hAnsi="宋体" w:eastAsia="宋体" w:cs="宋体"/>
          <w:b/>
          <w:bCs w:val="0"/>
          <w:i w:val="0"/>
          <w:iCs w:val="0"/>
          <w:sz w:val="24"/>
          <w:szCs w:val="24"/>
          <w:highlight w:val="none"/>
          <w:lang w:val="en-US"/>
        </w:rPr>
      </w:pPr>
      <w:bookmarkStart w:id="35" w:name="_Toc26398"/>
      <w:bookmarkStart w:id="36" w:name="_Toc14132"/>
      <w:bookmarkStart w:id="37" w:name="_Toc35393795"/>
      <w:bookmarkStart w:id="38" w:name="_Toc35393626"/>
      <w:r>
        <w:rPr>
          <w:rFonts w:hint="eastAsia" w:ascii="宋体" w:hAnsi="宋体" w:eastAsia="宋体" w:cs="宋体"/>
          <w:b/>
          <w:bCs w:val="0"/>
          <w:i w:val="0"/>
          <w:iCs w:val="0"/>
          <w:sz w:val="24"/>
          <w:szCs w:val="24"/>
          <w:highlight w:val="none"/>
          <w:lang w:eastAsia="zh-CN"/>
        </w:rPr>
        <w:t>六、其他补充事宜</w:t>
      </w:r>
      <w:bookmarkEnd w:id="35"/>
      <w:bookmarkEnd w:id="36"/>
      <w:bookmarkEnd w:id="37"/>
      <w:bookmarkEnd w:id="38"/>
    </w:p>
    <w:p w14:paraId="08DA18E0">
      <w:pPr>
        <w:widowControl w:val="0"/>
        <w:spacing w:line="360" w:lineRule="auto"/>
        <w:ind w:firstLine="480" w:firstLineChars="200"/>
        <w:rPr>
          <w:rFonts w:hint="eastAsia" w:ascii="宋体" w:hAnsi="宋体" w:eastAsia="宋体" w:cs="宋体"/>
          <w:sz w:val="24"/>
          <w:szCs w:val="24"/>
          <w:highlight w:val="none"/>
        </w:rPr>
      </w:pPr>
      <w:bookmarkStart w:id="39" w:name="_Toc28359085"/>
      <w:bookmarkStart w:id="40" w:name="_Toc28359008"/>
      <w:bookmarkStart w:id="41" w:name="_Toc28979"/>
      <w:bookmarkStart w:id="42" w:name="_Toc35393796"/>
      <w:bookmarkStart w:id="43" w:name="_Toc35393627"/>
      <w:r>
        <w:rPr>
          <w:rFonts w:hint="eastAsia" w:ascii="宋体" w:hAnsi="宋体" w:eastAsia="宋体" w:cs="宋体"/>
          <w:sz w:val="24"/>
          <w:szCs w:val="24"/>
          <w:highlight w:val="none"/>
        </w:rPr>
        <w:t>(1)本项目为不见面开标，供应商无需到达现场；</w:t>
      </w:r>
    </w:p>
    <w:p w14:paraId="4A75ED3E">
      <w:pPr>
        <w:widowControl w:val="0"/>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(2)本项目实行网上投标，采用电子响应文件；</w:t>
      </w:r>
    </w:p>
    <w:p w14:paraId="4C210897">
      <w:pPr>
        <w:widowControl w:val="0"/>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(3)因未注册入库、未办理CA数字证书等原因造成无法投标或投标失败等后果由供应商自行承担。</w:t>
      </w:r>
    </w:p>
    <w:p w14:paraId="43E440BE">
      <w:pPr>
        <w:widowControl w:val="0"/>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(4)供应商将政采云电子交易客户端下载、安装完成后，可通过账号密码或CA登录客户端进行响应文件的制作。在使用政采云投标客户端时，建议使用WIN7(64位)及以上操作系统。客户端请至政采云网站(https：//edu.zcygov.cn/luban/yunnan-dzjy-gys)进行查看下载，如有问题可拨打政采云客户服务热线400-881-7190进行咨询以及云南CA操作问题：请致电云南CA，4006727666。如因供应商自身原因导致在规定时间内无法正常解密的(如：浏览器故障、未安装相关驱动、网络故障、加密CA与解密CA不一致等)，代理机构不予异常处理，视为供应商自动弃标。</w:t>
      </w:r>
    </w:p>
    <w:p w14:paraId="432FAB70">
      <w:pPr>
        <w:widowControl w:val="0"/>
        <w:spacing w:line="360" w:lineRule="auto"/>
        <w:ind w:firstLine="480" w:firstLineChars="200"/>
        <w:rPr>
          <w:rStyle w:val="33"/>
          <w:rFonts w:hint="eastAsia" w:ascii="宋体" w:hAnsi="宋体" w:eastAsia="宋体" w:cs="宋体"/>
          <w:sz w:val="24"/>
          <w:szCs w:val="24"/>
          <w:highlight w:val="none"/>
        </w:rPr>
      </w:pPr>
      <w:r>
        <w:rPr>
          <w:rFonts w:hint="eastAsia" w:ascii="宋体" w:hAnsi="宋体" w:eastAsia="宋体" w:cs="宋体"/>
          <w:sz w:val="24"/>
          <w:szCs w:val="24"/>
          <w:highlight w:val="none"/>
        </w:rPr>
        <w:t>(5)</w:t>
      </w:r>
      <w:r>
        <w:rPr>
          <w:rFonts w:hint="eastAsia" w:ascii="宋体" w:hAnsi="宋体" w:eastAsia="宋体" w:cs="宋体"/>
          <w:sz w:val="24"/>
          <w:szCs w:val="24"/>
          <w:highlight w:val="none"/>
          <w:lang w:val="en-US" w:eastAsia="zh-CN"/>
        </w:rPr>
        <w:t>获取采购文件的</w:t>
      </w:r>
      <w:r>
        <w:rPr>
          <w:rFonts w:hint="eastAsia" w:ascii="宋体" w:hAnsi="宋体" w:eastAsia="宋体" w:cs="宋体"/>
          <w:sz w:val="24"/>
          <w:szCs w:val="24"/>
          <w:highlight w:val="none"/>
        </w:rPr>
        <w:t>方式：有意参加投标的供应商需要在政采云平台办理数字证书（CA）。完成数字证书（CA）办理后，供应商需要在政采云平台绑定数字证书(CA)，并在平台上获取采购文件和其他相关采购资料。注：CA办理链接：http://yzt.ynsmartcert.cn/cms/yztmdkj.html或</w:t>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"https://middle.zcygov.cn/ca/apply/list?_app_" </w:instrText>
      </w:r>
      <w:r>
        <w:rPr>
          <w:rFonts w:hint="eastAsia" w:ascii="宋体" w:hAnsi="宋体" w:eastAsia="宋体" w:cs="宋体"/>
          <w:sz w:val="24"/>
          <w:szCs w:val="24"/>
          <w:highlight w:val="none"/>
        </w:rPr>
        <w:fldChar w:fldCharType="separate"/>
      </w:r>
      <w:r>
        <w:rPr>
          <w:rStyle w:val="33"/>
          <w:rFonts w:hint="eastAsia" w:ascii="宋体" w:hAnsi="宋体" w:eastAsia="宋体" w:cs="宋体"/>
          <w:sz w:val="24"/>
          <w:szCs w:val="24"/>
          <w:highlight w:val="none"/>
        </w:rPr>
        <w:t>https://middle.zcygov.cn/ca/apply/</w:t>
      </w:r>
    </w:p>
    <w:p w14:paraId="719B364E">
      <w:pPr>
        <w:widowControl w:val="0"/>
        <w:spacing w:line="360" w:lineRule="auto"/>
        <w:rPr>
          <w:rFonts w:hint="eastAsia" w:ascii="宋体" w:hAnsi="宋体" w:eastAsia="宋体" w:cs="宋体"/>
          <w:sz w:val="24"/>
          <w:szCs w:val="24"/>
          <w:highlight w:val="none"/>
        </w:rPr>
      </w:pPr>
      <w:r>
        <w:rPr>
          <w:rStyle w:val="33"/>
          <w:rFonts w:hint="eastAsia" w:ascii="宋体" w:hAnsi="宋体" w:eastAsia="宋体" w:cs="宋体"/>
          <w:sz w:val="24"/>
          <w:szCs w:val="24"/>
          <w:highlight w:val="none"/>
        </w:rPr>
        <w:t>list?_app_</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t>=zcy.sys需要注意的是，如果供应商之前已经在云南CA在线数字证书办理网注册并办理了企业数字证书（CA），则可以直接进行绑定，无需重复办理。此外，供应商在政采云平台办理的其他CA也可以直接使用，无需重复办理。如有问题可拨打政采云客户服务热线95763进行咨询，数字证书问题可咨询云南壹证通CA：0871-67276028（紧急可拨19988166369）。</w:t>
      </w:r>
    </w:p>
    <w:p w14:paraId="753423CA">
      <w:pPr>
        <w:pStyle w:val="3"/>
        <w:pageBreakBefore w:val="0"/>
        <w:widowControl/>
        <w:kinsoku/>
        <w:wordWrap/>
        <w:overflowPunct/>
        <w:topLinePunct w:val="0"/>
        <w:autoSpaceDE/>
        <w:autoSpaceDN/>
        <w:bidi w:val="0"/>
        <w:adjustRightInd/>
        <w:snapToGrid/>
        <w:spacing w:before="0" w:after="0" w:line="360" w:lineRule="auto"/>
        <w:textAlignment w:val="auto"/>
        <w:rPr>
          <w:rFonts w:hint="eastAsia" w:ascii="宋体" w:hAnsi="宋体" w:eastAsia="宋体" w:cs="宋体"/>
          <w:b/>
          <w:bCs w:val="0"/>
          <w:i w:val="0"/>
          <w:iCs w:val="0"/>
          <w:sz w:val="24"/>
          <w:szCs w:val="24"/>
          <w:lang w:val="en-US"/>
        </w:rPr>
      </w:pPr>
      <w:bookmarkStart w:id="44" w:name="_Toc20688"/>
      <w:r>
        <w:rPr>
          <w:rFonts w:hint="eastAsia" w:ascii="宋体" w:hAnsi="宋体" w:eastAsia="宋体" w:cs="宋体"/>
          <w:b/>
          <w:bCs w:val="0"/>
          <w:i w:val="0"/>
          <w:iCs w:val="0"/>
          <w:sz w:val="24"/>
          <w:szCs w:val="24"/>
          <w:lang w:eastAsia="zh-CN"/>
        </w:rPr>
        <w:t>七、对本次招标提出询问，请按以下方式联系</w:t>
      </w:r>
      <w:bookmarkEnd w:id="39"/>
      <w:bookmarkEnd w:id="40"/>
      <w:bookmarkEnd w:id="41"/>
      <w:bookmarkEnd w:id="42"/>
      <w:bookmarkEnd w:id="43"/>
      <w:bookmarkEnd w:id="44"/>
    </w:p>
    <w:p w14:paraId="5B04BF47">
      <w:pPr>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left="0" w:right="0" w:firstLine="480" w:firstLineChars="200"/>
        <w:jc w:val="left"/>
        <w:textAlignment w:val="auto"/>
        <w:rPr>
          <w:rFonts w:hint="eastAsia" w:ascii="宋体" w:hAnsi="宋体" w:eastAsia="宋体" w:cs="宋体"/>
          <w:i w:val="0"/>
          <w:iCs w:val="0"/>
          <w:sz w:val="24"/>
          <w:szCs w:val="24"/>
          <w:lang w:val="en-US"/>
        </w:rPr>
      </w:pPr>
      <w:r>
        <w:rPr>
          <w:rFonts w:hint="eastAsia" w:ascii="宋体" w:hAnsi="宋体" w:eastAsia="宋体" w:cs="宋体"/>
          <w:i w:val="0"/>
          <w:iCs w:val="0"/>
          <w:kern w:val="2"/>
          <w:sz w:val="24"/>
          <w:szCs w:val="24"/>
          <w:lang w:val="en-US" w:eastAsia="zh-CN" w:bidi="ar"/>
        </w:rPr>
        <w:t>1.采购人信息</w:t>
      </w:r>
    </w:p>
    <w:p w14:paraId="581A7FAF">
      <w:pPr>
        <w:keepNext w:val="0"/>
        <w:keepLines w:val="0"/>
        <w:pageBreakBefore w:val="0"/>
        <w:widowControl w:val="0"/>
        <w:suppressLineNumbers w:val="0"/>
        <w:kinsoku/>
        <w:wordWrap/>
        <w:overflowPunct/>
        <w:topLinePunct w:val="0"/>
        <w:autoSpaceDE/>
        <w:autoSpaceDN/>
        <w:bidi w:val="0"/>
        <w:adjustRightInd/>
        <w:snapToGrid/>
        <w:spacing w:beforeAutospacing="0" w:afterAutospacing="0" w:line="360" w:lineRule="auto"/>
        <w:ind w:right="0" w:firstLine="480" w:firstLineChars="200"/>
        <w:jc w:val="left"/>
        <w:textAlignment w:val="auto"/>
        <w:rPr>
          <w:rFonts w:hint="eastAsia" w:ascii="宋体" w:hAnsi="宋体" w:eastAsia="宋体" w:cs="宋体"/>
          <w:i w:val="0"/>
          <w:iCs w:val="0"/>
          <w:color w:val="auto"/>
          <w:sz w:val="24"/>
          <w:szCs w:val="24"/>
          <w:lang w:val="en-US"/>
        </w:rPr>
      </w:pPr>
      <w:r>
        <w:rPr>
          <w:rFonts w:hint="eastAsia" w:ascii="宋体" w:hAnsi="宋体" w:eastAsia="宋体" w:cs="宋体"/>
          <w:i w:val="0"/>
          <w:iCs w:val="0"/>
          <w:color w:val="auto"/>
          <w:kern w:val="2"/>
          <w:sz w:val="24"/>
          <w:szCs w:val="24"/>
          <w:lang w:val="en-US" w:eastAsia="zh-CN" w:bidi="ar"/>
        </w:rPr>
        <w:t>名称：</w:t>
      </w:r>
      <w:r>
        <w:rPr>
          <w:rFonts w:hint="eastAsia" w:ascii="宋体" w:hAnsi="宋体" w:cs="宋体"/>
          <w:i w:val="0"/>
          <w:iCs w:val="0"/>
          <w:color w:val="auto"/>
          <w:kern w:val="2"/>
          <w:sz w:val="24"/>
          <w:szCs w:val="24"/>
          <w:lang w:val="en-US" w:eastAsia="zh-CN" w:bidi="ar"/>
        </w:rPr>
        <w:t>香格里拉市人民医院</w:t>
      </w:r>
    </w:p>
    <w:p w14:paraId="128734BE">
      <w:pPr>
        <w:keepNext w:val="0"/>
        <w:keepLines w:val="0"/>
        <w:pageBreakBefore w:val="0"/>
        <w:widowControl w:val="0"/>
        <w:suppressLineNumbers w:val="0"/>
        <w:kinsoku/>
        <w:wordWrap/>
        <w:overflowPunct/>
        <w:topLinePunct w:val="0"/>
        <w:autoSpaceDE/>
        <w:autoSpaceDN/>
        <w:bidi w:val="0"/>
        <w:adjustRightInd/>
        <w:snapToGrid/>
        <w:spacing w:beforeAutospacing="0" w:afterAutospacing="0" w:line="360" w:lineRule="auto"/>
        <w:ind w:right="0" w:firstLine="480" w:firstLineChars="200"/>
        <w:jc w:val="left"/>
        <w:textAlignment w:val="auto"/>
        <w:rPr>
          <w:rFonts w:hint="eastAsia" w:ascii="宋体" w:hAnsi="宋体" w:eastAsia="宋体" w:cs="宋体"/>
          <w:bCs/>
          <w:sz w:val="24"/>
          <w:szCs w:val="24"/>
          <w:highlight w:val="none"/>
          <w:lang w:eastAsia="zh-CN"/>
        </w:rPr>
      </w:pPr>
      <w:r>
        <w:rPr>
          <w:rFonts w:hint="eastAsia" w:ascii="宋体" w:hAnsi="宋体" w:eastAsia="宋体" w:cs="宋体"/>
          <w:i w:val="0"/>
          <w:iCs w:val="0"/>
          <w:color w:val="auto"/>
          <w:kern w:val="2"/>
          <w:sz w:val="24"/>
          <w:szCs w:val="24"/>
          <w:lang w:val="en-US" w:eastAsia="zh-CN" w:bidi="ar"/>
        </w:rPr>
        <w:t>地址：</w:t>
      </w:r>
      <w:r>
        <w:rPr>
          <w:rFonts w:hint="eastAsia" w:ascii="宋体" w:hAnsi="宋体" w:cs="宋体"/>
          <w:bCs/>
          <w:sz w:val="24"/>
          <w:szCs w:val="24"/>
          <w:highlight w:val="none"/>
          <w:lang w:eastAsia="zh-CN"/>
        </w:rPr>
        <w:t>迪庆藏族自治州香格里拉市建塘镇新城区白螺路1号</w:t>
      </w:r>
    </w:p>
    <w:p w14:paraId="023C16D4">
      <w:pPr>
        <w:keepNext w:val="0"/>
        <w:keepLines w:val="0"/>
        <w:pageBreakBefore w:val="0"/>
        <w:widowControl w:val="0"/>
        <w:suppressLineNumbers w:val="0"/>
        <w:kinsoku/>
        <w:wordWrap/>
        <w:overflowPunct/>
        <w:topLinePunct w:val="0"/>
        <w:autoSpaceDE/>
        <w:autoSpaceDN/>
        <w:bidi w:val="0"/>
        <w:adjustRightInd/>
        <w:snapToGrid/>
        <w:spacing w:beforeAutospacing="0" w:afterAutospacing="0" w:line="360" w:lineRule="auto"/>
        <w:ind w:right="0" w:firstLine="480" w:firstLineChars="200"/>
        <w:jc w:val="left"/>
        <w:textAlignment w:val="auto"/>
        <w:rPr>
          <w:rFonts w:hint="eastAsia" w:ascii="宋体" w:hAnsi="宋体" w:eastAsia="宋体" w:cs="宋体"/>
          <w:i w:val="0"/>
          <w:iCs w:val="0"/>
          <w:color w:val="auto"/>
          <w:kern w:val="2"/>
          <w:sz w:val="24"/>
          <w:szCs w:val="24"/>
          <w:lang w:val="en-US" w:eastAsia="zh-CN" w:bidi="ar"/>
        </w:rPr>
      </w:pPr>
      <w:r>
        <w:rPr>
          <w:rFonts w:hint="eastAsia" w:ascii="宋体" w:hAnsi="宋体" w:eastAsia="宋体" w:cs="宋体"/>
          <w:i w:val="0"/>
          <w:iCs w:val="0"/>
          <w:color w:val="auto"/>
          <w:kern w:val="2"/>
          <w:sz w:val="24"/>
          <w:szCs w:val="24"/>
          <w:lang w:val="en-US" w:eastAsia="zh-CN" w:bidi="ar"/>
        </w:rPr>
        <w:t>项目联系人：</w:t>
      </w:r>
      <w:r>
        <w:rPr>
          <w:rFonts w:hint="eastAsia" w:ascii="宋体" w:hAnsi="宋体" w:eastAsia="宋体" w:cs="宋体"/>
          <w:sz w:val="24"/>
          <w:szCs w:val="24"/>
        </w:rPr>
        <w:t>倪文军</w:t>
      </w:r>
    </w:p>
    <w:p w14:paraId="4445E703">
      <w:pPr>
        <w:keepNext w:val="0"/>
        <w:keepLines w:val="0"/>
        <w:pageBreakBefore w:val="0"/>
        <w:widowControl w:val="0"/>
        <w:suppressLineNumbers w:val="0"/>
        <w:kinsoku/>
        <w:wordWrap/>
        <w:overflowPunct/>
        <w:topLinePunct w:val="0"/>
        <w:autoSpaceDE/>
        <w:autoSpaceDN/>
        <w:bidi w:val="0"/>
        <w:adjustRightInd/>
        <w:snapToGrid/>
        <w:spacing w:beforeAutospacing="0" w:afterAutospacing="0" w:line="360" w:lineRule="auto"/>
        <w:ind w:right="0" w:firstLine="480" w:firstLineChars="200"/>
        <w:jc w:val="left"/>
        <w:textAlignment w:val="auto"/>
        <w:rPr>
          <w:rFonts w:hint="eastAsia" w:ascii="宋体" w:hAnsi="宋体" w:eastAsia="宋体" w:cs="宋体"/>
          <w:i w:val="0"/>
          <w:iCs w:val="0"/>
          <w:color w:val="auto"/>
          <w:sz w:val="24"/>
          <w:szCs w:val="24"/>
          <w:u w:val="single"/>
          <w:lang w:val="en-US"/>
        </w:rPr>
      </w:pPr>
      <w:r>
        <w:rPr>
          <w:rFonts w:hint="eastAsia" w:ascii="宋体" w:hAnsi="宋体" w:eastAsia="宋体" w:cs="宋体"/>
          <w:i w:val="0"/>
          <w:iCs w:val="0"/>
          <w:color w:val="auto"/>
          <w:kern w:val="2"/>
          <w:sz w:val="24"/>
          <w:szCs w:val="24"/>
          <w:lang w:val="en-US" w:eastAsia="zh-CN" w:bidi="ar"/>
        </w:rPr>
        <w:t>联系方式</w:t>
      </w:r>
      <w:bookmarkStart w:id="45" w:name="_Toc28359009"/>
      <w:bookmarkStart w:id="46" w:name="_Toc28359086"/>
      <w:r>
        <w:rPr>
          <w:rFonts w:hint="eastAsia" w:ascii="宋体" w:hAnsi="宋体" w:eastAsia="宋体" w:cs="宋体"/>
          <w:i w:val="0"/>
          <w:iCs w:val="0"/>
          <w:color w:val="auto"/>
          <w:kern w:val="2"/>
          <w:sz w:val="24"/>
          <w:szCs w:val="24"/>
          <w:lang w:val="en-US" w:eastAsia="zh-CN" w:bidi="ar"/>
        </w:rPr>
        <w:t>：</w:t>
      </w:r>
      <w:r>
        <w:rPr>
          <w:rFonts w:hint="eastAsia" w:ascii="宋体" w:hAnsi="宋体" w:cs="宋体"/>
          <w:bCs/>
          <w:sz w:val="24"/>
          <w:szCs w:val="24"/>
          <w:highlight w:val="none"/>
          <w:lang w:eastAsia="zh-CN"/>
        </w:rPr>
        <w:t>13988739860</w:t>
      </w:r>
    </w:p>
    <w:p w14:paraId="5EF4CC7E">
      <w:pPr>
        <w:keepNext w:val="0"/>
        <w:keepLines w:val="0"/>
        <w:pageBreakBefore w:val="0"/>
        <w:widowControl w:val="0"/>
        <w:suppressLineNumbers w:val="0"/>
        <w:kinsoku/>
        <w:wordWrap/>
        <w:overflowPunct/>
        <w:topLinePunct w:val="0"/>
        <w:autoSpaceDE/>
        <w:autoSpaceDN/>
        <w:bidi w:val="0"/>
        <w:adjustRightInd/>
        <w:snapToGrid/>
        <w:spacing w:beforeAutospacing="0" w:afterAutospacing="0" w:line="360" w:lineRule="auto"/>
        <w:ind w:right="0" w:firstLine="480" w:firstLineChars="200"/>
        <w:jc w:val="left"/>
        <w:textAlignment w:val="auto"/>
        <w:rPr>
          <w:rFonts w:hint="eastAsia" w:ascii="宋体" w:hAnsi="宋体" w:eastAsia="宋体" w:cs="宋体"/>
          <w:i w:val="0"/>
          <w:iCs w:val="0"/>
          <w:color w:val="auto"/>
          <w:kern w:val="2"/>
          <w:sz w:val="24"/>
          <w:szCs w:val="24"/>
          <w:lang w:val="en-US" w:eastAsia="zh-CN" w:bidi="ar"/>
        </w:rPr>
      </w:pPr>
    </w:p>
    <w:p w14:paraId="635C58F2">
      <w:pPr>
        <w:keepNext w:val="0"/>
        <w:keepLines w:val="0"/>
        <w:pageBreakBefore w:val="0"/>
        <w:widowControl w:val="0"/>
        <w:suppressLineNumbers w:val="0"/>
        <w:kinsoku/>
        <w:wordWrap/>
        <w:overflowPunct/>
        <w:topLinePunct w:val="0"/>
        <w:autoSpaceDE/>
        <w:autoSpaceDN/>
        <w:bidi w:val="0"/>
        <w:adjustRightInd/>
        <w:snapToGrid/>
        <w:spacing w:beforeAutospacing="0" w:afterAutospacing="0" w:line="360" w:lineRule="auto"/>
        <w:ind w:right="0" w:firstLine="480" w:firstLineChars="200"/>
        <w:jc w:val="left"/>
        <w:textAlignment w:val="auto"/>
        <w:rPr>
          <w:rFonts w:hint="eastAsia" w:ascii="宋体" w:hAnsi="宋体" w:eastAsia="宋体" w:cs="宋体"/>
          <w:i w:val="0"/>
          <w:iCs w:val="0"/>
          <w:color w:val="auto"/>
          <w:sz w:val="24"/>
          <w:szCs w:val="24"/>
          <w:lang w:val="en-US"/>
        </w:rPr>
      </w:pPr>
      <w:r>
        <w:rPr>
          <w:rFonts w:hint="eastAsia" w:ascii="宋体" w:hAnsi="宋体" w:eastAsia="宋体" w:cs="宋体"/>
          <w:i w:val="0"/>
          <w:iCs w:val="0"/>
          <w:color w:val="auto"/>
          <w:kern w:val="2"/>
          <w:sz w:val="24"/>
          <w:szCs w:val="24"/>
          <w:lang w:val="en-US" w:eastAsia="zh-CN" w:bidi="ar"/>
        </w:rPr>
        <w:t>2.采购代理机构信息</w:t>
      </w:r>
      <w:bookmarkEnd w:id="45"/>
      <w:bookmarkEnd w:id="46"/>
    </w:p>
    <w:p w14:paraId="1A41B609">
      <w:pPr>
        <w:keepNext w:val="0"/>
        <w:keepLines w:val="0"/>
        <w:pageBreakBefore w:val="0"/>
        <w:widowControl w:val="0"/>
        <w:suppressLineNumbers w:val="0"/>
        <w:kinsoku/>
        <w:wordWrap/>
        <w:overflowPunct/>
        <w:topLinePunct w:val="0"/>
        <w:autoSpaceDE/>
        <w:autoSpaceDN/>
        <w:bidi w:val="0"/>
        <w:adjustRightInd/>
        <w:snapToGrid/>
        <w:spacing w:beforeAutospacing="0" w:afterAutospacing="0" w:line="360" w:lineRule="auto"/>
        <w:ind w:right="0" w:firstLine="480" w:firstLineChars="200"/>
        <w:jc w:val="both"/>
        <w:textAlignment w:val="auto"/>
        <w:rPr>
          <w:rFonts w:hint="eastAsia" w:ascii="宋体" w:hAnsi="宋体" w:eastAsia="宋体" w:cs="宋体"/>
          <w:i w:val="0"/>
          <w:iCs w:val="0"/>
          <w:color w:val="auto"/>
          <w:sz w:val="24"/>
          <w:szCs w:val="24"/>
          <w:lang w:val="en-US" w:eastAsia="zh-CN"/>
        </w:rPr>
      </w:pPr>
      <w:r>
        <w:rPr>
          <w:rFonts w:hint="eastAsia" w:ascii="宋体" w:hAnsi="宋体" w:eastAsia="宋体" w:cs="宋体"/>
          <w:i w:val="0"/>
          <w:iCs w:val="0"/>
          <w:color w:val="auto"/>
          <w:kern w:val="2"/>
          <w:sz w:val="24"/>
          <w:szCs w:val="24"/>
          <w:lang w:val="en-US" w:eastAsia="zh-CN" w:bidi="ar"/>
        </w:rPr>
        <w:t>名称：</w:t>
      </w:r>
      <w:r>
        <w:rPr>
          <w:rFonts w:hint="eastAsia" w:ascii="宋体" w:hAnsi="宋体" w:cs="宋体"/>
          <w:color w:val="auto"/>
          <w:kern w:val="2"/>
          <w:sz w:val="24"/>
          <w:szCs w:val="24"/>
          <w:highlight w:val="none"/>
          <w:u w:val="none"/>
          <w:lang w:eastAsia="zh-CN" w:bidi="ar"/>
        </w:rPr>
        <w:t>云南玉昭工程咨询有限公司</w:t>
      </w:r>
    </w:p>
    <w:p w14:paraId="66C66F15">
      <w:pPr>
        <w:widowControl w:val="0"/>
        <w:spacing w:line="360" w:lineRule="auto"/>
        <w:ind w:firstLine="480" w:firstLineChars="200"/>
        <w:jc w:val="both"/>
        <w:rPr>
          <w:rFonts w:hint="eastAsia" w:ascii="宋体" w:hAnsi="宋体" w:eastAsia="宋体" w:cs="宋体"/>
          <w:i w:val="0"/>
          <w:iCs w:val="0"/>
          <w:color w:val="auto"/>
          <w:sz w:val="24"/>
          <w:szCs w:val="24"/>
          <w:lang w:val="en-US" w:eastAsia="zh-CN"/>
        </w:rPr>
      </w:pPr>
      <w:r>
        <w:rPr>
          <w:rFonts w:hint="eastAsia" w:ascii="宋体" w:hAnsi="宋体" w:eastAsia="宋体" w:cs="宋体"/>
          <w:i w:val="0"/>
          <w:iCs w:val="0"/>
          <w:color w:val="auto"/>
          <w:kern w:val="2"/>
          <w:sz w:val="24"/>
          <w:szCs w:val="24"/>
          <w:lang w:val="en-US" w:eastAsia="zh-CN" w:bidi="ar"/>
        </w:rPr>
        <w:t>地址：</w:t>
      </w:r>
      <w:r>
        <w:rPr>
          <w:rFonts w:hint="eastAsia" w:ascii="宋体" w:hAnsi="宋体" w:cs="宋体"/>
          <w:color w:val="auto"/>
          <w:kern w:val="2"/>
          <w:sz w:val="24"/>
          <w:szCs w:val="24"/>
          <w:highlight w:val="none"/>
          <w:u w:val="none"/>
          <w:lang w:eastAsia="zh-CN" w:bidi="ar"/>
        </w:rPr>
        <w:t>香格里拉市环城北路26号</w:t>
      </w:r>
    </w:p>
    <w:p w14:paraId="1CC63523">
      <w:pPr>
        <w:keepNext w:val="0"/>
        <w:keepLines w:val="0"/>
        <w:pageBreakBefore w:val="0"/>
        <w:widowControl w:val="0"/>
        <w:suppressLineNumbers w:val="0"/>
        <w:kinsoku/>
        <w:wordWrap/>
        <w:overflowPunct/>
        <w:topLinePunct w:val="0"/>
        <w:autoSpaceDE/>
        <w:autoSpaceDN/>
        <w:bidi w:val="0"/>
        <w:adjustRightInd/>
        <w:snapToGrid/>
        <w:spacing w:beforeAutospacing="0" w:afterAutospacing="0" w:line="360" w:lineRule="auto"/>
        <w:ind w:right="0" w:firstLine="480" w:firstLineChars="200"/>
        <w:jc w:val="both"/>
        <w:textAlignment w:val="auto"/>
        <w:rPr>
          <w:rFonts w:hint="eastAsia" w:ascii="宋体" w:hAnsi="宋体" w:eastAsia="宋体" w:cs="宋体"/>
          <w:i w:val="0"/>
          <w:iCs w:val="0"/>
          <w:color w:val="auto"/>
          <w:sz w:val="24"/>
          <w:szCs w:val="24"/>
          <w:lang w:val="en-US"/>
        </w:rPr>
      </w:pPr>
      <w:r>
        <w:rPr>
          <w:rFonts w:hint="eastAsia" w:ascii="宋体" w:hAnsi="宋体" w:eastAsia="宋体" w:cs="宋体"/>
          <w:i w:val="0"/>
          <w:iCs w:val="0"/>
          <w:color w:val="auto"/>
          <w:kern w:val="2"/>
          <w:sz w:val="24"/>
          <w:szCs w:val="24"/>
          <w:lang w:val="en-US" w:eastAsia="zh-CN" w:bidi="ar"/>
        </w:rPr>
        <w:t>联系方式：</w:t>
      </w:r>
      <w:bookmarkStart w:id="47" w:name="_Toc28359010"/>
      <w:bookmarkStart w:id="48" w:name="_Toc28359087"/>
      <w:r>
        <w:rPr>
          <w:rFonts w:hint="eastAsia" w:ascii="宋体" w:hAnsi="宋体" w:cs="宋体"/>
          <w:color w:val="auto"/>
          <w:sz w:val="24"/>
          <w:szCs w:val="24"/>
          <w:highlight w:val="none"/>
          <w:u w:val="none"/>
          <w:lang w:eastAsia="zh-CN"/>
        </w:rPr>
        <w:t>18008877484</w:t>
      </w:r>
    </w:p>
    <w:p w14:paraId="0B55587D">
      <w:pPr>
        <w:keepNext w:val="0"/>
        <w:keepLines w:val="0"/>
        <w:pageBreakBefore w:val="0"/>
        <w:widowControl w:val="0"/>
        <w:suppressLineNumbers w:val="0"/>
        <w:kinsoku/>
        <w:wordWrap/>
        <w:overflowPunct/>
        <w:topLinePunct w:val="0"/>
        <w:autoSpaceDE/>
        <w:autoSpaceDN/>
        <w:bidi w:val="0"/>
        <w:adjustRightInd/>
        <w:snapToGrid/>
        <w:spacing w:beforeAutospacing="0" w:afterAutospacing="0" w:line="360" w:lineRule="auto"/>
        <w:ind w:right="0" w:firstLine="480" w:firstLineChars="200"/>
        <w:jc w:val="both"/>
        <w:textAlignment w:val="auto"/>
        <w:rPr>
          <w:rFonts w:hint="eastAsia" w:ascii="宋体" w:hAnsi="宋体" w:eastAsia="宋体" w:cs="宋体"/>
          <w:i w:val="0"/>
          <w:iCs w:val="0"/>
          <w:color w:val="auto"/>
          <w:kern w:val="2"/>
          <w:sz w:val="24"/>
          <w:szCs w:val="24"/>
          <w:lang w:val="en-US" w:eastAsia="zh-CN" w:bidi="ar"/>
        </w:rPr>
      </w:pPr>
    </w:p>
    <w:p w14:paraId="579FD049">
      <w:pPr>
        <w:keepNext w:val="0"/>
        <w:keepLines w:val="0"/>
        <w:pageBreakBefore w:val="0"/>
        <w:widowControl w:val="0"/>
        <w:suppressLineNumbers w:val="0"/>
        <w:kinsoku/>
        <w:wordWrap/>
        <w:overflowPunct/>
        <w:topLinePunct w:val="0"/>
        <w:autoSpaceDE/>
        <w:autoSpaceDN/>
        <w:bidi w:val="0"/>
        <w:adjustRightInd/>
        <w:snapToGrid/>
        <w:spacing w:beforeAutospacing="0" w:afterAutospacing="0" w:line="360" w:lineRule="auto"/>
        <w:ind w:right="0" w:firstLine="480" w:firstLineChars="200"/>
        <w:jc w:val="both"/>
        <w:textAlignment w:val="auto"/>
        <w:rPr>
          <w:rFonts w:hint="eastAsia" w:ascii="宋体" w:hAnsi="宋体" w:eastAsia="宋体" w:cs="宋体"/>
          <w:i w:val="0"/>
          <w:iCs w:val="0"/>
          <w:color w:val="auto"/>
          <w:sz w:val="24"/>
          <w:szCs w:val="24"/>
          <w:u w:val="single"/>
          <w:lang w:val="en-US"/>
        </w:rPr>
      </w:pPr>
      <w:r>
        <w:rPr>
          <w:rFonts w:hint="eastAsia" w:ascii="宋体" w:hAnsi="宋体" w:eastAsia="宋体" w:cs="宋体"/>
          <w:i w:val="0"/>
          <w:iCs w:val="0"/>
          <w:color w:val="auto"/>
          <w:kern w:val="2"/>
          <w:sz w:val="24"/>
          <w:szCs w:val="24"/>
          <w:lang w:val="en-US" w:eastAsia="zh-CN" w:bidi="ar"/>
        </w:rPr>
        <w:t>3.项目联系方式</w:t>
      </w:r>
      <w:bookmarkEnd w:id="47"/>
      <w:bookmarkEnd w:id="48"/>
    </w:p>
    <w:p w14:paraId="4A64D0BD">
      <w:pPr>
        <w:pStyle w:val="26"/>
        <w:widowControl w:val="0"/>
        <w:spacing w:before="0" w:beforeAutospacing="0" w:after="0" w:afterAutospacing="0" w:line="360" w:lineRule="auto"/>
        <w:ind w:firstLine="480" w:firstLineChars="200"/>
        <w:jc w:val="both"/>
        <w:rPr>
          <w:rFonts w:hint="eastAsia" w:ascii="宋体" w:hAnsi="宋体" w:eastAsia="宋体" w:cs="宋体"/>
          <w:i w:val="0"/>
          <w:iCs w:val="0"/>
          <w:color w:val="auto"/>
          <w:sz w:val="24"/>
          <w:szCs w:val="24"/>
          <w:lang w:val="en-US"/>
        </w:rPr>
      </w:pPr>
      <w:r>
        <w:rPr>
          <w:rFonts w:hint="eastAsia" w:ascii="宋体" w:hAnsi="宋体" w:eastAsia="宋体" w:cs="宋体"/>
          <w:i w:val="0"/>
          <w:iCs w:val="0"/>
          <w:color w:val="auto"/>
          <w:kern w:val="2"/>
          <w:sz w:val="24"/>
          <w:szCs w:val="24"/>
          <w:lang w:val="en-US" w:eastAsia="zh-CN" w:bidi="ar"/>
        </w:rPr>
        <w:t>项目联系人：</w:t>
      </w:r>
      <w:r>
        <w:rPr>
          <w:rFonts w:hint="eastAsia" w:ascii="宋体" w:hAnsi="宋体" w:cs="宋体"/>
          <w:color w:val="auto"/>
          <w:sz w:val="24"/>
          <w:szCs w:val="24"/>
          <w:highlight w:val="none"/>
          <w:u w:val="none"/>
          <w:lang w:eastAsia="zh-CN"/>
        </w:rPr>
        <w:t>农布</w:t>
      </w:r>
    </w:p>
    <w:p w14:paraId="4A275AD8">
      <w:pPr>
        <w:widowControl w:val="0"/>
        <w:spacing w:line="360" w:lineRule="auto"/>
        <w:ind w:firstLine="480" w:firstLineChars="200"/>
        <w:jc w:val="both"/>
        <w:rPr>
          <w:rFonts w:hint="eastAsia" w:ascii="宋体" w:hAnsi="宋体" w:eastAsia="宋体" w:cs="宋体"/>
          <w:color w:val="auto"/>
          <w:sz w:val="24"/>
          <w:szCs w:val="24"/>
          <w:highlight w:val="none"/>
          <w:u w:val="none"/>
          <w:lang w:eastAsia="zh-CN"/>
        </w:rPr>
      </w:pPr>
      <w:r>
        <w:rPr>
          <w:rFonts w:hint="eastAsia" w:ascii="宋体" w:hAnsi="宋体" w:eastAsia="宋体" w:cs="宋体"/>
          <w:i w:val="0"/>
          <w:iCs w:val="0"/>
          <w:color w:val="auto"/>
          <w:kern w:val="2"/>
          <w:sz w:val="24"/>
          <w:szCs w:val="24"/>
          <w:lang w:val="en-US" w:eastAsia="zh-CN" w:bidi="ar"/>
        </w:rPr>
        <w:t>电话：</w:t>
      </w:r>
      <w:r>
        <w:rPr>
          <w:rFonts w:hint="eastAsia" w:ascii="宋体" w:hAnsi="宋体" w:cs="宋体"/>
          <w:color w:val="auto"/>
          <w:sz w:val="24"/>
          <w:szCs w:val="24"/>
          <w:highlight w:val="none"/>
          <w:u w:val="none"/>
          <w:lang w:eastAsia="zh-CN"/>
        </w:rPr>
        <w:t>18008877484</w:t>
      </w:r>
    </w:p>
    <w:p w14:paraId="351F4934">
      <w:pPr>
        <w:keepNext w:val="0"/>
        <w:keepLines w:val="0"/>
        <w:pageBreakBefore w:val="0"/>
        <w:widowControl w:val="0"/>
        <w:suppressLineNumbers w:val="0"/>
        <w:kinsoku/>
        <w:wordWrap/>
        <w:overflowPunct/>
        <w:topLinePunct w:val="0"/>
        <w:autoSpaceDE/>
        <w:autoSpaceDN/>
        <w:bidi w:val="0"/>
        <w:adjustRightInd/>
        <w:snapToGrid/>
        <w:spacing w:beforeAutospacing="0" w:afterAutospacing="0" w:line="360" w:lineRule="auto"/>
        <w:ind w:right="0" w:firstLine="480" w:firstLineChars="200"/>
        <w:jc w:val="both"/>
        <w:textAlignment w:val="auto"/>
        <w:rPr>
          <w:rFonts w:hint="eastAsia" w:ascii="宋体" w:hAnsi="宋体" w:eastAsia="宋体" w:cs="宋体"/>
          <w:i w:val="0"/>
          <w:iCs w:val="0"/>
          <w:color w:val="C00000"/>
          <w:sz w:val="24"/>
          <w:szCs w:val="24"/>
          <w:u w:val="single"/>
          <w:lang w:val="en-US"/>
        </w:rPr>
      </w:pPr>
    </w:p>
    <w:p w14:paraId="410E84D5">
      <w:pPr>
        <w:pStyle w:val="2"/>
        <w:spacing w:before="0" w:after="0" w:line="360" w:lineRule="auto"/>
        <w:jc w:val="center"/>
        <w:rPr>
          <w:rStyle w:val="44"/>
          <w:rFonts w:hint="eastAsia" w:ascii="宋体" w:hAnsi="宋体"/>
          <w:b/>
          <w:bCs/>
          <w:highlight w:val="none"/>
        </w:rPr>
      </w:pPr>
      <w:r>
        <w:rPr>
          <w:rFonts w:hint="eastAsia" w:ascii="宋体" w:hAnsi="宋体"/>
          <w:highlight w:val="none"/>
        </w:rPr>
        <w:br w:type="page"/>
      </w:r>
      <w:bookmarkStart w:id="49" w:name="_Toc5498"/>
      <w:bookmarkEnd w:id="49"/>
      <w:bookmarkStart w:id="50" w:name="_Toc13994"/>
      <w:bookmarkEnd w:id="50"/>
      <w:bookmarkStart w:id="51" w:name="_Toc16794"/>
      <w:bookmarkEnd w:id="51"/>
      <w:bookmarkStart w:id="52" w:name="_Toc23419"/>
      <w:bookmarkEnd w:id="52"/>
      <w:bookmarkStart w:id="53" w:name="_Toc8120"/>
      <w:bookmarkEnd w:id="53"/>
      <w:bookmarkStart w:id="54" w:name="_Toc21485"/>
      <w:bookmarkStart w:id="55" w:name="_Toc18212"/>
      <w:r>
        <w:rPr>
          <w:rStyle w:val="44"/>
          <w:rFonts w:hint="eastAsia" w:ascii="宋体" w:hAnsi="宋体"/>
          <w:b/>
          <w:bCs/>
          <w:highlight w:val="none"/>
        </w:rPr>
        <w:t>第二章 投标人须知</w:t>
      </w:r>
      <w:bookmarkEnd w:id="54"/>
      <w:bookmarkEnd w:id="55"/>
    </w:p>
    <w:p w14:paraId="206D5E9D">
      <w:pPr>
        <w:pStyle w:val="3"/>
        <w:spacing w:before="0" w:after="0" w:line="360" w:lineRule="auto"/>
        <w:ind w:firstLine="420"/>
        <w:jc w:val="center"/>
        <w:rPr>
          <w:rFonts w:hint="eastAsia" w:ascii="宋体" w:hAnsi="宋体" w:eastAsia="宋体"/>
          <w:sz w:val="28"/>
          <w:szCs w:val="28"/>
          <w:highlight w:val="none"/>
        </w:rPr>
      </w:pPr>
      <w:bookmarkStart w:id="56" w:name="_Toc13590"/>
      <w:bookmarkEnd w:id="56"/>
      <w:bookmarkStart w:id="57" w:name="_Toc21714"/>
      <w:bookmarkEnd w:id="57"/>
      <w:bookmarkStart w:id="58" w:name="_Toc19689"/>
      <w:bookmarkStart w:id="59" w:name="_Toc26144"/>
      <w:r>
        <w:rPr>
          <w:rFonts w:hint="eastAsia" w:ascii="宋体" w:hAnsi="宋体" w:eastAsia="宋体"/>
          <w:sz w:val="28"/>
          <w:szCs w:val="28"/>
          <w:highlight w:val="none"/>
        </w:rPr>
        <w:t>投标人须知前附表</w:t>
      </w:r>
      <w:bookmarkEnd w:id="58"/>
      <w:bookmarkEnd w:id="59"/>
    </w:p>
    <w:p w14:paraId="673839D4">
      <w:pPr>
        <w:spacing w:line="200" w:lineRule="exact"/>
        <w:rPr>
          <w:rFonts w:hint="eastAsia" w:ascii="宋体" w:hAnsi="宋体"/>
          <w:highlight w:val="none"/>
        </w:rPr>
      </w:pPr>
      <w:r>
        <w:rPr>
          <w:rFonts w:hint="eastAsia" w:ascii="宋体" w:hAnsi="宋体"/>
          <w:highlight w:val="none"/>
        </w:rPr>
        <w:t xml:space="preserve"> </w:t>
      </w:r>
    </w:p>
    <w:tbl>
      <w:tblPr>
        <w:tblStyle w:val="27"/>
        <w:tblW w:w="9882" w:type="dxa"/>
        <w:jc w:val="center"/>
        <w:tblLayout w:type="fixed"/>
        <w:tblCellMar>
          <w:top w:w="0" w:type="dxa"/>
          <w:left w:w="0" w:type="dxa"/>
          <w:bottom w:w="0" w:type="dxa"/>
          <w:right w:w="0" w:type="dxa"/>
        </w:tblCellMar>
      </w:tblPr>
      <w:tblGrid>
        <w:gridCol w:w="1047"/>
        <w:gridCol w:w="1866"/>
        <w:gridCol w:w="6969"/>
      </w:tblGrid>
      <w:tr w14:paraId="67912018">
        <w:tblPrEx>
          <w:tblCellMar>
            <w:top w:w="0" w:type="dxa"/>
            <w:left w:w="0" w:type="dxa"/>
            <w:bottom w:w="0" w:type="dxa"/>
            <w:right w:w="0" w:type="dxa"/>
          </w:tblCellMar>
        </w:tblPrEx>
        <w:trPr>
          <w:trHeight w:val="90" w:hRule="atLeast"/>
          <w:tblHeader/>
          <w:jc w:val="center"/>
        </w:trPr>
        <w:tc>
          <w:tcPr>
            <w:tcW w:w="1047" w:type="dxa"/>
            <w:tcBorders>
              <w:top w:val="single" w:color="auto" w:sz="8" w:space="0"/>
              <w:left w:val="single" w:color="auto" w:sz="8" w:space="0"/>
              <w:bottom w:val="single" w:color="auto" w:sz="8" w:space="0"/>
              <w:right w:val="single" w:color="auto" w:sz="8" w:space="0"/>
            </w:tcBorders>
            <w:noWrap w:val="0"/>
            <w:vAlign w:val="center"/>
          </w:tcPr>
          <w:p w14:paraId="24A85612">
            <w:pPr>
              <w:spacing w:line="460" w:lineRule="exact"/>
              <w:jc w:val="center"/>
              <w:rPr>
                <w:rFonts w:ascii="宋体" w:hAnsi="宋体"/>
                <w:b/>
                <w:bCs/>
                <w:kern w:val="2"/>
                <w:sz w:val="24"/>
                <w:szCs w:val="24"/>
                <w:highlight w:val="none"/>
              </w:rPr>
            </w:pPr>
            <w:r>
              <w:rPr>
                <w:rFonts w:hint="eastAsia" w:ascii="宋体" w:hAnsi="宋体"/>
                <w:b/>
                <w:bCs/>
                <w:kern w:val="2"/>
                <w:sz w:val="24"/>
                <w:szCs w:val="24"/>
                <w:highlight w:val="none"/>
              </w:rPr>
              <w:t>条款号</w:t>
            </w:r>
          </w:p>
        </w:tc>
        <w:tc>
          <w:tcPr>
            <w:tcW w:w="1866" w:type="dxa"/>
            <w:tcBorders>
              <w:top w:val="single" w:color="auto" w:sz="8" w:space="0"/>
              <w:left w:val="nil"/>
              <w:bottom w:val="single" w:color="auto" w:sz="8" w:space="0"/>
              <w:right w:val="single" w:color="auto" w:sz="8" w:space="0"/>
            </w:tcBorders>
            <w:noWrap w:val="0"/>
            <w:vAlign w:val="bottom"/>
          </w:tcPr>
          <w:p w14:paraId="41D97349">
            <w:pPr>
              <w:spacing w:line="460" w:lineRule="exact"/>
              <w:jc w:val="center"/>
              <w:rPr>
                <w:rFonts w:ascii="宋体" w:hAnsi="宋体"/>
                <w:b/>
                <w:bCs/>
                <w:kern w:val="2"/>
                <w:sz w:val="24"/>
                <w:szCs w:val="24"/>
                <w:highlight w:val="none"/>
              </w:rPr>
            </w:pPr>
            <w:r>
              <w:rPr>
                <w:rFonts w:hint="eastAsia" w:ascii="宋体" w:hAnsi="宋体"/>
                <w:b/>
                <w:bCs/>
                <w:kern w:val="2"/>
                <w:sz w:val="24"/>
                <w:szCs w:val="24"/>
                <w:highlight w:val="none"/>
              </w:rPr>
              <w:t>条 款 名 称</w:t>
            </w:r>
          </w:p>
        </w:tc>
        <w:tc>
          <w:tcPr>
            <w:tcW w:w="6969" w:type="dxa"/>
            <w:tcBorders>
              <w:top w:val="single" w:color="auto" w:sz="8" w:space="0"/>
              <w:left w:val="nil"/>
              <w:bottom w:val="single" w:color="auto" w:sz="8" w:space="0"/>
              <w:right w:val="single" w:color="auto" w:sz="8" w:space="0"/>
            </w:tcBorders>
            <w:noWrap w:val="0"/>
            <w:vAlign w:val="bottom"/>
          </w:tcPr>
          <w:p w14:paraId="216D85DD">
            <w:pPr>
              <w:spacing w:line="460" w:lineRule="exact"/>
              <w:ind w:left="1680"/>
              <w:rPr>
                <w:rFonts w:ascii="宋体" w:hAnsi="宋体"/>
                <w:b/>
                <w:bCs/>
                <w:kern w:val="2"/>
                <w:sz w:val="24"/>
                <w:szCs w:val="24"/>
                <w:highlight w:val="none"/>
              </w:rPr>
            </w:pPr>
            <w:r>
              <w:rPr>
                <w:rFonts w:hint="eastAsia" w:ascii="宋体" w:hAnsi="宋体"/>
                <w:b/>
                <w:bCs/>
                <w:kern w:val="2"/>
                <w:sz w:val="24"/>
                <w:szCs w:val="24"/>
                <w:highlight w:val="none"/>
              </w:rPr>
              <w:t>编 列 内 容</w:t>
            </w:r>
          </w:p>
        </w:tc>
      </w:tr>
      <w:tr w14:paraId="6298C51B">
        <w:tblPrEx>
          <w:tblCellMar>
            <w:top w:w="0" w:type="dxa"/>
            <w:left w:w="0" w:type="dxa"/>
            <w:bottom w:w="0" w:type="dxa"/>
            <w:right w:w="0" w:type="dxa"/>
          </w:tblCellMar>
        </w:tblPrEx>
        <w:trPr>
          <w:trHeight w:val="466" w:hRule="atLeast"/>
          <w:jc w:val="center"/>
        </w:trPr>
        <w:tc>
          <w:tcPr>
            <w:tcW w:w="1047" w:type="dxa"/>
            <w:tcBorders>
              <w:top w:val="single" w:color="auto" w:sz="8" w:space="0"/>
              <w:left w:val="single" w:color="auto" w:sz="8" w:space="0"/>
              <w:bottom w:val="single" w:color="auto" w:sz="8" w:space="0"/>
              <w:right w:val="single" w:color="auto" w:sz="8" w:space="0"/>
            </w:tcBorders>
            <w:noWrap w:val="0"/>
            <w:vAlign w:val="center"/>
          </w:tcPr>
          <w:p w14:paraId="7A7B0206">
            <w:pPr>
              <w:spacing w:line="380" w:lineRule="exact"/>
              <w:jc w:val="center"/>
              <w:rPr>
                <w:rFonts w:ascii="宋体" w:hAnsi="宋体"/>
                <w:kern w:val="2"/>
                <w:sz w:val="24"/>
                <w:szCs w:val="24"/>
                <w:highlight w:val="none"/>
              </w:rPr>
            </w:pPr>
            <w:r>
              <w:rPr>
                <w:rFonts w:hint="eastAsia" w:ascii="宋体" w:hAnsi="宋体"/>
                <w:kern w:val="2"/>
                <w:sz w:val="24"/>
                <w:szCs w:val="24"/>
                <w:highlight w:val="none"/>
              </w:rPr>
              <w:t>1.1.2</w:t>
            </w:r>
          </w:p>
        </w:tc>
        <w:tc>
          <w:tcPr>
            <w:tcW w:w="1866" w:type="dxa"/>
            <w:tcBorders>
              <w:top w:val="single" w:color="auto" w:sz="8" w:space="0"/>
              <w:left w:val="nil"/>
              <w:bottom w:val="single" w:color="auto" w:sz="8" w:space="0"/>
              <w:right w:val="single" w:color="auto" w:sz="8" w:space="0"/>
            </w:tcBorders>
            <w:noWrap w:val="0"/>
            <w:vAlign w:val="center"/>
          </w:tcPr>
          <w:p w14:paraId="6ACBF2F6">
            <w:pPr>
              <w:spacing w:line="380" w:lineRule="exact"/>
              <w:rPr>
                <w:rFonts w:ascii="宋体" w:hAnsi="宋体"/>
                <w:kern w:val="2"/>
                <w:sz w:val="24"/>
                <w:szCs w:val="24"/>
                <w:highlight w:val="none"/>
              </w:rPr>
            </w:pPr>
            <w:r>
              <w:rPr>
                <w:rFonts w:hint="eastAsia" w:ascii="宋体" w:hAnsi="宋体"/>
                <w:kern w:val="2"/>
                <w:sz w:val="24"/>
                <w:szCs w:val="24"/>
                <w:highlight w:val="none"/>
              </w:rPr>
              <w:t>采购人</w:t>
            </w:r>
          </w:p>
        </w:tc>
        <w:tc>
          <w:tcPr>
            <w:tcW w:w="6969" w:type="dxa"/>
            <w:tcBorders>
              <w:top w:val="single" w:color="auto" w:sz="8" w:space="0"/>
              <w:left w:val="nil"/>
              <w:bottom w:val="single" w:color="auto" w:sz="8" w:space="0"/>
              <w:right w:val="single" w:color="auto" w:sz="8" w:space="0"/>
            </w:tcBorders>
            <w:noWrap w:val="0"/>
            <w:vAlign w:val="center"/>
          </w:tcPr>
          <w:p w14:paraId="1665E8E5">
            <w:pPr>
              <w:widowControl w:val="0"/>
              <w:spacing w:line="360" w:lineRule="auto"/>
              <w:rPr>
                <w:rFonts w:hint="eastAsia" w:ascii="宋体" w:hAnsi="宋体" w:eastAsia="宋体" w:cs="宋体"/>
                <w:sz w:val="24"/>
                <w:szCs w:val="24"/>
                <w:highlight w:val="none"/>
                <w:u w:val="none"/>
                <w:lang w:eastAsia="zh-CN"/>
              </w:rPr>
            </w:pPr>
            <w:r>
              <w:rPr>
                <w:rFonts w:hint="eastAsia" w:ascii="宋体" w:hAnsi="宋体" w:eastAsia="宋体" w:cs="宋体"/>
                <w:sz w:val="24"/>
                <w:szCs w:val="24"/>
                <w:highlight w:val="none"/>
                <w:u w:val="none"/>
              </w:rPr>
              <w:t>名称：</w:t>
            </w:r>
            <w:r>
              <w:rPr>
                <w:rFonts w:hint="eastAsia" w:ascii="宋体" w:hAnsi="宋体" w:cs="宋体"/>
                <w:sz w:val="24"/>
                <w:szCs w:val="24"/>
                <w:highlight w:val="none"/>
                <w:u w:val="none"/>
                <w:lang w:val="en-US" w:eastAsia="zh-CN"/>
              </w:rPr>
              <w:t>香格里拉市人民医院</w:t>
            </w:r>
          </w:p>
          <w:p w14:paraId="6546F8CB">
            <w:pPr>
              <w:widowControl w:val="0"/>
              <w:spacing w:line="360" w:lineRule="auto"/>
              <w:rPr>
                <w:rFonts w:hint="eastAsia" w:ascii="宋体" w:hAnsi="宋体" w:eastAsia="宋体" w:cs="宋体"/>
                <w:bCs/>
                <w:sz w:val="24"/>
                <w:szCs w:val="24"/>
                <w:highlight w:val="none"/>
                <w:lang w:eastAsia="zh-CN"/>
              </w:rPr>
            </w:pPr>
            <w:r>
              <w:rPr>
                <w:rFonts w:hint="eastAsia" w:ascii="宋体" w:hAnsi="宋体" w:eastAsia="宋体" w:cs="宋体"/>
                <w:sz w:val="24"/>
                <w:szCs w:val="24"/>
                <w:highlight w:val="none"/>
                <w:u w:val="none"/>
              </w:rPr>
              <w:t>地址：</w:t>
            </w:r>
            <w:r>
              <w:rPr>
                <w:rFonts w:hint="eastAsia" w:ascii="宋体" w:hAnsi="宋体" w:cs="宋体"/>
                <w:bCs/>
                <w:sz w:val="24"/>
                <w:szCs w:val="24"/>
                <w:highlight w:val="none"/>
                <w:lang w:eastAsia="zh-CN"/>
              </w:rPr>
              <w:t>迪庆藏族自治州香格里拉市建塘镇新城区白螺路1号</w:t>
            </w:r>
          </w:p>
          <w:p w14:paraId="220DE242">
            <w:pPr>
              <w:widowControl w:val="0"/>
              <w:spacing w:line="360" w:lineRule="auto"/>
              <w:rPr>
                <w:rFonts w:hint="default" w:ascii="宋体" w:hAnsi="宋体" w:eastAsia="宋体" w:cs="宋体"/>
                <w:sz w:val="24"/>
                <w:szCs w:val="24"/>
                <w:highlight w:val="none"/>
                <w:u w:val="none"/>
                <w:lang w:val="en-US" w:eastAsia="zh-CN"/>
              </w:rPr>
            </w:pPr>
            <w:r>
              <w:rPr>
                <w:rFonts w:hint="eastAsia" w:ascii="宋体" w:hAnsi="宋体" w:eastAsia="宋体" w:cs="宋体"/>
                <w:sz w:val="24"/>
                <w:szCs w:val="24"/>
                <w:highlight w:val="none"/>
                <w:u w:val="none"/>
              </w:rPr>
              <w:t>联系</w:t>
            </w:r>
            <w:r>
              <w:rPr>
                <w:rFonts w:hint="eastAsia" w:ascii="宋体" w:hAnsi="宋体" w:eastAsia="宋体" w:cs="宋体"/>
                <w:sz w:val="24"/>
                <w:szCs w:val="24"/>
                <w:highlight w:val="none"/>
                <w:u w:val="none"/>
                <w:lang w:val="en-US" w:eastAsia="zh-CN"/>
              </w:rPr>
              <w:t>人</w:t>
            </w:r>
            <w:r>
              <w:rPr>
                <w:rFonts w:hint="eastAsia" w:ascii="宋体" w:hAnsi="宋体" w:eastAsia="宋体" w:cs="宋体"/>
                <w:sz w:val="24"/>
                <w:szCs w:val="24"/>
                <w:highlight w:val="none"/>
                <w:u w:val="none"/>
              </w:rPr>
              <w:t>：</w:t>
            </w:r>
            <w:r>
              <w:rPr>
                <w:rFonts w:hint="eastAsia" w:ascii="宋体" w:hAnsi="宋体" w:cs="宋体"/>
                <w:bCs/>
                <w:sz w:val="24"/>
                <w:szCs w:val="24"/>
                <w:highlight w:val="none"/>
                <w:lang w:val="en-US" w:eastAsia="zh-CN"/>
              </w:rPr>
              <w:t>倪文军</w:t>
            </w:r>
          </w:p>
          <w:p w14:paraId="3E4276A0">
            <w:pPr>
              <w:widowControl w:val="0"/>
              <w:spacing w:line="360" w:lineRule="auto"/>
              <w:rPr>
                <w:rFonts w:ascii="宋体" w:hAnsi="宋体"/>
                <w:kern w:val="2"/>
                <w:sz w:val="24"/>
                <w:szCs w:val="24"/>
                <w:highlight w:val="none"/>
              </w:rPr>
            </w:pPr>
            <w:r>
              <w:rPr>
                <w:rFonts w:hint="eastAsia" w:ascii="宋体" w:hAnsi="宋体" w:eastAsia="宋体" w:cs="宋体"/>
                <w:sz w:val="24"/>
                <w:szCs w:val="24"/>
                <w:highlight w:val="none"/>
                <w:u w:val="none"/>
                <w:lang w:val="en-US" w:eastAsia="zh-CN"/>
              </w:rPr>
              <w:t>电话：</w:t>
            </w:r>
            <w:r>
              <w:rPr>
                <w:rFonts w:hint="eastAsia" w:ascii="宋体" w:hAnsi="宋体" w:cs="宋体"/>
                <w:bCs/>
                <w:sz w:val="24"/>
                <w:szCs w:val="24"/>
                <w:highlight w:val="none"/>
                <w:lang w:eastAsia="zh-CN"/>
              </w:rPr>
              <w:t>13988739860</w:t>
            </w:r>
          </w:p>
        </w:tc>
      </w:tr>
      <w:tr w14:paraId="6FBCFE9A">
        <w:tblPrEx>
          <w:tblCellMar>
            <w:top w:w="0" w:type="dxa"/>
            <w:left w:w="0" w:type="dxa"/>
            <w:bottom w:w="0" w:type="dxa"/>
            <w:right w:w="0" w:type="dxa"/>
          </w:tblCellMar>
        </w:tblPrEx>
        <w:trPr>
          <w:trHeight w:val="518" w:hRule="atLeast"/>
          <w:jc w:val="center"/>
        </w:trPr>
        <w:tc>
          <w:tcPr>
            <w:tcW w:w="1047" w:type="dxa"/>
            <w:tcBorders>
              <w:top w:val="single" w:color="auto" w:sz="8" w:space="0"/>
              <w:left w:val="single" w:color="auto" w:sz="8" w:space="0"/>
              <w:bottom w:val="single" w:color="auto" w:sz="8" w:space="0"/>
              <w:right w:val="single" w:color="auto" w:sz="8" w:space="0"/>
            </w:tcBorders>
            <w:noWrap w:val="0"/>
            <w:vAlign w:val="center"/>
          </w:tcPr>
          <w:p w14:paraId="20895798">
            <w:pPr>
              <w:spacing w:line="380" w:lineRule="exact"/>
              <w:jc w:val="center"/>
              <w:rPr>
                <w:rFonts w:ascii="宋体" w:hAnsi="宋体"/>
                <w:kern w:val="2"/>
                <w:sz w:val="24"/>
                <w:szCs w:val="24"/>
                <w:highlight w:val="none"/>
              </w:rPr>
            </w:pPr>
            <w:r>
              <w:rPr>
                <w:rFonts w:hint="eastAsia" w:ascii="宋体" w:hAnsi="宋体"/>
                <w:kern w:val="2"/>
                <w:sz w:val="24"/>
                <w:szCs w:val="24"/>
                <w:highlight w:val="none"/>
              </w:rPr>
              <w:t>1.1.3</w:t>
            </w:r>
          </w:p>
        </w:tc>
        <w:tc>
          <w:tcPr>
            <w:tcW w:w="1866" w:type="dxa"/>
            <w:tcBorders>
              <w:top w:val="single" w:color="auto" w:sz="8" w:space="0"/>
              <w:left w:val="nil"/>
              <w:bottom w:val="single" w:color="auto" w:sz="8" w:space="0"/>
              <w:right w:val="single" w:color="auto" w:sz="8" w:space="0"/>
            </w:tcBorders>
            <w:noWrap w:val="0"/>
            <w:vAlign w:val="center"/>
          </w:tcPr>
          <w:p w14:paraId="25A914CB">
            <w:pPr>
              <w:spacing w:line="380" w:lineRule="exact"/>
              <w:rPr>
                <w:rFonts w:ascii="宋体" w:hAnsi="宋体"/>
                <w:kern w:val="2"/>
                <w:sz w:val="24"/>
                <w:szCs w:val="24"/>
                <w:highlight w:val="none"/>
              </w:rPr>
            </w:pPr>
            <w:r>
              <w:rPr>
                <w:rFonts w:hint="eastAsia" w:ascii="宋体" w:hAnsi="宋体"/>
                <w:kern w:val="2"/>
                <w:sz w:val="24"/>
                <w:szCs w:val="24"/>
                <w:highlight w:val="none"/>
              </w:rPr>
              <w:t>采购代理机构</w:t>
            </w:r>
          </w:p>
        </w:tc>
        <w:tc>
          <w:tcPr>
            <w:tcW w:w="6969" w:type="dxa"/>
            <w:tcBorders>
              <w:top w:val="single" w:color="auto" w:sz="8" w:space="0"/>
              <w:left w:val="nil"/>
              <w:bottom w:val="single" w:color="auto" w:sz="8" w:space="0"/>
              <w:right w:val="single" w:color="auto" w:sz="8" w:space="0"/>
            </w:tcBorders>
            <w:noWrap w:val="0"/>
            <w:vAlign w:val="center"/>
          </w:tcPr>
          <w:p w14:paraId="0B7665E2">
            <w:pPr>
              <w:widowControl w:val="0"/>
              <w:spacing w:line="360" w:lineRule="auto"/>
              <w:rPr>
                <w:rFonts w:hint="eastAsia" w:ascii="宋体" w:hAnsi="宋体" w:eastAsia="宋体"/>
                <w:kern w:val="2"/>
                <w:sz w:val="24"/>
                <w:szCs w:val="24"/>
                <w:highlight w:val="none"/>
                <w:lang w:eastAsia="zh-CN"/>
              </w:rPr>
            </w:pPr>
            <w:r>
              <w:rPr>
                <w:rFonts w:hint="eastAsia" w:ascii="宋体" w:hAnsi="宋体"/>
                <w:kern w:val="2"/>
                <w:sz w:val="24"/>
                <w:szCs w:val="24"/>
                <w:highlight w:val="none"/>
              </w:rPr>
              <w:t>名称：</w:t>
            </w:r>
            <w:r>
              <w:rPr>
                <w:rFonts w:hint="eastAsia" w:ascii="宋体" w:hAnsi="宋体" w:cs="宋体"/>
                <w:sz w:val="24"/>
                <w:szCs w:val="24"/>
                <w:highlight w:val="none"/>
                <w:u w:val="none"/>
                <w:lang w:eastAsia="zh-CN"/>
              </w:rPr>
              <w:t>云南玉昭工程咨询有限公司</w:t>
            </w:r>
          </w:p>
          <w:p w14:paraId="4DFF35D1">
            <w:pPr>
              <w:widowControl w:val="0"/>
              <w:spacing w:line="360" w:lineRule="auto"/>
              <w:rPr>
                <w:rFonts w:hint="eastAsia" w:ascii="宋体" w:hAnsi="宋体" w:eastAsia="宋体"/>
                <w:kern w:val="2"/>
                <w:sz w:val="24"/>
                <w:szCs w:val="24"/>
                <w:highlight w:val="none"/>
                <w:lang w:eastAsia="zh-CN"/>
              </w:rPr>
            </w:pPr>
            <w:r>
              <w:rPr>
                <w:rFonts w:hint="eastAsia" w:ascii="宋体" w:hAnsi="宋体"/>
                <w:kern w:val="2"/>
                <w:sz w:val="24"/>
                <w:szCs w:val="24"/>
                <w:highlight w:val="none"/>
              </w:rPr>
              <w:t>地址：</w:t>
            </w:r>
            <w:r>
              <w:rPr>
                <w:rFonts w:hint="eastAsia" w:ascii="宋体" w:hAnsi="宋体" w:cs="宋体"/>
                <w:sz w:val="24"/>
                <w:szCs w:val="24"/>
                <w:highlight w:val="none"/>
                <w:u w:val="none"/>
                <w:lang w:eastAsia="zh-CN"/>
              </w:rPr>
              <w:t>香格里拉市环城北路26号</w:t>
            </w:r>
          </w:p>
          <w:p w14:paraId="2AB889BD">
            <w:pPr>
              <w:widowControl w:val="0"/>
              <w:spacing w:line="360" w:lineRule="auto"/>
              <w:rPr>
                <w:rFonts w:hint="eastAsia" w:ascii="宋体" w:hAnsi="宋体"/>
                <w:kern w:val="2"/>
                <w:sz w:val="24"/>
                <w:szCs w:val="24"/>
                <w:highlight w:val="none"/>
                <w:lang w:eastAsia="zh-CN"/>
              </w:rPr>
            </w:pPr>
            <w:r>
              <w:rPr>
                <w:rFonts w:hint="eastAsia" w:ascii="宋体" w:hAnsi="宋体"/>
                <w:kern w:val="2"/>
                <w:sz w:val="24"/>
                <w:szCs w:val="24"/>
                <w:highlight w:val="none"/>
              </w:rPr>
              <w:t>联系</w:t>
            </w:r>
            <w:r>
              <w:rPr>
                <w:rFonts w:hint="eastAsia" w:ascii="宋体" w:hAnsi="宋体"/>
                <w:kern w:val="2"/>
                <w:sz w:val="24"/>
                <w:szCs w:val="24"/>
                <w:highlight w:val="none"/>
                <w:lang w:val="en-US" w:eastAsia="zh-CN"/>
              </w:rPr>
              <w:t>人</w:t>
            </w:r>
            <w:r>
              <w:rPr>
                <w:rFonts w:hint="eastAsia" w:ascii="宋体" w:hAnsi="宋体"/>
                <w:kern w:val="2"/>
                <w:sz w:val="24"/>
                <w:szCs w:val="24"/>
                <w:highlight w:val="none"/>
              </w:rPr>
              <w:t>：</w:t>
            </w:r>
            <w:r>
              <w:rPr>
                <w:rFonts w:hint="eastAsia" w:ascii="宋体" w:hAnsi="宋体" w:cs="宋体"/>
                <w:color w:val="auto"/>
                <w:sz w:val="24"/>
                <w:szCs w:val="24"/>
                <w:highlight w:val="none"/>
                <w:u w:val="none"/>
                <w:lang w:eastAsia="zh-CN"/>
              </w:rPr>
              <w:t>农布</w:t>
            </w:r>
          </w:p>
          <w:p w14:paraId="4136E82E">
            <w:pPr>
              <w:spacing w:line="380" w:lineRule="exact"/>
              <w:rPr>
                <w:rFonts w:hint="eastAsia" w:ascii="宋体" w:hAnsi="宋体" w:eastAsia="宋体"/>
                <w:kern w:val="2"/>
                <w:sz w:val="24"/>
                <w:szCs w:val="24"/>
                <w:highlight w:val="none"/>
                <w:lang w:eastAsia="zh-CN"/>
              </w:rPr>
            </w:pPr>
            <w:r>
              <w:rPr>
                <w:rFonts w:hint="eastAsia" w:ascii="宋体" w:hAnsi="宋体"/>
                <w:kern w:val="2"/>
                <w:sz w:val="24"/>
                <w:szCs w:val="24"/>
                <w:highlight w:val="none"/>
                <w:lang w:val="en-US" w:eastAsia="zh-CN"/>
              </w:rPr>
              <w:t>电话：</w:t>
            </w:r>
            <w:r>
              <w:rPr>
                <w:rFonts w:hint="eastAsia" w:ascii="宋体" w:hAnsi="宋体"/>
                <w:kern w:val="2"/>
                <w:sz w:val="24"/>
                <w:szCs w:val="24"/>
                <w:highlight w:val="none"/>
                <w:lang w:eastAsia="zh-CN"/>
              </w:rPr>
              <w:t>18008877484</w:t>
            </w:r>
          </w:p>
        </w:tc>
      </w:tr>
      <w:tr w14:paraId="2E9FD699">
        <w:tblPrEx>
          <w:tblCellMar>
            <w:top w:w="0" w:type="dxa"/>
            <w:left w:w="0" w:type="dxa"/>
            <w:bottom w:w="0" w:type="dxa"/>
            <w:right w:w="0" w:type="dxa"/>
          </w:tblCellMar>
        </w:tblPrEx>
        <w:trPr>
          <w:trHeight w:val="476" w:hRule="atLeast"/>
          <w:jc w:val="center"/>
        </w:trPr>
        <w:tc>
          <w:tcPr>
            <w:tcW w:w="1047" w:type="dxa"/>
            <w:tcBorders>
              <w:top w:val="single" w:color="auto" w:sz="8" w:space="0"/>
              <w:left w:val="single" w:color="auto" w:sz="8" w:space="0"/>
              <w:bottom w:val="single" w:color="auto" w:sz="8" w:space="0"/>
              <w:right w:val="single" w:color="auto" w:sz="8" w:space="0"/>
            </w:tcBorders>
            <w:noWrap w:val="0"/>
            <w:vAlign w:val="center"/>
          </w:tcPr>
          <w:p w14:paraId="5D5EF27A">
            <w:pPr>
              <w:spacing w:line="380" w:lineRule="exact"/>
              <w:jc w:val="center"/>
              <w:rPr>
                <w:rFonts w:ascii="宋体" w:hAnsi="宋体"/>
                <w:kern w:val="2"/>
                <w:sz w:val="24"/>
                <w:szCs w:val="24"/>
                <w:highlight w:val="none"/>
              </w:rPr>
            </w:pPr>
            <w:r>
              <w:rPr>
                <w:rFonts w:hint="eastAsia" w:ascii="宋体" w:hAnsi="宋体"/>
                <w:kern w:val="2"/>
                <w:sz w:val="24"/>
                <w:szCs w:val="24"/>
                <w:highlight w:val="none"/>
              </w:rPr>
              <w:t>1.1.4</w:t>
            </w:r>
          </w:p>
        </w:tc>
        <w:tc>
          <w:tcPr>
            <w:tcW w:w="1866" w:type="dxa"/>
            <w:tcBorders>
              <w:top w:val="single" w:color="auto" w:sz="8" w:space="0"/>
              <w:left w:val="nil"/>
              <w:bottom w:val="single" w:color="auto" w:sz="8" w:space="0"/>
              <w:right w:val="single" w:color="auto" w:sz="8" w:space="0"/>
            </w:tcBorders>
            <w:noWrap w:val="0"/>
            <w:vAlign w:val="center"/>
          </w:tcPr>
          <w:p w14:paraId="31F0B5BE">
            <w:pPr>
              <w:spacing w:line="380" w:lineRule="exact"/>
              <w:rPr>
                <w:rFonts w:ascii="宋体" w:hAnsi="宋体"/>
                <w:kern w:val="2"/>
                <w:sz w:val="24"/>
                <w:szCs w:val="24"/>
                <w:highlight w:val="none"/>
              </w:rPr>
            </w:pPr>
            <w:r>
              <w:rPr>
                <w:rFonts w:hint="eastAsia" w:ascii="宋体" w:hAnsi="宋体"/>
                <w:kern w:val="2"/>
                <w:sz w:val="24"/>
                <w:szCs w:val="24"/>
                <w:highlight w:val="none"/>
              </w:rPr>
              <w:t>项目名称</w:t>
            </w:r>
          </w:p>
        </w:tc>
        <w:tc>
          <w:tcPr>
            <w:tcW w:w="6969" w:type="dxa"/>
            <w:tcBorders>
              <w:top w:val="single" w:color="auto" w:sz="8" w:space="0"/>
              <w:left w:val="nil"/>
              <w:bottom w:val="single" w:color="auto" w:sz="8" w:space="0"/>
              <w:right w:val="single" w:color="auto" w:sz="8" w:space="0"/>
            </w:tcBorders>
            <w:noWrap w:val="0"/>
            <w:vAlign w:val="center"/>
          </w:tcPr>
          <w:p w14:paraId="4E1837EE">
            <w:pPr>
              <w:spacing w:line="380" w:lineRule="exact"/>
              <w:jc w:val="both"/>
              <w:rPr>
                <w:rFonts w:hint="eastAsia" w:ascii="宋体" w:hAnsi="宋体" w:eastAsia="宋体"/>
                <w:kern w:val="2"/>
                <w:sz w:val="24"/>
                <w:szCs w:val="24"/>
                <w:highlight w:val="none"/>
                <w:lang w:eastAsia="zh-CN"/>
              </w:rPr>
            </w:pPr>
            <w:r>
              <w:rPr>
                <w:rFonts w:hint="eastAsia" w:ascii="宋体" w:hAnsi="宋体"/>
                <w:kern w:val="2"/>
                <w:sz w:val="24"/>
                <w:szCs w:val="24"/>
                <w:highlight w:val="none"/>
                <w:lang w:val="en-US" w:eastAsia="zh-CN"/>
              </w:rPr>
              <w:t>沪滇协作香格里拉市人民医院多导睡眠检测仪、血液净化机等采购项目</w:t>
            </w:r>
          </w:p>
        </w:tc>
      </w:tr>
      <w:tr w14:paraId="0410227E">
        <w:tblPrEx>
          <w:tblCellMar>
            <w:top w:w="0" w:type="dxa"/>
            <w:left w:w="0" w:type="dxa"/>
            <w:bottom w:w="0" w:type="dxa"/>
            <w:right w:w="0" w:type="dxa"/>
          </w:tblCellMar>
        </w:tblPrEx>
        <w:trPr>
          <w:trHeight w:val="664" w:hRule="atLeast"/>
          <w:jc w:val="center"/>
        </w:trPr>
        <w:tc>
          <w:tcPr>
            <w:tcW w:w="1047" w:type="dxa"/>
            <w:tcBorders>
              <w:top w:val="single" w:color="auto" w:sz="8" w:space="0"/>
              <w:left w:val="single" w:color="auto" w:sz="8" w:space="0"/>
              <w:bottom w:val="single" w:color="auto" w:sz="8" w:space="0"/>
              <w:right w:val="single" w:color="auto" w:sz="8" w:space="0"/>
            </w:tcBorders>
            <w:noWrap w:val="0"/>
            <w:vAlign w:val="center"/>
          </w:tcPr>
          <w:p w14:paraId="39700124">
            <w:pPr>
              <w:spacing w:line="380" w:lineRule="exact"/>
              <w:jc w:val="center"/>
              <w:rPr>
                <w:rFonts w:ascii="宋体" w:hAnsi="宋体"/>
                <w:kern w:val="2"/>
                <w:sz w:val="24"/>
                <w:szCs w:val="24"/>
                <w:highlight w:val="none"/>
              </w:rPr>
            </w:pPr>
            <w:r>
              <w:rPr>
                <w:rFonts w:hint="eastAsia" w:ascii="宋体" w:hAnsi="宋体"/>
                <w:kern w:val="2"/>
                <w:sz w:val="24"/>
                <w:szCs w:val="24"/>
                <w:highlight w:val="none"/>
              </w:rPr>
              <w:t>1.2.1</w:t>
            </w:r>
          </w:p>
        </w:tc>
        <w:tc>
          <w:tcPr>
            <w:tcW w:w="1866" w:type="dxa"/>
            <w:tcBorders>
              <w:top w:val="single" w:color="auto" w:sz="8" w:space="0"/>
              <w:left w:val="nil"/>
              <w:bottom w:val="single" w:color="auto" w:sz="8" w:space="0"/>
              <w:right w:val="single" w:color="auto" w:sz="8" w:space="0"/>
            </w:tcBorders>
            <w:noWrap w:val="0"/>
            <w:vAlign w:val="center"/>
          </w:tcPr>
          <w:p w14:paraId="50245BA9">
            <w:pPr>
              <w:spacing w:line="380" w:lineRule="exact"/>
              <w:rPr>
                <w:rFonts w:ascii="宋体" w:hAnsi="宋体"/>
                <w:kern w:val="2"/>
                <w:sz w:val="24"/>
                <w:szCs w:val="24"/>
                <w:highlight w:val="none"/>
              </w:rPr>
            </w:pPr>
            <w:r>
              <w:rPr>
                <w:rFonts w:hint="eastAsia" w:ascii="宋体" w:hAnsi="宋体"/>
                <w:kern w:val="2"/>
                <w:sz w:val="24"/>
                <w:szCs w:val="24"/>
                <w:highlight w:val="none"/>
              </w:rPr>
              <w:t>资金落实情况</w:t>
            </w:r>
          </w:p>
        </w:tc>
        <w:tc>
          <w:tcPr>
            <w:tcW w:w="6969" w:type="dxa"/>
            <w:tcBorders>
              <w:top w:val="single" w:color="auto" w:sz="8" w:space="0"/>
              <w:left w:val="nil"/>
              <w:bottom w:val="single" w:color="auto" w:sz="8" w:space="0"/>
              <w:right w:val="single" w:color="auto" w:sz="8" w:space="0"/>
            </w:tcBorders>
            <w:noWrap w:val="0"/>
            <w:vAlign w:val="center"/>
          </w:tcPr>
          <w:p w14:paraId="2FECF9AD">
            <w:pPr>
              <w:spacing w:line="380" w:lineRule="exact"/>
              <w:jc w:val="both"/>
              <w:rPr>
                <w:rFonts w:hint="default" w:ascii="宋体" w:hAnsi="宋体" w:eastAsia="宋体"/>
                <w:kern w:val="2"/>
                <w:sz w:val="24"/>
                <w:szCs w:val="24"/>
                <w:highlight w:val="none"/>
                <w:lang w:val="en-US" w:eastAsia="zh-CN"/>
              </w:rPr>
            </w:pPr>
            <w:r>
              <w:rPr>
                <w:rFonts w:hint="eastAsia" w:ascii="宋体" w:hAnsi="宋体"/>
                <w:kern w:val="2"/>
                <w:sz w:val="24"/>
                <w:szCs w:val="24"/>
                <w:highlight w:val="none"/>
                <w:lang w:val="en-US" w:eastAsia="zh-CN"/>
              </w:rPr>
              <w:t>财政资金，已落实</w:t>
            </w:r>
          </w:p>
        </w:tc>
      </w:tr>
      <w:tr w14:paraId="66D2B59E">
        <w:tblPrEx>
          <w:tblCellMar>
            <w:top w:w="0" w:type="dxa"/>
            <w:left w:w="0" w:type="dxa"/>
            <w:bottom w:w="0" w:type="dxa"/>
            <w:right w:w="0" w:type="dxa"/>
          </w:tblCellMar>
        </w:tblPrEx>
        <w:trPr>
          <w:trHeight w:val="643" w:hRule="atLeast"/>
          <w:jc w:val="center"/>
        </w:trPr>
        <w:tc>
          <w:tcPr>
            <w:tcW w:w="1047" w:type="dxa"/>
            <w:tcBorders>
              <w:top w:val="single" w:color="auto" w:sz="8" w:space="0"/>
              <w:left w:val="single" w:color="auto" w:sz="8" w:space="0"/>
              <w:bottom w:val="single" w:color="auto" w:sz="8" w:space="0"/>
              <w:right w:val="single" w:color="auto" w:sz="8" w:space="0"/>
            </w:tcBorders>
            <w:noWrap w:val="0"/>
            <w:vAlign w:val="center"/>
          </w:tcPr>
          <w:p w14:paraId="19ED02C6">
            <w:pPr>
              <w:spacing w:line="380" w:lineRule="exact"/>
              <w:jc w:val="center"/>
              <w:rPr>
                <w:rFonts w:hint="eastAsia" w:ascii="宋体" w:hAnsi="宋体"/>
                <w:kern w:val="2"/>
                <w:sz w:val="24"/>
                <w:szCs w:val="24"/>
                <w:highlight w:val="none"/>
              </w:rPr>
            </w:pPr>
            <w:r>
              <w:rPr>
                <w:rFonts w:hint="eastAsia" w:ascii="宋体" w:hAnsi="宋体"/>
                <w:kern w:val="2"/>
                <w:sz w:val="24"/>
                <w:szCs w:val="24"/>
                <w:highlight w:val="none"/>
              </w:rPr>
              <w:t>1.2.2</w:t>
            </w:r>
          </w:p>
        </w:tc>
        <w:tc>
          <w:tcPr>
            <w:tcW w:w="1866" w:type="dxa"/>
            <w:tcBorders>
              <w:top w:val="single" w:color="auto" w:sz="8" w:space="0"/>
              <w:left w:val="nil"/>
              <w:bottom w:val="single" w:color="auto" w:sz="8" w:space="0"/>
              <w:right w:val="single" w:color="auto" w:sz="8" w:space="0"/>
            </w:tcBorders>
            <w:noWrap w:val="0"/>
            <w:vAlign w:val="center"/>
          </w:tcPr>
          <w:p w14:paraId="1453A02E">
            <w:pPr>
              <w:spacing w:line="380" w:lineRule="exact"/>
              <w:rPr>
                <w:rFonts w:hint="eastAsia" w:ascii="宋体" w:hAnsi="宋体"/>
                <w:kern w:val="2"/>
                <w:sz w:val="24"/>
                <w:szCs w:val="24"/>
                <w:highlight w:val="none"/>
              </w:rPr>
            </w:pPr>
            <w:r>
              <w:rPr>
                <w:rFonts w:hint="eastAsia" w:ascii="宋体" w:hAnsi="宋体"/>
                <w:kern w:val="2"/>
                <w:sz w:val="24"/>
                <w:szCs w:val="24"/>
                <w:highlight w:val="none"/>
              </w:rPr>
              <w:t>预算金额</w:t>
            </w:r>
          </w:p>
        </w:tc>
        <w:tc>
          <w:tcPr>
            <w:tcW w:w="6969" w:type="dxa"/>
            <w:tcBorders>
              <w:top w:val="single" w:color="auto" w:sz="8" w:space="0"/>
              <w:left w:val="nil"/>
              <w:bottom w:val="single" w:color="auto" w:sz="8" w:space="0"/>
              <w:right w:val="single" w:color="auto" w:sz="8" w:space="0"/>
            </w:tcBorders>
            <w:noWrap w:val="0"/>
            <w:vAlign w:val="center"/>
          </w:tcPr>
          <w:p w14:paraId="11701E0B">
            <w:pPr>
              <w:spacing w:line="380" w:lineRule="exact"/>
              <w:jc w:val="both"/>
              <w:rPr>
                <w:rFonts w:hint="default" w:ascii="宋体" w:hAnsi="宋体" w:eastAsia="宋体"/>
                <w:kern w:val="2"/>
                <w:sz w:val="24"/>
                <w:szCs w:val="24"/>
                <w:highlight w:val="none"/>
                <w:lang w:val="en-US" w:eastAsia="zh-CN"/>
              </w:rPr>
            </w:pPr>
            <w:r>
              <w:rPr>
                <w:rFonts w:hint="eastAsia" w:ascii="宋体" w:hAnsi="宋体" w:cs="宋体"/>
                <w:i w:val="0"/>
                <w:iCs w:val="0"/>
                <w:color w:val="auto"/>
                <w:kern w:val="2"/>
                <w:sz w:val="24"/>
                <w:szCs w:val="24"/>
                <w:highlight w:val="none"/>
                <w:lang w:val="en-US" w:eastAsia="zh-CN" w:bidi="ar"/>
              </w:rPr>
              <w:t>81.558</w:t>
            </w:r>
            <w:r>
              <w:rPr>
                <w:rFonts w:hint="default" w:ascii="宋体" w:hAnsi="宋体" w:eastAsia="宋体"/>
                <w:kern w:val="2"/>
                <w:sz w:val="24"/>
                <w:szCs w:val="24"/>
                <w:highlight w:val="none"/>
                <w:lang w:val="en-US" w:eastAsia="zh-CN"/>
              </w:rPr>
              <w:t>万元</w:t>
            </w:r>
          </w:p>
        </w:tc>
      </w:tr>
      <w:tr w14:paraId="7EFB663D">
        <w:tblPrEx>
          <w:tblCellMar>
            <w:top w:w="0" w:type="dxa"/>
            <w:left w:w="0" w:type="dxa"/>
            <w:bottom w:w="0" w:type="dxa"/>
            <w:right w:w="0" w:type="dxa"/>
          </w:tblCellMar>
        </w:tblPrEx>
        <w:trPr>
          <w:trHeight w:val="601" w:hRule="atLeast"/>
          <w:jc w:val="center"/>
        </w:trPr>
        <w:tc>
          <w:tcPr>
            <w:tcW w:w="1047" w:type="dxa"/>
            <w:tcBorders>
              <w:top w:val="single" w:color="auto" w:sz="8" w:space="0"/>
              <w:left w:val="single" w:color="auto" w:sz="8" w:space="0"/>
              <w:bottom w:val="single" w:color="auto" w:sz="8" w:space="0"/>
              <w:right w:val="single" w:color="auto" w:sz="8" w:space="0"/>
            </w:tcBorders>
            <w:noWrap w:val="0"/>
            <w:vAlign w:val="center"/>
          </w:tcPr>
          <w:p w14:paraId="33BD57DA">
            <w:pPr>
              <w:spacing w:line="380" w:lineRule="exact"/>
              <w:jc w:val="center"/>
              <w:rPr>
                <w:rFonts w:ascii="宋体" w:hAnsi="宋体"/>
                <w:kern w:val="2"/>
                <w:sz w:val="24"/>
                <w:szCs w:val="24"/>
                <w:highlight w:val="none"/>
              </w:rPr>
            </w:pPr>
            <w:r>
              <w:rPr>
                <w:rFonts w:hint="eastAsia" w:ascii="宋体" w:hAnsi="宋体"/>
                <w:kern w:val="2"/>
                <w:sz w:val="24"/>
                <w:szCs w:val="24"/>
                <w:highlight w:val="none"/>
              </w:rPr>
              <w:t>1.3.1</w:t>
            </w:r>
          </w:p>
        </w:tc>
        <w:tc>
          <w:tcPr>
            <w:tcW w:w="1866" w:type="dxa"/>
            <w:tcBorders>
              <w:top w:val="single" w:color="auto" w:sz="8" w:space="0"/>
              <w:left w:val="nil"/>
              <w:bottom w:val="single" w:color="auto" w:sz="8" w:space="0"/>
              <w:right w:val="single" w:color="auto" w:sz="8" w:space="0"/>
            </w:tcBorders>
            <w:noWrap w:val="0"/>
            <w:vAlign w:val="center"/>
          </w:tcPr>
          <w:p w14:paraId="32A6380C">
            <w:pPr>
              <w:spacing w:line="380" w:lineRule="exact"/>
              <w:rPr>
                <w:rFonts w:hint="eastAsia" w:ascii="宋体" w:hAnsi="宋体" w:eastAsia="宋体"/>
                <w:kern w:val="2"/>
                <w:sz w:val="24"/>
                <w:szCs w:val="24"/>
                <w:highlight w:val="none"/>
                <w:lang w:eastAsia="zh-CN"/>
              </w:rPr>
            </w:pPr>
            <w:r>
              <w:rPr>
                <w:rFonts w:hint="eastAsia" w:ascii="宋体" w:hAnsi="宋体"/>
                <w:kern w:val="2"/>
                <w:sz w:val="24"/>
                <w:szCs w:val="24"/>
                <w:highlight w:val="none"/>
              </w:rPr>
              <w:t>采购</w:t>
            </w:r>
            <w:r>
              <w:rPr>
                <w:rFonts w:hint="eastAsia" w:ascii="宋体" w:hAnsi="宋体"/>
                <w:kern w:val="2"/>
                <w:sz w:val="24"/>
                <w:szCs w:val="24"/>
                <w:highlight w:val="none"/>
                <w:lang w:eastAsia="zh-CN"/>
              </w:rPr>
              <w:t>内容</w:t>
            </w:r>
          </w:p>
        </w:tc>
        <w:tc>
          <w:tcPr>
            <w:tcW w:w="6969" w:type="dxa"/>
            <w:tcBorders>
              <w:top w:val="single" w:color="auto" w:sz="8" w:space="0"/>
              <w:left w:val="nil"/>
              <w:bottom w:val="single" w:color="auto" w:sz="8" w:space="0"/>
              <w:right w:val="single" w:color="auto" w:sz="8" w:space="0"/>
            </w:tcBorders>
            <w:noWrap w:val="0"/>
            <w:vAlign w:val="center"/>
          </w:tcPr>
          <w:p w14:paraId="7E301114">
            <w:pPr>
              <w:spacing w:line="380" w:lineRule="exact"/>
              <w:rPr>
                <w:rFonts w:ascii="宋体" w:hAnsi="宋体"/>
                <w:kern w:val="2"/>
                <w:sz w:val="24"/>
                <w:szCs w:val="24"/>
                <w:highlight w:val="none"/>
              </w:rPr>
            </w:pPr>
            <w:r>
              <w:rPr>
                <w:rFonts w:hint="eastAsia" w:ascii="宋体" w:hAnsi="宋体"/>
                <w:kern w:val="2"/>
                <w:sz w:val="24"/>
                <w:szCs w:val="24"/>
                <w:highlight w:val="none"/>
              </w:rPr>
              <w:t>详见第六章《</w:t>
            </w:r>
            <w:r>
              <w:rPr>
                <w:rFonts w:hint="eastAsia" w:ascii="宋体" w:hAnsi="宋体"/>
                <w:kern w:val="2"/>
                <w:sz w:val="24"/>
                <w:szCs w:val="24"/>
                <w:highlight w:val="none"/>
                <w:lang w:eastAsia="zh-CN"/>
              </w:rPr>
              <w:t>招标内容及要求</w:t>
            </w:r>
            <w:r>
              <w:rPr>
                <w:rFonts w:hint="eastAsia" w:ascii="宋体" w:hAnsi="宋体"/>
                <w:kern w:val="2"/>
                <w:sz w:val="24"/>
                <w:szCs w:val="24"/>
                <w:highlight w:val="none"/>
              </w:rPr>
              <w:t>》的具体内容</w:t>
            </w:r>
          </w:p>
        </w:tc>
      </w:tr>
      <w:tr w14:paraId="0AFED0DA">
        <w:tblPrEx>
          <w:tblCellMar>
            <w:top w:w="0" w:type="dxa"/>
            <w:left w:w="0" w:type="dxa"/>
            <w:bottom w:w="0" w:type="dxa"/>
            <w:right w:w="0" w:type="dxa"/>
          </w:tblCellMar>
        </w:tblPrEx>
        <w:trPr>
          <w:trHeight w:val="916" w:hRule="atLeast"/>
          <w:jc w:val="center"/>
        </w:trPr>
        <w:tc>
          <w:tcPr>
            <w:tcW w:w="1047" w:type="dxa"/>
            <w:tcBorders>
              <w:top w:val="single" w:color="auto" w:sz="8" w:space="0"/>
              <w:left w:val="single" w:color="auto" w:sz="8" w:space="0"/>
              <w:bottom w:val="single" w:color="auto" w:sz="8" w:space="0"/>
              <w:right w:val="single" w:color="auto" w:sz="8" w:space="0"/>
            </w:tcBorders>
            <w:noWrap w:val="0"/>
            <w:vAlign w:val="center"/>
          </w:tcPr>
          <w:p w14:paraId="6B08A7DB">
            <w:pPr>
              <w:spacing w:line="380" w:lineRule="exact"/>
              <w:jc w:val="center"/>
              <w:rPr>
                <w:rFonts w:ascii="宋体" w:hAnsi="宋体"/>
                <w:kern w:val="2"/>
                <w:sz w:val="24"/>
                <w:szCs w:val="24"/>
                <w:highlight w:val="none"/>
              </w:rPr>
            </w:pPr>
            <w:r>
              <w:rPr>
                <w:rFonts w:hint="eastAsia" w:ascii="宋体" w:hAnsi="宋体"/>
                <w:kern w:val="2"/>
                <w:sz w:val="24"/>
                <w:szCs w:val="24"/>
                <w:highlight w:val="none"/>
              </w:rPr>
              <w:t>1.3.2</w:t>
            </w:r>
          </w:p>
        </w:tc>
        <w:tc>
          <w:tcPr>
            <w:tcW w:w="1866" w:type="dxa"/>
            <w:tcBorders>
              <w:top w:val="single" w:color="auto" w:sz="8" w:space="0"/>
              <w:left w:val="nil"/>
              <w:bottom w:val="single" w:color="auto" w:sz="8" w:space="0"/>
              <w:right w:val="single" w:color="auto" w:sz="8" w:space="0"/>
            </w:tcBorders>
            <w:noWrap w:val="0"/>
            <w:vAlign w:val="center"/>
          </w:tcPr>
          <w:p w14:paraId="26688E71">
            <w:pPr>
              <w:spacing w:line="380" w:lineRule="exact"/>
              <w:rPr>
                <w:rFonts w:ascii="宋体" w:hAnsi="宋体"/>
                <w:color w:val="FF0000"/>
                <w:kern w:val="2"/>
                <w:sz w:val="24"/>
                <w:szCs w:val="24"/>
                <w:highlight w:val="none"/>
              </w:rPr>
            </w:pPr>
            <w:r>
              <w:rPr>
                <w:rFonts w:hint="eastAsia" w:ascii="宋体" w:hAnsi="宋体"/>
                <w:kern w:val="2"/>
                <w:sz w:val="24"/>
                <w:szCs w:val="24"/>
                <w:highlight w:val="none"/>
              </w:rPr>
              <w:t>交货期、质保期</w:t>
            </w:r>
          </w:p>
        </w:tc>
        <w:tc>
          <w:tcPr>
            <w:tcW w:w="6969" w:type="dxa"/>
            <w:tcBorders>
              <w:top w:val="single" w:color="auto" w:sz="8" w:space="0"/>
              <w:left w:val="nil"/>
              <w:bottom w:val="single" w:color="auto" w:sz="8" w:space="0"/>
              <w:right w:val="single" w:color="auto" w:sz="8" w:space="0"/>
            </w:tcBorders>
            <w:noWrap w:val="0"/>
            <w:vAlign w:val="top"/>
          </w:tcPr>
          <w:p w14:paraId="665DCE23">
            <w:pPr>
              <w:spacing w:line="380" w:lineRule="exact"/>
              <w:jc w:val="both"/>
              <w:rPr>
                <w:rFonts w:hint="eastAsia" w:ascii="宋体" w:hAnsi="宋体"/>
                <w:kern w:val="2"/>
                <w:sz w:val="24"/>
                <w:szCs w:val="24"/>
                <w:highlight w:val="none"/>
              </w:rPr>
            </w:pPr>
            <w:r>
              <w:rPr>
                <w:rFonts w:hint="eastAsia" w:ascii="宋体" w:hAnsi="宋体"/>
                <w:kern w:val="2"/>
                <w:sz w:val="24"/>
                <w:szCs w:val="24"/>
                <w:highlight w:val="none"/>
              </w:rPr>
              <w:t>交货期：</w:t>
            </w:r>
            <w:r>
              <w:rPr>
                <w:rFonts w:hint="eastAsia" w:ascii="宋体" w:hAnsi="宋体" w:cs="宋体"/>
                <w:kern w:val="2"/>
                <w:sz w:val="24"/>
                <w:szCs w:val="24"/>
                <w:highlight w:val="none"/>
                <w:lang w:val="en-US" w:eastAsia="zh-CN"/>
              </w:rPr>
              <w:t>签订合同后45天内</w:t>
            </w:r>
          </w:p>
          <w:p w14:paraId="194B63CA">
            <w:pPr>
              <w:spacing w:line="380" w:lineRule="exact"/>
              <w:jc w:val="both"/>
              <w:rPr>
                <w:rFonts w:hint="eastAsia" w:ascii="宋体" w:hAnsi="宋体"/>
                <w:color w:val="FF0000"/>
                <w:kern w:val="2"/>
                <w:sz w:val="24"/>
                <w:szCs w:val="24"/>
                <w:highlight w:val="none"/>
              </w:rPr>
            </w:pPr>
            <w:r>
              <w:rPr>
                <w:rFonts w:hint="eastAsia" w:ascii="宋体" w:hAnsi="宋体"/>
                <w:kern w:val="2"/>
                <w:sz w:val="24"/>
                <w:szCs w:val="24"/>
                <w:highlight w:val="none"/>
              </w:rPr>
              <w:t>质保期：</w:t>
            </w:r>
            <w:r>
              <w:rPr>
                <w:rFonts w:hint="eastAsia" w:ascii="宋体" w:hAnsi="宋体" w:cs="宋体"/>
                <w:kern w:val="2"/>
                <w:sz w:val="24"/>
                <w:szCs w:val="24"/>
                <w:highlight w:val="none"/>
                <w:lang w:val="en-US" w:eastAsia="zh-CN"/>
              </w:rPr>
              <w:t>原厂5年质保</w:t>
            </w:r>
          </w:p>
        </w:tc>
      </w:tr>
      <w:tr w14:paraId="39249A88">
        <w:tblPrEx>
          <w:tblCellMar>
            <w:top w:w="0" w:type="dxa"/>
            <w:left w:w="0" w:type="dxa"/>
            <w:bottom w:w="0" w:type="dxa"/>
            <w:right w:w="0" w:type="dxa"/>
          </w:tblCellMar>
        </w:tblPrEx>
        <w:trPr>
          <w:trHeight w:val="1044" w:hRule="atLeast"/>
          <w:jc w:val="center"/>
        </w:trPr>
        <w:tc>
          <w:tcPr>
            <w:tcW w:w="1047" w:type="dxa"/>
            <w:tcBorders>
              <w:top w:val="single" w:color="auto" w:sz="8" w:space="0"/>
              <w:left w:val="single" w:color="auto" w:sz="8" w:space="0"/>
              <w:bottom w:val="single" w:color="auto" w:sz="8" w:space="0"/>
              <w:right w:val="single" w:color="auto" w:sz="8" w:space="0"/>
            </w:tcBorders>
            <w:noWrap w:val="0"/>
            <w:vAlign w:val="center"/>
          </w:tcPr>
          <w:p w14:paraId="5D25602D">
            <w:pPr>
              <w:spacing w:line="380" w:lineRule="exact"/>
              <w:jc w:val="center"/>
              <w:rPr>
                <w:rFonts w:ascii="宋体" w:hAnsi="宋体"/>
                <w:kern w:val="2"/>
                <w:sz w:val="24"/>
                <w:szCs w:val="24"/>
                <w:highlight w:val="none"/>
              </w:rPr>
            </w:pPr>
            <w:r>
              <w:rPr>
                <w:rFonts w:hint="eastAsia" w:ascii="宋体" w:hAnsi="宋体"/>
                <w:kern w:val="2"/>
                <w:sz w:val="24"/>
                <w:szCs w:val="24"/>
                <w:highlight w:val="none"/>
              </w:rPr>
              <w:t>1.3.3</w:t>
            </w:r>
          </w:p>
        </w:tc>
        <w:tc>
          <w:tcPr>
            <w:tcW w:w="1866" w:type="dxa"/>
            <w:tcBorders>
              <w:top w:val="single" w:color="auto" w:sz="8" w:space="0"/>
              <w:left w:val="nil"/>
              <w:bottom w:val="single" w:color="auto" w:sz="8" w:space="0"/>
              <w:right w:val="single" w:color="auto" w:sz="8" w:space="0"/>
            </w:tcBorders>
            <w:noWrap w:val="0"/>
            <w:vAlign w:val="center"/>
          </w:tcPr>
          <w:p w14:paraId="43EDD383">
            <w:pPr>
              <w:spacing w:line="380" w:lineRule="exact"/>
              <w:rPr>
                <w:rFonts w:ascii="宋体" w:hAnsi="宋体"/>
                <w:color w:val="auto"/>
                <w:kern w:val="2"/>
                <w:sz w:val="24"/>
                <w:szCs w:val="24"/>
                <w:highlight w:val="none"/>
              </w:rPr>
            </w:pPr>
            <w:r>
              <w:rPr>
                <w:rFonts w:hint="eastAsia" w:ascii="宋体" w:hAnsi="宋体"/>
                <w:color w:val="auto"/>
                <w:kern w:val="2"/>
                <w:sz w:val="24"/>
                <w:szCs w:val="24"/>
                <w:highlight w:val="none"/>
              </w:rPr>
              <w:t>交货地点、交货方式</w:t>
            </w:r>
          </w:p>
        </w:tc>
        <w:tc>
          <w:tcPr>
            <w:tcW w:w="6969" w:type="dxa"/>
            <w:tcBorders>
              <w:top w:val="single" w:color="auto" w:sz="8" w:space="0"/>
              <w:left w:val="nil"/>
              <w:bottom w:val="single" w:color="auto" w:sz="8" w:space="0"/>
              <w:right w:val="single" w:color="auto" w:sz="8" w:space="0"/>
            </w:tcBorders>
            <w:noWrap w:val="0"/>
            <w:vAlign w:val="bottom"/>
          </w:tcPr>
          <w:p w14:paraId="49DCAC53">
            <w:pPr>
              <w:spacing w:line="380" w:lineRule="exact"/>
              <w:rPr>
                <w:rFonts w:hint="default" w:eastAsia="宋体"/>
                <w:color w:val="auto"/>
                <w:sz w:val="24"/>
                <w:szCs w:val="24"/>
                <w:highlight w:val="none"/>
                <w:u w:val="none"/>
                <w:lang w:val="en-US" w:eastAsia="zh-CN"/>
              </w:rPr>
            </w:pPr>
            <w:r>
              <w:rPr>
                <w:rFonts w:hint="eastAsia"/>
                <w:color w:val="auto"/>
                <w:sz w:val="24"/>
                <w:szCs w:val="24"/>
                <w:highlight w:val="none"/>
              </w:rPr>
              <w:t>交货地点：</w:t>
            </w:r>
            <w:r>
              <w:rPr>
                <w:rFonts w:hint="eastAsia" w:ascii="宋体" w:hAnsi="宋体"/>
                <w:color w:val="auto"/>
                <w:kern w:val="2"/>
                <w:sz w:val="24"/>
                <w:szCs w:val="24"/>
                <w:highlight w:val="none"/>
                <w:u w:val="none"/>
                <w:lang w:val="en-US" w:eastAsia="zh-CN"/>
              </w:rPr>
              <w:t>香格里拉市人民医院</w:t>
            </w:r>
          </w:p>
          <w:p w14:paraId="2C716E74">
            <w:pPr>
              <w:pStyle w:val="11"/>
              <w:rPr>
                <w:rFonts w:hint="default" w:ascii="宋体" w:hAnsi="宋体" w:eastAsia="宋体"/>
                <w:color w:val="auto"/>
                <w:sz w:val="24"/>
                <w:highlight w:val="none"/>
                <w:u w:val="single"/>
                <w:lang w:val="en-US" w:eastAsia="zh-CN"/>
              </w:rPr>
            </w:pPr>
            <w:r>
              <w:rPr>
                <w:rFonts w:hint="eastAsia" w:ascii="宋体" w:hAnsi="宋体"/>
                <w:color w:val="auto"/>
                <w:sz w:val="24"/>
                <w:highlight w:val="none"/>
                <w:u w:val="none"/>
              </w:rPr>
              <w:t>交货方式</w:t>
            </w:r>
            <w:r>
              <w:rPr>
                <w:rFonts w:hint="eastAsia"/>
                <w:color w:val="auto"/>
                <w:sz w:val="24"/>
                <w:highlight w:val="none"/>
                <w:u w:val="none"/>
              </w:rPr>
              <w:t>：</w:t>
            </w:r>
            <w:r>
              <w:rPr>
                <w:rFonts w:hint="eastAsia" w:ascii="宋体" w:hAnsi="宋体"/>
                <w:color w:val="auto"/>
                <w:sz w:val="24"/>
                <w:highlight w:val="none"/>
                <w:u w:val="none"/>
                <w:lang w:val="en-US" w:eastAsia="zh-CN"/>
              </w:rPr>
              <w:t>现场交货</w:t>
            </w:r>
          </w:p>
        </w:tc>
      </w:tr>
      <w:tr w14:paraId="26BAB7A2">
        <w:tblPrEx>
          <w:tblCellMar>
            <w:top w:w="0" w:type="dxa"/>
            <w:left w:w="0" w:type="dxa"/>
            <w:bottom w:w="0" w:type="dxa"/>
            <w:right w:w="0" w:type="dxa"/>
          </w:tblCellMar>
        </w:tblPrEx>
        <w:trPr>
          <w:trHeight w:val="904" w:hRule="atLeast"/>
          <w:jc w:val="center"/>
        </w:trPr>
        <w:tc>
          <w:tcPr>
            <w:tcW w:w="1047" w:type="dxa"/>
            <w:tcBorders>
              <w:top w:val="single" w:color="auto" w:sz="8" w:space="0"/>
              <w:left w:val="single" w:color="auto" w:sz="8" w:space="0"/>
              <w:bottom w:val="single" w:color="auto" w:sz="8" w:space="0"/>
              <w:right w:val="single" w:color="auto" w:sz="8" w:space="0"/>
            </w:tcBorders>
            <w:noWrap w:val="0"/>
            <w:vAlign w:val="center"/>
          </w:tcPr>
          <w:p w14:paraId="4F108E18">
            <w:pPr>
              <w:spacing w:line="380" w:lineRule="exact"/>
              <w:jc w:val="center"/>
              <w:rPr>
                <w:rFonts w:hint="eastAsia" w:ascii="宋体" w:hAnsi="宋体"/>
                <w:kern w:val="2"/>
                <w:sz w:val="24"/>
                <w:szCs w:val="24"/>
                <w:highlight w:val="none"/>
              </w:rPr>
            </w:pPr>
            <w:r>
              <w:rPr>
                <w:rFonts w:hint="eastAsia" w:ascii="宋体" w:hAnsi="宋体"/>
                <w:kern w:val="2"/>
                <w:sz w:val="24"/>
                <w:szCs w:val="24"/>
                <w:highlight w:val="none"/>
              </w:rPr>
              <w:t>1.4.1</w:t>
            </w:r>
          </w:p>
        </w:tc>
        <w:tc>
          <w:tcPr>
            <w:tcW w:w="1866" w:type="dxa"/>
            <w:tcBorders>
              <w:top w:val="single" w:color="auto" w:sz="8" w:space="0"/>
              <w:left w:val="nil"/>
              <w:bottom w:val="single" w:color="auto" w:sz="8" w:space="0"/>
              <w:right w:val="single" w:color="auto" w:sz="8" w:space="0"/>
            </w:tcBorders>
            <w:noWrap w:val="0"/>
            <w:vAlign w:val="center"/>
          </w:tcPr>
          <w:p w14:paraId="7C8ED74E">
            <w:pPr>
              <w:spacing w:line="380" w:lineRule="exact"/>
              <w:rPr>
                <w:rFonts w:hint="eastAsia" w:ascii="宋体" w:hAnsi="宋体" w:eastAsia="宋体" w:cs="宋体"/>
                <w:kern w:val="2"/>
                <w:sz w:val="24"/>
                <w:szCs w:val="24"/>
                <w:highlight w:val="none"/>
                <w:lang w:eastAsia="zh-CN"/>
              </w:rPr>
            </w:pPr>
            <w:r>
              <w:rPr>
                <w:rFonts w:hint="eastAsia" w:ascii="宋体" w:hAnsi="宋体" w:eastAsia="宋体" w:cs="宋体"/>
                <w:kern w:val="2"/>
                <w:sz w:val="24"/>
                <w:szCs w:val="24"/>
                <w:highlight w:val="none"/>
              </w:rPr>
              <w:t>投标人资格</w:t>
            </w:r>
            <w:r>
              <w:rPr>
                <w:rFonts w:hint="eastAsia" w:ascii="宋体" w:hAnsi="宋体" w:eastAsia="宋体" w:cs="宋体"/>
                <w:kern w:val="2"/>
                <w:sz w:val="24"/>
                <w:szCs w:val="24"/>
                <w:highlight w:val="none"/>
                <w:lang w:eastAsia="zh-CN"/>
              </w:rPr>
              <w:t>要求</w:t>
            </w:r>
          </w:p>
        </w:tc>
        <w:tc>
          <w:tcPr>
            <w:tcW w:w="6969" w:type="dxa"/>
            <w:tcBorders>
              <w:top w:val="single" w:color="auto" w:sz="8" w:space="0"/>
              <w:left w:val="nil"/>
              <w:bottom w:val="single" w:color="auto" w:sz="8" w:space="0"/>
              <w:right w:val="single" w:color="auto" w:sz="8" w:space="0"/>
            </w:tcBorders>
            <w:noWrap w:val="0"/>
            <w:vAlign w:val="center"/>
          </w:tcPr>
          <w:p w14:paraId="1F9D511B">
            <w:pPr>
              <w:spacing w:line="380" w:lineRule="exact"/>
              <w:rPr>
                <w:rFonts w:hint="eastAsia" w:ascii="宋体" w:hAnsi="宋体" w:eastAsia="宋体" w:cs="宋体"/>
                <w:sz w:val="24"/>
                <w:szCs w:val="24"/>
              </w:rPr>
            </w:pPr>
            <w:r>
              <w:rPr>
                <w:rFonts w:hint="eastAsia" w:ascii="宋体" w:hAnsi="宋体" w:eastAsia="宋体" w:cs="宋体"/>
                <w:sz w:val="24"/>
                <w:szCs w:val="24"/>
                <w:lang w:val="en-US" w:eastAsia="zh-CN"/>
              </w:rPr>
              <w:t>详</w:t>
            </w:r>
            <w:r>
              <w:rPr>
                <w:rFonts w:hint="eastAsia" w:ascii="宋体" w:hAnsi="宋体" w:eastAsia="宋体" w:cs="宋体"/>
                <w:sz w:val="24"/>
                <w:szCs w:val="24"/>
              </w:rPr>
              <w:t>见“第一章 招标公告</w:t>
            </w:r>
            <w:r>
              <w:rPr>
                <w:rFonts w:hint="eastAsia" w:ascii="宋体" w:hAnsi="宋体" w:eastAsia="宋体" w:cs="宋体"/>
                <w:sz w:val="24"/>
                <w:szCs w:val="24"/>
                <w:lang w:val="en-US" w:eastAsia="zh-CN"/>
              </w:rPr>
              <w:t xml:space="preserve"> </w:t>
            </w:r>
            <w:r>
              <w:rPr>
                <w:rFonts w:hint="eastAsia" w:ascii="宋体" w:hAnsi="宋体" w:eastAsia="宋体" w:cs="宋体"/>
                <w:b w:val="0"/>
                <w:bCs/>
                <w:i w:val="0"/>
                <w:iCs w:val="0"/>
                <w:sz w:val="24"/>
                <w:szCs w:val="24"/>
                <w:lang w:eastAsia="zh-CN"/>
              </w:rPr>
              <w:t>二、申请人的资格要求</w:t>
            </w:r>
            <w:r>
              <w:rPr>
                <w:rFonts w:hint="eastAsia" w:ascii="宋体" w:hAnsi="宋体" w:eastAsia="宋体" w:cs="宋体"/>
                <w:sz w:val="24"/>
                <w:szCs w:val="24"/>
              </w:rPr>
              <w:t>”</w:t>
            </w:r>
          </w:p>
        </w:tc>
      </w:tr>
      <w:tr w14:paraId="7803DCAB">
        <w:tblPrEx>
          <w:tblCellMar>
            <w:top w:w="0" w:type="dxa"/>
            <w:left w:w="0" w:type="dxa"/>
            <w:bottom w:w="0" w:type="dxa"/>
            <w:right w:w="0" w:type="dxa"/>
          </w:tblCellMar>
        </w:tblPrEx>
        <w:trPr>
          <w:trHeight w:val="2675" w:hRule="atLeast"/>
          <w:jc w:val="center"/>
        </w:trPr>
        <w:tc>
          <w:tcPr>
            <w:tcW w:w="1047" w:type="dxa"/>
            <w:tcBorders>
              <w:top w:val="single" w:color="auto" w:sz="8" w:space="0"/>
              <w:left w:val="single" w:color="auto" w:sz="8" w:space="0"/>
              <w:bottom w:val="single" w:color="auto" w:sz="8" w:space="0"/>
              <w:right w:val="single" w:color="auto" w:sz="8" w:space="0"/>
            </w:tcBorders>
            <w:noWrap w:val="0"/>
            <w:vAlign w:val="center"/>
          </w:tcPr>
          <w:p w14:paraId="1CF73473">
            <w:pPr>
              <w:spacing w:line="380" w:lineRule="exact"/>
              <w:jc w:val="center"/>
              <w:rPr>
                <w:rFonts w:ascii="宋体" w:hAnsi="宋体"/>
                <w:kern w:val="2"/>
                <w:sz w:val="24"/>
                <w:szCs w:val="24"/>
                <w:highlight w:val="none"/>
              </w:rPr>
            </w:pPr>
            <w:r>
              <w:rPr>
                <w:rFonts w:hint="eastAsia" w:ascii="宋体" w:hAnsi="宋体"/>
                <w:kern w:val="2"/>
                <w:sz w:val="24"/>
                <w:szCs w:val="24"/>
                <w:highlight w:val="none"/>
              </w:rPr>
              <w:t>1.4.2</w:t>
            </w:r>
          </w:p>
        </w:tc>
        <w:tc>
          <w:tcPr>
            <w:tcW w:w="1866" w:type="dxa"/>
            <w:tcBorders>
              <w:top w:val="single" w:color="auto" w:sz="8" w:space="0"/>
              <w:left w:val="nil"/>
              <w:bottom w:val="single" w:color="auto" w:sz="8" w:space="0"/>
              <w:right w:val="single" w:color="auto" w:sz="8" w:space="0"/>
            </w:tcBorders>
            <w:noWrap w:val="0"/>
            <w:vAlign w:val="center"/>
          </w:tcPr>
          <w:p w14:paraId="07705F44">
            <w:pPr>
              <w:spacing w:line="380" w:lineRule="exact"/>
              <w:rPr>
                <w:rFonts w:ascii="宋体" w:hAnsi="宋体"/>
                <w:kern w:val="2"/>
                <w:sz w:val="24"/>
                <w:szCs w:val="24"/>
                <w:highlight w:val="none"/>
              </w:rPr>
            </w:pPr>
            <w:r>
              <w:rPr>
                <w:rFonts w:hint="eastAsia" w:ascii="宋体" w:hAnsi="宋体"/>
                <w:kern w:val="2"/>
                <w:sz w:val="24"/>
                <w:szCs w:val="24"/>
                <w:highlight w:val="none"/>
              </w:rPr>
              <w:t>是否接受联合体投标</w:t>
            </w:r>
          </w:p>
        </w:tc>
        <w:tc>
          <w:tcPr>
            <w:tcW w:w="6969" w:type="dxa"/>
            <w:tcBorders>
              <w:top w:val="single" w:color="auto" w:sz="8" w:space="0"/>
              <w:left w:val="nil"/>
              <w:bottom w:val="single" w:color="auto" w:sz="8" w:space="0"/>
              <w:right w:val="single" w:color="auto" w:sz="8" w:space="0"/>
            </w:tcBorders>
            <w:noWrap w:val="0"/>
            <w:vAlign w:val="bottom"/>
          </w:tcPr>
          <w:p w14:paraId="3668E30C">
            <w:pPr>
              <w:spacing w:line="380" w:lineRule="exact"/>
              <w:rPr>
                <w:color w:val="auto"/>
                <w:sz w:val="24"/>
                <w:szCs w:val="24"/>
                <w:highlight w:val="none"/>
              </w:rPr>
            </w:pPr>
            <w:r>
              <w:rPr>
                <w:rFonts w:hint="eastAsia"/>
                <w:color w:val="auto"/>
                <w:sz w:val="24"/>
                <w:szCs w:val="24"/>
                <w:highlight w:val="none"/>
                <w:lang w:eastAsia="zh-CN"/>
              </w:rPr>
              <w:t>☑</w:t>
            </w:r>
            <w:r>
              <w:rPr>
                <w:rFonts w:hint="eastAsia"/>
                <w:color w:val="auto"/>
                <w:sz w:val="24"/>
                <w:szCs w:val="24"/>
                <w:highlight w:val="none"/>
              </w:rPr>
              <w:t>不接受</w:t>
            </w:r>
          </w:p>
          <w:p w14:paraId="2629417E">
            <w:pPr>
              <w:spacing w:line="360" w:lineRule="auto"/>
              <w:rPr>
                <w:rFonts w:hint="eastAsia"/>
                <w:color w:val="auto"/>
                <w:sz w:val="24"/>
                <w:szCs w:val="24"/>
                <w:highlight w:val="none"/>
              </w:rPr>
            </w:pPr>
            <w:r>
              <w:rPr>
                <w:rFonts w:hint="eastAsia"/>
                <w:color w:val="auto"/>
                <w:sz w:val="24"/>
                <w:szCs w:val="24"/>
                <w:highlight w:val="none"/>
                <w:lang w:eastAsia="zh-CN"/>
              </w:rPr>
              <w:t>□</w:t>
            </w:r>
            <w:r>
              <w:rPr>
                <w:rFonts w:hint="eastAsia"/>
                <w:color w:val="auto"/>
                <w:sz w:val="24"/>
                <w:szCs w:val="24"/>
                <w:highlight w:val="none"/>
              </w:rPr>
              <w:t>接受，应满足下列要求：</w:t>
            </w:r>
          </w:p>
          <w:p w14:paraId="7AEB51D5">
            <w:pPr>
              <w:spacing w:line="380" w:lineRule="exact"/>
              <w:ind w:firstLine="482" w:firstLineChars="200"/>
              <w:rPr>
                <w:rFonts w:hint="eastAsia"/>
                <w:color w:val="auto"/>
                <w:sz w:val="24"/>
                <w:szCs w:val="24"/>
                <w:highlight w:val="none"/>
              </w:rPr>
            </w:pPr>
            <w:r>
              <w:rPr>
                <w:rFonts w:hint="eastAsia"/>
                <w:b/>
                <w:bCs/>
                <w:color w:val="auto"/>
                <w:sz w:val="24"/>
                <w:szCs w:val="24"/>
                <w:highlight w:val="none"/>
              </w:rPr>
              <w:t>信用要求：</w:t>
            </w:r>
            <w:r>
              <w:rPr>
                <w:rFonts w:hint="eastAsia"/>
                <w:color w:val="auto"/>
                <w:sz w:val="24"/>
                <w:szCs w:val="24"/>
                <w:highlight w:val="none"/>
              </w:rPr>
              <w:t>两个以上的自然人、法人或者其他组织组成一个联合体，以一个供应商的身份共同参加政府采购活动的，应当对所有联合体成员进行信用记录查询，联合体成员存在不良信用记录的，视同联合体存在不良信用记录。</w:t>
            </w:r>
          </w:p>
          <w:p w14:paraId="02F3CF3B">
            <w:pPr>
              <w:spacing w:line="380" w:lineRule="exact"/>
              <w:ind w:firstLine="482" w:firstLineChars="200"/>
              <w:rPr>
                <w:color w:val="auto"/>
                <w:highlight w:val="none"/>
              </w:rPr>
            </w:pPr>
            <w:r>
              <w:rPr>
                <w:rFonts w:hint="eastAsia"/>
                <w:b/>
                <w:bCs/>
                <w:color w:val="auto"/>
                <w:sz w:val="24"/>
                <w:szCs w:val="24"/>
                <w:highlight w:val="none"/>
              </w:rPr>
              <w:t>其他要求：</w:t>
            </w:r>
            <w:r>
              <w:rPr>
                <w:rFonts w:hint="eastAsia"/>
                <w:color w:val="auto"/>
                <w:sz w:val="24"/>
                <w:szCs w:val="24"/>
                <w:highlight w:val="none"/>
              </w:rPr>
              <w:t xml:space="preserve"> </w:t>
            </w:r>
            <w:r>
              <w:rPr>
                <w:rFonts w:hint="eastAsia"/>
                <w:color w:val="auto"/>
                <w:sz w:val="24"/>
                <w:szCs w:val="24"/>
                <w:highlight w:val="none"/>
                <w:u w:val="single"/>
              </w:rPr>
              <w:t xml:space="preserve">                              </w:t>
            </w:r>
            <w:r>
              <w:rPr>
                <w:rFonts w:hint="eastAsia"/>
                <w:color w:val="auto"/>
                <w:sz w:val="24"/>
                <w:szCs w:val="24"/>
                <w:highlight w:val="none"/>
              </w:rPr>
              <w:t>。</w:t>
            </w:r>
          </w:p>
        </w:tc>
      </w:tr>
      <w:tr w14:paraId="643EC3E0">
        <w:tblPrEx>
          <w:tblCellMar>
            <w:top w:w="0" w:type="dxa"/>
            <w:left w:w="0" w:type="dxa"/>
            <w:bottom w:w="0" w:type="dxa"/>
            <w:right w:w="0" w:type="dxa"/>
          </w:tblCellMar>
        </w:tblPrEx>
        <w:trPr>
          <w:trHeight w:val="1238" w:hRule="atLeast"/>
          <w:jc w:val="center"/>
        </w:trPr>
        <w:tc>
          <w:tcPr>
            <w:tcW w:w="1047" w:type="dxa"/>
            <w:tcBorders>
              <w:top w:val="single" w:color="auto" w:sz="8" w:space="0"/>
              <w:left w:val="single" w:color="auto" w:sz="8" w:space="0"/>
              <w:bottom w:val="single" w:color="auto" w:sz="8" w:space="0"/>
              <w:right w:val="single" w:color="auto" w:sz="8" w:space="0"/>
            </w:tcBorders>
            <w:noWrap w:val="0"/>
            <w:vAlign w:val="center"/>
          </w:tcPr>
          <w:p w14:paraId="4DE61E2B">
            <w:pPr>
              <w:spacing w:line="380" w:lineRule="exact"/>
              <w:jc w:val="center"/>
              <w:rPr>
                <w:rFonts w:ascii="宋体" w:hAnsi="宋体"/>
                <w:kern w:val="2"/>
                <w:sz w:val="24"/>
                <w:szCs w:val="24"/>
                <w:highlight w:val="none"/>
              </w:rPr>
            </w:pPr>
            <w:r>
              <w:rPr>
                <w:rFonts w:hint="eastAsia" w:ascii="宋体" w:hAnsi="宋体"/>
                <w:kern w:val="2"/>
                <w:sz w:val="24"/>
                <w:szCs w:val="24"/>
                <w:highlight w:val="none"/>
              </w:rPr>
              <w:t>1.9.1</w:t>
            </w:r>
          </w:p>
        </w:tc>
        <w:tc>
          <w:tcPr>
            <w:tcW w:w="1866" w:type="dxa"/>
            <w:tcBorders>
              <w:top w:val="single" w:color="auto" w:sz="8" w:space="0"/>
              <w:left w:val="nil"/>
              <w:bottom w:val="single" w:color="auto" w:sz="8" w:space="0"/>
              <w:right w:val="single" w:color="auto" w:sz="8" w:space="0"/>
            </w:tcBorders>
            <w:noWrap w:val="0"/>
            <w:vAlign w:val="center"/>
          </w:tcPr>
          <w:p w14:paraId="79E12F41">
            <w:pPr>
              <w:spacing w:line="380" w:lineRule="exact"/>
              <w:rPr>
                <w:rFonts w:ascii="宋体" w:hAnsi="宋体"/>
                <w:kern w:val="2"/>
                <w:sz w:val="24"/>
                <w:szCs w:val="24"/>
                <w:highlight w:val="none"/>
              </w:rPr>
            </w:pPr>
            <w:r>
              <w:rPr>
                <w:rFonts w:hint="eastAsia" w:ascii="宋体" w:hAnsi="宋体"/>
                <w:kern w:val="2"/>
                <w:sz w:val="24"/>
                <w:szCs w:val="24"/>
                <w:highlight w:val="none"/>
              </w:rPr>
              <w:t>现场考察</w:t>
            </w:r>
          </w:p>
        </w:tc>
        <w:tc>
          <w:tcPr>
            <w:tcW w:w="6969" w:type="dxa"/>
            <w:tcBorders>
              <w:top w:val="single" w:color="auto" w:sz="8" w:space="0"/>
              <w:left w:val="nil"/>
              <w:bottom w:val="single" w:color="auto" w:sz="8" w:space="0"/>
              <w:right w:val="single" w:color="auto" w:sz="8" w:space="0"/>
            </w:tcBorders>
            <w:noWrap w:val="0"/>
            <w:vAlign w:val="center"/>
          </w:tcPr>
          <w:p w14:paraId="5C108538">
            <w:pPr>
              <w:pStyle w:val="10"/>
              <w:topLinePunct/>
              <w:spacing w:line="380" w:lineRule="exact"/>
              <w:rPr>
                <w:rFonts w:hAnsi="宋体"/>
                <w:color w:val="auto"/>
                <w:kern w:val="2"/>
                <w:highlight w:val="none"/>
              </w:rPr>
            </w:pPr>
            <w:r>
              <w:rPr>
                <w:rFonts w:hint="eastAsia" w:hAnsi="宋体"/>
                <w:color w:val="auto"/>
                <w:kern w:val="2"/>
                <w:highlight w:val="none"/>
                <w:lang w:eastAsia="zh-CN"/>
              </w:rPr>
              <w:t>☑</w:t>
            </w:r>
            <w:r>
              <w:rPr>
                <w:rFonts w:hint="eastAsia" w:hAnsi="宋体"/>
                <w:color w:val="auto"/>
                <w:kern w:val="2"/>
                <w:highlight w:val="none"/>
              </w:rPr>
              <w:t>不组织</w:t>
            </w:r>
          </w:p>
          <w:p w14:paraId="028C4326">
            <w:pPr>
              <w:spacing w:line="380" w:lineRule="exact"/>
              <w:ind w:left="991" w:hanging="991" w:hangingChars="413"/>
              <w:rPr>
                <w:rFonts w:hint="eastAsia" w:ascii="宋体" w:hAnsi="宋体"/>
                <w:color w:val="auto"/>
                <w:kern w:val="2"/>
                <w:sz w:val="24"/>
                <w:szCs w:val="24"/>
                <w:highlight w:val="none"/>
                <w:u w:val="single"/>
              </w:rPr>
            </w:pPr>
            <w:r>
              <w:rPr>
                <w:rFonts w:hint="eastAsia" w:ascii="宋体" w:hAnsi="宋体"/>
                <w:color w:val="auto"/>
                <w:kern w:val="2"/>
                <w:sz w:val="24"/>
                <w:szCs w:val="24"/>
                <w:highlight w:val="none"/>
              </w:rPr>
              <w:t>□组织，考察时间：</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年</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月</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日</w:t>
            </w:r>
            <w:r>
              <w:rPr>
                <w:rFonts w:hint="eastAsia" w:ascii="宋体" w:hAnsi="宋体"/>
                <w:color w:val="auto"/>
                <w:kern w:val="2"/>
                <w:sz w:val="24"/>
                <w:szCs w:val="24"/>
                <w:highlight w:val="none"/>
                <w:u w:val="single"/>
              </w:rPr>
              <w:t>(在招标文件提供期限截止后，开标前)</w:t>
            </w:r>
          </w:p>
          <w:p w14:paraId="2F8ACD4C">
            <w:pPr>
              <w:spacing w:line="380" w:lineRule="exact"/>
              <w:rPr>
                <w:rFonts w:hint="eastAsia" w:ascii="宋体" w:hAnsi="宋体"/>
                <w:color w:val="auto"/>
                <w:kern w:val="2"/>
                <w:sz w:val="24"/>
                <w:szCs w:val="24"/>
                <w:highlight w:val="none"/>
              </w:rPr>
            </w:pPr>
            <w:r>
              <w:rPr>
                <w:rFonts w:hint="eastAsia" w:ascii="宋体" w:hAnsi="宋体"/>
                <w:color w:val="auto"/>
                <w:kern w:val="2"/>
                <w:sz w:val="24"/>
                <w:szCs w:val="24"/>
                <w:highlight w:val="none"/>
              </w:rPr>
              <w:t xml:space="preserve">        考察集中地点：</w:t>
            </w:r>
            <w:r>
              <w:rPr>
                <w:rFonts w:hint="eastAsia" w:ascii="宋体" w:hAnsi="宋体"/>
                <w:color w:val="auto"/>
                <w:kern w:val="2"/>
                <w:sz w:val="24"/>
                <w:szCs w:val="24"/>
                <w:highlight w:val="none"/>
                <w:u w:val="single"/>
              </w:rPr>
              <w:t xml:space="preserve">                 </w:t>
            </w:r>
          </w:p>
        </w:tc>
      </w:tr>
      <w:tr w14:paraId="50E5D28F">
        <w:tblPrEx>
          <w:tblCellMar>
            <w:top w:w="0" w:type="dxa"/>
            <w:left w:w="0" w:type="dxa"/>
            <w:bottom w:w="0" w:type="dxa"/>
            <w:right w:w="0" w:type="dxa"/>
          </w:tblCellMar>
        </w:tblPrEx>
        <w:trPr>
          <w:trHeight w:val="524" w:hRule="atLeast"/>
          <w:jc w:val="center"/>
        </w:trPr>
        <w:tc>
          <w:tcPr>
            <w:tcW w:w="1047" w:type="dxa"/>
            <w:tcBorders>
              <w:top w:val="single" w:color="auto" w:sz="8" w:space="0"/>
              <w:left w:val="single" w:color="auto" w:sz="8" w:space="0"/>
              <w:bottom w:val="single" w:color="auto" w:sz="8" w:space="0"/>
              <w:right w:val="single" w:color="auto" w:sz="8" w:space="0"/>
            </w:tcBorders>
            <w:noWrap w:val="0"/>
            <w:vAlign w:val="center"/>
          </w:tcPr>
          <w:p w14:paraId="0F9710D9">
            <w:pPr>
              <w:spacing w:line="380" w:lineRule="exact"/>
              <w:jc w:val="center"/>
              <w:rPr>
                <w:rFonts w:ascii="宋体" w:hAnsi="宋体"/>
                <w:kern w:val="2"/>
                <w:sz w:val="24"/>
                <w:szCs w:val="24"/>
                <w:highlight w:val="none"/>
              </w:rPr>
            </w:pPr>
            <w:bookmarkStart w:id="60" w:name="page17"/>
            <w:bookmarkEnd w:id="60"/>
            <w:r>
              <w:rPr>
                <w:rFonts w:hint="eastAsia" w:ascii="宋体" w:hAnsi="宋体" w:eastAsia="宋体" w:cs="宋体"/>
                <w:kern w:val="2"/>
                <w:sz w:val="24"/>
                <w:szCs w:val="24"/>
              </w:rPr>
              <w:t>2.2.</w:t>
            </w:r>
            <w:r>
              <w:rPr>
                <w:rFonts w:hint="eastAsia" w:ascii="宋体" w:hAnsi="宋体" w:cs="宋体"/>
                <w:kern w:val="2"/>
                <w:sz w:val="24"/>
                <w:szCs w:val="24"/>
                <w:lang w:val="en-US" w:eastAsia="zh-CN"/>
              </w:rPr>
              <w:t>3</w:t>
            </w:r>
          </w:p>
        </w:tc>
        <w:tc>
          <w:tcPr>
            <w:tcW w:w="1866" w:type="dxa"/>
            <w:tcBorders>
              <w:top w:val="single" w:color="auto" w:sz="8" w:space="0"/>
              <w:left w:val="nil"/>
              <w:bottom w:val="single" w:color="auto" w:sz="8" w:space="0"/>
              <w:right w:val="single" w:color="auto" w:sz="8" w:space="0"/>
            </w:tcBorders>
            <w:noWrap w:val="0"/>
            <w:vAlign w:val="center"/>
          </w:tcPr>
          <w:p w14:paraId="4F7EDB24">
            <w:pPr>
              <w:pStyle w:val="50"/>
              <w:spacing w:line="360" w:lineRule="auto"/>
              <w:jc w:val="left"/>
              <w:rPr>
                <w:rFonts w:ascii="宋体" w:hAnsi="宋体"/>
                <w:kern w:val="2"/>
                <w:sz w:val="24"/>
                <w:szCs w:val="24"/>
                <w:highlight w:val="none"/>
              </w:rPr>
            </w:pPr>
            <w:r>
              <w:rPr>
                <w:rFonts w:hint="eastAsia" w:ascii="宋体" w:hAnsi="宋体" w:eastAsia="宋体" w:cs="宋体"/>
                <w:kern w:val="2"/>
                <w:sz w:val="24"/>
                <w:szCs w:val="24"/>
                <w:highlight w:val="none"/>
              </w:rPr>
              <w:t>招标文件澄清</w:t>
            </w:r>
            <w:r>
              <w:rPr>
                <w:rFonts w:hint="eastAsia" w:ascii="宋体" w:hAnsi="宋体" w:cs="宋体"/>
                <w:kern w:val="2"/>
                <w:sz w:val="24"/>
                <w:szCs w:val="24"/>
                <w:highlight w:val="none"/>
                <w:lang w:val="en-US" w:eastAsia="zh-CN"/>
              </w:rPr>
              <w:t>或者修改</w:t>
            </w:r>
            <w:r>
              <w:rPr>
                <w:rFonts w:hint="eastAsia" w:ascii="宋体" w:hAnsi="宋体" w:eastAsia="宋体" w:cs="宋体"/>
                <w:kern w:val="2"/>
                <w:sz w:val="24"/>
                <w:szCs w:val="24"/>
                <w:highlight w:val="none"/>
              </w:rPr>
              <w:t>发出的形式</w:t>
            </w:r>
          </w:p>
        </w:tc>
        <w:tc>
          <w:tcPr>
            <w:tcW w:w="6969" w:type="dxa"/>
            <w:tcBorders>
              <w:top w:val="single" w:color="auto" w:sz="8" w:space="0"/>
              <w:left w:val="nil"/>
              <w:bottom w:val="single" w:color="auto" w:sz="8" w:space="0"/>
              <w:right w:val="single" w:color="auto" w:sz="8" w:space="0"/>
            </w:tcBorders>
            <w:noWrap w:val="0"/>
            <w:vAlign w:val="center"/>
          </w:tcPr>
          <w:p w14:paraId="4E119C83">
            <w:pPr>
              <w:pStyle w:val="50"/>
              <w:spacing w:line="360" w:lineRule="auto"/>
              <w:rPr>
                <w:rFonts w:ascii="宋体" w:hAnsi="宋体"/>
                <w:color w:val="auto"/>
                <w:kern w:val="2"/>
                <w:sz w:val="24"/>
                <w:szCs w:val="24"/>
                <w:highlight w:val="none"/>
              </w:rPr>
            </w:pPr>
            <w:r>
              <w:rPr>
                <w:rFonts w:hint="eastAsia" w:ascii="宋体" w:hAnsi="宋体" w:eastAsia="宋体" w:cs="宋体"/>
                <w:color w:val="auto"/>
                <w:kern w:val="2"/>
                <w:sz w:val="24"/>
                <w:szCs w:val="24"/>
                <w:highlight w:val="none"/>
                <w:lang w:val="en-US" w:eastAsia="zh-CN"/>
              </w:rPr>
              <w:t>在原公告发布媒体上发布更正公告</w:t>
            </w:r>
          </w:p>
        </w:tc>
      </w:tr>
      <w:tr w14:paraId="1C12765C">
        <w:tblPrEx>
          <w:tblCellMar>
            <w:top w:w="0" w:type="dxa"/>
            <w:left w:w="0" w:type="dxa"/>
            <w:bottom w:w="0" w:type="dxa"/>
            <w:right w:w="0" w:type="dxa"/>
          </w:tblCellMar>
        </w:tblPrEx>
        <w:trPr>
          <w:trHeight w:val="827" w:hRule="atLeast"/>
          <w:jc w:val="center"/>
        </w:trPr>
        <w:tc>
          <w:tcPr>
            <w:tcW w:w="1047" w:type="dxa"/>
            <w:tcBorders>
              <w:top w:val="single" w:color="auto" w:sz="8" w:space="0"/>
              <w:left w:val="single" w:color="auto" w:sz="8" w:space="0"/>
              <w:bottom w:val="single" w:color="auto" w:sz="8" w:space="0"/>
              <w:right w:val="single" w:color="auto" w:sz="8" w:space="0"/>
            </w:tcBorders>
            <w:noWrap w:val="0"/>
            <w:vAlign w:val="center"/>
          </w:tcPr>
          <w:p w14:paraId="2B9BF4FC">
            <w:pPr>
              <w:spacing w:line="380" w:lineRule="exact"/>
              <w:jc w:val="center"/>
              <w:rPr>
                <w:rFonts w:ascii="宋体" w:hAnsi="宋体"/>
                <w:color w:val="auto"/>
                <w:kern w:val="2"/>
                <w:sz w:val="24"/>
                <w:szCs w:val="24"/>
                <w:highlight w:val="none"/>
              </w:rPr>
            </w:pPr>
            <w:r>
              <w:rPr>
                <w:rFonts w:hint="eastAsia" w:ascii="宋体" w:hAnsi="宋体"/>
                <w:color w:val="auto"/>
                <w:kern w:val="2"/>
                <w:sz w:val="24"/>
                <w:szCs w:val="24"/>
                <w:highlight w:val="none"/>
              </w:rPr>
              <w:t>3.2.3</w:t>
            </w:r>
          </w:p>
        </w:tc>
        <w:tc>
          <w:tcPr>
            <w:tcW w:w="1866" w:type="dxa"/>
            <w:tcBorders>
              <w:top w:val="single" w:color="auto" w:sz="8" w:space="0"/>
              <w:left w:val="nil"/>
              <w:bottom w:val="single" w:color="auto" w:sz="8" w:space="0"/>
              <w:right w:val="single" w:color="auto" w:sz="8" w:space="0"/>
            </w:tcBorders>
            <w:noWrap w:val="0"/>
            <w:vAlign w:val="center"/>
          </w:tcPr>
          <w:p w14:paraId="06C7F87B">
            <w:pPr>
              <w:spacing w:line="380" w:lineRule="exact"/>
              <w:rPr>
                <w:rFonts w:ascii="宋体" w:hAnsi="宋体"/>
                <w:color w:val="auto"/>
                <w:kern w:val="2"/>
                <w:sz w:val="24"/>
                <w:szCs w:val="24"/>
                <w:highlight w:val="none"/>
              </w:rPr>
            </w:pPr>
            <w:r>
              <w:rPr>
                <w:rFonts w:hint="eastAsia" w:ascii="宋体" w:hAnsi="宋体"/>
                <w:color w:val="auto"/>
                <w:kern w:val="2"/>
                <w:sz w:val="24"/>
                <w:szCs w:val="24"/>
                <w:highlight w:val="none"/>
              </w:rPr>
              <w:t>最高投标限价</w:t>
            </w:r>
          </w:p>
        </w:tc>
        <w:tc>
          <w:tcPr>
            <w:tcW w:w="6969" w:type="dxa"/>
            <w:tcBorders>
              <w:top w:val="single" w:color="auto" w:sz="8" w:space="0"/>
              <w:left w:val="nil"/>
              <w:bottom w:val="single" w:color="auto" w:sz="8" w:space="0"/>
              <w:right w:val="single" w:color="auto" w:sz="8" w:space="0"/>
            </w:tcBorders>
            <w:noWrap w:val="0"/>
            <w:vAlign w:val="center"/>
          </w:tcPr>
          <w:p w14:paraId="6311FF90">
            <w:pPr>
              <w:pStyle w:val="50"/>
              <w:spacing w:line="380" w:lineRule="exact"/>
              <w:rPr>
                <w:rFonts w:ascii="宋体" w:hAnsi="宋体"/>
                <w:color w:val="auto"/>
                <w:kern w:val="2"/>
                <w:sz w:val="24"/>
                <w:szCs w:val="24"/>
                <w:highlight w:val="none"/>
              </w:rPr>
            </w:pPr>
            <w:r>
              <w:rPr>
                <w:rFonts w:hint="eastAsia" w:ascii="宋体" w:hAnsi="宋体"/>
                <w:color w:val="auto"/>
                <w:kern w:val="2"/>
                <w:sz w:val="24"/>
                <w:szCs w:val="24"/>
                <w:highlight w:val="none"/>
                <w:lang w:eastAsia="zh-CN"/>
              </w:rPr>
              <w:t>☑</w:t>
            </w:r>
            <w:r>
              <w:rPr>
                <w:rFonts w:hint="eastAsia" w:ascii="宋体" w:hAnsi="宋体"/>
                <w:color w:val="auto"/>
                <w:kern w:val="2"/>
                <w:sz w:val="24"/>
                <w:szCs w:val="24"/>
                <w:highlight w:val="none"/>
              </w:rPr>
              <w:t>无</w:t>
            </w:r>
          </w:p>
          <w:p w14:paraId="226C3A48">
            <w:pPr>
              <w:pStyle w:val="50"/>
              <w:spacing w:line="380" w:lineRule="exact"/>
              <w:rPr>
                <w:rFonts w:ascii="宋体" w:hAnsi="宋体"/>
                <w:color w:val="auto"/>
                <w:kern w:val="2"/>
                <w:sz w:val="24"/>
                <w:szCs w:val="24"/>
                <w:highlight w:val="none"/>
              </w:rPr>
            </w:pPr>
            <w:r>
              <w:rPr>
                <w:rFonts w:hint="eastAsia" w:ascii="宋体" w:hAnsi="宋体"/>
                <w:color w:val="auto"/>
                <w:kern w:val="2"/>
                <w:sz w:val="24"/>
                <w:szCs w:val="24"/>
                <w:highlight w:val="none"/>
              </w:rPr>
              <w:t>□有，最高投标限价：</w:t>
            </w:r>
            <w:r>
              <w:rPr>
                <w:rFonts w:hint="eastAsia" w:ascii="宋体" w:hAnsi="宋体" w:eastAsia="宋体" w:cs="宋体"/>
                <w:color w:val="auto"/>
                <w:kern w:val="2"/>
                <w:sz w:val="24"/>
                <w:szCs w:val="24"/>
                <w:highlight w:val="none"/>
                <w:lang w:val="en-US" w:eastAsia="zh-CN"/>
              </w:rPr>
              <w:t>详见第一章“招标公告”</w:t>
            </w:r>
          </w:p>
        </w:tc>
      </w:tr>
      <w:tr w14:paraId="4D605837">
        <w:tblPrEx>
          <w:tblCellMar>
            <w:top w:w="0" w:type="dxa"/>
            <w:left w:w="0" w:type="dxa"/>
            <w:bottom w:w="0" w:type="dxa"/>
            <w:right w:w="0" w:type="dxa"/>
          </w:tblCellMar>
        </w:tblPrEx>
        <w:trPr>
          <w:trHeight w:val="4927" w:hRule="atLeast"/>
          <w:jc w:val="center"/>
        </w:trPr>
        <w:tc>
          <w:tcPr>
            <w:tcW w:w="1047" w:type="dxa"/>
            <w:tcBorders>
              <w:top w:val="single" w:color="auto" w:sz="8" w:space="0"/>
              <w:left w:val="single" w:color="auto" w:sz="8" w:space="0"/>
              <w:bottom w:val="single" w:color="auto" w:sz="8" w:space="0"/>
              <w:right w:val="single" w:color="auto" w:sz="8" w:space="0"/>
            </w:tcBorders>
            <w:noWrap w:val="0"/>
            <w:vAlign w:val="center"/>
          </w:tcPr>
          <w:p w14:paraId="4129ABB1">
            <w:pPr>
              <w:spacing w:line="380" w:lineRule="exact"/>
              <w:jc w:val="center"/>
              <w:rPr>
                <w:rFonts w:ascii="宋体" w:hAnsi="宋体"/>
                <w:kern w:val="2"/>
                <w:sz w:val="24"/>
                <w:szCs w:val="24"/>
                <w:highlight w:val="none"/>
              </w:rPr>
            </w:pPr>
            <w:r>
              <w:rPr>
                <w:rFonts w:hint="eastAsia" w:ascii="宋体" w:hAnsi="宋体"/>
                <w:kern w:val="2"/>
                <w:sz w:val="24"/>
                <w:szCs w:val="24"/>
                <w:highlight w:val="none"/>
              </w:rPr>
              <w:t>3.2.4</w:t>
            </w:r>
          </w:p>
        </w:tc>
        <w:tc>
          <w:tcPr>
            <w:tcW w:w="1866" w:type="dxa"/>
            <w:tcBorders>
              <w:top w:val="single" w:color="auto" w:sz="8" w:space="0"/>
              <w:left w:val="nil"/>
              <w:bottom w:val="single" w:color="auto" w:sz="8" w:space="0"/>
              <w:right w:val="single" w:color="auto" w:sz="8" w:space="0"/>
            </w:tcBorders>
            <w:noWrap w:val="0"/>
            <w:vAlign w:val="center"/>
          </w:tcPr>
          <w:p w14:paraId="06513810">
            <w:pPr>
              <w:spacing w:line="380" w:lineRule="exact"/>
              <w:rPr>
                <w:rFonts w:ascii="宋体" w:hAnsi="宋体"/>
                <w:kern w:val="2"/>
                <w:sz w:val="24"/>
                <w:szCs w:val="24"/>
                <w:highlight w:val="none"/>
              </w:rPr>
            </w:pPr>
            <w:r>
              <w:rPr>
                <w:rFonts w:hint="eastAsia" w:ascii="宋体" w:hAnsi="宋体"/>
                <w:kern w:val="2"/>
                <w:sz w:val="24"/>
                <w:szCs w:val="24"/>
                <w:highlight w:val="none"/>
              </w:rPr>
              <w:t>投标报价的其他要求</w:t>
            </w:r>
          </w:p>
        </w:tc>
        <w:tc>
          <w:tcPr>
            <w:tcW w:w="6969" w:type="dxa"/>
            <w:tcBorders>
              <w:top w:val="single" w:color="auto" w:sz="8" w:space="0"/>
              <w:left w:val="nil"/>
              <w:bottom w:val="single" w:color="auto" w:sz="8" w:space="0"/>
              <w:right w:val="single" w:color="auto" w:sz="8" w:space="0"/>
            </w:tcBorders>
            <w:noWrap w:val="0"/>
            <w:vAlign w:val="center"/>
          </w:tcPr>
          <w:p w14:paraId="0E7812BA">
            <w:pPr>
              <w:pStyle w:val="46"/>
              <w:spacing w:line="400" w:lineRule="exact"/>
              <w:rPr>
                <w:rFonts w:hint="eastAsia"/>
                <w:sz w:val="24"/>
                <w:szCs w:val="24"/>
                <w:highlight w:val="none"/>
              </w:rPr>
            </w:pPr>
            <w:r>
              <w:rPr>
                <w:rFonts w:hint="eastAsia" w:hAnsi="宋体" w:eastAsia="Times New Roman" w:cs="宋体"/>
                <w:sz w:val="24"/>
                <w:szCs w:val="24"/>
                <w:highlight w:val="none"/>
              </w:rPr>
              <w:t>（1）本次磋商报价为</w:t>
            </w:r>
            <w:r>
              <w:rPr>
                <w:rFonts w:hint="eastAsia" w:hAnsi="宋体" w:eastAsia="宋体" w:cs="宋体"/>
                <w:sz w:val="24"/>
                <w:szCs w:val="24"/>
                <w:highlight w:val="none"/>
                <w:lang w:val="en-US" w:eastAsia="zh-CN"/>
              </w:rPr>
              <w:t>人民币</w:t>
            </w:r>
            <w:r>
              <w:rPr>
                <w:rFonts w:hint="eastAsia" w:hAnsi="宋体" w:eastAsia="Times New Roman" w:cs="宋体"/>
                <w:sz w:val="24"/>
                <w:szCs w:val="24"/>
                <w:highlight w:val="none"/>
              </w:rPr>
              <w:t>，报价应包括货物价格（含利润）、货物运输、装卸、保险、税收、安装、调试、检验、培训、售后服务、技术培训、成交服务费等所需全部费用。</w:t>
            </w:r>
            <w:r>
              <w:rPr>
                <w:rFonts w:hint="eastAsia"/>
                <w:sz w:val="24"/>
                <w:szCs w:val="24"/>
                <w:highlight w:val="none"/>
              </w:rPr>
              <w:t>磋商报价不得超过采购预算金额，否则按无效响应处理。</w:t>
            </w:r>
          </w:p>
          <w:p w14:paraId="54292339">
            <w:pPr>
              <w:widowControl w:val="0"/>
              <w:spacing w:line="400" w:lineRule="exact"/>
              <w:rPr>
                <w:rFonts w:hint="eastAsia" w:ascii="宋体" w:hAnsi="宋体" w:eastAsia="Times New Roman" w:cs="宋体"/>
                <w:sz w:val="24"/>
                <w:szCs w:val="24"/>
                <w:highlight w:val="none"/>
              </w:rPr>
            </w:pPr>
            <w:r>
              <w:rPr>
                <w:rFonts w:hint="eastAsia" w:ascii="宋体" w:hAnsi="宋体" w:eastAsia="Times New Roman" w:cs="宋体"/>
                <w:sz w:val="24"/>
                <w:szCs w:val="24"/>
                <w:highlight w:val="none"/>
              </w:rPr>
              <w:t>（2）供应商应承担所有与参加磋商有关的自身的所有费用，不论采购的结果如何，采购代理机构和采购人在任何情况下均无义务和责任承担这些费用。</w:t>
            </w:r>
          </w:p>
          <w:p w14:paraId="698E7203">
            <w:pPr>
              <w:widowControl w:val="0"/>
              <w:spacing w:line="400" w:lineRule="exact"/>
              <w:rPr>
                <w:rFonts w:ascii="宋体" w:hAnsi="宋体" w:eastAsia="Times New Roman"/>
                <w:kern w:val="2"/>
                <w:sz w:val="24"/>
                <w:szCs w:val="24"/>
                <w:highlight w:val="none"/>
              </w:rPr>
            </w:pPr>
            <w:r>
              <w:rPr>
                <w:rFonts w:hint="eastAsia" w:ascii="宋体" w:hAnsi="宋体" w:eastAsia="Times New Roman" w:cs="宋体"/>
                <w:sz w:val="24"/>
                <w:szCs w:val="24"/>
                <w:highlight w:val="none"/>
              </w:rPr>
              <w:t>（3）成交服务费</w:t>
            </w:r>
            <w:r>
              <w:rPr>
                <w:rFonts w:hint="eastAsia" w:ascii="宋体" w:hAnsi="宋体" w:eastAsia="Times New Roman" w:cs="宋体"/>
                <w:kern w:val="2"/>
                <w:sz w:val="24"/>
                <w:szCs w:val="24"/>
                <w:highlight w:val="none"/>
              </w:rPr>
              <w:t>：</w:t>
            </w:r>
            <w:r>
              <w:rPr>
                <w:rFonts w:hint="eastAsia" w:ascii="宋体" w:hAnsi="宋体" w:eastAsia="Times New Roman"/>
                <w:kern w:val="2"/>
                <w:sz w:val="24"/>
                <w:szCs w:val="24"/>
                <w:highlight w:val="none"/>
              </w:rPr>
              <w:t>以本项目各标段成交价为计费基数，</w:t>
            </w:r>
            <w:r>
              <w:rPr>
                <w:rFonts w:hint="eastAsia" w:ascii="宋体" w:hAnsi="宋体"/>
                <w:kern w:val="2"/>
                <w:sz w:val="24"/>
                <w:szCs w:val="24"/>
                <w:highlight w:val="none"/>
              </w:rPr>
              <w:t>参</w:t>
            </w:r>
            <w:r>
              <w:rPr>
                <w:rFonts w:hint="eastAsia" w:ascii="宋体" w:hAnsi="宋体" w:eastAsia="Times New Roman"/>
                <w:kern w:val="2"/>
                <w:sz w:val="24"/>
                <w:szCs w:val="24"/>
                <w:highlight w:val="none"/>
              </w:rPr>
              <w:t>照</w:t>
            </w:r>
            <w:r>
              <w:rPr>
                <w:rFonts w:hint="eastAsia" w:ascii="宋体" w:hAnsi="宋体" w:eastAsia="宋体"/>
                <w:kern w:val="2"/>
                <w:sz w:val="24"/>
                <w:szCs w:val="24"/>
                <w:highlight w:val="none"/>
                <w:lang w:eastAsia="zh-CN"/>
              </w:rPr>
              <w:t>《云南省建设工程招标代理服务收费参考意见》的通知云建招协〔2024〕58号</w:t>
            </w:r>
            <w:r>
              <w:rPr>
                <w:rFonts w:hint="eastAsia" w:ascii="宋体" w:hAnsi="宋体" w:eastAsia="Times New Roman"/>
                <w:kern w:val="2"/>
                <w:sz w:val="24"/>
                <w:szCs w:val="24"/>
                <w:highlight w:val="none"/>
              </w:rPr>
              <w:t>中</w:t>
            </w:r>
            <w:r>
              <w:rPr>
                <w:rFonts w:hint="eastAsia" w:ascii="宋体" w:hAnsi="宋体" w:eastAsia="宋体"/>
                <w:kern w:val="2"/>
                <w:sz w:val="24"/>
                <w:szCs w:val="24"/>
                <w:highlight w:val="none"/>
                <w:lang w:val="en-US" w:eastAsia="zh-CN"/>
              </w:rPr>
              <w:t>服务</w:t>
            </w:r>
            <w:r>
              <w:rPr>
                <w:rFonts w:hint="eastAsia" w:ascii="宋体" w:hAnsi="宋体" w:eastAsia="Times New Roman"/>
                <w:kern w:val="2"/>
                <w:sz w:val="24"/>
                <w:szCs w:val="24"/>
                <w:highlight w:val="none"/>
              </w:rPr>
              <w:t>类收费标准向</w:t>
            </w:r>
            <w:r>
              <w:rPr>
                <w:rFonts w:hint="eastAsia" w:ascii="宋体" w:hAnsi="宋体" w:eastAsia="宋体"/>
                <w:kern w:val="2"/>
                <w:sz w:val="24"/>
                <w:szCs w:val="24"/>
                <w:highlight w:val="none"/>
                <w:lang w:eastAsia="zh-CN"/>
              </w:rPr>
              <w:t>云南玉昭工程咨询有限公司</w:t>
            </w:r>
            <w:r>
              <w:rPr>
                <w:rFonts w:hint="eastAsia" w:ascii="宋体" w:hAnsi="宋体" w:eastAsia="Times New Roman"/>
                <w:kern w:val="2"/>
                <w:sz w:val="24"/>
                <w:szCs w:val="24"/>
                <w:highlight w:val="none"/>
              </w:rPr>
              <w:t>公司交纳。</w:t>
            </w:r>
          </w:p>
          <w:p w14:paraId="340CCBBE">
            <w:pPr>
              <w:pStyle w:val="46"/>
              <w:spacing w:line="400" w:lineRule="exact"/>
              <w:rPr>
                <w:rFonts w:hint="eastAsia" w:hAnsi="宋体" w:eastAsia="宋体"/>
                <w:kern w:val="2"/>
                <w:sz w:val="24"/>
                <w:szCs w:val="24"/>
                <w:highlight w:val="none"/>
                <w:lang w:eastAsia="zh-CN"/>
              </w:rPr>
            </w:pPr>
            <w:r>
              <w:rPr>
                <w:rFonts w:hint="eastAsia" w:hAnsi="宋体" w:eastAsia="Times New Roman"/>
                <w:kern w:val="2"/>
                <w:sz w:val="24"/>
                <w:szCs w:val="24"/>
                <w:highlight w:val="none"/>
              </w:rPr>
              <w:t>账户名称：</w:t>
            </w:r>
            <w:r>
              <w:rPr>
                <w:rFonts w:hint="eastAsia" w:hAnsi="宋体" w:eastAsia="宋体"/>
                <w:kern w:val="2"/>
                <w:sz w:val="24"/>
                <w:szCs w:val="24"/>
                <w:highlight w:val="none"/>
                <w:lang w:eastAsia="zh-CN"/>
              </w:rPr>
              <w:t>云南玉昭工程咨询有限公司</w:t>
            </w:r>
          </w:p>
          <w:p w14:paraId="5EEBACD0">
            <w:pPr>
              <w:pStyle w:val="50"/>
              <w:widowControl w:val="0"/>
              <w:spacing w:line="400" w:lineRule="exact"/>
              <w:rPr>
                <w:rFonts w:hint="default" w:ascii="宋体" w:hAnsi="宋体" w:eastAsia="宋体"/>
                <w:kern w:val="2"/>
                <w:sz w:val="24"/>
                <w:szCs w:val="24"/>
                <w:highlight w:val="none"/>
                <w:lang w:val="en-US" w:eastAsia="zh-CN"/>
              </w:rPr>
            </w:pPr>
            <w:r>
              <w:rPr>
                <w:rFonts w:hint="eastAsia" w:ascii="宋体" w:hAnsi="宋体" w:eastAsia="Times New Roman"/>
                <w:kern w:val="2"/>
                <w:sz w:val="24"/>
                <w:szCs w:val="24"/>
                <w:highlight w:val="none"/>
              </w:rPr>
              <w:t>开户银行：</w:t>
            </w:r>
            <w:r>
              <w:rPr>
                <w:rFonts w:hint="eastAsia" w:ascii="宋体" w:hAnsi="宋体" w:eastAsia="宋体"/>
                <w:kern w:val="2"/>
                <w:sz w:val="24"/>
                <w:szCs w:val="24"/>
                <w:highlight w:val="none"/>
                <w:lang w:val="en-US" w:eastAsia="zh-CN"/>
              </w:rPr>
              <w:t>招商银行昆明分行金江支行</w:t>
            </w:r>
          </w:p>
          <w:p w14:paraId="7156C788">
            <w:pPr>
              <w:pStyle w:val="50"/>
              <w:spacing w:line="380" w:lineRule="exact"/>
              <w:rPr>
                <w:rFonts w:ascii="宋体" w:hAnsi="宋体"/>
                <w:color w:val="auto"/>
                <w:kern w:val="2"/>
                <w:sz w:val="24"/>
                <w:szCs w:val="24"/>
                <w:highlight w:val="none"/>
              </w:rPr>
            </w:pPr>
            <w:r>
              <w:rPr>
                <w:rFonts w:hint="eastAsia" w:ascii="宋体" w:hAnsi="宋体" w:eastAsia="Times New Roman"/>
                <w:kern w:val="2"/>
                <w:sz w:val="24"/>
                <w:szCs w:val="24"/>
                <w:highlight w:val="none"/>
              </w:rPr>
              <w:t>账    号：</w:t>
            </w:r>
            <w:r>
              <w:rPr>
                <w:rFonts w:hint="eastAsia" w:ascii="宋体" w:hAnsi="宋体" w:eastAsia="宋体"/>
                <w:kern w:val="2"/>
                <w:sz w:val="24"/>
                <w:szCs w:val="24"/>
                <w:highlight w:val="none"/>
                <w:lang w:val="en-US" w:eastAsia="zh-CN"/>
              </w:rPr>
              <w:t>8719 0860 3010 301</w:t>
            </w:r>
          </w:p>
        </w:tc>
      </w:tr>
      <w:tr w14:paraId="204FACC2">
        <w:tblPrEx>
          <w:tblCellMar>
            <w:top w:w="0" w:type="dxa"/>
            <w:left w:w="0" w:type="dxa"/>
            <w:bottom w:w="0" w:type="dxa"/>
            <w:right w:w="0" w:type="dxa"/>
          </w:tblCellMar>
        </w:tblPrEx>
        <w:trPr>
          <w:trHeight w:val="827" w:hRule="atLeast"/>
          <w:jc w:val="center"/>
        </w:trPr>
        <w:tc>
          <w:tcPr>
            <w:tcW w:w="1047" w:type="dxa"/>
            <w:tcBorders>
              <w:top w:val="single" w:color="auto" w:sz="8" w:space="0"/>
              <w:left w:val="single" w:color="auto" w:sz="8" w:space="0"/>
              <w:bottom w:val="single" w:color="auto" w:sz="8" w:space="0"/>
              <w:right w:val="single" w:color="auto" w:sz="8" w:space="0"/>
            </w:tcBorders>
            <w:noWrap w:val="0"/>
            <w:vAlign w:val="center"/>
          </w:tcPr>
          <w:p w14:paraId="587816AF">
            <w:pPr>
              <w:spacing w:line="380" w:lineRule="exact"/>
              <w:jc w:val="center"/>
              <w:rPr>
                <w:rFonts w:ascii="宋体" w:hAnsi="宋体"/>
                <w:kern w:val="2"/>
                <w:sz w:val="24"/>
                <w:szCs w:val="24"/>
                <w:highlight w:val="none"/>
              </w:rPr>
            </w:pPr>
            <w:r>
              <w:rPr>
                <w:rFonts w:hint="eastAsia" w:ascii="宋体" w:hAnsi="宋体"/>
                <w:kern w:val="2"/>
                <w:sz w:val="24"/>
                <w:szCs w:val="24"/>
                <w:highlight w:val="none"/>
              </w:rPr>
              <w:t>3.3.1</w:t>
            </w:r>
          </w:p>
        </w:tc>
        <w:tc>
          <w:tcPr>
            <w:tcW w:w="1866" w:type="dxa"/>
            <w:tcBorders>
              <w:top w:val="single" w:color="auto" w:sz="8" w:space="0"/>
              <w:left w:val="nil"/>
              <w:bottom w:val="single" w:color="auto" w:sz="8" w:space="0"/>
              <w:right w:val="single" w:color="auto" w:sz="8" w:space="0"/>
            </w:tcBorders>
            <w:noWrap w:val="0"/>
            <w:vAlign w:val="center"/>
          </w:tcPr>
          <w:p w14:paraId="6F8E245B">
            <w:pPr>
              <w:spacing w:line="380" w:lineRule="exact"/>
              <w:rPr>
                <w:rFonts w:ascii="宋体" w:hAnsi="宋体"/>
                <w:kern w:val="2"/>
                <w:sz w:val="24"/>
                <w:szCs w:val="24"/>
                <w:highlight w:val="none"/>
              </w:rPr>
            </w:pPr>
            <w:r>
              <w:rPr>
                <w:rFonts w:hint="eastAsia" w:ascii="宋体" w:hAnsi="宋体"/>
                <w:kern w:val="2"/>
                <w:sz w:val="24"/>
                <w:szCs w:val="24"/>
                <w:highlight w:val="none"/>
              </w:rPr>
              <w:t>投标有效期</w:t>
            </w:r>
          </w:p>
        </w:tc>
        <w:tc>
          <w:tcPr>
            <w:tcW w:w="6969" w:type="dxa"/>
            <w:tcBorders>
              <w:top w:val="single" w:color="auto" w:sz="8" w:space="0"/>
              <w:left w:val="nil"/>
              <w:bottom w:val="single" w:color="auto" w:sz="8" w:space="0"/>
              <w:right w:val="single" w:color="auto" w:sz="8" w:space="0"/>
            </w:tcBorders>
            <w:noWrap w:val="0"/>
            <w:vAlign w:val="center"/>
          </w:tcPr>
          <w:p w14:paraId="71C50543">
            <w:pPr>
              <w:pStyle w:val="50"/>
              <w:spacing w:line="380" w:lineRule="exact"/>
              <w:jc w:val="both"/>
              <w:rPr>
                <w:rFonts w:hint="eastAsia" w:ascii="宋体" w:hAnsi="宋体"/>
                <w:kern w:val="2"/>
                <w:sz w:val="24"/>
                <w:szCs w:val="24"/>
                <w:highlight w:val="none"/>
              </w:rPr>
            </w:pPr>
            <w:r>
              <w:rPr>
                <w:rFonts w:hint="eastAsia" w:ascii="宋体" w:hAnsi="宋体"/>
                <w:kern w:val="2"/>
                <w:sz w:val="24"/>
                <w:szCs w:val="24"/>
                <w:highlight w:val="none"/>
              </w:rPr>
              <w:t>投标有效期</w:t>
            </w:r>
            <w:r>
              <w:rPr>
                <w:rFonts w:hint="eastAsia" w:ascii="宋体" w:hAnsi="宋体"/>
                <w:color w:val="auto"/>
                <w:kern w:val="2"/>
                <w:sz w:val="24"/>
                <w:szCs w:val="24"/>
                <w:highlight w:val="none"/>
              </w:rPr>
              <w:t>为</w:t>
            </w:r>
            <w:r>
              <w:rPr>
                <w:rFonts w:hint="eastAsia" w:ascii="宋体" w:hAnsi="宋体"/>
                <w:color w:val="auto"/>
                <w:kern w:val="2"/>
                <w:sz w:val="24"/>
                <w:szCs w:val="24"/>
                <w:highlight w:val="none"/>
                <w:u w:val="single"/>
              </w:rPr>
              <w:t xml:space="preserve"> </w:t>
            </w:r>
            <w:r>
              <w:rPr>
                <w:rFonts w:hint="eastAsia" w:ascii="宋体" w:hAnsi="宋体"/>
                <w:color w:val="auto"/>
                <w:kern w:val="2"/>
                <w:sz w:val="24"/>
                <w:szCs w:val="24"/>
                <w:highlight w:val="none"/>
                <w:u w:val="single"/>
                <w:lang w:val="en-US" w:eastAsia="zh-CN"/>
              </w:rPr>
              <w:t>90</w:t>
            </w:r>
            <w:r>
              <w:rPr>
                <w:rFonts w:hint="eastAsia" w:ascii="宋体" w:hAnsi="宋体"/>
                <w:color w:val="auto"/>
                <w:kern w:val="2"/>
                <w:sz w:val="24"/>
                <w:szCs w:val="24"/>
                <w:highlight w:val="none"/>
                <w:u w:val="single"/>
              </w:rPr>
              <w:t xml:space="preserve"> </w:t>
            </w:r>
            <w:r>
              <w:rPr>
                <w:rFonts w:hint="eastAsia" w:ascii="宋体" w:hAnsi="宋体"/>
                <w:color w:val="auto"/>
                <w:kern w:val="2"/>
                <w:sz w:val="24"/>
                <w:szCs w:val="24"/>
                <w:highlight w:val="none"/>
              </w:rPr>
              <w:t>日历</w:t>
            </w:r>
            <w:r>
              <w:rPr>
                <w:rFonts w:hint="eastAsia" w:ascii="宋体" w:hAnsi="宋体"/>
                <w:kern w:val="2"/>
                <w:sz w:val="24"/>
                <w:szCs w:val="24"/>
                <w:highlight w:val="none"/>
              </w:rPr>
              <w:t>天</w:t>
            </w:r>
            <w:r>
              <w:rPr>
                <w:rFonts w:hint="eastAsia" w:ascii="宋体" w:hAnsi="宋体"/>
                <w:sz w:val="24"/>
                <w:szCs w:val="24"/>
                <w:highlight w:val="none"/>
              </w:rPr>
              <w:t>(从投标截止之日算起)</w:t>
            </w:r>
            <w:r>
              <w:rPr>
                <w:rFonts w:hint="eastAsia" w:ascii="宋体" w:hAnsi="宋体"/>
                <w:kern w:val="2"/>
                <w:sz w:val="24"/>
                <w:szCs w:val="24"/>
                <w:highlight w:val="none"/>
              </w:rPr>
              <w:t>。</w:t>
            </w:r>
          </w:p>
        </w:tc>
      </w:tr>
      <w:tr w14:paraId="38759612">
        <w:tblPrEx>
          <w:tblCellMar>
            <w:top w:w="0" w:type="dxa"/>
            <w:left w:w="0" w:type="dxa"/>
            <w:bottom w:w="0" w:type="dxa"/>
            <w:right w:w="0" w:type="dxa"/>
          </w:tblCellMar>
        </w:tblPrEx>
        <w:trPr>
          <w:trHeight w:val="764" w:hRule="atLeast"/>
          <w:jc w:val="center"/>
        </w:trPr>
        <w:tc>
          <w:tcPr>
            <w:tcW w:w="1047" w:type="dxa"/>
            <w:tcBorders>
              <w:top w:val="single" w:color="auto" w:sz="8" w:space="0"/>
              <w:left w:val="single" w:color="auto" w:sz="8" w:space="0"/>
              <w:bottom w:val="single" w:color="auto" w:sz="8" w:space="0"/>
              <w:right w:val="single" w:color="auto" w:sz="8" w:space="0"/>
            </w:tcBorders>
            <w:noWrap w:val="0"/>
            <w:vAlign w:val="center"/>
          </w:tcPr>
          <w:p w14:paraId="43CA2CBA">
            <w:pPr>
              <w:spacing w:line="380" w:lineRule="exact"/>
              <w:jc w:val="center"/>
              <w:rPr>
                <w:rFonts w:ascii="宋体" w:hAnsi="宋体"/>
                <w:kern w:val="2"/>
                <w:sz w:val="24"/>
                <w:szCs w:val="24"/>
                <w:highlight w:val="none"/>
              </w:rPr>
            </w:pPr>
            <w:r>
              <w:rPr>
                <w:rFonts w:hint="eastAsia" w:ascii="宋体" w:hAnsi="宋体"/>
                <w:kern w:val="2"/>
                <w:sz w:val="24"/>
                <w:szCs w:val="24"/>
                <w:highlight w:val="none"/>
              </w:rPr>
              <w:t>3.4.1</w:t>
            </w:r>
          </w:p>
        </w:tc>
        <w:tc>
          <w:tcPr>
            <w:tcW w:w="1866" w:type="dxa"/>
            <w:tcBorders>
              <w:top w:val="single" w:color="auto" w:sz="8" w:space="0"/>
              <w:left w:val="nil"/>
              <w:bottom w:val="single" w:color="auto" w:sz="8" w:space="0"/>
              <w:right w:val="single" w:color="auto" w:sz="8" w:space="0"/>
            </w:tcBorders>
            <w:noWrap w:val="0"/>
            <w:vAlign w:val="center"/>
          </w:tcPr>
          <w:p w14:paraId="5723B24C">
            <w:pPr>
              <w:spacing w:line="380" w:lineRule="exact"/>
              <w:rPr>
                <w:rFonts w:ascii="宋体" w:hAnsi="宋体"/>
                <w:kern w:val="2"/>
                <w:sz w:val="24"/>
                <w:szCs w:val="24"/>
                <w:highlight w:val="none"/>
              </w:rPr>
            </w:pPr>
            <w:r>
              <w:rPr>
                <w:rFonts w:hint="eastAsia" w:ascii="宋体" w:hAnsi="宋体"/>
                <w:kern w:val="2"/>
                <w:sz w:val="24"/>
                <w:szCs w:val="24"/>
                <w:highlight w:val="none"/>
              </w:rPr>
              <w:t>投标保证金</w:t>
            </w:r>
          </w:p>
        </w:tc>
        <w:tc>
          <w:tcPr>
            <w:tcW w:w="6969" w:type="dxa"/>
            <w:tcBorders>
              <w:top w:val="single" w:color="auto" w:sz="8" w:space="0"/>
              <w:left w:val="nil"/>
              <w:bottom w:val="single" w:color="auto" w:sz="8" w:space="0"/>
              <w:right w:val="single" w:color="auto" w:sz="8" w:space="0"/>
            </w:tcBorders>
            <w:noWrap w:val="0"/>
            <w:vAlign w:val="center"/>
          </w:tcPr>
          <w:p w14:paraId="51F82C41">
            <w:pPr>
              <w:pStyle w:val="50"/>
              <w:spacing w:line="360" w:lineRule="auto"/>
              <w:rPr>
                <w:rFonts w:ascii="宋体" w:hAnsi="宋体"/>
                <w:kern w:val="2"/>
                <w:sz w:val="24"/>
                <w:szCs w:val="24"/>
                <w:highlight w:val="none"/>
              </w:rPr>
            </w:pPr>
            <w:r>
              <w:rPr>
                <w:rFonts w:hint="eastAsia" w:ascii="宋体" w:hAnsi="宋体" w:cs="宋体"/>
                <w:b/>
                <w:bCs/>
                <w:kern w:val="2"/>
                <w:sz w:val="24"/>
                <w:szCs w:val="24"/>
                <w:highlight w:val="none"/>
                <w:lang w:val="en-US" w:eastAsia="zh-CN"/>
              </w:rPr>
              <w:t>本项目不要求递交</w:t>
            </w:r>
            <w:r>
              <w:rPr>
                <w:rFonts w:hint="eastAsia" w:ascii="宋体" w:hAnsi="宋体" w:cs="宋体"/>
                <w:b/>
                <w:bCs/>
                <w:kern w:val="2"/>
                <w:sz w:val="24"/>
                <w:szCs w:val="24"/>
                <w:highlight w:val="none"/>
              </w:rPr>
              <w:t>投标保证金</w:t>
            </w:r>
          </w:p>
        </w:tc>
      </w:tr>
      <w:tr w14:paraId="2C4E7D9D">
        <w:tblPrEx>
          <w:tblCellMar>
            <w:top w:w="0" w:type="dxa"/>
            <w:left w:w="0" w:type="dxa"/>
            <w:bottom w:w="0" w:type="dxa"/>
            <w:right w:w="0" w:type="dxa"/>
          </w:tblCellMar>
        </w:tblPrEx>
        <w:trPr>
          <w:trHeight w:val="764" w:hRule="atLeast"/>
          <w:jc w:val="center"/>
        </w:trPr>
        <w:tc>
          <w:tcPr>
            <w:tcW w:w="1047" w:type="dxa"/>
            <w:tcBorders>
              <w:top w:val="single" w:color="auto" w:sz="8" w:space="0"/>
              <w:left w:val="single" w:color="auto" w:sz="8" w:space="0"/>
              <w:bottom w:val="single" w:color="auto" w:sz="8" w:space="0"/>
              <w:right w:val="single" w:color="auto" w:sz="8" w:space="0"/>
            </w:tcBorders>
            <w:noWrap w:val="0"/>
            <w:vAlign w:val="center"/>
          </w:tcPr>
          <w:p w14:paraId="606EA6CE">
            <w:pPr>
              <w:spacing w:line="360" w:lineRule="auto"/>
              <w:jc w:val="center"/>
              <w:rPr>
                <w:rFonts w:hint="eastAsia" w:ascii="宋体" w:hAnsi="宋体" w:eastAsia="宋体"/>
                <w:kern w:val="2"/>
                <w:sz w:val="24"/>
                <w:szCs w:val="24"/>
                <w:highlight w:val="none"/>
                <w:lang w:eastAsia="zh-CN"/>
              </w:rPr>
            </w:pPr>
            <w:r>
              <w:rPr>
                <w:rFonts w:hint="eastAsia" w:ascii="宋体" w:hAnsi="宋体" w:cs="宋体"/>
                <w:kern w:val="2"/>
                <w:sz w:val="24"/>
                <w:szCs w:val="24"/>
                <w:highlight w:val="none"/>
                <w:lang w:eastAsia="zh-CN"/>
              </w:rPr>
              <w:t>3.5.2</w:t>
            </w:r>
          </w:p>
        </w:tc>
        <w:tc>
          <w:tcPr>
            <w:tcW w:w="1866" w:type="dxa"/>
            <w:tcBorders>
              <w:top w:val="single" w:color="auto" w:sz="8" w:space="0"/>
              <w:left w:val="nil"/>
              <w:bottom w:val="single" w:color="auto" w:sz="8" w:space="0"/>
              <w:right w:val="single" w:color="auto" w:sz="8" w:space="0"/>
            </w:tcBorders>
            <w:noWrap w:val="0"/>
            <w:vAlign w:val="center"/>
          </w:tcPr>
          <w:p w14:paraId="7D496310">
            <w:pPr>
              <w:spacing w:line="400" w:lineRule="exact"/>
              <w:rPr>
                <w:rFonts w:hint="eastAsia" w:ascii="宋体" w:hAnsi="宋体"/>
                <w:kern w:val="2"/>
                <w:sz w:val="24"/>
                <w:szCs w:val="24"/>
                <w:highlight w:val="none"/>
              </w:rPr>
            </w:pPr>
            <w:r>
              <w:rPr>
                <w:rFonts w:hint="eastAsia" w:ascii="宋体" w:hAnsi="宋体" w:cs="宋体"/>
                <w:kern w:val="2"/>
                <w:sz w:val="24"/>
                <w:szCs w:val="24"/>
                <w:highlight w:val="none"/>
              </w:rPr>
              <w:t>投标文件所附证书证件要求、投标文件签字或盖章要求</w:t>
            </w:r>
          </w:p>
        </w:tc>
        <w:tc>
          <w:tcPr>
            <w:tcW w:w="6969" w:type="dxa"/>
            <w:tcBorders>
              <w:top w:val="single" w:color="auto" w:sz="8" w:space="0"/>
              <w:left w:val="nil"/>
              <w:bottom w:val="single" w:color="auto" w:sz="8" w:space="0"/>
              <w:right w:val="single" w:color="auto" w:sz="8" w:space="0"/>
            </w:tcBorders>
            <w:noWrap w:val="0"/>
            <w:vAlign w:val="center"/>
          </w:tcPr>
          <w:p w14:paraId="217FF7CF">
            <w:pPr>
              <w:spacing w:line="400" w:lineRule="exact"/>
              <w:rPr>
                <w:rFonts w:hint="eastAsia" w:ascii="宋体" w:hAnsi="宋体" w:cs="宋体"/>
                <w:kern w:val="2"/>
                <w:sz w:val="24"/>
                <w:szCs w:val="24"/>
                <w:highlight w:val="none"/>
              </w:rPr>
            </w:pPr>
            <w:r>
              <w:rPr>
                <w:rFonts w:hint="eastAsia" w:ascii="宋体" w:hAnsi="宋体" w:cs="宋体"/>
                <w:kern w:val="2"/>
                <w:sz w:val="24"/>
                <w:szCs w:val="24"/>
                <w:highlight w:val="none"/>
              </w:rPr>
              <w:t>投标文件所附证书证件要求：原件扫描件</w:t>
            </w:r>
          </w:p>
          <w:p w14:paraId="70119543">
            <w:pPr>
              <w:spacing w:line="400" w:lineRule="exact"/>
              <w:rPr>
                <w:rFonts w:hint="eastAsia" w:hAnsi="宋体"/>
                <w:color w:val="FF0000"/>
                <w:sz w:val="24"/>
                <w:szCs w:val="24"/>
                <w:highlight w:val="none"/>
              </w:rPr>
            </w:pPr>
            <w:r>
              <w:rPr>
                <w:rFonts w:hint="eastAsia" w:ascii="宋体" w:hAnsi="宋体" w:cs="宋体"/>
                <w:kern w:val="2"/>
                <w:sz w:val="24"/>
                <w:szCs w:val="24"/>
                <w:highlight w:val="none"/>
              </w:rPr>
              <w:t>投标文件签字或盖章要求：签字或加盖</w:t>
            </w:r>
            <w:r>
              <w:rPr>
                <w:rFonts w:hint="eastAsia" w:ascii="宋体" w:hAnsi="宋体"/>
                <w:sz w:val="24"/>
                <w:highlight w:val="none"/>
              </w:rPr>
              <w:t>电子签章</w:t>
            </w:r>
          </w:p>
        </w:tc>
      </w:tr>
      <w:tr w14:paraId="7179EFA3">
        <w:tblPrEx>
          <w:tblCellMar>
            <w:top w:w="0" w:type="dxa"/>
            <w:left w:w="0" w:type="dxa"/>
            <w:bottom w:w="0" w:type="dxa"/>
            <w:right w:w="0" w:type="dxa"/>
          </w:tblCellMar>
        </w:tblPrEx>
        <w:trPr>
          <w:trHeight w:val="764" w:hRule="atLeast"/>
          <w:jc w:val="center"/>
        </w:trPr>
        <w:tc>
          <w:tcPr>
            <w:tcW w:w="1047" w:type="dxa"/>
            <w:tcBorders>
              <w:top w:val="single" w:color="auto" w:sz="8" w:space="0"/>
              <w:left w:val="single" w:color="auto" w:sz="8" w:space="0"/>
              <w:bottom w:val="single" w:color="auto" w:sz="8" w:space="0"/>
              <w:right w:val="single" w:color="auto" w:sz="8" w:space="0"/>
            </w:tcBorders>
            <w:noWrap w:val="0"/>
            <w:vAlign w:val="center"/>
          </w:tcPr>
          <w:p w14:paraId="5E13F956">
            <w:pPr>
              <w:spacing w:line="400" w:lineRule="exact"/>
              <w:jc w:val="center"/>
              <w:rPr>
                <w:rFonts w:hint="eastAsia" w:ascii="宋体" w:hAnsi="宋体" w:eastAsia="宋体"/>
                <w:kern w:val="2"/>
                <w:sz w:val="24"/>
                <w:szCs w:val="24"/>
                <w:highlight w:val="none"/>
                <w:lang w:eastAsia="zh-CN"/>
              </w:rPr>
            </w:pPr>
            <w:r>
              <w:rPr>
                <w:rFonts w:hint="eastAsia" w:ascii="宋体" w:hAnsi="宋体"/>
                <w:kern w:val="2"/>
                <w:sz w:val="24"/>
                <w:szCs w:val="24"/>
                <w:highlight w:val="none"/>
                <w:lang w:eastAsia="zh-CN"/>
              </w:rPr>
              <w:t>3.5.3</w:t>
            </w:r>
          </w:p>
        </w:tc>
        <w:tc>
          <w:tcPr>
            <w:tcW w:w="1866" w:type="dxa"/>
            <w:tcBorders>
              <w:top w:val="single" w:color="auto" w:sz="8" w:space="0"/>
              <w:left w:val="nil"/>
              <w:bottom w:val="single" w:color="auto" w:sz="8" w:space="0"/>
              <w:right w:val="single" w:color="auto" w:sz="8" w:space="0"/>
            </w:tcBorders>
            <w:noWrap w:val="0"/>
            <w:vAlign w:val="center"/>
          </w:tcPr>
          <w:p w14:paraId="744CAB2F">
            <w:pPr>
              <w:spacing w:line="400" w:lineRule="exact"/>
              <w:rPr>
                <w:rFonts w:hint="eastAsia" w:ascii="宋体" w:hAnsi="宋体"/>
                <w:kern w:val="2"/>
                <w:sz w:val="24"/>
                <w:szCs w:val="24"/>
                <w:highlight w:val="none"/>
              </w:rPr>
            </w:pPr>
            <w:r>
              <w:rPr>
                <w:rFonts w:hint="eastAsia" w:ascii="宋体" w:hAnsi="宋体" w:cs="宋体"/>
                <w:sz w:val="24"/>
                <w:szCs w:val="24"/>
                <w:highlight w:val="none"/>
              </w:rPr>
              <w:t>投标文件编制的其他要求</w:t>
            </w:r>
          </w:p>
        </w:tc>
        <w:tc>
          <w:tcPr>
            <w:tcW w:w="6969" w:type="dxa"/>
            <w:tcBorders>
              <w:top w:val="single" w:color="auto" w:sz="8" w:space="0"/>
              <w:left w:val="nil"/>
              <w:bottom w:val="single" w:color="auto" w:sz="8" w:space="0"/>
              <w:right w:val="single" w:color="auto" w:sz="8" w:space="0"/>
            </w:tcBorders>
            <w:noWrap w:val="0"/>
            <w:vAlign w:val="center"/>
          </w:tcPr>
          <w:p w14:paraId="2A869C23">
            <w:pPr>
              <w:spacing w:line="360" w:lineRule="auto"/>
              <w:rPr>
                <w:rFonts w:ascii="宋体" w:hAnsi="宋体"/>
                <w:kern w:val="2"/>
                <w:sz w:val="24"/>
                <w:szCs w:val="24"/>
                <w:highlight w:val="none"/>
              </w:rPr>
            </w:pPr>
            <w:r>
              <w:rPr>
                <w:rFonts w:hint="eastAsia" w:ascii="宋体" w:hAnsi="宋体"/>
                <w:kern w:val="2"/>
                <w:sz w:val="24"/>
                <w:szCs w:val="24"/>
                <w:highlight w:val="none"/>
              </w:rPr>
              <w:t>（1）投标文件全部采用电子文档，供应商应安装客户端软件—“政采云电子交易客户端”，并按照招标文件和政采云电子交易平台的要求编制，编制后应进行电子签章、签名及加密；</w:t>
            </w:r>
          </w:p>
          <w:p w14:paraId="5573A686">
            <w:pPr>
              <w:spacing w:line="360" w:lineRule="auto"/>
              <w:rPr>
                <w:rFonts w:ascii="宋体" w:hAnsi="宋体"/>
                <w:kern w:val="2"/>
                <w:sz w:val="24"/>
                <w:szCs w:val="24"/>
                <w:highlight w:val="none"/>
              </w:rPr>
            </w:pPr>
            <w:r>
              <w:rPr>
                <w:rFonts w:hint="eastAsia" w:ascii="宋体" w:hAnsi="宋体"/>
                <w:kern w:val="2"/>
                <w:sz w:val="24"/>
                <w:szCs w:val="24"/>
                <w:highlight w:val="none"/>
              </w:rPr>
              <w:t xml:space="preserve">（2）如投标文件提交的电子标书不满足招标文件要求或开标时无法读取导入或解密，其投标文件将不予受理； </w:t>
            </w:r>
          </w:p>
          <w:p w14:paraId="721F890A">
            <w:pPr>
              <w:spacing w:line="360" w:lineRule="auto"/>
              <w:rPr>
                <w:rFonts w:hint="eastAsia" w:ascii="宋体" w:hAnsi="宋体"/>
                <w:kern w:val="2"/>
                <w:sz w:val="24"/>
                <w:szCs w:val="24"/>
                <w:highlight w:val="none"/>
              </w:rPr>
            </w:pPr>
            <w:r>
              <w:rPr>
                <w:rFonts w:hint="eastAsia" w:ascii="宋体" w:hAnsi="宋体"/>
                <w:kern w:val="2"/>
                <w:sz w:val="24"/>
                <w:szCs w:val="24"/>
                <w:highlight w:val="none"/>
              </w:rPr>
              <w:t>（3）投标文件中提供的资料（扫描件），内容必须清晰可辨，若内容模糊，无法辨识，均视为未提供。</w:t>
            </w:r>
          </w:p>
        </w:tc>
      </w:tr>
      <w:tr w14:paraId="18830C6B">
        <w:tblPrEx>
          <w:tblCellMar>
            <w:top w:w="0" w:type="dxa"/>
            <w:left w:w="0" w:type="dxa"/>
            <w:bottom w:w="0" w:type="dxa"/>
            <w:right w:w="0" w:type="dxa"/>
          </w:tblCellMar>
        </w:tblPrEx>
        <w:trPr>
          <w:trHeight w:val="764" w:hRule="atLeast"/>
          <w:jc w:val="center"/>
        </w:trPr>
        <w:tc>
          <w:tcPr>
            <w:tcW w:w="1047" w:type="dxa"/>
            <w:tcBorders>
              <w:top w:val="single" w:color="auto" w:sz="8" w:space="0"/>
              <w:left w:val="single" w:color="auto" w:sz="8" w:space="0"/>
              <w:bottom w:val="single" w:color="auto" w:sz="8" w:space="0"/>
              <w:right w:val="single" w:color="auto" w:sz="8" w:space="0"/>
            </w:tcBorders>
            <w:noWrap w:val="0"/>
            <w:vAlign w:val="center"/>
          </w:tcPr>
          <w:p w14:paraId="01B95B83">
            <w:pPr>
              <w:spacing w:line="400" w:lineRule="exact"/>
              <w:jc w:val="center"/>
              <w:rPr>
                <w:rFonts w:hint="eastAsia" w:ascii="宋体" w:hAnsi="宋体"/>
                <w:kern w:val="2"/>
                <w:sz w:val="24"/>
                <w:szCs w:val="24"/>
                <w:highlight w:val="none"/>
              </w:rPr>
            </w:pPr>
            <w:r>
              <w:rPr>
                <w:rFonts w:hint="eastAsia" w:ascii="宋体" w:hAnsi="宋体" w:cs="宋体"/>
                <w:kern w:val="2"/>
                <w:sz w:val="24"/>
                <w:szCs w:val="24"/>
                <w:highlight w:val="none"/>
              </w:rPr>
              <w:t>4.1.1</w:t>
            </w:r>
          </w:p>
        </w:tc>
        <w:tc>
          <w:tcPr>
            <w:tcW w:w="1866" w:type="dxa"/>
            <w:tcBorders>
              <w:top w:val="single" w:color="auto" w:sz="8" w:space="0"/>
              <w:left w:val="nil"/>
              <w:bottom w:val="single" w:color="auto" w:sz="8" w:space="0"/>
              <w:right w:val="single" w:color="auto" w:sz="8" w:space="0"/>
            </w:tcBorders>
            <w:noWrap w:val="0"/>
            <w:vAlign w:val="center"/>
          </w:tcPr>
          <w:p w14:paraId="0BB63D59">
            <w:pPr>
              <w:spacing w:line="400" w:lineRule="exact"/>
              <w:rPr>
                <w:rFonts w:hint="eastAsia" w:ascii="宋体" w:hAnsi="宋体" w:cs="宋体"/>
                <w:sz w:val="24"/>
                <w:szCs w:val="24"/>
                <w:highlight w:val="none"/>
              </w:rPr>
            </w:pPr>
            <w:r>
              <w:rPr>
                <w:rFonts w:hint="eastAsia" w:ascii="宋体" w:hAnsi="宋体" w:cs="宋体"/>
                <w:kern w:val="2"/>
                <w:sz w:val="24"/>
                <w:szCs w:val="24"/>
                <w:highlight w:val="none"/>
              </w:rPr>
              <w:t>投标文件加密要求</w:t>
            </w:r>
          </w:p>
        </w:tc>
        <w:tc>
          <w:tcPr>
            <w:tcW w:w="6969" w:type="dxa"/>
            <w:tcBorders>
              <w:top w:val="single" w:color="auto" w:sz="8" w:space="0"/>
              <w:left w:val="nil"/>
              <w:bottom w:val="single" w:color="auto" w:sz="8" w:space="0"/>
              <w:right w:val="single" w:color="auto" w:sz="8" w:space="0"/>
            </w:tcBorders>
            <w:noWrap w:val="0"/>
            <w:vAlign w:val="center"/>
          </w:tcPr>
          <w:p w14:paraId="4570A480">
            <w:pPr>
              <w:spacing w:line="360" w:lineRule="auto"/>
              <w:rPr>
                <w:rFonts w:ascii="宋体" w:hAnsi="宋体" w:cs="宋体"/>
                <w:kern w:val="2"/>
                <w:sz w:val="24"/>
                <w:szCs w:val="24"/>
                <w:highlight w:val="none"/>
              </w:rPr>
            </w:pPr>
            <w:r>
              <w:rPr>
                <w:rFonts w:hint="eastAsia" w:ascii="宋体" w:hAnsi="宋体" w:cs="宋体"/>
                <w:kern w:val="2"/>
                <w:sz w:val="24"/>
                <w:szCs w:val="24"/>
                <w:highlight w:val="none"/>
              </w:rPr>
              <w:t xml:space="preserve">（1）供应商进行电子交易应安装客户端软件—“政采云电子交易客户端”，并按照招标文件和电子交易平台的要求编制并加密响应文件。供应商未按规定加密的响应文件，电子交易平台将拒收并提示； </w:t>
            </w:r>
          </w:p>
          <w:p w14:paraId="6AFC2EF4">
            <w:pPr>
              <w:spacing w:line="360" w:lineRule="auto"/>
              <w:rPr>
                <w:rFonts w:ascii="宋体" w:hAnsi="宋体" w:cs="宋体"/>
                <w:kern w:val="2"/>
                <w:sz w:val="24"/>
                <w:szCs w:val="24"/>
                <w:highlight w:val="none"/>
              </w:rPr>
            </w:pPr>
            <w:r>
              <w:rPr>
                <w:rFonts w:hint="eastAsia" w:ascii="宋体" w:hAnsi="宋体" w:cs="宋体"/>
                <w:kern w:val="2"/>
                <w:sz w:val="24"/>
                <w:szCs w:val="24"/>
                <w:highlight w:val="none"/>
              </w:rPr>
              <w:t xml:space="preserve">（2）使用“政采云电子交易客户端”需要提前申领 CA 数字证书，申领流程见该项目采购公告附件； </w:t>
            </w:r>
          </w:p>
          <w:p w14:paraId="42B143E1">
            <w:pPr>
              <w:spacing w:line="400" w:lineRule="exact"/>
              <w:rPr>
                <w:rFonts w:hint="eastAsia" w:ascii="宋体" w:hAnsi="宋体" w:cs="宋体"/>
                <w:sz w:val="24"/>
                <w:szCs w:val="24"/>
                <w:highlight w:val="none"/>
              </w:rPr>
            </w:pPr>
            <w:r>
              <w:rPr>
                <w:rFonts w:hint="eastAsia" w:ascii="宋体" w:hAnsi="宋体" w:cs="宋体"/>
                <w:kern w:val="2"/>
                <w:sz w:val="24"/>
                <w:szCs w:val="24"/>
                <w:highlight w:val="none"/>
              </w:rPr>
              <w:t>（3）为确保网上操作合法、有效和安全，供应商应当在响应文件提交截止时间前完成在“政府采购云 平台”的身份认证，确保在电子交易过程中能够对相关数据电文进行加密和使用电子签名。</w:t>
            </w:r>
          </w:p>
        </w:tc>
      </w:tr>
      <w:tr w14:paraId="49E9E9D6">
        <w:tblPrEx>
          <w:tblCellMar>
            <w:top w:w="0" w:type="dxa"/>
            <w:left w:w="0" w:type="dxa"/>
            <w:bottom w:w="0" w:type="dxa"/>
            <w:right w:w="0" w:type="dxa"/>
          </w:tblCellMar>
        </w:tblPrEx>
        <w:trPr>
          <w:trHeight w:val="542" w:hRule="atLeast"/>
          <w:jc w:val="center"/>
        </w:trPr>
        <w:tc>
          <w:tcPr>
            <w:tcW w:w="1047" w:type="dxa"/>
            <w:tcBorders>
              <w:top w:val="single" w:color="auto" w:sz="8" w:space="0"/>
              <w:left w:val="single" w:color="auto" w:sz="8" w:space="0"/>
              <w:bottom w:val="single" w:color="auto" w:sz="8" w:space="0"/>
              <w:right w:val="single" w:color="auto" w:sz="8" w:space="0"/>
            </w:tcBorders>
            <w:noWrap w:val="0"/>
            <w:vAlign w:val="center"/>
          </w:tcPr>
          <w:p w14:paraId="49EA2B6A">
            <w:pPr>
              <w:spacing w:line="400" w:lineRule="exact"/>
              <w:jc w:val="center"/>
              <w:rPr>
                <w:highlight w:val="none"/>
              </w:rPr>
            </w:pPr>
            <w:r>
              <w:rPr>
                <w:rFonts w:hint="eastAsia" w:ascii="宋体" w:hAnsi="宋体" w:cs="宋体"/>
                <w:sz w:val="24"/>
                <w:szCs w:val="24"/>
                <w:highlight w:val="none"/>
              </w:rPr>
              <w:t>4.2.1</w:t>
            </w:r>
          </w:p>
        </w:tc>
        <w:tc>
          <w:tcPr>
            <w:tcW w:w="1866" w:type="dxa"/>
            <w:tcBorders>
              <w:top w:val="single" w:color="auto" w:sz="8" w:space="0"/>
              <w:left w:val="nil"/>
              <w:bottom w:val="single" w:color="auto" w:sz="8" w:space="0"/>
              <w:right w:val="single" w:color="auto" w:sz="8" w:space="0"/>
            </w:tcBorders>
            <w:noWrap w:val="0"/>
            <w:vAlign w:val="center"/>
          </w:tcPr>
          <w:p w14:paraId="180E6EA8">
            <w:pPr>
              <w:spacing w:line="400" w:lineRule="exact"/>
              <w:rPr>
                <w:rFonts w:ascii="宋体" w:hAnsi="宋体"/>
                <w:kern w:val="2"/>
                <w:sz w:val="24"/>
                <w:szCs w:val="24"/>
                <w:highlight w:val="none"/>
              </w:rPr>
            </w:pPr>
            <w:r>
              <w:rPr>
                <w:rFonts w:hint="eastAsia" w:ascii="宋体" w:hAnsi="宋体"/>
                <w:kern w:val="2"/>
                <w:sz w:val="24"/>
                <w:szCs w:val="24"/>
                <w:highlight w:val="none"/>
              </w:rPr>
              <w:t>投标截止时间</w:t>
            </w:r>
          </w:p>
        </w:tc>
        <w:tc>
          <w:tcPr>
            <w:tcW w:w="6969" w:type="dxa"/>
            <w:tcBorders>
              <w:top w:val="single" w:color="auto" w:sz="8" w:space="0"/>
              <w:left w:val="nil"/>
              <w:bottom w:val="single" w:color="auto" w:sz="8" w:space="0"/>
              <w:right w:val="single" w:color="auto" w:sz="8" w:space="0"/>
            </w:tcBorders>
            <w:noWrap w:val="0"/>
            <w:vAlign w:val="center"/>
          </w:tcPr>
          <w:p w14:paraId="484638E3">
            <w:pPr>
              <w:spacing w:line="400" w:lineRule="exact"/>
              <w:jc w:val="both"/>
              <w:rPr>
                <w:rFonts w:hint="default" w:ascii="宋体" w:hAnsi="宋体" w:eastAsia="宋体"/>
                <w:kern w:val="2"/>
                <w:sz w:val="24"/>
                <w:szCs w:val="24"/>
                <w:highlight w:val="none"/>
                <w:lang w:val="en-US" w:eastAsia="zh-CN"/>
              </w:rPr>
            </w:pPr>
            <w:r>
              <w:rPr>
                <w:rFonts w:hint="eastAsia" w:ascii="宋体" w:hAnsi="宋体"/>
                <w:sz w:val="24"/>
                <w:szCs w:val="24"/>
                <w:highlight w:val="none"/>
                <w:u w:val="none"/>
                <w:lang w:val="en-US" w:eastAsia="zh-CN"/>
              </w:rPr>
              <w:t>详见第一章 “招标公告”</w:t>
            </w:r>
          </w:p>
        </w:tc>
      </w:tr>
      <w:tr w14:paraId="63A2A414">
        <w:tblPrEx>
          <w:tblCellMar>
            <w:top w:w="0" w:type="dxa"/>
            <w:left w:w="0" w:type="dxa"/>
            <w:bottom w:w="0" w:type="dxa"/>
            <w:right w:w="0" w:type="dxa"/>
          </w:tblCellMar>
        </w:tblPrEx>
        <w:trPr>
          <w:trHeight w:val="943" w:hRule="atLeast"/>
          <w:jc w:val="center"/>
        </w:trPr>
        <w:tc>
          <w:tcPr>
            <w:tcW w:w="1047" w:type="dxa"/>
            <w:tcBorders>
              <w:top w:val="single" w:color="auto" w:sz="8" w:space="0"/>
              <w:left w:val="single" w:color="auto" w:sz="8" w:space="0"/>
              <w:bottom w:val="single" w:color="auto" w:sz="8" w:space="0"/>
              <w:right w:val="single" w:color="auto" w:sz="8" w:space="0"/>
            </w:tcBorders>
            <w:noWrap w:val="0"/>
            <w:vAlign w:val="center"/>
          </w:tcPr>
          <w:p w14:paraId="2F9F6F83">
            <w:pPr>
              <w:spacing w:line="400" w:lineRule="exact"/>
              <w:jc w:val="center"/>
              <w:rPr>
                <w:rFonts w:hint="eastAsia" w:ascii="宋体" w:hAnsi="宋体"/>
                <w:kern w:val="2"/>
                <w:sz w:val="24"/>
                <w:szCs w:val="24"/>
                <w:highlight w:val="none"/>
              </w:rPr>
            </w:pPr>
            <w:r>
              <w:rPr>
                <w:rFonts w:hint="eastAsia" w:ascii="宋体" w:hAnsi="宋体"/>
                <w:kern w:val="2"/>
                <w:sz w:val="24"/>
                <w:szCs w:val="24"/>
                <w:highlight w:val="none"/>
              </w:rPr>
              <w:t>4.2.2</w:t>
            </w:r>
          </w:p>
        </w:tc>
        <w:tc>
          <w:tcPr>
            <w:tcW w:w="1866" w:type="dxa"/>
            <w:tcBorders>
              <w:top w:val="single" w:color="auto" w:sz="8" w:space="0"/>
              <w:left w:val="nil"/>
              <w:bottom w:val="single" w:color="auto" w:sz="8" w:space="0"/>
              <w:right w:val="single" w:color="auto" w:sz="8" w:space="0"/>
            </w:tcBorders>
            <w:noWrap w:val="0"/>
            <w:vAlign w:val="center"/>
          </w:tcPr>
          <w:p w14:paraId="37A9848A">
            <w:pPr>
              <w:spacing w:line="400" w:lineRule="exact"/>
              <w:rPr>
                <w:rFonts w:hint="eastAsia" w:ascii="宋体" w:hAnsi="宋体"/>
                <w:kern w:val="2"/>
                <w:sz w:val="24"/>
                <w:szCs w:val="24"/>
                <w:highlight w:val="none"/>
              </w:rPr>
            </w:pPr>
            <w:r>
              <w:rPr>
                <w:rFonts w:hint="eastAsia" w:ascii="宋体" w:hAnsi="宋体" w:eastAsia="宋体" w:cs="宋体"/>
                <w:kern w:val="2"/>
                <w:sz w:val="24"/>
                <w:szCs w:val="24"/>
                <w:highlight w:val="none"/>
              </w:rPr>
              <w:t>投标文件递交</w:t>
            </w:r>
            <w:r>
              <w:rPr>
                <w:rFonts w:hint="eastAsia" w:ascii="宋体" w:hAnsi="宋体" w:eastAsia="宋体" w:cs="宋体"/>
                <w:kern w:val="2"/>
                <w:sz w:val="24"/>
                <w:szCs w:val="24"/>
                <w:highlight w:val="none"/>
                <w:lang w:val="en-US" w:eastAsia="zh-CN"/>
              </w:rPr>
              <w:t>截止</w:t>
            </w:r>
            <w:r>
              <w:rPr>
                <w:rFonts w:hint="eastAsia" w:ascii="宋体" w:hAnsi="宋体" w:eastAsia="宋体" w:cs="宋体"/>
                <w:kern w:val="2"/>
                <w:sz w:val="24"/>
                <w:szCs w:val="24"/>
                <w:highlight w:val="none"/>
              </w:rPr>
              <w:t>时间和地点</w:t>
            </w:r>
          </w:p>
        </w:tc>
        <w:tc>
          <w:tcPr>
            <w:tcW w:w="6969" w:type="dxa"/>
            <w:tcBorders>
              <w:top w:val="single" w:color="auto" w:sz="8" w:space="0"/>
              <w:left w:val="nil"/>
              <w:bottom w:val="single" w:color="auto" w:sz="8" w:space="0"/>
              <w:right w:val="single" w:color="auto" w:sz="8" w:space="0"/>
            </w:tcBorders>
            <w:noWrap w:val="0"/>
            <w:vAlign w:val="center"/>
          </w:tcPr>
          <w:p w14:paraId="724E5CCF">
            <w:pPr>
              <w:pStyle w:val="11"/>
              <w:rPr>
                <w:rFonts w:hint="default" w:eastAsia="宋体"/>
                <w:sz w:val="24"/>
                <w:highlight w:val="none"/>
                <w:lang w:val="en-US" w:eastAsia="zh-CN"/>
              </w:rPr>
            </w:pPr>
            <w:r>
              <w:rPr>
                <w:rFonts w:hint="eastAsia" w:ascii="宋体" w:hAnsi="宋体"/>
                <w:sz w:val="24"/>
                <w:szCs w:val="24"/>
                <w:highlight w:val="none"/>
                <w:u w:val="none"/>
                <w:lang w:val="en-US" w:eastAsia="zh-CN"/>
              </w:rPr>
              <w:t>详见第一章 “招标公告”</w:t>
            </w:r>
          </w:p>
        </w:tc>
      </w:tr>
      <w:tr w14:paraId="4439EC7C">
        <w:tblPrEx>
          <w:tblCellMar>
            <w:top w:w="0" w:type="dxa"/>
            <w:left w:w="0" w:type="dxa"/>
            <w:bottom w:w="0" w:type="dxa"/>
            <w:right w:w="0" w:type="dxa"/>
          </w:tblCellMar>
        </w:tblPrEx>
        <w:trPr>
          <w:trHeight w:val="902" w:hRule="atLeast"/>
          <w:jc w:val="center"/>
        </w:trPr>
        <w:tc>
          <w:tcPr>
            <w:tcW w:w="1047" w:type="dxa"/>
            <w:tcBorders>
              <w:top w:val="single" w:color="auto" w:sz="8" w:space="0"/>
              <w:left w:val="single" w:color="auto" w:sz="8" w:space="0"/>
              <w:bottom w:val="single" w:color="auto" w:sz="8" w:space="0"/>
              <w:right w:val="single" w:color="auto" w:sz="8" w:space="0"/>
            </w:tcBorders>
            <w:noWrap w:val="0"/>
            <w:vAlign w:val="center"/>
          </w:tcPr>
          <w:p w14:paraId="7F890F1C">
            <w:pPr>
              <w:spacing w:line="400" w:lineRule="exact"/>
              <w:jc w:val="center"/>
              <w:rPr>
                <w:rFonts w:ascii="宋体" w:hAnsi="宋体"/>
                <w:kern w:val="2"/>
                <w:sz w:val="24"/>
                <w:szCs w:val="24"/>
                <w:highlight w:val="none"/>
              </w:rPr>
            </w:pPr>
            <w:r>
              <w:rPr>
                <w:rFonts w:hint="eastAsia" w:ascii="宋体" w:hAnsi="宋体"/>
                <w:kern w:val="2"/>
                <w:sz w:val="24"/>
                <w:szCs w:val="24"/>
                <w:highlight w:val="none"/>
              </w:rPr>
              <w:t>5.1</w:t>
            </w:r>
          </w:p>
        </w:tc>
        <w:tc>
          <w:tcPr>
            <w:tcW w:w="1866" w:type="dxa"/>
            <w:tcBorders>
              <w:top w:val="single" w:color="auto" w:sz="8" w:space="0"/>
              <w:left w:val="nil"/>
              <w:bottom w:val="single" w:color="auto" w:sz="8" w:space="0"/>
              <w:right w:val="single" w:color="auto" w:sz="8" w:space="0"/>
            </w:tcBorders>
            <w:noWrap w:val="0"/>
            <w:vAlign w:val="center"/>
          </w:tcPr>
          <w:p w14:paraId="6C8431A5">
            <w:pPr>
              <w:spacing w:line="400" w:lineRule="exact"/>
              <w:rPr>
                <w:rFonts w:ascii="宋体" w:hAnsi="宋体"/>
                <w:kern w:val="2"/>
                <w:sz w:val="24"/>
                <w:szCs w:val="24"/>
                <w:highlight w:val="none"/>
              </w:rPr>
            </w:pPr>
            <w:r>
              <w:rPr>
                <w:rFonts w:hint="eastAsia" w:ascii="宋体" w:hAnsi="宋体"/>
                <w:kern w:val="2"/>
                <w:sz w:val="24"/>
                <w:szCs w:val="24"/>
                <w:highlight w:val="none"/>
              </w:rPr>
              <w:t>开标时间和地点</w:t>
            </w:r>
          </w:p>
        </w:tc>
        <w:tc>
          <w:tcPr>
            <w:tcW w:w="6969" w:type="dxa"/>
            <w:tcBorders>
              <w:top w:val="single" w:color="auto" w:sz="8" w:space="0"/>
              <w:left w:val="nil"/>
              <w:bottom w:val="single" w:color="auto" w:sz="8" w:space="0"/>
              <w:right w:val="single" w:color="auto" w:sz="8" w:space="0"/>
            </w:tcBorders>
            <w:noWrap w:val="0"/>
            <w:vAlign w:val="center"/>
          </w:tcPr>
          <w:p w14:paraId="376179DF">
            <w:pPr>
              <w:spacing w:line="400" w:lineRule="exact"/>
              <w:rPr>
                <w:rFonts w:ascii="宋体" w:hAnsi="宋体"/>
                <w:kern w:val="2"/>
                <w:sz w:val="24"/>
                <w:szCs w:val="24"/>
                <w:highlight w:val="none"/>
              </w:rPr>
            </w:pPr>
            <w:r>
              <w:rPr>
                <w:rFonts w:hint="eastAsia" w:ascii="宋体" w:hAnsi="宋体"/>
                <w:kern w:val="2"/>
                <w:sz w:val="24"/>
                <w:szCs w:val="24"/>
                <w:highlight w:val="none"/>
              </w:rPr>
              <w:t>开标时间：同投标截止时间</w:t>
            </w:r>
          </w:p>
          <w:p w14:paraId="3873ECE8">
            <w:pPr>
              <w:spacing w:line="400" w:lineRule="exact"/>
              <w:rPr>
                <w:rFonts w:ascii="宋体" w:hAnsi="宋体"/>
                <w:kern w:val="2"/>
                <w:sz w:val="24"/>
                <w:szCs w:val="24"/>
                <w:highlight w:val="none"/>
              </w:rPr>
            </w:pPr>
            <w:r>
              <w:rPr>
                <w:rFonts w:hint="eastAsia" w:ascii="宋体" w:hAnsi="宋体"/>
                <w:kern w:val="2"/>
                <w:sz w:val="24"/>
                <w:szCs w:val="24"/>
                <w:highlight w:val="none"/>
              </w:rPr>
              <w:t>开标地点：同投标文件递交地点</w:t>
            </w:r>
          </w:p>
        </w:tc>
      </w:tr>
      <w:tr w14:paraId="11BAAC0D">
        <w:tblPrEx>
          <w:tblCellMar>
            <w:top w:w="0" w:type="dxa"/>
            <w:left w:w="0" w:type="dxa"/>
            <w:bottom w:w="0" w:type="dxa"/>
            <w:right w:w="0" w:type="dxa"/>
          </w:tblCellMar>
        </w:tblPrEx>
        <w:trPr>
          <w:trHeight w:val="1297" w:hRule="atLeast"/>
          <w:jc w:val="center"/>
        </w:trPr>
        <w:tc>
          <w:tcPr>
            <w:tcW w:w="1047" w:type="dxa"/>
            <w:tcBorders>
              <w:top w:val="single" w:color="auto" w:sz="8" w:space="0"/>
              <w:left w:val="single" w:color="auto" w:sz="8" w:space="0"/>
              <w:bottom w:val="single" w:color="auto" w:sz="8" w:space="0"/>
              <w:right w:val="single" w:color="auto" w:sz="8" w:space="0"/>
            </w:tcBorders>
            <w:noWrap w:val="0"/>
            <w:vAlign w:val="center"/>
          </w:tcPr>
          <w:p w14:paraId="7AA301D4">
            <w:pPr>
              <w:spacing w:line="400" w:lineRule="exact"/>
              <w:jc w:val="center"/>
              <w:rPr>
                <w:rFonts w:ascii="宋体" w:hAnsi="宋体"/>
                <w:kern w:val="2"/>
                <w:sz w:val="24"/>
                <w:szCs w:val="24"/>
                <w:highlight w:val="none"/>
              </w:rPr>
            </w:pPr>
            <w:r>
              <w:rPr>
                <w:rFonts w:hint="eastAsia" w:ascii="宋体" w:hAnsi="宋体"/>
                <w:kern w:val="2"/>
                <w:sz w:val="24"/>
                <w:szCs w:val="24"/>
                <w:highlight w:val="none"/>
              </w:rPr>
              <w:t>7.1.1</w:t>
            </w:r>
          </w:p>
        </w:tc>
        <w:tc>
          <w:tcPr>
            <w:tcW w:w="1866" w:type="dxa"/>
            <w:tcBorders>
              <w:top w:val="single" w:color="auto" w:sz="8" w:space="0"/>
              <w:left w:val="nil"/>
              <w:bottom w:val="single" w:color="auto" w:sz="8" w:space="0"/>
              <w:right w:val="single" w:color="auto" w:sz="8" w:space="0"/>
            </w:tcBorders>
            <w:noWrap w:val="0"/>
            <w:vAlign w:val="center"/>
          </w:tcPr>
          <w:p w14:paraId="5AE1EA5B">
            <w:pPr>
              <w:spacing w:line="400" w:lineRule="exact"/>
              <w:rPr>
                <w:rFonts w:hint="eastAsia" w:ascii="宋体" w:hAnsi="宋体"/>
                <w:kern w:val="2"/>
                <w:sz w:val="24"/>
                <w:szCs w:val="24"/>
                <w:highlight w:val="none"/>
              </w:rPr>
            </w:pPr>
            <w:r>
              <w:rPr>
                <w:rFonts w:hint="eastAsia" w:ascii="宋体" w:hAnsi="宋体"/>
                <w:kern w:val="2"/>
                <w:sz w:val="24"/>
                <w:szCs w:val="24"/>
                <w:highlight w:val="none"/>
              </w:rPr>
              <w:t>评标委员会的组成</w:t>
            </w:r>
          </w:p>
        </w:tc>
        <w:tc>
          <w:tcPr>
            <w:tcW w:w="6969" w:type="dxa"/>
            <w:tcBorders>
              <w:top w:val="single" w:color="auto" w:sz="8" w:space="0"/>
              <w:left w:val="nil"/>
              <w:bottom w:val="single" w:color="auto" w:sz="8" w:space="0"/>
              <w:right w:val="single" w:color="auto" w:sz="8" w:space="0"/>
            </w:tcBorders>
            <w:noWrap w:val="0"/>
            <w:vAlign w:val="center"/>
          </w:tcPr>
          <w:p w14:paraId="4AE81343">
            <w:pPr>
              <w:spacing w:line="400" w:lineRule="exact"/>
              <w:rPr>
                <w:rFonts w:ascii="宋体" w:hAnsi="宋体"/>
                <w:kern w:val="2"/>
                <w:sz w:val="24"/>
                <w:szCs w:val="24"/>
                <w:highlight w:val="none"/>
              </w:rPr>
            </w:pPr>
            <w:r>
              <w:rPr>
                <w:rFonts w:hint="eastAsia" w:ascii="宋体" w:hAnsi="宋体"/>
                <w:sz w:val="24"/>
                <w:szCs w:val="24"/>
                <w:highlight w:val="none"/>
              </w:rPr>
              <w:t>评标委员会由采购人代表和评审专家组成，成员人数</w:t>
            </w:r>
            <w:r>
              <w:rPr>
                <w:rFonts w:hint="eastAsia" w:ascii="宋体" w:hAnsi="宋体"/>
                <w:color w:val="auto"/>
                <w:sz w:val="24"/>
                <w:szCs w:val="24"/>
                <w:highlight w:val="none"/>
              </w:rPr>
              <w:t>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u w:val="single"/>
                <w:lang w:val="en-US" w:eastAsia="zh-CN"/>
              </w:rPr>
              <w:t>5</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人以上单数</w:t>
            </w:r>
            <w:r>
              <w:rPr>
                <w:rFonts w:hint="eastAsia" w:ascii="宋体" w:hAnsi="宋体"/>
                <w:color w:val="auto"/>
                <w:sz w:val="24"/>
                <w:szCs w:val="24"/>
                <w:highlight w:val="none"/>
                <w:lang w:eastAsia="zh-CN"/>
              </w:rPr>
              <w:t>。</w:t>
            </w:r>
          </w:p>
        </w:tc>
      </w:tr>
      <w:tr w14:paraId="5DE4B700">
        <w:tblPrEx>
          <w:tblCellMar>
            <w:top w:w="0" w:type="dxa"/>
            <w:left w:w="0" w:type="dxa"/>
            <w:bottom w:w="0" w:type="dxa"/>
            <w:right w:w="0" w:type="dxa"/>
          </w:tblCellMar>
        </w:tblPrEx>
        <w:trPr>
          <w:trHeight w:val="865" w:hRule="atLeast"/>
          <w:jc w:val="center"/>
        </w:trPr>
        <w:tc>
          <w:tcPr>
            <w:tcW w:w="1047" w:type="dxa"/>
            <w:tcBorders>
              <w:top w:val="single" w:color="auto" w:sz="8" w:space="0"/>
              <w:left w:val="single" w:color="auto" w:sz="8" w:space="0"/>
              <w:bottom w:val="single" w:color="auto" w:sz="8" w:space="0"/>
              <w:right w:val="single" w:color="auto" w:sz="8" w:space="0"/>
            </w:tcBorders>
            <w:noWrap w:val="0"/>
            <w:vAlign w:val="center"/>
          </w:tcPr>
          <w:p w14:paraId="018B7E24">
            <w:pPr>
              <w:spacing w:line="400" w:lineRule="exact"/>
              <w:jc w:val="center"/>
              <w:rPr>
                <w:rFonts w:ascii="宋体" w:hAnsi="宋体"/>
                <w:kern w:val="2"/>
                <w:sz w:val="24"/>
                <w:szCs w:val="24"/>
                <w:highlight w:val="none"/>
              </w:rPr>
            </w:pPr>
            <w:r>
              <w:rPr>
                <w:rFonts w:hint="eastAsia" w:ascii="宋体" w:hAnsi="宋体"/>
                <w:kern w:val="2"/>
                <w:sz w:val="24"/>
                <w:szCs w:val="24"/>
                <w:highlight w:val="none"/>
              </w:rPr>
              <w:t>7.3.2</w:t>
            </w:r>
          </w:p>
        </w:tc>
        <w:tc>
          <w:tcPr>
            <w:tcW w:w="1866" w:type="dxa"/>
            <w:tcBorders>
              <w:top w:val="single" w:color="auto" w:sz="8" w:space="0"/>
              <w:left w:val="nil"/>
              <w:bottom w:val="single" w:color="auto" w:sz="8" w:space="0"/>
              <w:right w:val="single" w:color="auto" w:sz="8" w:space="0"/>
            </w:tcBorders>
            <w:noWrap w:val="0"/>
            <w:vAlign w:val="center"/>
          </w:tcPr>
          <w:p w14:paraId="46920264">
            <w:pPr>
              <w:spacing w:line="400" w:lineRule="exact"/>
              <w:rPr>
                <w:rFonts w:ascii="宋体" w:hAnsi="宋体"/>
                <w:kern w:val="2"/>
                <w:sz w:val="24"/>
                <w:szCs w:val="24"/>
                <w:highlight w:val="none"/>
              </w:rPr>
            </w:pPr>
            <w:r>
              <w:rPr>
                <w:rFonts w:hint="eastAsia" w:ascii="宋体" w:hAnsi="宋体"/>
                <w:kern w:val="2"/>
                <w:sz w:val="24"/>
                <w:szCs w:val="24"/>
                <w:highlight w:val="none"/>
              </w:rPr>
              <w:t>评标委员会推荐中标候选人的人数</w:t>
            </w:r>
          </w:p>
        </w:tc>
        <w:tc>
          <w:tcPr>
            <w:tcW w:w="6969" w:type="dxa"/>
            <w:tcBorders>
              <w:top w:val="single" w:color="auto" w:sz="8" w:space="0"/>
              <w:left w:val="nil"/>
              <w:bottom w:val="single" w:color="auto" w:sz="8" w:space="0"/>
              <w:right w:val="single" w:color="auto" w:sz="8" w:space="0"/>
            </w:tcBorders>
            <w:noWrap w:val="0"/>
            <w:vAlign w:val="center"/>
          </w:tcPr>
          <w:p w14:paraId="23D26DA2">
            <w:pPr>
              <w:pStyle w:val="50"/>
              <w:spacing w:line="400" w:lineRule="exact"/>
              <w:jc w:val="both"/>
              <w:rPr>
                <w:rFonts w:hint="default" w:ascii="宋体" w:hAnsi="宋体" w:eastAsia="宋体"/>
                <w:kern w:val="2"/>
                <w:sz w:val="24"/>
                <w:szCs w:val="24"/>
                <w:highlight w:val="none"/>
                <w:lang w:val="en-US" w:eastAsia="zh-CN"/>
              </w:rPr>
            </w:pPr>
            <w:r>
              <w:rPr>
                <w:rFonts w:hint="eastAsia" w:ascii="宋体" w:hAnsi="宋体" w:cs="宋体"/>
                <w:sz w:val="24"/>
                <w:szCs w:val="24"/>
                <w:highlight w:val="none"/>
                <w:u w:val="none"/>
              </w:rPr>
              <w:t>3名</w:t>
            </w:r>
          </w:p>
        </w:tc>
      </w:tr>
      <w:tr w14:paraId="1EAA2360">
        <w:tblPrEx>
          <w:tblCellMar>
            <w:top w:w="0" w:type="dxa"/>
            <w:left w:w="0" w:type="dxa"/>
            <w:bottom w:w="0" w:type="dxa"/>
            <w:right w:w="0" w:type="dxa"/>
          </w:tblCellMar>
        </w:tblPrEx>
        <w:trPr>
          <w:trHeight w:val="827" w:hRule="atLeast"/>
          <w:jc w:val="center"/>
        </w:trPr>
        <w:tc>
          <w:tcPr>
            <w:tcW w:w="1047" w:type="dxa"/>
            <w:tcBorders>
              <w:top w:val="single" w:color="auto" w:sz="8" w:space="0"/>
              <w:left w:val="single" w:color="auto" w:sz="8" w:space="0"/>
              <w:bottom w:val="single" w:color="auto" w:sz="8" w:space="0"/>
              <w:right w:val="single" w:color="auto" w:sz="8" w:space="0"/>
            </w:tcBorders>
            <w:noWrap w:val="0"/>
            <w:vAlign w:val="center"/>
          </w:tcPr>
          <w:p w14:paraId="09A1CB3C">
            <w:pPr>
              <w:spacing w:line="400" w:lineRule="exact"/>
              <w:jc w:val="center"/>
              <w:rPr>
                <w:rFonts w:ascii="宋体" w:hAnsi="宋体"/>
                <w:kern w:val="2"/>
                <w:sz w:val="24"/>
                <w:szCs w:val="24"/>
                <w:highlight w:val="none"/>
              </w:rPr>
            </w:pPr>
            <w:r>
              <w:rPr>
                <w:rFonts w:hint="eastAsia" w:ascii="宋体" w:hAnsi="宋体"/>
                <w:kern w:val="2"/>
                <w:sz w:val="24"/>
                <w:szCs w:val="24"/>
                <w:highlight w:val="none"/>
              </w:rPr>
              <w:t>8.1</w:t>
            </w:r>
          </w:p>
        </w:tc>
        <w:tc>
          <w:tcPr>
            <w:tcW w:w="1866" w:type="dxa"/>
            <w:tcBorders>
              <w:top w:val="single" w:color="auto" w:sz="8" w:space="0"/>
              <w:left w:val="nil"/>
              <w:bottom w:val="single" w:color="auto" w:sz="8" w:space="0"/>
              <w:right w:val="single" w:color="auto" w:sz="8" w:space="0"/>
            </w:tcBorders>
            <w:noWrap w:val="0"/>
            <w:vAlign w:val="center"/>
          </w:tcPr>
          <w:p w14:paraId="72870074">
            <w:pPr>
              <w:spacing w:line="400" w:lineRule="exact"/>
              <w:rPr>
                <w:rFonts w:ascii="宋体" w:hAnsi="宋体"/>
                <w:color w:val="auto"/>
                <w:kern w:val="2"/>
                <w:sz w:val="24"/>
                <w:szCs w:val="24"/>
                <w:highlight w:val="none"/>
              </w:rPr>
            </w:pPr>
            <w:r>
              <w:rPr>
                <w:rFonts w:hint="eastAsia" w:ascii="宋体" w:hAnsi="宋体"/>
                <w:color w:val="auto"/>
                <w:kern w:val="2"/>
                <w:sz w:val="24"/>
                <w:szCs w:val="24"/>
                <w:highlight w:val="none"/>
              </w:rPr>
              <w:t>是否授权评标委员会确定中标人</w:t>
            </w:r>
          </w:p>
        </w:tc>
        <w:tc>
          <w:tcPr>
            <w:tcW w:w="6969" w:type="dxa"/>
            <w:tcBorders>
              <w:top w:val="single" w:color="auto" w:sz="8" w:space="0"/>
              <w:left w:val="nil"/>
              <w:bottom w:val="single" w:color="auto" w:sz="8" w:space="0"/>
              <w:right w:val="single" w:color="auto" w:sz="8" w:space="0"/>
            </w:tcBorders>
            <w:noWrap w:val="0"/>
            <w:vAlign w:val="center"/>
          </w:tcPr>
          <w:p w14:paraId="001840AE">
            <w:pPr>
              <w:spacing w:line="400" w:lineRule="exact"/>
              <w:jc w:val="both"/>
              <w:rPr>
                <w:rFonts w:ascii="宋体" w:hAnsi="宋体"/>
                <w:color w:val="auto"/>
                <w:kern w:val="2"/>
                <w:sz w:val="24"/>
                <w:szCs w:val="24"/>
                <w:highlight w:val="none"/>
              </w:rPr>
            </w:pPr>
            <w:r>
              <w:rPr>
                <w:rFonts w:hint="eastAsia" w:ascii="宋体" w:hAnsi="宋体"/>
                <w:color w:val="auto"/>
                <w:kern w:val="2"/>
                <w:sz w:val="24"/>
                <w:szCs w:val="24"/>
                <w:highlight w:val="none"/>
              </w:rPr>
              <w:sym w:font="Wingdings 2" w:char="00A3"/>
            </w:r>
            <w:r>
              <w:rPr>
                <w:rFonts w:hint="eastAsia" w:ascii="宋体" w:hAnsi="宋体"/>
                <w:color w:val="auto"/>
                <w:kern w:val="2"/>
                <w:sz w:val="24"/>
                <w:szCs w:val="24"/>
                <w:highlight w:val="none"/>
              </w:rPr>
              <w:t>是</w:t>
            </w:r>
          </w:p>
          <w:p w14:paraId="71D8A60E">
            <w:pPr>
              <w:spacing w:line="400" w:lineRule="exact"/>
              <w:jc w:val="both"/>
              <w:rPr>
                <w:rFonts w:ascii="宋体" w:hAnsi="宋体"/>
                <w:color w:val="auto"/>
                <w:kern w:val="2"/>
                <w:sz w:val="24"/>
                <w:szCs w:val="24"/>
                <w:highlight w:val="none"/>
              </w:rPr>
            </w:pPr>
            <w:r>
              <w:rPr>
                <w:rFonts w:hint="eastAsia" w:ascii="宋体" w:hAnsi="宋体"/>
                <w:color w:val="auto"/>
                <w:kern w:val="2"/>
                <w:sz w:val="24"/>
                <w:szCs w:val="24"/>
                <w:highlight w:val="none"/>
                <w:lang w:eastAsia="zh-CN"/>
              </w:rPr>
              <w:t>☑</w:t>
            </w:r>
            <w:r>
              <w:rPr>
                <w:rFonts w:hint="eastAsia" w:ascii="宋体" w:hAnsi="宋体"/>
                <w:color w:val="auto"/>
                <w:kern w:val="2"/>
                <w:sz w:val="24"/>
                <w:szCs w:val="24"/>
                <w:highlight w:val="none"/>
              </w:rPr>
              <w:t>否</w:t>
            </w:r>
          </w:p>
        </w:tc>
      </w:tr>
      <w:tr w14:paraId="68DAF7B8">
        <w:tblPrEx>
          <w:tblCellMar>
            <w:top w:w="0" w:type="dxa"/>
            <w:left w:w="0" w:type="dxa"/>
            <w:bottom w:w="0" w:type="dxa"/>
            <w:right w:w="0" w:type="dxa"/>
          </w:tblCellMar>
        </w:tblPrEx>
        <w:trPr>
          <w:trHeight w:val="846" w:hRule="atLeast"/>
          <w:jc w:val="center"/>
        </w:trPr>
        <w:tc>
          <w:tcPr>
            <w:tcW w:w="1047" w:type="dxa"/>
            <w:tcBorders>
              <w:top w:val="single" w:color="auto" w:sz="8" w:space="0"/>
              <w:left w:val="single" w:color="auto" w:sz="8" w:space="0"/>
              <w:bottom w:val="single" w:color="auto" w:sz="8" w:space="0"/>
              <w:right w:val="single" w:color="auto" w:sz="8" w:space="0"/>
            </w:tcBorders>
            <w:noWrap w:val="0"/>
            <w:vAlign w:val="center"/>
          </w:tcPr>
          <w:p w14:paraId="5718EA73">
            <w:pPr>
              <w:spacing w:line="400" w:lineRule="exact"/>
              <w:jc w:val="center"/>
              <w:rPr>
                <w:rFonts w:ascii="宋体" w:hAnsi="宋体"/>
                <w:kern w:val="2"/>
                <w:sz w:val="24"/>
                <w:szCs w:val="24"/>
                <w:highlight w:val="none"/>
              </w:rPr>
            </w:pPr>
            <w:r>
              <w:rPr>
                <w:rFonts w:hint="eastAsia" w:ascii="宋体" w:hAnsi="宋体"/>
                <w:kern w:val="2"/>
                <w:sz w:val="24"/>
                <w:szCs w:val="24"/>
                <w:highlight w:val="none"/>
              </w:rPr>
              <w:t>8.2</w:t>
            </w:r>
          </w:p>
        </w:tc>
        <w:tc>
          <w:tcPr>
            <w:tcW w:w="1866" w:type="dxa"/>
            <w:tcBorders>
              <w:top w:val="single" w:color="auto" w:sz="8" w:space="0"/>
              <w:left w:val="nil"/>
              <w:bottom w:val="single" w:color="auto" w:sz="8" w:space="0"/>
              <w:right w:val="single" w:color="auto" w:sz="8" w:space="0"/>
            </w:tcBorders>
            <w:noWrap w:val="0"/>
            <w:vAlign w:val="center"/>
          </w:tcPr>
          <w:p w14:paraId="4C17585C">
            <w:pPr>
              <w:spacing w:line="400" w:lineRule="exact"/>
              <w:rPr>
                <w:rFonts w:ascii="宋体" w:hAnsi="宋体"/>
                <w:color w:val="auto"/>
                <w:kern w:val="2"/>
                <w:sz w:val="24"/>
                <w:szCs w:val="24"/>
                <w:highlight w:val="none"/>
              </w:rPr>
            </w:pPr>
            <w:r>
              <w:rPr>
                <w:rFonts w:hint="eastAsia" w:ascii="宋体" w:hAnsi="宋体"/>
                <w:color w:val="auto"/>
                <w:kern w:val="2"/>
                <w:sz w:val="24"/>
                <w:szCs w:val="24"/>
                <w:highlight w:val="none"/>
              </w:rPr>
              <w:t>中标公告媒介及期限</w:t>
            </w:r>
          </w:p>
        </w:tc>
        <w:tc>
          <w:tcPr>
            <w:tcW w:w="6969" w:type="dxa"/>
            <w:tcBorders>
              <w:top w:val="single" w:color="auto" w:sz="8" w:space="0"/>
              <w:left w:val="nil"/>
              <w:bottom w:val="single" w:color="auto" w:sz="8" w:space="0"/>
              <w:right w:val="single" w:color="auto" w:sz="8" w:space="0"/>
            </w:tcBorders>
            <w:noWrap w:val="0"/>
            <w:vAlign w:val="center"/>
          </w:tcPr>
          <w:p w14:paraId="4F6E00D0">
            <w:pPr>
              <w:spacing w:line="400" w:lineRule="exact"/>
              <w:rPr>
                <w:rFonts w:hint="eastAsia" w:ascii="宋体" w:hAnsi="宋体"/>
                <w:color w:val="auto"/>
                <w:kern w:val="2"/>
                <w:sz w:val="24"/>
                <w:szCs w:val="24"/>
                <w:highlight w:val="none"/>
              </w:rPr>
            </w:pPr>
            <w:r>
              <w:rPr>
                <w:rFonts w:hint="eastAsia" w:ascii="宋体" w:hAnsi="宋体"/>
                <w:color w:val="auto"/>
                <w:kern w:val="2"/>
                <w:sz w:val="24"/>
                <w:szCs w:val="24"/>
                <w:highlight w:val="none"/>
              </w:rPr>
              <w:t>公告媒介：</w:t>
            </w:r>
            <w:r>
              <w:rPr>
                <w:rFonts w:hint="eastAsia" w:ascii="宋体" w:hAnsi="宋体"/>
                <w:color w:val="auto"/>
                <w:kern w:val="2"/>
                <w:sz w:val="24"/>
                <w:szCs w:val="24"/>
                <w:highlight w:val="none"/>
                <w:u w:val="none"/>
                <w:lang w:eastAsia="zh-CN"/>
              </w:rPr>
              <w:t>同发布招标公告的媒介</w:t>
            </w:r>
          </w:p>
          <w:p w14:paraId="35037A5F">
            <w:pPr>
              <w:spacing w:line="400" w:lineRule="exact"/>
              <w:rPr>
                <w:rFonts w:ascii="宋体" w:hAnsi="宋体"/>
                <w:color w:val="auto"/>
                <w:kern w:val="2"/>
                <w:sz w:val="24"/>
                <w:szCs w:val="24"/>
                <w:highlight w:val="none"/>
                <w:u w:val="single"/>
              </w:rPr>
            </w:pPr>
            <w:r>
              <w:rPr>
                <w:rFonts w:hint="eastAsia" w:ascii="宋体" w:hAnsi="宋体"/>
                <w:color w:val="auto"/>
                <w:kern w:val="2"/>
                <w:sz w:val="24"/>
                <w:szCs w:val="24"/>
                <w:highlight w:val="none"/>
              </w:rPr>
              <w:t>公告期限：1 个工作日</w:t>
            </w:r>
          </w:p>
        </w:tc>
      </w:tr>
      <w:tr w14:paraId="0C67C219">
        <w:tblPrEx>
          <w:tblCellMar>
            <w:top w:w="0" w:type="dxa"/>
            <w:left w:w="0" w:type="dxa"/>
            <w:bottom w:w="0" w:type="dxa"/>
            <w:right w:w="0" w:type="dxa"/>
          </w:tblCellMar>
        </w:tblPrEx>
        <w:trPr>
          <w:trHeight w:val="1110" w:hRule="atLeast"/>
          <w:jc w:val="center"/>
        </w:trPr>
        <w:tc>
          <w:tcPr>
            <w:tcW w:w="1047" w:type="dxa"/>
            <w:tcBorders>
              <w:top w:val="single" w:color="auto" w:sz="8" w:space="0"/>
              <w:left w:val="single" w:color="auto" w:sz="8" w:space="0"/>
              <w:bottom w:val="single" w:color="auto" w:sz="8" w:space="0"/>
              <w:right w:val="single" w:color="auto" w:sz="8" w:space="0"/>
            </w:tcBorders>
            <w:noWrap w:val="0"/>
            <w:vAlign w:val="center"/>
          </w:tcPr>
          <w:p w14:paraId="52500930">
            <w:pPr>
              <w:spacing w:line="400" w:lineRule="exact"/>
              <w:jc w:val="center"/>
              <w:rPr>
                <w:rFonts w:ascii="宋体" w:hAnsi="宋体"/>
                <w:kern w:val="2"/>
                <w:sz w:val="24"/>
                <w:szCs w:val="24"/>
                <w:highlight w:val="none"/>
              </w:rPr>
            </w:pPr>
            <w:r>
              <w:rPr>
                <w:rFonts w:hint="eastAsia" w:ascii="宋体" w:hAnsi="宋体"/>
                <w:kern w:val="2"/>
                <w:sz w:val="24"/>
                <w:szCs w:val="24"/>
                <w:highlight w:val="none"/>
              </w:rPr>
              <w:t>8.4.1</w:t>
            </w:r>
          </w:p>
        </w:tc>
        <w:tc>
          <w:tcPr>
            <w:tcW w:w="1866" w:type="dxa"/>
            <w:tcBorders>
              <w:top w:val="single" w:color="auto" w:sz="8" w:space="0"/>
              <w:left w:val="nil"/>
              <w:bottom w:val="single" w:color="auto" w:sz="8" w:space="0"/>
              <w:right w:val="single" w:color="auto" w:sz="8" w:space="0"/>
            </w:tcBorders>
            <w:noWrap w:val="0"/>
            <w:vAlign w:val="center"/>
          </w:tcPr>
          <w:p w14:paraId="253B0308">
            <w:pPr>
              <w:spacing w:line="400" w:lineRule="exact"/>
              <w:rPr>
                <w:rFonts w:ascii="宋体" w:hAnsi="宋体"/>
                <w:color w:val="auto"/>
                <w:kern w:val="2"/>
                <w:sz w:val="24"/>
                <w:szCs w:val="24"/>
                <w:highlight w:val="none"/>
              </w:rPr>
            </w:pPr>
            <w:r>
              <w:rPr>
                <w:rFonts w:hint="eastAsia" w:ascii="宋体" w:hAnsi="宋体" w:eastAsia="宋体" w:cs="宋体"/>
                <w:color w:val="auto"/>
                <w:kern w:val="2"/>
                <w:sz w:val="24"/>
                <w:szCs w:val="24"/>
                <w:highlight w:val="none"/>
              </w:rPr>
              <w:t>履约保证金</w:t>
            </w:r>
          </w:p>
        </w:tc>
        <w:tc>
          <w:tcPr>
            <w:tcW w:w="6969" w:type="dxa"/>
            <w:tcBorders>
              <w:top w:val="single" w:color="auto" w:sz="8" w:space="0"/>
              <w:left w:val="nil"/>
              <w:bottom w:val="single" w:color="auto" w:sz="8" w:space="0"/>
              <w:right w:val="single" w:color="auto" w:sz="8" w:space="0"/>
            </w:tcBorders>
            <w:noWrap w:val="0"/>
            <w:vAlign w:val="center"/>
          </w:tcPr>
          <w:p w14:paraId="7E056958">
            <w:pPr>
              <w:spacing w:line="400" w:lineRule="exact"/>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是否要求中标人提交履约保证金：</w:t>
            </w:r>
          </w:p>
          <w:p w14:paraId="1254875E">
            <w:pPr>
              <w:spacing w:line="400" w:lineRule="exact"/>
              <w:rPr>
                <w:rFonts w:hint="eastAsia" w:ascii="宋体" w:hAnsi="宋体" w:eastAsia="宋体" w:cs="宋体"/>
                <w:color w:val="auto"/>
                <w:kern w:val="2"/>
                <w:sz w:val="24"/>
                <w:szCs w:val="24"/>
                <w:highlight w:val="none"/>
                <w:lang w:eastAsia="zh-CN"/>
              </w:rPr>
            </w:pPr>
            <w:r>
              <w:rPr>
                <w:rFonts w:hint="eastAsia" w:ascii="宋体" w:hAnsi="宋体" w:eastAsia="宋体" w:cs="宋体"/>
                <w:color w:val="auto"/>
                <w:kern w:val="2"/>
                <w:sz w:val="24"/>
                <w:szCs w:val="24"/>
                <w:highlight w:val="none"/>
              </w:rPr>
              <w:t>□要求，履约保证金的形式：</w:t>
            </w:r>
            <w:r>
              <w:rPr>
                <w:rFonts w:hint="eastAsia" w:ascii="宋体" w:hAnsi="宋体" w:eastAsia="宋体" w:cs="宋体"/>
                <w:color w:val="auto"/>
                <w:kern w:val="2"/>
                <w:sz w:val="24"/>
                <w:szCs w:val="24"/>
                <w:highlight w:val="none"/>
                <w:u w:val="single"/>
              </w:rPr>
              <w:t xml:space="preserve">    </w:t>
            </w:r>
            <w:r>
              <w:rPr>
                <w:rFonts w:hint="eastAsia" w:ascii="宋体" w:hAnsi="宋体" w:eastAsia="宋体" w:cs="宋体"/>
                <w:color w:val="auto"/>
                <w:kern w:val="2"/>
                <w:sz w:val="24"/>
                <w:szCs w:val="24"/>
                <w:highlight w:val="none"/>
                <w:u w:val="single"/>
                <w:lang w:val="en-US" w:eastAsia="zh-CN"/>
              </w:rPr>
              <w:t xml:space="preserve">         </w:t>
            </w:r>
            <w:r>
              <w:rPr>
                <w:rFonts w:hint="eastAsia" w:ascii="宋体" w:hAnsi="宋体" w:eastAsia="宋体" w:cs="宋体"/>
                <w:color w:val="auto"/>
                <w:kern w:val="2"/>
                <w:sz w:val="24"/>
                <w:szCs w:val="24"/>
                <w:highlight w:val="none"/>
                <w:u w:val="single"/>
              </w:rPr>
              <w:t xml:space="preserve">  </w:t>
            </w:r>
            <w:r>
              <w:rPr>
                <w:rFonts w:hint="eastAsia" w:ascii="宋体" w:hAnsi="宋体" w:eastAsia="宋体" w:cs="宋体"/>
                <w:color w:val="auto"/>
                <w:kern w:val="2"/>
                <w:sz w:val="24"/>
                <w:szCs w:val="24"/>
                <w:highlight w:val="none"/>
                <w:u w:val="none"/>
                <w:lang w:eastAsia="zh-CN"/>
              </w:rPr>
              <w:t>等</w:t>
            </w:r>
            <w:r>
              <w:rPr>
                <w:rFonts w:hint="eastAsia" w:ascii="宋体" w:hAnsi="宋体" w:eastAsia="宋体" w:cs="宋体"/>
                <w:color w:val="auto"/>
                <w:kern w:val="2"/>
                <w:sz w:val="24"/>
                <w:szCs w:val="24"/>
                <w:highlight w:val="none"/>
                <w:u w:val="none"/>
              </w:rPr>
              <w:t>非</w:t>
            </w:r>
            <w:r>
              <w:rPr>
                <w:rFonts w:hint="eastAsia" w:ascii="宋体" w:hAnsi="宋体" w:eastAsia="宋体" w:cs="宋体"/>
                <w:color w:val="auto"/>
                <w:kern w:val="2"/>
                <w:sz w:val="24"/>
                <w:szCs w:val="24"/>
                <w:highlight w:val="none"/>
              </w:rPr>
              <w:t>现金形式提交</w:t>
            </w:r>
            <w:r>
              <w:rPr>
                <w:rFonts w:hint="eastAsia" w:ascii="宋体" w:hAnsi="宋体" w:eastAsia="宋体" w:cs="宋体"/>
                <w:color w:val="auto"/>
                <w:kern w:val="2"/>
                <w:sz w:val="24"/>
                <w:szCs w:val="24"/>
                <w:highlight w:val="none"/>
                <w:lang w:eastAsia="zh-CN"/>
              </w:rPr>
              <w:t>；</w:t>
            </w:r>
          </w:p>
          <w:p w14:paraId="3905C11A">
            <w:pPr>
              <w:spacing w:line="400" w:lineRule="exact"/>
              <w:ind w:firstLine="960"/>
              <w:rPr>
                <w:rFonts w:hint="default"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rPr>
              <w:t>履约保证金的金额：</w:t>
            </w:r>
            <w:r>
              <w:rPr>
                <w:rFonts w:hint="eastAsia" w:ascii="宋体" w:hAnsi="宋体" w:eastAsia="宋体" w:cs="宋体"/>
                <w:color w:val="auto"/>
                <w:kern w:val="2"/>
                <w:sz w:val="24"/>
                <w:szCs w:val="24"/>
                <w:highlight w:val="none"/>
                <w:u w:val="single"/>
              </w:rPr>
              <w:t xml:space="preserve">         </w:t>
            </w:r>
            <w:r>
              <w:rPr>
                <w:rFonts w:hint="eastAsia" w:ascii="宋体" w:hAnsi="宋体" w:eastAsia="宋体" w:cs="宋体"/>
                <w:color w:val="auto"/>
                <w:kern w:val="2"/>
                <w:sz w:val="24"/>
                <w:szCs w:val="24"/>
                <w:highlight w:val="none"/>
                <w:u w:val="single"/>
                <w:lang w:val="en-US" w:eastAsia="zh-CN"/>
              </w:rPr>
              <w:t xml:space="preserve">     </w:t>
            </w:r>
          </w:p>
          <w:p w14:paraId="3709FB49">
            <w:pPr>
              <w:spacing w:line="400" w:lineRule="exact"/>
              <w:rPr>
                <w:rFonts w:ascii="宋体" w:hAnsi="宋体"/>
                <w:color w:val="auto"/>
                <w:kern w:val="2"/>
                <w:sz w:val="24"/>
                <w:szCs w:val="24"/>
                <w:highlight w:val="none"/>
              </w:rPr>
            </w:pPr>
            <w:r>
              <w:rPr>
                <w:rFonts w:hint="eastAsia" w:ascii="宋体" w:hAnsi="宋体" w:eastAsia="宋体" w:cs="宋体"/>
                <w:color w:val="auto"/>
                <w:kern w:val="2"/>
                <w:sz w:val="24"/>
                <w:szCs w:val="24"/>
                <w:highlight w:val="none"/>
                <w:lang w:eastAsia="zh-CN"/>
              </w:rPr>
              <w:t>☑</w:t>
            </w:r>
            <w:r>
              <w:rPr>
                <w:rFonts w:hint="eastAsia" w:ascii="宋体" w:hAnsi="宋体" w:eastAsia="宋体" w:cs="宋体"/>
                <w:color w:val="auto"/>
                <w:kern w:val="2"/>
                <w:sz w:val="24"/>
                <w:szCs w:val="24"/>
                <w:highlight w:val="none"/>
              </w:rPr>
              <w:t>不要求</w:t>
            </w:r>
          </w:p>
        </w:tc>
      </w:tr>
      <w:tr w14:paraId="5E67B2BD">
        <w:tblPrEx>
          <w:tblCellMar>
            <w:top w:w="0" w:type="dxa"/>
            <w:left w:w="0" w:type="dxa"/>
            <w:bottom w:w="0" w:type="dxa"/>
            <w:right w:w="0" w:type="dxa"/>
          </w:tblCellMar>
        </w:tblPrEx>
        <w:trPr>
          <w:trHeight w:val="634" w:hRule="atLeast"/>
          <w:jc w:val="center"/>
        </w:trPr>
        <w:tc>
          <w:tcPr>
            <w:tcW w:w="1047" w:type="dxa"/>
            <w:tcBorders>
              <w:top w:val="single" w:color="auto" w:sz="8" w:space="0"/>
              <w:left w:val="single" w:color="auto" w:sz="8" w:space="0"/>
              <w:bottom w:val="single" w:color="auto" w:sz="8" w:space="0"/>
              <w:right w:val="single" w:color="auto" w:sz="8" w:space="0"/>
            </w:tcBorders>
            <w:noWrap w:val="0"/>
            <w:vAlign w:val="center"/>
          </w:tcPr>
          <w:p w14:paraId="4390F4D0">
            <w:pPr>
              <w:spacing w:line="400" w:lineRule="exact"/>
              <w:jc w:val="center"/>
              <w:rPr>
                <w:rFonts w:hint="eastAsia" w:ascii="宋体" w:hAnsi="宋体"/>
                <w:kern w:val="2"/>
                <w:sz w:val="24"/>
                <w:szCs w:val="24"/>
                <w:highlight w:val="none"/>
              </w:rPr>
            </w:pPr>
            <w:r>
              <w:rPr>
                <w:rFonts w:hint="eastAsia" w:ascii="宋体" w:hAnsi="宋体"/>
                <w:kern w:val="2"/>
                <w:sz w:val="24"/>
                <w:szCs w:val="24"/>
                <w:highlight w:val="none"/>
              </w:rPr>
              <w:t>12</w:t>
            </w:r>
          </w:p>
        </w:tc>
        <w:tc>
          <w:tcPr>
            <w:tcW w:w="8835" w:type="dxa"/>
            <w:gridSpan w:val="2"/>
            <w:tcBorders>
              <w:top w:val="single" w:color="auto" w:sz="8" w:space="0"/>
              <w:left w:val="nil"/>
              <w:bottom w:val="single" w:color="auto" w:sz="8" w:space="0"/>
              <w:right w:val="single" w:color="auto" w:sz="8" w:space="0"/>
            </w:tcBorders>
            <w:noWrap w:val="0"/>
            <w:vAlign w:val="center"/>
          </w:tcPr>
          <w:p w14:paraId="4AB2BC53">
            <w:pPr>
              <w:spacing w:line="400" w:lineRule="exact"/>
              <w:rPr>
                <w:rFonts w:ascii="宋体" w:hAnsi="宋体"/>
                <w:color w:val="auto"/>
                <w:kern w:val="2"/>
                <w:sz w:val="24"/>
                <w:szCs w:val="24"/>
                <w:highlight w:val="none"/>
              </w:rPr>
            </w:pPr>
            <w:r>
              <w:rPr>
                <w:rFonts w:hint="eastAsia" w:ascii="宋体" w:hAnsi="宋体"/>
                <w:b/>
                <w:bCs/>
                <w:color w:val="auto"/>
                <w:kern w:val="2"/>
                <w:sz w:val="24"/>
                <w:szCs w:val="24"/>
                <w:highlight w:val="none"/>
              </w:rPr>
              <w:t>需要补充的其他内容</w:t>
            </w:r>
          </w:p>
        </w:tc>
      </w:tr>
      <w:tr w14:paraId="5AD47881">
        <w:tblPrEx>
          <w:tblCellMar>
            <w:top w:w="0" w:type="dxa"/>
            <w:left w:w="0" w:type="dxa"/>
            <w:bottom w:w="0" w:type="dxa"/>
            <w:right w:w="0" w:type="dxa"/>
          </w:tblCellMar>
        </w:tblPrEx>
        <w:trPr>
          <w:trHeight w:val="941" w:hRule="atLeast"/>
          <w:jc w:val="center"/>
        </w:trPr>
        <w:tc>
          <w:tcPr>
            <w:tcW w:w="1047" w:type="dxa"/>
            <w:tcBorders>
              <w:top w:val="single" w:color="auto" w:sz="8" w:space="0"/>
              <w:left w:val="single" w:color="auto" w:sz="8" w:space="0"/>
              <w:bottom w:val="single" w:color="auto" w:sz="8" w:space="0"/>
              <w:right w:val="single" w:color="auto" w:sz="8" w:space="0"/>
            </w:tcBorders>
            <w:noWrap w:val="0"/>
            <w:vAlign w:val="center"/>
          </w:tcPr>
          <w:p w14:paraId="0DD5A89E">
            <w:pPr>
              <w:spacing w:line="400" w:lineRule="exact"/>
              <w:jc w:val="center"/>
              <w:rPr>
                <w:rFonts w:ascii="宋体" w:hAnsi="宋体"/>
                <w:kern w:val="2"/>
                <w:sz w:val="24"/>
                <w:szCs w:val="24"/>
                <w:highlight w:val="none"/>
              </w:rPr>
            </w:pPr>
            <w:r>
              <w:rPr>
                <w:rFonts w:hint="eastAsia" w:ascii="宋体" w:hAnsi="宋体"/>
                <w:kern w:val="2"/>
                <w:sz w:val="24"/>
                <w:szCs w:val="24"/>
                <w:highlight w:val="none"/>
              </w:rPr>
              <w:t>12.1</w:t>
            </w:r>
          </w:p>
        </w:tc>
        <w:tc>
          <w:tcPr>
            <w:tcW w:w="1866" w:type="dxa"/>
            <w:tcBorders>
              <w:top w:val="single" w:color="auto" w:sz="8" w:space="0"/>
              <w:left w:val="nil"/>
              <w:bottom w:val="single" w:color="auto" w:sz="8" w:space="0"/>
              <w:right w:val="single" w:color="auto" w:sz="8" w:space="0"/>
            </w:tcBorders>
            <w:noWrap w:val="0"/>
            <w:vAlign w:val="center"/>
          </w:tcPr>
          <w:p w14:paraId="60886C43">
            <w:pPr>
              <w:spacing w:line="400" w:lineRule="exact"/>
              <w:rPr>
                <w:rFonts w:ascii="宋体" w:hAnsi="宋体"/>
                <w:color w:val="auto"/>
                <w:kern w:val="2"/>
                <w:sz w:val="24"/>
                <w:szCs w:val="24"/>
                <w:highlight w:val="none"/>
              </w:rPr>
            </w:pPr>
            <w:r>
              <w:rPr>
                <w:rFonts w:hint="eastAsia" w:ascii="宋体" w:hAnsi="宋体"/>
                <w:color w:val="auto"/>
                <w:kern w:val="2"/>
                <w:sz w:val="24"/>
                <w:szCs w:val="24"/>
                <w:highlight w:val="none"/>
              </w:rPr>
              <w:t>评标方法</w:t>
            </w:r>
          </w:p>
        </w:tc>
        <w:tc>
          <w:tcPr>
            <w:tcW w:w="6969" w:type="dxa"/>
            <w:tcBorders>
              <w:top w:val="single" w:color="auto" w:sz="8" w:space="0"/>
              <w:left w:val="nil"/>
              <w:bottom w:val="single" w:color="auto" w:sz="8" w:space="0"/>
              <w:right w:val="single" w:color="auto" w:sz="8" w:space="0"/>
            </w:tcBorders>
            <w:noWrap w:val="0"/>
            <w:vAlign w:val="center"/>
          </w:tcPr>
          <w:p w14:paraId="30E7249C">
            <w:pPr>
              <w:spacing w:line="400" w:lineRule="exact"/>
              <w:jc w:val="both"/>
              <w:rPr>
                <w:rFonts w:hint="eastAsia" w:ascii="宋体" w:hAnsi="宋体"/>
                <w:color w:val="auto"/>
                <w:kern w:val="2"/>
                <w:sz w:val="24"/>
                <w:szCs w:val="24"/>
                <w:highlight w:val="none"/>
              </w:rPr>
            </w:pPr>
            <w:r>
              <w:rPr>
                <w:rFonts w:hint="eastAsia" w:ascii="宋体" w:hAnsi="宋体"/>
                <w:color w:val="auto"/>
                <w:kern w:val="2"/>
                <w:sz w:val="24"/>
                <w:szCs w:val="24"/>
                <w:highlight w:val="none"/>
                <w:lang w:eastAsia="zh-CN"/>
              </w:rPr>
              <w:t>☑</w:t>
            </w:r>
            <w:r>
              <w:rPr>
                <w:rFonts w:hint="eastAsia" w:ascii="宋体" w:hAnsi="宋体"/>
                <w:color w:val="auto"/>
                <w:kern w:val="2"/>
                <w:sz w:val="24"/>
                <w:szCs w:val="24"/>
                <w:highlight w:val="none"/>
              </w:rPr>
              <w:t>综合评分法</w:t>
            </w:r>
          </w:p>
          <w:p w14:paraId="5582FBB1">
            <w:pPr>
              <w:spacing w:line="400" w:lineRule="exact"/>
              <w:jc w:val="both"/>
              <w:rPr>
                <w:rFonts w:ascii="宋体" w:hAnsi="宋体"/>
                <w:color w:val="auto"/>
                <w:kern w:val="2"/>
                <w:sz w:val="24"/>
                <w:szCs w:val="24"/>
                <w:highlight w:val="none"/>
              </w:rPr>
            </w:pPr>
            <w:r>
              <w:rPr>
                <w:rFonts w:hint="eastAsia" w:ascii="宋体" w:hAnsi="宋体"/>
                <w:color w:val="auto"/>
                <w:kern w:val="2"/>
                <w:sz w:val="24"/>
                <w:szCs w:val="24"/>
                <w:highlight w:val="none"/>
              </w:rPr>
              <w:t>□最低评标价法</w:t>
            </w:r>
          </w:p>
        </w:tc>
      </w:tr>
      <w:tr w14:paraId="7918185E">
        <w:tblPrEx>
          <w:tblCellMar>
            <w:top w:w="0" w:type="dxa"/>
            <w:left w:w="0" w:type="dxa"/>
            <w:bottom w:w="0" w:type="dxa"/>
            <w:right w:w="0" w:type="dxa"/>
          </w:tblCellMar>
        </w:tblPrEx>
        <w:trPr>
          <w:trHeight w:val="1823" w:hRule="atLeast"/>
          <w:jc w:val="center"/>
        </w:trPr>
        <w:tc>
          <w:tcPr>
            <w:tcW w:w="1047" w:type="dxa"/>
            <w:tcBorders>
              <w:top w:val="single" w:color="auto" w:sz="8" w:space="0"/>
              <w:left w:val="single" w:color="auto" w:sz="8" w:space="0"/>
              <w:bottom w:val="single" w:color="auto" w:sz="8" w:space="0"/>
              <w:right w:val="single" w:color="auto" w:sz="8" w:space="0"/>
            </w:tcBorders>
            <w:noWrap w:val="0"/>
            <w:vAlign w:val="center"/>
          </w:tcPr>
          <w:p w14:paraId="2C285509">
            <w:pPr>
              <w:spacing w:line="420" w:lineRule="exact"/>
              <w:jc w:val="center"/>
              <w:rPr>
                <w:rFonts w:hint="eastAsia" w:ascii="宋体" w:hAnsi="宋体"/>
                <w:kern w:val="2"/>
                <w:sz w:val="24"/>
                <w:szCs w:val="24"/>
                <w:highlight w:val="none"/>
              </w:rPr>
            </w:pPr>
            <w:r>
              <w:rPr>
                <w:rFonts w:hint="eastAsia" w:ascii="宋体" w:hAnsi="宋体"/>
                <w:kern w:val="2"/>
                <w:sz w:val="24"/>
                <w:szCs w:val="24"/>
                <w:highlight w:val="none"/>
              </w:rPr>
              <w:t>12.2</w:t>
            </w:r>
          </w:p>
        </w:tc>
        <w:tc>
          <w:tcPr>
            <w:tcW w:w="1866" w:type="dxa"/>
            <w:tcBorders>
              <w:top w:val="single" w:color="auto" w:sz="8" w:space="0"/>
              <w:left w:val="nil"/>
              <w:bottom w:val="single" w:color="auto" w:sz="8" w:space="0"/>
              <w:right w:val="single" w:color="auto" w:sz="8" w:space="0"/>
            </w:tcBorders>
            <w:noWrap w:val="0"/>
            <w:vAlign w:val="center"/>
          </w:tcPr>
          <w:p w14:paraId="373DE447">
            <w:pPr>
              <w:spacing w:line="420" w:lineRule="exact"/>
              <w:rPr>
                <w:rFonts w:hint="eastAsia" w:ascii="宋体" w:hAnsi="宋体"/>
                <w:color w:val="auto"/>
                <w:kern w:val="2"/>
                <w:sz w:val="24"/>
                <w:szCs w:val="24"/>
                <w:highlight w:val="none"/>
              </w:rPr>
            </w:pPr>
            <w:r>
              <w:rPr>
                <w:rFonts w:hint="eastAsia" w:ascii="宋体" w:hAnsi="宋体"/>
                <w:color w:val="auto"/>
                <w:kern w:val="2"/>
                <w:sz w:val="24"/>
                <w:szCs w:val="24"/>
                <w:highlight w:val="none"/>
              </w:rPr>
              <w:t>追加合同金额</w:t>
            </w:r>
          </w:p>
        </w:tc>
        <w:tc>
          <w:tcPr>
            <w:tcW w:w="6969" w:type="dxa"/>
            <w:tcBorders>
              <w:top w:val="single" w:color="auto" w:sz="8" w:space="0"/>
              <w:left w:val="nil"/>
              <w:bottom w:val="single" w:color="auto" w:sz="8" w:space="0"/>
              <w:right w:val="single" w:color="auto" w:sz="8" w:space="0"/>
            </w:tcBorders>
            <w:noWrap w:val="0"/>
            <w:vAlign w:val="center"/>
          </w:tcPr>
          <w:p w14:paraId="155A841D">
            <w:pPr>
              <w:spacing w:line="420" w:lineRule="exact"/>
              <w:rPr>
                <w:rFonts w:hint="eastAsia" w:ascii="宋体" w:hAnsi="宋体"/>
                <w:color w:val="auto"/>
                <w:kern w:val="2"/>
                <w:sz w:val="24"/>
                <w:szCs w:val="24"/>
                <w:highlight w:val="none"/>
              </w:rPr>
            </w:pPr>
            <w:r>
              <w:rPr>
                <w:rFonts w:hint="eastAsia" w:ascii="宋体" w:hAnsi="宋体"/>
                <w:color w:val="auto"/>
                <w:sz w:val="24"/>
                <w:szCs w:val="24"/>
                <w:highlight w:val="none"/>
              </w:rPr>
              <w:t>政府采购合同履行中，采购人需追加与合同标的相同的货物的，</w:t>
            </w:r>
            <w:r>
              <w:rPr>
                <w:rFonts w:hint="eastAsia" w:ascii="宋体" w:hAnsi="宋体"/>
                <w:color w:val="auto"/>
                <w:sz w:val="24"/>
                <w:highlight w:val="none"/>
              </w:rPr>
              <w:t>在不改变合同其他条款的前提下，可以与中标投标人签订补充合同，但所有补充合同的采购金额变更不得超过原合同采购金额的10%，其中金额增加需办理合同追加手续。</w:t>
            </w:r>
          </w:p>
        </w:tc>
      </w:tr>
      <w:tr w14:paraId="629136F8">
        <w:tblPrEx>
          <w:tblCellMar>
            <w:top w:w="0" w:type="dxa"/>
            <w:left w:w="0" w:type="dxa"/>
            <w:bottom w:w="0" w:type="dxa"/>
            <w:right w:w="0" w:type="dxa"/>
          </w:tblCellMar>
        </w:tblPrEx>
        <w:trPr>
          <w:trHeight w:val="790" w:hRule="atLeast"/>
          <w:jc w:val="center"/>
        </w:trPr>
        <w:tc>
          <w:tcPr>
            <w:tcW w:w="1047" w:type="dxa"/>
            <w:tcBorders>
              <w:top w:val="single" w:color="auto" w:sz="8" w:space="0"/>
              <w:left w:val="single" w:color="auto" w:sz="8" w:space="0"/>
              <w:bottom w:val="single" w:color="auto" w:sz="8" w:space="0"/>
              <w:right w:val="single" w:color="auto" w:sz="8" w:space="0"/>
            </w:tcBorders>
            <w:noWrap w:val="0"/>
            <w:vAlign w:val="center"/>
          </w:tcPr>
          <w:p w14:paraId="3DB9337F">
            <w:pPr>
              <w:pageBreakBefore w:val="0"/>
              <w:kinsoku/>
              <w:wordWrap/>
              <w:overflowPunct/>
              <w:topLinePunct w:val="0"/>
              <w:autoSpaceDE/>
              <w:autoSpaceDN/>
              <w:bidi w:val="0"/>
              <w:adjustRightInd/>
              <w:snapToGrid/>
              <w:spacing w:line="360" w:lineRule="auto"/>
              <w:jc w:val="center"/>
              <w:textAlignment w:val="auto"/>
              <w:rPr>
                <w:rFonts w:hint="eastAsia" w:ascii="宋体" w:hAnsi="宋体"/>
                <w:kern w:val="2"/>
                <w:sz w:val="24"/>
                <w:szCs w:val="24"/>
                <w:highlight w:val="none"/>
              </w:rPr>
            </w:pPr>
            <w:r>
              <w:rPr>
                <w:rFonts w:hint="eastAsia" w:ascii="宋体" w:hAnsi="宋体"/>
                <w:kern w:val="2"/>
                <w:sz w:val="24"/>
                <w:szCs w:val="24"/>
                <w:highlight w:val="none"/>
              </w:rPr>
              <w:t>12.3</w:t>
            </w:r>
          </w:p>
        </w:tc>
        <w:tc>
          <w:tcPr>
            <w:tcW w:w="1866" w:type="dxa"/>
            <w:tcBorders>
              <w:top w:val="single" w:color="auto" w:sz="8" w:space="0"/>
              <w:left w:val="nil"/>
              <w:bottom w:val="single" w:color="auto" w:sz="8" w:space="0"/>
              <w:right w:val="single" w:color="auto" w:sz="8" w:space="0"/>
            </w:tcBorders>
            <w:noWrap w:val="0"/>
            <w:vAlign w:val="center"/>
          </w:tcPr>
          <w:p w14:paraId="36305B08">
            <w:pPr>
              <w:pageBreakBefore w:val="0"/>
              <w:kinsoku/>
              <w:wordWrap/>
              <w:overflowPunct/>
              <w:topLinePunct w:val="0"/>
              <w:autoSpaceDE/>
              <w:autoSpaceDN/>
              <w:bidi w:val="0"/>
              <w:adjustRightInd/>
              <w:snapToGrid/>
              <w:spacing w:line="360" w:lineRule="auto"/>
              <w:textAlignment w:val="auto"/>
              <w:rPr>
                <w:rFonts w:hint="eastAsia" w:ascii="宋体" w:hAnsi="宋体" w:cs="宋体"/>
                <w:kern w:val="2"/>
                <w:sz w:val="24"/>
                <w:szCs w:val="24"/>
                <w:highlight w:val="none"/>
              </w:rPr>
            </w:pPr>
            <w:r>
              <w:rPr>
                <w:rFonts w:hint="eastAsia" w:ascii="宋体" w:hAnsi="宋体" w:cs="宋体"/>
                <w:kern w:val="2"/>
                <w:sz w:val="24"/>
                <w:szCs w:val="24"/>
                <w:highlight w:val="none"/>
              </w:rPr>
              <w:t>信用查询具体要求</w:t>
            </w:r>
          </w:p>
        </w:tc>
        <w:tc>
          <w:tcPr>
            <w:tcW w:w="6969" w:type="dxa"/>
            <w:tcBorders>
              <w:top w:val="single" w:color="auto" w:sz="8" w:space="0"/>
              <w:left w:val="nil"/>
              <w:bottom w:val="single" w:color="auto" w:sz="8" w:space="0"/>
              <w:right w:val="single" w:color="auto" w:sz="8" w:space="0"/>
            </w:tcBorders>
            <w:noWrap w:val="0"/>
            <w:vAlign w:val="center"/>
          </w:tcPr>
          <w:p w14:paraId="36C3B7D1">
            <w:pPr>
              <w:pageBreakBefore w:val="0"/>
              <w:widowControl w:val="0"/>
              <w:kinsoku/>
              <w:wordWrap/>
              <w:overflowPunct/>
              <w:topLinePunct w:val="0"/>
              <w:autoSpaceDE/>
              <w:autoSpaceDN/>
              <w:bidi w:val="0"/>
              <w:adjustRightInd/>
              <w:snapToGrid/>
              <w:spacing w:line="360" w:lineRule="auto"/>
              <w:textAlignment w:val="auto"/>
              <w:rPr>
                <w:rFonts w:hint="eastAsia" w:ascii="宋体" w:hAnsi="宋体" w:cs="宋体"/>
                <w:sz w:val="24"/>
                <w:szCs w:val="24"/>
                <w:highlight w:val="none"/>
              </w:rPr>
            </w:pPr>
            <w:r>
              <w:rPr>
                <w:rFonts w:hint="eastAsia" w:ascii="宋体" w:hAnsi="宋体" w:cs="宋体"/>
                <w:sz w:val="24"/>
                <w:szCs w:val="24"/>
                <w:highlight w:val="none"/>
              </w:rPr>
              <w:t>本项目将执行在政府采购活动中查询及使用信用记录的规定，具体要求为：</w:t>
            </w:r>
          </w:p>
          <w:p w14:paraId="49D320AB">
            <w:pPr>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highlight w:val="none"/>
                <w:lang w:eastAsia="zh-CN"/>
              </w:rPr>
            </w:pPr>
            <w:r>
              <w:rPr>
                <w:rFonts w:hint="eastAsia" w:ascii="宋体" w:hAnsi="宋体" w:cs="宋体"/>
                <w:sz w:val="24"/>
                <w:szCs w:val="24"/>
                <w:highlight w:val="none"/>
              </w:rPr>
              <w:t>（1）</w:t>
            </w:r>
            <w:r>
              <w:rPr>
                <w:rFonts w:hint="eastAsia" w:ascii="宋体" w:hAnsi="宋体"/>
                <w:sz w:val="24"/>
                <w:szCs w:val="24"/>
                <w:highlight w:val="none"/>
              </w:rPr>
              <w:t>投标人应在“信用中国”网站(www.creditchina.gov.cn)未被列入失信被执行人记录、</w:t>
            </w:r>
            <w:r>
              <w:rPr>
                <w:rFonts w:hint="eastAsia" w:ascii="宋体" w:hAnsi="宋体"/>
                <w:sz w:val="24"/>
                <w:szCs w:val="24"/>
                <w:highlight w:val="none"/>
                <w:lang w:val="en-US" w:eastAsia="zh-CN"/>
              </w:rPr>
              <w:t>重大税收违法失信主体</w:t>
            </w:r>
            <w:r>
              <w:rPr>
                <w:rFonts w:hint="eastAsia" w:ascii="宋体" w:hAnsi="宋体"/>
                <w:sz w:val="24"/>
                <w:szCs w:val="24"/>
                <w:highlight w:val="none"/>
              </w:rPr>
              <w:t>且在中国政府采购网(www.ccgp.gov.cn)没有政府采购严重违法失信行为记录(被禁止在一定期限内参加政府采购活动但期限届满的除外)</w:t>
            </w:r>
            <w:r>
              <w:rPr>
                <w:rFonts w:hint="eastAsia" w:ascii="宋体" w:hAnsi="宋体" w:cs="宋体"/>
                <w:sz w:val="24"/>
                <w:szCs w:val="24"/>
                <w:highlight w:val="none"/>
                <w:lang w:eastAsia="zh-CN"/>
              </w:rPr>
              <w:t>；</w:t>
            </w:r>
          </w:p>
          <w:p w14:paraId="0480B94D">
            <w:pPr>
              <w:pageBreakBefore w:val="0"/>
              <w:widowControl w:val="0"/>
              <w:kinsoku/>
              <w:wordWrap/>
              <w:overflowPunct/>
              <w:topLinePunct w:val="0"/>
              <w:autoSpaceDE/>
              <w:autoSpaceDN/>
              <w:bidi w:val="0"/>
              <w:adjustRightInd/>
              <w:snapToGrid/>
              <w:spacing w:line="360" w:lineRule="auto"/>
              <w:textAlignment w:val="auto"/>
              <w:rPr>
                <w:rFonts w:hint="eastAsia" w:ascii="宋体" w:hAnsi="宋体" w:cs="宋体"/>
                <w:sz w:val="24"/>
                <w:szCs w:val="24"/>
                <w:highlight w:val="none"/>
              </w:rPr>
            </w:pPr>
            <w:r>
              <w:rPr>
                <w:rFonts w:hint="eastAsia" w:ascii="宋体" w:hAnsi="宋体" w:cs="宋体"/>
                <w:sz w:val="24"/>
                <w:szCs w:val="24"/>
                <w:highlight w:val="none"/>
              </w:rPr>
              <w:t>（2）</w:t>
            </w:r>
            <w:r>
              <w:rPr>
                <w:rFonts w:hint="eastAsia" w:ascii="宋体" w:hAnsi="宋体" w:cs="宋体"/>
                <w:sz w:val="24"/>
                <w:szCs w:val="24"/>
                <w:highlight w:val="none"/>
                <w:lang w:eastAsia="zh-CN"/>
              </w:rPr>
              <w:t>信用信息查询的截止时点：投标截止时间当天评标前</w:t>
            </w:r>
            <w:r>
              <w:rPr>
                <w:rFonts w:hint="eastAsia" w:ascii="宋体" w:hAnsi="宋体" w:cs="宋体"/>
                <w:sz w:val="24"/>
                <w:szCs w:val="24"/>
                <w:highlight w:val="none"/>
              </w:rPr>
              <w:t>；</w:t>
            </w:r>
          </w:p>
          <w:p w14:paraId="6C17FC8E">
            <w:pPr>
              <w:pageBreakBefore w:val="0"/>
              <w:widowControl w:val="0"/>
              <w:kinsoku/>
              <w:wordWrap/>
              <w:overflowPunct/>
              <w:topLinePunct w:val="0"/>
              <w:autoSpaceDE/>
              <w:autoSpaceDN/>
              <w:bidi w:val="0"/>
              <w:adjustRightInd/>
              <w:snapToGrid/>
              <w:spacing w:line="360" w:lineRule="auto"/>
              <w:textAlignment w:val="auto"/>
              <w:rPr>
                <w:rFonts w:hint="eastAsia"/>
                <w:sz w:val="24"/>
                <w:szCs w:val="24"/>
                <w:highlight w:val="none"/>
              </w:rPr>
            </w:pPr>
            <w:r>
              <w:rPr>
                <w:rFonts w:hint="eastAsia" w:ascii="宋体" w:hAnsi="宋体" w:cs="宋体"/>
                <w:sz w:val="24"/>
                <w:szCs w:val="24"/>
                <w:highlight w:val="none"/>
              </w:rPr>
              <w:t>（3）信用信息查询渠道：“信用中国网”、“中国政府采购网”；</w:t>
            </w:r>
          </w:p>
          <w:p w14:paraId="218F6CD8">
            <w:pPr>
              <w:pageBreakBefore w:val="0"/>
              <w:widowControl w:val="0"/>
              <w:kinsoku/>
              <w:wordWrap/>
              <w:overflowPunct/>
              <w:topLinePunct w:val="0"/>
              <w:autoSpaceDE/>
              <w:autoSpaceDN/>
              <w:bidi w:val="0"/>
              <w:adjustRightInd/>
              <w:snapToGrid/>
              <w:spacing w:line="360" w:lineRule="auto"/>
              <w:textAlignment w:val="auto"/>
              <w:rPr>
                <w:rFonts w:hint="eastAsia" w:ascii="宋体" w:hAnsi="宋体" w:cs="宋体"/>
                <w:sz w:val="24"/>
                <w:szCs w:val="24"/>
                <w:highlight w:val="none"/>
              </w:rPr>
            </w:pPr>
            <w:r>
              <w:rPr>
                <w:rFonts w:hint="eastAsia" w:ascii="宋体" w:hAnsi="宋体" w:cs="宋体"/>
                <w:sz w:val="24"/>
                <w:szCs w:val="24"/>
                <w:highlight w:val="none"/>
              </w:rPr>
              <w:t>（4）信用信息查询记录和证据留存具体方式：采购人、采购代理机构将经查询存在不良信用记录的潜在投标人</w:t>
            </w:r>
            <w:r>
              <w:rPr>
                <w:rFonts w:hint="eastAsia" w:ascii="宋体" w:hAnsi="宋体" w:cs="宋体"/>
                <w:sz w:val="24"/>
                <w:szCs w:val="24"/>
                <w:highlight w:val="none"/>
                <w:lang w:eastAsia="zh-CN"/>
              </w:rPr>
              <w:t>查询结果证明材料</w:t>
            </w:r>
            <w:r>
              <w:rPr>
                <w:rFonts w:hint="eastAsia" w:ascii="宋体" w:hAnsi="宋体" w:cs="宋体"/>
                <w:sz w:val="24"/>
                <w:szCs w:val="24"/>
                <w:highlight w:val="none"/>
              </w:rPr>
              <w:t>作为查询记录和证据，与其他采购文件一并保存；</w:t>
            </w:r>
          </w:p>
          <w:p w14:paraId="2DF06E22">
            <w:pPr>
              <w:pageBreakBefore w:val="0"/>
              <w:kinsoku/>
              <w:wordWrap/>
              <w:overflowPunct/>
              <w:topLinePunct w:val="0"/>
              <w:autoSpaceDE/>
              <w:autoSpaceDN/>
              <w:bidi w:val="0"/>
              <w:adjustRightInd/>
              <w:snapToGrid/>
              <w:spacing w:line="360" w:lineRule="auto"/>
              <w:textAlignment w:val="auto"/>
              <w:rPr>
                <w:rFonts w:hint="eastAsia" w:ascii="宋体" w:hAnsi="宋体" w:cs="宋体"/>
                <w:sz w:val="24"/>
                <w:szCs w:val="24"/>
                <w:highlight w:val="none"/>
              </w:rPr>
            </w:pPr>
            <w:r>
              <w:rPr>
                <w:rFonts w:hint="eastAsia" w:ascii="宋体" w:hAnsi="宋体" w:cs="宋体"/>
                <w:sz w:val="24"/>
                <w:szCs w:val="24"/>
                <w:highlight w:val="none"/>
              </w:rPr>
              <w:t>（5）信用信息的使用规则：本政府采购项目的投标人在信用信息查询截止时点（含）之前被列入失信被执行人、</w:t>
            </w:r>
            <w:r>
              <w:rPr>
                <w:rFonts w:hint="eastAsia" w:ascii="宋体" w:hAnsi="宋体" w:eastAsia="宋体" w:cs="宋体"/>
                <w:b w:val="0"/>
                <w:bCs w:val="0"/>
                <w:kern w:val="0"/>
                <w:sz w:val="24"/>
                <w:szCs w:val="24"/>
                <w:highlight w:val="none"/>
                <w:lang w:val="en-US" w:eastAsia="zh-CN" w:bidi="ar-SA"/>
              </w:rPr>
              <w:t>重大税收违法失信主体</w:t>
            </w:r>
            <w:r>
              <w:rPr>
                <w:rFonts w:hint="eastAsia" w:ascii="宋体" w:hAnsi="宋体" w:cs="宋体"/>
                <w:sz w:val="24"/>
                <w:szCs w:val="24"/>
                <w:highlight w:val="none"/>
              </w:rPr>
              <w:t>、政府采购严重违法失信行为记录名单及其他不符合《中华人民共和国政府采购法》第二十二条规定条件的投标人，其投标无效；</w:t>
            </w:r>
          </w:p>
          <w:p w14:paraId="5DD3E318">
            <w:pPr>
              <w:pStyle w:val="11"/>
              <w:pageBreakBefore w:val="0"/>
              <w:kinsoku/>
              <w:wordWrap/>
              <w:overflowPunct/>
              <w:topLinePunct w:val="0"/>
              <w:autoSpaceDE/>
              <w:autoSpaceDN/>
              <w:bidi w:val="0"/>
              <w:adjustRightInd/>
              <w:snapToGrid/>
              <w:spacing w:line="360" w:lineRule="auto"/>
              <w:textAlignment w:val="auto"/>
              <w:rPr>
                <w:rFonts w:hint="eastAsia" w:ascii="宋体" w:hAnsi="宋体" w:cs="宋体"/>
                <w:szCs w:val="21"/>
                <w:highlight w:val="none"/>
              </w:rPr>
            </w:pPr>
            <w:r>
              <w:rPr>
                <w:rFonts w:hint="eastAsia" w:ascii="宋体" w:hAnsi="宋体" w:cs="宋体"/>
                <w:b/>
                <w:bCs/>
                <w:sz w:val="24"/>
                <w:highlight w:val="none"/>
              </w:rPr>
              <w:t>(6)采购人、采购代理机构通过“信用中国网”、“中国政府采购网”等渠道查询相关主体信用记录，若投标人存在被列入失信被执行人、</w:t>
            </w:r>
            <w:r>
              <w:rPr>
                <w:rFonts w:hint="eastAsia" w:ascii="宋体" w:hAnsi="宋体" w:cs="宋体"/>
                <w:b/>
                <w:bCs/>
                <w:sz w:val="24"/>
                <w:highlight w:val="none"/>
                <w:lang w:val="en-US" w:eastAsia="zh-CN"/>
              </w:rPr>
              <w:t>重大税收违法失信主体</w:t>
            </w:r>
            <w:r>
              <w:rPr>
                <w:rFonts w:hint="eastAsia" w:ascii="宋体" w:hAnsi="宋体" w:cs="宋体"/>
                <w:b/>
                <w:bCs/>
                <w:sz w:val="24"/>
                <w:highlight w:val="none"/>
              </w:rPr>
              <w:t>、政府采购严重违法失信行为记录名单，则投标无效。</w:t>
            </w:r>
          </w:p>
        </w:tc>
      </w:tr>
    </w:tbl>
    <w:p w14:paraId="75A47E5F">
      <w:pPr>
        <w:pStyle w:val="3"/>
        <w:pageBreakBefore w:val="0"/>
        <w:kinsoku/>
        <w:wordWrap/>
        <w:overflowPunct/>
        <w:topLinePunct w:val="0"/>
        <w:autoSpaceDE/>
        <w:autoSpaceDN/>
        <w:bidi w:val="0"/>
        <w:adjustRightInd/>
        <w:snapToGrid/>
        <w:spacing w:before="0" w:after="0" w:line="360" w:lineRule="auto"/>
        <w:ind w:firstLine="321" w:firstLineChars="100"/>
        <w:textAlignment w:val="auto"/>
        <w:rPr>
          <w:rFonts w:hint="eastAsia" w:ascii="宋体" w:hAnsi="宋体" w:eastAsia="宋体"/>
          <w:sz w:val="28"/>
          <w:szCs w:val="28"/>
          <w:highlight w:val="none"/>
        </w:rPr>
      </w:pPr>
      <w:r>
        <w:rPr>
          <w:rFonts w:hint="eastAsia" w:ascii="宋体" w:hAnsi="宋体" w:eastAsia="宋体"/>
          <w:highlight w:val="none"/>
        </w:rPr>
        <w:br w:type="page"/>
      </w:r>
      <w:bookmarkStart w:id="61" w:name="_Toc27064"/>
      <w:bookmarkEnd w:id="61"/>
      <w:bookmarkStart w:id="62" w:name="_Toc20589"/>
      <w:bookmarkEnd w:id="62"/>
      <w:bookmarkStart w:id="63" w:name="_Toc19039"/>
      <w:bookmarkStart w:id="64" w:name="_Toc21034"/>
      <w:r>
        <w:rPr>
          <w:rFonts w:hint="eastAsia" w:ascii="宋体" w:hAnsi="宋体" w:eastAsia="宋体"/>
          <w:sz w:val="28"/>
          <w:szCs w:val="28"/>
          <w:highlight w:val="none"/>
        </w:rPr>
        <w:t>1. 总则</w:t>
      </w:r>
      <w:bookmarkEnd w:id="63"/>
      <w:bookmarkEnd w:id="64"/>
    </w:p>
    <w:p w14:paraId="7F010EBB">
      <w:pPr>
        <w:spacing w:line="360" w:lineRule="auto"/>
        <w:rPr>
          <w:rFonts w:hint="eastAsia" w:ascii="宋体" w:hAnsi="宋体"/>
          <w:b/>
          <w:sz w:val="24"/>
          <w:szCs w:val="24"/>
          <w:highlight w:val="none"/>
        </w:rPr>
      </w:pPr>
      <w:bookmarkStart w:id="65" w:name="_Toc31335"/>
      <w:bookmarkEnd w:id="65"/>
      <w:bookmarkStart w:id="66" w:name="_Toc700"/>
      <w:r>
        <w:rPr>
          <w:rFonts w:hint="eastAsia" w:ascii="宋体" w:hAnsi="宋体"/>
          <w:b/>
          <w:sz w:val="24"/>
          <w:szCs w:val="24"/>
          <w:highlight w:val="none"/>
        </w:rPr>
        <w:t>1.1 项目概况</w:t>
      </w:r>
      <w:bookmarkEnd w:id="66"/>
    </w:p>
    <w:p w14:paraId="2F59FEB6">
      <w:pPr>
        <w:spacing w:line="360" w:lineRule="auto"/>
        <w:ind w:firstLine="480" w:firstLineChars="200"/>
        <w:rPr>
          <w:rFonts w:hint="eastAsia" w:ascii="宋体" w:hAnsi="宋体"/>
          <w:sz w:val="24"/>
          <w:szCs w:val="24"/>
          <w:highlight w:val="none"/>
        </w:rPr>
      </w:pPr>
      <w:r>
        <w:rPr>
          <w:rFonts w:hint="eastAsia" w:ascii="宋体" w:hAnsi="宋体"/>
          <w:sz w:val="24"/>
          <w:szCs w:val="24"/>
          <w:highlight w:val="none"/>
        </w:rPr>
        <w:t>1.1.1根据《中华人民共和国政府采购法》《中华人民共和国政府采购法实施条例》《政府采购货物和服务招标投标管理办法》(财政部令第87号)等有关规定，本招标项目已具备招标条件，现对本项目进行招标。</w:t>
      </w:r>
    </w:p>
    <w:p w14:paraId="3B1CA732">
      <w:pPr>
        <w:spacing w:line="360" w:lineRule="auto"/>
        <w:ind w:firstLine="480" w:firstLineChars="200"/>
        <w:rPr>
          <w:rFonts w:hint="eastAsia" w:ascii="宋体" w:hAnsi="宋体"/>
          <w:sz w:val="24"/>
          <w:szCs w:val="24"/>
          <w:highlight w:val="none"/>
        </w:rPr>
      </w:pPr>
      <w:r>
        <w:rPr>
          <w:rFonts w:hint="eastAsia" w:ascii="宋体" w:hAnsi="宋体"/>
          <w:sz w:val="24"/>
          <w:szCs w:val="24"/>
          <w:highlight w:val="none"/>
        </w:rPr>
        <w:t>1.1.2 采购人：见投标人须知前附表。</w:t>
      </w:r>
    </w:p>
    <w:p w14:paraId="69B02E26">
      <w:pPr>
        <w:spacing w:line="360" w:lineRule="auto"/>
        <w:ind w:firstLine="480" w:firstLineChars="200"/>
        <w:rPr>
          <w:rFonts w:hint="eastAsia" w:ascii="宋体" w:hAnsi="宋体"/>
          <w:sz w:val="24"/>
          <w:szCs w:val="24"/>
          <w:highlight w:val="none"/>
        </w:rPr>
      </w:pPr>
      <w:r>
        <w:rPr>
          <w:rFonts w:hint="eastAsia" w:ascii="宋体" w:hAnsi="宋体"/>
          <w:sz w:val="24"/>
          <w:szCs w:val="24"/>
          <w:highlight w:val="none"/>
        </w:rPr>
        <w:t>1.1.3 采购代理机构：见投标人须知前附表。</w:t>
      </w:r>
    </w:p>
    <w:p w14:paraId="57E1493C">
      <w:pPr>
        <w:spacing w:line="360" w:lineRule="auto"/>
        <w:ind w:firstLine="480" w:firstLineChars="200"/>
        <w:rPr>
          <w:rFonts w:hint="eastAsia" w:ascii="宋体" w:hAnsi="宋体"/>
          <w:sz w:val="24"/>
          <w:szCs w:val="24"/>
          <w:highlight w:val="none"/>
        </w:rPr>
      </w:pPr>
      <w:r>
        <w:rPr>
          <w:rFonts w:hint="eastAsia" w:ascii="宋体" w:hAnsi="宋体"/>
          <w:sz w:val="24"/>
          <w:szCs w:val="24"/>
          <w:highlight w:val="none"/>
        </w:rPr>
        <w:t>1.1.4 项目名称：见投标人须知前附表。</w:t>
      </w:r>
    </w:p>
    <w:p w14:paraId="74B73B78">
      <w:pPr>
        <w:spacing w:line="360" w:lineRule="auto"/>
        <w:rPr>
          <w:rFonts w:hint="eastAsia" w:ascii="宋体" w:hAnsi="宋体"/>
          <w:b/>
          <w:sz w:val="24"/>
          <w:szCs w:val="24"/>
          <w:highlight w:val="none"/>
        </w:rPr>
      </w:pPr>
      <w:bookmarkStart w:id="67" w:name="_Toc27395"/>
      <w:bookmarkEnd w:id="67"/>
      <w:bookmarkStart w:id="68" w:name="_Toc28747"/>
      <w:r>
        <w:rPr>
          <w:rFonts w:hint="eastAsia" w:ascii="宋体" w:hAnsi="宋体"/>
          <w:b/>
          <w:sz w:val="24"/>
          <w:szCs w:val="24"/>
          <w:highlight w:val="none"/>
        </w:rPr>
        <w:t>1.2 招标项目的资金情况</w:t>
      </w:r>
      <w:bookmarkEnd w:id="68"/>
    </w:p>
    <w:p w14:paraId="297C1E77">
      <w:pPr>
        <w:spacing w:line="360" w:lineRule="auto"/>
        <w:ind w:firstLine="480" w:firstLineChars="200"/>
        <w:rPr>
          <w:rFonts w:hint="eastAsia" w:ascii="宋体" w:hAnsi="宋体"/>
          <w:sz w:val="24"/>
          <w:szCs w:val="24"/>
          <w:highlight w:val="none"/>
        </w:rPr>
      </w:pPr>
      <w:r>
        <w:rPr>
          <w:rFonts w:hint="eastAsia" w:ascii="宋体" w:hAnsi="宋体"/>
          <w:sz w:val="24"/>
          <w:szCs w:val="24"/>
          <w:highlight w:val="none"/>
        </w:rPr>
        <w:t>1.2.1 资金落实情况：见投标人须知前附表。</w:t>
      </w:r>
    </w:p>
    <w:p w14:paraId="335D6E08">
      <w:pPr>
        <w:spacing w:line="360" w:lineRule="auto"/>
        <w:ind w:firstLine="480" w:firstLineChars="200"/>
        <w:rPr>
          <w:rFonts w:hint="eastAsia" w:ascii="宋体" w:hAnsi="宋体"/>
          <w:sz w:val="24"/>
          <w:szCs w:val="24"/>
          <w:highlight w:val="none"/>
        </w:rPr>
      </w:pPr>
      <w:r>
        <w:rPr>
          <w:rFonts w:hint="eastAsia" w:ascii="宋体" w:hAnsi="宋体"/>
          <w:sz w:val="24"/>
          <w:szCs w:val="24"/>
          <w:highlight w:val="none"/>
        </w:rPr>
        <w:t>1.2.2 预算金额：见投标人须知前附表。</w:t>
      </w:r>
    </w:p>
    <w:p w14:paraId="3A932109">
      <w:pPr>
        <w:spacing w:line="360" w:lineRule="auto"/>
        <w:rPr>
          <w:rFonts w:hint="eastAsia" w:ascii="宋体" w:hAnsi="宋体"/>
          <w:b/>
          <w:color w:val="FF0000"/>
          <w:sz w:val="24"/>
          <w:szCs w:val="24"/>
          <w:highlight w:val="none"/>
        </w:rPr>
      </w:pPr>
      <w:bookmarkStart w:id="69" w:name="_Toc16064"/>
      <w:bookmarkEnd w:id="69"/>
      <w:bookmarkStart w:id="70" w:name="_Toc20957"/>
      <w:r>
        <w:rPr>
          <w:rFonts w:hint="eastAsia" w:ascii="宋体" w:hAnsi="宋体"/>
          <w:b/>
          <w:sz w:val="24"/>
          <w:szCs w:val="24"/>
          <w:highlight w:val="none"/>
        </w:rPr>
        <w:t>1.3采购</w:t>
      </w:r>
      <w:r>
        <w:rPr>
          <w:rFonts w:hint="eastAsia" w:ascii="宋体" w:hAnsi="宋体"/>
          <w:b/>
          <w:sz w:val="24"/>
          <w:szCs w:val="24"/>
          <w:highlight w:val="none"/>
          <w:lang w:eastAsia="zh-CN"/>
        </w:rPr>
        <w:t>内容</w:t>
      </w:r>
      <w:r>
        <w:rPr>
          <w:rFonts w:hint="eastAsia" w:ascii="宋体" w:hAnsi="宋体"/>
          <w:b/>
          <w:sz w:val="24"/>
          <w:szCs w:val="24"/>
          <w:highlight w:val="none"/>
        </w:rPr>
        <w:t>、交货期、质保期、交货地点</w:t>
      </w:r>
      <w:bookmarkEnd w:id="70"/>
      <w:r>
        <w:rPr>
          <w:rFonts w:hint="eastAsia" w:ascii="宋体" w:hAnsi="宋体"/>
          <w:b/>
          <w:sz w:val="24"/>
          <w:szCs w:val="24"/>
          <w:highlight w:val="none"/>
        </w:rPr>
        <w:t>、交货方式</w:t>
      </w:r>
    </w:p>
    <w:p w14:paraId="6A8FC3A6">
      <w:pPr>
        <w:spacing w:line="360" w:lineRule="auto"/>
        <w:ind w:firstLine="480" w:firstLineChars="200"/>
        <w:rPr>
          <w:rFonts w:hint="eastAsia" w:ascii="宋体" w:hAnsi="宋体"/>
          <w:sz w:val="24"/>
          <w:szCs w:val="24"/>
          <w:highlight w:val="none"/>
        </w:rPr>
      </w:pPr>
      <w:bookmarkStart w:id="71" w:name="_Toc16202"/>
      <w:bookmarkEnd w:id="71"/>
      <w:r>
        <w:rPr>
          <w:rFonts w:hint="eastAsia" w:ascii="宋体" w:hAnsi="宋体"/>
          <w:sz w:val="24"/>
          <w:szCs w:val="24"/>
          <w:highlight w:val="none"/>
        </w:rPr>
        <w:t>1.3.1 采购</w:t>
      </w:r>
      <w:r>
        <w:rPr>
          <w:rFonts w:hint="eastAsia" w:ascii="宋体" w:hAnsi="宋体"/>
          <w:sz w:val="24"/>
          <w:szCs w:val="24"/>
          <w:highlight w:val="none"/>
          <w:lang w:eastAsia="zh-CN"/>
        </w:rPr>
        <w:t>内容</w:t>
      </w:r>
      <w:r>
        <w:rPr>
          <w:rFonts w:hint="eastAsia" w:ascii="宋体" w:hAnsi="宋体"/>
          <w:sz w:val="24"/>
          <w:szCs w:val="24"/>
          <w:highlight w:val="none"/>
        </w:rPr>
        <w:t>：见投标人须知前附表。</w:t>
      </w:r>
    </w:p>
    <w:p w14:paraId="0300059D">
      <w:pPr>
        <w:spacing w:line="360" w:lineRule="auto"/>
        <w:ind w:firstLine="480" w:firstLineChars="200"/>
        <w:rPr>
          <w:rFonts w:hint="eastAsia" w:ascii="宋体" w:hAnsi="宋体"/>
          <w:sz w:val="24"/>
          <w:szCs w:val="24"/>
          <w:highlight w:val="none"/>
        </w:rPr>
      </w:pPr>
      <w:r>
        <w:rPr>
          <w:rFonts w:hint="eastAsia" w:ascii="宋体" w:hAnsi="宋体"/>
          <w:sz w:val="24"/>
          <w:szCs w:val="24"/>
          <w:highlight w:val="none"/>
        </w:rPr>
        <w:t>1.3.2 交货期、质保期：见投标人须知前附表。</w:t>
      </w:r>
    </w:p>
    <w:p w14:paraId="26F5E016">
      <w:pPr>
        <w:spacing w:line="360" w:lineRule="auto"/>
        <w:ind w:firstLine="480" w:firstLineChars="200"/>
        <w:rPr>
          <w:rFonts w:hint="eastAsia" w:ascii="宋体" w:hAnsi="宋体"/>
          <w:sz w:val="24"/>
          <w:szCs w:val="24"/>
          <w:highlight w:val="none"/>
        </w:rPr>
      </w:pPr>
      <w:r>
        <w:rPr>
          <w:rFonts w:hint="eastAsia" w:ascii="宋体" w:hAnsi="宋体"/>
          <w:sz w:val="24"/>
          <w:szCs w:val="24"/>
          <w:highlight w:val="none"/>
        </w:rPr>
        <w:t>1.3.3 交货地点、交货方式：见投标人须知前附表。</w:t>
      </w:r>
    </w:p>
    <w:p w14:paraId="74DD76A3">
      <w:pPr>
        <w:spacing w:line="360" w:lineRule="auto"/>
        <w:rPr>
          <w:rFonts w:hint="eastAsia" w:ascii="宋体" w:hAnsi="宋体"/>
          <w:b/>
          <w:sz w:val="24"/>
          <w:szCs w:val="24"/>
          <w:highlight w:val="none"/>
        </w:rPr>
      </w:pPr>
      <w:bookmarkStart w:id="72" w:name="_Toc17694"/>
      <w:bookmarkEnd w:id="72"/>
      <w:bookmarkStart w:id="73" w:name="_Toc10611"/>
      <w:r>
        <w:rPr>
          <w:rFonts w:hint="eastAsia" w:ascii="宋体" w:hAnsi="宋体"/>
          <w:b/>
          <w:sz w:val="24"/>
          <w:szCs w:val="24"/>
          <w:highlight w:val="none"/>
        </w:rPr>
        <w:t>1.4 投标人资格要求</w:t>
      </w:r>
      <w:bookmarkEnd w:id="73"/>
    </w:p>
    <w:p w14:paraId="517C5FA2">
      <w:pPr>
        <w:spacing w:line="360" w:lineRule="auto"/>
        <w:ind w:firstLine="480" w:firstLineChars="200"/>
        <w:rPr>
          <w:rFonts w:hint="eastAsia" w:ascii="宋体" w:hAnsi="宋体"/>
          <w:sz w:val="24"/>
          <w:szCs w:val="24"/>
          <w:highlight w:val="none"/>
        </w:rPr>
      </w:pPr>
      <w:r>
        <w:rPr>
          <w:rFonts w:hint="eastAsia" w:ascii="宋体" w:hAnsi="宋体"/>
          <w:sz w:val="24"/>
          <w:szCs w:val="24"/>
          <w:highlight w:val="none"/>
        </w:rPr>
        <w:t>1.4.1 投标人应具备承担本项目的资格条件。</w:t>
      </w:r>
    </w:p>
    <w:p w14:paraId="5456C900">
      <w:pPr>
        <w:spacing w:line="360" w:lineRule="auto"/>
        <w:ind w:firstLine="480" w:firstLineChars="200"/>
        <w:rPr>
          <w:rFonts w:hint="eastAsia" w:ascii="宋体" w:hAnsi="宋体"/>
          <w:sz w:val="24"/>
          <w:szCs w:val="24"/>
          <w:highlight w:val="none"/>
        </w:rPr>
      </w:pPr>
      <w:r>
        <w:rPr>
          <w:rFonts w:hint="eastAsia" w:ascii="宋体" w:hAnsi="宋体"/>
          <w:sz w:val="24"/>
          <w:szCs w:val="24"/>
          <w:highlight w:val="none"/>
        </w:rPr>
        <w:t>1.4.2 投标人须知前附表规定接受联合体投标的，联合体除应符合本章第1.4.1 项和投标人须知前附表的要求外，还应遵守以下规定：</w:t>
      </w:r>
    </w:p>
    <w:p w14:paraId="400E3D03">
      <w:pPr>
        <w:spacing w:line="360" w:lineRule="auto"/>
        <w:ind w:firstLine="540" w:firstLineChars="225"/>
        <w:rPr>
          <w:rFonts w:hint="eastAsia" w:ascii="宋体" w:hAnsi="宋体"/>
          <w:sz w:val="24"/>
          <w:szCs w:val="24"/>
          <w:highlight w:val="none"/>
        </w:rPr>
      </w:pPr>
      <w:r>
        <w:rPr>
          <w:rFonts w:hint="eastAsia" w:ascii="宋体" w:hAnsi="宋体"/>
          <w:sz w:val="24"/>
          <w:szCs w:val="24"/>
          <w:highlight w:val="none"/>
        </w:rPr>
        <w:t>(1)联合体各方应按招标文件提供的格式签订联合体协议书，明确联合体牵头人和各方权利义务，并承诺就中标项目向采购人承担连带责任；</w:t>
      </w:r>
    </w:p>
    <w:p w14:paraId="60D6DED3">
      <w:pPr>
        <w:spacing w:line="360" w:lineRule="auto"/>
        <w:ind w:firstLine="540" w:firstLineChars="225"/>
        <w:rPr>
          <w:rFonts w:hint="eastAsia" w:ascii="宋体" w:hAnsi="宋体"/>
          <w:sz w:val="24"/>
          <w:szCs w:val="24"/>
          <w:highlight w:val="none"/>
        </w:rPr>
      </w:pPr>
      <w:r>
        <w:rPr>
          <w:rFonts w:hint="eastAsia" w:ascii="宋体" w:hAnsi="宋体"/>
          <w:sz w:val="24"/>
          <w:szCs w:val="24"/>
          <w:highlight w:val="none"/>
        </w:rPr>
        <w:t>(2)联合体中有同类资质的投标人按照联合体分工承担相同工作的，应当按照资质等级较低的投标人确定资质等级；</w:t>
      </w:r>
    </w:p>
    <w:p w14:paraId="10BE6A35">
      <w:pPr>
        <w:spacing w:line="360" w:lineRule="auto"/>
        <w:ind w:firstLine="540" w:firstLineChars="225"/>
        <w:rPr>
          <w:rFonts w:hint="eastAsia" w:ascii="宋体" w:hAnsi="宋体"/>
          <w:sz w:val="24"/>
          <w:szCs w:val="24"/>
          <w:highlight w:val="none"/>
        </w:rPr>
      </w:pPr>
      <w:r>
        <w:rPr>
          <w:rFonts w:hint="eastAsia" w:ascii="宋体" w:hAnsi="宋体"/>
          <w:sz w:val="24"/>
          <w:szCs w:val="24"/>
          <w:highlight w:val="none"/>
        </w:rPr>
        <w:t>(3)以联合体形式参加政府采购活动的，联合体各方不得再单独参加或者与其他投标人另外组成联合体参加同一合同项下的政府采购活动。</w:t>
      </w:r>
    </w:p>
    <w:p w14:paraId="3253A3DE">
      <w:pPr>
        <w:spacing w:line="360" w:lineRule="auto"/>
        <w:rPr>
          <w:rFonts w:hint="eastAsia" w:ascii="宋体" w:hAnsi="宋体"/>
          <w:b/>
          <w:sz w:val="24"/>
          <w:szCs w:val="24"/>
          <w:highlight w:val="none"/>
        </w:rPr>
      </w:pPr>
      <w:bookmarkStart w:id="74" w:name="_Toc27960"/>
      <w:bookmarkEnd w:id="74"/>
      <w:bookmarkStart w:id="75" w:name="_Toc18144"/>
      <w:r>
        <w:rPr>
          <w:rFonts w:hint="eastAsia" w:ascii="宋体" w:hAnsi="宋体"/>
          <w:b/>
          <w:sz w:val="24"/>
          <w:szCs w:val="24"/>
          <w:highlight w:val="none"/>
        </w:rPr>
        <w:t>1.5 费用承担</w:t>
      </w:r>
      <w:bookmarkEnd w:id="75"/>
    </w:p>
    <w:p w14:paraId="3C17AA69">
      <w:pPr>
        <w:spacing w:line="360" w:lineRule="auto"/>
        <w:ind w:firstLine="480" w:firstLineChars="200"/>
        <w:rPr>
          <w:rFonts w:hint="eastAsia" w:ascii="宋体" w:hAnsi="宋体"/>
          <w:sz w:val="24"/>
          <w:szCs w:val="24"/>
          <w:highlight w:val="none"/>
        </w:rPr>
      </w:pPr>
      <w:r>
        <w:rPr>
          <w:rFonts w:hint="eastAsia" w:ascii="宋体" w:hAnsi="宋体"/>
          <w:sz w:val="24"/>
          <w:szCs w:val="24"/>
          <w:highlight w:val="none"/>
        </w:rPr>
        <w:t>投标人准备和参加投标活动发生的费用自理。</w:t>
      </w:r>
    </w:p>
    <w:p w14:paraId="208EE0DE">
      <w:pPr>
        <w:spacing w:line="360" w:lineRule="auto"/>
        <w:rPr>
          <w:rFonts w:hint="eastAsia" w:ascii="宋体" w:hAnsi="宋体"/>
          <w:b/>
          <w:sz w:val="24"/>
          <w:szCs w:val="24"/>
          <w:highlight w:val="none"/>
        </w:rPr>
      </w:pPr>
      <w:bookmarkStart w:id="76" w:name="_Toc6230"/>
      <w:bookmarkEnd w:id="76"/>
      <w:bookmarkStart w:id="77" w:name="_Toc16680"/>
      <w:r>
        <w:rPr>
          <w:rFonts w:hint="eastAsia" w:ascii="宋体" w:hAnsi="宋体"/>
          <w:b/>
          <w:sz w:val="24"/>
          <w:szCs w:val="24"/>
          <w:highlight w:val="none"/>
        </w:rPr>
        <w:t>1.6 保密</w:t>
      </w:r>
      <w:bookmarkEnd w:id="77"/>
    </w:p>
    <w:p w14:paraId="5646B507">
      <w:pPr>
        <w:spacing w:line="360" w:lineRule="auto"/>
        <w:ind w:firstLine="480" w:firstLineChars="200"/>
        <w:rPr>
          <w:rFonts w:hint="eastAsia" w:ascii="宋体" w:hAnsi="宋体"/>
          <w:sz w:val="24"/>
          <w:szCs w:val="24"/>
          <w:highlight w:val="none"/>
        </w:rPr>
      </w:pPr>
      <w:r>
        <w:rPr>
          <w:rFonts w:hint="eastAsia" w:ascii="宋体" w:hAnsi="宋体"/>
          <w:sz w:val="24"/>
          <w:szCs w:val="24"/>
          <w:highlight w:val="none"/>
        </w:rPr>
        <w:t>参与招标投标活动的各方应对招标文件和投标文件中的商业和技术等秘密保密，则应承担相应的法律责任。</w:t>
      </w:r>
    </w:p>
    <w:p w14:paraId="23080499">
      <w:pPr>
        <w:spacing w:line="360" w:lineRule="auto"/>
        <w:rPr>
          <w:rFonts w:hint="eastAsia" w:ascii="宋体" w:hAnsi="宋体"/>
          <w:b/>
          <w:sz w:val="24"/>
          <w:szCs w:val="24"/>
          <w:highlight w:val="none"/>
        </w:rPr>
      </w:pPr>
      <w:bookmarkStart w:id="78" w:name="_Toc31781"/>
      <w:bookmarkEnd w:id="78"/>
      <w:bookmarkStart w:id="79" w:name="_Toc787"/>
      <w:r>
        <w:rPr>
          <w:rFonts w:hint="eastAsia" w:ascii="宋体" w:hAnsi="宋体"/>
          <w:b/>
          <w:sz w:val="24"/>
          <w:szCs w:val="24"/>
          <w:highlight w:val="none"/>
        </w:rPr>
        <w:t>1.7 语言文字</w:t>
      </w:r>
      <w:bookmarkEnd w:id="79"/>
    </w:p>
    <w:p w14:paraId="44E037FC">
      <w:pPr>
        <w:spacing w:line="360" w:lineRule="auto"/>
        <w:ind w:firstLine="480" w:firstLineChars="200"/>
        <w:rPr>
          <w:rFonts w:hint="eastAsia" w:ascii="宋体" w:hAnsi="宋体"/>
          <w:sz w:val="24"/>
          <w:szCs w:val="24"/>
          <w:highlight w:val="none"/>
        </w:rPr>
      </w:pPr>
      <w:r>
        <w:rPr>
          <w:rFonts w:hint="eastAsia" w:ascii="宋体" w:hAnsi="宋体"/>
          <w:sz w:val="24"/>
          <w:szCs w:val="24"/>
          <w:highlight w:val="none"/>
        </w:rPr>
        <w:t>招标投标文件使用的语言文字为中文。专用术语使用外文的，应附有中文注释。</w:t>
      </w:r>
    </w:p>
    <w:p w14:paraId="315E2EF2">
      <w:pPr>
        <w:spacing w:line="360" w:lineRule="auto"/>
        <w:rPr>
          <w:rFonts w:hint="eastAsia" w:ascii="宋体" w:hAnsi="宋体"/>
          <w:b/>
          <w:sz w:val="24"/>
          <w:szCs w:val="24"/>
          <w:highlight w:val="none"/>
        </w:rPr>
      </w:pPr>
      <w:bookmarkStart w:id="80" w:name="_Toc29423"/>
      <w:bookmarkEnd w:id="80"/>
      <w:bookmarkStart w:id="81" w:name="_Toc29116"/>
      <w:r>
        <w:rPr>
          <w:rFonts w:hint="eastAsia" w:ascii="宋体" w:hAnsi="宋体"/>
          <w:b/>
          <w:sz w:val="24"/>
          <w:szCs w:val="24"/>
          <w:highlight w:val="none"/>
        </w:rPr>
        <w:t>1.8 计量单位</w:t>
      </w:r>
      <w:bookmarkEnd w:id="81"/>
    </w:p>
    <w:p w14:paraId="361BD6F4">
      <w:pPr>
        <w:spacing w:line="360" w:lineRule="auto"/>
        <w:ind w:firstLine="480" w:firstLineChars="200"/>
        <w:rPr>
          <w:rFonts w:hint="eastAsia" w:ascii="宋体" w:hAnsi="宋体"/>
          <w:sz w:val="24"/>
          <w:szCs w:val="24"/>
          <w:highlight w:val="none"/>
        </w:rPr>
      </w:pPr>
      <w:r>
        <w:rPr>
          <w:rFonts w:hint="eastAsia" w:ascii="宋体" w:hAnsi="宋体"/>
          <w:sz w:val="24"/>
          <w:szCs w:val="24"/>
          <w:highlight w:val="none"/>
        </w:rPr>
        <w:t>所有计量均采用中华人民共和国法定计量单位。</w:t>
      </w:r>
    </w:p>
    <w:p w14:paraId="21F6EDB3">
      <w:pPr>
        <w:spacing w:line="360" w:lineRule="auto"/>
        <w:rPr>
          <w:rFonts w:hint="eastAsia" w:ascii="宋体" w:hAnsi="宋体"/>
          <w:b/>
          <w:color w:val="FF0000"/>
          <w:sz w:val="24"/>
          <w:szCs w:val="24"/>
          <w:highlight w:val="none"/>
        </w:rPr>
      </w:pPr>
      <w:bookmarkStart w:id="82" w:name="_Toc247527563"/>
      <w:bookmarkEnd w:id="82"/>
      <w:bookmarkStart w:id="83" w:name="_Toc152045539"/>
      <w:bookmarkEnd w:id="83"/>
      <w:bookmarkStart w:id="84" w:name="_Toc144974507"/>
      <w:bookmarkEnd w:id="84"/>
      <w:bookmarkStart w:id="85" w:name="_Toc247513962"/>
      <w:bookmarkEnd w:id="85"/>
      <w:bookmarkStart w:id="86" w:name="_Toc296602429"/>
      <w:bookmarkEnd w:id="86"/>
      <w:bookmarkStart w:id="87" w:name="_Toc152042315"/>
      <w:bookmarkEnd w:id="87"/>
      <w:bookmarkStart w:id="88" w:name="_Toc29812"/>
      <w:bookmarkEnd w:id="88"/>
      <w:bookmarkStart w:id="89" w:name="_Toc247592876"/>
      <w:bookmarkEnd w:id="89"/>
      <w:bookmarkStart w:id="90" w:name="_Toc29408"/>
      <w:r>
        <w:rPr>
          <w:rFonts w:hint="eastAsia" w:ascii="宋体" w:hAnsi="宋体"/>
          <w:b/>
          <w:sz w:val="24"/>
          <w:szCs w:val="24"/>
          <w:highlight w:val="none"/>
        </w:rPr>
        <w:t>1.9 现场</w:t>
      </w:r>
      <w:bookmarkEnd w:id="90"/>
      <w:r>
        <w:rPr>
          <w:rFonts w:hint="eastAsia" w:ascii="宋体" w:hAnsi="宋体"/>
          <w:b/>
          <w:sz w:val="24"/>
          <w:szCs w:val="24"/>
          <w:highlight w:val="none"/>
        </w:rPr>
        <w:t>考察</w:t>
      </w:r>
    </w:p>
    <w:p w14:paraId="6357A5DE">
      <w:pPr>
        <w:spacing w:line="360" w:lineRule="auto"/>
        <w:ind w:firstLine="480" w:firstLineChars="200"/>
        <w:rPr>
          <w:rFonts w:hint="eastAsia" w:ascii="宋体" w:hAnsi="宋体"/>
          <w:sz w:val="24"/>
          <w:szCs w:val="24"/>
          <w:highlight w:val="none"/>
        </w:rPr>
      </w:pPr>
      <w:r>
        <w:rPr>
          <w:rFonts w:hint="eastAsia" w:ascii="宋体" w:hAnsi="宋体"/>
          <w:sz w:val="24"/>
          <w:szCs w:val="24"/>
          <w:highlight w:val="none"/>
        </w:rPr>
        <w:t>1.9.1 投标人须知前附表规定组织现场考察的，</w:t>
      </w:r>
      <w:r>
        <w:rPr>
          <w:rFonts w:hint="eastAsia" w:ascii="宋体" w:hAnsi="宋体"/>
          <w:sz w:val="24"/>
          <w:szCs w:val="24"/>
          <w:highlight w:val="none"/>
          <w:lang w:eastAsia="zh-CN"/>
        </w:rPr>
        <w:t>采购人</w:t>
      </w:r>
      <w:r>
        <w:rPr>
          <w:rFonts w:hint="eastAsia" w:ascii="宋体" w:hAnsi="宋体"/>
          <w:sz w:val="24"/>
          <w:szCs w:val="24"/>
          <w:highlight w:val="none"/>
        </w:rPr>
        <w:t xml:space="preserve">按投标人须知前附表规定的时间、地点组织投标人考察项目现场。 </w:t>
      </w:r>
    </w:p>
    <w:p w14:paraId="348A378A">
      <w:pPr>
        <w:spacing w:line="360" w:lineRule="auto"/>
        <w:ind w:firstLine="480" w:firstLineChars="200"/>
        <w:rPr>
          <w:rFonts w:hint="eastAsia" w:ascii="宋体" w:hAnsi="宋体"/>
          <w:sz w:val="24"/>
          <w:szCs w:val="24"/>
          <w:highlight w:val="none"/>
        </w:rPr>
      </w:pPr>
      <w:r>
        <w:rPr>
          <w:rFonts w:hint="eastAsia" w:ascii="宋体" w:hAnsi="宋体"/>
          <w:sz w:val="24"/>
          <w:szCs w:val="24"/>
          <w:highlight w:val="none"/>
        </w:rPr>
        <w:t>1.9.2 投标人考察现场发生的费用自理。</w:t>
      </w:r>
    </w:p>
    <w:p w14:paraId="735DA5B4">
      <w:pPr>
        <w:spacing w:line="360" w:lineRule="auto"/>
        <w:ind w:firstLine="480" w:firstLineChars="200"/>
        <w:rPr>
          <w:rFonts w:hint="eastAsia" w:ascii="宋体" w:hAnsi="宋体"/>
          <w:sz w:val="24"/>
          <w:szCs w:val="24"/>
          <w:highlight w:val="none"/>
        </w:rPr>
      </w:pPr>
      <w:r>
        <w:rPr>
          <w:rFonts w:hint="eastAsia" w:ascii="宋体" w:hAnsi="宋体"/>
          <w:sz w:val="24"/>
          <w:szCs w:val="24"/>
          <w:highlight w:val="none"/>
        </w:rPr>
        <w:t>1.9.3 除采购人的原因外，投标人自行负责在考察现场中所发生的人员伤亡和财产损失。</w:t>
      </w:r>
    </w:p>
    <w:p w14:paraId="32B977AF">
      <w:pPr>
        <w:spacing w:line="360" w:lineRule="auto"/>
        <w:ind w:firstLine="480" w:firstLineChars="200"/>
        <w:rPr>
          <w:rFonts w:hint="eastAsia" w:ascii="宋体" w:hAnsi="宋体"/>
          <w:sz w:val="24"/>
          <w:szCs w:val="24"/>
          <w:highlight w:val="none"/>
        </w:rPr>
      </w:pPr>
      <w:r>
        <w:rPr>
          <w:rFonts w:hint="eastAsia" w:ascii="宋体" w:hAnsi="宋体"/>
          <w:sz w:val="24"/>
          <w:szCs w:val="24"/>
          <w:highlight w:val="none"/>
        </w:rPr>
        <w:t>1.9.4 采购人在考察现场中介绍的项目场地和相关的周边环境情况，供投标人在编制投标文件时参考，采购人不对投标人据此作出的判断和决策负责。</w:t>
      </w:r>
    </w:p>
    <w:p w14:paraId="66ACB127">
      <w:pPr>
        <w:pStyle w:val="3"/>
        <w:spacing w:before="0" w:after="0" w:line="360" w:lineRule="auto"/>
        <w:rPr>
          <w:rFonts w:hint="eastAsia" w:ascii="宋体" w:hAnsi="宋体" w:eastAsia="宋体"/>
          <w:sz w:val="28"/>
          <w:szCs w:val="28"/>
          <w:highlight w:val="none"/>
        </w:rPr>
      </w:pPr>
      <w:bookmarkStart w:id="91" w:name="_Toc32012"/>
      <w:bookmarkEnd w:id="91"/>
      <w:bookmarkStart w:id="92" w:name="_Toc31795"/>
      <w:bookmarkEnd w:id="92"/>
      <w:bookmarkStart w:id="93" w:name="_Toc31848"/>
      <w:bookmarkEnd w:id="93"/>
      <w:bookmarkStart w:id="94" w:name="_Toc587"/>
      <w:bookmarkEnd w:id="94"/>
      <w:bookmarkStart w:id="95" w:name="_Toc19514"/>
      <w:bookmarkStart w:id="96" w:name="_Toc31733"/>
      <w:r>
        <w:rPr>
          <w:rFonts w:hint="eastAsia" w:ascii="宋体" w:hAnsi="宋体" w:eastAsia="宋体"/>
          <w:sz w:val="28"/>
          <w:szCs w:val="28"/>
          <w:highlight w:val="none"/>
        </w:rPr>
        <w:t>2. 招标文件</w:t>
      </w:r>
      <w:bookmarkEnd w:id="95"/>
      <w:bookmarkEnd w:id="96"/>
    </w:p>
    <w:p w14:paraId="48545206">
      <w:pPr>
        <w:spacing w:line="360" w:lineRule="auto"/>
        <w:rPr>
          <w:rFonts w:hint="eastAsia" w:ascii="宋体" w:hAnsi="宋体"/>
          <w:b/>
          <w:sz w:val="24"/>
          <w:szCs w:val="24"/>
          <w:highlight w:val="none"/>
        </w:rPr>
      </w:pPr>
      <w:bookmarkStart w:id="97" w:name="_Toc21536"/>
      <w:bookmarkEnd w:id="97"/>
      <w:bookmarkStart w:id="98" w:name="_Toc16596"/>
      <w:r>
        <w:rPr>
          <w:rFonts w:hint="eastAsia" w:ascii="宋体" w:hAnsi="宋体"/>
          <w:b/>
          <w:sz w:val="24"/>
          <w:szCs w:val="24"/>
          <w:highlight w:val="none"/>
        </w:rPr>
        <w:t>2.1 招标文件的组成</w:t>
      </w:r>
      <w:bookmarkEnd w:id="98"/>
    </w:p>
    <w:p w14:paraId="263AE22D">
      <w:pPr>
        <w:spacing w:line="360" w:lineRule="auto"/>
        <w:ind w:firstLine="480" w:firstLineChars="200"/>
        <w:rPr>
          <w:rFonts w:hint="eastAsia" w:ascii="宋体" w:hAnsi="宋体"/>
          <w:sz w:val="24"/>
          <w:szCs w:val="24"/>
          <w:highlight w:val="none"/>
        </w:rPr>
      </w:pPr>
      <w:r>
        <w:rPr>
          <w:rFonts w:hint="eastAsia" w:ascii="宋体" w:hAnsi="宋体"/>
          <w:sz w:val="24"/>
          <w:szCs w:val="24"/>
          <w:highlight w:val="none"/>
        </w:rPr>
        <w:t>本招标文件包括：</w:t>
      </w:r>
    </w:p>
    <w:p w14:paraId="7E06C579">
      <w:pPr>
        <w:spacing w:line="360" w:lineRule="auto"/>
        <w:ind w:firstLine="540" w:firstLineChars="225"/>
        <w:rPr>
          <w:rFonts w:hint="eastAsia" w:ascii="宋体" w:hAnsi="宋体"/>
          <w:sz w:val="24"/>
          <w:szCs w:val="24"/>
          <w:highlight w:val="none"/>
        </w:rPr>
      </w:pPr>
      <w:r>
        <w:rPr>
          <w:rFonts w:hint="eastAsia" w:ascii="宋体" w:hAnsi="宋体"/>
          <w:sz w:val="24"/>
          <w:szCs w:val="24"/>
          <w:highlight w:val="none"/>
        </w:rPr>
        <w:t>(1)招标公告；</w:t>
      </w:r>
    </w:p>
    <w:p w14:paraId="25D881C8">
      <w:pPr>
        <w:spacing w:line="360" w:lineRule="auto"/>
        <w:ind w:firstLine="540" w:firstLineChars="225"/>
        <w:rPr>
          <w:rFonts w:hint="eastAsia" w:ascii="宋体" w:hAnsi="宋体"/>
          <w:sz w:val="24"/>
          <w:szCs w:val="24"/>
          <w:highlight w:val="none"/>
        </w:rPr>
      </w:pPr>
      <w:r>
        <w:rPr>
          <w:rFonts w:hint="eastAsia" w:ascii="宋体" w:hAnsi="宋体"/>
          <w:sz w:val="24"/>
          <w:szCs w:val="24"/>
          <w:highlight w:val="none"/>
        </w:rPr>
        <w:t>(2)投标人须知；</w:t>
      </w:r>
    </w:p>
    <w:p w14:paraId="022EFEC2">
      <w:pPr>
        <w:spacing w:line="360" w:lineRule="auto"/>
        <w:ind w:firstLine="540" w:firstLineChars="225"/>
        <w:rPr>
          <w:rFonts w:hint="eastAsia" w:ascii="宋体" w:hAnsi="宋体"/>
          <w:sz w:val="24"/>
          <w:szCs w:val="24"/>
          <w:highlight w:val="none"/>
        </w:rPr>
      </w:pPr>
      <w:r>
        <w:rPr>
          <w:rFonts w:hint="eastAsia" w:ascii="宋体" w:hAnsi="宋体"/>
          <w:sz w:val="24"/>
          <w:szCs w:val="24"/>
          <w:highlight w:val="none"/>
        </w:rPr>
        <w:t>(3)资格审查；</w:t>
      </w:r>
    </w:p>
    <w:p w14:paraId="70B0D9C3">
      <w:pPr>
        <w:spacing w:line="360" w:lineRule="auto"/>
        <w:ind w:firstLine="540" w:firstLineChars="225"/>
        <w:rPr>
          <w:rFonts w:hint="eastAsia" w:ascii="宋体" w:hAnsi="宋体"/>
          <w:sz w:val="24"/>
          <w:szCs w:val="24"/>
          <w:highlight w:val="none"/>
        </w:rPr>
      </w:pPr>
      <w:r>
        <w:rPr>
          <w:rFonts w:hint="eastAsia" w:ascii="宋体" w:hAnsi="宋体"/>
          <w:sz w:val="24"/>
          <w:szCs w:val="24"/>
          <w:highlight w:val="none"/>
        </w:rPr>
        <w:t>(4)评标办法；</w:t>
      </w:r>
    </w:p>
    <w:p w14:paraId="4E7DAD76">
      <w:pPr>
        <w:spacing w:line="360" w:lineRule="auto"/>
        <w:ind w:firstLine="540" w:firstLineChars="225"/>
        <w:rPr>
          <w:rFonts w:hint="eastAsia" w:ascii="宋体" w:hAnsi="宋体"/>
          <w:sz w:val="24"/>
          <w:szCs w:val="24"/>
          <w:highlight w:val="none"/>
        </w:rPr>
      </w:pPr>
      <w:r>
        <w:rPr>
          <w:rFonts w:hint="eastAsia" w:ascii="宋体" w:hAnsi="宋体"/>
          <w:sz w:val="24"/>
          <w:szCs w:val="24"/>
          <w:highlight w:val="none"/>
        </w:rPr>
        <w:t>(5)合同条款及格式；</w:t>
      </w:r>
    </w:p>
    <w:p w14:paraId="31C41A8E">
      <w:pPr>
        <w:spacing w:line="360" w:lineRule="auto"/>
        <w:ind w:firstLine="540" w:firstLineChars="225"/>
        <w:rPr>
          <w:rFonts w:hint="eastAsia" w:ascii="宋体" w:hAnsi="宋体"/>
          <w:sz w:val="24"/>
          <w:szCs w:val="24"/>
          <w:highlight w:val="none"/>
        </w:rPr>
      </w:pPr>
      <w:r>
        <w:rPr>
          <w:rFonts w:hint="eastAsia" w:ascii="宋体" w:hAnsi="宋体"/>
          <w:sz w:val="24"/>
          <w:szCs w:val="24"/>
          <w:highlight w:val="none"/>
        </w:rPr>
        <w:t>(6)</w:t>
      </w:r>
      <w:r>
        <w:rPr>
          <w:rFonts w:hint="eastAsia" w:ascii="宋体" w:hAnsi="宋体"/>
          <w:sz w:val="24"/>
          <w:szCs w:val="24"/>
          <w:highlight w:val="none"/>
          <w:lang w:eastAsia="zh-CN"/>
        </w:rPr>
        <w:t>招标内容及要求</w:t>
      </w:r>
      <w:r>
        <w:rPr>
          <w:rFonts w:hint="eastAsia" w:ascii="宋体" w:hAnsi="宋体"/>
          <w:sz w:val="24"/>
          <w:szCs w:val="24"/>
          <w:highlight w:val="none"/>
        </w:rPr>
        <w:t>；</w:t>
      </w:r>
    </w:p>
    <w:p w14:paraId="339A5DD5">
      <w:pPr>
        <w:spacing w:line="360" w:lineRule="auto"/>
        <w:ind w:firstLine="540" w:firstLineChars="225"/>
        <w:rPr>
          <w:rFonts w:hint="eastAsia" w:ascii="宋体" w:hAnsi="宋体"/>
          <w:sz w:val="24"/>
          <w:szCs w:val="24"/>
          <w:highlight w:val="none"/>
        </w:rPr>
      </w:pPr>
      <w:r>
        <w:rPr>
          <w:rFonts w:hint="eastAsia" w:ascii="宋体" w:hAnsi="宋体"/>
          <w:sz w:val="24"/>
          <w:szCs w:val="24"/>
          <w:highlight w:val="none"/>
        </w:rPr>
        <w:t>(7)投标文件格式；</w:t>
      </w:r>
    </w:p>
    <w:p w14:paraId="5BCEC147">
      <w:pPr>
        <w:spacing w:line="360" w:lineRule="auto"/>
        <w:ind w:firstLine="540" w:firstLineChars="225"/>
        <w:rPr>
          <w:rFonts w:hint="eastAsia" w:ascii="宋体" w:hAnsi="宋体"/>
          <w:sz w:val="24"/>
          <w:szCs w:val="24"/>
          <w:highlight w:val="none"/>
        </w:rPr>
      </w:pPr>
      <w:r>
        <w:rPr>
          <w:rFonts w:hint="eastAsia" w:ascii="宋体" w:hAnsi="宋体"/>
          <w:sz w:val="24"/>
          <w:szCs w:val="24"/>
          <w:highlight w:val="none"/>
        </w:rPr>
        <w:t>(8)投标人须知前附表规定的其他材料。</w:t>
      </w:r>
    </w:p>
    <w:p w14:paraId="2A0A2455">
      <w:pPr>
        <w:spacing w:line="360" w:lineRule="auto"/>
        <w:ind w:firstLine="480" w:firstLineChars="200"/>
        <w:rPr>
          <w:rFonts w:hint="eastAsia" w:ascii="宋体" w:hAnsi="宋体"/>
          <w:sz w:val="24"/>
          <w:szCs w:val="24"/>
          <w:highlight w:val="none"/>
        </w:rPr>
      </w:pPr>
      <w:r>
        <w:rPr>
          <w:rFonts w:hint="eastAsia" w:ascii="宋体" w:hAnsi="宋体"/>
          <w:sz w:val="24"/>
          <w:szCs w:val="24"/>
          <w:highlight w:val="none"/>
        </w:rPr>
        <w:t>根据本章第2.2 款对招标文件所作的澄清、修改，构成招标文件的组成部分。</w:t>
      </w:r>
    </w:p>
    <w:p w14:paraId="70109B61">
      <w:pPr>
        <w:spacing w:line="360" w:lineRule="auto"/>
        <w:rPr>
          <w:rFonts w:hint="eastAsia" w:ascii="宋体" w:hAnsi="宋体" w:eastAsia="宋体" w:cs="宋体"/>
          <w:b/>
          <w:sz w:val="24"/>
          <w:szCs w:val="24"/>
        </w:rPr>
      </w:pPr>
      <w:bookmarkStart w:id="99" w:name="_Toc23003"/>
      <w:bookmarkEnd w:id="99"/>
      <w:bookmarkStart w:id="100" w:name="_Toc24916"/>
      <w:bookmarkEnd w:id="100"/>
      <w:bookmarkStart w:id="101" w:name="_Toc29741"/>
      <w:bookmarkEnd w:id="101"/>
      <w:bookmarkStart w:id="102" w:name="_Toc16663"/>
      <w:bookmarkEnd w:id="102"/>
      <w:bookmarkStart w:id="103" w:name="_Toc515904805"/>
      <w:bookmarkStart w:id="104" w:name="_Toc520356148"/>
      <w:bookmarkStart w:id="105" w:name="_Toc2582270"/>
      <w:bookmarkStart w:id="106" w:name="_Toc9232"/>
      <w:bookmarkStart w:id="107" w:name="_Toc26044"/>
      <w:bookmarkStart w:id="108" w:name="_Toc532473456"/>
      <w:bookmarkStart w:id="109" w:name="_Toc24768"/>
      <w:r>
        <w:rPr>
          <w:rFonts w:hint="eastAsia" w:ascii="宋体" w:hAnsi="宋体" w:cs="宋体"/>
          <w:b/>
          <w:sz w:val="24"/>
          <w:szCs w:val="24"/>
          <w:lang w:val="en-US" w:eastAsia="zh-CN"/>
        </w:rPr>
        <w:t xml:space="preserve">2.2 </w:t>
      </w:r>
      <w:r>
        <w:rPr>
          <w:rFonts w:hint="eastAsia" w:ascii="宋体" w:hAnsi="宋体" w:eastAsia="宋体" w:cs="宋体"/>
          <w:b/>
          <w:sz w:val="24"/>
          <w:szCs w:val="24"/>
        </w:rPr>
        <w:t>招标文件的澄清</w:t>
      </w:r>
      <w:bookmarkEnd w:id="103"/>
      <w:bookmarkEnd w:id="104"/>
      <w:r>
        <w:rPr>
          <w:rFonts w:hint="eastAsia" w:ascii="宋体" w:hAnsi="宋体" w:eastAsia="宋体" w:cs="宋体"/>
          <w:b/>
          <w:sz w:val="24"/>
          <w:szCs w:val="24"/>
        </w:rPr>
        <w:t>与修改</w:t>
      </w:r>
      <w:bookmarkEnd w:id="105"/>
      <w:bookmarkEnd w:id="106"/>
      <w:bookmarkEnd w:id="107"/>
      <w:bookmarkEnd w:id="108"/>
    </w:p>
    <w:p w14:paraId="42407C81">
      <w:pPr>
        <w:spacing w:line="360" w:lineRule="auto"/>
        <w:ind w:firstLine="480" w:firstLineChars="200"/>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2.2.</w:t>
      </w:r>
      <w:r>
        <w:rPr>
          <w:rFonts w:hint="eastAsia" w:ascii="宋体" w:hAnsi="宋体" w:eastAsia="宋体" w:cs="宋体"/>
          <w:sz w:val="24"/>
          <w:szCs w:val="24"/>
          <w:highlight w:val="none"/>
          <w:lang w:val="en-US" w:eastAsia="zh-CN"/>
        </w:rPr>
        <w:t>1</w:t>
      </w:r>
      <w:r>
        <w:rPr>
          <w:rFonts w:hint="eastAsia" w:ascii="宋体" w:hAnsi="宋体" w:eastAsia="宋体" w:cs="宋体"/>
          <w:sz w:val="24"/>
          <w:szCs w:val="24"/>
          <w:highlight w:val="none"/>
          <w:lang w:eastAsia="zh-CN"/>
        </w:rPr>
        <w:t>投标人应仔细阅读和检查招标文件的全部内容。如发现缺页或附件不全，应及时向采购代理机构提出，以便补齐。</w:t>
      </w:r>
    </w:p>
    <w:p w14:paraId="7CB76371">
      <w:pPr>
        <w:spacing w:line="360" w:lineRule="auto"/>
        <w:ind w:firstLine="480" w:firstLineChars="20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2.2.2采购人、采购代理机构可以对已发出的招标文件等进行必要的澄清或者修改。澄清或者修改的内容为招标文件的组成部分。澄清或者修改应当在原公告发布媒体上发布更正公告</w:t>
      </w:r>
      <w:r>
        <w:rPr>
          <w:rFonts w:hint="eastAsia" w:ascii="宋体" w:hAnsi="宋体" w:cs="宋体"/>
          <w:sz w:val="24"/>
          <w:szCs w:val="24"/>
          <w:highlight w:val="none"/>
          <w:lang w:val="en-US" w:eastAsia="zh-CN"/>
        </w:rPr>
        <w:t>。</w:t>
      </w:r>
    </w:p>
    <w:p w14:paraId="6E9E744C">
      <w:pPr>
        <w:spacing w:line="360" w:lineRule="auto"/>
        <w:ind w:firstLine="480" w:firstLineChars="200"/>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2.2.</w:t>
      </w:r>
      <w:r>
        <w:rPr>
          <w:rFonts w:hint="eastAsia" w:ascii="宋体" w:hAnsi="宋体" w:eastAsia="宋体" w:cs="宋体"/>
          <w:sz w:val="24"/>
          <w:szCs w:val="24"/>
          <w:highlight w:val="none"/>
          <w:lang w:val="en-US" w:eastAsia="zh-CN"/>
        </w:rPr>
        <w:t>3</w:t>
      </w:r>
      <w:r>
        <w:rPr>
          <w:rFonts w:hint="eastAsia" w:ascii="宋体" w:hAnsi="宋体" w:eastAsia="宋体" w:cs="宋体"/>
          <w:sz w:val="24"/>
          <w:szCs w:val="24"/>
          <w:highlight w:val="none"/>
          <w:lang w:eastAsia="zh-CN"/>
        </w:rPr>
        <w:t>招标文件的澄清</w:t>
      </w:r>
      <w:r>
        <w:rPr>
          <w:rFonts w:hint="eastAsia" w:ascii="宋体" w:hAnsi="宋体" w:eastAsia="宋体" w:cs="宋体"/>
          <w:sz w:val="24"/>
          <w:szCs w:val="24"/>
          <w:highlight w:val="none"/>
          <w:lang w:val="en-US" w:eastAsia="zh-CN"/>
        </w:rPr>
        <w:t>或者修改</w:t>
      </w:r>
      <w:r>
        <w:rPr>
          <w:rFonts w:hint="eastAsia" w:ascii="宋体" w:hAnsi="宋体" w:eastAsia="宋体" w:cs="宋体"/>
          <w:sz w:val="24"/>
          <w:szCs w:val="24"/>
          <w:highlight w:val="none"/>
          <w:lang w:eastAsia="zh-CN"/>
        </w:rPr>
        <w:t>以投标人须知前附表规定的形式发出，但不指明澄清问题的来源。澄清</w:t>
      </w:r>
      <w:r>
        <w:rPr>
          <w:rFonts w:hint="eastAsia" w:ascii="宋体" w:hAnsi="宋体" w:cs="宋体"/>
          <w:sz w:val="24"/>
          <w:szCs w:val="24"/>
          <w:highlight w:val="none"/>
          <w:lang w:eastAsia="zh-CN"/>
        </w:rPr>
        <w:t>或者修改</w:t>
      </w:r>
      <w:r>
        <w:rPr>
          <w:rFonts w:hint="eastAsia" w:ascii="宋体" w:hAnsi="宋体" w:eastAsia="宋体" w:cs="宋体"/>
          <w:sz w:val="24"/>
          <w:szCs w:val="24"/>
          <w:highlight w:val="none"/>
          <w:lang w:eastAsia="zh-CN"/>
        </w:rPr>
        <w:t>发出的时间距本章第4.2.1项规定的投标截止时间不足15日的，并且澄清</w:t>
      </w:r>
      <w:r>
        <w:rPr>
          <w:rFonts w:hint="eastAsia" w:ascii="宋体" w:hAnsi="宋体" w:cs="宋体"/>
          <w:sz w:val="24"/>
          <w:szCs w:val="24"/>
          <w:highlight w:val="none"/>
          <w:lang w:eastAsia="zh-CN"/>
        </w:rPr>
        <w:t>或者修改</w:t>
      </w:r>
      <w:r>
        <w:rPr>
          <w:rFonts w:hint="eastAsia" w:ascii="宋体" w:hAnsi="宋体" w:eastAsia="宋体" w:cs="宋体"/>
          <w:sz w:val="24"/>
          <w:szCs w:val="24"/>
          <w:highlight w:val="none"/>
          <w:lang w:eastAsia="zh-CN"/>
        </w:rPr>
        <w:t>内容可能影响投标文件编制的，将相应延长投标截止时间。</w:t>
      </w:r>
    </w:p>
    <w:p w14:paraId="3BFA3162">
      <w:pPr>
        <w:spacing w:line="360" w:lineRule="auto"/>
        <w:ind w:firstLine="480" w:firstLineChars="200"/>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2.2.4招标文件中有不一致的，有澄清的部分以最终的澄清更正内容为准；未澄清的，以投标人须知前附表为准；投标人须知前附表不涉及的内容，以编排在后的最后描述为准。</w:t>
      </w:r>
    </w:p>
    <w:p w14:paraId="27B669CD">
      <w:pPr>
        <w:pStyle w:val="3"/>
        <w:spacing w:before="0" w:after="0" w:line="360" w:lineRule="auto"/>
        <w:rPr>
          <w:rFonts w:hint="eastAsia" w:ascii="宋体" w:hAnsi="宋体" w:eastAsia="宋体"/>
          <w:sz w:val="28"/>
          <w:szCs w:val="28"/>
          <w:highlight w:val="none"/>
        </w:rPr>
      </w:pPr>
      <w:bookmarkStart w:id="110" w:name="_Toc28991"/>
      <w:r>
        <w:rPr>
          <w:rFonts w:hint="eastAsia" w:ascii="宋体" w:hAnsi="宋体" w:eastAsia="宋体"/>
          <w:sz w:val="28"/>
          <w:szCs w:val="28"/>
          <w:highlight w:val="none"/>
        </w:rPr>
        <w:t>3. 投标文件</w:t>
      </w:r>
      <w:bookmarkEnd w:id="109"/>
      <w:bookmarkEnd w:id="110"/>
    </w:p>
    <w:p w14:paraId="008C4673">
      <w:pPr>
        <w:spacing w:line="360" w:lineRule="auto"/>
        <w:rPr>
          <w:rFonts w:hint="eastAsia" w:ascii="宋体" w:hAnsi="宋体"/>
          <w:b/>
          <w:sz w:val="24"/>
          <w:szCs w:val="24"/>
          <w:highlight w:val="none"/>
        </w:rPr>
      </w:pPr>
      <w:bookmarkStart w:id="111" w:name="_Toc2432"/>
      <w:bookmarkEnd w:id="111"/>
      <w:bookmarkStart w:id="112" w:name="_Toc4962"/>
      <w:r>
        <w:rPr>
          <w:rFonts w:hint="eastAsia" w:ascii="宋体" w:hAnsi="宋体"/>
          <w:b/>
          <w:sz w:val="24"/>
          <w:szCs w:val="24"/>
          <w:highlight w:val="none"/>
        </w:rPr>
        <w:t>3.1 投标文件的组成</w:t>
      </w:r>
      <w:bookmarkEnd w:id="112"/>
    </w:p>
    <w:p w14:paraId="2FF81566">
      <w:pPr>
        <w:spacing w:line="360" w:lineRule="auto"/>
        <w:ind w:firstLine="480" w:firstLineChars="200"/>
        <w:rPr>
          <w:rFonts w:hint="eastAsia" w:ascii="宋体" w:hAnsi="宋体"/>
          <w:sz w:val="24"/>
          <w:szCs w:val="24"/>
          <w:highlight w:val="none"/>
        </w:rPr>
      </w:pPr>
      <w:r>
        <w:rPr>
          <w:rFonts w:hint="eastAsia" w:ascii="宋体" w:hAnsi="宋体"/>
          <w:sz w:val="24"/>
          <w:szCs w:val="24"/>
          <w:highlight w:val="none"/>
        </w:rPr>
        <w:t>3.1.1 投标文件资格审查部分详见第七章“投标文件格式”资格审查部分中的内容。</w:t>
      </w:r>
    </w:p>
    <w:p w14:paraId="5ABB3EBC">
      <w:pPr>
        <w:spacing w:line="360" w:lineRule="auto"/>
        <w:ind w:firstLine="480" w:firstLineChars="200"/>
        <w:rPr>
          <w:rFonts w:hint="eastAsia" w:ascii="宋体" w:hAnsi="宋体"/>
          <w:sz w:val="24"/>
          <w:szCs w:val="24"/>
          <w:highlight w:val="none"/>
        </w:rPr>
      </w:pPr>
      <w:r>
        <w:rPr>
          <w:rFonts w:hint="eastAsia" w:ascii="宋体" w:hAnsi="宋体"/>
          <w:sz w:val="24"/>
          <w:szCs w:val="24"/>
          <w:highlight w:val="none"/>
        </w:rPr>
        <w:t>3.1.2 投标文件商务技术部分详见第七章“投标文件格式”商务技术部分中的内容。</w:t>
      </w:r>
    </w:p>
    <w:p w14:paraId="2C5200F9">
      <w:pPr>
        <w:spacing w:line="360" w:lineRule="auto"/>
        <w:ind w:firstLine="540" w:firstLineChars="225"/>
        <w:rPr>
          <w:rFonts w:hint="eastAsia" w:ascii="宋体" w:hAnsi="宋体"/>
          <w:sz w:val="24"/>
          <w:szCs w:val="24"/>
          <w:highlight w:val="none"/>
        </w:rPr>
      </w:pPr>
      <w:r>
        <w:rPr>
          <w:rFonts w:hint="eastAsia" w:ascii="宋体" w:hAnsi="宋体"/>
          <w:sz w:val="24"/>
          <w:szCs w:val="24"/>
          <w:highlight w:val="none"/>
        </w:rPr>
        <w:t>投标人在评标过程中作出的符合法律法规和招标文件规定的澄清确认，构成投标文件的组成部分。</w:t>
      </w:r>
    </w:p>
    <w:p w14:paraId="3486A438">
      <w:pPr>
        <w:spacing w:line="360" w:lineRule="auto"/>
        <w:ind w:firstLine="540" w:firstLineChars="225"/>
        <w:rPr>
          <w:rFonts w:hint="eastAsia" w:ascii="宋体" w:hAnsi="宋体" w:eastAsia="宋体"/>
          <w:sz w:val="24"/>
          <w:szCs w:val="24"/>
          <w:highlight w:val="none"/>
          <w:lang w:val="en-US" w:eastAsia="zh-CN"/>
        </w:rPr>
      </w:pPr>
      <w:r>
        <w:rPr>
          <w:rFonts w:hint="eastAsia" w:ascii="宋体" w:hAnsi="宋体"/>
          <w:sz w:val="24"/>
          <w:szCs w:val="24"/>
          <w:highlight w:val="none"/>
        </w:rPr>
        <w:t>3.1.3 投标人须知前附表未要求提交投标保证金的，投标文件不包括第七章“投标文件格式”商务技术部分中所指的投标保证金。</w:t>
      </w:r>
      <w:r>
        <w:rPr>
          <w:rFonts w:hint="eastAsia" w:ascii="宋体" w:hAnsi="宋体"/>
          <w:sz w:val="24"/>
          <w:szCs w:val="24"/>
          <w:highlight w:val="none"/>
          <w:lang w:val="en-US" w:eastAsia="zh-CN"/>
        </w:rPr>
        <w:t xml:space="preserve"> </w:t>
      </w:r>
    </w:p>
    <w:p w14:paraId="63419DA3">
      <w:pPr>
        <w:spacing w:line="360" w:lineRule="auto"/>
        <w:rPr>
          <w:rFonts w:hint="eastAsia" w:ascii="宋体" w:hAnsi="宋体"/>
          <w:b/>
          <w:sz w:val="24"/>
          <w:szCs w:val="24"/>
          <w:highlight w:val="none"/>
        </w:rPr>
      </w:pPr>
      <w:bookmarkStart w:id="113" w:name="_Toc3252"/>
      <w:bookmarkEnd w:id="113"/>
      <w:bookmarkStart w:id="114" w:name="_Toc21369"/>
      <w:r>
        <w:rPr>
          <w:rFonts w:hint="eastAsia" w:ascii="宋体" w:hAnsi="宋体"/>
          <w:b/>
          <w:sz w:val="24"/>
          <w:szCs w:val="24"/>
          <w:highlight w:val="none"/>
        </w:rPr>
        <w:t>3.2 投标报价</w:t>
      </w:r>
      <w:bookmarkEnd w:id="114"/>
    </w:p>
    <w:p w14:paraId="5E868D95">
      <w:pPr>
        <w:spacing w:line="360" w:lineRule="auto"/>
        <w:ind w:firstLine="540" w:firstLineChars="225"/>
        <w:rPr>
          <w:rFonts w:hint="eastAsia" w:ascii="宋体" w:hAnsi="宋体"/>
          <w:sz w:val="24"/>
          <w:szCs w:val="24"/>
          <w:highlight w:val="none"/>
        </w:rPr>
      </w:pPr>
      <w:r>
        <w:rPr>
          <w:rFonts w:hint="eastAsia" w:ascii="宋体" w:hAnsi="宋体"/>
          <w:sz w:val="24"/>
          <w:szCs w:val="24"/>
          <w:highlight w:val="none"/>
        </w:rPr>
        <w:t>3.2.1 投标人应按第七章“投标文件格式”的要求在投标函中进行报价并填写分项报价表。</w:t>
      </w:r>
    </w:p>
    <w:p w14:paraId="1FE86F41">
      <w:pPr>
        <w:spacing w:line="360" w:lineRule="auto"/>
        <w:ind w:firstLine="540" w:firstLineChars="225"/>
        <w:rPr>
          <w:rFonts w:hint="eastAsia" w:ascii="宋体" w:hAnsi="宋体"/>
          <w:sz w:val="24"/>
          <w:szCs w:val="24"/>
          <w:highlight w:val="none"/>
        </w:rPr>
      </w:pPr>
      <w:r>
        <w:rPr>
          <w:rFonts w:hint="eastAsia" w:ascii="宋体" w:hAnsi="宋体"/>
          <w:sz w:val="24"/>
          <w:szCs w:val="24"/>
          <w:highlight w:val="none"/>
        </w:rPr>
        <w:t>3.2.2 投标人应充分了解该项目的总体情况以及影响投标报价的其他要素。</w:t>
      </w:r>
    </w:p>
    <w:p w14:paraId="11BBAED3">
      <w:pPr>
        <w:spacing w:line="360" w:lineRule="auto"/>
        <w:ind w:firstLine="540" w:firstLineChars="225"/>
        <w:rPr>
          <w:rFonts w:hint="eastAsia" w:ascii="宋体" w:hAnsi="宋体"/>
          <w:color w:val="auto"/>
          <w:sz w:val="24"/>
          <w:szCs w:val="24"/>
          <w:highlight w:val="none"/>
        </w:rPr>
      </w:pPr>
      <w:r>
        <w:rPr>
          <w:rFonts w:hint="eastAsia" w:ascii="宋体" w:hAnsi="宋体"/>
          <w:sz w:val="24"/>
          <w:szCs w:val="24"/>
          <w:highlight w:val="none"/>
        </w:rPr>
        <w:t>3.2.3 投标人的投标报价不得超过预算金额，</w:t>
      </w:r>
      <w:r>
        <w:rPr>
          <w:rFonts w:hint="eastAsia" w:ascii="宋体" w:hAnsi="宋体"/>
          <w:color w:val="auto"/>
          <w:sz w:val="24"/>
          <w:szCs w:val="24"/>
          <w:highlight w:val="none"/>
        </w:rPr>
        <w:t>若采购人还设有最高投标限价的，投标人的投标报价还应当不得超过最高投标限价，最高投标限价在投标人须知前附表中载明。</w:t>
      </w:r>
    </w:p>
    <w:p w14:paraId="607CB824">
      <w:pPr>
        <w:spacing w:line="360" w:lineRule="auto"/>
        <w:ind w:firstLine="540" w:firstLineChars="225"/>
        <w:rPr>
          <w:rFonts w:hint="eastAsia" w:ascii="宋体" w:hAnsi="宋体"/>
          <w:sz w:val="24"/>
          <w:szCs w:val="24"/>
          <w:highlight w:val="none"/>
        </w:rPr>
      </w:pPr>
      <w:r>
        <w:rPr>
          <w:rFonts w:hint="eastAsia" w:ascii="宋体" w:hAnsi="宋体"/>
          <w:sz w:val="24"/>
          <w:szCs w:val="24"/>
          <w:highlight w:val="none"/>
        </w:rPr>
        <w:t>3.2.4 投标报价的其他要求见投标人须知前附表。</w:t>
      </w:r>
    </w:p>
    <w:p w14:paraId="26CFE446">
      <w:pPr>
        <w:spacing w:line="360" w:lineRule="auto"/>
        <w:rPr>
          <w:rFonts w:hint="eastAsia" w:ascii="宋体" w:hAnsi="宋体"/>
          <w:b/>
          <w:sz w:val="24"/>
          <w:szCs w:val="24"/>
          <w:highlight w:val="none"/>
        </w:rPr>
      </w:pPr>
      <w:bookmarkStart w:id="115" w:name="_Toc12995"/>
      <w:bookmarkEnd w:id="115"/>
      <w:bookmarkStart w:id="116" w:name="_Toc14190"/>
      <w:r>
        <w:rPr>
          <w:rFonts w:hint="eastAsia" w:ascii="宋体" w:hAnsi="宋体"/>
          <w:b/>
          <w:sz w:val="24"/>
          <w:szCs w:val="24"/>
          <w:highlight w:val="none"/>
        </w:rPr>
        <w:t>3.3 投标有效期</w:t>
      </w:r>
      <w:bookmarkEnd w:id="116"/>
    </w:p>
    <w:p w14:paraId="485CB318">
      <w:pPr>
        <w:spacing w:line="360" w:lineRule="auto"/>
        <w:ind w:firstLine="480" w:firstLineChars="200"/>
        <w:rPr>
          <w:rFonts w:hint="eastAsia" w:ascii="宋体" w:hAnsi="宋体"/>
          <w:sz w:val="24"/>
          <w:szCs w:val="24"/>
          <w:highlight w:val="none"/>
        </w:rPr>
      </w:pPr>
      <w:r>
        <w:rPr>
          <w:rFonts w:hint="eastAsia" w:ascii="宋体" w:hAnsi="宋体"/>
          <w:sz w:val="24"/>
          <w:szCs w:val="24"/>
          <w:highlight w:val="none"/>
        </w:rPr>
        <w:t>3.3.1投标有效期</w:t>
      </w:r>
      <w:r>
        <w:rPr>
          <w:rFonts w:hint="eastAsia" w:ascii="宋体" w:hAnsi="宋体"/>
          <w:sz w:val="24"/>
          <w:szCs w:val="24"/>
          <w:highlight w:val="none"/>
          <w:lang w:eastAsia="zh-CN"/>
        </w:rPr>
        <w:t>见</w:t>
      </w:r>
      <w:r>
        <w:rPr>
          <w:rFonts w:hint="eastAsia" w:ascii="宋体" w:hAnsi="宋体"/>
          <w:sz w:val="24"/>
          <w:szCs w:val="24"/>
          <w:highlight w:val="none"/>
        </w:rPr>
        <w:t>投标人须知前附表。</w:t>
      </w:r>
    </w:p>
    <w:p w14:paraId="0DC7C8DD">
      <w:pPr>
        <w:spacing w:line="360" w:lineRule="auto"/>
        <w:ind w:firstLine="480" w:firstLineChars="200"/>
        <w:rPr>
          <w:rFonts w:hint="eastAsia" w:ascii="宋体" w:hAnsi="宋体"/>
          <w:sz w:val="24"/>
          <w:szCs w:val="24"/>
          <w:highlight w:val="none"/>
        </w:rPr>
      </w:pPr>
      <w:r>
        <w:rPr>
          <w:rFonts w:hint="eastAsia" w:ascii="宋体" w:hAnsi="宋体"/>
          <w:sz w:val="24"/>
          <w:szCs w:val="24"/>
          <w:highlight w:val="none"/>
        </w:rPr>
        <w:t>3.3.2在投标有效期内，投标人撤销或修改其投标文件的，应承担招标文件和法律规定的责任。</w:t>
      </w:r>
    </w:p>
    <w:p w14:paraId="6B5B2AFA">
      <w:pPr>
        <w:spacing w:line="360" w:lineRule="auto"/>
        <w:ind w:firstLine="480" w:firstLineChars="200"/>
        <w:rPr>
          <w:rFonts w:hint="eastAsia" w:ascii="宋体" w:hAnsi="宋体"/>
          <w:sz w:val="24"/>
          <w:szCs w:val="24"/>
          <w:highlight w:val="none"/>
        </w:rPr>
      </w:pPr>
      <w:r>
        <w:rPr>
          <w:rFonts w:hint="eastAsia" w:ascii="宋体" w:hAnsi="宋体"/>
          <w:sz w:val="24"/>
          <w:szCs w:val="24"/>
          <w:highlight w:val="none"/>
        </w:rPr>
        <w:t>3.3.3 出现特殊情况需要延长投标有效期的，采购人以书面形式通知所有投标人延长投标有效期。投标人应予以书面答复，同意延长的，应相应延长其投标保证金的有效期，但不得要求或被允许修改其投标文件；投标人拒绝延长的，其投标失效，但投标人有权收回其投标保证金。</w:t>
      </w:r>
    </w:p>
    <w:p w14:paraId="55912B57">
      <w:pPr>
        <w:spacing w:line="360" w:lineRule="auto"/>
        <w:rPr>
          <w:rFonts w:hint="eastAsia" w:ascii="宋体" w:hAnsi="宋体"/>
          <w:b/>
          <w:sz w:val="24"/>
          <w:szCs w:val="24"/>
          <w:highlight w:val="none"/>
        </w:rPr>
      </w:pPr>
      <w:bookmarkStart w:id="117" w:name="_Toc1543"/>
      <w:bookmarkEnd w:id="117"/>
      <w:bookmarkStart w:id="118" w:name="_Toc23125"/>
      <w:r>
        <w:rPr>
          <w:rFonts w:hint="eastAsia" w:ascii="宋体" w:hAnsi="宋体"/>
          <w:b/>
          <w:sz w:val="24"/>
          <w:szCs w:val="24"/>
          <w:highlight w:val="none"/>
        </w:rPr>
        <w:t>3.4 投标保证金</w:t>
      </w:r>
      <w:bookmarkEnd w:id="118"/>
    </w:p>
    <w:p w14:paraId="32B36D1A">
      <w:pPr>
        <w:spacing w:line="360" w:lineRule="auto"/>
        <w:ind w:firstLine="480" w:firstLineChars="200"/>
        <w:rPr>
          <w:rFonts w:hint="eastAsia" w:ascii="宋体" w:hAnsi="宋体"/>
          <w:sz w:val="24"/>
          <w:szCs w:val="24"/>
          <w:highlight w:val="none"/>
          <w:lang w:val="en-US" w:eastAsia="zh-CN"/>
        </w:rPr>
      </w:pPr>
      <w:r>
        <w:rPr>
          <w:rFonts w:hint="eastAsia" w:ascii="宋体" w:hAnsi="宋体"/>
          <w:sz w:val="24"/>
          <w:szCs w:val="24"/>
          <w:highlight w:val="none"/>
        </w:rPr>
        <w:t>3.4.1投标人在递交投标文件的同时，应按投标人须知前附表规定的金额、形式和第七章“投标文件格式”规定的投标保证金格式递交投标保证金，并作为其投标文件的组成部分。</w:t>
      </w:r>
      <w:r>
        <w:rPr>
          <w:rFonts w:hint="eastAsia" w:ascii="宋体" w:hAnsi="宋体"/>
          <w:sz w:val="24"/>
          <w:szCs w:val="24"/>
          <w:highlight w:val="none"/>
          <w:lang w:val="en-US" w:eastAsia="zh-CN"/>
        </w:rPr>
        <w:t xml:space="preserve">  </w:t>
      </w:r>
    </w:p>
    <w:p w14:paraId="345139AF">
      <w:pPr>
        <w:spacing w:line="360" w:lineRule="auto"/>
        <w:ind w:firstLine="480" w:firstLineChars="200"/>
        <w:rPr>
          <w:rFonts w:hint="eastAsia" w:ascii="宋体" w:hAnsi="宋体"/>
          <w:sz w:val="24"/>
          <w:szCs w:val="24"/>
          <w:highlight w:val="none"/>
        </w:rPr>
      </w:pPr>
      <w:r>
        <w:rPr>
          <w:rFonts w:hint="eastAsia" w:ascii="宋体" w:hAnsi="宋体"/>
          <w:sz w:val="24"/>
          <w:szCs w:val="24"/>
          <w:highlight w:val="none"/>
        </w:rPr>
        <w:t>3.4.2 投标人不按本章第3.4.1 项要求提交投标保证金的，其投标将被视为无效投标。</w:t>
      </w:r>
    </w:p>
    <w:p w14:paraId="7B082598">
      <w:pPr>
        <w:spacing w:line="360" w:lineRule="auto"/>
        <w:ind w:firstLine="480" w:firstLineChars="200"/>
        <w:rPr>
          <w:rFonts w:hint="eastAsia" w:ascii="宋体" w:hAnsi="宋体"/>
          <w:sz w:val="24"/>
          <w:szCs w:val="24"/>
          <w:highlight w:val="none"/>
        </w:rPr>
      </w:pPr>
      <w:r>
        <w:rPr>
          <w:rFonts w:hint="eastAsia" w:ascii="宋体" w:hAnsi="宋体"/>
          <w:sz w:val="24"/>
          <w:szCs w:val="24"/>
          <w:highlight w:val="none"/>
        </w:rPr>
        <w:t>3.4.3 采购人或者采购代理机构应当自中标通知书发出之日起5个工作日内退还未中标人的投标保证金，自采购合同签订之日起5个工作日内退还中标人的投标保证金。</w:t>
      </w:r>
    </w:p>
    <w:p w14:paraId="2A3606CC">
      <w:pPr>
        <w:spacing w:line="360" w:lineRule="auto"/>
        <w:ind w:firstLine="480" w:firstLineChars="200"/>
        <w:rPr>
          <w:rFonts w:hint="eastAsia" w:ascii="宋体" w:hAnsi="宋体"/>
          <w:sz w:val="24"/>
          <w:szCs w:val="24"/>
          <w:highlight w:val="none"/>
        </w:rPr>
      </w:pPr>
      <w:r>
        <w:rPr>
          <w:rFonts w:hint="eastAsia" w:ascii="宋体" w:hAnsi="宋体"/>
          <w:sz w:val="24"/>
          <w:szCs w:val="24"/>
          <w:highlight w:val="none"/>
        </w:rPr>
        <w:t>3.4.4 有下列情形之一的，投标保证金将不予退还：</w:t>
      </w:r>
    </w:p>
    <w:p w14:paraId="343D3636">
      <w:pPr>
        <w:spacing w:line="360" w:lineRule="auto"/>
        <w:ind w:firstLine="480" w:firstLineChars="200"/>
        <w:rPr>
          <w:rFonts w:hint="eastAsia" w:ascii="宋体" w:hAnsi="宋体"/>
          <w:sz w:val="24"/>
          <w:szCs w:val="24"/>
          <w:highlight w:val="none"/>
        </w:rPr>
      </w:pPr>
      <w:r>
        <w:rPr>
          <w:rFonts w:hint="eastAsia" w:ascii="宋体" w:hAnsi="宋体"/>
          <w:sz w:val="24"/>
          <w:szCs w:val="24"/>
          <w:highlight w:val="none"/>
        </w:rPr>
        <w:t>(1)投标人在投标有效期内撤销投标文件；</w:t>
      </w:r>
    </w:p>
    <w:p w14:paraId="02C92EF1">
      <w:pPr>
        <w:spacing w:line="360" w:lineRule="auto"/>
        <w:ind w:firstLine="480" w:firstLineChars="200"/>
        <w:rPr>
          <w:rFonts w:hint="eastAsia" w:ascii="宋体" w:hAnsi="宋体"/>
          <w:sz w:val="24"/>
          <w:szCs w:val="24"/>
          <w:highlight w:val="none"/>
        </w:rPr>
      </w:pPr>
      <w:r>
        <w:rPr>
          <w:rFonts w:hint="eastAsia" w:ascii="宋体" w:hAnsi="宋体"/>
          <w:sz w:val="24"/>
          <w:szCs w:val="24"/>
          <w:highlight w:val="none"/>
        </w:rPr>
        <w:t>(2)中标人在收到中标通知书后，无正当理由不与采购人订立合同，在签订合同时向采购人提出附加条件，或者不按照招标文件要求提交履约保证金；</w:t>
      </w:r>
    </w:p>
    <w:p w14:paraId="687C39F0">
      <w:pPr>
        <w:spacing w:line="360" w:lineRule="auto"/>
        <w:ind w:left="479" w:leftChars="228"/>
        <w:rPr>
          <w:rFonts w:hint="eastAsia" w:ascii="宋体" w:hAnsi="宋体"/>
          <w:sz w:val="24"/>
          <w:szCs w:val="24"/>
          <w:highlight w:val="none"/>
        </w:rPr>
      </w:pPr>
      <w:r>
        <w:rPr>
          <w:rFonts w:hint="eastAsia" w:ascii="宋体" w:hAnsi="宋体"/>
          <w:sz w:val="24"/>
          <w:szCs w:val="24"/>
          <w:highlight w:val="none"/>
        </w:rPr>
        <w:t>(3)其他法律法规要求不予退还投标保证金的情形。</w:t>
      </w:r>
    </w:p>
    <w:p w14:paraId="289E8EE3">
      <w:pPr>
        <w:spacing w:line="360" w:lineRule="auto"/>
        <w:rPr>
          <w:rFonts w:hint="eastAsia" w:ascii="宋体" w:hAnsi="宋体"/>
          <w:b/>
          <w:color w:val="FF0000"/>
          <w:sz w:val="24"/>
          <w:szCs w:val="24"/>
          <w:highlight w:val="none"/>
        </w:rPr>
      </w:pPr>
      <w:bookmarkStart w:id="119" w:name="_Toc32408"/>
      <w:bookmarkEnd w:id="119"/>
      <w:bookmarkStart w:id="120" w:name="_Toc4859"/>
      <w:r>
        <w:rPr>
          <w:rFonts w:hint="eastAsia" w:ascii="宋体" w:hAnsi="宋体"/>
          <w:b/>
          <w:sz w:val="24"/>
          <w:szCs w:val="24"/>
          <w:highlight w:val="none"/>
        </w:rPr>
        <w:t>3.5投标文件的编制</w:t>
      </w:r>
      <w:bookmarkEnd w:id="120"/>
    </w:p>
    <w:p w14:paraId="1F7A6B0F">
      <w:pPr>
        <w:spacing w:line="360" w:lineRule="auto"/>
        <w:ind w:firstLine="480" w:firstLineChars="200"/>
        <w:rPr>
          <w:rFonts w:hint="eastAsia" w:ascii="宋体" w:hAnsi="宋体"/>
          <w:sz w:val="24"/>
          <w:szCs w:val="24"/>
          <w:highlight w:val="none"/>
        </w:rPr>
      </w:pPr>
      <w:r>
        <w:rPr>
          <w:rFonts w:hint="eastAsia" w:ascii="宋体" w:hAnsi="宋体"/>
          <w:sz w:val="24"/>
          <w:szCs w:val="24"/>
          <w:highlight w:val="none"/>
        </w:rPr>
        <w:t>3.5.1 投标文件应按第七章“投标文件格式”进行编写。</w:t>
      </w:r>
    </w:p>
    <w:p w14:paraId="153575F1">
      <w:pPr>
        <w:spacing w:line="360" w:lineRule="auto"/>
        <w:ind w:firstLine="480" w:firstLineChars="200"/>
        <w:rPr>
          <w:rFonts w:hint="eastAsia" w:ascii="宋体" w:hAnsi="宋体"/>
          <w:sz w:val="24"/>
          <w:szCs w:val="24"/>
          <w:highlight w:val="none"/>
        </w:rPr>
      </w:pPr>
      <w:bookmarkStart w:id="121" w:name="_Toc1490"/>
      <w:bookmarkEnd w:id="121"/>
      <w:bookmarkStart w:id="122" w:name="_Toc13757"/>
      <w:bookmarkEnd w:id="122"/>
      <w:bookmarkStart w:id="123" w:name="_Toc7149"/>
      <w:r>
        <w:rPr>
          <w:rFonts w:hint="eastAsia" w:ascii="宋体" w:hAnsi="宋体"/>
          <w:sz w:val="24"/>
          <w:szCs w:val="24"/>
          <w:highlight w:val="none"/>
          <w:lang w:eastAsia="zh-CN"/>
        </w:rPr>
        <w:t>3.5.2</w:t>
      </w:r>
      <w:r>
        <w:rPr>
          <w:rFonts w:hint="eastAsia" w:ascii="宋体" w:hAnsi="宋体"/>
          <w:sz w:val="24"/>
          <w:szCs w:val="24"/>
          <w:highlight w:val="none"/>
        </w:rPr>
        <w:t>投标文件全部采用电子文档，除投标人须知前附表另有规定外，投标文件所附证书证件均为原件扫描件，并采用单位和个人数字证书，按招标文件要求在相应位置加盖电子签章。由投标人的法定代表人(单位负责人)签字或加盖电子签章的，应附法定代表人(单位负责人)身份证明，由代理人签字或加盖电子签章的，应附由法定代表人(单位负责人)签署的授权委托书。</w:t>
      </w:r>
    </w:p>
    <w:p w14:paraId="576FC133">
      <w:pPr>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rPr>
        <w:t>3.5.</w:t>
      </w:r>
      <w:r>
        <w:rPr>
          <w:rFonts w:hint="eastAsia" w:ascii="宋体" w:hAnsi="宋体" w:cs="宋体"/>
          <w:sz w:val="24"/>
          <w:szCs w:val="24"/>
          <w:highlight w:val="none"/>
          <w:lang w:val="en-US" w:eastAsia="zh-CN"/>
        </w:rPr>
        <w:t>3</w:t>
      </w:r>
      <w:r>
        <w:rPr>
          <w:rFonts w:hint="eastAsia" w:ascii="宋体" w:hAnsi="宋体" w:cs="宋体"/>
          <w:sz w:val="24"/>
          <w:szCs w:val="24"/>
          <w:highlight w:val="none"/>
        </w:rPr>
        <w:t>电子投标文件的格式</w:t>
      </w:r>
      <w:r>
        <w:rPr>
          <w:rFonts w:hint="eastAsia" w:ascii="宋体" w:hAnsi="宋体"/>
          <w:sz w:val="24"/>
          <w:szCs w:val="24"/>
          <w:highlight w:val="none"/>
        </w:rPr>
        <w:t>见投标人须知前附表</w:t>
      </w:r>
      <w:r>
        <w:rPr>
          <w:rFonts w:hint="eastAsia" w:ascii="宋体" w:hAnsi="宋体" w:cs="宋体"/>
          <w:sz w:val="24"/>
          <w:szCs w:val="24"/>
          <w:highlight w:val="none"/>
        </w:rPr>
        <w:t>。</w:t>
      </w:r>
    </w:p>
    <w:p w14:paraId="7EF7EBD5">
      <w:pPr>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rPr>
        <w:t>3.5.</w:t>
      </w:r>
      <w:r>
        <w:rPr>
          <w:rFonts w:hint="eastAsia" w:ascii="宋体" w:hAnsi="宋体" w:cs="宋体"/>
          <w:sz w:val="24"/>
          <w:szCs w:val="24"/>
          <w:highlight w:val="none"/>
          <w:lang w:val="en-US" w:eastAsia="zh-CN"/>
        </w:rPr>
        <w:t>4</w:t>
      </w:r>
      <w:r>
        <w:rPr>
          <w:rFonts w:hint="eastAsia" w:ascii="宋体" w:hAnsi="宋体" w:cs="宋体"/>
          <w:sz w:val="24"/>
          <w:szCs w:val="24"/>
          <w:highlight w:val="none"/>
        </w:rPr>
        <w:t>如投标人提交的电子标书不符合3.5.</w:t>
      </w:r>
      <w:r>
        <w:rPr>
          <w:rFonts w:hint="eastAsia" w:ascii="宋体" w:hAnsi="宋体" w:cs="宋体"/>
          <w:sz w:val="24"/>
          <w:szCs w:val="24"/>
          <w:highlight w:val="none"/>
          <w:lang w:val="en-US" w:eastAsia="zh-CN"/>
        </w:rPr>
        <w:t>3</w:t>
      </w:r>
      <w:r>
        <w:rPr>
          <w:rFonts w:hint="eastAsia" w:ascii="宋体" w:hAnsi="宋体" w:cs="宋体"/>
          <w:sz w:val="24"/>
          <w:szCs w:val="24"/>
          <w:highlight w:val="none"/>
        </w:rPr>
        <w:t>要求或开标时无法读取导入或解密，其投标文件将不予受理。</w:t>
      </w:r>
    </w:p>
    <w:p w14:paraId="11FF04B9">
      <w:pPr>
        <w:pStyle w:val="3"/>
        <w:spacing w:before="0" w:after="0" w:line="360" w:lineRule="auto"/>
        <w:rPr>
          <w:rFonts w:hint="eastAsia" w:ascii="宋体" w:hAnsi="宋体" w:eastAsia="宋体"/>
          <w:sz w:val="28"/>
          <w:szCs w:val="28"/>
          <w:highlight w:val="none"/>
        </w:rPr>
      </w:pPr>
      <w:bookmarkStart w:id="124" w:name="_Toc30344"/>
      <w:r>
        <w:rPr>
          <w:rFonts w:hint="eastAsia" w:ascii="宋体" w:hAnsi="宋体" w:eastAsia="宋体"/>
          <w:sz w:val="28"/>
          <w:szCs w:val="28"/>
          <w:highlight w:val="none"/>
        </w:rPr>
        <w:t>4. 投标</w:t>
      </w:r>
      <w:bookmarkEnd w:id="123"/>
      <w:bookmarkEnd w:id="124"/>
    </w:p>
    <w:p w14:paraId="44EC51ED">
      <w:pPr>
        <w:spacing w:line="360" w:lineRule="auto"/>
        <w:rPr>
          <w:rFonts w:hint="default" w:ascii="宋体" w:hAnsi="宋体" w:eastAsia="宋体"/>
          <w:b/>
          <w:sz w:val="24"/>
          <w:szCs w:val="24"/>
          <w:highlight w:val="none"/>
          <w:lang w:val="en-US" w:eastAsia="zh-CN"/>
        </w:rPr>
      </w:pPr>
      <w:bookmarkStart w:id="125" w:name="_Toc1523"/>
      <w:bookmarkEnd w:id="125"/>
      <w:bookmarkStart w:id="126" w:name="_Toc25497"/>
      <w:r>
        <w:rPr>
          <w:rFonts w:hint="eastAsia" w:ascii="宋体" w:hAnsi="宋体"/>
          <w:b/>
          <w:sz w:val="24"/>
          <w:szCs w:val="24"/>
          <w:highlight w:val="none"/>
        </w:rPr>
        <w:t>4.1 投标文件</w:t>
      </w:r>
      <w:bookmarkEnd w:id="126"/>
      <w:r>
        <w:rPr>
          <w:rFonts w:hint="eastAsia" w:ascii="宋体" w:hAnsi="宋体"/>
          <w:b/>
          <w:sz w:val="24"/>
          <w:szCs w:val="24"/>
          <w:highlight w:val="none"/>
          <w:lang w:val="en-US" w:eastAsia="zh-CN"/>
        </w:rPr>
        <w:t>加密要求</w:t>
      </w:r>
    </w:p>
    <w:p w14:paraId="6F094997">
      <w:pPr>
        <w:spacing w:line="360" w:lineRule="auto"/>
        <w:ind w:firstLine="480" w:firstLineChars="200"/>
        <w:rPr>
          <w:rFonts w:ascii="宋体" w:hAnsi="宋体"/>
          <w:sz w:val="24"/>
          <w:szCs w:val="24"/>
          <w:highlight w:val="none"/>
        </w:rPr>
      </w:pPr>
      <w:bookmarkStart w:id="127" w:name="_Toc27596"/>
      <w:bookmarkEnd w:id="127"/>
      <w:r>
        <w:rPr>
          <w:rFonts w:hint="eastAsia" w:ascii="宋体" w:hAnsi="宋体"/>
          <w:sz w:val="24"/>
          <w:szCs w:val="24"/>
          <w:highlight w:val="none"/>
        </w:rPr>
        <w:t>4.1.1</w:t>
      </w:r>
      <w:r>
        <w:rPr>
          <w:rFonts w:hint="eastAsia" w:ascii="宋体" w:hAnsi="宋体"/>
          <w:sz w:val="24"/>
          <w:szCs w:val="24"/>
          <w:highlight w:val="none"/>
          <w:lang w:val="en-US" w:eastAsia="zh-CN"/>
        </w:rPr>
        <w:t xml:space="preserve"> </w:t>
      </w:r>
      <w:r>
        <w:rPr>
          <w:rFonts w:hint="eastAsia" w:ascii="宋体" w:hAnsi="宋体"/>
          <w:sz w:val="24"/>
          <w:szCs w:val="24"/>
          <w:highlight w:val="none"/>
        </w:rPr>
        <w:t>投标人应当按照招标文件和电子招标投标交易平台的要求加密投标文件，具体要求见投标人须知前附表。</w:t>
      </w:r>
    </w:p>
    <w:p w14:paraId="50818A0D">
      <w:pPr>
        <w:spacing w:line="360" w:lineRule="auto"/>
        <w:ind w:firstLine="480" w:firstLineChars="200"/>
        <w:rPr>
          <w:rFonts w:hint="eastAsia" w:ascii="宋体" w:hAnsi="宋体"/>
          <w:sz w:val="24"/>
          <w:szCs w:val="24"/>
          <w:highlight w:val="none"/>
        </w:rPr>
      </w:pPr>
      <w:r>
        <w:rPr>
          <w:rFonts w:hint="eastAsia" w:ascii="宋体" w:hAnsi="宋体"/>
          <w:sz w:val="24"/>
          <w:szCs w:val="24"/>
          <w:highlight w:val="none"/>
          <w:lang w:val="en-US" w:eastAsia="zh-CN"/>
        </w:rPr>
        <w:t xml:space="preserve">4.1.2 </w:t>
      </w:r>
      <w:r>
        <w:rPr>
          <w:rFonts w:hint="eastAsia" w:ascii="宋体" w:hAnsi="宋体"/>
          <w:sz w:val="24"/>
          <w:szCs w:val="24"/>
          <w:highlight w:val="none"/>
        </w:rPr>
        <w:t>未按本章第4.1.1 要求</w:t>
      </w:r>
      <w:r>
        <w:rPr>
          <w:rFonts w:hint="eastAsia" w:ascii="宋体" w:hAnsi="宋体"/>
          <w:sz w:val="24"/>
          <w:szCs w:val="24"/>
          <w:highlight w:val="none"/>
          <w:lang w:val="en-US" w:eastAsia="zh-CN"/>
        </w:rPr>
        <w:t>加密</w:t>
      </w:r>
      <w:r>
        <w:rPr>
          <w:rFonts w:hint="eastAsia" w:ascii="宋体" w:hAnsi="宋体"/>
          <w:sz w:val="24"/>
          <w:szCs w:val="24"/>
          <w:highlight w:val="none"/>
        </w:rPr>
        <w:t>的投标文件，采购人将予以拒收。</w:t>
      </w:r>
    </w:p>
    <w:p w14:paraId="02520AFD">
      <w:pPr>
        <w:spacing w:line="360" w:lineRule="auto"/>
        <w:rPr>
          <w:rFonts w:hint="eastAsia" w:ascii="宋体" w:hAnsi="宋体"/>
          <w:b/>
          <w:sz w:val="24"/>
          <w:szCs w:val="24"/>
          <w:highlight w:val="none"/>
        </w:rPr>
      </w:pPr>
      <w:bookmarkStart w:id="128" w:name="_Toc20611"/>
      <w:bookmarkEnd w:id="128"/>
      <w:bookmarkStart w:id="129" w:name="_Toc9134"/>
      <w:r>
        <w:rPr>
          <w:rFonts w:hint="eastAsia" w:ascii="宋体" w:hAnsi="宋体"/>
          <w:b/>
          <w:sz w:val="24"/>
          <w:szCs w:val="24"/>
          <w:highlight w:val="none"/>
        </w:rPr>
        <w:t>4.2 投标文件</w:t>
      </w:r>
      <w:r>
        <w:rPr>
          <w:rFonts w:hint="eastAsia" w:ascii="宋体" w:hAnsi="宋体"/>
          <w:b/>
          <w:color w:val="auto"/>
          <w:sz w:val="24"/>
          <w:szCs w:val="24"/>
          <w:highlight w:val="none"/>
        </w:rPr>
        <w:t>的</w:t>
      </w:r>
      <w:r>
        <w:rPr>
          <w:rFonts w:hint="eastAsia" w:ascii="宋体" w:hAnsi="宋体"/>
          <w:b/>
          <w:sz w:val="24"/>
          <w:szCs w:val="24"/>
          <w:highlight w:val="none"/>
        </w:rPr>
        <w:t>递交</w:t>
      </w:r>
      <w:bookmarkEnd w:id="129"/>
    </w:p>
    <w:p w14:paraId="0F717208">
      <w:pPr>
        <w:pStyle w:val="11"/>
        <w:ind w:firstLine="480" w:firstLineChars="200"/>
        <w:rPr>
          <w:rFonts w:hint="eastAsia" w:ascii="宋体" w:hAnsi="宋体"/>
          <w:kern w:val="0"/>
          <w:sz w:val="24"/>
          <w:highlight w:val="none"/>
        </w:rPr>
      </w:pPr>
      <w:r>
        <w:rPr>
          <w:rFonts w:hint="eastAsia" w:ascii="宋体" w:hAnsi="宋体"/>
          <w:kern w:val="0"/>
          <w:sz w:val="24"/>
          <w:highlight w:val="none"/>
        </w:rPr>
        <w:t>4.2.1</w:t>
      </w:r>
      <w:r>
        <w:rPr>
          <w:rFonts w:hint="eastAsia" w:ascii="宋体" w:hAnsi="宋体"/>
          <w:kern w:val="0"/>
          <w:sz w:val="24"/>
          <w:highlight w:val="none"/>
          <w:lang w:val="en-US" w:eastAsia="zh-CN"/>
        </w:rPr>
        <w:t xml:space="preserve"> </w:t>
      </w:r>
      <w:r>
        <w:rPr>
          <w:rFonts w:hint="eastAsia" w:ascii="宋体" w:hAnsi="宋体"/>
          <w:kern w:val="0"/>
          <w:sz w:val="24"/>
          <w:highlight w:val="none"/>
        </w:rPr>
        <w:t>投标人应在投标人须知前附表规定的投标截止时间前递交投标文件。</w:t>
      </w:r>
    </w:p>
    <w:p w14:paraId="4A3106F8">
      <w:pPr>
        <w:pStyle w:val="11"/>
        <w:ind w:firstLine="480" w:firstLineChars="200"/>
        <w:rPr>
          <w:rFonts w:hint="eastAsia" w:ascii="宋体" w:hAnsi="宋体"/>
          <w:kern w:val="0"/>
          <w:sz w:val="24"/>
          <w:highlight w:val="none"/>
        </w:rPr>
      </w:pPr>
      <w:r>
        <w:rPr>
          <w:rFonts w:hint="eastAsia" w:ascii="宋体" w:hAnsi="宋体"/>
          <w:kern w:val="0"/>
          <w:sz w:val="24"/>
          <w:highlight w:val="none"/>
        </w:rPr>
        <w:t>4.2.2</w:t>
      </w:r>
      <w:r>
        <w:rPr>
          <w:rFonts w:hint="eastAsia" w:ascii="宋体" w:hAnsi="宋体"/>
          <w:kern w:val="0"/>
          <w:sz w:val="24"/>
          <w:highlight w:val="none"/>
          <w:lang w:val="en-US" w:eastAsia="zh-CN"/>
        </w:rPr>
        <w:t xml:space="preserve"> </w:t>
      </w:r>
      <w:r>
        <w:rPr>
          <w:rFonts w:hint="eastAsia" w:ascii="宋体" w:hAnsi="宋体"/>
          <w:kern w:val="0"/>
          <w:sz w:val="24"/>
          <w:highlight w:val="none"/>
        </w:rPr>
        <w:t>投标人递交投标文件的时间和地点：见投标人须知前附表。</w:t>
      </w:r>
    </w:p>
    <w:p w14:paraId="774592A7">
      <w:pPr>
        <w:pStyle w:val="11"/>
        <w:ind w:firstLine="480" w:firstLineChars="200"/>
        <w:rPr>
          <w:rFonts w:hint="eastAsia" w:ascii="宋体" w:hAnsi="宋体"/>
          <w:kern w:val="0"/>
          <w:sz w:val="24"/>
          <w:highlight w:val="none"/>
        </w:rPr>
      </w:pPr>
      <w:r>
        <w:rPr>
          <w:rFonts w:hint="eastAsia" w:ascii="宋体" w:hAnsi="宋体"/>
          <w:kern w:val="0"/>
          <w:sz w:val="24"/>
          <w:highlight w:val="none"/>
        </w:rPr>
        <w:t>4.2.3</w:t>
      </w:r>
      <w:r>
        <w:rPr>
          <w:rFonts w:hint="eastAsia" w:ascii="宋体" w:hAnsi="宋体"/>
          <w:kern w:val="0"/>
          <w:sz w:val="24"/>
          <w:highlight w:val="none"/>
          <w:lang w:val="en-US" w:eastAsia="zh-CN"/>
        </w:rPr>
        <w:t xml:space="preserve"> </w:t>
      </w:r>
      <w:r>
        <w:rPr>
          <w:rFonts w:hint="eastAsia" w:ascii="宋体" w:hAnsi="宋体"/>
          <w:kern w:val="0"/>
          <w:sz w:val="24"/>
          <w:highlight w:val="none"/>
        </w:rPr>
        <w:t>投标人所递交的投标文件不予退还。</w:t>
      </w:r>
    </w:p>
    <w:p w14:paraId="3949E8F4">
      <w:pPr>
        <w:spacing w:line="360" w:lineRule="auto"/>
        <w:rPr>
          <w:rFonts w:hint="eastAsia" w:ascii="宋体" w:hAnsi="宋体"/>
          <w:b/>
          <w:sz w:val="24"/>
          <w:szCs w:val="24"/>
          <w:highlight w:val="none"/>
        </w:rPr>
      </w:pPr>
      <w:bookmarkStart w:id="130" w:name="_Toc8975"/>
      <w:bookmarkEnd w:id="130"/>
      <w:bookmarkStart w:id="131" w:name="_Toc21133"/>
      <w:bookmarkEnd w:id="131"/>
      <w:bookmarkStart w:id="132" w:name="_Toc5071"/>
      <w:r>
        <w:rPr>
          <w:rFonts w:hint="eastAsia" w:ascii="宋体" w:hAnsi="宋体"/>
          <w:b/>
          <w:sz w:val="24"/>
          <w:szCs w:val="24"/>
          <w:highlight w:val="none"/>
        </w:rPr>
        <w:t>4.3 投标文件的修改与撤回</w:t>
      </w:r>
      <w:bookmarkEnd w:id="132"/>
    </w:p>
    <w:p w14:paraId="076507F5">
      <w:pPr>
        <w:spacing w:before="0" w:after="0" w:line="360" w:lineRule="auto"/>
        <w:ind w:firstLine="480" w:firstLineChars="200"/>
        <w:outlineLvl w:val="9"/>
        <w:rPr>
          <w:rFonts w:hint="eastAsia" w:ascii="宋体" w:hAnsi="宋体" w:eastAsia="宋体" w:cs="Times New Roman"/>
          <w:b w:val="0"/>
          <w:bCs w:val="0"/>
          <w:sz w:val="24"/>
          <w:szCs w:val="24"/>
          <w:highlight w:val="none"/>
          <w:lang w:val="en-US" w:eastAsia="zh-CN" w:bidi="ar-SA"/>
        </w:rPr>
      </w:pPr>
      <w:bookmarkStart w:id="133" w:name="_Toc20324"/>
      <w:r>
        <w:rPr>
          <w:rFonts w:hint="eastAsia" w:ascii="宋体" w:hAnsi="宋体" w:eastAsia="宋体" w:cs="Times New Roman"/>
          <w:b w:val="0"/>
          <w:bCs w:val="0"/>
          <w:sz w:val="24"/>
          <w:szCs w:val="24"/>
          <w:highlight w:val="none"/>
          <w:lang w:val="en-US" w:eastAsia="zh-CN" w:bidi="ar-SA"/>
        </w:rPr>
        <w:t>4.3.1在投标截止时间前，投标人可以撤回在网上已递交的投标文件，修改后重新递交。</w:t>
      </w:r>
    </w:p>
    <w:p w14:paraId="6A7C7DC8">
      <w:pPr>
        <w:spacing w:before="0" w:after="0" w:line="360" w:lineRule="auto"/>
        <w:ind w:firstLine="480" w:firstLineChars="200"/>
        <w:outlineLvl w:val="9"/>
        <w:rPr>
          <w:rFonts w:hint="eastAsia" w:ascii="宋体" w:hAnsi="宋体" w:eastAsia="宋体" w:cs="Times New Roman"/>
          <w:b w:val="0"/>
          <w:bCs w:val="0"/>
          <w:sz w:val="24"/>
          <w:szCs w:val="24"/>
          <w:highlight w:val="none"/>
          <w:lang w:val="en-US" w:eastAsia="zh-CN" w:bidi="ar-SA"/>
        </w:rPr>
      </w:pPr>
      <w:r>
        <w:rPr>
          <w:rFonts w:hint="eastAsia" w:ascii="宋体" w:hAnsi="宋体" w:eastAsia="宋体" w:cs="Times New Roman"/>
          <w:b w:val="0"/>
          <w:bCs w:val="0"/>
          <w:sz w:val="24"/>
          <w:szCs w:val="24"/>
          <w:highlight w:val="none"/>
          <w:lang w:val="en-US" w:eastAsia="zh-CN" w:bidi="ar-SA"/>
        </w:rPr>
        <w:t>4.3.2修改的投标文件应按照《电子投标文件编制及报送要求》规定进行编制、加密和递交。</w:t>
      </w:r>
    </w:p>
    <w:p w14:paraId="11774CDA">
      <w:pPr>
        <w:pStyle w:val="3"/>
        <w:spacing w:before="0" w:after="0" w:line="360" w:lineRule="auto"/>
        <w:rPr>
          <w:rFonts w:hint="eastAsia" w:ascii="宋体" w:hAnsi="宋体" w:eastAsia="宋体"/>
          <w:sz w:val="28"/>
          <w:szCs w:val="28"/>
          <w:highlight w:val="none"/>
        </w:rPr>
      </w:pPr>
      <w:bookmarkStart w:id="134" w:name="_Toc16340"/>
      <w:r>
        <w:rPr>
          <w:rFonts w:hint="eastAsia" w:ascii="宋体" w:hAnsi="宋体" w:eastAsia="宋体"/>
          <w:sz w:val="28"/>
          <w:szCs w:val="28"/>
          <w:highlight w:val="none"/>
        </w:rPr>
        <w:t>5. 开标</w:t>
      </w:r>
      <w:bookmarkEnd w:id="133"/>
      <w:bookmarkEnd w:id="134"/>
    </w:p>
    <w:p w14:paraId="180604BF">
      <w:pPr>
        <w:spacing w:line="360" w:lineRule="auto"/>
        <w:rPr>
          <w:rFonts w:hint="eastAsia" w:ascii="宋体" w:hAnsi="宋体"/>
          <w:b/>
          <w:sz w:val="24"/>
          <w:szCs w:val="24"/>
          <w:highlight w:val="none"/>
        </w:rPr>
      </w:pPr>
      <w:bookmarkStart w:id="135" w:name="_Toc1527"/>
      <w:bookmarkEnd w:id="135"/>
      <w:bookmarkStart w:id="136" w:name="_Toc9143"/>
      <w:r>
        <w:rPr>
          <w:rFonts w:hint="eastAsia" w:ascii="宋体" w:hAnsi="宋体"/>
          <w:b/>
          <w:sz w:val="24"/>
          <w:szCs w:val="24"/>
          <w:highlight w:val="none"/>
        </w:rPr>
        <w:t>5.1 开标时间和地点</w:t>
      </w:r>
      <w:bookmarkEnd w:id="136"/>
    </w:p>
    <w:p w14:paraId="03D4E41B">
      <w:pPr>
        <w:spacing w:line="360" w:lineRule="auto"/>
        <w:ind w:firstLine="480" w:firstLineChars="200"/>
        <w:rPr>
          <w:rFonts w:hint="eastAsia" w:ascii="宋体" w:hAnsi="宋体"/>
          <w:sz w:val="24"/>
          <w:szCs w:val="24"/>
          <w:highlight w:val="none"/>
        </w:rPr>
      </w:pPr>
      <w:r>
        <w:rPr>
          <w:rFonts w:hint="eastAsia" w:ascii="宋体" w:hAnsi="宋体"/>
          <w:sz w:val="24"/>
          <w:szCs w:val="24"/>
          <w:highlight w:val="none"/>
        </w:rPr>
        <w:t>采购人在本章第4.2.</w:t>
      </w:r>
      <w:r>
        <w:rPr>
          <w:rFonts w:hint="eastAsia" w:ascii="宋体" w:hAnsi="宋体"/>
          <w:sz w:val="24"/>
          <w:szCs w:val="24"/>
          <w:highlight w:val="none"/>
          <w:lang w:val="en-US" w:eastAsia="zh-CN"/>
        </w:rPr>
        <w:t>1</w:t>
      </w:r>
      <w:r>
        <w:rPr>
          <w:rFonts w:hint="eastAsia" w:ascii="宋体" w:hAnsi="宋体"/>
          <w:sz w:val="24"/>
          <w:szCs w:val="24"/>
          <w:highlight w:val="none"/>
        </w:rPr>
        <w:t>款规定的投标截止时间(开标时间)和投标人须知前附表规定的地点公开开标。</w:t>
      </w:r>
    </w:p>
    <w:p w14:paraId="0335AF2A">
      <w:pPr>
        <w:spacing w:line="360" w:lineRule="auto"/>
        <w:rPr>
          <w:rFonts w:hint="default" w:ascii="宋体" w:hAnsi="宋体" w:eastAsia="宋体"/>
          <w:b/>
          <w:bCs/>
          <w:sz w:val="24"/>
          <w:szCs w:val="24"/>
          <w:highlight w:val="none"/>
          <w:lang w:val="en-US" w:eastAsia="zh-CN"/>
        </w:rPr>
      </w:pPr>
      <w:bookmarkStart w:id="137" w:name="_Toc21332"/>
      <w:bookmarkEnd w:id="137"/>
      <w:bookmarkStart w:id="138" w:name="_Toc27792"/>
      <w:bookmarkEnd w:id="138"/>
      <w:bookmarkStart w:id="139" w:name="_Toc24636"/>
      <w:r>
        <w:rPr>
          <w:rFonts w:hint="eastAsia" w:ascii="宋体" w:hAnsi="宋体"/>
          <w:b/>
          <w:sz w:val="24"/>
          <w:szCs w:val="24"/>
          <w:highlight w:val="none"/>
          <w:lang w:val="en-US" w:eastAsia="zh-CN"/>
        </w:rPr>
        <w:t>5.2</w:t>
      </w:r>
      <w:r>
        <w:rPr>
          <w:rFonts w:hint="eastAsia" w:ascii="宋体" w:hAnsi="宋体"/>
          <w:b/>
          <w:bCs/>
          <w:sz w:val="24"/>
          <w:szCs w:val="24"/>
          <w:highlight w:val="none"/>
        </w:rPr>
        <w:t>投标</w:t>
      </w:r>
      <w:r>
        <w:rPr>
          <w:rFonts w:hint="eastAsia" w:ascii="宋体" w:hAnsi="宋体"/>
          <w:b/>
          <w:bCs/>
          <w:sz w:val="24"/>
          <w:szCs w:val="24"/>
          <w:highlight w:val="none"/>
          <w:lang w:val="en-US" w:eastAsia="zh-CN"/>
        </w:rPr>
        <w:t>截止后投标</w:t>
      </w:r>
      <w:r>
        <w:rPr>
          <w:rFonts w:hint="eastAsia" w:ascii="宋体" w:hAnsi="宋体"/>
          <w:b/>
          <w:bCs/>
          <w:sz w:val="24"/>
          <w:szCs w:val="24"/>
          <w:highlight w:val="none"/>
        </w:rPr>
        <w:t>人不足3家的，不得开标。</w:t>
      </w:r>
    </w:p>
    <w:p w14:paraId="5635DC16">
      <w:pPr>
        <w:spacing w:line="360" w:lineRule="auto"/>
        <w:rPr>
          <w:rFonts w:hint="eastAsia" w:ascii="宋体" w:hAnsi="宋体"/>
          <w:b/>
          <w:sz w:val="24"/>
          <w:szCs w:val="24"/>
          <w:highlight w:val="none"/>
        </w:rPr>
      </w:pPr>
      <w:r>
        <w:rPr>
          <w:rFonts w:hint="eastAsia" w:ascii="宋体" w:hAnsi="宋体"/>
          <w:b/>
          <w:sz w:val="24"/>
          <w:szCs w:val="24"/>
          <w:highlight w:val="none"/>
        </w:rPr>
        <w:t>5.</w:t>
      </w:r>
      <w:r>
        <w:rPr>
          <w:rFonts w:hint="eastAsia" w:ascii="宋体" w:hAnsi="宋体"/>
          <w:b/>
          <w:sz w:val="24"/>
          <w:szCs w:val="24"/>
          <w:highlight w:val="none"/>
          <w:lang w:val="en-US" w:eastAsia="zh-CN"/>
        </w:rPr>
        <w:t>3</w:t>
      </w:r>
      <w:r>
        <w:rPr>
          <w:rFonts w:hint="eastAsia" w:ascii="宋体" w:hAnsi="宋体"/>
          <w:b/>
          <w:sz w:val="24"/>
          <w:szCs w:val="24"/>
          <w:highlight w:val="none"/>
        </w:rPr>
        <w:t xml:space="preserve"> 开标程序</w:t>
      </w:r>
      <w:bookmarkEnd w:id="139"/>
    </w:p>
    <w:p w14:paraId="7493F932">
      <w:pPr>
        <w:spacing w:line="360" w:lineRule="auto"/>
        <w:ind w:firstLine="480" w:firstLineChars="200"/>
        <w:rPr>
          <w:rFonts w:hint="eastAsia" w:ascii="宋体" w:hAnsi="宋体" w:eastAsia="宋体"/>
          <w:sz w:val="24"/>
          <w:szCs w:val="24"/>
          <w:highlight w:val="none"/>
          <w:lang w:eastAsia="zh-CN"/>
        </w:rPr>
      </w:pPr>
      <w:bookmarkStart w:id="140" w:name="_Toc27216"/>
      <w:bookmarkEnd w:id="140"/>
      <w:bookmarkStart w:id="141" w:name="_Toc22860"/>
      <w:r>
        <w:rPr>
          <w:rFonts w:hint="eastAsia" w:ascii="宋体" w:hAnsi="宋体"/>
          <w:sz w:val="24"/>
          <w:szCs w:val="24"/>
          <w:highlight w:val="none"/>
        </w:rPr>
        <w:t>(1)开标会由采购代理机构主持</w:t>
      </w:r>
      <w:r>
        <w:rPr>
          <w:rFonts w:hint="eastAsia" w:ascii="宋体" w:hAnsi="宋体"/>
          <w:sz w:val="24"/>
          <w:szCs w:val="24"/>
          <w:highlight w:val="none"/>
          <w:lang w:eastAsia="zh-CN"/>
        </w:rPr>
        <w:t>。</w:t>
      </w:r>
    </w:p>
    <w:p w14:paraId="173A8FD2">
      <w:pPr>
        <w:spacing w:line="360" w:lineRule="auto"/>
        <w:ind w:firstLine="480" w:firstLineChars="200"/>
        <w:rPr>
          <w:rFonts w:hint="eastAsia" w:ascii="宋体" w:hAnsi="宋体"/>
          <w:sz w:val="24"/>
          <w:szCs w:val="24"/>
          <w:highlight w:val="none"/>
        </w:rPr>
      </w:pPr>
      <w:r>
        <w:rPr>
          <w:rFonts w:hint="eastAsia" w:ascii="宋体" w:hAnsi="宋体"/>
          <w:sz w:val="24"/>
          <w:szCs w:val="24"/>
          <w:highlight w:val="none"/>
        </w:rPr>
        <w:t>(2)开标:</w:t>
      </w:r>
      <w:r>
        <w:rPr>
          <w:rFonts w:hint="eastAsia" w:ascii="宋体" w:hAnsi="宋体"/>
          <w:sz w:val="24"/>
          <w:szCs w:val="24"/>
          <w:highlight w:val="none"/>
          <w:lang w:val="en-US" w:eastAsia="zh-CN"/>
        </w:rPr>
        <w:t>顺序</w:t>
      </w:r>
      <w:r>
        <w:rPr>
          <w:rFonts w:hint="eastAsia" w:ascii="宋体" w:hAnsi="宋体"/>
          <w:sz w:val="24"/>
          <w:szCs w:val="24"/>
          <w:highlight w:val="none"/>
        </w:rPr>
        <w:t>按照电子公共资源交易平台自动提取所有供应商的顺序当众开标。</w:t>
      </w:r>
    </w:p>
    <w:p w14:paraId="79F06B5A">
      <w:pPr>
        <w:spacing w:line="360" w:lineRule="auto"/>
        <w:ind w:firstLine="480" w:firstLineChars="200"/>
        <w:rPr>
          <w:rFonts w:hint="eastAsia" w:ascii="宋体" w:hAnsi="宋体"/>
          <w:sz w:val="24"/>
          <w:szCs w:val="24"/>
          <w:highlight w:val="none"/>
        </w:rPr>
      </w:pPr>
      <w:r>
        <w:rPr>
          <w:rFonts w:hint="eastAsia" w:ascii="宋体" w:hAnsi="宋体"/>
          <w:sz w:val="24"/>
          <w:szCs w:val="24"/>
          <w:highlight w:val="none"/>
        </w:rPr>
        <w:t>(3)唱标</w:t>
      </w:r>
      <w:r>
        <w:rPr>
          <w:rFonts w:hint="eastAsia" w:ascii="宋体" w:hAnsi="宋体"/>
          <w:sz w:val="24"/>
          <w:szCs w:val="24"/>
          <w:highlight w:val="none"/>
          <w:lang w:eastAsia="zh-CN"/>
        </w:rPr>
        <w:t>：</w:t>
      </w:r>
      <w:r>
        <w:rPr>
          <w:rFonts w:hint="eastAsia" w:ascii="宋体" w:hAnsi="宋体"/>
          <w:sz w:val="24"/>
          <w:szCs w:val="24"/>
          <w:highlight w:val="none"/>
          <w:lang w:val="en-US" w:eastAsia="zh-CN"/>
        </w:rPr>
        <w:t>智能播报/</w:t>
      </w:r>
      <w:r>
        <w:rPr>
          <w:rFonts w:hint="eastAsia" w:ascii="宋体" w:hAnsi="宋体"/>
          <w:sz w:val="24"/>
          <w:szCs w:val="24"/>
          <w:highlight w:val="none"/>
        </w:rPr>
        <w:t>由唱标人宣读投标人在其电子投标文件中投标价格和招标文件规定的需要宣布的其他内容。</w:t>
      </w:r>
    </w:p>
    <w:p w14:paraId="275BF59F">
      <w:pPr>
        <w:spacing w:line="360" w:lineRule="auto"/>
        <w:ind w:firstLine="480" w:firstLineChars="200"/>
        <w:rPr>
          <w:rFonts w:hint="eastAsia" w:ascii="宋体" w:hAnsi="宋体"/>
          <w:sz w:val="24"/>
          <w:szCs w:val="24"/>
          <w:highlight w:val="none"/>
        </w:rPr>
      </w:pPr>
      <w:r>
        <w:rPr>
          <w:rFonts w:hint="eastAsia" w:ascii="宋体" w:hAnsi="宋体"/>
          <w:sz w:val="24"/>
          <w:szCs w:val="24"/>
          <w:highlight w:val="none"/>
        </w:rPr>
        <w:t>(</w:t>
      </w:r>
      <w:r>
        <w:rPr>
          <w:rFonts w:hint="eastAsia" w:ascii="宋体" w:hAnsi="宋体"/>
          <w:sz w:val="24"/>
          <w:szCs w:val="24"/>
          <w:highlight w:val="none"/>
          <w:lang w:val="en-US" w:eastAsia="zh-CN"/>
        </w:rPr>
        <w:t>4</w:t>
      </w:r>
      <w:r>
        <w:rPr>
          <w:rFonts w:hint="eastAsia" w:ascii="宋体" w:hAnsi="宋体"/>
          <w:sz w:val="24"/>
          <w:szCs w:val="24"/>
          <w:highlight w:val="none"/>
        </w:rPr>
        <w:t>) 开标工作人员将做开标记录，参加开标的各相关工作人员须签字确认。</w:t>
      </w:r>
    </w:p>
    <w:p w14:paraId="7B291D71">
      <w:pPr>
        <w:spacing w:line="360" w:lineRule="auto"/>
        <w:rPr>
          <w:rFonts w:hint="eastAsia" w:ascii="宋体" w:hAnsi="宋体" w:eastAsia="宋体"/>
          <w:b/>
          <w:sz w:val="24"/>
          <w:szCs w:val="24"/>
          <w:highlight w:val="none"/>
          <w:lang w:eastAsia="zh-CN"/>
        </w:rPr>
      </w:pPr>
      <w:r>
        <w:rPr>
          <w:rFonts w:hint="eastAsia" w:ascii="宋体" w:hAnsi="宋体"/>
          <w:b/>
          <w:sz w:val="24"/>
          <w:szCs w:val="24"/>
          <w:highlight w:val="none"/>
        </w:rPr>
        <w:t>5.</w:t>
      </w:r>
      <w:r>
        <w:rPr>
          <w:rFonts w:hint="eastAsia" w:ascii="宋体" w:hAnsi="宋体"/>
          <w:b/>
          <w:sz w:val="24"/>
          <w:szCs w:val="24"/>
          <w:highlight w:val="none"/>
          <w:lang w:val="en-US" w:eastAsia="zh-CN"/>
        </w:rPr>
        <w:t>4</w:t>
      </w:r>
      <w:r>
        <w:rPr>
          <w:rFonts w:hint="eastAsia" w:ascii="宋体" w:hAnsi="宋体"/>
          <w:b/>
          <w:sz w:val="24"/>
          <w:szCs w:val="24"/>
          <w:highlight w:val="none"/>
        </w:rPr>
        <w:t xml:space="preserve"> 开标</w:t>
      </w:r>
      <w:bookmarkEnd w:id="141"/>
      <w:r>
        <w:rPr>
          <w:rFonts w:hint="eastAsia" w:ascii="宋体" w:hAnsi="宋体"/>
          <w:b/>
          <w:sz w:val="24"/>
          <w:szCs w:val="24"/>
          <w:highlight w:val="none"/>
          <w:lang w:val="en-US" w:eastAsia="zh-CN"/>
        </w:rPr>
        <w:t>异议</w:t>
      </w:r>
    </w:p>
    <w:p w14:paraId="0AD39392">
      <w:pPr>
        <w:spacing w:line="360" w:lineRule="auto"/>
        <w:ind w:firstLine="480" w:firstLineChars="200"/>
        <w:rPr>
          <w:rFonts w:hint="eastAsia" w:ascii="宋体" w:hAnsi="宋体"/>
          <w:sz w:val="24"/>
          <w:szCs w:val="24"/>
          <w:highlight w:val="none"/>
        </w:rPr>
      </w:pPr>
      <w:r>
        <w:rPr>
          <w:rFonts w:hint="eastAsia" w:ascii="宋体" w:hAnsi="宋体"/>
          <w:sz w:val="24"/>
          <w:szCs w:val="24"/>
          <w:highlight w:val="none"/>
        </w:rPr>
        <w:t>开标过程中如有问题，可以在线提出异议，由代理机构给予回复。在规定的异议询问时间内未提出异议的，则视为对开标结果无异议。</w:t>
      </w:r>
    </w:p>
    <w:p w14:paraId="656530BB">
      <w:pPr>
        <w:pStyle w:val="3"/>
        <w:spacing w:before="0" w:after="0" w:line="360" w:lineRule="auto"/>
        <w:rPr>
          <w:rFonts w:hint="eastAsia" w:ascii="宋体" w:hAnsi="宋体" w:eastAsia="宋体"/>
          <w:sz w:val="28"/>
          <w:szCs w:val="28"/>
          <w:highlight w:val="none"/>
        </w:rPr>
      </w:pPr>
      <w:bookmarkStart w:id="142" w:name="_Toc27754"/>
      <w:bookmarkEnd w:id="142"/>
      <w:bookmarkStart w:id="143" w:name="_Toc26040"/>
      <w:bookmarkEnd w:id="143"/>
      <w:bookmarkStart w:id="144" w:name="_Toc30183"/>
      <w:bookmarkStart w:id="145" w:name="_Toc30133"/>
      <w:r>
        <w:rPr>
          <w:rFonts w:hint="eastAsia" w:ascii="宋体" w:hAnsi="宋体" w:eastAsia="宋体"/>
          <w:sz w:val="28"/>
          <w:szCs w:val="28"/>
          <w:highlight w:val="none"/>
        </w:rPr>
        <w:t>6. 资格审查</w:t>
      </w:r>
      <w:bookmarkEnd w:id="144"/>
      <w:bookmarkEnd w:id="145"/>
    </w:p>
    <w:p w14:paraId="0F092A94">
      <w:pPr>
        <w:spacing w:line="360" w:lineRule="auto"/>
        <w:ind w:firstLine="540" w:firstLineChars="225"/>
        <w:rPr>
          <w:rFonts w:hint="eastAsia" w:ascii="宋体" w:hAnsi="宋体"/>
          <w:sz w:val="24"/>
          <w:szCs w:val="24"/>
          <w:highlight w:val="none"/>
        </w:rPr>
      </w:pPr>
      <w:r>
        <w:rPr>
          <w:rFonts w:hint="eastAsia" w:ascii="宋体" w:hAnsi="宋体"/>
          <w:sz w:val="24"/>
          <w:szCs w:val="24"/>
          <w:highlight w:val="none"/>
        </w:rPr>
        <w:t>公开招标采购项目开标结束后，采购人或者采购代理机构应当依法对投标人的资格进行审查。</w:t>
      </w:r>
    </w:p>
    <w:p w14:paraId="10F8CADB">
      <w:pPr>
        <w:spacing w:line="360" w:lineRule="auto"/>
        <w:ind w:firstLine="540" w:firstLineChars="225"/>
        <w:rPr>
          <w:rFonts w:hint="eastAsia" w:ascii="宋体" w:hAnsi="宋体"/>
          <w:sz w:val="24"/>
          <w:szCs w:val="24"/>
          <w:highlight w:val="none"/>
        </w:rPr>
      </w:pPr>
      <w:r>
        <w:rPr>
          <w:rFonts w:hint="eastAsia" w:ascii="宋体" w:hAnsi="宋体"/>
          <w:sz w:val="24"/>
          <w:szCs w:val="24"/>
          <w:highlight w:val="none"/>
        </w:rPr>
        <w:t>合格投标人不足3家的，不得评标。</w:t>
      </w:r>
    </w:p>
    <w:p w14:paraId="18A03F73">
      <w:pPr>
        <w:pStyle w:val="3"/>
        <w:spacing w:before="0" w:after="0" w:line="360" w:lineRule="auto"/>
        <w:rPr>
          <w:rFonts w:hint="eastAsia" w:ascii="宋体" w:hAnsi="宋体" w:eastAsia="宋体"/>
          <w:sz w:val="28"/>
          <w:szCs w:val="28"/>
          <w:highlight w:val="none"/>
        </w:rPr>
      </w:pPr>
      <w:bookmarkStart w:id="146" w:name="_Toc25563"/>
      <w:bookmarkEnd w:id="146"/>
      <w:bookmarkStart w:id="147" w:name="_Toc11518"/>
      <w:bookmarkEnd w:id="147"/>
      <w:bookmarkStart w:id="148" w:name="_Toc1404"/>
      <w:bookmarkStart w:id="149" w:name="_Toc29087"/>
      <w:r>
        <w:rPr>
          <w:rFonts w:hint="eastAsia" w:ascii="宋体" w:hAnsi="宋体" w:eastAsia="宋体"/>
          <w:sz w:val="28"/>
          <w:szCs w:val="28"/>
          <w:highlight w:val="none"/>
        </w:rPr>
        <w:t>7. 评标</w:t>
      </w:r>
      <w:bookmarkEnd w:id="148"/>
      <w:bookmarkEnd w:id="149"/>
    </w:p>
    <w:p w14:paraId="534F39AA">
      <w:pPr>
        <w:spacing w:line="360" w:lineRule="auto"/>
        <w:rPr>
          <w:rFonts w:hint="eastAsia" w:ascii="宋体" w:hAnsi="宋体"/>
          <w:b/>
          <w:sz w:val="24"/>
          <w:szCs w:val="24"/>
          <w:highlight w:val="none"/>
        </w:rPr>
      </w:pPr>
      <w:bookmarkStart w:id="150" w:name="_Toc11207"/>
      <w:bookmarkEnd w:id="150"/>
      <w:bookmarkStart w:id="151" w:name="_Toc4770"/>
      <w:r>
        <w:rPr>
          <w:rFonts w:hint="eastAsia" w:ascii="宋体" w:hAnsi="宋体"/>
          <w:b/>
          <w:sz w:val="24"/>
          <w:szCs w:val="24"/>
          <w:highlight w:val="none"/>
        </w:rPr>
        <w:t>7.1 评标委员会</w:t>
      </w:r>
      <w:bookmarkEnd w:id="151"/>
    </w:p>
    <w:p w14:paraId="361758D0">
      <w:pPr>
        <w:spacing w:line="360" w:lineRule="auto"/>
        <w:ind w:firstLine="480" w:firstLineChars="200"/>
        <w:rPr>
          <w:rFonts w:hint="eastAsia" w:ascii="宋体" w:hAnsi="宋体"/>
          <w:sz w:val="24"/>
          <w:szCs w:val="24"/>
          <w:highlight w:val="none"/>
        </w:rPr>
      </w:pPr>
      <w:r>
        <w:rPr>
          <w:rFonts w:hint="eastAsia" w:ascii="宋体" w:hAnsi="宋体"/>
          <w:sz w:val="24"/>
          <w:szCs w:val="24"/>
          <w:highlight w:val="none"/>
        </w:rPr>
        <w:t>7.1.1 评标由采购人依法组建的评标委员会负责。评标委员会成员人数见投标人须知前附表。</w:t>
      </w:r>
    </w:p>
    <w:p w14:paraId="6B18A7A9">
      <w:pPr>
        <w:spacing w:line="360" w:lineRule="auto"/>
        <w:ind w:firstLine="540" w:firstLineChars="225"/>
        <w:rPr>
          <w:rFonts w:hint="eastAsia" w:ascii="宋体" w:hAnsi="宋体"/>
          <w:sz w:val="24"/>
          <w:szCs w:val="24"/>
          <w:highlight w:val="none"/>
        </w:rPr>
      </w:pPr>
      <w:r>
        <w:rPr>
          <w:rFonts w:hint="eastAsia" w:ascii="宋体" w:hAnsi="宋体"/>
          <w:sz w:val="24"/>
          <w:szCs w:val="24"/>
          <w:highlight w:val="none"/>
        </w:rPr>
        <w:t>7.1.2 评标中因评标委员会成员缺席、回避或者健康等特殊原因导致评标委员会组成不符合《政府采购货物和服务招标投标管理办法》(财政部令第87号)规定的，采购人或者采购代理机构应当依法补足后继续评标。被更换的评标委员会成员所作出的评标意见无效。无法及时补足评标委员会成员的，采购人或者采购代理机构应当停止评标活动，封存所有投标文件和开标、评标资料，依法重新组建评标委员会进行评标。原评标委员会所作出的评标意见无效。采购人或者采购代理机构应当将变更、重新组建评标委员会的情况予以记录，并随招标文件一并存档。</w:t>
      </w:r>
    </w:p>
    <w:p w14:paraId="15FC8289">
      <w:pPr>
        <w:spacing w:line="360" w:lineRule="auto"/>
        <w:rPr>
          <w:rFonts w:hint="eastAsia" w:ascii="宋体" w:hAnsi="宋体"/>
          <w:b/>
          <w:sz w:val="24"/>
          <w:szCs w:val="24"/>
          <w:highlight w:val="none"/>
        </w:rPr>
      </w:pPr>
      <w:bookmarkStart w:id="152" w:name="_Toc28237"/>
      <w:bookmarkEnd w:id="152"/>
      <w:bookmarkStart w:id="153" w:name="_Toc6336"/>
      <w:r>
        <w:rPr>
          <w:rFonts w:hint="eastAsia" w:ascii="宋体" w:hAnsi="宋体"/>
          <w:b/>
          <w:sz w:val="24"/>
          <w:szCs w:val="24"/>
          <w:highlight w:val="none"/>
        </w:rPr>
        <w:t>7.2 评标原则</w:t>
      </w:r>
      <w:bookmarkEnd w:id="153"/>
    </w:p>
    <w:p w14:paraId="4CE30355">
      <w:pPr>
        <w:spacing w:line="360" w:lineRule="auto"/>
        <w:ind w:firstLine="480" w:firstLineChars="200"/>
        <w:rPr>
          <w:rFonts w:hint="eastAsia" w:ascii="宋体" w:hAnsi="宋体"/>
          <w:sz w:val="24"/>
          <w:szCs w:val="24"/>
          <w:highlight w:val="none"/>
        </w:rPr>
      </w:pPr>
      <w:r>
        <w:rPr>
          <w:rFonts w:hint="eastAsia" w:ascii="宋体" w:hAnsi="宋体"/>
          <w:sz w:val="24"/>
          <w:szCs w:val="24"/>
          <w:highlight w:val="none"/>
        </w:rPr>
        <w:t>评标活动遵循公平、公正、科学和择优的原则。</w:t>
      </w:r>
    </w:p>
    <w:p w14:paraId="2D71E672">
      <w:pPr>
        <w:spacing w:line="360" w:lineRule="auto"/>
        <w:rPr>
          <w:rFonts w:hint="eastAsia" w:ascii="宋体" w:hAnsi="宋体"/>
          <w:b/>
          <w:sz w:val="24"/>
          <w:szCs w:val="24"/>
          <w:highlight w:val="none"/>
        </w:rPr>
      </w:pPr>
      <w:bookmarkStart w:id="154" w:name="_Toc10442"/>
      <w:bookmarkEnd w:id="154"/>
      <w:bookmarkStart w:id="155" w:name="_Toc5282"/>
      <w:r>
        <w:rPr>
          <w:rFonts w:hint="eastAsia" w:ascii="宋体" w:hAnsi="宋体"/>
          <w:b/>
          <w:sz w:val="24"/>
          <w:szCs w:val="24"/>
          <w:highlight w:val="none"/>
        </w:rPr>
        <w:t>7.3 评标</w:t>
      </w:r>
      <w:bookmarkEnd w:id="155"/>
    </w:p>
    <w:p w14:paraId="778B488C">
      <w:pPr>
        <w:spacing w:line="360" w:lineRule="auto"/>
        <w:ind w:firstLine="480" w:firstLineChars="200"/>
        <w:rPr>
          <w:rFonts w:hint="eastAsia" w:ascii="宋体" w:hAnsi="宋体"/>
          <w:sz w:val="24"/>
          <w:szCs w:val="24"/>
          <w:highlight w:val="none"/>
        </w:rPr>
      </w:pPr>
      <w:r>
        <w:rPr>
          <w:rFonts w:hint="eastAsia" w:ascii="宋体" w:hAnsi="宋体"/>
          <w:sz w:val="24"/>
          <w:szCs w:val="24"/>
          <w:highlight w:val="none"/>
        </w:rPr>
        <w:t>7.3.1 评标委员会按照第四章“评标办法”规定的方法、评审因素、标准和程序对投标文件进行评审。第四章“评标办法”没有规定的方法、评审因素和标准，不作为评标依据。</w:t>
      </w:r>
    </w:p>
    <w:p w14:paraId="67C7C1CE">
      <w:pPr>
        <w:spacing w:line="360" w:lineRule="auto"/>
        <w:ind w:firstLine="480" w:firstLineChars="200"/>
        <w:rPr>
          <w:rFonts w:hint="eastAsia" w:ascii="宋体" w:hAnsi="宋体"/>
          <w:sz w:val="24"/>
          <w:szCs w:val="24"/>
          <w:highlight w:val="none"/>
        </w:rPr>
      </w:pPr>
      <w:r>
        <w:rPr>
          <w:rFonts w:hint="eastAsia" w:ascii="宋体" w:hAnsi="宋体"/>
          <w:sz w:val="24"/>
          <w:szCs w:val="24"/>
          <w:highlight w:val="none"/>
        </w:rPr>
        <w:t>7.3.2 评标完成后，评标委员会应当向采购人提交书面评标报告和中标候选人名单。评标委员会推荐中标候选人的人数见投标人须知前附表。</w:t>
      </w:r>
    </w:p>
    <w:p w14:paraId="25F4C8C6">
      <w:pPr>
        <w:pStyle w:val="3"/>
        <w:spacing w:before="0" w:after="0" w:line="360" w:lineRule="auto"/>
        <w:rPr>
          <w:rFonts w:hint="eastAsia" w:ascii="宋体" w:hAnsi="宋体" w:eastAsia="宋体"/>
          <w:sz w:val="28"/>
          <w:szCs w:val="28"/>
          <w:highlight w:val="none"/>
        </w:rPr>
      </w:pPr>
      <w:bookmarkStart w:id="156" w:name="_Toc6003"/>
      <w:bookmarkEnd w:id="156"/>
      <w:bookmarkStart w:id="157" w:name="_Toc30483"/>
      <w:bookmarkEnd w:id="157"/>
      <w:bookmarkStart w:id="158" w:name="_Toc19012"/>
      <w:bookmarkStart w:id="159" w:name="_Toc22840"/>
      <w:r>
        <w:rPr>
          <w:rFonts w:hint="eastAsia" w:ascii="宋体" w:hAnsi="宋体" w:eastAsia="宋体"/>
          <w:sz w:val="28"/>
          <w:szCs w:val="28"/>
          <w:highlight w:val="none"/>
        </w:rPr>
        <w:t>8. 中标和合同</w:t>
      </w:r>
      <w:bookmarkEnd w:id="158"/>
      <w:bookmarkEnd w:id="159"/>
    </w:p>
    <w:p w14:paraId="01F1E5C4">
      <w:pPr>
        <w:spacing w:line="360" w:lineRule="auto"/>
        <w:rPr>
          <w:rFonts w:hint="eastAsia" w:ascii="宋体" w:hAnsi="宋体"/>
          <w:b/>
          <w:sz w:val="24"/>
          <w:szCs w:val="24"/>
          <w:highlight w:val="none"/>
        </w:rPr>
      </w:pPr>
      <w:bookmarkStart w:id="160" w:name="_Toc18219"/>
      <w:bookmarkEnd w:id="160"/>
      <w:bookmarkStart w:id="161" w:name="_Toc31217"/>
      <w:r>
        <w:rPr>
          <w:rFonts w:hint="eastAsia" w:ascii="宋体" w:hAnsi="宋体"/>
          <w:b/>
          <w:sz w:val="24"/>
          <w:szCs w:val="24"/>
          <w:highlight w:val="none"/>
        </w:rPr>
        <w:t>8.1 定标</w:t>
      </w:r>
      <w:bookmarkEnd w:id="161"/>
    </w:p>
    <w:p w14:paraId="4ACACBFE">
      <w:pPr>
        <w:spacing w:line="360" w:lineRule="auto"/>
        <w:ind w:firstLine="480" w:firstLineChars="200"/>
        <w:rPr>
          <w:rFonts w:hint="eastAsia" w:ascii="宋体" w:hAnsi="宋体"/>
          <w:sz w:val="24"/>
          <w:szCs w:val="24"/>
          <w:highlight w:val="none"/>
        </w:rPr>
      </w:pPr>
      <w:r>
        <w:rPr>
          <w:rFonts w:hint="eastAsia" w:ascii="宋体" w:hAnsi="宋体"/>
          <w:sz w:val="24"/>
          <w:szCs w:val="24"/>
          <w:highlight w:val="none"/>
        </w:rPr>
        <w:t>按照投标人须知前附表的规定，采购人或采购人授权的评标委员会依法确定中标人。</w:t>
      </w:r>
    </w:p>
    <w:p w14:paraId="0A28A916">
      <w:pPr>
        <w:spacing w:line="360" w:lineRule="auto"/>
        <w:rPr>
          <w:rFonts w:hint="eastAsia" w:ascii="宋体" w:hAnsi="宋体"/>
          <w:b/>
          <w:sz w:val="24"/>
          <w:szCs w:val="24"/>
          <w:highlight w:val="none"/>
        </w:rPr>
      </w:pPr>
      <w:bookmarkStart w:id="162" w:name="_Toc18811"/>
      <w:bookmarkEnd w:id="162"/>
      <w:bookmarkStart w:id="163" w:name="_Toc18115"/>
      <w:r>
        <w:rPr>
          <w:rFonts w:hint="eastAsia" w:ascii="宋体" w:hAnsi="宋体"/>
          <w:b/>
          <w:sz w:val="24"/>
          <w:szCs w:val="24"/>
          <w:highlight w:val="none"/>
        </w:rPr>
        <w:t>8.2中标公告</w:t>
      </w:r>
      <w:bookmarkEnd w:id="163"/>
    </w:p>
    <w:p w14:paraId="369B9F8E">
      <w:pPr>
        <w:widowControl w:val="0"/>
        <w:spacing w:line="360" w:lineRule="auto"/>
        <w:ind w:firstLine="480" w:firstLineChars="200"/>
        <w:rPr>
          <w:rFonts w:hint="eastAsia" w:ascii="宋体" w:hAnsi="宋体"/>
          <w:sz w:val="24"/>
          <w:szCs w:val="24"/>
          <w:highlight w:val="none"/>
        </w:rPr>
      </w:pPr>
      <w:r>
        <w:rPr>
          <w:rFonts w:hint="eastAsia" w:ascii="宋体" w:hAnsi="宋体"/>
          <w:sz w:val="24"/>
          <w:szCs w:val="24"/>
          <w:highlight w:val="none"/>
        </w:rPr>
        <w:t>采购人或者采购代理机构应当自中标人确定之日起2个工作日内，按照投标人须知前附表规定的媒介和期限公告中标结果，招标文件应当随中标结果同时公告。</w:t>
      </w:r>
    </w:p>
    <w:p w14:paraId="5B723B8A">
      <w:pPr>
        <w:spacing w:line="360" w:lineRule="auto"/>
        <w:ind w:firstLine="480" w:firstLineChars="200"/>
        <w:rPr>
          <w:rFonts w:hint="eastAsia" w:ascii="宋体" w:hAnsi="宋体"/>
          <w:color w:val="FF0000"/>
          <w:sz w:val="24"/>
          <w:szCs w:val="24"/>
          <w:highlight w:val="none"/>
        </w:rPr>
      </w:pPr>
      <w:r>
        <w:rPr>
          <w:rFonts w:hint="eastAsia" w:ascii="宋体" w:hAnsi="宋体"/>
          <w:sz w:val="24"/>
          <w:szCs w:val="24"/>
          <w:highlight w:val="none"/>
        </w:rPr>
        <w:t>中标公告期限详见投标人须知前附表。</w:t>
      </w:r>
    </w:p>
    <w:p w14:paraId="7FB43AAB">
      <w:pPr>
        <w:spacing w:line="360" w:lineRule="auto"/>
        <w:rPr>
          <w:rFonts w:hint="eastAsia" w:ascii="宋体" w:hAnsi="宋体"/>
          <w:b/>
          <w:sz w:val="24"/>
          <w:szCs w:val="24"/>
          <w:highlight w:val="none"/>
        </w:rPr>
      </w:pPr>
      <w:bookmarkStart w:id="164" w:name="_Toc8411"/>
      <w:bookmarkEnd w:id="164"/>
      <w:bookmarkStart w:id="165" w:name="_Toc16495"/>
      <w:bookmarkEnd w:id="165"/>
      <w:bookmarkStart w:id="166" w:name="_Toc3833"/>
      <w:r>
        <w:rPr>
          <w:rFonts w:hint="eastAsia" w:ascii="宋体" w:hAnsi="宋体"/>
          <w:b/>
          <w:sz w:val="24"/>
          <w:szCs w:val="24"/>
          <w:highlight w:val="none"/>
        </w:rPr>
        <w:t>8.3中标通知</w:t>
      </w:r>
      <w:bookmarkEnd w:id="166"/>
    </w:p>
    <w:p w14:paraId="418D89A8">
      <w:pPr>
        <w:spacing w:line="360" w:lineRule="auto"/>
        <w:ind w:firstLine="480" w:firstLineChars="200"/>
        <w:rPr>
          <w:rFonts w:hint="eastAsia" w:ascii="宋体" w:hAnsi="宋体"/>
          <w:sz w:val="24"/>
          <w:szCs w:val="24"/>
          <w:highlight w:val="none"/>
        </w:rPr>
      </w:pPr>
      <w:r>
        <w:rPr>
          <w:rFonts w:hint="eastAsia" w:ascii="宋体" w:hAnsi="宋体"/>
          <w:sz w:val="24"/>
          <w:szCs w:val="24"/>
          <w:highlight w:val="none"/>
        </w:rPr>
        <w:t>在本章第3.3 款规定的投标有效期内，在公告中标结果的同时，采购人或者采购代理机构应当向中标人发出中标通知书。</w:t>
      </w:r>
    </w:p>
    <w:p w14:paraId="0E3E9CC1">
      <w:pPr>
        <w:spacing w:line="360" w:lineRule="auto"/>
        <w:rPr>
          <w:rFonts w:hint="eastAsia" w:ascii="宋体" w:hAnsi="宋体"/>
          <w:b/>
          <w:sz w:val="24"/>
          <w:szCs w:val="24"/>
          <w:highlight w:val="none"/>
        </w:rPr>
      </w:pPr>
      <w:bookmarkStart w:id="167" w:name="_Toc13042"/>
      <w:bookmarkEnd w:id="167"/>
      <w:bookmarkStart w:id="168" w:name="_Toc7193"/>
      <w:r>
        <w:rPr>
          <w:rFonts w:hint="eastAsia" w:ascii="宋体" w:hAnsi="宋体"/>
          <w:b/>
          <w:sz w:val="24"/>
          <w:szCs w:val="24"/>
          <w:highlight w:val="none"/>
        </w:rPr>
        <w:t>8.4 履约保证金</w:t>
      </w:r>
      <w:bookmarkEnd w:id="168"/>
    </w:p>
    <w:p w14:paraId="0E89038C">
      <w:pPr>
        <w:spacing w:line="360" w:lineRule="auto"/>
        <w:ind w:firstLine="480" w:firstLineChars="200"/>
        <w:rPr>
          <w:rFonts w:hint="eastAsia" w:ascii="宋体" w:hAnsi="宋体"/>
          <w:sz w:val="24"/>
          <w:szCs w:val="24"/>
          <w:highlight w:val="none"/>
        </w:rPr>
      </w:pPr>
      <w:r>
        <w:rPr>
          <w:rFonts w:hint="eastAsia" w:ascii="宋体" w:hAnsi="宋体"/>
          <w:sz w:val="24"/>
          <w:szCs w:val="24"/>
          <w:highlight w:val="none"/>
        </w:rPr>
        <w:t>8.4.1 在签订合同前，中标人应按投标人须知前附表规定的形式、金额向采购人提交履约保证金。联合体中标的，其履约保证金以联合体各方或者联合体中牵头人的名义提交。</w:t>
      </w:r>
    </w:p>
    <w:p w14:paraId="5A2EDAAD">
      <w:pPr>
        <w:spacing w:line="360" w:lineRule="auto"/>
        <w:ind w:firstLine="480" w:firstLineChars="200"/>
        <w:rPr>
          <w:rFonts w:hint="eastAsia" w:ascii="宋体" w:hAnsi="宋体"/>
          <w:sz w:val="24"/>
          <w:szCs w:val="24"/>
          <w:highlight w:val="none"/>
        </w:rPr>
      </w:pPr>
      <w:r>
        <w:rPr>
          <w:rFonts w:hint="eastAsia" w:ascii="宋体" w:hAnsi="宋体"/>
          <w:sz w:val="24"/>
          <w:szCs w:val="24"/>
          <w:highlight w:val="none"/>
        </w:rPr>
        <w:t>8.4.2 中标人不能按本章第8.4.1项要求提交履约保证金的，视为放弃中标，其投标保证金不予退还，给采购人造成的损失超过投标保证金数额的，中标人还应当对超过部分予以赔偿。</w:t>
      </w:r>
    </w:p>
    <w:p w14:paraId="389500F2">
      <w:pPr>
        <w:spacing w:line="360" w:lineRule="auto"/>
        <w:rPr>
          <w:rFonts w:hint="eastAsia" w:ascii="宋体" w:hAnsi="宋体"/>
          <w:b/>
          <w:sz w:val="24"/>
          <w:szCs w:val="24"/>
          <w:highlight w:val="none"/>
        </w:rPr>
      </w:pPr>
      <w:bookmarkStart w:id="169" w:name="_Toc6413"/>
      <w:bookmarkEnd w:id="169"/>
      <w:bookmarkStart w:id="170" w:name="_Toc18519"/>
      <w:r>
        <w:rPr>
          <w:rFonts w:hint="eastAsia" w:ascii="宋体" w:hAnsi="宋体"/>
          <w:b/>
          <w:sz w:val="24"/>
          <w:szCs w:val="24"/>
          <w:highlight w:val="none"/>
        </w:rPr>
        <w:t>8.5 签订合同</w:t>
      </w:r>
      <w:bookmarkEnd w:id="170"/>
    </w:p>
    <w:p w14:paraId="1B075B4C">
      <w:pPr>
        <w:spacing w:line="360" w:lineRule="auto"/>
        <w:ind w:firstLine="480" w:firstLineChars="200"/>
        <w:rPr>
          <w:rFonts w:hint="eastAsia" w:ascii="宋体" w:hAnsi="宋体"/>
          <w:sz w:val="24"/>
          <w:szCs w:val="24"/>
          <w:highlight w:val="none"/>
        </w:rPr>
      </w:pPr>
      <w:r>
        <w:rPr>
          <w:rFonts w:hint="eastAsia" w:ascii="宋体" w:hAnsi="宋体"/>
          <w:sz w:val="24"/>
          <w:szCs w:val="24"/>
          <w:highlight w:val="none"/>
        </w:rPr>
        <w:t>8.5.1 采购人应当自中标通知书发出之日起30日内，按照招标文件和中标人投标文件的规定，与中标人签订书面合同。所签订的合同不得对招标文件确定的事项和中标人投标文件作实质性修改。采购人不得向中标人提出任何不合理的要求作为签订合同的条件。</w:t>
      </w:r>
    </w:p>
    <w:p w14:paraId="3324F8ED">
      <w:pPr>
        <w:spacing w:line="360" w:lineRule="auto"/>
        <w:ind w:firstLine="480" w:firstLineChars="200"/>
        <w:rPr>
          <w:rFonts w:hint="eastAsia" w:ascii="宋体" w:hAnsi="宋体"/>
          <w:sz w:val="24"/>
          <w:szCs w:val="24"/>
          <w:highlight w:val="none"/>
        </w:rPr>
      </w:pPr>
      <w:r>
        <w:rPr>
          <w:rFonts w:hint="eastAsia" w:ascii="宋体" w:hAnsi="宋体"/>
          <w:sz w:val="24"/>
          <w:szCs w:val="24"/>
          <w:highlight w:val="none"/>
        </w:rPr>
        <w:t>8.5.2 中标通知书发出后，采购人不得违法改变中标结果，中标人无正当理由不得放弃中标。</w:t>
      </w:r>
    </w:p>
    <w:p w14:paraId="779060FD">
      <w:pPr>
        <w:spacing w:line="360" w:lineRule="auto"/>
        <w:ind w:firstLine="480" w:firstLineChars="200"/>
        <w:rPr>
          <w:rFonts w:hint="eastAsia" w:ascii="宋体" w:hAnsi="宋体"/>
          <w:sz w:val="24"/>
          <w:szCs w:val="24"/>
          <w:highlight w:val="none"/>
        </w:rPr>
      </w:pPr>
      <w:r>
        <w:rPr>
          <w:rFonts w:hint="eastAsia" w:ascii="宋体" w:hAnsi="宋体"/>
          <w:sz w:val="24"/>
          <w:szCs w:val="24"/>
          <w:highlight w:val="none"/>
        </w:rPr>
        <w:t>8.5.3联合体中标的，联合体各方应当共同与采购人签订合同，就中标项目向采购人承担连带责任。</w:t>
      </w:r>
    </w:p>
    <w:p w14:paraId="42497691">
      <w:pPr>
        <w:pStyle w:val="3"/>
        <w:spacing w:before="0" w:after="0" w:line="360" w:lineRule="auto"/>
        <w:rPr>
          <w:rFonts w:hint="eastAsia" w:ascii="宋体" w:hAnsi="宋体" w:eastAsia="宋体"/>
          <w:sz w:val="28"/>
          <w:szCs w:val="28"/>
          <w:highlight w:val="none"/>
        </w:rPr>
      </w:pPr>
      <w:bookmarkStart w:id="171" w:name="_Toc18054"/>
      <w:r>
        <w:rPr>
          <w:rFonts w:hint="eastAsia" w:ascii="宋体" w:hAnsi="宋体" w:eastAsia="宋体"/>
          <w:sz w:val="28"/>
          <w:szCs w:val="28"/>
          <w:highlight w:val="none"/>
        </w:rPr>
        <w:t>9. 询问与答复</w:t>
      </w:r>
      <w:bookmarkEnd w:id="171"/>
    </w:p>
    <w:p w14:paraId="14CCD41F">
      <w:pPr>
        <w:pStyle w:val="11"/>
        <w:ind w:firstLine="480" w:firstLineChars="200"/>
        <w:rPr>
          <w:rFonts w:hint="eastAsia"/>
          <w:kern w:val="0"/>
          <w:sz w:val="24"/>
          <w:highlight w:val="none"/>
        </w:rPr>
      </w:pPr>
      <w:r>
        <w:rPr>
          <w:rFonts w:hint="eastAsia"/>
          <w:kern w:val="0"/>
          <w:sz w:val="24"/>
          <w:highlight w:val="none"/>
        </w:rPr>
        <w:t>凡对本次招标采购活动事项有疑问的，可以向采购代理机构提出询问，采购代理机构将及时作出答复，但答复的内容不得涉及商业秘密。</w:t>
      </w:r>
    </w:p>
    <w:p w14:paraId="39B99DF7">
      <w:pPr>
        <w:pStyle w:val="3"/>
        <w:spacing w:before="0" w:after="0" w:line="360" w:lineRule="auto"/>
        <w:rPr>
          <w:rFonts w:hint="eastAsia" w:ascii="宋体" w:hAnsi="宋体" w:eastAsia="宋体"/>
          <w:sz w:val="28"/>
          <w:szCs w:val="28"/>
          <w:highlight w:val="none"/>
        </w:rPr>
      </w:pPr>
      <w:bookmarkStart w:id="172" w:name="_Toc11854"/>
      <w:bookmarkEnd w:id="172"/>
      <w:bookmarkStart w:id="173" w:name="_Toc20692"/>
      <w:bookmarkEnd w:id="173"/>
      <w:bookmarkStart w:id="174" w:name="_Toc16995"/>
      <w:bookmarkStart w:id="175" w:name="_Toc20594"/>
      <w:r>
        <w:rPr>
          <w:rFonts w:hint="eastAsia" w:ascii="宋体" w:hAnsi="宋体" w:eastAsia="宋体"/>
          <w:sz w:val="28"/>
          <w:szCs w:val="28"/>
          <w:highlight w:val="none"/>
        </w:rPr>
        <w:t>10. 质疑接收、回复</w:t>
      </w:r>
      <w:bookmarkEnd w:id="174"/>
    </w:p>
    <w:p w14:paraId="03E24B91">
      <w:pPr>
        <w:spacing w:line="360" w:lineRule="auto"/>
        <w:rPr>
          <w:rFonts w:hint="eastAsia" w:ascii="宋体" w:hAnsi="宋体"/>
          <w:b/>
          <w:sz w:val="24"/>
          <w:szCs w:val="24"/>
          <w:highlight w:val="none"/>
        </w:rPr>
      </w:pPr>
      <w:r>
        <w:rPr>
          <w:rFonts w:hint="eastAsia" w:ascii="宋体" w:hAnsi="宋体"/>
          <w:b/>
          <w:sz w:val="24"/>
          <w:szCs w:val="24"/>
          <w:highlight w:val="none"/>
        </w:rPr>
        <w:t xml:space="preserve">   10.1质疑接收</w:t>
      </w:r>
    </w:p>
    <w:p w14:paraId="6CCF1196">
      <w:pPr>
        <w:widowControl w:val="0"/>
        <w:spacing w:line="360" w:lineRule="auto"/>
        <w:ind w:firstLine="480" w:firstLineChars="200"/>
        <w:rPr>
          <w:rFonts w:hint="eastAsia" w:ascii="宋体" w:hAnsi="宋体"/>
          <w:sz w:val="24"/>
          <w:szCs w:val="24"/>
          <w:highlight w:val="none"/>
        </w:rPr>
      </w:pPr>
      <w:r>
        <w:rPr>
          <w:rFonts w:hint="eastAsia" w:ascii="宋体" w:hAnsi="宋体"/>
          <w:sz w:val="24"/>
          <w:szCs w:val="24"/>
          <w:highlight w:val="none"/>
        </w:rPr>
        <w:t>10.1.1投标人认为招标文件、招标过程和中标结果使自己的权益受到损害的，可以根据《中华人民共和国政府采购法</w:t>
      </w:r>
      <w:r>
        <w:rPr>
          <w:rFonts w:hint="eastAsia" w:ascii="宋体" w:hAnsi="宋体"/>
          <w:sz w:val="24"/>
          <w:szCs w:val="24"/>
          <w:highlight w:val="none"/>
          <w:lang w:eastAsia="zh-CN"/>
        </w:rPr>
        <w:t>》《</w:t>
      </w:r>
      <w:r>
        <w:rPr>
          <w:rFonts w:hint="eastAsia" w:ascii="宋体" w:hAnsi="宋体"/>
          <w:sz w:val="24"/>
          <w:szCs w:val="24"/>
          <w:highlight w:val="none"/>
        </w:rPr>
        <w:t>中华人民共和国政府采购法实施条例》和《政府采购质疑和投诉办法》的有关规定，依法向采购人或其委托的采购代理机构提出质疑。</w:t>
      </w:r>
    </w:p>
    <w:p w14:paraId="1E9024D9">
      <w:pPr>
        <w:spacing w:line="360" w:lineRule="auto"/>
        <w:ind w:firstLine="480" w:firstLineChars="200"/>
        <w:rPr>
          <w:rFonts w:hint="eastAsia" w:ascii="宋体" w:hAnsi="宋体"/>
          <w:sz w:val="24"/>
          <w:szCs w:val="24"/>
          <w:highlight w:val="none"/>
        </w:rPr>
      </w:pPr>
      <w:r>
        <w:rPr>
          <w:rFonts w:hint="eastAsia" w:ascii="宋体" w:hAnsi="宋体"/>
          <w:sz w:val="24"/>
          <w:szCs w:val="24"/>
          <w:highlight w:val="none"/>
        </w:rPr>
        <w:t>10.1.2 质疑供应商应按照财政部制定的《政府采购质疑函范本》格式和《政府采购质疑和投诉办法》的要求，在法定质疑期内书面形式提出质疑，针对同一采购程序环节的质疑应一次性提出。</w:t>
      </w:r>
    </w:p>
    <w:p w14:paraId="092768D9">
      <w:pPr>
        <w:spacing w:line="360" w:lineRule="auto"/>
        <w:ind w:firstLine="480" w:firstLineChars="200"/>
        <w:rPr>
          <w:rFonts w:hint="eastAsia" w:ascii="宋体" w:hAnsi="宋体"/>
          <w:sz w:val="24"/>
          <w:szCs w:val="24"/>
          <w:highlight w:val="none"/>
        </w:rPr>
      </w:pPr>
      <w:r>
        <w:rPr>
          <w:rFonts w:hint="eastAsia" w:ascii="宋体" w:hAnsi="宋体"/>
          <w:sz w:val="24"/>
          <w:szCs w:val="24"/>
          <w:highlight w:val="none"/>
        </w:rPr>
        <w:t>超出法定质疑期的、重复提出的、分次提出的或内容、形式不符合《政府采购质疑和投诉办法》的，质疑供应商将依法承担不利后果。</w:t>
      </w:r>
    </w:p>
    <w:p w14:paraId="35B44404">
      <w:pPr>
        <w:spacing w:line="360" w:lineRule="auto"/>
        <w:ind w:firstLine="480" w:firstLineChars="200"/>
        <w:rPr>
          <w:rFonts w:hint="eastAsia" w:ascii="宋体" w:hAnsi="宋体"/>
          <w:sz w:val="24"/>
          <w:szCs w:val="24"/>
          <w:highlight w:val="none"/>
        </w:rPr>
      </w:pPr>
      <w:r>
        <w:rPr>
          <w:rFonts w:hint="eastAsia" w:ascii="宋体" w:hAnsi="宋体"/>
          <w:sz w:val="24"/>
          <w:szCs w:val="24"/>
          <w:highlight w:val="none"/>
        </w:rPr>
        <w:t>10.1.3采购代理机构接收质疑函的方式、联系部门、联系电话和通讯地址。</w:t>
      </w:r>
    </w:p>
    <w:p w14:paraId="10935236">
      <w:pPr>
        <w:spacing w:line="360" w:lineRule="auto"/>
        <w:ind w:firstLine="480" w:firstLineChars="200"/>
        <w:rPr>
          <w:rFonts w:hint="eastAsia" w:ascii="宋体" w:hAnsi="宋体"/>
          <w:sz w:val="24"/>
          <w:szCs w:val="24"/>
          <w:highlight w:val="none"/>
        </w:rPr>
      </w:pPr>
      <w:r>
        <w:rPr>
          <w:rFonts w:hint="eastAsia" w:ascii="宋体" w:hAnsi="宋体"/>
          <w:sz w:val="24"/>
          <w:szCs w:val="24"/>
          <w:highlight w:val="none"/>
        </w:rPr>
        <w:t>接收质疑函的方式：质疑函采取书面递交形式。</w:t>
      </w:r>
    </w:p>
    <w:p w14:paraId="24C7250B">
      <w:pPr>
        <w:spacing w:line="360" w:lineRule="auto"/>
        <w:ind w:firstLine="480" w:firstLineChars="200"/>
        <w:rPr>
          <w:rFonts w:hint="eastAsia" w:ascii="宋体" w:hAnsi="宋体"/>
          <w:sz w:val="24"/>
          <w:szCs w:val="24"/>
          <w:highlight w:val="none"/>
        </w:rPr>
      </w:pPr>
      <w:r>
        <w:rPr>
          <w:rFonts w:hint="eastAsia" w:ascii="宋体" w:hAnsi="宋体"/>
          <w:sz w:val="24"/>
          <w:szCs w:val="24"/>
          <w:highlight w:val="none"/>
        </w:rPr>
        <w:t>供应商可以委托代理人进行质疑。其授权委托书应当载明代理人的姓名或者名称、代理事项、具体权限、期限和相关事项。供应商为自然人的，应当由本人签字；供应商为法人或者其他组织的，应当由法定代表人、主要负责人签字或者盖章，并加盖公章。</w:t>
      </w:r>
    </w:p>
    <w:p w14:paraId="3E27CAF3">
      <w:pPr>
        <w:spacing w:line="360" w:lineRule="auto"/>
        <w:ind w:firstLine="480" w:firstLineChars="200"/>
        <w:rPr>
          <w:rFonts w:hint="eastAsia" w:ascii="宋体" w:hAnsi="宋体"/>
          <w:sz w:val="24"/>
          <w:szCs w:val="24"/>
          <w:highlight w:val="none"/>
        </w:rPr>
      </w:pPr>
      <w:r>
        <w:rPr>
          <w:rFonts w:hint="eastAsia" w:ascii="宋体" w:hAnsi="宋体"/>
          <w:sz w:val="24"/>
          <w:szCs w:val="24"/>
          <w:highlight w:val="none"/>
        </w:rPr>
        <w:t>代理人提出质疑，应当提交供应商签署的授权委托书。</w:t>
      </w:r>
    </w:p>
    <w:p w14:paraId="589A5FDD">
      <w:pPr>
        <w:spacing w:line="360" w:lineRule="auto"/>
        <w:ind w:firstLine="480" w:firstLineChars="200"/>
        <w:rPr>
          <w:rFonts w:hint="eastAsia" w:ascii="宋体" w:hAnsi="宋体" w:cs="宋体"/>
          <w:color w:val="auto"/>
          <w:sz w:val="24"/>
          <w:szCs w:val="24"/>
          <w:highlight w:val="none"/>
        </w:rPr>
      </w:pPr>
      <w:r>
        <w:rPr>
          <w:rFonts w:hint="eastAsia" w:ascii="宋体" w:hAnsi="宋体"/>
          <w:sz w:val="24"/>
          <w:szCs w:val="24"/>
          <w:highlight w:val="none"/>
        </w:rPr>
        <w:t>联</w:t>
      </w:r>
      <w:r>
        <w:rPr>
          <w:rFonts w:hint="eastAsia" w:ascii="宋体" w:hAnsi="宋体"/>
          <w:color w:val="auto"/>
          <w:sz w:val="24"/>
          <w:szCs w:val="24"/>
          <w:highlight w:val="none"/>
        </w:rPr>
        <w:t>系</w:t>
      </w:r>
      <w:r>
        <w:rPr>
          <w:rFonts w:hint="eastAsia" w:ascii="宋体" w:hAnsi="宋体"/>
          <w:color w:val="auto"/>
          <w:sz w:val="24"/>
          <w:szCs w:val="24"/>
          <w:highlight w:val="none"/>
          <w:lang w:val="en-US" w:eastAsia="zh-CN"/>
        </w:rPr>
        <w:t>单位</w:t>
      </w:r>
      <w:r>
        <w:rPr>
          <w:rFonts w:hint="eastAsia" w:ascii="宋体" w:hAnsi="宋体"/>
          <w:color w:val="auto"/>
          <w:sz w:val="24"/>
          <w:szCs w:val="24"/>
          <w:highlight w:val="none"/>
        </w:rPr>
        <w:t>：</w:t>
      </w:r>
      <w:r>
        <w:rPr>
          <w:rFonts w:hint="eastAsia" w:ascii="宋体" w:hAnsi="宋体" w:cs="宋体"/>
          <w:color w:val="auto"/>
          <w:sz w:val="24"/>
          <w:szCs w:val="24"/>
          <w:highlight w:val="none"/>
          <w:lang w:eastAsia="zh-CN"/>
        </w:rPr>
        <w:t>云南玉昭工程咨询有限公司</w:t>
      </w:r>
      <w:r>
        <w:rPr>
          <w:rFonts w:hint="eastAsia" w:ascii="宋体" w:hAnsi="宋体" w:cs="宋体"/>
          <w:color w:val="auto"/>
          <w:sz w:val="24"/>
          <w:szCs w:val="24"/>
          <w:highlight w:val="none"/>
        </w:rPr>
        <w:t>。</w:t>
      </w:r>
    </w:p>
    <w:p w14:paraId="2F96463C">
      <w:pPr>
        <w:spacing w:line="360" w:lineRule="auto"/>
        <w:ind w:firstLine="480" w:firstLineChars="200"/>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联系电话：</w:t>
      </w:r>
      <w:r>
        <w:rPr>
          <w:rFonts w:hint="eastAsia" w:ascii="宋体" w:hAnsi="宋体" w:cs="宋体"/>
          <w:color w:val="auto"/>
          <w:sz w:val="24"/>
          <w:szCs w:val="24"/>
          <w:highlight w:val="none"/>
          <w:lang w:eastAsia="zh-CN"/>
        </w:rPr>
        <w:t>18008877484</w:t>
      </w:r>
    </w:p>
    <w:p w14:paraId="239BCBD7">
      <w:pPr>
        <w:pStyle w:val="11"/>
        <w:ind w:firstLine="480" w:firstLineChars="200"/>
        <w:rPr>
          <w:rFonts w:hint="eastAsia" w:ascii="宋体" w:hAnsi="宋体" w:eastAsia="宋体" w:cs="宋体"/>
          <w:sz w:val="24"/>
          <w:highlight w:val="none"/>
          <w:lang w:eastAsia="zh-CN"/>
        </w:rPr>
      </w:pPr>
      <w:r>
        <w:rPr>
          <w:rFonts w:hint="eastAsia" w:ascii="宋体" w:hAnsi="宋体" w:cs="宋体"/>
          <w:color w:val="auto"/>
          <w:sz w:val="24"/>
          <w:highlight w:val="none"/>
        </w:rPr>
        <w:t>通讯地址：</w:t>
      </w:r>
      <w:r>
        <w:rPr>
          <w:rFonts w:hint="eastAsia" w:ascii="宋体" w:hAnsi="宋体" w:cs="宋体"/>
          <w:color w:val="auto"/>
          <w:sz w:val="24"/>
          <w:highlight w:val="none"/>
          <w:lang w:eastAsia="zh-CN"/>
        </w:rPr>
        <w:t>香格里拉市环城北路26号</w:t>
      </w:r>
    </w:p>
    <w:p w14:paraId="305764DE">
      <w:pPr>
        <w:pStyle w:val="11"/>
        <w:ind w:firstLine="482" w:firstLineChars="200"/>
        <w:rPr>
          <w:rFonts w:hint="eastAsia" w:ascii="宋体" w:hAnsi="宋体"/>
          <w:b/>
          <w:kern w:val="0"/>
          <w:sz w:val="24"/>
          <w:highlight w:val="none"/>
        </w:rPr>
      </w:pPr>
      <w:r>
        <w:rPr>
          <w:rFonts w:hint="eastAsia" w:ascii="宋体" w:hAnsi="宋体"/>
          <w:b/>
          <w:kern w:val="0"/>
          <w:sz w:val="24"/>
          <w:highlight w:val="none"/>
        </w:rPr>
        <w:t>10.1.4不按上述要求提出的，采购人和采购代理机构将不予受理。</w:t>
      </w:r>
    </w:p>
    <w:p w14:paraId="612DB3E6">
      <w:pPr>
        <w:spacing w:line="360" w:lineRule="auto"/>
        <w:ind w:firstLine="482" w:firstLineChars="200"/>
        <w:rPr>
          <w:rFonts w:ascii="宋体" w:hAnsi="宋体"/>
          <w:b/>
          <w:sz w:val="24"/>
          <w:szCs w:val="24"/>
          <w:highlight w:val="none"/>
        </w:rPr>
      </w:pPr>
      <w:r>
        <w:rPr>
          <w:rFonts w:hint="eastAsia" w:ascii="宋体" w:hAnsi="宋体"/>
          <w:b/>
          <w:sz w:val="24"/>
          <w:szCs w:val="24"/>
          <w:highlight w:val="none"/>
        </w:rPr>
        <w:t>10.2质疑回复</w:t>
      </w:r>
    </w:p>
    <w:p w14:paraId="1128B2B1">
      <w:pPr>
        <w:spacing w:line="360" w:lineRule="auto"/>
        <w:ind w:firstLine="480" w:firstLineChars="200"/>
        <w:rPr>
          <w:rFonts w:hint="eastAsia" w:ascii="宋体" w:hAnsi="宋体"/>
          <w:sz w:val="24"/>
          <w:szCs w:val="24"/>
          <w:highlight w:val="none"/>
        </w:rPr>
      </w:pPr>
      <w:r>
        <w:rPr>
          <w:rFonts w:hint="eastAsia" w:ascii="宋体" w:hAnsi="宋体"/>
          <w:sz w:val="24"/>
          <w:szCs w:val="24"/>
          <w:highlight w:val="none"/>
          <w:lang w:eastAsia="zh-CN"/>
        </w:rPr>
        <w:t>采购人</w:t>
      </w:r>
      <w:r>
        <w:rPr>
          <w:rFonts w:hint="eastAsia" w:ascii="宋体" w:hAnsi="宋体"/>
          <w:sz w:val="24"/>
          <w:szCs w:val="24"/>
          <w:highlight w:val="none"/>
        </w:rPr>
        <w:t>或者招标代理机构应在</w:t>
      </w:r>
      <w:r>
        <w:rPr>
          <w:rFonts w:ascii="宋体" w:hAnsi="宋体"/>
          <w:sz w:val="24"/>
          <w:szCs w:val="24"/>
          <w:highlight w:val="none"/>
        </w:rPr>
        <w:t>收到质疑函后7个工作日内作出答复，并以书面形式通知质疑</w:t>
      </w:r>
      <w:r>
        <w:rPr>
          <w:rFonts w:hint="eastAsia" w:ascii="宋体" w:hAnsi="宋体"/>
          <w:sz w:val="24"/>
          <w:szCs w:val="24"/>
          <w:highlight w:val="none"/>
        </w:rPr>
        <w:t>投标人</w:t>
      </w:r>
      <w:r>
        <w:rPr>
          <w:rFonts w:ascii="宋体" w:hAnsi="宋体"/>
          <w:sz w:val="24"/>
          <w:szCs w:val="24"/>
          <w:highlight w:val="none"/>
        </w:rPr>
        <w:t>和其他有关</w:t>
      </w:r>
      <w:r>
        <w:rPr>
          <w:rFonts w:hint="eastAsia" w:ascii="宋体" w:hAnsi="宋体"/>
          <w:sz w:val="24"/>
          <w:szCs w:val="24"/>
          <w:highlight w:val="none"/>
        </w:rPr>
        <w:t>投标人，质疑答复的内容不得涉及商业秘密。</w:t>
      </w:r>
    </w:p>
    <w:p w14:paraId="4C76A794">
      <w:pPr>
        <w:pStyle w:val="3"/>
        <w:spacing w:before="0" w:after="0" w:line="360" w:lineRule="auto"/>
        <w:rPr>
          <w:rFonts w:hint="eastAsia" w:ascii="宋体" w:hAnsi="宋体" w:eastAsia="宋体"/>
          <w:sz w:val="28"/>
          <w:szCs w:val="28"/>
          <w:highlight w:val="none"/>
        </w:rPr>
      </w:pPr>
      <w:bookmarkStart w:id="176" w:name="_Toc19343"/>
      <w:r>
        <w:rPr>
          <w:rFonts w:hint="eastAsia" w:ascii="宋体" w:hAnsi="宋体" w:eastAsia="宋体"/>
          <w:sz w:val="28"/>
          <w:szCs w:val="28"/>
          <w:highlight w:val="none"/>
        </w:rPr>
        <w:t>11. 纪律和监督</w:t>
      </w:r>
      <w:bookmarkEnd w:id="175"/>
      <w:bookmarkEnd w:id="176"/>
    </w:p>
    <w:p w14:paraId="06927A1D">
      <w:pPr>
        <w:spacing w:line="360" w:lineRule="auto"/>
        <w:rPr>
          <w:rFonts w:hint="eastAsia" w:ascii="宋体" w:hAnsi="宋体"/>
          <w:b/>
          <w:sz w:val="24"/>
          <w:szCs w:val="24"/>
          <w:highlight w:val="none"/>
        </w:rPr>
      </w:pPr>
      <w:bookmarkStart w:id="177" w:name="_Toc453"/>
      <w:bookmarkEnd w:id="177"/>
      <w:bookmarkStart w:id="178" w:name="_Toc14990"/>
      <w:r>
        <w:rPr>
          <w:rFonts w:hint="eastAsia" w:ascii="宋体" w:hAnsi="宋体"/>
          <w:b/>
          <w:sz w:val="24"/>
          <w:szCs w:val="24"/>
          <w:highlight w:val="none"/>
        </w:rPr>
        <w:t>11.1 对采购人的纪律要求</w:t>
      </w:r>
      <w:bookmarkEnd w:id="178"/>
    </w:p>
    <w:p w14:paraId="2DC5A17C">
      <w:pPr>
        <w:spacing w:line="360" w:lineRule="auto"/>
        <w:ind w:firstLine="480" w:firstLineChars="200"/>
        <w:rPr>
          <w:rFonts w:hint="eastAsia" w:ascii="宋体" w:hAnsi="宋体"/>
          <w:sz w:val="24"/>
          <w:szCs w:val="24"/>
          <w:highlight w:val="none"/>
        </w:rPr>
      </w:pPr>
      <w:r>
        <w:rPr>
          <w:rFonts w:hint="eastAsia" w:ascii="宋体" w:hAnsi="宋体"/>
          <w:sz w:val="24"/>
          <w:szCs w:val="24"/>
          <w:highlight w:val="none"/>
        </w:rPr>
        <w:t>(1)按照《政府采购货物和服务招标投标管理办法》(财政部令第87号)的规定编制采购需求；</w:t>
      </w:r>
    </w:p>
    <w:p w14:paraId="010D1B3E">
      <w:pPr>
        <w:spacing w:line="360" w:lineRule="auto"/>
        <w:ind w:firstLine="480" w:firstLineChars="200"/>
        <w:rPr>
          <w:rFonts w:hint="eastAsia" w:ascii="宋体" w:hAnsi="宋体"/>
          <w:sz w:val="24"/>
          <w:szCs w:val="24"/>
          <w:highlight w:val="none"/>
        </w:rPr>
      </w:pPr>
      <w:r>
        <w:rPr>
          <w:rFonts w:hint="eastAsia" w:ascii="宋体" w:hAnsi="宋体"/>
          <w:sz w:val="24"/>
          <w:szCs w:val="24"/>
          <w:highlight w:val="none"/>
        </w:rPr>
        <w:t>(2)采购人不得向供应商索要或者接受其给予的赠品、回扣或者与采购无关的其他商品、服务；</w:t>
      </w:r>
    </w:p>
    <w:p w14:paraId="35EFC380">
      <w:pPr>
        <w:spacing w:line="360" w:lineRule="auto"/>
        <w:ind w:firstLine="480" w:firstLineChars="200"/>
        <w:rPr>
          <w:rFonts w:hint="eastAsia" w:ascii="宋体" w:hAnsi="宋体"/>
          <w:sz w:val="24"/>
          <w:szCs w:val="24"/>
          <w:highlight w:val="none"/>
        </w:rPr>
      </w:pPr>
      <w:r>
        <w:rPr>
          <w:rFonts w:hint="eastAsia" w:ascii="宋体" w:hAnsi="宋体"/>
          <w:sz w:val="24"/>
          <w:szCs w:val="24"/>
          <w:highlight w:val="none"/>
        </w:rPr>
        <w:t>(3)在规定时间内确定中标人；</w:t>
      </w:r>
    </w:p>
    <w:p w14:paraId="1055272A">
      <w:pPr>
        <w:spacing w:line="360" w:lineRule="auto"/>
        <w:ind w:firstLine="480" w:firstLineChars="200"/>
        <w:rPr>
          <w:rFonts w:hint="eastAsia" w:ascii="宋体" w:hAnsi="宋体"/>
          <w:sz w:val="24"/>
          <w:szCs w:val="24"/>
          <w:highlight w:val="none"/>
        </w:rPr>
      </w:pPr>
      <w:r>
        <w:rPr>
          <w:rFonts w:hint="eastAsia" w:ascii="宋体" w:hAnsi="宋体"/>
          <w:sz w:val="24"/>
          <w:szCs w:val="24"/>
          <w:highlight w:val="none"/>
        </w:rPr>
        <w:t>(4)不得向中标人提出不合理要求作为签订合同条件。</w:t>
      </w:r>
    </w:p>
    <w:p w14:paraId="247BBA49">
      <w:pPr>
        <w:spacing w:line="360" w:lineRule="auto"/>
        <w:rPr>
          <w:rFonts w:hint="eastAsia" w:ascii="宋体" w:hAnsi="宋体"/>
          <w:b/>
          <w:sz w:val="24"/>
          <w:szCs w:val="24"/>
          <w:highlight w:val="none"/>
        </w:rPr>
      </w:pPr>
      <w:bookmarkStart w:id="179" w:name="_Toc20446"/>
      <w:bookmarkEnd w:id="179"/>
      <w:bookmarkStart w:id="180" w:name="_Toc14876"/>
      <w:r>
        <w:rPr>
          <w:rFonts w:hint="eastAsia" w:ascii="宋体" w:hAnsi="宋体"/>
          <w:b/>
          <w:sz w:val="24"/>
          <w:szCs w:val="24"/>
          <w:highlight w:val="none"/>
        </w:rPr>
        <w:t>11.2 对投标人的纪律要求</w:t>
      </w:r>
      <w:bookmarkEnd w:id="180"/>
    </w:p>
    <w:p w14:paraId="12A88F19">
      <w:pPr>
        <w:spacing w:line="360" w:lineRule="auto"/>
        <w:ind w:firstLine="480" w:firstLineChars="200"/>
        <w:rPr>
          <w:rFonts w:hint="eastAsia" w:ascii="宋体" w:hAnsi="宋体"/>
          <w:sz w:val="24"/>
          <w:szCs w:val="24"/>
          <w:highlight w:val="none"/>
        </w:rPr>
      </w:pPr>
      <w:r>
        <w:rPr>
          <w:rFonts w:hint="eastAsia" w:ascii="宋体" w:hAnsi="宋体"/>
          <w:sz w:val="24"/>
          <w:szCs w:val="24"/>
          <w:highlight w:val="none"/>
        </w:rPr>
        <w:t>投标人不得相互串通投标或者与采购人串通投标，不得向采购人或者评标委员会成员行贿谋取中标，不得以他人名义投标或者以</w:t>
      </w:r>
      <w:r>
        <w:rPr>
          <w:rFonts w:hint="eastAsia" w:ascii="宋体" w:hAnsi="宋体"/>
          <w:sz w:val="24"/>
          <w:szCs w:val="24"/>
          <w:highlight w:val="none"/>
          <w:lang w:eastAsia="zh-CN"/>
        </w:rPr>
        <w:t>其他</w:t>
      </w:r>
      <w:r>
        <w:rPr>
          <w:rFonts w:hint="eastAsia" w:ascii="宋体" w:hAnsi="宋体"/>
          <w:sz w:val="24"/>
          <w:szCs w:val="24"/>
          <w:highlight w:val="none"/>
        </w:rPr>
        <w:t>方式弄虚作假骗取中标；投标人不得以任何方式干扰、影响评标工作。</w:t>
      </w:r>
    </w:p>
    <w:p w14:paraId="47579DAC">
      <w:pPr>
        <w:spacing w:line="360" w:lineRule="auto"/>
        <w:rPr>
          <w:rFonts w:hint="eastAsia" w:ascii="宋体" w:hAnsi="宋体"/>
          <w:b/>
          <w:sz w:val="24"/>
          <w:szCs w:val="24"/>
          <w:highlight w:val="none"/>
        </w:rPr>
      </w:pPr>
      <w:bookmarkStart w:id="181" w:name="_Toc17796"/>
      <w:bookmarkEnd w:id="181"/>
      <w:bookmarkStart w:id="182" w:name="_Toc29247"/>
      <w:r>
        <w:rPr>
          <w:rFonts w:hint="eastAsia" w:ascii="宋体" w:hAnsi="宋体"/>
          <w:b/>
          <w:sz w:val="24"/>
          <w:szCs w:val="24"/>
          <w:highlight w:val="none"/>
        </w:rPr>
        <w:t>11.3 对评标委员会成员的纪律要求</w:t>
      </w:r>
      <w:bookmarkEnd w:id="182"/>
    </w:p>
    <w:p w14:paraId="00317177">
      <w:pPr>
        <w:spacing w:line="360" w:lineRule="auto"/>
        <w:ind w:firstLine="480" w:firstLineChars="200"/>
        <w:rPr>
          <w:rFonts w:hint="eastAsia" w:ascii="宋体" w:hAnsi="宋体"/>
          <w:sz w:val="24"/>
          <w:szCs w:val="24"/>
          <w:highlight w:val="none"/>
        </w:rPr>
      </w:pPr>
      <w:r>
        <w:rPr>
          <w:rFonts w:hint="eastAsia" w:ascii="宋体" w:hAnsi="宋体"/>
          <w:sz w:val="24"/>
          <w:szCs w:val="24"/>
          <w:highlight w:val="none"/>
        </w:rPr>
        <w:t>评标委员会及其成员不得有下列行为：</w:t>
      </w:r>
    </w:p>
    <w:p w14:paraId="3407FE7D">
      <w:pPr>
        <w:spacing w:line="360" w:lineRule="auto"/>
        <w:ind w:firstLine="480" w:firstLineChars="200"/>
        <w:rPr>
          <w:rFonts w:hint="eastAsia" w:ascii="宋体" w:hAnsi="宋体"/>
          <w:sz w:val="24"/>
          <w:szCs w:val="24"/>
          <w:highlight w:val="none"/>
        </w:rPr>
      </w:pPr>
      <w:r>
        <w:rPr>
          <w:rFonts w:hint="eastAsia" w:ascii="宋体" w:hAnsi="宋体"/>
          <w:sz w:val="24"/>
          <w:szCs w:val="24"/>
          <w:highlight w:val="none"/>
        </w:rPr>
        <w:t>(1)确定参与评标至评标结束前私自接触投标人；</w:t>
      </w:r>
    </w:p>
    <w:p w14:paraId="7B7BD123">
      <w:pPr>
        <w:spacing w:line="360" w:lineRule="auto"/>
        <w:ind w:firstLine="480" w:firstLineChars="200"/>
        <w:rPr>
          <w:rFonts w:hint="eastAsia" w:ascii="宋体" w:hAnsi="宋体"/>
          <w:sz w:val="24"/>
          <w:szCs w:val="24"/>
          <w:highlight w:val="none"/>
        </w:rPr>
      </w:pPr>
      <w:r>
        <w:rPr>
          <w:rFonts w:hint="eastAsia" w:ascii="宋体" w:hAnsi="宋体"/>
          <w:sz w:val="24"/>
          <w:szCs w:val="24"/>
          <w:highlight w:val="none"/>
        </w:rPr>
        <w:t>(2)接受投标人提出的与投标文件不一致的澄清或者说明；</w:t>
      </w:r>
    </w:p>
    <w:p w14:paraId="1526AB2E">
      <w:pPr>
        <w:spacing w:line="360" w:lineRule="auto"/>
        <w:ind w:firstLine="480" w:firstLineChars="200"/>
        <w:rPr>
          <w:rFonts w:hint="eastAsia" w:ascii="宋体" w:hAnsi="宋体"/>
          <w:sz w:val="24"/>
          <w:szCs w:val="24"/>
          <w:highlight w:val="none"/>
        </w:rPr>
      </w:pPr>
      <w:r>
        <w:rPr>
          <w:rFonts w:hint="eastAsia" w:ascii="宋体" w:hAnsi="宋体"/>
          <w:sz w:val="24"/>
          <w:szCs w:val="24"/>
          <w:highlight w:val="none"/>
        </w:rPr>
        <w:t>(3)违反评标纪律发表倾向性意见或者征询采购人的倾向性意见；</w:t>
      </w:r>
    </w:p>
    <w:p w14:paraId="31F4E62C">
      <w:pPr>
        <w:spacing w:line="360" w:lineRule="auto"/>
        <w:ind w:firstLine="480" w:firstLineChars="200"/>
        <w:rPr>
          <w:rFonts w:hint="eastAsia" w:ascii="宋体" w:hAnsi="宋体"/>
          <w:sz w:val="24"/>
          <w:szCs w:val="24"/>
          <w:highlight w:val="none"/>
        </w:rPr>
      </w:pPr>
      <w:r>
        <w:rPr>
          <w:rFonts w:hint="eastAsia" w:ascii="宋体" w:hAnsi="宋体"/>
          <w:sz w:val="24"/>
          <w:szCs w:val="24"/>
          <w:highlight w:val="none"/>
        </w:rPr>
        <w:t>(4)对需要专业判断的主观评审因素协商评分；</w:t>
      </w:r>
    </w:p>
    <w:p w14:paraId="25C00AE9">
      <w:pPr>
        <w:spacing w:line="360" w:lineRule="auto"/>
        <w:ind w:firstLine="480" w:firstLineChars="200"/>
        <w:rPr>
          <w:rFonts w:hint="eastAsia" w:ascii="宋体" w:hAnsi="宋体"/>
          <w:sz w:val="24"/>
          <w:szCs w:val="24"/>
          <w:highlight w:val="none"/>
        </w:rPr>
      </w:pPr>
      <w:r>
        <w:rPr>
          <w:rFonts w:hint="eastAsia" w:ascii="宋体" w:hAnsi="宋体"/>
          <w:sz w:val="24"/>
          <w:szCs w:val="24"/>
          <w:highlight w:val="none"/>
        </w:rPr>
        <w:t>(5)在评标过程中擅离职守，影响评标程序正常进行的；</w:t>
      </w:r>
    </w:p>
    <w:p w14:paraId="26FE399D">
      <w:pPr>
        <w:spacing w:line="360" w:lineRule="auto"/>
        <w:ind w:firstLine="480" w:firstLineChars="200"/>
        <w:rPr>
          <w:rFonts w:hint="eastAsia" w:ascii="宋体" w:hAnsi="宋体"/>
          <w:sz w:val="24"/>
          <w:szCs w:val="24"/>
          <w:highlight w:val="none"/>
        </w:rPr>
      </w:pPr>
      <w:r>
        <w:rPr>
          <w:rFonts w:hint="eastAsia" w:ascii="宋体" w:hAnsi="宋体"/>
          <w:sz w:val="24"/>
          <w:szCs w:val="24"/>
          <w:highlight w:val="none"/>
        </w:rPr>
        <w:t>(6)记录、复制或者带走任何评标资料；</w:t>
      </w:r>
    </w:p>
    <w:p w14:paraId="1943A549">
      <w:pPr>
        <w:spacing w:line="360" w:lineRule="auto"/>
        <w:ind w:firstLine="480" w:firstLineChars="200"/>
        <w:rPr>
          <w:rFonts w:hint="eastAsia" w:ascii="宋体" w:hAnsi="宋体"/>
          <w:sz w:val="24"/>
          <w:szCs w:val="24"/>
          <w:highlight w:val="none"/>
        </w:rPr>
      </w:pPr>
      <w:r>
        <w:rPr>
          <w:rFonts w:hint="eastAsia" w:ascii="宋体" w:hAnsi="宋体"/>
          <w:sz w:val="24"/>
          <w:szCs w:val="24"/>
          <w:highlight w:val="none"/>
        </w:rPr>
        <w:t>(7)其他不遵守评标纪律的行为。</w:t>
      </w:r>
    </w:p>
    <w:p w14:paraId="194013BF">
      <w:pPr>
        <w:spacing w:line="360" w:lineRule="auto"/>
        <w:ind w:firstLine="480" w:firstLineChars="200"/>
        <w:rPr>
          <w:rFonts w:hint="eastAsia" w:ascii="宋体" w:hAnsi="宋体"/>
          <w:sz w:val="24"/>
          <w:szCs w:val="24"/>
          <w:highlight w:val="none"/>
        </w:rPr>
      </w:pPr>
      <w:r>
        <w:rPr>
          <w:rFonts w:hint="eastAsia" w:ascii="宋体" w:hAnsi="宋体"/>
          <w:sz w:val="24"/>
          <w:szCs w:val="24"/>
          <w:highlight w:val="none"/>
        </w:rPr>
        <w:t>评标委员会成员有前款第(1)至(7)项行为之一的，其评审意见无效，并不得获取评审劳务报酬和报销异地评审差旅费。</w:t>
      </w:r>
    </w:p>
    <w:p w14:paraId="2968DD75">
      <w:pPr>
        <w:spacing w:line="360" w:lineRule="auto"/>
        <w:rPr>
          <w:rFonts w:hint="eastAsia" w:ascii="宋体" w:hAnsi="宋体"/>
          <w:b/>
          <w:sz w:val="24"/>
          <w:szCs w:val="24"/>
          <w:highlight w:val="none"/>
        </w:rPr>
      </w:pPr>
      <w:bookmarkStart w:id="183" w:name="_Toc22639"/>
      <w:bookmarkEnd w:id="183"/>
      <w:bookmarkStart w:id="184" w:name="_Toc5153"/>
      <w:r>
        <w:rPr>
          <w:rFonts w:hint="eastAsia" w:ascii="宋体" w:hAnsi="宋体"/>
          <w:b/>
          <w:sz w:val="24"/>
          <w:szCs w:val="24"/>
          <w:highlight w:val="none"/>
        </w:rPr>
        <w:t>11.4 对与评标活动有关的工作人员的纪律要求</w:t>
      </w:r>
      <w:bookmarkEnd w:id="184"/>
    </w:p>
    <w:p w14:paraId="025A4477">
      <w:pPr>
        <w:spacing w:line="360" w:lineRule="auto"/>
        <w:ind w:firstLine="480" w:firstLineChars="200"/>
        <w:rPr>
          <w:rFonts w:hint="eastAsia" w:ascii="宋体" w:hAnsi="宋体"/>
          <w:sz w:val="24"/>
          <w:szCs w:val="24"/>
          <w:highlight w:val="none"/>
        </w:rPr>
      </w:pPr>
      <w:r>
        <w:rPr>
          <w:rFonts w:hint="eastAsia" w:ascii="宋体" w:hAnsi="宋体"/>
          <w:sz w:val="24"/>
          <w:szCs w:val="24"/>
          <w:highlight w:val="none"/>
        </w:rPr>
        <w:t>与评标活动有关的工作人员不得收受他人的财物或者其他好处，不得向他人透漏对投标文件的评审和比较、中标候选人的推荐情况以及评标有关的其他情况。在评标活动中，与评标活动有关的工作人员不得擅离职守，影响评标程序正常进行。</w:t>
      </w:r>
    </w:p>
    <w:p w14:paraId="33EF6CE0">
      <w:pPr>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lang w:val="en-US" w:eastAsia="zh-CN"/>
        </w:rPr>
        <w:t>11.5</w:t>
      </w:r>
      <w:r>
        <w:rPr>
          <w:rFonts w:hint="eastAsia" w:ascii="宋体" w:hAnsi="宋体" w:eastAsia="宋体" w:cs="宋体"/>
          <w:b/>
          <w:sz w:val="24"/>
          <w:szCs w:val="24"/>
          <w:highlight w:val="none"/>
        </w:rPr>
        <w:t>廉洁自律规定</w:t>
      </w:r>
    </w:p>
    <w:p w14:paraId="0C83E0DB">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1）</w:t>
      </w:r>
      <w:r>
        <w:rPr>
          <w:rFonts w:hint="eastAsia" w:ascii="宋体" w:hAnsi="宋体" w:eastAsia="宋体" w:cs="宋体"/>
          <w:sz w:val="24"/>
          <w:szCs w:val="24"/>
          <w:highlight w:val="none"/>
        </w:rPr>
        <w:t>采购代理机构工作人员不得以不正当手段获取政府采购代理业务，不得与采购人、供应商恶意串通操纵政府采购活动。</w:t>
      </w:r>
    </w:p>
    <w:p w14:paraId="19F06857">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2）</w:t>
      </w:r>
      <w:r>
        <w:rPr>
          <w:rFonts w:hint="eastAsia" w:ascii="宋体" w:hAnsi="宋体" w:eastAsia="宋体" w:cs="宋体"/>
          <w:sz w:val="24"/>
          <w:szCs w:val="24"/>
          <w:highlight w:val="none"/>
        </w:rPr>
        <w:t>采购代理机构工作人员不得接受采购人或者供应商组织的宴请、旅游、娱乐，不得收受礼品、现金、有价证券等，不得向采购人或者供应商报销应当由个人承担的费用。</w:t>
      </w:r>
    </w:p>
    <w:p w14:paraId="506F27C7">
      <w:pPr>
        <w:pStyle w:val="3"/>
        <w:spacing w:before="0" w:after="0" w:line="360" w:lineRule="auto"/>
        <w:rPr>
          <w:rFonts w:hint="eastAsia" w:ascii="宋体" w:hAnsi="宋体" w:eastAsia="宋体"/>
          <w:sz w:val="28"/>
          <w:szCs w:val="28"/>
          <w:highlight w:val="none"/>
        </w:rPr>
      </w:pPr>
      <w:bookmarkStart w:id="185" w:name="_Toc19873"/>
      <w:bookmarkEnd w:id="185"/>
      <w:bookmarkStart w:id="186" w:name="_Toc3960"/>
      <w:bookmarkEnd w:id="186"/>
      <w:bookmarkStart w:id="187" w:name="_Toc11291"/>
      <w:bookmarkEnd w:id="187"/>
      <w:bookmarkStart w:id="188" w:name="_Toc18697"/>
      <w:bookmarkEnd w:id="188"/>
      <w:bookmarkStart w:id="189" w:name="_Toc11354"/>
      <w:bookmarkEnd w:id="189"/>
      <w:bookmarkStart w:id="190" w:name="_Toc3503"/>
      <w:bookmarkStart w:id="191" w:name="_Toc14857"/>
      <w:r>
        <w:rPr>
          <w:rFonts w:hint="eastAsia" w:ascii="宋体" w:hAnsi="宋体" w:eastAsia="宋体"/>
          <w:sz w:val="28"/>
          <w:szCs w:val="28"/>
          <w:highlight w:val="none"/>
        </w:rPr>
        <w:t>12.需要补充的其他内容</w:t>
      </w:r>
      <w:bookmarkEnd w:id="190"/>
      <w:bookmarkEnd w:id="191"/>
    </w:p>
    <w:p w14:paraId="0FDEEF84">
      <w:pPr>
        <w:spacing w:line="360" w:lineRule="auto"/>
        <w:ind w:firstLine="480" w:firstLineChars="200"/>
        <w:rPr>
          <w:rFonts w:hint="eastAsia" w:ascii="宋体" w:hAnsi="宋体"/>
          <w:sz w:val="24"/>
          <w:szCs w:val="24"/>
          <w:highlight w:val="none"/>
        </w:rPr>
      </w:pPr>
      <w:r>
        <w:rPr>
          <w:rFonts w:hint="eastAsia" w:ascii="宋体" w:hAnsi="宋体"/>
          <w:sz w:val="24"/>
          <w:szCs w:val="24"/>
          <w:highlight w:val="none"/>
        </w:rPr>
        <w:t>需要补充的其他内容：见投标人须知前附表。</w:t>
      </w:r>
    </w:p>
    <w:p w14:paraId="65581924">
      <w:pPr>
        <w:jc w:val="center"/>
        <w:outlineLvl w:val="0"/>
        <w:rPr>
          <w:rFonts w:hint="eastAsia" w:ascii="宋体" w:hAnsi="宋体"/>
          <w:highlight w:val="none"/>
        </w:rPr>
      </w:pPr>
      <w:r>
        <w:rPr>
          <w:rFonts w:hint="eastAsia" w:ascii="宋体" w:hAnsi="宋体"/>
          <w:sz w:val="32"/>
          <w:szCs w:val="32"/>
          <w:highlight w:val="none"/>
        </w:rPr>
        <w:br w:type="page"/>
      </w:r>
      <w:bookmarkStart w:id="192" w:name="_Toc31137"/>
      <w:bookmarkEnd w:id="192"/>
      <w:bookmarkStart w:id="193" w:name="_Toc29332"/>
      <w:bookmarkStart w:id="194" w:name="_Toc32052"/>
      <w:r>
        <w:rPr>
          <w:rFonts w:hint="eastAsia" w:ascii="宋体" w:hAnsi="宋体"/>
          <w:b/>
          <w:bCs/>
          <w:sz w:val="44"/>
          <w:szCs w:val="44"/>
          <w:highlight w:val="none"/>
        </w:rPr>
        <w:t>第三章 资格审查</w:t>
      </w:r>
      <w:bookmarkEnd w:id="193"/>
      <w:bookmarkEnd w:id="194"/>
    </w:p>
    <w:p w14:paraId="35150CAA">
      <w:pPr>
        <w:pStyle w:val="26"/>
        <w:spacing w:before="0" w:beforeAutospacing="0" w:after="0" w:afterAutospacing="0" w:line="360" w:lineRule="auto"/>
        <w:ind w:firstLine="480" w:firstLineChars="200"/>
        <w:jc w:val="both"/>
        <w:rPr>
          <w:rFonts w:hint="eastAsia" w:ascii="宋体" w:hAnsi="宋体"/>
          <w:highlight w:val="none"/>
        </w:rPr>
      </w:pPr>
      <w:r>
        <w:rPr>
          <w:rFonts w:hint="eastAsia" w:ascii="宋体" w:hAnsi="宋体"/>
          <w:highlight w:val="none"/>
        </w:rPr>
        <w:t xml:space="preserve"> </w:t>
      </w:r>
    </w:p>
    <w:p w14:paraId="1DA49964">
      <w:pPr>
        <w:pStyle w:val="26"/>
        <w:spacing w:before="0" w:beforeAutospacing="0" w:after="0" w:afterAutospacing="0" w:line="360" w:lineRule="auto"/>
        <w:ind w:firstLine="480" w:firstLineChars="200"/>
        <w:jc w:val="both"/>
        <w:rPr>
          <w:rFonts w:hint="eastAsia" w:ascii="宋体" w:hAnsi="宋体"/>
          <w:highlight w:val="none"/>
        </w:rPr>
      </w:pPr>
      <w:r>
        <w:rPr>
          <w:rFonts w:hint="eastAsia" w:ascii="宋体" w:hAnsi="宋体"/>
          <w:highlight w:val="none"/>
        </w:rPr>
        <w:t>公开招标采购项目开标结束后，采购人(和/或)采购代理机构依法对投标人的资格进行审查。合格投标人不足3家的，不得评标。</w:t>
      </w:r>
    </w:p>
    <w:p w14:paraId="06ED4A53">
      <w:pPr>
        <w:spacing w:line="360" w:lineRule="auto"/>
        <w:ind w:firstLine="480" w:firstLineChars="200"/>
        <w:rPr>
          <w:rFonts w:hint="eastAsia" w:ascii="宋体" w:hAnsi="宋体"/>
          <w:color w:val="auto"/>
          <w:sz w:val="24"/>
          <w:szCs w:val="24"/>
          <w:highlight w:val="none"/>
        </w:rPr>
      </w:pPr>
      <w:r>
        <w:rPr>
          <w:rFonts w:hint="eastAsia" w:ascii="宋体" w:hAnsi="宋体"/>
          <w:b w:val="0"/>
          <w:bCs w:val="0"/>
          <w:sz w:val="24"/>
          <w:szCs w:val="24"/>
          <w:highlight w:val="none"/>
        </w:rPr>
        <w:t>资格审查：采购人(和/或)采购代理机构</w:t>
      </w:r>
      <w:r>
        <w:rPr>
          <w:rFonts w:hint="eastAsia" w:ascii="宋体" w:hAnsi="宋体"/>
          <w:sz w:val="24"/>
          <w:szCs w:val="24"/>
          <w:highlight w:val="none"/>
        </w:rPr>
        <w:t>依据法律</w:t>
      </w:r>
      <w:r>
        <w:rPr>
          <w:rFonts w:hint="eastAsia" w:ascii="宋体" w:hAnsi="宋体"/>
          <w:color w:val="auto"/>
          <w:sz w:val="24"/>
          <w:szCs w:val="24"/>
          <w:highlight w:val="none"/>
        </w:rPr>
        <w:t>法规和招标文件的规定，对投标文件中“证明投标人的资格文件”进行审查，以确定投标人是否具备投标资格。只有通过资格审查的投标文件才能进入评标。</w:t>
      </w:r>
    </w:p>
    <w:p w14:paraId="571821F5">
      <w:pPr>
        <w:keepNext w:val="0"/>
        <w:keepLines w:val="0"/>
        <w:pageBreakBefore w:val="0"/>
        <w:widowControl w:val="0"/>
        <w:suppressLineNumbers w:val="0"/>
        <w:kinsoku/>
        <w:wordWrap/>
        <w:overflowPunct/>
        <w:topLinePunct w:val="0"/>
        <w:autoSpaceDE/>
        <w:autoSpaceDN/>
        <w:bidi w:val="0"/>
        <w:adjustRightInd/>
        <w:snapToGrid/>
        <w:spacing w:beforeAutospacing="0" w:afterAutospacing="0" w:line="360" w:lineRule="auto"/>
        <w:ind w:left="0" w:right="0" w:firstLine="480" w:firstLineChars="200"/>
        <w:jc w:val="both"/>
        <w:textAlignment w:val="auto"/>
        <w:rPr>
          <w:rFonts w:hint="eastAsia" w:ascii="宋体" w:hAnsi="宋体" w:eastAsia="宋体" w:cs="宋体"/>
          <w:i w:val="0"/>
          <w:iCs w:val="0"/>
          <w:color w:val="auto"/>
          <w:kern w:val="2"/>
          <w:sz w:val="24"/>
          <w:szCs w:val="24"/>
          <w:lang w:val="en-US" w:eastAsia="zh-CN" w:bidi="ar"/>
        </w:rPr>
      </w:pPr>
      <w:r>
        <w:rPr>
          <w:rFonts w:hint="eastAsia" w:ascii="宋体" w:hAnsi="宋体" w:eastAsia="宋体" w:cs="宋体"/>
          <w:i w:val="0"/>
          <w:iCs w:val="0"/>
          <w:color w:val="auto"/>
          <w:kern w:val="2"/>
          <w:sz w:val="24"/>
          <w:szCs w:val="24"/>
          <w:lang w:val="en-US" w:eastAsia="zh-CN" w:bidi="ar"/>
        </w:rPr>
        <w:t>1.满足《中华人民共和国政府采购法》第二十二条规定；</w:t>
      </w:r>
    </w:p>
    <w:p w14:paraId="0F0C7371">
      <w:pPr>
        <w:keepNext w:val="0"/>
        <w:keepLines w:val="0"/>
        <w:pageBreakBefore w:val="0"/>
        <w:widowControl w:val="0"/>
        <w:suppressLineNumbers w:val="0"/>
        <w:kinsoku/>
        <w:wordWrap/>
        <w:overflowPunct/>
        <w:topLinePunct w:val="0"/>
        <w:autoSpaceDE/>
        <w:autoSpaceDN/>
        <w:bidi w:val="0"/>
        <w:adjustRightInd/>
        <w:snapToGrid/>
        <w:spacing w:beforeAutospacing="0" w:afterAutospacing="0" w:line="360" w:lineRule="auto"/>
        <w:ind w:left="0" w:right="0" w:firstLine="480" w:firstLineChars="200"/>
        <w:jc w:val="both"/>
        <w:textAlignment w:val="auto"/>
        <w:outlineLvl w:val="9"/>
        <w:rPr>
          <w:rFonts w:hint="eastAsia" w:ascii="宋体" w:hAnsi="宋体" w:eastAsia="宋体" w:cs="宋体"/>
          <w:i w:val="0"/>
          <w:iCs w:val="0"/>
          <w:color w:val="auto"/>
          <w:kern w:val="2"/>
          <w:sz w:val="24"/>
          <w:szCs w:val="24"/>
          <w:highlight w:val="none"/>
          <w:lang w:val="en-US" w:eastAsia="zh-CN" w:bidi="ar"/>
        </w:rPr>
      </w:pPr>
      <w:r>
        <w:rPr>
          <w:rFonts w:hint="eastAsia" w:ascii="宋体" w:hAnsi="宋体" w:eastAsia="宋体" w:cs="宋体"/>
          <w:i w:val="0"/>
          <w:iCs w:val="0"/>
          <w:color w:val="auto"/>
          <w:kern w:val="2"/>
          <w:sz w:val="24"/>
          <w:szCs w:val="24"/>
          <w:highlight w:val="none"/>
          <w:lang w:val="en-US" w:eastAsia="zh-CN" w:bidi="ar"/>
        </w:rPr>
        <w:t>1.1具有独立承担民事责任的能力。提供法人或者其他组织的营业执照等证明文件</w:t>
      </w:r>
      <w:r>
        <w:rPr>
          <w:rFonts w:hint="eastAsia" w:ascii="宋体" w:hAnsi="宋体" w:cs="宋体"/>
          <w:i w:val="0"/>
          <w:iCs w:val="0"/>
          <w:color w:val="auto"/>
          <w:kern w:val="2"/>
          <w:sz w:val="24"/>
          <w:szCs w:val="24"/>
          <w:highlight w:val="none"/>
          <w:lang w:val="en-US" w:eastAsia="zh-CN" w:bidi="ar"/>
        </w:rPr>
        <w:t>。</w:t>
      </w:r>
    </w:p>
    <w:p w14:paraId="56E5BF49">
      <w:pPr>
        <w:keepNext w:val="0"/>
        <w:keepLines w:val="0"/>
        <w:pageBreakBefore w:val="0"/>
        <w:widowControl w:val="0"/>
        <w:suppressLineNumbers w:val="0"/>
        <w:kinsoku/>
        <w:wordWrap/>
        <w:overflowPunct/>
        <w:topLinePunct w:val="0"/>
        <w:autoSpaceDE/>
        <w:autoSpaceDN/>
        <w:bidi w:val="0"/>
        <w:adjustRightInd/>
        <w:snapToGrid/>
        <w:spacing w:beforeAutospacing="0" w:afterAutospacing="0" w:line="360" w:lineRule="auto"/>
        <w:ind w:left="0" w:right="0" w:firstLine="480" w:firstLineChars="200"/>
        <w:jc w:val="both"/>
        <w:textAlignment w:val="auto"/>
        <w:outlineLvl w:val="9"/>
        <w:rPr>
          <w:rFonts w:hint="eastAsia" w:ascii="宋体" w:hAnsi="宋体" w:eastAsia="宋体" w:cs="宋体"/>
          <w:i w:val="0"/>
          <w:iCs w:val="0"/>
          <w:color w:val="auto"/>
          <w:kern w:val="2"/>
          <w:sz w:val="24"/>
          <w:szCs w:val="24"/>
          <w:highlight w:val="none"/>
          <w:lang w:val="en-US" w:eastAsia="zh-CN" w:bidi="ar"/>
        </w:rPr>
      </w:pPr>
      <w:r>
        <w:rPr>
          <w:rFonts w:hint="eastAsia" w:ascii="宋体" w:hAnsi="宋体" w:eastAsia="宋体" w:cs="宋体"/>
          <w:i w:val="0"/>
          <w:iCs w:val="0"/>
          <w:color w:val="auto"/>
          <w:kern w:val="2"/>
          <w:sz w:val="24"/>
          <w:szCs w:val="24"/>
          <w:highlight w:val="none"/>
          <w:lang w:val="en-US" w:eastAsia="zh-CN" w:bidi="ar"/>
        </w:rPr>
        <w:t>1.2具有良好的商业信誉和健全的财务会计制度。投标人须提供</w:t>
      </w:r>
      <w:r>
        <w:rPr>
          <w:rFonts w:hint="eastAsia" w:ascii="宋体" w:hAnsi="宋体" w:eastAsia="宋体" w:cs="宋体"/>
          <w:i w:val="0"/>
          <w:iCs w:val="0"/>
          <w:color w:val="auto"/>
          <w:kern w:val="2"/>
          <w:sz w:val="24"/>
          <w:szCs w:val="24"/>
          <w:highlight w:val="none"/>
          <w:u w:val="none"/>
          <w:lang w:val="en-US" w:eastAsia="zh-CN" w:bidi="ar"/>
        </w:rPr>
        <w:t>2023</w:t>
      </w:r>
      <w:r>
        <w:rPr>
          <w:rFonts w:hint="eastAsia" w:ascii="宋体" w:hAnsi="宋体" w:eastAsia="宋体" w:cs="宋体"/>
          <w:i w:val="0"/>
          <w:iCs w:val="0"/>
          <w:color w:val="auto"/>
          <w:kern w:val="2"/>
          <w:sz w:val="24"/>
          <w:szCs w:val="24"/>
          <w:highlight w:val="none"/>
          <w:lang w:val="en-US" w:eastAsia="zh-CN" w:bidi="ar"/>
        </w:rPr>
        <w:t>年或2024经</w:t>
      </w:r>
      <w:r>
        <w:rPr>
          <w:rFonts w:hint="eastAsia" w:ascii="宋体" w:hAnsi="宋体" w:cs="宋体"/>
          <w:i w:val="0"/>
          <w:iCs w:val="0"/>
          <w:color w:val="auto"/>
          <w:kern w:val="2"/>
          <w:sz w:val="24"/>
          <w:szCs w:val="24"/>
          <w:highlight w:val="none"/>
          <w:lang w:val="en-US" w:eastAsia="zh-CN" w:bidi="ar"/>
        </w:rPr>
        <w:t>审计的</w:t>
      </w:r>
      <w:r>
        <w:rPr>
          <w:rFonts w:hint="eastAsia" w:ascii="宋体" w:hAnsi="宋体" w:eastAsia="宋体" w:cs="宋体"/>
          <w:i w:val="0"/>
          <w:iCs w:val="0"/>
          <w:color w:val="auto"/>
          <w:kern w:val="2"/>
          <w:sz w:val="24"/>
          <w:szCs w:val="24"/>
          <w:highlight w:val="none"/>
          <w:lang w:val="en-US" w:eastAsia="zh-CN" w:bidi="ar"/>
        </w:rPr>
        <w:t>财务报</w:t>
      </w:r>
      <w:r>
        <w:rPr>
          <w:rFonts w:hint="eastAsia" w:ascii="宋体" w:hAnsi="宋体" w:cs="宋体"/>
          <w:i w:val="0"/>
          <w:iCs w:val="0"/>
          <w:color w:val="auto"/>
          <w:kern w:val="2"/>
          <w:sz w:val="24"/>
          <w:szCs w:val="24"/>
          <w:highlight w:val="none"/>
          <w:lang w:val="en-US" w:eastAsia="zh-CN" w:bidi="ar"/>
        </w:rPr>
        <w:t>告</w:t>
      </w:r>
      <w:r>
        <w:rPr>
          <w:rFonts w:hint="eastAsia" w:ascii="宋体" w:hAnsi="宋体" w:eastAsia="宋体" w:cs="宋体"/>
          <w:i w:val="0"/>
          <w:iCs w:val="0"/>
          <w:color w:val="auto"/>
          <w:kern w:val="2"/>
          <w:sz w:val="24"/>
          <w:szCs w:val="24"/>
          <w:highlight w:val="none"/>
          <w:lang w:val="en-US" w:eastAsia="zh-CN" w:bidi="ar"/>
        </w:rPr>
        <w:t>(包括资产负债表、利润表、现金流量表)，新成立不满</w:t>
      </w:r>
      <w:r>
        <w:rPr>
          <w:rFonts w:hint="eastAsia" w:ascii="宋体" w:hAnsi="宋体" w:eastAsia="宋体" w:cs="宋体"/>
          <w:i w:val="0"/>
          <w:iCs w:val="0"/>
          <w:color w:val="auto"/>
          <w:kern w:val="2"/>
          <w:sz w:val="24"/>
          <w:szCs w:val="24"/>
          <w:highlight w:val="none"/>
          <w:u w:val="single"/>
          <w:lang w:val="en-US" w:eastAsia="zh-CN" w:bidi="ar"/>
        </w:rPr>
        <w:t>1</w:t>
      </w:r>
      <w:r>
        <w:rPr>
          <w:rFonts w:hint="eastAsia" w:ascii="宋体" w:hAnsi="宋体" w:eastAsia="宋体" w:cs="宋体"/>
          <w:i w:val="0"/>
          <w:iCs w:val="0"/>
          <w:color w:val="auto"/>
          <w:kern w:val="2"/>
          <w:sz w:val="24"/>
          <w:szCs w:val="24"/>
          <w:highlight w:val="none"/>
          <w:lang w:val="en-US" w:eastAsia="zh-CN" w:bidi="ar"/>
        </w:rPr>
        <w:t>年的投标人提供自成立至今</w:t>
      </w:r>
      <w:r>
        <w:rPr>
          <w:rFonts w:hint="eastAsia" w:ascii="宋体" w:hAnsi="宋体" w:cs="宋体"/>
          <w:i w:val="0"/>
          <w:iCs w:val="0"/>
          <w:color w:val="auto"/>
          <w:kern w:val="2"/>
          <w:sz w:val="24"/>
          <w:szCs w:val="24"/>
          <w:highlight w:val="none"/>
          <w:lang w:val="en-US" w:eastAsia="zh-CN" w:bidi="ar"/>
        </w:rPr>
        <w:t>的</w:t>
      </w:r>
      <w:r>
        <w:rPr>
          <w:rFonts w:hint="eastAsia" w:ascii="宋体" w:hAnsi="宋体" w:eastAsia="宋体" w:cs="宋体"/>
          <w:i w:val="0"/>
          <w:iCs w:val="0"/>
          <w:color w:val="auto"/>
          <w:kern w:val="2"/>
          <w:sz w:val="24"/>
          <w:szCs w:val="24"/>
          <w:highlight w:val="none"/>
          <w:lang w:val="en-US" w:eastAsia="zh-CN" w:bidi="ar"/>
        </w:rPr>
        <w:t>财务报</w:t>
      </w:r>
      <w:r>
        <w:rPr>
          <w:rFonts w:hint="eastAsia" w:ascii="宋体" w:hAnsi="宋体" w:cs="宋体"/>
          <w:i w:val="0"/>
          <w:iCs w:val="0"/>
          <w:color w:val="auto"/>
          <w:kern w:val="2"/>
          <w:sz w:val="24"/>
          <w:szCs w:val="24"/>
          <w:highlight w:val="none"/>
          <w:lang w:val="en-US" w:eastAsia="zh-CN" w:bidi="ar"/>
        </w:rPr>
        <w:t>表；</w:t>
      </w:r>
    </w:p>
    <w:p w14:paraId="501A2B94">
      <w:pPr>
        <w:keepNext w:val="0"/>
        <w:keepLines w:val="0"/>
        <w:pageBreakBefore w:val="0"/>
        <w:widowControl w:val="0"/>
        <w:suppressLineNumbers w:val="0"/>
        <w:kinsoku/>
        <w:wordWrap/>
        <w:overflowPunct/>
        <w:topLinePunct w:val="0"/>
        <w:autoSpaceDE/>
        <w:autoSpaceDN/>
        <w:bidi w:val="0"/>
        <w:adjustRightInd/>
        <w:snapToGrid/>
        <w:spacing w:beforeAutospacing="0" w:afterAutospacing="0" w:line="360" w:lineRule="auto"/>
        <w:ind w:left="0" w:right="0" w:firstLine="480" w:firstLineChars="200"/>
        <w:jc w:val="both"/>
        <w:textAlignment w:val="auto"/>
        <w:outlineLvl w:val="9"/>
        <w:rPr>
          <w:rFonts w:hint="eastAsia" w:ascii="宋体" w:hAnsi="宋体" w:eastAsia="宋体" w:cs="宋体"/>
          <w:sz w:val="24"/>
          <w:szCs w:val="24"/>
          <w:highlight w:val="none"/>
        </w:rPr>
      </w:pPr>
      <w:r>
        <w:rPr>
          <w:rFonts w:hint="eastAsia" w:ascii="宋体" w:hAnsi="宋体" w:eastAsia="宋体" w:cs="宋体"/>
          <w:i w:val="0"/>
          <w:iCs w:val="0"/>
          <w:color w:val="auto"/>
          <w:kern w:val="2"/>
          <w:sz w:val="24"/>
          <w:szCs w:val="24"/>
          <w:highlight w:val="none"/>
          <w:lang w:val="en-US" w:eastAsia="zh-CN" w:bidi="ar"/>
        </w:rPr>
        <w:t>1.3具有履行合同所必需的设备和专业技术能力。</w:t>
      </w:r>
      <w:r>
        <w:rPr>
          <w:rFonts w:hint="eastAsia" w:ascii="宋体" w:hAnsi="宋体" w:eastAsia="宋体" w:cs="宋体"/>
          <w:color w:val="auto"/>
          <w:sz w:val="24"/>
          <w:szCs w:val="24"/>
          <w:highlight w:val="none"/>
          <w:lang w:eastAsia="zh-CN"/>
        </w:rPr>
        <w:t>提供具备</w:t>
      </w:r>
      <w:r>
        <w:rPr>
          <w:rFonts w:hint="eastAsia" w:ascii="宋体" w:hAnsi="宋体" w:eastAsia="宋体" w:cs="宋体"/>
          <w:sz w:val="24"/>
          <w:szCs w:val="24"/>
          <w:highlight w:val="none"/>
          <w:lang w:eastAsia="zh-CN"/>
        </w:rPr>
        <w:t>履行合同所必需的设备和专业技术能力的证明材料</w:t>
      </w:r>
      <w:r>
        <w:rPr>
          <w:rFonts w:hint="eastAsia" w:ascii="宋体" w:hAnsi="宋体" w:eastAsia="宋体" w:cs="宋体"/>
          <w:sz w:val="24"/>
          <w:szCs w:val="24"/>
          <w:highlight w:val="none"/>
        </w:rPr>
        <w:t>。</w:t>
      </w:r>
    </w:p>
    <w:p w14:paraId="2DEE8165">
      <w:pPr>
        <w:spacing w:line="360" w:lineRule="auto"/>
        <w:ind w:firstLine="480" w:firstLineChars="200"/>
        <w:jc w:val="both"/>
        <w:rPr>
          <w:rFonts w:hint="eastAsia" w:ascii="宋体" w:hAnsi="宋体" w:cs="宋体"/>
          <w:kern w:val="2"/>
          <w:sz w:val="24"/>
          <w:szCs w:val="24"/>
          <w:highlight w:val="none"/>
          <w:lang w:bidi="ar"/>
        </w:rPr>
      </w:pPr>
      <w:r>
        <w:rPr>
          <w:rFonts w:hint="eastAsia" w:ascii="宋体" w:hAnsi="宋体" w:eastAsia="宋体" w:cs="宋体"/>
          <w:i w:val="0"/>
          <w:iCs w:val="0"/>
          <w:kern w:val="2"/>
          <w:sz w:val="24"/>
          <w:szCs w:val="24"/>
          <w:highlight w:val="none"/>
          <w:lang w:val="en-US" w:eastAsia="zh-CN" w:bidi="ar"/>
        </w:rPr>
        <w:t>1.4</w:t>
      </w:r>
      <w:r>
        <w:rPr>
          <w:rFonts w:hint="eastAsia" w:ascii="宋体" w:hAnsi="宋体" w:eastAsia="宋体" w:cs="宋体"/>
          <w:b w:val="0"/>
          <w:bCs w:val="0"/>
          <w:i w:val="0"/>
          <w:iCs w:val="0"/>
          <w:kern w:val="2"/>
          <w:sz w:val="24"/>
          <w:szCs w:val="24"/>
          <w:highlight w:val="none"/>
          <w:lang w:val="en-US" w:eastAsia="zh-CN" w:bidi="ar"/>
        </w:rPr>
        <w:t>有依法缴纳税收和社会保障资金的良好记录。</w:t>
      </w:r>
      <w:r>
        <w:rPr>
          <w:rFonts w:hint="eastAsia" w:ascii="宋体" w:hAnsi="宋体" w:cs="宋体"/>
          <w:kern w:val="2"/>
          <w:sz w:val="24"/>
          <w:szCs w:val="24"/>
          <w:highlight w:val="none"/>
          <w:lang w:eastAsia="zh-CN" w:bidi="ar"/>
        </w:rPr>
        <w:t>提供202</w:t>
      </w:r>
      <w:r>
        <w:rPr>
          <w:rFonts w:hint="eastAsia" w:ascii="宋体" w:hAnsi="宋体" w:cs="宋体"/>
          <w:kern w:val="2"/>
          <w:sz w:val="24"/>
          <w:szCs w:val="24"/>
          <w:highlight w:val="none"/>
          <w:lang w:val="en-US" w:eastAsia="zh-CN" w:bidi="ar"/>
        </w:rPr>
        <w:t>5</w:t>
      </w:r>
      <w:r>
        <w:rPr>
          <w:rFonts w:hint="eastAsia" w:ascii="宋体" w:hAnsi="宋体" w:cs="宋体"/>
          <w:kern w:val="2"/>
          <w:sz w:val="24"/>
          <w:szCs w:val="24"/>
          <w:highlight w:val="none"/>
          <w:lang w:eastAsia="zh-CN" w:bidi="ar"/>
        </w:rPr>
        <w:t>年1月至今任意3个月</w:t>
      </w:r>
      <w:r>
        <w:rPr>
          <w:rFonts w:hint="eastAsia" w:ascii="宋体" w:hAnsi="宋体" w:cs="宋体"/>
          <w:kern w:val="2"/>
          <w:sz w:val="24"/>
          <w:szCs w:val="24"/>
          <w:highlight w:val="none"/>
          <w:lang w:bidi="ar"/>
        </w:rPr>
        <w:t>依法缴纳税收和缴纳社会保障资金的证明(成立未满</w:t>
      </w:r>
      <w:r>
        <w:rPr>
          <w:rFonts w:hint="eastAsia" w:ascii="宋体" w:hAnsi="宋体" w:cs="宋体"/>
          <w:kern w:val="2"/>
          <w:sz w:val="24"/>
          <w:szCs w:val="24"/>
          <w:highlight w:val="none"/>
          <w:lang w:val="en-US" w:eastAsia="zh-CN" w:bidi="ar"/>
        </w:rPr>
        <w:t>3</w:t>
      </w:r>
      <w:r>
        <w:rPr>
          <w:rFonts w:hint="eastAsia" w:ascii="宋体" w:hAnsi="宋体" w:cs="宋体"/>
          <w:kern w:val="2"/>
          <w:sz w:val="24"/>
          <w:szCs w:val="24"/>
          <w:highlight w:val="none"/>
          <w:lang w:bidi="ar"/>
        </w:rPr>
        <w:t>个月的提供成立以来的税收和社会保障资金缴纳凭据；依法免税或不需要缴纳社会保障资金的供应商，应提供相应文</w:t>
      </w:r>
      <w:r>
        <w:rPr>
          <w:rFonts w:hint="eastAsia" w:ascii="宋体" w:hAnsi="宋体" w:cs="宋体"/>
          <w:sz w:val="24"/>
          <w:szCs w:val="24"/>
          <w:highlight w:val="none"/>
        </w:rPr>
        <w:t>件证明其依法免税或不需要缴纳社会保障资金)。</w:t>
      </w:r>
    </w:p>
    <w:p w14:paraId="1A817A22">
      <w:pPr>
        <w:pageBreakBefore w:val="0"/>
        <w:kinsoku/>
        <w:wordWrap/>
        <w:overflowPunct/>
        <w:topLinePunct w:val="0"/>
        <w:autoSpaceDE/>
        <w:autoSpaceDN/>
        <w:bidi w:val="0"/>
        <w:adjustRightInd/>
        <w:snapToGrid/>
        <w:spacing w:before="0" w:after="0" w:line="360" w:lineRule="auto"/>
        <w:ind w:firstLine="480" w:firstLineChars="200"/>
        <w:jc w:val="both"/>
        <w:textAlignment w:val="auto"/>
        <w:outlineLvl w:val="9"/>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bidi="ar-SA"/>
        </w:rPr>
        <w:t>1.5参加政府采购活动前三年内，在经营活动中没有重大违法记录。提供参加政府采购活动前三年内在经营活动中没有重大违法记录的书面声明。</w:t>
      </w:r>
    </w:p>
    <w:p w14:paraId="78F4B639">
      <w:pPr>
        <w:pageBreakBefore w:val="0"/>
        <w:kinsoku/>
        <w:wordWrap/>
        <w:overflowPunct/>
        <w:topLinePunct w:val="0"/>
        <w:autoSpaceDE/>
        <w:autoSpaceDN/>
        <w:bidi w:val="0"/>
        <w:adjustRightInd/>
        <w:snapToGrid/>
        <w:spacing w:line="360" w:lineRule="auto"/>
        <w:ind w:firstLine="465"/>
        <w:textAlignment w:val="auto"/>
        <w:outlineLvl w:val="9"/>
        <w:rPr>
          <w:rFonts w:hint="eastAsia" w:ascii="宋体" w:hAnsi="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bidi="ar-SA"/>
        </w:rPr>
        <w:t>1.6</w:t>
      </w:r>
      <w:r>
        <w:rPr>
          <w:rFonts w:hint="eastAsia" w:ascii="宋体" w:hAnsi="宋体" w:cs="宋体"/>
          <w:b w:val="0"/>
          <w:bCs w:val="0"/>
          <w:sz w:val="24"/>
          <w:szCs w:val="24"/>
          <w:highlight w:val="none"/>
          <w:lang w:val="en-US" w:eastAsia="zh-CN" w:bidi="ar-SA"/>
        </w:rPr>
        <w:t>法律、行政法规规定的其他条件。</w:t>
      </w:r>
    </w:p>
    <w:p w14:paraId="190D5690">
      <w:pPr>
        <w:pStyle w:val="11"/>
        <w:ind w:firstLine="465"/>
        <w:outlineLvl w:val="9"/>
        <w:rPr>
          <w:rFonts w:hint="eastAsia" w:ascii="宋体" w:hAnsi="宋体" w:eastAsia="宋体" w:cs="宋体"/>
          <w:b w:val="0"/>
          <w:bCs w:val="0"/>
          <w:kern w:val="0"/>
          <w:sz w:val="24"/>
          <w:szCs w:val="24"/>
          <w:highlight w:val="none"/>
          <w:lang w:val="en-US" w:eastAsia="zh-CN" w:bidi="ar-SA"/>
        </w:rPr>
      </w:pPr>
      <w:r>
        <w:rPr>
          <w:rFonts w:hint="eastAsia" w:ascii="宋体" w:hAnsi="宋体" w:eastAsia="宋体" w:cs="宋体"/>
          <w:b w:val="0"/>
          <w:bCs w:val="0"/>
          <w:kern w:val="0"/>
          <w:sz w:val="24"/>
          <w:szCs w:val="24"/>
          <w:highlight w:val="none"/>
          <w:lang w:val="en-US" w:eastAsia="zh-CN" w:bidi="ar-SA"/>
        </w:rPr>
        <w:t>1.6.1 单位负责人为同一人或者存在直接控股、管理关系的不同供应商，不得参加同一合同项下的政府采购活动。</w:t>
      </w:r>
    </w:p>
    <w:p w14:paraId="4045F702">
      <w:pPr>
        <w:pStyle w:val="11"/>
        <w:keepNext w:val="0"/>
        <w:keepLines w:val="0"/>
        <w:pageBreakBefore w:val="0"/>
        <w:kinsoku/>
        <w:wordWrap/>
        <w:overflowPunct/>
        <w:topLinePunct w:val="0"/>
        <w:autoSpaceDE/>
        <w:autoSpaceDN/>
        <w:bidi w:val="0"/>
        <w:adjustRightInd/>
        <w:snapToGrid/>
        <w:ind w:firstLine="465"/>
        <w:textAlignment w:val="auto"/>
        <w:outlineLvl w:val="9"/>
        <w:rPr>
          <w:rFonts w:hint="eastAsia" w:ascii="宋体" w:hAnsi="宋体" w:eastAsia="宋体" w:cs="宋体"/>
          <w:b w:val="0"/>
          <w:bCs w:val="0"/>
          <w:kern w:val="0"/>
          <w:sz w:val="24"/>
          <w:szCs w:val="24"/>
          <w:highlight w:val="none"/>
          <w:lang w:val="en-US" w:eastAsia="zh-CN" w:bidi="ar-SA"/>
        </w:rPr>
      </w:pPr>
      <w:r>
        <w:rPr>
          <w:rFonts w:hint="eastAsia" w:ascii="宋体" w:hAnsi="宋体" w:eastAsia="宋体" w:cs="宋体"/>
          <w:b w:val="0"/>
          <w:bCs w:val="0"/>
          <w:kern w:val="0"/>
          <w:sz w:val="24"/>
          <w:szCs w:val="24"/>
          <w:highlight w:val="none"/>
          <w:lang w:val="en-US" w:eastAsia="zh-CN" w:bidi="ar-SA"/>
        </w:rPr>
        <w:t>为采购项目提供整体设计、规范编制或者项目管理、监理、检测等服务的供应商，不得再参加该采购项目的其他采购活动。</w:t>
      </w:r>
    </w:p>
    <w:p w14:paraId="7592A35E">
      <w:pPr>
        <w:pStyle w:val="11"/>
        <w:keepNext w:val="0"/>
        <w:keepLines w:val="0"/>
        <w:pageBreakBefore w:val="0"/>
        <w:kinsoku/>
        <w:wordWrap/>
        <w:overflowPunct/>
        <w:topLinePunct w:val="0"/>
        <w:autoSpaceDE/>
        <w:autoSpaceDN/>
        <w:bidi w:val="0"/>
        <w:adjustRightInd/>
        <w:snapToGrid/>
        <w:ind w:firstLine="465"/>
        <w:textAlignment w:val="auto"/>
        <w:outlineLvl w:val="9"/>
        <w:rPr>
          <w:rFonts w:hint="eastAsia"/>
          <w:highlight w:val="none"/>
          <w:lang w:val="en-US"/>
        </w:rPr>
      </w:pPr>
      <w:r>
        <w:rPr>
          <w:rFonts w:hint="eastAsia" w:ascii="宋体" w:hAnsi="宋体" w:eastAsia="宋体" w:cs="宋体"/>
          <w:b w:val="0"/>
          <w:bCs w:val="0"/>
          <w:kern w:val="0"/>
          <w:sz w:val="24"/>
          <w:szCs w:val="24"/>
          <w:highlight w:val="none"/>
          <w:lang w:val="en-US" w:eastAsia="zh-CN" w:bidi="ar-SA"/>
        </w:rPr>
        <w:t>1.6.2投标人应在“信用中国”网站(www.creditchina.gov.cn)未被列入失信被执行人记录、重大税收违法失信主体且在中国政府采购网(www.ccgp.gov.cn)没有政府采购严重违法失信行为记录。</w:t>
      </w:r>
    </w:p>
    <w:p w14:paraId="4971BAA8">
      <w:pPr>
        <w:keepNext w:val="0"/>
        <w:keepLines w:val="0"/>
        <w:pageBreakBefore w:val="0"/>
        <w:widowControl w:val="0"/>
        <w:suppressLineNumbers w:val="0"/>
        <w:kinsoku/>
        <w:wordWrap/>
        <w:overflowPunct/>
        <w:topLinePunct w:val="0"/>
        <w:autoSpaceDE/>
        <w:autoSpaceDN/>
        <w:bidi w:val="0"/>
        <w:adjustRightInd/>
        <w:snapToGrid/>
        <w:spacing w:beforeAutospacing="0" w:afterAutospacing="0" w:line="360" w:lineRule="auto"/>
        <w:ind w:left="0" w:right="0" w:firstLine="480" w:firstLineChars="200"/>
        <w:jc w:val="both"/>
        <w:textAlignment w:val="auto"/>
        <w:rPr>
          <w:rFonts w:hint="default" w:ascii="宋体" w:hAnsi="宋体" w:eastAsia="宋体" w:cs="宋体"/>
          <w:i w:val="0"/>
          <w:iCs w:val="0"/>
          <w:color w:val="C00000"/>
          <w:kern w:val="2"/>
          <w:sz w:val="24"/>
          <w:szCs w:val="24"/>
          <w:highlight w:val="none"/>
          <w:u w:val="single"/>
          <w:lang w:val="en-US" w:eastAsia="zh-CN" w:bidi="ar"/>
        </w:rPr>
      </w:pPr>
      <w:r>
        <w:rPr>
          <w:rFonts w:hint="eastAsia" w:ascii="宋体" w:hAnsi="宋体" w:eastAsia="宋体" w:cs="宋体"/>
          <w:i w:val="0"/>
          <w:iCs w:val="0"/>
          <w:kern w:val="2"/>
          <w:sz w:val="24"/>
          <w:szCs w:val="24"/>
          <w:lang w:val="en-US" w:eastAsia="zh-CN" w:bidi="ar"/>
        </w:rPr>
        <w:t>2.落实政府采购政策需满足的</w:t>
      </w:r>
      <w:r>
        <w:rPr>
          <w:rFonts w:hint="eastAsia" w:ascii="宋体" w:hAnsi="宋体" w:eastAsia="宋体" w:cs="宋体"/>
          <w:i w:val="0"/>
          <w:iCs w:val="0"/>
          <w:color w:val="auto"/>
          <w:kern w:val="2"/>
          <w:sz w:val="24"/>
          <w:szCs w:val="24"/>
          <w:highlight w:val="none"/>
          <w:lang w:val="en-US" w:eastAsia="zh-CN" w:bidi="ar"/>
        </w:rPr>
        <w:t>资格要求</w:t>
      </w:r>
      <w:r>
        <w:rPr>
          <w:rFonts w:hint="eastAsia" w:ascii="宋体" w:hAnsi="宋体" w:eastAsia="宋体" w:cs="宋体"/>
          <w:i w:val="0"/>
          <w:iCs w:val="0"/>
          <w:color w:val="auto"/>
          <w:kern w:val="2"/>
          <w:sz w:val="24"/>
          <w:szCs w:val="24"/>
          <w:highlight w:val="none"/>
          <w:u w:val="none"/>
          <w:lang w:val="en-US" w:eastAsia="zh-CN" w:bidi="ar"/>
        </w:rPr>
        <w:t>：无。</w:t>
      </w:r>
    </w:p>
    <w:p w14:paraId="6DD726FB">
      <w:pPr>
        <w:pStyle w:val="11"/>
        <w:keepNext w:val="0"/>
        <w:keepLines w:val="0"/>
        <w:pageBreakBefore w:val="0"/>
        <w:widowControl w:val="0"/>
        <w:kinsoku/>
        <w:wordWrap/>
        <w:overflowPunct/>
        <w:topLinePunct w:val="0"/>
        <w:bidi w:val="0"/>
        <w:snapToGrid/>
        <w:spacing w:line="360" w:lineRule="auto"/>
        <w:ind w:firstLine="480" w:firstLineChars="200"/>
        <w:textAlignment w:val="auto"/>
        <w:rPr>
          <w:rFonts w:hint="eastAsia" w:ascii="宋体" w:hAnsi="宋体" w:eastAsia="宋体" w:cs="宋体"/>
          <w:i w:val="0"/>
          <w:iCs w:val="0"/>
          <w:kern w:val="2"/>
          <w:sz w:val="24"/>
          <w:szCs w:val="24"/>
          <w:lang w:val="en-US" w:eastAsia="zh-CN" w:bidi="ar"/>
        </w:rPr>
      </w:pPr>
      <w:r>
        <w:rPr>
          <w:rFonts w:hint="eastAsia" w:ascii="宋体" w:hAnsi="宋体" w:eastAsia="宋体" w:cs="宋体"/>
          <w:i w:val="0"/>
          <w:iCs w:val="0"/>
          <w:kern w:val="2"/>
          <w:sz w:val="24"/>
          <w:szCs w:val="24"/>
          <w:lang w:val="en-US" w:eastAsia="zh-CN" w:bidi="ar"/>
        </w:rPr>
        <w:t>3.本项目的特定资格要求：</w:t>
      </w:r>
    </w:p>
    <w:p w14:paraId="2E7596DC">
      <w:pPr>
        <w:keepNext w:val="0"/>
        <w:keepLines w:val="0"/>
        <w:pageBreakBefore w:val="0"/>
        <w:widowControl w:val="0"/>
        <w:kinsoku/>
        <w:wordWrap/>
        <w:overflowPunct/>
        <w:topLinePunct w:val="0"/>
        <w:autoSpaceDE/>
        <w:autoSpaceDN/>
        <w:bidi w:val="0"/>
        <w:adjustRightInd/>
        <w:snapToGrid w:val="0"/>
        <w:spacing w:line="520" w:lineRule="exact"/>
        <w:ind w:firstLine="540"/>
        <w:textAlignment w:val="baseline"/>
        <w:rPr>
          <w:rFonts w:hint="default" w:ascii="宋体" w:hAnsi="宋体" w:eastAsia="宋体" w:cs="宋体"/>
          <w:kern w:val="2"/>
          <w:sz w:val="24"/>
          <w:lang w:val="en-US" w:eastAsia="zh-CN"/>
        </w:rPr>
      </w:pPr>
      <w:r>
        <w:rPr>
          <w:rFonts w:hint="eastAsia" w:ascii="宋体" w:hAnsi="宋体" w:eastAsia="宋体" w:cs="宋体"/>
          <w:kern w:val="2"/>
          <w:sz w:val="24"/>
          <w:lang w:val="en-US" w:eastAsia="zh-CN"/>
        </w:rPr>
        <w:t>3</w:t>
      </w:r>
      <w:r>
        <w:rPr>
          <w:rFonts w:hint="default" w:ascii="宋体" w:hAnsi="宋体" w:eastAsia="宋体" w:cs="宋体"/>
          <w:kern w:val="2"/>
          <w:sz w:val="24"/>
          <w:lang w:val="en-US" w:eastAsia="zh-CN"/>
        </w:rPr>
        <w:t>.1 供应商若为代理商或经销商，须提供医疗器械经营许可/备案证，所投产品制造商医疗器械生产许可/备案证(制造商工商注册地在中华人民共和国境外的，不作此要求)、所投产品的医疗器械注册证及附件；</w:t>
      </w:r>
    </w:p>
    <w:p w14:paraId="39EAC27F">
      <w:pPr>
        <w:keepNext w:val="0"/>
        <w:keepLines w:val="0"/>
        <w:pageBreakBefore w:val="0"/>
        <w:widowControl w:val="0"/>
        <w:kinsoku/>
        <w:wordWrap/>
        <w:overflowPunct/>
        <w:topLinePunct w:val="0"/>
        <w:autoSpaceDE/>
        <w:autoSpaceDN/>
        <w:bidi w:val="0"/>
        <w:adjustRightInd/>
        <w:snapToGrid w:val="0"/>
        <w:spacing w:line="520" w:lineRule="exact"/>
        <w:ind w:firstLine="540"/>
        <w:textAlignment w:val="baseline"/>
        <w:rPr>
          <w:rFonts w:hint="default" w:ascii="宋体" w:hAnsi="宋体" w:eastAsia="宋体" w:cs="宋体"/>
          <w:kern w:val="2"/>
          <w:sz w:val="24"/>
          <w:lang w:val="en-US" w:eastAsia="zh-CN"/>
        </w:rPr>
      </w:pPr>
      <w:r>
        <w:rPr>
          <w:rFonts w:hint="eastAsia" w:ascii="宋体" w:hAnsi="宋体" w:eastAsia="宋体" w:cs="宋体"/>
          <w:kern w:val="2"/>
          <w:sz w:val="24"/>
          <w:lang w:val="en-US" w:eastAsia="zh-CN"/>
        </w:rPr>
        <w:t>3</w:t>
      </w:r>
      <w:r>
        <w:rPr>
          <w:rFonts w:hint="default" w:ascii="宋体" w:hAnsi="宋体" w:eastAsia="宋体" w:cs="宋体"/>
          <w:kern w:val="2"/>
          <w:sz w:val="24"/>
          <w:lang w:val="en-US" w:eastAsia="zh-CN"/>
        </w:rPr>
        <w:t>.2 供应商若为制造商，须提供医疗器械生产许可/备案证(制造商工商注册地在中华人民共和国境外的，不作此要求)、所投产品的医疗器械注册证及附件；</w:t>
      </w:r>
    </w:p>
    <w:p w14:paraId="2E8E8A4E">
      <w:pPr>
        <w:keepNext w:val="0"/>
        <w:keepLines w:val="0"/>
        <w:pageBreakBefore w:val="0"/>
        <w:widowControl w:val="0"/>
        <w:kinsoku/>
        <w:wordWrap/>
        <w:overflowPunct/>
        <w:topLinePunct w:val="0"/>
        <w:autoSpaceDE/>
        <w:autoSpaceDN/>
        <w:bidi w:val="0"/>
        <w:adjustRightInd/>
        <w:snapToGrid w:val="0"/>
        <w:spacing w:line="520" w:lineRule="exact"/>
        <w:ind w:firstLine="540"/>
        <w:textAlignment w:val="baseline"/>
        <w:rPr>
          <w:rFonts w:hint="default" w:ascii="宋体" w:hAnsi="宋体" w:eastAsia="宋体" w:cs="宋体"/>
          <w:kern w:val="2"/>
          <w:sz w:val="24"/>
          <w:lang w:val="en-US" w:eastAsia="zh-CN"/>
        </w:rPr>
      </w:pPr>
      <w:r>
        <w:rPr>
          <w:rFonts w:hint="eastAsia" w:ascii="宋体" w:hAnsi="宋体" w:eastAsia="宋体" w:cs="宋体"/>
          <w:kern w:val="2"/>
          <w:sz w:val="24"/>
          <w:lang w:val="en-US" w:eastAsia="zh-CN"/>
        </w:rPr>
        <w:t>3</w:t>
      </w:r>
      <w:r>
        <w:rPr>
          <w:rFonts w:hint="default" w:ascii="宋体" w:hAnsi="宋体" w:eastAsia="宋体" w:cs="宋体"/>
          <w:kern w:val="2"/>
          <w:sz w:val="24"/>
          <w:lang w:val="en-US" w:eastAsia="zh-CN"/>
        </w:rPr>
        <w:t>.3医疗器械生产或经营许可/备案证生产或经营范围须覆盖所投第二、三类医疗器械(扫描件加盖电 子公章。根据中华人民共和国国务院令第739号《医疗器械监督管理条例》和国家药品监督管理局《医疗 器械分类目录》的规定，在《医疗器械分类目录》内的产品必须按照《医疗器械监督管理条例》的要求提供，其他不在《医疗器械分类目录》内的不作强行要求)</w:t>
      </w:r>
      <w:r>
        <w:rPr>
          <w:rFonts w:hint="eastAsia" w:hAnsi="宋体" w:cs="宋体"/>
          <w:kern w:val="2"/>
          <w:sz w:val="24"/>
          <w:lang w:val="en-US" w:eastAsia="zh-CN"/>
        </w:rPr>
        <w:t>；</w:t>
      </w:r>
    </w:p>
    <w:p w14:paraId="140567A1">
      <w:pPr>
        <w:pStyle w:val="11"/>
        <w:keepNext w:val="0"/>
        <w:keepLines w:val="0"/>
        <w:pageBreakBefore w:val="0"/>
        <w:widowControl w:val="0"/>
        <w:kinsoku/>
        <w:wordWrap/>
        <w:overflowPunct/>
        <w:topLinePunct w:val="0"/>
        <w:bidi w:val="0"/>
        <w:snapToGrid/>
        <w:spacing w:line="360" w:lineRule="auto"/>
        <w:ind w:firstLine="480" w:firstLineChars="200"/>
        <w:textAlignment w:val="auto"/>
        <w:rPr>
          <w:rFonts w:hint="eastAsia" w:ascii="宋体" w:hAnsi="宋体" w:cs="宋体"/>
          <w:color w:val="auto"/>
          <w:kern w:val="2"/>
          <w:sz w:val="24"/>
          <w:szCs w:val="24"/>
          <w:highlight w:val="none"/>
          <w:lang w:bidi="ar"/>
        </w:rPr>
      </w:pPr>
      <w:r>
        <w:rPr>
          <w:rFonts w:hint="eastAsia" w:ascii="宋体" w:hAnsi="宋体" w:eastAsia="宋体" w:cs="宋体"/>
          <w:kern w:val="2"/>
          <w:sz w:val="24"/>
          <w:lang w:val="en-US" w:eastAsia="zh-CN"/>
        </w:rPr>
        <w:t>3</w:t>
      </w:r>
      <w:r>
        <w:rPr>
          <w:rFonts w:hint="default" w:ascii="宋体" w:hAnsi="宋体" w:eastAsia="宋体" w:cs="宋体"/>
          <w:kern w:val="2"/>
          <w:sz w:val="24"/>
          <w:lang w:val="en-US" w:eastAsia="zh-CN"/>
        </w:rPr>
        <w:t>.4如果所投产品是进口产品并且为代理商或经销商进行投标，必须具有制造商或全国总代或有可追溯的区域产品代理商针对本项目的专项授权书或长期代理授权书(此条仅适用于允许进口产品投标的设备)。 如果授权是二级或二级以下的，必须提供上一级别的授权，并且对制造商所作的所有承诺负完全责任；如果授权书中明确规定不能转授权的，转授权无效，视为未提供授权书；不接受制造商的分公司出具的授权书</w:t>
      </w:r>
      <w:r>
        <w:rPr>
          <w:rFonts w:hint="eastAsia" w:hAnsi="宋体" w:cs="宋体"/>
          <w:kern w:val="2"/>
          <w:sz w:val="24"/>
          <w:lang w:val="en-US" w:eastAsia="zh-CN"/>
        </w:rPr>
        <w:t>。</w:t>
      </w:r>
      <w:r>
        <w:rPr>
          <w:rFonts w:hint="eastAsia" w:ascii="宋体" w:hAnsi="宋体" w:cs="宋体"/>
          <w:color w:val="auto"/>
          <w:kern w:val="2"/>
          <w:sz w:val="24"/>
          <w:szCs w:val="24"/>
          <w:highlight w:val="none"/>
          <w:lang w:bidi="ar"/>
        </w:rPr>
        <w:t>。</w:t>
      </w:r>
    </w:p>
    <w:p w14:paraId="11090784">
      <w:pPr>
        <w:pStyle w:val="11"/>
        <w:keepNext w:val="0"/>
        <w:keepLines w:val="0"/>
        <w:pageBreakBefore w:val="0"/>
        <w:widowControl w:val="0"/>
        <w:kinsoku/>
        <w:wordWrap/>
        <w:overflowPunct/>
        <w:topLinePunct w:val="0"/>
        <w:bidi w:val="0"/>
        <w:snapToGrid/>
        <w:spacing w:line="360" w:lineRule="auto"/>
        <w:ind w:firstLine="480" w:firstLineChars="200"/>
        <w:textAlignment w:val="auto"/>
        <w:rPr>
          <w:rFonts w:hint="eastAsia" w:ascii="宋体" w:hAnsi="宋体" w:cs="宋体"/>
          <w:sz w:val="24"/>
          <w:highlight w:val="none"/>
        </w:rPr>
      </w:pPr>
      <w:r>
        <w:rPr>
          <w:rFonts w:hint="eastAsia" w:ascii="宋体" w:hAnsi="宋体" w:eastAsia="宋体" w:cs="宋体"/>
          <w:i w:val="0"/>
          <w:iCs w:val="0"/>
          <w:color w:val="auto"/>
          <w:kern w:val="2"/>
          <w:sz w:val="24"/>
          <w:szCs w:val="24"/>
          <w:highlight w:val="none"/>
          <w:lang w:val="en-US" w:eastAsia="zh-CN" w:bidi="ar"/>
        </w:rPr>
        <w:t>3.</w:t>
      </w:r>
      <w:r>
        <w:rPr>
          <w:rFonts w:hint="eastAsia" w:ascii="宋体" w:hAnsi="宋体" w:cs="宋体"/>
          <w:i w:val="0"/>
          <w:iCs w:val="0"/>
          <w:color w:val="auto"/>
          <w:kern w:val="2"/>
          <w:sz w:val="24"/>
          <w:szCs w:val="24"/>
          <w:highlight w:val="none"/>
          <w:lang w:val="en-US" w:eastAsia="zh-CN" w:bidi="ar"/>
        </w:rPr>
        <w:t>5</w:t>
      </w:r>
      <w:r>
        <w:rPr>
          <w:rFonts w:hint="eastAsia" w:ascii="宋体" w:hAnsi="宋体" w:eastAsia="宋体" w:cs="宋体"/>
          <w:i w:val="0"/>
          <w:iCs w:val="0"/>
          <w:color w:val="auto"/>
          <w:kern w:val="2"/>
          <w:sz w:val="24"/>
          <w:szCs w:val="24"/>
          <w:highlight w:val="none"/>
          <w:lang w:val="en-US" w:eastAsia="zh-CN" w:bidi="ar"/>
        </w:rPr>
        <w:t>本项目不接受联合体投标。</w:t>
      </w:r>
    </w:p>
    <w:p w14:paraId="43760809">
      <w:pPr>
        <w:pStyle w:val="12"/>
        <w:spacing w:line="360" w:lineRule="auto"/>
        <w:ind w:firstLine="480" w:firstLineChars="200"/>
        <w:rPr>
          <w:rFonts w:hint="eastAsia" w:ascii="宋体" w:hAnsi="宋体"/>
          <w:sz w:val="24"/>
          <w:szCs w:val="24"/>
          <w:highlight w:val="none"/>
        </w:rPr>
      </w:pPr>
    </w:p>
    <w:p w14:paraId="2466F325">
      <w:pPr>
        <w:pStyle w:val="11"/>
        <w:ind w:firstLine="420" w:firstLineChars="200"/>
        <w:rPr>
          <w:rFonts w:hint="eastAsia" w:ascii="宋体" w:hAnsi="宋体"/>
          <w:highlight w:val="none"/>
        </w:rPr>
        <w:sectPr>
          <w:footerReference r:id="rId5" w:type="default"/>
          <w:pgSz w:w="11906" w:h="16838"/>
          <w:pgMar w:top="1191" w:right="1191" w:bottom="1191" w:left="1191" w:header="720" w:footer="720" w:gutter="0"/>
          <w:pgNumType w:fmt="decimal"/>
          <w:cols w:space="720" w:num="1"/>
          <w:docGrid w:type="lines" w:linePitch="317" w:charSpace="0"/>
        </w:sectPr>
      </w:pPr>
      <w:bookmarkStart w:id="195" w:name="_Toc5266"/>
      <w:r>
        <w:rPr>
          <w:rFonts w:hint="eastAsia" w:ascii="宋体" w:hAnsi="宋体"/>
          <w:highlight w:val="none"/>
        </w:rPr>
        <w:t xml:space="preserve"> </w:t>
      </w:r>
    </w:p>
    <w:p w14:paraId="30197273">
      <w:pPr>
        <w:pStyle w:val="2"/>
        <w:spacing w:before="0" w:after="0" w:line="360" w:lineRule="auto"/>
        <w:jc w:val="center"/>
        <w:rPr>
          <w:rFonts w:ascii="宋体" w:hAnsi="宋体"/>
          <w:highlight w:val="none"/>
        </w:rPr>
      </w:pPr>
      <w:bookmarkStart w:id="196" w:name="_Toc13700"/>
      <w:r>
        <w:rPr>
          <w:rFonts w:hint="eastAsia" w:ascii="宋体" w:hAnsi="宋体"/>
          <w:highlight w:val="none"/>
        </w:rPr>
        <w:t>第四章 评标办法(综合评分法)</w:t>
      </w:r>
      <w:bookmarkEnd w:id="195"/>
      <w:bookmarkEnd w:id="196"/>
    </w:p>
    <w:p w14:paraId="398053BC">
      <w:pPr>
        <w:spacing w:line="500" w:lineRule="exact"/>
        <w:ind w:firstLine="482" w:firstLineChars="200"/>
        <w:jc w:val="both"/>
        <w:rPr>
          <w:rFonts w:hint="eastAsia" w:ascii="宋体" w:hAnsi="宋体"/>
          <w:b/>
          <w:bCs/>
          <w:sz w:val="24"/>
          <w:szCs w:val="24"/>
          <w:highlight w:val="none"/>
        </w:rPr>
      </w:pPr>
      <w:r>
        <w:rPr>
          <w:rFonts w:hint="eastAsia" w:ascii="宋体" w:hAnsi="宋体"/>
          <w:b/>
          <w:bCs/>
          <w:sz w:val="24"/>
          <w:szCs w:val="24"/>
          <w:highlight w:val="none"/>
        </w:rPr>
        <w:t>一、评标机构</w:t>
      </w:r>
    </w:p>
    <w:p w14:paraId="6FA838C8">
      <w:pPr>
        <w:pStyle w:val="12"/>
        <w:spacing w:line="500" w:lineRule="exact"/>
        <w:ind w:firstLine="480" w:firstLineChars="200"/>
        <w:rPr>
          <w:rFonts w:hint="eastAsia" w:ascii="宋体" w:hAnsi="宋体"/>
          <w:color w:val="FF0000"/>
          <w:sz w:val="24"/>
          <w:szCs w:val="24"/>
          <w:highlight w:val="none"/>
        </w:rPr>
      </w:pPr>
      <w:r>
        <w:rPr>
          <w:rFonts w:hint="eastAsia" w:ascii="宋体" w:hAnsi="宋体"/>
          <w:sz w:val="24"/>
          <w:szCs w:val="24"/>
          <w:highlight w:val="none"/>
        </w:rPr>
        <w:t>评标机构为评标委员会，评标委员会的组成见投标人须知前附表7.1.1。</w:t>
      </w:r>
    </w:p>
    <w:p w14:paraId="5ECDBCEE">
      <w:pPr>
        <w:spacing w:line="500" w:lineRule="exact"/>
        <w:ind w:firstLine="482" w:firstLineChars="200"/>
        <w:rPr>
          <w:rFonts w:hint="eastAsia" w:ascii="宋体" w:hAnsi="宋体"/>
          <w:b/>
          <w:bCs/>
          <w:sz w:val="24"/>
          <w:szCs w:val="24"/>
          <w:highlight w:val="none"/>
        </w:rPr>
      </w:pPr>
      <w:r>
        <w:rPr>
          <w:rFonts w:hint="eastAsia" w:ascii="宋体" w:hAnsi="宋体"/>
          <w:b/>
          <w:bCs/>
          <w:sz w:val="24"/>
          <w:szCs w:val="24"/>
          <w:highlight w:val="none"/>
        </w:rPr>
        <w:t>二、采购人或者采购代理机构职责</w:t>
      </w:r>
    </w:p>
    <w:p w14:paraId="00B4E611">
      <w:pPr>
        <w:pStyle w:val="12"/>
        <w:spacing w:line="500" w:lineRule="exact"/>
        <w:ind w:firstLine="480" w:firstLineChars="200"/>
        <w:rPr>
          <w:rFonts w:hint="eastAsia" w:ascii="宋体" w:hAnsi="宋体"/>
          <w:sz w:val="24"/>
          <w:szCs w:val="24"/>
          <w:highlight w:val="none"/>
        </w:rPr>
      </w:pPr>
      <w:r>
        <w:rPr>
          <w:rFonts w:hint="eastAsia" w:ascii="宋体" w:hAnsi="宋体"/>
          <w:sz w:val="24"/>
          <w:szCs w:val="24"/>
          <w:highlight w:val="none"/>
        </w:rPr>
        <w:t>采购人或者采购代理机构负责组织评标工作，并履行下列职责：</w:t>
      </w:r>
    </w:p>
    <w:p w14:paraId="2E0ED306">
      <w:pPr>
        <w:pStyle w:val="12"/>
        <w:spacing w:line="500" w:lineRule="exact"/>
        <w:ind w:firstLine="480" w:firstLineChars="200"/>
        <w:rPr>
          <w:rFonts w:hint="eastAsia" w:ascii="宋体" w:hAnsi="宋体"/>
          <w:sz w:val="24"/>
          <w:szCs w:val="24"/>
          <w:highlight w:val="none"/>
        </w:rPr>
      </w:pPr>
      <w:r>
        <w:rPr>
          <w:rFonts w:hint="eastAsia" w:ascii="宋体" w:hAnsi="宋体"/>
          <w:sz w:val="24"/>
          <w:szCs w:val="24"/>
          <w:highlight w:val="none"/>
        </w:rPr>
        <w:t>(一)核对评审专家身份和采购人代表授权函，对评审专家在政府采购活动中的职责履行情况予以记录，并及时将有关违法违规行为向财政部门报告。</w:t>
      </w:r>
    </w:p>
    <w:p w14:paraId="4F6F7E96">
      <w:pPr>
        <w:pStyle w:val="12"/>
        <w:spacing w:line="500" w:lineRule="exact"/>
        <w:ind w:firstLine="480" w:firstLineChars="200"/>
        <w:rPr>
          <w:rFonts w:hint="eastAsia" w:ascii="宋体" w:hAnsi="宋体"/>
          <w:sz w:val="24"/>
          <w:szCs w:val="24"/>
          <w:highlight w:val="none"/>
        </w:rPr>
      </w:pPr>
      <w:r>
        <w:rPr>
          <w:rFonts w:hint="eastAsia" w:ascii="宋体" w:hAnsi="宋体"/>
          <w:sz w:val="24"/>
          <w:szCs w:val="24"/>
          <w:highlight w:val="none"/>
        </w:rPr>
        <w:t>(二)宣布评标纪律。</w:t>
      </w:r>
    </w:p>
    <w:p w14:paraId="4AE12632">
      <w:pPr>
        <w:pStyle w:val="12"/>
        <w:spacing w:line="500" w:lineRule="exact"/>
        <w:ind w:firstLine="480" w:firstLineChars="200"/>
        <w:rPr>
          <w:rFonts w:hint="eastAsia" w:ascii="宋体" w:hAnsi="宋体"/>
          <w:sz w:val="24"/>
          <w:szCs w:val="24"/>
          <w:highlight w:val="none"/>
        </w:rPr>
      </w:pPr>
      <w:r>
        <w:rPr>
          <w:rFonts w:hint="eastAsia" w:ascii="宋体" w:hAnsi="宋体"/>
          <w:sz w:val="24"/>
          <w:szCs w:val="24"/>
          <w:highlight w:val="none"/>
        </w:rPr>
        <w:t>(三)公布投标人名单，告知评审专家应当回避的情形。</w:t>
      </w:r>
    </w:p>
    <w:p w14:paraId="45789B74">
      <w:pPr>
        <w:pStyle w:val="12"/>
        <w:spacing w:line="500" w:lineRule="exact"/>
        <w:ind w:firstLine="480" w:firstLineChars="200"/>
        <w:rPr>
          <w:rFonts w:hint="eastAsia" w:ascii="宋体" w:hAnsi="宋体"/>
          <w:sz w:val="24"/>
          <w:szCs w:val="24"/>
          <w:highlight w:val="none"/>
        </w:rPr>
      </w:pPr>
      <w:r>
        <w:rPr>
          <w:rFonts w:hint="eastAsia" w:ascii="宋体" w:hAnsi="宋体"/>
          <w:sz w:val="24"/>
          <w:szCs w:val="24"/>
          <w:highlight w:val="none"/>
        </w:rPr>
        <w:t>(四)组织评标委员会推选评标组长，采购人代表不得担任组长。</w:t>
      </w:r>
    </w:p>
    <w:p w14:paraId="690A04C6">
      <w:pPr>
        <w:pStyle w:val="12"/>
        <w:spacing w:line="500" w:lineRule="exact"/>
        <w:ind w:firstLine="480" w:firstLineChars="200"/>
        <w:rPr>
          <w:rFonts w:hint="eastAsia" w:ascii="宋体" w:hAnsi="宋体"/>
          <w:sz w:val="24"/>
          <w:szCs w:val="24"/>
          <w:highlight w:val="none"/>
        </w:rPr>
      </w:pPr>
      <w:r>
        <w:rPr>
          <w:rFonts w:hint="eastAsia" w:ascii="宋体" w:hAnsi="宋体"/>
          <w:sz w:val="24"/>
          <w:szCs w:val="24"/>
          <w:highlight w:val="none"/>
        </w:rPr>
        <w:t>(五)在评标期间采取必要的通讯管理措施，保证评标活动不受外界干扰。</w:t>
      </w:r>
    </w:p>
    <w:p w14:paraId="40232BAC">
      <w:pPr>
        <w:pStyle w:val="12"/>
        <w:spacing w:line="500" w:lineRule="exact"/>
        <w:ind w:firstLine="480" w:firstLineChars="200"/>
        <w:rPr>
          <w:rFonts w:hint="eastAsia" w:ascii="宋体" w:hAnsi="宋体"/>
          <w:sz w:val="24"/>
          <w:szCs w:val="24"/>
          <w:highlight w:val="none"/>
        </w:rPr>
      </w:pPr>
      <w:r>
        <w:rPr>
          <w:rFonts w:hint="eastAsia" w:ascii="宋体" w:hAnsi="宋体"/>
          <w:sz w:val="24"/>
          <w:szCs w:val="24"/>
          <w:highlight w:val="none"/>
        </w:rPr>
        <w:t>(六)根据评标委员会的要求介绍政府采购相关政策法规、招标文件。</w:t>
      </w:r>
    </w:p>
    <w:p w14:paraId="1E3CDAC6">
      <w:pPr>
        <w:pStyle w:val="12"/>
        <w:spacing w:line="500" w:lineRule="exact"/>
        <w:ind w:firstLine="480" w:firstLineChars="200"/>
        <w:rPr>
          <w:rFonts w:hint="eastAsia" w:ascii="宋体" w:hAnsi="宋体"/>
          <w:sz w:val="24"/>
          <w:szCs w:val="24"/>
          <w:highlight w:val="none"/>
        </w:rPr>
      </w:pPr>
      <w:r>
        <w:rPr>
          <w:rFonts w:hint="eastAsia" w:ascii="宋体" w:hAnsi="宋体"/>
          <w:sz w:val="24"/>
          <w:szCs w:val="24"/>
          <w:highlight w:val="none"/>
        </w:rPr>
        <w:t>(七)维护评标秩序，监督评标委员会依照招标文件规定的评标程序、方法和标准进行独立评审，及时制止和纠正采购人代表、评审专家的倾向性言论或者违法违规行为。</w:t>
      </w:r>
    </w:p>
    <w:p w14:paraId="7CB09BA6">
      <w:pPr>
        <w:pStyle w:val="12"/>
        <w:spacing w:line="500" w:lineRule="exact"/>
        <w:ind w:firstLine="480" w:firstLineChars="200"/>
        <w:rPr>
          <w:rFonts w:hint="eastAsia" w:ascii="宋体" w:hAnsi="宋体"/>
          <w:sz w:val="24"/>
          <w:szCs w:val="24"/>
          <w:highlight w:val="none"/>
        </w:rPr>
      </w:pPr>
      <w:r>
        <w:rPr>
          <w:rFonts w:hint="eastAsia" w:ascii="宋体" w:hAnsi="宋体"/>
          <w:sz w:val="24"/>
          <w:szCs w:val="24"/>
          <w:highlight w:val="none"/>
        </w:rPr>
        <w:t>(八)核对评标结果，有《政府采购货物和服务招标投标管理办法》（财政部第87号令）第六十四条规定情形的，要求评标委员会复核或者书面说明理由，评标委员会拒绝的，应予记录并向本级财政部门报告。</w:t>
      </w:r>
    </w:p>
    <w:p w14:paraId="780A906B">
      <w:pPr>
        <w:pStyle w:val="12"/>
        <w:spacing w:line="500" w:lineRule="exact"/>
        <w:ind w:firstLine="480" w:firstLineChars="200"/>
        <w:rPr>
          <w:rFonts w:hint="eastAsia" w:ascii="宋体" w:hAnsi="宋体"/>
          <w:sz w:val="24"/>
          <w:szCs w:val="24"/>
          <w:highlight w:val="none"/>
        </w:rPr>
      </w:pPr>
      <w:r>
        <w:rPr>
          <w:rFonts w:hint="eastAsia" w:ascii="宋体" w:hAnsi="宋体"/>
          <w:sz w:val="24"/>
          <w:szCs w:val="24"/>
          <w:highlight w:val="none"/>
        </w:rPr>
        <w:t>(九)评审工作完成后，按照规定向评审专家支付劳务报酬和异地评审差旅费，不得向评审专家以外的其他人员支付评审劳务报酬。</w:t>
      </w:r>
    </w:p>
    <w:p w14:paraId="28119CB2">
      <w:pPr>
        <w:pStyle w:val="12"/>
        <w:spacing w:line="500" w:lineRule="exact"/>
        <w:ind w:firstLine="480" w:firstLineChars="200"/>
        <w:rPr>
          <w:rFonts w:hint="eastAsia" w:ascii="宋体" w:hAnsi="宋体"/>
          <w:sz w:val="24"/>
          <w:szCs w:val="24"/>
          <w:highlight w:val="none"/>
        </w:rPr>
      </w:pPr>
      <w:r>
        <w:rPr>
          <w:rFonts w:hint="eastAsia" w:ascii="宋体" w:hAnsi="宋体"/>
          <w:sz w:val="24"/>
          <w:szCs w:val="24"/>
          <w:highlight w:val="none"/>
        </w:rPr>
        <w:t>(十)处理与评标有关的其他事项。</w:t>
      </w:r>
    </w:p>
    <w:p w14:paraId="136075B0">
      <w:pPr>
        <w:pStyle w:val="12"/>
        <w:spacing w:line="500" w:lineRule="exact"/>
        <w:ind w:firstLine="480" w:firstLineChars="200"/>
        <w:rPr>
          <w:rFonts w:hint="eastAsia" w:ascii="宋体" w:hAnsi="宋体"/>
          <w:sz w:val="24"/>
          <w:szCs w:val="24"/>
          <w:highlight w:val="none"/>
        </w:rPr>
      </w:pPr>
      <w:r>
        <w:rPr>
          <w:rFonts w:hint="eastAsia" w:ascii="宋体" w:hAnsi="宋体"/>
          <w:sz w:val="24"/>
          <w:szCs w:val="24"/>
          <w:highlight w:val="none"/>
        </w:rPr>
        <w:t>采购人可以在评标前说明项目背景和采购需求，说明内容不得含有歧视性、倾向性意见，不得超出招标文件所述范围。说明应当提交书面材料，并随采购文件一并存档。</w:t>
      </w:r>
    </w:p>
    <w:p w14:paraId="229CF434">
      <w:pPr>
        <w:spacing w:line="500" w:lineRule="exact"/>
        <w:ind w:firstLine="482" w:firstLineChars="200"/>
        <w:rPr>
          <w:rFonts w:hint="eastAsia" w:ascii="宋体" w:hAnsi="宋体"/>
          <w:b/>
          <w:bCs/>
          <w:sz w:val="24"/>
          <w:szCs w:val="24"/>
          <w:highlight w:val="none"/>
        </w:rPr>
      </w:pPr>
      <w:r>
        <w:rPr>
          <w:rFonts w:hint="eastAsia" w:ascii="宋体" w:hAnsi="宋体"/>
          <w:b/>
          <w:bCs/>
          <w:sz w:val="24"/>
          <w:szCs w:val="24"/>
          <w:highlight w:val="none"/>
        </w:rPr>
        <w:t>三、评标委员会职责</w:t>
      </w:r>
    </w:p>
    <w:p w14:paraId="325947BD">
      <w:pPr>
        <w:pStyle w:val="12"/>
        <w:spacing w:line="500" w:lineRule="exact"/>
        <w:ind w:firstLine="480" w:firstLineChars="200"/>
        <w:rPr>
          <w:rFonts w:hint="eastAsia" w:ascii="宋体" w:hAnsi="宋体"/>
          <w:sz w:val="24"/>
          <w:szCs w:val="24"/>
          <w:highlight w:val="none"/>
        </w:rPr>
      </w:pPr>
      <w:r>
        <w:rPr>
          <w:rFonts w:hint="eastAsia" w:ascii="宋体" w:hAnsi="宋体"/>
          <w:sz w:val="24"/>
          <w:szCs w:val="24"/>
          <w:highlight w:val="none"/>
        </w:rPr>
        <w:t>评标委员会负责具体评标事务，并独立履行下列职责：</w:t>
      </w:r>
    </w:p>
    <w:p w14:paraId="3FFA81A5">
      <w:pPr>
        <w:pStyle w:val="12"/>
        <w:spacing w:line="500" w:lineRule="exact"/>
        <w:ind w:firstLine="480" w:firstLineChars="200"/>
        <w:rPr>
          <w:rFonts w:hint="eastAsia" w:ascii="宋体" w:hAnsi="宋体"/>
          <w:sz w:val="24"/>
          <w:szCs w:val="24"/>
          <w:highlight w:val="none"/>
        </w:rPr>
      </w:pPr>
      <w:r>
        <w:rPr>
          <w:rFonts w:hint="eastAsia" w:ascii="宋体" w:hAnsi="宋体"/>
          <w:sz w:val="24"/>
          <w:szCs w:val="24"/>
          <w:highlight w:val="none"/>
        </w:rPr>
        <w:t>(一)审查、评价投标文件是否符合招标文件的商务、技术等实质性要求。</w:t>
      </w:r>
    </w:p>
    <w:p w14:paraId="53E2F45B">
      <w:pPr>
        <w:pStyle w:val="12"/>
        <w:spacing w:line="500" w:lineRule="exact"/>
        <w:ind w:firstLine="480" w:firstLineChars="200"/>
        <w:rPr>
          <w:rFonts w:hint="eastAsia" w:ascii="宋体" w:hAnsi="宋体"/>
          <w:sz w:val="24"/>
          <w:szCs w:val="24"/>
          <w:highlight w:val="none"/>
        </w:rPr>
      </w:pPr>
      <w:r>
        <w:rPr>
          <w:rFonts w:hint="eastAsia" w:ascii="宋体" w:hAnsi="宋体"/>
          <w:sz w:val="24"/>
          <w:szCs w:val="24"/>
          <w:highlight w:val="none"/>
        </w:rPr>
        <w:t>(二)要求投标人对投标文件有关事项作出澄清或者说明。</w:t>
      </w:r>
    </w:p>
    <w:p w14:paraId="30C526BB">
      <w:pPr>
        <w:pStyle w:val="12"/>
        <w:spacing w:line="500" w:lineRule="exact"/>
        <w:ind w:firstLine="480" w:firstLineChars="200"/>
        <w:rPr>
          <w:rFonts w:hint="eastAsia" w:ascii="宋体" w:hAnsi="宋体"/>
          <w:sz w:val="24"/>
          <w:szCs w:val="24"/>
          <w:highlight w:val="none"/>
        </w:rPr>
      </w:pPr>
      <w:r>
        <w:rPr>
          <w:rFonts w:hint="eastAsia" w:ascii="宋体" w:hAnsi="宋体"/>
          <w:sz w:val="24"/>
          <w:szCs w:val="24"/>
          <w:highlight w:val="none"/>
        </w:rPr>
        <w:t>(三)对投标文件进行比较和评价。</w:t>
      </w:r>
    </w:p>
    <w:p w14:paraId="4840A9A6">
      <w:pPr>
        <w:pStyle w:val="12"/>
        <w:spacing w:line="500" w:lineRule="exact"/>
        <w:ind w:firstLine="480" w:firstLineChars="200"/>
        <w:rPr>
          <w:rFonts w:hint="eastAsia" w:ascii="宋体" w:hAnsi="宋体"/>
          <w:sz w:val="24"/>
          <w:szCs w:val="24"/>
          <w:highlight w:val="none"/>
        </w:rPr>
      </w:pPr>
      <w:r>
        <w:rPr>
          <w:rFonts w:hint="eastAsia" w:ascii="宋体" w:hAnsi="宋体"/>
          <w:sz w:val="24"/>
          <w:szCs w:val="24"/>
          <w:highlight w:val="none"/>
        </w:rPr>
        <w:t>(四)确定中标候选人名单，以及根据采购人委托直接确定中标人。</w:t>
      </w:r>
    </w:p>
    <w:p w14:paraId="22157639">
      <w:pPr>
        <w:pStyle w:val="12"/>
        <w:spacing w:line="500" w:lineRule="exact"/>
        <w:ind w:firstLine="480" w:firstLineChars="200"/>
        <w:rPr>
          <w:rFonts w:hint="eastAsia" w:ascii="宋体" w:hAnsi="宋体"/>
          <w:sz w:val="24"/>
          <w:szCs w:val="24"/>
          <w:highlight w:val="none"/>
        </w:rPr>
      </w:pPr>
      <w:r>
        <w:rPr>
          <w:rFonts w:hint="eastAsia" w:ascii="宋体" w:hAnsi="宋体"/>
          <w:sz w:val="24"/>
          <w:szCs w:val="24"/>
          <w:highlight w:val="none"/>
        </w:rPr>
        <w:t>(五)向采购人、采购代理机构或者有关部门报告评标中发现的违法行为。</w:t>
      </w:r>
    </w:p>
    <w:p w14:paraId="155B7FEF">
      <w:pPr>
        <w:pStyle w:val="12"/>
        <w:spacing w:line="500" w:lineRule="exact"/>
        <w:ind w:firstLine="482" w:firstLineChars="200"/>
        <w:rPr>
          <w:rFonts w:hint="eastAsia" w:ascii="宋体" w:hAnsi="宋体"/>
          <w:b/>
          <w:bCs/>
          <w:sz w:val="24"/>
          <w:szCs w:val="24"/>
          <w:highlight w:val="none"/>
        </w:rPr>
      </w:pPr>
      <w:r>
        <w:rPr>
          <w:rFonts w:hint="eastAsia" w:ascii="宋体" w:hAnsi="宋体"/>
          <w:b/>
          <w:bCs/>
          <w:sz w:val="24"/>
          <w:szCs w:val="24"/>
          <w:highlight w:val="none"/>
        </w:rPr>
        <w:t>四、评标纪律</w:t>
      </w:r>
    </w:p>
    <w:p w14:paraId="5DA44B3A">
      <w:pPr>
        <w:pStyle w:val="12"/>
        <w:spacing w:line="500" w:lineRule="exact"/>
        <w:ind w:firstLine="480" w:firstLineChars="200"/>
        <w:rPr>
          <w:rFonts w:hint="eastAsia" w:ascii="宋体" w:hAnsi="宋体"/>
          <w:sz w:val="24"/>
          <w:szCs w:val="24"/>
          <w:highlight w:val="none"/>
        </w:rPr>
      </w:pPr>
      <w:r>
        <w:rPr>
          <w:rFonts w:hint="eastAsia" w:ascii="宋体" w:hAnsi="宋体"/>
          <w:sz w:val="24"/>
          <w:szCs w:val="24"/>
          <w:highlight w:val="none"/>
        </w:rPr>
        <w:t>(一)对评标内容和评标过程要严格保密，不得向投标人或与该过程无关的其它人员泄露。</w:t>
      </w:r>
    </w:p>
    <w:p w14:paraId="649AADC2">
      <w:pPr>
        <w:pStyle w:val="12"/>
        <w:spacing w:line="500" w:lineRule="exact"/>
        <w:ind w:firstLine="480" w:firstLineChars="200"/>
        <w:rPr>
          <w:rFonts w:hint="eastAsia" w:ascii="宋体" w:hAnsi="宋体"/>
          <w:sz w:val="24"/>
          <w:szCs w:val="24"/>
          <w:highlight w:val="none"/>
        </w:rPr>
      </w:pPr>
      <w:r>
        <w:rPr>
          <w:rFonts w:hint="eastAsia" w:ascii="宋体" w:hAnsi="宋体"/>
          <w:sz w:val="24"/>
          <w:szCs w:val="24"/>
          <w:highlight w:val="none"/>
        </w:rPr>
        <w:t>(二)评标期间的一切资料，包括评标意见、评标记录和评标结论，一律不得向外传和泄露。</w:t>
      </w:r>
    </w:p>
    <w:p w14:paraId="5A03F194">
      <w:pPr>
        <w:pStyle w:val="12"/>
        <w:spacing w:line="500" w:lineRule="exact"/>
        <w:ind w:firstLine="480" w:firstLineChars="200"/>
        <w:rPr>
          <w:rFonts w:hint="eastAsia" w:ascii="宋体" w:hAnsi="宋体"/>
          <w:sz w:val="24"/>
          <w:szCs w:val="24"/>
          <w:highlight w:val="none"/>
        </w:rPr>
      </w:pPr>
      <w:r>
        <w:rPr>
          <w:rFonts w:hint="eastAsia" w:ascii="宋体" w:hAnsi="宋体"/>
          <w:sz w:val="24"/>
          <w:szCs w:val="24"/>
          <w:highlight w:val="none"/>
        </w:rPr>
        <w:t>(三)任何属于投标文件审查、澄清、评价和比较的资料，不得向投标人或与该过程无关的其它人员泄露。</w:t>
      </w:r>
    </w:p>
    <w:p w14:paraId="0B72AD96">
      <w:pPr>
        <w:pStyle w:val="12"/>
        <w:spacing w:line="500" w:lineRule="exact"/>
        <w:ind w:firstLine="480" w:firstLineChars="200"/>
        <w:rPr>
          <w:rFonts w:hint="eastAsia" w:ascii="宋体" w:hAnsi="宋体"/>
          <w:sz w:val="24"/>
          <w:szCs w:val="24"/>
          <w:highlight w:val="none"/>
        </w:rPr>
      </w:pPr>
      <w:r>
        <w:rPr>
          <w:rFonts w:hint="eastAsia" w:ascii="宋体" w:hAnsi="宋体"/>
          <w:sz w:val="24"/>
          <w:szCs w:val="24"/>
          <w:highlight w:val="none"/>
        </w:rPr>
        <w:t>(四)所有资料(包括招标文件、投标文件、评标表格及各种文字记录)在评标结束后均应分别整理、存档备查，任何人不得复制和保留。</w:t>
      </w:r>
    </w:p>
    <w:p w14:paraId="6409FBCE">
      <w:pPr>
        <w:pStyle w:val="12"/>
        <w:spacing w:line="500" w:lineRule="exact"/>
        <w:ind w:firstLine="480" w:firstLineChars="200"/>
        <w:rPr>
          <w:rFonts w:hint="eastAsia" w:ascii="宋体" w:hAnsi="宋体"/>
          <w:sz w:val="24"/>
          <w:szCs w:val="24"/>
          <w:highlight w:val="none"/>
        </w:rPr>
      </w:pPr>
      <w:r>
        <w:rPr>
          <w:rFonts w:hint="eastAsia" w:ascii="宋体" w:hAnsi="宋体"/>
          <w:sz w:val="24"/>
          <w:szCs w:val="24"/>
          <w:highlight w:val="none"/>
        </w:rPr>
        <w:t>(五)评标期间，未经允许评标委员会以外的任何单位或部门不得参加评标和采访评标工作。</w:t>
      </w:r>
    </w:p>
    <w:p w14:paraId="47DDBF1A">
      <w:pPr>
        <w:pStyle w:val="12"/>
        <w:spacing w:line="500" w:lineRule="exact"/>
        <w:ind w:firstLine="480" w:firstLineChars="200"/>
        <w:rPr>
          <w:rFonts w:hint="eastAsia" w:ascii="宋体" w:hAnsi="宋体"/>
          <w:sz w:val="24"/>
          <w:szCs w:val="24"/>
          <w:highlight w:val="none"/>
        </w:rPr>
      </w:pPr>
      <w:r>
        <w:rPr>
          <w:rFonts w:hint="eastAsia" w:ascii="宋体" w:hAnsi="宋体"/>
          <w:sz w:val="24"/>
          <w:szCs w:val="24"/>
          <w:highlight w:val="none"/>
        </w:rPr>
        <w:t>(六)评标期间，评标人员不得外出，确需外出时应事先请假。</w:t>
      </w:r>
    </w:p>
    <w:p w14:paraId="19CFF61F">
      <w:pPr>
        <w:pStyle w:val="12"/>
        <w:spacing w:line="500" w:lineRule="exact"/>
        <w:ind w:firstLine="480" w:firstLineChars="200"/>
        <w:rPr>
          <w:rFonts w:hint="eastAsia" w:ascii="宋体" w:hAnsi="宋体"/>
          <w:sz w:val="24"/>
          <w:szCs w:val="24"/>
          <w:highlight w:val="none"/>
        </w:rPr>
      </w:pPr>
      <w:r>
        <w:rPr>
          <w:rFonts w:hint="eastAsia" w:ascii="宋体" w:hAnsi="宋体"/>
          <w:sz w:val="24"/>
          <w:szCs w:val="24"/>
          <w:highlight w:val="none"/>
        </w:rPr>
        <w:t>(七)评标期间，所有与会人员均不得私自以任何方式和投标人进行联系，需询问、澄清的问题由评委会统一组织办理。</w:t>
      </w:r>
    </w:p>
    <w:p w14:paraId="088CB697">
      <w:pPr>
        <w:pStyle w:val="12"/>
        <w:spacing w:line="500" w:lineRule="exact"/>
        <w:ind w:firstLine="480" w:firstLineChars="200"/>
        <w:rPr>
          <w:rFonts w:hint="eastAsia" w:ascii="宋体" w:hAnsi="宋体"/>
          <w:sz w:val="24"/>
          <w:szCs w:val="24"/>
          <w:highlight w:val="none"/>
        </w:rPr>
      </w:pPr>
      <w:r>
        <w:rPr>
          <w:rFonts w:hint="eastAsia" w:ascii="宋体" w:hAnsi="宋体"/>
          <w:sz w:val="24"/>
          <w:szCs w:val="24"/>
          <w:highlight w:val="none"/>
        </w:rPr>
        <w:t>(八)评标结束后，与会人员不得向外界透露评标人员的评标意见，如因此造成的后果由责任者承担。</w:t>
      </w:r>
    </w:p>
    <w:p w14:paraId="3C2170D0">
      <w:pPr>
        <w:spacing w:line="500" w:lineRule="exact"/>
        <w:ind w:firstLine="482" w:firstLineChars="200"/>
        <w:rPr>
          <w:rFonts w:hint="eastAsia" w:ascii="宋体" w:hAnsi="宋体"/>
          <w:b/>
          <w:bCs/>
          <w:sz w:val="24"/>
          <w:szCs w:val="24"/>
          <w:highlight w:val="none"/>
        </w:rPr>
      </w:pPr>
      <w:r>
        <w:rPr>
          <w:rFonts w:hint="eastAsia" w:ascii="宋体" w:hAnsi="宋体"/>
          <w:b/>
          <w:bCs/>
          <w:sz w:val="24"/>
          <w:szCs w:val="24"/>
          <w:highlight w:val="none"/>
        </w:rPr>
        <w:t>五、评标原则</w:t>
      </w:r>
    </w:p>
    <w:p w14:paraId="6B6F75BC">
      <w:pPr>
        <w:pStyle w:val="12"/>
        <w:spacing w:line="500" w:lineRule="exact"/>
        <w:ind w:firstLine="480" w:firstLineChars="200"/>
        <w:rPr>
          <w:rFonts w:hint="eastAsia" w:ascii="宋体" w:hAnsi="宋体"/>
          <w:sz w:val="24"/>
          <w:szCs w:val="24"/>
          <w:highlight w:val="none"/>
        </w:rPr>
      </w:pPr>
      <w:r>
        <w:rPr>
          <w:rFonts w:hint="eastAsia" w:ascii="宋体" w:hAnsi="宋体"/>
          <w:sz w:val="24"/>
          <w:szCs w:val="24"/>
          <w:highlight w:val="none"/>
        </w:rPr>
        <w:t>评标将遵循下列原则：</w:t>
      </w:r>
    </w:p>
    <w:p w14:paraId="714D220F">
      <w:pPr>
        <w:pStyle w:val="12"/>
        <w:spacing w:line="500" w:lineRule="exact"/>
        <w:ind w:firstLine="480" w:firstLineChars="200"/>
        <w:rPr>
          <w:rFonts w:hint="eastAsia" w:ascii="宋体" w:hAnsi="宋体"/>
          <w:sz w:val="24"/>
          <w:szCs w:val="24"/>
          <w:highlight w:val="none"/>
        </w:rPr>
      </w:pPr>
      <w:r>
        <w:rPr>
          <w:rFonts w:hint="eastAsia" w:ascii="宋体" w:hAnsi="宋体"/>
          <w:sz w:val="24"/>
          <w:szCs w:val="24"/>
          <w:highlight w:val="none"/>
        </w:rPr>
        <w:t>(一)坚持公平、公正、科学、择优的原则，本着实事求是的精神，不带有任何主观意愿和偏见，认真负责地做好评标工作，公平、公正地对待每一个投标人。</w:t>
      </w:r>
    </w:p>
    <w:p w14:paraId="6E4040D1">
      <w:pPr>
        <w:pStyle w:val="12"/>
        <w:spacing w:line="500" w:lineRule="exact"/>
        <w:ind w:firstLine="480" w:firstLineChars="200"/>
        <w:rPr>
          <w:rFonts w:hint="eastAsia" w:ascii="宋体" w:hAnsi="宋体"/>
          <w:sz w:val="24"/>
          <w:szCs w:val="24"/>
          <w:highlight w:val="none"/>
        </w:rPr>
      </w:pPr>
      <w:r>
        <w:rPr>
          <w:rFonts w:hint="eastAsia" w:ascii="宋体" w:hAnsi="宋体"/>
          <w:sz w:val="24"/>
          <w:szCs w:val="24"/>
          <w:highlight w:val="none"/>
        </w:rPr>
        <w:t>(二)全面分析，综合评审。</w:t>
      </w:r>
    </w:p>
    <w:p w14:paraId="6D210A2B">
      <w:pPr>
        <w:pStyle w:val="12"/>
        <w:spacing w:line="500" w:lineRule="exact"/>
        <w:ind w:firstLine="480" w:firstLineChars="200"/>
        <w:rPr>
          <w:rFonts w:hint="eastAsia" w:ascii="宋体" w:hAnsi="宋体"/>
          <w:sz w:val="24"/>
          <w:szCs w:val="24"/>
          <w:highlight w:val="none"/>
        </w:rPr>
      </w:pPr>
      <w:r>
        <w:rPr>
          <w:rFonts w:hint="eastAsia" w:ascii="宋体" w:hAnsi="宋体"/>
          <w:sz w:val="24"/>
          <w:szCs w:val="24"/>
          <w:highlight w:val="none"/>
        </w:rPr>
        <w:t>(三)评标只对投标人的投标文件进行评审，投标文件以外的资料、信息不应作为评标的依据。</w:t>
      </w:r>
    </w:p>
    <w:p w14:paraId="1CF99245">
      <w:pPr>
        <w:spacing w:line="500" w:lineRule="exact"/>
        <w:ind w:firstLine="482" w:firstLineChars="200"/>
        <w:rPr>
          <w:rFonts w:hint="eastAsia" w:ascii="宋体" w:hAnsi="宋体"/>
          <w:b/>
          <w:bCs/>
          <w:sz w:val="24"/>
          <w:szCs w:val="24"/>
          <w:highlight w:val="none"/>
        </w:rPr>
      </w:pPr>
      <w:r>
        <w:rPr>
          <w:rFonts w:hint="eastAsia" w:ascii="宋体" w:hAnsi="宋体"/>
          <w:b/>
          <w:bCs/>
          <w:sz w:val="24"/>
          <w:szCs w:val="24"/>
          <w:highlight w:val="none"/>
        </w:rPr>
        <w:t>六、评标程序</w:t>
      </w:r>
    </w:p>
    <w:p w14:paraId="2C070E03">
      <w:pPr>
        <w:pStyle w:val="12"/>
        <w:ind w:firstLine="480" w:firstLineChars="200"/>
        <w:rPr>
          <w:rFonts w:hint="eastAsia" w:ascii="宋体" w:hAnsi="宋体"/>
          <w:sz w:val="24"/>
          <w:szCs w:val="24"/>
          <w:highlight w:val="none"/>
        </w:rPr>
      </w:pPr>
      <w:r>
        <w:rPr>
          <w:rFonts w:hint="eastAsia" w:ascii="宋体" w:hAnsi="宋体"/>
          <w:sz w:val="24"/>
          <w:szCs w:val="24"/>
          <w:highlight w:val="none"/>
        </w:rPr>
        <w:t>本次招标所采用的评标方法为《政府采购货物和服务招标投标管理办法》(财政部令第87号)第五十五条规定的“综合评分法”，即：投标文件满足招标文件全部实质性要求，且按照评审因素的量化指标评审得分最高的投标人为中标候选人的评标方法。</w:t>
      </w:r>
    </w:p>
    <w:p w14:paraId="7E811DA7">
      <w:pPr>
        <w:pStyle w:val="12"/>
        <w:spacing w:line="500" w:lineRule="exact"/>
        <w:ind w:firstLine="480" w:firstLineChars="200"/>
        <w:rPr>
          <w:rFonts w:hint="eastAsia" w:ascii="宋体" w:hAnsi="宋体"/>
          <w:color w:val="FF0000"/>
          <w:sz w:val="24"/>
          <w:szCs w:val="24"/>
          <w:highlight w:val="none"/>
        </w:rPr>
      </w:pPr>
      <w:r>
        <w:rPr>
          <w:rFonts w:hint="eastAsia" w:ascii="宋体" w:hAnsi="宋体"/>
          <w:sz w:val="24"/>
          <w:szCs w:val="24"/>
          <w:highlight w:val="none"/>
        </w:rPr>
        <w:t>评标只对通过资格审查的投标文件进行评审。评标按：符合性审查→商务和技术评估、综合比较与评价→得分汇总→评标报告编写的程序进行。</w:t>
      </w:r>
    </w:p>
    <w:p w14:paraId="77E67330">
      <w:pPr>
        <w:spacing w:line="460" w:lineRule="exact"/>
        <w:ind w:firstLine="482" w:firstLineChars="200"/>
        <w:rPr>
          <w:rFonts w:hint="eastAsia" w:ascii="宋体" w:hAnsi="宋体"/>
          <w:b/>
          <w:bCs/>
          <w:sz w:val="24"/>
          <w:szCs w:val="24"/>
          <w:highlight w:val="none"/>
        </w:rPr>
      </w:pPr>
      <w:r>
        <w:rPr>
          <w:rFonts w:hint="eastAsia" w:ascii="宋体" w:hAnsi="宋体"/>
          <w:b/>
          <w:bCs/>
          <w:sz w:val="24"/>
          <w:szCs w:val="24"/>
          <w:highlight w:val="none"/>
        </w:rPr>
        <w:t>(一)符合性审查</w:t>
      </w:r>
    </w:p>
    <w:p w14:paraId="6E98C932">
      <w:pPr>
        <w:pStyle w:val="12"/>
        <w:ind w:firstLine="480" w:firstLineChars="200"/>
        <w:rPr>
          <w:rFonts w:hint="eastAsia" w:ascii="宋体" w:hAnsi="宋体"/>
          <w:color w:val="FF0000"/>
          <w:sz w:val="24"/>
          <w:szCs w:val="24"/>
          <w:highlight w:val="none"/>
        </w:rPr>
      </w:pPr>
      <w:r>
        <w:rPr>
          <w:rFonts w:hint="eastAsia" w:ascii="宋体" w:hAnsi="宋体"/>
          <w:sz w:val="24"/>
          <w:szCs w:val="24"/>
          <w:highlight w:val="none"/>
        </w:rPr>
        <w:t>评标委员会依据符合性评审标准对符合资格的投标人的投标文件进行符合性审查，有一项不符合评审标准的，评标委员会应当否决其投标。</w:t>
      </w:r>
    </w:p>
    <w:p w14:paraId="39EE94F9">
      <w:pPr>
        <w:pStyle w:val="12"/>
        <w:ind w:firstLine="482" w:firstLineChars="200"/>
        <w:rPr>
          <w:rFonts w:hint="eastAsia" w:ascii="宋体" w:hAnsi="宋体" w:cs="宋体"/>
          <w:color w:val="FF0000"/>
          <w:sz w:val="24"/>
          <w:szCs w:val="24"/>
          <w:highlight w:val="none"/>
        </w:rPr>
      </w:pPr>
      <w:r>
        <w:rPr>
          <w:rFonts w:hint="eastAsia" w:ascii="宋体" w:hAnsi="宋体" w:cs="宋体"/>
          <w:b/>
          <w:sz w:val="24"/>
          <w:szCs w:val="24"/>
          <w:highlight w:val="none"/>
        </w:rPr>
        <w:t>1、符合性审查表</w:t>
      </w:r>
    </w:p>
    <w:tbl>
      <w:tblPr>
        <w:tblStyle w:val="27"/>
        <w:tblW w:w="1004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27"/>
        <w:gridCol w:w="2303"/>
        <w:gridCol w:w="5813"/>
      </w:tblGrid>
      <w:tr w14:paraId="245DC0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3" w:hRule="atLeast"/>
        </w:trPr>
        <w:tc>
          <w:tcPr>
            <w:tcW w:w="1927" w:type="dxa"/>
            <w:noWrap w:val="0"/>
            <w:vAlign w:val="top"/>
          </w:tcPr>
          <w:p w14:paraId="196E2ED6">
            <w:pPr>
              <w:pStyle w:val="12"/>
              <w:widowControl w:val="0"/>
              <w:ind w:firstLine="0"/>
              <w:jc w:val="center"/>
              <w:rPr>
                <w:rFonts w:hint="eastAsia" w:ascii="宋体" w:hAnsi="宋体"/>
                <w:b/>
                <w:bCs/>
                <w:sz w:val="24"/>
                <w:szCs w:val="24"/>
                <w:highlight w:val="none"/>
              </w:rPr>
            </w:pPr>
            <w:r>
              <w:rPr>
                <w:rFonts w:hint="eastAsia" w:ascii="宋体" w:hAnsi="宋体" w:eastAsia="Times New Roman"/>
                <w:b/>
                <w:bCs/>
                <w:sz w:val="24"/>
                <w:szCs w:val="24"/>
                <w:highlight w:val="none"/>
              </w:rPr>
              <w:t>审查内容</w:t>
            </w:r>
          </w:p>
        </w:tc>
        <w:tc>
          <w:tcPr>
            <w:tcW w:w="2303" w:type="dxa"/>
            <w:noWrap w:val="0"/>
            <w:vAlign w:val="top"/>
          </w:tcPr>
          <w:p w14:paraId="52EAD073">
            <w:pPr>
              <w:pStyle w:val="12"/>
              <w:widowControl w:val="0"/>
              <w:ind w:firstLine="0"/>
              <w:jc w:val="center"/>
              <w:rPr>
                <w:rFonts w:hint="eastAsia" w:ascii="宋体" w:hAnsi="宋体"/>
                <w:b/>
                <w:bCs/>
                <w:sz w:val="24"/>
                <w:szCs w:val="24"/>
                <w:highlight w:val="none"/>
              </w:rPr>
            </w:pPr>
            <w:r>
              <w:rPr>
                <w:rFonts w:hint="eastAsia" w:ascii="宋体" w:hAnsi="宋体" w:eastAsia="Times New Roman"/>
                <w:b/>
                <w:bCs/>
                <w:sz w:val="24"/>
                <w:szCs w:val="24"/>
                <w:highlight w:val="none"/>
              </w:rPr>
              <w:t>评审因素</w:t>
            </w:r>
          </w:p>
        </w:tc>
        <w:tc>
          <w:tcPr>
            <w:tcW w:w="5813" w:type="dxa"/>
            <w:noWrap w:val="0"/>
            <w:vAlign w:val="top"/>
          </w:tcPr>
          <w:p w14:paraId="132C4576">
            <w:pPr>
              <w:pStyle w:val="12"/>
              <w:widowControl w:val="0"/>
              <w:ind w:firstLine="0"/>
              <w:jc w:val="center"/>
              <w:rPr>
                <w:rFonts w:hint="eastAsia" w:ascii="宋体" w:hAnsi="宋体"/>
                <w:b/>
                <w:bCs/>
                <w:sz w:val="24"/>
                <w:szCs w:val="24"/>
                <w:highlight w:val="none"/>
              </w:rPr>
            </w:pPr>
            <w:r>
              <w:rPr>
                <w:rFonts w:hint="eastAsia" w:ascii="宋体" w:hAnsi="宋体" w:eastAsia="Times New Roman"/>
                <w:b/>
                <w:bCs/>
                <w:sz w:val="24"/>
                <w:szCs w:val="24"/>
                <w:highlight w:val="none"/>
              </w:rPr>
              <w:t>评审标准</w:t>
            </w:r>
          </w:p>
        </w:tc>
      </w:tr>
      <w:tr w14:paraId="21451C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27" w:type="dxa"/>
            <w:vMerge w:val="restart"/>
            <w:noWrap w:val="0"/>
            <w:vAlign w:val="center"/>
          </w:tcPr>
          <w:p w14:paraId="46427BF5">
            <w:pPr>
              <w:pStyle w:val="12"/>
              <w:widowControl w:val="0"/>
              <w:ind w:firstLine="0"/>
              <w:jc w:val="center"/>
              <w:rPr>
                <w:rFonts w:hint="eastAsia" w:ascii="宋体" w:hAnsi="宋体" w:eastAsia="Times New Roman"/>
                <w:sz w:val="24"/>
                <w:szCs w:val="24"/>
                <w:highlight w:val="none"/>
              </w:rPr>
            </w:pPr>
            <w:r>
              <w:rPr>
                <w:rFonts w:hint="eastAsia" w:ascii="宋体" w:hAnsi="宋体" w:eastAsia="宋体" w:cs="宋体"/>
                <w:sz w:val="24"/>
                <w:szCs w:val="24"/>
              </w:rPr>
              <w:t>符合性评审标准</w:t>
            </w:r>
          </w:p>
        </w:tc>
        <w:tc>
          <w:tcPr>
            <w:tcW w:w="2303" w:type="dxa"/>
            <w:noWrap w:val="0"/>
            <w:vAlign w:val="center"/>
          </w:tcPr>
          <w:p w14:paraId="4F759587">
            <w:pPr>
              <w:pStyle w:val="12"/>
              <w:widowControl w:val="0"/>
              <w:ind w:firstLine="0"/>
              <w:jc w:val="center"/>
              <w:rPr>
                <w:rFonts w:hint="eastAsia" w:ascii="宋体" w:hAnsi="宋体" w:eastAsia="Times New Roman"/>
                <w:sz w:val="24"/>
                <w:szCs w:val="24"/>
                <w:highlight w:val="none"/>
              </w:rPr>
            </w:pPr>
            <w:r>
              <w:rPr>
                <w:rFonts w:hint="eastAsia" w:ascii="宋体" w:hAnsi="宋体" w:eastAsia="Times New Roman"/>
                <w:sz w:val="24"/>
                <w:szCs w:val="24"/>
                <w:highlight w:val="none"/>
              </w:rPr>
              <w:t>投标文件格式</w:t>
            </w:r>
          </w:p>
        </w:tc>
        <w:tc>
          <w:tcPr>
            <w:tcW w:w="5813" w:type="dxa"/>
            <w:noWrap w:val="0"/>
            <w:vAlign w:val="top"/>
          </w:tcPr>
          <w:p w14:paraId="36ADB6FC">
            <w:pPr>
              <w:pStyle w:val="12"/>
              <w:widowControl w:val="0"/>
              <w:ind w:firstLine="0"/>
              <w:jc w:val="both"/>
              <w:rPr>
                <w:rFonts w:hint="eastAsia" w:ascii="宋体" w:hAnsi="宋体"/>
                <w:sz w:val="24"/>
                <w:szCs w:val="24"/>
                <w:highlight w:val="none"/>
              </w:rPr>
            </w:pPr>
            <w:r>
              <w:rPr>
                <w:rFonts w:hint="eastAsia" w:ascii="宋体" w:hAnsi="宋体" w:eastAsia="Times New Roman"/>
                <w:sz w:val="24"/>
                <w:highlight w:val="none"/>
              </w:rPr>
              <w:t>投标文件</w:t>
            </w:r>
            <w:r>
              <w:rPr>
                <w:rFonts w:ascii="宋体" w:hAnsi="宋体" w:eastAsia="Times New Roman"/>
                <w:sz w:val="24"/>
                <w:highlight w:val="none"/>
              </w:rPr>
              <w:t>按</w:t>
            </w:r>
            <w:r>
              <w:rPr>
                <w:rFonts w:hint="eastAsia" w:ascii="宋体" w:hAnsi="宋体" w:eastAsia="Times New Roman"/>
                <w:sz w:val="24"/>
                <w:szCs w:val="24"/>
                <w:highlight w:val="none"/>
              </w:rPr>
              <w:t>第七章</w:t>
            </w:r>
            <w:r>
              <w:rPr>
                <w:rFonts w:hint="eastAsia" w:ascii="宋体" w:hAnsi="宋体" w:eastAsia="宋体"/>
                <w:sz w:val="24"/>
                <w:szCs w:val="24"/>
                <w:highlight w:val="none"/>
                <w:lang w:eastAsia="zh-CN"/>
              </w:rPr>
              <w:t>“</w:t>
            </w:r>
            <w:r>
              <w:rPr>
                <w:rFonts w:hint="eastAsia" w:ascii="宋体" w:hAnsi="宋体" w:eastAsia="Times New Roman"/>
                <w:sz w:val="24"/>
                <w:szCs w:val="24"/>
                <w:highlight w:val="none"/>
              </w:rPr>
              <w:t>投标文件格式</w:t>
            </w:r>
            <w:r>
              <w:rPr>
                <w:rFonts w:hint="eastAsia" w:ascii="宋体" w:hAnsi="宋体" w:eastAsia="宋体"/>
                <w:sz w:val="24"/>
                <w:szCs w:val="24"/>
                <w:highlight w:val="none"/>
                <w:lang w:eastAsia="zh-CN"/>
              </w:rPr>
              <w:t>”</w:t>
            </w:r>
            <w:r>
              <w:rPr>
                <w:rFonts w:hint="eastAsia" w:ascii="宋体" w:hAnsi="宋体" w:eastAsia="Times New Roman"/>
                <w:sz w:val="24"/>
                <w:highlight w:val="none"/>
              </w:rPr>
              <w:t>要求</w:t>
            </w:r>
            <w:r>
              <w:rPr>
                <w:rFonts w:ascii="宋体" w:hAnsi="宋体" w:eastAsia="Times New Roman"/>
                <w:sz w:val="24"/>
                <w:highlight w:val="none"/>
              </w:rPr>
              <w:t>填写</w:t>
            </w:r>
            <w:r>
              <w:rPr>
                <w:rFonts w:hint="eastAsia" w:ascii="宋体" w:hAnsi="宋体" w:eastAsia="Times New Roman"/>
                <w:sz w:val="24"/>
                <w:highlight w:val="none"/>
              </w:rPr>
              <w:t>，</w:t>
            </w:r>
            <w:r>
              <w:rPr>
                <w:rFonts w:ascii="宋体" w:hAnsi="宋体" w:eastAsia="Times New Roman"/>
                <w:sz w:val="24"/>
                <w:highlight w:val="none"/>
              </w:rPr>
              <w:t>内容</w:t>
            </w:r>
            <w:r>
              <w:rPr>
                <w:rFonts w:hint="eastAsia" w:ascii="宋体" w:hAnsi="宋体" w:eastAsia="Times New Roman"/>
                <w:sz w:val="24"/>
                <w:highlight w:val="none"/>
              </w:rPr>
              <w:t>完整且</w:t>
            </w:r>
            <w:r>
              <w:rPr>
                <w:rFonts w:ascii="宋体" w:hAnsi="宋体" w:eastAsia="Times New Roman"/>
                <w:sz w:val="24"/>
                <w:highlight w:val="none"/>
              </w:rPr>
              <w:t>关键字迹</w:t>
            </w:r>
            <w:r>
              <w:rPr>
                <w:rFonts w:hint="eastAsia" w:ascii="宋体" w:hAnsi="宋体" w:eastAsia="Times New Roman"/>
                <w:sz w:val="24"/>
                <w:highlight w:val="none"/>
              </w:rPr>
              <w:t>清晰</w:t>
            </w:r>
          </w:p>
        </w:tc>
      </w:tr>
      <w:tr w14:paraId="4EFF3F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27" w:type="dxa"/>
            <w:vMerge w:val="continue"/>
            <w:noWrap w:val="0"/>
            <w:vAlign w:val="top"/>
          </w:tcPr>
          <w:p w14:paraId="7266A368">
            <w:pPr>
              <w:pStyle w:val="12"/>
              <w:widowControl w:val="0"/>
              <w:ind w:firstLine="0"/>
              <w:jc w:val="center"/>
              <w:rPr>
                <w:rFonts w:hint="eastAsia" w:ascii="宋体" w:hAnsi="宋体" w:eastAsia="Times New Roman"/>
                <w:sz w:val="24"/>
                <w:szCs w:val="24"/>
                <w:highlight w:val="none"/>
              </w:rPr>
            </w:pPr>
          </w:p>
        </w:tc>
        <w:tc>
          <w:tcPr>
            <w:tcW w:w="2303" w:type="dxa"/>
            <w:noWrap w:val="0"/>
            <w:vAlign w:val="center"/>
          </w:tcPr>
          <w:p w14:paraId="75BDC395">
            <w:pPr>
              <w:pStyle w:val="12"/>
              <w:widowControl w:val="0"/>
              <w:ind w:firstLine="0"/>
              <w:jc w:val="center"/>
              <w:rPr>
                <w:rFonts w:hint="eastAsia" w:ascii="宋体" w:hAnsi="宋体" w:eastAsia="Times New Roman"/>
                <w:sz w:val="24"/>
                <w:szCs w:val="24"/>
                <w:highlight w:val="none"/>
              </w:rPr>
            </w:pPr>
            <w:r>
              <w:rPr>
                <w:rFonts w:hint="eastAsia" w:ascii="宋体" w:hAnsi="宋体" w:eastAsia="Times New Roman"/>
                <w:sz w:val="24"/>
                <w:szCs w:val="24"/>
                <w:highlight w:val="none"/>
              </w:rPr>
              <w:t>投标文件签署、盖章</w:t>
            </w:r>
          </w:p>
        </w:tc>
        <w:tc>
          <w:tcPr>
            <w:tcW w:w="5813" w:type="dxa"/>
            <w:noWrap w:val="0"/>
            <w:vAlign w:val="top"/>
          </w:tcPr>
          <w:p w14:paraId="29F0600A">
            <w:pPr>
              <w:pStyle w:val="12"/>
              <w:widowControl w:val="0"/>
              <w:ind w:firstLine="0"/>
              <w:jc w:val="both"/>
              <w:rPr>
                <w:rFonts w:hint="eastAsia" w:ascii="宋体" w:hAnsi="宋体" w:eastAsia="Times New Roman"/>
                <w:sz w:val="24"/>
                <w:szCs w:val="24"/>
                <w:highlight w:val="none"/>
              </w:rPr>
            </w:pPr>
            <w:r>
              <w:rPr>
                <w:rFonts w:hint="eastAsia" w:ascii="宋体" w:hAnsi="宋体" w:eastAsia="Times New Roman"/>
                <w:sz w:val="24"/>
                <w:szCs w:val="24"/>
                <w:highlight w:val="none"/>
              </w:rPr>
              <w:t>按第七章</w:t>
            </w:r>
            <w:r>
              <w:rPr>
                <w:rFonts w:hint="eastAsia" w:ascii="宋体" w:hAnsi="宋体" w:eastAsia="宋体"/>
                <w:sz w:val="24"/>
                <w:szCs w:val="24"/>
                <w:highlight w:val="none"/>
                <w:lang w:eastAsia="zh-CN"/>
              </w:rPr>
              <w:t>“</w:t>
            </w:r>
            <w:r>
              <w:rPr>
                <w:rFonts w:hint="eastAsia" w:ascii="宋体" w:hAnsi="宋体" w:eastAsia="Times New Roman"/>
                <w:sz w:val="24"/>
                <w:szCs w:val="24"/>
                <w:highlight w:val="none"/>
              </w:rPr>
              <w:t>投标文件格式</w:t>
            </w:r>
            <w:r>
              <w:rPr>
                <w:rFonts w:hint="eastAsia" w:ascii="宋体" w:hAnsi="宋体" w:eastAsia="宋体"/>
                <w:sz w:val="24"/>
                <w:szCs w:val="24"/>
                <w:highlight w:val="none"/>
                <w:lang w:eastAsia="zh-CN"/>
              </w:rPr>
              <w:t>”</w:t>
            </w:r>
            <w:r>
              <w:rPr>
                <w:rFonts w:hint="eastAsia" w:ascii="宋体" w:hAnsi="宋体" w:eastAsia="Times New Roman"/>
                <w:sz w:val="24"/>
                <w:highlight w:val="none"/>
              </w:rPr>
              <w:t>要求在规定位置</w:t>
            </w:r>
            <w:r>
              <w:rPr>
                <w:rFonts w:hint="eastAsia" w:ascii="宋体" w:hAnsi="宋体"/>
                <w:sz w:val="24"/>
                <w:highlight w:val="none"/>
              </w:rPr>
              <w:t>盖电子签章</w:t>
            </w:r>
            <w:r>
              <w:rPr>
                <w:rFonts w:hint="eastAsia" w:ascii="宋体" w:hAnsi="宋体"/>
                <w:sz w:val="24"/>
                <w:szCs w:val="24"/>
                <w:highlight w:val="none"/>
              </w:rPr>
              <w:t>、签字</w:t>
            </w:r>
          </w:p>
        </w:tc>
      </w:tr>
      <w:tr w14:paraId="51D424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0" w:hRule="atLeast"/>
        </w:trPr>
        <w:tc>
          <w:tcPr>
            <w:tcW w:w="1927" w:type="dxa"/>
            <w:vMerge w:val="continue"/>
            <w:noWrap w:val="0"/>
            <w:vAlign w:val="top"/>
          </w:tcPr>
          <w:p w14:paraId="0DA3A7D1">
            <w:pPr>
              <w:pStyle w:val="12"/>
              <w:widowControl w:val="0"/>
              <w:ind w:firstLine="0"/>
              <w:jc w:val="both"/>
              <w:rPr>
                <w:rFonts w:hint="eastAsia" w:ascii="宋体" w:hAnsi="宋体" w:eastAsia="Times New Roman"/>
                <w:sz w:val="24"/>
                <w:szCs w:val="24"/>
                <w:highlight w:val="none"/>
              </w:rPr>
            </w:pPr>
          </w:p>
        </w:tc>
        <w:tc>
          <w:tcPr>
            <w:tcW w:w="2303" w:type="dxa"/>
            <w:noWrap w:val="0"/>
            <w:vAlign w:val="center"/>
          </w:tcPr>
          <w:p w14:paraId="2D0CEF19">
            <w:pPr>
              <w:pStyle w:val="12"/>
              <w:widowControl w:val="0"/>
              <w:ind w:firstLine="0"/>
              <w:jc w:val="center"/>
              <w:rPr>
                <w:rFonts w:hint="eastAsia" w:ascii="宋体" w:hAnsi="宋体"/>
                <w:sz w:val="24"/>
                <w:szCs w:val="24"/>
                <w:highlight w:val="none"/>
              </w:rPr>
            </w:pPr>
            <w:r>
              <w:rPr>
                <w:rFonts w:hint="eastAsia" w:ascii="宋体" w:hAnsi="宋体" w:eastAsia="Times New Roman"/>
                <w:sz w:val="24"/>
                <w:szCs w:val="24"/>
                <w:highlight w:val="none"/>
              </w:rPr>
              <w:t>投标保证金</w:t>
            </w:r>
          </w:p>
        </w:tc>
        <w:tc>
          <w:tcPr>
            <w:tcW w:w="5813" w:type="dxa"/>
            <w:noWrap w:val="0"/>
            <w:vAlign w:val="top"/>
          </w:tcPr>
          <w:p w14:paraId="04DFB41B">
            <w:pPr>
              <w:pStyle w:val="12"/>
              <w:widowControl w:val="0"/>
              <w:ind w:firstLine="0"/>
              <w:jc w:val="both"/>
              <w:rPr>
                <w:rFonts w:hint="eastAsia" w:ascii="宋体" w:hAnsi="宋体"/>
                <w:sz w:val="24"/>
                <w:szCs w:val="24"/>
                <w:highlight w:val="none"/>
              </w:rPr>
            </w:pPr>
            <w:r>
              <w:rPr>
                <w:rFonts w:hint="eastAsia" w:ascii="宋体" w:hAnsi="宋体" w:eastAsia="Times New Roman"/>
                <w:sz w:val="24"/>
                <w:szCs w:val="24"/>
                <w:highlight w:val="none"/>
              </w:rPr>
              <w:t>符合第二章</w:t>
            </w:r>
            <w:r>
              <w:rPr>
                <w:rFonts w:hint="eastAsia" w:ascii="宋体" w:hAnsi="宋体" w:eastAsia="宋体"/>
                <w:sz w:val="24"/>
                <w:szCs w:val="24"/>
                <w:highlight w:val="none"/>
                <w:lang w:eastAsia="zh-CN"/>
              </w:rPr>
              <w:t>“</w:t>
            </w:r>
            <w:r>
              <w:rPr>
                <w:rFonts w:hint="eastAsia" w:ascii="宋体" w:hAnsi="宋体" w:eastAsia="Times New Roman"/>
                <w:sz w:val="24"/>
                <w:szCs w:val="24"/>
                <w:highlight w:val="none"/>
              </w:rPr>
              <w:t>投标人须知前附表</w:t>
            </w:r>
            <w:r>
              <w:rPr>
                <w:rFonts w:hint="eastAsia" w:ascii="宋体" w:hAnsi="宋体" w:eastAsia="宋体"/>
                <w:sz w:val="24"/>
                <w:szCs w:val="24"/>
                <w:highlight w:val="none"/>
                <w:lang w:eastAsia="zh-CN"/>
              </w:rPr>
              <w:t>”</w:t>
            </w:r>
            <w:r>
              <w:rPr>
                <w:rFonts w:hint="eastAsia" w:ascii="宋体" w:hAnsi="宋体" w:eastAsia="Times New Roman"/>
                <w:sz w:val="24"/>
                <w:szCs w:val="24"/>
                <w:highlight w:val="none"/>
              </w:rPr>
              <w:t>第3.4.1款规定</w:t>
            </w:r>
          </w:p>
        </w:tc>
      </w:tr>
      <w:tr w14:paraId="54BF4B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27" w:type="dxa"/>
            <w:vMerge w:val="continue"/>
            <w:noWrap w:val="0"/>
            <w:vAlign w:val="top"/>
          </w:tcPr>
          <w:p w14:paraId="3273413F">
            <w:pPr>
              <w:pStyle w:val="12"/>
              <w:widowControl w:val="0"/>
              <w:jc w:val="both"/>
              <w:rPr>
                <w:rFonts w:hint="eastAsia" w:ascii="宋体" w:hAnsi="宋体" w:eastAsia="Times New Roman"/>
                <w:sz w:val="24"/>
                <w:szCs w:val="24"/>
                <w:highlight w:val="none"/>
              </w:rPr>
            </w:pPr>
          </w:p>
        </w:tc>
        <w:tc>
          <w:tcPr>
            <w:tcW w:w="2303" w:type="dxa"/>
            <w:noWrap w:val="0"/>
            <w:vAlign w:val="center"/>
          </w:tcPr>
          <w:p w14:paraId="7AF166DC">
            <w:pPr>
              <w:pStyle w:val="12"/>
              <w:widowControl w:val="0"/>
              <w:ind w:firstLine="0"/>
              <w:jc w:val="center"/>
              <w:rPr>
                <w:rFonts w:hint="eastAsia" w:ascii="宋体" w:hAnsi="宋体"/>
                <w:sz w:val="24"/>
                <w:szCs w:val="24"/>
                <w:highlight w:val="none"/>
              </w:rPr>
            </w:pPr>
            <w:r>
              <w:rPr>
                <w:rFonts w:hint="eastAsia" w:ascii="宋体" w:hAnsi="宋体" w:eastAsia="Times New Roman"/>
                <w:sz w:val="24"/>
                <w:szCs w:val="24"/>
                <w:highlight w:val="none"/>
              </w:rPr>
              <w:t>投标报价</w:t>
            </w:r>
          </w:p>
        </w:tc>
        <w:tc>
          <w:tcPr>
            <w:tcW w:w="5813" w:type="dxa"/>
            <w:noWrap w:val="0"/>
            <w:vAlign w:val="top"/>
          </w:tcPr>
          <w:p w14:paraId="67777911">
            <w:pPr>
              <w:pStyle w:val="12"/>
              <w:widowControl w:val="0"/>
              <w:ind w:firstLine="0"/>
              <w:jc w:val="both"/>
              <w:rPr>
                <w:rFonts w:hint="eastAsia" w:ascii="宋体" w:hAnsi="宋体"/>
                <w:sz w:val="24"/>
                <w:szCs w:val="24"/>
                <w:highlight w:val="none"/>
              </w:rPr>
            </w:pPr>
            <w:r>
              <w:rPr>
                <w:rFonts w:hint="eastAsia" w:ascii="宋体" w:hAnsi="宋体" w:eastAsia="Times New Roman"/>
                <w:sz w:val="24"/>
                <w:szCs w:val="24"/>
                <w:highlight w:val="none"/>
              </w:rPr>
              <w:t>符合第二章</w:t>
            </w:r>
            <w:r>
              <w:rPr>
                <w:rFonts w:hint="eastAsia" w:ascii="宋体" w:hAnsi="宋体" w:eastAsia="宋体"/>
                <w:sz w:val="24"/>
                <w:szCs w:val="24"/>
                <w:highlight w:val="none"/>
                <w:lang w:eastAsia="zh-CN"/>
              </w:rPr>
              <w:t>“</w:t>
            </w:r>
            <w:r>
              <w:rPr>
                <w:rFonts w:hint="eastAsia" w:ascii="宋体" w:hAnsi="宋体" w:eastAsia="Times New Roman"/>
                <w:sz w:val="24"/>
                <w:szCs w:val="24"/>
                <w:highlight w:val="none"/>
              </w:rPr>
              <w:t>投标人须知</w:t>
            </w:r>
            <w:r>
              <w:rPr>
                <w:rFonts w:hint="eastAsia" w:ascii="宋体" w:hAnsi="宋体" w:eastAsia="宋体"/>
                <w:sz w:val="24"/>
                <w:szCs w:val="24"/>
                <w:highlight w:val="none"/>
                <w:lang w:eastAsia="zh-CN"/>
              </w:rPr>
              <w:t>”</w:t>
            </w:r>
            <w:r>
              <w:rPr>
                <w:rFonts w:hint="eastAsia" w:ascii="宋体" w:hAnsi="宋体" w:eastAsia="Times New Roman"/>
                <w:sz w:val="24"/>
                <w:szCs w:val="24"/>
                <w:highlight w:val="none"/>
              </w:rPr>
              <w:t>第3.2项规定和第二章</w:t>
            </w:r>
            <w:r>
              <w:rPr>
                <w:rFonts w:hint="eastAsia" w:ascii="宋体" w:hAnsi="宋体" w:eastAsia="宋体"/>
                <w:sz w:val="24"/>
                <w:szCs w:val="24"/>
                <w:highlight w:val="none"/>
                <w:lang w:eastAsia="zh-CN"/>
              </w:rPr>
              <w:t>“</w:t>
            </w:r>
            <w:r>
              <w:rPr>
                <w:rFonts w:hint="eastAsia" w:ascii="宋体" w:hAnsi="宋体" w:eastAsia="Times New Roman"/>
                <w:sz w:val="24"/>
                <w:szCs w:val="24"/>
                <w:highlight w:val="none"/>
              </w:rPr>
              <w:t>投标人须知前附表</w:t>
            </w:r>
            <w:r>
              <w:rPr>
                <w:rFonts w:hint="eastAsia" w:ascii="宋体" w:hAnsi="宋体" w:eastAsia="宋体"/>
                <w:sz w:val="24"/>
                <w:szCs w:val="24"/>
                <w:highlight w:val="none"/>
                <w:lang w:eastAsia="zh-CN"/>
              </w:rPr>
              <w:t>”</w:t>
            </w:r>
            <w:r>
              <w:rPr>
                <w:rFonts w:hint="eastAsia" w:ascii="宋体" w:hAnsi="宋体" w:eastAsia="Times New Roman"/>
                <w:sz w:val="24"/>
                <w:szCs w:val="24"/>
                <w:highlight w:val="none"/>
              </w:rPr>
              <w:t>第3.2.4款规定</w:t>
            </w:r>
          </w:p>
        </w:tc>
      </w:tr>
      <w:tr w14:paraId="39E196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4" w:hRule="atLeast"/>
        </w:trPr>
        <w:tc>
          <w:tcPr>
            <w:tcW w:w="1927" w:type="dxa"/>
            <w:vMerge w:val="continue"/>
            <w:noWrap w:val="0"/>
            <w:vAlign w:val="top"/>
          </w:tcPr>
          <w:p w14:paraId="1F810A1F">
            <w:pPr>
              <w:pStyle w:val="12"/>
              <w:widowControl w:val="0"/>
              <w:jc w:val="both"/>
              <w:rPr>
                <w:rFonts w:hint="eastAsia" w:ascii="宋体" w:hAnsi="宋体" w:eastAsia="Times New Roman"/>
                <w:sz w:val="24"/>
                <w:szCs w:val="24"/>
                <w:highlight w:val="none"/>
              </w:rPr>
            </w:pPr>
          </w:p>
        </w:tc>
        <w:tc>
          <w:tcPr>
            <w:tcW w:w="2303" w:type="dxa"/>
            <w:noWrap w:val="0"/>
            <w:vAlign w:val="center"/>
          </w:tcPr>
          <w:p w14:paraId="60CBEA0E">
            <w:pPr>
              <w:pStyle w:val="12"/>
              <w:widowControl w:val="0"/>
              <w:ind w:firstLine="0"/>
              <w:jc w:val="center"/>
              <w:rPr>
                <w:rFonts w:hint="eastAsia" w:ascii="宋体" w:hAnsi="宋体"/>
                <w:sz w:val="24"/>
                <w:szCs w:val="24"/>
                <w:highlight w:val="none"/>
              </w:rPr>
            </w:pPr>
            <w:r>
              <w:rPr>
                <w:rFonts w:hint="eastAsia" w:ascii="宋体" w:hAnsi="宋体" w:eastAsia="Times New Roman"/>
                <w:sz w:val="24"/>
                <w:szCs w:val="24"/>
                <w:highlight w:val="none"/>
              </w:rPr>
              <w:t>投标有效期</w:t>
            </w:r>
          </w:p>
        </w:tc>
        <w:tc>
          <w:tcPr>
            <w:tcW w:w="5813" w:type="dxa"/>
            <w:noWrap w:val="0"/>
            <w:vAlign w:val="top"/>
          </w:tcPr>
          <w:p w14:paraId="6713CDC0">
            <w:pPr>
              <w:pStyle w:val="12"/>
              <w:widowControl w:val="0"/>
              <w:ind w:firstLine="0"/>
              <w:jc w:val="both"/>
              <w:rPr>
                <w:rFonts w:hint="eastAsia" w:ascii="宋体" w:hAnsi="宋体"/>
                <w:sz w:val="24"/>
                <w:szCs w:val="24"/>
                <w:highlight w:val="none"/>
              </w:rPr>
            </w:pPr>
            <w:r>
              <w:rPr>
                <w:rFonts w:hint="eastAsia" w:ascii="宋体" w:hAnsi="宋体" w:eastAsia="Times New Roman"/>
                <w:sz w:val="24"/>
                <w:szCs w:val="24"/>
                <w:highlight w:val="none"/>
              </w:rPr>
              <w:t>符合第二章</w:t>
            </w:r>
            <w:r>
              <w:rPr>
                <w:rFonts w:hint="eastAsia" w:ascii="宋体" w:hAnsi="宋体" w:eastAsia="宋体"/>
                <w:sz w:val="24"/>
                <w:szCs w:val="24"/>
                <w:highlight w:val="none"/>
                <w:lang w:eastAsia="zh-CN"/>
              </w:rPr>
              <w:t>“</w:t>
            </w:r>
            <w:r>
              <w:rPr>
                <w:rFonts w:hint="eastAsia" w:ascii="宋体" w:hAnsi="宋体" w:eastAsia="Times New Roman"/>
                <w:sz w:val="24"/>
                <w:szCs w:val="24"/>
                <w:highlight w:val="none"/>
              </w:rPr>
              <w:t>投标人须知前附表</w:t>
            </w:r>
            <w:r>
              <w:rPr>
                <w:rFonts w:hint="eastAsia" w:ascii="宋体" w:hAnsi="宋体" w:eastAsia="宋体"/>
                <w:sz w:val="24"/>
                <w:szCs w:val="24"/>
                <w:highlight w:val="none"/>
                <w:lang w:eastAsia="zh-CN"/>
              </w:rPr>
              <w:t>”</w:t>
            </w:r>
            <w:r>
              <w:rPr>
                <w:rFonts w:hint="eastAsia" w:ascii="宋体" w:hAnsi="宋体" w:eastAsia="Times New Roman"/>
                <w:sz w:val="24"/>
                <w:szCs w:val="24"/>
                <w:highlight w:val="none"/>
              </w:rPr>
              <w:t>第3.3.1款规定</w:t>
            </w:r>
          </w:p>
        </w:tc>
      </w:tr>
      <w:tr w14:paraId="6DF14D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1927" w:type="dxa"/>
            <w:vMerge w:val="continue"/>
            <w:noWrap w:val="0"/>
            <w:vAlign w:val="top"/>
          </w:tcPr>
          <w:p w14:paraId="6F406E82">
            <w:pPr>
              <w:pStyle w:val="12"/>
              <w:widowControl w:val="0"/>
              <w:jc w:val="both"/>
              <w:rPr>
                <w:rFonts w:hint="eastAsia" w:ascii="宋体" w:hAnsi="宋体" w:eastAsia="Times New Roman"/>
                <w:sz w:val="24"/>
                <w:szCs w:val="24"/>
                <w:highlight w:val="none"/>
              </w:rPr>
            </w:pPr>
          </w:p>
        </w:tc>
        <w:tc>
          <w:tcPr>
            <w:tcW w:w="2303" w:type="dxa"/>
            <w:noWrap w:val="0"/>
            <w:vAlign w:val="top"/>
          </w:tcPr>
          <w:p w14:paraId="1EEC0F80">
            <w:pPr>
              <w:pStyle w:val="12"/>
              <w:widowControl w:val="0"/>
              <w:ind w:firstLine="0"/>
              <w:jc w:val="center"/>
              <w:rPr>
                <w:rFonts w:hint="eastAsia" w:ascii="宋体" w:hAnsi="宋体"/>
                <w:sz w:val="24"/>
                <w:szCs w:val="24"/>
                <w:highlight w:val="none"/>
              </w:rPr>
            </w:pPr>
            <w:r>
              <w:rPr>
                <w:rFonts w:hint="eastAsia" w:ascii="宋体" w:hAnsi="宋体" w:eastAsia="Times New Roman"/>
                <w:sz w:val="24"/>
                <w:szCs w:val="24"/>
                <w:highlight w:val="none"/>
              </w:rPr>
              <w:t>交货期、质保期</w:t>
            </w:r>
          </w:p>
        </w:tc>
        <w:tc>
          <w:tcPr>
            <w:tcW w:w="5813" w:type="dxa"/>
            <w:noWrap w:val="0"/>
            <w:vAlign w:val="top"/>
          </w:tcPr>
          <w:p w14:paraId="44533702">
            <w:pPr>
              <w:pStyle w:val="12"/>
              <w:widowControl w:val="0"/>
              <w:ind w:firstLine="0"/>
              <w:jc w:val="both"/>
              <w:rPr>
                <w:rFonts w:hint="eastAsia" w:ascii="宋体" w:hAnsi="宋体"/>
                <w:sz w:val="24"/>
                <w:szCs w:val="24"/>
                <w:highlight w:val="none"/>
              </w:rPr>
            </w:pPr>
            <w:r>
              <w:rPr>
                <w:rFonts w:hint="eastAsia" w:ascii="宋体" w:hAnsi="宋体" w:eastAsia="Times New Roman"/>
                <w:sz w:val="24"/>
                <w:szCs w:val="24"/>
                <w:highlight w:val="none"/>
              </w:rPr>
              <w:t>符合第二章</w:t>
            </w:r>
            <w:r>
              <w:rPr>
                <w:rFonts w:hint="eastAsia" w:ascii="宋体" w:hAnsi="宋体" w:eastAsia="宋体"/>
                <w:sz w:val="24"/>
                <w:szCs w:val="24"/>
                <w:highlight w:val="none"/>
                <w:lang w:eastAsia="zh-CN"/>
              </w:rPr>
              <w:t>“</w:t>
            </w:r>
            <w:r>
              <w:rPr>
                <w:rFonts w:hint="eastAsia" w:ascii="宋体" w:hAnsi="宋体" w:eastAsia="Times New Roman"/>
                <w:sz w:val="24"/>
                <w:szCs w:val="24"/>
                <w:highlight w:val="none"/>
              </w:rPr>
              <w:t>投标人须知前附表</w:t>
            </w:r>
            <w:r>
              <w:rPr>
                <w:rFonts w:hint="eastAsia" w:ascii="宋体" w:hAnsi="宋体" w:eastAsia="宋体"/>
                <w:sz w:val="24"/>
                <w:szCs w:val="24"/>
                <w:highlight w:val="none"/>
                <w:lang w:eastAsia="zh-CN"/>
              </w:rPr>
              <w:t>”</w:t>
            </w:r>
            <w:r>
              <w:rPr>
                <w:rFonts w:hint="eastAsia" w:ascii="宋体" w:hAnsi="宋体" w:eastAsia="Times New Roman"/>
                <w:sz w:val="24"/>
                <w:szCs w:val="24"/>
                <w:highlight w:val="none"/>
              </w:rPr>
              <w:t>第1.3.2款规定</w:t>
            </w:r>
          </w:p>
        </w:tc>
      </w:tr>
      <w:tr w14:paraId="7AA5B8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0" w:hRule="atLeast"/>
        </w:trPr>
        <w:tc>
          <w:tcPr>
            <w:tcW w:w="1927" w:type="dxa"/>
            <w:vMerge w:val="continue"/>
            <w:noWrap w:val="0"/>
            <w:vAlign w:val="top"/>
          </w:tcPr>
          <w:p w14:paraId="04C4F830">
            <w:pPr>
              <w:pStyle w:val="12"/>
              <w:widowControl w:val="0"/>
              <w:jc w:val="both"/>
              <w:rPr>
                <w:rFonts w:hint="eastAsia" w:ascii="宋体" w:hAnsi="宋体" w:eastAsia="Times New Roman"/>
                <w:sz w:val="24"/>
                <w:szCs w:val="24"/>
                <w:highlight w:val="none"/>
              </w:rPr>
            </w:pPr>
          </w:p>
        </w:tc>
        <w:tc>
          <w:tcPr>
            <w:tcW w:w="2303" w:type="dxa"/>
            <w:noWrap w:val="0"/>
            <w:vAlign w:val="top"/>
          </w:tcPr>
          <w:p w14:paraId="654B4D1A">
            <w:pPr>
              <w:pStyle w:val="12"/>
              <w:widowControl w:val="0"/>
              <w:ind w:firstLine="0"/>
              <w:jc w:val="center"/>
              <w:rPr>
                <w:rFonts w:hint="eastAsia" w:ascii="宋体" w:hAnsi="宋体"/>
                <w:sz w:val="24"/>
                <w:szCs w:val="24"/>
                <w:highlight w:val="none"/>
              </w:rPr>
            </w:pPr>
            <w:r>
              <w:rPr>
                <w:rFonts w:hint="eastAsia" w:ascii="宋体" w:hAnsi="宋体" w:eastAsia="Times New Roman"/>
                <w:sz w:val="24"/>
                <w:szCs w:val="24"/>
                <w:highlight w:val="none"/>
              </w:rPr>
              <w:t>交货地点</w:t>
            </w:r>
            <w:r>
              <w:rPr>
                <w:rFonts w:hint="eastAsia" w:ascii="宋体" w:hAnsi="宋体"/>
                <w:sz w:val="24"/>
                <w:szCs w:val="24"/>
                <w:highlight w:val="none"/>
              </w:rPr>
              <w:t>、交货方式</w:t>
            </w:r>
          </w:p>
        </w:tc>
        <w:tc>
          <w:tcPr>
            <w:tcW w:w="5813" w:type="dxa"/>
            <w:noWrap w:val="0"/>
            <w:vAlign w:val="top"/>
          </w:tcPr>
          <w:p w14:paraId="1F6D69EB">
            <w:pPr>
              <w:pStyle w:val="12"/>
              <w:widowControl w:val="0"/>
              <w:ind w:firstLine="0"/>
              <w:jc w:val="both"/>
              <w:rPr>
                <w:rFonts w:hint="eastAsia" w:ascii="宋体" w:hAnsi="宋体" w:eastAsia="Times New Roman"/>
                <w:sz w:val="24"/>
                <w:szCs w:val="24"/>
                <w:highlight w:val="none"/>
              </w:rPr>
            </w:pPr>
            <w:r>
              <w:rPr>
                <w:rFonts w:hint="eastAsia" w:ascii="宋体" w:hAnsi="宋体" w:eastAsia="Times New Roman"/>
                <w:sz w:val="24"/>
                <w:szCs w:val="24"/>
                <w:highlight w:val="none"/>
              </w:rPr>
              <w:t>符合第二章</w:t>
            </w:r>
            <w:r>
              <w:rPr>
                <w:rFonts w:hint="eastAsia" w:ascii="宋体" w:hAnsi="宋体" w:eastAsia="宋体"/>
                <w:sz w:val="24"/>
                <w:szCs w:val="24"/>
                <w:highlight w:val="none"/>
                <w:lang w:eastAsia="zh-CN"/>
              </w:rPr>
              <w:t>“</w:t>
            </w:r>
            <w:r>
              <w:rPr>
                <w:rFonts w:hint="eastAsia" w:ascii="宋体" w:hAnsi="宋体" w:eastAsia="Times New Roman"/>
                <w:sz w:val="24"/>
                <w:szCs w:val="24"/>
                <w:highlight w:val="none"/>
              </w:rPr>
              <w:t>投标人须知前附表</w:t>
            </w:r>
            <w:r>
              <w:rPr>
                <w:rFonts w:hint="eastAsia" w:ascii="宋体" w:hAnsi="宋体" w:eastAsia="宋体"/>
                <w:sz w:val="24"/>
                <w:szCs w:val="24"/>
                <w:highlight w:val="none"/>
                <w:lang w:eastAsia="zh-CN"/>
              </w:rPr>
              <w:t>”</w:t>
            </w:r>
            <w:r>
              <w:rPr>
                <w:rFonts w:hint="eastAsia" w:ascii="宋体" w:hAnsi="宋体" w:eastAsia="Times New Roman"/>
                <w:sz w:val="24"/>
                <w:szCs w:val="24"/>
                <w:highlight w:val="none"/>
              </w:rPr>
              <w:t>第1.3.3款规定</w:t>
            </w:r>
          </w:p>
        </w:tc>
      </w:tr>
      <w:tr w14:paraId="6446F6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4" w:hRule="atLeast"/>
        </w:trPr>
        <w:tc>
          <w:tcPr>
            <w:tcW w:w="1927" w:type="dxa"/>
            <w:vMerge w:val="continue"/>
            <w:noWrap w:val="0"/>
            <w:vAlign w:val="top"/>
          </w:tcPr>
          <w:p w14:paraId="65C6D1D8">
            <w:pPr>
              <w:pStyle w:val="12"/>
              <w:widowControl w:val="0"/>
              <w:jc w:val="both"/>
              <w:rPr>
                <w:rFonts w:hint="eastAsia" w:ascii="宋体" w:hAnsi="宋体" w:eastAsia="Times New Roman"/>
                <w:sz w:val="24"/>
                <w:szCs w:val="24"/>
                <w:highlight w:val="none"/>
              </w:rPr>
            </w:pPr>
          </w:p>
        </w:tc>
        <w:tc>
          <w:tcPr>
            <w:tcW w:w="2303" w:type="dxa"/>
            <w:noWrap w:val="0"/>
            <w:vAlign w:val="center"/>
          </w:tcPr>
          <w:p w14:paraId="34B87F9F">
            <w:pPr>
              <w:pStyle w:val="12"/>
              <w:widowControl w:val="0"/>
              <w:ind w:firstLine="0"/>
              <w:jc w:val="center"/>
              <w:rPr>
                <w:rFonts w:hint="eastAsia" w:ascii="宋体" w:hAnsi="宋体" w:eastAsia="Times New Roman"/>
                <w:sz w:val="24"/>
                <w:szCs w:val="24"/>
                <w:highlight w:val="none"/>
              </w:rPr>
            </w:pPr>
            <w:r>
              <w:rPr>
                <w:rFonts w:hint="eastAsia" w:ascii="宋体" w:hAnsi="宋体" w:eastAsia="Times New Roman"/>
                <w:sz w:val="24"/>
                <w:highlight w:val="none"/>
              </w:rPr>
              <w:t>投标内容</w:t>
            </w:r>
          </w:p>
        </w:tc>
        <w:tc>
          <w:tcPr>
            <w:tcW w:w="5813" w:type="dxa"/>
            <w:noWrap w:val="0"/>
            <w:vAlign w:val="center"/>
          </w:tcPr>
          <w:p w14:paraId="1E952FEF">
            <w:pPr>
              <w:pStyle w:val="12"/>
              <w:widowControl w:val="0"/>
              <w:ind w:firstLine="0"/>
              <w:jc w:val="left"/>
              <w:rPr>
                <w:rFonts w:hint="default" w:ascii="宋体" w:hAnsi="宋体" w:eastAsia="宋体"/>
                <w:sz w:val="24"/>
                <w:szCs w:val="24"/>
                <w:highlight w:val="none"/>
                <w:lang w:val="en-US" w:eastAsia="zh-CN"/>
              </w:rPr>
            </w:pPr>
            <w:r>
              <w:rPr>
                <w:rFonts w:hint="eastAsia" w:ascii="宋体" w:hAnsi="宋体" w:eastAsia="Times New Roman"/>
                <w:sz w:val="24"/>
                <w:highlight w:val="none"/>
              </w:rPr>
              <w:t>投标人提供的货物无实质性遗漏</w:t>
            </w:r>
          </w:p>
        </w:tc>
      </w:tr>
      <w:tr w14:paraId="75A996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27" w:type="dxa"/>
            <w:vMerge w:val="continue"/>
            <w:noWrap w:val="0"/>
            <w:vAlign w:val="top"/>
          </w:tcPr>
          <w:p w14:paraId="7F908035">
            <w:pPr>
              <w:pStyle w:val="12"/>
              <w:widowControl w:val="0"/>
              <w:jc w:val="both"/>
              <w:rPr>
                <w:rFonts w:hint="eastAsia" w:ascii="宋体" w:hAnsi="宋体" w:eastAsia="Times New Roman"/>
                <w:sz w:val="24"/>
                <w:szCs w:val="24"/>
                <w:highlight w:val="none"/>
              </w:rPr>
            </w:pPr>
          </w:p>
        </w:tc>
        <w:tc>
          <w:tcPr>
            <w:tcW w:w="2303" w:type="dxa"/>
            <w:noWrap w:val="0"/>
            <w:vAlign w:val="center"/>
          </w:tcPr>
          <w:p w14:paraId="342B3659">
            <w:pPr>
              <w:pStyle w:val="12"/>
              <w:widowControl w:val="0"/>
              <w:ind w:firstLine="0"/>
              <w:jc w:val="center"/>
              <w:rPr>
                <w:rFonts w:hint="eastAsia" w:ascii="宋体" w:hAnsi="宋体" w:eastAsia="Times New Roman"/>
                <w:sz w:val="24"/>
                <w:szCs w:val="24"/>
                <w:highlight w:val="none"/>
              </w:rPr>
            </w:pPr>
            <w:r>
              <w:rPr>
                <w:rFonts w:hint="eastAsia" w:ascii="宋体" w:hAnsi="宋体" w:eastAsia="Times New Roman"/>
                <w:sz w:val="24"/>
                <w:szCs w:val="24"/>
                <w:highlight w:val="none"/>
              </w:rPr>
              <w:t>法定代表人授权委托书</w:t>
            </w:r>
          </w:p>
        </w:tc>
        <w:tc>
          <w:tcPr>
            <w:tcW w:w="5813" w:type="dxa"/>
            <w:noWrap w:val="0"/>
            <w:vAlign w:val="center"/>
          </w:tcPr>
          <w:p w14:paraId="2A9838B7">
            <w:pPr>
              <w:pStyle w:val="12"/>
              <w:widowControl w:val="0"/>
              <w:ind w:firstLine="0"/>
              <w:jc w:val="left"/>
              <w:rPr>
                <w:rFonts w:hint="eastAsia" w:ascii="宋体" w:hAnsi="宋体" w:eastAsia="Times New Roman"/>
                <w:sz w:val="24"/>
                <w:szCs w:val="24"/>
                <w:highlight w:val="none"/>
              </w:rPr>
            </w:pPr>
            <w:r>
              <w:rPr>
                <w:rFonts w:hint="eastAsia" w:ascii="宋体" w:hAnsi="宋体" w:eastAsia="Times New Roman"/>
                <w:sz w:val="24"/>
                <w:szCs w:val="24"/>
                <w:highlight w:val="none"/>
              </w:rPr>
              <w:t>法定代表人委托代理人投标的，应附法定代表人授权委托书</w:t>
            </w:r>
          </w:p>
        </w:tc>
      </w:tr>
      <w:tr w14:paraId="700E33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27" w:type="dxa"/>
            <w:vMerge w:val="continue"/>
            <w:noWrap w:val="0"/>
            <w:vAlign w:val="top"/>
          </w:tcPr>
          <w:p w14:paraId="2F26B670">
            <w:pPr>
              <w:pStyle w:val="12"/>
              <w:widowControl w:val="0"/>
              <w:jc w:val="both"/>
              <w:rPr>
                <w:rFonts w:hint="eastAsia" w:ascii="宋体" w:hAnsi="宋体" w:eastAsia="Times New Roman"/>
                <w:sz w:val="24"/>
                <w:szCs w:val="24"/>
                <w:highlight w:val="none"/>
              </w:rPr>
            </w:pPr>
          </w:p>
        </w:tc>
        <w:tc>
          <w:tcPr>
            <w:tcW w:w="2303" w:type="dxa"/>
            <w:noWrap w:val="0"/>
            <w:vAlign w:val="center"/>
          </w:tcPr>
          <w:p w14:paraId="43038918">
            <w:pPr>
              <w:widowControl w:val="0"/>
              <w:tabs>
                <w:tab w:val="left" w:pos="1260"/>
                <w:tab w:val="left" w:pos="1620"/>
              </w:tabs>
              <w:adjustRightInd w:val="0"/>
              <w:snapToGrid w:val="0"/>
              <w:jc w:val="center"/>
              <w:textAlignment w:val="baseline"/>
              <w:rPr>
                <w:rFonts w:hint="eastAsia" w:ascii="宋体" w:hAnsi="宋体" w:eastAsia="Times New Roman"/>
                <w:sz w:val="24"/>
                <w:szCs w:val="24"/>
                <w:highlight w:val="none"/>
              </w:rPr>
            </w:pPr>
            <w:r>
              <w:rPr>
                <w:rFonts w:hint="eastAsia" w:ascii="宋体" w:hAnsi="宋体" w:eastAsia="Times New Roman"/>
                <w:sz w:val="24"/>
                <w:highlight w:val="none"/>
              </w:rPr>
              <w:t>其他无效情形</w:t>
            </w:r>
          </w:p>
        </w:tc>
        <w:tc>
          <w:tcPr>
            <w:tcW w:w="5813" w:type="dxa"/>
            <w:noWrap w:val="0"/>
            <w:vAlign w:val="center"/>
          </w:tcPr>
          <w:p w14:paraId="19F055C2">
            <w:pPr>
              <w:pStyle w:val="12"/>
              <w:widowControl w:val="0"/>
              <w:autoSpaceDE w:val="0"/>
              <w:ind w:firstLine="0"/>
              <w:jc w:val="both"/>
              <w:rPr>
                <w:rFonts w:hint="eastAsia" w:ascii="宋体" w:hAnsi="宋体" w:eastAsia="Times New Roman"/>
                <w:sz w:val="24"/>
                <w:szCs w:val="24"/>
                <w:highlight w:val="none"/>
              </w:rPr>
            </w:pPr>
            <w:r>
              <w:rPr>
                <w:rFonts w:hint="eastAsia" w:ascii="宋体" w:hAnsi="宋体" w:eastAsia="Times New Roman"/>
                <w:sz w:val="24"/>
                <w:szCs w:val="24"/>
                <w:highlight w:val="none"/>
              </w:rPr>
              <w:t>(1)不同投标人的投标文件由同一单位或者个人编</w:t>
            </w:r>
            <w:r>
              <w:rPr>
                <w:rFonts w:hint="eastAsia" w:ascii="宋体" w:hAnsi="宋体" w:eastAsia="宋体"/>
                <w:sz w:val="24"/>
                <w:szCs w:val="24"/>
                <w:highlight w:val="none"/>
                <w:lang w:eastAsia="zh-CN"/>
              </w:rPr>
              <w:t>制</w:t>
            </w:r>
            <w:r>
              <w:rPr>
                <w:rFonts w:hint="eastAsia" w:ascii="宋体" w:hAnsi="宋体" w:eastAsia="Times New Roman"/>
                <w:sz w:val="24"/>
                <w:szCs w:val="24"/>
                <w:highlight w:val="none"/>
              </w:rPr>
              <w:t>；</w:t>
            </w:r>
          </w:p>
          <w:p w14:paraId="7C5476F4">
            <w:pPr>
              <w:pStyle w:val="12"/>
              <w:widowControl w:val="0"/>
              <w:autoSpaceDE w:val="0"/>
              <w:ind w:firstLine="0"/>
              <w:jc w:val="both"/>
              <w:rPr>
                <w:rFonts w:hint="eastAsia" w:ascii="宋体" w:hAnsi="宋体" w:eastAsia="Times New Roman"/>
                <w:sz w:val="24"/>
                <w:szCs w:val="24"/>
                <w:highlight w:val="none"/>
              </w:rPr>
            </w:pPr>
            <w:r>
              <w:rPr>
                <w:rFonts w:hint="eastAsia" w:ascii="宋体" w:hAnsi="宋体" w:eastAsia="Times New Roman"/>
                <w:sz w:val="24"/>
                <w:szCs w:val="24"/>
                <w:highlight w:val="none"/>
              </w:rPr>
              <w:t>(2)不同投标人委托同一单位或者个人办理投标事宜；</w:t>
            </w:r>
          </w:p>
          <w:p w14:paraId="66382DC6">
            <w:pPr>
              <w:pStyle w:val="12"/>
              <w:widowControl w:val="0"/>
              <w:autoSpaceDE w:val="0"/>
              <w:ind w:firstLine="0"/>
              <w:jc w:val="both"/>
              <w:rPr>
                <w:rFonts w:hint="eastAsia" w:ascii="宋体" w:hAnsi="宋体" w:eastAsia="Times New Roman"/>
                <w:sz w:val="24"/>
                <w:szCs w:val="24"/>
                <w:highlight w:val="none"/>
              </w:rPr>
            </w:pPr>
            <w:r>
              <w:rPr>
                <w:rFonts w:hint="eastAsia" w:ascii="宋体" w:hAnsi="宋体" w:eastAsia="Times New Roman"/>
                <w:sz w:val="24"/>
                <w:szCs w:val="24"/>
                <w:highlight w:val="none"/>
              </w:rPr>
              <w:t>(3)不同投标人的投标文件载明的项目管理成员或者联系人员为同一人；</w:t>
            </w:r>
          </w:p>
          <w:p w14:paraId="19B2F53A">
            <w:pPr>
              <w:pStyle w:val="12"/>
              <w:widowControl w:val="0"/>
              <w:autoSpaceDE w:val="0"/>
              <w:ind w:firstLine="0"/>
              <w:jc w:val="both"/>
              <w:rPr>
                <w:rFonts w:hint="eastAsia" w:ascii="宋体" w:hAnsi="宋体" w:eastAsia="Times New Roman"/>
                <w:sz w:val="24"/>
                <w:szCs w:val="24"/>
                <w:highlight w:val="none"/>
              </w:rPr>
            </w:pPr>
            <w:r>
              <w:rPr>
                <w:rFonts w:hint="eastAsia" w:ascii="宋体" w:hAnsi="宋体" w:eastAsia="Times New Roman"/>
                <w:sz w:val="24"/>
                <w:szCs w:val="24"/>
                <w:highlight w:val="none"/>
              </w:rPr>
              <w:t>(4)不同投标人的投标文件异常一致或者投标报价呈规律性差异；</w:t>
            </w:r>
          </w:p>
          <w:p w14:paraId="0CEBBA48">
            <w:pPr>
              <w:pStyle w:val="12"/>
              <w:widowControl w:val="0"/>
              <w:autoSpaceDE w:val="0"/>
              <w:ind w:firstLine="0"/>
              <w:jc w:val="both"/>
              <w:rPr>
                <w:rFonts w:hint="eastAsia" w:ascii="宋体" w:hAnsi="宋体" w:eastAsia="宋体" w:cs="宋体"/>
                <w:sz w:val="24"/>
                <w:szCs w:val="24"/>
                <w:highlight w:val="none"/>
                <w:lang w:val="en-US" w:eastAsia="zh-CN"/>
              </w:rPr>
            </w:pPr>
            <w:r>
              <w:rPr>
                <w:rFonts w:hint="eastAsia" w:ascii="宋体" w:hAnsi="宋体" w:eastAsia="Times New Roman"/>
                <w:sz w:val="24"/>
                <w:szCs w:val="24"/>
                <w:highlight w:val="none"/>
              </w:rPr>
              <w:t>(5)</w:t>
            </w:r>
            <w:r>
              <w:rPr>
                <w:rFonts w:hint="eastAsia" w:ascii="宋体" w:hAnsi="宋体" w:eastAsia="宋体" w:cs="宋体"/>
                <w:sz w:val="24"/>
                <w:szCs w:val="24"/>
                <w:highlight w:val="none"/>
                <w:lang w:val="en-US" w:eastAsia="zh-CN"/>
              </w:rPr>
              <w:t>不同投标人的投标文件相互混装；</w:t>
            </w:r>
          </w:p>
          <w:p w14:paraId="709B256A">
            <w:pPr>
              <w:pStyle w:val="12"/>
              <w:widowControl w:val="0"/>
              <w:autoSpaceDE w:val="0"/>
              <w:ind w:firstLine="0"/>
              <w:jc w:val="both"/>
              <w:rPr>
                <w:rFonts w:hint="eastAsia" w:ascii="宋体" w:hAnsi="宋体"/>
                <w:sz w:val="24"/>
                <w:szCs w:val="24"/>
                <w:highlight w:val="none"/>
              </w:rPr>
            </w:pPr>
            <w:r>
              <w:rPr>
                <w:rFonts w:hint="eastAsia" w:ascii="宋体" w:hAnsi="宋体" w:eastAsia="Times New Roman"/>
                <w:sz w:val="24"/>
                <w:szCs w:val="24"/>
                <w:highlight w:val="none"/>
              </w:rPr>
              <w:t>(</w:t>
            </w:r>
            <w:r>
              <w:rPr>
                <w:rFonts w:hint="eastAsia" w:ascii="宋体" w:hAnsi="宋体" w:eastAsia="宋体"/>
                <w:sz w:val="24"/>
                <w:szCs w:val="24"/>
                <w:highlight w:val="none"/>
                <w:lang w:val="en-US" w:eastAsia="zh-CN"/>
              </w:rPr>
              <w:t>6</w:t>
            </w:r>
            <w:r>
              <w:rPr>
                <w:rFonts w:hint="eastAsia" w:ascii="宋体" w:hAnsi="宋体" w:eastAsia="Times New Roman"/>
                <w:sz w:val="24"/>
                <w:szCs w:val="24"/>
                <w:highlight w:val="none"/>
              </w:rPr>
              <w:t>)不同投标人的投标保证金从同一单位或者个人的账户转出</w:t>
            </w:r>
            <w:r>
              <w:rPr>
                <w:rFonts w:hint="eastAsia" w:ascii="宋体" w:hAnsi="宋体"/>
                <w:sz w:val="24"/>
                <w:szCs w:val="24"/>
                <w:highlight w:val="none"/>
              </w:rPr>
              <w:t>；</w:t>
            </w:r>
          </w:p>
          <w:p w14:paraId="1998F0FC">
            <w:pPr>
              <w:pStyle w:val="12"/>
              <w:widowControl w:val="0"/>
              <w:autoSpaceDE w:val="0"/>
              <w:ind w:firstLine="0"/>
              <w:jc w:val="both"/>
              <w:rPr>
                <w:rFonts w:hint="eastAsia" w:ascii="宋体" w:hAnsi="宋体" w:eastAsia="Times New Roman"/>
                <w:sz w:val="24"/>
                <w:szCs w:val="24"/>
                <w:highlight w:val="none"/>
              </w:rPr>
            </w:pPr>
            <w:r>
              <w:rPr>
                <w:rFonts w:hint="eastAsia" w:ascii="宋体" w:hAnsi="宋体" w:eastAsia="Times New Roman"/>
                <w:sz w:val="24"/>
                <w:szCs w:val="24"/>
                <w:highlight w:val="none"/>
              </w:rPr>
              <w:t>(</w:t>
            </w:r>
            <w:r>
              <w:rPr>
                <w:rFonts w:hint="eastAsia" w:ascii="宋体" w:hAnsi="宋体" w:eastAsia="宋体"/>
                <w:sz w:val="24"/>
                <w:szCs w:val="24"/>
                <w:highlight w:val="none"/>
                <w:lang w:val="en-US" w:eastAsia="zh-CN"/>
              </w:rPr>
              <w:t>7</w:t>
            </w:r>
            <w:r>
              <w:rPr>
                <w:rFonts w:hint="eastAsia" w:ascii="宋体" w:hAnsi="宋体" w:eastAsia="Times New Roman"/>
                <w:sz w:val="24"/>
                <w:szCs w:val="24"/>
                <w:highlight w:val="none"/>
              </w:rPr>
              <w:t>)法律、法规和招标文件规定的其他无效情形。</w:t>
            </w:r>
          </w:p>
        </w:tc>
      </w:tr>
      <w:tr w14:paraId="01DB21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4" w:hRule="atLeast"/>
        </w:trPr>
        <w:tc>
          <w:tcPr>
            <w:tcW w:w="1927" w:type="dxa"/>
            <w:vMerge w:val="continue"/>
            <w:noWrap w:val="0"/>
            <w:vAlign w:val="top"/>
          </w:tcPr>
          <w:p w14:paraId="712D69A1">
            <w:pPr>
              <w:pStyle w:val="12"/>
              <w:widowControl w:val="0"/>
              <w:jc w:val="both"/>
              <w:rPr>
                <w:rFonts w:hint="eastAsia" w:ascii="宋体" w:hAnsi="宋体" w:eastAsia="Times New Roman"/>
                <w:sz w:val="24"/>
                <w:szCs w:val="24"/>
                <w:highlight w:val="none"/>
              </w:rPr>
            </w:pPr>
          </w:p>
        </w:tc>
        <w:tc>
          <w:tcPr>
            <w:tcW w:w="2303" w:type="dxa"/>
            <w:noWrap w:val="0"/>
            <w:vAlign w:val="top"/>
          </w:tcPr>
          <w:p w14:paraId="6ACE34A3">
            <w:pPr>
              <w:pStyle w:val="12"/>
              <w:widowControl w:val="0"/>
              <w:ind w:firstLine="0"/>
              <w:jc w:val="center"/>
              <w:rPr>
                <w:rFonts w:hint="eastAsia" w:ascii="宋体" w:hAnsi="宋体" w:eastAsia="Times New Roman"/>
                <w:sz w:val="24"/>
                <w:szCs w:val="24"/>
                <w:highlight w:val="none"/>
              </w:rPr>
            </w:pPr>
            <w:r>
              <w:rPr>
                <w:rFonts w:hint="eastAsia" w:ascii="宋体" w:hAnsi="宋体" w:eastAsia="Times New Roman"/>
                <w:sz w:val="24"/>
                <w:szCs w:val="24"/>
                <w:highlight w:val="none"/>
              </w:rPr>
              <w:t>附加条件</w:t>
            </w:r>
          </w:p>
        </w:tc>
        <w:tc>
          <w:tcPr>
            <w:tcW w:w="5813" w:type="dxa"/>
            <w:noWrap w:val="0"/>
            <w:vAlign w:val="top"/>
          </w:tcPr>
          <w:p w14:paraId="278591DB">
            <w:pPr>
              <w:pStyle w:val="12"/>
              <w:widowControl w:val="0"/>
              <w:ind w:firstLine="0"/>
              <w:jc w:val="both"/>
              <w:rPr>
                <w:rFonts w:hint="eastAsia" w:ascii="宋体" w:hAnsi="宋体" w:eastAsia="Times New Roman"/>
                <w:sz w:val="24"/>
                <w:szCs w:val="24"/>
                <w:highlight w:val="none"/>
              </w:rPr>
            </w:pPr>
            <w:r>
              <w:rPr>
                <w:rFonts w:hint="eastAsia" w:ascii="宋体" w:hAnsi="宋体" w:eastAsia="Times New Roman"/>
                <w:sz w:val="24"/>
                <w:szCs w:val="24"/>
                <w:highlight w:val="none"/>
              </w:rPr>
              <w:t>投标文件未含有采购人不能接受的附加条件</w:t>
            </w:r>
          </w:p>
        </w:tc>
      </w:tr>
    </w:tbl>
    <w:p w14:paraId="34C2516C">
      <w:pPr>
        <w:pStyle w:val="12"/>
        <w:ind w:firstLine="482" w:firstLineChars="200"/>
        <w:rPr>
          <w:rFonts w:hint="eastAsia" w:ascii="宋体" w:hAnsi="宋体"/>
          <w:b/>
          <w:bCs/>
          <w:sz w:val="24"/>
          <w:szCs w:val="24"/>
          <w:highlight w:val="none"/>
        </w:rPr>
      </w:pPr>
      <w:r>
        <w:rPr>
          <w:rFonts w:hint="eastAsia" w:ascii="宋体" w:hAnsi="宋体"/>
          <w:b/>
          <w:bCs/>
          <w:sz w:val="24"/>
          <w:szCs w:val="24"/>
          <w:highlight w:val="none"/>
        </w:rPr>
        <w:t>(二)澄清有关问题</w:t>
      </w:r>
    </w:p>
    <w:p w14:paraId="529CEE3D">
      <w:pPr>
        <w:pStyle w:val="12"/>
        <w:ind w:firstLine="482" w:firstLineChars="200"/>
        <w:rPr>
          <w:rFonts w:hint="eastAsia" w:ascii="宋体" w:hAnsi="宋体"/>
          <w:b/>
          <w:bCs/>
          <w:sz w:val="24"/>
          <w:szCs w:val="24"/>
          <w:highlight w:val="none"/>
        </w:rPr>
      </w:pPr>
      <w:r>
        <w:rPr>
          <w:rFonts w:hint="eastAsia" w:ascii="宋体" w:hAnsi="宋体"/>
          <w:b/>
          <w:bCs/>
          <w:sz w:val="24"/>
          <w:szCs w:val="24"/>
          <w:highlight w:val="none"/>
        </w:rPr>
        <w:t>1.投标文件内容澄清</w:t>
      </w:r>
    </w:p>
    <w:p w14:paraId="113BAA02">
      <w:pPr>
        <w:pStyle w:val="12"/>
        <w:ind w:firstLine="480" w:firstLineChars="200"/>
        <w:rPr>
          <w:rFonts w:hint="eastAsia" w:ascii="宋体" w:hAnsi="宋体"/>
          <w:sz w:val="24"/>
          <w:szCs w:val="24"/>
          <w:highlight w:val="none"/>
        </w:rPr>
      </w:pPr>
      <w:r>
        <w:rPr>
          <w:rFonts w:hint="eastAsia" w:ascii="宋体" w:hAnsi="宋体"/>
          <w:sz w:val="24"/>
          <w:szCs w:val="24"/>
          <w:highlight w:val="none"/>
        </w:rPr>
        <w:t>对于投标文件中含义不明确、同类问题表述不一致或者有明显文字和计算错误的内容，评标委员会应当以书面形式要求投标人作出必要的澄清、说明或者补正。投标人的澄清、说明或者补正应当采用书面形式，并加盖单位公章，或者由法定代表人或其授权的代表签字。投标人的澄清、说明或者补正不得超出投标文件的范围或者改变投标文件的实质性内容。</w:t>
      </w:r>
    </w:p>
    <w:p w14:paraId="246F4E90">
      <w:pPr>
        <w:pStyle w:val="12"/>
        <w:ind w:firstLine="482" w:firstLineChars="200"/>
        <w:rPr>
          <w:rFonts w:hint="eastAsia" w:ascii="宋体" w:hAnsi="宋体"/>
          <w:b/>
          <w:bCs/>
          <w:sz w:val="24"/>
          <w:szCs w:val="24"/>
          <w:highlight w:val="none"/>
        </w:rPr>
      </w:pPr>
      <w:r>
        <w:rPr>
          <w:rFonts w:hint="eastAsia" w:ascii="宋体" w:hAnsi="宋体"/>
          <w:b/>
          <w:bCs/>
          <w:sz w:val="24"/>
          <w:szCs w:val="24"/>
          <w:highlight w:val="none"/>
        </w:rPr>
        <w:t>2.报价不一致情形澄清</w:t>
      </w:r>
    </w:p>
    <w:p w14:paraId="7AF8E10D">
      <w:pPr>
        <w:spacing w:line="360" w:lineRule="auto"/>
        <w:ind w:firstLine="480" w:firstLineChars="200"/>
        <w:rPr>
          <w:rFonts w:hint="eastAsia" w:ascii="宋体" w:hAnsi="宋体"/>
          <w:sz w:val="24"/>
          <w:szCs w:val="24"/>
          <w:highlight w:val="none"/>
        </w:rPr>
      </w:pPr>
      <w:r>
        <w:rPr>
          <w:rFonts w:hint="eastAsia" w:ascii="宋体" w:hAnsi="宋体"/>
          <w:sz w:val="24"/>
          <w:szCs w:val="24"/>
          <w:highlight w:val="none"/>
        </w:rPr>
        <w:t>投标文件报价出现前后不一致的，除招标文件另有规定外，按照下列规定修正：</w:t>
      </w:r>
    </w:p>
    <w:p w14:paraId="5D832E39">
      <w:pPr>
        <w:spacing w:line="360" w:lineRule="auto"/>
        <w:ind w:firstLine="480" w:firstLineChars="200"/>
        <w:rPr>
          <w:rFonts w:hint="eastAsia" w:ascii="宋体" w:hAnsi="宋体"/>
          <w:sz w:val="24"/>
          <w:szCs w:val="24"/>
          <w:highlight w:val="none"/>
        </w:rPr>
      </w:pPr>
      <w:r>
        <w:rPr>
          <w:rFonts w:hint="eastAsia" w:ascii="宋体" w:hAnsi="宋体"/>
          <w:sz w:val="24"/>
          <w:szCs w:val="24"/>
          <w:highlight w:val="none"/>
        </w:rPr>
        <w:t>(1)投标文件中《开标一览表》内容与投标文件中相应内容不一致的，以《开标一览表》为准；</w:t>
      </w:r>
    </w:p>
    <w:p w14:paraId="39EDD739">
      <w:pPr>
        <w:spacing w:line="360" w:lineRule="auto"/>
        <w:ind w:firstLine="480" w:firstLineChars="200"/>
        <w:rPr>
          <w:rFonts w:hint="eastAsia" w:ascii="宋体" w:hAnsi="宋体"/>
          <w:sz w:val="24"/>
          <w:szCs w:val="24"/>
          <w:highlight w:val="none"/>
        </w:rPr>
      </w:pPr>
      <w:r>
        <w:rPr>
          <w:rFonts w:hint="eastAsia" w:ascii="宋体" w:hAnsi="宋体"/>
          <w:sz w:val="24"/>
          <w:szCs w:val="24"/>
          <w:highlight w:val="none"/>
        </w:rPr>
        <w:t>(2)大写金额和小写金额不一致的，以大写金额为准；</w:t>
      </w:r>
    </w:p>
    <w:p w14:paraId="14E1425D">
      <w:pPr>
        <w:spacing w:line="360" w:lineRule="auto"/>
        <w:ind w:firstLine="480" w:firstLineChars="200"/>
        <w:rPr>
          <w:rFonts w:hint="eastAsia" w:ascii="宋体" w:hAnsi="宋体"/>
          <w:sz w:val="24"/>
          <w:szCs w:val="24"/>
          <w:highlight w:val="none"/>
        </w:rPr>
      </w:pPr>
      <w:r>
        <w:rPr>
          <w:rFonts w:hint="eastAsia" w:ascii="宋体" w:hAnsi="宋体"/>
          <w:sz w:val="24"/>
          <w:szCs w:val="24"/>
          <w:highlight w:val="none"/>
        </w:rPr>
        <w:t>(3)单价金额小数点或者百分比有明显错位的，以开标一览表的总价为准，并修改单价；</w:t>
      </w:r>
    </w:p>
    <w:p w14:paraId="40C08AEF">
      <w:pPr>
        <w:spacing w:line="360" w:lineRule="auto"/>
        <w:ind w:firstLine="480" w:firstLineChars="200"/>
        <w:rPr>
          <w:rFonts w:hint="eastAsia" w:ascii="宋体" w:hAnsi="宋体"/>
          <w:sz w:val="24"/>
          <w:szCs w:val="24"/>
          <w:highlight w:val="none"/>
        </w:rPr>
      </w:pPr>
      <w:r>
        <w:rPr>
          <w:rFonts w:hint="eastAsia" w:ascii="宋体" w:hAnsi="宋体"/>
          <w:sz w:val="24"/>
          <w:szCs w:val="24"/>
          <w:highlight w:val="none"/>
        </w:rPr>
        <w:t>(4)总价金额与按单价汇总金额不一致的，以单价金额计算结果为准。</w:t>
      </w:r>
    </w:p>
    <w:p w14:paraId="337EB3A9">
      <w:pPr>
        <w:pStyle w:val="12"/>
        <w:ind w:firstLine="480" w:firstLineChars="200"/>
        <w:rPr>
          <w:rFonts w:hint="eastAsia" w:ascii="宋体" w:hAnsi="宋体"/>
          <w:sz w:val="24"/>
          <w:szCs w:val="24"/>
          <w:highlight w:val="none"/>
        </w:rPr>
      </w:pPr>
      <w:r>
        <w:rPr>
          <w:rFonts w:hint="eastAsia" w:ascii="宋体" w:hAnsi="宋体"/>
          <w:sz w:val="24"/>
          <w:szCs w:val="24"/>
          <w:highlight w:val="none"/>
        </w:rPr>
        <w:t>同时出现两种以上不一致的，按照前款规定的顺序修正。修正后的报价经投标人确认后产生约束力，投标人不确认的，其投标无效。</w:t>
      </w:r>
    </w:p>
    <w:p w14:paraId="4CEB9B97">
      <w:pPr>
        <w:pStyle w:val="12"/>
        <w:ind w:firstLine="482" w:firstLineChars="200"/>
        <w:rPr>
          <w:rFonts w:hint="eastAsia" w:ascii="宋体" w:hAnsi="宋体"/>
          <w:b/>
          <w:bCs/>
          <w:sz w:val="24"/>
          <w:szCs w:val="24"/>
          <w:highlight w:val="none"/>
        </w:rPr>
      </w:pPr>
      <w:r>
        <w:rPr>
          <w:rFonts w:hint="eastAsia" w:ascii="宋体" w:hAnsi="宋体"/>
          <w:b/>
          <w:bCs/>
          <w:sz w:val="24"/>
          <w:szCs w:val="24"/>
          <w:highlight w:val="none"/>
        </w:rPr>
        <w:t>3.报价过低情形澄清</w:t>
      </w:r>
    </w:p>
    <w:p w14:paraId="701C5F4F">
      <w:pPr>
        <w:pStyle w:val="12"/>
        <w:widowControl w:val="0"/>
        <w:ind w:firstLine="480" w:firstLineChars="200"/>
        <w:rPr>
          <w:rFonts w:hint="eastAsia" w:ascii="宋体" w:hAnsi="宋体"/>
          <w:sz w:val="24"/>
          <w:szCs w:val="24"/>
          <w:highlight w:val="none"/>
        </w:rPr>
      </w:pPr>
      <w:r>
        <w:rPr>
          <w:rFonts w:hint="eastAsia" w:ascii="宋体" w:hAnsi="宋体"/>
          <w:sz w:val="24"/>
          <w:szCs w:val="24"/>
          <w:highlight w:val="none"/>
        </w:rPr>
        <w:t>评标委员会认为投标人的报价(总价或单价)明显低于其他通过符合性审查投标人的报价(总价或单价)，有可能影响产品质量或者不能诚信履约的，应当要求其在评标现场合理的时间内提供书面说明，必要时提交相关证明材料；投标人不能证明其报价合理性的，评标委员会应当将其作为无效投标处理。</w:t>
      </w:r>
    </w:p>
    <w:p w14:paraId="1C36304B">
      <w:pPr>
        <w:spacing w:line="500" w:lineRule="exact"/>
        <w:ind w:firstLine="482" w:firstLineChars="200"/>
        <w:rPr>
          <w:rFonts w:hint="eastAsia" w:ascii="宋体" w:hAnsi="宋体"/>
          <w:b/>
          <w:bCs/>
          <w:sz w:val="24"/>
          <w:szCs w:val="24"/>
          <w:highlight w:val="none"/>
        </w:rPr>
      </w:pPr>
      <w:r>
        <w:rPr>
          <w:rFonts w:hint="eastAsia" w:ascii="宋体" w:hAnsi="宋体"/>
          <w:b/>
          <w:bCs/>
          <w:sz w:val="24"/>
          <w:szCs w:val="24"/>
          <w:highlight w:val="none"/>
        </w:rPr>
        <w:t>(三)商务和技术评估、综合比较与评价</w:t>
      </w:r>
    </w:p>
    <w:p w14:paraId="0A510663">
      <w:pPr>
        <w:widowControl w:val="0"/>
        <w:autoSpaceDE w:val="0"/>
        <w:autoSpaceDN w:val="0"/>
        <w:spacing w:line="460" w:lineRule="exact"/>
        <w:ind w:firstLine="472" w:firstLineChars="196"/>
        <w:jc w:val="both"/>
        <w:rPr>
          <w:rFonts w:hint="eastAsia" w:ascii="宋体" w:hAnsi="宋体"/>
          <w:b/>
          <w:bCs/>
          <w:sz w:val="24"/>
          <w:szCs w:val="24"/>
          <w:highlight w:val="none"/>
        </w:rPr>
      </w:pPr>
      <w:r>
        <w:rPr>
          <w:rFonts w:hint="eastAsia" w:ascii="宋体" w:hAnsi="宋体"/>
          <w:b/>
          <w:bCs/>
          <w:sz w:val="24"/>
          <w:szCs w:val="24"/>
          <w:highlight w:val="none"/>
        </w:rPr>
        <w:t>1.同品牌产品不同投标人的处理方式</w:t>
      </w:r>
    </w:p>
    <w:p w14:paraId="76843E7D">
      <w:pPr>
        <w:widowControl w:val="0"/>
        <w:autoSpaceDE w:val="0"/>
        <w:autoSpaceDN w:val="0"/>
        <w:spacing w:line="460" w:lineRule="exact"/>
        <w:ind w:firstLine="480" w:firstLineChars="200"/>
        <w:jc w:val="both"/>
        <w:rPr>
          <w:rFonts w:hint="eastAsia" w:ascii="宋体" w:hAnsi="宋体"/>
          <w:sz w:val="24"/>
          <w:szCs w:val="24"/>
          <w:highlight w:val="none"/>
        </w:rPr>
      </w:pPr>
      <w:r>
        <w:rPr>
          <w:rFonts w:hint="eastAsia" w:ascii="宋体" w:hAnsi="宋体"/>
          <w:sz w:val="24"/>
          <w:szCs w:val="24"/>
          <w:highlight w:val="none"/>
        </w:rPr>
        <w:t>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p>
    <w:p w14:paraId="189DF258">
      <w:pPr>
        <w:widowControl w:val="0"/>
        <w:autoSpaceDE w:val="0"/>
        <w:autoSpaceDN w:val="0"/>
        <w:spacing w:line="460" w:lineRule="exact"/>
        <w:ind w:firstLine="480" w:firstLineChars="200"/>
        <w:jc w:val="both"/>
        <w:rPr>
          <w:rFonts w:hint="eastAsia" w:ascii="宋体" w:hAnsi="宋体"/>
          <w:sz w:val="24"/>
          <w:szCs w:val="24"/>
          <w:highlight w:val="none"/>
        </w:rPr>
      </w:pPr>
      <w:r>
        <w:rPr>
          <w:rFonts w:hint="eastAsia" w:ascii="宋体" w:hAnsi="宋体"/>
          <w:sz w:val="24"/>
          <w:szCs w:val="24"/>
          <w:highlight w:val="none"/>
        </w:rPr>
        <w:t>非单一产品采购项目，采购人应当根据采购项目技术构成、产品价格比重等合理确定核心产品，并在招标文件中载明。多家投标人提供的核心产品品牌相同的，按前款规定处理。</w:t>
      </w:r>
    </w:p>
    <w:p w14:paraId="4BC93D10">
      <w:pPr>
        <w:widowControl w:val="0"/>
        <w:spacing w:line="460" w:lineRule="exact"/>
        <w:ind w:firstLine="472" w:firstLineChars="196"/>
        <w:jc w:val="both"/>
        <w:rPr>
          <w:rFonts w:hint="eastAsia" w:ascii="宋体" w:hAnsi="宋体"/>
          <w:b/>
          <w:bCs/>
          <w:sz w:val="24"/>
          <w:szCs w:val="24"/>
          <w:highlight w:val="none"/>
        </w:rPr>
      </w:pPr>
      <w:r>
        <w:rPr>
          <w:rFonts w:hint="eastAsia" w:ascii="宋体" w:hAnsi="宋体"/>
          <w:b/>
          <w:bCs/>
          <w:sz w:val="24"/>
          <w:szCs w:val="24"/>
          <w:highlight w:val="none"/>
        </w:rPr>
        <w:t>2.</w:t>
      </w:r>
      <w:r>
        <w:rPr>
          <w:rFonts w:hint="eastAsia" w:ascii="宋体" w:hAnsi="宋体"/>
          <w:b/>
          <w:bCs/>
          <w:sz w:val="24"/>
          <w:szCs w:val="24"/>
          <w:highlight w:val="none"/>
          <w:lang w:val="en-US" w:eastAsia="zh-CN"/>
        </w:rPr>
        <w:t>小微企业优惠政策</w:t>
      </w:r>
    </w:p>
    <w:p w14:paraId="5B308383">
      <w:pPr>
        <w:pStyle w:val="11"/>
        <w:keepNext w:val="0"/>
        <w:keepLines w:val="0"/>
        <w:pageBreakBefore w:val="0"/>
        <w:widowControl w:val="0"/>
        <w:kinsoku/>
        <w:wordWrap/>
        <w:overflowPunct/>
        <w:topLinePunct w:val="0"/>
        <w:bidi w:val="0"/>
        <w:adjustRightInd/>
        <w:snapToGrid/>
        <w:spacing w:line="360" w:lineRule="auto"/>
        <w:ind w:firstLine="480" w:firstLineChars="200"/>
        <w:textAlignment w:val="auto"/>
        <w:rPr>
          <w:rFonts w:hint="eastAsia" w:ascii="宋体" w:hAnsi="宋体" w:eastAsia="宋体" w:cs="宋体"/>
          <w:sz w:val="24"/>
          <w:szCs w:val="24"/>
          <w:highlight w:val="yellow"/>
          <w:lang w:val="en-US" w:eastAsia="zh-CN" w:bidi="ar-SA"/>
        </w:rPr>
      </w:pPr>
      <w:r>
        <w:rPr>
          <w:rFonts w:hint="eastAsia" w:ascii="宋体" w:hAnsi="宋体" w:eastAsia="宋体" w:cs="宋体"/>
          <w:sz w:val="24"/>
          <w:szCs w:val="24"/>
          <w:highlight w:val="none"/>
          <w:lang w:val="en-US" w:eastAsia="zh-CN" w:bidi="ar-SA"/>
        </w:rPr>
        <w:t>根据《政府采购促进中小企业发展管理办法》（财库〔2020〕46号)、关于进一步加大政府采购支持中小企业力度的通知（财库〔2022〕19号）的规定，对符合国家统计局《统计上大中小微型企业划分办法（2017）》规定条件</w:t>
      </w:r>
      <w:r>
        <w:rPr>
          <w:rFonts w:hint="eastAsia" w:ascii="宋体" w:hAnsi="宋体" w:eastAsia="宋体" w:cs="宋体"/>
          <w:sz w:val="24"/>
          <w:szCs w:val="24"/>
          <w:highlight w:val="none"/>
          <w:u w:val="single"/>
          <w:lang w:val="en-US" w:eastAsia="zh-CN" w:bidi="ar-SA"/>
        </w:rPr>
        <w:t>工业</w:t>
      </w:r>
      <w:r>
        <w:rPr>
          <w:rFonts w:hint="eastAsia" w:ascii="宋体" w:hAnsi="宋体" w:eastAsia="宋体" w:cs="宋体"/>
          <w:sz w:val="24"/>
          <w:szCs w:val="24"/>
          <w:highlight w:val="none"/>
          <w:lang w:val="en-US" w:eastAsia="zh-CN" w:bidi="ar-SA"/>
        </w:rPr>
        <w:t>行业的小微企业报价给予10%的扣除，用扣除后的价格参加评审。</w:t>
      </w:r>
    </w:p>
    <w:p w14:paraId="6B5BEFF6">
      <w:pPr>
        <w:pStyle w:val="11"/>
        <w:keepNext w:val="0"/>
        <w:keepLines w:val="0"/>
        <w:pageBreakBefore w:val="0"/>
        <w:widowControl w:val="0"/>
        <w:kinsoku/>
        <w:wordWrap/>
        <w:overflowPunct/>
        <w:topLinePunct w:val="0"/>
        <w:bidi w:val="0"/>
        <w:snapToGrid/>
        <w:spacing w:line="360" w:lineRule="auto"/>
        <w:ind w:firstLine="480" w:firstLineChars="200"/>
        <w:textAlignment w:val="auto"/>
        <w:rPr>
          <w:rFonts w:hint="eastAsia" w:ascii="宋体" w:hAnsi="宋体" w:eastAsia="宋体" w:cs="Times New Roman"/>
          <w:b w:val="0"/>
          <w:bCs w:val="0"/>
          <w:color w:val="auto"/>
          <w:kern w:val="0"/>
          <w:sz w:val="24"/>
          <w:szCs w:val="24"/>
          <w:highlight w:val="none"/>
          <w:lang w:val="en-US" w:eastAsia="zh-CN"/>
        </w:rPr>
      </w:pPr>
      <w:r>
        <w:rPr>
          <w:rFonts w:hint="eastAsia" w:ascii="宋体" w:hAnsi="宋体" w:eastAsia="宋体" w:cs="Times New Roman"/>
          <w:b w:val="0"/>
          <w:bCs w:val="0"/>
          <w:color w:val="auto"/>
          <w:kern w:val="0"/>
          <w:sz w:val="24"/>
          <w:szCs w:val="24"/>
          <w:highlight w:val="none"/>
          <w:lang w:val="en-US" w:eastAsia="zh-CN"/>
        </w:rPr>
        <w:t>请投标人根据《政府采购促进中小企业发展管理办法》（财库〔2020〕46号)的规定，提供《中小企业声明函》，未提供的小微企业不享受价格评审优惠政策。投标人对《中小企业声明函》的真实性负责，如有虚假，采购人将向监管部门反映，投标人依法承担相应责任。</w:t>
      </w:r>
    </w:p>
    <w:p w14:paraId="1E2CC8B3">
      <w:pPr>
        <w:spacing w:line="460" w:lineRule="exact"/>
        <w:ind w:firstLine="480" w:firstLineChars="200"/>
        <w:rPr>
          <w:rFonts w:hint="eastAsia" w:ascii="宋体" w:hAnsi="宋体"/>
          <w:b/>
          <w:bCs/>
          <w:color w:val="auto"/>
          <w:sz w:val="24"/>
          <w:szCs w:val="24"/>
          <w:highlight w:val="none"/>
        </w:rPr>
      </w:pPr>
      <w:r>
        <w:rPr>
          <w:rFonts w:hint="eastAsia" w:ascii="宋体" w:hAnsi="宋体" w:eastAsia="宋体" w:cs="Times New Roman"/>
          <w:b w:val="0"/>
          <w:bCs w:val="0"/>
          <w:color w:val="auto"/>
          <w:kern w:val="0"/>
          <w:sz w:val="24"/>
          <w:szCs w:val="24"/>
          <w:highlight w:val="none"/>
          <w:lang w:val="en-US" w:eastAsia="zh-CN"/>
        </w:rPr>
        <w:t>其他未尽事宜，按照《政府采购促进中小企业发展管理办法》（财库〔2020〕46号)规定执行。</w:t>
      </w:r>
    </w:p>
    <w:p w14:paraId="25582F50">
      <w:pPr>
        <w:autoSpaceDE w:val="0"/>
        <w:autoSpaceDN w:val="0"/>
        <w:spacing w:line="480" w:lineRule="exact"/>
        <w:ind w:firstLine="472" w:firstLineChars="196"/>
        <w:rPr>
          <w:rFonts w:hint="eastAsia" w:ascii="宋体" w:hAnsi="宋体"/>
          <w:b/>
          <w:bCs/>
          <w:sz w:val="24"/>
          <w:szCs w:val="24"/>
          <w:highlight w:val="none"/>
        </w:rPr>
      </w:pPr>
      <w:r>
        <w:rPr>
          <w:rFonts w:hint="eastAsia" w:ascii="宋体" w:hAnsi="宋体"/>
          <w:b/>
          <w:bCs/>
          <w:sz w:val="24"/>
          <w:szCs w:val="24"/>
          <w:highlight w:val="none"/>
        </w:rPr>
        <w:t>3.监狱企业优惠政策</w:t>
      </w:r>
    </w:p>
    <w:p w14:paraId="2E3E8B1B">
      <w:pPr>
        <w:autoSpaceDE w:val="0"/>
        <w:autoSpaceDN w:val="0"/>
        <w:spacing w:line="480" w:lineRule="exact"/>
        <w:ind w:left="-15" w:leftChars="-7" w:firstLine="480" w:firstLineChars="200"/>
        <w:rPr>
          <w:rFonts w:hint="eastAsia" w:ascii="宋体" w:hAnsi="宋体"/>
          <w:sz w:val="24"/>
          <w:szCs w:val="24"/>
          <w:highlight w:val="none"/>
        </w:rPr>
      </w:pPr>
      <w:r>
        <w:rPr>
          <w:rFonts w:hint="eastAsia" w:ascii="宋体" w:hAnsi="宋体"/>
          <w:sz w:val="24"/>
          <w:szCs w:val="24"/>
          <w:highlight w:val="none"/>
        </w:rPr>
        <w:t>根据《关于政府采购支持监狱企业发展有关问题的通知》(财库[2014]68号)的规定，</w:t>
      </w:r>
      <w:r>
        <w:rPr>
          <w:rFonts w:hint="eastAsia" w:ascii="宋体" w:hAnsi="宋体"/>
          <w:sz w:val="24"/>
          <w:szCs w:val="24"/>
          <w:highlight w:val="none"/>
          <w:lang w:eastAsia="zh-CN"/>
        </w:rPr>
        <w:t>符合条件的</w:t>
      </w:r>
      <w:r>
        <w:rPr>
          <w:rFonts w:hint="eastAsia" w:ascii="宋体" w:hAnsi="宋体"/>
          <w:sz w:val="24"/>
          <w:szCs w:val="24"/>
          <w:highlight w:val="none"/>
        </w:rPr>
        <w:t>监狱企业参与本项目投标时，提供由省级以上监狱管理局、戒毒管理局(含新疆生产建设兵团)出具的属于监狱企业的证明文件的，视同小型、微型企业享受价格扣除等优惠政策。</w:t>
      </w:r>
    </w:p>
    <w:p w14:paraId="17DCAAC0">
      <w:pPr>
        <w:autoSpaceDE w:val="0"/>
        <w:autoSpaceDN w:val="0"/>
        <w:spacing w:line="480" w:lineRule="exact"/>
        <w:ind w:firstLine="472" w:firstLineChars="196"/>
        <w:rPr>
          <w:rFonts w:hint="eastAsia" w:ascii="宋体" w:hAnsi="宋体"/>
          <w:b/>
          <w:bCs/>
          <w:sz w:val="24"/>
          <w:szCs w:val="24"/>
          <w:highlight w:val="none"/>
        </w:rPr>
      </w:pPr>
      <w:r>
        <w:rPr>
          <w:rFonts w:hint="eastAsia" w:ascii="宋体" w:hAnsi="宋体"/>
          <w:b/>
          <w:bCs/>
          <w:sz w:val="24"/>
          <w:szCs w:val="24"/>
          <w:highlight w:val="none"/>
        </w:rPr>
        <w:t>4.残疾人福利性单位优惠政策</w:t>
      </w:r>
    </w:p>
    <w:p w14:paraId="73E4AA18">
      <w:pPr>
        <w:autoSpaceDE w:val="0"/>
        <w:spacing w:line="360" w:lineRule="auto"/>
        <w:ind w:firstLine="480" w:firstLineChars="200"/>
        <w:rPr>
          <w:rFonts w:hint="eastAsia" w:ascii="宋体" w:hAnsi="宋体"/>
          <w:b/>
          <w:sz w:val="24"/>
          <w:szCs w:val="24"/>
          <w:highlight w:val="none"/>
        </w:rPr>
      </w:pPr>
      <w:r>
        <w:rPr>
          <w:rFonts w:hint="eastAsia" w:ascii="宋体" w:hAnsi="宋体"/>
          <w:sz w:val="24"/>
          <w:szCs w:val="24"/>
          <w:highlight w:val="none"/>
        </w:rPr>
        <w:t>根据《关于促进残疾人就业政府采购政策的通知》(财库[2017]141号)的规定，</w:t>
      </w:r>
      <w:r>
        <w:rPr>
          <w:rFonts w:hint="eastAsia" w:ascii="宋体" w:hAnsi="宋体"/>
          <w:sz w:val="24"/>
          <w:szCs w:val="24"/>
          <w:highlight w:val="none"/>
          <w:lang w:eastAsia="zh-CN"/>
        </w:rPr>
        <w:t>符合条件的</w:t>
      </w:r>
      <w:r>
        <w:rPr>
          <w:rFonts w:hint="eastAsia" w:ascii="宋体" w:hAnsi="宋体"/>
          <w:sz w:val="24"/>
          <w:szCs w:val="24"/>
          <w:highlight w:val="none"/>
        </w:rPr>
        <w:t>残疾人福利性单位参与本项目投标时，提供《残疾人福利性单位声明函》并对声明的真实性负责，视同小型、微型企业享受价格扣除等优惠政策。</w:t>
      </w:r>
      <w:r>
        <w:rPr>
          <w:rFonts w:hint="eastAsia" w:ascii="宋体" w:hAnsi="宋体"/>
          <w:b/>
          <w:sz w:val="24"/>
          <w:szCs w:val="24"/>
          <w:highlight w:val="none"/>
        </w:rPr>
        <w:t>投标人对《残疾人福利性单位声明函》的真实性负责，如有虚假，自行承担相应责任。</w:t>
      </w:r>
    </w:p>
    <w:p w14:paraId="2E5037A4">
      <w:pPr>
        <w:autoSpaceDE w:val="0"/>
        <w:autoSpaceDN w:val="0"/>
        <w:spacing w:line="480" w:lineRule="exact"/>
        <w:ind w:firstLine="472" w:firstLineChars="196"/>
        <w:rPr>
          <w:rFonts w:hint="eastAsia" w:ascii="宋体" w:hAnsi="宋体"/>
          <w:b/>
          <w:bCs/>
          <w:sz w:val="24"/>
          <w:szCs w:val="24"/>
          <w:highlight w:val="none"/>
        </w:rPr>
      </w:pPr>
      <w:r>
        <w:rPr>
          <w:rFonts w:hint="eastAsia" w:ascii="宋体" w:hAnsi="宋体"/>
          <w:b/>
          <w:bCs/>
          <w:sz w:val="24"/>
          <w:szCs w:val="24"/>
          <w:highlight w:val="none"/>
        </w:rPr>
        <w:t>5.节能产品及环境标志产品政策</w:t>
      </w:r>
    </w:p>
    <w:p w14:paraId="662F403B">
      <w:pPr>
        <w:pStyle w:val="12"/>
        <w:spacing w:line="480" w:lineRule="exact"/>
        <w:ind w:firstLine="480" w:firstLineChars="200"/>
        <w:rPr>
          <w:rFonts w:hint="eastAsia" w:ascii="宋体" w:hAnsi="宋体"/>
          <w:sz w:val="24"/>
          <w:szCs w:val="24"/>
          <w:highlight w:val="none"/>
        </w:rPr>
      </w:pPr>
      <w:r>
        <w:rPr>
          <w:rFonts w:hint="eastAsia" w:ascii="宋体" w:hAnsi="宋体"/>
          <w:sz w:val="24"/>
          <w:szCs w:val="24"/>
          <w:highlight w:val="none"/>
        </w:rPr>
        <w:t>按照“财政部 发展改革委 生态环境部 市场监管总局 关于调整优化节能产品、环境标志产品政府采购执行机制的通知</w:t>
      </w:r>
      <w:r>
        <w:rPr>
          <w:rFonts w:hint="eastAsia" w:ascii="宋体" w:hAnsi="宋体"/>
          <w:sz w:val="24"/>
          <w:szCs w:val="24"/>
          <w:highlight w:val="none"/>
          <w:lang w:eastAsia="zh-CN"/>
        </w:rPr>
        <w:t>”</w:t>
      </w:r>
      <w:r>
        <w:rPr>
          <w:rFonts w:hint="eastAsia" w:ascii="宋体" w:hAnsi="宋体"/>
          <w:sz w:val="24"/>
          <w:szCs w:val="24"/>
          <w:highlight w:val="none"/>
        </w:rPr>
        <w:t>财库〔2019〕9号的规定执行。</w:t>
      </w:r>
    </w:p>
    <w:p w14:paraId="2B71A211">
      <w:pPr>
        <w:autoSpaceDE w:val="0"/>
        <w:autoSpaceDN w:val="0"/>
        <w:spacing w:line="480" w:lineRule="exact"/>
        <w:ind w:firstLine="472" w:firstLineChars="196"/>
        <w:rPr>
          <w:rFonts w:hint="eastAsia" w:ascii="宋体" w:hAnsi="宋体"/>
          <w:b/>
          <w:bCs/>
          <w:sz w:val="24"/>
          <w:szCs w:val="24"/>
          <w:highlight w:val="none"/>
        </w:rPr>
      </w:pPr>
      <w:r>
        <w:rPr>
          <w:rFonts w:hint="eastAsia" w:ascii="宋体" w:hAnsi="宋体"/>
          <w:b/>
          <w:bCs/>
          <w:sz w:val="24"/>
          <w:szCs w:val="24"/>
          <w:highlight w:val="none"/>
          <w:lang w:val="en-US" w:eastAsia="zh-CN"/>
        </w:rPr>
        <w:t>6</w:t>
      </w:r>
      <w:r>
        <w:rPr>
          <w:rFonts w:hint="eastAsia" w:ascii="宋体" w:hAnsi="宋体"/>
          <w:b/>
          <w:bCs/>
          <w:sz w:val="24"/>
          <w:szCs w:val="24"/>
          <w:highlight w:val="none"/>
        </w:rPr>
        <w:t>.综合评分方式</w:t>
      </w:r>
    </w:p>
    <w:tbl>
      <w:tblPr>
        <w:tblStyle w:val="27"/>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946"/>
        <w:gridCol w:w="1658"/>
        <w:gridCol w:w="4020"/>
      </w:tblGrid>
      <w:tr w14:paraId="025A17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3" w:hRule="atLeast"/>
          <w:jc w:val="center"/>
        </w:trPr>
        <w:tc>
          <w:tcPr>
            <w:tcW w:w="2050" w:type="pct"/>
            <w:noWrap w:val="0"/>
            <w:vAlign w:val="center"/>
          </w:tcPr>
          <w:p w14:paraId="737F5E38">
            <w:pPr>
              <w:pStyle w:val="12"/>
              <w:spacing w:line="480" w:lineRule="exact"/>
              <w:ind w:firstLine="0"/>
              <w:jc w:val="center"/>
              <w:rPr>
                <w:rFonts w:hint="eastAsia" w:ascii="宋体" w:hAnsi="宋体" w:cs="宋体"/>
                <w:sz w:val="24"/>
                <w:szCs w:val="24"/>
                <w:highlight w:val="none"/>
              </w:rPr>
            </w:pPr>
            <w:r>
              <w:rPr>
                <w:rFonts w:hint="eastAsia" w:ascii="宋体" w:hAnsi="宋体" w:cs="宋体"/>
                <w:sz w:val="24"/>
                <w:szCs w:val="24"/>
                <w:highlight w:val="none"/>
              </w:rPr>
              <w:t>评分因素</w:t>
            </w:r>
          </w:p>
        </w:tc>
        <w:tc>
          <w:tcPr>
            <w:tcW w:w="861" w:type="pct"/>
            <w:noWrap w:val="0"/>
            <w:vAlign w:val="center"/>
          </w:tcPr>
          <w:p w14:paraId="2BB982D8">
            <w:pPr>
              <w:pStyle w:val="12"/>
              <w:spacing w:line="480" w:lineRule="exact"/>
              <w:ind w:firstLine="0"/>
              <w:jc w:val="center"/>
              <w:rPr>
                <w:rFonts w:hint="eastAsia" w:ascii="宋体" w:hAnsi="宋体" w:cs="宋体"/>
                <w:sz w:val="24"/>
                <w:szCs w:val="24"/>
                <w:highlight w:val="none"/>
              </w:rPr>
            </w:pPr>
            <w:r>
              <w:rPr>
                <w:rFonts w:hint="eastAsia" w:ascii="宋体" w:hAnsi="宋体" w:cs="宋体"/>
                <w:sz w:val="24"/>
                <w:szCs w:val="24"/>
                <w:highlight w:val="none"/>
              </w:rPr>
              <w:t>权重</w:t>
            </w:r>
          </w:p>
        </w:tc>
        <w:tc>
          <w:tcPr>
            <w:tcW w:w="2088" w:type="pct"/>
            <w:noWrap w:val="0"/>
            <w:vAlign w:val="center"/>
          </w:tcPr>
          <w:p w14:paraId="26B7B993">
            <w:pPr>
              <w:pStyle w:val="12"/>
              <w:spacing w:line="480" w:lineRule="exact"/>
              <w:jc w:val="center"/>
              <w:rPr>
                <w:rFonts w:hint="eastAsia" w:ascii="宋体" w:hAnsi="宋体" w:cs="宋体"/>
                <w:sz w:val="24"/>
                <w:szCs w:val="24"/>
                <w:highlight w:val="none"/>
              </w:rPr>
            </w:pPr>
            <w:r>
              <w:rPr>
                <w:rFonts w:hint="eastAsia" w:ascii="宋体" w:hAnsi="宋体" w:cs="宋体"/>
                <w:sz w:val="24"/>
                <w:szCs w:val="24"/>
                <w:highlight w:val="none"/>
              </w:rPr>
              <w:t>分值分配</w:t>
            </w:r>
          </w:p>
        </w:tc>
      </w:tr>
      <w:tr w14:paraId="2CDFF3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050" w:type="pct"/>
            <w:noWrap w:val="0"/>
            <w:vAlign w:val="center"/>
          </w:tcPr>
          <w:p w14:paraId="7E62569D">
            <w:pPr>
              <w:pStyle w:val="12"/>
              <w:spacing w:line="480" w:lineRule="exact"/>
              <w:ind w:firstLine="0"/>
              <w:jc w:val="center"/>
              <w:rPr>
                <w:rFonts w:hint="eastAsia" w:ascii="宋体" w:hAnsi="宋体" w:cs="宋体"/>
                <w:sz w:val="24"/>
                <w:szCs w:val="24"/>
                <w:highlight w:val="none"/>
              </w:rPr>
            </w:pPr>
            <w:r>
              <w:rPr>
                <w:rFonts w:hint="eastAsia" w:ascii="宋体" w:hAnsi="宋体" w:cs="宋体"/>
                <w:sz w:val="24"/>
                <w:szCs w:val="24"/>
                <w:highlight w:val="none"/>
              </w:rPr>
              <w:t>投标报价</w:t>
            </w:r>
          </w:p>
        </w:tc>
        <w:tc>
          <w:tcPr>
            <w:tcW w:w="861" w:type="pct"/>
            <w:noWrap w:val="0"/>
            <w:vAlign w:val="center"/>
          </w:tcPr>
          <w:p w14:paraId="168AFB9D">
            <w:pPr>
              <w:pStyle w:val="12"/>
              <w:spacing w:line="480" w:lineRule="exact"/>
              <w:ind w:firstLine="0"/>
              <w:jc w:val="center"/>
              <w:rPr>
                <w:rFonts w:ascii="宋体" w:hAnsi="宋体" w:cs="宋体"/>
                <w:sz w:val="24"/>
                <w:szCs w:val="24"/>
                <w:highlight w:val="none"/>
              </w:rPr>
            </w:pPr>
            <w:r>
              <w:rPr>
                <w:rFonts w:hint="eastAsia" w:ascii="宋体" w:hAnsi="宋体" w:cs="宋体"/>
                <w:sz w:val="24"/>
                <w:szCs w:val="24"/>
                <w:highlight w:val="none"/>
              </w:rPr>
              <w:t>0.</w:t>
            </w:r>
            <w:r>
              <w:rPr>
                <w:rFonts w:hint="eastAsia" w:ascii="宋体" w:hAnsi="宋体" w:cs="宋体"/>
                <w:sz w:val="24"/>
                <w:szCs w:val="24"/>
                <w:highlight w:val="none"/>
                <w:lang w:val="en-US" w:eastAsia="zh-CN"/>
              </w:rPr>
              <w:t>3</w:t>
            </w:r>
            <w:r>
              <w:rPr>
                <w:rFonts w:hint="eastAsia" w:ascii="宋体" w:hAnsi="宋体" w:cs="宋体"/>
                <w:sz w:val="24"/>
                <w:szCs w:val="24"/>
                <w:highlight w:val="none"/>
              </w:rPr>
              <w:t>0</w:t>
            </w:r>
          </w:p>
        </w:tc>
        <w:tc>
          <w:tcPr>
            <w:tcW w:w="2088" w:type="pct"/>
            <w:noWrap w:val="0"/>
            <w:vAlign w:val="center"/>
          </w:tcPr>
          <w:p w14:paraId="129B19AA">
            <w:pPr>
              <w:pStyle w:val="12"/>
              <w:spacing w:line="480" w:lineRule="exact"/>
              <w:jc w:val="center"/>
              <w:rPr>
                <w:rFonts w:hint="eastAsia" w:ascii="宋体" w:hAnsi="宋体" w:cs="宋体"/>
                <w:sz w:val="24"/>
                <w:szCs w:val="24"/>
                <w:highlight w:val="none"/>
              </w:rPr>
            </w:pPr>
            <w:r>
              <w:rPr>
                <w:rFonts w:hint="eastAsia" w:ascii="宋体" w:hAnsi="宋体" w:cs="宋体"/>
                <w:sz w:val="24"/>
                <w:szCs w:val="24"/>
                <w:highlight w:val="none"/>
                <w:lang w:val="en-US" w:eastAsia="zh-CN"/>
              </w:rPr>
              <w:t>3</w:t>
            </w:r>
            <w:r>
              <w:rPr>
                <w:rFonts w:hint="eastAsia" w:ascii="宋体" w:hAnsi="宋体" w:cs="宋体"/>
                <w:sz w:val="24"/>
                <w:szCs w:val="24"/>
                <w:highlight w:val="none"/>
              </w:rPr>
              <w:t>0分</w:t>
            </w:r>
          </w:p>
        </w:tc>
      </w:tr>
      <w:tr w14:paraId="2D0A8A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050" w:type="pct"/>
            <w:noWrap w:val="0"/>
            <w:vAlign w:val="center"/>
          </w:tcPr>
          <w:p w14:paraId="170CEAD2">
            <w:pPr>
              <w:pStyle w:val="12"/>
              <w:spacing w:line="480" w:lineRule="exact"/>
              <w:ind w:firstLine="0"/>
              <w:jc w:val="center"/>
              <w:rPr>
                <w:rFonts w:hint="eastAsia" w:ascii="宋体" w:hAnsi="宋体" w:cs="宋体"/>
                <w:sz w:val="24"/>
                <w:szCs w:val="24"/>
                <w:highlight w:val="none"/>
              </w:rPr>
            </w:pPr>
            <w:r>
              <w:rPr>
                <w:rFonts w:hint="eastAsia" w:ascii="宋体" w:hAnsi="宋体"/>
                <w:bCs/>
                <w:sz w:val="24"/>
                <w:szCs w:val="24"/>
                <w:highlight w:val="none"/>
                <w:lang w:val="en-US" w:eastAsia="zh-CN"/>
              </w:rPr>
              <w:t>商务</w:t>
            </w:r>
            <w:r>
              <w:rPr>
                <w:rFonts w:ascii="宋体" w:hAnsi="宋体"/>
                <w:bCs/>
                <w:sz w:val="24"/>
                <w:szCs w:val="24"/>
                <w:highlight w:val="none"/>
              </w:rPr>
              <w:t>技</w:t>
            </w:r>
            <w:r>
              <w:rPr>
                <w:rFonts w:hint="eastAsia" w:ascii="宋体" w:hAnsi="宋体" w:cs="宋体"/>
                <w:bCs/>
                <w:sz w:val="24"/>
                <w:szCs w:val="24"/>
                <w:highlight w:val="none"/>
              </w:rPr>
              <w:t>术</w:t>
            </w:r>
            <w:r>
              <w:rPr>
                <w:rFonts w:hint="eastAsia" w:ascii="宋体" w:hAnsi="宋体" w:cs="Malgun Gothic"/>
                <w:bCs/>
                <w:sz w:val="24"/>
                <w:szCs w:val="24"/>
                <w:highlight w:val="none"/>
              </w:rPr>
              <w:t>部分</w:t>
            </w:r>
          </w:p>
        </w:tc>
        <w:tc>
          <w:tcPr>
            <w:tcW w:w="861" w:type="pct"/>
            <w:noWrap w:val="0"/>
            <w:vAlign w:val="center"/>
          </w:tcPr>
          <w:p w14:paraId="3C812057">
            <w:pPr>
              <w:pStyle w:val="12"/>
              <w:spacing w:line="480" w:lineRule="exact"/>
              <w:ind w:firstLine="0"/>
              <w:jc w:val="center"/>
              <w:rPr>
                <w:rFonts w:hint="default" w:ascii="宋体" w:hAnsi="宋体" w:eastAsia="宋体" w:cs="宋体"/>
                <w:sz w:val="24"/>
                <w:szCs w:val="24"/>
                <w:highlight w:val="none"/>
                <w:lang w:val="en-US" w:eastAsia="zh-CN"/>
              </w:rPr>
            </w:pPr>
            <w:r>
              <w:rPr>
                <w:rFonts w:hint="eastAsia" w:ascii="宋体" w:hAnsi="宋体" w:cs="宋体"/>
                <w:sz w:val="24"/>
                <w:szCs w:val="24"/>
                <w:highlight w:val="none"/>
              </w:rPr>
              <w:t>0.</w:t>
            </w:r>
            <w:r>
              <w:rPr>
                <w:rFonts w:hint="eastAsia" w:ascii="宋体" w:hAnsi="宋体" w:cs="宋体"/>
                <w:sz w:val="24"/>
                <w:szCs w:val="24"/>
                <w:highlight w:val="none"/>
                <w:lang w:val="en-US" w:eastAsia="zh-CN"/>
              </w:rPr>
              <w:t>70</w:t>
            </w:r>
          </w:p>
        </w:tc>
        <w:tc>
          <w:tcPr>
            <w:tcW w:w="2088" w:type="pct"/>
            <w:noWrap w:val="0"/>
            <w:vAlign w:val="center"/>
          </w:tcPr>
          <w:p w14:paraId="325C62BD">
            <w:pPr>
              <w:pStyle w:val="12"/>
              <w:spacing w:line="480" w:lineRule="exact"/>
              <w:jc w:val="center"/>
              <w:rPr>
                <w:rFonts w:hint="eastAsia" w:ascii="宋体" w:hAnsi="宋体" w:cs="宋体"/>
                <w:sz w:val="24"/>
                <w:szCs w:val="24"/>
                <w:highlight w:val="none"/>
              </w:rPr>
            </w:pPr>
            <w:r>
              <w:rPr>
                <w:rFonts w:hint="eastAsia" w:ascii="宋体" w:hAnsi="宋体" w:cs="宋体"/>
                <w:sz w:val="24"/>
                <w:szCs w:val="24"/>
                <w:highlight w:val="none"/>
                <w:lang w:val="en-US" w:eastAsia="zh-CN"/>
              </w:rPr>
              <w:t>70</w:t>
            </w:r>
            <w:r>
              <w:rPr>
                <w:rFonts w:hint="eastAsia" w:ascii="宋体" w:hAnsi="宋体" w:cs="宋体"/>
                <w:sz w:val="24"/>
                <w:szCs w:val="24"/>
                <w:highlight w:val="none"/>
              </w:rPr>
              <w:t>分</w:t>
            </w:r>
          </w:p>
        </w:tc>
      </w:tr>
      <w:tr w14:paraId="5DB8C1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050" w:type="pct"/>
            <w:noWrap w:val="0"/>
            <w:vAlign w:val="center"/>
          </w:tcPr>
          <w:p w14:paraId="2311424E">
            <w:pPr>
              <w:pStyle w:val="12"/>
              <w:spacing w:line="480" w:lineRule="exact"/>
              <w:ind w:firstLine="0"/>
              <w:jc w:val="center"/>
              <w:rPr>
                <w:rFonts w:hint="eastAsia" w:ascii="宋体" w:hAnsi="宋体" w:cs="宋体"/>
                <w:sz w:val="24"/>
                <w:szCs w:val="24"/>
                <w:highlight w:val="none"/>
              </w:rPr>
            </w:pPr>
            <w:r>
              <w:rPr>
                <w:rFonts w:hint="eastAsia" w:ascii="宋体" w:hAnsi="宋体" w:cs="宋体"/>
                <w:sz w:val="24"/>
                <w:szCs w:val="24"/>
                <w:highlight w:val="none"/>
              </w:rPr>
              <w:t>合计</w:t>
            </w:r>
          </w:p>
        </w:tc>
        <w:tc>
          <w:tcPr>
            <w:tcW w:w="861" w:type="pct"/>
            <w:noWrap w:val="0"/>
            <w:vAlign w:val="center"/>
          </w:tcPr>
          <w:p w14:paraId="58669D16">
            <w:pPr>
              <w:pStyle w:val="12"/>
              <w:spacing w:line="480" w:lineRule="exact"/>
              <w:ind w:firstLine="0"/>
              <w:jc w:val="center"/>
              <w:rPr>
                <w:rFonts w:hint="eastAsia" w:ascii="宋体" w:hAnsi="宋体" w:cs="宋体"/>
                <w:sz w:val="24"/>
                <w:szCs w:val="24"/>
                <w:highlight w:val="none"/>
              </w:rPr>
            </w:pPr>
            <w:r>
              <w:rPr>
                <w:rFonts w:hint="eastAsia" w:ascii="宋体" w:hAnsi="宋体" w:cs="宋体"/>
                <w:sz w:val="24"/>
                <w:szCs w:val="24"/>
                <w:highlight w:val="none"/>
              </w:rPr>
              <w:t>1</w:t>
            </w:r>
          </w:p>
        </w:tc>
        <w:tc>
          <w:tcPr>
            <w:tcW w:w="2088" w:type="pct"/>
            <w:noWrap w:val="0"/>
            <w:vAlign w:val="center"/>
          </w:tcPr>
          <w:p w14:paraId="3D5BD086">
            <w:pPr>
              <w:pStyle w:val="12"/>
              <w:spacing w:line="480" w:lineRule="exact"/>
              <w:jc w:val="center"/>
              <w:rPr>
                <w:rFonts w:hint="eastAsia" w:ascii="宋体" w:hAnsi="宋体" w:cs="宋体"/>
                <w:sz w:val="24"/>
                <w:szCs w:val="24"/>
                <w:highlight w:val="none"/>
              </w:rPr>
            </w:pPr>
            <w:r>
              <w:rPr>
                <w:rFonts w:hint="eastAsia" w:ascii="宋体" w:hAnsi="宋体" w:cs="宋体"/>
                <w:sz w:val="24"/>
                <w:szCs w:val="24"/>
                <w:highlight w:val="none"/>
              </w:rPr>
              <w:t>100分</w:t>
            </w:r>
          </w:p>
        </w:tc>
      </w:tr>
    </w:tbl>
    <w:p w14:paraId="4B215DEF">
      <w:pPr>
        <w:pStyle w:val="12"/>
        <w:spacing w:line="480" w:lineRule="exact"/>
        <w:ind w:firstLine="480" w:firstLineChars="200"/>
        <w:rPr>
          <w:rFonts w:hint="eastAsia" w:ascii="宋体" w:hAnsi="宋体" w:cs="宋体"/>
          <w:sz w:val="24"/>
          <w:szCs w:val="24"/>
          <w:highlight w:val="none"/>
        </w:rPr>
      </w:pPr>
      <w:r>
        <w:rPr>
          <w:rFonts w:hint="eastAsia" w:ascii="宋体" w:hAnsi="宋体" w:cs="宋体"/>
          <w:sz w:val="24"/>
          <w:szCs w:val="24"/>
          <w:highlight w:val="none"/>
        </w:rPr>
        <w:t>具体评审细则如下：</w:t>
      </w:r>
    </w:p>
    <w:tbl>
      <w:tblPr>
        <w:tblStyle w:val="27"/>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61"/>
        <w:gridCol w:w="897"/>
        <w:gridCol w:w="751"/>
        <w:gridCol w:w="7015"/>
      </w:tblGrid>
      <w:tr w14:paraId="58EAB1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99" w:type="pct"/>
            <w:shd w:val="clear" w:color="auto" w:fill="E0E0E0"/>
            <w:noWrap w:val="0"/>
            <w:vAlign w:val="center"/>
          </w:tcPr>
          <w:p w14:paraId="4C7EC475">
            <w:pPr>
              <w:snapToGrid w:val="0"/>
              <w:spacing w:line="440" w:lineRule="exact"/>
              <w:jc w:val="center"/>
              <w:rPr>
                <w:rFonts w:hint="eastAsia" w:ascii="宋体" w:hAnsi="宋体"/>
                <w:b/>
                <w:sz w:val="24"/>
                <w:highlight w:val="none"/>
              </w:rPr>
            </w:pPr>
            <w:bookmarkStart w:id="197" w:name="_Hlk22646381"/>
            <w:r>
              <w:rPr>
                <w:rFonts w:hint="eastAsia" w:ascii="宋体" w:hAnsi="宋体"/>
                <w:b/>
                <w:sz w:val="24"/>
                <w:highlight w:val="none"/>
              </w:rPr>
              <w:t>评分因素</w:t>
            </w:r>
          </w:p>
        </w:tc>
        <w:tc>
          <w:tcPr>
            <w:tcW w:w="466" w:type="pct"/>
            <w:shd w:val="clear" w:color="auto" w:fill="E0E0E0"/>
            <w:noWrap w:val="0"/>
            <w:vAlign w:val="center"/>
          </w:tcPr>
          <w:p w14:paraId="65FB15DE">
            <w:pPr>
              <w:snapToGrid w:val="0"/>
              <w:spacing w:line="440" w:lineRule="exact"/>
              <w:jc w:val="center"/>
              <w:rPr>
                <w:rFonts w:hint="eastAsia" w:ascii="宋体" w:hAnsi="宋体"/>
                <w:b/>
                <w:sz w:val="24"/>
                <w:highlight w:val="none"/>
              </w:rPr>
            </w:pPr>
            <w:r>
              <w:rPr>
                <w:rFonts w:hint="eastAsia" w:ascii="宋体" w:hAnsi="宋体"/>
                <w:b/>
                <w:sz w:val="24"/>
                <w:highlight w:val="none"/>
              </w:rPr>
              <w:t>内容</w:t>
            </w:r>
          </w:p>
        </w:tc>
        <w:tc>
          <w:tcPr>
            <w:tcW w:w="390" w:type="pct"/>
            <w:shd w:val="clear" w:color="auto" w:fill="E0E0E0"/>
            <w:noWrap w:val="0"/>
            <w:vAlign w:val="center"/>
          </w:tcPr>
          <w:p w14:paraId="19F996D1">
            <w:pPr>
              <w:snapToGrid w:val="0"/>
              <w:spacing w:line="440" w:lineRule="exact"/>
              <w:jc w:val="center"/>
              <w:rPr>
                <w:rFonts w:hint="eastAsia" w:ascii="宋体" w:hAnsi="宋体"/>
                <w:b/>
                <w:sz w:val="24"/>
                <w:highlight w:val="none"/>
              </w:rPr>
            </w:pPr>
            <w:r>
              <w:rPr>
                <w:rFonts w:hint="eastAsia" w:ascii="宋体" w:hAnsi="宋体"/>
                <w:b/>
                <w:sz w:val="24"/>
                <w:highlight w:val="none"/>
              </w:rPr>
              <w:t>分值</w:t>
            </w:r>
          </w:p>
        </w:tc>
        <w:tc>
          <w:tcPr>
            <w:tcW w:w="3643" w:type="pct"/>
            <w:shd w:val="clear" w:color="auto" w:fill="E0E0E0"/>
            <w:noWrap w:val="0"/>
            <w:vAlign w:val="center"/>
          </w:tcPr>
          <w:p w14:paraId="506FCA5B">
            <w:pPr>
              <w:adjustRightInd w:val="0"/>
              <w:snapToGrid w:val="0"/>
              <w:spacing w:line="440" w:lineRule="exact"/>
              <w:jc w:val="center"/>
              <w:rPr>
                <w:rFonts w:ascii="宋体" w:hAnsi="宋体"/>
                <w:b/>
                <w:sz w:val="24"/>
                <w:highlight w:val="none"/>
              </w:rPr>
            </w:pPr>
            <w:r>
              <w:rPr>
                <w:rFonts w:hint="eastAsia" w:ascii="宋体" w:hAnsi="宋体"/>
                <w:b/>
                <w:sz w:val="24"/>
                <w:highlight w:val="none"/>
              </w:rPr>
              <w:t>评审标准</w:t>
            </w:r>
          </w:p>
        </w:tc>
      </w:tr>
      <w:tr w14:paraId="413063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99" w:type="pct"/>
            <w:noWrap w:val="0"/>
            <w:vAlign w:val="center"/>
          </w:tcPr>
          <w:p w14:paraId="63AD73B3">
            <w:pPr>
              <w:spacing w:line="440" w:lineRule="exact"/>
              <w:jc w:val="center"/>
              <w:rPr>
                <w:rFonts w:hint="eastAsia" w:ascii="宋体" w:hAnsi="宋体"/>
                <w:bCs/>
                <w:sz w:val="24"/>
                <w:highlight w:val="none"/>
              </w:rPr>
            </w:pPr>
            <w:r>
              <w:rPr>
                <w:rFonts w:hint="eastAsia" w:ascii="宋体" w:hAnsi="宋体"/>
                <w:bCs/>
                <w:sz w:val="24"/>
                <w:highlight w:val="none"/>
              </w:rPr>
              <w:t>投</w:t>
            </w:r>
            <w:r>
              <w:rPr>
                <w:rFonts w:hint="eastAsia" w:ascii="宋体" w:hAnsi="宋体" w:cs="宋体"/>
                <w:bCs/>
                <w:sz w:val="24"/>
                <w:highlight w:val="none"/>
              </w:rPr>
              <w:t>标报</w:t>
            </w:r>
            <w:r>
              <w:rPr>
                <w:rFonts w:hint="eastAsia" w:ascii="宋体" w:hAnsi="宋体" w:cs="Malgun Gothic"/>
                <w:bCs/>
                <w:sz w:val="24"/>
                <w:highlight w:val="none"/>
              </w:rPr>
              <w:t>价</w:t>
            </w:r>
            <w:r>
              <w:rPr>
                <w:rFonts w:hint="eastAsia" w:ascii="宋体" w:hAnsi="宋体" w:cs="宋体"/>
                <w:bCs/>
                <w:sz w:val="24"/>
                <w:highlight w:val="none"/>
              </w:rPr>
              <w:t>评审</w:t>
            </w:r>
          </w:p>
        </w:tc>
        <w:tc>
          <w:tcPr>
            <w:tcW w:w="466" w:type="pct"/>
            <w:noWrap w:val="0"/>
            <w:vAlign w:val="center"/>
          </w:tcPr>
          <w:p w14:paraId="5C60EF21">
            <w:pPr>
              <w:spacing w:line="440" w:lineRule="exact"/>
              <w:jc w:val="center"/>
              <w:rPr>
                <w:rFonts w:hint="eastAsia" w:ascii="宋体" w:hAnsi="宋体"/>
                <w:bCs/>
                <w:sz w:val="24"/>
                <w:highlight w:val="none"/>
              </w:rPr>
            </w:pPr>
            <w:r>
              <w:rPr>
                <w:rFonts w:hint="eastAsia" w:ascii="宋体" w:hAnsi="宋体"/>
                <w:bCs/>
                <w:sz w:val="24"/>
                <w:highlight w:val="none"/>
              </w:rPr>
              <w:t>投</w:t>
            </w:r>
            <w:r>
              <w:rPr>
                <w:rFonts w:hint="eastAsia" w:ascii="宋体" w:hAnsi="宋体" w:cs="宋体"/>
                <w:bCs/>
                <w:sz w:val="24"/>
                <w:highlight w:val="none"/>
              </w:rPr>
              <w:t>标报</w:t>
            </w:r>
            <w:r>
              <w:rPr>
                <w:rFonts w:hint="eastAsia" w:ascii="宋体" w:hAnsi="宋体" w:cs="Malgun Gothic"/>
                <w:bCs/>
                <w:sz w:val="24"/>
                <w:highlight w:val="none"/>
              </w:rPr>
              <w:t>价</w:t>
            </w:r>
          </w:p>
        </w:tc>
        <w:tc>
          <w:tcPr>
            <w:tcW w:w="390" w:type="pct"/>
            <w:noWrap w:val="0"/>
            <w:vAlign w:val="center"/>
          </w:tcPr>
          <w:p w14:paraId="6A462D12">
            <w:pPr>
              <w:spacing w:line="440" w:lineRule="exact"/>
              <w:jc w:val="center"/>
              <w:rPr>
                <w:rFonts w:hint="eastAsia" w:ascii="宋体" w:hAnsi="宋体"/>
                <w:bCs/>
                <w:sz w:val="24"/>
                <w:highlight w:val="none"/>
              </w:rPr>
            </w:pPr>
            <w:r>
              <w:rPr>
                <w:rFonts w:hint="eastAsia" w:ascii="宋体" w:hAnsi="宋体"/>
                <w:bCs/>
                <w:sz w:val="24"/>
                <w:highlight w:val="none"/>
                <w:lang w:val="en-US" w:eastAsia="zh-CN"/>
              </w:rPr>
              <w:t>3</w:t>
            </w:r>
            <w:r>
              <w:rPr>
                <w:rFonts w:hint="eastAsia" w:ascii="宋体" w:hAnsi="宋体"/>
                <w:bCs/>
                <w:sz w:val="24"/>
                <w:highlight w:val="none"/>
              </w:rPr>
              <w:t>0分</w:t>
            </w:r>
          </w:p>
        </w:tc>
        <w:tc>
          <w:tcPr>
            <w:tcW w:w="3643" w:type="pct"/>
            <w:noWrap w:val="0"/>
            <w:vAlign w:val="center"/>
          </w:tcPr>
          <w:p w14:paraId="372C7F69">
            <w:pPr>
              <w:adjustRightInd w:val="0"/>
              <w:snapToGrid w:val="0"/>
              <w:spacing w:line="440" w:lineRule="exact"/>
              <w:rPr>
                <w:rFonts w:hint="eastAsia" w:ascii="宋体" w:hAnsi="宋体" w:cs="宋体"/>
                <w:spacing w:val="6"/>
                <w:sz w:val="24"/>
                <w:szCs w:val="24"/>
                <w:highlight w:val="none"/>
              </w:rPr>
            </w:pPr>
            <w:r>
              <w:rPr>
                <w:rFonts w:hint="eastAsia" w:ascii="宋体" w:hAnsi="宋体" w:cs="宋体"/>
                <w:spacing w:val="6"/>
                <w:sz w:val="24"/>
                <w:szCs w:val="24"/>
                <w:highlight w:val="none"/>
              </w:rPr>
              <w:t>根据各投标人投标报价按照以下规则进行打分。</w:t>
            </w:r>
          </w:p>
          <w:p w14:paraId="64488470">
            <w:pPr>
              <w:adjustRightInd w:val="0"/>
              <w:snapToGrid w:val="0"/>
              <w:spacing w:line="440" w:lineRule="exact"/>
              <w:rPr>
                <w:rFonts w:hint="eastAsia" w:ascii="宋体" w:hAnsi="宋体" w:cs="宋体"/>
                <w:b/>
                <w:bCs/>
                <w:sz w:val="24"/>
                <w:szCs w:val="24"/>
                <w:highlight w:val="none"/>
              </w:rPr>
            </w:pPr>
            <w:r>
              <w:rPr>
                <w:rFonts w:hint="eastAsia" w:ascii="宋体" w:hAnsi="宋体" w:cs="宋体"/>
                <w:b/>
                <w:bCs/>
                <w:sz w:val="24"/>
                <w:szCs w:val="24"/>
                <w:highlight w:val="none"/>
              </w:rPr>
              <w:t>(1)算术修正报价</w:t>
            </w:r>
          </w:p>
          <w:p w14:paraId="353FF357">
            <w:pPr>
              <w:adjustRightInd w:val="0"/>
              <w:snapToGrid w:val="0"/>
              <w:spacing w:line="440" w:lineRule="exact"/>
              <w:rPr>
                <w:rFonts w:hint="eastAsia" w:ascii="宋体" w:hAnsi="宋体" w:cs="宋体"/>
                <w:sz w:val="24"/>
                <w:szCs w:val="24"/>
                <w:highlight w:val="none"/>
              </w:rPr>
            </w:pPr>
            <w:r>
              <w:rPr>
                <w:rFonts w:hint="eastAsia" w:ascii="宋体" w:hAnsi="宋体" w:cs="宋体"/>
                <w:sz w:val="24"/>
                <w:szCs w:val="24"/>
                <w:highlight w:val="none"/>
              </w:rPr>
              <w:t>若存在算术修正，应按修正后的投标报价进行评标基准价和投标报价得分计算</w:t>
            </w:r>
          </w:p>
          <w:p w14:paraId="5525F234">
            <w:pPr>
              <w:adjustRightInd w:val="0"/>
              <w:snapToGrid w:val="0"/>
              <w:spacing w:line="440" w:lineRule="exact"/>
              <w:rPr>
                <w:rFonts w:hint="eastAsia" w:ascii="宋体" w:hAnsi="宋体" w:cs="宋体"/>
                <w:b/>
                <w:bCs/>
                <w:spacing w:val="6"/>
                <w:sz w:val="24"/>
                <w:szCs w:val="24"/>
                <w:highlight w:val="none"/>
              </w:rPr>
            </w:pPr>
            <w:r>
              <w:rPr>
                <w:rFonts w:hint="eastAsia" w:ascii="宋体" w:hAnsi="宋体" w:cs="宋体"/>
                <w:b/>
                <w:bCs/>
                <w:spacing w:val="6"/>
                <w:sz w:val="24"/>
                <w:szCs w:val="24"/>
                <w:highlight w:val="none"/>
              </w:rPr>
              <w:t>(2)政策优惠报价--小微企业或</w:t>
            </w:r>
            <w:r>
              <w:rPr>
                <w:rFonts w:hint="eastAsia" w:ascii="宋体" w:hAnsi="宋体" w:cs="宋体"/>
                <w:b/>
                <w:bCs/>
                <w:sz w:val="24"/>
                <w:szCs w:val="24"/>
                <w:highlight w:val="none"/>
              </w:rPr>
              <w:t>监狱企业或残疾人福利性单位</w:t>
            </w:r>
            <w:r>
              <w:rPr>
                <w:rFonts w:hint="eastAsia" w:ascii="宋体" w:hAnsi="宋体" w:cs="宋体"/>
                <w:b/>
                <w:bCs/>
                <w:spacing w:val="6"/>
                <w:sz w:val="24"/>
                <w:szCs w:val="24"/>
                <w:highlight w:val="none"/>
              </w:rPr>
              <w:t>政策</w:t>
            </w:r>
          </w:p>
          <w:p w14:paraId="7E9205E7">
            <w:pPr>
              <w:spacing w:line="440" w:lineRule="exact"/>
              <w:rPr>
                <w:rFonts w:hint="eastAsia" w:ascii="宋体" w:hAnsi="宋体" w:cs="宋体"/>
                <w:sz w:val="24"/>
                <w:szCs w:val="24"/>
                <w:highlight w:val="none"/>
              </w:rPr>
            </w:pPr>
            <w:r>
              <w:rPr>
                <w:rFonts w:hint="eastAsia" w:ascii="宋体" w:hAnsi="宋体" w:cs="宋体"/>
                <w:sz w:val="24"/>
                <w:szCs w:val="24"/>
                <w:highlight w:val="none"/>
              </w:rPr>
              <w:t>若存在符合条件的小微企业或监狱企业或残疾人福利性单位给予的报价优惠的情形，用扣除后的投标报价进行评标基准价和投标报价得分计算。</w:t>
            </w:r>
            <w:r>
              <w:rPr>
                <w:rFonts w:hint="eastAsia" w:ascii="宋体" w:hAnsi="宋体" w:cs="宋体"/>
                <w:b/>
                <w:bCs/>
                <w:sz w:val="24"/>
                <w:highlight w:val="none"/>
              </w:rPr>
              <w:t>对于同时属于小微企业、监狱企业或残疾人福利性单位的，不重复进行投标报价扣除。</w:t>
            </w:r>
            <w:r>
              <w:rPr>
                <w:rFonts w:hint="eastAsia" w:ascii="宋体" w:hAnsi="宋体" w:cs="宋体"/>
                <w:sz w:val="24"/>
                <w:szCs w:val="24"/>
                <w:highlight w:val="none"/>
              </w:rPr>
              <w:t>若同时存在算术修正，应在算术修正后的报价基础上进行优惠报价的扣除。</w:t>
            </w:r>
          </w:p>
          <w:p w14:paraId="78B8FBB0">
            <w:pPr>
              <w:autoSpaceDE w:val="0"/>
              <w:autoSpaceDN w:val="0"/>
              <w:spacing w:line="440" w:lineRule="exact"/>
              <w:rPr>
                <w:rFonts w:hint="eastAsia" w:ascii="宋体" w:hAnsi="宋体" w:cs="宋体"/>
                <w:sz w:val="24"/>
                <w:szCs w:val="24"/>
                <w:highlight w:val="none"/>
              </w:rPr>
            </w:pPr>
            <w:r>
              <w:rPr>
                <w:rFonts w:hint="eastAsia" w:ascii="宋体" w:hAnsi="宋体" w:cs="宋体"/>
                <w:b/>
                <w:bCs/>
                <w:spacing w:val="6"/>
                <w:sz w:val="24"/>
                <w:szCs w:val="24"/>
                <w:highlight w:val="none"/>
              </w:rPr>
              <w:t>(3)评标基准价</w:t>
            </w:r>
            <w:r>
              <w:rPr>
                <w:rFonts w:hint="eastAsia" w:ascii="宋体" w:hAnsi="宋体" w:cs="宋体"/>
                <w:sz w:val="24"/>
                <w:szCs w:val="24"/>
                <w:highlight w:val="none"/>
              </w:rPr>
              <w:t>＝满足招标文件要求且投标价格最低的投标报价为评标基准价；</w:t>
            </w:r>
          </w:p>
          <w:p w14:paraId="454F1BCF">
            <w:pPr>
              <w:adjustRightInd w:val="0"/>
              <w:snapToGrid w:val="0"/>
              <w:spacing w:line="440" w:lineRule="exact"/>
              <w:rPr>
                <w:rFonts w:hint="eastAsia" w:ascii="宋体" w:hAnsi="宋体" w:cs="宋体"/>
                <w:sz w:val="24"/>
                <w:szCs w:val="24"/>
                <w:highlight w:val="none"/>
              </w:rPr>
            </w:pPr>
            <w:r>
              <w:rPr>
                <w:rFonts w:hint="eastAsia" w:ascii="宋体" w:hAnsi="宋体" w:cs="宋体"/>
                <w:b/>
                <w:bCs/>
                <w:spacing w:val="6"/>
                <w:sz w:val="24"/>
                <w:szCs w:val="24"/>
                <w:highlight w:val="none"/>
              </w:rPr>
              <w:t>(4)得分计算</w:t>
            </w:r>
            <w:r>
              <w:rPr>
                <w:rFonts w:hint="eastAsia" w:ascii="宋体" w:hAnsi="宋体" w:cs="宋体"/>
                <w:spacing w:val="6"/>
                <w:sz w:val="24"/>
                <w:szCs w:val="24"/>
                <w:highlight w:val="none"/>
              </w:rPr>
              <w:t>：</w:t>
            </w:r>
            <w:r>
              <w:rPr>
                <w:rFonts w:hint="eastAsia" w:ascii="宋体" w:hAnsi="宋体" w:cs="宋体"/>
                <w:sz w:val="24"/>
                <w:szCs w:val="24"/>
                <w:highlight w:val="none"/>
              </w:rPr>
              <w:t>满足招标文件要求且投标价格最低的投标报价，其价格分为满分。其他投标人的价格分统一按照下列公式计算：</w:t>
            </w:r>
          </w:p>
          <w:p w14:paraId="252E1AF7">
            <w:pPr>
              <w:spacing w:line="440" w:lineRule="exact"/>
              <w:rPr>
                <w:rFonts w:hint="default" w:ascii="宋体" w:hAnsi="宋体" w:eastAsia="宋体" w:cs="宋体"/>
                <w:b/>
                <w:bCs/>
                <w:sz w:val="24"/>
                <w:szCs w:val="24"/>
                <w:highlight w:val="none"/>
                <w:lang w:val="en-US" w:eastAsia="zh-CN"/>
              </w:rPr>
            </w:pPr>
            <w:r>
              <w:rPr>
                <w:rFonts w:hint="eastAsia" w:ascii="宋体" w:hAnsi="宋体" w:cs="宋体"/>
                <w:b/>
                <w:bCs/>
                <w:sz w:val="24"/>
                <w:szCs w:val="24"/>
                <w:highlight w:val="none"/>
              </w:rPr>
              <w:t>投标报价得分</w:t>
            </w:r>
            <w:r>
              <w:rPr>
                <w:rFonts w:hint="eastAsia" w:ascii="宋体" w:hAnsi="宋体" w:cs="宋体"/>
                <w:sz w:val="24"/>
                <w:szCs w:val="24"/>
                <w:highlight w:val="none"/>
              </w:rPr>
              <w:t>＝</w:t>
            </w:r>
            <w:r>
              <w:rPr>
                <w:rFonts w:hint="eastAsia" w:ascii="宋体" w:hAnsi="宋体" w:cs="宋体"/>
                <w:b/>
                <w:bCs/>
                <w:sz w:val="24"/>
                <w:szCs w:val="24"/>
                <w:highlight w:val="none"/>
              </w:rPr>
              <w:t>(评标基准价/投标报价)×</w:t>
            </w:r>
            <w:r>
              <w:rPr>
                <w:rFonts w:hint="eastAsia" w:ascii="宋体" w:hAnsi="宋体" w:cs="宋体"/>
                <w:b/>
                <w:bCs/>
                <w:sz w:val="24"/>
                <w:szCs w:val="24"/>
                <w:highlight w:val="none"/>
                <w:lang w:val="en-US" w:eastAsia="zh-CN"/>
              </w:rPr>
              <w:t>30</w:t>
            </w:r>
          </w:p>
        </w:tc>
      </w:tr>
      <w:tr w14:paraId="065FE9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0" w:hRule="atLeast"/>
          <w:jc w:val="center"/>
        </w:trPr>
        <w:tc>
          <w:tcPr>
            <w:tcW w:w="499" w:type="pct"/>
            <w:vMerge w:val="restart"/>
            <w:noWrap w:val="0"/>
            <w:vAlign w:val="center"/>
          </w:tcPr>
          <w:p w14:paraId="54A65C60">
            <w:pPr>
              <w:spacing w:line="440" w:lineRule="exact"/>
              <w:jc w:val="center"/>
              <w:rPr>
                <w:rFonts w:hint="eastAsia" w:ascii="宋体" w:hAnsi="宋体"/>
                <w:bCs/>
                <w:sz w:val="24"/>
                <w:szCs w:val="24"/>
                <w:highlight w:val="none"/>
              </w:rPr>
            </w:pPr>
            <w:r>
              <w:rPr>
                <w:rFonts w:hint="eastAsia" w:ascii="宋体" w:hAnsi="宋体"/>
                <w:bCs/>
                <w:sz w:val="24"/>
                <w:szCs w:val="24"/>
                <w:highlight w:val="none"/>
                <w:lang w:val="en-US" w:eastAsia="zh-CN"/>
              </w:rPr>
              <w:t>商务</w:t>
            </w:r>
            <w:r>
              <w:rPr>
                <w:rFonts w:ascii="宋体" w:hAnsi="宋体"/>
                <w:bCs/>
                <w:sz w:val="24"/>
                <w:szCs w:val="24"/>
                <w:highlight w:val="none"/>
              </w:rPr>
              <w:t>技</w:t>
            </w:r>
            <w:r>
              <w:rPr>
                <w:rFonts w:hint="eastAsia" w:ascii="宋体" w:hAnsi="宋体" w:cs="宋体"/>
                <w:bCs/>
                <w:sz w:val="24"/>
                <w:szCs w:val="24"/>
                <w:highlight w:val="none"/>
              </w:rPr>
              <w:t>术</w:t>
            </w:r>
            <w:r>
              <w:rPr>
                <w:rFonts w:hint="eastAsia" w:ascii="宋体" w:hAnsi="宋体" w:cs="Malgun Gothic"/>
                <w:bCs/>
                <w:sz w:val="24"/>
                <w:szCs w:val="24"/>
                <w:highlight w:val="none"/>
              </w:rPr>
              <w:t>部分</w:t>
            </w:r>
            <w:r>
              <w:rPr>
                <w:rFonts w:hint="eastAsia" w:ascii="宋体" w:hAnsi="宋体" w:cs="宋体"/>
                <w:bCs/>
                <w:sz w:val="24"/>
                <w:highlight w:val="none"/>
              </w:rPr>
              <w:t>评审</w:t>
            </w:r>
          </w:p>
        </w:tc>
        <w:tc>
          <w:tcPr>
            <w:tcW w:w="466" w:type="pct"/>
            <w:noWrap w:val="0"/>
            <w:vAlign w:val="center"/>
          </w:tcPr>
          <w:p w14:paraId="56DEDBE3">
            <w:pPr>
              <w:spacing w:line="440" w:lineRule="exact"/>
              <w:jc w:val="center"/>
              <w:rPr>
                <w:rFonts w:hint="eastAsia" w:ascii="宋体" w:hAnsi="宋体" w:eastAsia="宋体" w:cs="宋体"/>
                <w:sz w:val="24"/>
                <w:szCs w:val="24"/>
                <w:highlight w:val="none"/>
                <w:lang w:eastAsia="zh-CN"/>
              </w:rPr>
            </w:pPr>
            <w:r>
              <w:rPr>
                <w:rFonts w:hint="eastAsia" w:ascii="宋体" w:hAnsi="宋体" w:cs="宋体"/>
                <w:sz w:val="24"/>
                <w:szCs w:val="24"/>
                <w:highlight w:val="none"/>
                <w:lang w:val="en-US" w:eastAsia="zh-CN"/>
              </w:rPr>
              <w:t>(1)</w:t>
            </w:r>
            <w:r>
              <w:rPr>
                <w:rFonts w:hint="eastAsia" w:ascii="宋体" w:hAnsi="宋体" w:cs="宋体"/>
                <w:sz w:val="24"/>
                <w:szCs w:val="24"/>
                <w:highlight w:val="none"/>
              </w:rPr>
              <w:t>技术</w:t>
            </w:r>
            <w:r>
              <w:rPr>
                <w:rFonts w:hint="eastAsia" w:ascii="宋体" w:hAnsi="宋体" w:cs="宋体"/>
                <w:sz w:val="24"/>
                <w:szCs w:val="24"/>
                <w:highlight w:val="none"/>
                <w:lang w:val="en-US" w:eastAsia="zh-CN"/>
              </w:rPr>
              <w:t>参数要求</w:t>
            </w:r>
          </w:p>
        </w:tc>
        <w:tc>
          <w:tcPr>
            <w:tcW w:w="390" w:type="pct"/>
            <w:noWrap w:val="0"/>
            <w:vAlign w:val="center"/>
          </w:tcPr>
          <w:p w14:paraId="7AD35406">
            <w:pPr>
              <w:spacing w:line="440" w:lineRule="exact"/>
              <w:jc w:val="center"/>
              <w:rPr>
                <w:rFonts w:hint="eastAsia" w:ascii="宋体" w:hAnsi="宋体"/>
                <w:bCs/>
                <w:sz w:val="24"/>
                <w:szCs w:val="24"/>
                <w:highlight w:val="none"/>
              </w:rPr>
            </w:pPr>
            <w:r>
              <w:rPr>
                <w:rFonts w:hint="eastAsia" w:ascii="宋体" w:hAnsi="宋体" w:cs="宋体"/>
                <w:sz w:val="24"/>
                <w:szCs w:val="24"/>
                <w:highlight w:val="none"/>
                <w:lang w:val="en-US" w:eastAsia="zh-CN"/>
              </w:rPr>
              <w:t>33</w:t>
            </w:r>
            <w:r>
              <w:rPr>
                <w:rFonts w:hint="eastAsia" w:ascii="宋体" w:hAnsi="宋体" w:cs="宋体"/>
                <w:sz w:val="24"/>
                <w:szCs w:val="24"/>
                <w:highlight w:val="none"/>
              </w:rPr>
              <w:t>分</w:t>
            </w:r>
          </w:p>
        </w:tc>
        <w:tc>
          <w:tcPr>
            <w:tcW w:w="3643" w:type="pct"/>
            <w:noWrap w:val="0"/>
            <w:vAlign w:val="center"/>
          </w:tcPr>
          <w:p w14:paraId="2479A146">
            <w:pPr>
              <w:spacing w:line="360" w:lineRule="auto"/>
              <w:rPr>
                <w:rFonts w:hint="eastAsia" w:ascii="宋体" w:hAnsi="宋体" w:eastAsia="宋体" w:cs="宋体"/>
                <w:b/>
                <w:sz w:val="24"/>
                <w:szCs w:val="24"/>
                <w:highlight w:val="none"/>
                <w:lang w:eastAsia="zh-CN"/>
              </w:rPr>
            </w:pPr>
            <w:r>
              <w:rPr>
                <w:rFonts w:hint="eastAsia" w:ascii="宋体" w:hAnsi="宋体"/>
                <w:b/>
                <w:sz w:val="24"/>
                <w:szCs w:val="24"/>
                <w:highlight w:val="none"/>
              </w:rPr>
              <w:t>所投产品的技术参数</w:t>
            </w:r>
            <w:r>
              <w:rPr>
                <w:rFonts w:hint="eastAsia" w:ascii="宋体" w:hAnsi="宋体"/>
                <w:b/>
                <w:sz w:val="24"/>
                <w:szCs w:val="24"/>
                <w:highlight w:val="none"/>
                <w:lang w:val="en-US" w:eastAsia="zh-CN"/>
              </w:rPr>
              <w:t>及要求</w:t>
            </w:r>
            <w:r>
              <w:rPr>
                <w:rFonts w:hint="eastAsia" w:ascii="宋体" w:hAnsi="宋体"/>
                <w:b/>
                <w:sz w:val="24"/>
                <w:szCs w:val="24"/>
                <w:highlight w:val="none"/>
              </w:rPr>
              <w:t>完全满足招标文件要求的得</w:t>
            </w:r>
            <w:r>
              <w:rPr>
                <w:rFonts w:hint="eastAsia" w:ascii="宋体" w:hAnsi="宋体"/>
                <w:b/>
                <w:sz w:val="24"/>
                <w:szCs w:val="24"/>
                <w:highlight w:val="none"/>
                <w:lang w:val="en-US" w:eastAsia="zh-CN"/>
              </w:rPr>
              <w:t>满分33</w:t>
            </w:r>
            <w:r>
              <w:rPr>
                <w:rFonts w:hint="eastAsia" w:ascii="宋体" w:hAnsi="宋体"/>
                <w:b/>
                <w:sz w:val="24"/>
                <w:szCs w:val="24"/>
                <w:highlight w:val="none"/>
              </w:rPr>
              <w:t>分</w:t>
            </w:r>
            <w:r>
              <w:rPr>
                <w:rFonts w:hint="eastAsia" w:ascii="宋体" w:hAnsi="宋体"/>
                <w:b/>
                <w:sz w:val="24"/>
                <w:szCs w:val="24"/>
                <w:highlight w:val="none"/>
                <w:lang w:eastAsia="zh-CN"/>
              </w:rPr>
              <w:t>。</w:t>
            </w:r>
          </w:p>
          <w:p w14:paraId="5BACB4E5">
            <w:pPr>
              <w:spacing w:line="400" w:lineRule="exact"/>
              <w:rPr>
                <w:rFonts w:hint="eastAsia" w:ascii="宋体" w:hAnsi="宋体" w:cs="宋体"/>
                <w:b w:val="0"/>
                <w:bCs w:val="0"/>
                <w:color w:val="auto"/>
                <w:sz w:val="24"/>
                <w:szCs w:val="24"/>
                <w:highlight w:val="none"/>
              </w:rPr>
            </w:pPr>
            <w:r>
              <w:rPr>
                <w:rFonts w:hint="eastAsia"/>
                <w:color w:val="auto"/>
                <w:sz w:val="24"/>
                <w:szCs w:val="24"/>
                <w:highlight w:val="none"/>
              </w:rPr>
              <w:t>（</w:t>
            </w:r>
            <w:r>
              <w:rPr>
                <w:rFonts w:hint="eastAsia" w:ascii="宋体" w:hAnsi="宋体" w:cs="宋体"/>
                <w:color w:val="auto"/>
                <w:sz w:val="24"/>
                <w:szCs w:val="24"/>
                <w:highlight w:val="none"/>
              </w:rPr>
              <w:t>1）</w:t>
            </w:r>
            <w:r>
              <w:rPr>
                <w:rFonts w:hint="eastAsia" w:ascii="宋体" w:hAnsi="宋体" w:cs="宋体"/>
                <w:color w:val="auto"/>
                <w:sz w:val="24"/>
                <w:szCs w:val="24"/>
                <w:highlight w:val="none"/>
                <w:lang w:eastAsia="zh-CN"/>
              </w:rPr>
              <w:t>重要技术要求</w:t>
            </w:r>
            <w:r>
              <w:rPr>
                <w:rFonts w:hint="eastAsia" w:ascii="宋体" w:hAnsi="宋体" w:cs="宋体"/>
                <w:color w:val="auto"/>
                <w:sz w:val="24"/>
                <w:szCs w:val="24"/>
                <w:highlight w:val="none"/>
              </w:rPr>
              <w:t>（满分</w:t>
            </w:r>
            <w:r>
              <w:rPr>
                <w:rFonts w:hint="eastAsia" w:ascii="宋体" w:hAnsi="宋体" w:cs="宋体"/>
                <w:color w:val="auto"/>
                <w:sz w:val="24"/>
                <w:szCs w:val="24"/>
                <w:highlight w:val="none"/>
                <w:lang w:val="en-US" w:eastAsia="zh-CN"/>
              </w:rPr>
              <w:t>31</w:t>
            </w:r>
            <w:r>
              <w:rPr>
                <w:rFonts w:hint="eastAsia" w:ascii="宋体" w:hAnsi="宋体" w:cs="宋体"/>
                <w:b w:val="0"/>
                <w:bCs w:val="0"/>
                <w:color w:val="auto"/>
                <w:sz w:val="24"/>
                <w:szCs w:val="24"/>
                <w:highlight w:val="none"/>
                <w:lang w:eastAsia="zh-CN"/>
              </w:rPr>
              <w:t>术要求</w:t>
            </w:r>
            <w:r>
              <w:rPr>
                <w:rFonts w:hint="eastAsia" w:ascii="宋体" w:hAnsi="宋体"/>
                <w:b w:val="0"/>
                <w:bCs w:val="0"/>
                <w:sz w:val="24"/>
                <w:szCs w:val="24"/>
                <w:highlight w:val="none"/>
              </w:rPr>
              <w:t>（</w:t>
            </w:r>
            <w:r>
              <w:rPr>
                <w:rFonts w:hint="eastAsia" w:ascii="宋体" w:hAnsi="宋体" w:cs="宋体"/>
                <w:b w:val="0"/>
                <w:bCs w:val="0"/>
                <w:sz w:val="24"/>
                <w:szCs w:val="24"/>
                <w:highlight w:val="none"/>
              </w:rPr>
              <w:t>“</w:t>
            </w:r>
            <w:r>
              <w:rPr>
                <w:rFonts w:hint="eastAsia" w:ascii="宋体" w:hAnsi="宋体" w:eastAsia="宋体" w:cs="宋体"/>
                <w:b w:val="0"/>
                <w:bCs w:val="0"/>
                <w:i w:val="0"/>
                <w:iCs w:val="0"/>
                <w:color w:val="000000"/>
                <w:sz w:val="21"/>
                <w:szCs w:val="21"/>
                <w:u w:val="none"/>
              </w:rPr>
              <w:t>★</w:t>
            </w:r>
            <w:r>
              <w:rPr>
                <w:rFonts w:hint="eastAsia" w:ascii="宋体" w:hAnsi="宋体" w:cs="宋体"/>
                <w:b w:val="0"/>
                <w:bCs w:val="0"/>
                <w:sz w:val="24"/>
                <w:szCs w:val="24"/>
                <w:highlight w:val="none"/>
              </w:rPr>
              <w:t>”标注</w:t>
            </w:r>
            <w:r>
              <w:rPr>
                <w:rFonts w:hint="eastAsia" w:ascii="宋体" w:hAnsi="宋体"/>
                <w:b w:val="0"/>
                <w:bCs w:val="0"/>
                <w:sz w:val="24"/>
                <w:szCs w:val="24"/>
                <w:highlight w:val="none"/>
              </w:rPr>
              <w:t>）</w:t>
            </w:r>
            <w:r>
              <w:rPr>
                <w:rFonts w:hint="eastAsia" w:ascii="宋体" w:hAnsi="宋体"/>
                <w:b w:val="0"/>
                <w:bCs w:val="0"/>
                <w:sz w:val="24"/>
                <w:szCs w:val="24"/>
                <w:highlight w:val="none"/>
                <w:lang w:val="en-US" w:eastAsia="zh-CN"/>
              </w:rPr>
              <w:t>项共31项</w:t>
            </w:r>
            <w:r>
              <w:rPr>
                <w:rFonts w:hint="eastAsia" w:ascii="宋体" w:hAnsi="宋体" w:cs="宋体"/>
                <w:b w:val="0"/>
                <w:bCs w:val="0"/>
                <w:color w:val="auto"/>
                <w:sz w:val="24"/>
                <w:szCs w:val="24"/>
                <w:highlight w:val="none"/>
              </w:rPr>
              <w:t>完全满足招标文件要求的得</w:t>
            </w:r>
            <w:r>
              <w:rPr>
                <w:rFonts w:hint="eastAsia" w:ascii="宋体" w:hAnsi="宋体" w:cs="宋体"/>
                <w:b w:val="0"/>
                <w:bCs w:val="0"/>
                <w:color w:val="auto"/>
                <w:sz w:val="24"/>
                <w:szCs w:val="24"/>
                <w:highlight w:val="none"/>
                <w:lang w:val="en-US" w:eastAsia="zh-CN"/>
              </w:rPr>
              <w:t>31</w:t>
            </w:r>
            <w:r>
              <w:rPr>
                <w:rFonts w:hint="eastAsia" w:ascii="宋体" w:hAnsi="宋体" w:cs="宋体"/>
                <w:b w:val="0"/>
                <w:bCs w:val="0"/>
                <w:color w:val="auto"/>
                <w:sz w:val="24"/>
                <w:szCs w:val="24"/>
                <w:highlight w:val="none"/>
              </w:rPr>
              <w:t>分，每出现一项</w:t>
            </w:r>
            <w:r>
              <w:rPr>
                <w:rFonts w:hint="eastAsia" w:ascii="宋体" w:hAnsi="宋体" w:cs="宋体"/>
                <w:b w:val="0"/>
                <w:bCs w:val="0"/>
                <w:color w:val="auto"/>
                <w:sz w:val="24"/>
                <w:szCs w:val="24"/>
                <w:highlight w:val="none"/>
                <w:lang w:eastAsia="zh-CN"/>
              </w:rPr>
              <w:t>重要技术要求</w:t>
            </w:r>
            <w:r>
              <w:rPr>
                <w:rFonts w:hint="eastAsia" w:ascii="宋体" w:hAnsi="宋体" w:cs="宋体"/>
                <w:b w:val="0"/>
                <w:bCs w:val="0"/>
                <w:color w:val="auto"/>
                <w:sz w:val="24"/>
                <w:szCs w:val="24"/>
                <w:highlight w:val="none"/>
              </w:rPr>
              <w:t>不满足招标文件要求的扣</w:t>
            </w:r>
            <w:r>
              <w:rPr>
                <w:rFonts w:hint="eastAsia" w:ascii="宋体" w:hAnsi="宋体" w:cs="宋体"/>
                <w:b w:val="0"/>
                <w:bCs w:val="0"/>
                <w:color w:val="auto"/>
                <w:sz w:val="24"/>
                <w:szCs w:val="24"/>
                <w:highlight w:val="none"/>
                <w:lang w:val="en-US" w:eastAsia="zh-CN"/>
              </w:rPr>
              <w:t>1</w:t>
            </w:r>
            <w:r>
              <w:rPr>
                <w:rFonts w:hint="eastAsia" w:ascii="宋体" w:hAnsi="宋体" w:cs="宋体"/>
                <w:b w:val="0"/>
                <w:bCs w:val="0"/>
                <w:color w:val="auto"/>
                <w:sz w:val="24"/>
                <w:szCs w:val="24"/>
                <w:highlight w:val="none"/>
              </w:rPr>
              <w:t>分，扣完为止。</w:t>
            </w:r>
          </w:p>
          <w:p w14:paraId="7F86890B">
            <w:pPr>
              <w:spacing w:line="400" w:lineRule="exact"/>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（2）</w:t>
            </w:r>
            <w:r>
              <w:rPr>
                <w:rFonts w:hint="eastAsia" w:ascii="宋体" w:hAnsi="宋体" w:cs="宋体"/>
                <w:color w:val="auto"/>
                <w:sz w:val="24"/>
                <w:szCs w:val="24"/>
                <w:highlight w:val="none"/>
                <w:lang w:eastAsia="zh-CN"/>
              </w:rPr>
              <w:t>一般技术要求</w:t>
            </w:r>
            <w:r>
              <w:rPr>
                <w:rFonts w:hint="eastAsia" w:ascii="宋体" w:hAnsi="宋体" w:cs="宋体"/>
                <w:color w:val="auto"/>
                <w:sz w:val="24"/>
                <w:szCs w:val="24"/>
                <w:highlight w:val="none"/>
              </w:rPr>
              <w:t>（满分</w:t>
            </w:r>
            <w:r>
              <w:rPr>
                <w:rFonts w:hint="eastAsia" w:ascii="宋体" w:hAnsi="宋体" w:cs="宋体"/>
                <w:color w:val="auto"/>
                <w:sz w:val="24"/>
                <w:szCs w:val="24"/>
                <w:highlight w:val="none"/>
                <w:lang w:val="en-US" w:eastAsia="zh-CN"/>
              </w:rPr>
              <w:t>2</w:t>
            </w:r>
            <w:r>
              <w:rPr>
                <w:rFonts w:hint="eastAsia" w:ascii="宋体" w:hAnsi="宋体" w:cs="宋体"/>
                <w:color w:val="auto"/>
                <w:sz w:val="24"/>
                <w:szCs w:val="24"/>
                <w:highlight w:val="none"/>
              </w:rPr>
              <w:t>分）</w:t>
            </w:r>
          </w:p>
          <w:p w14:paraId="46DAF7F1">
            <w:pPr>
              <w:spacing w:line="400" w:lineRule="exact"/>
              <w:rPr>
                <w:color w:val="auto"/>
                <w:sz w:val="24"/>
                <w:szCs w:val="24"/>
                <w:highlight w:val="none"/>
              </w:rPr>
            </w:pPr>
            <w:r>
              <w:rPr>
                <w:rFonts w:hint="eastAsia" w:ascii="宋体" w:hAnsi="宋体" w:cs="宋体"/>
                <w:color w:val="auto"/>
                <w:sz w:val="24"/>
                <w:szCs w:val="24"/>
                <w:highlight w:val="none"/>
              </w:rPr>
              <w:t>投标人所投产品的</w:t>
            </w:r>
            <w:r>
              <w:rPr>
                <w:rFonts w:hint="eastAsia" w:ascii="宋体" w:hAnsi="宋体" w:cs="宋体"/>
                <w:color w:val="auto"/>
                <w:sz w:val="24"/>
                <w:szCs w:val="24"/>
                <w:highlight w:val="none"/>
                <w:lang w:eastAsia="zh-CN"/>
              </w:rPr>
              <w:t>一般技术要求</w:t>
            </w:r>
            <w:r>
              <w:rPr>
                <w:rFonts w:hint="eastAsia" w:ascii="宋体" w:hAnsi="宋体"/>
                <w:b w:val="0"/>
                <w:bCs w:val="0"/>
                <w:sz w:val="24"/>
                <w:szCs w:val="24"/>
                <w:highlight w:val="none"/>
              </w:rPr>
              <w:t>（</w:t>
            </w:r>
            <w:r>
              <w:rPr>
                <w:rFonts w:hint="eastAsia" w:ascii="宋体" w:hAnsi="宋体"/>
                <w:b w:val="0"/>
                <w:bCs w:val="0"/>
                <w:sz w:val="24"/>
                <w:szCs w:val="24"/>
                <w:highlight w:val="none"/>
                <w:lang w:val="en-US" w:eastAsia="zh-CN"/>
              </w:rPr>
              <w:t>非</w:t>
            </w:r>
            <w:r>
              <w:rPr>
                <w:rFonts w:hint="eastAsia" w:ascii="宋体" w:hAnsi="宋体" w:cs="宋体"/>
                <w:b w:val="0"/>
                <w:bCs w:val="0"/>
                <w:sz w:val="24"/>
                <w:szCs w:val="24"/>
                <w:highlight w:val="none"/>
              </w:rPr>
              <w:t>“</w:t>
            </w:r>
            <w:r>
              <w:rPr>
                <w:rFonts w:hint="eastAsia" w:ascii="宋体" w:hAnsi="宋体" w:eastAsia="宋体" w:cs="宋体"/>
                <w:b w:val="0"/>
                <w:bCs w:val="0"/>
                <w:i w:val="0"/>
                <w:iCs w:val="0"/>
                <w:color w:val="000000"/>
                <w:sz w:val="21"/>
                <w:szCs w:val="21"/>
                <w:u w:val="none"/>
              </w:rPr>
              <w:t>★</w:t>
            </w:r>
            <w:r>
              <w:rPr>
                <w:rFonts w:hint="eastAsia" w:ascii="宋体" w:hAnsi="宋体" w:cs="宋体"/>
                <w:b w:val="0"/>
                <w:bCs w:val="0"/>
                <w:sz w:val="24"/>
                <w:szCs w:val="24"/>
                <w:highlight w:val="none"/>
              </w:rPr>
              <w:t>”标注</w:t>
            </w:r>
            <w:r>
              <w:rPr>
                <w:rFonts w:hint="eastAsia" w:ascii="宋体" w:hAnsi="宋体"/>
                <w:b w:val="0"/>
                <w:bCs w:val="0"/>
                <w:sz w:val="24"/>
                <w:szCs w:val="24"/>
                <w:highlight w:val="none"/>
              </w:rPr>
              <w:t>）</w:t>
            </w:r>
            <w:r>
              <w:rPr>
                <w:rFonts w:hint="eastAsia" w:ascii="宋体" w:hAnsi="宋体"/>
                <w:b w:val="0"/>
                <w:bCs w:val="0"/>
                <w:sz w:val="24"/>
                <w:szCs w:val="24"/>
                <w:highlight w:val="none"/>
                <w:lang w:eastAsia="zh-CN"/>
              </w:rPr>
              <w:t>，</w:t>
            </w:r>
            <w:r>
              <w:rPr>
                <w:rFonts w:hint="eastAsia" w:ascii="宋体" w:hAnsi="宋体" w:cs="宋体"/>
                <w:color w:val="auto"/>
                <w:sz w:val="24"/>
                <w:szCs w:val="24"/>
                <w:highlight w:val="none"/>
              </w:rPr>
              <w:t>完全满足招标文件要求的得</w:t>
            </w:r>
            <w:r>
              <w:rPr>
                <w:rFonts w:hint="eastAsia" w:ascii="宋体" w:hAnsi="宋体" w:cs="宋体"/>
                <w:color w:val="auto"/>
                <w:sz w:val="24"/>
                <w:szCs w:val="24"/>
                <w:highlight w:val="none"/>
                <w:lang w:val="en-US" w:eastAsia="zh-CN"/>
              </w:rPr>
              <w:t>2</w:t>
            </w:r>
            <w:r>
              <w:rPr>
                <w:rFonts w:hint="eastAsia" w:ascii="宋体" w:hAnsi="宋体" w:cs="宋体"/>
                <w:color w:val="auto"/>
                <w:sz w:val="24"/>
                <w:szCs w:val="24"/>
                <w:highlight w:val="none"/>
              </w:rPr>
              <w:t>分，每出现一项</w:t>
            </w:r>
            <w:r>
              <w:rPr>
                <w:rFonts w:hint="eastAsia" w:ascii="宋体" w:hAnsi="宋体" w:cs="宋体"/>
                <w:color w:val="auto"/>
                <w:sz w:val="24"/>
                <w:szCs w:val="24"/>
                <w:highlight w:val="none"/>
                <w:lang w:eastAsia="zh-CN"/>
              </w:rPr>
              <w:t>一般技术要求</w:t>
            </w:r>
            <w:r>
              <w:rPr>
                <w:rFonts w:hint="eastAsia" w:ascii="宋体" w:hAnsi="宋体" w:cs="宋体"/>
                <w:color w:val="auto"/>
                <w:sz w:val="24"/>
                <w:szCs w:val="24"/>
                <w:highlight w:val="none"/>
              </w:rPr>
              <w:t>不满足招标文件要求的扣</w:t>
            </w:r>
            <w:r>
              <w:rPr>
                <w:rFonts w:hint="eastAsia" w:ascii="宋体" w:hAnsi="宋体" w:cs="宋体"/>
                <w:color w:val="auto"/>
                <w:sz w:val="24"/>
                <w:szCs w:val="24"/>
                <w:highlight w:val="none"/>
                <w:lang w:val="en-US" w:eastAsia="zh-CN"/>
              </w:rPr>
              <w:t>0.1</w:t>
            </w:r>
            <w:r>
              <w:rPr>
                <w:rFonts w:hint="eastAsia" w:ascii="宋体" w:hAnsi="宋体" w:cs="宋体"/>
                <w:color w:val="auto"/>
                <w:sz w:val="24"/>
                <w:szCs w:val="24"/>
                <w:highlight w:val="none"/>
              </w:rPr>
              <w:t>分，扣完为止。</w:t>
            </w:r>
          </w:p>
          <w:p w14:paraId="1A3F5172">
            <w:pPr>
              <w:autoSpaceDE w:val="0"/>
              <w:autoSpaceDN w:val="0"/>
              <w:spacing w:line="440" w:lineRule="exact"/>
              <w:rPr>
                <w:rFonts w:hint="default" w:ascii="宋体" w:hAnsi="宋体"/>
                <w:b/>
                <w:kern w:val="2"/>
                <w:sz w:val="24"/>
                <w:szCs w:val="24"/>
                <w:highlight w:val="none"/>
                <w:lang w:val="en-US" w:eastAsia="zh-CN"/>
              </w:rPr>
            </w:pPr>
            <w:r>
              <w:rPr>
                <w:rFonts w:hint="eastAsia" w:ascii="宋体" w:hAnsi="宋体" w:cs="宋体"/>
                <w:b/>
                <w:sz w:val="24"/>
                <w:szCs w:val="24"/>
                <w:highlight w:val="none"/>
              </w:rPr>
              <w:t>注：根据第七章</w:t>
            </w:r>
            <w:r>
              <w:rPr>
                <w:rFonts w:hint="eastAsia" w:ascii="宋体" w:hAnsi="宋体" w:cs="宋体"/>
                <w:b/>
                <w:sz w:val="24"/>
                <w:szCs w:val="24"/>
                <w:highlight w:val="none"/>
                <w:lang w:val="en-US" w:eastAsia="zh-CN"/>
              </w:rPr>
              <w:t>第</w:t>
            </w:r>
            <w:r>
              <w:rPr>
                <w:rFonts w:hint="eastAsia" w:ascii="宋体" w:hAnsi="宋体" w:cs="宋体"/>
                <w:b/>
                <w:sz w:val="24"/>
                <w:szCs w:val="24"/>
                <w:highlight w:val="none"/>
              </w:rPr>
              <w:t>七</w:t>
            </w:r>
            <w:r>
              <w:rPr>
                <w:rFonts w:hint="eastAsia" w:ascii="宋体" w:hAnsi="宋体" w:cs="宋体"/>
                <w:b/>
                <w:sz w:val="24"/>
                <w:szCs w:val="24"/>
                <w:highlight w:val="none"/>
                <w:lang w:eastAsia="zh-CN"/>
              </w:rPr>
              <w:t>、</w:t>
            </w:r>
            <w:r>
              <w:rPr>
                <w:rFonts w:hint="eastAsia" w:ascii="宋体" w:hAnsi="宋体" w:cs="宋体"/>
                <w:b/>
                <w:sz w:val="24"/>
                <w:szCs w:val="24"/>
                <w:highlight w:val="none"/>
              </w:rPr>
              <w:t>(二)技术规格偏离表进行评审</w:t>
            </w:r>
            <w:r>
              <w:rPr>
                <w:rFonts w:hint="eastAsia" w:ascii="宋体" w:hAnsi="宋体"/>
                <w:b/>
                <w:kern w:val="2"/>
                <w:sz w:val="24"/>
                <w:szCs w:val="24"/>
                <w:highlight w:val="none"/>
              </w:rPr>
              <w:t>。</w:t>
            </w:r>
          </w:p>
        </w:tc>
      </w:tr>
      <w:tr w14:paraId="4667E3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99" w:type="pct"/>
            <w:vMerge w:val="continue"/>
            <w:noWrap w:val="0"/>
            <w:vAlign w:val="center"/>
          </w:tcPr>
          <w:p w14:paraId="6D0E8C61">
            <w:pPr>
              <w:spacing w:line="440" w:lineRule="exact"/>
              <w:jc w:val="center"/>
              <w:rPr>
                <w:rFonts w:hint="eastAsia" w:ascii="宋体" w:hAnsi="宋体"/>
                <w:bCs/>
                <w:sz w:val="24"/>
                <w:szCs w:val="24"/>
                <w:highlight w:val="none"/>
              </w:rPr>
            </w:pPr>
          </w:p>
        </w:tc>
        <w:tc>
          <w:tcPr>
            <w:tcW w:w="466" w:type="pct"/>
            <w:noWrap w:val="0"/>
            <w:vAlign w:val="center"/>
          </w:tcPr>
          <w:p w14:paraId="5A8C2DD8">
            <w:pPr>
              <w:spacing w:line="440" w:lineRule="exact"/>
              <w:jc w:val="center"/>
              <w:rPr>
                <w:rFonts w:hint="eastAsia" w:ascii="宋体" w:hAnsi="宋体"/>
                <w:bCs/>
                <w:sz w:val="24"/>
                <w:highlight w:val="none"/>
              </w:rPr>
            </w:pPr>
            <w:r>
              <w:rPr>
                <w:rFonts w:hint="eastAsia" w:ascii="宋体" w:hAnsi="宋体"/>
                <w:bCs/>
                <w:sz w:val="24"/>
                <w:highlight w:val="none"/>
              </w:rPr>
              <w:t>(</w:t>
            </w:r>
            <w:r>
              <w:rPr>
                <w:rFonts w:hint="eastAsia" w:ascii="宋体" w:hAnsi="宋体"/>
                <w:bCs/>
                <w:sz w:val="24"/>
                <w:highlight w:val="none"/>
                <w:lang w:val="en-US" w:eastAsia="zh-CN"/>
              </w:rPr>
              <w:t>2</w:t>
            </w:r>
            <w:r>
              <w:rPr>
                <w:rFonts w:hint="eastAsia" w:ascii="宋体" w:hAnsi="宋体"/>
                <w:bCs/>
                <w:sz w:val="24"/>
                <w:highlight w:val="none"/>
              </w:rPr>
              <w:t>)交货方案及时间进度计划安排评审</w:t>
            </w:r>
          </w:p>
        </w:tc>
        <w:tc>
          <w:tcPr>
            <w:tcW w:w="390" w:type="pct"/>
            <w:noWrap w:val="0"/>
            <w:vAlign w:val="center"/>
          </w:tcPr>
          <w:p w14:paraId="39B684A8">
            <w:pPr>
              <w:spacing w:line="440" w:lineRule="exact"/>
              <w:jc w:val="center"/>
              <w:rPr>
                <w:rFonts w:hint="eastAsia" w:ascii="宋体" w:hAnsi="宋体"/>
                <w:sz w:val="24"/>
                <w:szCs w:val="24"/>
                <w:highlight w:val="none"/>
              </w:rPr>
            </w:pPr>
            <w:r>
              <w:rPr>
                <w:rFonts w:hint="eastAsia" w:ascii="宋体" w:hAnsi="宋体" w:cs="宋体"/>
                <w:sz w:val="24"/>
                <w:szCs w:val="24"/>
                <w:highlight w:val="none"/>
                <w:lang w:val="en-US" w:eastAsia="zh-CN"/>
              </w:rPr>
              <w:t>10</w:t>
            </w:r>
            <w:r>
              <w:rPr>
                <w:rFonts w:hint="eastAsia" w:ascii="宋体" w:hAnsi="宋体"/>
                <w:bCs/>
                <w:sz w:val="24"/>
                <w:highlight w:val="none"/>
              </w:rPr>
              <w:t>分</w:t>
            </w:r>
          </w:p>
        </w:tc>
        <w:tc>
          <w:tcPr>
            <w:tcW w:w="3643" w:type="pct"/>
            <w:noWrap w:val="0"/>
            <w:vAlign w:val="center"/>
          </w:tcPr>
          <w:p w14:paraId="13815E2A">
            <w:pPr>
              <w:spacing w:line="440" w:lineRule="exact"/>
              <w:rPr>
                <w:rFonts w:ascii="宋体" w:hAnsi="宋体"/>
                <w:bCs/>
                <w:sz w:val="24"/>
                <w:highlight w:val="none"/>
              </w:rPr>
            </w:pPr>
            <w:r>
              <w:rPr>
                <w:rFonts w:hint="eastAsia" w:ascii="宋体" w:hAnsi="宋体"/>
                <w:bCs/>
                <w:sz w:val="24"/>
                <w:highlight w:val="none"/>
              </w:rPr>
              <w:t>第一个档次（</w:t>
            </w:r>
            <w:r>
              <w:rPr>
                <w:rFonts w:hint="eastAsia" w:ascii="宋体" w:hAnsi="宋体" w:cs="宋体"/>
                <w:sz w:val="24"/>
                <w:szCs w:val="24"/>
                <w:highlight w:val="none"/>
                <w:lang w:val="en-US" w:eastAsia="zh-CN"/>
              </w:rPr>
              <w:t>10</w:t>
            </w:r>
            <w:r>
              <w:rPr>
                <w:rFonts w:hint="eastAsia" w:ascii="宋体" w:hAnsi="宋体" w:cs="宋体"/>
                <w:sz w:val="24"/>
                <w:szCs w:val="24"/>
                <w:highlight w:val="none"/>
              </w:rPr>
              <w:t>分</w:t>
            </w:r>
            <w:r>
              <w:rPr>
                <w:rFonts w:hint="eastAsia" w:ascii="宋体" w:hAnsi="宋体"/>
                <w:bCs/>
                <w:sz w:val="24"/>
                <w:highlight w:val="none"/>
              </w:rPr>
              <w:t>）：交货方案及时间进度计划安排优于招标文件要求，交货安排具体、切实可行、科学规范、针对性特强，项目管理的进度计划特别详细；</w:t>
            </w:r>
          </w:p>
          <w:p w14:paraId="33B9BC6A">
            <w:pPr>
              <w:spacing w:line="440" w:lineRule="exact"/>
              <w:rPr>
                <w:rFonts w:ascii="宋体" w:hAnsi="宋体"/>
                <w:bCs/>
                <w:sz w:val="24"/>
                <w:highlight w:val="none"/>
              </w:rPr>
            </w:pPr>
            <w:r>
              <w:rPr>
                <w:rFonts w:hint="eastAsia" w:ascii="宋体" w:hAnsi="宋体"/>
                <w:bCs/>
                <w:sz w:val="24"/>
                <w:highlight w:val="none"/>
              </w:rPr>
              <w:t>第二个档次（</w:t>
            </w:r>
            <w:r>
              <w:rPr>
                <w:rFonts w:hint="eastAsia" w:ascii="宋体" w:hAnsi="宋体" w:cs="宋体"/>
                <w:sz w:val="24"/>
                <w:szCs w:val="24"/>
                <w:highlight w:val="none"/>
                <w:lang w:val="en-US" w:eastAsia="zh-CN"/>
              </w:rPr>
              <w:t>8</w:t>
            </w:r>
            <w:r>
              <w:rPr>
                <w:rFonts w:hint="eastAsia" w:ascii="宋体" w:hAnsi="宋体"/>
                <w:bCs/>
                <w:sz w:val="24"/>
                <w:highlight w:val="none"/>
              </w:rPr>
              <w:t>分）：交货方案及时间进度计划安排完全满足招标文件要求，内容完整、交货安排较合理、切实可行、科学规范、有针对性；项目管理的进度计划完整、较详细；</w:t>
            </w:r>
          </w:p>
          <w:p w14:paraId="7C5EBDC2">
            <w:pPr>
              <w:spacing w:line="440" w:lineRule="exact"/>
              <w:rPr>
                <w:rFonts w:hint="eastAsia" w:ascii="宋体" w:hAnsi="宋体" w:eastAsia="宋体"/>
                <w:bCs/>
                <w:sz w:val="24"/>
                <w:highlight w:val="none"/>
                <w:lang w:eastAsia="zh-CN"/>
              </w:rPr>
            </w:pPr>
            <w:r>
              <w:rPr>
                <w:rFonts w:hint="eastAsia" w:ascii="宋体" w:hAnsi="宋体"/>
                <w:bCs/>
                <w:sz w:val="24"/>
                <w:highlight w:val="none"/>
              </w:rPr>
              <w:t>第三个档次（</w:t>
            </w:r>
            <w:r>
              <w:rPr>
                <w:rFonts w:hint="eastAsia" w:ascii="宋体" w:hAnsi="宋体" w:cs="宋体"/>
                <w:sz w:val="24"/>
                <w:szCs w:val="24"/>
                <w:highlight w:val="none"/>
                <w:lang w:val="en-US" w:eastAsia="zh-CN"/>
              </w:rPr>
              <w:t>6</w:t>
            </w:r>
            <w:r>
              <w:rPr>
                <w:rFonts w:hint="eastAsia" w:ascii="宋体" w:hAnsi="宋体"/>
                <w:bCs/>
                <w:sz w:val="24"/>
                <w:highlight w:val="none"/>
              </w:rPr>
              <w:t>分）：交货方案及时间进度计划安排基本满足招标文件要求，交货安排合理、有针对性，项目管理的进度计划简单</w:t>
            </w:r>
            <w:r>
              <w:rPr>
                <w:rFonts w:hint="eastAsia" w:ascii="宋体" w:hAnsi="宋体"/>
                <w:bCs/>
                <w:sz w:val="24"/>
                <w:highlight w:val="none"/>
                <w:lang w:eastAsia="zh-CN"/>
              </w:rPr>
              <w:t>。</w:t>
            </w:r>
          </w:p>
          <w:p w14:paraId="0764EE6A">
            <w:pPr>
              <w:spacing w:line="440" w:lineRule="exact"/>
              <w:rPr>
                <w:rFonts w:ascii="宋体" w:hAnsi="宋体"/>
                <w:bCs/>
                <w:sz w:val="24"/>
                <w:highlight w:val="none"/>
              </w:rPr>
            </w:pPr>
            <w:r>
              <w:rPr>
                <w:rFonts w:hint="eastAsia" w:ascii="宋体" w:hAnsi="宋体"/>
                <w:bCs/>
                <w:sz w:val="24"/>
                <w:highlight w:val="none"/>
              </w:rPr>
              <w:t>第四个档次（</w:t>
            </w:r>
            <w:r>
              <w:rPr>
                <w:rFonts w:hint="eastAsia" w:ascii="宋体" w:hAnsi="宋体" w:cs="宋体"/>
                <w:sz w:val="24"/>
                <w:szCs w:val="24"/>
                <w:highlight w:val="none"/>
                <w:lang w:val="en-US" w:eastAsia="zh-CN"/>
              </w:rPr>
              <w:t>4</w:t>
            </w:r>
            <w:r>
              <w:rPr>
                <w:rFonts w:hint="eastAsia" w:ascii="宋体" w:hAnsi="宋体"/>
                <w:bCs/>
                <w:sz w:val="24"/>
                <w:highlight w:val="none"/>
              </w:rPr>
              <w:t>分）：交货方案及时间进度计划安排合理，但无针对性，无项目管理的进度计划；</w:t>
            </w:r>
          </w:p>
          <w:p w14:paraId="46DB43E3">
            <w:pPr>
              <w:spacing w:line="440" w:lineRule="exact"/>
              <w:rPr>
                <w:rFonts w:hint="eastAsia" w:ascii="宋体" w:hAnsi="宋体"/>
                <w:bCs/>
                <w:sz w:val="24"/>
                <w:highlight w:val="none"/>
              </w:rPr>
            </w:pPr>
            <w:r>
              <w:rPr>
                <w:rFonts w:hint="eastAsia" w:ascii="宋体" w:hAnsi="宋体"/>
                <w:bCs/>
                <w:sz w:val="24"/>
                <w:highlight w:val="none"/>
              </w:rPr>
              <w:t>第五个档次（</w:t>
            </w:r>
            <w:r>
              <w:rPr>
                <w:rFonts w:hint="eastAsia" w:ascii="宋体" w:hAnsi="宋体"/>
                <w:bCs/>
                <w:sz w:val="24"/>
                <w:highlight w:val="none"/>
                <w:lang w:val="en-US" w:eastAsia="zh-CN"/>
              </w:rPr>
              <w:t>2</w:t>
            </w:r>
            <w:r>
              <w:rPr>
                <w:rFonts w:hint="eastAsia" w:ascii="宋体" w:hAnsi="宋体"/>
                <w:bCs/>
                <w:sz w:val="24"/>
                <w:highlight w:val="none"/>
              </w:rPr>
              <w:t>分）：交货方案及时间进度计划安排不合理，内容简单；</w:t>
            </w:r>
          </w:p>
          <w:p w14:paraId="3889E63D">
            <w:pPr>
              <w:spacing w:line="440" w:lineRule="exact"/>
              <w:rPr>
                <w:rFonts w:hint="eastAsia" w:ascii="宋体" w:hAnsi="宋体"/>
                <w:sz w:val="24"/>
                <w:szCs w:val="24"/>
                <w:highlight w:val="none"/>
              </w:rPr>
            </w:pPr>
            <w:r>
              <w:rPr>
                <w:rFonts w:hint="eastAsia" w:ascii="宋体" w:hAnsi="宋体"/>
                <w:bCs/>
                <w:sz w:val="24"/>
                <w:highlight w:val="none"/>
              </w:rPr>
              <w:t>第六个档次（</w:t>
            </w:r>
            <w:r>
              <w:rPr>
                <w:rFonts w:hint="eastAsia" w:ascii="宋体" w:hAnsi="宋体" w:cs="宋体"/>
                <w:sz w:val="24"/>
                <w:szCs w:val="24"/>
                <w:highlight w:val="none"/>
              </w:rPr>
              <w:t>0</w:t>
            </w:r>
            <w:r>
              <w:rPr>
                <w:rFonts w:hint="eastAsia" w:ascii="宋体" w:hAnsi="宋体"/>
                <w:bCs/>
                <w:sz w:val="24"/>
                <w:highlight w:val="none"/>
              </w:rPr>
              <w:t>分）：未提供交货方案及时间进度计划安排。</w:t>
            </w:r>
          </w:p>
        </w:tc>
      </w:tr>
      <w:tr w14:paraId="6A00F3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7" w:hRule="atLeast"/>
          <w:jc w:val="center"/>
        </w:trPr>
        <w:tc>
          <w:tcPr>
            <w:tcW w:w="499" w:type="pct"/>
            <w:vMerge w:val="continue"/>
            <w:noWrap w:val="0"/>
            <w:vAlign w:val="center"/>
          </w:tcPr>
          <w:p w14:paraId="640AFDA7">
            <w:pPr>
              <w:spacing w:line="440" w:lineRule="exact"/>
              <w:jc w:val="center"/>
              <w:rPr>
                <w:rFonts w:hint="eastAsia" w:ascii="宋体" w:hAnsi="宋体"/>
                <w:bCs/>
                <w:sz w:val="24"/>
                <w:szCs w:val="24"/>
                <w:highlight w:val="none"/>
              </w:rPr>
            </w:pPr>
          </w:p>
        </w:tc>
        <w:tc>
          <w:tcPr>
            <w:tcW w:w="466" w:type="pct"/>
            <w:noWrap w:val="0"/>
            <w:vAlign w:val="center"/>
          </w:tcPr>
          <w:p w14:paraId="7E28F349">
            <w:pPr>
              <w:pStyle w:val="52"/>
              <w:spacing w:line="400" w:lineRule="exact"/>
              <w:jc w:val="center"/>
              <w:rPr>
                <w:rFonts w:hint="eastAsia" w:ascii="宋体" w:hAnsi="宋体"/>
                <w:bCs/>
                <w:sz w:val="24"/>
                <w:highlight w:val="none"/>
              </w:rPr>
            </w:pPr>
            <w:r>
              <w:rPr>
                <w:rFonts w:hint="eastAsia" w:ascii="宋体" w:hAnsi="宋体" w:cs="宋体"/>
                <w:sz w:val="24"/>
                <w:szCs w:val="24"/>
                <w:highlight w:val="none"/>
              </w:rPr>
              <w:t>（</w:t>
            </w:r>
            <w:r>
              <w:rPr>
                <w:rFonts w:hint="eastAsia" w:ascii="宋体" w:hAnsi="宋体" w:cs="宋体"/>
                <w:sz w:val="24"/>
                <w:szCs w:val="24"/>
                <w:highlight w:val="none"/>
                <w:lang w:val="en-US" w:eastAsia="zh-CN"/>
              </w:rPr>
              <w:t>3</w:t>
            </w:r>
            <w:r>
              <w:rPr>
                <w:rFonts w:hint="eastAsia" w:ascii="宋体" w:hAnsi="宋体" w:cs="宋体"/>
                <w:sz w:val="24"/>
                <w:szCs w:val="24"/>
                <w:highlight w:val="none"/>
              </w:rPr>
              <w:t>）质量保证及保障承诺</w:t>
            </w:r>
            <w:r>
              <w:rPr>
                <w:rFonts w:hint="eastAsia" w:ascii="宋体" w:hAnsi="宋体"/>
                <w:bCs/>
                <w:sz w:val="24"/>
                <w:highlight w:val="none"/>
              </w:rPr>
              <w:t>评审</w:t>
            </w:r>
          </w:p>
        </w:tc>
        <w:tc>
          <w:tcPr>
            <w:tcW w:w="390" w:type="pct"/>
            <w:noWrap w:val="0"/>
            <w:vAlign w:val="center"/>
          </w:tcPr>
          <w:p w14:paraId="5CFD301A">
            <w:pPr>
              <w:spacing w:line="440" w:lineRule="exact"/>
              <w:jc w:val="center"/>
              <w:rPr>
                <w:rFonts w:hint="eastAsia" w:ascii="宋体" w:hAnsi="宋体" w:cs="宋体"/>
                <w:sz w:val="24"/>
                <w:szCs w:val="24"/>
                <w:highlight w:val="none"/>
              </w:rPr>
            </w:pPr>
            <w:r>
              <w:rPr>
                <w:rFonts w:hint="eastAsia" w:ascii="宋体" w:hAnsi="宋体"/>
                <w:sz w:val="24"/>
                <w:szCs w:val="24"/>
                <w:highlight w:val="none"/>
                <w:lang w:val="en-US" w:eastAsia="zh-CN"/>
              </w:rPr>
              <w:t>10</w:t>
            </w:r>
            <w:r>
              <w:rPr>
                <w:rFonts w:hint="eastAsia" w:ascii="宋体" w:hAnsi="宋体"/>
                <w:sz w:val="24"/>
                <w:szCs w:val="24"/>
                <w:highlight w:val="none"/>
              </w:rPr>
              <w:t>分</w:t>
            </w:r>
          </w:p>
        </w:tc>
        <w:tc>
          <w:tcPr>
            <w:tcW w:w="3643" w:type="pct"/>
            <w:noWrap w:val="0"/>
            <w:vAlign w:val="center"/>
          </w:tcPr>
          <w:p w14:paraId="765EE11B">
            <w:pPr>
              <w:autoSpaceDE w:val="0"/>
              <w:autoSpaceDN w:val="0"/>
              <w:spacing w:line="440" w:lineRule="exact"/>
              <w:rPr>
                <w:rFonts w:hint="eastAsia" w:ascii="宋体" w:hAnsi="宋体" w:cs="宋体"/>
                <w:sz w:val="24"/>
                <w:szCs w:val="24"/>
                <w:highlight w:val="none"/>
              </w:rPr>
            </w:pPr>
            <w:r>
              <w:rPr>
                <w:rFonts w:hint="eastAsia" w:ascii="宋体" w:hAnsi="宋体" w:cs="宋体"/>
                <w:sz w:val="24"/>
                <w:szCs w:val="24"/>
                <w:highlight w:val="none"/>
              </w:rPr>
              <w:t>第一个档次（</w:t>
            </w:r>
            <w:r>
              <w:rPr>
                <w:rFonts w:hint="eastAsia" w:ascii="宋体" w:hAnsi="宋体" w:cs="宋体"/>
                <w:sz w:val="24"/>
                <w:szCs w:val="24"/>
                <w:highlight w:val="none"/>
                <w:lang w:val="en-US" w:eastAsia="zh-CN"/>
              </w:rPr>
              <w:t>10</w:t>
            </w:r>
            <w:r>
              <w:rPr>
                <w:rFonts w:hint="eastAsia" w:ascii="宋体" w:hAnsi="宋体" w:cs="宋体"/>
                <w:sz w:val="24"/>
                <w:szCs w:val="24"/>
                <w:highlight w:val="none"/>
              </w:rPr>
              <w:t>分）：质量保证及保障承诺内容详细、具体、科学、合理可行，针对性强，能切实解决货物使用时可能发生的问题的；</w:t>
            </w:r>
          </w:p>
          <w:p w14:paraId="5B560021">
            <w:pPr>
              <w:autoSpaceDE w:val="0"/>
              <w:autoSpaceDN w:val="0"/>
              <w:spacing w:line="440" w:lineRule="exact"/>
              <w:rPr>
                <w:rFonts w:hint="eastAsia" w:ascii="宋体" w:hAnsi="宋体" w:cs="宋体"/>
                <w:sz w:val="24"/>
                <w:szCs w:val="24"/>
                <w:highlight w:val="none"/>
              </w:rPr>
            </w:pPr>
            <w:r>
              <w:rPr>
                <w:rFonts w:hint="eastAsia" w:ascii="宋体" w:hAnsi="宋体" w:cs="宋体"/>
                <w:sz w:val="24"/>
                <w:szCs w:val="24"/>
                <w:highlight w:val="none"/>
              </w:rPr>
              <w:t>第二个档次（</w:t>
            </w:r>
            <w:r>
              <w:rPr>
                <w:rFonts w:hint="eastAsia" w:ascii="宋体" w:hAnsi="宋体" w:cs="宋体"/>
                <w:sz w:val="24"/>
                <w:szCs w:val="24"/>
                <w:highlight w:val="none"/>
                <w:lang w:val="en-US" w:eastAsia="zh-CN"/>
              </w:rPr>
              <w:t>8</w:t>
            </w:r>
            <w:r>
              <w:rPr>
                <w:rFonts w:hint="eastAsia" w:ascii="宋体" w:hAnsi="宋体" w:cs="宋体"/>
                <w:sz w:val="24"/>
                <w:szCs w:val="24"/>
                <w:highlight w:val="none"/>
              </w:rPr>
              <w:t>分）：质量保证及保障承诺内容详细、具体、合理可行，有针对性，能解决货物使用时可能发生的问题的；</w:t>
            </w:r>
          </w:p>
          <w:p w14:paraId="7CF73EC7">
            <w:pPr>
              <w:autoSpaceDE w:val="0"/>
              <w:autoSpaceDN w:val="0"/>
              <w:spacing w:line="440" w:lineRule="exact"/>
              <w:rPr>
                <w:rFonts w:hint="eastAsia" w:ascii="宋体" w:hAnsi="宋体" w:cs="宋体"/>
                <w:sz w:val="24"/>
                <w:szCs w:val="24"/>
                <w:highlight w:val="none"/>
              </w:rPr>
            </w:pPr>
            <w:r>
              <w:rPr>
                <w:rFonts w:hint="eastAsia" w:ascii="宋体" w:hAnsi="宋体" w:cs="宋体"/>
                <w:sz w:val="24"/>
                <w:szCs w:val="24"/>
                <w:highlight w:val="none"/>
              </w:rPr>
              <w:t>第三个档次（</w:t>
            </w:r>
            <w:r>
              <w:rPr>
                <w:rFonts w:hint="eastAsia" w:ascii="宋体" w:hAnsi="宋体" w:cs="宋体"/>
                <w:sz w:val="24"/>
                <w:szCs w:val="24"/>
                <w:highlight w:val="none"/>
                <w:lang w:val="en-US" w:eastAsia="zh-CN"/>
              </w:rPr>
              <w:t>6</w:t>
            </w:r>
            <w:r>
              <w:rPr>
                <w:rFonts w:hint="eastAsia" w:ascii="宋体" w:hAnsi="宋体" w:cs="宋体"/>
                <w:sz w:val="24"/>
                <w:szCs w:val="24"/>
                <w:highlight w:val="none"/>
              </w:rPr>
              <w:t>分）：质量保证及保障承诺内容合理可行，但是不具体、缺乏针对性，基本能解决货物使用时可能发生的问题的；</w:t>
            </w:r>
          </w:p>
          <w:p w14:paraId="3AB1E537">
            <w:pPr>
              <w:autoSpaceDE w:val="0"/>
              <w:autoSpaceDN w:val="0"/>
              <w:spacing w:line="440" w:lineRule="exact"/>
              <w:rPr>
                <w:rFonts w:hint="eastAsia" w:ascii="宋体" w:hAnsi="宋体" w:cs="宋体"/>
                <w:sz w:val="24"/>
                <w:szCs w:val="24"/>
                <w:highlight w:val="none"/>
              </w:rPr>
            </w:pPr>
            <w:r>
              <w:rPr>
                <w:rFonts w:hint="eastAsia" w:ascii="宋体" w:hAnsi="宋体" w:cs="宋体"/>
                <w:sz w:val="24"/>
                <w:szCs w:val="24"/>
                <w:highlight w:val="none"/>
              </w:rPr>
              <w:t>第四个档次（</w:t>
            </w:r>
            <w:r>
              <w:rPr>
                <w:rFonts w:hint="eastAsia" w:ascii="宋体" w:hAnsi="宋体" w:cs="宋体"/>
                <w:sz w:val="24"/>
                <w:szCs w:val="24"/>
                <w:highlight w:val="none"/>
                <w:lang w:val="en-US" w:eastAsia="zh-CN"/>
              </w:rPr>
              <w:t>4</w:t>
            </w:r>
            <w:r>
              <w:rPr>
                <w:rFonts w:hint="eastAsia" w:ascii="宋体" w:hAnsi="宋体" w:cs="宋体"/>
                <w:sz w:val="24"/>
                <w:szCs w:val="24"/>
                <w:highlight w:val="none"/>
              </w:rPr>
              <w:t>分）：质量保证及保障承诺内容基本可行、不具体、缺乏针对性，不能及时解决货物使用时可能发生的问题的；</w:t>
            </w:r>
          </w:p>
          <w:p w14:paraId="13ACEEAC">
            <w:pPr>
              <w:autoSpaceDE w:val="0"/>
              <w:autoSpaceDN w:val="0"/>
              <w:spacing w:line="440" w:lineRule="exact"/>
              <w:rPr>
                <w:rFonts w:hint="eastAsia" w:ascii="宋体" w:hAnsi="宋体" w:cs="宋体"/>
                <w:sz w:val="24"/>
                <w:szCs w:val="24"/>
                <w:highlight w:val="none"/>
              </w:rPr>
            </w:pPr>
            <w:r>
              <w:rPr>
                <w:rFonts w:hint="eastAsia" w:ascii="宋体" w:hAnsi="宋体" w:cs="宋体"/>
                <w:sz w:val="24"/>
                <w:szCs w:val="24"/>
                <w:highlight w:val="none"/>
              </w:rPr>
              <w:t>第五个档次（</w:t>
            </w:r>
            <w:r>
              <w:rPr>
                <w:rFonts w:hint="eastAsia" w:ascii="宋体" w:hAnsi="宋体" w:cs="宋体"/>
                <w:sz w:val="24"/>
                <w:szCs w:val="24"/>
                <w:highlight w:val="none"/>
                <w:lang w:val="en-US" w:eastAsia="zh-CN"/>
              </w:rPr>
              <w:t>2</w:t>
            </w:r>
            <w:r>
              <w:rPr>
                <w:rFonts w:hint="eastAsia" w:ascii="宋体" w:hAnsi="宋体" w:cs="宋体"/>
                <w:sz w:val="24"/>
                <w:szCs w:val="24"/>
                <w:highlight w:val="none"/>
              </w:rPr>
              <w:t>分）：质量保证及保障承诺内容粗略、不具体，无针对性，不能解决货物使用时可能发生的问题的；</w:t>
            </w:r>
          </w:p>
          <w:p w14:paraId="52031C2B">
            <w:pPr>
              <w:spacing w:line="440" w:lineRule="exact"/>
              <w:rPr>
                <w:rFonts w:hint="eastAsia" w:ascii="宋体" w:hAnsi="宋体"/>
                <w:bCs/>
                <w:sz w:val="24"/>
                <w:highlight w:val="none"/>
              </w:rPr>
            </w:pPr>
            <w:r>
              <w:rPr>
                <w:rFonts w:hint="eastAsia" w:ascii="宋体" w:hAnsi="宋体" w:cs="宋体"/>
                <w:sz w:val="24"/>
                <w:szCs w:val="24"/>
                <w:highlight w:val="none"/>
              </w:rPr>
              <w:t>第六个档次（0分）：无质量保证及保障承诺。</w:t>
            </w:r>
          </w:p>
        </w:tc>
      </w:tr>
      <w:tr w14:paraId="3D862F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99" w:type="pct"/>
            <w:vMerge w:val="continue"/>
            <w:noWrap w:val="0"/>
            <w:vAlign w:val="center"/>
          </w:tcPr>
          <w:p w14:paraId="00FB442B">
            <w:pPr>
              <w:spacing w:line="440" w:lineRule="exact"/>
              <w:jc w:val="center"/>
              <w:rPr>
                <w:rFonts w:hint="eastAsia" w:ascii="宋体" w:hAnsi="宋体"/>
                <w:bCs/>
                <w:sz w:val="24"/>
                <w:szCs w:val="24"/>
                <w:highlight w:val="none"/>
              </w:rPr>
            </w:pPr>
          </w:p>
        </w:tc>
        <w:tc>
          <w:tcPr>
            <w:tcW w:w="466" w:type="pct"/>
            <w:noWrap w:val="0"/>
            <w:vAlign w:val="center"/>
          </w:tcPr>
          <w:p w14:paraId="40DB6684">
            <w:pPr>
              <w:spacing w:line="440" w:lineRule="exact"/>
              <w:jc w:val="center"/>
              <w:rPr>
                <w:rFonts w:hint="eastAsia" w:ascii="宋体" w:hAnsi="宋体"/>
                <w:bCs/>
                <w:sz w:val="24"/>
                <w:highlight w:val="none"/>
              </w:rPr>
            </w:pPr>
            <w:r>
              <w:rPr>
                <w:rFonts w:hint="eastAsia" w:ascii="宋体" w:hAnsi="宋体"/>
                <w:bCs/>
                <w:sz w:val="24"/>
                <w:highlight w:val="none"/>
              </w:rPr>
              <w:t>（</w:t>
            </w:r>
            <w:r>
              <w:rPr>
                <w:rFonts w:hint="eastAsia" w:ascii="宋体" w:hAnsi="宋体"/>
                <w:bCs/>
                <w:sz w:val="24"/>
                <w:highlight w:val="none"/>
                <w:lang w:val="en-US" w:eastAsia="zh-CN"/>
              </w:rPr>
              <w:t>4</w:t>
            </w:r>
            <w:r>
              <w:rPr>
                <w:rFonts w:hint="eastAsia" w:ascii="宋体" w:hAnsi="宋体"/>
                <w:bCs/>
                <w:sz w:val="24"/>
                <w:highlight w:val="none"/>
              </w:rPr>
              <w:t>）售后服务方案评审</w:t>
            </w:r>
          </w:p>
        </w:tc>
        <w:tc>
          <w:tcPr>
            <w:tcW w:w="390" w:type="pct"/>
            <w:noWrap w:val="0"/>
            <w:vAlign w:val="center"/>
          </w:tcPr>
          <w:p w14:paraId="68375262">
            <w:pPr>
              <w:spacing w:line="440" w:lineRule="exact"/>
              <w:jc w:val="center"/>
              <w:rPr>
                <w:rFonts w:ascii="宋体" w:hAnsi="宋体"/>
                <w:sz w:val="24"/>
                <w:szCs w:val="24"/>
                <w:highlight w:val="none"/>
              </w:rPr>
            </w:pPr>
            <w:r>
              <w:rPr>
                <w:rFonts w:hint="eastAsia" w:ascii="宋体" w:hAnsi="宋体"/>
                <w:bCs/>
                <w:sz w:val="24"/>
                <w:highlight w:val="none"/>
                <w:lang w:val="en-US" w:eastAsia="zh-CN"/>
              </w:rPr>
              <w:t>10</w:t>
            </w:r>
            <w:r>
              <w:rPr>
                <w:rFonts w:hint="eastAsia" w:ascii="宋体" w:hAnsi="宋体"/>
                <w:bCs/>
                <w:sz w:val="24"/>
                <w:highlight w:val="none"/>
              </w:rPr>
              <w:t>分</w:t>
            </w:r>
          </w:p>
        </w:tc>
        <w:tc>
          <w:tcPr>
            <w:tcW w:w="3643" w:type="pct"/>
            <w:noWrap w:val="0"/>
            <w:vAlign w:val="center"/>
          </w:tcPr>
          <w:p w14:paraId="6FA61C85">
            <w:pPr>
              <w:pStyle w:val="6"/>
              <w:spacing w:line="440" w:lineRule="exact"/>
              <w:ind w:firstLine="0" w:firstLineChars="0"/>
              <w:rPr>
                <w:rFonts w:ascii="宋体" w:hAnsi="宋体"/>
                <w:bCs/>
                <w:sz w:val="24"/>
                <w:highlight w:val="none"/>
              </w:rPr>
            </w:pPr>
            <w:r>
              <w:rPr>
                <w:rFonts w:hint="eastAsia" w:ascii="宋体" w:hAnsi="宋体"/>
                <w:bCs/>
                <w:sz w:val="24"/>
                <w:highlight w:val="none"/>
              </w:rPr>
              <w:t>第一个档次（</w:t>
            </w:r>
            <w:r>
              <w:rPr>
                <w:rFonts w:hint="eastAsia" w:ascii="宋体" w:hAnsi="宋体"/>
                <w:bCs/>
                <w:sz w:val="24"/>
                <w:highlight w:val="none"/>
                <w:lang w:val="en-US" w:eastAsia="zh-CN"/>
              </w:rPr>
              <w:t>10</w:t>
            </w:r>
            <w:r>
              <w:rPr>
                <w:rFonts w:hint="eastAsia" w:ascii="宋体" w:hAnsi="宋体"/>
                <w:bCs/>
                <w:sz w:val="24"/>
                <w:highlight w:val="none"/>
              </w:rPr>
              <w:t>分）：售后服务能力强，售后服务体系完整度高，保障性强，售后服务方案、承诺及保证完善具体，针对性强，有相应的惩罚措施；</w:t>
            </w:r>
          </w:p>
          <w:p w14:paraId="7206FC1E">
            <w:pPr>
              <w:pStyle w:val="6"/>
              <w:spacing w:line="440" w:lineRule="exact"/>
              <w:ind w:firstLine="0" w:firstLineChars="0"/>
              <w:rPr>
                <w:rFonts w:ascii="宋体" w:hAnsi="宋体"/>
                <w:bCs/>
                <w:sz w:val="24"/>
                <w:highlight w:val="none"/>
              </w:rPr>
            </w:pPr>
            <w:r>
              <w:rPr>
                <w:rFonts w:hint="eastAsia" w:ascii="宋体" w:hAnsi="宋体"/>
                <w:bCs/>
                <w:sz w:val="24"/>
                <w:highlight w:val="none"/>
              </w:rPr>
              <w:t>第二个档次（</w:t>
            </w:r>
            <w:r>
              <w:rPr>
                <w:rFonts w:hint="eastAsia" w:ascii="宋体" w:hAnsi="宋体"/>
                <w:bCs/>
                <w:sz w:val="24"/>
                <w:highlight w:val="none"/>
                <w:lang w:val="en-US" w:eastAsia="zh-CN"/>
              </w:rPr>
              <w:t>8</w:t>
            </w:r>
            <w:r>
              <w:rPr>
                <w:rFonts w:hint="eastAsia" w:ascii="宋体" w:hAnsi="宋体"/>
                <w:bCs/>
                <w:sz w:val="24"/>
                <w:highlight w:val="none"/>
              </w:rPr>
              <w:t>分）：售后服务能力较强，售后服务体系完整度及保障性较好，售后服务方案具体可行，有惩罚措施，部分有针对性；</w:t>
            </w:r>
          </w:p>
          <w:p w14:paraId="78F11001">
            <w:pPr>
              <w:pStyle w:val="6"/>
              <w:spacing w:line="440" w:lineRule="exact"/>
              <w:ind w:firstLine="0" w:firstLineChars="0"/>
              <w:rPr>
                <w:rFonts w:ascii="宋体" w:hAnsi="宋体"/>
                <w:bCs/>
                <w:sz w:val="24"/>
                <w:highlight w:val="none"/>
              </w:rPr>
            </w:pPr>
            <w:r>
              <w:rPr>
                <w:rFonts w:hint="eastAsia" w:ascii="宋体" w:hAnsi="宋体"/>
                <w:bCs/>
                <w:sz w:val="24"/>
                <w:highlight w:val="none"/>
              </w:rPr>
              <w:t>第三个档次（</w:t>
            </w:r>
            <w:r>
              <w:rPr>
                <w:rFonts w:hint="eastAsia" w:ascii="宋体" w:hAnsi="宋体"/>
                <w:bCs/>
                <w:sz w:val="24"/>
                <w:highlight w:val="none"/>
                <w:lang w:val="en-US" w:eastAsia="zh-CN"/>
              </w:rPr>
              <w:t>6</w:t>
            </w:r>
            <w:r>
              <w:rPr>
                <w:rFonts w:hint="eastAsia" w:ascii="宋体" w:hAnsi="宋体"/>
                <w:bCs/>
                <w:sz w:val="24"/>
                <w:highlight w:val="none"/>
              </w:rPr>
              <w:t>分）：售后服务能力</w:t>
            </w:r>
            <w:r>
              <w:rPr>
                <w:rFonts w:hint="eastAsia" w:ascii="宋体" w:hAnsi="宋体"/>
                <w:bCs/>
                <w:sz w:val="24"/>
                <w:highlight w:val="none"/>
                <w:lang w:val="en-US" w:eastAsia="zh-CN"/>
              </w:rPr>
              <w:t>较弱</w:t>
            </w:r>
            <w:r>
              <w:rPr>
                <w:rFonts w:hint="eastAsia" w:ascii="宋体" w:hAnsi="宋体"/>
                <w:bCs/>
                <w:sz w:val="24"/>
                <w:highlight w:val="none"/>
              </w:rPr>
              <w:t>，售后服务体系完整度及保障性较好，售后服务方案具体可行，部分有针对性但无惩罚措施；</w:t>
            </w:r>
          </w:p>
          <w:p w14:paraId="291EC6CA">
            <w:pPr>
              <w:pStyle w:val="6"/>
              <w:spacing w:line="440" w:lineRule="exact"/>
              <w:ind w:firstLine="0" w:firstLineChars="0"/>
              <w:rPr>
                <w:rFonts w:ascii="宋体" w:hAnsi="宋体"/>
                <w:bCs/>
                <w:sz w:val="24"/>
                <w:highlight w:val="none"/>
              </w:rPr>
            </w:pPr>
            <w:r>
              <w:rPr>
                <w:rFonts w:hint="eastAsia" w:ascii="宋体" w:hAnsi="宋体"/>
                <w:bCs/>
                <w:sz w:val="24"/>
                <w:highlight w:val="none"/>
              </w:rPr>
              <w:t>第四个档次（</w:t>
            </w:r>
            <w:r>
              <w:rPr>
                <w:rFonts w:hint="eastAsia" w:ascii="宋体" w:hAnsi="宋体"/>
                <w:bCs/>
                <w:sz w:val="24"/>
                <w:highlight w:val="none"/>
                <w:lang w:val="en-US" w:eastAsia="zh-CN"/>
              </w:rPr>
              <w:t>4</w:t>
            </w:r>
            <w:r>
              <w:rPr>
                <w:rFonts w:hint="eastAsia" w:ascii="宋体" w:hAnsi="宋体"/>
                <w:bCs/>
                <w:sz w:val="24"/>
                <w:highlight w:val="none"/>
              </w:rPr>
              <w:t>分）：售后服务能力弱，售后服务体系完整度及保障性简单，售后服务方案基本可行，部分有针对性；</w:t>
            </w:r>
          </w:p>
          <w:p w14:paraId="53264F48">
            <w:pPr>
              <w:pStyle w:val="6"/>
              <w:spacing w:line="440" w:lineRule="exact"/>
              <w:ind w:firstLine="0" w:firstLineChars="0"/>
              <w:rPr>
                <w:rFonts w:hint="eastAsia" w:ascii="宋体" w:hAnsi="宋体"/>
                <w:bCs/>
                <w:sz w:val="24"/>
                <w:highlight w:val="none"/>
              </w:rPr>
            </w:pPr>
            <w:r>
              <w:rPr>
                <w:rFonts w:hint="eastAsia" w:ascii="宋体" w:hAnsi="宋体"/>
                <w:bCs/>
                <w:sz w:val="24"/>
                <w:highlight w:val="none"/>
              </w:rPr>
              <w:t>第五个档次（</w:t>
            </w:r>
            <w:r>
              <w:rPr>
                <w:rFonts w:hint="eastAsia" w:ascii="宋体" w:hAnsi="宋体"/>
                <w:bCs/>
                <w:sz w:val="24"/>
                <w:highlight w:val="none"/>
                <w:lang w:val="en-US" w:eastAsia="zh-CN"/>
              </w:rPr>
              <w:t>2</w:t>
            </w:r>
            <w:r>
              <w:rPr>
                <w:rFonts w:hint="eastAsia" w:ascii="宋体" w:hAnsi="宋体"/>
                <w:bCs/>
                <w:sz w:val="24"/>
                <w:highlight w:val="none"/>
              </w:rPr>
              <w:t>分）：售后服务体系不完整、几乎没有保障性，只有简单的售后服务方案；</w:t>
            </w:r>
          </w:p>
          <w:p w14:paraId="3DE9A1CE">
            <w:pPr>
              <w:pStyle w:val="6"/>
              <w:spacing w:line="440" w:lineRule="exact"/>
              <w:ind w:firstLine="0" w:firstLineChars="0"/>
              <w:rPr>
                <w:rFonts w:hint="eastAsia" w:ascii="宋体" w:hAnsi="宋体"/>
                <w:sz w:val="24"/>
                <w:szCs w:val="24"/>
                <w:highlight w:val="none"/>
              </w:rPr>
            </w:pPr>
            <w:r>
              <w:rPr>
                <w:rFonts w:hint="eastAsia" w:ascii="宋体" w:hAnsi="宋体"/>
                <w:bCs/>
                <w:sz w:val="24"/>
                <w:highlight w:val="none"/>
              </w:rPr>
              <w:t>第六个档次（0分）：未提供售后服务方案。</w:t>
            </w:r>
          </w:p>
        </w:tc>
      </w:tr>
      <w:tr w14:paraId="344A0C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95" w:hRule="atLeast"/>
          <w:jc w:val="center"/>
        </w:trPr>
        <w:tc>
          <w:tcPr>
            <w:tcW w:w="499" w:type="pct"/>
            <w:vMerge w:val="continue"/>
            <w:noWrap w:val="0"/>
            <w:vAlign w:val="center"/>
          </w:tcPr>
          <w:p w14:paraId="2091E83D">
            <w:pPr>
              <w:spacing w:line="440" w:lineRule="exact"/>
              <w:jc w:val="center"/>
              <w:rPr>
                <w:rFonts w:hint="eastAsia" w:ascii="宋体" w:hAnsi="宋体"/>
                <w:bCs/>
                <w:sz w:val="24"/>
                <w:szCs w:val="24"/>
                <w:highlight w:val="none"/>
              </w:rPr>
            </w:pPr>
          </w:p>
        </w:tc>
        <w:tc>
          <w:tcPr>
            <w:tcW w:w="466" w:type="pct"/>
            <w:noWrap w:val="0"/>
            <w:vAlign w:val="center"/>
          </w:tcPr>
          <w:p w14:paraId="666E9F61">
            <w:pPr>
              <w:spacing w:line="440" w:lineRule="exact"/>
              <w:jc w:val="center"/>
              <w:rPr>
                <w:rFonts w:hint="default" w:ascii="宋体" w:hAnsi="宋体" w:eastAsia="宋体"/>
                <w:bCs/>
                <w:sz w:val="24"/>
                <w:highlight w:val="none"/>
                <w:lang w:val="en-US" w:eastAsia="zh-CN"/>
              </w:rPr>
            </w:pPr>
            <w:r>
              <w:rPr>
                <w:rFonts w:hint="eastAsia" w:ascii="宋体" w:hAnsi="宋体" w:eastAsia="宋体"/>
                <w:bCs/>
                <w:sz w:val="24"/>
                <w:highlight w:val="none"/>
                <w:lang w:val="en-US" w:eastAsia="zh-CN"/>
              </w:rPr>
              <w:t>（5）故障响应时间及应急措施</w:t>
            </w:r>
            <w:r>
              <w:rPr>
                <w:rFonts w:hint="eastAsia" w:ascii="宋体" w:hAnsi="宋体"/>
                <w:bCs/>
                <w:sz w:val="24"/>
                <w:highlight w:val="none"/>
              </w:rPr>
              <w:t>评审</w:t>
            </w:r>
          </w:p>
        </w:tc>
        <w:tc>
          <w:tcPr>
            <w:tcW w:w="390" w:type="pct"/>
            <w:noWrap w:val="0"/>
            <w:vAlign w:val="center"/>
          </w:tcPr>
          <w:p w14:paraId="2A825C21">
            <w:pPr>
              <w:spacing w:line="440" w:lineRule="exact"/>
              <w:jc w:val="center"/>
              <w:rPr>
                <w:rFonts w:hint="default" w:ascii="宋体" w:hAnsi="宋体" w:eastAsia="宋体"/>
                <w:bCs/>
                <w:sz w:val="24"/>
                <w:highlight w:val="none"/>
                <w:lang w:val="en-US" w:eastAsia="zh-CN"/>
              </w:rPr>
            </w:pPr>
            <w:r>
              <w:rPr>
                <w:rFonts w:hint="eastAsia" w:ascii="宋体" w:hAnsi="宋体" w:eastAsia="宋体"/>
                <w:bCs/>
                <w:sz w:val="24"/>
                <w:highlight w:val="none"/>
                <w:lang w:val="en-US" w:eastAsia="zh-CN"/>
              </w:rPr>
              <w:t>4分</w:t>
            </w:r>
          </w:p>
        </w:tc>
        <w:tc>
          <w:tcPr>
            <w:tcW w:w="3643" w:type="pct"/>
            <w:noWrap w:val="0"/>
            <w:vAlign w:val="center"/>
          </w:tcPr>
          <w:p w14:paraId="15528D19">
            <w:pPr>
              <w:spacing w:before="60" w:after="60" w:line="400" w:lineRule="exact"/>
              <w:rPr>
                <w:rFonts w:hint="eastAsia" w:ascii="宋体" w:hAnsi="宋体" w:eastAsia="宋体" w:cs="Times New Roman"/>
                <w:b w:val="0"/>
                <w:bCs w:val="0"/>
                <w:color w:val="auto"/>
                <w:sz w:val="24"/>
                <w:szCs w:val="24"/>
                <w:highlight w:val="none"/>
                <w:lang w:val="en-US" w:eastAsia="zh-CN"/>
              </w:rPr>
            </w:pPr>
            <w:r>
              <w:rPr>
                <w:rFonts w:hint="eastAsia" w:ascii="宋体" w:hAnsi="宋体"/>
                <w:bCs/>
                <w:sz w:val="24"/>
                <w:highlight w:val="none"/>
              </w:rPr>
              <w:t>第一个档次（</w:t>
            </w:r>
            <w:r>
              <w:rPr>
                <w:rFonts w:hint="eastAsia" w:ascii="宋体" w:hAnsi="宋体"/>
                <w:bCs/>
                <w:sz w:val="24"/>
                <w:highlight w:val="none"/>
                <w:lang w:val="en-US" w:eastAsia="zh-CN"/>
              </w:rPr>
              <w:t>4</w:t>
            </w:r>
            <w:r>
              <w:rPr>
                <w:rFonts w:hint="eastAsia" w:ascii="宋体" w:hAnsi="宋体"/>
                <w:bCs/>
                <w:sz w:val="24"/>
                <w:highlight w:val="none"/>
              </w:rPr>
              <w:t>分）：</w:t>
            </w:r>
            <w:r>
              <w:rPr>
                <w:rFonts w:hint="eastAsia" w:ascii="宋体" w:hAnsi="宋体" w:eastAsia="宋体"/>
                <w:color w:val="auto"/>
                <w:kern w:val="0"/>
                <w:sz w:val="24"/>
                <w:szCs w:val="20"/>
                <w:highlight w:val="none"/>
                <w:lang w:eastAsia="zh-CN"/>
              </w:rPr>
              <w:t>故障响应</w:t>
            </w:r>
            <w:r>
              <w:rPr>
                <w:rFonts w:hint="eastAsia" w:ascii="宋体" w:hAnsi="宋体"/>
                <w:color w:val="auto"/>
                <w:kern w:val="0"/>
                <w:sz w:val="24"/>
                <w:szCs w:val="20"/>
                <w:highlight w:val="none"/>
                <w:lang w:val="en-US" w:eastAsia="zh-CN"/>
              </w:rPr>
              <w:t>时间</w:t>
            </w:r>
            <w:r>
              <w:rPr>
                <w:rFonts w:hint="eastAsia" w:ascii="宋体" w:hAnsi="宋体" w:eastAsia="宋体" w:cs="宋体"/>
                <w:color w:val="auto"/>
                <w:sz w:val="24"/>
                <w:highlight w:val="none"/>
              </w:rPr>
              <w:t>不超过1小时</w:t>
            </w:r>
            <w:r>
              <w:rPr>
                <w:rFonts w:hint="eastAsia" w:ascii="宋体" w:hAnsi="宋体" w:eastAsia="宋体"/>
                <w:color w:val="auto"/>
                <w:kern w:val="0"/>
                <w:sz w:val="24"/>
                <w:szCs w:val="20"/>
                <w:highlight w:val="none"/>
                <w:lang w:eastAsia="zh-CN"/>
              </w:rPr>
              <w:t>，应急措施全面、可行,设备巡检维护周期、巡检计划内容合理性、可行性强的</w:t>
            </w:r>
            <w:r>
              <w:rPr>
                <w:rFonts w:hint="eastAsia" w:ascii="宋体" w:hAnsi="宋体" w:eastAsia="宋体" w:cs="Times New Roman"/>
                <w:b w:val="0"/>
                <w:bCs w:val="0"/>
                <w:color w:val="auto"/>
                <w:sz w:val="24"/>
                <w:szCs w:val="24"/>
                <w:highlight w:val="none"/>
                <w:lang w:val="en-US" w:eastAsia="zh-CN"/>
              </w:rPr>
              <w:t>；</w:t>
            </w:r>
          </w:p>
          <w:p w14:paraId="5677D483">
            <w:pPr>
              <w:spacing w:before="60" w:after="60" w:line="400" w:lineRule="exact"/>
              <w:rPr>
                <w:rFonts w:hint="eastAsia" w:ascii="宋体" w:hAnsi="宋体" w:eastAsia="宋体" w:cs="Times New Roman"/>
                <w:b w:val="0"/>
                <w:bCs w:val="0"/>
                <w:color w:val="auto"/>
                <w:sz w:val="24"/>
                <w:szCs w:val="24"/>
                <w:highlight w:val="none"/>
                <w:lang w:val="en-US" w:eastAsia="zh-CN"/>
              </w:rPr>
            </w:pPr>
            <w:r>
              <w:rPr>
                <w:rFonts w:hint="eastAsia" w:ascii="宋体" w:hAnsi="宋体"/>
                <w:bCs/>
                <w:sz w:val="24"/>
                <w:highlight w:val="none"/>
              </w:rPr>
              <w:t>第</w:t>
            </w:r>
            <w:r>
              <w:rPr>
                <w:rFonts w:hint="eastAsia" w:ascii="宋体" w:hAnsi="宋体"/>
                <w:bCs/>
                <w:sz w:val="24"/>
                <w:highlight w:val="none"/>
                <w:lang w:val="en-US" w:eastAsia="zh-CN"/>
              </w:rPr>
              <w:t>二</w:t>
            </w:r>
            <w:r>
              <w:rPr>
                <w:rFonts w:hint="eastAsia" w:ascii="宋体" w:hAnsi="宋体"/>
                <w:bCs/>
                <w:sz w:val="24"/>
                <w:highlight w:val="none"/>
              </w:rPr>
              <w:t>个档次（</w:t>
            </w:r>
            <w:r>
              <w:rPr>
                <w:rFonts w:hint="eastAsia" w:ascii="宋体" w:hAnsi="宋体"/>
                <w:bCs/>
                <w:sz w:val="24"/>
                <w:highlight w:val="none"/>
                <w:lang w:val="en-US" w:eastAsia="zh-CN"/>
              </w:rPr>
              <w:t>3</w:t>
            </w:r>
            <w:r>
              <w:rPr>
                <w:rFonts w:hint="eastAsia" w:ascii="宋体" w:hAnsi="宋体"/>
                <w:bCs/>
                <w:sz w:val="24"/>
                <w:highlight w:val="none"/>
              </w:rPr>
              <w:t>分）：</w:t>
            </w:r>
            <w:r>
              <w:rPr>
                <w:rFonts w:hint="eastAsia" w:ascii="宋体" w:hAnsi="宋体" w:eastAsia="宋体"/>
                <w:color w:val="auto"/>
                <w:kern w:val="0"/>
                <w:sz w:val="24"/>
                <w:szCs w:val="20"/>
                <w:highlight w:val="none"/>
                <w:lang w:eastAsia="zh-CN"/>
              </w:rPr>
              <w:t>故障响应</w:t>
            </w:r>
            <w:r>
              <w:rPr>
                <w:rFonts w:hint="eastAsia" w:ascii="宋体" w:hAnsi="宋体"/>
                <w:color w:val="auto"/>
                <w:kern w:val="0"/>
                <w:sz w:val="24"/>
                <w:szCs w:val="20"/>
                <w:highlight w:val="none"/>
                <w:lang w:val="en-US" w:eastAsia="zh-CN"/>
              </w:rPr>
              <w:t>时间</w:t>
            </w:r>
            <w:r>
              <w:rPr>
                <w:rFonts w:hint="eastAsia" w:ascii="宋体" w:hAnsi="宋体" w:eastAsia="宋体" w:cs="宋体"/>
                <w:color w:val="auto"/>
                <w:sz w:val="24"/>
                <w:highlight w:val="none"/>
              </w:rPr>
              <w:t>不超过1小时</w:t>
            </w:r>
            <w:r>
              <w:rPr>
                <w:rFonts w:hint="eastAsia" w:ascii="宋体" w:hAnsi="宋体" w:eastAsia="宋体"/>
                <w:color w:val="auto"/>
                <w:kern w:val="0"/>
                <w:sz w:val="24"/>
                <w:szCs w:val="20"/>
                <w:highlight w:val="none"/>
                <w:lang w:eastAsia="zh-CN"/>
              </w:rPr>
              <w:t>，应急措施基本合理、可行，设备巡检维护周期、巡检计划内容基本合理、可行的</w:t>
            </w:r>
            <w:r>
              <w:rPr>
                <w:rFonts w:hint="eastAsia" w:ascii="宋体" w:hAnsi="宋体" w:eastAsia="宋体" w:cs="Times New Roman"/>
                <w:b w:val="0"/>
                <w:bCs w:val="0"/>
                <w:color w:val="auto"/>
                <w:sz w:val="24"/>
                <w:szCs w:val="24"/>
                <w:highlight w:val="none"/>
                <w:lang w:val="en-US" w:eastAsia="zh-CN"/>
              </w:rPr>
              <w:t>；</w:t>
            </w:r>
          </w:p>
          <w:p w14:paraId="632639A9">
            <w:pPr>
              <w:spacing w:before="60" w:after="60" w:line="400" w:lineRule="exact"/>
              <w:rPr>
                <w:rFonts w:hint="eastAsia" w:ascii="宋体" w:hAnsi="宋体" w:eastAsia="宋体" w:cs="Times New Roman"/>
                <w:b w:val="0"/>
                <w:bCs w:val="0"/>
                <w:color w:val="auto"/>
                <w:sz w:val="24"/>
                <w:szCs w:val="24"/>
                <w:highlight w:val="none"/>
                <w:lang w:val="en-US" w:eastAsia="zh-CN"/>
              </w:rPr>
            </w:pPr>
            <w:r>
              <w:rPr>
                <w:rFonts w:hint="eastAsia" w:ascii="宋体" w:hAnsi="宋体"/>
                <w:bCs/>
                <w:sz w:val="24"/>
                <w:highlight w:val="none"/>
              </w:rPr>
              <w:t>第三个档次（</w:t>
            </w:r>
            <w:r>
              <w:rPr>
                <w:rFonts w:hint="eastAsia" w:ascii="宋体" w:hAnsi="宋体"/>
                <w:bCs/>
                <w:sz w:val="24"/>
                <w:highlight w:val="none"/>
                <w:lang w:val="en-US" w:eastAsia="zh-CN"/>
              </w:rPr>
              <w:t>1</w:t>
            </w:r>
            <w:r>
              <w:rPr>
                <w:rFonts w:hint="eastAsia" w:ascii="宋体" w:hAnsi="宋体"/>
                <w:bCs/>
                <w:sz w:val="24"/>
                <w:highlight w:val="none"/>
              </w:rPr>
              <w:t>分）：</w:t>
            </w:r>
            <w:r>
              <w:rPr>
                <w:rFonts w:hint="eastAsia" w:ascii="宋体" w:hAnsi="宋体" w:eastAsia="宋体"/>
                <w:color w:val="auto"/>
                <w:kern w:val="0"/>
                <w:sz w:val="24"/>
                <w:szCs w:val="20"/>
                <w:highlight w:val="none"/>
                <w:lang w:eastAsia="zh-CN"/>
              </w:rPr>
              <w:t>故障响应</w:t>
            </w:r>
            <w:r>
              <w:rPr>
                <w:rFonts w:hint="eastAsia" w:ascii="宋体" w:hAnsi="宋体" w:eastAsia="宋体" w:cs="宋体"/>
                <w:color w:val="auto"/>
                <w:sz w:val="24"/>
                <w:highlight w:val="none"/>
              </w:rPr>
              <w:t>时间超过1小时</w:t>
            </w:r>
            <w:r>
              <w:rPr>
                <w:rFonts w:hint="eastAsia" w:ascii="宋体" w:hAnsi="宋体" w:eastAsia="宋体"/>
                <w:color w:val="auto"/>
                <w:kern w:val="0"/>
                <w:sz w:val="24"/>
                <w:szCs w:val="20"/>
                <w:highlight w:val="none"/>
                <w:lang w:eastAsia="zh-CN"/>
              </w:rPr>
              <w:t>，应急措施不合理的，设备巡检维护周期、巡检计划内容粗略的</w:t>
            </w:r>
            <w:r>
              <w:rPr>
                <w:rFonts w:hint="eastAsia" w:ascii="宋体" w:hAnsi="宋体" w:eastAsia="宋体" w:cs="Times New Roman"/>
                <w:b w:val="0"/>
                <w:bCs w:val="0"/>
                <w:color w:val="auto"/>
                <w:sz w:val="24"/>
                <w:szCs w:val="24"/>
                <w:highlight w:val="none"/>
                <w:lang w:val="en-US" w:eastAsia="zh-CN"/>
              </w:rPr>
              <w:t>；</w:t>
            </w:r>
          </w:p>
          <w:p w14:paraId="080AE241">
            <w:pPr>
              <w:spacing w:before="60" w:after="60" w:line="400" w:lineRule="exact"/>
              <w:rPr>
                <w:rFonts w:hint="eastAsia" w:ascii="宋体" w:hAnsi="宋体" w:eastAsia="宋体"/>
                <w:bCs/>
                <w:sz w:val="24"/>
                <w:highlight w:val="none"/>
                <w:lang w:eastAsia="zh-CN"/>
              </w:rPr>
            </w:pPr>
            <w:r>
              <w:rPr>
                <w:rFonts w:hint="eastAsia" w:ascii="宋体" w:hAnsi="宋体"/>
                <w:bCs/>
                <w:sz w:val="24"/>
                <w:highlight w:val="none"/>
              </w:rPr>
              <w:t>第</w:t>
            </w:r>
            <w:r>
              <w:rPr>
                <w:rFonts w:hint="eastAsia" w:ascii="宋体" w:hAnsi="宋体"/>
                <w:bCs/>
                <w:sz w:val="24"/>
                <w:highlight w:val="none"/>
                <w:lang w:val="en-US" w:eastAsia="zh-CN"/>
              </w:rPr>
              <w:t>四</w:t>
            </w:r>
            <w:r>
              <w:rPr>
                <w:rFonts w:hint="eastAsia" w:ascii="宋体" w:hAnsi="宋体"/>
                <w:bCs/>
                <w:sz w:val="24"/>
                <w:highlight w:val="none"/>
              </w:rPr>
              <w:t>个档次（</w:t>
            </w:r>
            <w:r>
              <w:rPr>
                <w:rFonts w:hint="eastAsia" w:ascii="宋体" w:hAnsi="宋体"/>
                <w:bCs/>
                <w:sz w:val="24"/>
                <w:highlight w:val="none"/>
                <w:lang w:val="en-US" w:eastAsia="zh-CN"/>
              </w:rPr>
              <w:t>0</w:t>
            </w:r>
            <w:r>
              <w:rPr>
                <w:rFonts w:hint="eastAsia" w:ascii="宋体" w:hAnsi="宋体"/>
                <w:bCs/>
                <w:sz w:val="24"/>
                <w:highlight w:val="none"/>
              </w:rPr>
              <w:t>分）：未提供</w:t>
            </w:r>
            <w:r>
              <w:rPr>
                <w:rFonts w:hint="eastAsia" w:ascii="宋体" w:hAnsi="宋体" w:eastAsia="宋体" w:cs="Times New Roman"/>
                <w:b w:val="0"/>
                <w:bCs w:val="0"/>
                <w:color w:val="auto"/>
                <w:sz w:val="24"/>
                <w:szCs w:val="24"/>
                <w:highlight w:val="none"/>
                <w:lang w:val="en-US" w:eastAsia="zh-CN"/>
              </w:rPr>
              <w:t>故障响应时间及应急措施的。</w:t>
            </w:r>
          </w:p>
        </w:tc>
      </w:tr>
      <w:tr w14:paraId="413C03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99" w:type="pct"/>
            <w:vMerge w:val="continue"/>
            <w:noWrap w:val="0"/>
            <w:vAlign w:val="center"/>
          </w:tcPr>
          <w:p w14:paraId="0D1A5FB3">
            <w:pPr>
              <w:spacing w:line="440" w:lineRule="exact"/>
              <w:jc w:val="center"/>
              <w:rPr>
                <w:rFonts w:hint="eastAsia" w:ascii="宋体" w:hAnsi="宋体"/>
                <w:bCs/>
                <w:sz w:val="24"/>
                <w:szCs w:val="24"/>
                <w:highlight w:val="none"/>
              </w:rPr>
            </w:pPr>
          </w:p>
        </w:tc>
        <w:tc>
          <w:tcPr>
            <w:tcW w:w="466" w:type="pct"/>
            <w:noWrap w:val="0"/>
            <w:vAlign w:val="center"/>
          </w:tcPr>
          <w:p w14:paraId="4B576224">
            <w:pPr>
              <w:spacing w:line="440" w:lineRule="exact"/>
              <w:jc w:val="center"/>
              <w:rPr>
                <w:rFonts w:hint="eastAsia" w:ascii="宋体" w:hAnsi="宋体" w:eastAsia="宋体" w:cs="Times New Roman"/>
                <w:bCs/>
                <w:sz w:val="24"/>
                <w:highlight w:val="none"/>
                <w:lang w:val="en-US" w:eastAsia="zh-CN"/>
              </w:rPr>
            </w:pPr>
            <w:r>
              <w:rPr>
                <w:rFonts w:hint="eastAsia" w:ascii="宋体" w:hAnsi="宋体"/>
                <w:color w:val="auto"/>
                <w:sz w:val="24"/>
                <w:szCs w:val="24"/>
                <w:highlight w:val="none"/>
                <w:lang w:eastAsia="zh-CN"/>
              </w:rPr>
              <w:t>（</w:t>
            </w:r>
            <w:r>
              <w:rPr>
                <w:rFonts w:hint="eastAsia" w:ascii="宋体" w:hAnsi="宋体"/>
                <w:color w:val="auto"/>
                <w:sz w:val="24"/>
                <w:szCs w:val="24"/>
                <w:highlight w:val="none"/>
                <w:lang w:val="en-US" w:eastAsia="zh-CN"/>
              </w:rPr>
              <w:t>6</w:t>
            </w:r>
            <w:r>
              <w:rPr>
                <w:rFonts w:hint="eastAsia" w:ascii="宋体" w:hAnsi="宋体"/>
                <w:color w:val="auto"/>
                <w:sz w:val="24"/>
                <w:szCs w:val="24"/>
                <w:highlight w:val="none"/>
                <w:lang w:eastAsia="zh-CN"/>
              </w:rPr>
              <w:t>）</w:t>
            </w:r>
            <w:r>
              <w:rPr>
                <w:rFonts w:hint="eastAsia" w:ascii="宋体" w:hAnsi="宋体"/>
                <w:color w:val="auto"/>
                <w:sz w:val="24"/>
                <w:szCs w:val="24"/>
                <w:highlight w:val="none"/>
              </w:rPr>
              <w:t>培训方案</w:t>
            </w:r>
            <w:r>
              <w:rPr>
                <w:rFonts w:hint="eastAsia" w:ascii="宋体" w:hAnsi="宋体"/>
                <w:color w:val="auto"/>
                <w:sz w:val="24"/>
                <w:szCs w:val="24"/>
                <w:highlight w:val="none"/>
                <w:lang w:val="en-US" w:eastAsia="zh-CN"/>
              </w:rPr>
              <w:t>评审</w:t>
            </w:r>
          </w:p>
        </w:tc>
        <w:tc>
          <w:tcPr>
            <w:tcW w:w="390" w:type="pct"/>
            <w:noWrap w:val="0"/>
            <w:vAlign w:val="center"/>
          </w:tcPr>
          <w:p w14:paraId="5ED3B2AD">
            <w:pPr>
              <w:spacing w:line="440" w:lineRule="exact"/>
              <w:jc w:val="center"/>
              <w:rPr>
                <w:rFonts w:hint="default" w:ascii="宋体" w:hAnsi="宋体" w:eastAsia="宋体" w:cs="Times New Roman"/>
                <w:bCs/>
                <w:sz w:val="24"/>
                <w:highlight w:val="none"/>
                <w:lang w:val="en-US" w:eastAsia="zh-CN"/>
              </w:rPr>
            </w:pPr>
            <w:r>
              <w:rPr>
                <w:rFonts w:hint="eastAsia" w:ascii="宋体" w:hAnsi="宋体" w:eastAsia="宋体" w:cs="Times New Roman"/>
                <w:bCs/>
                <w:sz w:val="24"/>
                <w:highlight w:val="none"/>
                <w:lang w:val="en-US" w:eastAsia="zh-CN"/>
              </w:rPr>
              <w:t>3分</w:t>
            </w:r>
          </w:p>
        </w:tc>
        <w:tc>
          <w:tcPr>
            <w:tcW w:w="3643" w:type="pct"/>
            <w:noWrap w:val="0"/>
            <w:vAlign w:val="center"/>
          </w:tcPr>
          <w:p w14:paraId="7014A44F">
            <w:pPr>
              <w:spacing w:before="60" w:after="60" w:line="400" w:lineRule="exact"/>
              <w:rPr>
                <w:rFonts w:hint="eastAsia" w:ascii="宋体" w:hAnsi="宋体"/>
                <w:color w:val="auto"/>
                <w:sz w:val="24"/>
                <w:szCs w:val="24"/>
                <w:highlight w:val="none"/>
                <w:lang w:eastAsia="zh-CN"/>
              </w:rPr>
            </w:pPr>
            <w:r>
              <w:rPr>
                <w:rFonts w:hint="eastAsia" w:ascii="宋体" w:hAnsi="宋体" w:eastAsia="宋体" w:cs="Times New Roman"/>
                <w:bCs/>
                <w:sz w:val="24"/>
                <w:highlight w:val="none"/>
              </w:rPr>
              <w:t>第一</w:t>
            </w:r>
            <w:r>
              <w:rPr>
                <w:rFonts w:hint="eastAsia" w:ascii="宋体" w:hAnsi="宋体"/>
                <w:bCs/>
                <w:sz w:val="24"/>
                <w:highlight w:val="none"/>
              </w:rPr>
              <w:t>个档次（</w:t>
            </w:r>
            <w:r>
              <w:rPr>
                <w:rFonts w:hint="eastAsia" w:ascii="宋体" w:hAnsi="宋体"/>
                <w:bCs/>
                <w:sz w:val="24"/>
                <w:highlight w:val="none"/>
                <w:lang w:val="en-US" w:eastAsia="zh-CN"/>
              </w:rPr>
              <w:t>3</w:t>
            </w:r>
            <w:r>
              <w:rPr>
                <w:rFonts w:hint="eastAsia" w:ascii="宋体" w:hAnsi="宋体"/>
                <w:bCs/>
                <w:sz w:val="24"/>
                <w:highlight w:val="none"/>
              </w:rPr>
              <w:t>分）：</w:t>
            </w:r>
            <w:r>
              <w:rPr>
                <w:rFonts w:hint="eastAsia" w:ascii="宋体" w:hAnsi="宋体"/>
                <w:color w:val="auto"/>
                <w:sz w:val="24"/>
                <w:szCs w:val="24"/>
                <w:highlight w:val="none"/>
                <w:lang w:eastAsia="zh-CN"/>
              </w:rPr>
              <w:t>培训方案完整，有详细具体的培训大纲、培训计划、培训内容，保障措施明确、具体，能满足采购人使用的；</w:t>
            </w:r>
          </w:p>
          <w:p w14:paraId="65B9D89C">
            <w:pPr>
              <w:spacing w:before="60" w:after="60" w:line="400" w:lineRule="exact"/>
              <w:rPr>
                <w:rFonts w:hint="eastAsia" w:ascii="宋体" w:hAnsi="宋体"/>
                <w:color w:val="auto"/>
                <w:sz w:val="24"/>
                <w:szCs w:val="24"/>
                <w:highlight w:val="none"/>
                <w:lang w:eastAsia="zh-CN"/>
              </w:rPr>
            </w:pPr>
            <w:r>
              <w:rPr>
                <w:rFonts w:hint="eastAsia" w:ascii="宋体" w:hAnsi="宋体"/>
                <w:bCs/>
                <w:sz w:val="24"/>
                <w:highlight w:val="none"/>
              </w:rPr>
              <w:t>第</w:t>
            </w:r>
            <w:r>
              <w:rPr>
                <w:rFonts w:hint="eastAsia" w:ascii="宋体" w:hAnsi="宋体"/>
                <w:bCs/>
                <w:sz w:val="24"/>
                <w:highlight w:val="none"/>
                <w:lang w:val="en-US" w:eastAsia="zh-CN"/>
              </w:rPr>
              <w:t>二</w:t>
            </w:r>
            <w:r>
              <w:rPr>
                <w:rFonts w:hint="eastAsia" w:ascii="宋体" w:hAnsi="宋体"/>
                <w:bCs/>
                <w:sz w:val="24"/>
                <w:highlight w:val="none"/>
              </w:rPr>
              <w:t>个档次（</w:t>
            </w:r>
            <w:r>
              <w:rPr>
                <w:rFonts w:hint="eastAsia" w:ascii="宋体" w:hAnsi="宋体"/>
                <w:bCs/>
                <w:sz w:val="24"/>
                <w:highlight w:val="none"/>
                <w:lang w:val="en-US" w:eastAsia="zh-CN"/>
              </w:rPr>
              <w:t>2</w:t>
            </w:r>
            <w:r>
              <w:rPr>
                <w:rFonts w:hint="eastAsia" w:ascii="宋体" w:hAnsi="宋体"/>
                <w:bCs/>
                <w:sz w:val="24"/>
                <w:highlight w:val="none"/>
              </w:rPr>
              <w:t>分）：</w:t>
            </w:r>
            <w:r>
              <w:rPr>
                <w:rFonts w:hint="eastAsia" w:ascii="宋体" w:hAnsi="宋体"/>
                <w:color w:val="auto"/>
                <w:sz w:val="24"/>
                <w:szCs w:val="24"/>
                <w:highlight w:val="none"/>
              </w:rPr>
              <w:t>培训方案完整，培训大纲、培训计划、培训内容</w:t>
            </w:r>
            <w:r>
              <w:rPr>
                <w:rFonts w:hint="eastAsia" w:ascii="宋体" w:hAnsi="宋体"/>
                <w:color w:val="auto"/>
                <w:sz w:val="24"/>
                <w:szCs w:val="24"/>
                <w:highlight w:val="none"/>
                <w:lang w:val="en-US" w:eastAsia="zh-CN"/>
              </w:rPr>
              <w:t>简单不具体</w:t>
            </w:r>
            <w:r>
              <w:rPr>
                <w:rFonts w:hint="eastAsia" w:ascii="宋体" w:hAnsi="宋体"/>
                <w:color w:val="auto"/>
                <w:sz w:val="24"/>
                <w:szCs w:val="24"/>
                <w:highlight w:val="none"/>
              </w:rPr>
              <w:t>，有保障措施，满足</w:t>
            </w:r>
            <w:r>
              <w:rPr>
                <w:rFonts w:hint="eastAsia" w:ascii="宋体" w:hAnsi="宋体"/>
                <w:color w:val="auto"/>
                <w:sz w:val="24"/>
                <w:szCs w:val="24"/>
                <w:highlight w:val="none"/>
                <w:lang w:eastAsia="zh-CN"/>
              </w:rPr>
              <w:t>采购人</w:t>
            </w:r>
            <w:r>
              <w:rPr>
                <w:rFonts w:hint="eastAsia" w:ascii="宋体" w:hAnsi="宋体"/>
                <w:color w:val="auto"/>
                <w:sz w:val="24"/>
                <w:szCs w:val="24"/>
                <w:highlight w:val="none"/>
              </w:rPr>
              <w:t>使用的；</w:t>
            </w:r>
          </w:p>
          <w:p w14:paraId="62499189">
            <w:pPr>
              <w:spacing w:before="60" w:after="60" w:line="400" w:lineRule="exact"/>
              <w:rPr>
                <w:rFonts w:hint="eastAsia" w:ascii="宋体" w:hAnsi="宋体"/>
                <w:color w:val="auto"/>
                <w:sz w:val="24"/>
                <w:szCs w:val="24"/>
                <w:highlight w:val="none"/>
                <w:lang w:eastAsia="zh-CN"/>
              </w:rPr>
            </w:pPr>
            <w:r>
              <w:rPr>
                <w:rFonts w:hint="eastAsia" w:ascii="宋体" w:hAnsi="宋体"/>
                <w:bCs/>
                <w:sz w:val="24"/>
                <w:highlight w:val="none"/>
              </w:rPr>
              <w:t>第</w:t>
            </w:r>
            <w:r>
              <w:rPr>
                <w:rFonts w:hint="eastAsia" w:ascii="宋体" w:hAnsi="宋体"/>
                <w:bCs/>
                <w:sz w:val="24"/>
                <w:highlight w:val="none"/>
                <w:lang w:val="en-US" w:eastAsia="zh-CN"/>
              </w:rPr>
              <w:t>三</w:t>
            </w:r>
            <w:r>
              <w:rPr>
                <w:rFonts w:hint="eastAsia" w:ascii="宋体" w:hAnsi="宋体"/>
                <w:bCs/>
                <w:sz w:val="24"/>
                <w:highlight w:val="none"/>
              </w:rPr>
              <w:t>个档次（</w:t>
            </w:r>
            <w:r>
              <w:rPr>
                <w:rFonts w:hint="eastAsia" w:ascii="宋体" w:hAnsi="宋体"/>
                <w:bCs/>
                <w:sz w:val="24"/>
                <w:highlight w:val="none"/>
                <w:lang w:val="en-US" w:eastAsia="zh-CN"/>
              </w:rPr>
              <w:t>1</w:t>
            </w:r>
            <w:r>
              <w:rPr>
                <w:rFonts w:hint="eastAsia" w:ascii="宋体" w:hAnsi="宋体"/>
                <w:bCs/>
                <w:sz w:val="24"/>
                <w:highlight w:val="none"/>
              </w:rPr>
              <w:t>分）：</w:t>
            </w:r>
            <w:r>
              <w:rPr>
                <w:rFonts w:hint="eastAsia" w:ascii="宋体" w:hAnsi="宋体"/>
                <w:color w:val="auto"/>
                <w:sz w:val="24"/>
                <w:szCs w:val="24"/>
                <w:highlight w:val="none"/>
                <w:lang w:eastAsia="zh-CN"/>
              </w:rPr>
              <w:t>培训方案</w:t>
            </w:r>
            <w:r>
              <w:rPr>
                <w:rFonts w:hint="eastAsia" w:ascii="宋体" w:hAnsi="宋体"/>
                <w:color w:val="auto"/>
                <w:sz w:val="24"/>
                <w:szCs w:val="24"/>
                <w:highlight w:val="none"/>
                <w:lang w:val="en-US" w:eastAsia="zh-CN"/>
              </w:rPr>
              <w:t>粗略</w:t>
            </w:r>
            <w:r>
              <w:rPr>
                <w:rFonts w:hint="eastAsia" w:ascii="宋体" w:hAnsi="宋体"/>
                <w:color w:val="auto"/>
                <w:sz w:val="24"/>
                <w:szCs w:val="24"/>
                <w:highlight w:val="none"/>
                <w:lang w:eastAsia="zh-CN"/>
              </w:rPr>
              <w:t>，有培训大纲、培训计划、培训内容，</w:t>
            </w:r>
            <w:r>
              <w:rPr>
                <w:rFonts w:hint="eastAsia" w:ascii="宋体" w:hAnsi="宋体"/>
                <w:color w:val="auto"/>
                <w:sz w:val="24"/>
                <w:szCs w:val="24"/>
                <w:highlight w:val="none"/>
                <w:lang w:val="en-US" w:eastAsia="zh-CN"/>
              </w:rPr>
              <w:t>无</w:t>
            </w:r>
            <w:r>
              <w:rPr>
                <w:rFonts w:hint="eastAsia" w:ascii="宋体" w:hAnsi="宋体"/>
                <w:color w:val="auto"/>
                <w:sz w:val="24"/>
                <w:szCs w:val="24"/>
                <w:highlight w:val="none"/>
                <w:lang w:eastAsia="zh-CN"/>
              </w:rPr>
              <w:t>保障措施，基本满足采购人使用的；</w:t>
            </w:r>
          </w:p>
          <w:p w14:paraId="42B0A407">
            <w:pPr>
              <w:spacing w:before="60" w:after="60" w:line="400" w:lineRule="exact"/>
              <w:rPr>
                <w:rFonts w:hint="eastAsia" w:ascii="宋体" w:hAnsi="宋体"/>
                <w:bCs/>
                <w:sz w:val="24"/>
                <w:highlight w:val="none"/>
              </w:rPr>
            </w:pPr>
            <w:r>
              <w:rPr>
                <w:rFonts w:hint="eastAsia" w:ascii="宋体" w:hAnsi="宋体"/>
                <w:bCs/>
                <w:sz w:val="24"/>
                <w:highlight w:val="none"/>
              </w:rPr>
              <w:t>第</w:t>
            </w:r>
            <w:r>
              <w:rPr>
                <w:rFonts w:hint="eastAsia" w:ascii="宋体" w:hAnsi="宋体"/>
                <w:bCs/>
                <w:sz w:val="24"/>
                <w:highlight w:val="none"/>
                <w:lang w:val="en-US" w:eastAsia="zh-CN"/>
              </w:rPr>
              <w:t>四</w:t>
            </w:r>
            <w:r>
              <w:rPr>
                <w:rFonts w:hint="eastAsia" w:ascii="宋体" w:hAnsi="宋体"/>
                <w:bCs/>
                <w:sz w:val="24"/>
                <w:highlight w:val="none"/>
              </w:rPr>
              <w:t>个档次（</w:t>
            </w:r>
            <w:r>
              <w:rPr>
                <w:rFonts w:hint="eastAsia" w:ascii="宋体" w:hAnsi="宋体"/>
                <w:bCs/>
                <w:sz w:val="24"/>
                <w:highlight w:val="none"/>
                <w:lang w:val="en-US" w:eastAsia="zh-CN"/>
              </w:rPr>
              <w:t>0</w:t>
            </w:r>
            <w:r>
              <w:rPr>
                <w:rFonts w:hint="eastAsia" w:ascii="宋体" w:hAnsi="宋体"/>
                <w:bCs/>
                <w:sz w:val="24"/>
                <w:highlight w:val="none"/>
              </w:rPr>
              <w:t>分）：</w:t>
            </w:r>
            <w:r>
              <w:rPr>
                <w:rFonts w:hint="eastAsia" w:ascii="宋体" w:hAnsi="宋体"/>
                <w:color w:val="auto"/>
                <w:sz w:val="24"/>
                <w:szCs w:val="24"/>
                <w:highlight w:val="none"/>
                <w:lang w:val="en-US" w:eastAsia="zh-CN"/>
              </w:rPr>
              <w:t>未提供</w:t>
            </w:r>
            <w:r>
              <w:rPr>
                <w:rFonts w:hint="eastAsia" w:ascii="宋体" w:hAnsi="宋体"/>
                <w:color w:val="auto"/>
                <w:sz w:val="24"/>
                <w:szCs w:val="24"/>
                <w:highlight w:val="none"/>
                <w:lang w:eastAsia="zh-CN"/>
              </w:rPr>
              <w:t>培训方案</w:t>
            </w:r>
            <w:r>
              <w:rPr>
                <w:rFonts w:hint="eastAsia" w:ascii="宋体" w:hAnsi="宋体"/>
                <w:color w:val="auto"/>
                <w:sz w:val="24"/>
                <w:szCs w:val="24"/>
                <w:highlight w:val="none"/>
                <w:lang w:val="en-US" w:eastAsia="zh-CN"/>
              </w:rPr>
              <w:t>的</w:t>
            </w:r>
            <w:r>
              <w:rPr>
                <w:rFonts w:hint="eastAsia" w:ascii="宋体" w:hAnsi="宋体"/>
                <w:color w:val="auto"/>
                <w:sz w:val="24"/>
                <w:szCs w:val="24"/>
                <w:highlight w:val="none"/>
                <w:lang w:eastAsia="zh-CN"/>
              </w:rPr>
              <w:t>。</w:t>
            </w:r>
          </w:p>
        </w:tc>
      </w:tr>
      <w:bookmarkEnd w:id="197"/>
    </w:tbl>
    <w:p w14:paraId="155ACD01">
      <w:pPr>
        <w:spacing w:line="500" w:lineRule="exact"/>
        <w:ind w:firstLine="482" w:firstLineChars="200"/>
        <w:rPr>
          <w:rFonts w:hint="eastAsia" w:ascii="宋体" w:hAnsi="宋体"/>
          <w:b/>
          <w:bCs/>
          <w:sz w:val="24"/>
          <w:szCs w:val="24"/>
          <w:highlight w:val="none"/>
        </w:rPr>
      </w:pPr>
      <w:r>
        <w:rPr>
          <w:rFonts w:hint="eastAsia" w:ascii="宋体" w:hAnsi="宋体"/>
          <w:b/>
          <w:bCs/>
          <w:sz w:val="24"/>
          <w:szCs w:val="24"/>
          <w:highlight w:val="none"/>
        </w:rPr>
        <w:t>(四)得分汇总</w:t>
      </w:r>
    </w:p>
    <w:p w14:paraId="02A494EB">
      <w:pPr>
        <w:pStyle w:val="12"/>
        <w:spacing w:line="480" w:lineRule="exact"/>
        <w:ind w:firstLine="480" w:firstLineChars="200"/>
        <w:rPr>
          <w:rFonts w:hint="eastAsia" w:ascii="宋体" w:hAnsi="宋体"/>
          <w:sz w:val="24"/>
          <w:szCs w:val="24"/>
          <w:highlight w:val="none"/>
        </w:rPr>
      </w:pPr>
      <w:r>
        <w:rPr>
          <w:rFonts w:hint="eastAsia" w:ascii="宋体" w:hAnsi="宋体"/>
          <w:sz w:val="24"/>
          <w:szCs w:val="24"/>
          <w:highlight w:val="none"/>
        </w:rPr>
        <w:t>1.评委应首先对各投标人投标文件进行评审，写出书面意见并按招标文件规定分值评分，各分档评分中间不得用插入法评分。</w:t>
      </w:r>
    </w:p>
    <w:p w14:paraId="066647A6">
      <w:pPr>
        <w:pStyle w:val="12"/>
        <w:spacing w:line="480" w:lineRule="exact"/>
        <w:ind w:firstLine="480" w:firstLineChars="200"/>
        <w:rPr>
          <w:rFonts w:hint="eastAsia" w:ascii="宋体" w:hAnsi="宋体"/>
          <w:sz w:val="24"/>
          <w:szCs w:val="24"/>
          <w:highlight w:val="none"/>
        </w:rPr>
      </w:pPr>
      <w:r>
        <w:rPr>
          <w:rFonts w:hint="eastAsia" w:ascii="宋体" w:hAnsi="宋体"/>
          <w:sz w:val="24"/>
          <w:szCs w:val="24"/>
          <w:highlight w:val="none"/>
        </w:rPr>
        <w:t>2.除投标价格得分外，其余部分由各评委自主评分并签字确认。</w:t>
      </w:r>
    </w:p>
    <w:p w14:paraId="5A1B4AE1">
      <w:pPr>
        <w:pStyle w:val="12"/>
        <w:spacing w:line="480" w:lineRule="exact"/>
        <w:ind w:firstLine="480" w:firstLineChars="200"/>
        <w:rPr>
          <w:rFonts w:hint="eastAsia" w:ascii="宋体" w:hAnsi="宋体"/>
          <w:sz w:val="24"/>
          <w:szCs w:val="24"/>
          <w:highlight w:val="none"/>
        </w:rPr>
      </w:pPr>
      <w:r>
        <w:rPr>
          <w:rFonts w:hint="eastAsia" w:ascii="宋体" w:hAnsi="宋体"/>
          <w:sz w:val="24"/>
          <w:szCs w:val="24"/>
          <w:highlight w:val="none"/>
        </w:rPr>
        <w:t>3.统分原则：计算评委打分的算术平均值为投标人的该项评分因素的得分，投标报价得分除外(保留小数点后两位)。</w:t>
      </w:r>
    </w:p>
    <w:p w14:paraId="476BA700">
      <w:pPr>
        <w:pStyle w:val="12"/>
        <w:spacing w:line="480" w:lineRule="exact"/>
        <w:ind w:firstLine="480" w:firstLineChars="200"/>
        <w:rPr>
          <w:rFonts w:hint="eastAsia" w:ascii="宋体" w:hAnsi="宋体"/>
          <w:sz w:val="24"/>
          <w:szCs w:val="24"/>
          <w:highlight w:val="none"/>
        </w:rPr>
      </w:pPr>
      <w:r>
        <w:rPr>
          <w:rFonts w:hint="eastAsia" w:ascii="宋体" w:hAnsi="宋体"/>
          <w:sz w:val="24"/>
          <w:szCs w:val="24"/>
          <w:highlight w:val="none"/>
        </w:rPr>
        <w:t>4.得分汇总：各项评分因素得分的总和即为投标人最后得分。</w:t>
      </w:r>
    </w:p>
    <w:p w14:paraId="63E4F9E2">
      <w:pPr>
        <w:pStyle w:val="12"/>
        <w:spacing w:line="480" w:lineRule="exact"/>
        <w:ind w:firstLine="480" w:firstLineChars="200"/>
        <w:rPr>
          <w:rFonts w:hint="eastAsia" w:ascii="宋体" w:hAnsi="宋体"/>
          <w:sz w:val="24"/>
          <w:szCs w:val="24"/>
          <w:highlight w:val="none"/>
        </w:rPr>
      </w:pPr>
      <w:r>
        <w:rPr>
          <w:rFonts w:hint="eastAsia" w:ascii="宋体" w:hAnsi="宋体"/>
          <w:sz w:val="24"/>
          <w:szCs w:val="24"/>
          <w:highlight w:val="none"/>
        </w:rPr>
        <w:t>5.经评标委员会认定评分畸高、畸低的，评标委员会应当当场修改评标结果，并在评标报告中记载。</w:t>
      </w:r>
    </w:p>
    <w:p w14:paraId="2363B0F4">
      <w:pPr>
        <w:spacing w:before="95" w:beforeLines="30" w:after="95" w:afterLines="30" w:line="500" w:lineRule="exact"/>
        <w:ind w:firstLine="482" w:firstLineChars="200"/>
        <w:rPr>
          <w:rFonts w:hint="eastAsia" w:ascii="宋体" w:hAnsi="宋体"/>
          <w:b/>
          <w:bCs/>
          <w:sz w:val="24"/>
          <w:szCs w:val="24"/>
          <w:highlight w:val="none"/>
        </w:rPr>
      </w:pPr>
      <w:r>
        <w:rPr>
          <w:rFonts w:hint="eastAsia" w:ascii="宋体" w:hAnsi="宋体"/>
          <w:b/>
          <w:bCs/>
          <w:sz w:val="24"/>
          <w:szCs w:val="24"/>
          <w:highlight w:val="none"/>
        </w:rPr>
        <w:t>七、推荐</w:t>
      </w:r>
    </w:p>
    <w:p w14:paraId="48D2C31F">
      <w:pPr>
        <w:keepNext w:val="0"/>
        <w:keepLines w:val="0"/>
        <w:pageBreakBefore w:val="0"/>
        <w:widowControl w:val="0"/>
        <w:kinsoku/>
        <w:wordWrap/>
        <w:overflowPunct/>
        <w:topLinePunct w:val="0"/>
        <w:autoSpaceDE w:val="0"/>
        <w:autoSpaceDN w:val="0"/>
        <w:bidi w:val="0"/>
        <w:adjustRightInd/>
        <w:snapToGrid/>
        <w:spacing w:line="460" w:lineRule="exact"/>
        <w:ind w:firstLine="480" w:firstLineChars="200"/>
        <w:textAlignment w:val="auto"/>
        <w:rPr>
          <w:rFonts w:hint="eastAsia" w:ascii="宋体" w:hAnsi="宋体"/>
          <w:color w:val="FF0000"/>
          <w:sz w:val="24"/>
          <w:szCs w:val="24"/>
          <w:highlight w:val="none"/>
        </w:rPr>
      </w:pPr>
      <w:r>
        <w:rPr>
          <w:rFonts w:hint="eastAsia" w:ascii="宋体" w:hAnsi="宋体"/>
          <w:sz w:val="24"/>
          <w:szCs w:val="24"/>
          <w:highlight w:val="none"/>
        </w:rPr>
        <w:t>评标委员会按得分汇总计算出各投标人的总得分，评标结果按评审后总得分由高到低顺序排列。投标文件满足招标文件全部实质性要求，且按照评审因素的量化指标评审总得分最高的投标人为排名第一的中标候选人。总得分相同的，按投标报价由低到高顺序排列。得分且投标报价相同的，若存在节能环保产品参与投标，根据《中华人民共和国政府采购法》《中华人民共和国政府采购法实施条例》《政府采购货物和服务招标投标管理办法》(财政部令第87号)的规定，优先采购节能环保产品。</w:t>
      </w:r>
    </w:p>
    <w:p w14:paraId="2A55780A">
      <w:pPr>
        <w:keepNext w:val="0"/>
        <w:keepLines w:val="0"/>
        <w:pageBreakBefore w:val="0"/>
        <w:widowControl w:val="0"/>
        <w:kinsoku/>
        <w:wordWrap/>
        <w:overflowPunct/>
        <w:topLinePunct w:val="0"/>
        <w:autoSpaceDE w:val="0"/>
        <w:autoSpaceDN w:val="0"/>
        <w:bidi w:val="0"/>
        <w:adjustRightInd/>
        <w:snapToGrid/>
        <w:spacing w:line="460" w:lineRule="exact"/>
        <w:ind w:firstLine="480" w:firstLineChars="200"/>
        <w:textAlignment w:val="auto"/>
        <w:rPr>
          <w:rFonts w:hint="eastAsia" w:ascii="宋体" w:hAnsi="宋体"/>
          <w:sz w:val="24"/>
          <w:szCs w:val="24"/>
          <w:highlight w:val="none"/>
        </w:rPr>
      </w:pPr>
      <w:r>
        <w:rPr>
          <w:rFonts w:hint="eastAsia" w:ascii="宋体" w:hAnsi="宋体" w:cs="宋体"/>
          <w:sz w:val="24"/>
          <w:szCs w:val="24"/>
          <w:highlight w:val="none"/>
        </w:rPr>
        <w:t>若不存在节能环保产品参与投</w:t>
      </w:r>
      <w:r>
        <w:rPr>
          <w:rFonts w:hint="eastAsia" w:ascii="宋体" w:hAnsi="宋体" w:eastAsia="宋体" w:cs="Times New Roman"/>
          <w:sz w:val="24"/>
          <w:szCs w:val="24"/>
          <w:highlight w:val="none"/>
        </w:rPr>
        <w:t>标，按商务技术部分评审得</w:t>
      </w:r>
      <w:r>
        <w:rPr>
          <w:rFonts w:hint="eastAsia" w:ascii="宋体" w:hAnsi="宋体"/>
          <w:sz w:val="24"/>
          <w:szCs w:val="24"/>
          <w:highlight w:val="none"/>
        </w:rPr>
        <w:t>分由高到低的顺序排列，依次类推。</w:t>
      </w:r>
    </w:p>
    <w:p w14:paraId="7DD9D3A0">
      <w:pPr>
        <w:keepNext w:val="0"/>
        <w:keepLines w:val="0"/>
        <w:pageBreakBefore w:val="0"/>
        <w:widowControl w:val="0"/>
        <w:kinsoku/>
        <w:wordWrap/>
        <w:overflowPunct/>
        <w:topLinePunct w:val="0"/>
        <w:bidi w:val="0"/>
        <w:adjustRightInd/>
        <w:snapToGrid/>
        <w:spacing w:before="95" w:beforeLines="30" w:after="95" w:afterLines="30" w:line="500" w:lineRule="exact"/>
        <w:ind w:firstLine="482" w:firstLineChars="200"/>
        <w:textAlignment w:val="auto"/>
        <w:rPr>
          <w:rFonts w:hint="eastAsia" w:ascii="宋体" w:hAnsi="宋体"/>
          <w:b/>
          <w:bCs/>
          <w:sz w:val="24"/>
          <w:szCs w:val="24"/>
          <w:highlight w:val="none"/>
        </w:rPr>
      </w:pPr>
      <w:r>
        <w:rPr>
          <w:rFonts w:hint="eastAsia" w:ascii="宋体" w:hAnsi="宋体"/>
          <w:b/>
          <w:bCs/>
          <w:sz w:val="24"/>
          <w:szCs w:val="24"/>
          <w:highlight w:val="none"/>
        </w:rPr>
        <w:t>八、评标报告编写</w:t>
      </w:r>
    </w:p>
    <w:p w14:paraId="6911AAFC">
      <w:pPr>
        <w:spacing w:line="240" w:lineRule="exact"/>
        <w:ind w:firstLine="480" w:firstLineChars="200"/>
        <w:rPr>
          <w:rFonts w:ascii="宋体" w:hAnsi="宋体"/>
          <w:highlight w:val="none"/>
        </w:rPr>
      </w:pPr>
      <w:r>
        <w:rPr>
          <w:rFonts w:hint="eastAsia" w:ascii="宋体" w:hAnsi="宋体"/>
          <w:sz w:val="24"/>
          <w:szCs w:val="24"/>
          <w:highlight w:val="none"/>
        </w:rPr>
        <w:t>评标委员会根据全体评标成员签字的原始评标记录和评标结果编写评标报告。</w:t>
      </w:r>
    </w:p>
    <w:p w14:paraId="4A37590C">
      <w:pPr>
        <w:pStyle w:val="2"/>
        <w:spacing w:before="0" w:after="0" w:line="360" w:lineRule="auto"/>
        <w:jc w:val="center"/>
        <w:rPr>
          <w:rFonts w:ascii="宋体" w:hAnsi="宋体"/>
          <w:highlight w:val="none"/>
        </w:rPr>
      </w:pPr>
      <w:bookmarkStart w:id="198" w:name="_Toc8239"/>
      <w:bookmarkEnd w:id="198"/>
      <w:bookmarkStart w:id="199" w:name="_Toc21476"/>
      <w:bookmarkEnd w:id="199"/>
      <w:bookmarkStart w:id="200" w:name="_Toc21906"/>
      <w:r>
        <w:rPr>
          <w:rStyle w:val="44"/>
          <w:rFonts w:hint="eastAsia" w:ascii="宋体" w:hAnsi="宋体"/>
          <w:b/>
          <w:bCs/>
          <w:highlight w:val="none"/>
        </w:rPr>
        <w:br w:type="page"/>
      </w:r>
      <w:bookmarkEnd w:id="200"/>
      <w:bookmarkStart w:id="201" w:name="_Toc18440"/>
      <w:bookmarkEnd w:id="201"/>
      <w:bookmarkStart w:id="202" w:name="_Toc26828"/>
      <w:bookmarkEnd w:id="202"/>
      <w:bookmarkStart w:id="203" w:name="_Toc32139"/>
      <w:bookmarkStart w:id="204" w:name="_Toc30727"/>
      <w:bookmarkStart w:id="205" w:name="_Toc15431"/>
      <w:r>
        <w:rPr>
          <w:rFonts w:hint="eastAsia" w:ascii="宋体" w:hAnsi="宋体"/>
          <w:highlight w:val="none"/>
        </w:rPr>
        <w:t>第五章 合同条款及格式</w:t>
      </w:r>
      <w:bookmarkEnd w:id="203"/>
      <w:bookmarkEnd w:id="204"/>
    </w:p>
    <w:bookmarkEnd w:id="205"/>
    <w:p w14:paraId="21162359">
      <w:pPr>
        <w:jc w:val="center"/>
        <w:rPr>
          <w:rFonts w:hint="eastAsia" w:ascii="宋体" w:hAnsi="宋体" w:eastAsia="宋体" w:cs="宋体"/>
          <w:b w:val="0"/>
          <w:bCs w:val="0"/>
          <w:sz w:val="24"/>
          <w:szCs w:val="24"/>
        </w:rPr>
      </w:pPr>
      <w:bookmarkStart w:id="206" w:name="_Toc331685784"/>
      <w:r>
        <w:rPr>
          <w:rFonts w:hint="eastAsia" w:ascii="宋体" w:hAnsi="宋体" w:eastAsia="宋体" w:cs="宋体"/>
          <w:b w:val="0"/>
          <w:bCs w:val="0"/>
          <w:sz w:val="24"/>
          <w:szCs w:val="24"/>
        </w:rPr>
        <w:t>(以下合同内容仅供参考，具体合同内容以签订合同时甲乙双方商定为准)</w:t>
      </w:r>
    </w:p>
    <w:p w14:paraId="0713C3BE">
      <w:pPr>
        <w:rPr>
          <w:rFonts w:hint="eastAsia" w:ascii="宋体" w:hAnsi="宋体" w:eastAsia="宋体" w:cs="宋体"/>
          <w:sz w:val="24"/>
          <w:szCs w:val="24"/>
        </w:rPr>
      </w:pPr>
    </w:p>
    <w:p w14:paraId="7A829CB1">
      <w:pPr>
        <w:rPr>
          <w:rFonts w:hint="eastAsia" w:ascii="宋体" w:hAnsi="宋体" w:eastAsia="宋体" w:cs="宋体"/>
          <w:sz w:val="24"/>
          <w:szCs w:val="24"/>
          <w:u w:val="single"/>
        </w:rPr>
      </w:pPr>
      <w:r>
        <w:rPr>
          <w:rFonts w:hint="eastAsia" w:ascii="宋体" w:hAnsi="宋体" w:eastAsia="宋体" w:cs="宋体"/>
          <w:sz w:val="24"/>
          <w:szCs w:val="24"/>
        </w:rPr>
        <w:t>合同编号：</w:t>
      </w:r>
      <w:r>
        <w:rPr>
          <w:rFonts w:hint="eastAsia" w:ascii="宋体" w:hAnsi="宋体" w:eastAsia="宋体" w:cs="宋体"/>
          <w:sz w:val="24"/>
          <w:szCs w:val="24"/>
          <w:u w:val="single"/>
        </w:rPr>
        <w:t xml:space="preserve">           </w:t>
      </w:r>
    </w:p>
    <w:p w14:paraId="102D2751">
      <w:pPr>
        <w:spacing w:line="480" w:lineRule="auto"/>
        <w:jc w:val="center"/>
        <w:rPr>
          <w:rFonts w:hint="eastAsia" w:ascii="宋体" w:hAnsi="宋体" w:eastAsia="宋体" w:cs="宋体"/>
          <w:b/>
          <w:sz w:val="24"/>
          <w:szCs w:val="24"/>
        </w:rPr>
      </w:pPr>
    </w:p>
    <w:p w14:paraId="344E285F">
      <w:pPr>
        <w:spacing w:line="480" w:lineRule="auto"/>
        <w:jc w:val="center"/>
        <w:rPr>
          <w:rFonts w:hint="eastAsia" w:ascii="宋体" w:hAnsi="宋体" w:eastAsia="宋体" w:cs="宋体"/>
          <w:b/>
          <w:sz w:val="24"/>
          <w:szCs w:val="24"/>
        </w:rPr>
      </w:pPr>
    </w:p>
    <w:p w14:paraId="5F1C5CB2">
      <w:pPr>
        <w:spacing w:line="480" w:lineRule="auto"/>
        <w:jc w:val="center"/>
        <w:rPr>
          <w:rFonts w:hint="eastAsia" w:ascii="宋体" w:hAnsi="宋体" w:eastAsia="宋体" w:cs="宋体"/>
          <w:b/>
          <w:sz w:val="24"/>
          <w:szCs w:val="24"/>
        </w:rPr>
      </w:pPr>
    </w:p>
    <w:p w14:paraId="4E07A064">
      <w:pPr>
        <w:spacing w:line="480" w:lineRule="auto"/>
        <w:jc w:val="center"/>
        <w:rPr>
          <w:rFonts w:hint="eastAsia" w:ascii="宋体" w:hAnsi="宋体" w:eastAsia="宋体" w:cs="宋体"/>
          <w:b/>
          <w:sz w:val="24"/>
          <w:szCs w:val="24"/>
        </w:rPr>
      </w:pPr>
      <w:r>
        <w:rPr>
          <w:rFonts w:hint="eastAsia" w:ascii="宋体" w:hAnsi="宋体" w:eastAsia="宋体" w:cs="宋体"/>
          <w:b/>
          <w:sz w:val="24"/>
          <w:szCs w:val="24"/>
        </w:rPr>
        <w:t>政府采购合同</w:t>
      </w:r>
    </w:p>
    <w:p w14:paraId="52BE0220">
      <w:pPr>
        <w:pStyle w:val="47"/>
        <w:ind w:firstLine="0"/>
        <w:rPr>
          <w:rFonts w:hint="eastAsia" w:ascii="宋体" w:hAnsi="宋体" w:eastAsia="宋体" w:cs="宋体"/>
          <w:sz w:val="24"/>
          <w:szCs w:val="24"/>
        </w:rPr>
      </w:pPr>
    </w:p>
    <w:p w14:paraId="7AB0728D">
      <w:pPr>
        <w:pStyle w:val="47"/>
        <w:ind w:firstLine="0"/>
        <w:rPr>
          <w:rFonts w:hint="eastAsia" w:ascii="宋体" w:hAnsi="宋体" w:eastAsia="宋体" w:cs="宋体"/>
          <w:sz w:val="24"/>
          <w:szCs w:val="24"/>
        </w:rPr>
      </w:pPr>
    </w:p>
    <w:p w14:paraId="57E2EDD6">
      <w:pPr>
        <w:pStyle w:val="47"/>
        <w:ind w:firstLine="0"/>
        <w:rPr>
          <w:rFonts w:hint="eastAsia" w:ascii="宋体" w:hAnsi="宋体" w:eastAsia="宋体" w:cs="宋体"/>
          <w:sz w:val="24"/>
          <w:szCs w:val="24"/>
        </w:rPr>
      </w:pPr>
    </w:p>
    <w:p w14:paraId="6E70C110">
      <w:pPr>
        <w:pStyle w:val="47"/>
        <w:ind w:firstLine="0"/>
        <w:rPr>
          <w:rFonts w:hint="eastAsia" w:ascii="宋体" w:hAnsi="宋体" w:eastAsia="宋体" w:cs="宋体"/>
          <w:sz w:val="24"/>
          <w:szCs w:val="24"/>
        </w:rPr>
      </w:pPr>
    </w:p>
    <w:p w14:paraId="19CC0121">
      <w:pPr>
        <w:pStyle w:val="47"/>
        <w:ind w:firstLine="0"/>
        <w:rPr>
          <w:rFonts w:hint="eastAsia" w:ascii="宋体" w:hAnsi="宋体" w:eastAsia="宋体" w:cs="宋体"/>
          <w:sz w:val="24"/>
          <w:szCs w:val="24"/>
        </w:rPr>
      </w:pPr>
    </w:p>
    <w:p w14:paraId="16E68232">
      <w:pPr>
        <w:pStyle w:val="47"/>
        <w:ind w:firstLine="0"/>
        <w:jc w:val="center"/>
        <w:rPr>
          <w:rFonts w:hint="eastAsia" w:ascii="宋体" w:hAnsi="宋体" w:eastAsia="宋体" w:cs="宋体"/>
          <w:b/>
          <w:sz w:val="24"/>
          <w:szCs w:val="24"/>
        </w:rPr>
      </w:pPr>
      <w:r>
        <w:rPr>
          <w:rFonts w:hint="eastAsia" w:ascii="宋体" w:hAnsi="宋体" w:eastAsia="宋体" w:cs="宋体"/>
          <w:b/>
          <w:sz w:val="24"/>
          <w:szCs w:val="24"/>
        </w:rPr>
        <w:t>第一部分 合同书</w:t>
      </w:r>
    </w:p>
    <w:p w14:paraId="3B6F86E5">
      <w:pPr>
        <w:pStyle w:val="47"/>
        <w:ind w:firstLine="0"/>
        <w:rPr>
          <w:rFonts w:hint="eastAsia" w:ascii="宋体" w:hAnsi="宋体" w:eastAsia="宋体" w:cs="宋体"/>
          <w:sz w:val="24"/>
          <w:szCs w:val="24"/>
        </w:rPr>
      </w:pPr>
    </w:p>
    <w:p w14:paraId="07797DE5">
      <w:pPr>
        <w:pStyle w:val="47"/>
        <w:ind w:firstLine="0"/>
        <w:rPr>
          <w:rFonts w:hint="eastAsia" w:ascii="宋体" w:hAnsi="宋体" w:eastAsia="宋体" w:cs="宋体"/>
          <w:sz w:val="24"/>
          <w:szCs w:val="24"/>
        </w:rPr>
      </w:pPr>
    </w:p>
    <w:p w14:paraId="2BF2CA7C">
      <w:pPr>
        <w:spacing w:before="120" w:line="22" w:lineRule="atLeast"/>
        <w:rPr>
          <w:rFonts w:hint="eastAsia" w:ascii="宋体" w:hAnsi="宋体" w:eastAsia="宋体" w:cs="宋体"/>
          <w:sz w:val="24"/>
          <w:szCs w:val="24"/>
        </w:rPr>
      </w:pPr>
    </w:p>
    <w:p w14:paraId="73BF9AAE">
      <w:pPr>
        <w:spacing w:before="120" w:line="22" w:lineRule="atLeast"/>
        <w:ind w:left="960"/>
        <w:rPr>
          <w:rFonts w:hint="eastAsia" w:ascii="宋体" w:hAnsi="宋体" w:eastAsia="宋体" w:cs="宋体"/>
          <w:sz w:val="24"/>
          <w:szCs w:val="24"/>
        </w:rPr>
      </w:pPr>
      <w:r>
        <w:rPr>
          <w:rFonts w:hint="eastAsia" w:ascii="宋体" w:hAnsi="宋体" w:eastAsia="宋体" w:cs="宋体"/>
          <w:sz w:val="24"/>
          <w:szCs w:val="24"/>
        </w:rPr>
        <w:t>项目名称：</w:t>
      </w:r>
      <w:r>
        <w:rPr>
          <w:rFonts w:hint="eastAsia" w:ascii="宋体" w:hAnsi="宋体" w:eastAsia="宋体" w:cs="宋体"/>
          <w:sz w:val="24"/>
          <w:szCs w:val="24"/>
          <w:u w:val="single"/>
        </w:rPr>
        <w:t xml:space="preserve">                                   </w:t>
      </w:r>
    </w:p>
    <w:p w14:paraId="35CD8A8C">
      <w:pPr>
        <w:pStyle w:val="48"/>
        <w:spacing w:before="120" w:line="22" w:lineRule="atLeast"/>
        <w:rPr>
          <w:rFonts w:hint="eastAsia" w:ascii="宋体" w:hAnsi="宋体" w:eastAsia="宋体" w:cs="宋体"/>
          <w:sz w:val="24"/>
          <w:szCs w:val="24"/>
        </w:rPr>
      </w:pPr>
    </w:p>
    <w:p w14:paraId="7021425A">
      <w:pPr>
        <w:pStyle w:val="48"/>
        <w:spacing w:before="120" w:line="22" w:lineRule="atLeast"/>
        <w:rPr>
          <w:rFonts w:hint="eastAsia" w:ascii="宋体" w:hAnsi="宋体" w:eastAsia="宋体" w:cs="宋体"/>
          <w:sz w:val="24"/>
          <w:szCs w:val="24"/>
        </w:rPr>
      </w:pPr>
    </w:p>
    <w:p w14:paraId="07A66834">
      <w:pPr>
        <w:rPr>
          <w:rFonts w:hint="eastAsia" w:ascii="宋体" w:hAnsi="宋体" w:eastAsia="宋体" w:cs="宋体"/>
          <w:sz w:val="24"/>
          <w:szCs w:val="24"/>
        </w:rPr>
      </w:pPr>
    </w:p>
    <w:p w14:paraId="051F5367">
      <w:pPr>
        <w:spacing w:before="120" w:line="22" w:lineRule="atLeast"/>
        <w:ind w:left="960"/>
        <w:rPr>
          <w:rFonts w:hint="eastAsia" w:ascii="宋体" w:hAnsi="宋体" w:eastAsia="宋体" w:cs="宋体"/>
          <w:sz w:val="24"/>
          <w:szCs w:val="24"/>
          <w:u w:val="single"/>
        </w:rPr>
      </w:pPr>
      <w:r>
        <w:rPr>
          <w:rFonts w:hint="eastAsia" w:ascii="宋体" w:hAnsi="宋体" w:eastAsia="宋体" w:cs="宋体"/>
          <w:sz w:val="24"/>
          <w:szCs w:val="24"/>
        </w:rPr>
        <w:t>甲方：</w:t>
      </w:r>
      <w:r>
        <w:rPr>
          <w:rFonts w:hint="eastAsia" w:ascii="宋体" w:hAnsi="宋体" w:eastAsia="宋体" w:cs="宋体"/>
          <w:sz w:val="24"/>
          <w:szCs w:val="24"/>
          <w:u w:val="single"/>
        </w:rPr>
        <w:t xml:space="preserve">                                       </w:t>
      </w:r>
    </w:p>
    <w:p w14:paraId="71A32139">
      <w:pPr>
        <w:spacing w:before="120" w:line="22" w:lineRule="atLeast"/>
        <w:rPr>
          <w:rFonts w:hint="eastAsia" w:ascii="宋体" w:hAnsi="宋体" w:eastAsia="宋体" w:cs="宋体"/>
          <w:sz w:val="24"/>
          <w:szCs w:val="24"/>
        </w:rPr>
      </w:pPr>
    </w:p>
    <w:p w14:paraId="4DCA6EF9">
      <w:pPr>
        <w:spacing w:before="120" w:line="22" w:lineRule="atLeast"/>
        <w:ind w:left="960"/>
        <w:rPr>
          <w:rFonts w:hint="eastAsia" w:ascii="宋体" w:hAnsi="宋体" w:eastAsia="宋体" w:cs="宋体"/>
          <w:sz w:val="24"/>
          <w:szCs w:val="24"/>
          <w:u w:val="single"/>
        </w:rPr>
      </w:pPr>
      <w:r>
        <w:rPr>
          <w:rFonts w:hint="eastAsia" w:ascii="宋体" w:hAnsi="宋体" w:eastAsia="宋体" w:cs="宋体"/>
          <w:sz w:val="24"/>
          <w:szCs w:val="24"/>
        </w:rPr>
        <w:t>乙方：</w:t>
      </w:r>
      <w:r>
        <w:rPr>
          <w:rFonts w:hint="eastAsia" w:ascii="宋体" w:hAnsi="宋体" w:eastAsia="宋体" w:cs="宋体"/>
          <w:sz w:val="24"/>
          <w:szCs w:val="24"/>
          <w:u w:val="single"/>
        </w:rPr>
        <w:t xml:space="preserve">                                       </w:t>
      </w:r>
    </w:p>
    <w:p w14:paraId="4C29FE09">
      <w:pPr>
        <w:spacing w:before="120" w:line="22" w:lineRule="atLeast"/>
        <w:rPr>
          <w:rFonts w:hint="eastAsia" w:ascii="宋体" w:hAnsi="宋体" w:eastAsia="宋体" w:cs="宋体"/>
          <w:sz w:val="24"/>
          <w:szCs w:val="24"/>
        </w:rPr>
      </w:pPr>
    </w:p>
    <w:p w14:paraId="47DA5BE4">
      <w:pPr>
        <w:spacing w:before="120" w:line="22" w:lineRule="atLeast"/>
        <w:ind w:firstLine="960" w:firstLineChars="400"/>
        <w:rPr>
          <w:rFonts w:hint="eastAsia" w:ascii="宋体" w:hAnsi="宋体" w:eastAsia="宋体" w:cs="宋体"/>
          <w:sz w:val="24"/>
          <w:szCs w:val="24"/>
          <w:u w:val="single"/>
        </w:rPr>
      </w:pPr>
      <w:r>
        <w:rPr>
          <w:rFonts w:hint="eastAsia" w:ascii="宋体" w:hAnsi="宋体" w:eastAsia="宋体" w:cs="宋体"/>
          <w:sz w:val="24"/>
          <w:szCs w:val="24"/>
        </w:rPr>
        <w:t>签订地：</w:t>
      </w:r>
      <w:r>
        <w:rPr>
          <w:rFonts w:hint="eastAsia" w:ascii="宋体" w:hAnsi="宋体" w:eastAsia="宋体" w:cs="宋体"/>
          <w:sz w:val="24"/>
          <w:szCs w:val="24"/>
          <w:u w:val="single"/>
        </w:rPr>
        <w:t xml:space="preserve">                                     </w:t>
      </w:r>
    </w:p>
    <w:p w14:paraId="783D58EE">
      <w:pPr>
        <w:spacing w:before="120" w:line="22" w:lineRule="atLeast"/>
        <w:rPr>
          <w:rFonts w:hint="eastAsia" w:ascii="宋体" w:hAnsi="宋体" w:eastAsia="宋体" w:cs="宋体"/>
          <w:sz w:val="24"/>
          <w:szCs w:val="24"/>
        </w:rPr>
      </w:pPr>
    </w:p>
    <w:p w14:paraId="34C8AB48">
      <w:pPr>
        <w:spacing w:before="120" w:line="22" w:lineRule="atLeast"/>
        <w:ind w:firstLine="960" w:firstLineChars="400"/>
        <w:rPr>
          <w:rFonts w:hint="eastAsia" w:ascii="宋体" w:hAnsi="宋体" w:eastAsia="宋体" w:cs="宋体"/>
          <w:sz w:val="24"/>
          <w:szCs w:val="24"/>
          <w:u w:val="single"/>
        </w:rPr>
      </w:pPr>
      <w:r>
        <w:rPr>
          <w:rFonts w:hint="eastAsia" w:ascii="宋体" w:hAnsi="宋体" w:eastAsia="宋体" w:cs="宋体"/>
          <w:sz w:val="24"/>
          <w:szCs w:val="24"/>
        </w:rPr>
        <w:t>签订日期：</w:t>
      </w:r>
      <w:r>
        <w:rPr>
          <w:rFonts w:hint="eastAsia" w:ascii="宋体" w:hAnsi="宋体" w:eastAsia="宋体" w:cs="宋体"/>
          <w:sz w:val="24"/>
          <w:szCs w:val="24"/>
          <w:u w:val="single"/>
        </w:rPr>
        <w:t xml:space="preserve">               </w:t>
      </w:r>
      <w:r>
        <w:rPr>
          <w:rFonts w:hint="eastAsia" w:ascii="宋体" w:hAnsi="宋体" w:eastAsia="宋体" w:cs="宋体"/>
          <w:sz w:val="24"/>
          <w:szCs w:val="24"/>
        </w:rPr>
        <w:t>年</w:t>
      </w:r>
      <w:r>
        <w:rPr>
          <w:rFonts w:hint="eastAsia" w:ascii="宋体" w:hAnsi="宋体" w:eastAsia="宋体" w:cs="宋体"/>
          <w:sz w:val="24"/>
          <w:szCs w:val="24"/>
          <w:u w:val="single"/>
        </w:rPr>
        <w:t xml:space="preserve">       </w:t>
      </w:r>
      <w:r>
        <w:rPr>
          <w:rFonts w:hint="eastAsia" w:ascii="宋体" w:hAnsi="宋体" w:eastAsia="宋体" w:cs="宋体"/>
          <w:sz w:val="24"/>
          <w:szCs w:val="24"/>
        </w:rPr>
        <w:t>月</w:t>
      </w:r>
      <w:r>
        <w:rPr>
          <w:rFonts w:hint="eastAsia" w:ascii="宋体" w:hAnsi="宋体" w:eastAsia="宋体" w:cs="宋体"/>
          <w:sz w:val="24"/>
          <w:szCs w:val="24"/>
          <w:u w:val="single"/>
        </w:rPr>
        <w:t xml:space="preserve">       </w:t>
      </w:r>
      <w:r>
        <w:rPr>
          <w:rFonts w:hint="eastAsia" w:ascii="宋体" w:hAnsi="宋体" w:eastAsia="宋体" w:cs="宋体"/>
          <w:sz w:val="24"/>
          <w:szCs w:val="24"/>
        </w:rPr>
        <w:t>日</w:t>
      </w:r>
    </w:p>
    <w:p w14:paraId="6E19E341">
      <w:pPr>
        <w:spacing w:before="120" w:line="22" w:lineRule="atLeast"/>
        <w:ind w:firstLine="960" w:firstLineChars="400"/>
        <w:rPr>
          <w:rFonts w:hint="eastAsia" w:ascii="宋体" w:hAnsi="宋体" w:eastAsia="宋体" w:cs="宋体"/>
          <w:i w:val="0"/>
          <w:iCs w:val="0"/>
          <w:sz w:val="24"/>
          <w:u w:val="single"/>
        </w:rPr>
      </w:pPr>
    </w:p>
    <w:p w14:paraId="64F71677">
      <w:pPr>
        <w:autoSpaceDE w:val="0"/>
        <w:autoSpaceDN w:val="0"/>
        <w:adjustRightInd w:val="0"/>
        <w:spacing w:line="600" w:lineRule="exact"/>
        <w:ind w:firstLine="640"/>
        <w:jc w:val="center"/>
        <w:rPr>
          <w:rFonts w:hint="eastAsia" w:ascii="宋体" w:hAnsi="宋体" w:eastAsia="宋体" w:cs="宋体"/>
          <w:i w:val="0"/>
          <w:iCs w:val="0"/>
          <w:sz w:val="24"/>
        </w:rPr>
        <w:sectPr>
          <w:footerReference r:id="rId6" w:type="default"/>
          <w:pgSz w:w="11907" w:h="16840"/>
          <w:pgMar w:top="1191" w:right="1191" w:bottom="1191" w:left="1304" w:header="851" w:footer="851" w:gutter="0"/>
          <w:pgNumType w:fmt="decimal"/>
          <w:cols w:space="720" w:num="1"/>
          <w:rtlGutter w:val="0"/>
          <w:docGrid w:linePitch="462" w:charSpace="0"/>
        </w:sectPr>
      </w:pPr>
    </w:p>
    <w:bookmarkEnd w:id="206"/>
    <w:p w14:paraId="139A4791">
      <w:pPr>
        <w:rPr>
          <w:rFonts w:hint="eastAsia" w:ascii="仿宋" w:hAnsi="仿宋" w:eastAsia="仿宋" w:cs="仿宋"/>
          <w:b/>
          <w:bCs/>
          <w:spacing w:val="-20"/>
          <w:kern w:val="44"/>
          <w:sz w:val="28"/>
          <w:szCs w:val="28"/>
          <w:lang w:eastAsia="zh-CN"/>
        </w:rPr>
      </w:pPr>
      <w:bookmarkStart w:id="207" w:name="_Toc3995"/>
    </w:p>
    <w:p w14:paraId="305A5778">
      <w:pPr>
        <w:pStyle w:val="43"/>
        <w:rPr>
          <w:rFonts w:hint="eastAsia" w:ascii="仿宋" w:hAnsi="仿宋" w:eastAsia="仿宋" w:cs="仿宋"/>
          <w:b/>
          <w:bCs/>
          <w:spacing w:val="-20"/>
          <w:kern w:val="44"/>
          <w:sz w:val="28"/>
          <w:szCs w:val="28"/>
          <w:lang w:eastAsia="zh-CN"/>
        </w:rPr>
      </w:pPr>
    </w:p>
    <w:p w14:paraId="4D0B76E9">
      <w:pPr>
        <w:pStyle w:val="43"/>
        <w:rPr>
          <w:rFonts w:hint="eastAsia" w:ascii="仿宋" w:hAnsi="仿宋" w:eastAsia="仿宋" w:cs="仿宋"/>
          <w:b/>
          <w:bCs/>
          <w:spacing w:val="-20"/>
          <w:kern w:val="44"/>
          <w:sz w:val="28"/>
          <w:szCs w:val="28"/>
          <w:lang w:eastAsia="zh-CN"/>
        </w:rPr>
      </w:pPr>
    </w:p>
    <w:p w14:paraId="6A07A00E">
      <w:pPr>
        <w:pStyle w:val="43"/>
        <w:rPr>
          <w:rFonts w:hint="eastAsia" w:ascii="仿宋" w:hAnsi="仿宋" w:eastAsia="仿宋" w:cs="仿宋"/>
          <w:b/>
          <w:bCs/>
          <w:spacing w:val="-20"/>
          <w:kern w:val="44"/>
          <w:sz w:val="28"/>
          <w:szCs w:val="28"/>
          <w:lang w:eastAsia="zh-CN"/>
        </w:rPr>
      </w:pPr>
    </w:p>
    <w:p w14:paraId="7A906D92">
      <w:pPr>
        <w:pStyle w:val="43"/>
        <w:rPr>
          <w:rFonts w:hint="eastAsia" w:ascii="仿宋" w:hAnsi="仿宋" w:eastAsia="仿宋" w:cs="仿宋"/>
          <w:b/>
          <w:bCs/>
          <w:spacing w:val="-20"/>
          <w:kern w:val="44"/>
          <w:sz w:val="28"/>
          <w:szCs w:val="28"/>
          <w:lang w:eastAsia="zh-CN"/>
        </w:rPr>
      </w:pPr>
    </w:p>
    <w:p w14:paraId="42F3F5FD">
      <w:pPr>
        <w:pStyle w:val="11"/>
        <w:shd w:val="clear" w:color="auto" w:fill="auto"/>
        <w:spacing w:after="0"/>
        <w:jc w:val="center"/>
        <w:rPr>
          <w:rFonts w:ascii="宋体" w:hAnsi="宋体" w:cs="宋体"/>
          <w:b/>
          <w:bCs/>
          <w:spacing w:val="-20"/>
          <w:kern w:val="44"/>
          <w:sz w:val="48"/>
          <w:szCs w:val="48"/>
        </w:rPr>
      </w:pPr>
    </w:p>
    <w:p w14:paraId="6D41035B">
      <w:pPr>
        <w:pStyle w:val="11"/>
        <w:shd w:val="clear" w:color="auto" w:fill="auto"/>
        <w:spacing w:after="0"/>
        <w:jc w:val="center"/>
        <w:rPr>
          <w:rFonts w:hint="eastAsia" w:ascii="宋体" w:hAnsi="宋体" w:cs="宋体"/>
          <w:b/>
          <w:bCs/>
          <w:spacing w:val="-20"/>
          <w:kern w:val="44"/>
          <w:sz w:val="48"/>
          <w:szCs w:val="48"/>
        </w:rPr>
      </w:pPr>
      <w:r>
        <w:rPr>
          <w:rFonts w:hint="eastAsia" w:ascii="宋体" w:hAnsi="宋体" w:cs="宋体"/>
          <w:b/>
          <w:bCs/>
          <w:spacing w:val="-20"/>
          <w:kern w:val="44"/>
          <w:sz w:val="48"/>
          <w:szCs w:val="48"/>
        </w:rPr>
        <w:t>政府采购</w:t>
      </w:r>
      <w:r>
        <w:rPr>
          <w:rFonts w:hint="eastAsia" w:ascii="宋体" w:hAnsi="宋体" w:cs="宋体"/>
          <w:b/>
          <w:bCs/>
          <w:spacing w:val="-20"/>
          <w:kern w:val="44"/>
          <w:sz w:val="48"/>
          <w:szCs w:val="48"/>
          <w:lang w:eastAsia="zh-CN"/>
        </w:rPr>
        <w:t>货物买卖</w:t>
      </w:r>
      <w:r>
        <w:rPr>
          <w:rFonts w:hint="eastAsia" w:ascii="宋体" w:hAnsi="宋体" w:cs="宋体"/>
          <w:b/>
          <w:bCs/>
          <w:spacing w:val="-20"/>
          <w:kern w:val="44"/>
          <w:sz w:val="48"/>
          <w:szCs w:val="48"/>
        </w:rPr>
        <w:t>合同</w:t>
      </w:r>
    </w:p>
    <w:p w14:paraId="0F9373E8">
      <w:pPr>
        <w:pStyle w:val="11"/>
        <w:shd w:val="clear" w:color="auto" w:fill="auto"/>
        <w:spacing w:after="0"/>
        <w:jc w:val="center"/>
        <w:rPr>
          <w:rFonts w:hint="eastAsia" w:ascii="宋体" w:hAnsi="宋体" w:eastAsia="宋体" w:cs="宋体"/>
          <w:b/>
          <w:bCs/>
          <w:spacing w:val="-20"/>
          <w:kern w:val="44"/>
          <w:sz w:val="48"/>
          <w:szCs w:val="48"/>
          <w:lang w:eastAsia="zh-CN"/>
        </w:rPr>
      </w:pPr>
      <w:r>
        <w:rPr>
          <w:rFonts w:hint="eastAsia" w:ascii="宋体" w:hAnsi="宋体" w:cs="宋体"/>
          <w:b/>
          <w:bCs/>
          <w:spacing w:val="-20"/>
          <w:kern w:val="44"/>
          <w:sz w:val="48"/>
          <w:szCs w:val="48"/>
          <w:lang w:eastAsia="zh-CN"/>
        </w:rPr>
        <w:t>（试行）</w:t>
      </w:r>
    </w:p>
    <w:p w14:paraId="1B8F609C">
      <w:pPr>
        <w:shd w:val="clear" w:color="auto" w:fill="auto"/>
        <w:rPr>
          <w:rFonts w:ascii="宋体" w:hAnsi="宋体" w:cs="宋体"/>
          <w:b/>
          <w:bCs/>
          <w:spacing w:val="-20"/>
          <w:kern w:val="44"/>
          <w:sz w:val="40"/>
          <w:szCs w:val="40"/>
        </w:rPr>
      </w:pPr>
    </w:p>
    <w:p w14:paraId="1B6D8855">
      <w:pPr>
        <w:shd w:val="clear" w:color="auto" w:fill="auto"/>
        <w:rPr>
          <w:rFonts w:ascii="宋体" w:hAnsi="宋体" w:cs="宋体"/>
          <w:b/>
          <w:bCs/>
          <w:spacing w:val="-20"/>
          <w:kern w:val="44"/>
          <w:sz w:val="40"/>
          <w:szCs w:val="40"/>
        </w:rPr>
      </w:pPr>
    </w:p>
    <w:p w14:paraId="42E1C631">
      <w:pPr>
        <w:shd w:val="clear" w:color="auto" w:fill="auto"/>
        <w:rPr>
          <w:rFonts w:ascii="宋体" w:hAnsi="宋体" w:cs="宋体"/>
          <w:b/>
          <w:bCs/>
          <w:spacing w:val="-20"/>
          <w:kern w:val="44"/>
          <w:sz w:val="40"/>
          <w:szCs w:val="40"/>
        </w:rPr>
      </w:pPr>
    </w:p>
    <w:p w14:paraId="53243B4E">
      <w:pPr>
        <w:pStyle w:val="43"/>
        <w:rPr>
          <w:rFonts w:ascii="宋体" w:hAnsi="宋体" w:cs="宋体"/>
          <w:b/>
          <w:bCs/>
          <w:spacing w:val="-20"/>
          <w:kern w:val="44"/>
          <w:sz w:val="40"/>
          <w:szCs w:val="40"/>
        </w:rPr>
      </w:pPr>
    </w:p>
    <w:p w14:paraId="77DC9977">
      <w:pPr>
        <w:pStyle w:val="43"/>
        <w:rPr>
          <w:rFonts w:ascii="宋体" w:hAnsi="宋体" w:cs="宋体"/>
          <w:b/>
          <w:bCs/>
          <w:spacing w:val="-20"/>
          <w:kern w:val="44"/>
          <w:sz w:val="40"/>
          <w:szCs w:val="40"/>
        </w:rPr>
      </w:pPr>
    </w:p>
    <w:p w14:paraId="4ED77B2E">
      <w:pPr>
        <w:shd w:val="clear" w:color="auto" w:fill="auto"/>
        <w:spacing w:line="360" w:lineRule="auto"/>
        <w:ind w:left="420" w:leftChars="200"/>
        <w:rPr>
          <w:sz w:val="32"/>
          <w:szCs w:val="32"/>
        </w:rPr>
      </w:pPr>
      <w:r>
        <w:rPr>
          <w:rFonts w:hint="eastAsia" w:ascii="宋体" w:hAnsi="宋体" w:cs="宋体"/>
          <w:kern w:val="0"/>
          <w:sz w:val="32"/>
          <w:szCs w:val="32"/>
        </w:rPr>
        <w:t>项目名称：</w:t>
      </w:r>
      <w:r>
        <w:rPr>
          <w:rFonts w:hint="eastAsia"/>
          <w:sz w:val="32"/>
          <w:szCs w:val="32"/>
          <w:u w:val="single"/>
        </w:rPr>
        <w:t xml:space="preserve">                             </w:t>
      </w:r>
    </w:p>
    <w:p w14:paraId="4F5E09A4">
      <w:pPr>
        <w:shd w:val="clear" w:color="auto" w:fill="auto"/>
        <w:spacing w:line="360" w:lineRule="auto"/>
        <w:ind w:left="420" w:leftChars="200"/>
        <w:rPr>
          <w:sz w:val="32"/>
          <w:szCs w:val="32"/>
          <w:u w:val="single"/>
        </w:rPr>
      </w:pPr>
      <w:r>
        <w:rPr>
          <w:rFonts w:hint="eastAsia"/>
          <w:sz w:val="32"/>
          <w:szCs w:val="32"/>
        </w:rPr>
        <w:t>合同编号：</w:t>
      </w:r>
      <w:r>
        <w:rPr>
          <w:rFonts w:hint="eastAsia"/>
          <w:sz w:val="32"/>
          <w:szCs w:val="32"/>
          <w:u w:val="single"/>
        </w:rPr>
        <w:t xml:space="preserve">                             </w:t>
      </w:r>
    </w:p>
    <w:p w14:paraId="7419578B">
      <w:pPr>
        <w:shd w:val="clear" w:color="auto" w:fill="auto"/>
        <w:spacing w:line="360" w:lineRule="auto"/>
        <w:ind w:left="420" w:leftChars="200"/>
        <w:rPr>
          <w:sz w:val="32"/>
          <w:szCs w:val="32"/>
        </w:rPr>
      </w:pPr>
      <w:r>
        <w:rPr>
          <w:rFonts w:hint="eastAsia"/>
          <w:sz w:val="32"/>
          <w:szCs w:val="32"/>
        </w:rPr>
        <w:t>甲    方：</w:t>
      </w:r>
      <w:r>
        <w:rPr>
          <w:rFonts w:hint="eastAsia"/>
          <w:sz w:val="32"/>
          <w:szCs w:val="32"/>
          <w:u w:val="single"/>
        </w:rPr>
        <w:t xml:space="preserve">                             </w:t>
      </w:r>
    </w:p>
    <w:p w14:paraId="56881B4A">
      <w:pPr>
        <w:shd w:val="clear" w:color="auto" w:fill="auto"/>
        <w:spacing w:line="360" w:lineRule="auto"/>
        <w:ind w:left="420" w:leftChars="200"/>
        <w:rPr>
          <w:sz w:val="32"/>
          <w:szCs w:val="32"/>
          <w:u w:val="single"/>
        </w:rPr>
      </w:pPr>
      <w:r>
        <w:rPr>
          <w:rFonts w:hint="eastAsia"/>
          <w:sz w:val="32"/>
          <w:szCs w:val="32"/>
        </w:rPr>
        <w:t>乙    方：</w:t>
      </w:r>
      <w:r>
        <w:rPr>
          <w:rFonts w:hint="eastAsia"/>
          <w:sz w:val="32"/>
          <w:szCs w:val="32"/>
          <w:u w:val="single"/>
        </w:rPr>
        <w:t xml:space="preserve">                             </w:t>
      </w:r>
    </w:p>
    <w:p w14:paraId="21ACAD44">
      <w:pPr>
        <w:shd w:val="clear" w:color="auto" w:fill="auto"/>
        <w:spacing w:line="360" w:lineRule="auto"/>
        <w:ind w:left="420" w:leftChars="200"/>
        <w:rPr>
          <w:sz w:val="32"/>
          <w:szCs w:val="32"/>
        </w:rPr>
      </w:pPr>
      <w:r>
        <w:rPr>
          <w:rFonts w:hint="eastAsia"/>
          <w:sz w:val="32"/>
          <w:szCs w:val="32"/>
        </w:rPr>
        <w:t>签订时间：</w:t>
      </w:r>
      <w:r>
        <w:rPr>
          <w:rFonts w:hint="eastAsia"/>
          <w:sz w:val="32"/>
          <w:szCs w:val="32"/>
          <w:u w:val="single"/>
        </w:rPr>
        <w:t xml:space="preserve">      </w:t>
      </w:r>
      <w:r>
        <w:rPr>
          <w:sz w:val="32"/>
          <w:szCs w:val="32"/>
          <w:u w:val="single"/>
        </w:rPr>
        <w:t xml:space="preserve">           </w:t>
      </w:r>
      <w:r>
        <w:rPr>
          <w:rFonts w:hint="eastAsia"/>
          <w:sz w:val="32"/>
          <w:szCs w:val="32"/>
          <w:u w:val="single"/>
        </w:rPr>
        <w:t xml:space="preserve">            </w:t>
      </w:r>
    </w:p>
    <w:p w14:paraId="7D7B3561">
      <w:pPr>
        <w:shd w:val="clear" w:color="auto" w:fill="auto"/>
      </w:pPr>
    </w:p>
    <w:p w14:paraId="49A29779">
      <w:pPr>
        <w:shd w:val="clear" w:color="auto" w:fill="auto"/>
        <w:rPr>
          <w:rFonts w:eastAsia="黑体"/>
          <w:sz w:val="44"/>
          <w:szCs w:val="44"/>
        </w:rPr>
      </w:pPr>
      <w:r>
        <w:rPr>
          <w:rFonts w:eastAsia="黑体"/>
          <w:sz w:val="44"/>
          <w:szCs w:val="44"/>
        </w:rPr>
        <w:br w:type="page"/>
      </w:r>
    </w:p>
    <w:bookmarkEnd w:id="207"/>
    <w:p w14:paraId="0646D275">
      <w:pPr>
        <w:pStyle w:val="3"/>
        <w:shd w:val="clear" w:color="auto" w:fill="auto"/>
        <w:adjustRightInd w:val="0"/>
        <w:snapToGrid w:val="0"/>
        <w:spacing w:beforeLines="0" w:line="400" w:lineRule="exact"/>
        <w:jc w:val="center"/>
        <w:rPr>
          <w:rFonts w:hint="eastAsia" w:ascii="宋体" w:hAnsi="宋体" w:eastAsia="宋体" w:cs="宋体"/>
          <w:b w:val="0"/>
          <w:bCs w:val="0"/>
          <w:sz w:val="28"/>
          <w:szCs w:val="28"/>
        </w:rPr>
      </w:pPr>
      <w:bookmarkStart w:id="208" w:name="_Toc22209"/>
      <w:bookmarkStart w:id="209" w:name="_Toc481"/>
      <w:bookmarkStart w:id="210" w:name="_Toc5540"/>
      <w:r>
        <w:rPr>
          <w:rFonts w:hint="eastAsia" w:ascii="宋体" w:hAnsi="宋体" w:eastAsia="宋体" w:cs="宋体"/>
          <w:b w:val="0"/>
          <w:bCs w:val="0"/>
          <w:sz w:val="28"/>
          <w:szCs w:val="28"/>
        </w:rPr>
        <w:t>第一节 政府采购合同协议书</w:t>
      </w:r>
      <w:bookmarkEnd w:id="208"/>
      <w:bookmarkEnd w:id="209"/>
      <w:bookmarkEnd w:id="210"/>
    </w:p>
    <w:p w14:paraId="17FCC737">
      <w:pPr>
        <w:shd w:val="clear" w:color="auto" w:fill="auto"/>
        <w:adjustRightInd w:val="0"/>
        <w:snapToGrid w:val="0"/>
        <w:spacing w:before="0" w:beforeLines="0" w:line="400" w:lineRule="exact"/>
        <w:rPr>
          <w:rFonts w:hint="eastAsia" w:ascii="宋体" w:hAnsi="宋体" w:eastAsia="宋体" w:cs="宋体"/>
          <w:szCs w:val="21"/>
        </w:rPr>
      </w:pPr>
      <w:r>
        <w:rPr>
          <w:rFonts w:hint="eastAsia" w:ascii="宋体" w:hAnsi="宋体" w:eastAsia="宋体" w:cs="宋体"/>
          <w:szCs w:val="21"/>
        </w:rPr>
        <w:t>甲方（全称）：</w:t>
      </w:r>
      <w:r>
        <w:rPr>
          <w:rFonts w:hint="eastAsia" w:ascii="宋体" w:hAnsi="宋体" w:eastAsia="宋体" w:cs="宋体"/>
          <w:szCs w:val="21"/>
          <w:u w:val="single"/>
        </w:rPr>
        <w:t xml:space="preserve">                        </w:t>
      </w:r>
      <w:r>
        <w:rPr>
          <w:rFonts w:hint="eastAsia" w:ascii="宋体" w:hAnsi="宋体" w:eastAsia="宋体" w:cs="宋体"/>
          <w:szCs w:val="21"/>
        </w:rPr>
        <w:t>（采购人</w:t>
      </w:r>
      <w:r>
        <w:rPr>
          <w:rFonts w:hint="eastAsia" w:ascii="宋体" w:hAnsi="宋体" w:eastAsia="宋体" w:cs="宋体"/>
          <w:szCs w:val="21"/>
          <w:lang w:eastAsia="zh-CN"/>
        </w:rPr>
        <w:t>、受采购人委托签订合同的单位</w:t>
      </w:r>
      <w:r>
        <w:rPr>
          <w:rFonts w:hint="eastAsia" w:ascii="宋体" w:hAnsi="宋体" w:eastAsia="宋体" w:cs="宋体"/>
          <w:szCs w:val="21"/>
        </w:rPr>
        <w:t>或采购文件约定的合同甲方）</w:t>
      </w:r>
    </w:p>
    <w:p w14:paraId="79988B42">
      <w:pPr>
        <w:shd w:val="clear" w:color="auto" w:fill="auto"/>
        <w:adjustRightInd w:val="0"/>
        <w:snapToGrid w:val="0"/>
        <w:spacing w:before="0" w:beforeLines="0" w:line="400" w:lineRule="exact"/>
        <w:rPr>
          <w:rFonts w:hint="eastAsia" w:ascii="宋体" w:hAnsi="宋体" w:eastAsia="宋体" w:cs="宋体"/>
          <w:szCs w:val="21"/>
        </w:rPr>
      </w:pPr>
      <w:r>
        <w:rPr>
          <w:rFonts w:hint="eastAsia" w:ascii="宋体" w:hAnsi="宋体" w:eastAsia="宋体" w:cs="宋体"/>
          <w:szCs w:val="21"/>
        </w:rPr>
        <w:t>乙方（全称）：</w:t>
      </w:r>
      <w:r>
        <w:rPr>
          <w:rFonts w:hint="eastAsia" w:ascii="宋体" w:hAnsi="宋体" w:eastAsia="宋体" w:cs="宋体"/>
          <w:szCs w:val="21"/>
          <w:u w:val="single"/>
        </w:rPr>
        <w:t xml:space="preserve">                       </w:t>
      </w:r>
      <w:r>
        <w:rPr>
          <w:rFonts w:hint="eastAsia" w:ascii="宋体" w:hAnsi="宋体" w:eastAsia="宋体" w:cs="宋体"/>
          <w:szCs w:val="21"/>
        </w:rPr>
        <w:t>（供应商）</w:t>
      </w:r>
    </w:p>
    <w:p w14:paraId="436720EF">
      <w:pPr>
        <w:shd w:val="clear" w:color="auto" w:fill="auto"/>
        <w:spacing w:beforeLines="0" w:line="400" w:lineRule="exact"/>
        <w:rPr>
          <w:rFonts w:hint="eastAsia" w:ascii="宋体" w:hAnsi="宋体" w:eastAsia="宋体" w:cs="宋体"/>
          <w:lang w:val="en-US" w:eastAsia="zh-CN"/>
        </w:rPr>
      </w:pPr>
    </w:p>
    <w:p w14:paraId="1F78FE7C">
      <w:pPr>
        <w:pStyle w:val="12"/>
        <w:shd w:val="clear" w:color="auto" w:fill="auto"/>
        <w:adjustRightInd w:val="0"/>
        <w:snapToGrid w:val="0"/>
        <w:spacing w:before="0" w:beforeLines="0" w:after="0" w:line="400" w:lineRule="exact"/>
        <w:ind w:left="0" w:leftChars="0" w:firstLine="420" w:firstLineChars="200"/>
        <w:rPr>
          <w:rFonts w:hint="eastAsia" w:ascii="宋体" w:hAnsi="宋体" w:eastAsia="宋体" w:cs="宋体"/>
          <w:szCs w:val="21"/>
        </w:rPr>
      </w:pPr>
      <w:r>
        <w:rPr>
          <w:rFonts w:hint="eastAsia" w:ascii="宋体" w:hAnsi="宋体" w:eastAsia="宋体" w:cs="宋体"/>
          <w:szCs w:val="21"/>
        </w:rPr>
        <w:t>依据《中华人民共和国民法典》</w:t>
      </w:r>
      <w:r>
        <w:rPr>
          <w:rFonts w:hint="eastAsia" w:ascii="宋体" w:hAnsi="宋体" w:eastAsia="宋体" w:cs="宋体"/>
          <w:szCs w:val="21"/>
          <w:lang w:eastAsia="zh-CN"/>
        </w:rPr>
        <w:t>、</w:t>
      </w:r>
      <w:r>
        <w:rPr>
          <w:rFonts w:hint="eastAsia" w:ascii="宋体" w:hAnsi="宋体" w:eastAsia="宋体" w:cs="宋体"/>
          <w:szCs w:val="21"/>
        </w:rPr>
        <w:t>《中华人民共和国政府采购法》等有关的法律法规，以及</w:t>
      </w:r>
      <w:r>
        <w:rPr>
          <w:rFonts w:hint="eastAsia" w:ascii="宋体" w:hAnsi="宋体" w:eastAsia="宋体" w:cs="宋体"/>
          <w:i w:val="0"/>
          <w:iCs w:val="0"/>
          <w:szCs w:val="21"/>
          <w:u w:val="none"/>
          <w:lang w:eastAsia="zh-CN"/>
        </w:rPr>
        <w:t>本采购项目</w:t>
      </w:r>
      <w:r>
        <w:rPr>
          <w:rFonts w:hint="eastAsia" w:ascii="宋体" w:hAnsi="宋体" w:eastAsia="宋体" w:cs="宋体"/>
          <w:szCs w:val="21"/>
        </w:rPr>
        <w:t>的</w:t>
      </w:r>
      <w:r>
        <w:rPr>
          <w:rFonts w:hint="eastAsia" w:ascii="宋体" w:hAnsi="宋体" w:eastAsia="宋体" w:cs="宋体"/>
          <w:szCs w:val="21"/>
          <w:lang w:eastAsia="zh-CN"/>
        </w:rPr>
        <w:t>招标文件等</w:t>
      </w:r>
      <w:r>
        <w:rPr>
          <w:rFonts w:hint="eastAsia" w:ascii="宋体" w:hAnsi="宋体" w:eastAsia="宋体" w:cs="宋体"/>
          <w:szCs w:val="21"/>
        </w:rPr>
        <w:t>采购文件</w:t>
      </w:r>
      <w:r>
        <w:rPr>
          <w:rFonts w:hint="eastAsia" w:ascii="宋体" w:hAnsi="宋体" w:eastAsia="宋体" w:cs="宋体"/>
          <w:szCs w:val="21"/>
          <w:lang w:eastAsia="zh-CN"/>
        </w:rPr>
        <w:t>、</w:t>
      </w:r>
      <w:r>
        <w:rPr>
          <w:rFonts w:hint="eastAsia" w:ascii="宋体" w:hAnsi="宋体" w:eastAsia="宋体" w:cs="宋体"/>
          <w:szCs w:val="21"/>
        </w:rPr>
        <w:t xml:space="preserve">乙方的《投标文件》及《中标通知书》，甲乙双方同意签订本合同。具体情况及要求如下：     </w:t>
      </w:r>
    </w:p>
    <w:p w14:paraId="07BBC578">
      <w:pPr>
        <w:numPr>
          <w:ilvl w:val="0"/>
          <w:numId w:val="1"/>
        </w:numPr>
        <w:shd w:val="clear" w:color="auto" w:fill="auto"/>
        <w:adjustRightInd w:val="0"/>
        <w:snapToGrid w:val="0"/>
        <w:spacing w:before="0" w:beforeLines="0" w:line="400" w:lineRule="exact"/>
        <w:ind w:firstLine="422" w:firstLineChars="200"/>
        <w:rPr>
          <w:rFonts w:hint="eastAsia" w:ascii="宋体" w:hAnsi="宋体" w:eastAsia="宋体" w:cs="宋体"/>
          <w:b/>
          <w:szCs w:val="21"/>
        </w:rPr>
      </w:pPr>
      <w:r>
        <w:rPr>
          <w:rFonts w:hint="eastAsia" w:ascii="宋体" w:hAnsi="宋体" w:eastAsia="宋体" w:cs="宋体"/>
          <w:b/>
          <w:szCs w:val="21"/>
        </w:rPr>
        <w:t>项目信息</w:t>
      </w:r>
    </w:p>
    <w:p w14:paraId="02E57AB3">
      <w:pPr>
        <w:pStyle w:val="12"/>
        <w:numPr>
          <w:ilvl w:val="0"/>
          <w:numId w:val="0"/>
        </w:numPr>
        <w:shd w:val="clear" w:color="auto" w:fill="auto"/>
        <w:tabs>
          <w:tab w:val="left" w:pos="999"/>
        </w:tabs>
        <w:adjustRightInd w:val="0"/>
        <w:snapToGrid w:val="0"/>
        <w:spacing w:before="0" w:beforeLines="0" w:after="0" w:line="400" w:lineRule="exact"/>
        <w:ind w:left="0" w:leftChars="0" w:firstLine="0" w:firstLineChars="0"/>
        <w:rPr>
          <w:rFonts w:hint="eastAsia" w:ascii="宋体" w:hAnsi="宋体" w:eastAsia="宋体" w:cs="宋体"/>
          <w:szCs w:val="21"/>
          <w:u w:val="none"/>
          <w:lang w:val="en-US" w:eastAsia="zh-CN"/>
        </w:rPr>
      </w:pPr>
      <w:r>
        <w:rPr>
          <w:rFonts w:hint="eastAsia" w:ascii="宋体" w:hAnsi="宋体" w:eastAsia="宋体" w:cs="宋体"/>
          <w:szCs w:val="21"/>
        </w:rPr>
        <w:t>采购项目名称：</w:t>
      </w:r>
      <w:r>
        <w:rPr>
          <w:rFonts w:hint="eastAsia" w:ascii="宋体" w:hAnsi="宋体" w:cs="宋体"/>
          <w:szCs w:val="21"/>
          <w:u w:val="single"/>
          <w:lang w:eastAsia="zh-CN"/>
        </w:rPr>
        <w:t>沪滇协作香格里拉市人民医院多导睡眠检测仪、血液净化机等采购项目</w:t>
      </w:r>
      <w:r>
        <w:rPr>
          <w:rFonts w:hint="eastAsia" w:ascii="宋体" w:hAnsi="宋体" w:eastAsia="宋体" w:cs="宋体"/>
          <w:szCs w:val="21"/>
          <w:u w:val="none"/>
          <w:lang w:val="en-US" w:eastAsia="zh-CN"/>
        </w:rPr>
        <w:t xml:space="preserve">   采购项目编号：</w:t>
      </w:r>
      <w:r>
        <w:rPr>
          <w:rFonts w:hint="eastAsia" w:ascii="宋体" w:hAnsi="宋体" w:eastAsia="宋体" w:cs="宋体"/>
          <w:szCs w:val="21"/>
          <w:u w:val="single"/>
        </w:rPr>
        <w:t xml:space="preserve"> </w:t>
      </w:r>
      <w:r>
        <w:rPr>
          <w:rFonts w:hint="eastAsia" w:ascii="宋体" w:hAnsi="宋体" w:cs="宋体"/>
          <w:szCs w:val="21"/>
          <w:u w:val="single"/>
          <w:lang w:eastAsia="zh-CN"/>
        </w:rPr>
        <w:t>DQZC2025-G1-00159-YNYZ-0016</w:t>
      </w:r>
      <w:r>
        <w:rPr>
          <w:rFonts w:hint="eastAsia" w:ascii="宋体" w:hAnsi="宋体" w:eastAsia="宋体" w:cs="宋体"/>
          <w:szCs w:val="21"/>
          <w:u w:val="single"/>
        </w:rPr>
        <w:t xml:space="preserve">  </w:t>
      </w:r>
    </w:p>
    <w:p w14:paraId="37126023">
      <w:pPr>
        <w:pStyle w:val="12"/>
        <w:shd w:val="clear" w:color="auto" w:fill="auto"/>
        <w:adjustRightInd w:val="0"/>
        <w:snapToGrid w:val="0"/>
        <w:spacing w:before="0" w:beforeLines="0" w:after="0" w:line="400" w:lineRule="exact"/>
        <w:ind w:left="0" w:leftChars="0" w:firstLine="420" w:firstLineChars="200"/>
        <w:rPr>
          <w:rFonts w:hint="eastAsia" w:ascii="宋体" w:hAnsi="宋体" w:eastAsia="宋体" w:cs="宋体"/>
          <w:szCs w:val="21"/>
        </w:rPr>
      </w:pPr>
      <w:r>
        <w:rPr>
          <w:rFonts w:hint="eastAsia" w:ascii="宋体" w:hAnsi="宋体" w:eastAsia="宋体" w:cs="宋体"/>
          <w:szCs w:val="21"/>
        </w:rPr>
        <w:t>（2）采购计划编号：</w:t>
      </w:r>
      <w:r>
        <w:rPr>
          <w:rFonts w:hint="eastAsia" w:ascii="宋体" w:hAnsi="宋体" w:eastAsia="宋体" w:cs="宋体"/>
          <w:szCs w:val="21"/>
          <w:u w:val="single"/>
        </w:rPr>
        <w:t xml:space="preserve">                                          </w:t>
      </w:r>
      <w:r>
        <w:rPr>
          <w:rFonts w:hint="eastAsia" w:ascii="宋体" w:hAnsi="宋体" w:eastAsia="宋体" w:cs="宋体"/>
          <w:szCs w:val="21"/>
        </w:rPr>
        <w:t xml:space="preserve"> </w:t>
      </w:r>
    </w:p>
    <w:p w14:paraId="424B7F6C">
      <w:pPr>
        <w:shd w:val="clear" w:color="auto" w:fill="auto"/>
        <w:adjustRightInd w:val="0"/>
        <w:snapToGrid w:val="0"/>
        <w:spacing w:before="0" w:beforeLines="0" w:line="400" w:lineRule="exact"/>
        <w:ind w:firstLine="420" w:firstLineChars="200"/>
        <w:rPr>
          <w:rFonts w:hint="eastAsia" w:ascii="宋体" w:hAnsi="宋体" w:eastAsia="宋体" w:cs="宋体"/>
          <w:szCs w:val="21"/>
        </w:rPr>
      </w:pPr>
      <w:r>
        <w:rPr>
          <w:rFonts w:hint="eastAsia" w:ascii="宋体" w:hAnsi="宋体" w:eastAsia="宋体" w:cs="宋体"/>
          <w:szCs w:val="21"/>
        </w:rPr>
        <w:t>（3）项目内容：</w:t>
      </w:r>
    </w:p>
    <w:p w14:paraId="72C648FF">
      <w:pPr>
        <w:shd w:val="clear" w:color="auto" w:fill="auto"/>
        <w:adjustRightInd w:val="0"/>
        <w:snapToGrid w:val="0"/>
        <w:spacing w:before="0" w:beforeLines="0" w:line="400" w:lineRule="exact"/>
        <w:ind w:firstLine="420" w:firstLineChars="200"/>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     </w:t>
      </w:r>
      <w:r>
        <w:rPr>
          <w:rFonts w:hint="eastAsia" w:ascii="宋体" w:hAnsi="宋体" w:eastAsia="宋体" w:cs="宋体"/>
          <w:szCs w:val="21"/>
          <w:lang w:eastAsia="zh-CN"/>
        </w:rPr>
        <w:t>采购标的及数量</w:t>
      </w:r>
      <w:r>
        <w:rPr>
          <w:rFonts w:hint="eastAsia" w:ascii="宋体" w:hAnsi="宋体" w:eastAsia="宋体" w:cs="宋体"/>
          <w:szCs w:val="21"/>
          <w:lang w:val="en-US" w:eastAsia="zh-CN"/>
        </w:rPr>
        <w:t>（台/套</w:t>
      </w:r>
      <w:r>
        <w:rPr>
          <w:rFonts w:hint="eastAsia" w:ascii="宋体" w:hAnsi="宋体" w:eastAsia="宋体" w:cs="宋体"/>
          <w:szCs w:val="21"/>
          <w:lang w:val="en" w:eastAsia="zh-CN"/>
        </w:rPr>
        <w:t>/个/架/组等</w:t>
      </w:r>
      <w:r>
        <w:rPr>
          <w:rFonts w:hint="eastAsia" w:ascii="宋体" w:hAnsi="宋体" w:eastAsia="宋体" w:cs="宋体"/>
          <w:szCs w:val="21"/>
          <w:lang w:val="en-US" w:eastAsia="zh-CN"/>
        </w:rPr>
        <w:t>）</w:t>
      </w:r>
      <w:r>
        <w:rPr>
          <w:rFonts w:hint="eastAsia" w:ascii="宋体" w:hAnsi="宋体" w:eastAsia="宋体" w:cs="宋体"/>
          <w:szCs w:val="21"/>
          <w:lang w:eastAsia="zh-CN"/>
        </w:rPr>
        <w:t>：</w:t>
      </w:r>
      <w:r>
        <w:rPr>
          <w:rFonts w:hint="eastAsia" w:ascii="宋体" w:hAnsi="宋体" w:eastAsia="宋体" w:cs="宋体"/>
          <w:szCs w:val="21"/>
          <w:u w:val="single"/>
          <w:lang w:val="en-US" w:eastAsia="zh-CN"/>
        </w:rPr>
        <w:t xml:space="preserve">                       </w:t>
      </w:r>
      <w:r>
        <w:rPr>
          <w:rFonts w:hint="eastAsia" w:ascii="宋体" w:hAnsi="宋体" w:eastAsia="宋体" w:cs="宋体"/>
          <w:szCs w:val="21"/>
          <w:u w:val="none"/>
          <w:lang w:val="en-US" w:eastAsia="zh-CN"/>
        </w:rPr>
        <w:t xml:space="preserve"> </w:t>
      </w:r>
    </w:p>
    <w:p w14:paraId="74022C26">
      <w:pPr>
        <w:numPr>
          <w:ilvl w:val="0"/>
          <w:numId w:val="0"/>
        </w:numPr>
        <w:shd w:val="clear" w:color="auto" w:fill="auto"/>
        <w:adjustRightInd w:val="0"/>
        <w:snapToGrid w:val="0"/>
        <w:spacing w:before="0" w:beforeLines="0" w:line="400" w:lineRule="exact"/>
        <w:ind w:firstLine="420" w:firstLineChars="200"/>
        <w:rPr>
          <w:rFonts w:hint="eastAsia" w:ascii="宋体" w:hAnsi="宋体" w:eastAsia="宋体" w:cs="宋体"/>
          <w:szCs w:val="21"/>
          <w:lang w:val="en" w:eastAsia="zh-CN"/>
        </w:rPr>
      </w:pPr>
      <w:r>
        <w:rPr>
          <w:rFonts w:hint="eastAsia" w:ascii="宋体" w:hAnsi="宋体" w:eastAsia="宋体" w:cs="宋体"/>
          <w:szCs w:val="21"/>
          <w:highlight w:val="none"/>
          <w:u w:val="none"/>
          <w:lang w:val="en-US" w:eastAsia="zh-CN"/>
        </w:rPr>
        <w:t xml:space="preserve">     </w:t>
      </w:r>
      <w:r>
        <w:rPr>
          <w:rFonts w:hint="eastAsia" w:ascii="宋体" w:hAnsi="宋体" w:eastAsia="宋体" w:cs="宋体"/>
          <w:szCs w:val="21"/>
          <w:lang w:val="en-US" w:eastAsia="zh-CN"/>
        </w:rPr>
        <w:t>品牌：</w:t>
      </w:r>
      <w:r>
        <w:rPr>
          <w:rFonts w:hint="eastAsia" w:ascii="宋体" w:hAnsi="宋体" w:eastAsia="宋体" w:cs="宋体"/>
          <w:szCs w:val="21"/>
          <w:u w:val="single"/>
          <w:lang w:val="en-US" w:eastAsia="zh-CN"/>
        </w:rPr>
        <w:t xml:space="preserve">      </w:t>
      </w:r>
      <w:r>
        <w:rPr>
          <w:rFonts w:hint="eastAsia" w:ascii="宋体" w:hAnsi="宋体" w:eastAsia="宋体" w:cs="宋体"/>
          <w:szCs w:val="21"/>
          <w:u w:val="single"/>
          <w:lang w:val="en" w:eastAsia="zh-CN"/>
        </w:rPr>
        <w:t xml:space="preserve">   </w:t>
      </w:r>
      <w:r>
        <w:rPr>
          <w:rFonts w:hint="eastAsia" w:ascii="宋体" w:hAnsi="宋体" w:eastAsia="宋体" w:cs="宋体"/>
          <w:szCs w:val="21"/>
          <w:u w:val="single"/>
          <w:lang w:val="en-US" w:eastAsia="zh-CN"/>
        </w:rPr>
        <w:t xml:space="preserve">    </w:t>
      </w:r>
      <w:r>
        <w:rPr>
          <w:rFonts w:hint="eastAsia" w:ascii="宋体" w:hAnsi="宋体" w:eastAsia="宋体" w:cs="宋体"/>
          <w:szCs w:val="21"/>
          <w:u w:val="single"/>
          <w:lang w:val="en" w:eastAsia="zh-CN"/>
        </w:rPr>
        <w:t xml:space="preserve"> </w:t>
      </w:r>
      <w:r>
        <w:rPr>
          <w:rFonts w:hint="eastAsia" w:ascii="宋体" w:hAnsi="宋体" w:eastAsia="宋体" w:cs="宋体"/>
          <w:szCs w:val="21"/>
          <w:u w:val="single"/>
          <w:lang w:val="en-US" w:eastAsia="zh-CN"/>
        </w:rPr>
        <w:t xml:space="preserve"> </w:t>
      </w:r>
      <w:r>
        <w:rPr>
          <w:rFonts w:hint="eastAsia" w:ascii="宋体" w:hAnsi="宋体" w:eastAsia="宋体" w:cs="宋体"/>
          <w:szCs w:val="21"/>
          <w:u w:val="none"/>
          <w:lang w:val="en" w:eastAsia="zh-CN"/>
        </w:rPr>
        <w:t xml:space="preserve">     </w:t>
      </w:r>
      <w:r>
        <w:rPr>
          <w:rFonts w:hint="eastAsia" w:ascii="宋体" w:hAnsi="宋体" w:eastAsia="宋体" w:cs="宋体"/>
          <w:szCs w:val="21"/>
          <w:lang w:val="en-US" w:eastAsia="zh-CN"/>
        </w:rPr>
        <w:t>规格型号：</w:t>
      </w:r>
      <w:r>
        <w:rPr>
          <w:rFonts w:hint="eastAsia" w:ascii="宋体" w:hAnsi="宋体" w:eastAsia="宋体" w:cs="宋体"/>
          <w:szCs w:val="21"/>
          <w:u w:val="single"/>
          <w:lang w:val="en-US" w:eastAsia="zh-CN"/>
        </w:rPr>
        <w:t xml:space="preserve">   </w:t>
      </w:r>
      <w:r>
        <w:rPr>
          <w:rFonts w:hint="eastAsia" w:ascii="宋体" w:hAnsi="宋体" w:eastAsia="宋体" w:cs="宋体"/>
          <w:szCs w:val="21"/>
          <w:u w:val="single"/>
          <w:lang w:val="en" w:eastAsia="zh-CN"/>
        </w:rPr>
        <w:t xml:space="preserve">  </w:t>
      </w:r>
      <w:r>
        <w:rPr>
          <w:rFonts w:hint="eastAsia" w:ascii="宋体" w:hAnsi="宋体" w:eastAsia="宋体" w:cs="宋体"/>
          <w:szCs w:val="21"/>
          <w:u w:val="single"/>
          <w:lang w:val="en-US" w:eastAsia="zh-CN"/>
        </w:rPr>
        <w:t xml:space="preserve">       </w:t>
      </w:r>
      <w:r>
        <w:rPr>
          <w:rFonts w:hint="eastAsia" w:ascii="宋体" w:hAnsi="宋体" w:eastAsia="宋体" w:cs="宋体"/>
          <w:szCs w:val="21"/>
          <w:u w:val="single"/>
          <w:lang w:val="en" w:eastAsia="zh-CN"/>
        </w:rPr>
        <w:t xml:space="preserve">   </w:t>
      </w:r>
    </w:p>
    <w:p w14:paraId="0325E73D">
      <w:pPr>
        <w:shd w:val="clear" w:color="auto" w:fill="auto"/>
        <w:adjustRightInd w:val="0"/>
        <w:snapToGrid w:val="0"/>
        <w:spacing w:before="0" w:beforeLines="0" w:line="400" w:lineRule="exact"/>
        <w:ind w:firstLine="945" w:firstLineChars="450"/>
        <w:rPr>
          <w:rFonts w:hint="eastAsia" w:ascii="宋体" w:hAnsi="宋体" w:eastAsia="宋体" w:cs="宋体"/>
          <w:szCs w:val="21"/>
          <w:highlight w:val="none"/>
          <w:u w:val="single"/>
        </w:rPr>
      </w:pPr>
      <w:r>
        <w:rPr>
          <w:rFonts w:hint="eastAsia" w:ascii="宋体" w:hAnsi="宋体" w:eastAsia="宋体" w:cs="宋体"/>
          <w:szCs w:val="21"/>
          <w:highlight w:val="none"/>
          <w:u w:val="none"/>
          <w:lang w:val="en-US" w:eastAsia="zh-CN"/>
        </w:rPr>
        <w:t>采购标的的技术要求、商务要求具体见附件。</w:t>
      </w:r>
    </w:p>
    <w:p w14:paraId="69FA71B9">
      <w:pPr>
        <w:numPr>
          <w:ilvl w:val="0"/>
          <w:numId w:val="0"/>
        </w:numPr>
        <w:shd w:val="clear" w:color="auto" w:fill="auto"/>
        <w:adjustRightInd w:val="0"/>
        <w:snapToGrid w:val="0"/>
        <w:spacing w:before="0" w:beforeLines="0" w:line="400" w:lineRule="exact"/>
        <w:ind w:firstLine="945" w:firstLineChars="450"/>
        <w:rPr>
          <w:rFonts w:hint="eastAsia" w:ascii="宋体" w:hAnsi="宋体" w:eastAsia="宋体" w:cs="宋体"/>
          <w:szCs w:val="21"/>
          <w:lang w:val="en-US" w:eastAsia="zh-CN"/>
        </w:rPr>
      </w:pPr>
      <w:r>
        <w:rPr>
          <w:rFonts w:hint="eastAsia" w:ascii="宋体" w:hAnsi="宋体" w:eastAsia="宋体" w:cs="宋体"/>
          <w:szCs w:val="21"/>
          <w:lang w:val="en-US" w:eastAsia="zh-CN"/>
        </w:rPr>
        <w:t>①涉及信息类产品，请填写该产品关键部件的品牌、型号：</w:t>
      </w:r>
    </w:p>
    <w:p w14:paraId="7215E9C0">
      <w:pPr>
        <w:numPr>
          <w:ilvl w:val="0"/>
          <w:numId w:val="0"/>
        </w:numPr>
        <w:shd w:val="clear" w:color="auto" w:fill="auto"/>
        <w:adjustRightInd w:val="0"/>
        <w:snapToGrid w:val="0"/>
        <w:spacing w:before="0" w:beforeLines="0" w:line="400" w:lineRule="exact"/>
        <w:ind w:firstLine="420" w:firstLineChars="200"/>
        <w:rPr>
          <w:rFonts w:hint="eastAsia" w:ascii="宋体" w:hAnsi="宋体" w:eastAsia="宋体" w:cs="宋体"/>
          <w:kern w:val="0"/>
          <w:szCs w:val="21"/>
          <w:u w:val="single"/>
          <w:lang w:val="en-US" w:eastAsia="zh-CN"/>
        </w:rPr>
      </w:pPr>
      <w:r>
        <w:rPr>
          <w:rFonts w:hint="eastAsia" w:ascii="宋体" w:hAnsi="宋体" w:eastAsia="宋体" w:cs="宋体"/>
          <w:szCs w:val="21"/>
          <w:lang w:val="en-US" w:eastAsia="zh-CN"/>
        </w:rPr>
        <w:t xml:space="preserve">     标的名称：</w:t>
      </w:r>
      <w:r>
        <w:rPr>
          <w:rFonts w:hint="eastAsia" w:ascii="宋体" w:hAnsi="宋体" w:eastAsia="宋体" w:cs="宋体"/>
          <w:kern w:val="0"/>
          <w:szCs w:val="21"/>
          <w:u w:val="single"/>
          <w:lang w:val="en-US" w:eastAsia="zh-CN"/>
        </w:rPr>
        <w:t xml:space="preserve">      </w:t>
      </w:r>
      <w:r>
        <w:rPr>
          <w:rFonts w:hint="eastAsia" w:ascii="宋体" w:hAnsi="宋体" w:eastAsia="宋体" w:cs="宋体"/>
          <w:kern w:val="0"/>
          <w:szCs w:val="21"/>
          <w:u w:val="single"/>
          <w:lang w:val="en" w:eastAsia="zh-CN"/>
        </w:rPr>
        <w:t xml:space="preserve">               </w:t>
      </w:r>
      <w:r>
        <w:rPr>
          <w:rFonts w:hint="eastAsia" w:ascii="宋体" w:hAnsi="宋体" w:eastAsia="宋体" w:cs="宋体"/>
          <w:kern w:val="0"/>
          <w:szCs w:val="21"/>
          <w:u w:val="single"/>
          <w:lang w:val="en-US" w:eastAsia="zh-CN"/>
        </w:rPr>
        <w:t xml:space="preserve">    </w:t>
      </w:r>
    </w:p>
    <w:p w14:paraId="56717E5D">
      <w:pPr>
        <w:numPr>
          <w:ilvl w:val="0"/>
          <w:numId w:val="0"/>
        </w:numPr>
        <w:shd w:val="clear" w:color="auto" w:fill="auto"/>
        <w:adjustRightInd w:val="0"/>
        <w:snapToGrid w:val="0"/>
        <w:spacing w:before="0" w:beforeLines="0" w:line="400" w:lineRule="exact"/>
        <w:ind w:firstLine="420" w:firstLineChars="200"/>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     关键部件：</w:t>
      </w:r>
      <w:r>
        <w:rPr>
          <w:rFonts w:hint="eastAsia" w:ascii="宋体" w:hAnsi="宋体" w:eastAsia="宋体" w:cs="宋体"/>
          <w:kern w:val="0"/>
          <w:szCs w:val="21"/>
          <w:u w:val="single"/>
          <w:lang w:val="en-US" w:eastAsia="zh-CN"/>
        </w:rPr>
        <w:t xml:space="preserve">          </w:t>
      </w:r>
      <w:r>
        <w:rPr>
          <w:rFonts w:hint="eastAsia" w:ascii="宋体" w:hAnsi="宋体" w:eastAsia="宋体" w:cs="宋体"/>
          <w:kern w:val="0"/>
          <w:szCs w:val="21"/>
          <w:u w:val="none"/>
          <w:lang w:val="en-US" w:eastAsia="zh-CN"/>
        </w:rPr>
        <w:t xml:space="preserve"> </w:t>
      </w:r>
      <w:r>
        <w:rPr>
          <w:rFonts w:hint="eastAsia" w:ascii="宋体" w:hAnsi="宋体" w:eastAsia="宋体" w:cs="宋体"/>
          <w:szCs w:val="21"/>
          <w:lang w:val="en-US" w:eastAsia="zh-CN"/>
        </w:rPr>
        <w:t>品牌：</w:t>
      </w:r>
      <w:r>
        <w:rPr>
          <w:rFonts w:hint="eastAsia" w:ascii="宋体" w:hAnsi="宋体" w:eastAsia="宋体" w:cs="宋体"/>
          <w:szCs w:val="21"/>
          <w:u w:val="single"/>
          <w:lang w:val="en-US" w:eastAsia="zh-CN"/>
        </w:rPr>
        <w:t xml:space="preserve">        </w:t>
      </w:r>
      <w:r>
        <w:rPr>
          <w:rFonts w:hint="eastAsia" w:ascii="宋体" w:hAnsi="宋体" w:eastAsia="宋体" w:cs="宋体"/>
          <w:szCs w:val="21"/>
          <w:u w:val="none"/>
          <w:lang w:val="en-US" w:eastAsia="zh-CN"/>
        </w:rPr>
        <w:t xml:space="preserve"> </w:t>
      </w:r>
      <w:r>
        <w:rPr>
          <w:rFonts w:hint="eastAsia" w:ascii="宋体" w:hAnsi="宋体" w:eastAsia="宋体" w:cs="宋体"/>
          <w:szCs w:val="21"/>
          <w:lang w:val="en-US" w:eastAsia="zh-CN"/>
        </w:rPr>
        <w:t>型号：</w:t>
      </w:r>
      <w:r>
        <w:rPr>
          <w:rFonts w:hint="eastAsia" w:ascii="宋体" w:hAnsi="宋体" w:eastAsia="宋体" w:cs="宋体"/>
          <w:szCs w:val="21"/>
          <w:u w:val="single"/>
          <w:lang w:val="en-US" w:eastAsia="zh-CN"/>
        </w:rPr>
        <w:t xml:space="preserve">       </w:t>
      </w:r>
      <w:r>
        <w:rPr>
          <w:rFonts w:hint="eastAsia" w:ascii="宋体" w:hAnsi="宋体" w:eastAsia="宋体" w:cs="宋体"/>
          <w:szCs w:val="21"/>
          <w:lang w:val="en-US" w:eastAsia="zh-CN"/>
        </w:rPr>
        <w:t xml:space="preserve"> </w:t>
      </w:r>
    </w:p>
    <w:p w14:paraId="4CA5A1A3">
      <w:pPr>
        <w:pStyle w:val="43"/>
        <w:shd w:val="clear" w:color="auto" w:fill="auto"/>
        <w:spacing w:beforeLines="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     </w:t>
      </w:r>
      <w:r>
        <w:rPr>
          <w:rFonts w:hint="eastAsia" w:ascii="宋体" w:hAnsi="宋体" w:eastAsia="宋体" w:cs="宋体"/>
          <w:kern w:val="2"/>
          <w:sz w:val="21"/>
          <w:szCs w:val="21"/>
          <w:lang w:val="en-US" w:eastAsia="zh-CN"/>
        </w:rPr>
        <w:t>关键部件</w:t>
      </w:r>
      <w:r>
        <w:rPr>
          <w:rFonts w:hint="eastAsia" w:ascii="宋体" w:hAnsi="宋体" w:eastAsia="宋体" w:cs="宋体"/>
          <w:sz w:val="21"/>
          <w:szCs w:val="21"/>
          <w:lang w:val="en-US" w:eastAsia="zh-CN"/>
        </w:rPr>
        <w:t>：</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none"/>
          <w:lang w:val="en-US" w:eastAsia="zh-CN"/>
        </w:rPr>
        <w:t xml:space="preserve"> </w:t>
      </w:r>
      <w:r>
        <w:rPr>
          <w:rFonts w:hint="eastAsia" w:ascii="宋体" w:hAnsi="宋体" w:eastAsia="宋体" w:cs="宋体"/>
          <w:sz w:val="21"/>
          <w:szCs w:val="21"/>
          <w:lang w:val="en-US" w:eastAsia="zh-CN"/>
        </w:rPr>
        <w:t>品牌：</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none"/>
          <w:lang w:val="en-US" w:eastAsia="zh-CN"/>
        </w:rPr>
        <w:t xml:space="preserve"> </w:t>
      </w:r>
      <w:r>
        <w:rPr>
          <w:rFonts w:hint="eastAsia" w:ascii="宋体" w:hAnsi="宋体" w:eastAsia="宋体" w:cs="宋体"/>
          <w:sz w:val="21"/>
          <w:szCs w:val="21"/>
          <w:lang w:val="en-US" w:eastAsia="zh-CN"/>
        </w:rPr>
        <w:t>型号：</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lang w:val="en-US" w:eastAsia="zh-CN"/>
        </w:rPr>
        <w:t xml:space="preserve"> </w:t>
      </w:r>
    </w:p>
    <w:p w14:paraId="781C218C">
      <w:pPr>
        <w:pStyle w:val="43"/>
        <w:shd w:val="clear" w:color="auto" w:fill="auto"/>
        <w:spacing w:beforeLines="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     关键部件：</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none"/>
          <w:lang w:val="en-US" w:eastAsia="zh-CN"/>
        </w:rPr>
        <w:t xml:space="preserve"> </w:t>
      </w:r>
      <w:r>
        <w:rPr>
          <w:rFonts w:hint="eastAsia" w:ascii="宋体" w:hAnsi="宋体" w:eastAsia="宋体" w:cs="宋体"/>
          <w:sz w:val="21"/>
          <w:szCs w:val="21"/>
          <w:lang w:val="en-US" w:eastAsia="zh-CN"/>
        </w:rPr>
        <w:t>品牌：</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none"/>
          <w:lang w:val="en-US" w:eastAsia="zh-CN"/>
        </w:rPr>
        <w:t xml:space="preserve"> </w:t>
      </w:r>
      <w:r>
        <w:rPr>
          <w:rFonts w:hint="eastAsia" w:ascii="宋体" w:hAnsi="宋体" w:eastAsia="宋体" w:cs="宋体"/>
          <w:sz w:val="21"/>
          <w:szCs w:val="21"/>
          <w:lang w:val="en-US" w:eastAsia="zh-CN"/>
        </w:rPr>
        <w:t>型号：</w:t>
      </w:r>
      <w:r>
        <w:rPr>
          <w:rFonts w:hint="eastAsia" w:ascii="宋体" w:hAnsi="宋体" w:eastAsia="宋体" w:cs="宋体"/>
          <w:sz w:val="21"/>
          <w:szCs w:val="21"/>
          <w:u w:val="single"/>
          <w:lang w:val="en-US" w:eastAsia="zh-CN"/>
        </w:rPr>
        <w:t xml:space="preserve">       </w:t>
      </w:r>
    </w:p>
    <w:p w14:paraId="47E0E5FE">
      <w:pPr>
        <w:pStyle w:val="43"/>
        <w:numPr>
          <w:ilvl w:val="0"/>
          <w:numId w:val="0"/>
        </w:numPr>
        <w:shd w:val="clear" w:color="auto" w:fill="auto"/>
        <w:adjustRightInd w:val="0"/>
        <w:snapToGrid w:val="0"/>
        <w:spacing w:before="0" w:beforeLines="0" w:line="400" w:lineRule="exact"/>
        <w:ind w:firstLine="0" w:firstLineChars="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   （注：关键部件是指财政部会同有关部门发布的政府采购需求标准规定的需要通过国家有关部门指定的测评机构开展的安全可靠测评的软硬件，如CPU芯片、操作系统、数据库等。）</w:t>
      </w:r>
    </w:p>
    <w:p w14:paraId="7C14857C">
      <w:pPr>
        <w:pStyle w:val="43"/>
        <w:numPr>
          <w:ilvl w:val="0"/>
          <w:numId w:val="0"/>
        </w:numPr>
        <w:shd w:val="clear" w:color="auto" w:fill="auto"/>
        <w:adjustRightInd w:val="0"/>
        <w:snapToGrid w:val="0"/>
        <w:spacing w:before="0" w:beforeLines="0" w:line="400" w:lineRule="exact"/>
        <w:ind w:firstLine="0" w:firstLineChars="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         ②涉及车辆采购，请填写是否属于新能源汽车：</w:t>
      </w:r>
    </w:p>
    <w:p w14:paraId="26B57392">
      <w:pPr>
        <w:pStyle w:val="43"/>
        <w:numPr>
          <w:ilvl w:val="0"/>
          <w:numId w:val="0"/>
        </w:numPr>
        <w:shd w:val="clear" w:color="auto" w:fill="auto"/>
        <w:adjustRightInd w:val="0"/>
        <w:snapToGrid w:val="0"/>
        <w:spacing w:before="0" w:beforeLines="0" w:line="400" w:lineRule="exact"/>
        <w:ind w:firstLine="0" w:firstLineChars="0"/>
        <w:rPr>
          <w:rFonts w:hint="eastAsia" w:ascii="宋体" w:hAnsi="宋体" w:eastAsia="宋体" w:cs="宋体"/>
          <w:iCs w:val="0"/>
          <w:sz w:val="21"/>
          <w:szCs w:val="21"/>
          <w:lang w:val="en-US" w:eastAsia="zh-CN"/>
        </w:rPr>
      </w:pPr>
      <w:r>
        <w:rPr>
          <w:rFonts w:hint="eastAsia" w:ascii="宋体" w:hAnsi="宋体" w:eastAsia="宋体" w:cs="宋体"/>
          <w:sz w:val="21"/>
          <w:szCs w:val="21"/>
          <w:lang w:val="en-US" w:eastAsia="zh-CN"/>
        </w:rPr>
        <w:t xml:space="preserve">         </w:t>
      </w:r>
      <w:r>
        <w:rPr>
          <w:rFonts w:hint="eastAsia" w:ascii="宋体" w:hAnsi="宋体" w:eastAsia="宋体" w:cs="宋体"/>
          <w:iCs w:val="0"/>
          <w:sz w:val="21"/>
          <w:szCs w:val="21"/>
        </w:rPr>
        <w:sym w:font="Wingdings" w:char="00A8"/>
      </w:r>
      <w:r>
        <w:rPr>
          <w:rFonts w:hint="eastAsia" w:ascii="宋体" w:hAnsi="宋体" w:eastAsia="宋体" w:cs="宋体"/>
          <w:iCs w:val="0"/>
          <w:sz w:val="21"/>
          <w:szCs w:val="21"/>
        </w:rPr>
        <w:t>是</w:t>
      </w:r>
      <w:r>
        <w:rPr>
          <w:rFonts w:hint="eastAsia" w:ascii="宋体" w:hAnsi="宋体" w:eastAsia="宋体" w:cs="宋体"/>
          <w:iCs w:val="0"/>
          <w:sz w:val="21"/>
          <w:szCs w:val="21"/>
          <w:lang w:eastAsia="zh-CN"/>
        </w:rPr>
        <w:t>，《政府采购品目分类目录》底级品目名称</w:t>
      </w:r>
      <w:r>
        <w:rPr>
          <w:rFonts w:hint="eastAsia" w:ascii="宋体" w:hAnsi="宋体" w:eastAsia="宋体" w:cs="宋体"/>
          <w:sz w:val="21"/>
          <w:szCs w:val="21"/>
          <w:lang w:val="en-US" w:eastAsia="zh-CN"/>
        </w:rPr>
        <w:t>：</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lang w:val="en-US" w:eastAsia="zh-CN"/>
        </w:rPr>
        <w:t xml:space="preserve"> 数量：</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lang w:val="en-US" w:eastAsia="zh-CN"/>
        </w:rPr>
        <w:t xml:space="preserve"> 金额：</w:t>
      </w:r>
      <w:r>
        <w:rPr>
          <w:rFonts w:hint="eastAsia" w:ascii="宋体" w:hAnsi="宋体" w:eastAsia="宋体" w:cs="宋体"/>
          <w:sz w:val="21"/>
          <w:szCs w:val="21"/>
          <w:u w:val="single"/>
          <w:lang w:val="en-US" w:eastAsia="zh-CN"/>
        </w:rPr>
        <w:t xml:space="preserve">     </w:t>
      </w:r>
      <w:r>
        <w:rPr>
          <w:rFonts w:hint="eastAsia" w:ascii="宋体" w:hAnsi="宋体" w:eastAsia="宋体" w:cs="宋体"/>
          <w:iCs w:val="0"/>
          <w:sz w:val="21"/>
          <w:szCs w:val="21"/>
          <w:lang w:val="en-US" w:eastAsia="zh-CN"/>
        </w:rPr>
        <w:t xml:space="preserve"> </w:t>
      </w:r>
    </w:p>
    <w:p w14:paraId="7E5628E1">
      <w:pPr>
        <w:pStyle w:val="43"/>
        <w:numPr>
          <w:ilvl w:val="0"/>
          <w:numId w:val="0"/>
        </w:numPr>
        <w:shd w:val="clear" w:color="auto" w:fill="auto"/>
        <w:adjustRightInd w:val="0"/>
        <w:snapToGrid w:val="0"/>
        <w:spacing w:before="0" w:beforeLines="0" w:line="400" w:lineRule="exact"/>
        <w:ind w:firstLine="0" w:firstLineChars="0"/>
        <w:rPr>
          <w:rFonts w:hint="eastAsia" w:ascii="宋体" w:hAnsi="宋体" w:eastAsia="宋体" w:cs="宋体"/>
          <w:iCs w:val="0"/>
          <w:sz w:val="21"/>
          <w:szCs w:val="21"/>
          <w:lang w:eastAsia="zh-CN"/>
        </w:rPr>
      </w:pPr>
      <w:r>
        <w:rPr>
          <w:rFonts w:hint="eastAsia" w:ascii="宋体" w:hAnsi="宋体" w:eastAsia="宋体" w:cs="宋体"/>
          <w:iCs w:val="0"/>
          <w:sz w:val="21"/>
          <w:szCs w:val="21"/>
          <w:lang w:val="en-US" w:eastAsia="zh-CN"/>
        </w:rPr>
        <w:t xml:space="preserve">         </w:t>
      </w:r>
      <w:r>
        <w:rPr>
          <w:rFonts w:hint="eastAsia" w:ascii="宋体" w:hAnsi="宋体" w:eastAsia="宋体" w:cs="宋体"/>
          <w:iCs w:val="0"/>
          <w:sz w:val="21"/>
          <w:szCs w:val="21"/>
        </w:rPr>
        <w:sym w:font="Wingdings" w:char="00FE"/>
      </w:r>
      <w:r>
        <w:rPr>
          <w:rFonts w:hint="eastAsia" w:ascii="宋体" w:hAnsi="宋体" w:eastAsia="宋体" w:cs="宋体"/>
          <w:iCs w:val="0"/>
          <w:sz w:val="21"/>
          <w:szCs w:val="21"/>
          <w:lang w:eastAsia="zh-CN"/>
        </w:rPr>
        <w:t>否</w:t>
      </w:r>
    </w:p>
    <w:p w14:paraId="2FCFBFE1">
      <w:pPr>
        <w:pStyle w:val="43"/>
        <w:numPr>
          <w:ilvl w:val="0"/>
          <w:numId w:val="0"/>
        </w:numPr>
        <w:shd w:val="clear" w:color="auto" w:fill="auto"/>
        <w:adjustRightInd w:val="0"/>
        <w:snapToGrid w:val="0"/>
        <w:spacing w:before="0" w:beforeLines="0" w:line="400" w:lineRule="exact"/>
        <w:ind w:left="0" w:firstLine="0" w:firstLineChars="0"/>
        <w:rPr>
          <w:rFonts w:hint="eastAsia" w:ascii="宋体" w:hAnsi="宋体" w:eastAsia="宋体" w:cs="宋体"/>
          <w:iCs w:val="0"/>
          <w:sz w:val="21"/>
          <w:szCs w:val="21"/>
          <w:lang w:val="en-US" w:eastAsia="zh-CN"/>
        </w:rPr>
      </w:pPr>
      <w:r>
        <w:rPr>
          <w:rFonts w:hint="eastAsia" w:ascii="宋体" w:hAnsi="宋体" w:eastAsia="宋体" w:cs="宋体"/>
          <w:iCs w:val="0"/>
          <w:sz w:val="21"/>
          <w:szCs w:val="21"/>
          <w:lang w:val="en-US" w:eastAsia="zh-CN"/>
        </w:rPr>
        <w:t xml:space="preserve">    （</w:t>
      </w:r>
      <w:r>
        <w:rPr>
          <w:rFonts w:hint="eastAsia" w:ascii="宋体" w:hAnsi="宋体" w:eastAsia="宋体" w:cs="宋体"/>
          <w:iCs w:val="0"/>
          <w:sz w:val="21"/>
          <w:szCs w:val="21"/>
          <w:lang w:val="en" w:eastAsia="zh-CN"/>
        </w:rPr>
        <w:t>4</w:t>
      </w:r>
      <w:r>
        <w:rPr>
          <w:rFonts w:hint="eastAsia" w:ascii="宋体" w:hAnsi="宋体" w:eastAsia="宋体" w:cs="宋体"/>
          <w:iCs w:val="0"/>
          <w:sz w:val="21"/>
          <w:szCs w:val="21"/>
          <w:lang w:val="en-US" w:eastAsia="zh-CN"/>
        </w:rPr>
        <w:t>）政府采购组织形式：</w:t>
      </w:r>
      <w:r>
        <w:rPr>
          <w:rFonts w:hint="eastAsia" w:ascii="宋体" w:hAnsi="宋体" w:eastAsia="宋体" w:cs="宋体"/>
          <w:iCs w:val="0"/>
          <w:sz w:val="21"/>
          <w:szCs w:val="21"/>
        </w:rPr>
        <w:sym w:font="Wingdings" w:char="00A8"/>
      </w:r>
      <w:r>
        <w:rPr>
          <w:rFonts w:hint="eastAsia" w:ascii="宋体" w:hAnsi="宋体" w:eastAsia="宋体" w:cs="宋体"/>
          <w:iCs w:val="0"/>
          <w:sz w:val="21"/>
          <w:szCs w:val="21"/>
          <w:lang w:eastAsia="zh-CN"/>
        </w:rPr>
        <w:t>政府集中采购</w:t>
      </w:r>
      <w:r>
        <w:rPr>
          <w:rFonts w:hint="eastAsia" w:ascii="宋体" w:hAnsi="宋体" w:eastAsia="宋体" w:cs="宋体"/>
          <w:iCs w:val="0"/>
          <w:sz w:val="21"/>
          <w:szCs w:val="21"/>
          <w:lang w:val="en-US" w:eastAsia="zh-CN"/>
        </w:rPr>
        <w:t xml:space="preserve">  </w:t>
      </w:r>
      <w:r>
        <w:rPr>
          <w:rFonts w:hint="eastAsia" w:ascii="宋体" w:hAnsi="宋体" w:eastAsia="宋体" w:cs="宋体"/>
          <w:iCs w:val="0"/>
          <w:sz w:val="21"/>
          <w:szCs w:val="21"/>
        </w:rPr>
        <w:sym w:font="Wingdings" w:char="00A8"/>
      </w:r>
      <w:r>
        <w:rPr>
          <w:rFonts w:hint="eastAsia" w:ascii="宋体" w:hAnsi="宋体" w:eastAsia="宋体" w:cs="宋体"/>
          <w:iCs w:val="0"/>
          <w:sz w:val="21"/>
          <w:szCs w:val="21"/>
          <w:lang w:val="en-US" w:eastAsia="zh-CN"/>
        </w:rPr>
        <w:t xml:space="preserve">部门集中采购  </w:t>
      </w:r>
      <w:r>
        <w:rPr>
          <w:rFonts w:hint="eastAsia" w:ascii="宋体" w:hAnsi="宋体" w:eastAsia="宋体" w:cs="宋体"/>
          <w:iCs w:val="0"/>
          <w:sz w:val="21"/>
          <w:szCs w:val="21"/>
        </w:rPr>
        <w:sym w:font="Wingdings" w:char="00FE"/>
      </w:r>
      <w:r>
        <w:rPr>
          <w:rFonts w:hint="eastAsia" w:ascii="宋体" w:hAnsi="宋体" w:eastAsia="宋体" w:cs="宋体"/>
          <w:iCs w:val="0"/>
          <w:sz w:val="21"/>
          <w:szCs w:val="21"/>
          <w:lang w:val="en-US" w:eastAsia="zh-CN"/>
        </w:rPr>
        <w:t>分散采购</w:t>
      </w:r>
    </w:p>
    <w:p w14:paraId="6F6E5D04">
      <w:pPr>
        <w:pStyle w:val="43"/>
        <w:numPr>
          <w:ilvl w:val="0"/>
          <w:numId w:val="0"/>
        </w:numPr>
        <w:shd w:val="clear" w:color="auto" w:fill="auto"/>
        <w:adjustRightInd w:val="0"/>
        <w:snapToGrid w:val="0"/>
        <w:spacing w:before="0" w:beforeLines="0" w:line="400" w:lineRule="exact"/>
        <w:ind w:left="0" w:firstLine="420" w:firstLineChars="0"/>
        <w:rPr>
          <w:rFonts w:hint="eastAsia" w:ascii="宋体" w:hAnsi="宋体" w:eastAsia="宋体" w:cs="宋体"/>
          <w:iCs w:val="0"/>
          <w:sz w:val="21"/>
          <w:szCs w:val="21"/>
          <w:lang w:eastAsia="zh-CN"/>
        </w:rPr>
      </w:pPr>
      <w:r>
        <w:rPr>
          <w:rFonts w:hint="eastAsia" w:ascii="宋体" w:hAnsi="宋体" w:eastAsia="宋体" w:cs="宋体"/>
          <w:iCs w:val="0"/>
          <w:sz w:val="21"/>
          <w:szCs w:val="21"/>
          <w:lang w:val="en-US" w:eastAsia="zh-CN"/>
        </w:rPr>
        <w:t>（</w:t>
      </w:r>
      <w:r>
        <w:rPr>
          <w:rFonts w:hint="eastAsia" w:ascii="宋体" w:hAnsi="宋体" w:eastAsia="宋体" w:cs="宋体"/>
          <w:iCs w:val="0"/>
          <w:sz w:val="21"/>
          <w:szCs w:val="21"/>
          <w:lang w:val="en" w:eastAsia="zh-CN"/>
        </w:rPr>
        <w:t>5</w:t>
      </w:r>
      <w:r>
        <w:rPr>
          <w:rFonts w:hint="eastAsia" w:ascii="宋体" w:hAnsi="宋体" w:eastAsia="宋体" w:cs="宋体"/>
          <w:iCs w:val="0"/>
          <w:sz w:val="21"/>
          <w:szCs w:val="21"/>
          <w:lang w:val="en-US" w:eastAsia="zh-CN"/>
        </w:rPr>
        <w:t>）政府采购方式：</w:t>
      </w:r>
      <w:r>
        <w:rPr>
          <w:rFonts w:hint="eastAsia" w:ascii="宋体" w:hAnsi="宋体" w:eastAsia="宋体" w:cs="宋体"/>
          <w:iCs w:val="0"/>
          <w:sz w:val="21"/>
          <w:szCs w:val="21"/>
        </w:rPr>
        <w:sym w:font="Wingdings" w:char="00FE"/>
      </w:r>
      <w:r>
        <w:rPr>
          <w:rFonts w:hint="eastAsia" w:ascii="宋体" w:hAnsi="宋体" w:eastAsia="宋体" w:cs="宋体"/>
          <w:iCs w:val="0"/>
          <w:sz w:val="21"/>
          <w:szCs w:val="21"/>
          <w:lang w:eastAsia="zh-CN"/>
        </w:rPr>
        <w:t>公开招标</w:t>
      </w:r>
      <w:r>
        <w:rPr>
          <w:rFonts w:hint="eastAsia" w:ascii="宋体" w:hAnsi="宋体" w:eastAsia="宋体" w:cs="宋体"/>
          <w:iCs w:val="0"/>
          <w:sz w:val="21"/>
          <w:szCs w:val="21"/>
          <w:lang w:val="en-US" w:eastAsia="zh-CN"/>
        </w:rPr>
        <w:t xml:space="preserve"> </w:t>
      </w:r>
      <w:r>
        <w:rPr>
          <w:rFonts w:hint="eastAsia" w:ascii="宋体" w:hAnsi="宋体" w:eastAsia="宋体" w:cs="宋体"/>
          <w:iCs w:val="0"/>
          <w:sz w:val="21"/>
          <w:szCs w:val="21"/>
        </w:rPr>
        <w:sym w:font="Wingdings" w:char="00A8"/>
      </w:r>
      <w:r>
        <w:rPr>
          <w:rFonts w:hint="eastAsia" w:ascii="宋体" w:hAnsi="宋体" w:eastAsia="宋体" w:cs="宋体"/>
          <w:iCs w:val="0"/>
          <w:sz w:val="21"/>
          <w:szCs w:val="21"/>
          <w:lang w:eastAsia="zh-CN"/>
        </w:rPr>
        <w:t>邀请招标</w:t>
      </w:r>
      <w:r>
        <w:rPr>
          <w:rFonts w:hint="eastAsia" w:ascii="宋体" w:hAnsi="宋体" w:eastAsia="宋体" w:cs="宋体"/>
          <w:iCs w:val="0"/>
          <w:sz w:val="21"/>
          <w:szCs w:val="21"/>
          <w:lang w:val="en-US" w:eastAsia="zh-CN"/>
        </w:rPr>
        <w:t xml:space="preserve"> </w:t>
      </w:r>
      <w:r>
        <w:rPr>
          <w:rFonts w:hint="eastAsia" w:ascii="宋体" w:hAnsi="宋体" w:eastAsia="宋体" w:cs="宋体"/>
          <w:iCs w:val="0"/>
          <w:sz w:val="21"/>
          <w:szCs w:val="21"/>
        </w:rPr>
        <w:sym w:font="Wingdings" w:char="00A8"/>
      </w:r>
      <w:r>
        <w:rPr>
          <w:rFonts w:hint="eastAsia" w:ascii="宋体" w:hAnsi="宋体" w:eastAsia="宋体" w:cs="宋体"/>
          <w:iCs w:val="0"/>
          <w:sz w:val="21"/>
          <w:szCs w:val="21"/>
          <w:lang w:eastAsia="zh-CN"/>
        </w:rPr>
        <w:t>竞争性谈判</w:t>
      </w:r>
      <w:r>
        <w:rPr>
          <w:rFonts w:hint="eastAsia" w:ascii="宋体" w:hAnsi="宋体" w:eastAsia="宋体" w:cs="宋体"/>
          <w:iCs w:val="0"/>
          <w:sz w:val="21"/>
          <w:szCs w:val="21"/>
          <w:lang w:val="en-US" w:eastAsia="zh-CN"/>
        </w:rPr>
        <w:t xml:space="preserve"> </w:t>
      </w:r>
      <w:r>
        <w:rPr>
          <w:rFonts w:hint="eastAsia" w:ascii="宋体" w:hAnsi="宋体" w:eastAsia="宋体" w:cs="宋体"/>
          <w:iCs w:val="0"/>
          <w:sz w:val="21"/>
          <w:szCs w:val="21"/>
        </w:rPr>
        <w:sym w:font="Wingdings" w:char="00A8"/>
      </w:r>
      <w:r>
        <w:rPr>
          <w:rFonts w:hint="eastAsia" w:ascii="宋体" w:hAnsi="宋体" w:eastAsia="宋体" w:cs="宋体"/>
          <w:iCs w:val="0"/>
          <w:sz w:val="21"/>
          <w:szCs w:val="21"/>
          <w:lang w:eastAsia="zh-CN"/>
        </w:rPr>
        <w:t>竞争性磋商</w:t>
      </w:r>
    </w:p>
    <w:p w14:paraId="671BF395">
      <w:pPr>
        <w:pStyle w:val="43"/>
        <w:numPr>
          <w:ilvl w:val="0"/>
          <w:numId w:val="0"/>
        </w:numPr>
        <w:shd w:val="clear" w:color="auto" w:fill="auto"/>
        <w:adjustRightInd w:val="0"/>
        <w:snapToGrid w:val="0"/>
        <w:spacing w:before="0" w:beforeLines="0" w:line="400" w:lineRule="exact"/>
        <w:ind w:left="0" w:firstLine="420" w:firstLineChars="0"/>
        <w:rPr>
          <w:rFonts w:hint="eastAsia" w:ascii="宋体" w:hAnsi="宋体" w:eastAsia="宋体" w:cs="宋体"/>
          <w:iCs w:val="0"/>
          <w:sz w:val="21"/>
          <w:szCs w:val="21"/>
          <w:u w:val="single"/>
          <w:lang w:val="en-US" w:eastAsia="zh-CN"/>
        </w:rPr>
      </w:pPr>
      <w:r>
        <w:rPr>
          <w:rFonts w:hint="eastAsia" w:ascii="宋体" w:hAnsi="宋体" w:eastAsia="宋体" w:cs="宋体"/>
          <w:szCs w:val="21"/>
          <w:u w:val="none"/>
          <w:lang w:val="en-US" w:eastAsia="zh-CN"/>
        </w:rPr>
        <w:t xml:space="preserve">                  </w:t>
      </w:r>
      <w:r>
        <w:rPr>
          <w:rFonts w:hint="eastAsia" w:ascii="宋体" w:hAnsi="宋体" w:eastAsia="宋体" w:cs="宋体"/>
          <w:iCs w:val="0"/>
          <w:sz w:val="21"/>
          <w:szCs w:val="21"/>
        </w:rPr>
        <w:sym w:font="Wingdings" w:char="00A8"/>
      </w:r>
      <w:r>
        <w:rPr>
          <w:rFonts w:hint="eastAsia" w:ascii="宋体" w:hAnsi="宋体" w:eastAsia="宋体" w:cs="宋体"/>
          <w:iCs w:val="0"/>
          <w:sz w:val="21"/>
          <w:szCs w:val="21"/>
          <w:lang w:eastAsia="zh-CN"/>
        </w:rPr>
        <w:t>询价</w:t>
      </w:r>
      <w:r>
        <w:rPr>
          <w:rFonts w:hint="eastAsia" w:ascii="宋体" w:hAnsi="宋体" w:eastAsia="宋体" w:cs="宋体"/>
          <w:iCs w:val="0"/>
          <w:sz w:val="21"/>
          <w:szCs w:val="21"/>
          <w:lang w:val="en-US" w:eastAsia="zh-CN"/>
        </w:rPr>
        <w:t xml:space="preserve"> </w:t>
      </w:r>
      <w:r>
        <w:rPr>
          <w:rFonts w:hint="eastAsia" w:ascii="宋体" w:hAnsi="宋体" w:eastAsia="宋体" w:cs="宋体"/>
          <w:iCs w:val="0"/>
          <w:sz w:val="21"/>
          <w:szCs w:val="21"/>
        </w:rPr>
        <w:sym w:font="Wingdings" w:char="00A8"/>
      </w:r>
      <w:r>
        <w:rPr>
          <w:rFonts w:hint="eastAsia" w:ascii="宋体" w:hAnsi="宋体" w:eastAsia="宋体" w:cs="宋体"/>
          <w:iCs w:val="0"/>
          <w:sz w:val="21"/>
          <w:szCs w:val="21"/>
          <w:lang w:eastAsia="zh-CN"/>
        </w:rPr>
        <w:t>单一来源</w:t>
      </w:r>
      <w:r>
        <w:rPr>
          <w:rFonts w:hint="eastAsia" w:ascii="宋体" w:hAnsi="宋体" w:eastAsia="宋体" w:cs="宋体"/>
          <w:iCs w:val="0"/>
          <w:sz w:val="21"/>
          <w:szCs w:val="21"/>
          <w:lang w:val="en-US" w:eastAsia="zh-CN"/>
        </w:rPr>
        <w:t xml:space="preserve"> </w:t>
      </w:r>
      <w:r>
        <w:rPr>
          <w:rFonts w:hint="eastAsia" w:ascii="宋体" w:hAnsi="宋体" w:eastAsia="宋体" w:cs="宋体"/>
          <w:iCs w:val="0"/>
          <w:sz w:val="21"/>
          <w:szCs w:val="21"/>
        </w:rPr>
        <w:sym w:font="Wingdings" w:char="00A8"/>
      </w:r>
      <w:r>
        <w:rPr>
          <w:rFonts w:hint="eastAsia" w:ascii="宋体" w:hAnsi="宋体" w:eastAsia="宋体" w:cs="宋体"/>
          <w:iCs w:val="0"/>
          <w:sz w:val="21"/>
          <w:szCs w:val="21"/>
          <w:lang w:eastAsia="zh-CN"/>
        </w:rPr>
        <w:t>框架协议</w:t>
      </w:r>
      <w:r>
        <w:rPr>
          <w:rFonts w:hint="eastAsia" w:ascii="宋体" w:hAnsi="宋体" w:eastAsia="宋体" w:cs="宋体"/>
          <w:iCs w:val="0"/>
          <w:sz w:val="21"/>
          <w:szCs w:val="21"/>
          <w:lang w:val="en-US" w:eastAsia="zh-CN"/>
        </w:rPr>
        <w:t xml:space="preserve"> </w:t>
      </w:r>
      <w:r>
        <w:rPr>
          <w:rFonts w:hint="eastAsia" w:ascii="宋体" w:hAnsi="宋体" w:eastAsia="宋体" w:cs="宋体"/>
          <w:iCs w:val="0"/>
          <w:sz w:val="21"/>
          <w:szCs w:val="21"/>
        </w:rPr>
        <w:sym w:font="Wingdings" w:char="00A8"/>
      </w:r>
      <w:r>
        <w:rPr>
          <w:rFonts w:hint="eastAsia" w:ascii="宋体" w:hAnsi="宋体" w:eastAsia="宋体" w:cs="宋体"/>
          <w:iCs w:val="0"/>
          <w:sz w:val="21"/>
          <w:szCs w:val="21"/>
          <w:lang w:eastAsia="zh-CN"/>
        </w:rPr>
        <w:t>其他：</w:t>
      </w:r>
      <w:r>
        <w:rPr>
          <w:rFonts w:hint="eastAsia" w:ascii="宋体" w:hAnsi="宋体" w:eastAsia="宋体" w:cs="宋体"/>
          <w:iCs w:val="0"/>
          <w:sz w:val="21"/>
          <w:szCs w:val="21"/>
          <w:u w:val="single"/>
          <w:lang w:val="en-US" w:eastAsia="zh-CN"/>
        </w:rPr>
        <w:t xml:space="preserve">          </w:t>
      </w:r>
    </w:p>
    <w:p w14:paraId="54EA25C9">
      <w:pPr>
        <w:pStyle w:val="43"/>
        <w:numPr>
          <w:ilvl w:val="0"/>
          <w:numId w:val="0"/>
        </w:numPr>
        <w:shd w:val="clear" w:color="auto" w:fill="auto"/>
        <w:adjustRightInd w:val="0"/>
        <w:snapToGrid w:val="0"/>
        <w:spacing w:before="0" w:beforeLines="0" w:line="400" w:lineRule="exact"/>
        <w:ind w:firstLine="220" w:firstLineChars="100"/>
        <w:rPr>
          <w:rFonts w:hint="eastAsia" w:ascii="宋体" w:hAnsi="宋体" w:eastAsia="宋体" w:cs="宋体"/>
          <w:w w:val="100"/>
          <w:kern w:val="2"/>
          <w:sz w:val="21"/>
          <w:szCs w:val="21"/>
          <w:lang w:val="en-US" w:eastAsia="zh-CN" w:bidi="ar-SA"/>
        </w:rPr>
      </w:pPr>
      <w:r>
        <w:rPr>
          <w:rFonts w:hint="eastAsia" w:ascii="宋体" w:hAnsi="宋体" w:eastAsia="宋体" w:cs="宋体"/>
          <w:szCs w:val="21"/>
          <w:lang w:val="en-US" w:eastAsia="zh-CN"/>
        </w:rPr>
        <w:t xml:space="preserve"> （</w:t>
      </w:r>
      <w:r>
        <w:rPr>
          <w:rFonts w:hint="eastAsia" w:ascii="宋体" w:hAnsi="宋体" w:eastAsia="宋体" w:cs="宋体"/>
          <w:szCs w:val="21"/>
          <w:lang w:val="en" w:eastAsia="zh-CN"/>
        </w:rPr>
        <w:t>6</w:t>
      </w:r>
      <w:r>
        <w:rPr>
          <w:rFonts w:hint="eastAsia" w:ascii="宋体" w:hAnsi="宋体" w:eastAsia="宋体" w:cs="宋体"/>
          <w:szCs w:val="21"/>
          <w:lang w:val="en-US" w:eastAsia="zh-CN"/>
        </w:rPr>
        <w:t>）</w:t>
      </w:r>
      <w:r>
        <w:rPr>
          <w:rFonts w:hint="eastAsia" w:ascii="宋体" w:hAnsi="宋体" w:eastAsia="宋体" w:cs="宋体"/>
          <w:w w:val="100"/>
          <w:kern w:val="2"/>
          <w:sz w:val="21"/>
          <w:szCs w:val="21"/>
          <w:lang w:val="en-US" w:eastAsia="zh-CN" w:bidi="ar-SA"/>
        </w:rPr>
        <w:t>中标（成交）采购标的制造商是否为中小企业：</w:t>
      </w:r>
      <w:r>
        <w:rPr>
          <w:rFonts w:hint="eastAsia" w:ascii="宋体" w:hAnsi="宋体" w:eastAsia="宋体" w:cs="宋体"/>
          <w:w w:val="100"/>
          <w:kern w:val="2"/>
          <w:sz w:val="21"/>
          <w:szCs w:val="21"/>
          <w:lang w:val="en-US" w:eastAsia="zh-CN" w:bidi="ar-SA"/>
        </w:rPr>
        <w:sym w:font="Wingdings" w:char="00A8"/>
      </w:r>
      <w:r>
        <w:rPr>
          <w:rFonts w:hint="eastAsia" w:ascii="宋体" w:hAnsi="宋体" w:eastAsia="宋体" w:cs="宋体"/>
          <w:w w:val="100"/>
          <w:kern w:val="2"/>
          <w:sz w:val="21"/>
          <w:szCs w:val="21"/>
          <w:lang w:val="en-US" w:eastAsia="zh-CN" w:bidi="ar-SA"/>
        </w:rPr>
        <w:t xml:space="preserve">是      </w:t>
      </w:r>
      <w:r>
        <w:rPr>
          <w:rFonts w:hint="eastAsia" w:ascii="宋体" w:hAnsi="宋体" w:eastAsia="宋体" w:cs="宋体"/>
          <w:w w:val="100"/>
          <w:kern w:val="2"/>
          <w:sz w:val="21"/>
          <w:szCs w:val="21"/>
          <w:lang w:val="en-US" w:eastAsia="zh-CN" w:bidi="ar-SA"/>
        </w:rPr>
        <w:sym w:font="Wingdings" w:char="00A8"/>
      </w:r>
      <w:r>
        <w:rPr>
          <w:rFonts w:hint="eastAsia" w:ascii="宋体" w:hAnsi="宋体" w:eastAsia="宋体" w:cs="宋体"/>
          <w:w w:val="100"/>
          <w:kern w:val="2"/>
          <w:sz w:val="21"/>
          <w:szCs w:val="21"/>
          <w:lang w:val="en-US" w:eastAsia="zh-CN" w:bidi="ar-SA"/>
        </w:rPr>
        <w:t>否</w:t>
      </w:r>
    </w:p>
    <w:p w14:paraId="79365400">
      <w:pPr>
        <w:numPr>
          <w:ilvl w:val="0"/>
          <w:numId w:val="0"/>
        </w:numPr>
        <w:shd w:val="clear" w:color="auto" w:fill="auto"/>
        <w:adjustRightInd w:val="0"/>
        <w:snapToGrid w:val="0"/>
        <w:spacing w:before="0" w:beforeLines="0" w:line="400" w:lineRule="exact"/>
        <w:ind w:left="0" w:leftChars="0" w:firstLine="0" w:firstLineChars="0"/>
        <w:rPr>
          <w:rFonts w:hint="eastAsia" w:ascii="宋体" w:hAnsi="宋体" w:eastAsia="宋体" w:cs="宋体"/>
          <w:iCs/>
          <w:szCs w:val="21"/>
        </w:rPr>
      </w:pPr>
      <w:r>
        <w:rPr>
          <w:rFonts w:hint="eastAsia" w:ascii="宋体" w:hAnsi="宋体" w:eastAsia="宋体" w:cs="宋体"/>
          <w:w w:val="100"/>
          <w:szCs w:val="21"/>
          <w:lang w:val="en-US" w:eastAsia="zh-CN"/>
        </w:rPr>
        <w:t xml:space="preserve">         本合同</w:t>
      </w:r>
      <w:r>
        <w:rPr>
          <w:rFonts w:hint="eastAsia" w:ascii="宋体" w:hAnsi="宋体" w:eastAsia="宋体" w:cs="宋体"/>
          <w:w w:val="100"/>
          <w:szCs w:val="21"/>
        </w:rPr>
        <w:t>是否</w:t>
      </w:r>
      <w:r>
        <w:rPr>
          <w:rFonts w:hint="eastAsia" w:ascii="宋体" w:hAnsi="宋体" w:eastAsia="宋体" w:cs="宋体"/>
          <w:w w:val="100"/>
          <w:szCs w:val="21"/>
          <w:lang w:eastAsia="zh-CN"/>
        </w:rPr>
        <w:t>为专门面向</w:t>
      </w:r>
      <w:r>
        <w:rPr>
          <w:rFonts w:hint="eastAsia" w:ascii="宋体" w:hAnsi="宋体" w:eastAsia="宋体" w:cs="宋体"/>
          <w:w w:val="100"/>
          <w:szCs w:val="21"/>
        </w:rPr>
        <w:t>中小企业</w:t>
      </w:r>
      <w:r>
        <w:rPr>
          <w:rFonts w:hint="eastAsia" w:ascii="宋体" w:hAnsi="宋体" w:eastAsia="宋体" w:cs="宋体"/>
          <w:w w:val="100"/>
          <w:szCs w:val="21"/>
          <w:lang w:eastAsia="zh-CN"/>
        </w:rPr>
        <w:t>的采</w:t>
      </w:r>
      <w:r>
        <w:rPr>
          <w:rFonts w:hint="eastAsia" w:ascii="宋体" w:hAnsi="宋体" w:eastAsia="宋体" w:cs="宋体"/>
          <w:w w:val="100"/>
          <w:szCs w:val="21"/>
          <w:shd w:val="clear" w:color="auto" w:fill="auto"/>
          <w:lang w:eastAsia="zh-CN"/>
        </w:rPr>
        <w:t>购</w:t>
      </w:r>
      <w:r>
        <w:rPr>
          <w:rFonts w:hint="eastAsia" w:ascii="宋体" w:hAnsi="宋体" w:eastAsia="宋体" w:cs="宋体"/>
          <w:w w:val="100"/>
          <w:szCs w:val="21"/>
          <w:shd w:val="clear" w:color="auto" w:fill="auto"/>
        </w:rPr>
        <w:t>合同</w:t>
      </w:r>
      <w:r>
        <w:rPr>
          <w:rFonts w:hint="eastAsia" w:ascii="宋体" w:hAnsi="宋体" w:eastAsia="宋体" w:cs="宋体"/>
          <w:w w:val="100"/>
          <w:szCs w:val="21"/>
          <w:shd w:val="clear" w:color="auto" w:fill="auto"/>
          <w:lang w:eastAsia="zh-CN"/>
        </w:rPr>
        <w:t>（中小企业预留合同）</w:t>
      </w:r>
      <w:r>
        <w:rPr>
          <w:rFonts w:hint="eastAsia" w:ascii="宋体" w:hAnsi="宋体" w:eastAsia="宋体" w:cs="宋体"/>
          <w:szCs w:val="21"/>
          <w:shd w:val="clear" w:color="auto" w:fill="auto"/>
        </w:rPr>
        <w:t>：</w:t>
      </w:r>
      <w:r>
        <w:rPr>
          <w:rFonts w:hint="eastAsia" w:ascii="宋体" w:hAnsi="宋体" w:eastAsia="宋体" w:cs="宋体"/>
          <w:iCs/>
          <w:szCs w:val="21"/>
        </w:rPr>
        <w:sym w:font="Wingdings" w:char="00A8"/>
      </w:r>
      <w:r>
        <w:rPr>
          <w:rFonts w:hint="eastAsia" w:ascii="宋体" w:hAnsi="宋体" w:eastAsia="宋体" w:cs="宋体"/>
          <w:iCs/>
          <w:szCs w:val="21"/>
        </w:rPr>
        <w:t xml:space="preserve">是 </w:t>
      </w:r>
      <w:r>
        <w:rPr>
          <w:rFonts w:hint="eastAsia" w:ascii="宋体" w:hAnsi="宋体" w:eastAsia="宋体" w:cs="宋体"/>
          <w:iCs/>
          <w:szCs w:val="21"/>
          <w:lang w:val="en-US" w:eastAsia="zh-CN"/>
        </w:rPr>
        <w:t xml:space="preserve">  </w:t>
      </w:r>
      <w:r>
        <w:rPr>
          <w:rFonts w:hint="eastAsia" w:ascii="宋体" w:hAnsi="宋体" w:eastAsia="宋体" w:cs="宋体"/>
          <w:iCs/>
          <w:szCs w:val="21"/>
        </w:rPr>
        <w:t xml:space="preserve"> </w:t>
      </w:r>
      <w:r>
        <w:rPr>
          <w:rFonts w:hint="eastAsia" w:ascii="宋体" w:hAnsi="宋体" w:eastAsia="宋体" w:cs="宋体"/>
          <w:iCs/>
          <w:szCs w:val="21"/>
        </w:rPr>
        <w:sym w:font="Wingdings" w:char="00A8"/>
      </w:r>
      <w:r>
        <w:rPr>
          <w:rFonts w:hint="eastAsia" w:ascii="宋体" w:hAnsi="宋体" w:eastAsia="宋体" w:cs="宋体"/>
          <w:iCs/>
          <w:szCs w:val="21"/>
        </w:rPr>
        <w:t>否</w:t>
      </w:r>
    </w:p>
    <w:p w14:paraId="67456632">
      <w:pPr>
        <w:numPr>
          <w:ilvl w:val="0"/>
          <w:numId w:val="0"/>
        </w:numPr>
        <w:shd w:val="clear" w:color="auto" w:fill="auto"/>
        <w:adjustRightInd w:val="0"/>
        <w:snapToGrid w:val="0"/>
        <w:spacing w:before="0" w:beforeLines="0" w:line="400" w:lineRule="exact"/>
        <w:ind w:firstLine="0" w:firstLineChars="0"/>
        <w:rPr>
          <w:rFonts w:hint="eastAsia" w:ascii="宋体" w:hAnsi="宋体" w:eastAsia="宋体" w:cs="宋体"/>
          <w:iCs/>
          <w:szCs w:val="21"/>
        </w:rPr>
      </w:pPr>
      <w:r>
        <w:rPr>
          <w:rFonts w:hint="eastAsia" w:ascii="宋体" w:hAnsi="宋体" w:eastAsia="宋体" w:cs="宋体"/>
          <w:lang w:val="en-US" w:eastAsia="zh-CN"/>
        </w:rPr>
        <w:t xml:space="preserve">         若本项目不专门面向中小企业采购，是否给予小微企业评审优惠：</w:t>
      </w:r>
      <w:r>
        <w:rPr>
          <w:rFonts w:hint="eastAsia" w:ascii="宋体" w:hAnsi="宋体" w:eastAsia="宋体" w:cs="宋体"/>
          <w:iCs/>
          <w:szCs w:val="21"/>
        </w:rPr>
        <w:sym w:font="Wingdings" w:char="00A8"/>
      </w:r>
      <w:r>
        <w:rPr>
          <w:rFonts w:hint="eastAsia" w:ascii="宋体" w:hAnsi="宋体" w:eastAsia="宋体" w:cs="宋体"/>
          <w:iCs/>
          <w:szCs w:val="21"/>
        </w:rPr>
        <w:t xml:space="preserve">是   </w:t>
      </w:r>
      <w:r>
        <w:rPr>
          <w:rFonts w:hint="eastAsia" w:ascii="宋体" w:hAnsi="宋体" w:eastAsia="宋体" w:cs="宋体"/>
          <w:iCs/>
          <w:szCs w:val="21"/>
        </w:rPr>
        <w:sym w:font="Wingdings" w:char="00A8"/>
      </w:r>
      <w:r>
        <w:rPr>
          <w:rFonts w:hint="eastAsia" w:ascii="宋体" w:hAnsi="宋体" w:eastAsia="宋体" w:cs="宋体"/>
          <w:iCs/>
          <w:szCs w:val="21"/>
        </w:rPr>
        <w:t>否</w:t>
      </w:r>
    </w:p>
    <w:p w14:paraId="0F3941D9">
      <w:pPr>
        <w:numPr>
          <w:ilvl w:val="0"/>
          <w:numId w:val="0"/>
        </w:numPr>
        <w:shd w:val="clear" w:color="auto" w:fill="auto"/>
        <w:adjustRightInd w:val="0"/>
        <w:snapToGrid w:val="0"/>
        <w:spacing w:before="0" w:beforeLines="0" w:line="400" w:lineRule="exact"/>
        <w:ind w:firstLine="0" w:firstLineChars="0"/>
        <w:rPr>
          <w:rFonts w:hint="eastAsia" w:ascii="宋体" w:hAnsi="宋体" w:eastAsia="宋体" w:cs="宋体"/>
          <w:iCs/>
          <w:szCs w:val="21"/>
        </w:rPr>
      </w:pPr>
      <w:r>
        <w:rPr>
          <w:rFonts w:hint="eastAsia" w:ascii="宋体" w:hAnsi="宋体" w:eastAsia="宋体" w:cs="宋体"/>
          <w:lang w:val="en-US" w:eastAsia="zh-CN"/>
        </w:rPr>
        <w:t xml:space="preserve">         中标（成交）采购标的制造商是否为残疾人福利性单位：</w:t>
      </w:r>
      <w:r>
        <w:rPr>
          <w:rFonts w:hint="eastAsia" w:ascii="宋体" w:hAnsi="宋体" w:eastAsia="宋体" w:cs="宋体"/>
          <w:iCs/>
          <w:szCs w:val="21"/>
        </w:rPr>
        <w:sym w:font="Wingdings" w:char="00A8"/>
      </w:r>
      <w:r>
        <w:rPr>
          <w:rFonts w:hint="eastAsia" w:ascii="宋体" w:hAnsi="宋体" w:eastAsia="宋体" w:cs="宋体"/>
          <w:iCs/>
          <w:szCs w:val="21"/>
        </w:rPr>
        <w:t xml:space="preserve">是   </w:t>
      </w:r>
      <w:r>
        <w:rPr>
          <w:rFonts w:hint="eastAsia" w:ascii="宋体" w:hAnsi="宋体" w:eastAsia="宋体" w:cs="宋体"/>
          <w:iCs/>
          <w:szCs w:val="21"/>
        </w:rPr>
        <w:sym w:font="Wingdings" w:char="00A8"/>
      </w:r>
      <w:r>
        <w:rPr>
          <w:rFonts w:hint="eastAsia" w:ascii="宋体" w:hAnsi="宋体" w:eastAsia="宋体" w:cs="宋体"/>
          <w:iCs/>
          <w:szCs w:val="21"/>
        </w:rPr>
        <w:t>否</w:t>
      </w:r>
    </w:p>
    <w:p w14:paraId="058A949B">
      <w:pPr>
        <w:numPr>
          <w:ilvl w:val="0"/>
          <w:numId w:val="0"/>
        </w:numPr>
        <w:shd w:val="clear" w:color="auto" w:fill="auto"/>
        <w:snapToGrid w:val="0"/>
        <w:spacing w:beforeLines="0" w:line="400" w:lineRule="exact"/>
        <w:ind w:firstLine="0" w:firstLineChars="0"/>
        <w:rPr>
          <w:rFonts w:hint="eastAsia" w:ascii="宋体" w:hAnsi="宋体" w:eastAsia="宋体" w:cs="宋体"/>
          <w:lang w:val="en-US" w:eastAsia="zh-CN"/>
        </w:rPr>
      </w:pPr>
      <w:r>
        <w:rPr>
          <w:rFonts w:hint="eastAsia" w:ascii="宋体" w:hAnsi="宋体" w:eastAsia="宋体" w:cs="宋体"/>
          <w:lang w:val="en-US" w:eastAsia="zh-CN"/>
        </w:rPr>
        <w:t xml:space="preserve">         中标（成交）采购标的制造商是否为监狱企业：</w:t>
      </w:r>
      <w:r>
        <w:rPr>
          <w:rFonts w:hint="eastAsia" w:ascii="宋体" w:hAnsi="宋体" w:eastAsia="宋体" w:cs="宋体"/>
          <w:iCs/>
          <w:szCs w:val="21"/>
        </w:rPr>
        <w:sym w:font="Wingdings" w:char="00A8"/>
      </w:r>
      <w:r>
        <w:rPr>
          <w:rFonts w:hint="eastAsia" w:ascii="宋体" w:hAnsi="宋体" w:eastAsia="宋体" w:cs="宋体"/>
          <w:iCs/>
          <w:szCs w:val="21"/>
        </w:rPr>
        <w:t xml:space="preserve">是       </w:t>
      </w:r>
      <w:r>
        <w:rPr>
          <w:rFonts w:hint="eastAsia" w:ascii="宋体" w:hAnsi="宋体" w:eastAsia="宋体" w:cs="宋体"/>
          <w:iCs/>
          <w:szCs w:val="21"/>
        </w:rPr>
        <w:sym w:font="Wingdings" w:char="00A8"/>
      </w:r>
      <w:r>
        <w:rPr>
          <w:rFonts w:hint="eastAsia" w:ascii="宋体" w:hAnsi="宋体" w:eastAsia="宋体" w:cs="宋体"/>
          <w:iCs/>
          <w:szCs w:val="21"/>
        </w:rPr>
        <w:t>否</w:t>
      </w:r>
    </w:p>
    <w:p w14:paraId="469E9543">
      <w:pPr>
        <w:shd w:val="clear" w:color="auto" w:fill="auto"/>
        <w:adjustRightInd w:val="0"/>
        <w:snapToGrid w:val="0"/>
        <w:spacing w:before="0" w:beforeLines="0" w:line="400" w:lineRule="exact"/>
        <w:ind w:firstLine="420" w:firstLineChars="200"/>
        <w:rPr>
          <w:rFonts w:hint="eastAsia" w:ascii="宋体" w:hAnsi="宋体" w:eastAsia="宋体" w:cs="宋体"/>
          <w:szCs w:val="21"/>
        </w:rPr>
      </w:pPr>
      <w:r>
        <w:rPr>
          <w:rFonts w:hint="eastAsia" w:ascii="宋体" w:hAnsi="宋体" w:eastAsia="宋体" w:cs="宋体"/>
          <w:szCs w:val="21"/>
        </w:rPr>
        <w:t>（</w:t>
      </w:r>
      <w:r>
        <w:rPr>
          <w:rFonts w:hint="eastAsia" w:ascii="宋体" w:hAnsi="宋体" w:eastAsia="宋体" w:cs="宋体"/>
          <w:szCs w:val="21"/>
          <w:lang w:val="en" w:eastAsia="zh-CN"/>
        </w:rPr>
        <w:t>7</w:t>
      </w:r>
      <w:r>
        <w:rPr>
          <w:rFonts w:hint="eastAsia" w:ascii="宋体" w:hAnsi="宋体" w:eastAsia="宋体" w:cs="宋体"/>
          <w:szCs w:val="21"/>
        </w:rPr>
        <w:t>）合同是否分包：</w:t>
      </w:r>
      <w:r>
        <w:rPr>
          <w:rFonts w:hint="eastAsia" w:ascii="宋体" w:hAnsi="宋体" w:eastAsia="宋体" w:cs="宋体"/>
          <w:iCs/>
          <w:szCs w:val="21"/>
        </w:rPr>
        <w:sym w:font="Wingdings" w:char="00A8"/>
      </w:r>
      <w:r>
        <w:rPr>
          <w:rFonts w:hint="eastAsia" w:ascii="宋体" w:hAnsi="宋体" w:eastAsia="宋体" w:cs="宋体"/>
          <w:iCs/>
          <w:szCs w:val="21"/>
        </w:rPr>
        <w:t xml:space="preserve">是       </w:t>
      </w:r>
      <w:r>
        <w:rPr>
          <w:rFonts w:hint="eastAsia" w:ascii="宋体" w:hAnsi="宋体" w:eastAsia="宋体" w:cs="宋体"/>
          <w:iCs/>
          <w:szCs w:val="21"/>
        </w:rPr>
        <w:sym w:font="Wingdings" w:char="00FE"/>
      </w:r>
      <w:r>
        <w:rPr>
          <w:rFonts w:hint="eastAsia" w:ascii="宋体" w:hAnsi="宋体" w:eastAsia="宋体" w:cs="宋体"/>
          <w:iCs/>
          <w:szCs w:val="21"/>
        </w:rPr>
        <w:t>否</w:t>
      </w:r>
    </w:p>
    <w:p w14:paraId="583AB418">
      <w:pPr>
        <w:shd w:val="clear" w:color="auto" w:fill="auto"/>
        <w:adjustRightInd w:val="0"/>
        <w:snapToGrid w:val="0"/>
        <w:spacing w:before="0" w:beforeLines="0" w:line="400" w:lineRule="exact"/>
        <w:ind w:firstLine="840" w:firstLineChars="400"/>
        <w:rPr>
          <w:rFonts w:hint="eastAsia" w:ascii="宋体" w:hAnsi="宋体" w:eastAsia="宋体" w:cs="宋体"/>
          <w:szCs w:val="21"/>
          <w:u w:val="single"/>
        </w:rPr>
      </w:pPr>
      <w:r>
        <w:rPr>
          <w:rFonts w:hint="eastAsia" w:ascii="宋体" w:hAnsi="宋体" w:eastAsia="宋体" w:cs="宋体"/>
          <w:szCs w:val="21"/>
          <w:lang w:val="en-US" w:eastAsia="zh-CN"/>
        </w:rPr>
        <w:t xml:space="preserve"> </w:t>
      </w:r>
      <w:r>
        <w:rPr>
          <w:rFonts w:hint="eastAsia" w:ascii="宋体" w:hAnsi="宋体" w:eastAsia="宋体" w:cs="宋体"/>
          <w:szCs w:val="21"/>
        </w:rPr>
        <w:t>分包主要内容：</w:t>
      </w:r>
      <w:r>
        <w:rPr>
          <w:rFonts w:hint="eastAsia" w:ascii="宋体" w:hAnsi="宋体" w:eastAsia="宋体" w:cs="宋体"/>
          <w:szCs w:val="21"/>
          <w:u w:val="single"/>
        </w:rPr>
        <w:t xml:space="preserve">                                        </w:t>
      </w:r>
      <w:r>
        <w:rPr>
          <w:rFonts w:hint="eastAsia" w:ascii="宋体" w:hAnsi="宋体" w:eastAsia="宋体" w:cs="宋体"/>
          <w:szCs w:val="21"/>
          <w:u w:val="single"/>
          <w:lang w:val="en-US" w:eastAsia="zh-CN"/>
        </w:rPr>
        <w:t xml:space="preserve"> </w:t>
      </w:r>
      <w:r>
        <w:rPr>
          <w:rFonts w:hint="eastAsia" w:ascii="宋体" w:hAnsi="宋体" w:eastAsia="宋体" w:cs="宋体"/>
          <w:szCs w:val="21"/>
          <w:u w:val="single"/>
        </w:rPr>
        <w:t xml:space="preserve">   </w:t>
      </w:r>
    </w:p>
    <w:p w14:paraId="13D6A9A3">
      <w:pPr>
        <w:shd w:val="clear" w:color="auto" w:fill="auto"/>
        <w:adjustRightInd w:val="0"/>
        <w:snapToGrid w:val="0"/>
        <w:spacing w:before="0" w:beforeLines="0" w:line="400" w:lineRule="exact"/>
        <w:ind w:firstLine="840" w:firstLineChars="400"/>
        <w:rPr>
          <w:rFonts w:hint="eastAsia" w:ascii="宋体" w:hAnsi="宋体" w:eastAsia="宋体" w:cs="宋体"/>
          <w:szCs w:val="21"/>
          <w:highlight w:val="none"/>
        </w:rPr>
      </w:pPr>
      <w:r>
        <w:rPr>
          <w:rFonts w:hint="eastAsia" w:ascii="宋体" w:hAnsi="宋体" w:eastAsia="宋体" w:cs="宋体"/>
          <w:szCs w:val="21"/>
          <w:u w:val="none"/>
          <w:lang w:val="en-US" w:eastAsia="zh-CN"/>
        </w:rPr>
        <w:t xml:space="preserve"> </w:t>
      </w:r>
      <w:r>
        <w:rPr>
          <w:rFonts w:hint="eastAsia" w:ascii="宋体" w:hAnsi="宋体" w:eastAsia="宋体" w:cs="宋体"/>
          <w:szCs w:val="21"/>
        </w:rPr>
        <w:t>分包</w:t>
      </w:r>
      <w:r>
        <w:rPr>
          <w:rFonts w:hint="eastAsia" w:ascii="宋体" w:hAnsi="宋体" w:eastAsia="宋体" w:cs="宋体"/>
          <w:szCs w:val="21"/>
          <w:highlight w:val="none"/>
        </w:rPr>
        <w:t>供应商</w:t>
      </w:r>
      <w:r>
        <w:rPr>
          <w:rFonts w:hint="eastAsia" w:ascii="宋体" w:hAnsi="宋体" w:eastAsia="宋体" w:cs="宋体"/>
          <w:szCs w:val="21"/>
          <w:highlight w:val="none"/>
          <w:lang w:eastAsia="zh-CN"/>
        </w:rPr>
        <w:t>/制造商</w:t>
      </w:r>
      <w:r>
        <w:rPr>
          <w:rFonts w:hint="eastAsia" w:ascii="宋体" w:hAnsi="宋体" w:eastAsia="宋体" w:cs="宋体"/>
          <w:szCs w:val="21"/>
          <w:highlight w:val="none"/>
        </w:rPr>
        <w:t>名称</w:t>
      </w:r>
      <w:r>
        <w:rPr>
          <w:rFonts w:hint="eastAsia" w:ascii="宋体" w:hAnsi="宋体" w:eastAsia="宋体" w:cs="宋体"/>
          <w:szCs w:val="21"/>
          <w:highlight w:val="none"/>
          <w:lang w:eastAsia="zh-CN"/>
        </w:rPr>
        <w:t>（如供应商和制造商不同，请分别填写）</w:t>
      </w:r>
      <w:r>
        <w:rPr>
          <w:rFonts w:hint="eastAsia" w:ascii="宋体" w:hAnsi="宋体" w:eastAsia="宋体" w:cs="宋体"/>
          <w:szCs w:val="21"/>
          <w:highlight w:val="none"/>
        </w:rPr>
        <w:t>：</w:t>
      </w:r>
    </w:p>
    <w:p w14:paraId="056D477B">
      <w:pPr>
        <w:shd w:val="clear" w:color="auto" w:fill="auto"/>
        <w:adjustRightInd w:val="0"/>
        <w:snapToGrid w:val="0"/>
        <w:spacing w:before="0" w:beforeLines="0" w:line="400" w:lineRule="exact"/>
        <w:ind w:firstLine="840" w:firstLineChars="400"/>
        <w:rPr>
          <w:rFonts w:hint="eastAsia" w:ascii="宋体" w:hAnsi="宋体" w:eastAsia="宋体" w:cs="宋体"/>
          <w:szCs w:val="21"/>
          <w:highlight w:val="none"/>
          <w:u w:val="single"/>
        </w:rPr>
      </w:pPr>
      <w:r>
        <w:rPr>
          <w:rFonts w:hint="eastAsia" w:ascii="宋体" w:hAnsi="宋体" w:eastAsia="宋体" w:cs="宋体"/>
          <w:szCs w:val="21"/>
          <w:highlight w:val="none"/>
          <w:u w:val="none"/>
        </w:rPr>
        <w:t xml:space="preserve"> </w:t>
      </w:r>
      <w:r>
        <w:rPr>
          <w:rFonts w:hint="eastAsia" w:ascii="宋体" w:hAnsi="宋体" w:eastAsia="宋体" w:cs="宋体"/>
          <w:szCs w:val="21"/>
          <w:highlight w:val="none"/>
          <w:u w:val="single"/>
          <w:lang w:val="en-US" w:eastAsia="zh-CN"/>
        </w:rPr>
        <w:t xml:space="preserve">  </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u w:val="single"/>
          <w:lang w:val="en-US" w:eastAsia="zh-CN"/>
        </w:rPr>
        <w:t xml:space="preserve">                       </w:t>
      </w:r>
    </w:p>
    <w:p w14:paraId="7C55EBCC">
      <w:pPr>
        <w:shd w:val="clear" w:color="auto" w:fill="auto"/>
        <w:adjustRightInd w:val="0"/>
        <w:snapToGrid w:val="0"/>
        <w:spacing w:before="0" w:beforeLines="0" w:line="400" w:lineRule="exact"/>
        <w:ind w:firstLine="840" w:firstLineChars="400"/>
        <w:rPr>
          <w:rFonts w:hint="eastAsia" w:ascii="宋体" w:hAnsi="宋体" w:eastAsia="宋体" w:cs="宋体"/>
          <w:szCs w:val="21"/>
        </w:rPr>
      </w:pPr>
      <w:r>
        <w:rPr>
          <w:rFonts w:hint="eastAsia" w:ascii="宋体" w:hAnsi="宋体" w:eastAsia="宋体" w:cs="宋体"/>
          <w:szCs w:val="21"/>
          <w:highlight w:val="none"/>
          <w:lang w:val="en-US" w:eastAsia="zh-CN"/>
        </w:rPr>
        <w:t xml:space="preserve"> </w:t>
      </w:r>
      <w:r>
        <w:rPr>
          <w:rFonts w:hint="eastAsia" w:ascii="宋体" w:hAnsi="宋体" w:eastAsia="宋体" w:cs="宋体"/>
          <w:szCs w:val="21"/>
          <w:highlight w:val="none"/>
        </w:rPr>
        <w:t>分包供应商</w:t>
      </w:r>
      <w:r>
        <w:rPr>
          <w:rFonts w:hint="eastAsia" w:ascii="宋体" w:hAnsi="宋体" w:eastAsia="宋体" w:cs="宋体"/>
          <w:szCs w:val="21"/>
          <w:highlight w:val="none"/>
          <w:lang w:val="en-US" w:eastAsia="zh-CN"/>
        </w:rPr>
        <w:t>/</w:t>
      </w:r>
      <w:r>
        <w:rPr>
          <w:rFonts w:hint="eastAsia" w:ascii="宋体" w:hAnsi="宋体" w:eastAsia="宋体" w:cs="宋体"/>
          <w:szCs w:val="21"/>
          <w:highlight w:val="none"/>
          <w:lang w:eastAsia="zh-CN"/>
        </w:rPr>
        <w:t>制造商</w:t>
      </w:r>
      <w:r>
        <w:rPr>
          <w:rFonts w:hint="eastAsia" w:ascii="宋体" w:hAnsi="宋体" w:eastAsia="宋体" w:cs="宋体"/>
          <w:szCs w:val="21"/>
        </w:rPr>
        <w:t>类型</w:t>
      </w:r>
      <w:r>
        <w:rPr>
          <w:rFonts w:hint="eastAsia" w:ascii="宋体" w:hAnsi="宋体" w:eastAsia="宋体" w:cs="宋体"/>
          <w:szCs w:val="21"/>
          <w:highlight w:val="none"/>
          <w:lang w:eastAsia="zh-CN"/>
        </w:rPr>
        <w:t>（如果供应商和制造商不同，只填写制造商类型）</w:t>
      </w:r>
      <w:r>
        <w:rPr>
          <w:rFonts w:hint="eastAsia" w:ascii="宋体" w:hAnsi="宋体" w:eastAsia="宋体" w:cs="宋体"/>
          <w:szCs w:val="21"/>
        </w:rPr>
        <w:t>：</w:t>
      </w:r>
    </w:p>
    <w:p w14:paraId="5789F7CD">
      <w:pPr>
        <w:shd w:val="clear" w:color="auto" w:fill="auto"/>
        <w:adjustRightInd w:val="0"/>
        <w:snapToGrid w:val="0"/>
        <w:spacing w:beforeLines="0" w:line="400" w:lineRule="exact"/>
        <w:ind w:firstLine="840" w:firstLineChars="400"/>
        <w:rPr>
          <w:rFonts w:hint="eastAsia" w:ascii="宋体" w:hAnsi="宋体" w:eastAsia="宋体" w:cs="宋体"/>
          <w:iCs/>
          <w:szCs w:val="21"/>
          <w:lang w:val="en-US" w:eastAsia="zh-CN"/>
        </w:rPr>
      </w:pPr>
      <w:r>
        <w:rPr>
          <w:rFonts w:hint="eastAsia" w:ascii="宋体" w:hAnsi="宋体" w:eastAsia="宋体" w:cs="宋体"/>
          <w:iCs/>
          <w:szCs w:val="21"/>
          <w:lang w:val="en-US" w:eastAsia="zh-CN"/>
        </w:rPr>
        <w:t xml:space="preserve"> </w:t>
      </w:r>
      <w:r>
        <w:rPr>
          <w:rFonts w:hint="eastAsia" w:ascii="宋体" w:hAnsi="宋体" w:eastAsia="宋体" w:cs="宋体"/>
          <w:iCs/>
          <w:szCs w:val="21"/>
        </w:rPr>
        <w:sym w:font="Wingdings" w:char="00A8"/>
      </w:r>
      <w:r>
        <w:rPr>
          <w:rFonts w:hint="eastAsia" w:ascii="宋体" w:hAnsi="宋体" w:eastAsia="宋体" w:cs="宋体"/>
          <w:iCs/>
          <w:szCs w:val="21"/>
        </w:rPr>
        <w:t xml:space="preserve">大型企业  </w:t>
      </w:r>
      <w:r>
        <w:rPr>
          <w:rFonts w:hint="eastAsia" w:ascii="宋体" w:hAnsi="宋体" w:eastAsia="宋体" w:cs="宋体"/>
          <w:iCs/>
          <w:szCs w:val="21"/>
        </w:rPr>
        <w:sym w:font="Wingdings" w:char="00A8"/>
      </w:r>
      <w:r>
        <w:rPr>
          <w:rFonts w:hint="eastAsia" w:ascii="宋体" w:hAnsi="宋体" w:eastAsia="宋体" w:cs="宋体"/>
          <w:iCs/>
          <w:szCs w:val="21"/>
        </w:rPr>
        <w:t xml:space="preserve">中型企业  </w:t>
      </w:r>
      <w:r>
        <w:rPr>
          <w:rFonts w:hint="eastAsia" w:ascii="宋体" w:hAnsi="宋体" w:eastAsia="宋体" w:cs="宋体"/>
          <w:iCs/>
          <w:szCs w:val="21"/>
        </w:rPr>
        <w:sym w:font="Wingdings" w:char="00A8"/>
      </w:r>
      <w:r>
        <w:rPr>
          <w:rFonts w:hint="eastAsia" w:ascii="宋体" w:hAnsi="宋体" w:eastAsia="宋体" w:cs="宋体"/>
          <w:iCs/>
          <w:szCs w:val="21"/>
        </w:rPr>
        <w:t>小微型企业</w:t>
      </w:r>
      <w:r>
        <w:rPr>
          <w:rFonts w:hint="eastAsia" w:ascii="宋体" w:hAnsi="宋体" w:eastAsia="宋体" w:cs="宋体"/>
          <w:iCs/>
          <w:szCs w:val="21"/>
          <w:lang w:val="en-US" w:eastAsia="zh-CN"/>
        </w:rPr>
        <w:t xml:space="preserve">  </w:t>
      </w:r>
    </w:p>
    <w:p w14:paraId="18C7CCC5">
      <w:pPr>
        <w:shd w:val="clear" w:color="auto" w:fill="auto"/>
        <w:adjustRightInd w:val="0"/>
        <w:snapToGrid w:val="0"/>
        <w:spacing w:beforeLines="0" w:line="400" w:lineRule="exact"/>
        <w:ind w:firstLine="840" w:firstLineChars="400"/>
        <w:rPr>
          <w:rFonts w:hint="eastAsia" w:ascii="宋体" w:hAnsi="宋体" w:eastAsia="宋体" w:cs="宋体"/>
          <w:u w:val="none"/>
          <w:lang w:val="en-US" w:eastAsia="zh-CN"/>
        </w:rPr>
      </w:pPr>
      <w:r>
        <w:rPr>
          <w:rFonts w:hint="eastAsia" w:ascii="宋体" w:hAnsi="宋体" w:eastAsia="宋体" w:cs="宋体"/>
          <w:iCs/>
          <w:szCs w:val="21"/>
          <w:lang w:val="en-US" w:eastAsia="zh-CN"/>
        </w:rPr>
        <w:t xml:space="preserve"> </w:t>
      </w:r>
      <w:r>
        <w:rPr>
          <w:rFonts w:hint="eastAsia" w:ascii="宋体" w:hAnsi="宋体" w:eastAsia="宋体" w:cs="宋体"/>
          <w:iCs/>
          <w:szCs w:val="21"/>
        </w:rPr>
        <w:sym w:font="Wingdings" w:char="00A8"/>
      </w:r>
      <w:r>
        <w:rPr>
          <w:rFonts w:hint="eastAsia" w:ascii="宋体" w:hAnsi="宋体" w:eastAsia="宋体" w:cs="宋体"/>
          <w:iCs/>
          <w:szCs w:val="21"/>
          <w:lang w:eastAsia="zh-CN"/>
        </w:rPr>
        <w:t>残疾人福利性单位</w:t>
      </w:r>
      <w:r>
        <w:rPr>
          <w:rFonts w:hint="eastAsia" w:ascii="宋体" w:hAnsi="宋体" w:eastAsia="宋体" w:cs="宋体"/>
          <w:iCs/>
          <w:szCs w:val="21"/>
          <w:lang w:val="en-US" w:eastAsia="zh-CN"/>
        </w:rPr>
        <w:t xml:space="preserve"> </w:t>
      </w:r>
      <w:r>
        <w:rPr>
          <w:rFonts w:hint="eastAsia" w:ascii="宋体" w:hAnsi="宋体" w:eastAsia="宋体" w:cs="宋体"/>
          <w:iCs/>
          <w:szCs w:val="21"/>
        </w:rPr>
        <w:sym w:font="Wingdings" w:char="00A8"/>
      </w:r>
      <w:r>
        <w:rPr>
          <w:rFonts w:hint="eastAsia" w:ascii="宋体" w:hAnsi="宋体" w:eastAsia="宋体" w:cs="宋体"/>
          <w:iCs/>
          <w:szCs w:val="21"/>
          <w:lang w:eastAsia="zh-CN"/>
        </w:rPr>
        <w:t>监狱</w:t>
      </w:r>
      <w:r>
        <w:rPr>
          <w:rFonts w:hint="eastAsia" w:ascii="宋体" w:hAnsi="宋体" w:eastAsia="宋体" w:cs="宋体"/>
          <w:iCs/>
          <w:szCs w:val="21"/>
        </w:rPr>
        <w:t>企业</w:t>
      </w:r>
      <w:r>
        <w:rPr>
          <w:rFonts w:hint="eastAsia" w:ascii="宋体" w:hAnsi="宋体" w:eastAsia="宋体" w:cs="宋体"/>
          <w:iCs/>
          <w:szCs w:val="21"/>
          <w:lang w:val="en-US" w:eastAsia="zh-CN"/>
        </w:rPr>
        <w:t xml:space="preserve"> </w:t>
      </w:r>
      <w:r>
        <w:rPr>
          <w:rFonts w:hint="eastAsia" w:ascii="宋体" w:hAnsi="宋体" w:eastAsia="宋体" w:cs="宋体"/>
          <w:iCs/>
          <w:szCs w:val="21"/>
        </w:rPr>
        <w:sym w:font="Wingdings" w:char="00A8"/>
      </w:r>
      <w:r>
        <w:rPr>
          <w:rFonts w:hint="eastAsia" w:ascii="宋体" w:hAnsi="宋体" w:eastAsia="宋体" w:cs="宋体"/>
          <w:iCs/>
          <w:szCs w:val="21"/>
          <w:lang w:eastAsia="zh-CN"/>
        </w:rPr>
        <w:t>其他</w:t>
      </w:r>
    </w:p>
    <w:p w14:paraId="7FD3D3A5">
      <w:pPr>
        <w:numPr>
          <w:ilvl w:val="0"/>
          <w:numId w:val="0"/>
        </w:numPr>
        <w:shd w:val="clear" w:color="auto" w:fill="auto"/>
        <w:adjustRightInd w:val="0"/>
        <w:snapToGrid w:val="0"/>
        <w:spacing w:before="0" w:beforeLines="0" w:line="400" w:lineRule="exact"/>
        <w:ind w:left="0" w:leftChars="0" w:firstLine="0" w:firstLineChars="0"/>
        <w:rPr>
          <w:rFonts w:hint="eastAsia" w:ascii="宋体" w:hAnsi="宋体" w:eastAsia="宋体" w:cs="宋体"/>
          <w:iCs/>
          <w:szCs w:val="21"/>
          <w:highlight w:val="none"/>
        </w:rPr>
      </w:pPr>
      <w:r>
        <w:rPr>
          <w:rFonts w:hint="eastAsia" w:ascii="宋体" w:hAnsi="宋体" w:eastAsia="宋体" w:cs="宋体"/>
          <w:szCs w:val="21"/>
          <w:highlight w:val="none"/>
          <w:u w:val="none"/>
          <w:lang w:val="en-US" w:eastAsia="zh-CN"/>
        </w:rPr>
        <w:t xml:space="preserve">    （</w:t>
      </w:r>
      <w:r>
        <w:rPr>
          <w:rFonts w:hint="eastAsia" w:ascii="宋体" w:hAnsi="宋体" w:eastAsia="宋体" w:cs="宋体"/>
          <w:szCs w:val="21"/>
          <w:highlight w:val="none"/>
          <w:u w:val="none"/>
          <w:lang w:val="en" w:eastAsia="zh-CN"/>
        </w:rPr>
        <w:t>8</w:t>
      </w:r>
      <w:r>
        <w:rPr>
          <w:rFonts w:hint="eastAsia" w:ascii="宋体" w:hAnsi="宋体" w:eastAsia="宋体" w:cs="宋体"/>
          <w:szCs w:val="21"/>
          <w:highlight w:val="none"/>
          <w:u w:val="none"/>
          <w:lang w:val="en-US" w:eastAsia="zh-CN"/>
        </w:rPr>
        <w:t>）中标（成交）供应商是否为外商投资企业：</w:t>
      </w:r>
      <w:r>
        <w:rPr>
          <w:rFonts w:hint="eastAsia" w:ascii="宋体" w:hAnsi="宋体" w:eastAsia="宋体" w:cs="宋体"/>
          <w:iCs/>
          <w:szCs w:val="21"/>
          <w:highlight w:val="none"/>
        </w:rPr>
        <w:sym w:font="Wingdings" w:char="00A8"/>
      </w:r>
      <w:r>
        <w:rPr>
          <w:rFonts w:hint="eastAsia" w:ascii="宋体" w:hAnsi="宋体" w:eastAsia="宋体" w:cs="宋体"/>
          <w:iCs/>
          <w:szCs w:val="21"/>
          <w:highlight w:val="none"/>
        </w:rPr>
        <w:t xml:space="preserve">是       </w:t>
      </w:r>
      <w:r>
        <w:rPr>
          <w:rFonts w:hint="eastAsia" w:ascii="宋体" w:hAnsi="宋体" w:eastAsia="宋体" w:cs="宋体"/>
          <w:iCs/>
          <w:szCs w:val="21"/>
          <w:highlight w:val="none"/>
        </w:rPr>
        <w:sym w:font="Wingdings" w:char="00FE"/>
      </w:r>
      <w:r>
        <w:rPr>
          <w:rFonts w:hint="eastAsia" w:ascii="宋体" w:hAnsi="宋体" w:eastAsia="宋体" w:cs="宋体"/>
          <w:iCs/>
          <w:szCs w:val="21"/>
          <w:highlight w:val="none"/>
        </w:rPr>
        <w:t>否</w:t>
      </w:r>
    </w:p>
    <w:p w14:paraId="62D350D1">
      <w:pPr>
        <w:pStyle w:val="43"/>
        <w:shd w:val="clear" w:color="auto" w:fill="auto"/>
        <w:tabs>
          <w:tab w:val="left" w:pos="1340"/>
        </w:tabs>
        <w:spacing w:beforeLines="0"/>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none"/>
          <w:lang w:val="en-US" w:eastAsia="zh-CN"/>
        </w:rPr>
        <w:t xml:space="preserve">     外商投资企业类型：</w:t>
      </w:r>
      <w:r>
        <w:rPr>
          <w:rFonts w:hint="eastAsia" w:ascii="宋体" w:hAnsi="宋体" w:eastAsia="宋体" w:cs="宋体"/>
          <w:iCs/>
          <w:sz w:val="21"/>
          <w:szCs w:val="21"/>
          <w:highlight w:val="none"/>
        </w:rPr>
        <w:sym w:font="Wingdings" w:char="00A8"/>
      </w:r>
      <w:r>
        <w:rPr>
          <w:rFonts w:hint="eastAsia" w:ascii="宋体" w:hAnsi="宋体" w:eastAsia="宋体" w:cs="宋体"/>
          <w:sz w:val="21"/>
          <w:szCs w:val="21"/>
          <w:highlight w:val="none"/>
          <w:u w:val="none"/>
          <w:lang w:val="en-US" w:eastAsia="zh-CN"/>
        </w:rPr>
        <w:t xml:space="preserve">全部由外国投资者投资  </w:t>
      </w:r>
      <w:r>
        <w:rPr>
          <w:rFonts w:hint="eastAsia" w:ascii="宋体" w:hAnsi="宋体" w:eastAsia="宋体" w:cs="宋体"/>
          <w:iCs/>
          <w:sz w:val="21"/>
          <w:szCs w:val="21"/>
          <w:highlight w:val="none"/>
        </w:rPr>
        <w:sym w:font="Wingdings" w:char="00A8"/>
      </w:r>
      <w:r>
        <w:rPr>
          <w:rFonts w:hint="eastAsia" w:ascii="宋体" w:hAnsi="宋体" w:eastAsia="宋体" w:cs="宋体"/>
          <w:iCs/>
          <w:sz w:val="21"/>
          <w:szCs w:val="21"/>
          <w:highlight w:val="none"/>
          <w:lang w:val="en-US" w:eastAsia="zh-CN"/>
        </w:rPr>
        <w:t>部分由外国投资者投资</w:t>
      </w:r>
    </w:p>
    <w:p w14:paraId="1B63C27E">
      <w:pPr>
        <w:numPr>
          <w:ilvl w:val="0"/>
          <w:numId w:val="0"/>
        </w:numPr>
        <w:shd w:val="clear" w:color="auto" w:fill="auto"/>
        <w:adjustRightInd w:val="0"/>
        <w:snapToGrid w:val="0"/>
        <w:spacing w:before="0" w:beforeLines="0" w:line="400" w:lineRule="exact"/>
        <w:ind w:firstLine="420" w:firstLineChars="200"/>
        <w:rPr>
          <w:rFonts w:hint="eastAsia" w:ascii="宋体" w:hAnsi="宋体" w:eastAsia="宋体" w:cs="宋体"/>
          <w:b w:val="0"/>
          <w:bCs w:val="0"/>
          <w:sz w:val="21"/>
          <w:szCs w:val="21"/>
          <w:u w:val="none"/>
          <w:lang w:val="en-US" w:eastAsia="zh-CN"/>
        </w:rPr>
      </w:pPr>
      <w:r>
        <w:rPr>
          <w:rFonts w:hint="eastAsia" w:ascii="宋体" w:hAnsi="宋体" w:eastAsia="宋体" w:cs="宋体"/>
          <w:b w:val="0"/>
          <w:bCs w:val="0"/>
          <w:sz w:val="21"/>
          <w:szCs w:val="21"/>
          <w:u w:val="none"/>
          <w:lang w:val="en-US" w:eastAsia="zh-CN"/>
        </w:rPr>
        <w:t>（</w:t>
      </w:r>
      <w:r>
        <w:rPr>
          <w:rFonts w:hint="eastAsia" w:ascii="宋体" w:hAnsi="宋体" w:eastAsia="宋体" w:cs="宋体"/>
          <w:b w:val="0"/>
          <w:bCs w:val="0"/>
          <w:sz w:val="21"/>
          <w:szCs w:val="21"/>
          <w:u w:val="none"/>
          <w:lang w:val="en" w:eastAsia="zh-CN"/>
        </w:rPr>
        <w:t>9</w:t>
      </w:r>
      <w:r>
        <w:rPr>
          <w:rFonts w:hint="eastAsia" w:ascii="宋体" w:hAnsi="宋体" w:eastAsia="宋体" w:cs="宋体"/>
          <w:b w:val="0"/>
          <w:bCs w:val="0"/>
          <w:sz w:val="21"/>
          <w:szCs w:val="21"/>
          <w:u w:val="none"/>
          <w:lang w:val="en-US" w:eastAsia="zh-CN"/>
        </w:rPr>
        <w:t>）是否涉及进口产品：</w:t>
      </w:r>
    </w:p>
    <w:p w14:paraId="10A74250">
      <w:pPr>
        <w:numPr>
          <w:ilvl w:val="0"/>
          <w:numId w:val="0"/>
        </w:numPr>
        <w:shd w:val="clear" w:color="auto" w:fill="auto"/>
        <w:adjustRightInd w:val="0"/>
        <w:snapToGrid w:val="0"/>
        <w:spacing w:before="0" w:beforeLines="0" w:line="400" w:lineRule="exact"/>
        <w:ind w:firstLine="840" w:firstLineChars="400"/>
        <w:rPr>
          <w:rFonts w:hint="eastAsia" w:ascii="宋体" w:hAnsi="宋体" w:eastAsia="宋体" w:cs="宋体"/>
          <w:szCs w:val="21"/>
          <w:u w:val="single"/>
          <w:lang w:val="en-US" w:eastAsia="zh-CN"/>
        </w:rPr>
      </w:pPr>
      <w:r>
        <w:rPr>
          <w:rFonts w:hint="eastAsia" w:ascii="宋体" w:hAnsi="宋体" w:eastAsia="宋体" w:cs="宋体"/>
          <w:iCs w:val="0"/>
          <w:szCs w:val="21"/>
          <w:lang w:val="en-US" w:eastAsia="zh-CN"/>
        </w:rPr>
        <w:t xml:space="preserve"> </w:t>
      </w:r>
      <w:r>
        <w:rPr>
          <w:rFonts w:hint="eastAsia" w:ascii="宋体" w:hAnsi="宋体" w:eastAsia="宋体" w:cs="宋体"/>
          <w:iCs w:val="0"/>
          <w:szCs w:val="21"/>
        </w:rPr>
        <w:sym w:font="Wingdings" w:char="00A8"/>
      </w:r>
      <w:r>
        <w:rPr>
          <w:rFonts w:hint="eastAsia" w:ascii="宋体" w:hAnsi="宋体" w:eastAsia="宋体" w:cs="宋体"/>
          <w:iCs w:val="0"/>
          <w:szCs w:val="21"/>
        </w:rPr>
        <w:t>是</w:t>
      </w:r>
      <w:r>
        <w:rPr>
          <w:rFonts w:hint="eastAsia" w:ascii="宋体" w:hAnsi="宋体" w:eastAsia="宋体" w:cs="宋体"/>
          <w:iCs w:val="0"/>
          <w:szCs w:val="21"/>
          <w:lang w:eastAsia="zh-CN"/>
        </w:rPr>
        <w:t>，《政府采购品目分类目录》底级品目名称</w:t>
      </w:r>
      <w:r>
        <w:rPr>
          <w:rFonts w:hint="eastAsia" w:ascii="宋体" w:hAnsi="宋体" w:eastAsia="宋体" w:cs="宋体"/>
          <w:szCs w:val="21"/>
          <w:lang w:val="en-US" w:eastAsia="zh-CN"/>
        </w:rPr>
        <w:t>：</w:t>
      </w:r>
      <w:r>
        <w:rPr>
          <w:rFonts w:hint="eastAsia" w:ascii="宋体" w:hAnsi="宋体" w:eastAsia="宋体" w:cs="宋体"/>
          <w:szCs w:val="21"/>
          <w:u w:val="single"/>
          <w:lang w:val="en-US" w:eastAsia="zh-CN"/>
        </w:rPr>
        <w:t xml:space="preserve">         </w:t>
      </w:r>
      <w:r>
        <w:rPr>
          <w:rFonts w:hint="eastAsia" w:ascii="宋体" w:hAnsi="宋体" w:eastAsia="宋体" w:cs="宋体"/>
          <w:szCs w:val="21"/>
          <w:lang w:val="en-US" w:eastAsia="zh-CN"/>
        </w:rPr>
        <w:t xml:space="preserve"> 金额：</w:t>
      </w:r>
      <w:r>
        <w:rPr>
          <w:rFonts w:hint="eastAsia" w:ascii="宋体" w:hAnsi="宋体" w:eastAsia="宋体" w:cs="宋体"/>
          <w:szCs w:val="21"/>
          <w:u w:val="single"/>
          <w:lang w:val="en-US" w:eastAsia="zh-CN"/>
        </w:rPr>
        <w:t xml:space="preserve">        </w:t>
      </w:r>
    </w:p>
    <w:p w14:paraId="467FDC8B">
      <w:pPr>
        <w:numPr>
          <w:ilvl w:val="0"/>
          <w:numId w:val="0"/>
        </w:numPr>
        <w:shd w:val="clear" w:color="auto" w:fill="auto"/>
        <w:adjustRightInd w:val="0"/>
        <w:snapToGrid w:val="0"/>
        <w:spacing w:before="0" w:beforeLines="0" w:line="400" w:lineRule="exact"/>
        <w:ind w:firstLine="840" w:firstLineChars="400"/>
        <w:rPr>
          <w:rFonts w:hint="eastAsia" w:ascii="宋体" w:hAnsi="宋体" w:eastAsia="宋体" w:cs="宋体"/>
          <w:iCs w:val="0"/>
          <w:szCs w:val="21"/>
        </w:rPr>
      </w:pPr>
      <w:r>
        <w:rPr>
          <w:rFonts w:hint="eastAsia" w:ascii="宋体" w:hAnsi="宋体" w:eastAsia="宋体" w:cs="宋体"/>
          <w:szCs w:val="21"/>
          <w:lang w:val="en-US" w:eastAsia="zh-CN"/>
        </w:rPr>
        <w:t xml:space="preserve">        国别：</w:t>
      </w:r>
      <w:r>
        <w:rPr>
          <w:rFonts w:hint="eastAsia" w:ascii="宋体" w:hAnsi="宋体" w:eastAsia="宋体" w:cs="宋体"/>
          <w:szCs w:val="21"/>
          <w:u w:val="single"/>
          <w:lang w:val="en-US" w:eastAsia="zh-CN"/>
        </w:rPr>
        <w:t xml:space="preserve">        </w:t>
      </w:r>
      <w:r>
        <w:rPr>
          <w:rFonts w:hint="eastAsia" w:ascii="宋体" w:hAnsi="宋体" w:eastAsia="宋体" w:cs="宋体"/>
          <w:szCs w:val="21"/>
          <w:lang w:val="en-US" w:eastAsia="zh-CN"/>
        </w:rPr>
        <w:t xml:space="preserve"> 品牌：</w:t>
      </w:r>
      <w:r>
        <w:rPr>
          <w:rFonts w:hint="eastAsia" w:ascii="宋体" w:hAnsi="宋体" w:eastAsia="宋体" w:cs="宋体"/>
          <w:szCs w:val="21"/>
          <w:u w:val="single"/>
          <w:lang w:val="en-US" w:eastAsia="zh-CN"/>
        </w:rPr>
        <w:t xml:space="preserve">        </w:t>
      </w:r>
      <w:r>
        <w:rPr>
          <w:rFonts w:hint="eastAsia" w:ascii="宋体" w:hAnsi="宋体" w:eastAsia="宋体" w:cs="宋体"/>
          <w:szCs w:val="21"/>
          <w:u w:val="none"/>
          <w:lang w:val="en-US" w:eastAsia="zh-CN"/>
        </w:rPr>
        <w:t xml:space="preserve"> 规格型号：</w:t>
      </w:r>
      <w:r>
        <w:rPr>
          <w:rFonts w:hint="eastAsia" w:ascii="宋体" w:hAnsi="宋体" w:eastAsia="宋体" w:cs="宋体"/>
          <w:szCs w:val="21"/>
          <w:u w:val="single"/>
          <w:lang w:val="en-US" w:eastAsia="zh-CN"/>
        </w:rPr>
        <w:t xml:space="preserve">        </w:t>
      </w:r>
      <w:r>
        <w:rPr>
          <w:rFonts w:hint="eastAsia" w:ascii="宋体" w:hAnsi="宋体" w:eastAsia="宋体" w:cs="宋体"/>
          <w:iCs w:val="0"/>
          <w:szCs w:val="21"/>
        </w:rPr>
        <w:t xml:space="preserve">      </w:t>
      </w:r>
    </w:p>
    <w:p w14:paraId="182DE4DE">
      <w:pPr>
        <w:shd w:val="clear" w:color="auto" w:fill="auto"/>
        <w:adjustRightInd w:val="0"/>
        <w:snapToGrid w:val="0"/>
        <w:spacing w:before="0" w:beforeLines="0" w:line="400" w:lineRule="exact"/>
        <w:ind w:firstLine="840" w:firstLineChars="400"/>
        <w:rPr>
          <w:rFonts w:hint="eastAsia" w:ascii="宋体" w:hAnsi="宋体" w:eastAsia="宋体" w:cs="宋体"/>
          <w:szCs w:val="21"/>
          <w:u w:val="none"/>
          <w:lang w:val="en-US" w:eastAsia="zh-CN"/>
        </w:rPr>
      </w:pPr>
      <w:r>
        <w:rPr>
          <w:rFonts w:hint="eastAsia" w:ascii="宋体" w:hAnsi="宋体" w:eastAsia="宋体" w:cs="宋体"/>
          <w:iCs w:val="0"/>
          <w:szCs w:val="21"/>
          <w:lang w:val="en-US" w:eastAsia="zh-CN"/>
        </w:rPr>
        <w:t xml:space="preserve"> </w:t>
      </w:r>
      <w:r>
        <w:rPr>
          <w:rFonts w:hint="eastAsia" w:ascii="宋体" w:hAnsi="宋体" w:eastAsia="宋体" w:cs="宋体"/>
          <w:iCs w:val="0"/>
          <w:szCs w:val="21"/>
        </w:rPr>
        <w:sym w:font="Wingdings" w:char="00FE"/>
      </w:r>
      <w:r>
        <w:rPr>
          <w:rFonts w:hint="eastAsia" w:ascii="宋体" w:hAnsi="宋体" w:eastAsia="宋体" w:cs="宋体"/>
          <w:iCs w:val="0"/>
          <w:szCs w:val="21"/>
          <w:lang w:eastAsia="zh-CN"/>
        </w:rPr>
        <w:t>否</w:t>
      </w:r>
    </w:p>
    <w:p w14:paraId="1DB21012">
      <w:pPr>
        <w:numPr>
          <w:ilvl w:val="0"/>
          <w:numId w:val="0"/>
        </w:numPr>
        <w:shd w:val="clear" w:color="auto" w:fill="auto"/>
        <w:tabs>
          <w:tab w:val="left" w:pos="740"/>
        </w:tabs>
        <w:adjustRightInd w:val="0"/>
        <w:snapToGrid w:val="0"/>
        <w:spacing w:before="0" w:beforeLines="0" w:line="400" w:lineRule="exact"/>
        <w:ind w:left="0" w:firstLine="0" w:firstLineChars="0"/>
        <w:rPr>
          <w:rFonts w:hint="eastAsia" w:ascii="宋体" w:hAnsi="宋体" w:eastAsia="宋体" w:cs="宋体"/>
          <w:b w:val="0"/>
          <w:bCs w:val="0"/>
          <w:sz w:val="21"/>
          <w:szCs w:val="21"/>
          <w:u w:val="none"/>
          <w:lang w:val="en-US" w:eastAsia="zh-CN"/>
        </w:rPr>
      </w:pPr>
      <w:r>
        <w:rPr>
          <w:rFonts w:hint="eastAsia" w:ascii="宋体" w:hAnsi="宋体" w:eastAsia="宋体" w:cs="宋体"/>
          <w:b w:val="0"/>
          <w:bCs w:val="0"/>
          <w:sz w:val="21"/>
          <w:szCs w:val="21"/>
          <w:u w:val="none"/>
          <w:lang w:val="en-US" w:eastAsia="zh-CN"/>
        </w:rPr>
        <w:t xml:space="preserve">    （1</w:t>
      </w:r>
      <w:r>
        <w:rPr>
          <w:rFonts w:hint="eastAsia" w:ascii="宋体" w:hAnsi="宋体" w:eastAsia="宋体" w:cs="宋体"/>
          <w:b w:val="0"/>
          <w:bCs w:val="0"/>
          <w:sz w:val="21"/>
          <w:szCs w:val="21"/>
          <w:u w:val="none"/>
          <w:lang w:val="en" w:eastAsia="zh-CN"/>
        </w:rPr>
        <w:t>0</w:t>
      </w:r>
      <w:r>
        <w:rPr>
          <w:rFonts w:hint="eastAsia" w:ascii="宋体" w:hAnsi="宋体" w:eastAsia="宋体" w:cs="宋体"/>
          <w:b w:val="0"/>
          <w:bCs w:val="0"/>
          <w:sz w:val="21"/>
          <w:szCs w:val="21"/>
          <w:u w:val="none"/>
          <w:lang w:val="en-US" w:eastAsia="zh-CN"/>
        </w:rPr>
        <w:t>）是否涉及节能产品：</w:t>
      </w:r>
    </w:p>
    <w:p w14:paraId="3FCA3535">
      <w:pPr>
        <w:numPr>
          <w:ilvl w:val="0"/>
          <w:numId w:val="0"/>
        </w:numPr>
        <w:shd w:val="clear" w:color="auto" w:fill="auto"/>
        <w:tabs>
          <w:tab w:val="left" w:pos="740"/>
        </w:tabs>
        <w:adjustRightInd w:val="0"/>
        <w:snapToGrid w:val="0"/>
        <w:spacing w:before="0" w:beforeLines="0" w:line="400" w:lineRule="exact"/>
        <w:ind w:firstLine="0" w:firstLineChars="0"/>
        <w:rPr>
          <w:rFonts w:hint="eastAsia" w:ascii="宋体" w:hAnsi="宋体" w:eastAsia="宋体" w:cs="宋体"/>
          <w:iCs/>
          <w:szCs w:val="21"/>
          <w:lang w:val="en-US" w:eastAsia="zh-CN"/>
        </w:rPr>
      </w:pPr>
      <w:r>
        <w:rPr>
          <w:rFonts w:hint="eastAsia" w:ascii="宋体" w:hAnsi="宋体" w:eastAsia="宋体" w:cs="宋体"/>
          <w:b w:val="0"/>
          <w:bCs w:val="0"/>
          <w:sz w:val="21"/>
          <w:szCs w:val="21"/>
          <w:u w:val="none"/>
          <w:lang w:val="en-US" w:eastAsia="zh-CN"/>
        </w:rPr>
        <w:t xml:space="preserve">         </w:t>
      </w:r>
      <w:r>
        <w:rPr>
          <w:rFonts w:hint="eastAsia" w:ascii="宋体" w:hAnsi="宋体" w:eastAsia="宋体" w:cs="宋体"/>
          <w:iCs w:val="0"/>
          <w:szCs w:val="21"/>
        </w:rPr>
        <w:sym w:font="Wingdings" w:char="00A8"/>
      </w:r>
      <w:r>
        <w:rPr>
          <w:rFonts w:hint="eastAsia" w:ascii="宋体" w:hAnsi="宋体" w:eastAsia="宋体" w:cs="宋体"/>
          <w:iCs w:val="0"/>
          <w:szCs w:val="21"/>
        </w:rPr>
        <w:t>是</w:t>
      </w:r>
      <w:r>
        <w:rPr>
          <w:rFonts w:hint="eastAsia" w:ascii="宋体" w:hAnsi="宋体" w:eastAsia="宋体" w:cs="宋体"/>
          <w:iCs w:val="0"/>
          <w:szCs w:val="21"/>
          <w:lang w:eastAsia="zh-CN"/>
        </w:rPr>
        <w:t>，《节能产品政府采购品目清单》的底级品目名称：</w:t>
      </w:r>
      <w:r>
        <w:rPr>
          <w:rFonts w:hint="eastAsia" w:ascii="宋体" w:hAnsi="宋体" w:eastAsia="宋体" w:cs="宋体"/>
          <w:szCs w:val="21"/>
          <w:u w:val="single"/>
          <w:lang w:val="en-US" w:eastAsia="zh-CN"/>
        </w:rPr>
        <w:t xml:space="preserve">         </w:t>
      </w:r>
      <w:r>
        <w:rPr>
          <w:rFonts w:hint="eastAsia" w:ascii="宋体" w:hAnsi="宋体" w:eastAsia="宋体" w:cs="宋体"/>
          <w:iCs/>
          <w:szCs w:val="21"/>
          <w:lang w:val="en-US" w:eastAsia="zh-CN"/>
        </w:rPr>
        <w:t xml:space="preserve">     </w:t>
      </w:r>
    </w:p>
    <w:p w14:paraId="500446FD">
      <w:pPr>
        <w:numPr>
          <w:ilvl w:val="0"/>
          <w:numId w:val="0"/>
        </w:numPr>
        <w:shd w:val="clear" w:color="auto" w:fill="auto"/>
        <w:tabs>
          <w:tab w:val="left" w:pos="740"/>
        </w:tabs>
        <w:adjustRightInd w:val="0"/>
        <w:snapToGrid w:val="0"/>
        <w:spacing w:before="0" w:beforeLines="0" w:line="400" w:lineRule="exact"/>
        <w:ind w:firstLine="0" w:firstLineChars="0"/>
        <w:rPr>
          <w:rFonts w:hint="eastAsia" w:ascii="宋体" w:hAnsi="宋体" w:eastAsia="宋体" w:cs="宋体"/>
          <w:iCs/>
          <w:szCs w:val="21"/>
          <w:lang w:val="en-US" w:eastAsia="zh-CN"/>
        </w:rPr>
      </w:pPr>
      <w:r>
        <w:rPr>
          <w:rFonts w:hint="eastAsia" w:ascii="宋体" w:hAnsi="宋体" w:eastAsia="宋体" w:cs="宋体"/>
          <w:iCs/>
          <w:szCs w:val="21"/>
          <w:lang w:val="en-US" w:eastAsia="zh-CN"/>
        </w:rPr>
        <w:t xml:space="preserve">                </w:t>
      </w:r>
      <w:r>
        <w:rPr>
          <w:rFonts w:hint="eastAsia" w:ascii="宋体" w:hAnsi="宋体" w:eastAsia="宋体" w:cs="宋体"/>
          <w:iCs/>
          <w:szCs w:val="21"/>
        </w:rPr>
        <w:sym w:font="Wingdings" w:char="00A8"/>
      </w:r>
      <w:r>
        <w:rPr>
          <w:rFonts w:hint="eastAsia" w:ascii="宋体" w:hAnsi="宋体" w:eastAsia="宋体" w:cs="宋体"/>
          <w:iCs/>
          <w:szCs w:val="21"/>
          <w:lang w:eastAsia="zh-CN"/>
        </w:rPr>
        <w:t>强制采购</w:t>
      </w:r>
      <w:r>
        <w:rPr>
          <w:rFonts w:hint="eastAsia" w:ascii="宋体" w:hAnsi="宋体" w:eastAsia="宋体" w:cs="宋体"/>
          <w:iCs/>
          <w:szCs w:val="21"/>
          <w:lang w:val="en-US" w:eastAsia="zh-CN"/>
        </w:rPr>
        <w:t xml:space="preserve">       </w:t>
      </w:r>
      <w:r>
        <w:rPr>
          <w:rFonts w:hint="eastAsia" w:ascii="宋体" w:hAnsi="宋体" w:eastAsia="宋体" w:cs="宋体"/>
          <w:iCs/>
          <w:szCs w:val="21"/>
        </w:rPr>
        <w:sym w:font="Wingdings" w:char="00A8"/>
      </w:r>
      <w:r>
        <w:rPr>
          <w:rFonts w:hint="eastAsia" w:ascii="宋体" w:hAnsi="宋体" w:eastAsia="宋体" w:cs="宋体"/>
          <w:iCs/>
          <w:szCs w:val="21"/>
          <w:lang w:eastAsia="zh-CN"/>
        </w:rPr>
        <w:t>优先采购</w:t>
      </w:r>
      <w:r>
        <w:rPr>
          <w:rFonts w:hint="eastAsia" w:ascii="宋体" w:hAnsi="宋体" w:eastAsia="宋体" w:cs="宋体"/>
          <w:iCs/>
          <w:szCs w:val="21"/>
          <w:lang w:val="en-US" w:eastAsia="zh-CN"/>
        </w:rPr>
        <w:t xml:space="preserve">    </w:t>
      </w:r>
    </w:p>
    <w:p w14:paraId="138518EA">
      <w:pPr>
        <w:numPr>
          <w:ilvl w:val="0"/>
          <w:numId w:val="0"/>
        </w:numPr>
        <w:shd w:val="clear" w:color="auto" w:fill="auto"/>
        <w:tabs>
          <w:tab w:val="left" w:pos="740"/>
        </w:tabs>
        <w:adjustRightInd w:val="0"/>
        <w:snapToGrid w:val="0"/>
        <w:spacing w:before="0" w:beforeLines="0" w:line="400" w:lineRule="exact"/>
        <w:ind w:firstLine="0" w:firstLineChars="0"/>
        <w:rPr>
          <w:rFonts w:hint="eastAsia" w:ascii="宋体" w:hAnsi="宋体" w:eastAsia="宋体" w:cs="宋体"/>
          <w:iCs w:val="0"/>
          <w:szCs w:val="21"/>
        </w:rPr>
      </w:pPr>
      <w:r>
        <w:rPr>
          <w:rFonts w:hint="eastAsia" w:ascii="宋体" w:hAnsi="宋体" w:eastAsia="宋体" w:cs="宋体"/>
          <w:iCs/>
          <w:szCs w:val="21"/>
          <w:lang w:val="en-US" w:eastAsia="zh-CN"/>
        </w:rPr>
        <w:t xml:space="preserve">         </w:t>
      </w:r>
      <w:r>
        <w:rPr>
          <w:rFonts w:hint="eastAsia" w:ascii="宋体" w:hAnsi="宋体" w:eastAsia="宋体" w:cs="宋体"/>
          <w:iCs w:val="0"/>
          <w:szCs w:val="21"/>
        </w:rPr>
        <w:sym w:font="Wingdings" w:char="00A8"/>
      </w:r>
      <w:r>
        <w:rPr>
          <w:rFonts w:hint="eastAsia" w:ascii="宋体" w:hAnsi="宋体" w:eastAsia="宋体" w:cs="宋体"/>
          <w:iCs w:val="0"/>
          <w:szCs w:val="21"/>
        </w:rPr>
        <w:t>否</w:t>
      </w:r>
    </w:p>
    <w:p w14:paraId="4786AC26">
      <w:pPr>
        <w:numPr>
          <w:ilvl w:val="0"/>
          <w:numId w:val="0"/>
        </w:numPr>
        <w:shd w:val="clear" w:color="auto" w:fill="auto"/>
        <w:tabs>
          <w:tab w:val="left" w:pos="740"/>
        </w:tabs>
        <w:adjustRightInd w:val="0"/>
        <w:snapToGrid w:val="0"/>
        <w:spacing w:before="0" w:beforeLines="0" w:line="400" w:lineRule="exact"/>
        <w:ind w:left="0" w:firstLine="0" w:firstLineChars="0"/>
        <w:rPr>
          <w:rFonts w:hint="eastAsia" w:ascii="宋体" w:hAnsi="宋体" w:eastAsia="宋体" w:cs="宋体"/>
          <w:b w:val="0"/>
          <w:bCs w:val="0"/>
          <w:sz w:val="21"/>
          <w:szCs w:val="21"/>
          <w:u w:val="none"/>
          <w:lang w:val="en-US" w:eastAsia="zh-CN"/>
        </w:rPr>
      </w:pPr>
      <w:r>
        <w:rPr>
          <w:rFonts w:hint="eastAsia" w:ascii="宋体" w:hAnsi="宋体" w:eastAsia="宋体" w:cs="宋体"/>
          <w:b w:val="0"/>
          <w:bCs w:val="0"/>
          <w:sz w:val="21"/>
          <w:szCs w:val="21"/>
          <w:u w:val="none"/>
          <w:lang w:val="en-US" w:eastAsia="zh-CN"/>
        </w:rPr>
        <w:t xml:space="preserve">          是否涉及环境标志产品：</w:t>
      </w:r>
    </w:p>
    <w:p w14:paraId="4911A420">
      <w:pPr>
        <w:numPr>
          <w:ilvl w:val="0"/>
          <w:numId w:val="0"/>
        </w:numPr>
        <w:shd w:val="clear" w:color="auto" w:fill="auto"/>
        <w:tabs>
          <w:tab w:val="left" w:pos="740"/>
        </w:tabs>
        <w:adjustRightInd w:val="0"/>
        <w:snapToGrid w:val="0"/>
        <w:spacing w:before="0" w:beforeLines="0" w:line="400" w:lineRule="exact"/>
        <w:ind w:firstLine="0" w:firstLineChars="0"/>
        <w:rPr>
          <w:rFonts w:hint="eastAsia" w:ascii="宋体" w:hAnsi="宋体" w:eastAsia="宋体" w:cs="宋体"/>
          <w:iCs w:val="0"/>
          <w:szCs w:val="21"/>
          <w:lang w:eastAsia="zh-CN"/>
        </w:rPr>
      </w:pPr>
      <w:r>
        <w:rPr>
          <w:rFonts w:hint="eastAsia" w:ascii="宋体" w:hAnsi="宋体" w:eastAsia="宋体" w:cs="宋体"/>
          <w:b w:val="0"/>
          <w:bCs w:val="0"/>
          <w:sz w:val="21"/>
          <w:szCs w:val="21"/>
          <w:u w:val="none"/>
          <w:lang w:val="en-US" w:eastAsia="zh-CN"/>
        </w:rPr>
        <w:t xml:space="preserve">         </w:t>
      </w:r>
      <w:r>
        <w:rPr>
          <w:rFonts w:hint="eastAsia" w:ascii="宋体" w:hAnsi="宋体" w:eastAsia="宋体" w:cs="宋体"/>
          <w:iCs w:val="0"/>
          <w:szCs w:val="21"/>
        </w:rPr>
        <w:sym w:font="Wingdings" w:char="00A8"/>
      </w:r>
      <w:r>
        <w:rPr>
          <w:rFonts w:hint="eastAsia" w:ascii="宋体" w:hAnsi="宋体" w:eastAsia="宋体" w:cs="宋体"/>
          <w:iCs w:val="0"/>
          <w:szCs w:val="21"/>
        </w:rPr>
        <w:t>是</w:t>
      </w:r>
      <w:r>
        <w:rPr>
          <w:rFonts w:hint="eastAsia" w:ascii="宋体" w:hAnsi="宋体" w:eastAsia="宋体" w:cs="宋体"/>
          <w:iCs w:val="0"/>
          <w:szCs w:val="21"/>
          <w:lang w:eastAsia="zh-CN"/>
        </w:rPr>
        <w:t>，《环境标志产品政府采购品目清单》的底级品目名称：</w:t>
      </w:r>
      <w:r>
        <w:rPr>
          <w:rFonts w:hint="eastAsia" w:ascii="宋体" w:hAnsi="宋体" w:eastAsia="宋体" w:cs="宋体"/>
          <w:szCs w:val="21"/>
          <w:u w:val="single"/>
          <w:lang w:val="en-US" w:eastAsia="zh-CN"/>
        </w:rPr>
        <w:t xml:space="preserve">         </w:t>
      </w:r>
      <w:r>
        <w:rPr>
          <w:rFonts w:hint="eastAsia" w:ascii="宋体" w:hAnsi="宋体" w:eastAsia="宋体" w:cs="宋体"/>
          <w:iCs/>
          <w:szCs w:val="21"/>
          <w:lang w:val="en-US" w:eastAsia="zh-CN"/>
        </w:rPr>
        <w:t xml:space="preserve"> </w:t>
      </w:r>
    </w:p>
    <w:p w14:paraId="47E0A912">
      <w:pPr>
        <w:numPr>
          <w:ilvl w:val="0"/>
          <w:numId w:val="0"/>
        </w:numPr>
        <w:shd w:val="clear" w:color="auto" w:fill="auto"/>
        <w:tabs>
          <w:tab w:val="left" w:pos="740"/>
        </w:tabs>
        <w:adjustRightInd w:val="0"/>
        <w:snapToGrid w:val="0"/>
        <w:spacing w:before="0" w:beforeLines="0" w:line="400" w:lineRule="exact"/>
        <w:ind w:firstLine="0" w:firstLineChars="0"/>
        <w:rPr>
          <w:rFonts w:hint="eastAsia" w:ascii="宋体" w:hAnsi="宋体" w:eastAsia="宋体" w:cs="宋体"/>
          <w:iCs/>
          <w:szCs w:val="21"/>
          <w:lang w:val="en-US" w:eastAsia="zh-CN"/>
        </w:rPr>
      </w:pPr>
      <w:r>
        <w:rPr>
          <w:rFonts w:hint="eastAsia" w:ascii="宋体" w:hAnsi="宋体" w:eastAsia="宋体" w:cs="宋体"/>
          <w:iCs/>
          <w:szCs w:val="21"/>
          <w:lang w:val="en-US" w:eastAsia="zh-CN"/>
        </w:rPr>
        <w:t xml:space="preserve">                </w:t>
      </w:r>
      <w:r>
        <w:rPr>
          <w:rFonts w:hint="eastAsia" w:ascii="宋体" w:hAnsi="宋体" w:eastAsia="宋体" w:cs="宋体"/>
          <w:iCs/>
          <w:szCs w:val="21"/>
        </w:rPr>
        <w:sym w:font="Wingdings" w:char="00A8"/>
      </w:r>
      <w:r>
        <w:rPr>
          <w:rFonts w:hint="eastAsia" w:ascii="宋体" w:hAnsi="宋体" w:eastAsia="宋体" w:cs="宋体"/>
          <w:iCs/>
          <w:szCs w:val="21"/>
          <w:lang w:eastAsia="zh-CN"/>
        </w:rPr>
        <w:t>强制采购</w:t>
      </w:r>
      <w:r>
        <w:rPr>
          <w:rFonts w:hint="eastAsia" w:ascii="宋体" w:hAnsi="宋体" w:eastAsia="宋体" w:cs="宋体"/>
          <w:iCs/>
          <w:szCs w:val="21"/>
          <w:lang w:val="en-US" w:eastAsia="zh-CN"/>
        </w:rPr>
        <w:t xml:space="preserve">       </w:t>
      </w:r>
      <w:r>
        <w:rPr>
          <w:rFonts w:hint="eastAsia" w:ascii="宋体" w:hAnsi="宋体" w:eastAsia="宋体" w:cs="宋体"/>
          <w:iCs/>
          <w:szCs w:val="21"/>
        </w:rPr>
        <w:sym w:font="Wingdings" w:char="00A8"/>
      </w:r>
      <w:r>
        <w:rPr>
          <w:rFonts w:hint="eastAsia" w:ascii="宋体" w:hAnsi="宋体" w:eastAsia="宋体" w:cs="宋体"/>
          <w:iCs/>
          <w:szCs w:val="21"/>
          <w:lang w:eastAsia="zh-CN"/>
        </w:rPr>
        <w:t>优先采购</w:t>
      </w:r>
      <w:r>
        <w:rPr>
          <w:rFonts w:hint="eastAsia" w:ascii="宋体" w:hAnsi="宋体" w:eastAsia="宋体" w:cs="宋体"/>
          <w:iCs/>
          <w:szCs w:val="21"/>
          <w:lang w:val="en-US" w:eastAsia="zh-CN"/>
        </w:rPr>
        <w:t xml:space="preserve">    </w:t>
      </w:r>
    </w:p>
    <w:p w14:paraId="4CB04D16">
      <w:pPr>
        <w:numPr>
          <w:ilvl w:val="0"/>
          <w:numId w:val="0"/>
        </w:numPr>
        <w:shd w:val="clear" w:color="auto" w:fill="auto"/>
        <w:tabs>
          <w:tab w:val="left" w:pos="740"/>
        </w:tabs>
        <w:adjustRightInd w:val="0"/>
        <w:snapToGrid w:val="0"/>
        <w:spacing w:before="0" w:beforeLines="0" w:line="400" w:lineRule="exact"/>
        <w:ind w:firstLine="0" w:firstLineChars="0"/>
        <w:rPr>
          <w:rFonts w:hint="eastAsia" w:ascii="宋体" w:hAnsi="宋体" w:eastAsia="宋体" w:cs="宋体"/>
          <w:b w:val="0"/>
          <w:bCs w:val="0"/>
          <w:sz w:val="21"/>
          <w:szCs w:val="21"/>
          <w:u w:val="none"/>
          <w:lang w:val="en-US" w:eastAsia="zh-CN"/>
        </w:rPr>
      </w:pPr>
      <w:r>
        <w:rPr>
          <w:rFonts w:hint="eastAsia" w:ascii="宋体" w:hAnsi="宋体" w:eastAsia="宋体" w:cs="宋体"/>
          <w:iCs/>
          <w:szCs w:val="21"/>
          <w:lang w:val="en-US" w:eastAsia="zh-CN"/>
        </w:rPr>
        <w:t xml:space="preserve">         </w:t>
      </w:r>
      <w:r>
        <w:rPr>
          <w:rFonts w:hint="eastAsia" w:ascii="宋体" w:hAnsi="宋体" w:eastAsia="宋体" w:cs="宋体"/>
          <w:iCs w:val="0"/>
          <w:szCs w:val="21"/>
        </w:rPr>
        <w:sym w:font="Wingdings" w:char="00A8"/>
      </w:r>
      <w:r>
        <w:rPr>
          <w:rFonts w:hint="eastAsia" w:ascii="宋体" w:hAnsi="宋体" w:eastAsia="宋体" w:cs="宋体"/>
          <w:iCs w:val="0"/>
          <w:szCs w:val="21"/>
        </w:rPr>
        <w:t>否</w:t>
      </w:r>
    </w:p>
    <w:p w14:paraId="6E6F2BE0">
      <w:pPr>
        <w:pStyle w:val="43"/>
        <w:numPr>
          <w:ilvl w:val="0"/>
          <w:numId w:val="0"/>
        </w:numPr>
        <w:shd w:val="clear" w:color="auto" w:fill="auto"/>
        <w:adjustRightInd w:val="0"/>
        <w:snapToGrid w:val="0"/>
        <w:spacing w:before="0" w:beforeLines="0" w:line="400" w:lineRule="exact"/>
        <w:ind w:firstLine="0" w:firstLineChars="0"/>
        <w:rPr>
          <w:rFonts w:hint="eastAsia" w:ascii="宋体" w:hAnsi="宋体" w:eastAsia="宋体" w:cs="宋体"/>
          <w:iCs w:val="0"/>
          <w:kern w:val="2"/>
          <w:sz w:val="21"/>
          <w:szCs w:val="21"/>
          <w:u w:val="none"/>
          <w:lang w:val="en-US" w:eastAsia="zh-CN"/>
        </w:rPr>
      </w:pPr>
      <w:r>
        <w:rPr>
          <w:rFonts w:hint="eastAsia" w:ascii="宋体" w:hAnsi="宋体" w:eastAsia="宋体" w:cs="宋体"/>
          <w:b w:val="0"/>
          <w:bCs w:val="0"/>
          <w:sz w:val="21"/>
          <w:szCs w:val="21"/>
          <w:u w:val="none"/>
          <w:lang w:val="en-US" w:eastAsia="zh-CN"/>
        </w:rPr>
        <w:t xml:space="preserve">          </w:t>
      </w:r>
      <w:r>
        <w:rPr>
          <w:rFonts w:hint="eastAsia" w:ascii="宋体" w:hAnsi="宋体" w:eastAsia="宋体" w:cs="宋体"/>
          <w:b w:val="0"/>
          <w:bCs w:val="0"/>
          <w:kern w:val="2"/>
          <w:sz w:val="21"/>
          <w:szCs w:val="21"/>
          <w:u w:val="none"/>
          <w:lang w:val="en-US" w:eastAsia="zh-CN"/>
        </w:rPr>
        <w:t>是否涉及绿色产品：</w:t>
      </w:r>
      <w:r>
        <w:rPr>
          <w:rFonts w:hint="eastAsia" w:ascii="宋体" w:hAnsi="宋体" w:eastAsia="宋体" w:cs="宋体"/>
          <w:iCs w:val="0"/>
          <w:kern w:val="2"/>
          <w:sz w:val="21"/>
          <w:szCs w:val="21"/>
          <w:u w:val="none"/>
          <w:lang w:val="en-US" w:eastAsia="zh-CN"/>
        </w:rPr>
        <w:t xml:space="preserve"> </w:t>
      </w:r>
    </w:p>
    <w:p w14:paraId="3277C6AC">
      <w:pPr>
        <w:pStyle w:val="43"/>
        <w:shd w:val="clear" w:color="auto" w:fill="auto"/>
        <w:spacing w:beforeLines="0"/>
        <w:ind w:firstLine="420" w:firstLineChars="0"/>
        <w:rPr>
          <w:rFonts w:hint="eastAsia" w:ascii="宋体" w:hAnsi="宋体" w:eastAsia="宋体" w:cs="宋体"/>
          <w:szCs w:val="21"/>
          <w:u w:val="single"/>
          <w:lang w:val="en-US" w:eastAsia="zh-CN"/>
        </w:rPr>
      </w:pPr>
      <w:r>
        <w:rPr>
          <w:rFonts w:hint="eastAsia" w:ascii="宋体" w:hAnsi="宋体" w:eastAsia="宋体" w:cs="宋体"/>
          <w:iCs w:val="0"/>
          <w:kern w:val="2"/>
          <w:sz w:val="21"/>
          <w:szCs w:val="21"/>
          <w:u w:val="none"/>
          <w:lang w:val="en-US" w:eastAsia="zh-CN"/>
        </w:rPr>
        <w:t xml:space="preserve">     </w:t>
      </w:r>
      <w:r>
        <w:rPr>
          <w:rFonts w:hint="eastAsia" w:ascii="宋体" w:hAnsi="宋体" w:eastAsia="宋体" w:cs="宋体"/>
          <w:iCs w:val="0"/>
          <w:kern w:val="2"/>
          <w:sz w:val="21"/>
          <w:szCs w:val="21"/>
          <w:u w:val="none"/>
        </w:rPr>
        <w:sym w:font="Wingdings" w:char="00A8"/>
      </w:r>
      <w:r>
        <w:rPr>
          <w:rFonts w:hint="eastAsia" w:ascii="宋体" w:hAnsi="宋体" w:eastAsia="宋体" w:cs="宋体"/>
          <w:iCs w:val="0"/>
          <w:kern w:val="2"/>
          <w:sz w:val="21"/>
          <w:szCs w:val="21"/>
          <w:u w:val="none"/>
        </w:rPr>
        <w:t>是</w:t>
      </w:r>
      <w:r>
        <w:rPr>
          <w:rFonts w:hint="eastAsia" w:ascii="宋体" w:hAnsi="宋体" w:eastAsia="宋体" w:cs="宋体"/>
          <w:iCs w:val="0"/>
          <w:kern w:val="2"/>
          <w:sz w:val="21"/>
          <w:szCs w:val="21"/>
          <w:u w:val="none"/>
          <w:lang w:eastAsia="zh-CN"/>
        </w:rPr>
        <w:t>，绿色产品政府采购相关政策确定的底级品目名称：</w:t>
      </w:r>
      <w:r>
        <w:rPr>
          <w:rFonts w:hint="eastAsia" w:ascii="宋体" w:hAnsi="宋体" w:eastAsia="宋体" w:cs="宋体"/>
          <w:szCs w:val="21"/>
          <w:u w:val="single"/>
          <w:lang w:val="en-US" w:eastAsia="zh-CN"/>
        </w:rPr>
        <w:t xml:space="preserve">         </w:t>
      </w:r>
    </w:p>
    <w:p w14:paraId="5B89796C">
      <w:pPr>
        <w:numPr>
          <w:ilvl w:val="0"/>
          <w:numId w:val="0"/>
        </w:numPr>
        <w:shd w:val="clear" w:color="auto" w:fill="auto"/>
        <w:tabs>
          <w:tab w:val="left" w:pos="740"/>
        </w:tabs>
        <w:adjustRightInd w:val="0"/>
        <w:snapToGrid w:val="0"/>
        <w:spacing w:before="0" w:beforeLines="0" w:line="400" w:lineRule="exact"/>
        <w:ind w:firstLine="0" w:firstLineChars="0"/>
        <w:rPr>
          <w:rFonts w:hint="eastAsia" w:ascii="宋体" w:hAnsi="宋体" w:eastAsia="宋体" w:cs="宋体"/>
          <w:iCs/>
          <w:szCs w:val="21"/>
          <w:lang w:val="en-US" w:eastAsia="zh-CN"/>
        </w:rPr>
      </w:pPr>
      <w:r>
        <w:rPr>
          <w:rFonts w:hint="eastAsia" w:ascii="宋体" w:hAnsi="宋体" w:eastAsia="宋体" w:cs="宋体"/>
          <w:iCs/>
          <w:szCs w:val="21"/>
          <w:lang w:val="en-US" w:eastAsia="zh-CN"/>
        </w:rPr>
        <w:t xml:space="preserve">                </w:t>
      </w:r>
      <w:r>
        <w:rPr>
          <w:rFonts w:hint="eastAsia" w:ascii="宋体" w:hAnsi="宋体" w:eastAsia="宋体" w:cs="宋体"/>
          <w:iCs/>
          <w:szCs w:val="21"/>
        </w:rPr>
        <w:sym w:font="Wingdings" w:char="00A8"/>
      </w:r>
      <w:r>
        <w:rPr>
          <w:rFonts w:hint="eastAsia" w:ascii="宋体" w:hAnsi="宋体" w:eastAsia="宋体" w:cs="宋体"/>
          <w:iCs/>
          <w:szCs w:val="21"/>
          <w:lang w:eastAsia="zh-CN"/>
        </w:rPr>
        <w:t>强制采购</w:t>
      </w:r>
      <w:r>
        <w:rPr>
          <w:rFonts w:hint="eastAsia" w:ascii="宋体" w:hAnsi="宋体" w:eastAsia="宋体" w:cs="宋体"/>
          <w:iCs/>
          <w:szCs w:val="21"/>
          <w:lang w:val="en-US" w:eastAsia="zh-CN"/>
        </w:rPr>
        <w:t xml:space="preserve">       </w:t>
      </w:r>
      <w:r>
        <w:rPr>
          <w:rFonts w:hint="eastAsia" w:ascii="宋体" w:hAnsi="宋体" w:eastAsia="宋体" w:cs="宋体"/>
          <w:iCs/>
          <w:szCs w:val="21"/>
        </w:rPr>
        <w:sym w:font="Wingdings" w:char="00A8"/>
      </w:r>
      <w:r>
        <w:rPr>
          <w:rFonts w:hint="eastAsia" w:ascii="宋体" w:hAnsi="宋体" w:eastAsia="宋体" w:cs="宋体"/>
          <w:iCs/>
          <w:szCs w:val="21"/>
          <w:lang w:eastAsia="zh-CN"/>
        </w:rPr>
        <w:t>优先采购</w:t>
      </w:r>
      <w:r>
        <w:rPr>
          <w:rFonts w:hint="eastAsia" w:ascii="宋体" w:hAnsi="宋体" w:eastAsia="宋体" w:cs="宋体"/>
          <w:iCs/>
          <w:szCs w:val="21"/>
          <w:lang w:val="en-US" w:eastAsia="zh-CN"/>
        </w:rPr>
        <w:t xml:space="preserve">    </w:t>
      </w:r>
    </w:p>
    <w:p w14:paraId="3350462D">
      <w:pPr>
        <w:pStyle w:val="43"/>
        <w:shd w:val="clear" w:color="auto" w:fill="auto"/>
        <w:spacing w:beforeLines="0"/>
        <w:ind w:firstLine="420" w:firstLineChars="0"/>
        <w:rPr>
          <w:rFonts w:hint="eastAsia" w:ascii="宋体" w:hAnsi="宋体" w:eastAsia="宋体" w:cs="宋体"/>
          <w:b w:val="0"/>
          <w:bCs w:val="0"/>
          <w:sz w:val="21"/>
          <w:szCs w:val="21"/>
          <w:u w:val="none"/>
          <w:lang w:val="en-US" w:eastAsia="zh-CN"/>
        </w:rPr>
      </w:pPr>
      <w:r>
        <w:rPr>
          <w:rFonts w:hint="eastAsia" w:ascii="宋体" w:hAnsi="宋体" w:eastAsia="宋体" w:cs="宋体"/>
          <w:iCs w:val="0"/>
          <w:kern w:val="2"/>
          <w:sz w:val="21"/>
          <w:szCs w:val="21"/>
          <w:u w:val="none"/>
          <w:lang w:val="en-US" w:eastAsia="zh-CN"/>
        </w:rPr>
        <w:t xml:space="preserve">     </w:t>
      </w:r>
      <w:r>
        <w:rPr>
          <w:rFonts w:hint="eastAsia" w:ascii="宋体" w:hAnsi="宋体" w:eastAsia="宋体" w:cs="宋体"/>
          <w:iCs w:val="0"/>
          <w:kern w:val="2"/>
          <w:sz w:val="21"/>
          <w:szCs w:val="21"/>
          <w:u w:val="none"/>
        </w:rPr>
        <w:sym w:font="Wingdings" w:char="00A8"/>
      </w:r>
      <w:r>
        <w:rPr>
          <w:rFonts w:hint="eastAsia" w:ascii="宋体" w:hAnsi="宋体" w:eastAsia="宋体" w:cs="宋体"/>
          <w:iCs w:val="0"/>
          <w:kern w:val="2"/>
          <w:sz w:val="21"/>
          <w:szCs w:val="21"/>
          <w:u w:val="none"/>
        </w:rPr>
        <w:t>否</w:t>
      </w:r>
    </w:p>
    <w:p w14:paraId="68D09521">
      <w:pPr>
        <w:numPr>
          <w:ilvl w:val="0"/>
          <w:numId w:val="0"/>
        </w:numPr>
        <w:shd w:val="clear" w:color="auto" w:fill="auto"/>
        <w:adjustRightInd w:val="0"/>
        <w:snapToGrid w:val="0"/>
        <w:spacing w:before="0" w:beforeLines="0" w:line="400" w:lineRule="exact"/>
        <w:ind w:firstLine="0" w:firstLineChars="0"/>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    （1</w:t>
      </w:r>
      <w:r>
        <w:rPr>
          <w:rFonts w:hint="eastAsia" w:ascii="宋体" w:hAnsi="宋体" w:eastAsia="宋体" w:cs="宋体"/>
          <w:szCs w:val="21"/>
          <w:lang w:val="en" w:eastAsia="zh-CN"/>
        </w:rPr>
        <w:t>1</w:t>
      </w:r>
      <w:r>
        <w:rPr>
          <w:rFonts w:hint="eastAsia" w:ascii="宋体" w:hAnsi="宋体" w:eastAsia="宋体" w:cs="宋体"/>
          <w:szCs w:val="21"/>
          <w:lang w:val="en-US" w:eastAsia="zh-CN"/>
        </w:rPr>
        <w:t>）涉及商品包装和快递包装的，是否参考</w:t>
      </w:r>
      <w:r>
        <w:rPr>
          <w:rFonts w:hint="eastAsia" w:ascii="宋体" w:hAnsi="宋体" w:eastAsia="宋体" w:cs="宋体"/>
          <w:szCs w:val="21"/>
        </w:rPr>
        <w:t>《商品包装政府采购需求标准（试行）》、《快递包装政府采购需求标准（试行）》</w:t>
      </w:r>
      <w:r>
        <w:rPr>
          <w:rFonts w:hint="eastAsia" w:ascii="宋体" w:hAnsi="宋体" w:eastAsia="宋体" w:cs="宋体"/>
          <w:szCs w:val="21"/>
          <w:lang w:eastAsia="zh-CN"/>
        </w:rPr>
        <w:t>明确产品及相关快递服务的具体包装要求：</w:t>
      </w:r>
    </w:p>
    <w:p w14:paraId="39B8CD90">
      <w:pPr>
        <w:numPr>
          <w:ilvl w:val="0"/>
          <w:numId w:val="0"/>
        </w:numPr>
        <w:shd w:val="clear" w:color="auto" w:fill="auto"/>
        <w:adjustRightInd w:val="0"/>
        <w:snapToGrid w:val="0"/>
        <w:spacing w:before="0" w:beforeLines="0" w:line="400" w:lineRule="exact"/>
        <w:ind w:firstLine="840" w:firstLineChars="400"/>
        <w:rPr>
          <w:rFonts w:hint="eastAsia" w:ascii="宋体" w:hAnsi="宋体" w:eastAsia="宋体" w:cs="宋体"/>
          <w:iCs w:val="0"/>
          <w:szCs w:val="21"/>
          <w:lang w:val="en-US" w:eastAsia="zh-CN"/>
        </w:rPr>
      </w:pPr>
      <w:r>
        <w:rPr>
          <w:rFonts w:hint="eastAsia" w:ascii="宋体" w:hAnsi="宋体" w:eastAsia="宋体" w:cs="宋体"/>
          <w:iCs w:val="0"/>
          <w:szCs w:val="21"/>
        </w:rPr>
        <w:sym w:font="Wingdings" w:char="00A8"/>
      </w:r>
      <w:r>
        <w:rPr>
          <w:rFonts w:hint="eastAsia" w:ascii="宋体" w:hAnsi="宋体" w:eastAsia="宋体" w:cs="宋体"/>
          <w:iCs w:val="0"/>
          <w:szCs w:val="21"/>
        </w:rPr>
        <w:t xml:space="preserve">是       </w:t>
      </w:r>
      <w:r>
        <w:rPr>
          <w:rFonts w:hint="eastAsia" w:ascii="宋体" w:hAnsi="宋体" w:eastAsia="宋体" w:cs="宋体"/>
          <w:iCs w:val="0"/>
          <w:szCs w:val="21"/>
        </w:rPr>
        <w:sym w:font="Wingdings" w:char="00FE"/>
      </w:r>
      <w:r>
        <w:rPr>
          <w:rFonts w:hint="eastAsia" w:ascii="宋体" w:hAnsi="宋体" w:eastAsia="宋体" w:cs="宋体"/>
          <w:iCs w:val="0"/>
          <w:szCs w:val="21"/>
        </w:rPr>
        <w:t>否</w:t>
      </w:r>
      <w:r>
        <w:rPr>
          <w:rFonts w:hint="eastAsia" w:ascii="宋体" w:hAnsi="宋体" w:eastAsia="宋体" w:cs="宋体"/>
          <w:iCs w:val="0"/>
          <w:szCs w:val="21"/>
          <w:lang w:val="en-US" w:eastAsia="zh-CN"/>
        </w:rPr>
        <w:t xml:space="preserve">      </w:t>
      </w:r>
      <w:r>
        <w:rPr>
          <w:rFonts w:hint="eastAsia" w:ascii="宋体" w:hAnsi="宋体" w:eastAsia="宋体" w:cs="宋体"/>
          <w:iCs w:val="0"/>
          <w:szCs w:val="21"/>
        </w:rPr>
        <w:sym w:font="Wingdings" w:char="00A8"/>
      </w:r>
      <w:r>
        <w:rPr>
          <w:rFonts w:hint="eastAsia" w:ascii="宋体" w:hAnsi="宋体" w:eastAsia="宋体" w:cs="宋体"/>
          <w:iCs w:val="0"/>
          <w:szCs w:val="21"/>
          <w:lang w:eastAsia="zh-CN"/>
        </w:rPr>
        <w:t>不涉及</w:t>
      </w:r>
    </w:p>
    <w:p w14:paraId="4D7FC1B3">
      <w:pPr>
        <w:numPr>
          <w:ilvl w:val="0"/>
          <w:numId w:val="1"/>
        </w:numPr>
        <w:shd w:val="clear" w:color="auto" w:fill="auto"/>
        <w:adjustRightInd w:val="0"/>
        <w:snapToGrid w:val="0"/>
        <w:spacing w:before="0" w:beforeLines="0" w:line="400" w:lineRule="exact"/>
        <w:ind w:firstLine="422" w:firstLineChars="200"/>
        <w:rPr>
          <w:rFonts w:hint="eastAsia" w:ascii="宋体" w:hAnsi="宋体" w:eastAsia="宋体" w:cs="宋体"/>
          <w:b/>
          <w:szCs w:val="21"/>
          <w:highlight w:val="none"/>
        </w:rPr>
      </w:pPr>
      <w:r>
        <w:rPr>
          <w:rFonts w:hint="eastAsia" w:ascii="宋体" w:hAnsi="宋体" w:eastAsia="宋体" w:cs="宋体"/>
          <w:b/>
          <w:szCs w:val="21"/>
          <w:highlight w:val="none"/>
        </w:rPr>
        <w:t>合同金额</w:t>
      </w:r>
    </w:p>
    <w:p w14:paraId="1ED264C2">
      <w:pPr>
        <w:shd w:val="clear" w:color="auto" w:fill="auto"/>
        <w:adjustRightInd w:val="0"/>
        <w:snapToGrid w:val="0"/>
        <w:spacing w:before="0" w:beforeLines="0" w:line="400" w:lineRule="exact"/>
        <w:ind w:firstLine="420" w:firstLineChars="200"/>
        <w:rPr>
          <w:rFonts w:hint="eastAsia" w:ascii="宋体" w:hAnsi="宋体" w:eastAsia="宋体" w:cs="宋体"/>
          <w:szCs w:val="21"/>
        </w:rPr>
      </w:pPr>
      <w:r>
        <w:rPr>
          <w:rFonts w:hint="eastAsia" w:ascii="宋体" w:hAnsi="宋体" w:eastAsia="宋体" w:cs="宋体"/>
          <w:szCs w:val="21"/>
        </w:rPr>
        <w:t>（1）合同金额小写：</w:t>
      </w:r>
      <w:r>
        <w:rPr>
          <w:rFonts w:hint="eastAsia" w:ascii="宋体" w:hAnsi="宋体" w:eastAsia="宋体" w:cs="宋体"/>
          <w:szCs w:val="21"/>
          <w:u w:val="single"/>
        </w:rPr>
        <w:t xml:space="preserve">                 </w:t>
      </w:r>
      <w:r>
        <w:rPr>
          <w:rFonts w:hint="eastAsia" w:ascii="宋体" w:hAnsi="宋体" w:eastAsia="宋体" w:cs="宋体"/>
          <w:szCs w:val="21"/>
          <w:u w:val="single"/>
          <w:lang w:val="en-US" w:eastAsia="zh-CN"/>
        </w:rPr>
        <w:t xml:space="preserve">    </w:t>
      </w:r>
      <w:r>
        <w:rPr>
          <w:rFonts w:hint="eastAsia" w:ascii="宋体" w:hAnsi="宋体" w:eastAsia="宋体" w:cs="宋体"/>
          <w:szCs w:val="21"/>
          <w:u w:val="single"/>
        </w:rPr>
        <w:t xml:space="preserve">      </w:t>
      </w:r>
    </w:p>
    <w:p w14:paraId="4A6D80D9">
      <w:pPr>
        <w:shd w:val="clear" w:color="auto" w:fill="auto"/>
        <w:adjustRightInd w:val="0"/>
        <w:snapToGrid w:val="0"/>
        <w:spacing w:before="0" w:beforeLines="0" w:line="400" w:lineRule="exact"/>
        <w:ind w:left="0" w:firstLine="0" w:firstLineChars="0"/>
        <w:rPr>
          <w:rFonts w:hint="eastAsia" w:ascii="宋体" w:hAnsi="宋体" w:eastAsia="宋体" w:cs="宋体"/>
          <w:szCs w:val="21"/>
          <w:u w:val="single"/>
        </w:rPr>
      </w:pPr>
      <w:r>
        <w:rPr>
          <w:rFonts w:hint="eastAsia" w:ascii="宋体" w:hAnsi="宋体" w:eastAsia="宋体" w:cs="宋体"/>
          <w:szCs w:val="21"/>
          <w:lang w:val="en-US" w:eastAsia="zh-CN"/>
        </w:rPr>
        <w:t xml:space="preserve">                 </w:t>
      </w:r>
      <w:r>
        <w:rPr>
          <w:rFonts w:hint="eastAsia" w:ascii="宋体" w:hAnsi="宋体" w:eastAsia="宋体" w:cs="宋体"/>
          <w:szCs w:val="21"/>
        </w:rPr>
        <w:t>大写：</w:t>
      </w:r>
      <w:r>
        <w:rPr>
          <w:rFonts w:hint="eastAsia" w:ascii="宋体" w:hAnsi="宋体" w:eastAsia="宋体" w:cs="宋体"/>
          <w:szCs w:val="21"/>
          <w:u w:val="single"/>
        </w:rPr>
        <w:t xml:space="preserve">           </w:t>
      </w:r>
      <w:r>
        <w:rPr>
          <w:rFonts w:hint="eastAsia" w:ascii="宋体" w:hAnsi="宋体" w:eastAsia="宋体" w:cs="宋体"/>
          <w:szCs w:val="21"/>
          <w:u w:val="single"/>
          <w:lang w:val="en-US" w:eastAsia="zh-CN"/>
        </w:rPr>
        <w:t xml:space="preserve"> </w:t>
      </w:r>
      <w:r>
        <w:rPr>
          <w:rFonts w:hint="eastAsia" w:ascii="宋体" w:hAnsi="宋体" w:eastAsia="宋体" w:cs="宋体"/>
          <w:szCs w:val="21"/>
          <w:u w:val="single"/>
        </w:rPr>
        <w:t xml:space="preserve">     </w:t>
      </w:r>
      <w:r>
        <w:rPr>
          <w:rFonts w:hint="eastAsia" w:ascii="宋体" w:hAnsi="宋体" w:eastAsia="宋体" w:cs="宋体"/>
          <w:szCs w:val="21"/>
          <w:u w:val="single"/>
          <w:lang w:val="en-US" w:eastAsia="zh-CN"/>
        </w:rPr>
        <w:t xml:space="preserve">    </w:t>
      </w:r>
      <w:r>
        <w:rPr>
          <w:rFonts w:hint="eastAsia" w:ascii="宋体" w:hAnsi="宋体" w:eastAsia="宋体" w:cs="宋体"/>
          <w:szCs w:val="21"/>
          <w:u w:val="single"/>
        </w:rPr>
        <w:t xml:space="preserve">      </w:t>
      </w:r>
    </w:p>
    <w:p w14:paraId="5145974D">
      <w:pPr>
        <w:shd w:val="clear" w:color="auto" w:fill="auto"/>
        <w:adjustRightInd w:val="0"/>
        <w:snapToGrid w:val="0"/>
        <w:spacing w:before="0" w:beforeLines="0" w:line="400" w:lineRule="exact"/>
        <w:ind w:firstLine="0" w:firstLineChars="0"/>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    （注：固定单价合同应填写单价和最高限价）</w:t>
      </w:r>
    </w:p>
    <w:p w14:paraId="0536778F">
      <w:pPr>
        <w:numPr>
          <w:ilvl w:val="0"/>
          <w:numId w:val="0"/>
        </w:numPr>
        <w:shd w:val="clear" w:color="auto" w:fill="auto"/>
        <w:adjustRightInd w:val="0"/>
        <w:snapToGrid w:val="0"/>
        <w:spacing w:before="0" w:beforeLines="0" w:line="400" w:lineRule="exact"/>
        <w:ind w:firstLine="0" w:firstLineChars="0"/>
        <w:rPr>
          <w:rFonts w:hint="eastAsia" w:ascii="宋体" w:hAnsi="宋体" w:eastAsia="宋体" w:cs="宋体"/>
          <w:szCs w:val="21"/>
        </w:rPr>
      </w:pPr>
      <w:r>
        <w:rPr>
          <w:rFonts w:hint="eastAsia" w:ascii="宋体" w:hAnsi="宋体" w:eastAsia="宋体" w:cs="宋体"/>
          <w:szCs w:val="21"/>
          <w:lang w:val="en-US" w:eastAsia="zh-CN"/>
        </w:rPr>
        <w:t xml:space="preserve">    </w:t>
      </w:r>
      <w:r>
        <w:rPr>
          <w:rFonts w:hint="eastAsia" w:ascii="宋体" w:hAnsi="宋体" w:eastAsia="宋体" w:cs="宋体"/>
          <w:szCs w:val="21"/>
          <w:lang w:eastAsia="zh-CN"/>
        </w:rPr>
        <w:t>（</w:t>
      </w:r>
      <w:r>
        <w:rPr>
          <w:rFonts w:hint="eastAsia" w:ascii="宋体" w:hAnsi="宋体" w:eastAsia="宋体" w:cs="宋体"/>
          <w:szCs w:val="21"/>
          <w:lang w:val="en-US" w:eastAsia="zh-CN"/>
        </w:rPr>
        <w:t>2</w:t>
      </w:r>
      <w:r>
        <w:rPr>
          <w:rFonts w:hint="eastAsia" w:ascii="宋体" w:hAnsi="宋体" w:eastAsia="宋体" w:cs="宋体"/>
          <w:szCs w:val="21"/>
          <w:lang w:eastAsia="zh-CN"/>
        </w:rPr>
        <w:t>）</w:t>
      </w:r>
      <w:r>
        <w:rPr>
          <w:rFonts w:hint="eastAsia" w:ascii="宋体" w:hAnsi="宋体" w:eastAsia="宋体" w:cs="宋体"/>
          <w:szCs w:val="21"/>
        </w:rPr>
        <w:t>合同定价方式</w:t>
      </w:r>
      <w:r>
        <w:rPr>
          <w:rFonts w:hint="eastAsia" w:ascii="宋体" w:hAnsi="宋体" w:eastAsia="宋体" w:cs="宋体"/>
          <w:szCs w:val="21"/>
          <w:lang w:eastAsia="zh-CN"/>
        </w:rPr>
        <w:t>（采用组合定价方式的，可以勾选多项）</w:t>
      </w:r>
      <w:r>
        <w:rPr>
          <w:rFonts w:hint="eastAsia" w:ascii="宋体" w:hAnsi="宋体" w:eastAsia="宋体" w:cs="宋体"/>
          <w:szCs w:val="21"/>
        </w:rPr>
        <w:t>：</w:t>
      </w:r>
    </w:p>
    <w:p w14:paraId="188537BD">
      <w:pPr>
        <w:shd w:val="clear" w:color="auto" w:fill="auto"/>
        <w:adjustRightInd w:val="0"/>
        <w:snapToGrid w:val="0"/>
        <w:spacing w:before="0" w:beforeLines="0" w:line="400" w:lineRule="exact"/>
        <w:ind w:firstLine="420" w:firstLineChars="200"/>
        <w:rPr>
          <w:rFonts w:hint="eastAsia" w:ascii="宋体" w:hAnsi="宋体" w:eastAsia="宋体" w:cs="宋体"/>
          <w:szCs w:val="21"/>
          <w:lang w:eastAsia="zh-CN"/>
        </w:rPr>
      </w:pPr>
      <w:r>
        <w:rPr>
          <w:rFonts w:hint="eastAsia" w:ascii="宋体" w:hAnsi="宋体" w:eastAsia="宋体" w:cs="宋体"/>
          <w:iCs/>
          <w:szCs w:val="21"/>
          <w:lang w:val="en-US" w:eastAsia="zh-CN"/>
        </w:rPr>
        <w:t xml:space="preserve">  </w:t>
      </w:r>
      <w:r>
        <w:rPr>
          <w:rFonts w:hint="eastAsia" w:ascii="宋体" w:hAnsi="宋体" w:eastAsia="宋体" w:cs="宋体"/>
          <w:iCs/>
          <w:szCs w:val="21"/>
        </w:rPr>
        <w:sym w:font="Wingdings" w:char="00FE"/>
      </w:r>
      <w:r>
        <w:rPr>
          <w:rFonts w:hint="eastAsia" w:ascii="宋体" w:hAnsi="宋体" w:eastAsia="宋体" w:cs="宋体"/>
          <w:iCs/>
          <w:szCs w:val="21"/>
        </w:rPr>
        <w:t xml:space="preserve">固定总价 </w:t>
      </w:r>
      <w:r>
        <w:rPr>
          <w:rFonts w:hint="eastAsia" w:ascii="宋体" w:hAnsi="宋体" w:eastAsia="宋体" w:cs="宋体"/>
          <w:iCs/>
          <w:szCs w:val="21"/>
        </w:rPr>
        <w:sym w:font="Wingdings" w:char="00A8"/>
      </w:r>
      <w:r>
        <w:rPr>
          <w:rFonts w:hint="eastAsia" w:ascii="宋体" w:hAnsi="宋体" w:eastAsia="宋体" w:cs="宋体"/>
          <w:iCs/>
          <w:szCs w:val="21"/>
        </w:rPr>
        <w:t>固定单价</w:t>
      </w:r>
      <w:r>
        <w:rPr>
          <w:rFonts w:hint="eastAsia" w:ascii="宋体" w:hAnsi="宋体" w:eastAsia="宋体" w:cs="宋体"/>
          <w:iCs/>
          <w:szCs w:val="21"/>
          <w:lang w:val="en-US" w:eastAsia="zh-CN"/>
        </w:rPr>
        <w:t xml:space="preserve"> </w:t>
      </w:r>
      <w:r>
        <w:rPr>
          <w:rFonts w:hint="eastAsia" w:ascii="宋体" w:hAnsi="宋体" w:eastAsia="宋体" w:cs="宋体"/>
          <w:iCs/>
          <w:szCs w:val="21"/>
        </w:rPr>
        <w:sym w:font="Wingdings" w:char="00A8"/>
      </w:r>
      <w:r>
        <w:rPr>
          <w:rFonts w:hint="eastAsia" w:ascii="宋体" w:hAnsi="宋体" w:eastAsia="宋体" w:cs="宋体"/>
          <w:iCs/>
          <w:szCs w:val="21"/>
          <w:lang w:eastAsia="zh-CN"/>
        </w:rPr>
        <w:t>固定费率</w:t>
      </w:r>
      <w:r>
        <w:rPr>
          <w:rFonts w:hint="eastAsia" w:ascii="宋体" w:hAnsi="宋体" w:eastAsia="宋体" w:cs="宋体"/>
          <w:iCs/>
          <w:szCs w:val="21"/>
        </w:rPr>
        <w:t xml:space="preserve"> </w:t>
      </w:r>
      <w:r>
        <w:rPr>
          <w:rFonts w:hint="eastAsia" w:ascii="宋体" w:hAnsi="宋体" w:eastAsia="宋体" w:cs="宋体"/>
          <w:iCs/>
          <w:szCs w:val="21"/>
        </w:rPr>
        <w:sym w:font="Wingdings" w:char="00A8"/>
      </w:r>
      <w:r>
        <w:rPr>
          <w:rFonts w:hint="eastAsia" w:ascii="宋体" w:hAnsi="宋体" w:eastAsia="宋体" w:cs="宋体"/>
          <w:iCs/>
          <w:szCs w:val="21"/>
        </w:rPr>
        <w:t xml:space="preserve">成本补偿 </w:t>
      </w:r>
      <w:r>
        <w:rPr>
          <w:rFonts w:hint="eastAsia" w:ascii="宋体" w:hAnsi="宋体" w:eastAsia="宋体" w:cs="宋体"/>
          <w:iCs/>
          <w:szCs w:val="21"/>
        </w:rPr>
        <w:sym w:font="Wingdings" w:char="00A8"/>
      </w:r>
      <w:r>
        <w:rPr>
          <w:rFonts w:hint="eastAsia" w:ascii="宋体" w:hAnsi="宋体" w:eastAsia="宋体" w:cs="宋体"/>
          <w:iCs/>
          <w:szCs w:val="21"/>
        </w:rPr>
        <w:t>绩效激励</w:t>
      </w:r>
      <w:r>
        <w:rPr>
          <w:rFonts w:hint="eastAsia" w:ascii="宋体" w:hAnsi="宋体" w:eastAsia="宋体" w:cs="宋体"/>
          <w:iCs/>
          <w:szCs w:val="21"/>
          <w:lang w:val="en-US" w:eastAsia="zh-CN"/>
        </w:rPr>
        <w:t xml:space="preserve"> </w:t>
      </w:r>
      <w:r>
        <w:rPr>
          <w:rFonts w:hint="eastAsia" w:ascii="宋体" w:hAnsi="宋体" w:eastAsia="宋体" w:cs="宋体"/>
          <w:iCs/>
          <w:szCs w:val="21"/>
        </w:rPr>
        <w:sym w:font="Wingdings" w:char="00A8"/>
      </w:r>
      <w:r>
        <w:rPr>
          <w:rFonts w:hint="eastAsia" w:ascii="宋体" w:hAnsi="宋体" w:eastAsia="宋体" w:cs="宋体"/>
          <w:iCs/>
          <w:szCs w:val="21"/>
          <w:lang w:eastAsia="zh-CN"/>
        </w:rPr>
        <w:t>其他</w:t>
      </w:r>
      <w:r>
        <w:rPr>
          <w:rFonts w:hint="eastAsia" w:ascii="宋体" w:hAnsi="宋体" w:eastAsia="宋体" w:cs="宋体"/>
          <w:szCs w:val="21"/>
          <w:u w:val="single"/>
        </w:rPr>
        <w:t xml:space="preserve">       </w:t>
      </w:r>
    </w:p>
    <w:p w14:paraId="49089256">
      <w:pPr>
        <w:pStyle w:val="51"/>
        <w:shd w:val="clear" w:color="auto" w:fill="auto"/>
        <w:spacing w:beforeLines="0" w:line="400" w:lineRule="exact"/>
        <w:rPr>
          <w:rFonts w:hint="eastAsia" w:ascii="宋体" w:hAnsi="宋体" w:eastAsia="宋体" w:cs="宋体"/>
        </w:rPr>
      </w:pPr>
      <w:r>
        <w:rPr>
          <w:rFonts w:hint="eastAsia" w:ascii="宋体" w:hAnsi="宋体" w:eastAsia="宋体" w:cs="宋体"/>
        </w:rPr>
        <w:t>（</w:t>
      </w:r>
      <w:r>
        <w:rPr>
          <w:rFonts w:hint="eastAsia" w:ascii="宋体" w:hAnsi="宋体" w:eastAsia="宋体" w:cs="宋体"/>
          <w:lang w:val="en-US" w:eastAsia="zh-CN"/>
        </w:rPr>
        <w:t>3</w:t>
      </w:r>
      <w:r>
        <w:rPr>
          <w:rFonts w:hint="eastAsia" w:ascii="宋体" w:hAnsi="宋体" w:eastAsia="宋体" w:cs="宋体"/>
        </w:rPr>
        <w:t>）付款方式（按项目实际勾选填写）：</w:t>
      </w:r>
    </w:p>
    <w:p w14:paraId="3FB9EC2A">
      <w:pPr>
        <w:shd w:val="clear" w:color="auto" w:fill="auto"/>
        <w:adjustRightInd w:val="0"/>
        <w:snapToGrid w:val="0"/>
        <w:spacing w:before="0" w:beforeLines="0" w:line="400" w:lineRule="exact"/>
        <w:ind w:firstLine="630" w:firstLineChars="300"/>
        <w:rPr>
          <w:rFonts w:hint="eastAsia" w:ascii="宋体" w:hAnsi="宋体" w:eastAsia="宋体" w:cs="宋体"/>
          <w:szCs w:val="21"/>
        </w:rPr>
      </w:pPr>
      <w:r>
        <w:rPr>
          <w:rFonts w:hint="eastAsia" w:ascii="宋体" w:hAnsi="宋体" w:eastAsia="宋体" w:cs="宋体"/>
          <w:szCs w:val="21"/>
        </w:rPr>
        <w:sym w:font="Wingdings" w:char="00FE"/>
      </w:r>
      <w:r>
        <w:rPr>
          <w:rFonts w:hint="eastAsia" w:ascii="宋体" w:hAnsi="宋体" w:eastAsia="宋体" w:cs="宋体"/>
          <w:szCs w:val="21"/>
        </w:rPr>
        <w:t>全额付款：</w:t>
      </w:r>
    </w:p>
    <w:p w14:paraId="44FB131F">
      <w:pPr>
        <w:spacing w:line="560" w:lineRule="exact"/>
        <w:ind w:firstLine="420" w:firstLineChars="200"/>
        <w:rPr>
          <w:rFonts w:hint="eastAsia" w:ascii="宋体" w:hAnsi="宋体" w:eastAsia="宋体" w:cs="宋体"/>
          <w:i w:val="0"/>
          <w:iCs w:val="0"/>
          <w:color w:val="auto"/>
          <w:sz w:val="24"/>
          <w:highlight w:val="none"/>
        </w:rPr>
      </w:pPr>
      <w:r>
        <w:rPr>
          <w:rFonts w:hint="eastAsia" w:ascii="宋体" w:hAnsi="宋体" w:eastAsia="宋体" w:cs="宋体"/>
          <w:szCs w:val="21"/>
        </w:rPr>
        <w:sym w:font="Wingdings" w:char="00A8"/>
      </w:r>
      <w:r>
        <w:rPr>
          <w:rFonts w:hint="eastAsia" w:ascii="宋体" w:hAnsi="宋体" w:eastAsia="宋体" w:cs="宋体"/>
          <w:szCs w:val="21"/>
        </w:rPr>
        <w:t>分期付款：：</w:t>
      </w:r>
      <w:r>
        <w:rPr>
          <w:rFonts w:hint="eastAsia" w:ascii="宋体" w:hAnsi="宋体" w:eastAsia="宋体" w:cs="宋体"/>
          <w:i w:val="0"/>
          <w:iCs w:val="0"/>
          <w:color w:val="auto"/>
          <w:sz w:val="24"/>
          <w:highlight w:val="none"/>
          <w:lang w:val="en-US" w:eastAsia="zh-CN"/>
        </w:rPr>
        <w:t>支付合同总价款的</w:t>
      </w:r>
      <w:r>
        <w:rPr>
          <w:rFonts w:hint="eastAsia" w:ascii="宋体" w:hAnsi="宋体" w:cs="宋体"/>
          <w:i w:val="0"/>
          <w:iCs w:val="0"/>
          <w:color w:val="auto"/>
          <w:sz w:val="24"/>
          <w:highlight w:val="none"/>
          <w:u w:val="single"/>
          <w:lang w:val="en-US" w:eastAsia="zh-CN"/>
        </w:rPr>
        <w:t>00</w:t>
      </w:r>
      <w:r>
        <w:rPr>
          <w:rFonts w:hint="eastAsia" w:ascii="宋体" w:hAnsi="宋体" w:eastAsia="宋体" w:cs="宋体"/>
          <w:i w:val="0"/>
          <w:iCs w:val="0"/>
          <w:color w:val="auto"/>
          <w:sz w:val="24"/>
          <w:highlight w:val="none"/>
          <w:lang w:val="en-US" w:eastAsia="zh-CN"/>
        </w:rPr>
        <w:t>%，即人民币大写：</w:t>
      </w:r>
      <w:r>
        <w:rPr>
          <w:rFonts w:hint="eastAsia" w:ascii="宋体" w:hAnsi="宋体" w:eastAsia="宋体" w:cs="宋体"/>
          <w:i w:val="0"/>
          <w:iCs w:val="0"/>
          <w:color w:val="auto"/>
          <w:sz w:val="24"/>
          <w:highlight w:val="none"/>
          <w:u w:val="single"/>
          <w:lang w:val="en-US" w:eastAsia="zh-CN"/>
        </w:rPr>
        <w:t xml:space="preserve">     </w:t>
      </w:r>
      <w:r>
        <w:rPr>
          <w:rFonts w:hint="eastAsia" w:ascii="宋体" w:hAnsi="宋体" w:eastAsia="宋体" w:cs="宋体"/>
          <w:i w:val="0"/>
          <w:iCs w:val="0"/>
          <w:color w:val="auto"/>
          <w:sz w:val="24"/>
          <w:highlight w:val="none"/>
          <w:u w:val="none"/>
          <w:lang w:val="en-US" w:eastAsia="zh-CN"/>
        </w:rPr>
        <w:t>；项目完成后</w:t>
      </w:r>
      <w:r>
        <w:rPr>
          <w:rFonts w:hint="eastAsia" w:ascii="宋体" w:hAnsi="宋体" w:eastAsia="宋体" w:cs="宋体"/>
          <w:i w:val="0"/>
          <w:iCs w:val="0"/>
          <w:color w:val="auto"/>
          <w:sz w:val="24"/>
          <w:highlight w:val="none"/>
          <w:lang w:val="en-US" w:eastAsia="zh-CN"/>
        </w:rPr>
        <w:t>支付合同总价款的</w:t>
      </w:r>
      <w:r>
        <w:rPr>
          <w:rFonts w:hint="eastAsia" w:ascii="宋体" w:hAnsi="宋体" w:cs="宋体"/>
          <w:i w:val="0"/>
          <w:iCs w:val="0"/>
          <w:color w:val="auto"/>
          <w:sz w:val="24"/>
          <w:highlight w:val="none"/>
          <w:u w:val="single"/>
          <w:lang w:val="en-US" w:eastAsia="zh-CN"/>
        </w:rPr>
        <w:t>00</w:t>
      </w:r>
      <w:r>
        <w:rPr>
          <w:rFonts w:hint="eastAsia" w:ascii="宋体" w:hAnsi="宋体" w:eastAsia="宋体" w:cs="宋体"/>
          <w:i w:val="0"/>
          <w:iCs w:val="0"/>
          <w:color w:val="auto"/>
          <w:sz w:val="24"/>
          <w:highlight w:val="none"/>
          <w:u w:val="single"/>
          <w:lang w:val="en-US" w:eastAsia="zh-CN"/>
        </w:rPr>
        <w:t xml:space="preserve"> </w:t>
      </w:r>
      <w:r>
        <w:rPr>
          <w:rFonts w:hint="eastAsia" w:ascii="宋体" w:hAnsi="宋体" w:eastAsia="宋体" w:cs="宋体"/>
          <w:i w:val="0"/>
          <w:iCs w:val="0"/>
          <w:color w:val="auto"/>
          <w:sz w:val="24"/>
          <w:highlight w:val="none"/>
          <w:lang w:val="en-US" w:eastAsia="zh-CN"/>
        </w:rPr>
        <w:t>%，即人民币大写：</w:t>
      </w:r>
      <w:r>
        <w:rPr>
          <w:rFonts w:hint="eastAsia" w:ascii="宋体" w:hAnsi="宋体" w:eastAsia="宋体" w:cs="宋体"/>
          <w:i w:val="0"/>
          <w:iCs w:val="0"/>
          <w:color w:val="auto"/>
          <w:sz w:val="24"/>
          <w:highlight w:val="none"/>
          <w:u w:val="single"/>
          <w:lang w:val="en-US" w:eastAsia="zh-CN"/>
        </w:rPr>
        <w:t xml:space="preserve">     </w:t>
      </w:r>
      <w:r>
        <w:rPr>
          <w:rFonts w:hint="eastAsia" w:ascii="宋体" w:hAnsi="宋体" w:eastAsia="宋体" w:cs="宋体"/>
          <w:i w:val="0"/>
          <w:iCs w:val="0"/>
          <w:color w:val="auto"/>
          <w:sz w:val="24"/>
          <w:highlight w:val="none"/>
          <w:u w:val="none"/>
          <w:lang w:val="en-US" w:eastAsia="zh-CN"/>
        </w:rPr>
        <w:t>，项目终验合格交付后，支付至结算审计审定总价款的</w:t>
      </w:r>
      <w:r>
        <w:rPr>
          <w:rFonts w:hint="eastAsia" w:ascii="宋体" w:hAnsi="宋体" w:cs="宋体"/>
          <w:i w:val="0"/>
          <w:iCs w:val="0"/>
          <w:color w:val="auto"/>
          <w:sz w:val="24"/>
          <w:highlight w:val="none"/>
          <w:u w:val="single"/>
          <w:lang w:val="en-US" w:eastAsia="zh-CN"/>
        </w:rPr>
        <w:t>00</w:t>
      </w:r>
      <w:r>
        <w:rPr>
          <w:rFonts w:hint="eastAsia" w:ascii="宋体" w:hAnsi="宋体" w:eastAsia="宋体" w:cs="宋体"/>
          <w:i w:val="0"/>
          <w:iCs w:val="0"/>
          <w:color w:val="auto"/>
          <w:sz w:val="24"/>
          <w:highlight w:val="none"/>
          <w:u w:val="single"/>
          <w:lang w:val="en-US" w:eastAsia="zh-CN"/>
        </w:rPr>
        <w:t>%</w:t>
      </w:r>
      <w:r>
        <w:rPr>
          <w:rFonts w:hint="eastAsia" w:ascii="宋体" w:hAnsi="宋体" w:eastAsia="宋体" w:cs="宋体"/>
          <w:i w:val="0"/>
          <w:iCs w:val="0"/>
          <w:color w:val="auto"/>
          <w:sz w:val="24"/>
          <w:highlight w:val="none"/>
          <w:u w:val="none"/>
          <w:lang w:val="en-US" w:eastAsia="zh-CN"/>
        </w:rPr>
        <w:t>。</w:t>
      </w:r>
    </w:p>
    <w:p w14:paraId="59517A73">
      <w:pPr>
        <w:shd w:val="clear" w:color="auto" w:fill="auto"/>
        <w:adjustRightInd w:val="0"/>
        <w:snapToGrid w:val="0"/>
        <w:spacing w:before="0" w:beforeLines="0" w:line="400" w:lineRule="exact"/>
        <w:ind w:firstLine="630" w:firstLineChars="300"/>
        <w:rPr>
          <w:rFonts w:hint="eastAsia" w:ascii="宋体" w:hAnsi="宋体" w:eastAsia="宋体" w:cs="宋体"/>
          <w:szCs w:val="21"/>
        </w:rPr>
      </w:pPr>
      <w:r>
        <w:rPr>
          <w:rFonts w:hint="eastAsia" w:ascii="宋体" w:hAnsi="宋体" w:eastAsia="宋体" w:cs="宋体"/>
          <w:szCs w:val="21"/>
        </w:rPr>
        <w:sym w:font="Wingdings" w:char="00A8"/>
      </w:r>
      <w:r>
        <w:rPr>
          <w:rFonts w:hint="eastAsia" w:ascii="宋体" w:hAnsi="宋体" w:eastAsia="宋体" w:cs="宋体"/>
          <w:szCs w:val="21"/>
        </w:rPr>
        <w:t>成本补偿：</w:t>
      </w:r>
    </w:p>
    <w:p w14:paraId="20FC600E">
      <w:pPr>
        <w:shd w:val="clear" w:color="auto" w:fill="auto"/>
        <w:adjustRightInd w:val="0"/>
        <w:snapToGrid w:val="0"/>
        <w:spacing w:before="0" w:beforeLines="0" w:line="400" w:lineRule="exact"/>
        <w:ind w:firstLine="630" w:firstLineChars="300"/>
        <w:rPr>
          <w:rFonts w:hint="eastAsia" w:ascii="宋体" w:hAnsi="宋体" w:eastAsia="宋体" w:cs="宋体"/>
          <w:szCs w:val="21"/>
        </w:rPr>
      </w:pPr>
      <w:r>
        <w:rPr>
          <w:rFonts w:hint="eastAsia" w:ascii="宋体" w:hAnsi="宋体" w:eastAsia="宋体" w:cs="宋体"/>
          <w:szCs w:val="21"/>
        </w:rPr>
        <w:sym w:font="Wingdings" w:char="00A8"/>
      </w:r>
      <w:r>
        <w:rPr>
          <w:rFonts w:hint="eastAsia" w:ascii="宋体" w:hAnsi="宋体" w:eastAsia="宋体" w:cs="宋体"/>
          <w:szCs w:val="21"/>
        </w:rPr>
        <w:t>绩效激励：</w:t>
      </w:r>
    </w:p>
    <w:p w14:paraId="5F23BA40">
      <w:pPr>
        <w:numPr>
          <w:ilvl w:val="0"/>
          <w:numId w:val="1"/>
        </w:numPr>
        <w:shd w:val="clear" w:color="auto" w:fill="auto"/>
        <w:adjustRightInd w:val="0"/>
        <w:snapToGrid w:val="0"/>
        <w:spacing w:before="0" w:beforeLines="0" w:line="400" w:lineRule="exact"/>
        <w:ind w:firstLine="422" w:firstLineChars="200"/>
        <w:rPr>
          <w:rFonts w:hint="eastAsia" w:ascii="宋体" w:hAnsi="宋体" w:eastAsia="宋体" w:cs="宋体"/>
          <w:b/>
          <w:bCs w:val="0"/>
          <w:szCs w:val="21"/>
          <w:u w:val="single"/>
        </w:rPr>
      </w:pPr>
      <w:r>
        <w:rPr>
          <w:rFonts w:hint="eastAsia" w:ascii="宋体" w:hAnsi="宋体" w:eastAsia="宋体" w:cs="宋体"/>
          <w:b/>
          <w:bCs w:val="0"/>
          <w:szCs w:val="21"/>
        </w:rPr>
        <w:t>合同履行</w:t>
      </w:r>
    </w:p>
    <w:p w14:paraId="01BAA066">
      <w:pPr>
        <w:shd w:val="clear" w:color="auto" w:fill="auto"/>
        <w:adjustRightInd w:val="0"/>
        <w:snapToGrid w:val="0"/>
        <w:spacing w:before="0" w:beforeLines="0" w:line="400" w:lineRule="exact"/>
        <w:ind w:firstLine="420" w:firstLineChars="200"/>
        <w:rPr>
          <w:rFonts w:hint="eastAsia" w:ascii="宋体" w:hAnsi="宋体" w:eastAsia="宋体" w:cs="宋体"/>
          <w:szCs w:val="21"/>
        </w:rPr>
      </w:pPr>
      <w:r>
        <w:rPr>
          <w:rFonts w:hint="eastAsia" w:ascii="宋体" w:hAnsi="宋体" w:eastAsia="宋体" w:cs="宋体"/>
          <w:szCs w:val="21"/>
        </w:rPr>
        <w:t>（1）起始日期：</w:t>
      </w:r>
      <w:r>
        <w:rPr>
          <w:rFonts w:hint="eastAsia" w:ascii="宋体" w:hAnsi="宋体" w:eastAsia="宋体" w:cs="宋体"/>
          <w:szCs w:val="21"/>
          <w:u w:val="single"/>
        </w:rPr>
        <w:t xml:space="preserve">    </w:t>
      </w:r>
      <w:r>
        <w:rPr>
          <w:rFonts w:hint="eastAsia" w:ascii="宋体" w:hAnsi="宋体" w:eastAsia="宋体" w:cs="宋体"/>
          <w:szCs w:val="21"/>
        </w:rPr>
        <w:t>年</w:t>
      </w:r>
      <w:r>
        <w:rPr>
          <w:rFonts w:hint="eastAsia" w:ascii="宋体" w:hAnsi="宋体" w:eastAsia="宋体" w:cs="宋体"/>
          <w:szCs w:val="21"/>
          <w:u w:val="single"/>
        </w:rPr>
        <w:t xml:space="preserve">   </w:t>
      </w:r>
      <w:r>
        <w:rPr>
          <w:rFonts w:hint="eastAsia" w:ascii="宋体" w:hAnsi="宋体" w:eastAsia="宋体" w:cs="宋体"/>
          <w:szCs w:val="21"/>
        </w:rPr>
        <w:t>月</w:t>
      </w:r>
      <w:r>
        <w:rPr>
          <w:rFonts w:hint="eastAsia" w:ascii="宋体" w:hAnsi="宋体" w:eastAsia="宋体" w:cs="宋体"/>
          <w:szCs w:val="21"/>
          <w:u w:val="single"/>
        </w:rPr>
        <w:t xml:space="preserve">   </w:t>
      </w:r>
      <w:r>
        <w:rPr>
          <w:rFonts w:hint="eastAsia" w:ascii="宋体" w:hAnsi="宋体" w:eastAsia="宋体" w:cs="宋体"/>
          <w:szCs w:val="21"/>
        </w:rPr>
        <w:t>日，完成日期：</w:t>
      </w:r>
      <w:r>
        <w:rPr>
          <w:rFonts w:hint="eastAsia" w:ascii="宋体" w:hAnsi="宋体" w:eastAsia="宋体" w:cs="宋体"/>
          <w:szCs w:val="21"/>
          <w:u w:val="single"/>
        </w:rPr>
        <w:t xml:space="preserve">    </w:t>
      </w:r>
      <w:r>
        <w:rPr>
          <w:rFonts w:hint="eastAsia" w:ascii="宋体" w:hAnsi="宋体" w:eastAsia="宋体" w:cs="宋体"/>
          <w:szCs w:val="21"/>
        </w:rPr>
        <w:t>年</w:t>
      </w:r>
      <w:r>
        <w:rPr>
          <w:rFonts w:hint="eastAsia" w:ascii="宋体" w:hAnsi="宋体" w:eastAsia="宋体" w:cs="宋体"/>
          <w:szCs w:val="21"/>
          <w:u w:val="single"/>
        </w:rPr>
        <w:t xml:space="preserve">   </w:t>
      </w:r>
      <w:r>
        <w:rPr>
          <w:rFonts w:hint="eastAsia" w:ascii="宋体" w:hAnsi="宋体" w:eastAsia="宋体" w:cs="宋体"/>
          <w:szCs w:val="21"/>
        </w:rPr>
        <w:t>月</w:t>
      </w:r>
      <w:r>
        <w:rPr>
          <w:rFonts w:hint="eastAsia" w:ascii="宋体" w:hAnsi="宋体" w:eastAsia="宋体" w:cs="宋体"/>
          <w:szCs w:val="21"/>
          <w:u w:val="single"/>
        </w:rPr>
        <w:t xml:space="preserve">   </w:t>
      </w:r>
      <w:r>
        <w:rPr>
          <w:rFonts w:hint="eastAsia" w:ascii="宋体" w:hAnsi="宋体" w:eastAsia="宋体" w:cs="宋体"/>
          <w:szCs w:val="21"/>
        </w:rPr>
        <w:t>日。</w:t>
      </w:r>
    </w:p>
    <w:p w14:paraId="6477F1AF">
      <w:pPr>
        <w:shd w:val="clear" w:color="auto" w:fill="auto"/>
        <w:adjustRightInd w:val="0"/>
        <w:snapToGrid w:val="0"/>
        <w:spacing w:before="0" w:beforeLines="0" w:line="400" w:lineRule="exact"/>
        <w:ind w:firstLine="420" w:firstLineChars="200"/>
        <w:rPr>
          <w:rFonts w:hint="eastAsia" w:ascii="宋体" w:hAnsi="宋体" w:eastAsia="宋体" w:cs="宋体"/>
          <w:szCs w:val="21"/>
          <w:u w:val="single"/>
        </w:rPr>
      </w:pPr>
      <w:r>
        <w:rPr>
          <w:rFonts w:hint="eastAsia" w:ascii="宋体" w:hAnsi="宋体" w:eastAsia="宋体" w:cs="宋体"/>
          <w:szCs w:val="21"/>
        </w:rPr>
        <w:t>（2）</w:t>
      </w:r>
      <w:r>
        <w:rPr>
          <w:rFonts w:hint="eastAsia" w:ascii="宋体" w:hAnsi="宋体" w:eastAsia="宋体" w:cs="宋体"/>
          <w:szCs w:val="21"/>
          <w:lang w:eastAsia="zh-CN"/>
        </w:rPr>
        <w:t>履约</w:t>
      </w:r>
      <w:r>
        <w:rPr>
          <w:rFonts w:hint="eastAsia" w:ascii="宋体" w:hAnsi="宋体" w:eastAsia="宋体" w:cs="宋体"/>
          <w:szCs w:val="21"/>
        </w:rPr>
        <w:t>地点</w:t>
      </w:r>
      <w:r>
        <w:rPr>
          <w:rFonts w:hint="eastAsia" w:ascii="宋体" w:hAnsi="宋体" w:eastAsia="宋体" w:cs="宋体"/>
          <w:b w:val="0"/>
          <w:bCs/>
          <w:szCs w:val="21"/>
        </w:rPr>
        <w:t>：</w:t>
      </w:r>
      <w:r>
        <w:rPr>
          <w:rFonts w:hint="eastAsia" w:ascii="宋体" w:hAnsi="宋体" w:eastAsia="宋体" w:cs="宋体"/>
          <w:szCs w:val="21"/>
          <w:u w:val="single"/>
        </w:rPr>
        <w:t xml:space="preserve"> 香格里拉市 </w:t>
      </w:r>
    </w:p>
    <w:p w14:paraId="28CD41B7">
      <w:pPr>
        <w:shd w:val="clear" w:color="auto" w:fill="auto"/>
        <w:adjustRightInd w:val="0"/>
        <w:snapToGrid w:val="0"/>
        <w:spacing w:before="0" w:beforeLines="0" w:line="400" w:lineRule="exact"/>
        <w:ind w:firstLine="420" w:firstLineChars="200"/>
        <w:rPr>
          <w:rFonts w:hint="eastAsia" w:ascii="宋体" w:hAnsi="宋体" w:eastAsia="宋体" w:cs="宋体"/>
          <w:sz w:val="21"/>
          <w:szCs w:val="21"/>
          <w:lang w:eastAsia="zh-CN"/>
        </w:rPr>
      </w:pPr>
      <w:r>
        <w:rPr>
          <w:rFonts w:hint="eastAsia" w:ascii="宋体" w:hAnsi="宋体" w:eastAsia="宋体" w:cs="宋体"/>
          <w:bCs/>
          <w:szCs w:val="21"/>
        </w:rPr>
        <w:t>（3）履约担保：</w:t>
      </w:r>
      <w:r>
        <w:rPr>
          <w:rFonts w:hint="eastAsia" w:ascii="宋体" w:hAnsi="宋体" w:eastAsia="宋体" w:cs="宋体"/>
          <w:sz w:val="21"/>
          <w:lang w:val="en-US" w:eastAsia="zh-CN"/>
        </w:rPr>
        <w:t>是否收取履约保证金：</w:t>
      </w:r>
      <w:r>
        <w:rPr>
          <w:rFonts w:hint="eastAsia" w:ascii="宋体" w:hAnsi="宋体" w:eastAsia="宋体" w:cs="宋体"/>
          <w:sz w:val="21"/>
          <w:szCs w:val="21"/>
        </w:rPr>
        <w:sym w:font="Wingdings" w:char="00A8"/>
      </w:r>
      <w:r>
        <w:rPr>
          <w:rFonts w:hint="eastAsia" w:ascii="宋体" w:hAnsi="宋体" w:eastAsia="宋体" w:cs="宋体"/>
          <w:sz w:val="21"/>
          <w:szCs w:val="21"/>
          <w:lang w:eastAsia="zh-CN"/>
        </w:rPr>
        <w:t>是</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sym w:font="Wingdings" w:char="00FE"/>
      </w:r>
      <w:r>
        <w:rPr>
          <w:rFonts w:hint="eastAsia" w:ascii="宋体" w:hAnsi="宋体" w:eastAsia="宋体" w:cs="宋体"/>
          <w:sz w:val="21"/>
          <w:szCs w:val="21"/>
          <w:lang w:eastAsia="zh-CN"/>
        </w:rPr>
        <w:t>否</w:t>
      </w:r>
    </w:p>
    <w:p w14:paraId="3C194EC3">
      <w:pPr>
        <w:pStyle w:val="43"/>
        <w:shd w:val="clear" w:color="auto" w:fill="auto"/>
        <w:spacing w:beforeLines="0"/>
        <w:rPr>
          <w:rFonts w:hint="eastAsia" w:ascii="宋体" w:hAnsi="宋体" w:eastAsia="宋体" w:cs="宋体"/>
          <w:sz w:val="21"/>
          <w:lang w:val="en-US" w:eastAsia="zh-CN"/>
        </w:rPr>
      </w:pPr>
      <w:r>
        <w:rPr>
          <w:rFonts w:hint="eastAsia" w:ascii="宋体" w:hAnsi="宋体" w:eastAsia="宋体" w:cs="宋体"/>
          <w:bCs/>
          <w:szCs w:val="21"/>
          <w:u w:val="none"/>
          <w:lang w:val="en-US" w:eastAsia="zh-CN"/>
        </w:rPr>
        <w:t xml:space="preserve">  </w:t>
      </w:r>
      <w:r>
        <w:rPr>
          <w:rFonts w:hint="eastAsia" w:ascii="宋体" w:hAnsi="宋体" w:eastAsia="宋体" w:cs="宋体"/>
          <w:sz w:val="21"/>
          <w:lang w:val="en-US" w:eastAsia="zh-CN"/>
        </w:rPr>
        <w:t xml:space="preserve">  收取履约保证金形式：</w:t>
      </w:r>
      <w:r>
        <w:rPr>
          <w:rFonts w:hint="eastAsia" w:ascii="宋体" w:hAnsi="宋体" w:eastAsia="宋体" w:cs="宋体"/>
          <w:bCs/>
          <w:sz w:val="21"/>
          <w:szCs w:val="21"/>
          <w:u w:val="single"/>
        </w:rPr>
        <w:t xml:space="preserve">                            </w:t>
      </w:r>
    </w:p>
    <w:p w14:paraId="3CD26407">
      <w:pPr>
        <w:pStyle w:val="43"/>
        <w:shd w:val="clear" w:color="auto" w:fill="auto"/>
        <w:spacing w:beforeLines="0"/>
        <w:rPr>
          <w:rFonts w:hint="eastAsia" w:ascii="宋体" w:hAnsi="宋体" w:eastAsia="宋体" w:cs="宋体"/>
          <w:sz w:val="21"/>
          <w:lang w:val="en-US" w:eastAsia="zh-CN"/>
        </w:rPr>
      </w:pPr>
      <w:r>
        <w:rPr>
          <w:rFonts w:hint="eastAsia" w:ascii="宋体" w:hAnsi="宋体" w:eastAsia="宋体" w:cs="宋体"/>
          <w:sz w:val="21"/>
          <w:lang w:val="en-US" w:eastAsia="zh-CN"/>
        </w:rPr>
        <w:t xml:space="preserve">    收取履约保证金金额：</w:t>
      </w:r>
      <w:r>
        <w:rPr>
          <w:rFonts w:hint="eastAsia" w:ascii="宋体" w:hAnsi="宋体" w:eastAsia="宋体" w:cs="宋体"/>
          <w:bCs/>
          <w:sz w:val="21"/>
          <w:szCs w:val="21"/>
          <w:u w:val="single"/>
        </w:rPr>
        <w:t xml:space="preserve">                            </w:t>
      </w:r>
    </w:p>
    <w:p w14:paraId="70C92DD0">
      <w:pPr>
        <w:shd w:val="clear" w:color="auto" w:fill="auto"/>
        <w:snapToGrid w:val="0"/>
        <w:spacing w:beforeLines="0" w:line="400" w:lineRule="exact"/>
        <w:ind w:firstLine="420" w:firstLineChars="200"/>
        <w:rPr>
          <w:rFonts w:hint="eastAsia" w:ascii="宋体" w:hAnsi="宋体" w:eastAsia="宋体" w:cs="宋体"/>
          <w:sz w:val="21"/>
          <w:lang w:val="en-US" w:eastAsia="zh-CN"/>
        </w:rPr>
      </w:pPr>
      <w:r>
        <w:rPr>
          <w:rFonts w:hint="eastAsia" w:ascii="宋体" w:hAnsi="宋体" w:eastAsia="宋体" w:cs="宋体"/>
          <w:bCs/>
          <w:szCs w:val="21"/>
          <w:u w:val="none"/>
          <w:lang w:val="en-US" w:eastAsia="zh-CN"/>
        </w:rPr>
        <w:t xml:space="preserve">    履约担保期限</w:t>
      </w:r>
      <w:r>
        <w:rPr>
          <w:rFonts w:hint="eastAsia" w:ascii="宋体" w:hAnsi="宋体" w:eastAsia="宋体" w:cs="宋体"/>
          <w:bCs/>
          <w:szCs w:val="21"/>
          <w:u w:val="none"/>
          <w:lang w:eastAsia="zh-CN"/>
        </w:rPr>
        <w:t>：</w:t>
      </w:r>
      <w:r>
        <w:rPr>
          <w:rFonts w:hint="eastAsia" w:ascii="宋体" w:hAnsi="宋体" w:eastAsia="宋体" w:cs="宋体"/>
          <w:bCs/>
          <w:sz w:val="21"/>
          <w:szCs w:val="21"/>
          <w:u w:val="single"/>
        </w:rPr>
        <w:t xml:space="preserve">      </w:t>
      </w:r>
      <w:r>
        <w:rPr>
          <w:rFonts w:hint="eastAsia" w:ascii="宋体" w:hAnsi="宋体" w:eastAsia="宋体" w:cs="宋体"/>
          <w:bCs/>
          <w:sz w:val="21"/>
          <w:szCs w:val="21"/>
          <w:u w:val="single"/>
          <w:lang w:val="en-US" w:eastAsia="zh-CN"/>
        </w:rPr>
        <w:t xml:space="preserve">                     </w:t>
      </w:r>
      <w:r>
        <w:rPr>
          <w:rFonts w:hint="eastAsia" w:ascii="宋体" w:hAnsi="宋体" w:eastAsia="宋体" w:cs="宋体"/>
          <w:bCs/>
          <w:sz w:val="21"/>
          <w:szCs w:val="21"/>
          <w:u w:val="single"/>
        </w:rPr>
        <w:t xml:space="preserve">       </w:t>
      </w:r>
    </w:p>
    <w:p w14:paraId="27D04BDE">
      <w:pPr>
        <w:shd w:val="clear" w:color="auto" w:fill="auto"/>
        <w:adjustRightInd w:val="0"/>
        <w:snapToGrid w:val="0"/>
        <w:spacing w:before="0" w:beforeLines="0" w:line="400" w:lineRule="exact"/>
        <w:ind w:firstLine="420" w:firstLineChars="200"/>
        <w:rPr>
          <w:rFonts w:hint="eastAsia" w:ascii="宋体" w:hAnsi="宋体" w:eastAsia="宋体" w:cs="宋体"/>
          <w:bCs/>
          <w:szCs w:val="21"/>
        </w:rPr>
      </w:pPr>
      <w:r>
        <w:rPr>
          <w:rFonts w:hint="eastAsia" w:ascii="宋体" w:hAnsi="宋体" w:eastAsia="宋体" w:cs="宋体"/>
          <w:bCs/>
          <w:szCs w:val="21"/>
        </w:rPr>
        <w:t>（4）分期履行要求：</w:t>
      </w:r>
      <w:r>
        <w:rPr>
          <w:rFonts w:hint="eastAsia" w:ascii="宋体" w:hAnsi="宋体" w:eastAsia="宋体" w:cs="宋体"/>
          <w:bCs/>
          <w:szCs w:val="21"/>
          <w:u w:val="single"/>
        </w:rPr>
        <w:t xml:space="preserve">                                                   </w:t>
      </w:r>
      <w:r>
        <w:rPr>
          <w:rFonts w:hint="eastAsia" w:ascii="宋体" w:hAnsi="宋体" w:eastAsia="宋体" w:cs="宋体"/>
          <w:bCs/>
          <w:szCs w:val="21"/>
          <w:u w:val="single"/>
          <w:lang w:val="en-US" w:eastAsia="zh-CN"/>
        </w:rPr>
        <w:t xml:space="preserve">    </w:t>
      </w:r>
      <w:r>
        <w:rPr>
          <w:rFonts w:hint="eastAsia" w:ascii="宋体" w:hAnsi="宋体" w:eastAsia="宋体" w:cs="宋体"/>
          <w:bCs/>
          <w:szCs w:val="21"/>
          <w:u w:val="single"/>
        </w:rPr>
        <w:t xml:space="preserve"> </w:t>
      </w:r>
    </w:p>
    <w:p w14:paraId="12BA8AC1">
      <w:pPr>
        <w:shd w:val="clear" w:color="auto" w:fill="auto"/>
        <w:adjustRightInd w:val="0"/>
        <w:snapToGrid w:val="0"/>
        <w:spacing w:before="0" w:beforeLines="0" w:line="400" w:lineRule="exact"/>
        <w:ind w:firstLine="420" w:firstLineChars="200"/>
        <w:rPr>
          <w:rFonts w:hint="eastAsia" w:ascii="宋体" w:hAnsi="宋体" w:eastAsia="宋体" w:cs="宋体"/>
          <w:szCs w:val="21"/>
          <w:u w:val="single"/>
        </w:rPr>
      </w:pPr>
      <w:r>
        <w:rPr>
          <w:rFonts w:hint="eastAsia" w:ascii="宋体" w:hAnsi="宋体" w:eastAsia="宋体" w:cs="宋体"/>
          <w:bCs/>
          <w:szCs w:val="21"/>
        </w:rPr>
        <w:t>（5）</w:t>
      </w:r>
      <w:r>
        <w:rPr>
          <w:rFonts w:hint="eastAsia" w:ascii="宋体" w:hAnsi="宋体" w:eastAsia="宋体" w:cs="宋体"/>
          <w:bCs/>
          <w:szCs w:val="21"/>
          <w:lang w:eastAsia="zh-CN"/>
        </w:rPr>
        <w:t>风险处置措施和替代方案</w:t>
      </w:r>
      <w:r>
        <w:rPr>
          <w:rFonts w:hint="eastAsia" w:ascii="宋体" w:hAnsi="宋体" w:eastAsia="宋体" w:cs="宋体"/>
          <w:bCs/>
          <w:szCs w:val="21"/>
        </w:rPr>
        <w:t>：</w:t>
      </w:r>
      <w:r>
        <w:rPr>
          <w:rFonts w:hint="eastAsia" w:ascii="宋体" w:hAnsi="宋体" w:eastAsia="宋体" w:cs="宋体"/>
          <w:color w:val="0000FF"/>
          <w:szCs w:val="21"/>
          <w:u w:val="single"/>
        </w:rPr>
        <w:t xml:space="preserve"> </w:t>
      </w:r>
      <w:r>
        <w:rPr>
          <w:rFonts w:hint="eastAsia" w:ascii="宋体" w:hAnsi="宋体" w:eastAsia="宋体" w:cs="宋体"/>
          <w:color w:val="000000"/>
          <w:szCs w:val="21"/>
          <w:u w:val="single"/>
        </w:rPr>
        <w:t xml:space="preserve">              </w:t>
      </w:r>
      <w:r>
        <w:rPr>
          <w:rFonts w:hint="eastAsia" w:ascii="宋体" w:hAnsi="宋体" w:eastAsia="宋体" w:cs="宋体"/>
          <w:szCs w:val="21"/>
          <w:u w:val="single"/>
        </w:rPr>
        <w:t xml:space="preserve">                                                </w:t>
      </w:r>
    </w:p>
    <w:p w14:paraId="12FA797F">
      <w:pPr>
        <w:numPr>
          <w:ilvl w:val="0"/>
          <w:numId w:val="1"/>
        </w:numPr>
        <w:shd w:val="clear" w:color="auto" w:fill="auto"/>
        <w:adjustRightInd w:val="0"/>
        <w:snapToGrid w:val="0"/>
        <w:spacing w:before="0" w:beforeLines="0" w:line="400" w:lineRule="exact"/>
        <w:ind w:firstLine="422" w:firstLineChars="200"/>
        <w:rPr>
          <w:rFonts w:hint="eastAsia" w:ascii="宋体" w:hAnsi="宋体" w:eastAsia="宋体" w:cs="宋体"/>
          <w:b/>
          <w:szCs w:val="21"/>
        </w:rPr>
      </w:pPr>
      <w:r>
        <w:rPr>
          <w:rFonts w:hint="eastAsia" w:ascii="宋体" w:hAnsi="宋体" w:eastAsia="宋体" w:cs="宋体"/>
          <w:b/>
          <w:szCs w:val="21"/>
        </w:rPr>
        <w:t>合同验收</w:t>
      </w:r>
    </w:p>
    <w:p w14:paraId="5277FC16">
      <w:pPr>
        <w:numPr>
          <w:ilvl w:val="0"/>
          <w:numId w:val="2"/>
        </w:numPr>
        <w:shd w:val="clear" w:color="auto" w:fill="auto"/>
        <w:adjustRightInd w:val="0"/>
        <w:snapToGrid w:val="0"/>
        <w:spacing w:before="0" w:beforeLines="0" w:line="400" w:lineRule="exact"/>
        <w:ind w:firstLine="420" w:firstLineChars="200"/>
        <w:rPr>
          <w:rFonts w:hint="eastAsia" w:ascii="宋体" w:hAnsi="宋体" w:eastAsia="宋体" w:cs="宋体"/>
          <w:bCs/>
          <w:szCs w:val="21"/>
        </w:rPr>
      </w:pPr>
      <w:r>
        <w:rPr>
          <w:rFonts w:hint="eastAsia" w:ascii="宋体" w:hAnsi="宋体" w:eastAsia="宋体" w:cs="宋体"/>
          <w:bCs/>
          <w:szCs w:val="21"/>
        </w:rPr>
        <w:t>验收组织方式：</w:t>
      </w:r>
      <w:r>
        <w:rPr>
          <w:rFonts w:hint="eastAsia" w:ascii="宋体" w:hAnsi="宋体" w:eastAsia="宋体" w:cs="宋体"/>
          <w:sz w:val="21"/>
          <w:szCs w:val="21"/>
        </w:rPr>
        <w:sym w:font="Wingdings" w:char="00FE"/>
      </w:r>
      <w:r>
        <w:rPr>
          <w:rFonts w:hint="eastAsia" w:ascii="宋体" w:hAnsi="宋体" w:eastAsia="宋体" w:cs="宋体"/>
          <w:bCs/>
          <w:szCs w:val="21"/>
        </w:rPr>
        <w:t xml:space="preserve">自行组织 </w:t>
      </w:r>
      <w:r>
        <w:rPr>
          <w:rFonts w:hint="eastAsia" w:ascii="宋体" w:hAnsi="宋体" w:eastAsia="宋体" w:cs="宋体"/>
          <w:sz w:val="21"/>
          <w:szCs w:val="21"/>
        </w:rPr>
        <w:sym w:font="Wingdings" w:char="00A8"/>
      </w:r>
      <w:r>
        <w:rPr>
          <w:rFonts w:hint="eastAsia" w:ascii="宋体" w:hAnsi="宋体" w:eastAsia="宋体" w:cs="宋体"/>
          <w:bCs/>
          <w:szCs w:val="21"/>
        </w:rPr>
        <w:t>委托第三方组织</w:t>
      </w:r>
    </w:p>
    <w:p w14:paraId="6E75289C">
      <w:pPr>
        <w:numPr>
          <w:ilvl w:val="0"/>
          <w:numId w:val="0"/>
        </w:numPr>
        <w:shd w:val="clear" w:color="auto" w:fill="auto"/>
        <w:adjustRightInd w:val="0"/>
        <w:snapToGrid w:val="0"/>
        <w:spacing w:before="0" w:beforeLines="0" w:line="400" w:lineRule="exact"/>
        <w:rPr>
          <w:rFonts w:hint="eastAsia" w:ascii="宋体" w:hAnsi="宋体" w:eastAsia="宋体" w:cs="宋体"/>
          <w:bCs/>
          <w:szCs w:val="21"/>
          <w:u w:val="single"/>
        </w:rPr>
      </w:pPr>
      <w:r>
        <w:rPr>
          <w:rFonts w:hint="eastAsia" w:ascii="宋体" w:hAnsi="宋体" w:eastAsia="宋体" w:cs="宋体"/>
          <w:bCs/>
          <w:szCs w:val="21"/>
          <w:lang w:val="en-US" w:eastAsia="zh-CN"/>
        </w:rPr>
        <w:t xml:space="preserve">        </w:t>
      </w:r>
      <w:r>
        <w:rPr>
          <w:rFonts w:hint="eastAsia" w:ascii="宋体" w:hAnsi="宋体" w:eastAsia="宋体" w:cs="宋体"/>
          <w:bCs/>
          <w:szCs w:val="21"/>
        </w:rPr>
        <w:t>验收主体：</w:t>
      </w:r>
      <w:r>
        <w:rPr>
          <w:rFonts w:hint="eastAsia" w:ascii="宋体" w:hAnsi="宋体" w:eastAsia="宋体" w:cs="宋体"/>
          <w:bCs/>
          <w:szCs w:val="21"/>
          <w:u w:val="single"/>
        </w:rPr>
        <w:t>香格里拉普达措国家公园管理局</w:t>
      </w:r>
    </w:p>
    <w:p w14:paraId="34406EE6">
      <w:pPr>
        <w:shd w:val="clear" w:color="auto" w:fill="auto"/>
        <w:adjustRightInd w:val="0"/>
        <w:snapToGrid w:val="0"/>
        <w:spacing w:before="0" w:beforeLines="0" w:line="400" w:lineRule="exact"/>
        <w:ind w:firstLine="0" w:firstLineChars="0"/>
        <w:rPr>
          <w:rFonts w:hint="eastAsia" w:ascii="宋体" w:hAnsi="宋体" w:eastAsia="宋体" w:cs="宋体"/>
          <w:bCs/>
          <w:szCs w:val="21"/>
        </w:rPr>
      </w:pPr>
      <w:r>
        <w:rPr>
          <w:rFonts w:hint="eastAsia" w:ascii="宋体" w:hAnsi="宋体" w:eastAsia="宋体" w:cs="宋体"/>
          <w:bCs/>
          <w:szCs w:val="21"/>
          <w:lang w:val="en-US" w:eastAsia="zh-CN"/>
        </w:rPr>
        <w:t xml:space="preserve">        </w:t>
      </w:r>
      <w:r>
        <w:rPr>
          <w:rFonts w:hint="eastAsia" w:ascii="宋体" w:hAnsi="宋体" w:eastAsia="宋体" w:cs="宋体"/>
          <w:bCs/>
          <w:szCs w:val="21"/>
        </w:rPr>
        <w:t>是否邀请本项目的其他供应商</w:t>
      </w:r>
      <w:r>
        <w:rPr>
          <w:rFonts w:hint="eastAsia" w:ascii="宋体" w:hAnsi="宋体" w:eastAsia="宋体" w:cs="宋体"/>
          <w:bCs/>
          <w:szCs w:val="21"/>
          <w:lang w:eastAsia="zh-CN"/>
        </w:rPr>
        <w:t>参加验收</w:t>
      </w:r>
      <w:r>
        <w:rPr>
          <w:rFonts w:hint="eastAsia" w:ascii="宋体" w:hAnsi="宋体" w:eastAsia="宋体" w:cs="宋体"/>
          <w:bCs/>
          <w:szCs w:val="21"/>
        </w:rPr>
        <w:t>：</w:t>
      </w:r>
      <w:r>
        <w:rPr>
          <w:rFonts w:hint="eastAsia" w:ascii="宋体" w:hAnsi="宋体" w:eastAsia="宋体" w:cs="宋体"/>
          <w:sz w:val="21"/>
          <w:szCs w:val="21"/>
        </w:rPr>
        <w:sym w:font="Wingdings" w:char="00A8"/>
      </w:r>
      <w:r>
        <w:rPr>
          <w:rFonts w:hint="eastAsia" w:ascii="宋体" w:hAnsi="宋体" w:eastAsia="宋体" w:cs="宋体"/>
          <w:bCs/>
          <w:szCs w:val="21"/>
        </w:rPr>
        <w:t xml:space="preserve">是  </w:t>
      </w:r>
      <w:r>
        <w:rPr>
          <w:rFonts w:hint="eastAsia" w:ascii="宋体" w:hAnsi="宋体" w:eastAsia="宋体" w:cs="宋体"/>
          <w:sz w:val="21"/>
          <w:szCs w:val="21"/>
        </w:rPr>
        <w:sym w:font="Wingdings" w:char="00FE"/>
      </w:r>
      <w:r>
        <w:rPr>
          <w:rFonts w:hint="eastAsia" w:ascii="宋体" w:hAnsi="宋体" w:eastAsia="宋体" w:cs="宋体"/>
          <w:bCs/>
          <w:szCs w:val="21"/>
        </w:rPr>
        <w:t>否</w:t>
      </w:r>
    </w:p>
    <w:p w14:paraId="2CCEBF9B">
      <w:pPr>
        <w:shd w:val="clear" w:color="auto" w:fill="auto"/>
        <w:adjustRightInd w:val="0"/>
        <w:snapToGrid w:val="0"/>
        <w:spacing w:before="0" w:beforeLines="0" w:line="400" w:lineRule="exact"/>
        <w:ind w:firstLine="840" w:firstLineChars="400"/>
        <w:rPr>
          <w:rFonts w:hint="eastAsia" w:ascii="宋体" w:hAnsi="宋体" w:eastAsia="宋体" w:cs="宋体"/>
          <w:bCs/>
          <w:szCs w:val="21"/>
        </w:rPr>
      </w:pPr>
      <w:r>
        <w:rPr>
          <w:rFonts w:hint="eastAsia" w:ascii="宋体" w:hAnsi="宋体" w:eastAsia="宋体" w:cs="宋体"/>
          <w:bCs/>
          <w:szCs w:val="21"/>
        </w:rPr>
        <w:t>是否邀请专家</w:t>
      </w:r>
      <w:r>
        <w:rPr>
          <w:rFonts w:hint="eastAsia" w:ascii="宋体" w:hAnsi="宋体" w:eastAsia="宋体" w:cs="宋体"/>
          <w:bCs/>
          <w:szCs w:val="21"/>
          <w:lang w:eastAsia="zh-CN"/>
        </w:rPr>
        <w:t>参加验收</w:t>
      </w:r>
      <w:r>
        <w:rPr>
          <w:rFonts w:hint="eastAsia" w:ascii="宋体" w:hAnsi="宋体" w:eastAsia="宋体" w:cs="宋体"/>
          <w:bCs/>
          <w:szCs w:val="21"/>
        </w:rPr>
        <w:t>：</w:t>
      </w:r>
      <w:r>
        <w:rPr>
          <w:rFonts w:hint="eastAsia" w:ascii="宋体" w:hAnsi="宋体" w:eastAsia="宋体" w:cs="宋体"/>
          <w:sz w:val="21"/>
          <w:szCs w:val="21"/>
        </w:rPr>
        <w:sym w:font="Wingdings" w:char="00FE"/>
      </w:r>
      <w:r>
        <w:rPr>
          <w:rFonts w:hint="eastAsia" w:ascii="宋体" w:hAnsi="宋体" w:eastAsia="宋体" w:cs="宋体"/>
          <w:bCs/>
          <w:szCs w:val="21"/>
        </w:rPr>
        <w:t xml:space="preserve">是  </w:t>
      </w:r>
      <w:r>
        <w:rPr>
          <w:rFonts w:hint="eastAsia" w:ascii="宋体" w:hAnsi="宋体" w:eastAsia="宋体" w:cs="宋体"/>
          <w:sz w:val="21"/>
          <w:szCs w:val="21"/>
        </w:rPr>
        <w:sym w:font="Wingdings" w:char="00A8"/>
      </w:r>
      <w:r>
        <w:rPr>
          <w:rFonts w:hint="eastAsia" w:ascii="宋体" w:hAnsi="宋体" w:eastAsia="宋体" w:cs="宋体"/>
          <w:bCs/>
          <w:szCs w:val="21"/>
        </w:rPr>
        <w:t>否</w:t>
      </w:r>
    </w:p>
    <w:p w14:paraId="22C33D4F">
      <w:pPr>
        <w:shd w:val="clear" w:color="auto" w:fill="auto"/>
        <w:adjustRightInd w:val="0"/>
        <w:snapToGrid w:val="0"/>
        <w:spacing w:before="0" w:beforeLines="0" w:line="400" w:lineRule="exact"/>
        <w:ind w:firstLine="840" w:firstLineChars="400"/>
        <w:rPr>
          <w:rFonts w:hint="eastAsia" w:ascii="宋体" w:hAnsi="宋体" w:eastAsia="宋体" w:cs="宋体"/>
          <w:bCs/>
          <w:szCs w:val="21"/>
        </w:rPr>
      </w:pPr>
      <w:r>
        <w:rPr>
          <w:rFonts w:hint="eastAsia" w:ascii="宋体" w:hAnsi="宋体" w:eastAsia="宋体" w:cs="宋体"/>
          <w:bCs/>
          <w:szCs w:val="21"/>
        </w:rPr>
        <w:t>是否邀请服务对象</w:t>
      </w:r>
      <w:r>
        <w:rPr>
          <w:rFonts w:hint="eastAsia" w:ascii="宋体" w:hAnsi="宋体" w:eastAsia="宋体" w:cs="宋体"/>
          <w:bCs/>
          <w:szCs w:val="21"/>
          <w:lang w:eastAsia="zh-CN"/>
        </w:rPr>
        <w:t>参加验收</w:t>
      </w:r>
      <w:r>
        <w:rPr>
          <w:rFonts w:hint="eastAsia" w:ascii="宋体" w:hAnsi="宋体" w:eastAsia="宋体" w:cs="宋体"/>
          <w:bCs/>
          <w:szCs w:val="21"/>
        </w:rPr>
        <w:t>：</w:t>
      </w:r>
      <w:r>
        <w:rPr>
          <w:rFonts w:hint="eastAsia" w:ascii="宋体" w:hAnsi="宋体" w:eastAsia="宋体" w:cs="宋体"/>
          <w:sz w:val="21"/>
          <w:szCs w:val="21"/>
        </w:rPr>
        <w:sym w:font="Wingdings" w:char="00A8"/>
      </w:r>
      <w:r>
        <w:rPr>
          <w:rFonts w:hint="eastAsia" w:ascii="宋体" w:hAnsi="宋体" w:eastAsia="宋体" w:cs="宋体"/>
          <w:bCs/>
          <w:szCs w:val="21"/>
        </w:rPr>
        <w:t xml:space="preserve">是  </w:t>
      </w:r>
      <w:r>
        <w:rPr>
          <w:rFonts w:hint="eastAsia" w:ascii="宋体" w:hAnsi="宋体" w:eastAsia="宋体" w:cs="宋体"/>
          <w:sz w:val="21"/>
          <w:szCs w:val="21"/>
        </w:rPr>
        <w:sym w:font="Wingdings" w:char="00FE"/>
      </w:r>
      <w:r>
        <w:rPr>
          <w:rFonts w:hint="eastAsia" w:ascii="宋体" w:hAnsi="宋体" w:eastAsia="宋体" w:cs="宋体"/>
          <w:bCs/>
          <w:szCs w:val="21"/>
        </w:rPr>
        <w:t>否</w:t>
      </w:r>
    </w:p>
    <w:p w14:paraId="1FFB3590">
      <w:pPr>
        <w:shd w:val="clear" w:color="auto" w:fill="auto"/>
        <w:adjustRightInd w:val="0"/>
        <w:snapToGrid w:val="0"/>
        <w:spacing w:before="0" w:beforeLines="0" w:line="400" w:lineRule="exact"/>
        <w:ind w:firstLine="840" w:firstLineChars="400"/>
        <w:rPr>
          <w:rFonts w:hint="eastAsia" w:ascii="宋体" w:hAnsi="宋体" w:eastAsia="宋体" w:cs="宋体"/>
          <w:bCs/>
          <w:szCs w:val="21"/>
        </w:rPr>
      </w:pPr>
      <w:r>
        <w:rPr>
          <w:rFonts w:hint="eastAsia" w:ascii="宋体" w:hAnsi="宋体" w:eastAsia="宋体" w:cs="宋体"/>
          <w:bCs/>
          <w:szCs w:val="21"/>
        </w:rPr>
        <w:t>是否邀请第三方检测机构</w:t>
      </w:r>
      <w:r>
        <w:rPr>
          <w:rFonts w:hint="eastAsia" w:ascii="宋体" w:hAnsi="宋体" w:eastAsia="宋体" w:cs="宋体"/>
          <w:bCs/>
          <w:szCs w:val="21"/>
          <w:lang w:eastAsia="zh-CN"/>
        </w:rPr>
        <w:t>参加验收</w:t>
      </w:r>
      <w:r>
        <w:rPr>
          <w:rFonts w:hint="eastAsia" w:ascii="宋体" w:hAnsi="宋体" w:eastAsia="宋体" w:cs="宋体"/>
          <w:bCs/>
          <w:szCs w:val="21"/>
        </w:rPr>
        <w:t>：</w:t>
      </w:r>
      <w:r>
        <w:rPr>
          <w:rFonts w:hint="eastAsia" w:ascii="宋体" w:hAnsi="宋体" w:eastAsia="宋体" w:cs="宋体"/>
          <w:sz w:val="21"/>
          <w:szCs w:val="21"/>
        </w:rPr>
        <w:sym w:font="Wingdings" w:char="00A8"/>
      </w:r>
      <w:r>
        <w:rPr>
          <w:rFonts w:hint="eastAsia" w:ascii="宋体" w:hAnsi="宋体" w:eastAsia="宋体" w:cs="宋体"/>
          <w:bCs/>
          <w:szCs w:val="21"/>
        </w:rPr>
        <w:t xml:space="preserve">是  </w:t>
      </w:r>
      <w:r>
        <w:rPr>
          <w:rFonts w:hint="eastAsia" w:ascii="宋体" w:hAnsi="宋体" w:eastAsia="宋体" w:cs="宋体"/>
          <w:sz w:val="21"/>
          <w:szCs w:val="21"/>
        </w:rPr>
        <w:sym w:font="Wingdings" w:char="00FE"/>
      </w:r>
      <w:r>
        <w:rPr>
          <w:rFonts w:hint="eastAsia" w:ascii="宋体" w:hAnsi="宋体" w:eastAsia="宋体" w:cs="宋体"/>
          <w:bCs/>
          <w:szCs w:val="21"/>
        </w:rPr>
        <w:t>否</w:t>
      </w:r>
    </w:p>
    <w:p w14:paraId="7025C7A9">
      <w:pPr>
        <w:shd w:val="clear" w:color="auto" w:fill="auto"/>
        <w:adjustRightInd w:val="0"/>
        <w:snapToGrid w:val="0"/>
        <w:spacing w:before="0" w:beforeLines="0" w:line="400" w:lineRule="exact"/>
        <w:ind w:firstLine="840" w:firstLineChars="400"/>
        <w:rPr>
          <w:rFonts w:hint="eastAsia" w:ascii="宋体" w:hAnsi="宋体" w:eastAsia="宋体" w:cs="宋体"/>
          <w:bCs/>
          <w:szCs w:val="21"/>
        </w:rPr>
      </w:pPr>
      <w:r>
        <w:rPr>
          <w:rFonts w:hint="eastAsia" w:ascii="宋体" w:hAnsi="宋体" w:eastAsia="宋体" w:cs="宋体"/>
          <w:bCs/>
          <w:szCs w:val="21"/>
          <w:lang w:eastAsia="zh-CN"/>
        </w:rPr>
        <w:t>是否进行抽查检测：</w:t>
      </w:r>
      <w:r>
        <w:rPr>
          <w:rFonts w:hint="eastAsia" w:ascii="宋体" w:hAnsi="宋体" w:eastAsia="宋体" w:cs="宋体"/>
          <w:sz w:val="21"/>
          <w:szCs w:val="21"/>
        </w:rPr>
        <w:sym w:font="Wingdings" w:char="00A8"/>
      </w:r>
      <w:r>
        <w:rPr>
          <w:rFonts w:hint="eastAsia" w:ascii="宋体" w:hAnsi="宋体" w:eastAsia="宋体" w:cs="宋体"/>
          <w:bCs/>
          <w:szCs w:val="21"/>
        </w:rPr>
        <w:t>是</w:t>
      </w:r>
      <w:r>
        <w:rPr>
          <w:rFonts w:hint="eastAsia" w:ascii="宋体" w:hAnsi="宋体" w:eastAsia="宋体" w:cs="宋体"/>
          <w:bCs/>
          <w:szCs w:val="21"/>
          <w:lang w:eastAsia="zh-CN"/>
        </w:rPr>
        <w:t>，抽查比例：</w:t>
      </w:r>
      <w:r>
        <w:rPr>
          <w:rFonts w:hint="eastAsia" w:ascii="宋体" w:hAnsi="宋体" w:eastAsia="宋体" w:cs="宋体"/>
          <w:bCs/>
          <w:szCs w:val="21"/>
          <w:u w:val="single"/>
        </w:rPr>
        <w:t xml:space="preserve">   </w:t>
      </w:r>
      <w:r>
        <w:rPr>
          <w:rFonts w:hint="eastAsia" w:ascii="宋体" w:hAnsi="宋体" w:eastAsia="宋体" w:cs="宋体"/>
          <w:bCs/>
          <w:szCs w:val="21"/>
          <w:u w:val="single"/>
          <w:lang w:val="en-US" w:eastAsia="zh-CN"/>
        </w:rPr>
        <w:t xml:space="preserve">     </w:t>
      </w:r>
      <w:r>
        <w:rPr>
          <w:rFonts w:hint="eastAsia" w:ascii="宋体" w:hAnsi="宋体" w:eastAsia="宋体" w:cs="宋体"/>
          <w:bCs/>
          <w:szCs w:val="21"/>
        </w:rPr>
        <w:t xml:space="preserve"> </w:t>
      </w:r>
      <w:r>
        <w:rPr>
          <w:rFonts w:hint="eastAsia" w:ascii="宋体" w:hAnsi="宋体" w:eastAsia="宋体" w:cs="宋体"/>
          <w:sz w:val="21"/>
          <w:szCs w:val="21"/>
        </w:rPr>
        <w:sym w:font="Wingdings" w:char="00FE"/>
      </w:r>
      <w:r>
        <w:rPr>
          <w:rFonts w:hint="eastAsia" w:ascii="宋体" w:hAnsi="宋体" w:eastAsia="宋体" w:cs="宋体"/>
          <w:bCs/>
          <w:szCs w:val="21"/>
        </w:rPr>
        <w:t>否</w:t>
      </w:r>
    </w:p>
    <w:p w14:paraId="714A7104">
      <w:pPr>
        <w:shd w:val="clear" w:color="auto" w:fill="auto"/>
        <w:adjustRightInd w:val="0"/>
        <w:snapToGrid w:val="0"/>
        <w:spacing w:before="0" w:beforeLines="0" w:line="400" w:lineRule="exact"/>
        <w:ind w:firstLine="840" w:firstLineChars="400"/>
        <w:rPr>
          <w:rFonts w:hint="default" w:ascii="宋体" w:hAnsi="宋体" w:eastAsia="宋体" w:cs="宋体"/>
          <w:bCs/>
          <w:szCs w:val="21"/>
          <w:u w:val="single"/>
          <w:lang w:val="en-US" w:eastAsia="zh-CN"/>
        </w:rPr>
      </w:pPr>
      <w:r>
        <w:rPr>
          <w:rFonts w:hint="eastAsia" w:ascii="宋体" w:hAnsi="宋体" w:eastAsia="宋体" w:cs="宋体"/>
          <w:bCs/>
          <w:szCs w:val="21"/>
          <w:lang w:val="en-US" w:eastAsia="zh-CN"/>
        </w:rPr>
        <w:t>是否存在破坏性检测：</w:t>
      </w:r>
      <w:r>
        <w:rPr>
          <w:rFonts w:hint="eastAsia" w:ascii="宋体" w:hAnsi="宋体" w:eastAsia="宋体" w:cs="宋体"/>
          <w:sz w:val="21"/>
          <w:szCs w:val="21"/>
        </w:rPr>
        <w:sym w:font="Wingdings" w:char="00A8"/>
      </w:r>
      <w:r>
        <w:rPr>
          <w:rFonts w:hint="eastAsia" w:ascii="宋体" w:hAnsi="宋体" w:eastAsia="宋体" w:cs="宋体"/>
          <w:bCs/>
          <w:szCs w:val="21"/>
        </w:rPr>
        <w:t>是</w:t>
      </w:r>
      <w:r>
        <w:rPr>
          <w:rFonts w:hint="eastAsia" w:ascii="宋体" w:hAnsi="宋体" w:eastAsia="宋体" w:cs="宋体"/>
          <w:bCs/>
          <w:szCs w:val="21"/>
          <w:lang w:eastAsia="zh-CN"/>
        </w:rPr>
        <w:t>，</w:t>
      </w:r>
      <w:r>
        <w:rPr>
          <w:rFonts w:hint="eastAsia" w:ascii="宋体" w:hAnsi="宋体" w:eastAsia="宋体" w:cs="宋体"/>
          <w:bCs/>
          <w:szCs w:val="21"/>
          <w:u w:val="single"/>
          <w:lang w:val="en-US" w:eastAsia="zh-CN"/>
        </w:rPr>
        <w:t xml:space="preserve">                  </w:t>
      </w:r>
    </w:p>
    <w:p w14:paraId="058F4D45">
      <w:pPr>
        <w:shd w:val="clear" w:color="auto" w:fill="auto"/>
        <w:adjustRightInd w:val="0"/>
        <w:snapToGrid w:val="0"/>
        <w:spacing w:before="0" w:beforeLines="0" w:line="400" w:lineRule="exact"/>
        <w:ind w:firstLine="840" w:firstLineChars="400"/>
        <w:rPr>
          <w:rFonts w:hint="eastAsia" w:ascii="宋体" w:hAnsi="宋体" w:eastAsia="宋体" w:cs="宋体"/>
          <w:bCs/>
          <w:szCs w:val="21"/>
          <w:lang w:eastAsia="zh-CN"/>
        </w:rPr>
      </w:pPr>
      <w:r>
        <w:rPr>
          <w:rFonts w:hint="eastAsia" w:ascii="宋体" w:hAnsi="宋体" w:eastAsia="宋体" w:cs="宋体"/>
          <w:bCs/>
          <w:szCs w:val="21"/>
          <w:lang w:val="en-US" w:eastAsia="zh-CN"/>
        </w:rPr>
        <w:t xml:space="preserve">                    </w:t>
      </w:r>
      <w:r>
        <w:rPr>
          <w:rFonts w:hint="eastAsia" w:ascii="宋体" w:hAnsi="宋体" w:eastAsia="宋体" w:cs="宋体"/>
          <w:sz w:val="21"/>
          <w:szCs w:val="21"/>
        </w:rPr>
        <w:sym w:font="Wingdings" w:char="00FE"/>
      </w:r>
      <w:r>
        <w:rPr>
          <w:rFonts w:hint="eastAsia" w:ascii="宋体" w:hAnsi="宋体" w:eastAsia="宋体" w:cs="宋体"/>
          <w:bCs/>
          <w:szCs w:val="21"/>
        </w:rPr>
        <w:t>否</w:t>
      </w:r>
    </w:p>
    <w:p w14:paraId="02C1471C">
      <w:pPr>
        <w:shd w:val="clear" w:color="auto" w:fill="auto"/>
        <w:adjustRightInd w:val="0"/>
        <w:snapToGrid w:val="0"/>
        <w:spacing w:before="0" w:beforeLines="0" w:line="400" w:lineRule="exact"/>
        <w:ind w:firstLine="840" w:firstLineChars="400"/>
        <w:rPr>
          <w:rFonts w:hint="eastAsia" w:ascii="宋体" w:hAnsi="宋体" w:eastAsia="宋体" w:cs="宋体"/>
          <w:bCs/>
          <w:szCs w:val="21"/>
          <w:u w:val="single"/>
        </w:rPr>
      </w:pPr>
      <w:r>
        <w:rPr>
          <w:rFonts w:hint="eastAsia" w:ascii="宋体" w:hAnsi="宋体" w:eastAsia="宋体" w:cs="宋体"/>
          <w:bCs/>
          <w:szCs w:val="21"/>
        </w:rPr>
        <w:t>验收组织的其他事项：</w:t>
      </w:r>
      <w:r>
        <w:rPr>
          <w:rFonts w:hint="eastAsia" w:ascii="宋体" w:hAnsi="宋体" w:eastAsia="宋体" w:cs="宋体"/>
          <w:bCs/>
          <w:szCs w:val="21"/>
          <w:u w:val="single"/>
        </w:rPr>
        <w:t xml:space="preserve">                </w:t>
      </w:r>
    </w:p>
    <w:p w14:paraId="2440F795">
      <w:pPr>
        <w:shd w:val="clear" w:color="auto" w:fill="auto"/>
        <w:adjustRightInd w:val="0"/>
        <w:snapToGrid w:val="0"/>
        <w:spacing w:before="0" w:beforeLines="0" w:line="400" w:lineRule="exact"/>
        <w:ind w:firstLine="420" w:firstLineChars="200"/>
        <w:rPr>
          <w:rFonts w:hint="eastAsia" w:ascii="宋体" w:hAnsi="宋体" w:eastAsia="宋体" w:cs="宋体"/>
          <w:bCs/>
          <w:szCs w:val="21"/>
          <w:u w:val="single"/>
        </w:rPr>
      </w:pPr>
      <w:r>
        <w:rPr>
          <w:rFonts w:hint="eastAsia" w:ascii="宋体" w:hAnsi="宋体" w:eastAsia="宋体" w:cs="宋体"/>
          <w:bCs/>
          <w:szCs w:val="21"/>
        </w:rPr>
        <w:t>（2）履约验收时间：</w:t>
      </w:r>
      <w:r>
        <w:rPr>
          <w:rFonts w:hint="eastAsia" w:ascii="宋体" w:hAnsi="宋体" w:eastAsia="宋体" w:cs="宋体"/>
          <w:bCs/>
          <w:szCs w:val="21"/>
          <w:u w:val="single"/>
        </w:rPr>
        <w:t>（计划于何时验收/供应商提出验收申请之日起</w:t>
      </w:r>
      <w:r>
        <w:rPr>
          <w:rFonts w:hint="eastAsia" w:ascii="宋体" w:hAnsi="宋体" w:eastAsia="宋体" w:cs="宋体"/>
          <w:bCs/>
          <w:szCs w:val="21"/>
          <w:u w:val="single"/>
          <w:lang w:val="en-US" w:eastAsia="zh-CN"/>
        </w:rPr>
        <w:t>15</w:t>
      </w:r>
      <w:r>
        <w:rPr>
          <w:rFonts w:hint="eastAsia" w:ascii="宋体" w:hAnsi="宋体" w:eastAsia="宋体" w:cs="宋体"/>
          <w:bCs/>
          <w:szCs w:val="21"/>
          <w:u w:val="single"/>
        </w:rPr>
        <w:t>日内组织验收）</w:t>
      </w:r>
      <w:r>
        <w:rPr>
          <w:rFonts w:hint="eastAsia" w:ascii="宋体" w:hAnsi="宋体" w:eastAsia="宋体" w:cs="宋体"/>
          <w:bCs/>
          <w:szCs w:val="21"/>
          <w:u w:val="single"/>
          <w:lang w:val="en-US" w:eastAsia="zh-CN"/>
        </w:rPr>
        <w:t xml:space="preserve"> </w:t>
      </w:r>
    </w:p>
    <w:p w14:paraId="20635717">
      <w:pPr>
        <w:shd w:val="clear" w:color="auto" w:fill="auto"/>
        <w:adjustRightInd w:val="0"/>
        <w:snapToGrid w:val="0"/>
        <w:spacing w:before="0" w:beforeLines="0" w:line="400" w:lineRule="exact"/>
        <w:ind w:firstLine="420" w:firstLineChars="200"/>
        <w:rPr>
          <w:rFonts w:hint="eastAsia" w:ascii="宋体" w:hAnsi="宋体" w:eastAsia="宋体" w:cs="宋体"/>
          <w:bCs/>
          <w:szCs w:val="21"/>
        </w:rPr>
      </w:pPr>
      <w:r>
        <w:rPr>
          <w:rFonts w:hint="eastAsia" w:ascii="宋体" w:hAnsi="宋体" w:eastAsia="宋体" w:cs="宋体"/>
          <w:bCs/>
          <w:szCs w:val="21"/>
        </w:rPr>
        <w:t>（3）履约验收方式：</w:t>
      </w:r>
      <w:r>
        <w:rPr>
          <w:rFonts w:hint="eastAsia" w:ascii="宋体" w:hAnsi="宋体" w:eastAsia="宋体" w:cs="宋体"/>
          <w:sz w:val="21"/>
          <w:szCs w:val="21"/>
        </w:rPr>
        <w:sym w:font="Wingdings" w:char="00FE"/>
      </w:r>
      <w:r>
        <w:rPr>
          <w:rFonts w:hint="eastAsia" w:ascii="宋体" w:hAnsi="宋体" w:eastAsia="宋体" w:cs="宋体"/>
          <w:bCs/>
          <w:szCs w:val="21"/>
        </w:rPr>
        <w:t xml:space="preserve">一次性验收         </w:t>
      </w:r>
    </w:p>
    <w:p w14:paraId="6B0606B3">
      <w:pPr>
        <w:shd w:val="clear" w:color="auto" w:fill="auto"/>
        <w:adjustRightInd w:val="0"/>
        <w:snapToGrid w:val="0"/>
        <w:spacing w:before="0" w:beforeLines="0" w:line="400" w:lineRule="exact"/>
        <w:ind w:firstLine="0" w:firstLineChars="0"/>
        <w:rPr>
          <w:rFonts w:hint="eastAsia" w:ascii="宋体" w:hAnsi="宋体" w:eastAsia="宋体" w:cs="宋体"/>
          <w:bCs/>
          <w:szCs w:val="21"/>
          <w:lang w:val="en-US" w:eastAsia="zh-CN"/>
        </w:rPr>
      </w:pPr>
      <w:r>
        <w:rPr>
          <w:rFonts w:hint="eastAsia" w:ascii="宋体" w:hAnsi="宋体" w:eastAsia="宋体" w:cs="宋体"/>
          <w:bCs/>
          <w:szCs w:val="21"/>
          <w:lang w:val="en-US" w:eastAsia="zh-CN"/>
        </w:rPr>
        <w:t xml:space="preserve">                       </w:t>
      </w:r>
      <w:r>
        <w:rPr>
          <w:rFonts w:hint="eastAsia" w:ascii="宋体" w:hAnsi="宋体" w:eastAsia="宋体" w:cs="宋体"/>
          <w:sz w:val="21"/>
          <w:szCs w:val="21"/>
        </w:rPr>
        <w:sym w:font="Wingdings" w:char="00A8"/>
      </w:r>
      <w:r>
        <w:rPr>
          <w:rFonts w:hint="eastAsia" w:ascii="宋体" w:hAnsi="宋体" w:eastAsia="宋体" w:cs="宋体"/>
          <w:bCs/>
          <w:szCs w:val="21"/>
        </w:rPr>
        <w:t>分期/分项验收</w:t>
      </w:r>
      <w:r>
        <w:rPr>
          <w:rFonts w:hint="eastAsia" w:ascii="宋体" w:hAnsi="宋体" w:eastAsia="宋体" w:cs="宋体"/>
          <w:bCs/>
          <w:szCs w:val="21"/>
          <w:lang w:eastAsia="zh-CN"/>
        </w:rPr>
        <w:t>：</w:t>
      </w:r>
      <w:r>
        <w:rPr>
          <w:rFonts w:hint="eastAsia" w:ascii="宋体" w:hAnsi="宋体" w:eastAsia="宋体" w:cs="宋体"/>
          <w:bCs/>
          <w:szCs w:val="21"/>
          <w:u w:val="single"/>
        </w:rPr>
        <w:t xml:space="preserve"> </w:t>
      </w:r>
      <w:r>
        <w:rPr>
          <w:rFonts w:hint="eastAsia" w:ascii="宋体" w:hAnsi="宋体" w:eastAsia="宋体" w:cs="宋体"/>
          <w:bCs/>
          <w:szCs w:val="21"/>
          <w:u w:val="single"/>
          <w:lang w:eastAsia="zh-CN"/>
        </w:rPr>
        <w:t>（应明确分期</w:t>
      </w:r>
      <w:r>
        <w:rPr>
          <w:rFonts w:hint="eastAsia" w:ascii="宋体" w:hAnsi="宋体" w:eastAsia="宋体" w:cs="宋体"/>
          <w:bCs/>
          <w:szCs w:val="21"/>
          <w:u w:val="single"/>
          <w:lang w:val="en" w:eastAsia="zh-CN"/>
        </w:rPr>
        <w:t>/分项验收的工作安排</w:t>
      </w:r>
      <w:r>
        <w:rPr>
          <w:rFonts w:hint="eastAsia" w:ascii="宋体" w:hAnsi="宋体" w:eastAsia="宋体" w:cs="宋体"/>
          <w:bCs/>
          <w:szCs w:val="21"/>
          <w:u w:val="single"/>
          <w:lang w:eastAsia="zh-CN"/>
        </w:rPr>
        <w:t>）</w:t>
      </w:r>
      <w:r>
        <w:rPr>
          <w:rFonts w:hint="eastAsia" w:ascii="宋体" w:hAnsi="宋体" w:eastAsia="宋体" w:cs="宋体"/>
          <w:bCs/>
          <w:szCs w:val="21"/>
          <w:u w:val="single"/>
        </w:rPr>
        <w:t xml:space="preserve"> </w:t>
      </w:r>
      <w:r>
        <w:rPr>
          <w:rFonts w:hint="eastAsia" w:ascii="宋体" w:hAnsi="宋体" w:eastAsia="宋体" w:cs="宋体"/>
          <w:bCs/>
          <w:szCs w:val="21"/>
          <w:u w:val="single"/>
          <w:lang w:val="en-US" w:eastAsia="zh-CN"/>
        </w:rPr>
        <w:t xml:space="preserve"> </w:t>
      </w:r>
    </w:p>
    <w:p w14:paraId="720AFA20">
      <w:pPr>
        <w:shd w:val="clear" w:color="auto" w:fill="auto"/>
        <w:adjustRightInd w:val="0"/>
        <w:snapToGrid w:val="0"/>
        <w:spacing w:before="0" w:beforeLines="0" w:line="400" w:lineRule="exact"/>
        <w:ind w:firstLine="420" w:firstLineChars="200"/>
        <w:rPr>
          <w:rFonts w:hint="eastAsia" w:ascii="宋体" w:hAnsi="宋体" w:eastAsia="宋体" w:cs="宋体"/>
          <w:bCs/>
          <w:szCs w:val="21"/>
        </w:rPr>
      </w:pPr>
      <w:r>
        <w:rPr>
          <w:rFonts w:hint="eastAsia" w:ascii="宋体" w:hAnsi="宋体" w:eastAsia="宋体" w:cs="宋体"/>
          <w:bCs/>
          <w:szCs w:val="21"/>
        </w:rPr>
        <w:t>（4）履约验收程序：</w:t>
      </w:r>
    </w:p>
    <w:p w14:paraId="46706EDF">
      <w:pPr>
        <w:shd w:val="clear" w:color="auto" w:fill="auto"/>
        <w:adjustRightInd w:val="0"/>
        <w:snapToGrid w:val="0"/>
        <w:spacing w:before="0" w:beforeLines="0" w:line="400" w:lineRule="exact"/>
        <w:ind w:firstLine="420" w:firstLineChars="200"/>
        <w:rPr>
          <w:rFonts w:hint="eastAsia" w:ascii="宋体" w:hAnsi="宋体" w:eastAsia="宋体" w:cs="宋体"/>
          <w:bCs/>
          <w:szCs w:val="21"/>
        </w:rPr>
      </w:pPr>
      <w:r>
        <w:rPr>
          <w:rFonts w:hint="eastAsia" w:ascii="宋体" w:hAnsi="宋体" w:eastAsia="宋体" w:cs="宋体"/>
          <w:bCs/>
          <w:szCs w:val="21"/>
          <w:lang w:val="en-US" w:eastAsia="zh-CN"/>
        </w:rPr>
        <w:t>4.1</w:t>
      </w:r>
      <w:r>
        <w:rPr>
          <w:rFonts w:hint="eastAsia" w:ascii="宋体" w:hAnsi="宋体" w:eastAsia="宋体" w:cs="宋体"/>
          <w:bCs/>
          <w:szCs w:val="21"/>
        </w:rPr>
        <w:t>初步验收</w:t>
      </w:r>
    </w:p>
    <w:p w14:paraId="64EDF80B">
      <w:pPr>
        <w:shd w:val="clear" w:color="auto" w:fill="auto"/>
        <w:adjustRightInd w:val="0"/>
        <w:snapToGrid w:val="0"/>
        <w:spacing w:before="0" w:beforeLines="0" w:line="400" w:lineRule="exact"/>
        <w:ind w:firstLine="420" w:firstLineChars="200"/>
        <w:rPr>
          <w:rFonts w:hint="eastAsia" w:ascii="宋体" w:hAnsi="宋体" w:eastAsia="宋体" w:cs="宋体"/>
          <w:bCs/>
          <w:szCs w:val="21"/>
        </w:rPr>
      </w:pPr>
      <w:r>
        <w:rPr>
          <w:rFonts w:hint="eastAsia" w:ascii="宋体" w:hAnsi="宋体" w:eastAsia="宋体" w:cs="宋体"/>
          <w:bCs/>
          <w:szCs w:val="21"/>
        </w:rPr>
        <w:t>初步验收是对各系统的功能、性能进行全面的检查验收。其流程如下：</w:t>
      </w:r>
    </w:p>
    <w:p w14:paraId="26534E1D">
      <w:pPr>
        <w:shd w:val="clear" w:color="auto" w:fill="auto"/>
        <w:adjustRightInd w:val="0"/>
        <w:snapToGrid w:val="0"/>
        <w:spacing w:before="0" w:beforeLines="0" w:line="400" w:lineRule="exact"/>
        <w:ind w:firstLine="420" w:firstLineChars="200"/>
        <w:rPr>
          <w:rFonts w:hint="eastAsia" w:ascii="宋体" w:hAnsi="宋体" w:eastAsia="宋体" w:cs="宋体"/>
          <w:bCs/>
          <w:szCs w:val="21"/>
        </w:rPr>
      </w:pPr>
      <w:r>
        <w:rPr>
          <w:rFonts w:hint="eastAsia" w:ascii="宋体" w:hAnsi="宋体" w:eastAsia="宋体" w:cs="宋体"/>
          <w:bCs/>
          <w:szCs w:val="21"/>
          <w:lang w:val="en-US" w:eastAsia="zh-CN"/>
        </w:rPr>
        <w:t>①</w:t>
      </w:r>
      <w:r>
        <w:rPr>
          <w:rFonts w:hint="eastAsia" w:ascii="宋体" w:hAnsi="宋体" w:eastAsia="宋体" w:cs="宋体"/>
          <w:bCs/>
          <w:szCs w:val="21"/>
        </w:rPr>
        <w:t>自检。在项目建设完成后，由项目经理组织多部门负责人进行内部自检验收。</w:t>
      </w:r>
    </w:p>
    <w:p w14:paraId="60DE2BBC">
      <w:pPr>
        <w:shd w:val="clear" w:color="auto" w:fill="auto"/>
        <w:adjustRightInd w:val="0"/>
        <w:snapToGrid w:val="0"/>
        <w:spacing w:before="0" w:beforeLines="0" w:line="400" w:lineRule="exact"/>
        <w:ind w:firstLine="420" w:firstLineChars="200"/>
        <w:rPr>
          <w:rFonts w:hint="eastAsia" w:ascii="宋体" w:hAnsi="宋体" w:eastAsia="宋体" w:cs="宋体"/>
          <w:bCs/>
          <w:szCs w:val="21"/>
        </w:rPr>
      </w:pPr>
      <w:r>
        <w:rPr>
          <w:rFonts w:hint="eastAsia" w:ascii="宋体" w:hAnsi="宋体" w:eastAsia="宋体" w:cs="宋体"/>
          <w:bCs/>
          <w:szCs w:val="21"/>
          <w:lang w:val="en-US" w:eastAsia="zh-CN"/>
        </w:rPr>
        <w:t>②</w:t>
      </w:r>
      <w:r>
        <w:rPr>
          <w:rFonts w:hint="eastAsia" w:ascii="宋体" w:hAnsi="宋体" w:eastAsia="宋体" w:cs="宋体"/>
          <w:bCs/>
          <w:szCs w:val="21"/>
        </w:rPr>
        <w:t>第三方检定。自检验收合格后，聘请法定的第三方质量检验机构对系统功能、性能进行全面检验测定，并出具功能、性能合格报告证书。</w:t>
      </w:r>
    </w:p>
    <w:p w14:paraId="18D786B1">
      <w:pPr>
        <w:shd w:val="clear" w:color="auto" w:fill="auto"/>
        <w:adjustRightInd w:val="0"/>
        <w:snapToGrid w:val="0"/>
        <w:spacing w:before="0" w:beforeLines="0" w:line="400" w:lineRule="exact"/>
        <w:ind w:firstLine="420" w:firstLineChars="200"/>
        <w:rPr>
          <w:rFonts w:hint="eastAsia" w:ascii="宋体" w:hAnsi="宋体" w:eastAsia="宋体" w:cs="宋体"/>
          <w:bCs/>
          <w:szCs w:val="21"/>
        </w:rPr>
      </w:pPr>
      <w:r>
        <w:rPr>
          <w:rFonts w:hint="eastAsia" w:ascii="宋体" w:hAnsi="宋体" w:eastAsia="宋体" w:cs="宋体"/>
          <w:bCs/>
          <w:szCs w:val="21"/>
          <w:lang w:val="en-US" w:eastAsia="zh-CN"/>
        </w:rPr>
        <w:t>③</w:t>
      </w:r>
      <w:r>
        <w:rPr>
          <w:rFonts w:hint="eastAsia" w:ascii="宋体" w:hAnsi="宋体" w:eastAsia="宋体" w:cs="宋体"/>
          <w:bCs/>
          <w:szCs w:val="21"/>
        </w:rPr>
        <w:t>制定验收方案。项目部制定初步验收方案，并报请业主单位审核。</w:t>
      </w:r>
    </w:p>
    <w:p w14:paraId="1120FF15">
      <w:pPr>
        <w:shd w:val="clear" w:color="auto" w:fill="auto"/>
        <w:adjustRightInd w:val="0"/>
        <w:snapToGrid w:val="0"/>
        <w:spacing w:before="0" w:beforeLines="0" w:line="400" w:lineRule="exact"/>
        <w:ind w:firstLine="420" w:firstLineChars="200"/>
        <w:rPr>
          <w:rFonts w:hint="eastAsia" w:ascii="宋体" w:hAnsi="宋体" w:eastAsia="宋体" w:cs="宋体"/>
          <w:bCs/>
          <w:szCs w:val="21"/>
        </w:rPr>
      </w:pPr>
      <w:r>
        <w:rPr>
          <w:rFonts w:hint="eastAsia" w:ascii="宋体" w:hAnsi="宋体" w:eastAsia="宋体" w:cs="宋体"/>
          <w:bCs/>
          <w:szCs w:val="21"/>
          <w:lang w:val="en-US" w:eastAsia="zh-CN"/>
        </w:rPr>
        <w:t>④</w:t>
      </w:r>
      <w:r>
        <w:rPr>
          <w:rFonts w:hint="eastAsia" w:ascii="宋体" w:hAnsi="宋体" w:eastAsia="宋体" w:cs="宋体"/>
          <w:bCs/>
          <w:szCs w:val="21"/>
        </w:rPr>
        <w:t>初步验收。由业主组织各部门按照验收方案对系统进行全面功能和性能的初步验收。验收合格后，系统试运行三个月无重大质量问题，正式向业主单位提请正式验收。</w:t>
      </w:r>
    </w:p>
    <w:p w14:paraId="146C2CB4">
      <w:pPr>
        <w:shd w:val="clear" w:color="auto" w:fill="auto"/>
        <w:adjustRightInd w:val="0"/>
        <w:snapToGrid w:val="0"/>
        <w:spacing w:before="0" w:beforeLines="0" w:line="400" w:lineRule="exact"/>
        <w:ind w:firstLine="420" w:firstLineChars="200"/>
        <w:rPr>
          <w:rFonts w:hint="eastAsia" w:ascii="宋体" w:hAnsi="宋体" w:eastAsia="宋体" w:cs="宋体"/>
          <w:bCs/>
          <w:szCs w:val="21"/>
        </w:rPr>
      </w:pPr>
      <w:r>
        <w:rPr>
          <w:rFonts w:hint="eastAsia" w:ascii="宋体" w:hAnsi="宋体" w:eastAsia="宋体" w:cs="宋体"/>
          <w:bCs/>
          <w:szCs w:val="21"/>
          <w:lang w:val="en-US" w:eastAsia="zh-CN"/>
        </w:rPr>
        <w:t>4.2</w:t>
      </w:r>
      <w:r>
        <w:rPr>
          <w:rFonts w:hint="eastAsia" w:ascii="宋体" w:hAnsi="宋体" w:eastAsia="宋体" w:cs="宋体"/>
          <w:bCs/>
          <w:szCs w:val="21"/>
        </w:rPr>
        <w:t>正式验收</w:t>
      </w:r>
    </w:p>
    <w:p w14:paraId="562735B7">
      <w:pPr>
        <w:shd w:val="clear" w:color="auto" w:fill="auto"/>
        <w:adjustRightInd w:val="0"/>
        <w:snapToGrid w:val="0"/>
        <w:spacing w:before="0" w:beforeLines="0" w:line="400" w:lineRule="exact"/>
        <w:ind w:firstLine="420" w:firstLineChars="200"/>
        <w:rPr>
          <w:rFonts w:hint="eastAsia" w:ascii="宋体" w:hAnsi="宋体" w:eastAsia="宋体" w:cs="宋体"/>
          <w:bCs/>
          <w:szCs w:val="21"/>
        </w:rPr>
      </w:pPr>
      <w:r>
        <w:rPr>
          <w:rFonts w:hint="eastAsia" w:ascii="宋体" w:hAnsi="宋体" w:eastAsia="宋体" w:cs="宋体"/>
          <w:bCs/>
          <w:szCs w:val="21"/>
        </w:rPr>
        <w:t>正式验收是在初步验收合格后，系统稳定试运行三个月且无质量问题后，由业主单位组织相关职能单位及部门进行功能、性能抽样验收。其流程如下：</w:t>
      </w:r>
    </w:p>
    <w:p w14:paraId="50885322">
      <w:pPr>
        <w:shd w:val="clear" w:color="auto" w:fill="auto"/>
        <w:adjustRightInd w:val="0"/>
        <w:snapToGrid w:val="0"/>
        <w:spacing w:before="0" w:beforeLines="0" w:line="400" w:lineRule="exact"/>
        <w:ind w:firstLine="420" w:firstLineChars="200"/>
        <w:rPr>
          <w:rFonts w:hint="eastAsia" w:ascii="宋体" w:hAnsi="宋体" w:eastAsia="宋体" w:cs="宋体"/>
          <w:bCs/>
          <w:szCs w:val="21"/>
        </w:rPr>
      </w:pPr>
      <w:r>
        <w:rPr>
          <w:rFonts w:hint="eastAsia" w:ascii="宋体" w:hAnsi="宋体" w:eastAsia="宋体" w:cs="宋体"/>
          <w:bCs/>
          <w:szCs w:val="21"/>
          <w:lang w:val="en-US" w:eastAsia="zh-CN"/>
        </w:rPr>
        <w:t>①</w:t>
      </w:r>
      <w:r>
        <w:rPr>
          <w:rFonts w:hint="eastAsia" w:ascii="宋体" w:hAnsi="宋体" w:eastAsia="宋体" w:cs="宋体"/>
          <w:bCs/>
          <w:szCs w:val="21"/>
        </w:rPr>
        <w:t>成立验收小组。由建设单位组织成立政府采购履约验收小组，并指定负责验收小组工作的负责人。验收小组应当由熟悉掌握政府采购项目采购需求、技术需要的人员单数组成。验收小组代表招标方履行验收工作职责。</w:t>
      </w:r>
    </w:p>
    <w:p w14:paraId="2D35D2F0">
      <w:pPr>
        <w:shd w:val="clear" w:color="auto" w:fill="auto"/>
        <w:adjustRightInd w:val="0"/>
        <w:snapToGrid w:val="0"/>
        <w:spacing w:before="0" w:beforeLines="0" w:line="400" w:lineRule="exact"/>
        <w:ind w:firstLine="420" w:firstLineChars="200"/>
        <w:rPr>
          <w:rFonts w:hint="eastAsia" w:ascii="宋体" w:hAnsi="宋体" w:eastAsia="宋体" w:cs="宋体"/>
          <w:bCs/>
          <w:szCs w:val="21"/>
        </w:rPr>
      </w:pPr>
      <w:r>
        <w:rPr>
          <w:rFonts w:hint="eastAsia" w:ascii="宋体" w:hAnsi="宋体" w:eastAsia="宋体" w:cs="宋体"/>
          <w:bCs/>
          <w:szCs w:val="21"/>
          <w:lang w:val="en-US" w:eastAsia="zh-CN"/>
        </w:rPr>
        <w:t>②</w:t>
      </w:r>
      <w:r>
        <w:rPr>
          <w:rFonts w:hint="eastAsia" w:ascii="宋体" w:hAnsi="宋体" w:eastAsia="宋体" w:cs="宋体"/>
          <w:bCs/>
          <w:szCs w:val="21"/>
        </w:rPr>
        <w:t>制定验收方案。验收小组应当根据政府采购项目的具体情况，制定具体详细的采购项目验收工作方案。验收小组成员应当在实施验收前掌握采购项目采购需求、验收清单和标准、政府采购合同约定的权利义务，并完成其他准备工作。</w:t>
      </w:r>
    </w:p>
    <w:p w14:paraId="117FA0C9">
      <w:pPr>
        <w:shd w:val="clear" w:color="auto" w:fill="auto"/>
        <w:adjustRightInd w:val="0"/>
        <w:snapToGrid w:val="0"/>
        <w:spacing w:before="0" w:beforeLines="0" w:line="400" w:lineRule="exact"/>
        <w:ind w:firstLine="420" w:firstLineChars="200"/>
        <w:rPr>
          <w:rFonts w:hint="eastAsia" w:ascii="宋体" w:hAnsi="宋体" w:eastAsia="宋体" w:cs="宋体"/>
          <w:bCs/>
          <w:szCs w:val="21"/>
        </w:rPr>
      </w:pPr>
      <w:r>
        <w:rPr>
          <w:rFonts w:hint="eastAsia" w:ascii="宋体" w:hAnsi="宋体" w:eastAsia="宋体" w:cs="宋体"/>
          <w:bCs/>
          <w:szCs w:val="21"/>
          <w:lang w:val="en-US" w:eastAsia="zh-CN"/>
        </w:rPr>
        <w:t>③</w:t>
      </w:r>
      <w:r>
        <w:rPr>
          <w:rFonts w:hint="eastAsia" w:ascii="宋体" w:hAnsi="宋体" w:eastAsia="宋体" w:cs="宋体"/>
          <w:bCs/>
          <w:szCs w:val="21"/>
        </w:rPr>
        <w:t>正式验收。验收小组应当在承建单位履约完成后及时实施验收。每个验收小组成员必须作好验收记录。验收记录要准确、详细记载采购项目重要事项的履约情况。</w:t>
      </w:r>
    </w:p>
    <w:p w14:paraId="54A62A19">
      <w:pPr>
        <w:shd w:val="clear" w:color="auto" w:fill="auto"/>
        <w:adjustRightInd w:val="0"/>
        <w:snapToGrid w:val="0"/>
        <w:spacing w:before="0" w:beforeLines="0" w:line="400" w:lineRule="exact"/>
        <w:ind w:firstLine="420" w:firstLineChars="200"/>
        <w:rPr>
          <w:rFonts w:hint="eastAsia" w:ascii="宋体" w:hAnsi="宋体" w:eastAsia="宋体" w:cs="宋体"/>
          <w:bCs/>
          <w:szCs w:val="21"/>
        </w:rPr>
      </w:pPr>
      <w:r>
        <w:rPr>
          <w:rFonts w:hint="eastAsia" w:ascii="宋体" w:hAnsi="宋体" w:eastAsia="宋体" w:cs="宋体"/>
          <w:bCs/>
          <w:szCs w:val="21"/>
          <w:lang w:val="en-US" w:eastAsia="zh-CN"/>
        </w:rPr>
        <w:t>④</w:t>
      </w:r>
      <w:r>
        <w:rPr>
          <w:rFonts w:hint="eastAsia" w:ascii="宋体" w:hAnsi="宋体" w:eastAsia="宋体" w:cs="宋体"/>
          <w:bCs/>
          <w:szCs w:val="21"/>
        </w:rPr>
        <w:t>出具验收报告。验收小组完成验收后，出具验收报告。验收报告的内容应包括：实施验收过程基本情况陈述，供应商每一项技术、服务、安全标准等履约情况，与政府采购合同约定的权利义务比较情况，验收结论性意见。</w:t>
      </w:r>
    </w:p>
    <w:p w14:paraId="09069481">
      <w:pPr>
        <w:shd w:val="clear" w:color="auto" w:fill="auto"/>
        <w:adjustRightInd w:val="0"/>
        <w:snapToGrid w:val="0"/>
        <w:spacing w:before="0" w:beforeLines="0" w:line="400" w:lineRule="exact"/>
        <w:ind w:firstLine="420" w:firstLineChars="200"/>
        <w:rPr>
          <w:rFonts w:hint="eastAsia" w:ascii="宋体" w:hAnsi="宋体" w:eastAsia="宋体" w:cs="宋体"/>
          <w:bCs/>
          <w:szCs w:val="21"/>
          <w:u w:val="single"/>
        </w:rPr>
      </w:pPr>
      <w:r>
        <w:rPr>
          <w:rFonts w:hint="eastAsia" w:ascii="宋体" w:hAnsi="宋体" w:eastAsia="宋体" w:cs="宋体"/>
          <w:bCs/>
          <w:szCs w:val="21"/>
        </w:rPr>
        <w:t>（5）履约验收的内容：</w:t>
      </w:r>
      <w:r>
        <w:rPr>
          <w:rFonts w:hint="eastAsia" w:ascii="宋体" w:hAnsi="宋体" w:eastAsia="宋体" w:cs="宋体"/>
          <w:bCs/>
          <w:szCs w:val="21"/>
          <w:u w:val="single"/>
        </w:rPr>
        <w:t xml:space="preserve"> </w:t>
      </w:r>
      <w:r>
        <w:rPr>
          <w:rFonts w:hint="eastAsia" w:ascii="宋体" w:hAnsi="宋体" w:eastAsia="宋体" w:cs="宋体"/>
          <w:bCs/>
          <w:color w:val="auto"/>
          <w:highlight w:val="none"/>
          <w:u w:val="single"/>
          <w:lang w:bidi="he-IL"/>
        </w:rPr>
        <w:t>所有设备的技术和商务要求的履约情况</w:t>
      </w:r>
      <w:r>
        <w:rPr>
          <w:rFonts w:hint="eastAsia" w:ascii="宋体" w:hAnsi="宋体" w:eastAsia="宋体" w:cs="宋体"/>
          <w:bCs/>
          <w:szCs w:val="21"/>
          <w:u w:val="single"/>
        </w:rPr>
        <w:t xml:space="preserve">     </w:t>
      </w:r>
    </w:p>
    <w:p w14:paraId="5E9941D8">
      <w:pPr>
        <w:shd w:val="clear" w:color="auto" w:fill="auto"/>
        <w:adjustRightInd w:val="0"/>
        <w:snapToGrid w:val="0"/>
        <w:spacing w:before="0" w:beforeLines="0" w:line="400" w:lineRule="exact"/>
        <w:ind w:firstLine="420" w:firstLineChars="200"/>
        <w:rPr>
          <w:rFonts w:hint="eastAsia" w:ascii="宋体" w:hAnsi="宋体" w:eastAsia="宋体" w:cs="宋体"/>
          <w:bCs/>
          <w:szCs w:val="21"/>
          <w:u w:val="single"/>
        </w:rPr>
      </w:pPr>
      <w:r>
        <w:rPr>
          <w:rFonts w:hint="eastAsia" w:ascii="宋体" w:hAnsi="宋体" w:eastAsia="宋体" w:cs="宋体"/>
          <w:bCs/>
          <w:szCs w:val="21"/>
        </w:rPr>
        <w:t>（6）履约验收标准：</w:t>
      </w:r>
      <w:r>
        <w:rPr>
          <w:rFonts w:hint="eastAsia" w:ascii="宋体" w:hAnsi="宋体" w:eastAsia="宋体" w:cs="宋体"/>
          <w:bCs/>
          <w:color w:val="auto"/>
          <w:highlight w:val="none"/>
          <w:u w:val="single"/>
          <w:lang w:bidi="he-IL"/>
        </w:rPr>
        <w:t>符合国家、行业相关标准。</w:t>
      </w:r>
    </w:p>
    <w:p w14:paraId="51E67B51">
      <w:pPr>
        <w:pStyle w:val="43"/>
        <w:shd w:val="clear" w:color="auto" w:fill="auto"/>
        <w:spacing w:beforeLines="0"/>
        <w:rPr>
          <w:rFonts w:hint="eastAsia" w:ascii="宋体" w:hAnsi="宋体" w:eastAsia="宋体" w:cs="宋体"/>
          <w:sz w:val="21"/>
          <w:lang w:eastAsia="zh-CN"/>
        </w:rPr>
      </w:pPr>
      <w:r>
        <w:rPr>
          <w:rFonts w:hint="eastAsia" w:ascii="宋体" w:hAnsi="宋体" w:eastAsia="宋体" w:cs="宋体"/>
          <w:bCs/>
          <w:sz w:val="21"/>
          <w:szCs w:val="21"/>
          <w:u w:val="none"/>
          <w:lang w:eastAsia="zh-CN"/>
        </w:rPr>
        <w:t>（</w:t>
      </w:r>
      <w:r>
        <w:rPr>
          <w:rFonts w:hint="eastAsia" w:ascii="宋体" w:hAnsi="宋体" w:eastAsia="宋体" w:cs="宋体"/>
          <w:bCs/>
          <w:sz w:val="21"/>
          <w:szCs w:val="21"/>
          <w:u w:val="none"/>
          <w:lang w:val="en-US" w:eastAsia="zh-CN"/>
        </w:rPr>
        <w:t>7</w:t>
      </w:r>
      <w:r>
        <w:rPr>
          <w:rFonts w:hint="eastAsia" w:ascii="宋体" w:hAnsi="宋体" w:eastAsia="宋体" w:cs="宋体"/>
          <w:bCs/>
          <w:sz w:val="21"/>
          <w:szCs w:val="21"/>
          <w:u w:val="none"/>
          <w:lang w:eastAsia="zh-CN"/>
        </w:rPr>
        <w:t>）是否以采购活动中供应商提供的样品作为参考：</w:t>
      </w:r>
      <w:r>
        <w:rPr>
          <w:rFonts w:hint="eastAsia" w:ascii="宋体" w:hAnsi="宋体" w:eastAsia="宋体" w:cs="宋体"/>
          <w:sz w:val="21"/>
          <w:szCs w:val="21"/>
        </w:rPr>
        <w:sym w:font="Wingdings" w:char="00A8"/>
      </w:r>
      <w:r>
        <w:rPr>
          <w:rFonts w:hint="eastAsia" w:ascii="宋体" w:hAnsi="宋体" w:eastAsia="宋体" w:cs="宋体"/>
          <w:bCs/>
          <w:sz w:val="21"/>
          <w:szCs w:val="21"/>
        </w:rPr>
        <w:t xml:space="preserve">是  </w:t>
      </w:r>
      <w:r>
        <w:rPr>
          <w:rFonts w:hint="eastAsia" w:ascii="宋体" w:hAnsi="宋体" w:eastAsia="宋体" w:cs="宋体"/>
          <w:sz w:val="21"/>
          <w:szCs w:val="21"/>
        </w:rPr>
        <w:sym w:font="Wingdings" w:char="00FE"/>
      </w:r>
      <w:r>
        <w:rPr>
          <w:rFonts w:hint="eastAsia" w:ascii="宋体" w:hAnsi="宋体" w:eastAsia="宋体" w:cs="宋体"/>
          <w:bCs/>
          <w:sz w:val="21"/>
          <w:szCs w:val="21"/>
        </w:rPr>
        <w:t>否</w:t>
      </w:r>
    </w:p>
    <w:p w14:paraId="4A2BBC8C">
      <w:pPr>
        <w:shd w:val="clear" w:color="auto" w:fill="auto"/>
        <w:adjustRightInd w:val="0"/>
        <w:snapToGrid w:val="0"/>
        <w:spacing w:before="0" w:beforeLines="0" w:line="400" w:lineRule="exact"/>
        <w:ind w:firstLine="420" w:firstLineChars="200"/>
        <w:rPr>
          <w:rFonts w:hint="eastAsia" w:ascii="宋体" w:hAnsi="宋体" w:eastAsia="宋体" w:cs="宋体"/>
          <w:bCs/>
          <w:szCs w:val="21"/>
          <w:u w:val="single"/>
          <w:lang w:val="en-US" w:eastAsia="zh-CN"/>
        </w:rPr>
      </w:pPr>
      <w:r>
        <w:rPr>
          <w:rFonts w:hint="eastAsia" w:ascii="宋体" w:hAnsi="宋体" w:eastAsia="宋体" w:cs="宋体"/>
          <w:bCs/>
          <w:szCs w:val="21"/>
        </w:rPr>
        <w:t>（8）履约验收其他事项：</w:t>
      </w:r>
      <w:r>
        <w:rPr>
          <w:rFonts w:hint="eastAsia" w:ascii="宋体" w:hAnsi="宋体" w:eastAsia="宋体" w:cs="宋体"/>
          <w:bCs/>
          <w:szCs w:val="21"/>
          <w:u w:val="single"/>
        </w:rPr>
        <w:t xml:space="preserve">   </w:t>
      </w:r>
      <w:r>
        <w:rPr>
          <w:rFonts w:hint="eastAsia" w:ascii="宋体" w:hAnsi="宋体" w:eastAsia="宋体" w:cs="宋体"/>
          <w:bCs/>
          <w:i w:val="0"/>
          <w:iCs w:val="0"/>
          <w:szCs w:val="21"/>
          <w:u w:val="single"/>
          <w:lang w:val="en-US" w:eastAsia="zh-CN"/>
        </w:rPr>
        <w:t>/</w:t>
      </w:r>
      <w:r>
        <w:rPr>
          <w:rFonts w:hint="eastAsia" w:ascii="宋体" w:hAnsi="宋体" w:eastAsia="宋体" w:cs="宋体"/>
          <w:bCs/>
          <w:szCs w:val="21"/>
          <w:u w:val="single"/>
        </w:rPr>
        <w:t xml:space="preserve">   </w:t>
      </w:r>
      <w:r>
        <w:rPr>
          <w:rFonts w:hint="eastAsia" w:ascii="宋体" w:hAnsi="宋体" w:eastAsia="宋体" w:cs="宋体"/>
          <w:bCs/>
          <w:szCs w:val="21"/>
          <w:u w:val="none"/>
          <w:lang w:val="en-US" w:eastAsia="zh-CN"/>
        </w:rPr>
        <w:t>。</w:t>
      </w:r>
    </w:p>
    <w:p w14:paraId="136B22FF">
      <w:pPr>
        <w:numPr>
          <w:ilvl w:val="0"/>
          <w:numId w:val="1"/>
        </w:numPr>
        <w:shd w:val="clear" w:color="auto" w:fill="auto"/>
        <w:adjustRightInd w:val="0"/>
        <w:snapToGrid w:val="0"/>
        <w:spacing w:before="0" w:beforeLines="0" w:line="400" w:lineRule="exact"/>
        <w:ind w:firstLine="422" w:firstLineChars="200"/>
        <w:rPr>
          <w:rFonts w:hint="eastAsia" w:ascii="宋体" w:hAnsi="宋体" w:eastAsia="宋体" w:cs="宋体"/>
          <w:b/>
          <w:szCs w:val="21"/>
        </w:rPr>
      </w:pPr>
      <w:r>
        <w:rPr>
          <w:rFonts w:hint="eastAsia" w:ascii="宋体" w:hAnsi="宋体" w:eastAsia="宋体" w:cs="宋体"/>
          <w:b/>
          <w:szCs w:val="21"/>
        </w:rPr>
        <w:t>组成合同的文件</w:t>
      </w:r>
    </w:p>
    <w:p w14:paraId="7B6AA009">
      <w:pPr>
        <w:shd w:val="clear" w:color="auto" w:fill="auto"/>
        <w:adjustRightInd w:val="0"/>
        <w:snapToGrid w:val="0"/>
        <w:spacing w:before="0" w:beforeLines="0" w:line="400" w:lineRule="exact"/>
        <w:ind w:firstLine="420" w:firstLineChars="200"/>
        <w:rPr>
          <w:rFonts w:hint="eastAsia" w:ascii="宋体" w:hAnsi="宋体" w:eastAsia="宋体" w:cs="宋体"/>
          <w:szCs w:val="21"/>
        </w:rPr>
      </w:pPr>
      <w:r>
        <w:rPr>
          <w:rFonts w:hint="eastAsia" w:ascii="宋体" w:hAnsi="宋体" w:eastAsia="宋体" w:cs="宋体"/>
          <w:szCs w:val="21"/>
        </w:rPr>
        <w:t>本协议书与下列文件一起构成合同文件，如下述文件之间有任何抵触、矛盾或歧义，应按以下顺序解释：</w:t>
      </w:r>
    </w:p>
    <w:p w14:paraId="25ADFDFF">
      <w:pPr>
        <w:shd w:val="clear" w:color="auto" w:fill="auto"/>
        <w:adjustRightInd w:val="0"/>
        <w:snapToGrid w:val="0"/>
        <w:spacing w:before="0" w:beforeLines="0" w:line="400" w:lineRule="exact"/>
        <w:ind w:firstLine="420" w:firstLineChars="200"/>
        <w:rPr>
          <w:rFonts w:hint="eastAsia" w:ascii="宋体" w:hAnsi="宋体" w:eastAsia="宋体" w:cs="宋体"/>
          <w:color w:val="auto"/>
          <w:szCs w:val="21"/>
          <w:lang w:eastAsia="zh-CN"/>
        </w:rPr>
      </w:pPr>
      <w:r>
        <w:rPr>
          <w:rFonts w:hint="eastAsia" w:ascii="宋体" w:hAnsi="宋体" w:eastAsia="宋体" w:cs="宋体"/>
          <w:color w:val="auto"/>
          <w:szCs w:val="21"/>
        </w:rPr>
        <w:t>（1）</w:t>
      </w:r>
      <w:r>
        <w:rPr>
          <w:rFonts w:hint="eastAsia" w:ascii="宋体" w:hAnsi="宋体" w:eastAsia="宋体" w:cs="宋体"/>
          <w:color w:val="auto"/>
          <w:szCs w:val="21"/>
          <w:lang w:eastAsia="zh-CN"/>
        </w:rPr>
        <w:t>政府采购</w:t>
      </w:r>
      <w:r>
        <w:rPr>
          <w:rFonts w:hint="eastAsia" w:ascii="宋体" w:hAnsi="宋体" w:eastAsia="宋体" w:cs="宋体"/>
          <w:color w:val="auto"/>
          <w:szCs w:val="21"/>
        </w:rPr>
        <w:t>合同协议书及其变更、补充</w:t>
      </w:r>
      <w:r>
        <w:rPr>
          <w:rFonts w:hint="eastAsia" w:ascii="宋体" w:hAnsi="宋体" w:eastAsia="宋体" w:cs="宋体"/>
          <w:color w:val="auto"/>
          <w:szCs w:val="21"/>
          <w:lang w:eastAsia="zh-CN"/>
        </w:rPr>
        <w:t>协议</w:t>
      </w:r>
    </w:p>
    <w:p w14:paraId="71AA8D37">
      <w:pPr>
        <w:shd w:val="clear" w:color="auto" w:fill="auto"/>
        <w:adjustRightInd w:val="0"/>
        <w:snapToGrid w:val="0"/>
        <w:spacing w:before="0" w:beforeLines="0" w:line="400" w:lineRule="exact"/>
        <w:ind w:firstLine="420" w:firstLineChars="200"/>
        <w:rPr>
          <w:rFonts w:hint="eastAsia" w:ascii="宋体" w:hAnsi="宋体" w:eastAsia="宋体" w:cs="宋体"/>
          <w:szCs w:val="21"/>
        </w:rPr>
      </w:pPr>
      <w:r>
        <w:rPr>
          <w:rFonts w:hint="eastAsia" w:ascii="宋体" w:hAnsi="宋体" w:eastAsia="宋体" w:cs="宋体"/>
          <w:szCs w:val="21"/>
        </w:rPr>
        <w:t>（</w:t>
      </w:r>
      <w:r>
        <w:rPr>
          <w:rFonts w:hint="eastAsia" w:ascii="宋体" w:hAnsi="宋体" w:eastAsia="宋体" w:cs="宋体"/>
          <w:szCs w:val="21"/>
          <w:lang w:val="en-US" w:eastAsia="zh-CN"/>
        </w:rPr>
        <w:t>2</w:t>
      </w:r>
      <w:r>
        <w:rPr>
          <w:rFonts w:hint="eastAsia" w:ascii="宋体" w:hAnsi="宋体" w:eastAsia="宋体" w:cs="宋体"/>
          <w:szCs w:val="21"/>
        </w:rPr>
        <w:t>）政府采购合同专用条款</w:t>
      </w:r>
    </w:p>
    <w:p w14:paraId="7A74978A">
      <w:pPr>
        <w:shd w:val="clear" w:color="auto" w:fill="auto"/>
        <w:adjustRightInd w:val="0"/>
        <w:snapToGrid w:val="0"/>
        <w:spacing w:before="0" w:beforeLines="0" w:line="400" w:lineRule="exact"/>
        <w:ind w:firstLine="420" w:firstLineChars="200"/>
        <w:rPr>
          <w:rFonts w:hint="eastAsia" w:ascii="宋体" w:hAnsi="宋体" w:eastAsia="宋体" w:cs="宋体"/>
          <w:szCs w:val="21"/>
        </w:rPr>
      </w:pPr>
      <w:r>
        <w:rPr>
          <w:rFonts w:hint="eastAsia" w:ascii="宋体" w:hAnsi="宋体" w:eastAsia="宋体" w:cs="宋体"/>
          <w:szCs w:val="21"/>
        </w:rPr>
        <w:t>（</w:t>
      </w:r>
      <w:r>
        <w:rPr>
          <w:rFonts w:hint="eastAsia" w:ascii="宋体" w:hAnsi="宋体" w:eastAsia="宋体" w:cs="宋体"/>
          <w:szCs w:val="21"/>
          <w:lang w:val="en-US" w:eastAsia="zh-CN"/>
        </w:rPr>
        <w:t>3</w:t>
      </w:r>
      <w:r>
        <w:rPr>
          <w:rFonts w:hint="eastAsia" w:ascii="宋体" w:hAnsi="宋体" w:eastAsia="宋体" w:cs="宋体"/>
          <w:szCs w:val="21"/>
        </w:rPr>
        <w:t>）政府采购合同通用条款</w:t>
      </w:r>
    </w:p>
    <w:p w14:paraId="5C3AADBD">
      <w:pPr>
        <w:shd w:val="clear" w:color="auto" w:fill="auto"/>
        <w:adjustRightInd w:val="0"/>
        <w:snapToGrid w:val="0"/>
        <w:spacing w:before="0" w:beforeLines="0" w:line="400" w:lineRule="exact"/>
        <w:ind w:firstLine="420" w:firstLineChars="200"/>
        <w:rPr>
          <w:rFonts w:hint="eastAsia" w:ascii="宋体" w:hAnsi="宋体" w:eastAsia="宋体" w:cs="宋体"/>
          <w:color w:val="auto"/>
          <w:szCs w:val="21"/>
        </w:rPr>
      </w:pPr>
      <w:r>
        <w:rPr>
          <w:rFonts w:hint="eastAsia" w:ascii="宋体" w:hAnsi="宋体" w:eastAsia="宋体" w:cs="宋体"/>
          <w:color w:val="auto"/>
          <w:szCs w:val="21"/>
        </w:rPr>
        <w:t>（</w:t>
      </w:r>
      <w:r>
        <w:rPr>
          <w:rFonts w:hint="eastAsia" w:ascii="宋体" w:hAnsi="宋体" w:eastAsia="宋体" w:cs="宋体"/>
          <w:color w:val="auto"/>
          <w:szCs w:val="21"/>
          <w:lang w:val="en-US" w:eastAsia="zh-CN"/>
        </w:rPr>
        <w:t>4</w:t>
      </w:r>
      <w:r>
        <w:rPr>
          <w:rFonts w:hint="eastAsia" w:ascii="宋体" w:hAnsi="宋体" w:eastAsia="宋体" w:cs="宋体"/>
          <w:color w:val="auto"/>
          <w:szCs w:val="21"/>
        </w:rPr>
        <w:t>）中标</w:t>
      </w:r>
      <w:r>
        <w:rPr>
          <w:rFonts w:hint="eastAsia" w:ascii="宋体" w:hAnsi="宋体" w:eastAsia="宋体" w:cs="宋体"/>
          <w:color w:val="auto"/>
          <w:szCs w:val="21"/>
          <w:lang w:eastAsia="zh-CN"/>
        </w:rPr>
        <w:t>（成交）</w:t>
      </w:r>
      <w:r>
        <w:rPr>
          <w:rFonts w:hint="eastAsia" w:ascii="宋体" w:hAnsi="宋体" w:eastAsia="宋体" w:cs="宋体"/>
          <w:color w:val="auto"/>
          <w:szCs w:val="21"/>
        </w:rPr>
        <w:t>通知书</w:t>
      </w:r>
    </w:p>
    <w:p w14:paraId="647EEDB6">
      <w:pPr>
        <w:shd w:val="clear" w:color="auto" w:fill="auto"/>
        <w:adjustRightInd w:val="0"/>
        <w:snapToGrid w:val="0"/>
        <w:spacing w:before="0" w:beforeLines="0" w:line="400" w:lineRule="exact"/>
        <w:ind w:firstLine="420" w:firstLineChars="200"/>
        <w:rPr>
          <w:rFonts w:hint="eastAsia" w:ascii="宋体" w:hAnsi="宋体" w:eastAsia="宋体" w:cs="宋体"/>
          <w:szCs w:val="21"/>
        </w:rPr>
      </w:pPr>
      <w:r>
        <w:rPr>
          <w:rFonts w:hint="eastAsia" w:ascii="宋体" w:hAnsi="宋体" w:eastAsia="宋体" w:cs="宋体"/>
          <w:szCs w:val="21"/>
        </w:rPr>
        <w:t>（</w:t>
      </w:r>
      <w:r>
        <w:rPr>
          <w:rFonts w:hint="eastAsia" w:ascii="宋体" w:hAnsi="宋体" w:eastAsia="宋体" w:cs="宋体"/>
          <w:szCs w:val="21"/>
          <w:lang w:val="en-US" w:eastAsia="zh-CN"/>
        </w:rPr>
        <w:t>5</w:t>
      </w:r>
      <w:r>
        <w:rPr>
          <w:rFonts w:hint="eastAsia" w:ascii="宋体" w:hAnsi="宋体" w:eastAsia="宋体" w:cs="宋体"/>
          <w:szCs w:val="21"/>
        </w:rPr>
        <w:t>）投标（响应）文件</w:t>
      </w:r>
    </w:p>
    <w:p w14:paraId="32F6F7EE">
      <w:pPr>
        <w:shd w:val="clear" w:color="auto" w:fill="auto"/>
        <w:adjustRightInd w:val="0"/>
        <w:snapToGrid w:val="0"/>
        <w:spacing w:before="0" w:beforeLines="0" w:line="400" w:lineRule="exact"/>
        <w:ind w:firstLine="420" w:firstLineChars="200"/>
        <w:rPr>
          <w:rFonts w:hint="eastAsia" w:ascii="宋体" w:hAnsi="宋体" w:eastAsia="宋体" w:cs="宋体"/>
          <w:szCs w:val="21"/>
        </w:rPr>
      </w:pPr>
      <w:r>
        <w:rPr>
          <w:rFonts w:hint="eastAsia" w:ascii="宋体" w:hAnsi="宋体" w:eastAsia="宋体" w:cs="宋体"/>
          <w:szCs w:val="21"/>
        </w:rPr>
        <w:t>（6）采购文件</w:t>
      </w:r>
    </w:p>
    <w:p w14:paraId="2D1372C7">
      <w:pPr>
        <w:shd w:val="clear" w:color="auto" w:fill="auto"/>
        <w:adjustRightInd w:val="0"/>
        <w:snapToGrid w:val="0"/>
        <w:spacing w:before="0" w:beforeLines="0" w:line="400" w:lineRule="exact"/>
        <w:ind w:firstLine="420" w:firstLineChars="200"/>
        <w:rPr>
          <w:rFonts w:hint="eastAsia" w:ascii="宋体" w:hAnsi="宋体" w:eastAsia="宋体" w:cs="宋体"/>
          <w:szCs w:val="21"/>
        </w:rPr>
      </w:pPr>
      <w:r>
        <w:rPr>
          <w:rFonts w:hint="eastAsia" w:ascii="宋体" w:hAnsi="宋体" w:eastAsia="宋体" w:cs="宋体"/>
          <w:szCs w:val="21"/>
        </w:rPr>
        <w:t>（7）有关技术文件，图纸</w:t>
      </w:r>
    </w:p>
    <w:p w14:paraId="55B8905E">
      <w:pPr>
        <w:pStyle w:val="43"/>
        <w:shd w:val="clear" w:color="auto" w:fill="auto"/>
        <w:spacing w:beforeLines="0"/>
        <w:rPr>
          <w:rFonts w:hint="eastAsia" w:ascii="宋体" w:hAnsi="宋体" w:eastAsia="宋体" w:cs="宋体"/>
          <w:kern w:val="2"/>
          <w:sz w:val="21"/>
          <w:highlight w:val="none"/>
          <w:lang w:eastAsia="zh-CN"/>
        </w:rPr>
      </w:pP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lang w:val="en-US" w:eastAsia="zh-CN"/>
        </w:rPr>
        <w:t>8</w:t>
      </w:r>
      <w:r>
        <w:rPr>
          <w:rFonts w:hint="eastAsia" w:ascii="宋体" w:hAnsi="宋体" w:eastAsia="宋体" w:cs="宋体"/>
          <w:sz w:val="21"/>
          <w:szCs w:val="21"/>
          <w:highlight w:val="none"/>
          <w:lang w:eastAsia="zh-CN"/>
        </w:rPr>
        <w:t>）</w:t>
      </w:r>
      <w:r>
        <w:rPr>
          <w:rFonts w:hint="eastAsia" w:ascii="宋体" w:hAnsi="宋体" w:eastAsia="宋体" w:cs="宋体"/>
          <w:bCs w:val="0"/>
          <w:color w:val="000000"/>
          <w:kern w:val="2"/>
          <w:sz w:val="21"/>
          <w:szCs w:val="21"/>
          <w:highlight w:val="none"/>
          <w:lang w:eastAsia="zh-CN"/>
        </w:rPr>
        <w:t>国家法律、行政法规和规章制度规定或合同约定的作为合同组成部分的其他文件</w:t>
      </w:r>
    </w:p>
    <w:p w14:paraId="157ACDC3">
      <w:pPr>
        <w:numPr>
          <w:ilvl w:val="0"/>
          <w:numId w:val="1"/>
        </w:numPr>
        <w:shd w:val="clear" w:color="auto" w:fill="auto"/>
        <w:adjustRightInd w:val="0"/>
        <w:snapToGrid w:val="0"/>
        <w:spacing w:before="0" w:beforeLines="0" w:line="400" w:lineRule="exact"/>
        <w:ind w:firstLine="422" w:firstLineChars="200"/>
        <w:rPr>
          <w:rFonts w:hint="eastAsia" w:ascii="宋体" w:hAnsi="宋体" w:eastAsia="宋体" w:cs="宋体"/>
          <w:b/>
          <w:szCs w:val="21"/>
        </w:rPr>
      </w:pPr>
      <w:r>
        <w:rPr>
          <w:rFonts w:hint="eastAsia" w:ascii="宋体" w:hAnsi="宋体" w:eastAsia="宋体" w:cs="宋体"/>
          <w:b/>
          <w:szCs w:val="21"/>
        </w:rPr>
        <w:t>合同生效</w:t>
      </w:r>
    </w:p>
    <w:p w14:paraId="09443CD6">
      <w:pPr>
        <w:shd w:val="clear" w:color="auto" w:fill="auto"/>
        <w:adjustRightInd w:val="0"/>
        <w:snapToGrid w:val="0"/>
        <w:spacing w:before="0" w:beforeLines="0" w:line="400" w:lineRule="exact"/>
        <w:ind w:firstLine="420" w:firstLineChars="200"/>
        <w:rPr>
          <w:rFonts w:hint="eastAsia" w:ascii="宋体" w:hAnsi="宋体" w:eastAsia="宋体" w:cs="宋体"/>
          <w:szCs w:val="21"/>
        </w:rPr>
      </w:pPr>
      <w:r>
        <w:rPr>
          <w:rFonts w:hint="eastAsia" w:ascii="宋体" w:hAnsi="宋体" w:eastAsia="宋体" w:cs="宋体"/>
          <w:szCs w:val="21"/>
        </w:rPr>
        <w:t>本合同自</w:t>
      </w:r>
      <w:r>
        <w:rPr>
          <w:rFonts w:hint="eastAsia" w:ascii="宋体" w:hAnsi="宋体" w:eastAsia="宋体" w:cs="宋体"/>
          <w:szCs w:val="21"/>
          <w:u w:val="single"/>
        </w:rPr>
        <w:t xml:space="preserve">                             </w:t>
      </w:r>
      <w:r>
        <w:rPr>
          <w:rFonts w:hint="eastAsia" w:ascii="宋体" w:hAnsi="宋体" w:eastAsia="宋体" w:cs="宋体"/>
          <w:szCs w:val="21"/>
        </w:rPr>
        <w:t>生效。</w:t>
      </w:r>
    </w:p>
    <w:p w14:paraId="4F05E35D">
      <w:pPr>
        <w:numPr>
          <w:ilvl w:val="0"/>
          <w:numId w:val="1"/>
        </w:numPr>
        <w:shd w:val="clear" w:color="auto" w:fill="auto"/>
        <w:adjustRightInd w:val="0"/>
        <w:snapToGrid w:val="0"/>
        <w:spacing w:before="0" w:beforeLines="0" w:line="400" w:lineRule="exact"/>
        <w:ind w:firstLine="422" w:firstLineChars="200"/>
        <w:rPr>
          <w:rFonts w:hint="eastAsia" w:ascii="宋体" w:hAnsi="宋体" w:eastAsia="宋体" w:cs="宋体"/>
          <w:b/>
          <w:szCs w:val="21"/>
        </w:rPr>
      </w:pPr>
      <w:r>
        <w:rPr>
          <w:rFonts w:hint="eastAsia" w:ascii="宋体" w:hAnsi="宋体" w:eastAsia="宋体" w:cs="宋体"/>
          <w:b/>
          <w:szCs w:val="21"/>
        </w:rPr>
        <w:t>合同份数</w:t>
      </w:r>
    </w:p>
    <w:p w14:paraId="2F93F825">
      <w:pPr>
        <w:shd w:val="clear" w:color="auto" w:fill="auto"/>
        <w:adjustRightInd w:val="0"/>
        <w:snapToGrid w:val="0"/>
        <w:spacing w:before="0" w:beforeLines="0" w:line="400" w:lineRule="exact"/>
        <w:ind w:firstLine="420" w:firstLineChars="200"/>
        <w:rPr>
          <w:rFonts w:hint="eastAsia" w:ascii="宋体" w:hAnsi="宋体" w:eastAsia="宋体" w:cs="宋体"/>
          <w:szCs w:val="21"/>
        </w:rPr>
      </w:pPr>
      <w:r>
        <w:rPr>
          <w:rFonts w:hint="eastAsia" w:ascii="宋体" w:hAnsi="宋体" w:eastAsia="宋体" w:cs="宋体"/>
          <w:szCs w:val="21"/>
        </w:rPr>
        <w:t>本合同一式</w:t>
      </w:r>
      <w:r>
        <w:rPr>
          <w:rFonts w:hint="eastAsia" w:ascii="宋体" w:hAnsi="宋体" w:eastAsia="宋体" w:cs="宋体"/>
          <w:szCs w:val="21"/>
          <w:u w:val="single"/>
        </w:rPr>
        <w:t xml:space="preserve">    </w:t>
      </w:r>
      <w:r>
        <w:rPr>
          <w:rFonts w:hint="eastAsia" w:ascii="宋体" w:hAnsi="宋体" w:eastAsia="宋体" w:cs="宋体"/>
          <w:szCs w:val="21"/>
        </w:rPr>
        <w:t>份，</w:t>
      </w:r>
      <w:r>
        <w:rPr>
          <w:rFonts w:hint="eastAsia" w:ascii="宋体" w:hAnsi="宋体" w:eastAsia="宋体" w:cs="宋体"/>
          <w:szCs w:val="21"/>
          <w:lang w:eastAsia="zh-CN"/>
        </w:rPr>
        <w:t>甲方</w:t>
      </w:r>
      <w:r>
        <w:rPr>
          <w:rFonts w:hint="eastAsia" w:ascii="宋体" w:hAnsi="宋体" w:eastAsia="宋体" w:cs="宋体"/>
          <w:szCs w:val="21"/>
        </w:rPr>
        <w:t>执</w:t>
      </w:r>
      <w:r>
        <w:rPr>
          <w:rFonts w:hint="eastAsia" w:ascii="宋体" w:hAnsi="宋体" w:eastAsia="宋体" w:cs="宋体"/>
          <w:szCs w:val="21"/>
          <w:u w:val="single"/>
        </w:rPr>
        <w:t xml:space="preserve"> </w:t>
      </w:r>
      <w:r>
        <w:rPr>
          <w:rFonts w:hint="eastAsia" w:ascii="宋体" w:hAnsi="宋体" w:eastAsia="宋体" w:cs="宋体"/>
          <w:szCs w:val="21"/>
          <w:u w:val="single"/>
          <w:lang w:val="en-US" w:eastAsia="zh-CN"/>
        </w:rPr>
        <w:t xml:space="preserve"> </w:t>
      </w:r>
      <w:r>
        <w:rPr>
          <w:rFonts w:hint="eastAsia" w:ascii="宋体" w:hAnsi="宋体" w:eastAsia="宋体" w:cs="宋体"/>
          <w:szCs w:val="21"/>
          <w:u w:val="single"/>
        </w:rPr>
        <w:t xml:space="preserve">  </w:t>
      </w:r>
      <w:r>
        <w:rPr>
          <w:rFonts w:hint="eastAsia" w:ascii="宋体" w:hAnsi="宋体" w:eastAsia="宋体" w:cs="宋体"/>
          <w:szCs w:val="21"/>
        </w:rPr>
        <w:t>份，</w:t>
      </w:r>
      <w:r>
        <w:rPr>
          <w:rFonts w:hint="eastAsia" w:ascii="宋体" w:hAnsi="宋体" w:eastAsia="宋体" w:cs="宋体"/>
          <w:szCs w:val="21"/>
          <w:lang w:eastAsia="zh-CN"/>
        </w:rPr>
        <w:t>乙方</w:t>
      </w:r>
      <w:r>
        <w:rPr>
          <w:rFonts w:hint="eastAsia" w:ascii="宋体" w:hAnsi="宋体" w:eastAsia="宋体" w:cs="宋体"/>
          <w:szCs w:val="21"/>
        </w:rPr>
        <w:t>执</w:t>
      </w:r>
      <w:r>
        <w:rPr>
          <w:rFonts w:hint="eastAsia" w:ascii="宋体" w:hAnsi="宋体" w:eastAsia="宋体" w:cs="宋体"/>
          <w:szCs w:val="21"/>
          <w:u w:val="single"/>
        </w:rPr>
        <w:t xml:space="preserve">  </w:t>
      </w:r>
      <w:r>
        <w:rPr>
          <w:rFonts w:hint="eastAsia" w:ascii="宋体" w:hAnsi="宋体" w:eastAsia="宋体" w:cs="宋体"/>
          <w:szCs w:val="21"/>
          <w:u w:val="single"/>
          <w:lang w:val="en-US" w:eastAsia="zh-CN"/>
        </w:rPr>
        <w:t xml:space="preserve"> </w:t>
      </w:r>
      <w:r>
        <w:rPr>
          <w:rFonts w:hint="eastAsia" w:ascii="宋体" w:hAnsi="宋体" w:eastAsia="宋体" w:cs="宋体"/>
          <w:szCs w:val="21"/>
          <w:u w:val="single"/>
        </w:rPr>
        <w:t xml:space="preserve"> </w:t>
      </w:r>
      <w:r>
        <w:rPr>
          <w:rFonts w:hint="eastAsia" w:ascii="宋体" w:hAnsi="宋体" w:eastAsia="宋体" w:cs="宋体"/>
          <w:szCs w:val="21"/>
        </w:rPr>
        <w:t>份，均具有同等法律效力。</w:t>
      </w:r>
    </w:p>
    <w:p w14:paraId="1D840F29">
      <w:pPr>
        <w:shd w:val="clear" w:color="auto" w:fill="auto"/>
        <w:adjustRightInd w:val="0"/>
        <w:snapToGrid w:val="0"/>
        <w:spacing w:before="0" w:beforeLines="0" w:line="400" w:lineRule="exact"/>
        <w:ind w:firstLine="420" w:firstLineChars="200"/>
        <w:rPr>
          <w:rFonts w:hint="eastAsia" w:ascii="宋体" w:hAnsi="宋体" w:eastAsia="宋体" w:cs="宋体"/>
          <w:szCs w:val="21"/>
        </w:rPr>
      </w:pPr>
      <w:r>
        <w:rPr>
          <w:rFonts w:hint="eastAsia" w:ascii="宋体" w:hAnsi="宋体" w:eastAsia="宋体" w:cs="宋体"/>
          <w:szCs w:val="21"/>
        </w:rPr>
        <w:t>合同订立时间：</w:t>
      </w:r>
      <w:r>
        <w:rPr>
          <w:rFonts w:hint="eastAsia" w:ascii="宋体" w:hAnsi="宋体" w:eastAsia="宋体" w:cs="宋体"/>
          <w:szCs w:val="21"/>
          <w:u w:val="single"/>
        </w:rPr>
        <w:t xml:space="preserve">         </w:t>
      </w:r>
      <w:r>
        <w:rPr>
          <w:rFonts w:hint="eastAsia" w:ascii="宋体" w:hAnsi="宋体" w:eastAsia="宋体" w:cs="宋体"/>
          <w:szCs w:val="21"/>
        </w:rPr>
        <w:t>年</w:t>
      </w:r>
      <w:r>
        <w:rPr>
          <w:rFonts w:hint="eastAsia" w:ascii="宋体" w:hAnsi="宋体" w:eastAsia="宋体" w:cs="宋体"/>
          <w:szCs w:val="21"/>
          <w:u w:val="single"/>
        </w:rPr>
        <w:t xml:space="preserve">      </w:t>
      </w:r>
      <w:r>
        <w:rPr>
          <w:rFonts w:hint="eastAsia" w:ascii="宋体" w:hAnsi="宋体" w:eastAsia="宋体" w:cs="宋体"/>
          <w:szCs w:val="21"/>
        </w:rPr>
        <w:t>月</w:t>
      </w:r>
      <w:r>
        <w:rPr>
          <w:rFonts w:hint="eastAsia" w:ascii="宋体" w:hAnsi="宋体" w:eastAsia="宋体" w:cs="宋体"/>
          <w:szCs w:val="21"/>
          <w:u w:val="single"/>
        </w:rPr>
        <w:t xml:space="preserve">      </w:t>
      </w:r>
      <w:r>
        <w:rPr>
          <w:rFonts w:hint="eastAsia" w:ascii="宋体" w:hAnsi="宋体" w:eastAsia="宋体" w:cs="宋体"/>
          <w:szCs w:val="21"/>
        </w:rPr>
        <w:t>日</w:t>
      </w:r>
    </w:p>
    <w:p w14:paraId="5D79C60F">
      <w:pPr>
        <w:shd w:val="clear" w:color="auto" w:fill="auto"/>
        <w:adjustRightInd w:val="0"/>
        <w:snapToGrid w:val="0"/>
        <w:spacing w:before="0" w:beforeLines="0" w:line="400" w:lineRule="exact"/>
        <w:ind w:firstLine="420" w:firstLineChars="200"/>
        <w:rPr>
          <w:rFonts w:hint="eastAsia" w:ascii="宋体" w:hAnsi="宋体" w:eastAsia="宋体" w:cs="宋体"/>
          <w:szCs w:val="21"/>
        </w:rPr>
      </w:pPr>
      <w:r>
        <w:rPr>
          <w:rFonts w:hint="eastAsia" w:ascii="宋体" w:hAnsi="宋体" w:eastAsia="宋体" w:cs="宋体"/>
          <w:szCs w:val="21"/>
        </w:rPr>
        <w:t>合同订立地点：</w:t>
      </w:r>
      <w:r>
        <w:rPr>
          <w:rFonts w:hint="eastAsia" w:ascii="宋体" w:hAnsi="宋体" w:eastAsia="宋体" w:cs="宋体"/>
          <w:szCs w:val="21"/>
          <w:u w:val="single"/>
        </w:rPr>
        <w:t xml:space="preserve">                           </w:t>
      </w:r>
    </w:p>
    <w:p w14:paraId="196FFD13">
      <w:pPr>
        <w:shd w:val="clear" w:color="auto" w:fill="auto"/>
        <w:adjustRightInd w:val="0"/>
        <w:snapToGrid w:val="0"/>
        <w:spacing w:before="0" w:beforeLines="0" w:line="400" w:lineRule="exact"/>
        <w:ind w:firstLine="420" w:firstLineChars="200"/>
        <w:rPr>
          <w:rFonts w:hint="eastAsia" w:ascii="宋体" w:hAnsi="宋体" w:eastAsia="宋体" w:cs="宋体"/>
          <w:szCs w:val="21"/>
        </w:rPr>
      </w:pPr>
      <w:r>
        <w:rPr>
          <w:rFonts w:hint="eastAsia" w:ascii="宋体" w:hAnsi="宋体" w:eastAsia="宋体" w:cs="宋体"/>
          <w:szCs w:val="21"/>
        </w:rPr>
        <w:t>附件：具体标</w:t>
      </w:r>
      <w:r>
        <w:rPr>
          <w:rFonts w:hint="eastAsia" w:ascii="宋体" w:hAnsi="宋体" w:eastAsia="宋体" w:cs="宋体"/>
          <w:szCs w:val="21"/>
          <w:lang w:eastAsia="zh-CN"/>
        </w:rPr>
        <w:t>的及其</w:t>
      </w:r>
      <w:r>
        <w:rPr>
          <w:rFonts w:hint="eastAsia" w:ascii="宋体" w:hAnsi="宋体" w:eastAsia="宋体" w:cs="宋体"/>
          <w:szCs w:val="21"/>
          <w:highlight w:val="none"/>
          <w:u w:val="none"/>
          <w:lang w:val="en-US" w:eastAsia="zh-CN"/>
        </w:rPr>
        <w:t>技术要求和商务要求</w:t>
      </w:r>
      <w:r>
        <w:rPr>
          <w:rFonts w:hint="eastAsia" w:ascii="宋体" w:hAnsi="宋体" w:eastAsia="宋体" w:cs="宋体"/>
          <w:szCs w:val="21"/>
        </w:rPr>
        <w:t>、联合协议、分包</w:t>
      </w:r>
      <w:r>
        <w:rPr>
          <w:rFonts w:hint="eastAsia" w:ascii="宋体" w:hAnsi="宋体" w:eastAsia="宋体" w:cs="宋体"/>
          <w:szCs w:val="21"/>
          <w:lang w:eastAsia="zh-CN"/>
        </w:rPr>
        <w:t>意向</w:t>
      </w:r>
      <w:r>
        <w:rPr>
          <w:rFonts w:hint="eastAsia" w:ascii="宋体" w:hAnsi="宋体" w:eastAsia="宋体" w:cs="宋体"/>
          <w:szCs w:val="21"/>
        </w:rPr>
        <w:t>协议等。</w:t>
      </w:r>
    </w:p>
    <w:p w14:paraId="0F4FFEF6">
      <w:pPr>
        <w:rPr>
          <w:rFonts w:hint="eastAsia" w:ascii="宋体" w:hAnsi="宋体" w:eastAsia="宋体" w:cs="宋体"/>
          <w:szCs w:val="21"/>
        </w:rPr>
      </w:pPr>
      <w:r>
        <w:rPr>
          <w:rFonts w:hint="eastAsia" w:ascii="宋体" w:hAnsi="宋体" w:eastAsia="宋体" w:cs="宋体"/>
          <w:szCs w:val="21"/>
        </w:rPr>
        <w:br w:type="page"/>
      </w:r>
    </w:p>
    <w:p w14:paraId="14E1D3F2">
      <w:pPr>
        <w:pStyle w:val="43"/>
        <w:rPr>
          <w:rFonts w:hint="eastAsia" w:ascii="宋体" w:hAnsi="宋体" w:eastAsia="宋体" w:cs="宋体"/>
        </w:rPr>
      </w:pPr>
    </w:p>
    <w:tbl>
      <w:tblPr>
        <w:tblStyle w:val="27"/>
        <w:tblW w:w="4927" w:type="pct"/>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top w:w="0" w:type="dxa"/>
          <w:left w:w="108" w:type="dxa"/>
          <w:bottom w:w="0" w:type="dxa"/>
          <w:right w:w="108" w:type="dxa"/>
        </w:tblCellMar>
      </w:tblPr>
      <w:tblGrid>
        <w:gridCol w:w="2161"/>
        <w:gridCol w:w="2757"/>
        <w:gridCol w:w="2261"/>
        <w:gridCol w:w="2419"/>
      </w:tblGrid>
      <w:tr w14:paraId="3C57EE84">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90" w:hRule="atLeast"/>
        </w:trPr>
        <w:tc>
          <w:tcPr>
            <w:tcW w:w="2562" w:type="pct"/>
            <w:gridSpan w:val="2"/>
            <w:tcBorders>
              <w:bottom w:val="single" w:color="auto" w:sz="2" w:space="0"/>
              <w:right w:val="single" w:color="auto" w:sz="2" w:space="0"/>
            </w:tcBorders>
            <w:noWrap w:val="0"/>
            <w:vAlign w:val="center"/>
          </w:tcPr>
          <w:p w14:paraId="657C221F">
            <w:pPr>
              <w:shd w:val="clear" w:color="auto" w:fill="auto"/>
              <w:adjustRightInd w:val="0"/>
              <w:snapToGrid w:val="0"/>
              <w:spacing w:line="300" w:lineRule="exact"/>
              <w:jc w:val="center"/>
              <w:rPr>
                <w:rFonts w:hint="eastAsia" w:ascii="宋体" w:hAnsi="宋体" w:eastAsia="宋体" w:cs="宋体"/>
              </w:rPr>
            </w:pPr>
            <w:r>
              <w:rPr>
                <w:rFonts w:hint="eastAsia" w:ascii="宋体" w:hAnsi="宋体" w:eastAsia="宋体" w:cs="宋体"/>
                <w:b w:val="0"/>
                <w:bCs w:val="0"/>
                <w:sz w:val="21"/>
                <w:szCs w:val="21"/>
                <w:lang w:val="en-US" w:eastAsia="zh-CN" w:bidi="ar-SA"/>
              </w:rPr>
              <w:br w:type="page"/>
            </w:r>
            <w:r>
              <w:rPr>
                <w:rFonts w:hint="eastAsia" w:ascii="宋体" w:hAnsi="宋体" w:eastAsia="宋体" w:cs="宋体"/>
                <w:b w:val="0"/>
                <w:bCs w:val="0"/>
                <w:sz w:val="21"/>
                <w:szCs w:val="21"/>
                <w:lang w:val="en-US" w:eastAsia="zh-CN" w:bidi="ar-SA"/>
              </w:rPr>
              <w:t>甲方（采购人、受采购人委托签订合同的单位或采购文件约定的合同甲方）</w:t>
            </w:r>
          </w:p>
        </w:tc>
        <w:tc>
          <w:tcPr>
            <w:tcW w:w="2437" w:type="pct"/>
            <w:gridSpan w:val="2"/>
            <w:tcBorders>
              <w:left w:val="single" w:color="auto" w:sz="2" w:space="0"/>
              <w:bottom w:val="single" w:color="auto" w:sz="2" w:space="0"/>
            </w:tcBorders>
            <w:noWrap w:val="0"/>
            <w:vAlign w:val="center"/>
          </w:tcPr>
          <w:p w14:paraId="031F91EB">
            <w:pPr>
              <w:shd w:val="clear" w:color="auto" w:fill="auto"/>
              <w:adjustRightInd w:val="0"/>
              <w:snapToGrid w:val="0"/>
              <w:spacing w:line="300" w:lineRule="exact"/>
              <w:jc w:val="center"/>
              <w:rPr>
                <w:rFonts w:hint="eastAsia" w:ascii="宋体" w:hAnsi="宋体" w:eastAsia="宋体" w:cs="宋体"/>
              </w:rPr>
            </w:pPr>
            <w:r>
              <w:rPr>
                <w:rFonts w:hint="eastAsia" w:ascii="宋体" w:hAnsi="宋体" w:eastAsia="宋体" w:cs="宋体"/>
                <w:szCs w:val="21"/>
              </w:rPr>
              <w:t>乙方（供应商）</w:t>
            </w:r>
          </w:p>
        </w:tc>
      </w:tr>
      <w:tr w14:paraId="0DFB59F8">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917" w:hRule="atLeast"/>
        </w:trPr>
        <w:tc>
          <w:tcPr>
            <w:tcW w:w="1126" w:type="pct"/>
            <w:tcBorders>
              <w:top w:val="single" w:color="auto" w:sz="2" w:space="0"/>
              <w:bottom w:val="single" w:color="auto" w:sz="2" w:space="0"/>
              <w:right w:val="single" w:color="auto" w:sz="2" w:space="0"/>
            </w:tcBorders>
            <w:noWrap w:val="0"/>
            <w:vAlign w:val="center"/>
          </w:tcPr>
          <w:p w14:paraId="62D9AF7A">
            <w:pPr>
              <w:shd w:val="clear" w:color="auto" w:fill="auto"/>
              <w:adjustRightInd w:val="0"/>
              <w:snapToGrid w:val="0"/>
              <w:spacing w:line="300" w:lineRule="exact"/>
              <w:jc w:val="center"/>
              <w:rPr>
                <w:rFonts w:hint="eastAsia" w:ascii="宋体" w:hAnsi="宋体" w:eastAsia="宋体" w:cs="宋体"/>
                <w:szCs w:val="21"/>
              </w:rPr>
            </w:pPr>
            <w:r>
              <w:rPr>
                <w:rFonts w:hint="eastAsia" w:ascii="宋体" w:hAnsi="宋体" w:eastAsia="宋体" w:cs="宋体"/>
                <w:szCs w:val="21"/>
              </w:rPr>
              <w:t>单位名称（公章</w:t>
            </w:r>
            <w:r>
              <w:rPr>
                <w:rFonts w:hint="eastAsia" w:ascii="宋体" w:hAnsi="宋体" w:eastAsia="宋体" w:cs="宋体"/>
                <w:szCs w:val="21"/>
                <w:lang w:eastAsia="zh-CN"/>
              </w:rPr>
              <w:t>或合同章</w:t>
            </w:r>
            <w:r>
              <w:rPr>
                <w:rFonts w:hint="eastAsia" w:ascii="宋体" w:hAnsi="宋体" w:eastAsia="宋体" w:cs="宋体"/>
                <w:szCs w:val="21"/>
              </w:rPr>
              <w:t>）</w:t>
            </w:r>
          </w:p>
        </w:tc>
        <w:tc>
          <w:tcPr>
            <w:tcW w:w="1436" w:type="pct"/>
            <w:tcBorders>
              <w:top w:val="single" w:color="auto" w:sz="2" w:space="0"/>
              <w:left w:val="single" w:color="auto" w:sz="2" w:space="0"/>
              <w:bottom w:val="single" w:color="auto" w:sz="2" w:space="0"/>
              <w:right w:val="single" w:color="auto" w:sz="2" w:space="0"/>
            </w:tcBorders>
            <w:noWrap w:val="0"/>
            <w:vAlign w:val="center"/>
          </w:tcPr>
          <w:p w14:paraId="06C52E32">
            <w:pPr>
              <w:shd w:val="clear" w:color="auto" w:fill="auto"/>
              <w:adjustRightInd w:val="0"/>
              <w:snapToGrid w:val="0"/>
              <w:spacing w:line="300" w:lineRule="exact"/>
              <w:jc w:val="center"/>
              <w:rPr>
                <w:rFonts w:hint="eastAsia" w:ascii="宋体" w:hAnsi="宋体" w:eastAsia="宋体" w:cs="宋体"/>
                <w:szCs w:val="21"/>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5539C349">
            <w:pPr>
              <w:shd w:val="clear" w:color="auto" w:fill="auto"/>
              <w:adjustRightInd w:val="0"/>
              <w:snapToGrid w:val="0"/>
              <w:spacing w:line="300" w:lineRule="exact"/>
              <w:jc w:val="center"/>
              <w:rPr>
                <w:rFonts w:hint="eastAsia" w:ascii="宋体" w:hAnsi="宋体" w:eastAsia="宋体" w:cs="宋体"/>
                <w:szCs w:val="21"/>
              </w:rPr>
            </w:pPr>
            <w:r>
              <w:rPr>
                <w:rFonts w:hint="eastAsia" w:ascii="宋体" w:hAnsi="宋体" w:eastAsia="宋体" w:cs="宋体"/>
                <w:szCs w:val="21"/>
              </w:rPr>
              <w:t>单位名称（公章</w:t>
            </w:r>
            <w:r>
              <w:rPr>
                <w:rFonts w:hint="eastAsia" w:ascii="宋体" w:hAnsi="宋体" w:eastAsia="宋体" w:cs="宋体"/>
                <w:szCs w:val="21"/>
                <w:lang w:eastAsia="zh-CN"/>
              </w:rPr>
              <w:t>或合同章</w:t>
            </w:r>
            <w:r>
              <w:rPr>
                <w:rFonts w:hint="eastAsia" w:ascii="宋体" w:hAnsi="宋体" w:eastAsia="宋体" w:cs="宋体"/>
                <w:szCs w:val="21"/>
              </w:rPr>
              <w:t>）</w:t>
            </w:r>
          </w:p>
        </w:tc>
        <w:tc>
          <w:tcPr>
            <w:tcW w:w="1259" w:type="pct"/>
            <w:tcBorders>
              <w:top w:val="single" w:color="auto" w:sz="2" w:space="0"/>
              <w:left w:val="single" w:color="auto" w:sz="2" w:space="0"/>
              <w:bottom w:val="single" w:color="auto" w:sz="2" w:space="0"/>
            </w:tcBorders>
            <w:noWrap w:val="0"/>
            <w:vAlign w:val="center"/>
          </w:tcPr>
          <w:p w14:paraId="53E47A76">
            <w:pPr>
              <w:shd w:val="clear" w:color="auto" w:fill="auto"/>
              <w:adjustRightInd w:val="0"/>
              <w:snapToGrid w:val="0"/>
              <w:spacing w:line="300" w:lineRule="exact"/>
              <w:jc w:val="center"/>
              <w:rPr>
                <w:rFonts w:hint="eastAsia" w:ascii="宋体" w:hAnsi="宋体" w:eastAsia="宋体" w:cs="宋体"/>
                <w:spacing w:val="20"/>
                <w:szCs w:val="21"/>
              </w:rPr>
            </w:pPr>
          </w:p>
        </w:tc>
      </w:tr>
      <w:tr w14:paraId="1F33EFDD">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1171" w:hRule="atLeast"/>
        </w:trPr>
        <w:tc>
          <w:tcPr>
            <w:tcW w:w="1126" w:type="pct"/>
            <w:vMerge w:val="restart"/>
            <w:tcBorders>
              <w:top w:val="single" w:color="auto" w:sz="2" w:space="0"/>
              <w:right w:val="single" w:color="auto" w:sz="2" w:space="0"/>
            </w:tcBorders>
            <w:noWrap w:val="0"/>
            <w:vAlign w:val="center"/>
          </w:tcPr>
          <w:p w14:paraId="31FF9CE0">
            <w:pPr>
              <w:shd w:val="clear" w:color="auto" w:fill="auto"/>
              <w:adjustRightInd w:val="0"/>
              <w:snapToGrid w:val="0"/>
              <w:spacing w:line="300" w:lineRule="exact"/>
              <w:jc w:val="center"/>
              <w:rPr>
                <w:rFonts w:hint="eastAsia" w:ascii="宋体" w:hAnsi="宋体" w:eastAsia="宋体" w:cs="宋体"/>
                <w:szCs w:val="21"/>
              </w:rPr>
            </w:pPr>
            <w:r>
              <w:rPr>
                <w:rFonts w:hint="eastAsia" w:ascii="宋体" w:hAnsi="宋体" w:eastAsia="宋体" w:cs="宋体"/>
                <w:szCs w:val="21"/>
              </w:rPr>
              <w:t>法定代表人</w:t>
            </w:r>
          </w:p>
          <w:p w14:paraId="2BDBFFE2">
            <w:pPr>
              <w:shd w:val="clear" w:color="auto" w:fill="auto"/>
              <w:adjustRightInd w:val="0"/>
              <w:snapToGrid w:val="0"/>
              <w:spacing w:line="300" w:lineRule="exact"/>
              <w:ind w:firstLine="100" w:firstLineChars="48"/>
              <w:jc w:val="center"/>
              <w:rPr>
                <w:rFonts w:hint="eastAsia" w:ascii="宋体" w:hAnsi="宋体" w:eastAsia="宋体" w:cs="宋体"/>
                <w:szCs w:val="21"/>
              </w:rPr>
            </w:pPr>
            <w:r>
              <w:rPr>
                <w:rFonts w:hint="eastAsia" w:ascii="宋体" w:hAnsi="宋体" w:eastAsia="宋体" w:cs="宋体"/>
                <w:szCs w:val="21"/>
              </w:rPr>
              <w:t>或其委托代理人（签章）</w:t>
            </w:r>
          </w:p>
        </w:tc>
        <w:tc>
          <w:tcPr>
            <w:tcW w:w="1436" w:type="pct"/>
            <w:vMerge w:val="restart"/>
            <w:tcBorders>
              <w:top w:val="single" w:color="auto" w:sz="2" w:space="0"/>
              <w:left w:val="single" w:color="auto" w:sz="2" w:space="0"/>
              <w:right w:val="single" w:color="auto" w:sz="2" w:space="0"/>
            </w:tcBorders>
            <w:noWrap w:val="0"/>
            <w:vAlign w:val="center"/>
          </w:tcPr>
          <w:p w14:paraId="61577C5F">
            <w:pPr>
              <w:shd w:val="clear" w:color="auto" w:fill="auto"/>
              <w:adjustRightInd w:val="0"/>
              <w:snapToGrid w:val="0"/>
              <w:spacing w:line="300" w:lineRule="exact"/>
              <w:jc w:val="center"/>
              <w:rPr>
                <w:rFonts w:hint="eastAsia" w:ascii="宋体" w:hAnsi="宋体" w:eastAsia="宋体" w:cs="宋体"/>
                <w:szCs w:val="21"/>
              </w:rPr>
            </w:pPr>
          </w:p>
        </w:tc>
        <w:tc>
          <w:tcPr>
            <w:tcW w:w="1178" w:type="pct"/>
            <w:tcBorders>
              <w:top w:val="single" w:color="auto" w:sz="2" w:space="0"/>
              <w:left w:val="single" w:color="auto" w:sz="2" w:space="0"/>
              <w:right w:val="single" w:color="auto" w:sz="2" w:space="0"/>
            </w:tcBorders>
            <w:noWrap w:val="0"/>
            <w:vAlign w:val="center"/>
          </w:tcPr>
          <w:p w14:paraId="3A22375D">
            <w:pPr>
              <w:shd w:val="clear" w:color="auto" w:fill="auto"/>
              <w:adjustRightInd w:val="0"/>
              <w:snapToGrid w:val="0"/>
              <w:spacing w:line="300" w:lineRule="exact"/>
              <w:jc w:val="center"/>
              <w:rPr>
                <w:rFonts w:hint="eastAsia" w:ascii="宋体" w:hAnsi="宋体" w:eastAsia="宋体" w:cs="宋体"/>
                <w:szCs w:val="21"/>
              </w:rPr>
            </w:pPr>
            <w:r>
              <w:rPr>
                <w:rFonts w:hint="eastAsia" w:ascii="宋体" w:hAnsi="宋体" w:eastAsia="宋体" w:cs="宋体"/>
                <w:szCs w:val="21"/>
              </w:rPr>
              <w:t>法定代表人</w:t>
            </w:r>
          </w:p>
          <w:p w14:paraId="56FF11B7">
            <w:pPr>
              <w:shd w:val="clear" w:color="auto" w:fill="auto"/>
              <w:adjustRightInd w:val="0"/>
              <w:snapToGrid w:val="0"/>
              <w:spacing w:line="300" w:lineRule="exact"/>
              <w:jc w:val="center"/>
              <w:rPr>
                <w:rFonts w:hint="eastAsia" w:ascii="宋体" w:hAnsi="宋体" w:eastAsia="宋体" w:cs="宋体"/>
                <w:szCs w:val="21"/>
              </w:rPr>
            </w:pPr>
            <w:r>
              <w:rPr>
                <w:rFonts w:hint="eastAsia" w:ascii="宋体" w:hAnsi="宋体" w:eastAsia="宋体" w:cs="宋体"/>
                <w:szCs w:val="21"/>
              </w:rPr>
              <w:t>或其委托代理人（签章）</w:t>
            </w:r>
          </w:p>
        </w:tc>
        <w:tc>
          <w:tcPr>
            <w:tcW w:w="1259" w:type="pct"/>
            <w:tcBorders>
              <w:top w:val="single" w:color="auto" w:sz="2" w:space="0"/>
              <w:left w:val="single" w:color="auto" w:sz="2" w:space="0"/>
              <w:bottom w:val="single" w:color="auto" w:sz="2" w:space="0"/>
            </w:tcBorders>
            <w:noWrap w:val="0"/>
            <w:vAlign w:val="center"/>
          </w:tcPr>
          <w:p w14:paraId="4BC6895A">
            <w:pPr>
              <w:shd w:val="clear" w:color="auto" w:fill="auto"/>
              <w:adjustRightInd w:val="0"/>
              <w:snapToGrid w:val="0"/>
              <w:spacing w:line="300" w:lineRule="exact"/>
              <w:jc w:val="center"/>
              <w:rPr>
                <w:rFonts w:hint="eastAsia" w:ascii="宋体" w:hAnsi="宋体" w:eastAsia="宋体" w:cs="宋体"/>
                <w:szCs w:val="21"/>
              </w:rPr>
            </w:pPr>
          </w:p>
        </w:tc>
      </w:tr>
      <w:tr w14:paraId="5043402C">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vMerge w:val="continue"/>
            <w:tcBorders>
              <w:bottom w:val="single" w:color="auto" w:sz="2" w:space="0"/>
              <w:right w:val="single" w:color="auto" w:sz="2" w:space="0"/>
            </w:tcBorders>
            <w:noWrap w:val="0"/>
            <w:vAlign w:val="center"/>
          </w:tcPr>
          <w:p w14:paraId="3A92DCE6">
            <w:pPr>
              <w:shd w:val="clear" w:color="auto" w:fill="auto"/>
              <w:adjustRightInd w:val="0"/>
              <w:snapToGrid w:val="0"/>
              <w:spacing w:line="300" w:lineRule="exact"/>
              <w:jc w:val="center"/>
              <w:rPr>
                <w:rFonts w:hint="eastAsia" w:ascii="宋体" w:hAnsi="宋体" w:eastAsia="宋体" w:cs="宋体"/>
                <w:szCs w:val="21"/>
              </w:rPr>
            </w:pPr>
          </w:p>
        </w:tc>
        <w:tc>
          <w:tcPr>
            <w:tcW w:w="1436" w:type="pct"/>
            <w:vMerge w:val="continue"/>
            <w:tcBorders>
              <w:left w:val="single" w:color="auto" w:sz="2" w:space="0"/>
              <w:bottom w:val="single" w:color="auto" w:sz="2" w:space="0"/>
              <w:right w:val="single" w:color="auto" w:sz="2" w:space="0"/>
            </w:tcBorders>
            <w:noWrap w:val="0"/>
            <w:vAlign w:val="center"/>
          </w:tcPr>
          <w:p w14:paraId="46F2085C">
            <w:pPr>
              <w:shd w:val="clear" w:color="auto" w:fill="auto"/>
              <w:adjustRightInd w:val="0"/>
              <w:snapToGrid w:val="0"/>
              <w:spacing w:line="300" w:lineRule="exact"/>
              <w:jc w:val="center"/>
              <w:rPr>
                <w:rFonts w:hint="eastAsia" w:ascii="宋体" w:hAnsi="宋体" w:eastAsia="宋体" w:cs="宋体"/>
                <w:szCs w:val="21"/>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76F80D2A">
            <w:pPr>
              <w:shd w:val="clear" w:color="auto" w:fill="auto"/>
              <w:adjustRightInd w:val="0"/>
              <w:snapToGrid w:val="0"/>
              <w:spacing w:line="300" w:lineRule="exact"/>
              <w:jc w:val="center"/>
              <w:rPr>
                <w:rFonts w:hint="eastAsia" w:ascii="宋体" w:hAnsi="宋体" w:eastAsia="宋体" w:cs="宋体"/>
                <w:szCs w:val="21"/>
                <w:lang w:eastAsia="zh-CN"/>
              </w:rPr>
            </w:pPr>
            <w:r>
              <w:rPr>
                <w:rFonts w:hint="eastAsia" w:ascii="宋体" w:hAnsi="宋体" w:eastAsia="宋体" w:cs="宋体"/>
                <w:szCs w:val="21"/>
                <w:lang w:eastAsia="zh-CN"/>
              </w:rPr>
              <w:t>拥有者性别</w:t>
            </w:r>
          </w:p>
        </w:tc>
        <w:tc>
          <w:tcPr>
            <w:tcW w:w="1259" w:type="pct"/>
            <w:tcBorders>
              <w:top w:val="single" w:color="auto" w:sz="2" w:space="0"/>
              <w:left w:val="single" w:color="auto" w:sz="2" w:space="0"/>
              <w:bottom w:val="single" w:color="auto" w:sz="2" w:space="0"/>
            </w:tcBorders>
            <w:noWrap w:val="0"/>
            <w:vAlign w:val="center"/>
          </w:tcPr>
          <w:p w14:paraId="4EA2089B">
            <w:pPr>
              <w:shd w:val="clear" w:color="auto" w:fill="auto"/>
              <w:adjustRightInd w:val="0"/>
              <w:snapToGrid w:val="0"/>
              <w:spacing w:line="300" w:lineRule="exact"/>
              <w:jc w:val="center"/>
              <w:rPr>
                <w:rFonts w:hint="eastAsia" w:ascii="宋体" w:hAnsi="宋体" w:eastAsia="宋体" w:cs="宋体"/>
                <w:spacing w:val="20"/>
                <w:szCs w:val="21"/>
              </w:rPr>
            </w:pPr>
          </w:p>
        </w:tc>
      </w:tr>
      <w:tr w14:paraId="0D9426EA">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noWrap w:val="0"/>
            <w:vAlign w:val="center"/>
          </w:tcPr>
          <w:p w14:paraId="7B6F9186">
            <w:pPr>
              <w:shd w:val="clear" w:color="auto" w:fill="auto"/>
              <w:adjustRightInd w:val="0"/>
              <w:snapToGrid w:val="0"/>
              <w:spacing w:line="300" w:lineRule="exact"/>
              <w:jc w:val="center"/>
              <w:rPr>
                <w:rFonts w:hint="eastAsia" w:ascii="宋体" w:hAnsi="宋体" w:eastAsia="宋体" w:cs="宋体"/>
                <w:szCs w:val="21"/>
                <w:lang w:eastAsia="zh-CN"/>
              </w:rPr>
            </w:pPr>
            <w:r>
              <w:rPr>
                <w:rFonts w:hint="eastAsia" w:ascii="宋体" w:hAnsi="宋体" w:eastAsia="宋体" w:cs="宋体"/>
                <w:szCs w:val="21"/>
                <w:lang w:eastAsia="zh-CN"/>
              </w:rPr>
              <w:t>住</w:t>
            </w:r>
            <w:r>
              <w:rPr>
                <w:rFonts w:hint="eastAsia" w:ascii="宋体" w:hAnsi="宋体" w:eastAsia="宋体" w:cs="宋体"/>
                <w:szCs w:val="21"/>
                <w:lang w:val="en-US" w:eastAsia="zh-CN"/>
              </w:rPr>
              <w:t xml:space="preserve">  </w:t>
            </w:r>
            <w:r>
              <w:rPr>
                <w:rFonts w:hint="eastAsia" w:ascii="宋体" w:hAnsi="宋体" w:eastAsia="宋体" w:cs="宋体"/>
                <w:szCs w:val="21"/>
                <w:lang w:eastAsia="zh-CN"/>
              </w:rPr>
              <w:t>所</w:t>
            </w:r>
          </w:p>
        </w:tc>
        <w:tc>
          <w:tcPr>
            <w:tcW w:w="1436" w:type="pct"/>
            <w:tcBorders>
              <w:top w:val="single" w:color="auto" w:sz="2" w:space="0"/>
              <w:left w:val="single" w:color="auto" w:sz="2" w:space="0"/>
              <w:bottom w:val="single" w:color="auto" w:sz="2" w:space="0"/>
              <w:right w:val="single" w:color="auto" w:sz="2" w:space="0"/>
            </w:tcBorders>
            <w:noWrap w:val="0"/>
            <w:vAlign w:val="center"/>
          </w:tcPr>
          <w:p w14:paraId="272239EA">
            <w:pPr>
              <w:shd w:val="clear" w:color="auto" w:fill="auto"/>
              <w:adjustRightInd w:val="0"/>
              <w:snapToGrid w:val="0"/>
              <w:spacing w:line="300" w:lineRule="exact"/>
              <w:jc w:val="center"/>
              <w:rPr>
                <w:rFonts w:hint="eastAsia" w:ascii="宋体" w:hAnsi="宋体" w:eastAsia="宋体" w:cs="宋体"/>
                <w:szCs w:val="21"/>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6DF37BFB">
            <w:pPr>
              <w:shd w:val="clear" w:color="auto" w:fill="auto"/>
              <w:adjustRightInd w:val="0"/>
              <w:snapToGrid w:val="0"/>
              <w:spacing w:line="300" w:lineRule="exact"/>
              <w:jc w:val="center"/>
              <w:rPr>
                <w:rFonts w:hint="eastAsia" w:ascii="宋体" w:hAnsi="宋体" w:eastAsia="宋体" w:cs="宋体"/>
                <w:szCs w:val="21"/>
                <w:lang w:eastAsia="zh-CN"/>
              </w:rPr>
            </w:pPr>
            <w:r>
              <w:rPr>
                <w:rFonts w:hint="eastAsia" w:ascii="宋体" w:hAnsi="宋体" w:eastAsia="宋体" w:cs="宋体"/>
                <w:szCs w:val="21"/>
                <w:lang w:eastAsia="zh-CN"/>
              </w:rPr>
              <w:t>住</w:t>
            </w:r>
            <w:r>
              <w:rPr>
                <w:rFonts w:hint="eastAsia" w:ascii="宋体" w:hAnsi="宋体" w:eastAsia="宋体" w:cs="宋体"/>
                <w:szCs w:val="21"/>
                <w:lang w:val="en-US" w:eastAsia="zh-CN"/>
              </w:rPr>
              <w:t xml:space="preserve">  </w:t>
            </w:r>
            <w:r>
              <w:rPr>
                <w:rFonts w:hint="eastAsia" w:ascii="宋体" w:hAnsi="宋体" w:eastAsia="宋体" w:cs="宋体"/>
                <w:szCs w:val="21"/>
                <w:lang w:eastAsia="zh-CN"/>
              </w:rPr>
              <w:t>所</w:t>
            </w:r>
          </w:p>
        </w:tc>
        <w:tc>
          <w:tcPr>
            <w:tcW w:w="1259" w:type="pct"/>
            <w:tcBorders>
              <w:top w:val="single" w:color="auto" w:sz="2" w:space="0"/>
              <w:left w:val="single" w:color="auto" w:sz="2" w:space="0"/>
              <w:bottom w:val="single" w:color="auto" w:sz="2" w:space="0"/>
            </w:tcBorders>
            <w:noWrap w:val="0"/>
            <w:vAlign w:val="center"/>
          </w:tcPr>
          <w:p w14:paraId="3773BB90">
            <w:pPr>
              <w:shd w:val="clear" w:color="auto" w:fill="auto"/>
              <w:adjustRightInd w:val="0"/>
              <w:snapToGrid w:val="0"/>
              <w:spacing w:line="300" w:lineRule="exact"/>
              <w:jc w:val="center"/>
              <w:rPr>
                <w:rFonts w:hint="eastAsia" w:ascii="宋体" w:hAnsi="宋体" w:eastAsia="宋体" w:cs="宋体"/>
                <w:spacing w:val="20"/>
                <w:szCs w:val="21"/>
              </w:rPr>
            </w:pPr>
          </w:p>
        </w:tc>
      </w:tr>
      <w:tr w14:paraId="08FC0C64">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noWrap w:val="0"/>
            <w:vAlign w:val="center"/>
          </w:tcPr>
          <w:p w14:paraId="046B9B1A">
            <w:pPr>
              <w:shd w:val="clear" w:color="auto" w:fill="auto"/>
              <w:adjustRightInd w:val="0"/>
              <w:snapToGrid w:val="0"/>
              <w:spacing w:line="300" w:lineRule="exact"/>
              <w:jc w:val="center"/>
              <w:rPr>
                <w:rFonts w:hint="eastAsia" w:ascii="宋体" w:hAnsi="宋体" w:eastAsia="宋体" w:cs="宋体"/>
                <w:szCs w:val="21"/>
              </w:rPr>
            </w:pPr>
            <w:r>
              <w:rPr>
                <w:rFonts w:hint="eastAsia" w:ascii="宋体" w:hAnsi="宋体" w:eastAsia="宋体" w:cs="宋体"/>
                <w:szCs w:val="21"/>
              </w:rPr>
              <w:t>联 系 人</w:t>
            </w:r>
          </w:p>
        </w:tc>
        <w:tc>
          <w:tcPr>
            <w:tcW w:w="1436" w:type="pct"/>
            <w:tcBorders>
              <w:top w:val="single" w:color="auto" w:sz="2" w:space="0"/>
              <w:left w:val="single" w:color="auto" w:sz="2" w:space="0"/>
              <w:bottom w:val="single" w:color="auto" w:sz="2" w:space="0"/>
              <w:right w:val="single" w:color="auto" w:sz="2" w:space="0"/>
            </w:tcBorders>
            <w:noWrap w:val="0"/>
            <w:vAlign w:val="center"/>
          </w:tcPr>
          <w:p w14:paraId="440DAF87">
            <w:pPr>
              <w:shd w:val="clear" w:color="auto" w:fill="auto"/>
              <w:adjustRightInd w:val="0"/>
              <w:snapToGrid w:val="0"/>
              <w:spacing w:line="300" w:lineRule="exact"/>
              <w:jc w:val="center"/>
              <w:rPr>
                <w:rFonts w:hint="eastAsia" w:ascii="宋体" w:hAnsi="宋体" w:eastAsia="宋体" w:cs="宋体"/>
                <w:szCs w:val="21"/>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588485FD">
            <w:pPr>
              <w:shd w:val="clear" w:color="auto" w:fill="auto"/>
              <w:adjustRightInd w:val="0"/>
              <w:snapToGrid w:val="0"/>
              <w:spacing w:line="300" w:lineRule="exact"/>
              <w:jc w:val="center"/>
              <w:rPr>
                <w:rFonts w:hint="eastAsia" w:ascii="宋体" w:hAnsi="宋体" w:eastAsia="宋体" w:cs="宋体"/>
                <w:szCs w:val="21"/>
              </w:rPr>
            </w:pPr>
            <w:r>
              <w:rPr>
                <w:rFonts w:hint="eastAsia" w:ascii="宋体" w:hAnsi="宋体" w:eastAsia="宋体" w:cs="宋体"/>
                <w:szCs w:val="21"/>
              </w:rPr>
              <w:t>联 系 人</w:t>
            </w:r>
          </w:p>
        </w:tc>
        <w:tc>
          <w:tcPr>
            <w:tcW w:w="1259" w:type="pct"/>
            <w:tcBorders>
              <w:top w:val="single" w:color="auto" w:sz="2" w:space="0"/>
              <w:left w:val="single" w:color="auto" w:sz="2" w:space="0"/>
              <w:bottom w:val="single" w:color="auto" w:sz="2" w:space="0"/>
            </w:tcBorders>
            <w:noWrap w:val="0"/>
            <w:vAlign w:val="center"/>
          </w:tcPr>
          <w:p w14:paraId="27ACF081">
            <w:pPr>
              <w:shd w:val="clear" w:color="auto" w:fill="auto"/>
              <w:adjustRightInd w:val="0"/>
              <w:snapToGrid w:val="0"/>
              <w:spacing w:line="300" w:lineRule="exact"/>
              <w:jc w:val="center"/>
              <w:rPr>
                <w:rFonts w:hint="eastAsia" w:ascii="宋体" w:hAnsi="宋体" w:eastAsia="宋体" w:cs="宋体"/>
                <w:spacing w:val="20"/>
                <w:szCs w:val="21"/>
              </w:rPr>
            </w:pPr>
          </w:p>
        </w:tc>
      </w:tr>
      <w:tr w14:paraId="23FE7B25">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noWrap w:val="0"/>
            <w:vAlign w:val="center"/>
          </w:tcPr>
          <w:p w14:paraId="419F6F60">
            <w:pPr>
              <w:shd w:val="clear" w:color="auto" w:fill="auto"/>
              <w:adjustRightInd w:val="0"/>
              <w:snapToGrid w:val="0"/>
              <w:spacing w:line="300" w:lineRule="exact"/>
              <w:jc w:val="center"/>
              <w:rPr>
                <w:rFonts w:hint="eastAsia" w:ascii="宋体" w:hAnsi="宋体" w:eastAsia="宋体" w:cs="宋体"/>
                <w:szCs w:val="21"/>
              </w:rPr>
            </w:pPr>
            <w:r>
              <w:rPr>
                <w:rFonts w:hint="eastAsia" w:ascii="宋体" w:hAnsi="宋体" w:eastAsia="宋体" w:cs="宋体"/>
                <w:szCs w:val="21"/>
              </w:rPr>
              <w:t>联系电话</w:t>
            </w:r>
          </w:p>
        </w:tc>
        <w:tc>
          <w:tcPr>
            <w:tcW w:w="1436" w:type="pct"/>
            <w:tcBorders>
              <w:top w:val="single" w:color="auto" w:sz="2" w:space="0"/>
              <w:left w:val="single" w:color="auto" w:sz="2" w:space="0"/>
              <w:bottom w:val="single" w:color="auto" w:sz="2" w:space="0"/>
              <w:right w:val="single" w:color="auto" w:sz="2" w:space="0"/>
            </w:tcBorders>
            <w:noWrap w:val="0"/>
            <w:vAlign w:val="center"/>
          </w:tcPr>
          <w:p w14:paraId="183B0085">
            <w:pPr>
              <w:shd w:val="clear" w:color="auto" w:fill="auto"/>
              <w:adjustRightInd w:val="0"/>
              <w:snapToGrid w:val="0"/>
              <w:spacing w:line="300" w:lineRule="exact"/>
              <w:jc w:val="center"/>
              <w:rPr>
                <w:rFonts w:hint="eastAsia" w:ascii="宋体" w:hAnsi="宋体" w:eastAsia="宋体" w:cs="宋体"/>
                <w:szCs w:val="21"/>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0AE7C6AE">
            <w:pPr>
              <w:shd w:val="clear" w:color="auto" w:fill="auto"/>
              <w:adjustRightInd w:val="0"/>
              <w:snapToGrid w:val="0"/>
              <w:spacing w:line="300" w:lineRule="exact"/>
              <w:jc w:val="center"/>
              <w:rPr>
                <w:rFonts w:hint="eastAsia" w:ascii="宋体" w:hAnsi="宋体" w:eastAsia="宋体" w:cs="宋体"/>
                <w:szCs w:val="21"/>
              </w:rPr>
            </w:pPr>
            <w:r>
              <w:rPr>
                <w:rFonts w:hint="eastAsia" w:ascii="宋体" w:hAnsi="宋体" w:eastAsia="宋体" w:cs="宋体"/>
                <w:szCs w:val="21"/>
              </w:rPr>
              <w:t>联系电话</w:t>
            </w:r>
          </w:p>
        </w:tc>
        <w:tc>
          <w:tcPr>
            <w:tcW w:w="1259" w:type="pct"/>
            <w:tcBorders>
              <w:top w:val="single" w:color="auto" w:sz="2" w:space="0"/>
              <w:left w:val="single" w:color="auto" w:sz="2" w:space="0"/>
              <w:bottom w:val="single" w:color="auto" w:sz="2" w:space="0"/>
            </w:tcBorders>
            <w:noWrap w:val="0"/>
            <w:vAlign w:val="center"/>
          </w:tcPr>
          <w:p w14:paraId="66CCEA10">
            <w:pPr>
              <w:shd w:val="clear" w:color="auto" w:fill="auto"/>
              <w:adjustRightInd w:val="0"/>
              <w:snapToGrid w:val="0"/>
              <w:spacing w:line="300" w:lineRule="exact"/>
              <w:jc w:val="center"/>
              <w:rPr>
                <w:rFonts w:hint="eastAsia" w:ascii="宋体" w:hAnsi="宋体" w:eastAsia="宋体" w:cs="宋体"/>
                <w:spacing w:val="20"/>
                <w:szCs w:val="21"/>
              </w:rPr>
            </w:pPr>
          </w:p>
        </w:tc>
      </w:tr>
      <w:tr w14:paraId="15C5DB63">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noWrap w:val="0"/>
            <w:vAlign w:val="center"/>
          </w:tcPr>
          <w:p w14:paraId="7F367E30">
            <w:pPr>
              <w:shd w:val="clear" w:color="auto" w:fill="auto"/>
              <w:adjustRightInd w:val="0"/>
              <w:snapToGrid w:val="0"/>
              <w:spacing w:line="300" w:lineRule="exact"/>
              <w:jc w:val="center"/>
              <w:rPr>
                <w:rFonts w:hint="eastAsia" w:ascii="宋体" w:hAnsi="宋体" w:eastAsia="宋体" w:cs="宋体"/>
                <w:szCs w:val="21"/>
                <w:lang w:eastAsia="zh-CN"/>
              </w:rPr>
            </w:pPr>
            <w:r>
              <w:rPr>
                <w:rFonts w:hint="eastAsia" w:ascii="宋体" w:hAnsi="宋体" w:eastAsia="宋体" w:cs="宋体"/>
                <w:szCs w:val="21"/>
                <w:lang w:eastAsia="zh-CN"/>
              </w:rPr>
              <w:t>通信地址</w:t>
            </w:r>
          </w:p>
        </w:tc>
        <w:tc>
          <w:tcPr>
            <w:tcW w:w="1436" w:type="pct"/>
            <w:tcBorders>
              <w:top w:val="single" w:color="auto" w:sz="2" w:space="0"/>
              <w:left w:val="single" w:color="auto" w:sz="2" w:space="0"/>
              <w:bottom w:val="single" w:color="auto" w:sz="2" w:space="0"/>
              <w:right w:val="single" w:color="auto" w:sz="2" w:space="0"/>
            </w:tcBorders>
            <w:noWrap w:val="0"/>
            <w:vAlign w:val="center"/>
          </w:tcPr>
          <w:p w14:paraId="1D585C5F">
            <w:pPr>
              <w:shd w:val="clear" w:color="auto" w:fill="auto"/>
              <w:adjustRightInd w:val="0"/>
              <w:snapToGrid w:val="0"/>
              <w:spacing w:line="300" w:lineRule="exact"/>
              <w:jc w:val="center"/>
              <w:rPr>
                <w:rFonts w:hint="eastAsia" w:ascii="宋体" w:hAnsi="宋体" w:eastAsia="宋体" w:cs="宋体"/>
                <w:szCs w:val="21"/>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545A8377">
            <w:pPr>
              <w:shd w:val="clear" w:color="auto" w:fill="auto"/>
              <w:adjustRightInd w:val="0"/>
              <w:snapToGrid w:val="0"/>
              <w:spacing w:line="300" w:lineRule="exact"/>
              <w:jc w:val="center"/>
              <w:rPr>
                <w:rFonts w:hint="eastAsia" w:ascii="宋体" w:hAnsi="宋体" w:eastAsia="宋体" w:cs="宋体"/>
                <w:szCs w:val="21"/>
              </w:rPr>
            </w:pPr>
            <w:r>
              <w:rPr>
                <w:rFonts w:hint="eastAsia" w:ascii="宋体" w:hAnsi="宋体" w:eastAsia="宋体" w:cs="宋体"/>
                <w:szCs w:val="21"/>
                <w:lang w:eastAsia="zh-CN"/>
              </w:rPr>
              <w:t>通信地址</w:t>
            </w:r>
          </w:p>
        </w:tc>
        <w:tc>
          <w:tcPr>
            <w:tcW w:w="1259" w:type="pct"/>
            <w:tcBorders>
              <w:top w:val="single" w:color="auto" w:sz="2" w:space="0"/>
              <w:left w:val="single" w:color="auto" w:sz="2" w:space="0"/>
              <w:bottom w:val="single" w:color="auto" w:sz="2" w:space="0"/>
            </w:tcBorders>
            <w:noWrap w:val="0"/>
            <w:vAlign w:val="center"/>
          </w:tcPr>
          <w:p w14:paraId="01F2F32D">
            <w:pPr>
              <w:shd w:val="clear" w:color="auto" w:fill="auto"/>
              <w:adjustRightInd w:val="0"/>
              <w:snapToGrid w:val="0"/>
              <w:spacing w:line="300" w:lineRule="exact"/>
              <w:jc w:val="center"/>
              <w:rPr>
                <w:rFonts w:hint="eastAsia" w:ascii="宋体" w:hAnsi="宋体" w:eastAsia="宋体" w:cs="宋体"/>
                <w:spacing w:val="20"/>
                <w:szCs w:val="21"/>
              </w:rPr>
            </w:pPr>
          </w:p>
        </w:tc>
      </w:tr>
      <w:tr w14:paraId="10B063F0">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noWrap w:val="0"/>
            <w:vAlign w:val="center"/>
          </w:tcPr>
          <w:p w14:paraId="1A995975">
            <w:pPr>
              <w:shd w:val="clear" w:color="auto" w:fill="auto"/>
              <w:adjustRightInd w:val="0"/>
              <w:snapToGrid w:val="0"/>
              <w:spacing w:line="300" w:lineRule="exact"/>
              <w:jc w:val="center"/>
              <w:rPr>
                <w:rFonts w:hint="eastAsia" w:ascii="宋体" w:hAnsi="宋体" w:eastAsia="宋体" w:cs="宋体"/>
                <w:szCs w:val="21"/>
              </w:rPr>
            </w:pPr>
            <w:r>
              <w:rPr>
                <w:rFonts w:hint="eastAsia" w:ascii="宋体" w:hAnsi="宋体" w:eastAsia="宋体" w:cs="宋体"/>
                <w:szCs w:val="21"/>
              </w:rPr>
              <w:t>邮政编码</w:t>
            </w:r>
          </w:p>
        </w:tc>
        <w:tc>
          <w:tcPr>
            <w:tcW w:w="1436" w:type="pct"/>
            <w:tcBorders>
              <w:top w:val="single" w:color="auto" w:sz="2" w:space="0"/>
              <w:left w:val="single" w:color="auto" w:sz="2" w:space="0"/>
              <w:bottom w:val="single" w:color="auto" w:sz="2" w:space="0"/>
              <w:right w:val="single" w:color="auto" w:sz="2" w:space="0"/>
            </w:tcBorders>
            <w:noWrap w:val="0"/>
            <w:vAlign w:val="center"/>
          </w:tcPr>
          <w:p w14:paraId="58537B2E">
            <w:pPr>
              <w:shd w:val="clear" w:color="auto" w:fill="auto"/>
              <w:adjustRightInd w:val="0"/>
              <w:snapToGrid w:val="0"/>
              <w:spacing w:line="300" w:lineRule="exact"/>
              <w:jc w:val="center"/>
              <w:rPr>
                <w:rFonts w:hint="eastAsia" w:ascii="宋体" w:hAnsi="宋体" w:eastAsia="宋体" w:cs="宋体"/>
                <w:szCs w:val="21"/>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0371C24D">
            <w:pPr>
              <w:shd w:val="clear" w:color="auto" w:fill="auto"/>
              <w:adjustRightInd w:val="0"/>
              <w:snapToGrid w:val="0"/>
              <w:spacing w:line="300" w:lineRule="exact"/>
              <w:jc w:val="center"/>
              <w:rPr>
                <w:rFonts w:hint="eastAsia" w:ascii="宋体" w:hAnsi="宋体" w:eastAsia="宋体" w:cs="宋体"/>
                <w:szCs w:val="21"/>
              </w:rPr>
            </w:pPr>
            <w:r>
              <w:rPr>
                <w:rFonts w:hint="eastAsia" w:ascii="宋体" w:hAnsi="宋体" w:eastAsia="宋体" w:cs="宋体"/>
                <w:szCs w:val="21"/>
              </w:rPr>
              <w:t>邮政编码</w:t>
            </w:r>
          </w:p>
        </w:tc>
        <w:tc>
          <w:tcPr>
            <w:tcW w:w="1259" w:type="pct"/>
            <w:tcBorders>
              <w:top w:val="single" w:color="auto" w:sz="2" w:space="0"/>
              <w:left w:val="single" w:color="auto" w:sz="2" w:space="0"/>
              <w:bottom w:val="single" w:color="auto" w:sz="2" w:space="0"/>
            </w:tcBorders>
            <w:noWrap w:val="0"/>
            <w:vAlign w:val="center"/>
          </w:tcPr>
          <w:p w14:paraId="1B9EBEF9">
            <w:pPr>
              <w:shd w:val="clear" w:color="auto" w:fill="auto"/>
              <w:adjustRightInd w:val="0"/>
              <w:snapToGrid w:val="0"/>
              <w:spacing w:line="300" w:lineRule="exact"/>
              <w:jc w:val="center"/>
              <w:rPr>
                <w:rFonts w:hint="eastAsia" w:ascii="宋体" w:hAnsi="宋体" w:eastAsia="宋体" w:cs="宋体"/>
                <w:spacing w:val="20"/>
                <w:szCs w:val="21"/>
              </w:rPr>
            </w:pPr>
          </w:p>
        </w:tc>
      </w:tr>
      <w:tr w14:paraId="58B29944">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noWrap w:val="0"/>
            <w:vAlign w:val="center"/>
          </w:tcPr>
          <w:p w14:paraId="11224486">
            <w:pPr>
              <w:shd w:val="clear" w:color="auto" w:fill="auto"/>
              <w:adjustRightInd w:val="0"/>
              <w:snapToGrid w:val="0"/>
              <w:spacing w:line="300" w:lineRule="exact"/>
              <w:jc w:val="center"/>
              <w:rPr>
                <w:rFonts w:hint="eastAsia" w:ascii="宋体" w:hAnsi="宋体" w:eastAsia="宋体" w:cs="宋体"/>
                <w:szCs w:val="21"/>
              </w:rPr>
            </w:pPr>
            <w:r>
              <w:rPr>
                <w:rFonts w:hint="eastAsia" w:ascii="宋体" w:hAnsi="宋体" w:eastAsia="宋体" w:cs="宋体"/>
                <w:szCs w:val="21"/>
              </w:rPr>
              <w:t>电子邮箱</w:t>
            </w:r>
          </w:p>
        </w:tc>
        <w:tc>
          <w:tcPr>
            <w:tcW w:w="1436" w:type="pct"/>
            <w:tcBorders>
              <w:top w:val="single" w:color="auto" w:sz="2" w:space="0"/>
              <w:left w:val="single" w:color="auto" w:sz="2" w:space="0"/>
              <w:bottom w:val="single" w:color="auto" w:sz="2" w:space="0"/>
              <w:right w:val="single" w:color="auto" w:sz="2" w:space="0"/>
            </w:tcBorders>
            <w:noWrap w:val="0"/>
            <w:vAlign w:val="center"/>
          </w:tcPr>
          <w:p w14:paraId="121808A1">
            <w:pPr>
              <w:shd w:val="clear" w:color="auto" w:fill="auto"/>
              <w:adjustRightInd w:val="0"/>
              <w:snapToGrid w:val="0"/>
              <w:spacing w:line="300" w:lineRule="exact"/>
              <w:jc w:val="center"/>
              <w:rPr>
                <w:rFonts w:hint="eastAsia" w:ascii="宋体" w:hAnsi="宋体" w:eastAsia="宋体" w:cs="宋体"/>
                <w:szCs w:val="21"/>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4F4017AE">
            <w:pPr>
              <w:shd w:val="clear" w:color="auto" w:fill="auto"/>
              <w:adjustRightInd w:val="0"/>
              <w:snapToGrid w:val="0"/>
              <w:spacing w:line="300" w:lineRule="exact"/>
              <w:jc w:val="center"/>
              <w:rPr>
                <w:rFonts w:hint="eastAsia" w:ascii="宋体" w:hAnsi="宋体" w:eastAsia="宋体" w:cs="宋体"/>
                <w:szCs w:val="21"/>
              </w:rPr>
            </w:pPr>
            <w:r>
              <w:rPr>
                <w:rFonts w:hint="eastAsia" w:ascii="宋体" w:hAnsi="宋体" w:eastAsia="宋体" w:cs="宋体"/>
                <w:szCs w:val="21"/>
              </w:rPr>
              <w:t>电子邮箱</w:t>
            </w:r>
          </w:p>
        </w:tc>
        <w:tc>
          <w:tcPr>
            <w:tcW w:w="1259" w:type="pct"/>
            <w:tcBorders>
              <w:top w:val="single" w:color="auto" w:sz="2" w:space="0"/>
              <w:left w:val="single" w:color="auto" w:sz="2" w:space="0"/>
              <w:bottom w:val="single" w:color="auto" w:sz="2" w:space="0"/>
            </w:tcBorders>
            <w:noWrap w:val="0"/>
            <w:vAlign w:val="center"/>
          </w:tcPr>
          <w:p w14:paraId="6849136C">
            <w:pPr>
              <w:shd w:val="clear" w:color="auto" w:fill="auto"/>
              <w:adjustRightInd w:val="0"/>
              <w:snapToGrid w:val="0"/>
              <w:spacing w:line="300" w:lineRule="exact"/>
              <w:jc w:val="center"/>
              <w:rPr>
                <w:rFonts w:hint="eastAsia" w:ascii="宋体" w:hAnsi="宋体" w:eastAsia="宋体" w:cs="宋体"/>
                <w:spacing w:val="20"/>
                <w:szCs w:val="21"/>
              </w:rPr>
            </w:pPr>
          </w:p>
        </w:tc>
      </w:tr>
      <w:tr w14:paraId="7A10941B">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noWrap w:val="0"/>
            <w:vAlign w:val="center"/>
          </w:tcPr>
          <w:p w14:paraId="609F7B27">
            <w:pPr>
              <w:shd w:val="clear" w:color="auto" w:fill="auto"/>
              <w:adjustRightInd w:val="0"/>
              <w:snapToGrid w:val="0"/>
              <w:spacing w:line="300" w:lineRule="exact"/>
              <w:jc w:val="center"/>
              <w:rPr>
                <w:rFonts w:hint="eastAsia" w:ascii="宋体" w:hAnsi="宋体" w:eastAsia="宋体" w:cs="宋体"/>
                <w:szCs w:val="21"/>
              </w:rPr>
            </w:pPr>
            <w:r>
              <w:rPr>
                <w:rFonts w:hint="eastAsia" w:ascii="宋体" w:hAnsi="宋体" w:eastAsia="宋体" w:cs="宋体"/>
                <w:szCs w:val="21"/>
              </w:rPr>
              <w:t>统一社会信用代码</w:t>
            </w:r>
          </w:p>
        </w:tc>
        <w:tc>
          <w:tcPr>
            <w:tcW w:w="1436" w:type="pct"/>
            <w:tcBorders>
              <w:top w:val="single" w:color="auto" w:sz="2" w:space="0"/>
              <w:left w:val="single" w:color="auto" w:sz="2" w:space="0"/>
              <w:bottom w:val="single" w:color="auto" w:sz="2" w:space="0"/>
              <w:right w:val="single" w:color="auto" w:sz="2" w:space="0"/>
            </w:tcBorders>
            <w:noWrap w:val="0"/>
            <w:vAlign w:val="center"/>
          </w:tcPr>
          <w:p w14:paraId="7B631CEB">
            <w:pPr>
              <w:shd w:val="clear" w:color="auto" w:fill="auto"/>
              <w:adjustRightInd w:val="0"/>
              <w:snapToGrid w:val="0"/>
              <w:spacing w:line="300" w:lineRule="exact"/>
              <w:jc w:val="center"/>
              <w:rPr>
                <w:rFonts w:hint="eastAsia" w:ascii="宋体" w:hAnsi="宋体" w:eastAsia="宋体" w:cs="宋体"/>
                <w:szCs w:val="21"/>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22B9047A">
            <w:pPr>
              <w:shd w:val="clear" w:color="auto" w:fill="auto"/>
              <w:adjustRightInd w:val="0"/>
              <w:snapToGrid w:val="0"/>
              <w:spacing w:line="300" w:lineRule="exact"/>
              <w:jc w:val="center"/>
              <w:rPr>
                <w:rFonts w:hint="eastAsia" w:ascii="宋体" w:hAnsi="宋体" w:eastAsia="宋体" w:cs="宋体"/>
                <w:szCs w:val="21"/>
              </w:rPr>
            </w:pPr>
            <w:r>
              <w:rPr>
                <w:rFonts w:hint="eastAsia" w:ascii="宋体" w:hAnsi="宋体" w:eastAsia="宋体" w:cs="宋体"/>
                <w:szCs w:val="21"/>
              </w:rPr>
              <w:t>统一社会信用代码</w:t>
            </w:r>
          </w:p>
        </w:tc>
        <w:tc>
          <w:tcPr>
            <w:tcW w:w="1259" w:type="pct"/>
            <w:tcBorders>
              <w:top w:val="single" w:color="auto" w:sz="2" w:space="0"/>
              <w:left w:val="single" w:color="auto" w:sz="2" w:space="0"/>
              <w:bottom w:val="single" w:color="auto" w:sz="2" w:space="0"/>
            </w:tcBorders>
            <w:noWrap w:val="0"/>
            <w:vAlign w:val="center"/>
          </w:tcPr>
          <w:p w14:paraId="0D30AFA7">
            <w:pPr>
              <w:shd w:val="clear" w:color="auto" w:fill="auto"/>
              <w:adjustRightInd w:val="0"/>
              <w:snapToGrid w:val="0"/>
              <w:spacing w:line="300" w:lineRule="exact"/>
              <w:jc w:val="center"/>
              <w:rPr>
                <w:rFonts w:hint="eastAsia" w:ascii="宋体" w:hAnsi="宋体" w:eastAsia="宋体" w:cs="宋体"/>
                <w:spacing w:val="20"/>
                <w:szCs w:val="21"/>
              </w:rPr>
            </w:pPr>
          </w:p>
        </w:tc>
      </w:tr>
      <w:tr w14:paraId="51A22484">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noWrap w:val="0"/>
            <w:vAlign w:val="center"/>
          </w:tcPr>
          <w:p w14:paraId="566D4345">
            <w:pPr>
              <w:shd w:val="clear" w:color="auto" w:fill="auto"/>
              <w:adjustRightInd w:val="0"/>
              <w:snapToGrid w:val="0"/>
              <w:spacing w:line="300" w:lineRule="exact"/>
              <w:jc w:val="center"/>
              <w:rPr>
                <w:rFonts w:hint="eastAsia" w:ascii="宋体" w:hAnsi="宋体" w:eastAsia="宋体" w:cs="宋体"/>
                <w:szCs w:val="21"/>
              </w:rPr>
            </w:pPr>
          </w:p>
        </w:tc>
        <w:tc>
          <w:tcPr>
            <w:tcW w:w="1436" w:type="pct"/>
            <w:tcBorders>
              <w:top w:val="single" w:color="auto" w:sz="2" w:space="0"/>
              <w:left w:val="single" w:color="auto" w:sz="2" w:space="0"/>
              <w:bottom w:val="single" w:color="auto" w:sz="2" w:space="0"/>
              <w:right w:val="single" w:color="auto" w:sz="2" w:space="0"/>
            </w:tcBorders>
            <w:noWrap w:val="0"/>
            <w:vAlign w:val="center"/>
          </w:tcPr>
          <w:p w14:paraId="49110762">
            <w:pPr>
              <w:shd w:val="clear" w:color="auto" w:fill="auto"/>
              <w:adjustRightInd w:val="0"/>
              <w:snapToGrid w:val="0"/>
              <w:spacing w:line="300" w:lineRule="exact"/>
              <w:jc w:val="center"/>
              <w:rPr>
                <w:rFonts w:hint="eastAsia" w:ascii="宋体" w:hAnsi="宋体" w:eastAsia="宋体" w:cs="宋体"/>
                <w:szCs w:val="21"/>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6EB4F45C">
            <w:pPr>
              <w:shd w:val="clear" w:color="auto" w:fill="auto"/>
              <w:adjustRightInd w:val="0"/>
              <w:snapToGrid w:val="0"/>
              <w:spacing w:line="300" w:lineRule="exact"/>
              <w:jc w:val="center"/>
              <w:rPr>
                <w:rFonts w:hint="eastAsia" w:ascii="宋体" w:hAnsi="宋体" w:eastAsia="宋体" w:cs="宋体"/>
                <w:szCs w:val="21"/>
              </w:rPr>
            </w:pPr>
            <w:r>
              <w:rPr>
                <w:rFonts w:hint="eastAsia" w:ascii="宋体" w:hAnsi="宋体" w:eastAsia="宋体" w:cs="宋体"/>
                <w:szCs w:val="21"/>
              </w:rPr>
              <w:t>开户名称</w:t>
            </w:r>
          </w:p>
        </w:tc>
        <w:tc>
          <w:tcPr>
            <w:tcW w:w="1259" w:type="pct"/>
            <w:tcBorders>
              <w:top w:val="single" w:color="auto" w:sz="2" w:space="0"/>
              <w:left w:val="single" w:color="auto" w:sz="2" w:space="0"/>
              <w:bottom w:val="single" w:color="auto" w:sz="2" w:space="0"/>
            </w:tcBorders>
            <w:noWrap w:val="0"/>
            <w:vAlign w:val="center"/>
          </w:tcPr>
          <w:p w14:paraId="7D56E13F">
            <w:pPr>
              <w:shd w:val="clear" w:color="auto" w:fill="auto"/>
              <w:adjustRightInd w:val="0"/>
              <w:snapToGrid w:val="0"/>
              <w:spacing w:line="300" w:lineRule="exact"/>
              <w:jc w:val="center"/>
              <w:rPr>
                <w:rFonts w:hint="eastAsia" w:ascii="宋体" w:hAnsi="宋体" w:eastAsia="宋体" w:cs="宋体"/>
                <w:spacing w:val="20"/>
                <w:szCs w:val="21"/>
              </w:rPr>
            </w:pPr>
          </w:p>
        </w:tc>
      </w:tr>
      <w:tr w14:paraId="61C308D7">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noWrap w:val="0"/>
            <w:vAlign w:val="center"/>
          </w:tcPr>
          <w:p w14:paraId="1FF12C34">
            <w:pPr>
              <w:shd w:val="clear" w:color="auto" w:fill="auto"/>
              <w:adjustRightInd w:val="0"/>
              <w:snapToGrid w:val="0"/>
              <w:spacing w:line="300" w:lineRule="exact"/>
              <w:jc w:val="center"/>
              <w:rPr>
                <w:rFonts w:hint="eastAsia" w:ascii="宋体" w:hAnsi="宋体" w:eastAsia="宋体" w:cs="宋体"/>
                <w:szCs w:val="21"/>
              </w:rPr>
            </w:pPr>
          </w:p>
        </w:tc>
        <w:tc>
          <w:tcPr>
            <w:tcW w:w="1436" w:type="pct"/>
            <w:tcBorders>
              <w:top w:val="single" w:color="auto" w:sz="2" w:space="0"/>
              <w:left w:val="single" w:color="auto" w:sz="2" w:space="0"/>
              <w:bottom w:val="single" w:color="auto" w:sz="2" w:space="0"/>
              <w:right w:val="single" w:color="auto" w:sz="2" w:space="0"/>
            </w:tcBorders>
            <w:noWrap w:val="0"/>
            <w:vAlign w:val="center"/>
          </w:tcPr>
          <w:p w14:paraId="693AB71A">
            <w:pPr>
              <w:shd w:val="clear" w:color="auto" w:fill="auto"/>
              <w:adjustRightInd w:val="0"/>
              <w:snapToGrid w:val="0"/>
              <w:spacing w:line="300" w:lineRule="exact"/>
              <w:jc w:val="center"/>
              <w:rPr>
                <w:rFonts w:hint="eastAsia" w:ascii="宋体" w:hAnsi="宋体" w:eastAsia="宋体" w:cs="宋体"/>
                <w:szCs w:val="21"/>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3202F52F">
            <w:pPr>
              <w:shd w:val="clear" w:color="auto" w:fill="auto"/>
              <w:adjustRightInd w:val="0"/>
              <w:snapToGrid w:val="0"/>
              <w:spacing w:line="300" w:lineRule="exact"/>
              <w:jc w:val="center"/>
              <w:rPr>
                <w:rFonts w:hint="eastAsia" w:ascii="宋体" w:hAnsi="宋体" w:eastAsia="宋体" w:cs="宋体"/>
                <w:szCs w:val="21"/>
              </w:rPr>
            </w:pPr>
            <w:r>
              <w:rPr>
                <w:rFonts w:hint="eastAsia" w:ascii="宋体" w:hAnsi="宋体" w:eastAsia="宋体" w:cs="宋体"/>
                <w:szCs w:val="21"/>
              </w:rPr>
              <w:t>开户银行</w:t>
            </w:r>
          </w:p>
        </w:tc>
        <w:tc>
          <w:tcPr>
            <w:tcW w:w="1259" w:type="pct"/>
            <w:tcBorders>
              <w:top w:val="single" w:color="auto" w:sz="2" w:space="0"/>
              <w:left w:val="single" w:color="auto" w:sz="2" w:space="0"/>
              <w:bottom w:val="single" w:color="auto" w:sz="2" w:space="0"/>
            </w:tcBorders>
            <w:noWrap w:val="0"/>
            <w:vAlign w:val="center"/>
          </w:tcPr>
          <w:p w14:paraId="09180C3F">
            <w:pPr>
              <w:shd w:val="clear" w:color="auto" w:fill="auto"/>
              <w:adjustRightInd w:val="0"/>
              <w:snapToGrid w:val="0"/>
              <w:spacing w:line="300" w:lineRule="exact"/>
              <w:jc w:val="center"/>
              <w:rPr>
                <w:rFonts w:hint="eastAsia" w:ascii="宋体" w:hAnsi="宋体" w:eastAsia="宋体" w:cs="宋体"/>
                <w:spacing w:val="20"/>
                <w:szCs w:val="21"/>
              </w:rPr>
            </w:pPr>
          </w:p>
        </w:tc>
      </w:tr>
      <w:tr w14:paraId="0396CAEB">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noWrap w:val="0"/>
            <w:vAlign w:val="center"/>
          </w:tcPr>
          <w:p w14:paraId="200AF635">
            <w:pPr>
              <w:shd w:val="clear" w:color="auto" w:fill="auto"/>
              <w:adjustRightInd w:val="0"/>
              <w:snapToGrid w:val="0"/>
              <w:spacing w:line="300" w:lineRule="exact"/>
              <w:jc w:val="center"/>
              <w:rPr>
                <w:rFonts w:hint="eastAsia" w:ascii="宋体" w:hAnsi="宋体" w:eastAsia="宋体" w:cs="宋体"/>
                <w:szCs w:val="21"/>
              </w:rPr>
            </w:pPr>
          </w:p>
        </w:tc>
        <w:tc>
          <w:tcPr>
            <w:tcW w:w="1436" w:type="pct"/>
            <w:tcBorders>
              <w:top w:val="single" w:color="auto" w:sz="2" w:space="0"/>
              <w:left w:val="single" w:color="auto" w:sz="2" w:space="0"/>
              <w:bottom w:val="single" w:color="auto" w:sz="2" w:space="0"/>
              <w:right w:val="single" w:color="auto" w:sz="2" w:space="0"/>
            </w:tcBorders>
            <w:noWrap w:val="0"/>
            <w:vAlign w:val="center"/>
          </w:tcPr>
          <w:p w14:paraId="59472168">
            <w:pPr>
              <w:shd w:val="clear" w:color="auto" w:fill="auto"/>
              <w:adjustRightInd w:val="0"/>
              <w:snapToGrid w:val="0"/>
              <w:spacing w:line="300" w:lineRule="exact"/>
              <w:jc w:val="center"/>
              <w:rPr>
                <w:rFonts w:hint="eastAsia" w:ascii="宋体" w:hAnsi="宋体" w:eastAsia="宋体" w:cs="宋体"/>
                <w:szCs w:val="21"/>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6BDB9BB4">
            <w:pPr>
              <w:shd w:val="clear" w:color="auto" w:fill="auto"/>
              <w:adjustRightInd w:val="0"/>
              <w:snapToGrid w:val="0"/>
              <w:spacing w:line="300" w:lineRule="exact"/>
              <w:jc w:val="center"/>
              <w:rPr>
                <w:rFonts w:hint="eastAsia" w:ascii="宋体" w:hAnsi="宋体" w:eastAsia="宋体" w:cs="宋体"/>
                <w:szCs w:val="21"/>
              </w:rPr>
            </w:pPr>
            <w:r>
              <w:rPr>
                <w:rFonts w:hint="eastAsia" w:ascii="宋体" w:hAnsi="宋体" w:eastAsia="宋体" w:cs="宋体"/>
                <w:szCs w:val="21"/>
              </w:rPr>
              <w:t>银行账号</w:t>
            </w:r>
          </w:p>
        </w:tc>
        <w:tc>
          <w:tcPr>
            <w:tcW w:w="1259" w:type="pct"/>
            <w:tcBorders>
              <w:top w:val="single" w:color="auto" w:sz="2" w:space="0"/>
              <w:left w:val="single" w:color="auto" w:sz="2" w:space="0"/>
              <w:bottom w:val="single" w:color="auto" w:sz="2" w:space="0"/>
            </w:tcBorders>
            <w:noWrap w:val="0"/>
            <w:vAlign w:val="center"/>
          </w:tcPr>
          <w:p w14:paraId="41FBA00C">
            <w:pPr>
              <w:shd w:val="clear" w:color="auto" w:fill="auto"/>
              <w:adjustRightInd w:val="0"/>
              <w:snapToGrid w:val="0"/>
              <w:spacing w:line="300" w:lineRule="exact"/>
              <w:jc w:val="center"/>
              <w:rPr>
                <w:rFonts w:hint="eastAsia" w:ascii="宋体" w:hAnsi="宋体" w:eastAsia="宋体" w:cs="宋体"/>
                <w:spacing w:val="20"/>
                <w:szCs w:val="21"/>
              </w:rPr>
            </w:pPr>
          </w:p>
        </w:tc>
      </w:tr>
      <w:tr w14:paraId="72559F80">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586" w:hRule="atLeast"/>
        </w:trPr>
        <w:tc>
          <w:tcPr>
            <w:tcW w:w="5000" w:type="pct"/>
            <w:gridSpan w:val="4"/>
            <w:tcBorders>
              <w:top w:val="single" w:color="auto" w:sz="2" w:space="0"/>
            </w:tcBorders>
            <w:noWrap w:val="0"/>
            <w:vAlign w:val="center"/>
          </w:tcPr>
          <w:p w14:paraId="44F81AD4">
            <w:pPr>
              <w:pStyle w:val="12"/>
              <w:shd w:val="clear" w:color="auto" w:fill="auto"/>
              <w:adjustRightInd w:val="0"/>
              <w:snapToGrid w:val="0"/>
              <w:spacing w:before="156" w:beforeLines="50" w:after="0" w:line="360" w:lineRule="auto"/>
              <w:ind w:left="0" w:leftChars="0"/>
              <w:jc w:val="left"/>
              <w:rPr>
                <w:rFonts w:hint="eastAsia" w:ascii="宋体" w:hAnsi="宋体" w:eastAsia="宋体" w:cs="宋体"/>
                <w:spacing w:val="20"/>
                <w:szCs w:val="21"/>
              </w:rPr>
            </w:pPr>
            <w:r>
              <w:rPr>
                <w:rFonts w:hint="eastAsia" w:ascii="宋体" w:hAnsi="宋体" w:eastAsia="宋体" w:cs="宋体"/>
                <w:szCs w:val="21"/>
              </w:rPr>
              <w:t>注：涉及联合体或其他合同主体的信息应按上表格式加列。</w:t>
            </w:r>
          </w:p>
        </w:tc>
      </w:tr>
    </w:tbl>
    <w:p w14:paraId="00D50989">
      <w:pPr>
        <w:pStyle w:val="3"/>
        <w:shd w:val="clear" w:color="auto" w:fill="auto"/>
        <w:adjustRightInd w:val="0"/>
        <w:snapToGrid w:val="0"/>
        <w:spacing w:before="156" w:beforeLines="50"/>
        <w:jc w:val="center"/>
        <w:rPr>
          <w:rFonts w:hint="eastAsia" w:ascii="宋体" w:hAnsi="宋体" w:eastAsia="宋体" w:cs="宋体"/>
          <w:sz w:val="28"/>
          <w:szCs w:val="28"/>
        </w:rPr>
      </w:pPr>
      <w:r>
        <w:rPr>
          <w:rFonts w:hint="eastAsia" w:ascii="宋体" w:hAnsi="宋体" w:eastAsia="宋体" w:cs="宋体"/>
          <w:sz w:val="21"/>
          <w:szCs w:val="21"/>
          <w:u w:val="single"/>
        </w:rPr>
        <w:br w:type="page"/>
      </w:r>
      <w:bookmarkStart w:id="211" w:name="_Toc29391"/>
      <w:bookmarkStart w:id="212" w:name="_Toc27624"/>
      <w:bookmarkStart w:id="213" w:name="_Toc30433"/>
      <w:r>
        <w:rPr>
          <w:rFonts w:hint="eastAsia" w:ascii="宋体" w:hAnsi="宋体" w:eastAsia="宋体" w:cs="宋体"/>
          <w:b w:val="0"/>
          <w:bCs w:val="0"/>
          <w:sz w:val="28"/>
          <w:szCs w:val="28"/>
        </w:rPr>
        <w:t>第二节 政府采购合同通用条款</w:t>
      </w:r>
      <w:bookmarkEnd w:id="211"/>
      <w:bookmarkEnd w:id="212"/>
      <w:bookmarkEnd w:id="213"/>
    </w:p>
    <w:p w14:paraId="5E303ECE">
      <w:pPr>
        <w:shd w:val="clear" w:color="auto" w:fill="auto"/>
        <w:tabs>
          <w:tab w:val="left" w:pos="8820"/>
          <w:tab w:val="left" w:pos="9345"/>
          <w:tab w:val="left" w:pos="9765"/>
        </w:tabs>
        <w:adjustRightInd w:val="0"/>
        <w:snapToGrid w:val="0"/>
        <w:spacing w:before="0" w:line="400" w:lineRule="exact"/>
        <w:jc w:val="left"/>
        <w:rPr>
          <w:rFonts w:hint="eastAsia" w:ascii="宋体" w:hAnsi="宋体" w:eastAsia="宋体" w:cs="宋体"/>
          <w:b/>
          <w:bCs/>
          <w:sz w:val="24"/>
        </w:rPr>
      </w:pPr>
      <w:r>
        <w:rPr>
          <w:rFonts w:hint="eastAsia" w:ascii="宋体" w:hAnsi="宋体" w:eastAsia="宋体" w:cs="宋体"/>
          <w:b/>
          <w:sz w:val="24"/>
        </w:rPr>
        <w:t>1.</w:t>
      </w:r>
      <w:r>
        <w:rPr>
          <w:rFonts w:hint="eastAsia" w:ascii="宋体" w:hAnsi="宋体" w:eastAsia="宋体" w:cs="宋体"/>
          <w:b/>
          <w:sz w:val="24"/>
          <w:lang w:val="en-US" w:eastAsia="zh-CN"/>
        </w:rPr>
        <w:t xml:space="preserve"> </w:t>
      </w:r>
      <w:r>
        <w:rPr>
          <w:rFonts w:hint="eastAsia" w:ascii="宋体" w:hAnsi="宋体" w:eastAsia="宋体" w:cs="宋体"/>
          <w:b/>
          <w:bCs/>
          <w:sz w:val="24"/>
        </w:rPr>
        <w:t>定义</w:t>
      </w:r>
    </w:p>
    <w:p w14:paraId="472E5493">
      <w:pPr>
        <w:shd w:val="clear" w:color="auto" w:fill="auto"/>
        <w:autoSpaceDE w:val="0"/>
        <w:autoSpaceDN w:val="0"/>
        <w:adjustRightInd w:val="0"/>
        <w:snapToGrid w:val="0"/>
        <w:spacing w:before="0" w:line="400" w:lineRule="exact"/>
        <w:ind w:firstLine="420" w:firstLineChars="200"/>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1.1合同当事人</w:t>
      </w:r>
    </w:p>
    <w:p w14:paraId="52B1F282">
      <w:pPr>
        <w:shd w:val="clear" w:color="auto" w:fill="auto"/>
        <w:autoSpaceDE w:val="0"/>
        <w:autoSpaceDN w:val="0"/>
        <w:adjustRightInd w:val="0"/>
        <w:snapToGrid w:val="0"/>
        <w:spacing w:before="0" w:line="400" w:lineRule="exact"/>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（1）采购人（以下称甲方）是指使用财政性资金，通过政府采购方式向供应商购买货物</w:t>
      </w:r>
      <w:r>
        <w:rPr>
          <w:rFonts w:hint="eastAsia" w:ascii="宋体" w:hAnsi="宋体" w:eastAsia="宋体" w:cs="宋体"/>
          <w:color w:val="auto"/>
          <w:szCs w:val="21"/>
          <w:highlight w:val="none"/>
          <w:lang w:val="en-US" w:eastAsia="zh-CN"/>
        </w:rPr>
        <w:t>及其相关服务的</w:t>
      </w:r>
      <w:r>
        <w:rPr>
          <w:rFonts w:hint="eastAsia" w:ascii="宋体" w:hAnsi="宋体" w:eastAsia="宋体" w:cs="宋体"/>
          <w:color w:val="auto"/>
          <w:szCs w:val="21"/>
          <w:highlight w:val="none"/>
        </w:rPr>
        <w:t>国家机关、事业单位、团体组织。</w:t>
      </w:r>
    </w:p>
    <w:p w14:paraId="7389BFDA">
      <w:pPr>
        <w:shd w:val="clear" w:color="auto" w:fill="auto"/>
        <w:autoSpaceDE w:val="0"/>
        <w:autoSpaceDN w:val="0"/>
        <w:adjustRightInd w:val="0"/>
        <w:snapToGrid w:val="0"/>
        <w:spacing w:before="0" w:line="400" w:lineRule="exact"/>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（2）供应商（以下称</w:t>
      </w:r>
      <w:r>
        <w:rPr>
          <w:rFonts w:hint="eastAsia" w:ascii="宋体" w:hAnsi="宋体" w:eastAsia="宋体" w:cs="宋体"/>
          <w:color w:val="auto"/>
          <w:szCs w:val="21"/>
          <w:highlight w:val="none"/>
          <w:lang w:eastAsia="zh-CN"/>
        </w:rPr>
        <w:t>乙</w:t>
      </w:r>
      <w:r>
        <w:rPr>
          <w:rFonts w:hint="eastAsia" w:ascii="宋体" w:hAnsi="宋体" w:eastAsia="宋体" w:cs="宋体"/>
          <w:color w:val="auto"/>
          <w:szCs w:val="21"/>
          <w:highlight w:val="none"/>
        </w:rPr>
        <w:t>方）是指参加政府采购活动并且中标（成交），向采购人提供</w:t>
      </w:r>
      <w:r>
        <w:rPr>
          <w:rFonts w:hint="eastAsia" w:ascii="宋体" w:hAnsi="宋体" w:eastAsia="宋体" w:cs="宋体"/>
          <w:color w:val="auto"/>
          <w:szCs w:val="21"/>
          <w:highlight w:val="none"/>
          <w:lang w:val="en-US" w:eastAsia="zh-CN"/>
        </w:rPr>
        <w:t>合同约定的货物及其相关服务的法人、非法人组织或者自然人</w:t>
      </w:r>
      <w:r>
        <w:rPr>
          <w:rFonts w:hint="eastAsia" w:ascii="宋体" w:hAnsi="宋体" w:eastAsia="宋体" w:cs="宋体"/>
          <w:color w:val="auto"/>
          <w:szCs w:val="21"/>
          <w:highlight w:val="none"/>
        </w:rPr>
        <w:t>。</w:t>
      </w:r>
    </w:p>
    <w:p w14:paraId="208B5B83">
      <w:pPr>
        <w:shd w:val="clear" w:color="auto" w:fill="auto"/>
        <w:autoSpaceDE w:val="0"/>
        <w:autoSpaceDN w:val="0"/>
        <w:adjustRightInd w:val="0"/>
        <w:snapToGrid w:val="0"/>
        <w:spacing w:before="0" w:line="400" w:lineRule="exact"/>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（3）其他合同主体是指除采购人和供应商以外，</w:t>
      </w:r>
      <w:r>
        <w:rPr>
          <w:rFonts w:hint="eastAsia" w:ascii="宋体" w:hAnsi="宋体" w:eastAsia="宋体" w:cs="宋体"/>
          <w:bCs/>
          <w:color w:val="000000"/>
          <w:szCs w:val="21"/>
        </w:rPr>
        <w:t>依法参与合同缔结或履行，享有权利、承担义务的合同当事人</w:t>
      </w:r>
      <w:r>
        <w:rPr>
          <w:rFonts w:hint="eastAsia" w:ascii="宋体" w:hAnsi="宋体" w:eastAsia="宋体" w:cs="宋体"/>
          <w:color w:val="auto"/>
          <w:szCs w:val="21"/>
          <w:highlight w:val="none"/>
        </w:rPr>
        <w:t>。</w:t>
      </w:r>
    </w:p>
    <w:p w14:paraId="728CA57A">
      <w:pPr>
        <w:shd w:val="clear" w:color="auto" w:fill="auto"/>
        <w:tabs>
          <w:tab w:val="left" w:pos="570"/>
          <w:tab w:val="left" w:pos="9240"/>
          <w:tab w:val="left" w:pos="9555"/>
        </w:tabs>
        <w:adjustRightInd w:val="0"/>
        <w:snapToGrid w:val="0"/>
        <w:spacing w:before="0" w:line="400" w:lineRule="exact"/>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1.2本合同下列术语应解释为：</w:t>
      </w:r>
    </w:p>
    <w:p w14:paraId="38208DDC">
      <w:pPr>
        <w:shd w:val="clear" w:color="auto" w:fill="auto"/>
        <w:adjustRightInd w:val="0"/>
        <w:snapToGrid w:val="0"/>
        <w:spacing w:before="0" w:beforeLines="0" w:line="400" w:lineRule="exact"/>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（1）“合同”系指</w:t>
      </w:r>
      <w:r>
        <w:rPr>
          <w:rFonts w:hint="eastAsia" w:ascii="宋体" w:hAnsi="宋体" w:eastAsia="宋体" w:cs="宋体"/>
          <w:bCs/>
          <w:color w:val="000000"/>
          <w:szCs w:val="21"/>
        </w:rPr>
        <w:t>合同当事人意思表示达成一致的任何协议，包括签署的</w:t>
      </w:r>
      <w:r>
        <w:rPr>
          <w:rFonts w:hint="eastAsia" w:ascii="宋体" w:hAnsi="宋体" w:eastAsia="宋体" w:cs="宋体"/>
          <w:color w:val="auto"/>
          <w:szCs w:val="21"/>
          <w:lang w:eastAsia="zh-CN"/>
        </w:rPr>
        <w:t>政府采购</w:t>
      </w:r>
      <w:r>
        <w:rPr>
          <w:rFonts w:hint="eastAsia" w:ascii="宋体" w:hAnsi="宋体" w:eastAsia="宋体" w:cs="宋体"/>
          <w:color w:val="auto"/>
          <w:szCs w:val="21"/>
        </w:rPr>
        <w:t>合同协议书及其变更、补充</w:t>
      </w:r>
      <w:r>
        <w:rPr>
          <w:rFonts w:hint="eastAsia" w:ascii="宋体" w:hAnsi="宋体" w:eastAsia="宋体" w:cs="宋体"/>
          <w:color w:val="auto"/>
          <w:szCs w:val="21"/>
          <w:lang w:eastAsia="zh-CN"/>
        </w:rPr>
        <w:t>协议，</w:t>
      </w:r>
      <w:r>
        <w:rPr>
          <w:rFonts w:hint="eastAsia" w:ascii="宋体" w:hAnsi="宋体" w:eastAsia="宋体" w:cs="宋体"/>
          <w:szCs w:val="21"/>
        </w:rPr>
        <w:t>政府采购合同专用条款</w:t>
      </w:r>
      <w:r>
        <w:rPr>
          <w:rFonts w:hint="eastAsia" w:ascii="宋体" w:hAnsi="宋体" w:eastAsia="宋体" w:cs="宋体"/>
          <w:szCs w:val="21"/>
          <w:lang w:eastAsia="zh-CN"/>
        </w:rPr>
        <w:t>，</w:t>
      </w:r>
      <w:r>
        <w:rPr>
          <w:rFonts w:hint="eastAsia" w:ascii="宋体" w:hAnsi="宋体" w:eastAsia="宋体" w:cs="宋体"/>
          <w:szCs w:val="21"/>
        </w:rPr>
        <w:t>政府采购合同通用条款</w:t>
      </w:r>
      <w:r>
        <w:rPr>
          <w:rFonts w:hint="eastAsia" w:ascii="宋体" w:hAnsi="宋体" w:eastAsia="宋体" w:cs="宋体"/>
          <w:szCs w:val="21"/>
          <w:lang w:eastAsia="zh-CN"/>
        </w:rPr>
        <w:t>，</w:t>
      </w:r>
      <w:r>
        <w:rPr>
          <w:rFonts w:hint="eastAsia" w:ascii="宋体" w:hAnsi="宋体" w:eastAsia="宋体" w:cs="宋体"/>
          <w:color w:val="auto"/>
          <w:szCs w:val="21"/>
        </w:rPr>
        <w:t>中标</w:t>
      </w:r>
      <w:r>
        <w:rPr>
          <w:rFonts w:hint="eastAsia" w:ascii="宋体" w:hAnsi="宋体" w:eastAsia="宋体" w:cs="宋体"/>
          <w:color w:val="auto"/>
          <w:szCs w:val="21"/>
          <w:lang w:eastAsia="zh-CN"/>
        </w:rPr>
        <w:t>（成交）</w:t>
      </w:r>
      <w:r>
        <w:rPr>
          <w:rFonts w:hint="eastAsia" w:ascii="宋体" w:hAnsi="宋体" w:eastAsia="宋体" w:cs="宋体"/>
          <w:color w:val="auto"/>
          <w:szCs w:val="21"/>
        </w:rPr>
        <w:t>通知书</w:t>
      </w:r>
      <w:r>
        <w:rPr>
          <w:rFonts w:hint="eastAsia" w:ascii="宋体" w:hAnsi="宋体" w:eastAsia="宋体" w:cs="宋体"/>
          <w:color w:val="auto"/>
          <w:szCs w:val="21"/>
          <w:lang w:eastAsia="zh-CN"/>
        </w:rPr>
        <w:t>，</w:t>
      </w:r>
      <w:r>
        <w:rPr>
          <w:rFonts w:hint="eastAsia" w:ascii="宋体" w:hAnsi="宋体" w:eastAsia="宋体" w:cs="宋体"/>
          <w:szCs w:val="21"/>
        </w:rPr>
        <w:t>投标（响应）文件</w:t>
      </w:r>
      <w:r>
        <w:rPr>
          <w:rFonts w:hint="eastAsia" w:ascii="宋体" w:hAnsi="宋体" w:eastAsia="宋体" w:cs="宋体"/>
          <w:szCs w:val="21"/>
          <w:lang w:eastAsia="zh-CN"/>
        </w:rPr>
        <w:t>，</w:t>
      </w:r>
      <w:r>
        <w:rPr>
          <w:rFonts w:hint="eastAsia" w:ascii="宋体" w:hAnsi="宋体" w:eastAsia="宋体" w:cs="宋体"/>
          <w:szCs w:val="21"/>
        </w:rPr>
        <w:t>采购文件</w:t>
      </w:r>
      <w:r>
        <w:rPr>
          <w:rFonts w:hint="eastAsia" w:ascii="宋体" w:hAnsi="宋体" w:eastAsia="宋体" w:cs="宋体"/>
          <w:szCs w:val="21"/>
          <w:lang w:eastAsia="zh-CN"/>
        </w:rPr>
        <w:t>，</w:t>
      </w:r>
      <w:r>
        <w:rPr>
          <w:rFonts w:hint="eastAsia" w:ascii="宋体" w:hAnsi="宋体" w:eastAsia="宋体" w:cs="宋体"/>
          <w:szCs w:val="21"/>
        </w:rPr>
        <w:t>有关技术文件</w:t>
      </w:r>
      <w:r>
        <w:rPr>
          <w:rFonts w:hint="eastAsia" w:ascii="宋体" w:hAnsi="宋体" w:eastAsia="宋体" w:cs="宋体"/>
          <w:szCs w:val="21"/>
          <w:lang w:eastAsia="zh-CN"/>
        </w:rPr>
        <w:t>和</w:t>
      </w:r>
      <w:r>
        <w:rPr>
          <w:rFonts w:hint="eastAsia" w:ascii="宋体" w:hAnsi="宋体" w:eastAsia="宋体" w:cs="宋体"/>
          <w:szCs w:val="21"/>
        </w:rPr>
        <w:t>图纸</w:t>
      </w:r>
      <w:r>
        <w:rPr>
          <w:rFonts w:hint="eastAsia" w:ascii="宋体" w:hAnsi="宋体" w:eastAsia="宋体" w:cs="宋体"/>
          <w:szCs w:val="21"/>
          <w:lang w:eastAsia="zh-CN"/>
        </w:rPr>
        <w:t>，以及</w:t>
      </w:r>
      <w:r>
        <w:rPr>
          <w:rFonts w:hint="eastAsia" w:ascii="宋体" w:hAnsi="宋体" w:eastAsia="宋体" w:cs="宋体"/>
          <w:bCs w:val="0"/>
          <w:color w:val="000000"/>
          <w:kern w:val="2"/>
          <w:sz w:val="21"/>
          <w:szCs w:val="21"/>
          <w:highlight w:val="none"/>
          <w:lang w:eastAsia="zh-CN"/>
        </w:rPr>
        <w:t>国家法律、行政法规和规章制度规定或合同约定的作为合同组成部分的其他文件</w:t>
      </w:r>
      <w:r>
        <w:rPr>
          <w:rFonts w:hint="eastAsia" w:ascii="宋体" w:hAnsi="宋体" w:eastAsia="宋体" w:cs="宋体"/>
          <w:color w:val="auto"/>
          <w:szCs w:val="21"/>
          <w:highlight w:val="none"/>
        </w:rPr>
        <w:t>。</w:t>
      </w:r>
    </w:p>
    <w:p w14:paraId="071E1AAC">
      <w:pPr>
        <w:shd w:val="clear" w:color="auto" w:fill="auto"/>
        <w:tabs>
          <w:tab w:val="left" w:pos="570"/>
          <w:tab w:val="left" w:pos="9240"/>
          <w:tab w:val="left" w:pos="9555"/>
        </w:tabs>
        <w:adjustRightInd w:val="0"/>
        <w:snapToGrid w:val="0"/>
        <w:spacing w:before="0" w:line="400" w:lineRule="exact"/>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w:t>
      </w:r>
      <w:r>
        <w:rPr>
          <w:rFonts w:hint="eastAsia" w:ascii="宋体" w:hAnsi="宋体" w:eastAsia="宋体" w:cs="宋体"/>
          <w:color w:val="auto"/>
          <w:szCs w:val="21"/>
          <w:highlight w:val="none"/>
          <w:lang w:val="en-US" w:eastAsia="zh-CN"/>
        </w:rPr>
        <w:t>2</w:t>
      </w:r>
      <w:r>
        <w:rPr>
          <w:rFonts w:hint="eastAsia" w:ascii="宋体" w:hAnsi="宋体" w:eastAsia="宋体" w:cs="宋体"/>
          <w:color w:val="auto"/>
          <w:szCs w:val="21"/>
          <w:highlight w:val="none"/>
        </w:rPr>
        <w:t>）“合同价</w:t>
      </w:r>
      <w:r>
        <w:rPr>
          <w:rFonts w:hint="eastAsia" w:ascii="宋体" w:hAnsi="宋体" w:eastAsia="宋体" w:cs="宋体"/>
          <w:color w:val="auto"/>
          <w:szCs w:val="21"/>
          <w:highlight w:val="none"/>
          <w:lang w:val="en-US" w:eastAsia="zh-CN"/>
        </w:rPr>
        <w:t>款</w:t>
      </w:r>
      <w:r>
        <w:rPr>
          <w:rFonts w:hint="eastAsia" w:ascii="宋体" w:hAnsi="宋体" w:eastAsia="宋体" w:cs="宋体"/>
          <w:color w:val="auto"/>
          <w:szCs w:val="21"/>
          <w:highlight w:val="none"/>
        </w:rPr>
        <w:t>”系指根据本合同规定乙方在全面履行合同义务后甲方应支付给乙方的价款。</w:t>
      </w:r>
    </w:p>
    <w:p w14:paraId="70C9BF5D">
      <w:pPr>
        <w:shd w:val="clear" w:color="auto" w:fill="auto"/>
        <w:tabs>
          <w:tab w:val="left" w:pos="570"/>
          <w:tab w:val="left" w:pos="9240"/>
          <w:tab w:val="left" w:pos="9555"/>
        </w:tabs>
        <w:adjustRightInd w:val="0"/>
        <w:snapToGrid w:val="0"/>
        <w:spacing w:before="0" w:line="400" w:lineRule="exact"/>
        <w:ind w:firstLine="420" w:firstLineChars="200"/>
        <w:jc w:val="left"/>
        <w:rPr>
          <w:rFonts w:hint="eastAsia" w:ascii="宋体" w:hAnsi="宋体" w:eastAsia="宋体" w:cs="宋体"/>
          <w:color w:val="000000"/>
          <w:szCs w:val="21"/>
          <w:highlight w:val="none"/>
          <w:lang w:eastAsia="zh-CN"/>
        </w:rPr>
      </w:pPr>
      <w:r>
        <w:rPr>
          <w:rFonts w:hint="eastAsia" w:ascii="宋体" w:hAnsi="宋体" w:eastAsia="宋体" w:cs="宋体"/>
          <w:color w:val="auto"/>
          <w:szCs w:val="21"/>
          <w:highlight w:val="none"/>
        </w:rPr>
        <w:t>（</w:t>
      </w:r>
      <w:r>
        <w:rPr>
          <w:rFonts w:hint="eastAsia" w:ascii="宋体" w:hAnsi="宋体" w:eastAsia="宋体" w:cs="宋体"/>
          <w:color w:val="auto"/>
          <w:szCs w:val="21"/>
          <w:highlight w:val="none"/>
          <w:lang w:val="en-US" w:eastAsia="zh-CN"/>
        </w:rPr>
        <w:t>3</w:t>
      </w:r>
      <w:r>
        <w:rPr>
          <w:rFonts w:hint="eastAsia" w:ascii="宋体" w:hAnsi="宋体" w:eastAsia="宋体" w:cs="宋体"/>
          <w:color w:val="auto"/>
          <w:szCs w:val="21"/>
          <w:highlight w:val="none"/>
        </w:rPr>
        <w:t>）“货物”系指乙方根据本合同规定须向甲方提供的各种形态和种类的物品，包括原材料、设备、产品（</w:t>
      </w:r>
      <w:r>
        <w:rPr>
          <w:rFonts w:hint="eastAsia" w:ascii="宋体" w:hAnsi="宋体" w:eastAsia="宋体" w:cs="宋体"/>
          <w:color w:val="000000"/>
          <w:szCs w:val="21"/>
          <w:highlight w:val="none"/>
        </w:rPr>
        <w:t>包括软件）及相关的其备品备件、工具、手册及</w:t>
      </w:r>
      <w:r>
        <w:rPr>
          <w:rFonts w:hint="eastAsia" w:ascii="宋体" w:hAnsi="宋体" w:eastAsia="宋体" w:cs="宋体"/>
          <w:color w:val="000000"/>
          <w:szCs w:val="21"/>
          <w:highlight w:val="none"/>
          <w:lang w:val="en"/>
        </w:rPr>
        <w:t>其他</w:t>
      </w:r>
      <w:r>
        <w:rPr>
          <w:rFonts w:hint="eastAsia" w:ascii="宋体" w:hAnsi="宋体" w:eastAsia="宋体" w:cs="宋体"/>
          <w:color w:val="000000"/>
          <w:szCs w:val="21"/>
          <w:highlight w:val="none"/>
        </w:rPr>
        <w:t>技术资料和材料</w:t>
      </w:r>
      <w:r>
        <w:rPr>
          <w:rFonts w:hint="eastAsia" w:ascii="宋体" w:hAnsi="宋体" w:eastAsia="宋体" w:cs="宋体"/>
          <w:color w:val="000000"/>
          <w:szCs w:val="21"/>
          <w:highlight w:val="none"/>
          <w:lang w:eastAsia="zh-CN"/>
        </w:rPr>
        <w:t>等</w:t>
      </w:r>
      <w:r>
        <w:rPr>
          <w:rFonts w:hint="eastAsia" w:ascii="宋体" w:hAnsi="宋体" w:eastAsia="宋体" w:cs="宋体"/>
          <w:color w:val="000000"/>
          <w:szCs w:val="21"/>
          <w:highlight w:val="none"/>
        </w:rPr>
        <w:t>。</w:t>
      </w:r>
    </w:p>
    <w:p w14:paraId="2A0C4F09">
      <w:pPr>
        <w:shd w:val="clear" w:color="auto" w:fill="auto"/>
        <w:adjustRightInd w:val="0"/>
        <w:snapToGrid w:val="0"/>
        <w:spacing w:before="0" w:line="400" w:lineRule="exact"/>
        <w:ind w:firstLine="420" w:firstLineChars="200"/>
        <w:jc w:val="left"/>
        <w:rPr>
          <w:rFonts w:hint="eastAsia" w:ascii="宋体" w:hAnsi="宋体" w:eastAsia="宋体" w:cs="宋体"/>
          <w:color w:val="000000"/>
          <w:szCs w:val="21"/>
          <w:highlight w:val="yellow"/>
          <w:lang w:eastAsia="zh-CN"/>
        </w:rPr>
      </w:pPr>
      <w:r>
        <w:rPr>
          <w:rFonts w:hint="eastAsia" w:ascii="宋体" w:hAnsi="宋体" w:eastAsia="宋体" w:cs="宋体"/>
          <w:color w:val="000000"/>
          <w:szCs w:val="21"/>
          <w:highlight w:val="none"/>
        </w:rPr>
        <w:t>（</w:t>
      </w:r>
      <w:r>
        <w:rPr>
          <w:rFonts w:hint="eastAsia" w:ascii="宋体" w:hAnsi="宋体" w:eastAsia="宋体" w:cs="宋体"/>
          <w:color w:val="000000"/>
          <w:szCs w:val="21"/>
          <w:highlight w:val="none"/>
          <w:lang w:val="en-US" w:eastAsia="zh-CN"/>
        </w:rPr>
        <w:t>4</w:t>
      </w:r>
      <w:r>
        <w:rPr>
          <w:rFonts w:hint="eastAsia" w:ascii="宋体" w:hAnsi="宋体" w:eastAsia="宋体" w:cs="宋体"/>
          <w:color w:val="000000"/>
          <w:szCs w:val="21"/>
          <w:highlight w:val="none"/>
        </w:rPr>
        <w:t>）“</w:t>
      </w:r>
      <w:r>
        <w:rPr>
          <w:rFonts w:hint="eastAsia" w:ascii="宋体" w:hAnsi="宋体" w:eastAsia="宋体" w:cs="宋体"/>
          <w:color w:val="auto"/>
          <w:szCs w:val="21"/>
          <w:highlight w:val="none"/>
          <w:lang w:val="en-US" w:eastAsia="zh-CN"/>
        </w:rPr>
        <w:t>相关</w:t>
      </w:r>
      <w:r>
        <w:rPr>
          <w:rFonts w:hint="eastAsia" w:ascii="宋体" w:hAnsi="宋体" w:eastAsia="宋体" w:cs="宋体"/>
          <w:color w:val="000000"/>
          <w:szCs w:val="21"/>
          <w:highlight w:val="none"/>
        </w:rPr>
        <w:t>服务”系指根据合同规定，乙方应提供的</w:t>
      </w:r>
      <w:r>
        <w:rPr>
          <w:rFonts w:hint="eastAsia" w:ascii="宋体" w:hAnsi="宋体" w:eastAsia="宋体" w:cs="宋体"/>
          <w:color w:val="000000"/>
          <w:szCs w:val="21"/>
          <w:highlight w:val="none"/>
          <w:lang w:val="en-US" w:eastAsia="zh-CN"/>
        </w:rPr>
        <w:t>与货物有关的</w:t>
      </w:r>
      <w:r>
        <w:rPr>
          <w:rFonts w:hint="eastAsia" w:ascii="宋体" w:hAnsi="宋体" w:eastAsia="宋体" w:cs="宋体"/>
          <w:color w:val="000000"/>
          <w:szCs w:val="21"/>
          <w:highlight w:val="none"/>
        </w:rPr>
        <w:t>技术、管理和</w:t>
      </w:r>
      <w:r>
        <w:rPr>
          <w:rFonts w:hint="eastAsia" w:ascii="宋体" w:hAnsi="宋体" w:eastAsia="宋体" w:cs="宋体"/>
          <w:color w:val="000000"/>
          <w:szCs w:val="21"/>
          <w:highlight w:val="none"/>
          <w:lang w:val="en"/>
        </w:rPr>
        <w:t>其他</w:t>
      </w:r>
      <w:r>
        <w:rPr>
          <w:rFonts w:hint="eastAsia" w:ascii="宋体" w:hAnsi="宋体" w:eastAsia="宋体" w:cs="宋体"/>
          <w:color w:val="000000"/>
          <w:szCs w:val="21"/>
          <w:highlight w:val="none"/>
        </w:rPr>
        <w:t>服务，包括但不限于：管理和质量保证、运输、保险、检验、现场准备、安装、集成、调试、培训、维修、</w:t>
      </w:r>
      <w:r>
        <w:rPr>
          <w:rFonts w:hint="eastAsia" w:ascii="宋体" w:hAnsi="宋体" w:eastAsia="宋体" w:cs="宋体"/>
          <w:color w:val="000000"/>
          <w:szCs w:val="21"/>
          <w:highlight w:val="none"/>
          <w:lang w:eastAsia="zh-CN"/>
        </w:rPr>
        <w:t>废弃处置、</w:t>
      </w:r>
      <w:r>
        <w:rPr>
          <w:rFonts w:hint="eastAsia" w:ascii="宋体" w:hAnsi="宋体" w:eastAsia="宋体" w:cs="宋体"/>
          <w:color w:val="000000"/>
          <w:szCs w:val="21"/>
          <w:highlight w:val="none"/>
        </w:rPr>
        <w:t>技术支持等以及合同中规定乙方应承担的</w:t>
      </w:r>
      <w:r>
        <w:rPr>
          <w:rFonts w:hint="eastAsia" w:ascii="宋体" w:hAnsi="宋体" w:eastAsia="宋体" w:cs="宋体"/>
          <w:color w:val="000000"/>
          <w:szCs w:val="21"/>
          <w:highlight w:val="none"/>
          <w:lang w:val="en"/>
        </w:rPr>
        <w:t>其他</w:t>
      </w:r>
      <w:r>
        <w:rPr>
          <w:rFonts w:hint="eastAsia" w:ascii="宋体" w:hAnsi="宋体" w:eastAsia="宋体" w:cs="宋体"/>
          <w:color w:val="000000"/>
          <w:szCs w:val="21"/>
          <w:highlight w:val="none"/>
        </w:rPr>
        <w:t>义务。</w:t>
      </w:r>
    </w:p>
    <w:p w14:paraId="7A75B72F">
      <w:pPr>
        <w:shd w:val="clear" w:color="auto" w:fill="auto"/>
        <w:adjustRightInd w:val="0"/>
        <w:snapToGrid w:val="0"/>
        <w:spacing w:before="0" w:line="400" w:lineRule="exact"/>
        <w:ind w:firstLine="420" w:firstLineChars="200"/>
        <w:jc w:val="left"/>
        <w:rPr>
          <w:rFonts w:hint="eastAsia" w:ascii="宋体" w:hAnsi="宋体" w:eastAsia="宋体" w:cs="宋体"/>
          <w:color w:val="000000"/>
          <w:szCs w:val="21"/>
          <w:highlight w:val="yellow"/>
          <w:lang w:eastAsia="zh-CN"/>
        </w:rPr>
      </w:pPr>
      <w:r>
        <w:rPr>
          <w:rFonts w:hint="eastAsia" w:ascii="宋体" w:hAnsi="宋体" w:eastAsia="宋体" w:cs="宋体"/>
          <w:color w:val="000000"/>
          <w:szCs w:val="21"/>
          <w:highlight w:val="none"/>
        </w:rPr>
        <w:t>（</w:t>
      </w:r>
      <w:r>
        <w:rPr>
          <w:rFonts w:hint="eastAsia" w:ascii="宋体" w:hAnsi="宋体" w:eastAsia="宋体" w:cs="宋体"/>
          <w:color w:val="000000"/>
          <w:szCs w:val="21"/>
          <w:highlight w:val="none"/>
          <w:lang w:val="en-US" w:eastAsia="zh-CN"/>
        </w:rPr>
        <w:t>5</w:t>
      </w:r>
      <w:r>
        <w:rPr>
          <w:rFonts w:hint="eastAsia" w:ascii="宋体" w:hAnsi="宋体" w:eastAsia="宋体" w:cs="宋体"/>
          <w:color w:val="000000"/>
          <w:szCs w:val="21"/>
          <w:highlight w:val="none"/>
        </w:rPr>
        <w:t>）“分包”系指中标</w:t>
      </w:r>
      <w:r>
        <w:rPr>
          <w:rFonts w:hint="eastAsia" w:ascii="宋体" w:hAnsi="宋体" w:eastAsia="宋体" w:cs="宋体"/>
          <w:color w:val="000000"/>
          <w:szCs w:val="21"/>
          <w:highlight w:val="none"/>
          <w:lang w:eastAsia="zh-CN"/>
        </w:rPr>
        <w:t>（</w:t>
      </w:r>
      <w:r>
        <w:rPr>
          <w:rFonts w:hint="eastAsia" w:ascii="宋体" w:hAnsi="宋体" w:eastAsia="宋体" w:cs="宋体"/>
          <w:color w:val="000000"/>
          <w:szCs w:val="21"/>
          <w:highlight w:val="none"/>
        </w:rPr>
        <w:t>成交</w:t>
      </w:r>
      <w:r>
        <w:rPr>
          <w:rFonts w:hint="eastAsia" w:ascii="宋体" w:hAnsi="宋体" w:eastAsia="宋体" w:cs="宋体"/>
          <w:color w:val="000000"/>
          <w:szCs w:val="21"/>
          <w:highlight w:val="none"/>
          <w:lang w:eastAsia="zh-CN"/>
        </w:rPr>
        <w:t>）</w:t>
      </w:r>
      <w:r>
        <w:rPr>
          <w:rFonts w:hint="eastAsia" w:ascii="宋体" w:hAnsi="宋体" w:eastAsia="宋体" w:cs="宋体"/>
          <w:color w:val="000000"/>
          <w:szCs w:val="21"/>
          <w:highlight w:val="none"/>
        </w:rPr>
        <w:t>供应商按采购文件、投标（响应）文件的规定，根据分包意向协议，将中标</w:t>
      </w:r>
      <w:r>
        <w:rPr>
          <w:rFonts w:hint="eastAsia" w:ascii="宋体" w:hAnsi="宋体" w:eastAsia="宋体" w:cs="宋体"/>
          <w:color w:val="000000"/>
          <w:szCs w:val="21"/>
          <w:highlight w:val="none"/>
          <w:lang w:eastAsia="zh-CN"/>
        </w:rPr>
        <w:t>（</w:t>
      </w:r>
      <w:r>
        <w:rPr>
          <w:rFonts w:hint="eastAsia" w:ascii="宋体" w:hAnsi="宋体" w:eastAsia="宋体" w:cs="宋体"/>
          <w:color w:val="000000"/>
          <w:szCs w:val="21"/>
          <w:highlight w:val="none"/>
        </w:rPr>
        <w:t>成交</w:t>
      </w:r>
      <w:r>
        <w:rPr>
          <w:rFonts w:hint="eastAsia" w:ascii="宋体" w:hAnsi="宋体" w:eastAsia="宋体" w:cs="宋体"/>
          <w:color w:val="000000"/>
          <w:szCs w:val="21"/>
          <w:highlight w:val="none"/>
          <w:lang w:eastAsia="zh-CN"/>
        </w:rPr>
        <w:t>）</w:t>
      </w:r>
      <w:r>
        <w:rPr>
          <w:rFonts w:hint="eastAsia" w:ascii="宋体" w:hAnsi="宋体" w:eastAsia="宋体" w:cs="宋体"/>
          <w:color w:val="000000"/>
          <w:szCs w:val="21"/>
          <w:highlight w:val="none"/>
        </w:rPr>
        <w:t>项目中的部分履约内容，分给具有相应资质条件的供应商履行合同的行为。</w:t>
      </w:r>
    </w:p>
    <w:p w14:paraId="3CE82192">
      <w:pPr>
        <w:shd w:val="clear" w:color="auto" w:fill="auto"/>
        <w:tabs>
          <w:tab w:val="left" w:pos="570"/>
          <w:tab w:val="left" w:pos="9240"/>
          <w:tab w:val="left" w:pos="9555"/>
        </w:tabs>
        <w:adjustRightInd w:val="0"/>
        <w:snapToGrid w:val="0"/>
        <w:spacing w:before="0" w:line="400" w:lineRule="exact"/>
        <w:ind w:firstLine="420" w:firstLineChars="200"/>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w:t>
      </w:r>
      <w:r>
        <w:rPr>
          <w:rFonts w:hint="eastAsia" w:ascii="宋体" w:hAnsi="宋体" w:eastAsia="宋体" w:cs="宋体"/>
          <w:color w:val="000000"/>
          <w:szCs w:val="21"/>
          <w:highlight w:val="none"/>
          <w:lang w:val="en-US" w:eastAsia="zh-CN"/>
        </w:rPr>
        <w:t>6</w:t>
      </w:r>
      <w:r>
        <w:rPr>
          <w:rFonts w:hint="eastAsia" w:ascii="宋体" w:hAnsi="宋体" w:eastAsia="宋体" w:cs="宋体"/>
          <w:color w:val="000000"/>
          <w:szCs w:val="21"/>
          <w:highlight w:val="none"/>
        </w:rPr>
        <w:t>）</w:t>
      </w:r>
      <w:r>
        <w:rPr>
          <w:rFonts w:hint="eastAsia" w:ascii="宋体" w:hAnsi="宋体" w:eastAsia="宋体" w:cs="宋体"/>
          <w:szCs w:val="21"/>
        </w:rPr>
        <w:t>“联合体”系指</w:t>
      </w:r>
      <w:r>
        <w:rPr>
          <w:rFonts w:hint="eastAsia" w:ascii="宋体" w:hAnsi="宋体" w:eastAsia="宋体" w:cs="宋体"/>
          <w:szCs w:val="21"/>
          <w:lang w:eastAsia="zh-CN"/>
        </w:rPr>
        <w:t>由</w:t>
      </w:r>
      <w:r>
        <w:rPr>
          <w:rFonts w:hint="eastAsia" w:ascii="宋体" w:hAnsi="宋体" w:eastAsia="宋体" w:cs="宋体"/>
          <w:szCs w:val="21"/>
        </w:rPr>
        <w:t>两个以上的自然人、法人或者</w:t>
      </w:r>
      <w:r>
        <w:rPr>
          <w:rFonts w:hint="eastAsia" w:ascii="宋体" w:hAnsi="宋体" w:eastAsia="宋体" w:cs="宋体"/>
          <w:szCs w:val="21"/>
          <w:lang w:val="en-US" w:eastAsia="zh-CN"/>
        </w:rPr>
        <w:t>非法人</w:t>
      </w:r>
      <w:r>
        <w:rPr>
          <w:rFonts w:hint="eastAsia" w:ascii="宋体" w:hAnsi="宋体" w:eastAsia="宋体" w:cs="宋体"/>
          <w:szCs w:val="21"/>
        </w:rPr>
        <w:t>组织组成，</w:t>
      </w:r>
      <w:r>
        <w:rPr>
          <w:rFonts w:hint="eastAsia" w:ascii="宋体" w:hAnsi="宋体" w:eastAsia="宋体" w:cs="宋体"/>
          <w:szCs w:val="21"/>
          <w:lang w:eastAsia="zh-CN"/>
        </w:rPr>
        <w:t>以一个供应商的身份共同参加政府采购的主体</w:t>
      </w:r>
      <w:r>
        <w:rPr>
          <w:rFonts w:hint="eastAsia" w:ascii="宋体" w:hAnsi="宋体" w:eastAsia="宋体" w:cs="宋体"/>
          <w:color w:val="000000"/>
          <w:szCs w:val="21"/>
          <w:highlight w:val="none"/>
          <w:lang w:eastAsia="zh-CN"/>
        </w:rPr>
        <w:t>。</w:t>
      </w:r>
      <w:r>
        <w:rPr>
          <w:rFonts w:hint="eastAsia" w:ascii="宋体" w:hAnsi="宋体" w:eastAsia="宋体" w:cs="宋体"/>
          <w:color w:val="000000"/>
          <w:szCs w:val="21"/>
          <w:highlight w:val="none"/>
        </w:rPr>
        <w:t>联合体各方应在签订合同协议书前向甲方提交联合协议，且明确牵头人及各成员单位的工作分工、权利、义务、责任，联合体各方应共同与甲方签订合同，就合同约定的事项对</w:t>
      </w:r>
      <w:r>
        <w:rPr>
          <w:rFonts w:hint="eastAsia" w:ascii="宋体" w:hAnsi="宋体" w:eastAsia="宋体" w:cs="宋体"/>
          <w:color w:val="000000"/>
          <w:szCs w:val="21"/>
          <w:highlight w:val="none"/>
          <w:lang w:eastAsia="zh-CN"/>
        </w:rPr>
        <w:t>甲方</w:t>
      </w:r>
      <w:r>
        <w:rPr>
          <w:rFonts w:hint="eastAsia" w:ascii="宋体" w:hAnsi="宋体" w:eastAsia="宋体" w:cs="宋体"/>
          <w:color w:val="000000"/>
          <w:szCs w:val="21"/>
          <w:highlight w:val="none"/>
        </w:rPr>
        <w:t>承担连带责任。联合体具体要求见【</w:t>
      </w:r>
      <w:r>
        <w:rPr>
          <w:rFonts w:hint="eastAsia" w:ascii="宋体" w:hAnsi="宋体" w:eastAsia="宋体" w:cs="宋体"/>
          <w:b/>
          <w:bCs/>
          <w:color w:val="000000"/>
          <w:szCs w:val="21"/>
          <w:highlight w:val="none"/>
        </w:rPr>
        <w:t>政府采购合同专用条款</w:t>
      </w:r>
      <w:r>
        <w:rPr>
          <w:rFonts w:hint="eastAsia" w:ascii="宋体" w:hAnsi="宋体" w:eastAsia="宋体" w:cs="宋体"/>
          <w:color w:val="000000"/>
          <w:szCs w:val="21"/>
          <w:highlight w:val="none"/>
        </w:rPr>
        <w:t>】。</w:t>
      </w:r>
    </w:p>
    <w:p w14:paraId="02DC584C">
      <w:pPr>
        <w:shd w:val="clear" w:color="auto" w:fill="auto"/>
        <w:tabs>
          <w:tab w:val="left" w:pos="570"/>
          <w:tab w:val="left" w:pos="9240"/>
          <w:tab w:val="left" w:pos="9555"/>
        </w:tabs>
        <w:adjustRightInd w:val="0"/>
        <w:snapToGrid w:val="0"/>
        <w:spacing w:before="0" w:line="400" w:lineRule="exact"/>
        <w:ind w:firstLine="420" w:firstLineChars="200"/>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w:t>
      </w:r>
      <w:r>
        <w:rPr>
          <w:rFonts w:hint="eastAsia" w:ascii="宋体" w:hAnsi="宋体" w:eastAsia="宋体" w:cs="宋体"/>
          <w:color w:val="000000"/>
          <w:szCs w:val="21"/>
          <w:highlight w:val="none"/>
          <w:lang w:val="en-US" w:eastAsia="zh-CN"/>
        </w:rPr>
        <w:t>7</w:t>
      </w:r>
      <w:r>
        <w:rPr>
          <w:rFonts w:hint="eastAsia" w:ascii="宋体" w:hAnsi="宋体" w:eastAsia="宋体" w:cs="宋体"/>
          <w:color w:val="000000"/>
          <w:szCs w:val="21"/>
          <w:highlight w:val="none"/>
        </w:rPr>
        <w:t>）其他术语解释，见【</w:t>
      </w:r>
      <w:r>
        <w:rPr>
          <w:rFonts w:hint="eastAsia" w:ascii="宋体" w:hAnsi="宋体" w:eastAsia="宋体" w:cs="宋体"/>
          <w:b/>
          <w:bCs/>
          <w:color w:val="000000"/>
          <w:szCs w:val="21"/>
          <w:highlight w:val="none"/>
        </w:rPr>
        <w:t>政府采购合同专用条款</w:t>
      </w:r>
      <w:r>
        <w:rPr>
          <w:rFonts w:hint="eastAsia" w:ascii="宋体" w:hAnsi="宋体" w:eastAsia="宋体" w:cs="宋体"/>
          <w:color w:val="000000"/>
          <w:szCs w:val="21"/>
          <w:highlight w:val="none"/>
        </w:rPr>
        <w:t>】。</w:t>
      </w:r>
    </w:p>
    <w:p w14:paraId="42D04BDF">
      <w:pPr>
        <w:numPr>
          <w:ilvl w:val="0"/>
          <w:numId w:val="3"/>
        </w:numPr>
        <w:shd w:val="clear" w:color="auto" w:fill="auto"/>
        <w:autoSpaceDE w:val="0"/>
        <w:autoSpaceDN w:val="0"/>
        <w:adjustRightInd w:val="0"/>
        <w:snapToGrid w:val="0"/>
        <w:spacing w:before="0" w:line="400" w:lineRule="exact"/>
        <w:jc w:val="left"/>
        <w:rPr>
          <w:rFonts w:hint="eastAsia" w:ascii="宋体" w:hAnsi="宋体" w:eastAsia="宋体" w:cs="宋体"/>
          <w:b/>
          <w:bCs/>
          <w:color w:val="000000"/>
          <w:sz w:val="24"/>
          <w:highlight w:val="none"/>
        </w:rPr>
      </w:pPr>
      <w:r>
        <w:rPr>
          <w:rFonts w:hint="eastAsia" w:ascii="宋体" w:hAnsi="宋体" w:eastAsia="宋体" w:cs="宋体"/>
          <w:b/>
          <w:color w:val="000000"/>
          <w:sz w:val="24"/>
          <w:highlight w:val="none"/>
        </w:rPr>
        <w:t>合同标的及金额</w:t>
      </w:r>
    </w:p>
    <w:p w14:paraId="0AA72F48">
      <w:pPr>
        <w:shd w:val="clear" w:color="auto" w:fill="auto"/>
        <w:autoSpaceDE w:val="0"/>
        <w:autoSpaceDN w:val="0"/>
        <w:adjustRightInd w:val="0"/>
        <w:snapToGrid w:val="0"/>
        <w:spacing w:before="0" w:line="400" w:lineRule="exact"/>
        <w:ind w:firstLine="420" w:firstLineChars="200"/>
        <w:jc w:val="left"/>
        <w:rPr>
          <w:rFonts w:hint="eastAsia" w:ascii="宋体" w:hAnsi="宋体" w:eastAsia="宋体" w:cs="宋体"/>
          <w:b/>
          <w:bCs/>
          <w:i/>
          <w:iCs/>
          <w:color w:val="000000"/>
          <w:szCs w:val="21"/>
          <w:highlight w:val="none"/>
        </w:rPr>
      </w:pPr>
      <w:r>
        <w:rPr>
          <w:rFonts w:hint="eastAsia" w:ascii="宋体" w:hAnsi="宋体" w:eastAsia="宋体" w:cs="宋体"/>
          <w:color w:val="000000"/>
          <w:szCs w:val="21"/>
          <w:highlight w:val="none"/>
          <w:lang w:eastAsia="zh-CN"/>
        </w:rPr>
        <w:t>2</w:t>
      </w:r>
      <w:r>
        <w:rPr>
          <w:rFonts w:hint="eastAsia" w:ascii="宋体" w:hAnsi="宋体" w:eastAsia="宋体" w:cs="宋体"/>
          <w:color w:val="000000"/>
          <w:szCs w:val="21"/>
          <w:highlight w:val="none"/>
        </w:rPr>
        <w:t>.1 合同标的及金额应与中标（成交）结果一致。乙方为履行本合同而发生的所有费用均应包含在合同</w:t>
      </w:r>
      <w:r>
        <w:rPr>
          <w:rFonts w:hint="eastAsia" w:ascii="宋体" w:hAnsi="宋体" w:eastAsia="宋体" w:cs="宋体"/>
          <w:color w:val="000000"/>
          <w:szCs w:val="21"/>
          <w:highlight w:val="none"/>
          <w:lang w:eastAsia="zh-CN"/>
        </w:rPr>
        <w:t>价款</w:t>
      </w:r>
      <w:r>
        <w:rPr>
          <w:rFonts w:hint="eastAsia" w:ascii="宋体" w:hAnsi="宋体" w:eastAsia="宋体" w:cs="宋体"/>
          <w:color w:val="000000"/>
          <w:szCs w:val="21"/>
          <w:highlight w:val="none"/>
        </w:rPr>
        <w:t>中，甲方不再另行支付</w:t>
      </w:r>
      <w:r>
        <w:rPr>
          <w:rFonts w:hint="eastAsia" w:ascii="宋体" w:hAnsi="宋体" w:eastAsia="宋体" w:cs="宋体"/>
          <w:color w:val="000000"/>
          <w:szCs w:val="21"/>
          <w:highlight w:val="none"/>
          <w:lang w:val="en"/>
        </w:rPr>
        <w:t>其他</w:t>
      </w:r>
      <w:r>
        <w:rPr>
          <w:rFonts w:hint="eastAsia" w:ascii="宋体" w:hAnsi="宋体" w:eastAsia="宋体" w:cs="宋体"/>
          <w:color w:val="000000"/>
          <w:szCs w:val="21"/>
          <w:highlight w:val="none"/>
        </w:rPr>
        <w:t>任何费用。</w:t>
      </w:r>
    </w:p>
    <w:p w14:paraId="47786149">
      <w:pPr>
        <w:shd w:val="clear" w:color="auto" w:fill="auto"/>
        <w:adjustRightInd w:val="0"/>
        <w:snapToGrid w:val="0"/>
        <w:spacing w:before="0" w:line="400" w:lineRule="exact"/>
        <w:jc w:val="left"/>
        <w:rPr>
          <w:rFonts w:hint="eastAsia" w:ascii="宋体" w:hAnsi="宋体" w:eastAsia="宋体" w:cs="宋体"/>
          <w:b/>
          <w:color w:val="000000"/>
          <w:sz w:val="24"/>
          <w:highlight w:val="none"/>
        </w:rPr>
      </w:pPr>
      <w:r>
        <w:rPr>
          <w:rFonts w:hint="eastAsia" w:ascii="宋体" w:hAnsi="宋体" w:eastAsia="宋体" w:cs="宋体"/>
          <w:b/>
          <w:color w:val="000000"/>
          <w:sz w:val="24"/>
          <w:highlight w:val="none"/>
          <w:lang w:eastAsia="zh-CN"/>
        </w:rPr>
        <w:t>3</w:t>
      </w:r>
      <w:r>
        <w:rPr>
          <w:rFonts w:hint="eastAsia" w:ascii="宋体" w:hAnsi="宋体" w:eastAsia="宋体" w:cs="宋体"/>
          <w:b/>
          <w:color w:val="000000"/>
          <w:sz w:val="24"/>
          <w:highlight w:val="none"/>
          <w:lang w:val="en-US" w:eastAsia="zh-CN"/>
        </w:rPr>
        <w:t xml:space="preserve">. </w:t>
      </w:r>
      <w:r>
        <w:rPr>
          <w:rFonts w:hint="eastAsia" w:ascii="宋体" w:hAnsi="宋体" w:eastAsia="宋体" w:cs="宋体"/>
          <w:b/>
          <w:color w:val="000000"/>
          <w:sz w:val="24"/>
          <w:highlight w:val="none"/>
        </w:rPr>
        <w:t>履行合同的时间、地点和方式</w:t>
      </w:r>
    </w:p>
    <w:p w14:paraId="032F5722">
      <w:pPr>
        <w:shd w:val="clear" w:color="auto" w:fill="auto"/>
        <w:autoSpaceDE w:val="0"/>
        <w:autoSpaceDN w:val="0"/>
        <w:adjustRightInd w:val="0"/>
        <w:snapToGrid w:val="0"/>
        <w:spacing w:before="0" w:line="400" w:lineRule="exact"/>
        <w:ind w:firstLine="420" w:firstLineChars="200"/>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eastAsia="zh-CN"/>
        </w:rPr>
        <w:t>3</w:t>
      </w:r>
      <w:r>
        <w:rPr>
          <w:rFonts w:hint="eastAsia" w:ascii="宋体" w:hAnsi="宋体" w:eastAsia="宋体" w:cs="宋体"/>
          <w:color w:val="000000"/>
          <w:szCs w:val="21"/>
          <w:highlight w:val="none"/>
        </w:rPr>
        <w:t xml:space="preserve">.1 </w:t>
      </w:r>
      <w:r>
        <w:rPr>
          <w:rFonts w:hint="eastAsia" w:ascii="宋体" w:hAnsi="宋体" w:eastAsia="宋体" w:cs="宋体"/>
          <w:szCs w:val="21"/>
        </w:rPr>
        <w:t>乙方应当在约定的时间、地点</w:t>
      </w:r>
      <w:r>
        <w:rPr>
          <w:rFonts w:hint="eastAsia" w:ascii="宋体" w:hAnsi="宋体" w:eastAsia="宋体" w:cs="宋体"/>
          <w:szCs w:val="21"/>
          <w:lang w:eastAsia="zh-CN"/>
        </w:rPr>
        <w:t>，按照约定</w:t>
      </w:r>
      <w:r>
        <w:rPr>
          <w:rFonts w:hint="eastAsia" w:ascii="宋体" w:hAnsi="宋体" w:eastAsia="宋体" w:cs="宋体"/>
          <w:szCs w:val="21"/>
        </w:rPr>
        <w:t>方式履行合同。</w:t>
      </w:r>
    </w:p>
    <w:p w14:paraId="61A5F394">
      <w:pPr>
        <w:shd w:val="clear" w:color="auto" w:fill="auto"/>
        <w:autoSpaceDE w:val="0"/>
        <w:autoSpaceDN w:val="0"/>
        <w:adjustRightInd w:val="0"/>
        <w:snapToGrid w:val="0"/>
        <w:spacing w:before="0" w:line="400" w:lineRule="exact"/>
        <w:jc w:val="left"/>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lang w:eastAsia="zh-CN"/>
        </w:rPr>
        <w:t>4</w:t>
      </w:r>
      <w:r>
        <w:rPr>
          <w:rFonts w:hint="eastAsia" w:ascii="宋体" w:hAnsi="宋体" w:eastAsia="宋体" w:cs="宋体"/>
          <w:b/>
          <w:bCs/>
          <w:color w:val="000000"/>
          <w:sz w:val="24"/>
          <w:highlight w:val="none"/>
          <w:lang w:val="en-US" w:eastAsia="zh-CN"/>
        </w:rPr>
        <w:t xml:space="preserve">. </w:t>
      </w:r>
      <w:r>
        <w:rPr>
          <w:rFonts w:hint="eastAsia" w:ascii="宋体" w:hAnsi="宋体" w:eastAsia="宋体" w:cs="宋体"/>
          <w:b/>
          <w:bCs/>
          <w:color w:val="000000"/>
          <w:sz w:val="24"/>
          <w:highlight w:val="none"/>
        </w:rPr>
        <w:t>甲方的权利和义务</w:t>
      </w:r>
    </w:p>
    <w:p w14:paraId="1DB8E04C">
      <w:pPr>
        <w:shd w:val="clear" w:color="auto" w:fill="auto"/>
        <w:autoSpaceDE w:val="0"/>
        <w:autoSpaceDN w:val="0"/>
        <w:adjustRightInd w:val="0"/>
        <w:snapToGrid w:val="0"/>
        <w:spacing w:before="0" w:line="400" w:lineRule="exact"/>
        <w:ind w:firstLine="420" w:firstLineChars="200"/>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eastAsia="zh-CN"/>
        </w:rPr>
        <w:t>4</w:t>
      </w:r>
      <w:r>
        <w:rPr>
          <w:rFonts w:hint="eastAsia" w:ascii="宋体" w:hAnsi="宋体" w:eastAsia="宋体" w:cs="宋体"/>
          <w:color w:val="000000"/>
          <w:szCs w:val="21"/>
          <w:highlight w:val="none"/>
        </w:rPr>
        <w:t>.1 签署合同后，甲方</w:t>
      </w:r>
      <w:r>
        <w:rPr>
          <w:rFonts w:hint="eastAsia" w:ascii="宋体" w:hAnsi="宋体" w:eastAsia="宋体" w:cs="宋体"/>
          <w:color w:val="000000"/>
          <w:szCs w:val="21"/>
          <w:highlight w:val="none"/>
          <w:lang w:eastAsia="zh-CN"/>
        </w:rPr>
        <w:t>应</w:t>
      </w:r>
      <w:r>
        <w:rPr>
          <w:rFonts w:hint="eastAsia" w:ascii="宋体" w:hAnsi="宋体" w:eastAsia="宋体" w:cs="宋体"/>
          <w:color w:val="000000"/>
          <w:szCs w:val="21"/>
          <w:highlight w:val="none"/>
        </w:rPr>
        <w:t>确定</w:t>
      </w:r>
      <w:r>
        <w:rPr>
          <w:rFonts w:hint="eastAsia" w:ascii="宋体" w:hAnsi="宋体" w:eastAsia="宋体" w:cs="宋体"/>
          <w:color w:val="000000"/>
          <w:szCs w:val="21"/>
          <w:highlight w:val="none"/>
          <w:lang w:val="en-US" w:eastAsia="zh-CN"/>
        </w:rPr>
        <w:t>项目负责人（或项目联系人）</w:t>
      </w:r>
      <w:r>
        <w:rPr>
          <w:rFonts w:hint="eastAsia" w:ascii="宋体" w:hAnsi="宋体" w:eastAsia="宋体" w:cs="宋体"/>
          <w:color w:val="000000"/>
          <w:szCs w:val="21"/>
          <w:highlight w:val="none"/>
        </w:rPr>
        <w:t>，负责与本合同有关的事务。甲方有权对乙方的履约行为进行检查，并及时确认乙方提交的事项。甲方应当配合乙方完成相关项目实施工作。</w:t>
      </w:r>
    </w:p>
    <w:p w14:paraId="73CF88B4">
      <w:pPr>
        <w:shd w:val="clear" w:color="auto" w:fill="auto"/>
        <w:autoSpaceDE w:val="0"/>
        <w:autoSpaceDN w:val="0"/>
        <w:adjustRightInd w:val="0"/>
        <w:snapToGrid w:val="0"/>
        <w:spacing w:before="0" w:line="400" w:lineRule="exact"/>
        <w:ind w:firstLine="420" w:firstLineChars="200"/>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eastAsia="zh-CN"/>
        </w:rPr>
        <w:t>4</w:t>
      </w:r>
      <w:r>
        <w:rPr>
          <w:rFonts w:hint="eastAsia" w:ascii="宋体" w:hAnsi="宋体" w:eastAsia="宋体" w:cs="宋体"/>
          <w:color w:val="000000"/>
          <w:szCs w:val="21"/>
          <w:highlight w:val="none"/>
        </w:rPr>
        <w:t>.2 甲方有权要求乙方按时提交各阶段有关安排计划，并有权定期核对乙方提供货物数量、规格、质量等内容。甲方有权督促乙方工作并要求乙方更换不符合要求的货物。</w:t>
      </w:r>
    </w:p>
    <w:p w14:paraId="596AC62D">
      <w:pPr>
        <w:shd w:val="clear" w:color="auto" w:fill="auto"/>
        <w:autoSpaceDE w:val="0"/>
        <w:autoSpaceDN w:val="0"/>
        <w:adjustRightInd w:val="0"/>
        <w:snapToGrid w:val="0"/>
        <w:spacing w:before="0" w:line="400" w:lineRule="exact"/>
        <w:ind w:firstLine="420" w:firstLineChars="200"/>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eastAsia="zh-CN"/>
        </w:rPr>
        <w:t>4</w:t>
      </w:r>
      <w:r>
        <w:rPr>
          <w:rFonts w:hint="eastAsia" w:ascii="宋体" w:hAnsi="宋体" w:eastAsia="宋体" w:cs="宋体"/>
          <w:color w:val="000000"/>
          <w:szCs w:val="21"/>
          <w:highlight w:val="none"/>
        </w:rPr>
        <w:t>.3 甲方有权要求乙方对缺陷部分予以修复，并按合同约定享有货物保修及其他合同约定的权利。</w:t>
      </w:r>
    </w:p>
    <w:p w14:paraId="6171E579">
      <w:pPr>
        <w:shd w:val="clear" w:color="auto" w:fill="auto"/>
        <w:snapToGrid w:val="0"/>
        <w:spacing w:line="400" w:lineRule="exact"/>
        <w:ind w:firstLine="420" w:firstLineChars="200"/>
        <w:rPr>
          <w:rFonts w:hint="eastAsia" w:ascii="宋体" w:hAnsi="宋体" w:eastAsia="宋体" w:cs="宋体"/>
          <w:lang w:val="en-US" w:eastAsia="zh-CN"/>
        </w:rPr>
      </w:pPr>
      <w:r>
        <w:rPr>
          <w:rFonts w:hint="eastAsia" w:ascii="宋体" w:hAnsi="宋体" w:eastAsia="宋体" w:cs="宋体"/>
          <w:color w:val="000000"/>
          <w:szCs w:val="21"/>
          <w:highlight w:val="none"/>
          <w:lang w:val="en-US" w:eastAsia="zh-CN"/>
        </w:rPr>
        <w:t>4.4 甲方应当按照合同约定及时对交付的货物进行验收，</w:t>
      </w:r>
      <w:r>
        <w:rPr>
          <w:rFonts w:hint="eastAsia" w:ascii="宋体" w:hAnsi="宋体" w:eastAsia="宋体" w:cs="宋体"/>
          <w:b w:val="0"/>
          <w:bCs w:val="0"/>
          <w:szCs w:val="21"/>
          <w:highlight w:val="none"/>
          <w:lang w:eastAsia="zh-CN"/>
        </w:rPr>
        <w:t>未</w:t>
      </w:r>
      <w:r>
        <w:rPr>
          <w:rFonts w:hint="eastAsia" w:ascii="宋体" w:hAnsi="宋体" w:eastAsia="宋体" w:cs="宋体"/>
          <w:color w:val="000000"/>
          <w:szCs w:val="21"/>
          <w:highlight w:val="none"/>
          <w:lang w:val="en-US" w:eastAsia="zh-CN"/>
        </w:rPr>
        <w:t>在</w:t>
      </w:r>
      <w:r>
        <w:rPr>
          <w:rFonts w:hint="eastAsia" w:ascii="宋体" w:hAnsi="宋体" w:eastAsia="宋体" w:cs="宋体"/>
          <w:b/>
          <w:bCs/>
          <w:szCs w:val="21"/>
          <w:highlight w:val="none"/>
        </w:rPr>
        <w:t>【政府采购合同专用条款】</w:t>
      </w:r>
      <w:r>
        <w:rPr>
          <w:rFonts w:hint="eastAsia" w:ascii="宋体" w:hAnsi="宋体" w:eastAsia="宋体" w:cs="宋体"/>
          <w:b w:val="0"/>
          <w:bCs w:val="0"/>
          <w:szCs w:val="21"/>
          <w:highlight w:val="none"/>
          <w:lang w:eastAsia="zh-CN"/>
        </w:rPr>
        <w:t>约定的期限内对乙方履约提出任何异议或者向乙方作出任何说明的，</w:t>
      </w:r>
      <w:r>
        <w:rPr>
          <w:rFonts w:hint="eastAsia" w:ascii="宋体" w:hAnsi="宋体" w:eastAsia="宋体" w:cs="宋体"/>
          <w:color w:val="000000"/>
          <w:szCs w:val="21"/>
          <w:highlight w:val="none"/>
          <w:lang w:val="en-US" w:eastAsia="zh-CN"/>
        </w:rPr>
        <w:t>视为验收通过。</w:t>
      </w:r>
    </w:p>
    <w:p w14:paraId="039E2728">
      <w:pPr>
        <w:shd w:val="clear" w:color="auto" w:fill="auto"/>
        <w:autoSpaceDE w:val="0"/>
        <w:autoSpaceDN w:val="0"/>
        <w:adjustRightInd w:val="0"/>
        <w:snapToGrid w:val="0"/>
        <w:spacing w:line="400" w:lineRule="exact"/>
        <w:ind w:firstLine="420" w:firstLineChars="200"/>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eastAsia="zh-CN"/>
        </w:rPr>
        <w:t>4</w:t>
      </w:r>
      <w:r>
        <w:rPr>
          <w:rFonts w:hint="eastAsia" w:ascii="宋体" w:hAnsi="宋体" w:eastAsia="宋体" w:cs="宋体"/>
          <w:color w:val="000000"/>
          <w:szCs w:val="21"/>
          <w:highlight w:val="none"/>
        </w:rPr>
        <w:t>.</w:t>
      </w:r>
      <w:r>
        <w:rPr>
          <w:rFonts w:hint="eastAsia" w:ascii="宋体" w:hAnsi="宋体" w:eastAsia="宋体" w:cs="宋体"/>
          <w:color w:val="000000"/>
          <w:szCs w:val="21"/>
          <w:highlight w:val="none"/>
          <w:lang w:val="en-US" w:eastAsia="zh-CN"/>
        </w:rPr>
        <w:t>5</w:t>
      </w:r>
      <w:r>
        <w:rPr>
          <w:rFonts w:hint="eastAsia" w:ascii="宋体" w:hAnsi="宋体" w:eastAsia="宋体" w:cs="宋体"/>
          <w:color w:val="000000"/>
          <w:szCs w:val="21"/>
          <w:highlight w:val="none"/>
        </w:rPr>
        <w:t xml:space="preserve"> 甲方应当根据合同约定</w:t>
      </w:r>
      <w:r>
        <w:rPr>
          <w:rFonts w:hint="eastAsia" w:ascii="宋体" w:hAnsi="宋体" w:eastAsia="宋体" w:cs="宋体"/>
          <w:color w:val="000000"/>
          <w:szCs w:val="21"/>
          <w:highlight w:val="none"/>
          <w:lang w:eastAsia="zh-CN"/>
        </w:rPr>
        <w:t>及</w:t>
      </w:r>
      <w:r>
        <w:rPr>
          <w:rFonts w:hint="eastAsia" w:ascii="宋体" w:hAnsi="宋体" w:eastAsia="宋体" w:cs="宋体"/>
          <w:color w:val="000000"/>
          <w:szCs w:val="21"/>
          <w:highlight w:val="none"/>
        </w:rPr>
        <w:t>时向乙方支付</w:t>
      </w:r>
      <w:r>
        <w:rPr>
          <w:rFonts w:hint="eastAsia" w:ascii="宋体" w:hAnsi="宋体" w:eastAsia="宋体" w:cs="宋体"/>
          <w:color w:val="000000"/>
          <w:szCs w:val="21"/>
          <w:highlight w:val="none"/>
          <w:lang w:eastAsia="zh-CN"/>
        </w:rPr>
        <w:t>合同价款，不得以内部人员变更、履行内部付款流程等为由，拒绝或迟延支付。</w:t>
      </w:r>
    </w:p>
    <w:p w14:paraId="46D68B3F">
      <w:pPr>
        <w:shd w:val="clear" w:color="auto" w:fill="auto"/>
        <w:autoSpaceDE w:val="0"/>
        <w:autoSpaceDN w:val="0"/>
        <w:adjustRightInd w:val="0"/>
        <w:snapToGrid w:val="0"/>
        <w:spacing w:before="0" w:line="400" w:lineRule="exact"/>
        <w:ind w:firstLine="420" w:firstLineChars="200"/>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eastAsia="zh-CN"/>
        </w:rPr>
        <w:t>4</w:t>
      </w:r>
      <w:r>
        <w:rPr>
          <w:rFonts w:hint="eastAsia" w:ascii="宋体" w:hAnsi="宋体" w:eastAsia="宋体" w:cs="宋体"/>
          <w:color w:val="000000"/>
          <w:szCs w:val="21"/>
          <w:highlight w:val="none"/>
        </w:rPr>
        <w:t>.</w:t>
      </w:r>
      <w:r>
        <w:rPr>
          <w:rFonts w:hint="eastAsia" w:ascii="宋体" w:hAnsi="宋体" w:eastAsia="宋体" w:cs="宋体"/>
          <w:color w:val="000000"/>
          <w:szCs w:val="21"/>
          <w:highlight w:val="none"/>
          <w:lang w:val="en-US" w:eastAsia="zh-CN"/>
        </w:rPr>
        <w:t>6</w:t>
      </w:r>
      <w:r>
        <w:rPr>
          <w:rFonts w:hint="eastAsia" w:ascii="宋体" w:hAnsi="宋体" w:eastAsia="宋体" w:cs="宋体"/>
          <w:color w:val="000000"/>
          <w:szCs w:val="21"/>
          <w:highlight w:val="none"/>
        </w:rPr>
        <w:t xml:space="preserve"> 国家法律法规规定</w:t>
      </w:r>
      <w:r>
        <w:rPr>
          <w:rFonts w:hint="eastAsia" w:ascii="宋体" w:hAnsi="宋体" w:eastAsia="宋体" w:cs="宋体"/>
          <w:color w:val="000000"/>
          <w:szCs w:val="21"/>
          <w:highlight w:val="none"/>
          <w:lang w:eastAsia="zh-CN"/>
        </w:rPr>
        <w:t>及</w:t>
      </w:r>
      <w:r>
        <w:rPr>
          <w:rFonts w:hint="eastAsia" w:ascii="宋体" w:hAnsi="宋体" w:eastAsia="宋体" w:cs="宋体"/>
          <w:b/>
          <w:bCs/>
          <w:szCs w:val="21"/>
          <w:highlight w:val="none"/>
        </w:rPr>
        <w:t>【政府采购合同专用条款】</w:t>
      </w:r>
      <w:r>
        <w:rPr>
          <w:rFonts w:hint="eastAsia" w:ascii="宋体" w:hAnsi="宋体" w:eastAsia="宋体" w:cs="宋体"/>
          <w:color w:val="000000"/>
          <w:szCs w:val="21"/>
          <w:highlight w:val="none"/>
          <w:lang w:eastAsia="zh-CN"/>
        </w:rPr>
        <w:t>约定应</w:t>
      </w:r>
      <w:r>
        <w:rPr>
          <w:rFonts w:hint="eastAsia" w:ascii="宋体" w:hAnsi="宋体" w:eastAsia="宋体" w:cs="宋体"/>
          <w:color w:val="000000"/>
          <w:szCs w:val="21"/>
          <w:highlight w:val="none"/>
        </w:rPr>
        <w:t>由甲方承担的其他义务和责任。</w:t>
      </w:r>
    </w:p>
    <w:p w14:paraId="3614980C">
      <w:pPr>
        <w:shd w:val="clear" w:color="auto" w:fill="auto"/>
        <w:autoSpaceDE w:val="0"/>
        <w:autoSpaceDN w:val="0"/>
        <w:adjustRightInd w:val="0"/>
        <w:snapToGrid w:val="0"/>
        <w:spacing w:before="0" w:line="400" w:lineRule="exact"/>
        <w:jc w:val="left"/>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lang w:eastAsia="zh-CN"/>
        </w:rPr>
        <w:t>5</w:t>
      </w:r>
      <w:r>
        <w:rPr>
          <w:rFonts w:hint="eastAsia" w:ascii="宋体" w:hAnsi="宋体" w:eastAsia="宋体" w:cs="宋体"/>
          <w:b/>
          <w:bCs/>
          <w:color w:val="000000"/>
          <w:sz w:val="24"/>
          <w:highlight w:val="none"/>
          <w:lang w:val="en-US" w:eastAsia="zh-CN"/>
        </w:rPr>
        <w:t xml:space="preserve">. </w:t>
      </w:r>
      <w:r>
        <w:rPr>
          <w:rFonts w:hint="eastAsia" w:ascii="宋体" w:hAnsi="宋体" w:eastAsia="宋体" w:cs="宋体"/>
          <w:b/>
          <w:bCs/>
          <w:color w:val="000000"/>
          <w:sz w:val="24"/>
          <w:highlight w:val="none"/>
        </w:rPr>
        <w:t>乙方的权利和义务</w:t>
      </w:r>
    </w:p>
    <w:p w14:paraId="223A9C37">
      <w:pPr>
        <w:shd w:val="clear" w:color="auto" w:fill="auto"/>
        <w:autoSpaceDE w:val="0"/>
        <w:autoSpaceDN w:val="0"/>
        <w:adjustRightInd w:val="0"/>
        <w:snapToGrid w:val="0"/>
        <w:spacing w:before="0" w:line="400" w:lineRule="exact"/>
        <w:ind w:firstLine="420" w:firstLineChars="200"/>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eastAsia="zh-CN"/>
        </w:rPr>
        <w:t>5</w:t>
      </w:r>
      <w:r>
        <w:rPr>
          <w:rFonts w:hint="eastAsia" w:ascii="宋体" w:hAnsi="宋体" w:eastAsia="宋体" w:cs="宋体"/>
          <w:color w:val="000000"/>
          <w:szCs w:val="21"/>
          <w:highlight w:val="none"/>
        </w:rPr>
        <w:t>.1 签署合同后，乙方</w:t>
      </w:r>
      <w:r>
        <w:rPr>
          <w:rFonts w:hint="eastAsia" w:ascii="宋体" w:hAnsi="宋体" w:eastAsia="宋体" w:cs="宋体"/>
          <w:color w:val="000000"/>
          <w:szCs w:val="21"/>
          <w:highlight w:val="none"/>
          <w:lang w:eastAsia="zh-CN"/>
        </w:rPr>
        <w:t>应</w:t>
      </w:r>
      <w:r>
        <w:rPr>
          <w:rFonts w:hint="eastAsia" w:ascii="宋体" w:hAnsi="宋体" w:eastAsia="宋体" w:cs="宋体"/>
          <w:color w:val="000000"/>
          <w:szCs w:val="21"/>
          <w:highlight w:val="none"/>
        </w:rPr>
        <w:t>确定</w:t>
      </w:r>
      <w:r>
        <w:rPr>
          <w:rFonts w:hint="eastAsia" w:ascii="宋体" w:hAnsi="宋体" w:eastAsia="宋体" w:cs="宋体"/>
          <w:color w:val="000000"/>
          <w:szCs w:val="21"/>
          <w:highlight w:val="none"/>
          <w:lang w:val="en-US" w:eastAsia="zh-CN"/>
        </w:rPr>
        <w:t>项目负责人（或项目联系人）</w:t>
      </w:r>
      <w:r>
        <w:rPr>
          <w:rFonts w:hint="eastAsia" w:ascii="宋体" w:hAnsi="宋体" w:eastAsia="宋体" w:cs="宋体"/>
          <w:color w:val="000000"/>
          <w:szCs w:val="21"/>
          <w:highlight w:val="none"/>
        </w:rPr>
        <w:t>，负责与本合同有关的事务。</w:t>
      </w:r>
    </w:p>
    <w:p w14:paraId="343A76C5">
      <w:pPr>
        <w:shd w:val="clear" w:color="auto" w:fill="auto"/>
        <w:autoSpaceDE w:val="0"/>
        <w:autoSpaceDN w:val="0"/>
        <w:adjustRightInd w:val="0"/>
        <w:snapToGrid w:val="0"/>
        <w:spacing w:before="0" w:line="400" w:lineRule="exact"/>
        <w:ind w:firstLine="420" w:firstLineChars="200"/>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eastAsia="zh-CN"/>
        </w:rPr>
        <w:t>5</w:t>
      </w:r>
      <w:r>
        <w:rPr>
          <w:rFonts w:hint="eastAsia" w:ascii="宋体" w:hAnsi="宋体" w:eastAsia="宋体" w:cs="宋体"/>
          <w:color w:val="000000"/>
          <w:szCs w:val="21"/>
          <w:highlight w:val="none"/>
        </w:rPr>
        <w:t>.2 乙方应按照合同要求履约，充分合理安排，确保提供的货物</w:t>
      </w:r>
      <w:r>
        <w:rPr>
          <w:rFonts w:hint="eastAsia" w:ascii="宋体" w:hAnsi="宋体" w:eastAsia="宋体" w:cs="宋体"/>
          <w:color w:val="000000"/>
          <w:szCs w:val="21"/>
          <w:highlight w:val="none"/>
          <w:lang w:eastAsia="zh-CN"/>
        </w:rPr>
        <w:t>及相关</w:t>
      </w:r>
      <w:r>
        <w:rPr>
          <w:rFonts w:hint="eastAsia" w:ascii="宋体" w:hAnsi="宋体" w:eastAsia="宋体" w:cs="宋体"/>
          <w:color w:val="000000"/>
          <w:szCs w:val="21"/>
          <w:highlight w:val="none"/>
        </w:rPr>
        <w:t>服务符合合同</w:t>
      </w:r>
      <w:r>
        <w:rPr>
          <w:rFonts w:hint="eastAsia" w:ascii="宋体" w:hAnsi="宋体" w:eastAsia="宋体" w:cs="宋体"/>
          <w:color w:val="000000"/>
          <w:szCs w:val="21"/>
          <w:highlight w:val="none"/>
          <w:lang w:eastAsia="zh-CN"/>
        </w:rPr>
        <w:t>有关</w:t>
      </w:r>
      <w:r>
        <w:rPr>
          <w:rFonts w:hint="eastAsia" w:ascii="宋体" w:hAnsi="宋体" w:eastAsia="宋体" w:cs="宋体"/>
          <w:color w:val="000000"/>
          <w:szCs w:val="21"/>
          <w:highlight w:val="none"/>
        </w:rPr>
        <w:t>要求。接受项目行业管理部门及政府有关部门的指导，配合甲方的履约检查</w:t>
      </w:r>
      <w:r>
        <w:rPr>
          <w:rFonts w:hint="eastAsia" w:ascii="宋体" w:hAnsi="宋体" w:eastAsia="宋体" w:cs="宋体"/>
          <w:color w:val="000000"/>
          <w:szCs w:val="21"/>
          <w:highlight w:val="none"/>
          <w:lang w:eastAsia="zh-CN"/>
        </w:rPr>
        <w:t>及验收</w:t>
      </w:r>
      <w:r>
        <w:rPr>
          <w:rFonts w:hint="eastAsia" w:ascii="宋体" w:hAnsi="宋体" w:eastAsia="宋体" w:cs="宋体"/>
          <w:color w:val="000000"/>
          <w:szCs w:val="21"/>
          <w:highlight w:val="none"/>
        </w:rPr>
        <w:t>，并负责项目实施过程中的所有协调工作。</w:t>
      </w:r>
    </w:p>
    <w:p w14:paraId="22F898AE">
      <w:pPr>
        <w:pStyle w:val="11"/>
        <w:shd w:val="clear" w:color="auto" w:fill="auto"/>
        <w:spacing w:after="0" w:line="400" w:lineRule="exact"/>
        <w:ind w:firstLine="369" w:firstLineChars="176"/>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eastAsia="zh-CN"/>
        </w:rPr>
        <w:t>5</w:t>
      </w:r>
      <w:r>
        <w:rPr>
          <w:rFonts w:hint="eastAsia" w:ascii="宋体" w:hAnsi="宋体" w:eastAsia="宋体" w:cs="宋体"/>
          <w:color w:val="000000"/>
          <w:szCs w:val="21"/>
          <w:highlight w:val="none"/>
        </w:rPr>
        <w:t>.3乙方有权根据合同约定向甲方收取</w:t>
      </w:r>
      <w:r>
        <w:rPr>
          <w:rFonts w:hint="eastAsia" w:ascii="宋体" w:hAnsi="宋体" w:eastAsia="宋体" w:cs="宋体"/>
          <w:color w:val="000000"/>
          <w:szCs w:val="21"/>
          <w:highlight w:val="none"/>
          <w:lang w:eastAsia="zh-CN"/>
        </w:rPr>
        <w:t>合同价款</w:t>
      </w:r>
      <w:r>
        <w:rPr>
          <w:rFonts w:hint="eastAsia" w:ascii="宋体" w:hAnsi="宋体" w:eastAsia="宋体" w:cs="宋体"/>
          <w:color w:val="000000"/>
          <w:szCs w:val="21"/>
          <w:highlight w:val="none"/>
        </w:rPr>
        <w:t>。</w:t>
      </w:r>
    </w:p>
    <w:p w14:paraId="186BFF55">
      <w:pPr>
        <w:pStyle w:val="11"/>
        <w:shd w:val="clear" w:color="auto" w:fill="auto"/>
        <w:spacing w:after="0" w:line="400" w:lineRule="exact"/>
        <w:ind w:firstLine="369" w:firstLineChars="176"/>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eastAsia="zh-CN"/>
        </w:rPr>
        <w:t>5</w:t>
      </w:r>
      <w:r>
        <w:rPr>
          <w:rFonts w:hint="eastAsia" w:ascii="宋体" w:hAnsi="宋体" w:eastAsia="宋体" w:cs="宋体"/>
          <w:color w:val="000000"/>
          <w:szCs w:val="21"/>
          <w:highlight w:val="none"/>
        </w:rPr>
        <w:t>.4国家法律法规规定</w:t>
      </w:r>
      <w:r>
        <w:rPr>
          <w:rFonts w:hint="eastAsia" w:ascii="宋体" w:hAnsi="宋体" w:eastAsia="宋体" w:cs="宋体"/>
          <w:color w:val="000000"/>
          <w:szCs w:val="21"/>
          <w:highlight w:val="none"/>
          <w:lang w:eastAsia="zh-CN"/>
        </w:rPr>
        <w:t>及</w:t>
      </w:r>
      <w:r>
        <w:rPr>
          <w:rFonts w:hint="eastAsia" w:ascii="宋体" w:hAnsi="宋体" w:eastAsia="宋体" w:cs="宋体"/>
          <w:b/>
          <w:bCs/>
          <w:szCs w:val="21"/>
          <w:highlight w:val="none"/>
        </w:rPr>
        <w:t>【政府采购合同专用条款】</w:t>
      </w:r>
      <w:r>
        <w:rPr>
          <w:rFonts w:hint="eastAsia" w:ascii="宋体" w:hAnsi="宋体" w:eastAsia="宋体" w:cs="宋体"/>
          <w:b w:val="0"/>
          <w:bCs w:val="0"/>
          <w:szCs w:val="21"/>
          <w:highlight w:val="none"/>
          <w:lang w:eastAsia="zh-CN"/>
        </w:rPr>
        <w:t>约定应</w:t>
      </w:r>
      <w:r>
        <w:rPr>
          <w:rFonts w:hint="eastAsia" w:ascii="宋体" w:hAnsi="宋体" w:eastAsia="宋体" w:cs="宋体"/>
          <w:color w:val="000000"/>
          <w:szCs w:val="21"/>
          <w:highlight w:val="none"/>
        </w:rPr>
        <w:t>由乙方承担的其他义务和责任。</w:t>
      </w:r>
    </w:p>
    <w:p w14:paraId="217806B5">
      <w:pPr>
        <w:numPr>
          <w:ilvl w:val="0"/>
          <w:numId w:val="4"/>
        </w:numPr>
        <w:shd w:val="clear" w:color="auto" w:fill="auto"/>
        <w:autoSpaceDE w:val="0"/>
        <w:autoSpaceDN w:val="0"/>
        <w:adjustRightInd w:val="0"/>
        <w:snapToGrid w:val="0"/>
        <w:spacing w:before="0" w:line="400" w:lineRule="exact"/>
        <w:jc w:val="left"/>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合同履</w:t>
      </w:r>
      <w:r>
        <w:rPr>
          <w:rFonts w:hint="eastAsia" w:ascii="宋体" w:hAnsi="宋体" w:eastAsia="宋体" w:cs="宋体"/>
          <w:b/>
          <w:bCs/>
          <w:color w:val="000000"/>
          <w:sz w:val="24"/>
          <w:highlight w:val="none"/>
          <w:lang w:val="en-US" w:eastAsia="zh-CN"/>
        </w:rPr>
        <w:t>行</w:t>
      </w:r>
    </w:p>
    <w:p w14:paraId="03644E02">
      <w:pPr>
        <w:shd w:val="clear" w:color="auto" w:fill="auto"/>
        <w:autoSpaceDE w:val="0"/>
        <w:autoSpaceDN w:val="0"/>
        <w:adjustRightInd w:val="0"/>
        <w:snapToGrid w:val="0"/>
        <w:spacing w:before="0" w:line="400" w:lineRule="exact"/>
        <w:ind w:firstLine="420" w:firstLineChars="200"/>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eastAsia="zh-CN"/>
        </w:rPr>
        <w:t>6</w:t>
      </w:r>
      <w:r>
        <w:rPr>
          <w:rFonts w:hint="eastAsia" w:ascii="宋体" w:hAnsi="宋体" w:eastAsia="宋体" w:cs="宋体"/>
          <w:color w:val="000000"/>
          <w:szCs w:val="21"/>
          <w:highlight w:val="none"/>
        </w:rPr>
        <w:t>.1 甲乙双方应当按照</w:t>
      </w:r>
      <w:r>
        <w:rPr>
          <w:rFonts w:hint="eastAsia" w:ascii="宋体" w:hAnsi="宋体" w:eastAsia="宋体" w:cs="宋体"/>
          <w:b/>
          <w:bCs/>
          <w:szCs w:val="21"/>
          <w:highlight w:val="none"/>
        </w:rPr>
        <w:t>【政府采购合同专用条款】</w:t>
      </w:r>
      <w:r>
        <w:rPr>
          <w:rFonts w:hint="eastAsia" w:ascii="宋体" w:hAnsi="宋体" w:eastAsia="宋体" w:cs="宋体"/>
          <w:color w:val="000000"/>
          <w:szCs w:val="21"/>
          <w:highlight w:val="none"/>
        </w:rPr>
        <w:t>约定顺序履行合同义务；如果没有先后顺序的，应当同时履行。</w:t>
      </w:r>
    </w:p>
    <w:p w14:paraId="622BE1F2">
      <w:pPr>
        <w:shd w:val="clear" w:color="auto" w:fill="auto"/>
        <w:autoSpaceDE w:val="0"/>
        <w:autoSpaceDN w:val="0"/>
        <w:adjustRightInd w:val="0"/>
        <w:snapToGrid w:val="0"/>
        <w:spacing w:before="0" w:line="400" w:lineRule="exact"/>
        <w:ind w:firstLine="420" w:firstLineChars="200"/>
        <w:jc w:val="left"/>
        <w:rPr>
          <w:rFonts w:hint="eastAsia" w:ascii="宋体" w:hAnsi="宋体" w:eastAsia="宋体" w:cs="宋体"/>
        </w:rPr>
      </w:pPr>
      <w:r>
        <w:rPr>
          <w:rFonts w:hint="eastAsia" w:ascii="宋体" w:hAnsi="宋体" w:eastAsia="宋体" w:cs="宋体"/>
          <w:color w:val="000000"/>
          <w:szCs w:val="21"/>
          <w:highlight w:val="none"/>
          <w:lang w:eastAsia="zh-CN"/>
        </w:rPr>
        <w:t>6</w:t>
      </w:r>
      <w:r>
        <w:rPr>
          <w:rFonts w:hint="eastAsia" w:ascii="宋体" w:hAnsi="宋体" w:eastAsia="宋体" w:cs="宋体"/>
          <w:color w:val="000000"/>
          <w:szCs w:val="21"/>
          <w:highlight w:val="none"/>
        </w:rPr>
        <w:t>.2 甲乙双方按照合同约定顺序履行合同义务时，应当先履行一方未履行的，后履行一方有权拒绝其履行请求。先履行一方履行不符合约定的，后履行一方有权拒绝其相应的履行请求。</w:t>
      </w:r>
    </w:p>
    <w:p w14:paraId="61F0B85B">
      <w:pPr>
        <w:shd w:val="clear" w:color="auto" w:fill="auto"/>
        <w:adjustRightInd w:val="0"/>
        <w:snapToGrid w:val="0"/>
        <w:spacing w:before="0" w:line="400" w:lineRule="exact"/>
        <w:jc w:val="left"/>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lang w:eastAsia="zh-CN"/>
        </w:rPr>
        <w:t>7</w:t>
      </w:r>
      <w:r>
        <w:rPr>
          <w:rFonts w:hint="eastAsia" w:ascii="宋体" w:hAnsi="宋体" w:eastAsia="宋体" w:cs="宋体"/>
          <w:b/>
          <w:bCs/>
          <w:color w:val="000000"/>
          <w:sz w:val="24"/>
          <w:highlight w:val="none"/>
          <w:lang w:val="en-US" w:eastAsia="zh-CN"/>
        </w:rPr>
        <w:t xml:space="preserve">. </w:t>
      </w:r>
      <w:r>
        <w:rPr>
          <w:rFonts w:hint="eastAsia" w:ascii="宋体" w:hAnsi="宋体" w:eastAsia="宋体" w:cs="宋体"/>
          <w:b/>
          <w:bCs/>
          <w:color w:val="000000"/>
          <w:sz w:val="24"/>
          <w:highlight w:val="none"/>
        </w:rPr>
        <w:t>货物包装、运输</w:t>
      </w:r>
      <w:r>
        <w:rPr>
          <w:rFonts w:hint="eastAsia" w:ascii="宋体" w:hAnsi="宋体" w:eastAsia="宋体" w:cs="宋体"/>
          <w:b/>
          <w:bCs/>
          <w:color w:val="000000"/>
          <w:sz w:val="24"/>
          <w:highlight w:val="none"/>
          <w:lang w:eastAsia="zh-CN"/>
        </w:rPr>
        <w:t>、</w:t>
      </w:r>
      <w:r>
        <w:rPr>
          <w:rFonts w:hint="eastAsia" w:ascii="宋体" w:hAnsi="宋体" w:eastAsia="宋体" w:cs="宋体"/>
          <w:b/>
          <w:bCs/>
          <w:color w:val="000000"/>
          <w:sz w:val="24"/>
          <w:highlight w:val="none"/>
        </w:rPr>
        <w:t>保险</w:t>
      </w:r>
      <w:r>
        <w:rPr>
          <w:rFonts w:hint="eastAsia" w:ascii="宋体" w:hAnsi="宋体" w:eastAsia="宋体" w:cs="宋体"/>
          <w:b/>
          <w:bCs/>
          <w:color w:val="000000"/>
          <w:sz w:val="24"/>
          <w:highlight w:val="none"/>
          <w:lang w:eastAsia="zh-CN"/>
        </w:rPr>
        <w:t>和交付</w:t>
      </w:r>
      <w:r>
        <w:rPr>
          <w:rFonts w:hint="eastAsia" w:ascii="宋体" w:hAnsi="宋体" w:eastAsia="宋体" w:cs="宋体"/>
          <w:b/>
          <w:bCs/>
          <w:color w:val="000000"/>
          <w:sz w:val="24"/>
          <w:highlight w:val="none"/>
        </w:rPr>
        <w:t>要求</w:t>
      </w:r>
    </w:p>
    <w:p w14:paraId="364B379C">
      <w:pPr>
        <w:shd w:val="clear" w:color="auto" w:fill="auto"/>
        <w:autoSpaceDE w:val="0"/>
        <w:autoSpaceDN w:val="0"/>
        <w:adjustRightInd w:val="0"/>
        <w:snapToGrid w:val="0"/>
        <w:spacing w:before="0" w:line="400" w:lineRule="exact"/>
        <w:ind w:firstLine="420" w:firstLineChars="200"/>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eastAsia="zh-CN"/>
        </w:rPr>
        <w:t>7</w:t>
      </w:r>
      <w:r>
        <w:rPr>
          <w:rFonts w:hint="eastAsia" w:ascii="宋体" w:hAnsi="宋体" w:eastAsia="宋体" w:cs="宋体"/>
          <w:color w:val="000000"/>
          <w:szCs w:val="21"/>
          <w:highlight w:val="none"/>
        </w:rPr>
        <w:t>.1 本合同</w:t>
      </w:r>
      <w:r>
        <w:rPr>
          <w:rFonts w:hint="eastAsia" w:ascii="宋体" w:hAnsi="宋体" w:eastAsia="宋体" w:cs="宋体"/>
          <w:bCs/>
          <w:color w:val="000000"/>
          <w:szCs w:val="21"/>
          <w:highlight w:val="none"/>
        </w:rPr>
        <w:t>涉及商品包装</w:t>
      </w:r>
      <w:r>
        <w:rPr>
          <w:rFonts w:hint="eastAsia" w:ascii="宋体" w:hAnsi="宋体" w:eastAsia="宋体" w:cs="宋体"/>
          <w:bCs/>
          <w:color w:val="000000"/>
          <w:szCs w:val="21"/>
          <w:highlight w:val="none"/>
          <w:lang w:eastAsia="zh-CN"/>
        </w:rPr>
        <w:t>、</w:t>
      </w:r>
      <w:r>
        <w:rPr>
          <w:rFonts w:hint="eastAsia" w:ascii="宋体" w:hAnsi="宋体" w:eastAsia="宋体" w:cs="宋体"/>
          <w:bCs/>
          <w:color w:val="000000"/>
          <w:szCs w:val="21"/>
          <w:highlight w:val="none"/>
        </w:rPr>
        <w:t>快递包装的，</w:t>
      </w:r>
      <w:r>
        <w:rPr>
          <w:rFonts w:hint="eastAsia" w:ascii="宋体" w:hAnsi="宋体" w:eastAsia="宋体" w:cs="宋体"/>
          <w:color w:val="000000"/>
          <w:szCs w:val="21"/>
          <w:highlight w:val="none"/>
        </w:rPr>
        <w:t>除</w:t>
      </w:r>
      <w:r>
        <w:rPr>
          <w:rFonts w:hint="eastAsia" w:ascii="宋体" w:hAnsi="宋体" w:eastAsia="宋体" w:cs="宋体"/>
          <w:b/>
          <w:color w:val="000000"/>
          <w:szCs w:val="21"/>
          <w:highlight w:val="none"/>
        </w:rPr>
        <w:t>【政府采购合同专用条款】</w:t>
      </w:r>
      <w:r>
        <w:rPr>
          <w:rFonts w:hint="eastAsia" w:ascii="宋体" w:hAnsi="宋体" w:eastAsia="宋体" w:cs="宋体"/>
          <w:bCs/>
          <w:color w:val="000000"/>
          <w:szCs w:val="21"/>
          <w:highlight w:val="none"/>
        </w:rPr>
        <w:t>另有</w:t>
      </w:r>
      <w:r>
        <w:rPr>
          <w:rFonts w:hint="eastAsia" w:ascii="宋体" w:hAnsi="宋体" w:eastAsia="宋体" w:cs="宋体"/>
          <w:bCs/>
          <w:color w:val="000000"/>
          <w:szCs w:val="21"/>
          <w:highlight w:val="none"/>
          <w:lang w:eastAsia="zh-CN"/>
        </w:rPr>
        <w:t>约</w:t>
      </w:r>
      <w:r>
        <w:rPr>
          <w:rFonts w:hint="eastAsia" w:ascii="宋体" w:hAnsi="宋体" w:eastAsia="宋体" w:cs="宋体"/>
          <w:bCs/>
          <w:color w:val="000000"/>
          <w:szCs w:val="21"/>
          <w:highlight w:val="none"/>
        </w:rPr>
        <w:t>定</w:t>
      </w:r>
      <w:r>
        <w:rPr>
          <w:rFonts w:hint="eastAsia" w:ascii="宋体" w:hAnsi="宋体" w:eastAsia="宋体" w:cs="宋体"/>
          <w:bCs/>
          <w:color w:val="000000"/>
          <w:szCs w:val="21"/>
          <w:highlight w:val="none"/>
          <w:lang w:eastAsia="zh-CN"/>
        </w:rPr>
        <w:t>外</w:t>
      </w:r>
      <w:r>
        <w:rPr>
          <w:rFonts w:hint="eastAsia" w:ascii="宋体" w:hAnsi="宋体" w:eastAsia="宋体" w:cs="宋体"/>
          <w:bCs/>
          <w:color w:val="000000"/>
          <w:szCs w:val="21"/>
          <w:highlight w:val="none"/>
        </w:rPr>
        <w:t>，</w:t>
      </w:r>
      <w:r>
        <w:rPr>
          <w:rFonts w:hint="eastAsia" w:ascii="宋体" w:hAnsi="宋体" w:eastAsia="宋体" w:cs="宋体"/>
          <w:color w:val="000000"/>
          <w:szCs w:val="21"/>
          <w:highlight w:val="none"/>
        </w:rPr>
        <w:t>包装应适应远距离运输、防潮、防震、防锈和防野蛮装卸等要求，确保货物安全无损地运抵</w:t>
      </w:r>
      <w:r>
        <w:rPr>
          <w:rFonts w:hint="eastAsia" w:ascii="宋体" w:hAnsi="宋体" w:eastAsia="宋体" w:cs="宋体"/>
          <w:b/>
          <w:color w:val="000000"/>
          <w:szCs w:val="21"/>
          <w:highlight w:val="none"/>
        </w:rPr>
        <w:t>【政府采购合同专用条款】</w:t>
      </w:r>
      <w:r>
        <w:rPr>
          <w:rFonts w:hint="eastAsia" w:ascii="宋体" w:hAnsi="宋体" w:eastAsia="宋体" w:cs="宋体"/>
          <w:b w:val="0"/>
          <w:bCs/>
          <w:color w:val="000000"/>
          <w:szCs w:val="21"/>
          <w:highlight w:val="none"/>
          <w:lang w:eastAsia="zh-CN"/>
        </w:rPr>
        <w:t>约定的</w:t>
      </w:r>
      <w:r>
        <w:rPr>
          <w:rFonts w:hint="eastAsia" w:ascii="宋体" w:hAnsi="宋体" w:eastAsia="宋体" w:cs="宋体"/>
          <w:color w:val="000000"/>
          <w:szCs w:val="21"/>
          <w:highlight w:val="none"/>
        </w:rPr>
        <w:t>指定现场。</w:t>
      </w:r>
    </w:p>
    <w:p w14:paraId="5F7DFF44">
      <w:pPr>
        <w:shd w:val="clear" w:color="auto" w:fill="auto"/>
        <w:adjustRightInd w:val="0"/>
        <w:snapToGrid w:val="0"/>
        <w:spacing w:before="0" w:line="400" w:lineRule="exact"/>
        <w:ind w:firstLine="420" w:firstLineChars="200"/>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eastAsia="zh-CN"/>
        </w:rPr>
        <w:t>7</w:t>
      </w:r>
      <w:r>
        <w:rPr>
          <w:rFonts w:hint="eastAsia" w:ascii="宋体" w:hAnsi="宋体" w:eastAsia="宋体" w:cs="宋体"/>
          <w:color w:val="000000"/>
          <w:szCs w:val="21"/>
          <w:highlight w:val="none"/>
        </w:rPr>
        <w:t>.2 除</w:t>
      </w:r>
      <w:r>
        <w:rPr>
          <w:rFonts w:hint="eastAsia" w:ascii="宋体" w:hAnsi="宋体" w:eastAsia="宋体" w:cs="宋体"/>
          <w:b/>
          <w:color w:val="000000"/>
          <w:szCs w:val="21"/>
          <w:highlight w:val="none"/>
        </w:rPr>
        <w:t>【政府采购合同专用条款】</w:t>
      </w:r>
      <w:r>
        <w:rPr>
          <w:rFonts w:hint="eastAsia" w:ascii="宋体" w:hAnsi="宋体" w:eastAsia="宋体" w:cs="宋体"/>
          <w:bCs/>
          <w:color w:val="000000"/>
          <w:szCs w:val="21"/>
          <w:highlight w:val="none"/>
        </w:rPr>
        <w:t>另有</w:t>
      </w:r>
      <w:r>
        <w:rPr>
          <w:rFonts w:hint="eastAsia" w:ascii="宋体" w:hAnsi="宋体" w:eastAsia="宋体" w:cs="宋体"/>
          <w:bCs/>
          <w:color w:val="000000"/>
          <w:szCs w:val="21"/>
          <w:highlight w:val="none"/>
          <w:lang w:eastAsia="zh-CN"/>
        </w:rPr>
        <w:t>约</w:t>
      </w:r>
      <w:r>
        <w:rPr>
          <w:rFonts w:hint="eastAsia" w:ascii="宋体" w:hAnsi="宋体" w:eastAsia="宋体" w:cs="宋体"/>
          <w:bCs/>
          <w:color w:val="000000"/>
          <w:szCs w:val="21"/>
          <w:highlight w:val="none"/>
        </w:rPr>
        <w:t>定</w:t>
      </w:r>
      <w:r>
        <w:rPr>
          <w:rFonts w:hint="eastAsia" w:ascii="宋体" w:hAnsi="宋体" w:eastAsia="宋体" w:cs="宋体"/>
          <w:bCs/>
          <w:color w:val="000000"/>
          <w:szCs w:val="21"/>
          <w:highlight w:val="none"/>
          <w:lang w:eastAsia="zh-CN"/>
        </w:rPr>
        <w:t>外</w:t>
      </w:r>
      <w:r>
        <w:rPr>
          <w:rFonts w:hint="eastAsia" w:ascii="宋体" w:hAnsi="宋体" w:eastAsia="宋体" w:cs="宋体"/>
          <w:bCs/>
          <w:color w:val="000000"/>
          <w:szCs w:val="21"/>
          <w:highlight w:val="none"/>
        </w:rPr>
        <w:t>，</w:t>
      </w:r>
      <w:r>
        <w:rPr>
          <w:rFonts w:hint="eastAsia" w:ascii="宋体" w:hAnsi="宋体" w:eastAsia="宋体" w:cs="宋体"/>
          <w:color w:val="000000"/>
          <w:szCs w:val="21"/>
          <w:highlight w:val="none"/>
        </w:rPr>
        <w:t>乙方负责办理将货物运抵本合同规定的交货地点</w:t>
      </w:r>
      <w:r>
        <w:rPr>
          <w:rFonts w:hint="eastAsia" w:ascii="宋体" w:hAnsi="宋体" w:eastAsia="宋体" w:cs="宋体"/>
          <w:color w:val="000000"/>
          <w:szCs w:val="21"/>
          <w:highlight w:val="none"/>
          <w:lang w:eastAsia="zh-CN"/>
        </w:rPr>
        <w:t>，并装卸、交付至甲方</w:t>
      </w:r>
      <w:r>
        <w:rPr>
          <w:rFonts w:hint="eastAsia" w:ascii="宋体" w:hAnsi="宋体" w:eastAsia="宋体" w:cs="宋体"/>
          <w:color w:val="000000"/>
          <w:szCs w:val="21"/>
          <w:highlight w:val="none"/>
        </w:rPr>
        <w:t>的一切运输事项，相关费用应</w:t>
      </w:r>
      <w:r>
        <w:rPr>
          <w:rFonts w:hint="eastAsia" w:ascii="宋体" w:hAnsi="宋体" w:eastAsia="宋体" w:cs="宋体"/>
          <w:color w:val="000000"/>
          <w:szCs w:val="21"/>
          <w:highlight w:val="none"/>
          <w:lang w:eastAsia="zh-CN"/>
        </w:rPr>
        <w:t>包含</w:t>
      </w:r>
      <w:r>
        <w:rPr>
          <w:rFonts w:hint="eastAsia" w:ascii="宋体" w:hAnsi="宋体" w:eastAsia="宋体" w:cs="宋体"/>
          <w:color w:val="000000"/>
          <w:szCs w:val="21"/>
          <w:highlight w:val="none"/>
        </w:rPr>
        <w:t>在合同</w:t>
      </w:r>
      <w:r>
        <w:rPr>
          <w:rFonts w:hint="eastAsia" w:ascii="宋体" w:hAnsi="宋体" w:eastAsia="宋体" w:cs="宋体"/>
          <w:color w:val="000000"/>
          <w:szCs w:val="21"/>
          <w:highlight w:val="none"/>
          <w:lang w:eastAsia="zh-CN"/>
        </w:rPr>
        <w:t>价款</w:t>
      </w:r>
      <w:r>
        <w:rPr>
          <w:rFonts w:hint="eastAsia" w:ascii="宋体" w:hAnsi="宋体" w:eastAsia="宋体" w:cs="宋体"/>
          <w:color w:val="000000"/>
          <w:szCs w:val="21"/>
          <w:highlight w:val="none"/>
        </w:rPr>
        <w:t>中。</w:t>
      </w:r>
    </w:p>
    <w:p w14:paraId="58BE019B">
      <w:pPr>
        <w:shd w:val="clear" w:color="auto" w:fill="auto"/>
        <w:adjustRightInd w:val="0"/>
        <w:snapToGrid w:val="0"/>
        <w:spacing w:before="0" w:line="400" w:lineRule="exact"/>
        <w:ind w:firstLine="420" w:firstLineChars="200"/>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eastAsia="zh-CN"/>
        </w:rPr>
        <w:t>7</w:t>
      </w:r>
      <w:r>
        <w:rPr>
          <w:rFonts w:hint="eastAsia" w:ascii="宋体" w:hAnsi="宋体" w:eastAsia="宋体" w:cs="宋体"/>
          <w:color w:val="000000"/>
          <w:szCs w:val="21"/>
          <w:highlight w:val="none"/>
        </w:rPr>
        <w:t>.3 货物保险要求按</w:t>
      </w:r>
      <w:r>
        <w:rPr>
          <w:rFonts w:hint="eastAsia" w:ascii="宋体" w:hAnsi="宋体" w:eastAsia="宋体" w:cs="宋体"/>
          <w:b/>
          <w:color w:val="000000"/>
          <w:szCs w:val="21"/>
          <w:highlight w:val="none"/>
        </w:rPr>
        <w:t>【政府采购合同专用条款】</w:t>
      </w:r>
      <w:r>
        <w:rPr>
          <w:rFonts w:hint="eastAsia" w:ascii="宋体" w:hAnsi="宋体" w:eastAsia="宋体" w:cs="宋体"/>
          <w:bCs/>
          <w:color w:val="000000"/>
          <w:szCs w:val="21"/>
          <w:highlight w:val="none"/>
        </w:rPr>
        <w:t>规定执行</w:t>
      </w:r>
      <w:r>
        <w:rPr>
          <w:rFonts w:hint="eastAsia" w:ascii="宋体" w:hAnsi="宋体" w:eastAsia="宋体" w:cs="宋体"/>
          <w:color w:val="000000"/>
          <w:szCs w:val="21"/>
          <w:highlight w:val="none"/>
        </w:rPr>
        <w:t>。</w:t>
      </w:r>
    </w:p>
    <w:p w14:paraId="5632F0E4">
      <w:pPr>
        <w:shd w:val="clear" w:color="auto" w:fill="auto"/>
        <w:autoSpaceDE w:val="0"/>
        <w:autoSpaceDN w:val="0"/>
        <w:adjustRightInd w:val="0"/>
        <w:snapToGrid w:val="0"/>
        <w:spacing w:before="0" w:line="400" w:lineRule="exact"/>
        <w:ind w:firstLine="420" w:firstLineChars="200"/>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eastAsia="zh-CN"/>
        </w:rPr>
        <w:t>7</w:t>
      </w:r>
      <w:r>
        <w:rPr>
          <w:rFonts w:hint="eastAsia" w:ascii="宋体" w:hAnsi="宋体" w:eastAsia="宋体" w:cs="宋体"/>
          <w:color w:val="000000"/>
          <w:szCs w:val="21"/>
          <w:highlight w:val="none"/>
        </w:rPr>
        <w:t xml:space="preserve">.4 </w:t>
      </w:r>
      <w:r>
        <w:rPr>
          <w:rFonts w:hint="eastAsia" w:ascii="宋体" w:hAnsi="宋体" w:eastAsia="宋体" w:cs="宋体"/>
          <w:color w:val="000000"/>
          <w:szCs w:val="21"/>
          <w:highlight w:val="none"/>
          <w:lang w:val="en-US" w:eastAsia="zh-CN"/>
        </w:rPr>
        <w:t>除采购活动</w:t>
      </w:r>
      <w:r>
        <w:rPr>
          <w:rFonts w:hint="eastAsia" w:ascii="宋体" w:hAnsi="宋体" w:eastAsia="宋体" w:cs="宋体"/>
          <w:color w:val="000000"/>
          <w:szCs w:val="21"/>
          <w:highlight w:val="none"/>
        </w:rPr>
        <w:t>对商品包装</w:t>
      </w:r>
      <w:r>
        <w:rPr>
          <w:rFonts w:hint="eastAsia" w:ascii="宋体" w:hAnsi="宋体" w:eastAsia="宋体" w:cs="宋体"/>
          <w:color w:val="000000"/>
          <w:szCs w:val="21"/>
          <w:highlight w:val="none"/>
          <w:lang w:eastAsia="zh-CN"/>
        </w:rPr>
        <w:t>、</w:t>
      </w:r>
      <w:r>
        <w:rPr>
          <w:rFonts w:hint="eastAsia" w:ascii="宋体" w:hAnsi="宋体" w:eastAsia="宋体" w:cs="宋体"/>
          <w:color w:val="000000"/>
          <w:szCs w:val="21"/>
          <w:highlight w:val="none"/>
        </w:rPr>
        <w:t>快递包装</w:t>
      </w:r>
      <w:r>
        <w:rPr>
          <w:rFonts w:hint="eastAsia" w:ascii="宋体" w:hAnsi="宋体" w:eastAsia="宋体" w:cs="宋体"/>
          <w:color w:val="000000"/>
          <w:szCs w:val="21"/>
          <w:highlight w:val="none"/>
          <w:lang w:val="en-US" w:eastAsia="zh-CN"/>
        </w:rPr>
        <w:t>达成具体约定外</w:t>
      </w:r>
      <w:r>
        <w:rPr>
          <w:rFonts w:hint="eastAsia" w:ascii="宋体" w:hAnsi="宋体" w:eastAsia="宋体" w:cs="宋体"/>
          <w:color w:val="000000"/>
          <w:szCs w:val="21"/>
          <w:highlight w:val="none"/>
        </w:rPr>
        <w:t>，乙方提供产品及相关快递服务</w:t>
      </w:r>
      <w:r>
        <w:rPr>
          <w:rFonts w:hint="eastAsia" w:ascii="宋体" w:hAnsi="宋体" w:eastAsia="宋体" w:cs="宋体"/>
          <w:color w:val="000000"/>
          <w:szCs w:val="21"/>
          <w:highlight w:val="none"/>
          <w:lang w:val="en-US" w:eastAsia="zh-CN"/>
        </w:rPr>
        <w:t>涉及到</w:t>
      </w:r>
      <w:r>
        <w:rPr>
          <w:rFonts w:hint="eastAsia" w:ascii="宋体" w:hAnsi="宋体" w:eastAsia="宋体" w:cs="宋体"/>
          <w:color w:val="000000"/>
          <w:szCs w:val="21"/>
          <w:highlight w:val="none"/>
        </w:rPr>
        <w:t>具体包装要求</w:t>
      </w:r>
      <w:r>
        <w:rPr>
          <w:rFonts w:hint="eastAsia" w:ascii="宋体" w:hAnsi="宋体" w:eastAsia="宋体" w:cs="宋体"/>
          <w:color w:val="000000"/>
          <w:szCs w:val="21"/>
          <w:highlight w:val="none"/>
          <w:lang w:val="en-US" w:eastAsia="zh-CN"/>
        </w:rPr>
        <w:t>的，</w:t>
      </w:r>
      <w:r>
        <w:rPr>
          <w:rFonts w:hint="eastAsia" w:ascii="宋体" w:hAnsi="宋体" w:eastAsia="宋体" w:cs="宋体"/>
          <w:color w:val="000000"/>
          <w:szCs w:val="21"/>
          <w:highlight w:val="none"/>
        </w:rPr>
        <w:t>应</w:t>
      </w:r>
      <w:r>
        <w:rPr>
          <w:rFonts w:hint="eastAsia" w:ascii="宋体" w:hAnsi="宋体" w:eastAsia="宋体" w:cs="宋体"/>
          <w:color w:val="000000"/>
          <w:szCs w:val="21"/>
          <w:highlight w:val="none"/>
          <w:lang w:val="en-US" w:eastAsia="zh-CN"/>
        </w:rPr>
        <w:t>不低于</w:t>
      </w:r>
      <w:r>
        <w:rPr>
          <w:rFonts w:hint="eastAsia" w:ascii="宋体" w:hAnsi="宋体" w:eastAsia="宋体" w:cs="宋体"/>
          <w:color w:val="000000"/>
          <w:szCs w:val="21"/>
          <w:highlight w:val="none"/>
        </w:rPr>
        <w:t>《商品包装政府采购需求标准（试行）</w:t>
      </w:r>
      <w:r>
        <w:rPr>
          <w:rFonts w:hint="eastAsia" w:ascii="宋体" w:hAnsi="宋体" w:eastAsia="宋体" w:cs="宋体"/>
          <w:color w:val="000000"/>
          <w:szCs w:val="21"/>
          <w:highlight w:val="none"/>
          <w:lang w:eastAsia="zh-CN"/>
        </w:rPr>
        <w:t>》《</w:t>
      </w:r>
      <w:r>
        <w:rPr>
          <w:rFonts w:hint="eastAsia" w:ascii="宋体" w:hAnsi="宋体" w:eastAsia="宋体" w:cs="宋体"/>
          <w:color w:val="000000"/>
          <w:szCs w:val="21"/>
          <w:highlight w:val="none"/>
        </w:rPr>
        <w:t>快递包装政府采购需求标准（试行）》</w:t>
      </w:r>
      <w:r>
        <w:rPr>
          <w:rFonts w:hint="eastAsia" w:ascii="宋体" w:hAnsi="宋体" w:eastAsia="宋体" w:cs="宋体"/>
          <w:color w:val="000000"/>
          <w:szCs w:val="21"/>
          <w:highlight w:val="none"/>
          <w:lang w:val="en-US" w:eastAsia="zh-CN"/>
        </w:rPr>
        <w:t>标准</w:t>
      </w:r>
      <w:r>
        <w:rPr>
          <w:rFonts w:hint="eastAsia" w:ascii="宋体" w:hAnsi="宋体" w:eastAsia="宋体" w:cs="宋体"/>
          <w:color w:val="000000"/>
          <w:szCs w:val="21"/>
          <w:highlight w:val="none"/>
        </w:rPr>
        <w:t>，并作为履约验收的内容，必要时甲方可以要求乙方在履约验收环节出具检测报告。</w:t>
      </w:r>
    </w:p>
    <w:p w14:paraId="4F234973">
      <w:pPr>
        <w:shd w:val="clear" w:color="auto" w:fill="auto"/>
        <w:autoSpaceDE w:val="0"/>
        <w:autoSpaceDN w:val="0"/>
        <w:adjustRightInd w:val="0"/>
        <w:snapToGrid w:val="0"/>
        <w:spacing w:before="0" w:line="400" w:lineRule="exact"/>
        <w:ind w:firstLine="420" w:firstLineChars="200"/>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7.5 </w:t>
      </w:r>
      <w:r>
        <w:rPr>
          <w:rFonts w:hint="eastAsia" w:ascii="宋体" w:hAnsi="宋体" w:eastAsia="宋体" w:cs="宋体"/>
          <w:color w:val="000000"/>
          <w:szCs w:val="21"/>
        </w:rPr>
        <w:t>乙方在运输到达之前</w:t>
      </w:r>
      <w:r>
        <w:rPr>
          <w:rFonts w:hint="eastAsia" w:ascii="宋体" w:hAnsi="宋体" w:eastAsia="宋体" w:cs="宋体"/>
          <w:color w:val="000000"/>
          <w:szCs w:val="21"/>
          <w:lang w:eastAsia="zh-CN"/>
        </w:rPr>
        <w:t>应</w:t>
      </w:r>
      <w:r>
        <w:rPr>
          <w:rFonts w:hint="eastAsia" w:ascii="宋体" w:hAnsi="宋体" w:eastAsia="宋体" w:cs="宋体"/>
          <w:color w:val="000000"/>
          <w:szCs w:val="21"/>
        </w:rPr>
        <w:t>提前通知</w:t>
      </w:r>
      <w:r>
        <w:rPr>
          <w:rFonts w:hint="eastAsia" w:ascii="宋体" w:hAnsi="宋体" w:eastAsia="宋体" w:cs="宋体"/>
          <w:color w:val="000000"/>
          <w:szCs w:val="21"/>
          <w:lang w:eastAsia="zh-CN"/>
        </w:rPr>
        <w:t>甲方</w:t>
      </w:r>
      <w:r>
        <w:rPr>
          <w:rFonts w:hint="eastAsia" w:ascii="宋体" w:hAnsi="宋体" w:eastAsia="宋体" w:cs="宋体"/>
          <w:color w:val="000000"/>
          <w:szCs w:val="21"/>
        </w:rPr>
        <w:t>，并提示货物运输装卸的注意事项</w:t>
      </w:r>
      <w:r>
        <w:rPr>
          <w:rFonts w:hint="eastAsia" w:ascii="宋体" w:hAnsi="宋体" w:eastAsia="宋体" w:cs="宋体"/>
          <w:color w:val="000000"/>
          <w:szCs w:val="21"/>
          <w:lang w:eastAsia="zh-CN"/>
        </w:rPr>
        <w:t>，甲方配合乙方做好货物的接收工作。</w:t>
      </w:r>
    </w:p>
    <w:p w14:paraId="3DAF16C5">
      <w:pPr>
        <w:pStyle w:val="43"/>
        <w:shd w:val="clear" w:color="auto" w:fill="auto"/>
        <w:rPr>
          <w:rFonts w:hint="eastAsia" w:ascii="宋体" w:hAnsi="宋体" w:eastAsia="宋体" w:cs="宋体"/>
          <w:sz w:val="21"/>
          <w:lang w:val="en-US" w:eastAsia="zh-CN"/>
        </w:rPr>
      </w:pPr>
      <w:r>
        <w:rPr>
          <w:rFonts w:hint="eastAsia" w:ascii="宋体" w:hAnsi="宋体" w:eastAsia="宋体" w:cs="宋体"/>
          <w:color w:val="000000"/>
          <w:kern w:val="2"/>
          <w:sz w:val="21"/>
          <w:szCs w:val="21"/>
          <w:highlight w:val="none"/>
          <w:lang w:val="en-US" w:eastAsia="zh-CN"/>
        </w:rPr>
        <w:t xml:space="preserve">7.6 </w:t>
      </w:r>
      <w:r>
        <w:rPr>
          <w:rFonts w:hint="eastAsia" w:ascii="宋体" w:hAnsi="宋体" w:eastAsia="宋体" w:cs="宋体"/>
          <w:color w:val="000000"/>
          <w:kern w:val="2"/>
          <w:sz w:val="21"/>
          <w:szCs w:val="21"/>
          <w:highlight w:val="none"/>
        </w:rPr>
        <w:t>如因包装</w:t>
      </w:r>
      <w:r>
        <w:rPr>
          <w:rFonts w:hint="eastAsia" w:ascii="宋体" w:hAnsi="宋体" w:eastAsia="宋体" w:cs="宋体"/>
          <w:color w:val="000000"/>
          <w:kern w:val="2"/>
          <w:sz w:val="21"/>
          <w:szCs w:val="21"/>
          <w:highlight w:val="none"/>
          <w:lang w:eastAsia="zh-CN"/>
        </w:rPr>
        <w:t>、运输</w:t>
      </w:r>
      <w:r>
        <w:rPr>
          <w:rFonts w:hint="eastAsia" w:ascii="宋体" w:hAnsi="宋体" w:eastAsia="宋体" w:cs="宋体"/>
          <w:color w:val="000000"/>
          <w:kern w:val="2"/>
          <w:sz w:val="21"/>
          <w:szCs w:val="21"/>
          <w:highlight w:val="none"/>
        </w:rPr>
        <w:t>问题导致货物</w:t>
      </w:r>
      <w:r>
        <w:rPr>
          <w:rFonts w:hint="eastAsia" w:ascii="宋体" w:hAnsi="宋体" w:eastAsia="宋体" w:cs="宋体"/>
          <w:color w:val="000000"/>
          <w:kern w:val="2"/>
          <w:sz w:val="21"/>
          <w:szCs w:val="21"/>
          <w:highlight w:val="none"/>
          <w:lang w:eastAsia="zh-CN"/>
        </w:rPr>
        <w:t>损毁、丢失</w:t>
      </w:r>
      <w:r>
        <w:rPr>
          <w:rFonts w:hint="eastAsia" w:ascii="宋体" w:hAnsi="宋体" w:eastAsia="宋体" w:cs="宋体"/>
          <w:color w:val="000000"/>
          <w:kern w:val="2"/>
          <w:sz w:val="21"/>
          <w:szCs w:val="21"/>
          <w:highlight w:val="none"/>
        </w:rPr>
        <w:t>或者品质下降，</w:t>
      </w:r>
      <w:r>
        <w:rPr>
          <w:rFonts w:hint="eastAsia" w:ascii="宋体" w:hAnsi="宋体" w:eastAsia="宋体" w:cs="宋体"/>
          <w:color w:val="000000"/>
          <w:kern w:val="2"/>
          <w:sz w:val="21"/>
          <w:szCs w:val="21"/>
          <w:highlight w:val="none"/>
          <w:lang w:eastAsia="zh-CN"/>
        </w:rPr>
        <w:t>甲方</w:t>
      </w:r>
      <w:r>
        <w:rPr>
          <w:rFonts w:hint="eastAsia" w:ascii="宋体" w:hAnsi="宋体" w:eastAsia="宋体" w:cs="宋体"/>
          <w:color w:val="000000"/>
          <w:kern w:val="2"/>
          <w:sz w:val="21"/>
          <w:szCs w:val="21"/>
          <w:highlight w:val="none"/>
        </w:rPr>
        <w:t>有权要求降价、换货、拒收部分或整批货物，由此</w:t>
      </w:r>
      <w:r>
        <w:rPr>
          <w:rFonts w:hint="eastAsia" w:ascii="宋体" w:hAnsi="宋体" w:eastAsia="宋体" w:cs="宋体"/>
          <w:color w:val="000000"/>
          <w:kern w:val="2"/>
          <w:sz w:val="21"/>
          <w:szCs w:val="21"/>
          <w:highlight w:val="none"/>
          <w:lang w:eastAsia="zh-CN"/>
        </w:rPr>
        <w:t>产生</w:t>
      </w:r>
      <w:r>
        <w:rPr>
          <w:rFonts w:hint="eastAsia" w:ascii="宋体" w:hAnsi="宋体" w:eastAsia="宋体" w:cs="宋体"/>
          <w:color w:val="000000"/>
          <w:kern w:val="2"/>
          <w:sz w:val="21"/>
          <w:szCs w:val="21"/>
          <w:highlight w:val="none"/>
        </w:rPr>
        <w:t>的费用和损失，均由</w:t>
      </w:r>
      <w:r>
        <w:rPr>
          <w:rFonts w:hint="eastAsia" w:ascii="宋体" w:hAnsi="宋体" w:eastAsia="宋体" w:cs="宋体"/>
          <w:color w:val="000000"/>
          <w:kern w:val="2"/>
          <w:sz w:val="21"/>
          <w:szCs w:val="21"/>
          <w:highlight w:val="none"/>
          <w:lang w:eastAsia="zh-CN"/>
        </w:rPr>
        <w:t>乙方</w:t>
      </w:r>
      <w:r>
        <w:rPr>
          <w:rFonts w:hint="eastAsia" w:ascii="宋体" w:hAnsi="宋体" w:eastAsia="宋体" w:cs="宋体"/>
          <w:color w:val="000000"/>
          <w:kern w:val="2"/>
          <w:sz w:val="21"/>
          <w:szCs w:val="21"/>
          <w:highlight w:val="none"/>
        </w:rPr>
        <w:t>承担。</w:t>
      </w:r>
    </w:p>
    <w:p w14:paraId="753DBCC5">
      <w:pPr>
        <w:shd w:val="clear" w:color="auto" w:fill="auto"/>
        <w:adjustRightInd w:val="0"/>
        <w:snapToGrid w:val="0"/>
        <w:spacing w:before="0" w:line="400" w:lineRule="exact"/>
        <w:jc w:val="left"/>
        <w:rPr>
          <w:rFonts w:hint="eastAsia" w:ascii="宋体" w:hAnsi="宋体" w:eastAsia="宋体" w:cs="宋体"/>
          <w:b/>
          <w:color w:val="auto"/>
          <w:sz w:val="24"/>
          <w:highlight w:val="none"/>
        </w:rPr>
      </w:pPr>
      <w:r>
        <w:rPr>
          <w:rFonts w:hint="eastAsia" w:ascii="宋体" w:hAnsi="宋体" w:eastAsia="宋体" w:cs="宋体"/>
          <w:b/>
          <w:color w:val="000000"/>
          <w:sz w:val="24"/>
          <w:highlight w:val="none"/>
          <w:lang w:eastAsia="zh-CN"/>
        </w:rPr>
        <w:t>8</w:t>
      </w:r>
      <w:r>
        <w:rPr>
          <w:rFonts w:hint="eastAsia" w:ascii="宋体" w:hAnsi="宋体" w:eastAsia="宋体" w:cs="宋体"/>
          <w:b/>
          <w:color w:val="000000"/>
          <w:sz w:val="24"/>
          <w:highlight w:val="none"/>
          <w:lang w:val="en-US" w:eastAsia="zh-CN"/>
        </w:rPr>
        <w:t xml:space="preserve">. </w:t>
      </w:r>
      <w:r>
        <w:rPr>
          <w:rFonts w:hint="eastAsia" w:ascii="宋体" w:hAnsi="宋体" w:eastAsia="宋体" w:cs="宋体"/>
          <w:b/>
          <w:color w:val="auto"/>
          <w:sz w:val="24"/>
          <w:highlight w:val="none"/>
        </w:rPr>
        <w:t>质量标准和保证</w:t>
      </w:r>
    </w:p>
    <w:p w14:paraId="6F7DBFE8">
      <w:pPr>
        <w:pStyle w:val="15"/>
        <w:shd w:val="clear" w:color="auto" w:fill="auto"/>
        <w:adjustRightInd w:val="0"/>
        <w:snapToGrid w:val="0"/>
        <w:spacing w:before="0" w:line="400" w:lineRule="exact"/>
        <w:ind w:firstLine="420" w:firstLineChars="200"/>
        <w:jc w:val="left"/>
        <w:rPr>
          <w:rFonts w:hint="eastAsia" w:ascii="宋体" w:hAnsi="宋体" w:eastAsia="宋体" w:cs="宋体"/>
          <w:b/>
          <w:color w:val="auto"/>
          <w:highlight w:val="none"/>
        </w:rPr>
      </w:pPr>
      <w:r>
        <w:rPr>
          <w:rFonts w:hint="eastAsia" w:ascii="宋体" w:hAnsi="宋体" w:eastAsia="宋体" w:cs="宋体"/>
          <w:color w:val="auto"/>
          <w:highlight w:val="none"/>
          <w:lang w:eastAsia="zh-CN"/>
        </w:rPr>
        <w:t>8</w:t>
      </w:r>
      <w:r>
        <w:rPr>
          <w:rFonts w:hint="eastAsia" w:ascii="宋体" w:hAnsi="宋体" w:eastAsia="宋体" w:cs="宋体"/>
          <w:color w:val="auto"/>
          <w:highlight w:val="none"/>
        </w:rPr>
        <w:t>.1 质量标准</w:t>
      </w:r>
    </w:p>
    <w:p w14:paraId="4BDEC231">
      <w:pPr>
        <w:shd w:val="clear" w:color="auto" w:fill="auto"/>
        <w:autoSpaceDE w:val="0"/>
        <w:autoSpaceDN w:val="0"/>
        <w:adjustRightInd w:val="0"/>
        <w:snapToGrid w:val="0"/>
        <w:spacing w:before="0" w:line="400" w:lineRule="exact"/>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（1）本合同下</w:t>
      </w:r>
      <w:r>
        <w:rPr>
          <w:rFonts w:hint="eastAsia" w:ascii="宋体" w:hAnsi="宋体" w:eastAsia="宋体" w:cs="宋体"/>
          <w:color w:val="auto"/>
          <w:szCs w:val="21"/>
          <w:highlight w:val="none"/>
          <w:lang w:eastAsia="zh-CN"/>
        </w:rPr>
        <w:t>提供</w:t>
      </w:r>
      <w:r>
        <w:rPr>
          <w:rFonts w:hint="eastAsia" w:ascii="宋体" w:hAnsi="宋体" w:eastAsia="宋体" w:cs="宋体"/>
          <w:color w:val="auto"/>
          <w:szCs w:val="21"/>
          <w:highlight w:val="none"/>
        </w:rPr>
        <w:t>的货物应符合</w:t>
      </w:r>
      <w:r>
        <w:rPr>
          <w:rFonts w:hint="eastAsia" w:ascii="宋体" w:hAnsi="宋体" w:eastAsia="宋体" w:cs="宋体"/>
          <w:color w:val="auto"/>
          <w:szCs w:val="21"/>
          <w:highlight w:val="none"/>
          <w:lang w:eastAsia="zh-CN"/>
        </w:rPr>
        <w:t>合同</w:t>
      </w:r>
      <w:r>
        <w:rPr>
          <w:rFonts w:hint="eastAsia" w:ascii="宋体" w:hAnsi="宋体" w:eastAsia="宋体" w:cs="宋体"/>
          <w:color w:val="000000"/>
          <w:szCs w:val="21"/>
          <w:lang w:eastAsia="zh-CN"/>
        </w:rPr>
        <w:t>约</w:t>
      </w:r>
      <w:r>
        <w:rPr>
          <w:rFonts w:hint="eastAsia" w:ascii="宋体" w:hAnsi="宋体" w:eastAsia="宋体" w:cs="宋体"/>
          <w:color w:val="000000"/>
          <w:szCs w:val="21"/>
        </w:rPr>
        <w:t>定的</w:t>
      </w:r>
      <w:r>
        <w:rPr>
          <w:rFonts w:hint="eastAsia" w:ascii="宋体" w:hAnsi="宋体" w:eastAsia="宋体" w:cs="宋体"/>
          <w:szCs w:val="21"/>
        </w:rPr>
        <w:t>品牌、规格型号、技术性能、配置、质量、数量等要求。</w:t>
      </w:r>
      <w:r>
        <w:rPr>
          <w:rFonts w:hint="eastAsia" w:ascii="宋体" w:hAnsi="宋体" w:eastAsia="宋体" w:cs="宋体"/>
          <w:color w:val="auto"/>
          <w:szCs w:val="21"/>
          <w:highlight w:val="none"/>
        </w:rPr>
        <w:t>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rFonts w:hint="eastAsia" w:ascii="宋体" w:hAnsi="宋体" w:eastAsia="宋体" w:cs="宋体"/>
          <w:color w:val="auto"/>
          <w:szCs w:val="21"/>
          <w:highlight w:val="none"/>
          <w:lang w:eastAsia="zh-CN"/>
        </w:rPr>
        <w:t>。</w:t>
      </w:r>
    </w:p>
    <w:p w14:paraId="56CD90A5">
      <w:pPr>
        <w:pStyle w:val="15"/>
        <w:shd w:val="clear" w:color="auto" w:fill="auto"/>
        <w:adjustRightInd w:val="0"/>
        <w:snapToGrid w:val="0"/>
        <w:spacing w:before="0" w:line="400" w:lineRule="exact"/>
        <w:ind w:firstLine="420" w:firstLineChars="200"/>
        <w:jc w:val="left"/>
        <w:rPr>
          <w:rFonts w:hint="eastAsia" w:ascii="宋体" w:hAnsi="宋体" w:eastAsia="宋体" w:cs="宋体"/>
          <w:color w:val="auto"/>
          <w:highlight w:val="none"/>
        </w:rPr>
      </w:pPr>
      <w:r>
        <w:rPr>
          <w:rFonts w:hint="eastAsia" w:ascii="宋体" w:hAnsi="宋体" w:eastAsia="宋体" w:cs="宋体"/>
          <w:color w:val="auto"/>
          <w:highlight w:val="none"/>
        </w:rPr>
        <w:t>（2）采用中华人民共和国法定计量单位。</w:t>
      </w:r>
    </w:p>
    <w:p w14:paraId="79B2DAA7">
      <w:pPr>
        <w:shd w:val="clear" w:color="auto" w:fill="auto"/>
        <w:autoSpaceDE w:val="0"/>
        <w:autoSpaceDN w:val="0"/>
        <w:adjustRightInd w:val="0"/>
        <w:snapToGrid w:val="0"/>
        <w:spacing w:before="0" w:line="400" w:lineRule="exact"/>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（3）乙方所</w:t>
      </w:r>
      <w:r>
        <w:rPr>
          <w:rFonts w:hint="eastAsia" w:ascii="宋体" w:hAnsi="宋体" w:eastAsia="宋体" w:cs="宋体"/>
          <w:color w:val="auto"/>
          <w:szCs w:val="21"/>
          <w:highlight w:val="none"/>
          <w:lang w:eastAsia="zh-CN"/>
        </w:rPr>
        <w:t>提供</w:t>
      </w:r>
      <w:r>
        <w:rPr>
          <w:rFonts w:hint="eastAsia" w:ascii="宋体" w:hAnsi="宋体" w:eastAsia="宋体" w:cs="宋体"/>
          <w:color w:val="auto"/>
          <w:szCs w:val="21"/>
          <w:highlight w:val="none"/>
        </w:rPr>
        <w:t>的货物应符合国家有关安全、环保、卫生</w:t>
      </w:r>
      <w:r>
        <w:rPr>
          <w:rFonts w:hint="eastAsia" w:ascii="宋体" w:hAnsi="宋体" w:eastAsia="宋体" w:cs="宋体"/>
          <w:color w:val="auto"/>
          <w:szCs w:val="21"/>
          <w:highlight w:val="none"/>
          <w:lang w:eastAsia="zh-CN"/>
        </w:rPr>
        <w:t>的</w:t>
      </w:r>
      <w:r>
        <w:rPr>
          <w:rFonts w:hint="eastAsia" w:ascii="宋体" w:hAnsi="宋体" w:eastAsia="宋体" w:cs="宋体"/>
          <w:color w:val="auto"/>
          <w:szCs w:val="21"/>
          <w:highlight w:val="none"/>
        </w:rPr>
        <w:t>规定。</w:t>
      </w:r>
    </w:p>
    <w:p w14:paraId="37B5253C">
      <w:pPr>
        <w:shd w:val="clear" w:color="auto" w:fill="auto"/>
        <w:autoSpaceDE w:val="0"/>
        <w:autoSpaceDN w:val="0"/>
        <w:adjustRightInd w:val="0"/>
        <w:snapToGrid w:val="0"/>
        <w:spacing w:before="0" w:line="400" w:lineRule="exact"/>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（4）乙方应向甲方提交所</w:t>
      </w:r>
      <w:r>
        <w:rPr>
          <w:rFonts w:hint="eastAsia" w:ascii="宋体" w:hAnsi="宋体" w:eastAsia="宋体" w:cs="宋体"/>
          <w:color w:val="auto"/>
          <w:szCs w:val="21"/>
          <w:highlight w:val="none"/>
          <w:lang w:eastAsia="zh-CN"/>
        </w:rPr>
        <w:t>提供</w:t>
      </w:r>
      <w:r>
        <w:rPr>
          <w:rFonts w:hint="eastAsia" w:ascii="宋体" w:hAnsi="宋体" w:eastAsia="宋体" w:cs="宋体"/>
          <w:color w:val="auto"/>
          <w:szCs w:val="21"/>
          <w:highlight w:val="none"/>
        </w:rPr>
        <w:t>货物的技术文件，包括相应的中文技术文件，如：产品目录、图纸、操作手册、使用说明、维护手册或服务指南</w:t>
      </w:r>
      <w:r>
        <w:rPr>
          <w:rFonts w:hint="eastAsia" w:ascii="宋体" w:hAnsi="宋体" w:eastAsia="宋体" w:cs="宋体"/>
          <w:color w:val="auto"/>
          <w:szCs w:val="21"/>
          <w:highlight w:val="none"/>
          <w:lang w:eastAsia="zh-CN"/>
        </w:rPr>
        <w:t>等</w:t>
      </w:r>
      <w:r>
        <w:rPr>
          <w:rFonts w:hint="eastAsia" w:ascii="宋体" w:hAnsi="宋体" w:eastAsia="宋体" w:cs="宋体"/>
          <w:color w:val="auto"/>
          <w:szCs w:val="21"/>
          <w:highlight w:val="none"/>
        </w:rPr>
        <w:t>。</w:t>
      </w:r>
      <w:r>
        <w:rPr>
          <w:rFonts w:hint="eastAsia" w:ascii="宋体" w:hAnsi="宋体" w:eastAsia="宋体" w:cs="宋体"/>
          <w:color w:val="auto"/>
          <w:szCs w:val="21"/>
          <w:highlight w:val="none"/>
          <w:lang w:eastAsia="zh-CN"/>
        </w:rPr>
        <w:t>上述</w:t>
      </w:r>
      <w:r>
        <w:rPr>
          <w:rFonts w:hint="eastAsia" w:ascii="宋体" w:hAnsi="宋体" w:eastAsia="宋体" w:cs="宋体"/>
          <w:color w:val="auto"/>
          <w:szCs w:val="21"/>
          <w:highlight w:val="none"/>
        </w:rPr>
        <w:t>文件应包装好随货物一同发运。</w:t>
      </w:r>
    </w:p>
    <w:p w14:paraId="5EE68524">
      <w:pPr>
        <w:shd w:val="clear" w:color="auto" w:fill="auto"/>
        <w:autoSpaceDE w:val="0"/>
        <w:autoSpaceDN w:val="0"/>
        <w:adjustRightInd w:val="0"/>
        <w:snapToGrid w:val="0"/>
        <w:spacing w:before="0" w:line="400" w:lineRule="exact"/>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8</w:t>
      </w:r>
      <w:r>
        <w:rPr>
          <w:rFonts w:hint="eastAsia" w:ascii="宋体" w:hAnsi="宋体" w:eastAsia="宋体" w:cs="宋体"/>
          <w:color w:val="auto"/>
          <w:szCs w:val="21"/>
          <w:highlight w:val="none"/>
        </w:rPr>
        <w:t>.2 保证</w:t>
      </w:r>
    </w:p>
    <w:p w14:paraId="13348D39">
      <w:pPr>
        <w:shd w:val="clear" w:color="auto" w:fill="auto"/>
        <w:autoSpaceDE w:val="0"/>
        <w:autoSpaceDN w:val="0"/>
        <w:adjustRightInd w:val="0"/>
        <w:snapToGrid w:val="0"/>
        <w:spacing w:before="0" w:line="400" w:lineRule="exact"/>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（1）乙方应保证</w:t>
      </w:r>
      <w:r>
        <w:rPr>
          <w:rFonts w:hint="eastAsia" w:ascii="宋体" w:hAnsi="宋体" w:eastAsia="宋体" w:cs="宋体"/>
          <w:color w:val="auto"/>
          <w:szCs w:val="21"/>
          <w:highlight w:val="none"/>
          <w:lang w:eastAsia="zh-CN"/>
        </w:rPr>
        <w:t>提供的货物</w:t>
      </w:r>
      <w:r>
        <w:rPr>
          <w:rFonts w:hint="eastAsia" w:ascii="宋体" w:hAnsi="宋体" w:eastAsia="宋体" w:cs="宋体"/>
          <w:color w:val="auto"/>
          <w:szCs w:val="21"/>
          <w:highlight w:val="none"/>
        </w:rPr>
        <w:t>完全符合合同规定的质量、规格和性能要求。乙方应保证货物在正确安装、正常使用和保养条件下，</w:t>
      </w:r>
      <w:r>
        <w:rPr>
          <w:rFonts w:hint="eastAsia" w:ascii="宋体" w:hAnsi="宋体" w:eastAsia="宋体" w:cs="宋体"/>
          <w:szCs w:val="21"/>
        </w:rPr>
        <w:t>在其使用寿命期内具</w:t>
      </w:r>
      <w:r>
        <w:rPr>
          <w:rFonts w:hint="eastAsia" w:ascii="宋体" w:hAnsi="宋体" w:eastAsia="宋体" w:cs="宋体"/>
          <w:szCs w:val="21"/>
          <w:lang w:eastAsia="zh-CN"/>
        </w:rPr>
        <w:t>备合同约定</w:t>
      </w:r>
      <w:r>
        <w:rPr>
          <w:rFonts w:hint="eastAsia" w:ascii="宋体" w:hAnsi="宋体" w:eastAsia="宋体" w:cs="宋体"/>
          <w:szCs w:val="21"/>
        </w:rPr>
        <w:t>的性能</w:t>
      </w:r>
      <w:r>
        <w:rPr>
          <w:rFonts w:hint="eastAsia" w:ascii="宋体" w:hAnsi="宋体" w:eastAsia="宋体" w:cs="宋体"/>
          <w:color w:val="auto"/>
          <w:szCs w:val="21"/>
          <w:highlight w:val="none"/>
        </w:rPr>
        <w:t>。</w:t>
      </w:r>
      <w:r>
        <w:rPr>
          <w:rFonts w:hint="eastAsia" w:ascii="宋体" w:hAnsi="宋体" w:eastAsia="宋体" w:cs="宋体"/>
          <w:color w:val="auto"/>
          <w:szCs w:val="21"/>
          <w:highlight w:val="none"/>
          <w:lang w:eastAsia="zh-CN"/>
        </w:rPr>
        <w:t>存在</w:t>
      </w:r>
      <w:r>
        <w:rPr>
          <w:rFonts w:hint="eastAsia" w:ascii="宋体" w:hAnsi="宋体" w:eastAsia="宋体" w:cs="宋体"/>
          <w:color w:val="auto"/>
          <w:szCs w:val="21"/>
          <w:highlight w:val="none"/>
        </w:rPr>
        <w:t>质量保证期的，货物最终交付验收</w:t>
      </w:r>
      <w:r>
        <w:rPr>
          <w:rFonts w:hint="eastAsia" w:ascii="宋体" w:hAnsi="宋体" w:eastAsia="宋体" w:cs="宋体"/>
          <w:color w:val="auto"/>
          <w:szCs w:val="21"/>
          <w:highlight w:val="none"/>
          <w:lang w:eastAsia="zh-CN"/>
        </w:rPr>
        <w:t>合格</w:t>
      </w:r>
      <w:r>
        <w:rPr>
          <w:rFonts w:hint="eastAsia" w:ascii="宋体" w:hAnsi="宋体" w:eastAsia="宋体" w:cs="宋体"/>
          <w:color w:val="auto"/>
          <w:szCs w:val="21"/>
          <w:highlight w:val="none"/>
        </w:rPr>
        <w:t>后</w:t>
      </w:r>
      <w:r>
        <w:rPr>
          <w:rFonts w:hint="eastAsia" w:ascii="宋体" w:hAnsi="宋体" w:eastAsia="宋体" w:cs="宋体"/>
          <w:color w:val="auto"/>
          <w:szCs w:val="21"/>
          <w:highlight w:val="none"/>
          <w:lang w:eastAsia="zh-CN"/>
        </w:rPr>
        <w:t>在</w:t>
      </w:r>
      <w:r>
        <w:rPr>
          <w:rFonts w:hint="eastAsia" w:ascii="宋体" w:hAnsi="宋体" w:eastAsia="宋体" w:cs="宋体"/>
          <w:b/>
          <w:color w:val="auto"/>
          <w:szCs w:val="21"/>
          <w:highlight w:val="none"/>
        </w:rPr>
        <w:t>【政府采购合同专用条款】</w:t>
      </w:r>
      <w:r>
        <w:rPr>
          <w:rFonts w:hint="eastAsia" w:ascii="宋体" w:hAnsi="宋体" w:eastAsia="宋体" w:cs="宋体"/>
          <w:color w:val="auto"/>
          <w:szCs w:val="21"/>
          <w:highlight w:val="none"/>
        </w:rPr>
        <w:t>规定或乙方</w:t>
      </w:r>
      <w:r>
        <w:rPr>
          <w:rFonts w:hint="eastAsia" w:ascii="宋体" w:hAnsi="宋体" w:eastAsia="宋体" w:cs="宋体"/>
          <w:color w:val="auto"/>
          <w:szCs w:val="21"/>
          <w:highlight w:val="none"/>
          <w:lang w:eastAsia="zh-CN"/>
        </w:rPr>
        <w:t>书面</w:t>
      </w:r>
      <w:r>
        <w:rPr>
          <w:rFonts w:hint="eastAsia" w:ascii="宋体" w:hAnsi="宋体" w:eastAsia="宋体" w:cs="宋体"/>
          <w:color w:val="auto"/>
          <w:szCs w:val="21"/>
          <w:highlight w:val="none"/>
        </w:rPr>
        <w:t>承诺（两者以较长的为准）的质量保证期内，本保证保持有效。</w:t>
      </w:r>
    </w:p>
    <w:p w14:paraId="3205D1E7">
      <w:pPr>
        <w:shd w:val="clear" w:color="auto" w:fill="auto"/>
        <w:autoSpaceDE w:val="0"/>
        <w:autoSpaceDN w:val="0"/>
        <w:adjustRightInd w:val="0"/>
        <w:snapToGrid w:val="0"/>
        <w:spacing w:before="0" w:line="400" w:lineRule="exact"/>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（2）在质量保证期内所发现的缺陷，甲方应尽快以书面形式通知乙方。</w:t>
      </w:r>
    </w:p>
    <w:p w14:paraId="6BE0D9DE">
      <w:pPr>
        <w:shd w:val="clear" w:color="auto" w:fill="auto"/>
        <w:autoSpaceDE w:val="0"/>
        <w:autoSpaceDN w:val="0"/>
        <w:adjustRightInd w:val="0"/>
        <w:snapToGrid w:val="0"/>
        <w:spacing w:before="0" w:line="400" w:lineRule="exact"/>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（3）乙方收到通知后</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应在</w:t>
      </w:r>
      <w:r>
        <w:rPr>
          <w:rFonts w:hint="eastAsia" w:ascii="宋体" w:hAnsi="宋体" w:eastAsia="宋体" w:cs="宋体"/>
          <w:b/>
          <w:color w:val="auto"/>
          <w:szCs w:val="21"/>
          <w:highlight w:val="none"/>
        </w:rPr>
        <w:t>【政府采购合同专用条款】</w:t>
      </w:r>
      <w:r>
        <w:rPr>
          <w:rFonts w:hint="eastAsia" w:ascii="宋体" w:hAnsi="宋体" w:eastAsia="宋体" w:cs="宋体"/>
          <w:color w:val="auto"/>
          <w:szCs w:val="21"/>
          <w:highlight w:val="none"/>
        </w:rPr>
        <w:t>规定的响应时间内以合理的速度免费维修或更换有缺陷的货物或部件。</w:t>
      </w:r>
    </w:p>
    <w:p w14:paraId="54E0A308">
      <w:pPr>
        <w:shd w:val="clear" w:color="auto" w:fill="auto"/>
        <w:autoSpaceDE w:val="0"/>
        <w:autoSpaceDN w:val="0"/>
        <w:adjustRightInd w:val="0"/>
        <w:snapToGrid w:val="0"/>
        <w:spacing w:before="0" w:line="400" w:lineRule="exact"/>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（4）在质量保证期内，如果货物的质量或规格与合同不符，或证实货物是有缺陷的，包括潜在的缺陷或使用不符合要求的材料等，甲方可以根据本合同第1</w:t>
      </w:r>
      <w:r>
        <w:rPr>
          <w:rFonts w:hint="eastAsia" w:ascii="宋体" w:hAnsi="宋体" w:eastAsia="宋体" w:cs="宋体"/>
          <w:color w:val="000000"/>
          <w:szCs w:val="21"/>
          <w:highlight w:val="none"/>
          <w:lang w:val="en-US" w:eastAsia="zh-CN"/>
        </w:rPr>
        <w:t>5</w:t>
      </w:r>
      <w:r>
        <w:rPr>
          <w:rFonts w:hint="eastAsia" w:ascii="宋体" w:hAnsi="宋体" w:eastAsia="宋体" w:cs="宋体"/>
          <w:color w:val="auto"/>
          <w:szCs w:val="21"/>
          <w:highlight w:val="none"/>
        </w:rPr>
        <w:t>.1条规定以书面形式</w:t>
      </w:r>
      <w:r>
        <w:rPr>
          <w:rFonts w:hint="eastAsia" w:ascii="宋体" w:hAnsi="宋体" w:eastAsia="宋体" w:cs="宋体"/>
          <w:color w:val="000000"/>
          <w:szCs w:val="21"/>
          <w:highlight w:val="none"/>
          <w:lang w:eastAsia="zh-CN"/>
        </w:rPr>
        <w:t>追究</w:t>
      </w:r>
      <w:r>
        <w:rPr>
          <w:rFonts w:hint="eastAsia" w:ascii="宋体" w:hAnsi="宋体" w:eastAsia="宋体" w:cs="宋体"/>
          <w:color w:val="auto"/>
          <w:szCs w:val="21"/>
          <w:highlight w:val="none"/>
        </w:rPr>
        <w:t>乙方</w:t>
      </w:r>
      <w:r>
        <w:rPr>
          <w:rFonts w:hint="eastAsia" w:ascii="宋体" w:hAnsi="宋体" w:eastAsia="宋体" w:cs="宋体"/>
          <w:color w:val="000000"/>
          <w:szCs w:val="21"/>
          <w:highlight w:val="none"/>
          <w:lang w:eastAsia="zh-CN"/>
        </w:rPr>
        <w:t>的违约责任</w:t>
      </w:r>
      <w:r>
        <w:rPr>
          <w:rFonts w:hint="eastAsia" w:ascii="宋体" w:hAnsi="宋体" w:eastAsia="宋体" w:cs="宋体"/>
          <w:color w:val="auto"/>
          <w:szCs w:val="21"/>
          <w:highlight w:val="none"/>
        </w:rPr>
        <w:t>。</w:t>
      </w:r>
    </w:p>
    <w:p w14:paraId="588563A1">
      <w:pPr>
        <w:shd w:val="clear" w:color="auto" w:fill="auto"/>
        <w:adjustRightInd w:val="0"/>
        <w:snapToGrid w:val="0"/>
        <w:spacing w:before="0" w:line="400" w:lineRule="exact"/>
        <w:ind w:firstLine="420" w:firstLineChars="200"/>
        <w:jc w:val="left"/>
        <w:rPr>
          <w:rFonts w:hint="eastAsia" w:ascii="宋体" w:hAnsi="宋体" w:eastAsia="宋体" w:cs="宋体"/>
          <w:color w:val="auto"/>
          <w:highlight w:val="none"/>
        </w:rPr>
      </w:pPr>
      <w:r>
        <w:rPr>
          <w:rFonts w:hint="eastAsia" w:ascii="宋体" w:hAnsi="宋体" w:eastAsia="宋体" w:cs="宋体"/>
          <w:color w:val="auto"/>
          <w:szCs w:val="21"/>
          <w:highlight w:val="none"/>
        </w:rPr>
        <w:t>（5）乙方在约定的时间内未能弥补缺陷，甲方可采取必要的补救措施，但其风险和费用将由乙方承担，甲方根据合同</w:t>
      </w:r>
      <w:r>
        <w:rPr>
          <w:rFonts w:hint="eastAsia" w:ascii="宋体" w:hAnsi="宋体" w:eastAsia="宋体" w:cs="宋体"/>
          <w:color w:val="auto"/>
          <w:szCs w:val="21"/>
          <w:highlight w:val="none"/>
          <w:lang w:eastAsia="zh-CN"/>
        </w:rPr>
        <w:t>约定</w:t>
      </w:r>
      <w:r>
        <w:rPr>
          <w:rFonts w:hint="eastAsia" w:ascii="宋体" w:hAnsi="宋体" w:eastAsia="宋体" w:cs="宋体"/>
          <w:color w:val="auto"/>
          <w:szCs w:val="21"/>
          <w:highlight w:val="none"/>
        </w:rPr>
        <w:t>对乙方行使的其他权利不受影响。</w:t>
      </w:r>
    </w:p>
    <w:p w14:paraId="28A6C1AF">
      <w:pPr>
        <w:shd w:val="clear" w:color="auto" w:fill="auto"/>
        <w:adjustRightInd w:val="0"/>
        <w:snapToGrid w:val="0"/>
        <w:spacing w:before="0" w:line="400" w:lineRule="exact"/>
        <w:jc w:val="left"/>
        <w:rPr>
          <w:rFonts w:hint="eastAsia" w:ascii="宋体" w:hAnsi="宋体" w:eastAsia="宋体" w:cs="宋体"/>
          <w:b/>
          <w:bCs/>
          <w:color w:val="auto"/>
          <w:sz w:val="24"/>
          <w:highlight w:val="none"/>
        </w:rPr>
      </w:pPr>
      <w:r>
        <w:rPr>
          <w:rFonts w:hint="eastAsia" w:ascii="宋体" w:hAnsi="宋体" w:eastAsia="宋体" w:cs="宋体"/>
          <w:b/>
          <w:bCs/>
          <w:color w:val="000000"/>
          <w:sz w:val="24"/>
          <w:highlight w:val="none"/>
          <w:lang w:eastAsia="zh-CN"/>
        </w:rPr>
        <w:t>9</w:t>
      </w:r>
      <w:r>
        <w:rPr>
          <w:rFonts w:hint="eastAsia" w:ascii="宋体" w:hAnsi="宋体" w:eastAsia="宋体" w:cs="宋体"/>
          <w:b/>
          <w:bCs/>
          <w:color w:val="auto"/>
          <w:sz w:val="24"/>
          <w:highlight w:val="none"/>
        </w:rPr>
        <w:t>.</w:t>
      </w:r>
      <w:r>
        <w:rPr>
          <w:rFonts w:hint="eastAsia" w:ascii="宋体" w:hAnsi="宋体" w:eastAsia="宋体" w:cs="宋体"/>
          <w:b/>
          <w:bCs/>
          <w:color w:val="000000"/>
          <w:sz w:val="24"/>
          <w:highlight w:val="none"/>
          <w:lang w:val="en-US" w:eastAsia="zh-CN"/>
        </w:rPr>
        <w:t xml:space="preserve"> </w:t>
      </w:r>
      <w:r>
        <w:rPr>
          <w:rFonts w:hint="eastAsia" w:ascii="宋体" w:hAnsi="宋体" w:eastAsia="宋体" w:cs="宋体"/>
          <w:b/>
          <w:bCs/>
          <w:color w:val="auto"/>
          <w:sz w:val="24"/>
          <w:highlight w:val="none"/>
        </w:rPr>
        <w:t>权利瑕疵担保</w:t>
      </w:r>
    </w:p>
    <w:p w14:paraId="746A31A3">
      <w:pPr>
        <w:shd w:val="clear" w:color="auto" w:fill="auto"/>
        <w:autoSpaceDE w:val="0"/>
        <w:autoSpaceDN w:val="0"/>
        <w:adjustRightInd w:val="0"/>
        <w:snapToGrid w:val="0"/>
        <w:spacing w:before="0" w:line="400" w:lineRule="exact"/>
        <w:ind w:firstLine="420" w:firstLineChars="200"/>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eastAsia="zh-CN"/>
        </w:rPr>
        <w:t>9</w:t>
      </w:r>
      <w:r>
        <w:rPr>
          <w:rFonts w:hint="eastAsia" w:ascii="宋体" w:hAnsi="宋体" w:eastAsia="宋体" w:cs="宋体"/>
          <w:color w:val="000000"/>
          <w:szCs w:val="21"/>
          <w:highlight w:val="none"/>
        </w:rPr>
        <w:t>.1 乙方保证对其出售的货物享有合法的权利。</w:t>
      </w:r>
    </w:p>
    <w:p w14:paraId="1AA62E37">
      <w:pPr>
        <w:shd w:val="clear" w:color="auto" w:fill="auto"/>
        <w:autoSpaceDE w:val="0"/>
        <w:autoSpaceDN w:val="0"/>
        <w:adjustRightInd w:val="0"/>
        <w:snapToGrid w:val="0"/>
        <w:spacing w:before="0" w:line="400" w:lineRule="exact"/>
        <w:ind w:firstLine="420" w:firstLineChars="200"/>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eastAsia="zh-CN"/>
        </w:rPr>
        <w:t>9</w:t>
      </w:r>
      <w:r>
        <w:rPr>
          <w:rFonts w:hint="eastAsia" w:ascii="宋体" w:hAnsi="宋体" w:eastAsia="宋体" w:cs="宋体"/>
          <w:color w:val="000000"/>
          <w:szCs w:val="21"/>
          <w:highlight w:val="none"/>
        </w:rPr>
        <w:t xml:space="preserve">.2 </w:t>
      </w:r>
      <w:r>
        <w:rPr>
          <w:rFonts w:hint="eastAsia" w:ascii="宋体" w:hAnsi="宋体" w:eastAsia="宋体" w:cs="宋体"/>
          <w:szCs w:val="15"/>
        </w:rPr>
        <w:t>乙方保证在交付的货物上不存在抵押权等担保物权。</w:t>
      </w:r>
    </w:p>
    <w:p w14:paraId="7FE3F18C">
      <w:pPr>
        <w:shd w:val="clear" w:color="auto" w:fill="auto"/>
        <w:autoSpaceDE w:val="0"/>
        <w:autoSpaceDN w:val="0"/>
        <w:adjustRightInd w:val="0"/>
        <w:snapToGrid w:val="0"/>
        <w:spacing w:before="0" w:line="400" w:lineRule="exact"/>
        <w:ind w:firstLine="420" w:firstLineChars="200"/>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eastAsia="zh-CN"/>
        </w:rPr>
        <w:t>9</w:t>
      </w:r>
      <w:r>
        <w:rPr>
          <w:rFonts w:hint="eastAsia" w:ascii="宋体" w:hAnsi="宋体" w:eastAsia="宋体" w:cs="宋体"/>
          <w:color w:val="000000"/>
          <w:szCs w:val="21"/>
          <w:highlight w:val="none"/>
        </w:rPr>
        <w:t>.3 如甲方使用</w:t>
      </w:r>
      <w:r>
        <w:rPr>
          <w:rFonts w:hint="eastAsia" w:ascii="宋体" w:hAnsi="宋体" w:eastAsia="宋体" w:cs="宋体"/>
          <w:color w:val="000000"/>
          <w:szCs w:val="21"/>
          <w:highlight w:val="none"/>
          <w:lang w:val="en-US" w:eastAsia="zh-CN"/>
        </w:rPr>
        <w:t>上述</w:t>
      </w:r>
      <w:r>
        <w:rPr>
          <w:rFonts w:hint="eastAsia" w:ascii="宋体" w:hAnsi="宋体" w:eastAsia="宋体" w:cs="宋体"/>
          <w:color w:val="000000"/>
          <w:szCs w:val="21"/>
          <w:highlight w:val="none"/>
        </w:rPr>
        <w:t>货物构成</w:t>
      </w:r>
      <w:r>
        <w:rPr>
          <w:rFonts w:hint="eastAsia" w:ascii="宋体" w:hAnsi="宋体" w:eastAsia="宋体" w:cs="宋体"/>
          <w:color w:val="000000"/>
          <w:szCs w:val="21"/>
          <w:highlight w:val="none"/>
          <w:lang w:val="en-US" w:eastAsia="zh-CN"/>
        </w:rPr>
        <w:t>对第三人</w:t>
      </w:r>
      <w:r>
        <w:rPr>
          <w:rFonts w:hint="eastAsia" w:ascii="宋体" w:hAnsi="宋体" w:eastAsia="宋体" w:cs="宋体"/>
          <w:color w:val="000000"/>
          <w:szCs w:val="21"/>
          <w:highlight w:val="none"/>
        </w:rPr>
        <w:t>侵权的，则由乙方承担全部责任。</w:t>
      </w:r>
    </w:p>
    <w:p w14:paraId="4FC3E008">
      <w:pPr>
        <w:shd w:val="clear" w:color="auto" w:fill="auto"/>
        <w:autoSpaceDE w:val="0"/>
        <w:autoSpaceDN w:val="0"/>
        <w:adjustRightInd w:val="0"/>
        <w:snapToGrid w:val="0"/>
        <w:spacing w:before="0" w:line="400" w:lineRule="exact"/>
        <w:jc w:val="left"/>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1</w:t>
      </w:r>
      <w:r>
        <w:rPr>
          <w:rFonts w:hint="eastAsia" w:ascii="宋体" w:hAnsi="宋体" w:eastAsia="宋体" w:cs="宋体"/>
          <w:b/>
          <w:bCs/>
          <w:color w:val="000000"/>
          <w:sz w:val="24"/>
          <w:highlight w:val="none"/>
          <w:lang w:eastAsia="zh-CN"/>
        </w:rPr>
        <w:t>0</w:t>
      </w:r>
      <w:r>
        <w:rPr>
          <w:rFonts w:hint="eastAsia" w:ascii="宋体" w:hAnsi="宋体" w:eastAsia="宋体" w:cs="宋体"/>
          <w:b/>
          <w:bCs/>
          <w:color w:val="000000"/>
          <w:sz w:val="24"/>
          <w:highlight w:val="none"/>
        </w:rPr>
        <w:t>.</w:t>
      </w:r>
      <w:r>
        <w:rPr>
          <w:rFonts w:hint="eastAsia" w:ascii="宋体" w:hAnsi="宋体" w:eastAsia="宋体" w:cs="宋体"/>
          <w:b/>
          <w:bCs/>
          <w:color w:val="000000"/>
          <w:sz w:val="24"/>
          <w:highlight w:val="none"/>
          <w:lang w:val="en-US" w:eastAsia="zh-CN"/>
        </w:rPr>
        <w:t xml:space="preserve"> </w:t>
      </w:r>
      <w:r>
        <w:rPr>
          <w:rFonts w:hint="eastAsia" w:ascii="宋体" w:hAnsi="宋体" w:eastAsia="宋体" w:cs="宋体"/>
          <w:b/>
          <w:bCs/>
          <w:color w:val="000000"/>
          <w:sz w:val="24"/>
          <w:highlight w:val="none"/>
        </w:rPr>
        <w:t>知识产权保护</w:t>
      </w:r>
    </w:p>
    <w:p w14:paraId="609B7866">
      <w:pPr>
        <w:shd w:val="clear" w:color="auto" w:fill="auto"/>
        <w:autoSpaceDE w:val="0"/>
        <w:autoSpaceDN w:val="0"/>
        <w:adjustRightInd w:val="0"/>
        <w:snapToGrid w:val="0"/>
        <w:spacing w:before="0" w:line="400" w:lineRule="exact"/>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000000"/>
          <w:szCs w:val="21"/>
          <w:highlight w:val="none"/>
        </w:rPr>
        <w:t>1</w:t>
      </w:r>
      <w:r>
        <w:rPr>
          <w:rFonts w:hint="eastAsia" w:ascii="宋体" w:hAnsi="宋体" w:eastAsia="宋体" w:cs="宋体"/>
          <w:color w:val="000000"/>
          <w:szCs w:val="21"/>
          <w:highlight w:val="none"/>
          <w:lang w:eastAsia="zh-CN"/>
        </w:rPr>
        <w:t>0</w:t>
      </w:r>
      <w:r>
        <w:rPr>
          <w:rFonts w:hint="eastAsia" w:ascii="宋体" w:hAnsi="宋体" w:eastAsia="宋体" w:cs="宋体"/>
          <w:color w:val="000000"/>
          <w:szCs w:val="21"/>
          <w:highlight w:val="none"/>
        </w:rPr>
        <w:t>.1 乙方对其所销售的货物应当享有知识产权或经权利人合法授权，保证没有侵犯任</w:t>
      </w:r>
      <w:r>
        <w:rPr>
          <w:rFonts w:hint="eastAsia" w:ascii="宋体" w:hAnsi="宋体" w:eastAsia="宋体" w:cs="宋体"/>
          <w:color w:val="auto"/>
          <w:szCs w:val="21"/>
          <w:highlight w:val="none"/>
        </w:rPr>
        <w:t>何第三人的知识产权等权利。</w:t>
      </w:r>
      <w:bookmarkStart w:id="214" w:name="_Hlk163047038"/>
      <w:r>
        <w:rPr>
          <w:rFonts w:hint="eastAsia" w:ascii="宋体" w:hAnsi="宋体" w:eastAsia="宋体" w:cs="宋体"/>
          <w:szCs w:val="15"/>
        </w:rPr>
        <w:t>因违反前述约定对第三人构成侵权的，应当由乙方向第三人承担法律责任；甲方依法向第三人赔偿后，有权向乙方追偿。甲方有其他损失的，乙方应当赔偿</w:t>
      </w:r>
      <w:bookmarkEnd w:id="214"/>
      <w:r>
        <w:rPr>
          <w:rFonts w:hint="eastAsia" w:ascii="宋体" w:hAnsi="宋体" w:eastAsia="宋体" w:cs="宋体"/>
          <w:color w:val="auto"/>
          <w:szCs w:val="21"/>
          <w:highlight w:val="none"/>
        </w:rPr>
        <w:t>。</w:t>
      </w:r>
    </w:p>
    <w:p w14:paraId="657FC9F6">
      <w:pPr>
        <w:shd w:val="clear" w:color="auto" w:fill="auto"/>
        <w:autoSpaceDE w:val="0"/>
        <w:autoSpaceDN w:val="0"/>
        <w:adjustRightInd w:val="0"/>
        <w:snapToGrid w:val="0"/>
        <w:spacing w:before="0" w:line="400" w:lineRule="exact"/>
        <w:jc w:val="lef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1</w:t>
      </w:r>
      <w:r>
        <w:rPr>
          <w:rFonts w:hint="eastAsia" w:ascii="宋体" w:hAnsi="宋体" w:eastAsia="宋体" w:cs="宋体"/>
          <w:b/>
          <w:bCs/>
          <w:color w:val="auto"/>
          <w:sz w:val="24"/>
          <w:highlight w:val="none"/>
          <w:lang w:eastAsia="zh-CN"/>
        </w:rPr>
        <w:t>1</w:t>
      </w:r>
      <w:r>
        <w:rPr>
          <w:rFonts w:hint="eastAsia" w:ascii="宋体" w:hAnsi="宋体" w:eastAsia="宋体" w:cs="宋体"/>
          <w:b/>
          <w:bCs/>
          <w:color w:val="auto"/>
          <w:sz w:val="24"/>
          <w:highlight w:val="none"/>
        </w:rPr>
        <w:t>.</w:t>
      </w:r>
      <w:r>
        <w:rPr>
          <w:rFonts w:hint="eastAsia" w:ascii="宋体" w:hAnsi="宋体" w:eastAsia="宋体" w:cs="宋体"/>
          <w:b/>
          <w:bCs/>
          <w:color w:val="auto"/>
          <w:sz w:val="24"/>
          <w:highlight w:val="none"/>
          <w:lang w:val="en-US" w:eastAsia="zh-CN"/>
        </w:rPr>
        <w:t xml:space="preserve"> </w:t>
      </w:r>
      <w:r>
        <w:rPr>
          <w:rFonts w:hint="eastAsia" w:ascii="宋体" w:hAnsi="宋体" w:eastAsia="宋体" w:cs="宋体"/>
          <w:b/>
          <w:bCs/>
          <w:color w:val="auto"/>
          <w:sz w:val="24"/>
          <w:highlight w:val="none"/>
        </w:rPr>
        <w:t>保密义务</w:t>
      </w:r>
    </w:p>
    <w:p w14:paraId="7180F141">
      <w:pPr>
        <w:shd w:val="clear" w:color="auto" w:fill="auto"/>
        <w:autoSpaceDE w:val="0"/>
        <w:autoSpaceDN w:val="0"/>
        <w:adjustRightInd w:val="0"/>
        <w:snapToGrid w:val="0"/>
        <w:spacing w:before="0" w:line="400" w:lineRule="exact"/>
        <w:ind w:firstLine="420" w:firstLineChars="200"/>
        <w:jc w:val="left"/>
        <w:rPr>
          <w:rFonts w:hint="eastAsia" w:ascii="宋体" w:hAnsi="宋体" w:eastAsia="宋体" w:cs="宋体"/>
          <w:szCs w:val="15"/>
        </w:rPr>
      </w:pPr>
      <w:r>
        <w:rPr>
          <w:rFonts w:hint="eastAsia" w:ascii="宋体" w:hAnsi="宋体" w:eastAsia="宋体" w:cs="宋体"/>
          <w:szCs w:val="15"/>
          <w:lang w:val="en-US" w:eastAsia="zh-CN"/>
        </w:rPr>
        <w:t xml:space="preserve">11.1 </w:t>
      </w:r>
      <w:r>
        <w:rPr>
          <w:rFonts w:hint="eastAsia" w:ascii="宋体" w:hAnsi="宋体" w:eastAsia="宋体" w:cs="宋体"/>
          <w:szCs w:val="15"/>
        </w:rPr>
        <w:t>甲、乙双方</w:t>
      </w:r>
      <w:r>
        <w:rPr>
          <w:rFonts w:hint="eastAsia" w:ascii="宋体" w:hAnsi="宋体" w:eastAsia="宋体" w:cs="宋体"/>
          <w:szCs w:val="15"/>
          <w:lang w:eastAsia="zh-CN"/>
        </w:rPr>
        <w:t>对</w:t>
      </w:r>
      <w:r>
        <w:rPr>
          <w:rFonts w:hint="eastAsia" w:ascii="宋体" w:hAnsi="宋体" w:eastAsia="宋体" w:cs="宋体"/>
          <w:szCs w:val="15"/>
        </w:rPr>
        <w:t>采购和合同履行过程中所获悉的</w:t>
      </w:r>
      <w:r>
        <w:rPr>
          <w:rFonts w:hint="eastAsia" w:ascii="宋体" w:hAnsi="宋体" w:eastAsia="宋体" w:cs="宋体"/>
          <w:szCs w:val="15"/>
          <w:lang w:eastAsia="zh-CN"/>
        </w:rPr>
        <w:t>国家秘密、工作秘密、</w:t>
      </w:r>
      <w:r>
        <w:rPr>
          <w:rFonts w:hint="eastAsia" w:ascii="宋体" w:hAnsi="宋体" w:eastAsia="宋体" w:cs="宋体"/>
          <w:szCs w:val="15"/>
        </w:rPr>
        <w:t>商业秘密或者其他应当保密的信息，均有保密义务</w:t>
      </w:r>
      <w:r>
        <w:rPr>
          <w:rFonts w:hint="eastAsia" w:ascii="宋体" w:hAnsi="宋体" w:eastAsia="宋体" w:cs="宋体"/>
          <w:szCs w:val="15"/>
          <w:lang w:eastAsia="zh-CN"/>
        </w:rPr>
        <w:t>且不受合同有效期所限，直至该信息成为公开信息</w:t>
      </w:r>
      <w:r>
        <w:rPr>
          <w:rFonts w:hint="eastAsia" w:ascii="宋体" w:hAnsi="宋体" w:eastAsia="宋体" w:cs="宋体"/>
          <w:szCs w:val="15"/>
        </w:rPr>
        <w:t>。泄露、不正当地使用</w:t>
      </w:r>
      <w:r>
        <w:rPr>
          <w:rFonts w:hint="eastAsia" w:ascii="宋体" w:hAnsi="宋体" w:eastAsia="宋体" w:cs="宋体"/>
          <w:szCs w:val="15"/>
          <w:lang w:eastAsia="zh-CN"/>
        </w:rPr>
        <w:t>国家秘密、工作秘密、</w:t>
      </w:r>
      <w:r>
        <w:rPr>
          <w:rFonts w:hint="eastAsia" w:ascii="宋体" w:hAnsi="宋体" w:eastAsia="宋体" w:cs="宋体"/>
          <w:szCs w:val="15"/>
        </w:rPr>
        <w:t>商业秘密或者</w:t>
      </w:r>
      <w:r>
        <w:rPr>
          <w:rFonts w:hint="eastAsia" w:ascii="宋体" w:hAnsi="宋体" w:eastAsia="宋体" w:cs="宋体"/>
          <w:szCs w:val="15"/>
          <w:lang w:eastAsia="zh-CN"/>
        </w:rPr>
        <w:t>其他应当保密的</w:t>
      </w:r>
      <w:r>
        <w:rPr>
          <w:rFonts w:hint="eastAsia" w:ascii="宋体" w:hAnsi="宋体" w:eastAsia="宋体" w:cs="宋体"/>
          <w:szCs w:val="15"/>
        </w:rPr>
        <w:t>信息，应当承担</w:t>
      </w:r>
      <w:r>
        <w:rPr>
          <w:rFonts w:hint="eastAsia" w:ascii="宋体" w:hAnsi="宋体" w:eastAsia="宋体" w:cs="宋体"/>
          <w:szCs w:val="15"/>
          <w:lang w:eastAsia="zh-CN"/>
        </w:rPr>
        <w:t>相应</w:t>
      </w:r>
      <w:r>
        <w:rPr>
          <w:rFonts w:hint="eastAsia" w:ascii="宋体" w:hAnsi="宋体" w:eastAsia="宋体" w:cs="宋体"/>
          <w:szCs w:val="15"/>
        </w:rPr>
        <w:t>责任。其他应当保密的信息由双方在</w:t>
      </w:r>
      <w:r>
        <w:rPr>
          <w:rFonts w:hint="eastAsia" w:ascii="宋体" w:hAnsi="宋体" w:eastAsia="宋体" w:cs="宋体"/>
          <w:b/>
          <w:bCs/>
          <w:szCs w:val="15"/>
        </w:rPr>
        <w:t>【政府采购合同专用条款】</w:t>
      </w:r>
      <w:r>
        <w:rPr>
          <w:rFonts w:hint="eastAsia" w:ascii="宋体" w:hAnsi="宋体" w:eastAsia="宋体" w:cs="宋体"/>
          <w:szCs w:val="15"/>
        </w:rPr>
        <w:t>中约定。</w:t>
      </w:r>
    </w:p>
    <w:p w14:paraId="3E29EEFD">
      <w:pPr>
        <w:shd w:val="clear" w:color="auto" w:fill="auto"/>
        <w:autoSpaceDE w:val="0"/>
        <w:autoSpaceDN w:val="0"/>
        <w:adjustRightInd w:val="0"/>
        <w:snapToGrid w:val="0"/>
        <w:spacing w:before="0" w:line="400" w:lineRule="exact"/>
        <w:jc w:val="lef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1</w:t>
      </w:r>
      <w:r>
        <w:rPr>
          <w:rFonts w:hint="eastAsia" w:ascii="宋体" w:hAnsi="宋体" w:eastAsia="宋体" w:cs="宋体"/>
          <w:b/>
          <w:bCs/>
          <w:color w:val="auto"/>
          <w:sz w:val="24"/>
          <w:highlight w:val="none"/>
          <w:lang w:eastAsia="zh-CN"/>
        </w:rPr>
        <w:t>2</w:t>
      </w:r>
      <w:r>
        <w:rPr>
          <w:rFonts w:hint="eastAsia" w:ascii="宋体" w:hAnsi="宋体" w:eastAsia="宋体" w:cs="宋体"/>
          <w:b/>
          <w:bCs/>
          <w:color w:val="auto"/>
          <w:sz w:val="24"/>
          <w:highlight w:val="none"/>
        </w:rPr>
        <w:t>.</w:t>
      </w:r>
      <w:r>
        <w:rPr>
          <w:rFonts w:hint="eastAsia" w:ascii="宋体" w:hAnsi="宋体" w:eastAsia="宋体" w:cs="宋体"/>
          <w:b/>
          <w:bCs/>
          <w:color w:val="auto"/>
          <w:sz w:val="24"/>
          <w:highlight w:val="none"/>
          <w:lang w:val="en-US" w:eastAsia="zh-CN"/>
        </w:rPr>
        <w:t xml:space="preserve"> </w:t>
      </w:r>
      <w:r>
        <w:rPr>
          <w:rFonts w:hint="eastAsia" w:ascii="宋体" w:hAnsi="宋体" w:eastAsia="宋体" w:cs="宋体"/>
          <w:b/>
          <w:bCs/>
          <w:color w:val="auto"/>
          <w:sz w:val="24"/>
          <w:highlight w:val="none"/>
        </w:rPr>
        <w:t>合同价款支付</w:t>
      </w:r>
    </w:p>
    <w:p w14:paraId="7143003D">
      <w:pPr>
        <w:shd w:val="clear" w:color="auto" w:fill="auto"/>
        <w:autoSpaceDE/>
        <w:autoSpaceDN/>
        <w:adjustRightInd w:val="0"/>
        <w:snapToGrid w:val="0"/>
        <w:spacing w:before="0" w:line="400" w:lineRule="exact"/>
        <w:ind w:firstLine="420" w:firstLineChars="200"/>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1</w:t>
      </w:r>
      <w:r>
        <w:rPr>
          <w:rFonts w:hint="eastAsia" w:ascii="宋体" w:hAnsi="宋体" w:eastAsia="宋体" w:cs="宋体"/>
          <w:color w:val="auto"/>
          <w:szCs w:val="21"/>
          <w:highlight w:val="none"/>
          <w:lang w:eastAsia="zh-CN"/>
        </w:rPr>
        <w:t>2</w:t>
      </w:r>
      <w:r>
        <w:rPr>
          <w:rFonts w:hint="eastAsia" w:ascii="宋体" w:hAnsi="宋体" w:eastAsia="宋体" w:cs="宋体"/>
          <w:color w:val="auto"/>
          <w:szCs w:val="21"/>
          <w:highlight w:val="none"/>
        </w:rPr>
        <w:t xml:space="preserve">.1 </w:t>
      </w:r>
      <w:r>
        <w:rPr>
          <w:rFonts w:hint="eastAsia" w:ascii="宋体" w:hAnsi="宋体" w:eastAsia="宋体" w:cs="宋体"/>
          <w:color w:val="auto"/>
          <w:szCs w:val="21"/>
          <w:highlight w:val="none"/>
          <w:lang w:eastAsia="zh-CN"/>
        </w:rPr>
        <w:t>合同价款支付</w:t>
      </w:r>
      <w:r>
        <w:rPr>
          <w:rFonts w:hint="eastAsia" w:ascii="宋体" w:hAnsi="宋体" w:eastAsia="宋体" w:cs="宋体"/>
          <w:color w:val="auto"/>
          <w:szCs w:val="21"/>
          <w:highlight w:val="none"/>
        </w:rPr>
        <w:t>按照国库集中支付</w:t>
      </w:r>
      <w:r>
        <w:rPr>
          <w:rFonts w:hint="eastAsia" w:ascii="宋体" w:hAnsi="宋体" w:eastAsia="宋体" w:cs="宋体"/>
          <w:color w:val="auto"/>
          <w:szCs w:val="21"/>
          <w:highlight w:val="none"/>
          <w:lang w:eastAsia="zh-CN"/>
        </w:rPr>
        <w:t>制度及财政管理相关</w:t>
      </w:r>
      <w:r>
        <w:rPr>
          <w:rFonts w:hint="eastAsia" w:ascii="宋体" w:hAnsi="宋体" w:eastAsia="宋体" w:cs="宋体"/>
          <w:color w:val="auto"/>
          <w:szCs w:val="21"/>
          <w:highlight w:val="none"/>
        </w:rPr>
        <w:t>规定执行。</w:t>
      </w:r>
    </w:p>
    <w:p w14:paraId="519A32E2">
      <w:pPr>
        <w:shd w:val="clear" w:color="auto" w:fill="auto"/>
        <w:autoSpaceDE/>
        <w:autoSpaceDN/>
        <w:adjustRightInd w:val="0"/>
        <w:snapToGrid w:val="0"/>
        <w:spacing w:before="0" w:line="400" w:lineRule="exact"/>
        <w:ind w:firstLine="420" w:firstLineChars="200"/>
        <w:jc w:val="left"/>
        <w:rPr>
          <w:rFonts w:hint="eastAsia" w:ascii="宋体" w:hAnsi="宋体" w:eastAsia="宋体" w:cs="宋体"/>
          <w:color w:val="auto"/>
          <w:highlight w:val="none"/>
          <w:lang w:eastAsia="zh-CN"/>
        </w:rPr>
      </w:pPr>
      <w:r>
        <w:rPr>
          <w:rFonts w:hint="eastAsia" w:ascii="宋体" w:hAnsi="宋体" w:eastAsia="宋体" w:cs="宋体"/>
          <w:color w:val="auto"/>
          <w:szCs w:val="21"/>
          <w:highlight w:val="none"/>
          <w:lang w:val="en-US" w:eastAsia="zh-CN"/>
        </w:rPr>
        <w:t>12</w:t>
      </w:r>
      <w:r>
        <w:rPr>
          <w:rFonts w:hint="eastAsia" w:ascii="宋体" w:hAnsi="宋体" w:eastAsia="宋体" w:cs="宋体"/>
          <w:b w:val="0"/>
          <w:bCs w:val="0"/>
          <w:color w:val="auto"/>
          <w:kern w:val="2"/>
          <w:sz w:val="21"/>
          <w:szCs w:val="21"/>
          <w:highlight w:val="none"/>
          <w:lang w:val="en-US" w:eastAsia="zh-CN" w:bidi="ar-SA"/>
        </w:rPr>
        <w:t>.2 对于满足合同约定支付条件的，甲方原则上应当自收到发票后10个工作日内将资金支付到合同约定的乙方账户，不得以机构变动、人员更替、政策调整等为由迟延付款，不得将采购文件和合同中未规定的义</w:t>
      </w:r>
      <w:r>
        <w:rPr>
          <w:rFonts w:hint="eastAsia" w:ascii="宋体" w:hAnsi="宋体" w:eastAsia="宋体" w:cs="宋体"/>
          <w:b w:val="0"/>
          <w:bCs w:val="0"/>
          <w:color w:val="auto"/>
          <w:kern w:val="2"/>
          <w:sz w:val="21"/>
          <w:szCs w:val="21"/>
          <w:highlight w:val="none"/>
        </w:rPr>
        <w:t>务作为向</w:t>
      </w:r>
      <w:r>
        <w:rPr>
          <w:rFonts w:hint="eastAsia" w:ascii="宋体" w:hAnsi="宋体" w:eastAsia="宋体" w:cs="宋体"/>
          <w:b w:val="0"/>
          <w:bCs w:val="0"/>
          <w:color w:val="auto"/>
          <w:kern w:val="2"/>
          <w:sz w:val="21"/>
          <w:szCs w:val="21"/>
          <w:highlight w:val="none"/>
          <w:lang w:val="en-US" w:eastAsia="zh-CN"/>
        </w:rPr>
        <w:t>乙方</w:t>
      </w:r>
      <w:r>
        <w:rPr>
          <w:rFonts w:hint="eastAsia" w:ascii="宋体" w:hAnsi="宋体" w:eastAsia="宋体" w:cs="宋体"/>
          <w:b w:val="0"/>
          <w:bCs w:val="0"/>
          <w:color w:val="auto"/>
          <w:kern w:val="2"/>
          <w:sz w:val="21"/>
          <w:szCs w:val="21"/>
          <w:highlight w:val="none"/>
        </w:rPr>
        <w:t>付款的条件。具体合同价款支付时间在【</w:t>
      </w:r>
      <w:r>
        <w:rPr>
          <w:rFonts w:hint="eastAsia" w:ascii="宋体" w:hAnsi="宋体" w:eastAsia="宋体" w:cs="宋体"/>
          <w:b/>
          <w:bCs/>
          <w:color w:val="auto"/>
          <w:kern w:val="2"/>
          <w:sz w:val="21"/>
          <w:szCs w:val="21"/>
          <w:highlight w:val="none"/>
        </w:rPr>
        <w:t>政府采购合同专用条款</w:t>
      </w:r>
      <w:r>
        <w:rPr>
          <w:rFonts w:hint="eastAsia" w:ascii="宋体" w:hAnsi="宋体" w:eastAsia="宋体" w:cs="宋体"/>
          <w:b w:val="0"/>
          <w:bCs w:val="0"/>
          <w:color w:val="auto"/>
          <w:kern w:val="2"/>
          <w:sz w:val="21"/>
          <w:szCs w:val="21"/>
          <w:highlight w:val="none"/>
        </w:rPr>
        <w:t>】中</w:t>
      </w:r>
      <w:r>
        <w:rPr>
          <w:rFonts w:hint="eastAsia" w:ascii="宋体" w:hAnsi="宋体" w:eastAsia="宋体" w:cs="宋体"/>
          <w:b w:val="0"/>
          <w:bCs w:val="0"/>
          <w:color w:val="auto"/>
          <w:kern w:val="2"/>
          <w:sz w:val="21"/>
          <w:szCs w:val="21"/>
          <w:highlight w:val="none"/>
          <w:lang w:eastAsia="zh-CN"/>
        </w:rPr>
        <w:t>约</w:t>
      </w:r>
      <w:r>
        <w:rPr>
          <w:rFonts w:hint="eastAsia" w:ascii="宋体" w:hAnsi="宋体" w:eastAsia="宋体" w:cs="宋体"/>
          <w:b w:val="0"/>
          <w:bCs w:val="0"/>
          <w:color w:val="auto"/>
          <w:kern w:val="2"/>
          <w:sz w:val="21"/>
          <w:szCs w:val="21"/>
          <w:highlight w:val="none"/>
        </w:rPr>
        <w:t>定。</w:t>
      </w:r>
    </w:p>
    <w:p w14:paraId="22C2AAD1">
      <w:pPr>
        <w:pStyle w:val="11"/>
        <w:shd w:val="clear" w:color="auto" w:fill="auto"/>
        <w:spacing w:after="0"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1</w:t>
      </w:r>
      <w:r>
        <w:rPr>
          <w:rFonts w:hint="eastAsia" w:ascii="宋体" w:hAnsi="宋体" w:eastAsia="宋体" w:cs="宋体"/>
          <w:b/>
          <w:bCs/>
          <w:color w:val="auto"/>
          <w:sz w:val="24"/>
          <w:szCs w:val="24"/>
          <w:highlight w:val="none"/>
          <w:lang w:eastAsia="zh-CN"/>
        </w:rPr>
        <w:t>3</w:t>
      </w:r>
      <w:r>
        <w:rPr>
          <w:rFonts w:hint="eastAsia" w:ascii="宋体" w:hAnsi="宋体" w:eastAsia="宋体" w:cs="宋体"/>
          <w:b/>
          <w:bCs/>
          <w:color w:val="auto"/>
          <w:sz w:val="24"/>
          <w:szCs w:val="24"/>
          <w:highlight w:val="none"/>
        </w:rPr>
        <w:t>.</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rPr>
        <w:t>履约保证金</w:t>
      </w:r>
    </w:p>
    <w:p w14:paraId="517620D5">
      <w:pPr>
        <w:shd w:val="clear" w:color="auto" w:fill="auto"/>
        <w:adjustRightInd w:val="0"/>
        <w:snapToGrid w:val="0"/>
        <w:spacing w:before="0" w:line="400" w:lineRule="exact"/>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w:t>
      </w:r>
      <w:r>
        <w:rPr>
          <w:rFonts w:hint="eastAsia" w:ascii="宋体" w:hAnsi="宋体" w:eastAsia="宋体" w:cs="宋体"/>
          <w:color w:val="auto"/>
          <w:szCs w:val="21"/>
          <w:highlight w:val="none"/>
          <w:lang w:eastAsia="zh-CN"/>
        </w:rPr>
        <w:t>3</w:t>
      </w:r>
      <w:r>
        <w:rPr>
          <w:rFonts w:hint="eastAsia" w:ascii="宋体" w:hAnsi="宋体" w:eastAsia="宋体" w:cs="宋体"/>
          <w:color w:val="auto"/>
          <w:szCs w:val="21"/>
          <w:highlight w:val="none"/>
        </w:rPr>
        <w:t xml:space="preserve">.1 </w:t>
      </w:r>
      <w:r>
        <w:rPr>
          <w:rFonts w:hint="eastAsia" w:ascii="宋体" w:hAnsi="宋体" w:eastAsia="宋体" w:cs="宋体"/>
          <w:szCs w:val="15"/>
        </w:rPr>
        <w:t>乙方应当以支票、汇票、本票或者金融机构、担保机构出具的保函等非现金形式提交。</w:t>
      </w:r>
    </w:p>
    <w:p w14:paraId="675F4FBA">
      <w:pPr>
        <w:shd w:val="clear" w:color="auto" w:fill="auto"/>
        <w:adjustRightInd w:val="0"/>
        <w:snapToGrid w:val="0"/>
        <w:spacing w:before="0" w:line="400" w:lineRule="exact"/>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w:t>
      </w:r>
      <w:r>
        <w:rPr>
          <w:rFonts w:hint="eastAsia" w:ascii="宋体" w:hAnsi="宋体" w:eastAsia="宋体" w:cs="宋体"/>
          <w:color w:val="auto"/>
          <w:szCs w:val="21"/>
          <w:highlight w:val="none"/>
          <w:lang w:eastAsia="zh-CN"/>
        </w:rPr>
        <w:t>3</w:t>
      </w:r>
      <w:r>
        <w:rPr>
          <w:rFonts w:hint="eastAsia" w:ascii="宋体" w:hAnsi="宋体" w:eastAsia="宋体" w:cs="宋体"/>
          <w:color w:val="auto"/>
          <w:szCs w:val="21"/>
          <w:highlight w:val="none"/>
        </w:rPr>
        <w:t>.2 如果乙方</w:t>
      </w:r>
      <w:r>
        <w:rPr>
          <w:rFonts w:hint="eastAsia" w:ascii="宋体" w:hAnsi="宋体" w:eastAsia="宋体" w:cs="宋体"/>
          <w:color w:val="auto"/>
          <w:szCs w:val="21"/>
          <w:highlight w:val="none"/>
          <w:lang w:eastAsia="zh-CN"/>
        </w:rPr>
        <w:t>出现</w:t>
      </w:r>
      <w:r>
        <w:rPr>
          <w:rFonts w:hint="eastAsia" w:ascii="宋体" w:hAnsi="宋体" w:eastAsia="宋体" w:cs="宋体"/>
          <w:b/>
          <w:bCs/>
          <w:szCs w:val="15"/>
          <w:highlight w:val="none"/>
        </w:rPr>
        <w:t>【政府采购合同专用条款】</w:t>
      </w:r>
      <w:r>
        <w:rPr>
          <w:rFonts w:hint="eastAsia" w:ascii="宋体" w:hAnsi="宋体" w:eastAsia="宋体" w:cs="宋体"/>
          <w:b w:val="0"/>
          <w:bCs w:val="0"/>
          <w:szCs w:val="15"/>
          <w:highlight w:val="none"/>
          <w:lang w:eastAsia="zh-CN"/>
        </w:rPr>
        <w:t>约定</w:t>
      </w:r>
      <w:r>
        <w:rPr>
          <w:rFonts w:hint="eastAsia" w:ascii="宋体" w:hAnsi="宋体" w:eastAsia="宋体" w:cs="宋体"/>
          <w:b w:val="0"/>
          <w:bCs w:val="0"/>
          <w:szCs w:val="15"/>
          <w:lang w:eastAsia="zh-CN"/>
        </w:rPr>
        <w:t>情形的</w:t>
      </w:r>
      <w:r>
        <w:rPr>
          <w:rFonts w:hint="eastAsia" w:ascii="宋体" w:hAnsi="宋体" w:eastAsia="宋体" w:cs="宋体"/>
          <w:color w:val="auto"/>
          <w:szCs w:val="21"/>
          <w:highlight w:val="none"/>
        </w:rPr>
        <w:t>，履约保证金不予退还；如果乙方未能按合同约定全面履行义务，甲方有权从履约保证金中取得补偿或赔偿，</w:t>
      </w:r>
      <w:r>
        <w:rPr>
          <w:rFonts w:hint="eastAsia" w:ascii="宋体" w:hAnsi="宋体" w:eastAsia="宋体" w:cs="宋体"/>
          <w:color w:val="auto"/>
          <w:szCs w:val="21"/>
          <w:highlight w:val="none"/>
          <w:lang w:eastAsia="zh-CN"/>
        </w:rPr>
        <w:t>且</w:t>
      </w:r>
      <w:r>
        <w:rPr>
          <w:rFonts w:hint="eastAsia" w:ascii="宋体" w:hAnsi="宋体" w:eastAsia="宋体" w:cs="宋体"/>
          <w:color w:val="auto"/>
          <w:szCs w:val="21"/>
          <w:highlight w:val="none"/>
        </w:rPr>
        <w:t>不影响甲方要求乙方承担合同约定的超过履约保证金的违约责任的权利。</w:t>
      </w:r>
    </w:p>
    <w:p w14:paraId="46CFA93A">
      <w:pPr>
        <w:shd w:val="clear" w:color="auto" w:fill="auto"/>
        <w:spacing w:line="400" w:lineRule="exact"/>
        <w:ind w:firstLine="420"/>
        <w:rPr>
          <w:rFonts w:hint="eastAsia" w:ascii="宋体" w:hAnsi="宋体" w:eastAsia="宋体" w:cs="宋体"/>
          <w:color w:val="auto"/>
          <w:highlight w:val="none"/>
        </w:rPr>
      </w:pPr>
      <w:r>
        <w:rPr>
          <w:rFonts w:hint="eastAsia" w:ascii="宋体" w:hAnsi="宋体" w:eastAsia="宋体" w:cs="宋体"/>
          <w:color w:val="auto"/>
          <w:szCs w:val="21"/>
          <w:highlight w:val="none"/>
        </w:rPr>
        <w:t>1</w:t>
      </w:r>
      <w:r>
        <w:rPr>
          <w:rFonts w:hint="eastAsia" w:ascii="宋体" w:hAnsi="宋体" w:eastAsia="宋体" w:cs="宋体"/>
          <w:color w:val="auto"/>
          <w:szCs w:val="21"/>
          <w:highlight w:val="none"/>
          <w:lang w:eastAsia="zh-CN"/>
        </w:rPr>
        <w:t>3</w:t>
      </w:r>
      <w:r>
        <w:rPr>
          <w:rFonts w:hint="eastAsia" w:ascii="宋体" w:hAnsi="宋体" w:eastAsia="宋体" w:cs="宋体"/>
          <w:color w:val="auto"/>
          <w:szCs w:val="21"/>
          <w:highlight w:val="none"/>
        </w:rPr>
        <w:t>.3 甲方在项目通过验收后按照</w:t>
      </w:r>
      <w:r>
        <w:rPr>
          <w:rFonts w:hint="eastAsia" w:ascii="宋体" w:hAnsi="宋体" w:eastAsia="宋体" w:cs="宋体"/>
          <w:b/>
          <w:color w:val="auto"/>
          <w:szCs w:val="21"/>
          <w:highlight w:val="none"/>
        </w:rPr>
        <w:t>【政府采购合同专用条款】</w:t>
      </w:r>
      <w:r>
        <w:rPr>
          <w:rFonts w:hint="eastAsia" w:ascii="宋体" w:hAnsi="宋体" w:eastAsia="宋体" w:cs="宋体"/>
          <w:color w:val="auto"/>
          <w:szCs w:val="21"/>
          <w:highlight w:val="none"/>
        </w:rPr>
        <w:t>规定的时间内将履约保证金退还乙方；逾期退还的，乙方可要求甲方支付违约金，违约金按照</w:t>
      </w:r>
      <w:r>
        <w:rPr>
          <w:rFonts w:hint="eastAsia" w:ascii="宋体" w:hAnsi="宋体" w:eastAsia="宋体" w:cs="宋体"/>
          <w:b/>
          <w:color w:val="auto"/>
          <w:szCs w:val="21"/>
          <w:highlight w:val="none"/>
        </w:rPr>
        <w:t>【政府采购合同专用条款】</w:t>
      </w:r>
      <w:r>
        <w:rPr>
          <w:rFonts w:hint="eastAsia" w:ascii="宋体" w:hAnsi="宋体" w:eastAsia="宋体" w:cs="宋体"/>
          <w:color w:val="auto"/>
          <w:szCs w:val="21"/>
          <w:highlight w:val="none"/>
        </w:rPr>
        <w:t>规定支付。</w:t>
      </w:r>
    </w:p>
    <w:p w14:paraId="7343E684">
      <w:pPr>
        <w:shd w:val="clear" w:color="auto" w:fill="auto"/>
        <w:autoSpaceDE w:val="0"/>
        <w:autoSpaceDN w:val="0"/>
        <w:adjustRightInd w:val="0"/>
        <w:snapToGrid w:val="0"/>
        <w:spacing w:before="0" w:line="400" w:lineRule="exact"/>
        <w:jc w:val="left"/>
        <w:rPr>
          <w:rFonts w:hint="eastAsia" w:ascii="宋体" w:hAnsi="宋体" w:eastAsia="宋体" w:cs="宋体"/>
          <w:b/>
          <w:color w:val="auto"/>
          <w:sz w:val="24"/>
          <w:highlight w:val="none"/>
        </w:rPr>
      </w:pPr>
      <w:r>
        <w:rPr>
          <w:rFonts w:hint="eastAsia" w:ascii="宋体" w:hAnsi="宋体" w:eastAsia="宋体" w:cs="宋体"/>
          <w:b/>
          <w:bCs/>
          <w:color w:val="auto"/>
          <w:sz w:val="24"/>
          <w:highlight w:val="none"/>
        </w:rPr>
        <w:t>1</w:t>
      </w:r>
      <w:r>
        <w:rPr>
          <w:rFonts w:hint="eastAsia" w:ascii="宋体" w:hAnsi="宋体" w:eastAsia="宋体" w:cs="宋体"/>
          <w:b/>
          <w:bCs/>
          <w:color w:val="auto"/>
          <w:sz w:val="24"/>
          <w:highlight w:val="none"/>
          <w:lang w:eastAsia="zh-CN"/>
        </w:rPr>
        <w:t>4</w:t>
      </w:r>
      <w:r>
        <w:rPr>
          <w:rFonts w:hint="eastAsia" w:ascii="宋体" w:hAnsi="宋体" w:eastAsia="宋体" w:cs="宋体"/>
          <w:b/>
          <w:bCs/>
          <w:color w:val="auto"/>
          <w:sz w:val="24"/>
          <w:highlight w:val="none"/>
        </w:rPr>
        <w:t>.</w:t>
      </w:r>
      <w:r>
        <w:rPr>
          <w:rFonts w:hint="eastAsia" w:ascii="宋体" w:hAnsi="宋体" w:eastAsia="宋体" w:cs="宋体"/>
          <w:b/>
          <w:bCs/>
          <w:color w:val="auto"/>
          <w:sz w:val="24"/>
          <w:highlight w:val="none"/>
          <w:lang w:val="en-US" w:eastAsia="zh-CN"/>
        </w:rPr>
        <w:t xml:space="preserve"> </w:t>
      </w:r>
      <w:r>
        <w:rPr>
          <w:rFonts w:hint="eastAsia" w:ascii="宋体" w:hAnsi="宋体" w:eastAsia="宋体" w:cs="宋体"/>
          <w:b/>
          <w:color w:val="auto"/>
          <w:sz w:val="24"/>
          <w:highlight w:val="none"/>
        </w:rPr>
        <w:t>售后服务</w:t>
      </w:r>
    </w:p>
    <w:p w14:paraId="07406189">
      <w:pPr>
        <w:shd w:val="clear" w:color="auto" w:fill="auto"/>
        <w:autoSpaceDE w:val="0"/>
        <w:autoSpaceDN w:val="0"/>
        <w:adjustRightInd w:val="0"/>
        <w:snapToGrid w:val="0"/>
        <w:spacing w:before="0" w:line="400" w:lineRule="exact"/>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w:t>
      </w:r>
      <w:r>
        <w:rPr>
          <w:rFonts w:hint="eastAsia" w:ascii="宋体" w:hAnsi="宋体" w:eastAsia="宋体" w:cs="宋体"/>
          <w:color w:val="auto"/>
          <w:szCs w:val="21"/>
          <w:highlight w:val="none"/>
          <w:lang w:eastAsia="zh-CN"/>
        </w:rPr>
        <w:t>4</w:t>
      </w:r>
      <w:r>
        <w:rPr>
          <w:rFonts w:hint="eastAsia" w:ascii="宋体" w:hAnsi="宋体" w:eastAsia="宋体" w:cs="宋体"/>
          <w:color w:val="auto"/>
          <w:szCs w:val="21"/>
          <w:highlight w:val="none"/>
        </w:rPr>
        <w:t>.1 除项目不涉及或采购活动中明确约定无须承担外，乙方还应提供下列服务：</w:t>
      </w:r>
    </w:p>
    <w:p w14:paraId="33EFC6D5">
      <w:pPr>
        <w:shd w:val="clear" w:color="auto" w:fill="auto"/>
        <w:autoSpaceDE w:val="0"/>
        <w:autoSpaceDN w:val="0"/>
        <w:adjustRightInd w:val="0"/>
        <w:snapToGrid w:val="0"/>
        <w:spacing w:before="0" w:line="400" w:lineRule="exact"/>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（1）货物的现场移动、安装、调试、启动监督及技术支持；</w:t>
      </w:r>
    </w:p>
    <w:p w14:paraId="13273F92">
      <w:pPr>
        <w:shd w:val="clear" w:color="auto" w:fill="auto"/>
        <w:autoSpaceDE w:val="0"/>
        <w:autoSpaceDN w:val="0"/>
        <w:adjustRightInd w:val="0"/>
        <w:snapToGrid w:val="0"/>
        <w:spacing w:before="0" w:line="400" w:lineRule="exact"/>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（2）提供货物组装和维修所需的专用工具和辅助材料；</w:t>
      </w:r>
    </w:p>
    <w:p w14:paraId="63AC6900">
      <w:pPr>
        <w:shd w:val="clear" w:color="auto" w:fill="auto"/>
        <w:autoSpaceDE w:val="0"/>
        <w:autoSpaceDN w:val="0"/>
        <w:adjustRightInd w:val="0"/>
        <w:snapToGrid w:val="0"/>
        <w:spacing w:before="0" w:line="400" w:lineRule="exact"/>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（3）在</w:t>
      </w:r>
      <w:r>
        <w:rPr>
          <w:rFonts w:hint="eastAsia" w:ascii="宋体" w:hAnsi="宋体" w:eastAsia="宋体" w:cs="宋体"/>
          <w:b/>
          <w:bCs/>
          <w:szCs w:val="15"/>
          <w:highlight w:val="none"/>
        </w:rPr>
        <w:t>【政府采购合同专用条款】</w:t>
      </w:r>
      <w:r>
        <w:rPr>
          <w:rFonts w:hint="eastAsia" w:ascii="宋体" w:hAnsi="宋体" w:eastAsia="宋体" w:cs="宋体"/>
          <w:color w:val="auto"/>
          <w:szCs w:val="21"/>
          <w:highlight w:val="none"/>
          <w:lang w:eastAsia="zh-CN"/>
        </w:rPr>
        <w:t>约定</w:t>
      </w:r>
      <w:r>
        <w:rPr>
          <w:rFonts w:hint="eastAsia" w:ascii="宋体" w:hAnsi="宋体" w:eastAsia="宋体" w:cs="宋体"/>
          <w:color w:val="auto"/>
          <w:szCs w:val="21"/>
          <w:highlight w:val="none"/>
        </w:rPr>
        <w:t>的期限内对所有的货物实施运行监督、维修，但前提条件是该服务并不能免除乙方在质量保证期内所承担的义务；</w:t>
      </w:r>
    </w:p>
    <w:p w14:paraId="017FAE27">
      <w:pPr>
        <w:shd w:val="clear" w:color="auto" w:fill="auto"/>
        <w:autoSpaceDE w:val="0"/>
        <w:autoSpaceDN w:val="0"/>
        <w:adjustRightInd w:val="0"/>
        <w:snapToGrid w:val="0"/>
        <w:spacing w:before="0" w:line="400" w:lineRule="exact"/>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（4）在制造商</w:t>
      </w:r>
      <w:r>
        <w:rPr>
          <w:rFonts w:hint="eastAsia" w:ascii="宋体" w:hAnsi="宋体" w:eastAsia="宋体" w:cs="宋体"/>
          <w:color w:val="auto"/>
          <w:szCs w:val="21"/>
          <w:highlight w:val="none"/>
          <w:lang w:eastAsia="zh-CN"/>
        </w:rPr>
        <w:t>所在地</w:t>
      </w:r>
      <w:r>
        <w:rPr>
          <w:rFonts w:hint="eastAsia" w:ascii="宋体" w:hAnsi="宋体" w:eastAsia="宋体" w:cs="宋体"/>
          <w:color w:val="auto"/>
          <w:szCs w:val="21"/>
          <w:highlight w:val="none"/>
        </w:rPr>
        <w:t>或</w:t>
      </w:r>
      <w:r>
        <w:rPr>
          <w:rFonts w:hint="eastAsia" w:ascii="宋体" w:hAnsi="宋体" w:eastAsia="宋体" w:cs="宋体"/>
          <w:color w:val="auto"/>
          <w:szCs w:val="21"/>
          <w:highlight w:val="none"/>
          <w:lang w:eastAsia="zh-CN"/>
        </w:rPr>
        <w:t>指定</w:t>
      </w:r>
      <w:r>
        <w:rPr>
          <w:rFonts w:hint="eastAsia" w:ascii="宋体" w:hAnsi="宋体" w:eastAsia="宋体" w:cs="宋体"/>
          <w:color w:val="auto"/>
          <w:szCs w:val="21"/>
          <w:highlight w:val="none"/>
        </w:rPr>
        <w:t>现场就货物的安装、启动、运营、维护</w:t>
      </w:r>
      <w:r>
        <w:rPr>
          <w:rFonts w:hint="eastAsia" w:ascii="宋体" w:hAnsi="宋体" w:eastAsia="宋体" w:cs="宋体"/>
          <w:color w:val="auto"/>
          <w:szCs w:val="21"/>
          <w:highlight w:val="none"/>
          <w:lang w:eastAsia="zh-CN"/>
        </w:rPr>
        <w:t>、废弃处置等</w:t>
      </w:r>
      <w:r>
        <w:rPr>
          <w:rFonts w:hint="eastAsia" w:ascii="宋体" w:hAnsi="宋体" w:eastAsia="宋体" w:cs="宋体"/>
          <w:color w:val="auto"/>
          <w:szCs w:val="21"/>
          <w:highlight w:val="none"/>
        </w:rPr>
        <w:t>对甲方操作人员进行培训</w:t>
      </w:r>
      <w:r>
        <w:rPr>
          <w:rFonts w:hint="eastAsia" w:ascii="宋体" w:hAnsi="宋体" w:eastAsia="宋体" w:cs="宋体"/>
          <w:szCs w:val="15"/>
          <w:lang w:eastAsia="zh-CN"/>
        </w:rPr>
        <w:t>；</w:t>
      </w:r>
    </w:p>
    <w:p w14:paraId="536F4C0E">
      <w:pPr>
        <w:pStyle w:val="43"/>
        <w:shd w:val="clear" w:color="auto" w:fill="auto"/>
        <w:rPr>
          <w:rFonts w:hint="eastAsia" w:ascii="宋体" w:hAnsi="宋体" w:eastAsia="宋体" w:cs="宋体"/>
          <w:sz w:val="21"/>
          <w:szCs w:val="21"/>
        </w:rPr>
      </w:pPr>
      <w:r>
        <w:rPr>
          <w:rFonts w:hint="eastAsia" w:ascii="宋体" w:hAnsi="宋体" w:eastAsia="宋体" w:cs="宋体"/>
          <w:sz w:val="21"/>
          <w:szCs w:val="21"/>
        </w:rPr>
        <w:t>（5）依照法律、行政法规的规定或者按照</w:t>
      </w:r>
      <w:r>
        <w:rPr>
          <w:rFonts w:hint="eastAsia" w:ascii="宋体" w:hAnsi="宋体" w:eastAsia="宋体" w:cs="宋体"/>
          <w:b/>
          <w:bCs/>
          <w:sz w:val="21"/>
          <w:szCs w:val="21"/>
        </w:rPr>
        <w:t>【政府采购合同专用条款】</w:t>
      </w:r>
      <w:r>
        <w:rPr>
          <w:rFonts w:hint="eastAsia" w:ascii="宋体" w:hAnsi="宋体" w:eastAsia="宋体" w:cs="宋体"/>
          <w:sz w:val="21"/>
          <w:szCs w:val="21"/>
        </w:rPr>
        <w:t>约定，货物在有效使用年限届满后应予回收的，乙方负有自行或者委托第三人对货物予以回收的义务；</w:t>
      </w:r>
    </w:p>
    <w:p w14:paraId="204764CE">
      <w:pPr>
        <w:shd w:val="clear" w:color="auto" w:fill="auto"/>
        <w:autoSpaceDE w:val="0"/>
        <w:autoSpaceDN w:val="0"/>
        <w:adjustRightInd w:val="0"/>
        <w:snapToGrid w:val="0"/>
        <w:spacing w:before="0" w:line="400" w:lineRule="exact"/>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w:t>
      </w:r>
      <w:r>
        <w:rPr>
          <w:rFonts w:hint="eastAsia" w:ascii="宋体" w:hAnsi="宋体" w:eastAsia="宋体" w:cs="宋体"/>
          <w:color w:val="auto"/>
          <w:szCs w:val="21"/>
          <w:highlight w:val="none"/>
          <w:lang w:val="en-US" w:eastAsia="zh-CN"/>
        </w:rPr>
        <w:t>6</w:t>
      </w:r>
      <w:r>
        <w:rPr>
          <w:rFonts w:hint="eastAsia" w:ascii="宋体" w:hAnsi="宋体" w:eastAsia="宋体" w:cs="宋体"/>
          <w:color w:val="auto"/>
          <w:szCs w:val="21"/>
          <w:highlight w:val="none"/>
        </w:rPr>
        <w:t>）</w:t>
      </w:r>
      <w:r>
        <w:rPr>
          <w:rFonts w:hint="eastAsia" w:ascii="宋体" w:hAnsi="宋体" w:eastAsia="宋体" w:cs="宋体"/>
          <w:b/>
          <w:color w:val="auto"/>
          <w:szCs w:val="21"/>
          <w:highlight w:val="none"/>
        </w:rPr>
        <w:t>【政府采购合同专用条款】</w:t>
      </w:r>
      <w:r>
        <w:rPr>
          <w:rFonts w:hint="eastAsia" w:ascii="宋体" w:hAnsi="宋体" w:eastAsia="宋体" w:cs="宋体"/>
          <w:color w:val="auto"/>
          <w:szCs w:val="21"/>
          <w:highlight w:val="none"/>
        </w:rPr>
        <w:t>规定由乙方提供的其他服务。</w:t>
      </w:r>
    </w:p>
    <w:p w14:paraId="4BC23DDB">
      <w:pPr>
        <w:shd w:val="clear" w:color="auto" w:fill="auto"/>
        <w:autoSpaceDE w:val="0"/>
        <w:autoSpaceDN w:val="0"/>
        <w:adjustRightInd w:val="0"/>
        <w:snapToGrid w:val="0"/>
        <w:spacing w:before="0" w:line="400" w:lineRule="exact"/>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w:t>
      </w:r>
      <w:r>
        <w:rPr>
          <w:rFonts w:hint="eastAsia" w:ascii="宋体" w:hAnsi="宋体" w:eastAsia="宋体" w:cs="宋体"/>
          <w:color w:val="auto"/>
          <w:szCs w:val="21"/>
          <w:highlight w:val="none"/>
          <w:lang w:val="en-US" w:eastAsia="zh-CN"/>
        </w:rPr>
        <w:t>4</w:t>
      </w:r>
      <w:r>
        <w:rPr>
          <w:rFonts w:hint="eastAsia" w:ascii="宋体" w:hAnsi="宋体" w:eastAsia="宋体" w:cs="宋体"/>
          <w:color w:val="auto"/>
          <w:szCs w:val="21"/>
          <w:highlight w:val="none"/>
        </w:rPr>
        <w:t>.2 乙方提供的</w:t>
      </w:r>
      <w:r>
        <w:rPr>
          <w:rFonts w:hint="eastAsia" w:ascii="宋体" w:hAnsi="宋体" w:eastAsia="宋体" w:cs="宋体"/>
          <w:color w:val="auto"/>
          <w:szCs w:val="21"/>
          <w:highlight w:val="none"/>
          <w:lang w:eastAsia="zh-CN"/>
        </w:rPr>
        <w:t>售后</w:t>
      </w:r>
      <w:r>
        <w:rPr>
          <w:rFonts w:hint="eastAsia" w:ascii="宋体" w:hAnsi="宋体" w:eastAsia="宋体" w:cs="宋体"/>
          <w:color w:val="auto"/>
          <w:szCs w:val="21"/>
          <w:highlight w:val="none"/>
        </w:rPr>
        <w:t>服务的费用</w:t>
      </w:r>
      <w:r>
        <w:rPr>
          <w:rFonts w:hint="eastAsia" w:ascii="宋体" w:hAnsi="宋体" w:eastAsia="宋体" w:cs="宋体"/>
          <w:color w:val="auto"/>
          <w:szCs w:val="21"/>
          <w:highlight w:val="none"/>
          <w:lang w:val="en-US" w:eastAsia="zh-CN"/>
        </w:rPr>
        <w:t>已</w:t>
      </w:r>
      <w:r>
        <w:rPr>
          <w:rFonts w:hint="eastAsia" w:ascii="宋体" w:hAnsi="宋体" w:eastAsia="宋体" w:cs="宋体"/>
          <w:color w:val="auto"/>
          <w:szCs w:val="21"/>
          <w:highlight w:val="none"/>
        </w:rPr>
        <w:t>包含在合同价款中，甲方不再另行支付。</w:t>
      </w:r>
    </w:p>
    <w:p w14:paraId="0D262494">
      <w:pPr>
        <w:shd w:val="clear" w:color="auto" w:fill="auto"/>
        <w:adjustRightInd w:val="0"/>
        <w:snapToGrid w:val="0"/>
        <w:spacing w:before="0" w:line="400" w:lineRule="exact"/>
        <w:jc w:val="lef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1</w:t>
      </w:r>
      <w:r>
        <w:rPr>
          <w:rFonts w:hint="eastAsia" w:ascii="宋体" w:hAnsi="宋体" w:eastAsia="宋体" w:cs="宋体"/>
          <w:b/>
          <w:bCs/>
          <w:color w:val="auto"/>
          <w:sz w:val="24"/>
          <w:highlight w:val="none"/>
          <w:lang w:eastAsia="zh-CN"/>
        </w:rPr>
        <w:t>5</w:t>
      </w:r>
      <w:r>
        <w:rPr>
          <w:rFonts w:hint="eastAsia" w:ascii="宋体" w:hAnsi="宋体" w:eastAsia="宋体" w:cs="宋体"/>
          <w:b/>
          <w:bCs/>
          <w:color w:val="auto"/>
          <w:sz w:val="24"/>
          <w:highlight w:val="none"/>
        </w:rPr>
        <w:t>.</w:t>
      </w:r>
      <w:r>
        <w:rPr>
          <w:rFonts w:hint="eastAsia" w:ascii="宋体" w:hAnsi="宋体" w:eastAsia="宋体" w:cs="宋体"/>
          <w:b/>
          <w:bCs/>
          <w:color w:val="auto"/>
          <w:sz w:val="24"/>
          <w:highlight w:val="none"/>
          <w:lang w:val="en-US" w:eastAsia="zh-CN"/>
        </w:rPr>
        <w:t xml:space="preserve"> </w:t>
      </w:r>
      <w:r>
        <w:rPr>
          <w:rFonts w:hint="eastAsia" w:ascii="宋体" w:hAnsi="宋体" w:eastAsia="宋体" w:cs="宋体"/>
          <w:b/>
          <w:bCs/>
          <w:color w:val="auto"/>
          <w:sz w:val="24"/>
          <w:highlight w:val="none"/>
        </w:rPr>
        <w:t>违约责任</w:t>
      </w:r>
    </w:p>
    <w:p w14:paraId="55551A17">
      <w:pPr>
        <w:shd w:val="clear" w:color="auto" w:fill="auto"/>
        <w:adjustRightInd w:val="0"/>
        <w:snapToGrid w:val="0"/>
        <w:spacing w:before="0" w:line="400" w:lineRule="exact"/>
        <w:ind w:firstLine="420" w:firstLineChars="200"/>
        <w:jc w:val="lef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1</w:t>
      </w:r>
      <w:r>
        <w:rPr>
          <w:rFonts w:hint="eastAsia" w:ascii="宋体" w:hAnsi="宋体" w:eastAsia="宋体" w:cs="宋体"/>
          <w:bCs/>
          <w:color w:val="auto"/>
          <w:szCs w:val="21"/>
          <w:highlight w:val="none"/>
          <w:lang w:eastAsia="zh-CN"/>
        </w:rPr>
        <w:t>5</w:t>
      </w:r>
      <w:r>
        <w:rPr>
          <w:rFonts w:hint="eastAsia" w:ascii="宋体" w:hAnsi="宋体" w:eastAsia="宋体" w:cs="宋体"/>
          <w:bCs/>
          <w:color w:val="auto"/>
          <w:szCs w:val="21"/>
          <w:highlight w:val="none"/>
        </w:rPr>
        <w:t>.1质量瑕疵的</w:t>
      </w:r>
      <w:r>
        <w:rPr>
          <w:rFonts w:hint="eastAsia" w:ascii="宋体" w:hAnsi="宋体" w:eastAsia="宋体" w:cs="宋体"/>
          <w:bCs/>
          <w:color w:val="auto"/>
          <w:szCs w:val="21"/>
          <w:highlight w:val="none"/>
          <w:lang w:eastAsia="zh-CN"/>
        </w:rPr>
        <w:t>违约责任</w:t>
      </w:r>
    </w:p>
    <w:p w14:paraId="3D15302D">
      <w:pPr>
        <w:shd w:val="clear" w:color="auto" w:fill="auto"/>
        <w:autoSpaceDE w:val="0"/>
        <w:autoSpaceDN w:val="0"/>
        <w:adjustRightInd w:val="0"/>
        <w:snapToGrid w:val="0"/>
        <w:spacing w:before="0" w:line="400" w:lineRule="exact"/>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乙方</w:t>
      </w:r>
      <w:r>
        <w:rPr>
          <w:rFonts w:hint="eastAsia" w:ascii="宋体" w:hAnsi="宋体" w:eastAsia="宋体" w:cs="宋体"/>
          <w:color w:val="auto"/>
          <w:szCs w:val="21"/>
          <w:highlight w:val="none"/>
          <w:lang w:eastAsia="zh-CN"/>
        </w:rPr>
        <w:t>提供</w:t>
      </w:r>
      <w:r>
        <w:rPr>
          <w:rFonts w:hint="eastAsia" w:ascii="宋体" w:hAnsi="宋体" w:eastAsia="宋体" w:cs="宋体"/>
          <w:color w:val="auto"/>
          <w:szCs w:val="21"/>
          <w:highlight w:val="none"/>
        </w:rPr>
        <w:t>的产品不符合</w:t>
      </w:r>
      <w:r>
        <w:rPr>
          <w:rFonts w:hint="eastAsia" w:ascii="宋体" w:hAnsi="宋体" w:eastAsia="宋体" w:cs="宋体"/>
          <w:color w:val="auto"/>
          <w:szCs w:val="21"/>
          <w:highlight w:val="none"/>
          <w:lang w:eastAsia="zh-CN"/>
        </w:rPr>
        <w:t>合同约定的</w:t>
      </w:r>
      <w:r>
        <w:rPr>
          <w:rFonts w:hint="eastAsia" w:ascii="宋体" w:hAnsi="宋体" w:eastAsia="宋体" w:cs="宋体"/>
          <w:color w:val="auto"/>
          <w:szCs w:val="21"/>
          <w:highlight w:val="none"/>
        </w:rPr>
        <w:t>质量标准或存在产品质量缺陷，</w:t>
      </w:r>
      <w:r>
        <w:rPr>
          <w:rFonts w:hint="eastAsia" w:ascii="宋体" w:hAnsi="宋体" w:eastAsia="宋体" w:cs="宋体"/>
          <w:color w:val="auto"/>
          <w:szCs w:val="21"/>
          <w:highlight w:val="none"/>
          <w:lang w:eastAsia="zh-CN"/>
        </w:rPr>
        <w:t>甲方有权要求乙方根据</w:t>
      </w:r>
      <w:r>
        <w:rPr>
          <w:rFonts w:hint="eastAsia" w:ascii="宋体" w:hAnsi="宋体" w:eastAsia="宋体" w:cs="宋体"/>
          <w:b/>
          <w:color w:val="auto"/>
          <w:szCs w:val="21"/>
          <w:highlight w:val="none"/>
        </w:rPr>
        <w:t>【政府采购合同专用条款】</w:t>
      </w:r>
      <w:r>
        <w:rPr>
          <w:rFonts w:hint="eastAsia" w:ascii="宋体" w:hAnsi="宋体" w:eastAsia="宋体" w:cs="宋体"/>
          <w:b w:val="0"/>
          <w:bCs/>
          <w:color w:val="auto"/>
          <w:szCs w:val="21"/>
          <w:highlight w:val="none"/>
          <w:lang w:eastAsia="zh-CN"/>
        </w:rPr>
        <w:t>要求</w:t>
      </w:r>
      <w:r>
        <w:rPr>
          <w:rFonts w:hint="eastAsia" w:ascii="宋体" w:hAnsi="宋体" w:eastAsia="宋体" w:cs="宋体"/>
          <w:color w:val="auto"/>
          <w:szCs w:val="21"/>
          <w:highlight w:val="none"/>
          <w:lang w:eastAsia="zh-CN"/>
        </w:rPr>
        <w:t>及时修理、重作、更换，并承担由此给甲</w:t>
      </w:r>
      <w:r>
        <w:rPr>
          <w:rFonts w:hint="eastAsia" w:ascii="宋体" w:hAnsi="宋体" w:eastAsia="宋体" w:cs="宋体"/>
          <w:color w:val="auto"/>
          <w:szCs w:val="21"/>
          <w:highlight w:val="none"/>
        </w:rPr>
        <w:t>方</w:t>
      </w:r>
      <w:r>
        <w:rPr>
          <w:rFonts w:hint="eastAsia" w:ascii="宋体" w:hAnsi="宋体" w:eastAsia="宋体" w:cs="宋体"/>
          <w:color w:val="auto"/>
          <w:szCs w:val="21"/>
          <w:highlight w:val="none"/>
          <w:lang w:eastAsia="zh-CN"/>
        </w:rPr>
        <w:t>造成的损失</w:t>
      </w:r>
      <w:r>
        <w:rPr>
          <w:rFonts w:hint="eastAsia" w:ascii="宋体" w:hAnsi="宋体" w:eastAsia="宋体" w:cs="宋体"/>
          <w:color w:val="auto"/>
          <w:szCs w:val="21"/>
          <w:highlight w:val="none"/>
        </w:rPr>
        <w:t>。</w:t>
      </w:r>
    </w:p>
    <w:p w14:paraId="7362AE7E">
      <w:pPr>
        <w:shd w:val="clear" w:color="auto" w:fill="auto"/>
        <w:autoSpaceDE w:val="0"/>
        <w:autoSpaceDN w:val="0"/>
        <w:adjustRightInd w:val="0"/>
        <w:snapToGrid w:val="0"/>
        <w:spacing w:before="0" w:line="400" w:lineRule="exact"/>
        <w:ind w:firstLine="420" w:firstLineChars="200"/>
        <w:jc w:val="lef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1</w:t>
      </w:r>
      <w:r>
        <w:rPr>
          <w:rFonts w:hint="eastAsia" w:ascii="宋体" w:hAnsi="宋体" w:eastAsia="宋体" w:cs="宋体"/>
          <w:bCs/>
          <w:color w:val="auto"/>
          <w:szCs w:val="21"/>
          <w:highlight w:val="none"/>
          <w:lang w:eastAsia="zh-CN"/>
        </w:rPr>
        <w:t>5</w:t>
      </w:r>
      <w:r>
        <w:rPr>
          <w:rFonts w:hint="eastAsia" w:ascii="宋体" w:hAnsi="宋体" w:eastAsia="宋体" w:cs="宋体"/>
          <w:bCs/>
          <w:color w:val="auto"/>
          <w:szCs w:val="21"/>
          <w:highlight w:val="none"/>
        </w:rPr>
        <w:t>.2 迟延交货的违约责任</w:t>
      </w:r>
    </w:p>
    <w:p w14:paraId="3267FD6C">
      <w:pPr>
        <w:shd w:val="clear" w:color="auto" w:fill="auto"/>
        <w:autoSpaceDE w:val="0"/>
        <w:autoSpaceDN w:val="0"/>
        <w:adjustRightInd w:val="0"/>
        <w:snapToGrid w:val="0"/>
        <w:spacing w:before="0" w:line="400" w:lineRule="exact"/>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（1）乙方应按照本合同规定的时间、地点交货和提供</w:t>
      </w:r>
      <w:r>
        <w:rPr>
          <w:rFonts w:hint="eastAsia" w:ascii="宋体" w:hAnsi="宋体" w:eastAsia="宋体" w:cs="宋体"/>
          <w:color w:val="auto"/>
          <w:szCs w:val="21"/>
          <w:highlight w:val="none"/>
          <w:lang w:eastAsia="zh-CN"/>
        </w:rPr>
        <w:t>相关</w:t>
      </w:r>
      <w:r>
        <w:rPr>
          <w:rFonts w:hint="eastAsia" w:ascii="宋体" w:hAnsi="宋体" w:eastAsia="宋体" w:cs="宋体"/>
          <w:color w:val="auto"/>
          <w:szCs w:val="21"/>
          <w:highlight w:val="none"/>
        </w:rPr>
        <w:t>服务。在履行合同过程中，如果乙方遇到可能</w:t>
      </w:r>
      <w:r>
        <w:rPr>
          <w:rFonts w:hint="eastAsia" w:ascii="宋体" w:hAnsi="宋体" w:eastAsia="宋体" w:cs="宋体"/>
          <w:color w:val="auto"/>
          <w:szCs w:val="21"/>
          <w:highlight w:val="none"/>
          <w:lang w:eastAsia="zh-CN"/>
        </w:rPr>
        <w:t>影响</w:t>
      </w:r>
      <w:r>
        <w:rPr>
          <w:rFonts w:hint="eastAsia" w:ascii="宋体" w:hAnsi="宋体" w:eastAsia="宋体" w:cs="宋体"/>
          <w:color w:val="auto"/>
          <w:szCs w:val="21"/>
          <w:highlight w:val="none"/>
        </w:rPr>
        <w:t>按时交货和提供服务的情形时，应及时以书面形式将迟延的事实、可能迟延的期限和理由通知甲方。甲方在收到乙方通知后，应尽快对情况进行评价，并确定是否同意延</w:t>
      </w:r>
      <w:r>
        <w:rPr>
          <w:rFonts w:hint="eastAsia" w:ascii="宋体" w:hAnsi="宋体" w:eastAsia="宋体" w:cs="宋体"/>
          <w:color w:val="auto"/>
          <w:szCs w:val="21"/>
          <w:highlight w:val="none"/>
          <w:lang w:eastAsia="zh-CN"/>
        </w:rPr>
        <w:t>长</w:t>
      </w:r>
      <w:r>
        <w:rPr>
          <w:rFonts w:hint="eastAsia" w:ascii="宋体" w:hAnsi="宋体" w:eastAsia="宋体" w:cs="宋体"/>
          <w:color w:val="auto"/>
          <w:szCs w:val="21"/>
          <w:highlight w:val="none"/>
        </w:rPr>
        <w:t>交货时间或延期提供服务。</w:t>
      </w:r>
    </w:p>
    <w:p w14:paraId="248211E2">
      <w:pPr>
        <w:shd w:val="clear" w:color="auto" w:fill="auto"/>
        <w:autoSpaceDE w:val="0"/>
        <w:autoSpaceDN w:val="0"/>
        <w:adjustRightInd w:val="0"/>
        <w:snapToGrid w:val="0"/>
        <w:spacing w:before="0" w:line="400" w:lineRule="exact"/>
        <w:ind w:firstLine="420" w:firstLineChars="200"/>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（2）如果乙方没有按照合同规定的时间交货和提供</w:t>
      </w:r>
      <w:r>
        <w:rPr>
          <w:rFonts w:hint="eastAsia" w:ascii="宋体" w:hAnsi="宋体" w:eastAsia="宋体" w:cs="宋体"/>
          <w:color w:val="auto"/>
          <w:szCs w:val="21"/>
          <w:highlight w:val="none"/>
          <w:lang w:eastAsia="zh-CN"/>
        </w:rPr>
        <w:t>相关</w:t>
      </w:r>
      <w:r>
        <w:rPr>
          <w:rFonts w:hint="eastAsia" w:ascii="宋体" w:hAnsi="宋体" w:eastAsia="宋体" w:cs="宋体"/>
          <w:color w:val="auto"/>
          <w:szCs w:val="21"/>
          <w:highlight w:val="none"/>
        </w:rPr>
        <w:t>服务，甲方有权从货款中扣除误期赔偿费而不影响合同项下的其他补救方法，赔偿费按</w:t>
      </w:r>
      <w:r>
        <w:rPr>
          <w:rFonts w:hint="eastAsia" w:ascii="宋体" w:hAnsi="宋体" w:eastAsia="宋体" w:cs="宋体"/>
          <w:b/>
          <w:color w:val="auto"/>
          <w:szCs w:val="21"/>
          <w:highlight w:val="none"/>
        </w:rPr>
        <w:t>【政府采购合同专用条款】</w:t>
      </w:r>
      <w:r>
        <w:rPr>
          <w:rFonts w:hint="eastAsia" w:ascii="宋体" w:hAnsi="宋体" w:eastAsia="宋体" w:cs="宋体"/>
          <w:color w:val="auto"/>
          <w:szCs w:val="21"/>
          <w:highlight w:val="none"/>
        </w:rPr>
        <w:t>规定执行。如果涉及公共利益，且赔偿金额无法弥补公共利益损失，</w:t>
      </w:r>
      <w:r>
        <w:rPr>
          <w:rFonts w:hint="eastAsia" w:ascii="宋体" w:hAnsi="宋体" w:eastAsia="宋体" w:cs="宋体"/>
          <w:color w:val="auto"/>
          <w:szCs w:val="21"/>
          <w:highlight w:val="none"/>
          <w:lang w:eastAsia="zh-CN"/>
        </w:rPr>
        <w:t>甲方</w:t>
      </w:r>
      <w:r>
        <w:rPr>
          <w:rFonts w:hint="eastAsia" w:ascii="宋体" w:hAnsi="宋体" w:eastAsia="宋体" w:cs="宋体"/>
          <w:color w:val="auto"/>
          <w:szCs w:val="21"/>
          <w:highlight w:val="none"/>
        </w:rPr>
        <w:t>可要求继续履行或者</w:t>
      </w:r>
      <w:r>
        <w:rPr>
          <w:rFonts w:hint="eastAsia" w:ascii="宋体" w:hAnsi="宋体" w:eastAsia="宋体" w:cs="宋体"/>
          <w:color w:val="auto"/>
          <w:szCs w:val="21"/>
          <w:highlight w:val="none"/>
          <w:lang w:eastAsia="zh-CN"/>
        </w:rPr>
        <w:t>采取其他补救措施</w:t>
      </w:r>
      <w:r>
        <w:rPr>
          <w:rFonts w:hint="eastAsia" w:ascii="宋体" w:hAnsi="宋体" w:eastAsia="宋体" w:cs="宋体"/>
          <w:color w:val="auto"/>
          <w:szCs w:val="21"/>
          <w:highlight w:val="none"/>
        </w:rPr>
        <w:t>。</w:t>
      </w:r>
    </w:p>
    <w:p w14:paraId="6A45E802">
      <w:pPr>
        <w:shd w:val="clear" w:color="auto" w:fill="auto"/>
        <w:autoSpaceDE w:val="0"/>
        <w:autoSpaceDN w:val="0"/>
        <w:adjustRightInd w:val="0"/>
        <w:snapToGrid w:val="0"/>
        <w:spacing w:before="0" w:line="400" w:lineRule="exact"/>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w:t>
      </w:r>
      <w:r>
        <w:rPr>
          <w:rFonts w:hint="eastAsia" w:ascii="宋体" w:hAnsi="宋体" w:eastAsia="宋体" w:cs="宋体"/>
          <w:color w:val="auto"/>
          <w:szCs w:val="21"/>
          <w:highlight w:val="none"/>
          <w:lang w:eastAsia="zh-CN"/>
        </w:rPr>
        <w:t>5</w:t>
      </w:r>
      <w:r>
        <w:rPr>
          <w:rFonts w:hint="eastAsia" w:ascii="宋体" w:hAnsi="宋体" w:eastAsia="宋体" w:cs="宋体"/>
          <w:color w:val="auto"/>
          <w:szCs w:val="21"/>
          <w:highlight w:val="none"/>
        </w:rPr>
        <w:t>.3 迟延支付的违约责任</w:t>
      </w:r>
    </w:p>
    <w:p w14:paraId="6A43C61B">
      <w:pPr>
        <w:shd w:val="clear" w:color="auto" w:fill="auto"/>
        <w:autoSpaceDE w:val="0"/>
        <w:autoSpaceDN w:val="0"/>
        <w:adjustRightInd w:val="0"/>
        <w:snapToGrid w:val="0"/>
        <w:spacing w:before="0" w:line="400" w:lineRule="exact"/>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甲方存在迟延支付乙方合同款项的，应当承担</w:t>
      </w:r>
      <w:r>
        <w:rPr>
          <w:rFonts w:hint="eastAsia" w:ascii="宋体" w:hAnsi="宋体" w:eastAsia="宋体" w:cs="宋体"/>
          <w:b/>
          <w:bCs/>
          <w:color w:val="auto"/>
          <w:szCs w:val="21"/>
          <w:highlight w:val="none"/>
        </w:rPr>
        <w:t>【政府采购合同专用条款】</w:t>
      </w:r>
      <w:r>
        <w:rPr>
          <w:rFonts w:hint="eastAsia" w:ascii="宋体" w:hAnsi="宋体" w:eastAsia="宋体" w:cs="宋体"/>
          <w:color w:val="auto"/>
          <w:szCs w:val="21"/>
          <w:highlight w:val="none"/>
        </w:rPr>
        <w:t>规定的逾期付款利息。</w:t>
      </w:r>
    </w:p>
    <w:p w14:paraId="51868BBE">
      <w:pPr>
        <w:shd w:val="clear" w:color="auto" w:fill="auto"/>
        <w:adjustRightInd w:val="0"/>
        <w:snapToGrid w:val="0"/>
        <w:spacing w:before="0" w:line="400" w:lineRule="exact"/>
        <w:ind w:firstLine="420" w:firstLineChars="200"/>
        <w:jc w:val="left"/>
        <w:rPr>
          <w:rFonts w:hint="eastAsia" w:ascii="宋体" w:hAnsi="宋体" w:eastAsia="宋体" w:cs="宋体"/>
          <w:color w:val="auto"/>
          <w:szCs w:val="21"/>
          <w:highlight w:val="none"/>
        </w:rPr>
      </w:pPr>
      <w:r>
        <w:rPr>
          <w:rFonts w:hint="eastAsia" w:ascii="宋体" w:hAnsi="宋体" w:eastAsia="宋体" w:cs="宋体"/>
          <w:bCs/>
          <w:color w:val="auto"/>
          <w:szCs w:val="21"/>
          <w:highlight w:val="none"/>
        </w:rPr>
        <w:t>1</w:t>
      </w:r>
      <w:r>
        <w:rPr>
          <w:rFonts w:hint="eastAsia" w:ascii="宋体" w:hAnsi="宋体" w:eastAsia="宋体" w:cs="宋体"/>
          <w:bCs/>
          <w:color w:val="auto"/>
          <w:szCs w:val="21"/>
          <w:highlight w:val="none"/>
          <w:lang w:eastAsia="zh-CN"/>
        </w:rPr>
        <w:t>5</w:t>
      </w:r>
      <w:r>
        <w:rPr>
          <w:rFonts w:hint="eastAsia" w:ascii="宋体" w:hAnsi="宋体" w:eastAsia="宋体" w:cs="宋体"/>
          <w:bCs/>
          <w:color w:val="auto"/>
          <w:szCs w:val="21"/>
          <w:highlight w:val="none"/>
        </w:rPr>
        <w:t>.4其他违约责任根据项目实际需要按</w:t>
      </w:r>
      <w:r>
        <w:rPr>
          <w:rFonts w:hint="eastAsia" w:ascii="宋体" w:hAnsi="宋体" w:eastAsia="宋体" w:cs="宋体"/>
          <w:b/>
          <w:bCs/>
          <w:color w:val="auto"/>
          <w:szCs w:val="21"/>
          <w:highlight w:val="none"/>
        </w:rPr>
        <w:t>【政府采购合同专用条款】</w:t>
      </w:r>
      <w:r>
        <w:rPr>
          <w:rFonts w:hint="eastAsia" w:ascii="宋体" w:hAnsi="宋体" w:eastAsia="宋体" w:cs="宋体"/>
          <w:color w:val="auto"/>
          <w:szCs w:val="21"/>
          <w:highlight w:val="none"/>
        </w:rPr>
        <w:t>规定执行。</w:t>
      </w:r>
    </w:p>
    <w:p w14:paraId="4DE1FF3E">
      <w:pPr>
        <w:numPr>
          <w:ilvl w:val="0"/>
          <w:numId w:val="5"/>
        </w:numPr>
        <w:shd w:val="clear" w:color="auto" w:fill="auto"/>
        <w:autoSpaceDE w:val="0"/>
        <w:autoSpaceDN w:val="0"/>
        <w:adjustRightInd w:val="0"/>
        <w:snapToGrid w:val="0"/>
        <w:spacing w:before="0" w:line="400" w:lineRule="exact"/>
        <w:jc w:val="lef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合同变更</w:t>
      </w:r>
      <w:r>
        <w:rPr>
          <w:rFonts w:hint="eastAsia" w:ascii="宋体" w:hAnsi="宋体" w:eastAsia="宋体" w:cs="宋体"/>
          <w:b/>
          <w:color w:val="auto"/>
          <w:sz w:val="24"/>
          <w:highlight w:val="none"/>
          <w:lang w:eastAsia="zh-CN"/>
        </w:rPr>
        <w:t>、中止与终止</w:t>
      </w:r>
    </w:p>
    <w:p w14:paraId="435E522C">
      <w:pPr>
        <w:shd w:val="clear" w:color="auto" w:fill="auto"/>
        <w:autoSpaceDE/>
        <w:autoSpaceDN/>
        <w:adjustRightInd w:val="0"/>
        <w:snapToGrid w:val="0"/>
        <w:spacing w:before="0" w:line="400" w:lineRule="exact"/>
        <w:ind w:firstLine="0" w:firstLineChars="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rPr>
        <w:t>1</w:t>
      </w:r>
      <w:r>
        <w:rPr>
          <w:rFonts w:hint="eastAsia" w:ascii="宋体" w:hAnsi="宋体" w:eastAsia="宋体" w:cs="宋体"/>
          <w:color w:val="auto"/>
          <w:szCs w:val="21"/>
          <w:highlight w:val="none"/>
          <w:lang w:val="en-US" w:eastAsia="zh-CN"/>
        </w:rPr>
        <w:t>6</w:t>
      </w:r>
      <w:r>
        <w:rPr>
          <w:rFonts w:hint="eastAsia" w:ascii="宋体" w:hAnsi="宋体" w:eastAsia="宋体" w:cs="宋体"/>
          <w:color w:val="auto"/>
          <w:szCs w:val="21"/>
          <w:highlight w:val="none"/>
        </w:rPr>
        <w:t>.1合同的</w:t>
      </w:r>
      <w:r>
        <w:rPr>
          <w:rFonts w:hint="eastAsia" w:ascii="宋体" w:hAnsi="宋体" w:eastAsia="宋体" w:cs="宋体"/>
          <w:color w:val="auto"/>
          <w:szCs w:val="21"/>
          <w:highlight w:val="none"/>
          <w:lang w:eastAsia="zh-CN"/>
        </w:rPr>
        <w:t>变更</w:t>
      </w:r>
    </w:p>
    <w:p w14:paraId="781EB2BC">
      <w:pPr>
        <w:shd w:val="clear" w:color="auto" w:fill="auto"/>
        <w:autoSpaceDE w:val="0"/>
        <w:autoSpaceDN w:val="0"/>
        <w:adjustRightInd w:val="0"/>
        <w:snapToGrid w:val="0"/>
        <w:spacing w:before="0" w:line="400" w:lineRule="exact"/>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政府采购合同履行中，</w:t>
      </w:r>
      <w:r>
        <w:rPr>
          <w:rFonts w:hint="eastAsia" w:ascii="宋体" w:hAnsi="宋体" w:eastAsia="宋体" w:cs="宋体"/>
          <w:color w:val="auto"/>
          <w:szCs w:val="21"/>
          <w:highlight w:val="none"/>
        </w:rPr>
        <w:t>在不改变合同其他条款的前提下，甲方可以在合同价款10%的范围内追加与合同标的相同的货物，并就此与乙方协商</w:t>
      </w:r>
      <w:r>
        <w:rPr>
          <w:rFonts w:hint="eastAsia" w:ascii="宋体" w:hAnsi="宋体" w:eastAsia="宋体" w:cs="宋体"/>
          <w:color w:val="auto"/>
          <w:szCs w:val="21"/>
          <w:highlight w:val="none"/>
          <w:lang w:eastAsia="zh-CN"/>
        </w:rPr>
        <w:t>一致后</w:t>
      </w:r>
      <w:r>
        <w:rPr>
          <w:rFonts w:hint="eastAsia" w:ascii="宋体" w:hAnsi="宋体" w:eastAsia="宋体" w:cs="宋体"/>
          <w:color w:val="auto"/>
          <w:szCs w:val="21"/>
          <w:highlight w:val="none"/>
        </w:rPr>
        <w:t>签订补充协议。</w:t>
      </w:r>
    </w:p>
    <w:p w14:paraId="38414779">
      <w:pPr>
        <w:shd w:val="clear" w:color="auto" w:fill="auto"/>
        <w:adjustRightInd w:val="0"/>
        <w:snapToGrid w:val="0"/>
        <w:spacing w:before="0" w:line="400" w:lineRule="exact"/>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w:t>
      </w:r>
      <w:r>
        <w:rPr>
          <w:rFonts w:hint="eastAsia" w:ascii="宋体" w:hAnsi="宋体" w:eastAsia="宋体" w:cs="宋体"/>
          <w:color w:val="auto"/>
          <w:szCs w:val="21"/>
          <w:highlight w:val="none"/>
          <w:lang w:val="en-US" w:eastAsia="zh-CN"/>
        </w:rPr>
        <w:t>6</w:t>
      </w:r>
      <w:r>
        <w:rPr>
          <w:rFonts w:hint="eastAsia" w:ascii="宋体" w:hAnsi="宋体" w:eastAsia="宋体" w:cs="宋体"/>
          <w:color w:val="auto"/>
          <w:szCs w:val="21"/>
          <w:highlight w:val="none"/>
        </w:rPr>
        <w:t>.</w:t>
      </w:r>
      <w:r>
        <w:rPr>
          <w:rFonts w:hint="eastAsia" w:ascii="宋体" w:hAnsi="宋体" w:eastAsia="宋体" w:cs="宋体"/>
          <w:color w:val="auto"/>
          <w:szCs w:val="21"/>
          <w:highlight w:val="none"/>
          <w:lang w:val="en-US" w:eastAsia="zh-CN"/>
        </w:rPr>
        <w:t>2</w:t>
      </w:r>
      <w:r>
        <w:rPr>
          <w:rFonts w:hint="eastAsia" w:ascii="宋体" w:hAnsi="宋体" w:eastAsia="宋体" w:cs="宋体"/>
          <w:color w:val="auto"/>
          <w:szCs w:val="21"/>
          <w:highlight w:val="none"/>
        </w:rPr>
        <w:t>合同的中止</w:t>
      </w:r>
    </w:p>
    <w:p w14:paraId="02BF488D">
      <w:pPr>
        <w:shd w:val="clear" w:color="auto" w:fill="auto"/>
        <w:autoSpaceDE w:val="0"/>
        <w:autoSpaceDN w:val="0"/>
        <w:adjustRightInd w:val="0"/>
        <w:snapToGrid w:val="0"/>
        <w:spacing w:before="0" w:line="400" w:lineRule="exact"/>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（1）合同履行过程中因供应商就采购文件、采购过程或结果提起投诉的，甲方认为有必要的，</w:t>
      </w:r>
      <w:r>
        <w:rPr>
          <w:rFonts w:hint="eastAsia" w:ascii="宋体" w:hAnsi="宋体" w:eastAsia="宋体" w:cs="宋体"/>
          <w:color w:val="auto"/>
          <w:szCs w:val="21"/>
          <w:highlight w:val="none"/>
          <w:lang w:eastAsia="zh-CN"/>
        </w:rPr>
        <w:t>可以</w:t>
      </w:r>
      <w:r>
        <w:rPr>
          <w:rFonts w:hint="eastAsia" w:ascii="宋体" w:hAnsi="宋体" w:eastAsia="宋体" w:cs="宋体"/>
          <w:color w:val="auto"/>
          <w:szCs w:val="21"/>
          <w:highlight w:val="none"/>
        </w:rPr>
        <w:t>中止合同的履行。</w:t>
      </w:r>
    </w:p>
    <w:p w14:paraId="605952AC">
      <w:pPr>
        <w:shd w:val="clear" w:color="auto" w:fill="auto"/>
        <w:autoSpaceDE w:val="0"/>
        <w:autoSpaceDN w:val="0"/>
        <w:adjustRightInd w:val="0"/>
        <w:snapToGrid w:val="0"/>
        <w:spacing w:before="0" w:line="400" w:lineRule="exact"/>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（2）</w:t>
      </w:r>
      <w:r>
        <w:rPr>
          <w:rFonts w:hint="eastAsia" w:ascii="宋体" w:hAnsi="宋体" w:eastAsia="宋体" w:cs="宋体"/>
          <w:color w:val="auto"/>
          <w:szCs w:val="21"/>
          <w:highlight w:val="none"/>
          <w:lang w:val="en-US" w:eastAsia="zh-CN"/>
        </w:rPr>
        <w:t>合同履行过程中，</w:t>
      </w:r>
      <w:r>
        <w:rPr>
          <w:rFonts w:hint="eastAsia" w:ascii="宋体" w:hAnsi="宋体" w:eastAsia="宋体" w:cs="宋体"/>
          <w:color w:val="auto"/>
          <w:szCs w:val="21"/>
          <w:highlight w:val="none"/>
        </w:rPr>
        <w:t>如果乙方出现以下情形之一的：1．经营状况严重恶化；2．转移财产、抽逃资金，以逃避债务；3．丧失商业信誉；4．有丧失或者可能丧失履约能力的其他情形</w:t>
      </w:r>
      <w:r>
        <w:rPr>
          <w:rFonts w:hint="eastAsia" w:ascii="宋体" w:hAnsi="宋体" w:eastAsia="宋体" w:cs="宋体"/>
          <w:color w:val="auto"/>
          <w:szCs w:val="21"/>
          <w:highlight w:val="none"/>
          <w:lang w:eastAsia="zh-CN"/>
        </w:rPr>
        <w:t>，乙方有义务及时告知甲方</w:t>
      </w:r>
      <w:r>
        <w:rPr>
          <w:rFonts w:hint="eastAsia" w:ascii="宋体" w:hAnsi="宋体" w:eastAsia="宋体" w:cs="宋体"/>
          <w:color w:val="auto"/>
          <w:szCs w:val="21"/>
          <w:highlight w:val="none"/>
        </w:rPr>
        <w:t>。甲方</w:t>
      </w:r>
      <w:r>
        <w:rPr>
          <w:rFonts w:hint="eastAsia" w:ascii="宋体" w:hAnsi="宋体" w:eastAsia="宋体" w:cs="宋体"/>
          <w:color w:val="auto"/>
          <w:szCs w:val="21"/>
          <w:highlight w:val="none"/>
          <w:lang w:eastAsia="zh-CN"/>
        </w:rPr>
        <w:t>有权</w:t>
      </w:r>
      <w:r>
        <w:rPr>
          <w:rFonts w:hint="eastAsia" w:ascii="宋体" w:hAnsi="宋体" w:eastAsia="宋体" w:cs="宋体"/>
          <w:color w:val="auto"/>
          <w:szCs w:val="21"/>
          <w:highlight w:val="none"/>
        </w:rPr>
        <w:t>以书面形式通知乙方中止合同</w:t>
      </w:r>
      <w:r>
        <w:rPr>
          <w:rFonts w:hint="eastAsia" w:ascii="宋体" w:hAnsi="宋体" w:eastAsia="宋体" w:cs="宋体"/>
          <w:color w:val="auto"/>
          <w:szCs w:val="21"/>
          <w:highlight w:val="none"/>
          <w:lang w:eastAsia="zh-CN"/>
        </w:rPr>
        <w:t>并要求乙方在合理期限内消除相关情形或者提供适当担保。</w:t>
      </w:r>
      <w:r>
        <w:rPr>
          <w:rFonts w:hint="eastAsia" w:ascii="宋体" w:hAnsi="宋体" w:eastAsia="宋体" w:cs="宋体"/>
          <w:color w:val="auto"/>
          <w:szCs w:val="21"/>
          <w:highlight w:val="none"/>
        </w:rPr>
        <w:t>乙方提供适当担保的，</w:t>
      </w:r>
      <w:r>
        <w:rPr>
          <w:rFonts w:hint="eastAsia" w:ascii="宋体" w:hAnsi="宋体" w:eastAsia="宋体" w:cs="宋体"/>
          <w:color w:val="auto"/>
          <w:szCs w:val="21"/>
          <w:highlight w:val="none"/>
          <w:lang w:eastAsia="zh-CN"/>
        </w:rPr>
        <w:t>合同继续</w:t>
      </w:r>
      <w:r>
        <w:rPr>
          <w:rFonts w:hint="eastAsia" w:ascii="宋体" w:hAnsi="宋体" w:eastAsia="宋体" w:cs="宋体"/>
          <w:color w:val="auto"/>
          <w:szCs w:val="21"/>
          <w:highlight w:val="none"/>
        </w:rPr>
        <w:t>履行</w:t>
      </w:r>
      <w:r>
        <w:rPr>
          <w:rFonts w:hint="eastAsia" w:ascii="宋体" w:hAnsi="宋体" w:eastAsia="宋体" w:cs="宋体"/>
          <w:color w:val="auto"/>
          <w:szCs w:val="21"/>
          <w:highlight w:val="none"/>
          <w:lang w:eastAsia="zh-CN"/>
        </w:rPr>
        <w:t>；乙</w:t>
      </w:r>
      <w:r>
        <w:rPr>
          <w:rFonts w:hint="eastAsia" w:ascii="宋体" w:hAnsi="宋体" w:eastAsia="宋体" w:cs="宋体"/>
          <w:color w:val="auto"/>
          <w:szCs w:val="21"/>
          <w:highlight w:val="none"/>
        </w:rPr>
        <w:t>方在合理期限内未恢复履约能力且未提供适当担保的，视为拒绝</w:t>
      </w:r>
      <w:r>
        <w:rPr>
          <w:rFonts w:hint="eastAsia" w:ascii="宋体" w:hAnsi="宋体" w:eastAsia="宋体" w:cs="宋体"/>
          <w:color w:val="auto"/>
          <w:szCs w:val="21"/>
          <w:highlight w:val="none"/>
          <w:lang w:eastAsia="zh-CN"/>
        </w:rPr>
        <w:t>继续</w:t>
      </w:r>
      <w:r>
        <w:rPr>
          <w:rFonts w:hint="eastAsia" w:ascii="宋体" w:hAnsi="宋体" w:eastAsia="宋体" w:cs="宋体"/>
          <w:color w:val="auto"/>
          <w:szCs w:val="21"/>
          <w:highlight w:val="none"/>
        </w:rPr>
        <w:t>履约，甲方</w:t>
      </w:r>
      <w:r>
        <w:rPr>
          <w:rFonts w:hint="eastAsia" w:ascii="宋体" w:hAnsi="宋体" w:eastAsia="宋体" w:cs="宋体"/>
          <w:color w:val="auto"/>
          <w:szCs w:val="21"/>
          <w:highlight w:val="none"/>
          <w:lang w:eastAsia="zh-CN"/>
        </w:rPr>
        <w:t>有权</w:t>
      </w:r>
      <w:r>
        <w:rPr>
          <w:rFonts w:hint="eastAsia" w:ascii="宋体" w:hAnsi="宋体" w:eastAsia="宋体" w:cs="宋体"/>
          <w:color w:val="auto"/>
          <w:szCs w:val="21"/>
          <w:highlight w:val="none"/>
        </w:rPr>
        <w:t>解除合同并要求乙方承担</w:t>
      </w:r>
      <w:r>
        <w:rPr>
          <w:rFonts w:hint="eastAsia" w:ascii="宋体" w:hAnsi="宋体" w:eastAsia="宋体" w:cs="宋体"/>
          <w:color w:val="auto"/>
          <w:szCs w:val="21"/>
          <w:highlight w:val="none"/>
          <w:lang w:eastAsia="zh-CN"/>
        </w:rPr>
        <w:t>由此给甲方造成的损失</w:t>
      </w:r>
      <w:r>
        <w:rPr>
          <w:rFonts w:hint="eastAsia" w:ascii="宋体" w:hAnsi="宋体" w:eastAsia="宋体" w:cs="宋体"/>
          <w:color w:val="auto"/>
          <w:szCs w:val="21"/>
          <w:highlight w:val="none"/>
        </w:rPr>
        <w:t>。</w:t>
      </w:r>
    </w:p>
    <w:p w14:paraId="77736F24">
      <w:pPr>
        <w:pStyle w:val="43"/>
        <w:shd w:val="clear" w:color="auto" w:fill="auto"/>
        <w:jc w:val="both"/>
        <w:rPr>
          <w:rFonts w:hint="eastAsia" w:ascii="宋体" w:hAnsi="宋体" w:eastAsia="宋体" w:cs="宋体"/>
          <w:sz w:val="21"/>
        </w:rPr>
      </w:pPr>
      <w:r>
        <w:rPr>
          <w:rFonts w:hint="eastAsia" w:ascii="宋体" w:hAnsi="宋体" w:eastAsia="宋体" w:cs="宋体"/>
          <w:sz w:val="21"/>
        </w:rPr>
        <w:t>（3）乙方分立、合并或者变更住所的，应当及时以书面形式告知甲方。乙方没有</w:t>
      </w:r>
      <w:r>
        <w:rPr>
          <w:rFonts w:hint="eastAsia" w:ascii="宋体" w:hAnsi="宋体" w:eastAsia="宋体" w:cs="宋体"/>
          <w:sz w:val="21"/>
          <w:lang w:eastAsia="zh-CN"/>
        </w:rPr>
        <w:t>及时告知</w:t>
      </w:r>
      <w:r>
        <w:rPr>
          <w:rFonts w:hint="eastAsia" w:ascii="宋体" w:hAnsi="宋体" w:eastAsia="宋体" w:cs="宋体"/>
          <w:sz w:val="21"/>
        </w:rPr>
        <w:t>甲方，致使</w:t>
      </w:r>
      <w:r>
        <w:rPr>
          <w:rFonts w:hint="eastAsia" w:ascii="宋体" w:hAnsi="宋体" w:eastAsia="宋体" w:cs="宋体"/>
          <w:sz w:val="21"/>
          <w:lang w:eastAsia="zh-CN"/>
        </w:rPr>
        <w:t>合同</w:t>
      </w:r>
      <w:r>
        <w:rPr>
          <w:rFonts w:hint="eastAsia" w:ascii="宋体" w:hAnsi="宋体" w:eastAsia="宋体" w:cs="宋体"/>
          <w:sz w:val="21"/>
        </w:rPr>
        <w:t>履行发生困难的，甲方可以中止合同履行并要求乙方承担由此给甲方造成的损失。</w:t>
      </w:r>
    </w:p>
    <w:p w14:paraId="1F641BC4">
      <w:pPr>
        <w:shd w:val="clear" w:color="auto" w:fill="auto"/>
        <w:snapToGrid w:val="0"/>
        <w:spacing w:line="400" w:lineRule="exact"/>
        <w:ind w:firstLine="420" w:firstLineChars="200"/>
        <w:jc w:val="left"/>
        <w:rPr>
          <w:rFonts w:hint="eastAsia" w:ascii="宋体" w:hAnsi="宋体" w:eastAsia="宋体" w:cs="宋体"/>
          <w:sz w:val="21"/>
        </w:rPr>
      </w:pPr>
      <w:r>
        <w:rPr>
          <w:rFonts w:hint="eastAsia" w:ascii="宋体" w:hAnsi="宋体" w:eastAsia="宋体" w:cs="宋体"/>
          <w:color w:val="auto"/>
          <w:szCs w:val="21"/>
          <w:highlight w:val="none"/>
        </w:rPr>
        <w:t>（</w:t>
      </w:r>
      <w:r>
        <w:rPr>
          <w:rFonts w:hint="eastAsia" w:ascii="宋体" w:hAnsi="宋体" w:eastAsia="宋体" w:cs="宋体"/>
          <w:color w:val="auto"/>
          <w:szCs w:val="21"/>
          <w:highlight w:val="none"/>
          <w:lang w:val="en-US" w:eastAsia="zh-CN"/>
        </w:rPr>
        <w:t>4</w:t>
      </w:r>
      <w:r>
        <w:rPr>
          <w:rFonts w:hint="eastAsia" w:ascii="宋体" w:hAnsi="宋体" w:eastAsia="宋体" w:cs="宋体"/>
          <w:color w:val="auto"/>
          <w:szCs w:val="21"/>
          <w:highlight w:val="none"/>
        </w:rPr>
        <w:t>）甲方不得以行政区划调整、政府换届、机构或者职能调整以及相关责任人更替为由中止合同。</w:t>
      </w:r>
    </w:p>
    <w:p w14:paraId="1E40DD81">
      <w:pPr>
        <w:shd w:val="clear" w:color="auto" w:fill="auto"/>
        <w:adjustRightInd w:val="0"/>
        <w:snapToGrid w:val="0"/>
        <w:spacing w:before="0" w:line="400" w:lineRule="exact"/>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w:t>
      </w:r>
      <w:r>
        <w:rPr>
          <w:rFonts w:hint="eastAsia" w:ascii="宋体" w:hAnsi="宋体" w:eastAsia="宋体" w:cs="宋体"/>
          <w:color w:val="auto"/>
          <w:szCs w:val="21"/>
          <w:highlight w:val="none"/>
          <w:lang w:val="en-US" w:eastAsia="zh-CN"/>
        </w:rPr>
        <w:t>6</w:t>
      </w:r>
      <w:r>
        <w:rPr>
          <w:rFonts w:hint="eastAsia" w:ascii="宋体" w:hAnsi="宋体" w:eastAsia="宋体" w:cs="宋体"/>
          <w:color w:val="auto"/>
          <w:szCs w:val="21"/>
          <w:highlight w:val="none"/>
        </w:rPr>
        <w:t>.</w:t>
      </w:r>
      <w:r>
        <w:rPr>
          <w:rFonts w:hint="eastAsia" w:ascii="宋体" w:hAnsi="宋体" w:eastAsia="宋体" w:cs="宋体"/>
          <w:color w:val="auto"/>
          <w:szCs w:val="21"/>
          <w:highlight w:val="none"/>
          <w:lang w:val="en-US" w:eastAsia="zh-CN"/>
        </w:rPr>
        <w:t>3</w:t>
      </w:r>
      <w:r>
        <w:rPr>
          <w:rFonts w:hint="eastAsia" w:ascii="宋体" w:hAnsi="宋体" w:eastAsia="宋体" w:cs="宋体"/>
          <w:color w:val="auto"/>
          <w:szCs w:val="21"/>
          <w:highlight w:val="none"/>
        </w:rPr>
        <w:t>合同的终止</w:t>
      </w:r>
    </w:p>
    <w:p w14:paraId="526D353D">
      <w:pPr>
        <w:shd w:val="clear" w:color="auto" w:fill="auto"/>
        <w:autoSpaceDE w:val="0"/>
        <w:autoSpaceDN w:val="0"/>
        <w:adjustRightInd w:val="0"/>
        <w:snapToGrid w:val="0"/>
        <w:spacing w:before="0" w:line="400" w:lineRule="exact"/>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（1）合同因有效期限届满而终止；</w:t>
      </w:r>
    </w:p>
    <w:p w14:paraId="66B13EE0">
      <w:pPr>
        <w:shd w:val="clear" w:color="auto" w:fill="auto"/>
        <w:snapToGrid w:val="0"/>
        <w:spacing w:line="400" w:lineRule="exact"/>
        <w:ind w:firstLine="420" w:firstLineChars="200"/>
        <w:rPr>
          <w:rFonts w:hint="eastAsia" w:ascii="宋体" w:hAnsi="宋体" w:eastAsia="宋体" w:cs="宋体"/>
          <w:szCs w:val="21"/>
          <w:lang w:eastAsia="zh-CN"/>
        </w:rPr>
      </w:pPr>
      <w:r>
        <w:rPr>
          <w:rFonts w:hint="eastAsia" w:ascii="宋体" w:hAnsi="宋体" w:eastAsia="宋体" w:cs="宋体"/>
          <w:color w:val="auto"/>
          <w:szCs w:val="21"/>
          <w:highlight w:val="none"/>
        </w:rPr>
        <w:t>（2）乙方未</w:t>
      </w:r>
      <w:r>
        <w:rPr>
          <w:rFonts w:hint="eastAsia" w:ascii="宋体" w:hAnsi="宋体" w:eastAsia="宋体" w:cs="宋体"/>
          <w:color w:val="auto"/>
          <w:szCs w:val="21"/>
          <w:highlight w:val="none"/>
          <w:lang w:eastAsia="zh-CN"/>
        </w:rPr>
        <w:t>按</w:t>
      </w:r>
      <w:r>
        <w:rPr>
          <w:rFonts w:hint="eastAsia" w:ascii="宋体" w:hAnsi="宋体" w:eastAsia="宋体" w:cs="宋体"/>
          <w:color w:val="auto"/>
          <w:szCs w:val="21"/>
          <w:highlight w:val="none"/>
        </w:rPr>
        <w:t>合同约定履行，构成根本性违约的，甲方有权终止合同</w:t>
      </w:r>
      <w:r>
        <w:rPr>
          <w:rFonts w:hint="eastAsia" w:ascii="宋体" w:hAnsi="宋体" w:eastAsia="宋体" w:cs="宋体"/>
          <w:color w:val="auto"/>
          <w:szCs w:val="21"/>
          <w:highlight w:val="none"/>
          <w:lang w:eastAsia="zh-CN"/>
        </w:rPr>
        <w:t>，</w:t>
      </w:r>
      <w:r>
        <w:rPr>
          <w:rFonts w:hint="eastAsia" w:ascii="宋体" w:hAnsi="宋体" w:eastAsia="宋体" w:cs="宋体"/>
          <w:szCs w:val="21"/>
        </w:rPr>
        <w:t>并追究乙方的违约责</w:t>
      </w:r>
      <w:r>
        <w:rPr>
          <w:rFonts w:hint="eastAsia" w:ascii="宋体" w:hAnsi="宋体" w:eastAsia="宋体" w:cs="宋体"/>
          <w:szCs w:val="21"/>
          <w:lang w:val="en-US" w:eastAsia="zh-CN"/>
        </w:rPr>
        <w:t>任</w:t>
      </w:r>
      <w:r>
        <w:rPr>
          <w:rFonts w:hint="eastAsia" w:ascii="宋体" w:hAnsi="宋体" w:eastAsia="宋体" w:cs="宋体"/>
          <w:color w:val="auto"/>
          <w:szCs w:val="21"/>
          <w:highlight w:val="none"/>
        </w:rPr>
        <w:t>。</w:t>
      </w:r>
    </w:p>
    <w:p w14:paraId="27C3224C">
      <w:pPr>
        <w:pStyle w:val="43"/>
        <w:shd w:val="clear" w:color="auto" w:fil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16.4 </w:t>
      </w:r>
      <w:r>
        <w:rPr>
          <w:rFonts w:hint="eastAsia" w:ascii="宋体" w:hAnsi="宋体" w:eastAsia="宋体" w:cs="宋体"/>
          <w:color w:val="auto"/>
          <w:kern w:val="2"/>
          <w:sz w:val="21"/>
          <w:szCs w:val="21"/>
          <w:highlight w:val="none"/>
          <w:lang w:val="en-US" w:eastAsia="zh-CN"/>
        </w:rPr>
        <w:t>涉及国家利益、社会公共利益的情形</w:t>
      </w:r>
    </w:p>
    <w:p w14:paraId="3727DD0E">
      <w:pPr>
        <w:pStyle w:val="43"/>
        <w:shd w:val="clear" w:color="auto" w:fill="auto"/>
        <w:jc w:val="both"/>
        <w:rPr>
          <w:rFonts w:hint="eastAsia" w:ascii="宋体" w:hAnsi="宋体" w:eastAsia="宋体" w:cs="宋体"/>
          <w:sz w:val="21"/>
        </w:rPr>
      </w:pPr>
      <w:r>
        <w:rPr>
          <w:rFonts w:hint="eastAsia" w:ascii="宋体" w:hAnsi="宋体" w:eastAsia="宋体" w:cs="宋体"/>
          <w:sz w:val="21"/>
        </w:rPr>
        <w:t>政府采购合同继续履行将损害国家利益和社会公共利益的，双方当事人</w:t>
      </w:r>
      <w:r>
        <w:rPr>
          <w:rFonts w:hint="eastAsia" w:ascii="宋体" w:hAnsi="宋体" w:eastAsia="宋体" w:cs="宋体"/>
          <w:sz w:val="21"/>
          <w:highlight w:val="none"/>
          <w:lang w:val="en-US" w:eastAsia="zh-CN"/>
        </w:rPr>
        <w:t>应当变更、</w:t>
      </w:r>
      <w:r>
        <w:rPr>
          <w:rFonts w:hint="eastAsia" w:ascii="宋体" w:hAnsi="宋体" w:eastAsia="宋体" w:cs="宋体"/>
          <w:sz w:val="21"/>
        </w:rPr>
        <w:t>中止</w:t>
      </w:r>
      <w:r>
        <w:rPr>
          <w:rFonts w:hint="eastAsia" w:ascii="宋体" w:hAnsi="宋体" w:eastAsia="宋体" w:cs="宋体"/>
          <w:sz w:val="21"/>
          <w:lang w:eastAsia="zh-CN"/>
        </w:rPr>
        <w:t>或者终止</w:t>
      </w:r>
      <w:r>
        <w:rPr>
          <w:rFonts w:hint="eastAsia" w:ascii="宋体" w:hAnsi="宋体" w:eastAsia="宋体" w:cs="宋体"/>
          <w:sz w:val="21"/>
        </w:rPr>
        <w:t>合同。有过错的一方应当承担赔偿责任，双方都有过错的，各自承担相应的责任。</w:t>
      </w:r>
    </w:p>
    <w:p w14:paraId="37961131">
      <w:pPr>
        <w:shd w:val="clear" w:color="auto" w:fill="auto"/>
        <w:autoSpaceDE w:val="0"/>
        <w:autoSpaceDN w:val="0"/>
        <w:adjustRightInd w:val="0"/>
        <w:snapToGrid w:val="0"/>
        <w:spacing w:before="0" w:line="400" w:lineRule="exact"/>
        <w:jc w:val="lef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1</w:t>
      </w:r>
      <w:r>
        <w:rPr>
          <w:rFonts w:hint="eastAsia" w:ascii="宋体" w:hAnsi="宋体" w:eastAsia="宋体" w:cs="宋体"/>
          <w:b/>
          <w:bCs/>
          <w:color w:val="auto"/>
          <w:sz w:val="24"/>
          <w:highlight w:val="none"/>
          <w:lang w:val="en-US" w:eastAsia="zh-CN"/>
        </w:rPr>
        <w:t>7</w:t>
      </w:r>
      <w:r>
        <w:rPr>
          <w:rFonts w:hint="eastAsia" w:ascii="宋体" w:hAnsi="宋体" w:eastAsia="宋体" w:cs="宋体"/>
          <w:b/>
          <w:bCs/>
          <w:color w:val="auto"/>
          <w:sz w:val="24"/>
          <w:highlight w:val="none"/>
        </w:rPr>
        <w:t>.</w:t>
      </w:r>
      <w:r>
        <w:rPr>
          <w:rFonts w:hint="eastAsia" w:ascii="宋体" w:hAnsi="宋体" w:eastAsia="宋体" w:cs="宋体"/>
          <w:b/>
          <w:bCs/>
          <w:color w:val="auto"/>
          <w:sz w:val="24"/>
          <w:highlight w:val="none"/>
          <w:lang w:val="en-US" w:eastAsia="zh-CN"/>
        </w:rPr>
        <w:t xml:space="preserve"> </w:t>
      </w:r>
      <w:r>
        <w:rPr>
          <w:rFonts w:hint="eastAsia" w:ascii="宋体" w:hAnsi="宋体" w:eastAsia="宋体" w:cs="宋体"/>
          <w:b/>
          <w:bCs/>
          <w:color w:val="auto"/>
          <w:sz w:val="24"/>
          <w:highlight w:val="none"/>
        </w:rPr>
        <w:t>合同分包</w:t>
      </w:r>
    </w:p>
    <w:p w14:paraId="2798A954">
      <w:pPr>
        <w:shd w:val="clear" w:color="auto" w:fill="auto"/>
        <w:autoSpaceDE w:val="0"/>
        <w:autoSpaceDN w:val="0"/>
        <w:adjustRightInd w:val="0"/>
        <w:snapToGrid w:val="0"/>
        <w:spacing w:before="0" w:line="400" w:lineRule="exact"/>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w:t>
      </w:r>
      <w:r>
        <w:rPr>
          <w:rFonts w:hint="eastAsia" w:ascii="宋体" w:hAnsi="宋体" w:eastAsia="宋体" w:cs="宋体"/>
          <w:color w:val="auto"/>
          <w:szCs w:val="21"/>
          <w:highlight w:val="none"/>
          <w:lang w:val="en-US" w:eastAsia="zh-CN"/>
        </w:rPr>
        <w:t>7</w:t>
      </w:r>
      <w:r>
        <w:rPr>
          <w:rFonts w:hint="eastAsia" w:ascii="宋体" w:hAnsi="宋体" w:eastAsia="宋体" w:cs="宋体"/>
          <w:color w:val="auto"/>
          <w:szCs w:val="21"/>
          <w:highlight w:val="none"/>
        </w:rPr>
        <w:t>.1 乙方不得</w:t>
      </w:r>
      <w:r>
        <w:rPr>
          <w:rFonts w:hint="eastAsia" w:ascii="宋体" w:hAnsi="宋体" w:eastAsia="宋体" w:cs="宋体"/>
          <w:color w:val="auto"/>
          <w:szCs w:val="21"/>
          <w:highlight w:val="none"/>
          <w:lang w:eastAsia="zh-CN"/>
        </w:rPr>
        <w:t>将合同转包给其他供应商。涉及合同分包的，乙方</w:t>
      </w:r>
      <w:r>
        <w:rPr>
          <w:rFonts w:hint="eastAsia" w:ascii="宋体" w:hAnsi="宋体" w:eastAsia="宋体" w:cs="宋体"/>
          <w:color w:val="auto"/>
          <w:szCs w:val="21"/>
          <w:highlight w:val="none"/>
          <w:lang w:val="en-US" w:eastAsia="zh-CN"/>
        </w:rPr>
        <w:t>应</w:t>
      </w:r>
      <w:r>
        <w:rPr>
          <w:rFonts w:hint="eastAsia" w:ascii="宋体" w:hAnsi="宋体" w:eastAsia="宋体" w:cs="宋体"/>
          <w:color w:val="auto"/>
          <w:szCs w:val="21"/>
          <w:highlight w:val="none"/>
          <w:lang w:eastAsia="zh-CN"/>
        </w:rPr>
        <w:t>根据采购文件和投标（响应）文件规定进行</w:t>
      </w:r>
      <w:r>
        <w:rPr>
          <w:rFonts w:hint="eastAsia" w:ascii="宋体" w:hAnsi="宋体" w:eastAsia="宋体" w:cs="宋体"/>
          <w:color w:val="auto"/>
          <w:szCs w:val="21"/>
          <w:highlight w:val="none"/>
        </w:rPr>
        <w:t>合同分包。</w:t>
      </w:r>
    </w:p>
    <w:p w14:paraId="2952A5FA">
      <w:pPr>
        <w:shd w:val="clear" w:color="auto" w:fill="auto"/>
        <w:autoSpaceDE w:val="0"/>
        <w:autoSpaceDN w:val="0"/>
        <w:adjustRightInd w:val="0"/>
        <w:snapToGrid w:val="0"/>
        <w:spacing w:before="0" w:line="400" w:lineRule="exact"/>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w:t>
      </w:r>
      <w:r>
        <w:rPr>
          <w:rFonts w:hint="eastAsia" w:ascii="宋体" w:hAnsi="宋体" w:eastAsia="宋体" w:cs="宋体"/>
          <w:color w:val="auto"/>
          <w:szCs w:val="21"/>
          <w:highlight w:val="none"/>
          <w:lang w:val="en-US" w:eastAsia="zh-CN"/>
        </w:rPr>
        <w:t>7</w:t>
      </w:r>
      <w:r>
        <w:rPr>
          <w:rFonts w:hint="eastAsia" w:ascii="宋体" w:hAnsi="宋体" w:eastAsia="宋体" w:cs="宋体"/>
          <w:color w:val="auto"/>
          <w:szCs w:val="21"/>
          <w:highlight w:val="none"/>
        </w:rPr>
        <w:t>.2 乙方执行政府采购政策向中小企业依法分包的</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乙方应当按采购文件</w:t>
      </w:r>
      <w:r>
        <w:rPr>
          <w:rFonts w:hint="eastAsia" w:ascii="宋体" w:hAnsi="宋体" w:eastAsia="宋体" w:cs="宋体"/>
          <w:color w:val="auto"/>
          <w:szCs w:val="21"/>
          <w:highlight w:val="none"/>
          <w:lang w:eastAsia="zh-CN"/>
        </w:rPr>
        <w:t>和</w:t>
      </w:r>
      <w:r>
        <w:rPr>
          <w:rFonts w:hint="eastAsia" w:ascii="宋体" w:hAnsi="宋体" w:eastAsia="宋体" w:cs="宋体"/>
          <w:color w:val="auto"/>
          <w:szCs w:val="21"/>
          <w:highlight w:val="none"/>
        </w:rPr>
        <w:t>投标（响应）文件签订分包</w:t>
      </w:r>
      <w:r>
        <w:rPr>
          <w:rFonts w:hint="eastAsia" w:ascii="宋体" w:hAnsi="宋体" w:eastAsia="宋体" w:cs="宋体"/>
          <w:color w:val="auto"/>
          <w:szCs w:val="21"/>
          <w:highlight w:val="none"/>
          <w:lang w:eastAsia="zh-CN"/>
        </w:rPr>
        <w:t>意向</w:t>
      </w:r>
      <w:r>
        <w:rPr>
          <w:rFonts w:hint="eastAsia" w:ascii="宋体" w:hAnsi="宋体" w:eastAsia="宋体" w:cs="宋体"/>
          <w:color w:val="auto"/>
          <w:szCs w:val="21"/>
          <w:highlight w:val="none"/>
        </w:rPr>
        <w:t>协议，分包</w:t>
      </w:r>
      <w:r>
        <w:rPr>
          <w:rFonts w:hint="eastAsia" w:ascii="宋体" w:hAnsi="宋体" w:eastAsia="宋体" w:cs="宋体"/>
          <w:color w:val="auto"/>
          <w:szCs w:val="21"/>
          <w:highlight w:val="none"/>
          <w:lang w:eastAsia="zh-CN"/>
        </w:rPr>
        <w:t>意向</w:t>
      </w:r>
      <w:r>
        <w:rPr>
          <w:rFonts w:hint="eastAsia" w:ascii="宋体" w:hAnsi="宋体" w:eastAsia="宋体" w:cs="宋体"/>
          <w:color w:val="auto"/>
          <w:szCs w:val="21"/>
          <w:highlight w:val="none"/>
        </w:rPr>
        <w:t>协议属于本合同组成部分。</w:t>
      </w:r>
    </w:p>
    <w:p w14:paraId="239F0068">
      <w:pPr>
        <w:shd w:val="clear" w:color="auto" w:fill="auto"/>
        <w:autoSpaceDE w:val="0"/>
        <w:autoSpaceDN w:val="0"/>
        <w:adjustRightInd w:val="0"/>
        <w:snapToGrid w:val="0"/>
        <w:spacing w:before="0" w:line="400" w:lineRule="exact"/>
        <w:jc w:val="lef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eastAsia="zh-CN"/>
        </w:rPr>
        <w:t>1</w:t>
      </w:r>
      <w:r>
        <w:rPr>
          <w:rFonts w:hint="eastAsia" w:ascii="宋体" w:hAnsi="宋体" w:eastAsia="宋体" w:cs="宋体"/>
          <w:b/>
          <w:bCs/>
          <w:color w:val="auto"/>
          <w:sz w:val="24"/>
          <w:highlight w:val="none"/>
          <w:lang w:val="en-US" w:eastAsia="zh-CN"/>
        </w:rPr>
        <w:t>8</w:t>
      </w:r>
      <w:r>
        <w:rPr>
          <w:rFonts w:hint="eastAsia" w:ascii="宋体" w:hAnsi="宋体" w:eastAsia="宋体" w:cs="宋体"/>
          <w:b/>
          <w:bCs/>
          <w:color w:val="auto"/>
          <w:sz w:val="24"/>
          <w:highlight w:val="none"/>
        </w:rPr>
        <w:t>.</w:t>
      </w:r>
      <w:r>
        <w:rPr>
          <w:rFonts w:hint="eastAsia" w:ascii="宋体" w:hAnsi="宋体" w:eastAsia="宋体" w:cs="宋体"/>
          <w:b/>
          <w:bCs/>
          <w:color w:val="auto"/>
          <w:sz w:val="24"/>
          <w:highlight w:val="none"/>
          <w:lang w:val="en-US" w:eastAsia="zh-CN"/>
        </w:rPr>
        <w:t xml:space="preserve"> </w:t>
      </w:r>
      <w:r>
        <w:rPr>
          <w:rFonts w:hint="eastAsia" w:ascii="宋体" w:hAnsi="宋体" w:eastAsia="宋体" w:cs="宋体"/>
          <w:b/>
          <w:bCs/>
          <w:color w:val="auto"/>
          <w:sz w:val="24"/>
          <w:highlight w:val="none"/>
        </w:rPr>
        <w:t>不可抗力</w:t>
      </w:r>
    </w:p>
    <w:p w14:paraId="4CB0F319">
      <w:pPr>
        <w:shd w:val="clear" w:color="auto" w:fill="auto"/>
        <w:autoSpaceDE w:val="0"/>
        <w:autoSpaceDN w:val="0"/>
        <w:adjustRightInd w:val="0"/>
        <w:snapToGrid w:val="0"/>
        <w:spacing w:before="0" w:line="400" w:lineRule="exact"/>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1</w:t>
      </w:r>
      <w:r>
        <w:rPr>
          <w:rFonts w:hint="eastAsia" w:ascii="宋体" w:hAnsi="宋体" w:eastAsia="宋体" w:cs="宋体"/>
          <w:color w:val="auto"/>
          <w:szCs w:val="21"/>
          <w:highlight w:val="none"/>
          <w:lang w:val="en-US" w:eastAsia="zh-CN"/>
        </w:rPr>
        <w:t>8</w:t>
      </w:r>
      <w:r>
        <w:rPr>
          <w:rFonts w:hint="eastAsia" w:ascii="宋体" w:hAnsi="宋体" w:eastAsia="宋体" w:cs="宋体"/>
          <w:color w:val="auto"/>
          <w:szCs w:val="21"/>
          <w:highlight w:val="none"/>
        </w:rPr>
        <w:t>.1 不可抗力是指合同双方不能预见、不能避免且不能克服的客观情况。</w:t>
      </w:r>
    </w:p>
    <w:p w14:paraId="69B20392">
      <w:pPr>
        <w:shd w:val="clear" w:color="auto" w:fill="auto"/>
        <w:autoSpaceDE w:val="0"/>
        <w:autoSpaceDN w:val="0"/>
        <w:adjustRightInd w:val="0"/>
        <w:snapToGrid w:val="0"/>
        <w:spacing w:before="0" w:line="400" w:lineRule="exact"/>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1</w:t>
      </w:r>
      <w:r>
        <w:rPr>
          <w:rFonts w:hint="eastAsia" w:ascii="宋体" w:hAnsi="宋体" w:eastAsia="宋体" w:cs="宋体"/>
          <w:color w:val="auto"/>
          <w:szCs w:val="21"/>
          <w:highlight w:val="none"/>
          <w:lang w:val="en-US" w:eastAsia="zh-CN"/>
        </w:rPr>
        <w:t>8</w:t>
      </w:r>
      <w:r>
        <w:rPr>
          <w:rFonts w:hint="eastAsia" w:ascii="宋体" w:hAnsi="宋体" w:eastAsia="宋体" w:cs="宋体"/>
          <w:color w:val="auto"/>
          <w:szCs w:val="21"/>
          <w:highlight w:val="none"/>
        </w:rPr>
        <w:t>.2 任何一方对由于不可抗力造成的部分或全部不能履行合同不承担违约责任。但迟延履行后发生不可抗力的，不能免除责任。</w:t>
      </w:r>
    </w:p>
    <w:p w14:paraId="5D6E4F49">
      <w:pPr>
        <w:shd w:val="clear" w:color="auto" w:fill="auto"/>
        <w:autoSpaceDE w:val="0"/>
        <w:autoSpaceDN w:val="0"/>
        <w:adjustRightInd w:val="0"/>
        <w:snapToGrid w:val="0"/>
        <w:spacing w:before="0" w:line="400" w:lineRule="exact"/>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1</w:t>
      </w:r>
      <w:r>
        <w:rPr>
          <w:rFonts w:hint="eastAsia" w:ascii="宋体" w:hAnsi="宋体" w:eastAsia="宋体" w:cs="宋体"/>
          <w:color w:val="auto"/>
          <w:szCs w:val="21"/>
          <w:highlight w:val="none"/>
          <w:lang w:val="en-US" w:eastAsia="zh-CN"/>
        </w:rPr>
        <w:t>8</w:t>
      </w:r>
      <w:r>
        <w:rPr>
          <w:rFonts w:hint="eastAsia" w:ascii="宋体" w:hAnsi="宋体" w:eastAsia="宋体" w:cs="宋体"/>
          <w:color w:val="auto"/>
          <w:szCs w:val="21"/>
          <w:highlight w:val="none"/>
        </w:rPr>
        <w:t>.3 遇有不可抗力的一方，应及时将事件情况以书面形式</w:t>
      </w:r>
      <w:r>
        <w:rPr>
          <w:rFonts w:hint="eastAsia" w:ascii="宋体" w:hAnsi="宋体" w:eastAsia="宋体" w:cs="宋体"/>
          <w:color w:val="auto"/>
          <w:szCs w:val="21"/>
          <w:highlight w:val="none"/>
          <w:lang w:eastAsia="zh-CN"/>
        </w:rPr>
        <w:t>告</w:t>
      </w:r>
      <w:r>
        <w:rPr>
          <w:rFonts w:hint="eastAsia" w:ascii="宋体" w:hAnsi="宋体" w:eastAsia="宋体" w:cs="宋体"/>
          <w:color w:val="auto"/>
          <w:szCs w:val="21"/>
          <w:highlight w:val="none"/>
        </w:rPr>
        <w:t>知另一方，并在事件发生后及时向另一方提交合同不能履行或部分不能履行或需要延期履行</w:t>
      </w:r>
      <w:r>
        <w:rPr>
          <w:rFonts w:hint="eastAsia" w:ascii="宋体" w:hAnsi="宋体" w:eastAsia="宋体" w:cs="宋体"/>
          <w:color w:val="auto"/>
          <w:szCs w:val="21"/>
          <w:highlight w:val="none"/>
          <w:lang w:eastAsia="zh-CN"/>
        </w:rPr>
        <w:t>的详细</w:t>
      </w:r>
      <w:r>
        <w:rPr>
          <w:rFonts w:hint="eastAsia" w:ascii="宋体" w:hAnsi="宋体" w:eastAsia="宋体" w:cs="宋体"/>
          <w:color w:val="auto"/>
          <w:szCs w:val="21"/>
          <w:highlight w:val="none"/>
        </w:rPr>
        <w:t>报告</w:t>
      </w:r>
      <w:r>
        <w:rPr>
          <w:rFonts w:hint="eastAsia" w:ascii="宋体" w:hAnsi="宋体" w:eastAsia="宋体" w:cs="宋体"/>
          <w:color w:val="auto"/>
          <w:szCs w:val="21"/>
          <w:highlight w:val="none"/>
          <w:lang w:eastAsia="zh-CN"/>
        </w:rPr>
        <w:t>，以</w:t>
      </w:r>
      <w:r>
        <w:rPr>
          <w:rFonts w:hint="eastAsia" w:ascii="宋体" w:hAnsi="宋体" w:eastAsia="宋体" w:cs="宋体"/>
          <w:color w:val="auto"/>
          <w:szCs w:val="21"/>
          <w:highlight w:val="none"/>
          <w:lang w:val="en-US" w:eastAsia="zh-CN"/>
        </w:rPr>
        <w:t>及证明不可抗力发生及其持续时间的证据</w:t>
      </w:r>
      <w:r>
        <w:rPr>
          <w:rFonts w:hint="eastAsia" w:ascii="宋体" w:hAnsi="宋体" w:eastAsia="宋体" w:cs="宋体"/>
          <w:color w:val="auto"/>
          <w:szCs w:val="21"/>
          <w:highlight w:val="none"/>
        </w:rPr>
        <w:t>。</w:t>
      </w:r>
    </w:p>
    <w:p w14:paraId="571DB84F">
      <w:pPr>
        <w:shd w:val="clear" w:color="auto" w:fill="auto"/>
        <w:autoSpaceDE w:val="0"/>
        <w:autoSpaceDN w:val="0"/>
        <w:adjustRightInd w:val="0"/>
        <w:snapToGrid w:val="0"/>
        <w:spacing w:before="0" w:line="400" w:lineRule="exact"/>
        <w:jc w:val="lef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en-US" w:eastAsia="zh-CN"/>
        </w:rPr>
        <w:t>19</w:t>
      </w:r>
      <w:r>
        <w:rPr>
          <w:rFonts w:hint="eastAsia" w:ascii="宋体" w:hAnsi="宋体" w:eastAsia="宋体" w:cs="宋体"/>
          <w:b/>
          <w:bCs/>
          <w:color w:val="auto"/>
          <w:sz w:val="24"/>
          <w:highlight w:val="none"/>
        </w:rPr>
        <w:t>.</w:t>
      </w:r>
      <w:r>
        <w:rPr>
          <w:rFonts w:hint="eastAsia" w:ascii="宋体" w:hAnsi="宋体" w:eastAsia="宋体" w:cs="宋体"/>
          <w:b/>
          <w:bCs/>
          <w:color w:val="auto"/>
          <w:sz w:val="24"/>
          <w:highlight w:val="none"/>
          <w:lang w:val="en-US" w:eastAsia="zh-CN"/>
        </w:rPr>
        <w:t xml:space="preserve"> </w:t>
      </w:r>
      <w:r>
        <w:rPr>
          <w:rFonts w:hint="eastAsia" w:ascii="宋体" w:hAnsi="宋体" w:eastAsia="宋体" w:cs="宋体"/>
          <w:b/>
          <w:bCs/>
          <w:color w:val="auto"/>
          <w:sz w:val="24"/>
          <w:highlight w:val="none"/>
        </w:rPr>
        <w:t>解决争议的方法</w:t>
      </w:r>
    </w:p>
    <w:p w14:paraId="79837840">
      <w:pPr>
        <w:pStyle w:val="43"/>
        <w:shd w:val="clear" w:color="auto" w:fill="auto"/>
        <w:jc w:val="both"/>
        <w:rPr>
          <w:rFonts w:hint="eastAsia" w:ascii="宋体" w:hAnsi="宋体" w:eastAsia="宋体" w:cs="宋体"/>
          <w:sz w:val="21"/>
        </w:rPr>
      </w:pPr>
      <w:r>
        <w:rPr>
          <w:rFonts w:hint="eastAsia" w:ascii="宋体" w:hAnsi="宋体" w:eastAsia="宋体" w:cs="宋体"/>
          <w:sz w:val="21"/>
          <w:lang w:val="en-US" w:eastAsia="zh-CN"/>
        </w:rPr>
        <w:t>19</w:t>
      </w:r>
      <w:r>
        <w:rPr>
          <w:rFonts w:hint="eastAsia" w:ascii="宋体" w:hAnsi="宋体" w:eastAsia="宋体" w:cs="宋体"/>
          <w:sz w:val="21"/>
        </w:rPr>
        <w:t>.1 因本合同及合同有关事项发生的争议，由</w:t>
      </w:r>
      <w:r>
        <w:rPr>
          <w:rFonts w:hint="eastAsia" w:ascii="宋体" w:hAnsi="宋体" w:eastAsia="宋体" w:cs="宋体"/>
          <w:sz w:val="21"/>
          <w:lang w:eastAsia="zh-CN"/>
        </w:rPr>
        <w:t>甲乙双</w:t>
      </w:r>
      <w:r>
        <w:rPr>
          <w:rFonts w:hint="eastAsia" w:ascii="宋体" w:hAnsi="宋体" w:eastAsia="宋体" w:cs="宋体"/>
          <w:sz w:val="21"/>
        </w:rPr>
        <w:t>方友好协商解决。协商不成时，可以</w:t>
      </w:r>
      <w:r>
        <w:rPr>
          <w:rFonts w:hint="eastAsia" w:ascii="宋体" w:hAnsi="宋体" w:eastAsia="宋体" w:cs="宋体"/>
          <w:sz w:val="21"/>
          <w:lang w:eastAsia="zh-CN"/>
        </w:rPr>
        <w:t>向有关组织申请</w:t>
      </w:r>
      <w:r>
        <w:rPr>
          <w:rFonts w:hint="eastAsia" w:ascii="宋体" w:hAnsi="宋体" w:eastAsia="宋体" w:cs="宋体"/>
          <w:sz w:val="21"/>
        </w:rPr>
        <w:t>调解。合同一方或</w:t>
      </w:r>
      <w:r>
        <w:rPr>
          <w:rFonts w:hint="eastAsia" w:ascii="宋体" w:hAnsi="宋体" w:eastAsia="宋体" w:cs="宋体"/>
          <w:sz w:val="21"/>
          <w:lang w:eastAsia="zh-CN"/>
        </w:rPr>
        <w:t>双</w:t>
      </w:r>
      <w:r>
        <w:rPr>
          <w:rFonts w:hint="eastAsia" w:ascii="宋体" w:hAnsi="宋体" w:eastAsia="宋体" w:cs="宋体"/>
          <w:sz w:val="21"/>
        </w:rPr>
        <w:t>方不愿调解或调解不成的，可以通过仲裁或诉讼的方式解决争议。</w:t>
      </w:r>
    </w:p>
    <w:p w14:paraId="0A2DDEDF">
      <w:pPr>
        <w:pStyle w:val="43"/>
        <w:shd w:val="clear" w:color="auto" w:fill="auto"/>
        <w:jc w:val="both"/>
        <w:rPr>
          <w:rFonts w:hint="eastAsia" w:ascii="宋体" w:hAnsi="宋体" w:eastAsia="宋体" w:cs="宋体"/>
          <w:sz w:val="21"/>
        </w:rPr>
      </w:pPr>
      <w:r>
        <w:rPr>
          <w:rFonts w:hint="eastAsia" w:ascii="宋体" w:hAnsi="宋体" w:eastAsia="宋体" w:cs="宋体"/>
          <w:sz w:val="21"/>
          <w:lang w:val="en-US" w:eastAsia="zh-CN"/>
        </w:rPr>
        <w:t>19</w:t>
      </w:r>
      <w:r>
        <w:rPr>
          <w:rFonts w:hint="eastAsia" w:ascii="宋体" w:hAnsi="宋体" w:eastAsia="宋体" w:cs="宋体"/>
          <w:sz w:val="21"/>
        </w:rPr>
        <w:t>.2 选择仲裁的，应在</w:t>
      </w:r>
      <w:r>
        <w:rPr>
          <w:rFonts w:hint="eastAsia" w:ascii="宋体" w:hAnsi="宋体" w:eastAsia="宋体" w:cs="宋体"/>
          <w:b/>
          <w:bCs/>
          <w:color w:val="auto"/>
          <w:sz w:val="21"/>
          <w:szCs w:val="21"/>
          <w:highlight w:val="none"/>
        </w:rPr>
        <w:t>【政府采购合同专用条款】</w:t>
      </w:r>
      <w:r>
        <w:rPr>
          <w:rFonts w:hint="eastAsia" w:ascii="宋体" w:hAnsi="宋体" w:eastAsia="宋体" w:cs="宋体"/>
          <w:sz w:val="21"/>
        </w:rPr>
        <w:t>中明确仲裁机构及仲裁地；通过诉讼方式解决的，可以在</w:t>
      </w:r>
      <w:r>
        <w:rPr>
          <w:rFonts w:hint="eastAsia" w:ascii="宋体" w:hAnsi="宋体" w:eastAsia="宋体" w:cs="宋体"/>
          <w:b/>
          <w:bCs/>
          <w:color w:val="auto"/>
          <w:sz w:val="21"/>
          <w:szCs w:val="21"/>
          <w:highlight w:val="none"/>
        </w:rPr>
        <w:t>【政府采购合同专用条款】</w:t>
      </w:r>
      <w:r>
        <w:rPr>
          <w:rFonts w:hint="eastAsia" w:ascii="宋体" w:hAnsi="宋体" w:eastAsia="宋体" w:cs="宋体"/>
          <w:sz w:val="21"/>
        </w:rPr>
        <w:t>中进一步约定选择与争议有实际联系的地点的人民法院管辖，但管辖法院的约定不得违反级别管辖和专属管辖的规定。</w:t>
      </w:r>
    </w:p>
    <w:p w14:paraId="55863D04">
      <w:pPr>
        <w:pStyle w:val="43"/>
        <w:shd w:val="clear" w:color="auto" w:fill="auto"/>
        <w:jc w:val="both"/>
        <w:rPr>
          <w:rFonts w:hint="eastAsia" w:ascii="宋体" w:hAnsi="宋体" w:eastAsia="宋体" w:cs="宋体"/>
          <w:sz w:val="21"/>
        </w:rPr>
      </w:pPr>
      <w:r>
        <w:rPr>
          <w:rFonts w:hint="eastAsia" w:ascii="宋体" w:hAnsi="宋体" w:eastAsia="宋体" w:cs="宋体"/>
          <w:sz w:val="21"/>
          <w:lang w:val="en-US" w:eastAsia="zh-CN"/>
        </w:rPr>
        <w:t>19</w:t>
      </w:r>
      <w:r>
        <w:rPr>
          <w:rFonts w:hint="eastAsia" w:ascii="宋体" w:hAnsi="宋体" w:eastAsia="宋体" w:cs="宋体"/>
          <w:sz w:val="21"/>
        </w:rPr>
        <w:t>.3 如</w:t>
      </w:r>
      <w:r>
        <w:rPr>
          <w:rFonts w:hint="eastAsia" w:ascii="宋体" w:hAnsi="宋体" w:eastAsia="宋体" w:cs="宋体"/>
          <w:sz w:val="21"/>
          <w:lang w:eastAsia="zh-CN"/>
        </w:rPr>
        <w:t>甲乙双方</w:t>
      </w:r>
      <w:r>
        <w:rPr>
          <w:rFonts w:hint="eastAsia" w:ascii="宋体" w:hAnsi="宋体" w:eastAsia="宋体" w:cs="宋体"/>
          <w:sz w:val="21"/>
        </w:rPr>
        <w:t>有争议的事项不影响合同其他部分的履行，在争议解决期间，合同其他部分应</w:t>
      </w:r>
      <w:r>
        <w:rPr>
          <w:rFonts w:hint="eastAsia" w:ascii="宋体" w:hAnsi="宋体" w:eastAsia="宋体" w:cs="宋体"/>
          <w:sz w:val="21"/>
          <w:lang w:eastAsia="zh-CN"/>
        </w:rPr>
        <w:t>当</w:t>
      </w:r>
      <w:r>
        <w:rPr>
          <w:rFonts w:hint="eastAsia" w:ascii="宋体" w:hAnsi="宋体" w:eastAsia="宋体" w:cs="宋体"/>
          <w:sz w:val="21"/>
        </w:rPr>
        <w:t>继续履行。</w:t>
      </w:r>
    </w:p>
    <w:p w14:paraId="2C8BD9FD">
      <w:pPr>
        <w:shd w:val="clear" w:color="auto" w:fill="auto"/>
        <w:autoSpaceDE w:val="0"/>
        <w:autoSpaceDN w:val="0"/>
        <w:adjustRightInd w:val="0"/>
        <w:snapToGrid w:val="0"/>
        <w:spacing w:before="0" w:line="400" w:lineRule="exact"/>
        <w:jc w:val="left"/>
        <w:rPr>
          <w:rFonts w:hint="eastAsia" w:ascii="宋体" w:hAnsi="宋体" w:eastAsia="宋体" w:cs="宋体"/>
          <w:color w:val="auto"/>
          <w:sz w:val="24"/>
          <w:highlight w:val="none"/>
        </w:rPr>
      </w:pPr>
      <w:r>
        <w:rPr>
          <w:rFonts w:hint="eastAsia" w:ascii="宋体" w:hAnsi="宋体" w:eastAsia="宋体" w:cs="宋体"/>
          <w:b/>
          <w:color w:val="auto"/>
          <w:sz w:val="24"/>
          <w:highlight w:val="none"/>
          <w:lang w:val="en-US" w:eastAsia="zh-CN"/>
        </w:rPr>
        <w:t>20</w:t>
      </w:r>
      <w:r>
        <w:rPr>
          <w:rFonts w:hint="eastAsia" w:ascii="宋体" w:hAnsi="宋体" w:eastAsia="宋体" w:cs="宋体"/>
          <w:b/>
          <w:color w:val="auto"/>
          <w:sz w:val="24"/>
          <w:highlight w:val="none"/>
        </w:rPr>
        <w:t>.</w:t>
      </w:r>
      <w:r>
        <w:rPr>
          <w:rFonts w:hint="eastAsia" w:ascii="宋体" w:hAnsi="宋体" w:eastAsia="宋体" w:cs="宋体"/>
          <w:b/>
          <w:color w:val="auto"/>
          <w:sz w:val="24"/>
          <w:highlight w:val="none"/>
          <w:lang w:val="en-US" w:eastAsia="zh-CN"/>
        </w:rPr>
        <w:t xml:space="preserve"> </w:t>
      </w:r>
      <w:r>
        <w:rPr>
          <w:rFonts w:hint="eastAsia" w:ascii="宋体" w:hAnsi="宋体" w:eastAsia="宋体" w:cs="宋体"/>
          <w:b/>
          <w:color w:val="auto"/>
          <w:sz w:val="24"/>
          <w:highlight w:val="none"/>
        </w:rPr>
        <w:t>政府采购政策</w:t>
      </w:r>
    </w:p>
    <w:p w14:paraId="5F79F983">
      <w:pPr>
        <w:shd w:val="clear" w:color="auto" w:fill="auto"/>
        <w:autoSpaceDE w:val="0"/>
        <w:autoSpaceDN w:val="0"/>
        <w:adjustRightInd w:val="0"/>
        <w:snapToGrid w:val="0"/>
        <w:spacing w:before="0" w:line="400" w:lineRule="exact"/>
        <w:ind w:firstLine="420" w:firstLineChars="200"/>
        <w:jc w:val="lef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20.1 </w:t>
      </w:r>
      <w:r>
        <w:rPr>
          <w:rFonts w:hint="eastAsia" w:ascii="宋体" w:hAnsi="宋体" w:eastAsia="宋体" w:cs="宋体"/>
          <w:lang w:val="en-GB"/>
        </w:rPr>
        <w:t>本合同应当按照规定执行政府采购政策。</w:t>
      </w:r>
    </w:p>
    <w:p w14:paraId="58F1DCB9">
      <w:pPr>
        <w:shd w:val="clear" w:color="auto" w:fill="auto"/>
        <w:autoSpaceDE w:val="0"/>
        <w:autoSpaceDN w:val="0"/>
        <w:adjustRightInd w:val="0"/>
        <w:snapToGrid w:val="0"/>
        <w:spacing w:before="0" w:line="400" w:lineRule="exact"/>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2</w:t>
      </w:r>
      <w:r>
        <w:rPr>
          <w:rFonts w:hint="eastAsia" w:ascii="宋体" w:hAnsi="宋体" w:eastAsia="宋体" w:cs="宋体"/>
          <w:color w:val="auto"/>
          <w:szCs w:val="21"/>
          <w:highlight w:val="none"/>
          <w:lang w:val="en-US" w:eastAsia="zh-CN"/>
        </w:rPr>
        <w:t>0</w:t>
      </w:r>
      <w:r>
        <w:rPr>
          <w:rFonts w:hint="eastAsia" w:ascii="宋体" w:hAnsi="宋体" w:eastAsia="宋体" w:cs="宋体"/>
          <w:color w:val="auto"/>
          <w:szCs w:val="21"/>
          <w:highlight w:val="none"/>
        </w:rPr>
        <w:t>.</w:t>
      </w:r>
      <w:r>
        <w:rPr>
          <w:rFonts w:hint="eastAsia" w:ascii="宋体" w:hAnsi="宋体" w:eastAsia="宋体" w:cs="宋体"/>
          <w:color w:val="auto"/>
          <w:szCs w:val="21"/>
          <w:highlight w:val="none"/>
          <w:lang w:val="en-US" w:eastAsia="zh-CN"/>
        </w:rPr>
        <w:t>2</w:t>
      </w:r>
      <w:r>
        <w:rPr>
          <w:rFonts w:hint="eastAsia" w:ascii="宋体" w:hAnsi="宋体" w:eastAsia="宋体" w:cs="宋体"/>
          <w:color w:val="auto"/>
          <w:szCs w:val="21"/>
          <w:highlight w:val="none"/>
        </w:rPr>
        <w:t xml:space="preserve"> 本合同依法执行政府采购政策的方式和内容，属于合同履约验收的范围。</w:t>
      </w:r>
      <w:r>
        <w:rPr>
          <w:rFonts w:hint="eastAsia" w:ascii="宋体" w:hAnsi="宋体" w:eastAsia="宋体" w:cs="宋体"/>
          <w:sz w:val="21"/>
          <w:lang w:eastAsia="zh-CN"/>
        </w:rPr>
        <w:t>甲乙双方</w:t>
      </w:r>
      <w:r>
        <w:rPr>
          <w:rFonts w:hint="eastAsia" w:ascii="宋体" w:hAnsi="宋体" w:eastAsia="宋体" w:cs="宋体"/>
          <w:lang w:val="en-GB"/>
        </w:rPr>
        <w:t>未按规定要求执行政府采购政策造成损失的</w:t>
      </w:r>
      <w:r>
        <w:rPr>
          <w:rFonts w:hint="eastAsia" w:ascii="宋体" w:hAnsi="宋体" w:eastAsia="宋体" w:cs="宋体"/>
          <w:color w:val="auto"/>
          <w:szCs w:val="21"/>
          <w:highlight w:val="none"/>
        </w:rPr>
        <w:t>，有过错的一方应当承担赔偿责任，双方都有过错的，各自承担相应的责任。</w:t>
      </w:r>
    </w:p>
    <w:p w14:paraId="63ED16C4">
      <w:pPr>
        <w:pStyle w:val="11"/>
        <w:shd w:val="clear" w:color="auto" w:fill="auto"/>
        <w:spacing w:after="0" w:line="400" w:lineRule="exact"/>
        <w:ind w:firstLine="420" w:firstLineChars="200"/>
        <w:rPr>
          <w:rFonts w:hint="eastAsia" w:ascii="宋体" w:hAnsi="宋体" w:eastAsia="宋体" w:cs="宋体"/>
          <w:color w:val="auto"/>
          <w:highlight w:val="none"/>
        </w:rPr>
      </w:pPr>
      <w:r>
        <w:rPr>
          <w:rFonts w:hint="eastAsia" w:ascii="宋体" w:hAnsi="宋体" w:eastAsia="宋体" w:cs="宋体"/>
          <w:color w:val="auto"/>
          <w:szCs w:val="21"/>
          <w:highlight w:val="none"/>
        </w:rPr>
        <w:t>2</w:t>
      </w:r>
      <w:r>
        <w:rPr>
          <w:rFonts w:hint="eastAsia" w:ascii="宋体" w:hAnsi="宋体" w:eastAsia="宋体" w:cs="宋体"/>
          <w:color w:val="auto"/>
          <w:szCs w:val="21"/>
          <w:highlight w:val="none"/>
          <w:lang w:val="en-US" w:eastAsia="zh-CN"/>
        </w:rPr>
        <w:t>0</w:t>
      </w:r>
      <w:r>
        <w:rPr>
          <w:rFonts w:hint="eastAsia" w:ascii="宋体" w:hAnsi="宋体" w:eastAsia="宋体" w:cs="宋体"/>
          <w:color w:val="auto"/>
          <w:szCs w:val="21"/>
          <w:highlight w:val="none"/>
        </w:rPr>
        <w:t>.</w:t>
      </w:r>
      <w:r>
        <w:rPr>
          <w:rFonts w:hint="eastAsia" w:ascii="宋体" w:hAnsi="宋体" w:eastAsia="宋体" w:cs="宋体"/>
          <w:color w:val="auto"/>
          <w:szCs w:val="21"/>
          <w:highlight w:val="none"/>
          <w:lang w:val="en-US" w:eastAsia="zh-CN"/>
        </w:rPr>
        <w:t>3</w:t>
      </w:r>
      <w:r>
        <w:rPr>
          <w:rFonts w:hint="eastAsia" w:ascii="宋体" w:hAnsi="宋体" w:eastAsia="宋体" w:cs="宋体"/>
          <w:color w:val="auto"/>
          <w:szCs w:val="21"/>
          <w:highlight w:val="none"/>
        </w:rPr>
        <w:t xml:space="preserve"> 对于</w:t>
      </w:r>
      <w:r>
        <w:rPr>
          <w:rFonts w:hint="eastAsia" w:ascii="宋体" w:hAnsi="宋体" w:eastAsia="宋体" w:cs="宋体"/>
          <w:color w:val="auto"/>
          <w:szCs w:val="21"/>
          <w:highlight w:val="none"/>
          <w:lang w:eastAsia="zh-CN"/>
        </w:rPr>
        <w:t>为落实中小企业支持政策，</w:t>
      </w:r>
      <w:r>
        <w:rPr>
          <w:rFonts w:hint="eastAsia" w:ascii="宋体" w:hAnsi="宋体" w:eastAsia="宋体" w:cs="宋体"/>
          <w:color w:val="auto"/>
          <w:szCs w:val="21"/>
          <w:highlight w:val="none"/>
        </w:rPr>
        <w:t>通过采购项目</w:t>
      </w:r>
      <w:r>
        <w:rPr>
          <w:rFonts w:hint="eastAsia" w:ascii="宋体" w:hAnsi="宋体" w:eastAsia="宋体" w:cs="宋体"/>
          <w:color w:val="auto"/>
          <w:szCs w:val="21"/>
          <w:highlight w:val="none"/>
          <w:lang w:eastAsia="zh-CN"/>
        </w:rPr>
        <w:t>整体</w:t>
      </w:r>
      <w:r>
        <w:rPr>
          <w:rFonts w:hint="eastAsia" w:ascii="宋体" w:hAnsi="宋体" w:eastAsia="宋体" w:cs="宋体"/>
          <w:color w:val="auto"/>
          <w:szCs w:val="21"/>
          <w:highlight w:val="none"/>
        </w:rPr>
        <w:t>预留、</w:t>
      </w:r>
      <w:r>
        <w:rPr>
          <w:rFonts w:hint="eastAsia" w:ascii="宋体" w:hAnsi="宋体" w:eastAsia="宋体" w:cs="宋体"/>
          <w:color w:val="auto"/>
          <w:szCs w:val="21"/>
          <w:highlight w:val="none"/>
          <w:lang w:eastAsia="zh-CN"/>
        </w:rPr>
        <w:t>设置</w:t>
      </w:r>
      <w:r>
        <w:rPr>
          <w:rFonts w:hint="eastAsia" w:ascii="宋体" w:hAnsi="宋体" w:eastAsia="宋体" w:cs="宋体"/>
          <w:color w:val="auto"/>
          <w:szCs w:val="21"/>
          <w:highlight w:val="none"/>
        </w:rPr>
        <w:t>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14:paraId="47952EE3">
      <w:pPr>
        <w:shd w:val="clear" w:color="auto" w:fill="auto"/>
        <w:autoSpaceDE w:val="0"/>
        <w:autoSpaceDN w:val="0"/>
        <w:adjustRightInd w:val="0"/>
        <w:snapToGrid w:val="0"/>
        <w:spacing w:before="0" w:line="400" w:lineRule="exact"/>
        <w:jc w:val="lef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2</w:t>
      </w:r>
      <w:r>
        <w:rPr>
          <w:rFonts w:hint="eastAsia" w:ascii="宋体" w:hAnsi="宋体" w:eastAsia="宋体" w:cs="宋体"/>
          <w:b/>
          <w:color w:val="auto"/>
          <w:sz w:val="24"/>
          <w:highlight w:val="none"/>
          <w:lang w:val="en-US" w:eastAsia="zh-CN"/>
        </w:rPr>
        <w:t>1</w:t>
      </w:r>
      <w:r>
        <w:rPr>
          <w:rFonts w:hint="eastAsia" w:ascii="宋体" w:hAnsi="宋体" w:eastAsia="宋体" w:cs="宋体"/>
          <w:b/>
          <w:color w:val="auto"/>
          <w:sz w:val="24"/>
          <w:highlight w:val="none"/>
        </w:rPr>
        <w:t>.</w:t>
      </w:r>
      <w:r>
        <w:rPr>
          <w:rFonts w:hint="eastAsia" w:ascii="宋体" w:hAnsi="宋体" w:eastAsia="宋体" w:cs="宋体"/>
          <w:b/>
          <w:color w:val="auto"/>
          <w:sz w:val="24"/>
          <w:highlight w:val="none"/>
          <w:lang w:val="en-US" w:eastAsia="zh-CN"/>
        </w:rPr>
        <w:t xml:space="preserve"> </w:t>
      </w:r>
      <w:r>
        <w:rPr>
          <w:rFonts w:hint="eastAsia" w:ascii="宋体" w:hAnsi="宋体" w:eastAsia="宋体" w:cs="宋体"/>
          <w:b/>
          <w:color w:val="auto"/>
          <w:sz w:val="24"/>
          <w:highlight w:val="none"/>
        </w:rPr>
        <w:t>法律适用</w:t>
      </w:r>
    </w:p>
    <w:p w14:paraId="6550C842">
      <w:pPr>
        <w:pStyle w:val="43"/>
        <w:shd w:val="clear" w:color="auto" w:fill="auto"/>
        <w:jc w:val="both"/>
        <w:rPr>
          <w:rFonts w:hint="eastAsia" w:ascii="宋体" w:hAnsi="宋体" w:eastAsia="宋体" w:cs="宋体"/>
          <w:sz w:val="21"/>
        </w:rPr>
      </w:pPr>
      <w:r>
        <w:rPr>
          <w:rFonts w:hint="eastAsia" w:ascii="宋体" w:hAnsi="宋体" w:eastAsia="宋体" w:cs="宋体"/>
          <w:sz w:val="21"/>
        </w:rPr>
        <w:t>2</w:t>
      </w:r>
      <w:r>
        <w:rPr>
          <w:rFonts w:hint="eastAsia" w:ascii="宋体" w:hAnsi="宋体" w:eastAsia="宋体" w:cs="宋体"/>
          <w:sz w:val="21"/>
          <w:lang w:val="en-US" w:eastAsia="zh-CN"/>
        </w:rPr>
        <w:t>1</w:t>
      </w:r>
      <w:r>
        <w:rPr>
          <w:rFonts w:hint="eastAsia" w:ascii="宋体" w:hAnsi="宋体" w:eastAsia="宋体" w:cs="宋体"/>
          <w:sz w:val="21"/>
        </w:rPr>
        <w:t>.1 本合同的订立、生效、解释、履行及与本合同有关的争议解决，均适用法律、行政法规。</w:t>
      </w:r>
    </w:p>
    <w:p w14:paraId="72D3498E">
      <w:pPr>
        <w:pStyle w:val="43"/>
        <w:shd w:val="clear" w:color="auto" w:fill="auto"/>
        <w:jc w:val="both"/>
        <w:rPr>
          <w:rFonts w:hint="eastAsia" w:ascii="宋体" w:hAnsi="宋体" w:eastAsia="宋体" w:cs="宋体"/>
          <w:sz w:val="21"/>
        </w:rPr>
      </w:pPr>
      <w:r>
        <w:rPr>
          <w:rFonts w:hint="eastAsia" w:ascii="宋体" w:hAnsi="宋体" w:eastAsia="宋体" w:cs="宋体"/>
          <w:sz w:val="21"/>
        </w:rPr>
        <w:t>2</w:t>
      </w:r>
      <w:r>
        <w:rPr>
          <w:rFonts w:hint="eastAsia" w:ascii="宋体" w:hAnsi="宋体" w:eastAsia="宋体" w:cs="宋体"/>
          <w:sz w:val="21"/>
          <w:lang w:val="en-US" w:eastAsia="zh-CN"/>
        </w:rPr>
        <w:t>1</w:t>
      </w:r>
      <w:r>
        <w:rPr>
          <w:rFonts w:hint="eastAsia" w:ascii="宋体" w:hAnsi="宋体" w:eastAsia="宋体" w:cs="宋体"/>
          <w:sz w:val="21"/>
        </w:rPr>
        <w:t>.2 本合同条款与法律、行政法规的强制性规定不一致的，双方当事人应按照法律、行政法规的强制性规定修改本合同的相关条款。</w:t>
      </w:r>
    </w:p>
    <w:p w14:paraId="3F0A7691">
      <w:pPr>
        <w:numPr>
          <w:ilvl w:val="0"/>
          <w:numId w:val="0"/>
        </w:numPr>
        <w:shd w:val="clear" w:color="auto" w:fill="auto"/>
        <w:autoSpaceDE w:val="0"/>
        <w:autoSpaceDN w:val="0"/>
        <w:adjustRightInd w:val="0"/>
        <w:snapToGrid w:val="0"/>
        <w:spacing w:before="0" w:line="400" w:lineRule="exact"/>
        <w:jc w:val="left"/>
        <w:rPr>
          <w:rFonts w:hint="eastAsia" w:ascii="宋体" w:hAnsi="宋体" w:eastAsia="宋体" w:cs="宋体"/>
          <w:b/>
          <w:color w:val="auto"/>
          <w:sz w:val="24"/>
          <w:highlight w:val="none"/>
        </w:rPr>
      </w:pPr>
      <w:r>
        <w:rPr>
          <w:rFonts w:hint="eastAsia" w:ascii="宋体" w:hAnsi="宋体" w:eastAsia="宋体" w:cs="宋体"/>
          <w:b/>
          <w:color w:val="auto"/>
          <w:sz w:val="24"/>
          <w:highlight w:val="none"/>
          <w:lang w:val="en-US" w:eastAsia="zh-CN"/>
        </w:rPr>
        <w:t xml:space="preserve">22. </w:t>
      </w:r>
      <w:r>
        <w:rPr>
          <w:rFonts w:hint="eastAsia" w:ascii="宋体" w:hAnsi="宋体" w:eastAsia="宋体" w:cs="宋体"/>
          <w:b/>
          <w:color w:val="auto"/>
          <w:sz w:val="24"/>
          <w:highlight w:val="none"/>
        </w:rPr>
        <w:t>通知</w:t>
      </w:r>
    </w:p>
    <w:p w14:paraId="10717673">
      <w:pPr>
        <w:pStyle w:val="43"/>
        <w:shd w:val="clear" w:color="auto" w:fill="auto"/>
        <w:jc w:val="both"/>
        <w:rPr>
          <w:rFonts w:hint="eastAsia" w:ascii="宋体" w:hAnsi="宋体" w:eastAsia="宋体" w:cs="宋体"/>
          <w:sz w:val="21"/>
        </w:rPr>
      </w:pPr>
      <w:r>
        <w:rPr>
          <w:rFonts w:hint="eastAsia" w:ascii="宋体" w:hAnsi="宋体" w:eastAsia="宋体" w:cs="宋体"/>
          <w:sz w:val="21"/>
        </w:rPr>
        <w:t>2</w:t>
      </w:r>
      <w:r>
        <w:rPr>
          <w:rFonts w:hint="eastAsia" w:ascii="宋体" w:hAnsi="宋体" w:eastAsia="宋体" w:cs="宋体"/>
          <w:sz w:val="21"/>
          <w:lang w:val="en-US" w:eastAsia="zh-CN"/>
        </w:rPr>
        <w:t>2</w:t>
      </w:r>
      <w:r>
        <w:rPr>
          <w:rFonts w:hint="eastAsia" w:ascii="宋体" w:hAnsi="宋体" w:eastAsia="宋体" w:cs="宋体"/>
          <w:sz w:val="21"/>
        </w:rPr>
        <w:t>.1</w:t>
      </w:r>
      <w:r>
        <w:rPr>
          <w:rFonts w:hint="eastAsia" w:ascii="宋体" w:hAnsi="宋体" w:eastAsia="宋体" w:cs="宋体"/>
          <w:sz w:val="21"/>
          <w:lang w:val="en-US" w:eastAsia="zh-CN"/>
        </w:rPr>
        <w:t xml:space="preserve"> </w:t>
      </w:r>
      <w:r>
        <w:rPr>
          <w:rFonts w:hint="eastAsia" w:ascii="宋体" w:hAnsi="宋体" w:eastAsia="宋体" w:cs="宋体"/>
          <w:sz w:val="21"/>
        </w:rPr>
        <w:t>本合同任何一方向对方发出的通知、信件、数据电文等，应当发送至本合同第一部分《政府采购合同协议书》所约定的通讯地址、联系人、联系电话或电子邮箱。</w:t>
      </w:r>
    </w:p>
    <w:p w14:paraId="00EA6D7C">
      <w:pPr>
        <w:pStyle w:val="43"/>
        <w:shd w:val="clear" w:color="auto" w:fill="auto"/>
        <w:ind w:firstLine="0" w:firstLineChars="0"/>
        <w:jc w:val="both"/>
        <w:rPr>
          <w:rFonts w:hint="eastAsia" w:ascii="宋体" w:hAnsi="宋体" w:eastAsia="宋体" w:cs="宋体"/>
          <w:sz w:val="21"/>
        </w:rPr>
      </w:pPr>
      <w:r>
        <w:rPr>
          <w:rFonts w:hint="eastAsia" w:ascii="宋体" w:hAnsi="宋体" w:eastAsia="宋体" w:cs="宋体"/>
          <w:sz w:val="21"/>
          <w:lang w:val="en-US" w:eastAsia="zh-CN"/>
        </w:rPr>
        <w:t xml:space="preserve">    </w:t>
      </w:r>
      <w:r>
        <w:rPr>
          <w:rFonts w:hint="eastAsia" w:ascii="宋体" w:hAnsi="宋体" w:eastAsia="宋体" w:cs="宋体"/>
          <w:sz w:val="21"/>
        </w:rPr>
        <w:t>2</w:t>
      </w:r>
      <w:r>
        <w:rPr>
          <w:rFonts w:hint="eastAsia" w:ascii="宋体" w:hAnsi="宋体" w:eastAsia="宋体" w:cs="宋体"/>
          <w:sz w:val="21"/>
          <w:lang w:val="en-US" w:eastAsia="zh-CN"/>
        </w:rPr>
        <w:t>2</w:t>
      </w:r>
      <w:r>
        <w:rPr>
          <w:rFonts w:hint="eastAsia" w:ascii="宋体" w:hAnsi="宋体" w:eastAsia="宋体" w:cs="宋体"/>
          <w:sz w:val="21"/>
        </w:rPr>
        <w:t>.2</w:t>
      </w:r>
      <w:r>
        <w:rPr>
          <w:rFonts w:hint="eastAsia" w:ascii="宋体" w:hAnsi="宋体" w:eastAsia="宋体" w:cs="宋体"/>
          <w:sz w:val="21"/>
          <w:lang w:val="en-US" w:eastAsia="zh-CN"/>
        </w:rPr>
        <w:t xml:space="preserve"> </w:t>
      </w:r>
      <w:r>
        <w:rPr>
          <w:rFonts w:hint="eastAsia" w:ascii="宋体" w:hAnsi="宋体" w:eastAsia="宋体" w:cs="宋体"/>
          <w:sz w:val="21"/>
        </w:rPr>
        <w:t>一方当事人变更名称、</w:t>
      </w:r>
      <w:r>
        <w:rPr>
          <w:rFonts w:hint="eastAsia" w:ascii="宋体" w:hAnsi="宋体" w:eastAsia="宋体" w:cs="宋体"/>
          <w:sz w:val="21"/>
          <w:lang w:eastAsia="zh-CN"/>
        </w:rPr>
        <w:t>住所</w:t>
      </w:r>
      <w:r>
        <w:rPr>
          <w:rFonts w:hint="eastAsia" w:ascii="宋体" w:hAnsi="宋体" w:eastAsia="宋体" w:cs="宋体"/>
          <w:sz w:val="21"/>
        </w:rPr>
        <w:t>、联系人、联系电话或电子邮箱</w:t>
      </w:r>
      <w:r>
        <w:rPr>
          <w:rFonts w:hint="eastAsia" w:ascii="宋体" w:hAnsi="宋体" w:eastAsia="宋体" w:cs="宋体"/>
          <w:sz w:val="21"/>
          <w:lang w:eastAsia="zh-CN"/>
        </w:rPr>
        <w:t>等信息</w:t>
      </w:r>
      <w:r>
        <w:rPr>
          <w:rFonts w:hint="eastAsia" w:ascii="宋体" w:hAnsi="宋体" w:eastAsia="宋体" w:cs="宋体"/>
          <w:sz w:val="21"/>
        </w:rPr>
        <w:t>的，应当在变更后3日内及时书面通知对方，对方实际收到变更通知前的送达仍为有效送达。</w:t>
      </w:r>
    </w:p>
    <w:p w14:paraId="2F4BADA1">
      <w:pPr>
        <w:shd w:val="clear" w:color="auto" w:fill="auto"/>
        <w:adjustRightInd w:val="0"/>
        <w:snapToGrid w:val="0"/>
        <w:spacing w:before="0" w:line="400" w:lineRule="exact"/>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2</w:t>
      </w:r>
      <w:r>
        <w:rPr>
          <w:rFonts w:hint="eastAsia" w:ascii="宋体" w:hAnsi="宋体" w:eastAsia="宋体" w:cs="宋体"/>
          <w:color w:val="auto"/>
          <w:szCs w:val="21"/>
          <w:highlight w:val="none"/>
          <w:lang w:val="en-US" w:eastAsia="zh-CN"/>
        </w:rPr>
        <w:t>2</w:t>
      </w:r>
      <w:r>
        <w:rPr>
          <w:rFonts w:hint="eastAsia" w:ascii="宋体" w:hAnsi="宋体" w:eastAsia="宋体" w:cs="宋体"/>
          <w:color w:val="auto"/>
          <w:szCs w:val="21"/>
          <w:highlight w:val="none"/>
        </w:rPr>
        <w:t>.</w:t>
      </w:r>
      <w:r>
        <w:rPr>
          <w:rFonts w:hint="eastAsia" w:ascii="宋体" w:hAnsi="宋体" w:eastAsia="宋体" w:cs="宋体"/>
          <w:color w:val="auto"/>
          <w:szCs w:val="21"/>
          <w:highlight w:val="none"/>
          <w:lang w:val="en-US" w:eastAsia="zh-CN"/>
        </w:rPr>
        <w:t>3</w:t>
      </w:r>
      <w:r>
        <w:rPr>
          <w:rFonts w:hint="eastAsia" w:ascii="宋体" w:hAnsi="宋体" w:eastAsia="宋体" w:cs="宋体"/>
          <w:color w:val="auto"/>
          <w:szCs w:val="21"/>
          <w:highlight w:val="none"/>
        </w:rPr>
        <w:t>本合同一方给另一方的通知均应采用书面形式，传真或快递送到本合同中规定的对方的地址和办理签收手续。</w:t>
      </w:r>
    </w:p>
    <w:p w14:paraId="619E134E">
      <w:pPr>
        <w:shd w:val="clear" w:color="auto" w:fill="auto"/>
        <w:adjustRightInd w:val="0"/>
        <w:snapToGrid w:val="0"/>
        <w:spacing w:before="0" w:line="400" w:lineRule="exact"/>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2</w:t>
      </w:r>
      <w:r>
        <w:rPr>
          <w:rFonts w:hint="eastAsia" w:ascii="宋体" w:hAnsi="宋体" w:eastAsia="宋体" w:cs="宋体"/>
          <w:color w:val="auto"/>
          <w:szCs w:val="21"/>
          <w:highlight w:val="none"/>
          <w:lang w:val="en-US" w:eastAsia="zh-CN"/>
        </w:rPr>
        <w:t>2</w:t>
      </w:r>
      <w:r>
        <w:rPr>
          <w:rFonts w:hint="eastAsia" w:ascii="宋体" w:hAnsi="宋体" w:eastAsia="宋体" w:cs="宋体"/>
          <w:color w:val="auto"/>
          <w:szCs w:val="21"/>
          <w:highlight w:val="none"/>
        </w:rPr>
        <w:t>.</w:t>
      </w:r>
      <w:r>
        <w:rPr>
          <w:rFonts w:hint="eastAsia" w:ascii="宋体" w:hAnsi="宋体" w:eastAsia="宋体" w:cs="宋体"/>
          <w:color w:val="auto"/>
          <w:szCs w:val="21"/>
          <w:highlight w:val="none"/>
          <w:lang w:val="en-US" w:eastAsia="zh-CN"/>
        </w:rPr>
        <w:t>4</w:t>
      </w:r>
      <w:r>
        <w:rPr>
          <w:rFonts w:hint="eastAsia" w:ascii="宋体" w:hAnsi="宋体" w:eastAsia="宋体" w:cs="宋体"/>
          <w:color w:val="auto"/>
          <w:szCs w:val="21"/>
          <w:highlight w:val="none"/>
        </w:rPr>
        <w:t>通知以送达之日或通知书中规定的生效之日起生效，两者中以较迟之日为准。</w:t>
      </w:r>
    </w:p>
    <w:p w14:paraId="4990DADD">
      <w:pPr>
        <w:numPr>
          <w:ilvl w:val="0"/>
          <w:numId w:val="6"/>
        </w:numPr>
        <w:shd w:val="clear" w:color="auto" w:fill="auto"/>
        <w:adjustRightInd w:val="0"/>
        <w:snapToGrid w:val="0"/>
        <w:spacing w:before="0" w:line="400" w:lineRule="exact"/>
        <w:jc w:val="lef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合同未尽事项</w:t>
      </w:r>
    </w:p>
    <w:p w14:paraId="06B7D6B2">
      <w:pPr>
        <w:shd w:val="clear" w:color="auto" w:fill="auto"/>
        <w:adjustRightInd w:val="0"/>
        <w:snapToGrid w:val="0"/>
        <w:spacing w:before="0" w:line="400" w:lineRule="exact"/>
        <w:ind w:firstLine="420" w:firstLineChars="200"/>
        <w:jc w:val="lef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2</w:t>
      </w:r>
      <w:r>
        <w:rPr>
          <w:rFonts w:hint="eastAsia" w:ascii="宋体" w:hAnsi="宋体" w:eastAsia="宋体" w:cs="宋体"/>
          <w:bCs/>
          <w:color w:val="auto"/>
          <w:szCs w:val="21"/>
          <w:highlight w:val="none"/>
          <w:lang w:val="en-US" w:eastAsia="zh-CN"/>
        </w:rPr>
        <w:t>3</w:t>
      </w:r>
      <w:r>
        <w:rPr>
          <w:rFonts w:hint="eastAsia" w:ascii="宋体" w:hAnsi="宋体" w:eastAsia="宋体" w:cs="宋体"/>
          <w:bCs/>
          <w:color w:val="auto"/>
          <w:szCs w:val="21"/>
          <w:highlight w:val="none"/>
        </w:rPr>
        <w:t>.1合同未尽事项见</w:t>
      </w:r>
      <w:r>
        <w:rPr>
          <w:rFonts w:hint="eastAsia" w:ascii="宋体" w:hAnsi="宋体" w:eastAsia="宋体" w:cs="宋体"/>
          <w:b/>
          <w:color w:val="auto"/>
          <w:szCs w:val="21"/>
          <w:highlight w:val="none"/>
        </w:rPr>
        <w:t>【政府采购合同专用条款】</w:t>
      </w:r>
      <w:r>
        <w:rPr>
          <w:rFonts w:hint="eastAsia" w:ascii="宋体" w:hAnsi="宋体" w:eastAsia="宋体" w:cs="宋体"/>
          <w:bCs/>
          <w:color w:val="auto"/>
          <w:szCs w:val="21"/>
          <w:highlight w:val="none"/>
        </w:rPr>
        <w:t>。</w:t>
      </w:r>
    </w:p>
    <w:p w14:paraId="536F0680">
      <w:pPr>
        <w:shd w:val="clear" w:color="auto" w:fill="auto"/>
        <w:adjustRightInd w:val="0"/>
        <w:snapToGrid w:val="0"/>
        <w:spacing w:line="400" w:lineRule="exact"/>
        <w:ind w:firstLine="0" w:firstLineChars="0"/>
        <w:jc w:val="left"/>
        <w:rPr>
          <w:rFonts w:hint="eastAsia" w:ascii="宋体" w:hAnsi="宋体" w:eastAsia="宋体" w:cs="宋体"/>
          <w:color w:val="auto"/>
          <w:sz w:val="28"/>
          <w:szCs w:val="28"/>
        </w:rPr>
      </w:pPr>
      <w:r>
        <w:rPr>
          <w:rFonts w:hint="eastAsia" w:ascii="宋体" w:hAnsi="宋体" w:eastAsia="宋体" w:cs="宋体"/>
          <w:bCs/>
          <w:color w:val="auto"/>
          <w:szCs w:val="21"/>
          <w:highlight w:val="none"/>
          <w:lang w:val="en-US" w:eastAsia="zh-CN"/>
        </w:rPr>
        <w:t xml:space="preserve">    23.2 合同附件与合同正文具有同等的法律效力。</w:t>
      </w:r>
      <w:bookmarkStart w:id="215" w:name="_Toc20313"/>
    </w:p>
    <w:p w14:paraId="09F158BD">
      <w:pPr>
        <w:shd w:val="clear" w:color="auto" w:fill="auto"/>
        <w:adjustRightInd w:val="0"/>
        <w:snapToGrid w:val="0"/>
        <w:jc w:val="center"/>
        <w:rPr>
          <w:rFonts w:hint="eastAsia" w:ascii="宋体" w:hAnsi="宋体" w:eastAsia="宋体" w:cs="宋体"/>
          <w:b w:val="0"/>
          <w:bCs w:val="0"/>
          <w:sz w:val="28"/>
          <w:szCs w:val="28"/>
        </w:rPr>
      </w:pPr>
      <w:r>
        <w:rPr>
          <w:rFonts w:hint="eastAsia" w:ascii="宋体" w:hAnsi="宋体" w:eastAsia="宋体" w:cs="宋体"/>
          <w:b w:val="0"/>
          <w:bCs w:val="0"/>
          <w:sz w:val="28"/>
          <w:szCs w:val="28"/>
        </w:rPr>
        <w:br w:type="page"/>
      </w:r>
    </w:p>
    <w:p w14:paraId="5EB7308C">
      <w:pPr>
        <w:pStyle w:val="3"/>
        <w:shd w:val="clear" w:color="auto" w:fill="auto"/>
        <w:adjustRightInd w:val="0"/>
        <w:snapToGrid w:val="0"/>
        <w:jc w:val="center"/>
        <w:rPr>
          <w:rFonts w:hint="eastAsia" w:ascii="宋体" w:hAnsi="宋体" w:eastAsia="宋体" w:cs="宋体"/>
          <w:b w:val="0"/>
          <w:bCs w:val="0"/>
          <w:sz w:val="28"/>
          <w:szCs w:val="28"/>
        </w:rPr>
      </w:pPr>
      <w:bookmarkStart w:id="216" w:name="_Toc11432"/>
      <w:bookmarkStart w:id="217" w:name="_Toc11738"/>
      <w:r>
        <w:rPr>
          <w:rFonts w:hint="eastAsia" w:ascii="宋体" w:hAnsi="宋体" w:eastAsia="宋体" w:cs="宋体"/>
          <w:b w:val="0"/>
          <w:bCs w:val="0"/>
          <w:sz w:val="28"/>
          <w:szCs w:val="28"/>
        </w:rPr>
        <w:t>第三节 政府采购合同专用条款</w:t>
      </w:r>
      <w:bookmarkEnd w:id="215"/>
      <w:bookmarkEnd w:id="216"/>
      <w:bookmarkEnd w:id="217"/>
    </w:p>
    <w:tbl>
      <w:tblPr>
        <w:tblStyle w:val="27"/>
        <w:tblW w:w="4999" w:type="pct"/>
        <w:tblInd w:w="0"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autofit"/>
        <w:tblCellMar>
          <w:top w:w="0" w:type="dxa"/>
          <w:left w:w="108" w:type="dxa"/>
          <w:bottom w:w="0" w:type="dxa"/>
          <w:right w:w="108" w:type="dxa"/>
        </w:tblCellMar>
      </w:tblPr>
      <w:tblGrid>
        <w:gridCol w:w="1837"/>
        <w:gridCol w:w="1991"/>
        <w:gridCol w:w="5910"/>
      </w:tblGrid>
      <w:tr w14:paraId="7E81C17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943" w:type="pct"/>
            <w:tcBorders>
              <w:top w:val="double" w:color="auto" w:sz="4" w:space="0"/>
            </w:tcBorders>
            <w:noWrap w:val="0"/>
            <w:vAlign w:val="center"/>
          </w:tcPr>
          <w:p w14:paraId="4338BE3A">
            <w:pPr>
              <w:keepNext w:val="0"/>
              <w:keepLines w:val="0"/>
              <w:widowControl/>
              <w:suppressLineNumbers w:val="0"/>
              <w:adjustRightInd w:val="0"/>
              <w:snapToGrid w:val="0"/>
              <w:spacing w:before="0" w:beforeAutospacing="0" w:after="0" w:afterAutospacing="0"/>
              <w:ind w:left="0" w:right="0"/>
              <w:jc w:val="center"/>
              <w:rPr>
                <w:rFonts w:hint="eastAsia" w:ascii="宋体" w:hAnsi="宋体" w:eastAsia="宋体" w:cs="宋体"/>
                <w:color w:val="auto"/>
                <w:highlight w:val="none"/>
                <w:lang w:bidi="he-IL"/>
              </w:rPr>
            </w:pPr>
            <w:r>
              <w:rPr>
                <w:rFonts w:hint="eastAsia" w:ascii="宋体" w:hAnsi="宋体" w:eastAsia="宋体" w:cs="宋体"/>
                <w:color w:val="auto"/>
                <w:highlight w:val="none"/>
                <w:lang w:bidi="he-IL"/>
              </w:rPr>
              <w:t>第二节</w:t>
            </w:r>
          </w:p>
          <w:p w14:paraId="59EC530F">
            <w:pPr>
              <w:keepNext w:val="0"/>
              <w:keepLines w:val="0"/>
              <w:widowControl/>
              <w:suppressLineNumbers w:val="0"/>
              <w:adjustRightInd w:val="0"/>
              <w:snapToGrid w:val="0"/>
              <w:spacing w:before="0" w:beforeAutospacing="0" w:after="0" w:afterAutospacing="0"/>
              <w:ind w:left="0" w:right="0"/>
              <w:jc w:val="center"/>
              <w:rPr>
                <w:rFonts w:hint="eastAsia" w:ascii="宋体" w:hAnsi="宋体" w:eastAsia="宋体" w:cs="宋体"/>
                <w:color w:val="auto"/>
                <w:highlight w:val="none"/>
                <w:lang w:bidi="he-IL"/>
              </w:rPr>
            </w:pPr>
            <w:r>
              <w:rPr>
                <w:rFonts w:hint="eastAsia" w:ascii="宋体" w:hAnsi="宋体" w:eastAsia="宋体" w:cs="宋体"/>
                <w:color w:val="auto"/>
                <w:highlight w:val="none"/>
                <w:lang w:bidi="he-IL"/>
              </w:rPr>
              <w:t>第1.2（6）项</w:t>
            </w:r>
          </w:p>
        </w:tc>
        <w:tc>
          <w:tcPr>
            <w:tcW w:w="1022" w:type="pct"/>
            <w:tcBorders>
              <w:top w:val="double" w:color="auto" w:sz="4" w:space="0"/>
            </w:tcBorders>
            <w:noWrap w:val="0"/>
            <w:vAlign w:val="center"/>
          </w:tcPr>
          <w:p w14:paraId="23890165">
            <w:pPr>
              <w:keepNext w:val="0"/>
              <w:keepLines w:val="0"/>
              <w:widowControl/>
              <w:suppressLineNumbers w:val="0"/>
              <w:adjustRightInd w:val="0"/>
              <w:snapToGrid w:val="0"/>
              <w:spacing w:before="0" w:beforeAutospacing="0" w:after="0" w:afterAutospacing="0"/>
              <w:ind w:left="0" w:right="0"/>
              <w:rPr>
                <w:rFonts w:hint="eastAsia" w:ascii="宋体" w:hAnsi="宋体" w:eastAsia="宋体" w:cs="宋体"/>
                <w:color w:val="auto"/>
                <w:highlight w:val="none"/>
                <w:lang w:bidi="he-IL"/>
              </w:rPr>
            </w:pPr>
            <w:r>
              <w:rPr>
                <w:rFonts w:hint="eastAsia" w:ascii="宋体" w:hAnsi="宋体" w:eastAsia="宋体" w:cs="宋体"/>
                <w:color w:val="auto"/>
                <w:highlight w:val="none"/>
                <w:lang w:bidi="he-IL"/>
              </w:rPr>
              <w:t>联合体具体要求</w:t>
            </w:r>
          </w:p>
        </w:tc>
        <w:tc>
          <w:tcPr>
            <w:tcW w:w="3034" w:type="pct"/>
            <w:tcBorders>
              <w:top w:val="double" w:color="auto" w:sz="4" w:space="0"/>
            </w:tcBorders>
            <w:noWrap w:val="0"/>
            <w:vAlign w:val="center"/>
          </w:tcPr>
          <w:p w14:paraId="0510D58A">
            <w:pPr>
              <w:keepNext w:val="0"/>
              <w:keepLines w:val="0"/>
              <w:widowControl/>
              <w:suppressLineNumbers w:val="0"/>
              <w:adjustRightInd w:val="0"/>
              <w:snapToGrid w:val="0"/>
              <w:spacing w:before="0" w:beforeAutospacing="0" w:after="0" w:afterAutospacing="0"/>
              <w:ind w:left="0" w:right="0"/>
              <w:rPr>
                <w:rFonts w:hint="eastAsia" w:ascii="宋体" w:hAnsi="宋体" w:eastAsia="宋体" w:cs="宋体"/>
                <w:color w:val="auto"/>
                <w:highlight w:val="none"/>
                <w:lang w:bidi="he-IL"/>
              </w:rPr>
            </w:pPr>
            <w:r>
              <w:rPr>
                <w:rFonts w:hint="eastAsia" w:ascii="宋体" w:hAnsi="宋体" w:eastAsia="宋体" w:cs="宋体"/>
                <w:color w:val="auto"/>
                <w:highlight w:val="none"/>
                <w:lang w:bidi="he-IL"/>
              </w:rPr>
              <w:t>本项目不接受联合体</w:t>
            </w:r>
          </w:p>
        </w:tc>
      </w:tr>
      <w:tr w14:paraId="278253C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04" w:hRule="atLeast"/>
        </w:trPr>
        <w:tc>
          <w:tcPr>
            <w:tcW w:w="943" w:type="pct"/>
            <w:noWrap w:val="0"/>
            <w:vAlign w:val="center"/>
          </w:tcPr>
          <w:p w14:paraId="14EE82DD">
            <w:pPr>
              <w:keepNext w:val="0"/>
              <w:keepLines w:val="0"/>
              <w:widowControl/>
              <w:suppressLineNumbers w:val="0"/>
              <w:adjustRightInd w:val="0"/>
              <w:snapToGrid w:val="0"/>
              <w:spacing w:before="0" w:beforeAutospacing="0" w:after="0" w:afterAutospacing="0"/>
              <w:ind w:left="0" w:right="0"/>
              <w:jc w:val="center"/>
              <w:rPr>
                <w:rFonts w:hint="eastAsia" w:ascii="宋体" w:hAnsi="宋体" w:eastAsia="宋体" w:cs="宋体"/>
                <w:color w:val="auto"/>
                <w:highlight w:val="none"/>
                <w:lang w:bidi="he-IL"/>
              </w:rPr>
            </w:pPr>
            <w:r>
              <w:rPr>
                <w:rFonts w:hint="eastAsia" w:ascii="宋体" w:hAnsi="宋体" w:eastAsia="宋体" w:cs="宋体"/>
                <w:color w:val="auto"/>
                <w:highlight w:val="none"/>
                <w:lang w:bidi="he-IL"/>
              </w:rPr>
              <w:t>第二节</w:t>
            </w:r>
          </w:p>
          <w:p w14:paraId="56431739">
            <w:pPr>
              <w:keepNext w:val="0"/>
              <w:keepLines w:val="0"/>
              <w:widowControl/>
              <w:suppressLineNumbers w:val="0"/>
              <w:adjustRightInd w:val="0"/>
              <w:snapToGrid w:val="0"/>
              <w:spacing w:before="0" w:beforeAutospacing="0" w:after="0" w:afterAutospacing="0"/>
              <w:ind w:left="0" w:right="0"/>
              <w:jc w:val="center"/>
              <w:rPr>
                <w:rFonts w:hint="eastAsia" w:ascii="宋体" w:hAnsi="宋体" w:eastAsia="宋体" w:cs="宋体"/>
                <w:color w:val="auto"/>
                <w:kern w:val="2"/>
                <w:highlight w:val="none"/>
                <w:lang w:bidi="he-IL"/>
              </w:rPr>
            </w:pPr>
            <w:r>
              <w:rPr>
                <w:rFonts w:hint="eastAsia" w:ascii="宋体" w:hAnsi="宋体" w:eastAsia="宋体" w:cs="宋体"/>
                <w:color w:val="auto"/>
                <w:highlight w:val="none"/>
                <w:lang w:bidi="he-IL"/>
              </w:rPr>
              <w:t>第1.2（7）项</w:t>
            </w:r>
          </w:p>
        </w:tc>
        <w:tc>
          <w:tcPr>
            <w:tcW w:w="1022" w:type="pct"/>
            <w:noWrap w:val="0"/>
            <w:vAlign w:val="center"/>
          </w:tcPr>
          <w:p w14:paraId="08AAA7E2">
            <w:pPr>
              <w:keepNext w:val="0"/>
              <w:keepLines w:val="0"/>
              <w:widowControl/>
              <w:suppressLineNumbers w:val="0"/>
              <w:adjustRightInd w:val="0"/>
              <w:snapToGrid w:val="0"/>
              <w:spacing w:before="0" w:beforeAutospacing="0" w:after="0" w:afterAutospacing="0"/>
              <w:ind w:left="0" w:right="0"/>
              <w:rPr>
                <w:rFonts w:hint="eastAsia" w:ascii="宋体" w:hAnsi="宋体" w:eastAsia="宋体" w:cs="宋体"/>
                <w:color w:val="auto"/>
                <w:kern w:val="2"/>
                <w:highlight w:val="none"/>
                <w:lang w:bidi="he-IL"/>
              </w:rPr>
            </w:pPr>
            <w:r>
              <w:rPr>
                <w:rFonts w:hint="eastAsia" w:ascii="宋体" w:hAnsi="宋体" w:eastAsia="宋体" w:cs="宋体"/>
                <w:color w:val="auto"/>
                <w:highlight w:val="none"/>
                <w:lang w:bidi="he-IL"/>
              </w:rPr>
              <w:t>其他术语解释</w:t>
            </w:r>
          </w:p>
        </w:tc>
        <w:tc>
          <w:tcPr>
            <w:tcW w:w="3034" w:type="pct"/>
            <w:noWrap w:val="0"/>
            <w:vAlign w:val="center"/>
          </w:tcPr>
          <w:p w14:paraId="1703E05B">
            <w:pPr>
              <w:keepNext w:val="0"/>
              <w:keepLines w:val="0"/>
              <w:widowControl/>
              <w:suppressLineNumbers w:val="0"/>
              <w:adjustRightInd w:val="0"/>
              <w:snapToGrid w:val="0"/>
              <w:spacing w:before="0" w:beforeAutospacing="0" w:after="0" w:afterAutospacing="0"/>
              <w:ind w:left="0" w:right="0"/>
              <w:rPr>
                <w:rFonts w:hint="eastAsia" w:ascii="宋体" w:hAnsi="宋体" w:eastAsia="宋体" w:cs="宋体"/>
                <w:color w:val="auto"/>
                <w:kern w:val="2"/>
                <w:highlight w:val="none"/>
                <w:lang w:bidi="he-IL"/>
              </w:rPr>
            </w:pPr>
            <w:r>
              <w:rPr>
                <w:rFonts w:hint="eastAsia" w:ascii="宋体" w:hAnsi="宋体" w:eastAsia="宋体" w:cs="宋体"/>
                <w:color w:val="auto"/>
                <w:kern w:val="2"/>
                <w:highlight w:val="none"/>
                <w:lang w:bidi="he-IL"/>
              </w:rPr>
              <w:t>无</w:t>
            </w:r>
          </w:p>
        </w:tc>
      </w:tr>
      <w:tr w14:paraId="64C98F8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943" w:type="pct"/>
            <w:noWrap w:val="0"/>
            <w:vAlign w:val="center"/>
          </w:tcPr>
          <w:p w14:paraId="5ACCC9AF">
            <w:pPr>
              <w:keepNext w:val="0"/>
              <w:keepLines w:val="0"/>
              <w:widowControl/>
              <w:suppressLineNumbers w:val="0"/>
              <w:adjustRightInd w:val="0"/>
              <w:snapToGrid w:val="0"/>
              <w:spacing w:before="0" w:beforeAutospacing="0" w:after="0" w:afterAutospacing="0"/>
              <w:ind w:left="0" w:right="0"/>
              <w:jc w:val="center"/>
              <w:rPr>
                <w:rFonts w:hint="eastAsia" w:ascii="宋体" w:hAnsi="宋体" w:eastAsia="宋体" w:cs="宋体"/>
                <w:color w:val="auto"/>
                <w:highlight w:val="none"/>
                <w:lang w:bidi="he-IL"/>
              </w:rPr>
            </w:pPr>
            <w:r>
              <w:rPr>
                <w:rFonts w:hint="eastAsia" w:ascii="宋体" w:hAnsi="宋体" w:eastAsia="宋体" w:cs="宋体"/>
                <w:color w:val="auto"/>
                <w:highlight w:val="none"/>
                <w:lang w:bidi="he-IL"/>
              </w:rPr>
              <w:t>第二节</w:t>
            </w:r>
          </w:p>
          <w:p w14:paraId="1C181A2D">
            <w:pPr>
              <w:keepNext w:val="0"/>
              <w:keepLines w:val="0"/>
              <w:widowControl/>
              <w:suppressLineNumbers w:val="0"/>
              <w:adjustRightInd w:val="0"/>
              <w:snapToGrid w:val="0"/>
              <w:spacing w:before="0" w:beforeAutospacing="0" w:after="0" w:afterAutospacing="0"/>
              <w:ind w:left="0" w:right="0"/>
              <w:jc w:val="center"/>
              <w:rPr>
                <w:rFonts w:hint="eastAsia" w:ascii="宋体" w:hAnsi="宋体" w:eastAsia="宋体" w:cs="宋体"/>
                <w:color w:val="auto"/>
                <w:highlight w:val="none"/>
                <w:lang w:bidi="he-IL"/>
              </w:rPr>
            </w:pPr>
            <w:r>
              <w:rPr>
                <w:rFonts w:hint="eastAsia" w:ascii="宋体" w:hAnsi="宋体" w:eastAsia="宋体" w:cs="宋体"/>
                <w:color w:val="auto"/>
                <w:highlight w:val="none"/>
                <w:lang w:bidi="he-IL"/>
              </w:rPr>
              <w:t>第4.4款</w:t>
            </w:r>
          </w:p>
        </w:tc>
        <w:tc>
          <w:tcPr>
            <w:tcW w:w="1022" w:type="pct"/>
            <w:noWrap w:val="0"/>
            <w:vAlign w:val="center"/>
          </w:tcPr>
          <w:p w14:paraId="196D268D">
            <w:pPr>
              <w:keepNext w:val="0"/>
              <w:keepLines w:val="0"/>
              <w:widowControl/>
              <w:suppressLineNumbers w:val="0"/>
              <w:adjustRightInd w:val="0"/>
              <w:snapToGrid w:val="0"/>
              <w:spacing w:before="0" w:beforeAutospacing="0" w:after="0" w:afterAutospacing="0"/>
              <w:ind w:left="0" w:right="0"/>
              <w:rPr>
                <w:rFonts w:hint="eastAsia" w:ascii="宋体" w:hAnsi="宋体" w:eastAsia="宋体" w:cs="宋体"/>
                <w:color w:val="auto"/>
                <w:highlight w:val="none"/>
                <w:lang w:bidi="he-IL"/>
              </w:rPr>
            </w:pPr>
            <w:r>
              <w:rPr>
                <w:rFonts w:hint="eastAsia" w:ascii="宋体" w:hAnsi="宋体" w:eastAsia="宋体" w:cs="宋体"/>
                <w:color w:val="auto"/>
                <w:highlight w:val="none"/>
                <w:lang w:bidi="he-IL"/>
              </w:rPr>
              <w:t>履约验收中甲方提出异议或作出说明的期限</w:t>
            </w:r>
          </w:p>
        </w:tc>
        <w:tc>
          <w:tcPr>
            <w:tcW w:w="3034" w:type="pct"/>
            <w:noWrap w:val="0"/>
            <w:vAlign w:val="center"/>
          </w:tcPr>
          <w:p w14:paraId="40D77484">
            <w:pPr>
              <w:keepNext w:val="0"/>
              <w:keepLines w:val="0"/>
              <w:widowControl/>
              <w:suppressLineNumbers w:val="0"/>
              <w:adjustRightInd w:val="0"/>
              <w:snapToGrid w:val="0"/>
              <w:spacing w:before="0" w:beforeAutospacing="0" w:after="0" w:afterAutospacing="0"/>
              <w:ind w:left="0" w:right="0"/>
              <w:rPr>
                <w:rFonts w:hint="default" w:ascii="宋体" w:hAnsi="宋体" w:eastAsia="宋体" w:cs="宋体"/>
                <w:color w:val="auto"/>
                <w:kern w:val="2"/>
                <w:highlight w:val="none"/>
                <w:lang w:val="en-US" w:eastAsia="zh-CN" w:bidi="he-IL"/>
              </w:rPr>
            </w:pPr>
            <w:r>
              <w:rPr>
                <w:rFonts w:hint="eastAsia" w:ascii="宋体" w:hAnsi="宋体" w:eastAsia="宋体" w:cs="宋体"/>
                <w:color w:val="auto"/>
                <w:kern w:val="2"/>
                <w:highlight w:val="none"/>
                <w:lang w:val="en-US" w:eastAsia="zh-CN" w:bidi="he-IL"/>
              </w:rPr>
              <w:t>15日内</w:t>
            </w:r>
          </w:p>
        </w:tc>
      </w:tr>
      <w:tr w14:paraId="1BC75D8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943" w:type="pct"/>
            <w:noWrap w:val="0"/>
            <w:vAlign w:val="center"/>
          </w:tcPr>
          <w:p w14:paraId="653BC544">
            <w:pPr>
              <w:keepNext w:val="0"/>
              <w:keepLines w:val="0"/>
              <w:widowControl/>
              <w:suppressLineNumbers w:val="0"/>
              <w:adjustRightInd w:val="0"/>
              <w:snapToGrid w:val="0"/>
              <w:spacing w:before="0" w:beforeAutospacing="0" w:after="0" w:afterAutospacing="0"/>
              <w:ind w:left="0" w:right="0"/>
              <w:jc w:val="center"/>
              <w:rPr>
                <w:rFonts w:hint="eastAsia" w:ascii="宋体" w:hAnsi="宋体" w:eastAsia="宋体" w:cs="宋体"/>
                <w:color w:val="auto"/>
                <w:highlight w:val="none"/>
                <w:lang w:bidi="he-IL"/>
              </w:rPr>
            </w:pPr>
            <w:r>
              <w:rPr>
                <w:rFonts w:hint="eastAsia" w:ascii="宋体" w:hAnsi="宋体" w:eastAsia="宋体" w:cs="宋体"/>
                <w:color w:val="auto"/>
                <w:highlight w:val="none"/>
                <w:lang w:bidi="he-IL"/>
              </w:rPr>
              <w:t>第二节</w:t>
            </w:r>
          </w:p>
          <w:p w14:paraId="6B888F7B">
            <w:pPr>
              <w:keepNext w:val="0"/>
              <w:keepLines w:val="0"/>
              <w:widowControl/>
              <w:suppressLineNumbers w:val="0"/>
              <w:adjustRightInd w:val="0"/>
              <w:snapToGrid w:val="0"/>
              <w:spacing w:before="0" w:beforeAutospacing="0" w:after="0" w:afterAutospacing="0"/>
              <w:ind w:left="0" w:right="0"/>
              <w:jc w:val="center"/>
              <w:rPr>
                <w:rFonts w:hint="eastAsia" w:ascii="宋体" w:hAnsi="宋体" w:eastAsia="宋体" w:cs="宋体"/>
                <w:color w:val="auto"/>
                <w:highlight w:val="none"/>
                <w:lang w:bidi="he-IL"/>
              </w:rPr>
            </w:pPr>
            <w:r>
              <w:rPr>
                <w:rFonts w:hint="eastAsia" w:ascii="宋体" w:hAnsi="宋体" w:eastAsia="宋体" w:cs="宋体"/>
                <w:color w:val="auto"/>
                <w:highlight w:val="none"/>
                <w:lang w:bidi="he-IL"/>
              </w:rPr>
              <w:t>第4.6款</w:t>
            </w:r>
          </w:p>
        </w:tc>
        <w:tc>
          <w:tcPr>
            <w:tcW w:w="1022" w:type="pct"/>
            <w:noWrap w:val="0"/>
            <w:vAlign w:val="center"/>
          </w:tcPr>
          <w:p w14:paraId="27B7BBFE">
            <w:pPr>
              <w:keepNext w:val="0"/>
              <w:keepLines w:val="0"/>
              <w:widowControl/>
              <w:suppressLineNumbers w:val="0"/>
              <w:adjustRightInd w:val="0"/>
              <w:snapToGrid w:val="0"/>
              <w:spacing w:before="0" w:beforeAutospacing="0" w:after="0" w:afterAutospacing="0"/>
              <w:ind w:left="0" w:right="0"/>
              <w:rPr>
                <w:rFonts w:hint="eastAsia" w:ascii="宋体" w:hAnsi="宋体" w:eastAsia="宋体" w:cs="宋体"/>
                <w:color w:val="auto"/>
                <w:highlight w:val="none"/>
                <w:lang w:bidi="he-IL"/>
              </w:rPr>
            </w:pPr>
            <w:r>
              <w:rPr>
                <w:rFonts w:hint="eastAsia" w:ascii="宋体" w:hAnsi="宋体" w:eastAsia="宋体" w:cs="宋体"/>
                <w:color w:val="auto"/>
                <w:highlight w:val="none"/>
                <w:lang w:bidi="he-IL"/>
              </w:rPr>
              <w:t>约定甲方承担的其他义务和责任</w:t>
            </w:r>
          </w:p>
        </w:tc>
        <w:tc>
          <w:tcPr>
            <w:tcW w:w="3034" w:type="pct"/>
            <w:noWrap w:val="0"/>
            <w:vAlign w:val="center"/>
          </w:tcPr>
          <w:p w14:paraId="021962E9">
            <w:pPr>
              <w:keepNext w:val="0"/>
              <w:keepLines w:val="0"/>
              <w:widowControl/>
              <w:suppressLineNumbers w:val="0"/>
              <w:adjustRightInd w:val="0"/>
              <w:snapToGrid w:val="0"/>
              <w:spacing w:before="0" w:beforeAutospacing="0" w:after="0" w:afterAutospacing="0"/>
              <w:ind w:left="0" w:right="0"/>
              <w:rPr>
                <w:rFonts w:hint="eastAsia" w:ascii="宋体" w:hAnsi="宋体" w:eastAsia="宋体" w:cs="宋体"/>
                <w:color w:val="auto"/>
                <w:kern w:val="2"/>
                <w:highlight w:val="none"/>
                <w:lang w:bidi="he-IL"/>
              </w:rPr>
            </w:pPr>
            <w:r>
              <w:rPr>
                <w:rFonts w:hint="eastAsia" w:ascii="宋体" w:hAnsi="宋体" w:eastAsia="宋体" w:cs="宋体"/>
                <w:color w:val="auto"/>
                <w:highlight w:val="none"/>
                <w:lang w:bidi="he-IL"/>
              </w:rPr>
              <w:t>甲乙双方在签订合同时自行商定</w:t>
            </w:r>
          </w:p>
        </w:tc>
      </w:tr>
      <w:tr w14:paraId="096F199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943" w:type="pct"/>
            <w:noWrap w:val="0"/>
            <w:vAlign w:val="center"/>
          </w:tcPr>
          <w:p w14:paraId="4140FE7A">
            <w:pPr>
              <w:keepNext w:val="0"/>
              <w:keepLines w:val="0"/>
              <w:widowControl/>
              <w:suppressLineNumbers w:val="0"/>
              <w:adjustRightInd w:val="0"/>
              <w:snapToGrid w:val="0"/>
              <w:spacing w:before="0" w:beforeAutospacing="0" w:after="0" w:afterAutospacing="0"/>
              <w:ind w:left="0" w:right="0"/>
              <w:jc w:val="center"/>
              <w:rPr>
                <w:rFonts w:hint="eastAsia" w:ascii="宋体" w:hAnsi="宋体" w:eastAsia="宋体" w:cs="宋体"/>
                <w:color w:val="auto"/>
                <w:highlight w:val="none"/>
                <w:lang w:bidi="he-IL"/>
              </w:rPr>
            </w:pPr>
            <w:r>
              <w:rPr>
                <w:rFonts w:hint="eastAsia" w:ascii="宋体" w:hAnsi="宋体" w:eastAsia="宋体" w:cs="宋体"/>
                <w:color w:val="auto"/>
                <w:highlight w:val="none"/>
                <w:lang w:bidi="he-IL"/>
              </w:rPr>
              <w:t>第二节</w:t>
            </w:r>
          </w:p>
          <w:p w14:paraId="5890CB1C">
            <w:pPr>
              <w:keepNext w:val="0"/>
              <w:keepLines w:val="0"/>
              <w:widowControl/>
              <w:suppressLineNumbers w:val="0"/>
              <w:snapToGrid w:val="0"/>
              <w:spacing w:before="0" w:beforeAutospacing="0" w:after="0" w:afterAutospacing="0"/>
              <w:ind w:left="0" w:right="0"/>
              <w:jc w:val="center"/>
              <w:rPr>
                <w:rFonts w:hint="eastAsia" w:ascii="宋体" w:hAnsi="宋体" w:eastAsia="宋体" w:cs="宋体"/>
                <w:color w:val="auto"/>
                <w:highlight w:val="none"/>
                <w:lang w:bidi="he-IL"/>
              </w:rPr>
            </w:pPr>
            <w:r>
              <w:rPr>
                <w:rFonts w:hint="eastAsia" w:ascii="宋体" w:hAnsi="宋体" w:eastAsia="宋体" w:cs="宋体"/>
                <w:color w:val="auto"/>
                <w:highlight w:val="none"/>
                <w:lang w:bidi="he-IL"/>
              </w:rPr>
              <w:t>第5.4款</w:t>
            </w:r>
          </w:p>
        </w:tc>
        <w:tc>
          <w:tcPr>
            <w:tcW w:w="1022" w:type="pct"/>
            <w:noWrap w:val="0"/>
            <w:vAlign w:val="center"/>
          </w:tcPr>
          <w:p w14:paraId="63528A62">
            <w:pPr>
              <w:keepNext w:val="0"/>
              <w:keepLines w:val="0"/>
              <w:widowControl/>
              <w:suppressLineNumbers w:val="0"/>
              <w:adjustRightInd w:val="0"/>
              <w:snapToGrid w:val="0"/>
              <w:spacing w:before="0" w:beforeAutospacing="0" w:after="0" w:afterAutospacing="0"/>
              <w:ind w:left="0" w:right="0"/>
              <w:rPr>
                <w:rFonts w:hint="eastAsia" w:ascii="宋体" w:hAnsi="宋体" w:eastAsia="宋体" w:cs="宋体"/>
                <w:color w:val="auto"/>
                <w:highlight w:val="none"/>
                <w:lang w:bidi="he-IL"/>
              </w:rPr>
            </w:pPr>
            <w:r>
              <w:rPr>
                <w:rFonts w:hint="eastAsia" w:ascii="宋体" w:hAnsi="宋体" w:eastAsia="宋体" w:cs="宋体"/>
                <w:color w:val="auto"/>
                <w:highlight w:val="none"/>
                <w:lang w:bidi="he-IL"/>
              </w:rPr>
              <w:t>约定乙方承担的其他义务和责任</w:t>
            </w:r>
          </w:p>
        </w:tc>
        <w:tc>
          <w:tcPr>
            <w:tcW w:w="3034" w:type="pct"/>
            <w:noWrap w:val="0"/>
            <w:vAlign w:val="center"/>
          </w:tcPr>
          <w:p w14:paraId="4E36534B">
            <w:pPr>
              <w:keepNext w:val="0"/>
              <w:keepLines w:val="0"/>
              <w:widowControl/>
              <w:suppressLineNumbers w:val="0"/>
              <w:adjustRightInd w:val="0"/>
              <w:snapToGrid w:val="0"/>
              <w:spacing w:before="0" w:beforeAutospacing="0" w:after="0" w:afterAutospacing="0"/>
              <w:ind w:left="0" w:right="0"/>
              <w:rPr>
                <w:rFonts w:hint="eastAsia" w:ascii="宋体" w:hAnsi="宋体" w:eastAsia="宋体" w:cs="宋体"/>
                <w:color w:val="auto"/>
                <w:kern w:val="2"/>
                <w:highlight w:val="none"/>
                <w:lang w:bidi="he-IL"/>
              </w:rPr>
            </w:pPr>
            <w:r>
              <w:rPr>
                <w:rFonts w:hint="eastAsia" w:ascii="宋体" w:hAnsi="宋体" w:eastAsia="宋体" w:cs="宋体"/>
                <w:color w:val="auto"/>
                <w:highlight w:val="none"/>
                <w:lang w:bidi="he-IL"/>
              </w:rPr>
              <w:t>甲乙双方在签订合同时自行商定</w:t>
            </w:r>
          </w:p>
        </w:tc>
      </w:tr>
      <w:tr w14:paraId="6438A8D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943" w:type="pct"/>
            <w:noWrap w:val="0"/>
            <w:vAlign w:val="center"/>
          </w:tcPr>
          <w:p w14:paraId="17FDB8B8">
            <w:pPr>
              <w:keepNext w:val="0"/>
              <w:keepLines w:val="0"/>
              <w:widowControl/>
              <w:suppressLineNumbers w:val="0"/>
              <w:adjustRightInd w:val="0"/>
              <w:snapToGrid w:val="0"/>
              <w:spacing w:before="0" w:beforeAutospacing="0" w:after="0" w:afterAutospacing="0"/>
              <w:ind w:left="0" w:right="0"/>
              <w:jc w:val="center"/>
              <w:rPr>
                <w:rFonts w:hint="eastAsia" w:ascii="宋体" w:hAnsi="宋体" w:eastAsia="宋体" w:cs="宋体"/>
                <w:color w:val="auto"/>
                <w:highlight w:val="none"/>
                <w:lang w:bidi="he-IL"/>
              </w:rPr>
            </w:pPr>
            <w:r>
              <w:rPr>
                <w:rFonts w:hint="eastAsia" w:ascii="宋体" w:hAnsi="宋体" w:eastAsia="宋体" w:cs="宋体"/>
                <w:color w:val="auto"/>
                <w:highlight w:val="none"/>
                <w:lang w:bidi="he-IL"/>
              </w:rPr>
              <w:t>第二节</w:t>
            </w:r>
          </w:p>
          <w:p w14:paraId="60B8165C">
            <w:pPr>
              <w:keepNext w:val="0"/>
              <w:keepLines w:val="0"/>
              <w:widowControl/>
              <w:suppressLineNumbers w:val="0"/>
              <w:snapToGrid w:val="0"/>
              <w:spacing w:before="0" w:beforeAutospacing="0" w:after="0" w:afterAutospacing="0"/>
              <w:ind w:left="0" w:right="0"/>
              <w:jc w:val="center"/>
              <w:rPr>
                <w:rFonts w:hint="eastAsia" w:ascii="宋体" w:hAnsi="宋体" w:eastAsia="宋体" w:cs="宋体"/>
                <w:color w:val="auto"/>
                <w:highlight w:val="none"/>
                <w:lang w:bidi="he-IL"/>
              </w:rPr>
            </w:pPr>
            <w:r>
              <w:rPr>
                <w:rFonts w:hint="eastAsia" w:ascii="宋体" w:hAnsi="宋体" w:eastAsia="宋体" w:cs="宋体"/>
                <w:color w:val="auto"/>
                <w:highlight w:val="none"/>
                <w:lang w:bidi="he-IL"/>
              </w:rPr>
              <w:t>第6.1款</w:t>
            </w:r>
          </w:p>
        </w:tc>
        <w:tc>
          <w:tcPr>
            <w:tcW w:w="1022" w:type="pct"/>
            <w:noWrap w:val="0"/>
            <w:vAlign w:val="center"/>
          </w:tcPr>
          <w:p w14:paraId="64BE8814">
            <w:pPr>
              <w:keepNext w:val="0"/>
              <w:keepLines w:val="0"/>
              <w:widowControl/>
              <w:suppressLineNumbers w:val="0"/>
              <w:adjustRightInd w:val="0"/>
              <w:snapToGrid w:val="0"/>
              <w:spacing w:before="0" w:beforeAutospacing="0" w:after="0" w:afterAutospacing="0"/>
              <w:ind w:left="0" w:right="0"/>
              <w:rPr>
                <w:rFonts w:hint="eastAsia" w:ascii="宋体" w:hAnsi="宋体" w:eastAsia="宋体" w:cs="宋体"/>
                <w:color w:val="auto"/>
                <w:highlight w:val="none"/>
                <w:lang w:bidi="he-IL"/>
              </w:rPr>
            </w:pPr>
            <w:r>
              <w:rPr>
                <w:rFonts w:hint="eastAsia" w:ascii="宋体" w:hAnsi="宋体" w:eastAsia="宋体" w:cs="宋体"/>
                <w:color w:val="auto"/>
                <w:highlight w:val="none"/>
                <w:lang w:bidi="he-IL"/>
              </w:rPr>
              <w:t>履行合同义务的顺序</w:t>
            </w:r>
          </w:p>
        </w:tc>
        <w:tc>
          <w:tcPr>
            <w:tcW w:w="3034" w:type="pct"/>
            <w:noWrap w:val="0"/>
            <w:vAlign w:val="center"/>
          </w:tcPr>
          <w:p w14:paraId="185BB93B">
            <w:pPr>
              <w:keepNext w:val="0"/>
              <w:keepLines w:val="0"/>
              <w:widowControl/>
              <w:suppressLineNumbers w:val="0"/>
              <w:adjustRightInd w:val="0"/>
              <w:snapToGrid w:val="0"/>
              <w:spacing w:before="0" w:beforeAutospacing="0" w:after="0" w:afterAutospacing="0"/>
              <w:ind w:left="0" w:right="0"/>
              <w:rPr>
                <w:rFonts w:hint="eastAsia" w:ascii="宋体" w:hAnsi="宋体" w:eastAsia="宋体" w:cs="宋体"/>
                <w:color w:val="auto"/>
                <w:kern w:val="2"/>
                <w:highlight w:val="none"/>
                <w:lang w:bidi="he-IL"/>
              </w:rPr>
            </w:pPr>
            <w:r>
              <w:rPr>
                <w:rFonts w:hint="eastAsia" w:ascii="宋体" w:hAnsi="宋体" w:eastAsia="宋体" w:cs="宋体"/>
                <w:color w:val="auto"/>
                <w:highlight w:val="none"/>
                <w:lang w:bidi="he-IL"/>
              </w:rPr>
              <w:t>甲乙双方在签订合同时自行商定</w:t>
            </w:r>
          </w:p>
        </w:tc>
      </w:tr>
      <w:tr w14:paraId="20F0A86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67" w:hRule="atLeast"/>
        </w:trPr>
        <w:tc>
          <w:tcPr>
            <w:tcW w:w="943" w:type="pct"/>
            <w:vMerge w:val="restart"/>
            <w:noWrap w:val="0"/>
            <w:vAlign w:val="center"/>
          </w:tcPr>
          <w:p w14:paraId="571BEACC">
            <w:pPr>
              <w:keepNext w:val="0"/>
              <w:keepLines w:val="0"/>
              <w:widowControl/>
              <w:suppressLineNumbers w:val="0"/>
              <w:adjustRightInd w:val="0"/>
              <w:snapToGrid w:val="0"/>
              <w:spacing w:before="0" w:beforeAutospacing="0" w:after="0" w:afterAutospacing="0"/>
              <w:ind w:left="0" w:right="0"/>
              <w:jc w:val="center"/>
              <w:rPr>
                <w:rFonts w:hint="eastAsia" w:ascii="宋体" w:hAnsi="宋体" w:eastAsia="宋体" w:cs="宋体"/>
                <w:color w:val="auto"/>
                <w:highlight w:val="none"/>
                <w:lang w:bidi="he-IL"/>
              </w:rPr>
            </w:pPr>
            <w:r>
              <w:rPr>
                <w:rFonts w:hint="eastAsia" w:ascii="宋体" w:hAnsi="宋体" w:eastAsia="宋体" w:cs="宋体"/>
                <w:color w:val="auto"/>
                <w:highlight w:val="none"/>
                <w:lang w:bidi="he-IL"/>
              </w:rPr>
              <w:t>第二节</w:t>
            </w:r>
          </w:p>
          <w:p w14:paraId="60127699">
            <w:pPr>
              <w:keepNext w:val="0"/>
              <w:keepLines w:val="0"/>
              <w:widowControl/>
              <w:suppressLineNumbers w:val="0"/>
              <w:adjustRightInd w:val="0"/>
              <w:snapToGrid w:val="0"/>
              <w:spacing w:before="0" w:beforeAutospacing="0" w:after="0" w:afterAutospacing="0"/>
              <w:ind w:left="0" w:right="0"/>
              <w:jc w:val="center"/>
              <w:rPr>
                <w:rFonts w:hint="eastAsia" w:ascii="宋体" w:hAnsi="宋体" w:eastAsia="宋体" w:cs="宋体"/>
                <w:color w:val="auto"/>
                <w:highlight w:val="none"/>
                <w:lang w:bidi="he-IL"/>
              </w:rPr>
            </w:pPr>
            <w:r>
              <w:rPr>
                <w:rFonts w:hint="eastAsia" w:ascii="宋体" w:hAnsi="宋体" w:eastAsia="宋体" w:cs="宋体"/>
                <w:color w:val="auto"/>
                <w:highlight w:val="none"/>
                <w:lang w:bidi="he-IL"/>
              </w:rPr>
              <w:t>第7.1款</w:t>
            </w:r>
          </w:p>
        </w:tc>
        <w:tc>
          <w:tcPr>
            <w:tcW w:w="1022" w:type="pct"/>
            <w:noWrap w:val="0"/>
            <w:vAlign w:val="center"/>
          </w:tcPr>
          <w:p w14:paraId="5F7626C2">
            <w:pPr>
              <w:keepNext w:val="0"/>
              <w:keepLines w:val="0"/>
              <w:widowControl/>
              <w:suppressLineNumbers w:val="0"/>
              <w:adjustRightInd w:val="0"/>
              <w:snapToGrid w:val="0"/>
              <w:spacing w:before="0" w:beforeAutospacing="0" w:after="0" w:afterAutospacing="0"/>
              <w:ind w:left="0" w:right="0"/>
              <w:rPr>
                <w:rFonts w:hint="eastAsia" w:ascii="宋体" w:hAnsi="宋体" w:eastAsia="宋体" w:cs="宋体"/>
                <w:color w:val="auto"/>
                <w:highlight w:val="none"/>
                <w:lang w:bidi="he-IL"/>
              </w:rPr>
            </w:pPr>
            <w:r>
              <w:rPr>
                <w:rFonts w:hint="eastAsia" w:ascii="宋体" w:hAnsi="宋体" w:eastAsia="宋体" w:cs="宋体"/>
                <w:color w:val="auto"/>
                <w:highlight w:val="none"/>
                <w:lang w:bidi="he-IL"/>
              </w:rPr>
              <w:t>包装特殊要求</w:t>
            </w:r>
          </w:p>
        </w:tc>
        <w:tc>
          <w:tcPr>
            <w:tcW w:w="3034" w:type="pct"/>
            <w:noWrap w:val="0"/>
            <w:vAlign w:val="center"/>
          </w:tcPr>
          <w:p w14:paraId="7DDD97AA">
            <w:pPr>
              <w:keepNext w:val="0"/>
              <w:keepLines w:val="0"/>
              <w:widowControl/>
              <w:suppressLineNumbers w:val="0"/>
              <w:spacing w:before="0" w:beforeAutospacing="0" w:after="0" w:afterAutospacing="0"/>
              <w:ind w:left="0" w:right="0"/>
              <w:rPr>
                <w:rFonts w:hint="eastAsia" w:ascii="宋体" w:hAnsi="宋体" w:eastAsia="宋体" w:cs="宋体"/>
                <w:color w:val="auto"/>
                <w:highlight w:val="none"/>
                <w:lang w:bidi="he-IL"/>
              </w:rPr>
            </w:pPr>
            <w:r>
              <w:rPr>
                <w:rFonts w:hint="eastAsia" w:ascii="宋体" w:hAnsi="宋体" w:eastAsia="宋体" w:cs="宋体"/>
                <w:color w:val="auto"/>
                <w:highlight w:val="none"/>
                <w:lang w:bidi="he-IL"/>
              </w:rPr>
              <w:t>甲乙双方在签订合同时自行商定</w:t>
            </w:r>
          </w:p>
        </w:tc>
      </w:tr>
      <w:tr w14:paraId="22A2143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67" w:hRule="atLeast"/>
        </w:trPr>
        <w:tc>
          <w:tcPr>
            <w:tcW w:w="943" w:type="pct"/>
            <w:vMerge w:val="continue"/>
            <w:noWrap w:val="0"/>
            <w:vAlign w:val="center"/>
          </w:tcPr>
          <w:p w14:paraId="6E355270">
            <w:pPr>
              <w:keepNext w:val="0"/>
              <w:keepLines w:val="0"/>
              <w:widowControl/>
              <w:suppressLineNumbers w:val="0"/>
              <w:adjustRightInd w:val="0"/>
              <w:snapToGrid w:val="0"/>
              <w:spacing w:before="0" w:beforeAutospacing="0" w:after="0" w:afterAutospacing="0"/>
              <w:ind w:left="0" w:right="0"/>
              <w:jc w:val="center"/>
              <w:rPr>
                <w:rFonts w:hint="eastAsia" w:ascii="宋体" w:hAnsi="宋体" w:eastAsia="宋体" w:cs="宋体"/>
                <w:color w:val="auto"/>
                <w:highlight w:val="none"/>
                <w:lang w:bidi="he-IL"/>
              </w:rPr>
            </w:pPr>
          </w:p>
        </w:tc>
        <w:tc>
          <w:tcPr>
            <w:tcW w:w="1022" w:type="pct"/>
            <w:noWrap w:val="0"/>
            <w:vAlign w:val="center"/>
          </w:tcPr>
          <w:p w14:paraId="5BA6D44D">
            <w:pPr>
              <w:keepNext w:val="0"/>
              <w:keepLines w:val="0"/>
              <w:widowControl/>
              <w:suppressLineNumbers w:val="0"/>
              <w:adjustRightInd w:val="0"/>
              <w:snapToGrid w:val="0"/>
              <w:spacing w:before="0" w:beforeAutospacing="0" w:after="0" w:afterAutospacing="0"/>
              <w:ind w:left="0" w:right="0"/>
              <w:rPr>
                <w:rFonts w:hint="eastAsia" w:ascii="宋体" w:hAnsi="宋体" w:eastAsia="宋体" w:cs="宋体"/>
                <w:color w:val="auto"/>
                <w:highlight w:val="none"/>
                <w:lang w:bidi="he-IL"/>
              </w:rPr>
            </w:pPr>
            <w:r>
              <w:rPr>
                <w:rFonts w:hint="eastAsia" w:ascii="宋体" w:hAnsi="宋体" w:eastAsia="宋体" w:cs="宋体"/>
                <w:color w:val="auto"/>
                <w:highlight w:val="none"/>
                <w:lang w:bidi="he-IL"/>
              </w:rPr>
              <w:t>指定现场</w:t>
            </w:r>
          </w:p>
        </w:tc>
        <w:tc>
          <w:tcPr>
            <w:tcW w:w="3034" w:type="pct"/>
            <w:noWrap w:val="0"/>
            <w:vAlign w:val="center"/>
          </w:tcPr>
          <w:p w14:paraId="285D72BE">
            <w:pPr>
              <w:keepNext w:val="0"/>
              <w:keepLines w:val="0"/>
              <w:widowControl/>
              <w:suppressLineNumbers w:val="0"/>
              <w:spacing w:before="0" w:beforeAutospacing="0" w:after="0" w:afterAutospacing="0"/>
              <w:ind w:left="0" w:right="0"/>
              <w:rPr>
                <w:rFonts w:hint="eastAsia" w:ascii="宋体" w:hAnsi="宋体" w:eastAsia="宋体" w:cs="宋体"/>
                <w:color w:val="auto"/>
                <w:highlight w:val="none"/>
                <w:lang w:eastAsia="zh-CN" w:bidi="he-IL"/>
              </w:rPr>
            </w:pPr>
            <w:r>
              <w:rPr>
                <w:rFonts w:hint="eastAsia" w:ascii="宋体" w:hAnsi="宋体" w:cs="宋体"/>
                <w:color w:val="auto"/>
                <w:highlight w:val="none"/>
                <w:lang w:val="en-US" w:eastAsia="zh-CN" w:bidi="he-IL"/>
              </w:rPr>
              <w:t>香格里拉市人民医院</w:t>
            </w:r>
          </w:p>
        </w:tc>
      </w:tr>
      <w:tr w14:paraId="648EE07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72" w:hRule="atLeast"/>
        </w:trPr>
        <w:tc>
          <w:tcPr>
            <w:tcW w:w="943" w:type="pct"/>
            <w:noWrap w:val="0"/>
            <w:vAlign w:val="center"/>
          </w:tcPr>
          <w:p w14:paraId="1CA41E9C">
            <w:pPr>
              <w:keepNext w:val="0"/>
              <w:keepLines w:val="0"/>
              <w:widowControl/>
              <w:suppressLineNumbers w:val="0"/>
              <w:adjustRightInd w:val="0"/>
              <w:snapToGrid w:val="0"/>
              <w:spacing w:before="0" w:beforeAutospacing="0" w:after="0" w:afterAutospacing="0"/>
              <w:ind w:left="0" w:right="0"/>
              <w:jc w:val="center"/>
              <w:rPr>
                <w:rFonts w:hint="eastAsia" w:ascii="宋体" w:hAnsi="宋体" w:eastAsia="宋体" w:cs="宋体"/>
                <w:color w:val="auto"/>
                <w:highlight w:val="none"/>
                <w:lang w:bidi="he-IL"/>
              </w:rPr>
            </w:pPr>
            <w:r>
              <w:rPr>
                <w:rFonts w:hint="eastAsia" w:ascii="宋体" w:hAnsi="宋体" w:eastAsia="宋体" w:cs="宋体"/>
                <w:color w:val="auto"/>
                <w:highlight w:val="none"/>
                <w:lang w:bidi="he-IL"/>
              </w:rPr>
              <w:t>第二节</w:t>
            </w:r>
          </w:p>
          <w:p w14:paraId="497059A5">
            <w:pPr>
              <w:keepNext w:val="0"/>
              <w:keepLines w:val="0"/>
              <w:widowControl/>
              <w:suppressLineNumbers w:val="0"/>
              <w:adjustRightInd w:val="0"/>
              <w:snapToGrid w:val="0"/>
              <w:spacing w:before="0" w:beforeAutospacing="0" w:after="0" w:afterAutospacing="0"/>
              <w:ind w:left="0" w:right="0"/>
              <w:jc w:val="center"/>
              <w:rPr>
                <w:rFonts w:hint="eastAsia" w:ascii="宋体" w:hAnsi="宋体" w:eastAsia="宋体" w:cs="宋体"/>
                <w:color w:val="auto"/>
                <w:highlight w:val="none"/>
                <w:lang w:bidi="he-IL"/>
              </w:rPr>
            </w:pPr>
            <w:r>
              <w:rPr>
                <w:rFonts w:hint="eastAsia" w:ascii="宋体" w:hAnsi="宋体" w:eastAsia="宋体" w:cs="宋体"/>
                <w:color w:val="auto"/>
                <w:highlight w:val="none"/>
                <w:lang w:bidi="he-IL"/>
              </w:rPr>
              <w:t>第7.2款</w:t>
            </w:r>
          </w:p>
        </w:tc>
        <w:tc>
          <w:tcPr>
            <w:tcW w:w="1022" w:type="pct"/>
            <w:noWrap w:val="0"/>
            <w:vAlign w:val="center"/>
          </w:tcPr>
          <w:p w14:paraId="049660FD">
            <w:pPr>
              <w:keepNext w:val="0"/>
              <w:keepLines w:val="0"/>
              <w:widowControl/>
              <w:suppressLineNumbers w:val="0"/>
              <w:adjustRightInd w:val="0"/>
              <w:snapToGrid w:val="0"/>
              <w:spacing w:before="0" w:beforeAutospacing="0" w:after="0" w:afterAutospacing="0"/>
              <w:ind w:left="0" w:right="0"/>
              <w:rPr>
                <w:rFonts w:hint="eastAsia" w:ascii="宋体" w:hAnsi="宋体" w:eastAsia="宋体" w:cs="宋体"/>
                <w:color w:val="auto"/>
                <w:highlight w:val="none"/>
                <w:lang w:bidi="he-IL"/>
              </w:rPr>
            </w:pPr>
            <w:r>
              <w:rPr>
                <w:rFonts w:hint="eastAsia" w:ascii="宋体" w:hAnsi="宋体" w:eastAsia="宋体" w:cs="宋体"/>
                <w:color w:val="auto"/>
                <w:highlight w:val="none"/>
                <w:lang w:bidi="he-IL"/>
              </w:rPr>
              <w:t>运输特殊要求</w:t>
            </w:r>
          </w:p>
        </w:tc>
        <w:tc>
          <w:tcPr>
            <w:tcW w:w="3034" w:type="pct"/>
            <w:noWrap w:val="0"/>
            <w:vAlign w:val="center"/>
          </w:tcPr>
          <w:p w14:paraId="467002FA">
            <w:pPr>
              <w:keepNext w:val="0"/>
              <w:keepLines w:val="0"/>
              <w:widowControl/>
              <w:suppressLineNumbers w:val="0"/>
              <w:spacing w:before="0" w:beforeAutospacing="0" w:after="0" w:afterAutospacing="0"/>
              <w:ind w:left="0" w:right="0"/>
              <w:rPr>
                <w:rFonts w:hint="eastAsia" w:ascii="宋体" w:hAnsi="宋体" w:eastAsia="宋体" w:cs="宋体"/>
                <w:color w:val="auto"/>
                <w:highlight w:val="none"/>
                <w:lang w:bidi="he-IL"/>
              </w:rPr>
            </w:pPr>
            <w:r>
              <w:rPr>
                <w:rFonts w:hint="eastAsia" w:ascii="宋体" w:hAnsi="宋体" w:eastAsia="宋体" w:cs="宋体"/>
                <w:color w:val="auto"/>
                <w:highlight w:val="none"/>
                <w:lang w:bidi="he-IL"/>
              </w:rPr>
              <w:t>甲乙双方在签订合同时自行商定</w:t>
            </w:r>
          </w:p>
        </w:tc>
      </w:tr>
      <w:tr w14:paraId="19550BE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67" w:hRule="atLeast"/>
        </w:trPr>
        <w:tc>
          <w:tcPr>
            <w:tcW w:w="943" w:type="pct"/>
            <w:noWrap w:val="0"/>
            <w:vAlign w:val="center"/>
          </w:tcPr>
          <w:p w14:paraId="69CE288D">
            <w:pPr>
              <w:keepNext w:val="0"/>
              <w:keepLines w:val="0"/>
              <w:widowControl/>
              <w:suppressLineNumbers w:val="0"/>
              <w:adjustRightInd w:val="0"/>
              <w:snapToGrid w:val="0"/>
              <w:spacing w:before="0" w:beforeAutospacing="0" w:after="0" w:afterAutospacing="0"/>
              <w:ind w:left="0" w:right="0"/>
              <w:jc w:val="center"/>
              <w:rPr>
                <w:rFonts w:hint="eastAsia" w:ascii="宋体" w:hAnsi="宋体" w:eastAsia="宋体" w:cs="宋体"/>
                <w:color w:val="auto"/>
                <w:highlight w:val="none"/>
                <w:lang w:bidi="he-IL"/>
              </w:rPr>
            </w:pPr>
            <w:r>
              <w:rPr>
                <w:rFonts w:hint="eastAsia" w:ascii="宋体" w:hAnsi="宋体" w:eastAsia="宋体" w:cs="宋体"/>
                <w:color w:val="auto"/>
                <w:highlight w:val="none"/>
                <w:lang w:bidi="he-IL"/>
              </w:rPr>
              <w:t>第二节</w:t>
            </w:r>
          </w:p>
          <w:p w14:paraId="22CAEF51">
            <w:pPr>
              <w:keepNext w:val="0"/>
              <w:keepLines w:val="0"/>
              <w:widowControl/>
              <w:suppressLineNumbers w:val="0"/>
              <w:adjustRightInd w:val="0"/>
              <w:snapToGrid w:val="0"/>
              <w:spacing w:before="0" w:beforeAutospacing="0" w:after="0" w:afterAutospacing="0"/>
              <w:ind w:left="0" w:right="0"/>
              <w:jc w:val="center"/>
              <w:rPr>
                <w:rFonts w:hint="eastAsia" w:ascii="宋体" w:hAnsi="宋体" w:eastAsia="宋体" w:cs="宋体"/>
                <w:color w:val="auto"/>
                <w:highlight w:val="none"/>
                <w:lang w:bidi="he-IL"/>
              </w:rPr>
            </w:pPr>
            <w:r>
              <w:rPr>
                <w:rFonts w:hint="eastAsia" w:ascii="宋体" w:hAnsi="宋体" w:eastAsia="宋体" w:cs="宋体"/>
                <w:color w:val="auto"/>
                <w:highlight w:val="none"/>
                <w:lang w:bidi="he-IL"/>
              </w:rPr>
              <w:t>第7.3款</w:t>
            </w:r>
          </w:p>
        </w:tc>
        <w:tc>
          <w:tcPr>
            <w:tcW w:w="1022" w:type="pct"/>
            <w:noWrap w:val="0"/>
            <w:vAlign w:val="center"/>
          </w:tcPr>
          <w:p w14:paraId="1520B37A">
            <w:pPr>
              <w:keepNext w:val="0"/>
              <w:keepLines w:val="0"/>
              <w:widowControl/>
              <w:suppressLineNumbers w:val="0"/>
              <w:adjustRightInd w:val="0"/>
              <w:snapToGrid w:val="0"/>
              <w:spacing w:before="0" w:beforeAutospacing="0" w:after="0" w:afterAutospacing="0"/>
              <w:ind w:left="0" w:right="0"/>
              <w:rPr>
                <w:rFonts w:hint="eastAsia" w:ascii="宋体" w:hAnsi="宋体" w:eastAsia="宋体" w:cs="宋体"/>
                <w:color w:val="auto"/>
                <w:highlight w:val="none"/>
                <w:lang w:bidi="he-IL"/>
              </w:rPr>
            </w:pPr>
            <w:r>
              <w:rPr>
                <w:rFonts w:hint="eastAsia" w:ascii="宋体" w:hAnsi="宋体" w:eastAsia="宋体" w:cs="宋体"/>
                <w:color w:val="auto"/>
                <w:highlight w:val="none"/>
                <w:lang w:bidi="he-IL"/>
              </w:rPr>
              <w:t>保险要求</w:t>
            </w:r>
          </w:p>
        </w:tc>
        <w:tc>
          <w:tcPr>
            <w:tcW w:w="3034" w:type="pct"/>
            <w:noWrap w:val="0"/>
            <w:vAlign w:val="center"/>
          </w:tcPr>
          <w:p w14:paraId="79925844">
            <w:pPr>
              <w:keepNext w:val="0"/>
              <w:keepLines w:val="0"/>
              <w:widowControl/>
              <w:suppressLineNumbers w:val="0"/>
              <w:spacing w:before="0" w:beforeAutospacing="0" w:after="0" w:afterAutospacing="0"/>
              <w:ind w:left="0" w:right="0"/>
              <w:rPr>
                <w:rFonts w:hint="eastAsia" w:ascii="宋体" w:hAnsi="宋体" w:eastAsia="宋体" w:cs="宋体"/>
                <w:color w:val="auto"/>
                <w:highlight w:val="none"/>
                <w:lang w:bidi="he-IL"/>
              </w:rPr>
            </w:pPr>
            <w:r>
              <w:rPr>
                <w:rFonts w:hint="eastAsia" w:ascii="宋体" w:hAnsi="宋体" w:eastAsia="宋体" w:cs="宋体"/>
                <w:color w:val="auto"/>
                <w:highlight w:val="none"/>
                <w:lang w:bidi="he-IL"/>
              </w:rPr>
              <w:t>无</w:t>
            </w:r>
          </w:p>
        </w:tc>
      </w:tr>
      <w:tr w14:paraId="15B0DE1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943" w:type="pct"/>
            <w:noWrap w:val="0"/>
            <w:vAlign w:val="center"/>
          </w:tcPr>
          <w:p w14:paraId="040E4E7D">
            <w:pPr>
              <w:keepNext w:val="0"/>
              <w:keepLines w:val="0"/>
              <w:widowControl/>
              <w:suppressLineNumbers w:val="0"/>
              <w:adjustRightInd w:val="0"/>
              <w:snapToGrid w:val="0"/>
              <w:spacing w:before="0" w:beforeAutospacing="0" w:after="0" w:afterAutospacing="0"/>
              <w:ind w:left="0" w:right="0"/>
              <w:jc w:val="center"/>
              <w:rPr>
                <w:rFonts w:hint="eastAsia" w:ascii="宋体" w:hAnsi="宋体" w:eastAsia="宋体" w:cs="宋体"/>
                <w:color w:val="auto"/>
                <w:highlight w:val="none"/>
                <w:lang w:bidi="he-IL"/>
              </w:rPr>
            </w:pPr>
            <w:r>
              <w:rPr>
                <w:rFonts w:hint="eastAsia" w:ascii="宋体" w:hAnsi="宋体" w:eastAsia="宋体" w:cs="宋体"/>
                <w:color w:val="auto"/>
                <w:highlight w:val="none"/>
                <w:lang w:bidi="he-IL"/>
              </w:rPr>
              <w:t>第二节</w:t>
            </w:r>
          </w:p>
          <w:p w14:paraId="11260B62">
            <w:pPr>
              <w:keepNext w:val="0"/>
              <w:keepLines w:val="0"/>
              <w:widowControl/>
              <w:suppressLineNumbers w:val="0"/>
              <w:adjustRightInd w:val="0"/>
              <w:snapToGrid w:val="0"/>
              <w:spacing w:before="0" w:beforeAutospacing="0" w:after="0" w:afterAutospacing="0"/>
              <w:ind w:left="0" w:right="0"/>
              <w:jc w:val="center"/>
              <w:rPr>
                <w:rFonts w:hint="eastAsia" w:ascii="宋体" w:hAnsi="宋体" w:eastAsia="宋体" w:cs="宋体"/>
                <w:color w:val="auto"/>
                <w:highlight w:val="none"/>
                <w:lang w:bidi="he-IL"/>
              </w:rPr>
            </w:pPr>
            <w:r>
              <w:rPr>
                <w:rFonts w:hint="eastAsia" w:ascii="宋体" w:hAnsi="宋体" w:eastAsia="宋体" w:cs="宋体"/>
                <w:color w:val="auto"/>
                <w:highlight w:val="none"/>
                <w:lang w:bidi="he-IL"/>
              </w:rPr>
              <w:t>第8.2（1）项</w:t>
            </w:r>
          </w:p>
        </w:tc>
        <w:tc>
          <w:tcPr>
            <w:tcW w:w="1022" w:type="pct"/>
            <w:noWrap w:val="0"/>
            <w:vAlign w:val="center"/>
          </w:tcPr>
          <w:p w14:paraId="21CCD7FB">
            <w:pPr>
              <w:keepNext w:val="0"/>
              <w:keepLines w:val="0"/>
              <w:widowControl/>
              <w:suppressLineNumbers w:val="0"/>
              <w:adjustRightInd w:val="0"/>
              <w:snapToGrid w:val="0"/>
              <w:spacing w:before="0" w:beforeAutospacing="0" w:after="0" w:afterAutospacing="0"/>
              <w:ind w:left="0" w:right="0"/>
              <w:rPr>
                <w:rFonts w:hint="eastAsia" w:ascii="宋体" w:hAnsi="宋体" w:eastAsia="宋体" w:cs="宋体"/>
                <w:color w:val="auto"/>
                <w:highlight w:val="none"/>
                <w:lang w:bidi="he-IL"/>
              </w:rPr>
            </w:pPr>
            <w:r>
              <w:rPr>
                <w:rFonts w:hint="eastAsia" w:ascii="宋体" w:hAnsi="宋体" w:eastAsia="宋体" w:cs="宋体"/>
                <w:color w:val="auto"/>
                <w:highlight w:val="none"/>
                <w:lang w:bidi="he-IL"/>
              </w:rPr>
              <w:t>质量保证期</w:t>
            </w:r>
          </w:p>
        </w:tc>
        <w:tc>
          <w:tcPr>
            <w:tcW w:w="3034" w:type="pct"/>
            <w:noWrap w:val="0"/>
            <w:vAlign w:val="center"/>
          </w:tcPr>
          <w:p w14:paraId="02DC1D70">
            <w:pPr>
              <w:keepNext w:val="0"/>
              <w:keepLines w:val="0"/>
              <w:widowControl/>
              <w:suppressLineNumbers w:val="0"/>
              <w:autoSpaceDE w:val="0"/>
              <w:autoSpaceDN w:val="0"/>
              <w:adjustRightInd w:val="0"/>
              <w:snapToGrid w:val="0"/>
              <w:spacing w:before="0" w:beforeAutospacing="0" w:after="0" w:afterAutospacing="0"/>
              <w:ind w:left="0" w:right="0"/>
              <w:rPr>
                <w:rFonts w:hint="eastAsia" w:ascii="宋体" w:hAnsi="宋体" w:eastAsia="宋体" w:cs="宋体"/>
                <w:color w:val="auto"/>
                <w:highlight w:val="none"/>
                <w:lang w:eastAsia="zh-CN" w:bidi="he-IL"/>
              </w:rPr>
            </w:pPr>
            <w:r>
              <w:rPr>
                <w:rFonts w:hint="eastAsia" w:ascii="宋体" w:hAnsi="宋体" w:cs="宋体"/>
                <w:color w:val="auto"/>
                <w:highlight w:val="none"/>
                <w:lang w:eastAsia="zh-CN" w:bidi="he-IL"/>
              </w:rPr>
              <w:t>3年</w:t>
            </w:r>
          </w:p>
        </w:tc>
      </w:tr>
      <w:tr w14:paraId="22C1E7D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943" w:type="pct"/>
            <w:noWrap w:val="0"/>
            <w:vAlign w:val="center"/>
          </w:tcPr>
          <w:p w14:paraId="535350BD">
            <w:pPr>
              <w:keepNext w:val="0"/>
              <w:keepLines w:val="0"/>
              <w:widowControl/>
              <w:suppressLineNumbers w:val="0"/>
              <w:adjustRightInd w:val="0"/>
              <w:snapToGrid w:val="0"/>
              <w:spacing w:before="0" w:beforeAutospacing="0" w:after="0" w:afterAutospacing="0"/>
              <w:ind w:left="0" w:right="0"/>
              <w:jc w:val="center"/>
              <w:rPr>
                <w:rFonts w:hint="eastAsia" w:ascii="宋体" w:hAnsi="宋体" w:eastAsia="宋体" w:cs="宋体"/>
                <w:color w:val="auto"/>
                <w:highlight w:val="none"/>
                <w:lang w:bidi="he-IL"/>
              </w:rPr>
            </w:pPr>
            <w:r>
              <w:rPr>
                <w:rFonts w:hint="eastAsia" w:ascii="宋体" w:hAnsi="宋体" w:eastAsia="宋体" w:cs="宋体"/>
                <w:color w:val="auto"/>
                <w:highlight w:val="none"/>
                <w:lang w:bidi="he-IL"/>
              </w:rPr>
              <w:t>第二节</w:t>
            </w:r>
          </w:p>
          <w:p w14:paraId="5454640E">
            <w:pPr>
              <w:keepNext w:val="0"/>
              <w:keepLines w:val="0"/>
              <w:widowControl/>
              <w:suppressLineNumbers w:val="0"/>
              <w:adjustRightInd w:val="0"/>
              <w:snapToGrid w:val="0"/>
              <w:spacing w:before="0" w:beforeAutospacing="0" w:after="0" w:afterAutospacing="0"/>
              <w:ind w:left="0" w:right="0"/>
              <w:jc w:val="center"/>
              <w:rPr>
                <w:rFonts w:hint="eastAsia" w:ascii="宋体" w:hAnsi="宋体" w:eastAsia="宋体" w:cs="宋体"/>
                <w:color w:val="auto"/>
                <w:highlight w:val="none"/>
                <w:lang w:bidi="he-IL"/>
              </w:rPr>
            </w:pPr>
            <w:r>
              <w:rPr>
                <w:rFonts w:hint="eastAsia" w:ascii="宋体" w:hAnsi="宋体" w:eastAsia="宋体" w:cs="宋体"/>
                <w:color w:val="auto"/>
                <w:highlight w:val="none"/>
                <w:lang w:bidi="he-IL"/>
              </w:rPr>
              <w:t>第8.2（3）项</w:t>
            </w:r>
          </w:p>
        </w:tc>
        <w:tc>
          <w:tcPr>
            <w:tcW w:w="1022" w:type="pct"/>
            <w:noWrap w:val="0"/>
            <w:vAlign w:val="center"/>
          </w:tcPr>
          <w:p w14:paraId="49BA421C">
            <w:pPr>
              <w:keepNext w:val="0"/>
              <w:keepLines w:val="0"/>
              <w:widowControl/>
              <w:suppressLineNumbers w:val="0"/>
              <w:adjustRightInd w:val="0"/>
              <w:snapToGrid w:val="0"/>
              <w:spacing w:before="0" w:beforeAutospacing="0" w:after="0" w:afterAutospacing="0"/>
              <w:ind w:left="0" w:right="0"/>
              <w:rPr>
                <w:rFonts w:hint="eastAsia" w:ascii="宋体" w:hAnsi="宋体" w:eastAsia="宋体" w:cs="宋体"/>
                <w:color w:val="auto"/>
                <w:highlight w:val="none"/>
                <w:lang w:bidi="he-IL"/>
              </w:rPr>
            </w:pPr>
            <w:r>
              <w:rPr>
                <w:rFonts w:hint="eastAsia" w:ascii="宋体" w:hAnsi="宋体" w:eastAsia="宋体" w:cs="宋体"/>
                <w:color w:val="auto"/>
                <w:highlight w:val="none"/>
                <w:lang w:bidi="he-IL"/>
              </w:rPr>
              <w:t>货物质量缺陷</w:t>
            </w:r>
          </w:p>
          <w:p w14:paraId="37F66084">
            <w:pPr>
              <w:keepNext w:val="0"/>
              <w:keepLines w:val="0"/>
              <w:widowControl/>
              <w:suppressLineNumbers w:val="0"/>
              <w:adjustRightInd w:val="0"/>
              <w:snapToGrid w:val="0"/>
              <w:spacing w:before="0" w:beforeAutospacing="0" w:after="0" w:afterAutospacing="0"/>
              <w:ind w:left="0" w:right="0"/>
              <w:rPr>
                <w:rFonts w:hint="eastAsia" w:ascii="宋体" w:hAnsi="宋体" w:eastAsia="宋体" w:cs="宋体"/>
                <w:color w:val="auto"/>
                <w:highlight w:val="none"/>
                <w:lang w:bidi="he-IL"/>
              </w:rPr>
            </w:pPr>
            <w:r>
              <w:rPr>
                <w:rFonts w:hint="eastAsia" w:ascii="宋体" w:hAnsi="宋体" w:eastAsia="宋体" w:cs="宋体"/>
                <w:color w:val="auto"/>
                <w:highlight w:val="none"/>
                <w:lang w:bidi="he-IL"/>
              </w:rPr>
              <w:t>响应时间</w:t>
            </w:r>
          </w:p>
        </w:tc>
        <w:tc>
          <w:tcPr>
            <w:tcW w:w="3034" w:type="pct"/>
            <w:noWrap w:val="0"/>
            <w:vAlign w:val="center"/>
          </w:tcPr>
          <w:p w14:paraId="54FB357B">
            <w:pPr>
              <w:keepNext w:val="0"/>
              <w:keepLines w:val="0"/>
              <w:widowControl/>
              <w:suppressLineNumbers w:val="0"/>
              <w:adjustRightInd w:val="0"/>
              <w:snapToGrid w:val="0"/>
              <w:spacing w:before="0" w:beforeAutospacing="0" w:after="0" w:afterAutospacing="0"/>
              <w:ind w:left="0" w:right="0"/>
              <w:rPr>
                <w:rFonts w:hint="eastAsia" w:ascii="宋体" w:hAnsi="宋体" w:eastAsia="宋体" w:cs="宋体"/>
                <w:color w:val="auto"/>
                <w:highlight w:val="none"/>
                <w:lang w:bidi="he-IL"/>
              </w:rPr>
            </w:pPr>
            <w:r>
              <w:rPr>
                <w:rFonts w:hint="eastAsia" w:ascii="宋体" w:hAnsi="宋体" w:eastAsia="宋体" w:cs="宋体"/>
                <w:color w:val="auto"/>
                <w:highlight w:val="none"/>
                <w:lang w:bidi="he-IL"/>
              </w:rPr>
              <w:t>无</w:t>
            </w:r>
          </w:p>
        </w:tc>
      </w:tr>
      <w:tr w14:paraId="6CF76CF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943" w:type="pct"/>
            <w:noWrap w:val="0"/>
            <w:vAlign w:val="center"/>
          </w:tcPr>
          <w:p w14:paraId="03CC6202">
            <w:pPr>
              <w:keepNext w:val="0"/>
              <w:keepLines w:val="0"/>
              <w:widowControl/>
              <w:suppressLineNumbers w:val="0"/>
              <w:snapToGrid w:val="0"/>
              <w:spacing w:before="0" w:beforeAutospacing="0" w:after="0" w:afterAutospacing="0"/>
              <w:ind w:left="0" w:right="0"/>
              <w:jc w:val="center"/>
              <w:rPr>
                <w:rFonts w:hint="eastAsia" w:ascii="宋体" w:hAnsi="宋体" w:eastAsia="宋体" w:cs="宋体"/>
                <w:color w:val="auto"/>
                <w:highlight w:val="none"/>
                <w:lang w:bidi="he-IL"/>
              </w:rPr>
            </w:pPr>
            <w:r>
              <w:rPr>
                <w:rFonts w:hint="eastAsia" w:ascii="宋体" w:hAnsi="宋体" w:eastAsia="宋体" w:cs="宋体"/>
                <w:color w:val="auto"/>
                <w:highlight w:val="none"/>
                <w:lang w:bidi="he-IL"/>
              </w:rPr>
              <w:t>第二节</w:t>
            </w:r>
          </w:p>
          <w:p w14:paraId="4ABE7D41">
            <w:pPr>
              <w:pStyle w:val="43"/>
              <w:keepNext w:val="0"/>
              <w:keepLines w:val="0"/>
              <w:widowControl/>
              <w:suppressLineNumbers w:val="0"/>
              <w:spacing w:before="0" w:beforeAutospacing="0" w:after="0" w:afterAutospacing="0"/>
              <w:ind w:left="0" w:right="0" w:firstLine="0" w:firstLineChars="0"/>
              <w:jc w:val="center"/>
              <w:rPr>
                <w:rFonts w:hint="eastAsia" w:ascii="宋体" w:hAnsi="宋体" w:eastAsia="宋体" w:cs="宋体"/>
                <w:color w:val="auto"/>
                <w:highlight w:val="none"/>
                <w:lang w:bidi="he-IL"/>
              </w:rPr>
            </w:pPr>
            <w:r>
              <w:rPr>
                <w:rFonts w:hint="eastAsia" w:ascii="宋体" w:hAnsi="宋体" w:eastAsia="宋体" w:cs="宋体"/>
                <w:color w:val="auto"/>
                <w:highlight w:val="none"/>
                <w:lang w:bidi="he-IL"/>
              </w:rPr>
              <w:t>第11.1款</w:t>
            </w:r>
          </w:p>
        </w:tc>
        <w:tc>
          <w:tcPr>
            <w:tcW w:w="1022" w:type="pct"/>
            <w:noWrap w:val="0"/>
            <w:vAlign w:val="center"/>
          </w:tcPr>
          <w:p w14:paraId="0619A8A4">
            <w:pPr>
              <w:keepNext w:val="0"/>
              <w:keepLines w:val="0"/>
              <w:widowControl/>
              <w:suppressLineNumbers w:val="0"/>
              <w:adjustRightInd w:val="0"/>
              <w:snapToGrid w:val="0"/>
              <w:spacing w:before="0" w:beforeAutospacing="0" w:after="0" w:afterAutospacing="0"/>
              <w:ind w:left="0" w:right="0"/>
              <w:jc w:val="both"/>
              <w:rPr>
                <w:rFonts w:hint="eastAsia" w:ascii="宋体" w:hAnsi="宋体" w:eastAsia="宋体" w:cs="宋体"/>
                <w:color w:val="auto"/>
                <w:highlight w:val="none"/>
                <w:lang w:bidi="he-IL"/>
              </w:rPr>
            </w:pPr>
            <w:r>
              <w:rPr>
                <w:rFonts w:hint="eastAsia" w:ascii="宋体" w:hAnsi="宋体" w:eastAsia="宋体" w:cs="宋体"/>
                <w:color w:val="auto"/>
                <w:highlight w:val="none"/>
                <w:lang w:bidi="he-IL"/>
              </w:rPr>
              <w:t>其他应当保密的信息</w:t>
            </w:r>
          </w:p>
        </w:tc>
        <w:tc>
          <w:tcPr>
            <w:tcW w:w="3034" w:type="pct"/>
            <w:noWrap w:val="0"/>
            <w:vAlign w:val="center"/>
          </w:tcPr>
          <w:p w14:paraId="18DAE409">
            <w:pPr>
              <w:keepNext w:val="0"/>
              <w:keepLines w:val="0"/>
              <w:widowControl/>
              <w:suppressLineNumbers w:val="0"/>
              <w:adjustRightInd w:val="0"/>
              <w:snapToGrid w:val="0"/>
              <w:spacing w:before="0" w:beforeAutospacing="0" w:after="0" w:afterAutospacing="0"/>
              <w:ind w:left="0" w:right="0"/>
              <w:rPr>
                <w:rFonts w:hint="eastAsia" w:ascii="宋体" w:hAnsi="宋体" w:eastAsia="宋体" w:cs="宋体"/>
                <w:color w:val="auto"/>
                <w:highlight w:val="none"/>
                <w:lang w:bidi="he-IL"/>
              </w:rPr>
            </w:pPr>
            <w:r>
              <w:rPr>
                <w:rFonts w:hint="eastAsia" w:ascii="宋体" w:hAnsi="宋体" w:eastAsia="宋体" w:cs="宋体"/>
                <w:color w:val="auto"/>
                <w:highlight w:val="none"/>
                <w:lang w:bidi="he-IL"/>
              </w:rPr>
              <w:t>无</w:t>
            </w:r>
          </w:p>
        </w:tc>
      </w:tr>
      <w:tr w14:paraId="22EBBB9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24" w:hRule="atLeast"/>
        </w:trPr>
        <w:tc>
          <w:tcPr>
            <w:tcW w:w="943" w:type="pct"/>
            <w:noWrap w:val="0"/>
            <w:vAlign w:val="center"/>
          </w:tcPr>
          <w:p w14:paraId="30F8AEDC">
            <w:pPr>
              <w:keepNext w:val="0"/>
              <w:keepLines w:val="0"/>
              <w:widowControl/>
              <w:suppressLineNumbers w:val="0"/>
              <w:adjustRightInd w:val="0"/>
              <w:snapToGrid w:val="0"/>
              <w:spacing w:before="0" w:beforeAutospacing="0" w:after="0" w:afterAutospacing="0"/>
              <w:ind w:left="0" w:right="0"/>
              <w:jc w:val="center"/>
              <w:rPr>
                <w:rFonts w:hint="eastAsia" w:ascii="宋体" w:hAnsi="宋体" w:eastAsia="宋体" w:cs="宋体"/>
                <w:color w:val="auto"/>
                <w:highlight w:val="none"/>
                <w:lang w:bidi="he-IL"/>
              </w:rPr>
            </w:pPr>
            <w:r>
              <w:rPr>
                <w:rFonts w:hint="eastAsia" w:ascii="宋体" w:hAnsi="宋体" w:eastAsia="宋体" w:cs="宋体"/>
                <w:color w:val="auto"/>
                <w:highlight w:val="none"/>
                <w:lang w:bidi="he-IL"/>
              </w:rPr>
              <w:t>第二节</w:t>
            </w:r>
          </w:p>
          <w:p w14:paraId="3DDA1790">
            <w:pPr>
              <w:keepNext w:val="0"/>
              <w:keepLines w:val="0"/>
              <w:widowControl/>
              <w:suppressLineNumbers w:val="0"/>
              <w:adjustRightInd w:val="0"/>
              <w:snapToGrid w:val="0"/>
              <w:spacing w:before="0" w:beforeAutospacing="0" w:after="0" w:afterAutospacing="0"/>
              <w:ind w:left="0" w:right="0"/>
              <w:jc w:val="center"/>
              <w:rPr>
                <w:rFonts w:hint="eastAsia" w:ascii="宋体" w:hAnsi="宋体" w:eastAsia="宋体" w:cs="宋体"/>
                <w:color w:val="auto"/>
                <w:highlight w:val="none"/>
                <w:lang w:bidi="he-IL"/>
              </w:rPr>
            </w:pPr>
            <w:r>
              <w:rPr>
                <w:rFonts w:hint="eastAsia" w:ascii="宋体" w:hAnsi="宋体" w:eastAsia="宋体" w:cs="宋体"/>
                <w:color w:val="auto"/>
                <w:highlight w:val="none"/>
                <w:lang w:bidi="he-IL"/>
              </w:rPr>
              <w:t>第12.2款</w:t>
            </w:r>
          </w:p>
        </w:tc>
        <w:tc>
          <w:tcPr>
            <w:tcW w:w="1022" w:type="pct"/>
            <w:noWrap w:val="0"/>
            <w:vAlign w:val="center"/>
          </w:tcPr>
          <w:p w14:paraId="04EC68BC">
            <w:pPr>
              <w:keepNext w:val="0"/>
              <w:keepLines w:val="0"/>
              <w:widowControl/>
              <w:suppressLineNumbers w:val="0"/>
              <w:adjustRightInd w:val="0"/>
              <w:snapToGrid w:val="0"/>
              <w:spacing w:before="0" w:beforeAutospacing="0" w:after="0" w:afterAutospacing="0"/>
              <w:ind w:left="0" w:right="0"/>
              <w:rPr>
                <w:rFonts w:hint="eastAsia" w:ascii="宋体" w:hAnsi="宋体" w:eastAsia="宋体" w:cs="宋体"/>
                <w:color w:val="auto"/>
                <w:highlight w:val="none"/>
                <w:lang w:bidi="he-IL"/>
              </w:rPr>
            </w:pPr>
            <w:r>
              <w:rPr>
                <w:rFonts w:hint="eastAsia" w:ascii="宋体" w:hAnsi="宋体" w:eastAsia="宋体" w:cs="宋体"/>
                <w:color w:val="auto"/>
                <w:highlight w:val="none"/>
                <w:lang w:bidi="he-IL"/>
              </w:rPr>
              <w:t>合同价款支付时间</w:t>
            </w:r>
          </w:p>
        </w:tc>
        <w:tc>
          <w:tcPr>
            <w:tcW w:w="3034" w:type="pct"/>
            <w:noWrap w:val="0"/>
            <w:vAlign w:val="center"/>
          </w:tcPr>
          <w:p w14:paraId="145B23E8">
            <w:pPr>
              <w:keepNext w:val="0"/>
              <w:keepLines w:val="0"/>
              <w:widowControl/>
              <w:suppressLineNumbers w:val="0"/>
              <w:snapToGrid w:val="0"/>
              <w:spacing w:before="0" w:beforeAutospacing="0" w:after="0" w:afterAutospacing="0" w:line="400" w:lineRule="exact"/>
              <w:ind w:left="0" w:right="0"/>
              <w:rPr>
                <w:rFonts w:hint="eastAsia" w:ascii="宋体" w:hAnsi="宋体" w:eastAsia="宋体" w:cs="宋体"/>
                <w:color w:val="auto"/>
                <w:highlight w:val="none"/>
                <w:lang w:bidi="he-IL"/>
              </w:rPr>
            </w:pPr>
            <w:r>
              <w:rPr>
                <w:rFonts w:hint="eastAsia" w:ascii="宋体" w:hAnsi="宋体" w:eastAsia="宋体" w:cs="宋体"/>
                <w:color w:val="auto"/>
                <w:highlight w:val="none"/>
                <w:lang w:bidi="he-IL"/>
              </w:rPr>
              <w:t>甲乙双方在签订合同时自行商定</w:t>
            </w:r>
          </w:p>
        </w:tc>
      </w:tr>
      <w:tr w14:paraId="16CFC3D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97" w:hRule="atLeast"/>
        </w:trPr>
        <w:tc>
          <w:tcPr>
            <w:tcW w:w="943" w:type="pct"/>
            <w:noWrap w:val="0"/>
            <w:vAlign w:val="center"/>
          </w:tcPr>
          <w:p w14:paraId="260401CC">
            <w:pPr>
              <w:keepNext w:val="0"/>
              <w:keepLines w:val="0"/>
              <w:widowControl/>
              <w:suppressLineNumbers w:val="0"/>
              <w:adjustRightInd w:val="0"/>
              <w:snapToGrid w:val="0"/>
              <w:spacing w:before="0" w:beforeAutospacing="0" w:after="0" w:afterAutospacing="0"/>
              <w:ind w:left="0" w:right="0"/>
              <w:jc w:val="center"/>
              <w:rPr>
                <w:rFonts w:hint="eastAsia" w:ascii="宋体" w:hAnsi="宋体" w:eastAsia="宋体" w:cs="宋体"/>
                <w:color w:val="auto"/>
                <w:highlight w:val="none"/>
                <w:lang w:bidi="he-IL"/>
              </w:rPr>
            </w:pPr>
            <w:r>
              <w:rPr>
                <w:rFonts w:hint="eastAsia" w:ascii="宋体" w:hAnsi="宋体" w:eastAsia="宋体" w:cs="宋体"/>
                <w:color w:val="auto"/>
                <w:highlight w:val="none"/>
                <w:lang w:bidi="he-IL"/>
              </w:rPr>
              <w:t>第二节</w:t>
            </w:r>
          </w:p>
          <w:p w14:paraId="16F4D92E">
            <w:pPr>
              <w:keepNext w:val="0"/>
              <w:keepLines w:val="0"/>
              <w:widowControl/>
              <w:suppressLineNumbers w:val="0"/>
              <w:adjustRightInd w:val="0"/>
              <w:snapToGrid w:val="0"/>
              <w:spacing w:before="0" w:beforeAutospacing="0" w:after="0" w:afterAutospacing="0"/>
              <w:ind w:left="0" w:right="0"/>
              <w:jc w:val="center"/>
              <w:rPr>
                <w:rFonts w:hint="eastAsia" w:ascii="宋体" w:hAnsi="宋体" w:eastAsia="宋体" w:cs="宋体"/>
                <w:color w:val="auto"/>
                <w:highlight w:val="none"/>
                <w:lang w:bidi="he-IL"/>
              </w:rPr>
            </w:pPr>
            <w:r>
              <w:rPr>
                <w:rFonts w:hint="eastAsia" w:ascii="宋体" w:hAnsi="宋体" w:eastAsia="宋体" w:cs="宋体"/>
                <w:color w:val="auto"/>
                <w:highlight w:val="none"/>
                <w:lang w:bidi="he-IL"/>
              </w:rPr>
              <w:t>第13.2款</w:t>
            </w:r>
          </w:p>
        </w:tc>
        <w:tc>
          <w:tcPr>
            <w:tcW w:w="1022" w:type="pct"/>
            <w:noWrap w:val="0"/>
            <w:vAlign w:val="center"/>
          </w:tcPr>
          <w:p w14:paraId="69302D51">
            <w:pPr>
              <w:keepNext w:val="0"/>
              <w:keepLines w:val="0"/>
              <w:widowControl/>
              <w:suppressLineNumbers w:val="0"/>
              <w:adjustRightInd w:val="0"/>
              <w:snapToGrid w:val="0"/>
              <w:spacing w:before="0" w:beforeAutospacing="0" w:after="0" w:afterAutospacing="0"/>
              <w:ind w:left="0" w:right="0"/>
              <w:rPr>
                <w:rFonts w:hint="eastAsia" w:ascii="宋体" w:hAnsi="宋体" w:eastAsia="宋体" w:cs="宋体"/>
                <w:color w:val="auto"/>
                <w:highlight w:val="none"/>
                <w:lang w:bidi="he-IL"/>
              </w:rPr>
            </w:pPr>
            <w:r>
              <w:rPr>
                <w:rFonts w:hint="eastAsia" w:ascii="宋体" w:hAnsi="宋体" w:eastAsia="宋体" w:cs="宋体"/>
                <w:color w:val="auto"/>
                <w:highlight w:val="none"/>
                <w:lang w:bidi="he-IL"/>
              </w:rPr>
              <w:t>履约保证金不予退还的情形</w:t>
            </w:r>
          </w:p>
        </w:tc>
        <w:tc>
          <w:tcPr>
            <w:tcW w:w="3034" w:type="pct"/>
            <w:noWrap w:val="0"/>
            <w:vAlign w:val="center"/>
          </w:tcPr>
          <w:p w14:paraId="49B16679">
            <w:pPr>
              <w:keepNext w:val="0"/>
              <w:keepLines w:val="0"/>
              <w:widowControl/>
              <w:suppressLineNumbers w:val="0"/>
              <w:adjustRightInd w:val="0"/>
              <w:snapToGrid w:val="0"/>
              <w:spacing w:before="0" w:beforeAutospacing="0" w:after="0" w:afterAutospacing="0"/>
              <w:ind w:left="0" w:right="0"/>
              <w:rPr>
                <w:rFonts w:hint="eastAsia" w:ascii="宋体" w:hAnsi="宋体" w:eastAsia="宋体" w:cs="宋体"/>
                <w:color w:val="auto"/>
                <w:highlight w:val="none"/>
                <w:lang w:bidi="he-IL"/>
              </w:rPr>
            </w:pPr>
            <w:r>
              <w:rPr>
                <w:rFonts w:hint="eastAsia" w:ascii="宋体" w:hAnsi="宋体" w:eastAsia="宋体" w:cs="宋体"/>
                <w:color w:val="auto"/>
                <w:highlight w:val="none"/>
                <w:lang w:bidi="he-IL"/>
              </w:rPr>
              <w:t>无</w:t>
            </w:r>
          </w:p>
        </w:tc>
      </w:tr>
      <w:tr w14:paraId="2C5A4C2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943" w:type="pct"/>
            <w:noWrap w:val="0"/>
            <w:vAlign w:val="center"/>
          </w:tcPr>
          <w:p w14:paraId="0EB962EC">
            <w:pPr>
              <w:keepNext w:val="0"/>
              <w:keepLines w:val="0"/>
              <w:widowControl/>
              <w:suppressLineNumbers w:val="0"/>
              <w:adjustRightInd w:val="0"/>
              <w:snapToGrid w:val="0"/>
              <w:spacing w:before="0" w:beforeAutospacing="0" w:after="0" w:afterAutospacing="0"/>
              <w:ind w:left="0" w:right="0"/>
              <w:jc w:val="center"/>
              <w:rPr>
                <w:rFonts w:hint="eastAsia" w:ascii="宋体" w:hAnsi="宋体" w:eastAsia="宋体" w:cs="宋体"/>
                <w:color w:val="auto"/>
                <w:highlight w:val="none"/>
                <w:lang w:bidi="he-IL"/>
              </w:rPr>
            </w:pPr>
            <w:r>
              <w:rPr>
                <w:rFonts w:hint="eastAsia" w:ascii="宋体" w:hAnsi="宋体" w:eastAsia="宋体" w:cs="宋体"/>
                <w:color w:val="auto"/>
                <w:highlight w:val="none"/>
                <w:lang w:bidi="he-IL"/>
              </w:rPr>
              <w:t>第二节</w:t>
            </w:r>
          </w:p>
          <w:p w14:paraId="2C1D4464">
            <w:pPr>
              <w:keepNext w:val="0"/>
              <w:keepLines w:val="0"/>
              <w:widowControl/>
              <w:suppressLineNumbers w:val="0"/>
              <w:adjustRightInd w:val="0"/>
              <w:snapToGrid w:val="0"/>
              <w:spacing w:before="0" w:beforeAutospacing="0" w:after="0" w:afterAutospacing="0"/>
              <w:ind w:left="0" w:right="0"/>
              <w:jc w:val="center"/>
              <w:rPr>
                <w:rFonts w:hint="eastAsia" w:ascii="宋体" w:hAnsi="宋体" w:eastAsia="宋体" w:cs="宋体"/>
                <w:color w:val="auto"/>
                <w:highlight w:val="none"/>
                <w:lang w:bidi="he-IL"/>
              </w:rPr>
            </w:pPr>
            <w:r>
              <w:rPr>
                <w:rFonts w:hint="eastAsia" w:ascii="宋体" w:hAnsi="宋体" w:eastAsia="宋体" w:cs="宋体"/>
                <w:color w:val="auto"/>
                <w:highlight w:val="none"/>
                <w:lang w:bidi="he-IL"/>
              </w:rPr>
              <w:t>第13.3款</w:t>
            </w:r>
          </w:p>
        </w:tc>
        <w:tc>
          <w:tcPr>
            <w:tcW w:w="1022" w:type="pct"/>
            <w:noWrap w:val="0"/>
            <w:vAlign w:val="center"/>
          </w:tcPr>
          <w:p w14:paraId="77130E17">
            <w:pPr>
              <w:keepNext w:val="0"/>
              <w:keepLines w:val="0"/>
              <w:widowControl/>
              <w:suppressLineNumbers w:val="0"/>
              <w:adjustRightInd w:val="0"/>
              <w:snapToGrid w:val="0"/>
              <w:spacing w:before="0" w:beforeAutospacing="0" w:after="0" w:afterAutospacing="0"/>
              <w:ind w:left="0" w:right="0"/>
              <w:rPr>
                <w:rFonts w:hint="eastAsia" w:ascii="宋体" w:hAnsi="宋体" w:eastAsia="宋体" w:cs="宋体"/>
                <w:color w:val="auto"/>
                <w:highlight w:val="none"/>
                <w:lang w:bidi="he-IL"/>
              </w:rPr>
            </w:pPr>
            <w:bookmarkStart w:id="218" w:name="OLE_LINK5"/>
            <w:r>
              <w:rPr>
                <w:rFonts w:hint="eastAsia" w:ascii="宋体" w:hAnsi="宋体" w:eastAsia="宋体" w:cs="宋体"/>
                <w:color w:val="auto"/>
                <w:highlight w:val="none"/>
                <w:lang w:bidi="he-IL"/>
              </w:rPr>
              <w:t>履约保证金退还时间</w:t>
            </w:r>
            <w:bookmarkEnd w:id="218"/>
            <w:r>
              <w:rPr>
                <w:rFonts w:hint="eastAsia" w:ascii="宋体" w:hAnsi="宋体" w:eastAsia="宋体" w:cs="宋体"/>
                <w:color w:val="auto"/>
                <w:highlight w:val="none"/>
                <w:lang w:bidi="he-IL"/>
              </w:rPr>
              <w:t>及逾期退还的违约金</w:t>
            </w:r>
          </w:p>
        </w:tc>
        <w:tc>
          <w:tcPr>
            <w:tcW w:w="3034" w:type="pct"/>
            <w:noWrap w:val="0"/>
            <w:vAlign w:val="center"/>
          </w:tcPr>
          <w:p w14:paraId="27761072">
            <w:pPr>
              <w:keepNext w:val="0"/>
              <w:keepLines w:val="0"/>
              <w:widowControl/>
              <w:suppressLineNumbers w:val="0"/>
              <w:adjustRightInd w:val="0"/>
              <w:snapToGrid w:val="0"/>
              <w:spacing w:before="0" w:beforeAutospacing="0" w:after="0" w:afterAutospacing="0"/>
              <w:ind w:left="0" w:right="0"/>
              <w:rPr>
                <w:rFonts w:hint="default" w:ascii="宋体" w:hAnsi="宋体" w:eastAsia="宋体" w:cs="宋体"/>
                <w:color w:val="auto"/>
                <w:highlight w:val="none"/>
                <w:lang w:val="en-US" w:eastAsia="zh-CN" w:bidi="he-IL"/>
              </w:rPr>
            </w:pPr>
            <w:r>
              <w:rPr>
                <w:rFonts w:hint="eastAsia" w:ascii="宋体" w:hAnsi="宋体" w:eastAsia="宋体" w:cs="宋体"/>
                <w:color w:val="auto"/>
                <w:highlight w:val="none"/>
                <w:lang w:val="en-US" w:eastAsia="zh-CN" w:bidi="he-IL"/>
              </w:rPr>
              <w:t>无</w:t>
            </w:r>
          </w:p>
        </w:tc>
      </w:tr>
      <w:tr w14:paraId="7BF741F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84" w:hRule="atLeast"/>
        </w:trPr>
        <w:tc>
          <w:tcPr>
            <w:tcW w:w="943" w:type="pct"/>
            <w:noWrap w:val="0"/>
            <w:vAlign w:val="center"/>
          </w:tcPr>
          <w:p w14:paraId="381AAC85">
            <w:pPr>
              <w:keepNext w:val="0"/>
              <w:keepLines w:val="0"/>
              <w:widowControl/>
              <w:suppressLineNumbers w:val="0"/>
              <w:adjustRightInd w:val="0"/>
              <w:snapToGrid w:val="0"/>
              <w:spacing w:before="0" w:beforeAutospacing="0" w:after="0" w:afterAutospacing="0"/>
              <w:ind w:left="0" w:right="0"/>
              <w:jc w:val="center"/>
              <w:rPr>
                <w:rFonts w:hint="eastAsia" w:ascii="宋体" w:hAnsi="宋体" w:eastAsia="宋体" w:cs="宋体"/>
                <w:color w:val="auto"/>
                <w:highlight w:val="none"/>
                <w:lang w:bidi="he-IL"/>
              </w:rPr>
            </w:pPr>
            <w:r>
              <w:rPr>
                <w:rFonts w:hint="eastAsia" w:ascii="宋体" w:hAnsi="宋体" w:eastAsia="宋体" w:cs="宋体"/>
                <w:color w:val="auto"/>
                <w:highlight w:val="none"/>
                <w:lang w:bidi="he-IL"/>
              </w:rPr>
              <w:t>第二节</w:t>
            </w:r>
          </w:p>
          <w:p w14:paraId="353FA61F">
            <w:pPr>
              <w:keepNext w:val="0"/>
              <w:keepLines w:val="0"/>
              <w:widowControl/>
              <w:suppressLineNumbers w:val="0"/>
              <w:adjustRightInd w:val="0"/>
              <w:snapToGrid w:val="0"/>
              <w:spacing w:before="0" w:beforeAutospacing="0" w:after="0" w:afterAutospacing="0"/>
              <w:ind w:left="0" w:right="0"/>
              <w:jc w:val="center"/>
              <w:rPr>
                <w:rFonts w:hint="eastAsia" w:ascii="宋体" w:hAnsi="宋体" w:eastAsia="宋体" w:cs="宋体"/>
                <w:color w:val="auto"/>
                <w:highlight w:val="none"/>
                <w:lang w:bidi="he-IL"/>
              </w:rPr>
            </w:pPr>
            <w:r>
              <w:rPr>
                <w:rFonts w:hint="eastAsia" w:ascii="宋体" w:hAnsi="宋体" w:eastAsia="宋体" w:cs="宋体"/>
                <w:color w:val="auto"/>
                <w:highlight w:val="none"/>
                <w:lang w:bidi="he-IL"/>
              </w:rPr>
              <w:t>第14.1（3）项</w:t>
            </w:r>
          </w:p>
        </w:tc>
        <w:tc>
          <w:tcPr>
            <w:tcW w:w="1022" w:type="pct"/>
            <w:noWrap w:val="0"/>
            <w:vAlign w:val="center"/>
          </w:tcPr>
          <w:p w14:paraId="024C6326">
            <w:pPr>
              <w:keepNext w:val="0"/>
              <w:keepLines w:val="0"/>
              <w:widowControl/>
              <w:suppressLineNumbers w:val="0"/>
              <w:adjustRightInd w:val="0"/>
              <w:snapToGrid w:val="0"/>
              <w:spacing w:before="0" w:beforeAutospacing="0" w:after="0" w:afterAutospacing="0"/>
              <w:ind w:left="0" w:right="0"/>
              <w:rPr>
                <w:rFonts w:hint="eastAsia" w:ascii="宋体" w:hAnsi="宋体" w:eastAsia="宋体" w:cs="宋体"/>
                <w:color w:val="auto"/>
                <w:highlight w:val="none"/>
                <w:lang w:bidi="he-IL"/>
              </w:rPr>
            </w:pPr>
            <w:r>
              <w:rPr>
                <w:rFonts w:hint="eastAsia" w:ascii="宋体" w:hAnsi="宋体" w:eastAsia="宋体" w:cs="宋体"/>
                <w:color w:val="auto"/>
                <w:highlight w:val="none"/>
                <w:lang w:bidi="he-IL"/>
              </w:rPr>
              <w:t>运行监督、维修期限</w:t>
            </w:r>
          </w:p>
        </w:tc>
        <w:tc>
          <w:tcPr>
            <w:tcW w:w="3034" w:type="pct"/>
            <w:noWrap w:val="0"/>
            <w:vAlign w:val="center"/>
          </w:tcPr>
          <w:p w14:paraId="28DEFA83">
            <w:pPr>
              <w:keepNext w:val="0"/>
              <w:keepLines w:val="0"/>
              <w:widowControl/>
              <w:suppressLineNumbers w:val="0"/>
              <w:adjustRightInd w:val="0"/>
              <w:snapToGrid w:val="0"/>
              <w:spacing w:before="0" w:beforeAutospacing="0" w:after="0" w:afterAutospacing="0"/>
              <w:ind w:left="0" w:right="0"/>
              <w:rPr>
                <w:rFonts w:hint="eastAsia" w:ascii="宋体" w:hAnsi="宋体" w:eastAsia="宋体" w:cs="宋体"/>
                <w:color w:val="auto"/>
                <w:highlight w:val="none"/>
                <w:lang w:bidi="he-IL"/>
              </w:rPr>
            </w:pPr>
            <w:r>
              <w:rPr>
                <w:rFonts w:hint="eastAsia" w:ascii="宋体" w:hAnsi="宋体" w:eastAsia="宋体" w:cs="宋体"/>
                <w:color w:val="auto"/>
                <w:highlight w:val="none"/>
                <w:lang w:bidi="he-IL"/>
              </w:rPr>
              <w:t>无</w:t>
            </w:r>
          </w:p>
        </w:tc>
      </w:tr>
      <w:tr w14:paraId="024B6C5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84" w:hRule="atLeast"/>
        </w:trPr>
        <w:tc>
          <w:tcPr>
            <w:tcW w:w="943" w:type="pct"/>
            <w:noWrap w:val="0"/>
            <w:vAlign w:val="center"/>
          </w:tcPr>
          <w:p w14:paraId="4FB3F09F">
            <w:pPr>
              <w:keepNext w:val="0"/>
              <w:keepLines w:val="0"/>
              <w:widowControl/>
              <w:suppressLineNumbers w:val="0"/>
              <w:adjustRightInd w:val="0"/>
              <w:snapToGrid w:val="0"/>
              <w:spacing w:before="0" w:beforeAutospacing="0" w:after="0" w:afterAutospacing="0"/>
              <w:ind w:left="0" w:right="0"/>
              <w:jc w:val="center"/>
              <w:rPr>
                <w:rFonts w:hint="eastAsia" w:ascii="宋体" w:hAnsi="宋体" w:eastAsia="宋体" w:cs="宋体"/>
                <w:color w:val="auto"/>
                <w:highlight w:val="none"/>
                <w:lang w:bidi="he-IL"/>
              </w:rPr>
            </w:pPr>
            <w:r>
              <w:rPr>
                <w:rFonts w:hint="eastAsia" w:ascii="宋体" w:hAnsi="宋体" w:eastAsia="宋体" w:cs="宋体"/>
                <w:color w:val="auto"/>
                <w:highlight w:val="none"/>
                <w:lang w:bidi="he-IL"/>
              </w:rPr>
              <w:t>第二节</w:t>
            </w:r>
          </w:p>
          <w:p w14:paraId="125B3F11">
            <w:pPr>
              <w:keepNext w:val="0"/>
              <w:keepLines w:val="0"/>
              <w:widowControl/>
              <w:suppressLineNumbers w:val="0"/>
              <w:adjustRightInd w:val="0"/>
              <w:snapToGrid w:val="0"/>
              <w:spacing w:before="0" w:beforeAutospacing="0" w:after="0" w:afterAutospacing="0"/>
              <w:ind w:left="0" w:right="0"/>
              <w:jc w:val="center"/>
              <w:rPr>
                <w:rFonts w:hint="eastAsia" w:ascii="宋体" w:hAnsi="宋体" w:eastAsia="宋体" w:cs="宋体"/>
                <w:color w:val="auto"/>
                <w:highlight w:val="none"/>
                <w:lang w:bidi="he-IL"/>
              </w:rPr>
            </w:pPr>
            <w:r>
              <w:rPr>
                <w:rFonts w:hint="eastAsia" w:ascii="宋体" w:hAnsi="宋体" w:eastAsia="宋体" w:cs="宋体"/>
                <w:color w:val="auto"/>
                <w:highlight w:val="none"/>
                <w:lang w:bidi="he-IL"/>
              </w:rPr>
              <w:t>第14.1（5）项</w:t>
            </w:r>
          </w:p>
        </w:tc>
        <w:tc>
          <w:tcPr>
            <w:tcW w:w="1022" w:type="pct"/>
            <w:noWrap w:val="0"/>
            <w:vAlign w:val="center"/>
          </w:tcPr>
          <w:p w14:paraId="37763DC9">
            <w:pPr>
              <w:keepNext w:val="0"/>
              <w:keepLines w:val="0"/>
              <w:widowControl/>
              <w:suppressLineNumbers w:val="0"/>
              <w:adjustRightInd w:val="0"/>
              <w:snapToGrid w:val="0"/>
              <w:spacing w:before="0" w:beforeAutospacing="0" w:after="0" w:afterAutospacing="0"/>
              <w:ind w:left="0" w:right="0"/>
              <w:rPr>
                <w:rFonts w:hint="eastAsia" w:ascii="宋体" w:hAnsi="宋体" w:eastAsia="宋体" w:cs="宋体"/>
                <w:color w:val="auto"/>
                <w:highlight w:val="none"/>
                <w:lang w:bidi="he-IL"/>
              </w:rPr>
            </w:pPr>
            <w:r>
              <w:rPr>
                <w:rFonts w:hint="eastAsia" w:ascii="宋体" w:hAnsi="宋体" w:eastAsia="宋体" w:cs="宋体"/>
                <w:color w:val="auto"/>
                <w:highlight w:val="none"/>
                <w:lang w:bidi="he-IL"/>
              </w:rPr>
              <w:t>货物回收的约定</w:t>
            </w:r>
          </w:p>
        </w:tc>
        <w:tc>
          <w:tcPr>
            <w:tcW w:w="3034" w:type="pct"/>
            <w:noWrap w:val="0"/>
            <w:vAlign w:val="center"/>
          </w:tcPr>
          <w:p w14:paraId="2453EFC8">
            <w:pPr>
              <w:keepNext w:val="0"/>
              <w:keepLines w:val="0"/>
              <w:widowControl/>
              <w:suppressLineNumbers w:val="0"/>
              <w:adjustRightInd w:val="0"/>
              <w:snapToGrid w:val="0"/>
              <w:spacing w:before="0" w:beforeAutospacing="0" w:after="0" w:afterAutospacing="0"/>
              <w:ind w:left="0" w:right="0"/>
              <w:rPr>
                <w:rFonts w:hint="eastAsia" w:ascii="宋体" w:hAnsi="宋体" w:eastAsia="宋体" w:cs="宋体"/>
                <w:color w:val="auto"/>
                <w:highlight w:val="none"/>
                <w:lang w:bidi="he-IL"/>
              </w:rPr>
            </w:pPr>
            <w:r>
              <w:rPr>
                <w:rFonts w:hint="eastAsia" w:ascii="宋体" w:hAnsi="宋体" w:eastAsia="宋体" w:cs="宋体"/>
                <w:color w:val="auto"/>
                <w:highlight w:val="none"/>
                <w:lang w:bidi="he-IL"/>
              </w:rPr>
              <w:t>无</w:t>
            </w:r>
          </w:p>
        </w:tc>
      </w:tr>
      <w:tr w14:paraId="7C0D0D5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943" w:type="pct"/>
            <w:noWrap w:val="0"/>
            <w:vAlign w:val="center"/>
          </w:tcPr>
          <w:p w14:paraId="359ED251">
            <w:pPr>
              <w:keepNext w:val="0"/>
              <w:keepLines w:val="0"/>
              <w:widowControl/>
              <w:suppressLineNumbers w:val="0"/>
              <w:adjustRightInd w:val="0"/>
              <w:snapToGrid w:val="0"/>
              <w:spacing w:before="0" w:beforeAutospacing="0" w:after="0" w:afterAutospacing="0"/>
              <w:ind w:left="0" w:right="0"/>
              <w:jc w:val="center"/>
              <w:rPr>
                <w:rFonts w:hint="eastAsia" w:ascii="宋体" w:hAnsi="宋体" w:eastAsia="宋体" w:cs="宋体"/>
                <w:color w:val="auto"/>
                <w:highlight w:val="none"/>
                <w:lang w:bidi="he-IL"/>
              </w:rPr>
            </w:pPr>
            <w:r>
              <w:rPr>
                <w:rFonts w:hint="eastAsia" w:ascii="宋体" w:hAnsi="宋体" w:eastAsia="宋体" w:cs="宋体"/>
                <w:color w:val="auto"/>
                <w:highlight w:val="none"/>
                <w:lang w:bidi="he-IL"/>
              </w:rPr>
              <w:t>第二节</w:t>
            </w:r>
          </w:p>
          <w:p w14:paraId="1BB871D7">
            <w:pPr>
              <w:keepNext w:val="0"/>
              <w:keepLines w:val="0"/>
              <w:widowControl/>
              <w:suppressLineNumbers w:val="0"/>
              <w:adjustRightInd w:val="0"/>
              <w:snapToGrid w:val="0"/>
              <w:spacing w:before="0" w:beforeAutospacing="0" w:after="0" w:afterAutospacing="0"/>
              <w:ind w:left="0" w:right="0"/>
              <w:jc w:val="center"/>
              <w:rPr>
                <w:rFonts w:hint="eastAsia" w:ascii="宋体" w:hAnsi="宋体" w:eastAsia="宋体" w:cs="宋体"/>
                <w:color w:val="auto"/>
                <w:highlight w:val="none"/>
                <w:lang w:bidi="he-IL"/>
              </w:rPr>
            </w:pPr>
            <w:r>
              <w:rPr>
                <w:rFonts w:hint="eastAsia" w:ascii="宋体" w:hAnsi="宋体" w:eastAsia="宋体" w:cs="宋体"/>
                <w:color w:val="auto"/>
                <w:highlight w:val="none"/>
                <w:lang w:bidi="he-IL"/>
              </w:rPr>
              <w:t>第14.1（6）项</w:t>
            </w:r>
          </w:p>
        </w:tc>
        <w:tc>
          <w:tcPr>
            <w:tcW w:w="1022" w:type="pct"/>
            <w:noWrap w:val="0"/>
            <w:vAlign w:val="center"/>
          </w:tcPr>
          <w:p w14:paraId="082D85C0">
            <w:pPr>
              <w:keepNext w:val="0"/>
              <w:keepLines w:val="0"/>
              <w:widowControl/>
              <w:suppressLineNumbers w:val="0"/>
              <w:adjustRightInd w:val="0"/>
              <w:snapToGrid w:val="0"/>
              <w:spacing w:before="0" w:beforeAutospacing="0" w:after="0" w:afterAutospacing="0"/>
              <w:ind w:left="0" w:right="0"/>
              <w:rPr>
                <w:rFonts w:hint="eastAsia" w:ascii="宋体" w:hAnsi="宋体" w:eastAsia="宋体" w:cs="宋体"/>
                <w:color w:val="auto"/>
                <w:highlight w:val="none"/>
                <w:lang w:bidi="he-IL"/>
              </w:rPr>
            </w:pPr>
            <w:r>
              <w:rPr>
                <w:rFonts w:hint="eastAsia" w:ascii="宋体" w:hAnsi="宋体" w:eastAsia="宋体" w:cs="宋体"/>
                <w:color w:val="auto"/>
                <w:highlight w:val="none"/>
                <w:lang w:bidi="he-IL"/>
              </w:rPr>
              <w:t>乙方提供的其他服务</w:t>
            </w:r>
          </w:p>
        </w:tc>
        <w:tc>
          <w:tcPr>
            <w:tcW w:w="3034" w:type="pct"/>
            <w:noWrap w:val="0"/>
            <w:vAlign w:val="center"/>
          </w:tcPr>
          <w:p w14:paraId="3D3160AE">
            <w:pPr>
              <w:keepNext w:val="0"/>
              <w:keepLines w:val="0"/>
              <w:widowControl/>
              <w:suppressLineNumbers w:val="0"/>
              <w:adjustRightInd w:val="0"/>
              <w:snapToGrid w:val="0"/>
              <w:spacing w:before="0" w:beforeAutospacing="0" w:after="0" w:afterAutospacing="0"/>
              <w:ind w:left="0" w:right="0"/>
              <w:rPr>
                <w:rFonts w:hint="eastAsia" w:ascii="宋体" w:hAnsi="宋体" w:eastAsia="宋体" w:cs="宋体"/>
                <w:color w:val="auto"/>
                <w:highlight w:val="none"/>
                <w:lang w:bidi="he-IL"/>
              </w:rPr>
            </w:pPr>
            <w:r>
              <w:rPr>
                <w:rFonts w:hint="eastAsia" w:ascii="宋体" w:hAnsi="宋体" w:eastAsia="宋体" w:cs="宋体"/>
                <w:color w:val="auto"/>
                <w:highlight w:val="none"/>
                <w:lang w:bidi="he-IL"/>
              </w:rPr>
              <w:t>无</w:t>
            </w:r>
          </w:p>
        </w:tc>
      </w:tr>
      <w:tr w14:paraId="59E0481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943" w:type="pct"/>
            <w:noWrap w:val="0"/>
            <w:vAlign w:val="center"/>
          </w:tcPr>
          <w:p w14:paraId="0DA08F30">
            <w:pPr>
              <w:keepNext w:val="0"/>
              <w:keepLines w:val="0"/>
              <w:widowControl/>
              <w:suppressLineNumbers w:val="0"/>
              <w:adjustRightInd w:val="0"/>
              <w:snapToGrid w:val="0"/>
              <w:spacing w:before="0" w:beforeAutospacing="0" w:after="0" w:afterAutospacing="0"/>
              <w:ind w:left="0" w:right="0"/>
              <w:jc w:val="center"/>
              <w:rPr>
                <w:rFonts w:hint="eastAsia" w:ascii="宋体" w:hAnsi="宋体" w:eastAsia="宋体" w:cs="宋体"/>
                <w:color w:val="auto"/>
                <w:highlight w:val="none"/>
                <w:lang w:bidi="he-IL"/>
              </w:rPr>
            </w:pPr>
            <w:r>
              <w:rPr>
                <w:rFonts w:hint="eastAsia" w:ascii="宋体" w:hAnsi="宋体" w:eastAsia="宋体" w:cs="宋体"/>
                <w:color w:val="auto"/>
                <w:highlight w:val="none"/>
                <w:lang w:bidi="he-IL"/>
              </w:rPr>
              <w:t>第二节</w:t>
            </w:r>
          </w:p>
          <w:p w14:paraId="21CC8208">
            <w:pPr>
              <w:keepNext w:val="0"/>
              <w:keepLines w:val="0"/>
              <w:widowControl/>
              <w:suppressLineNumbers w:val="0"/>
              <w:adjustRightInd w:val="0"/>
              <w:snapToGrid w:val="0"/>
              <w:spacing w:before="0" w:beforeAutospacing="0" w:after="0" w:afterAutospacing="0"/>
              <w:ind w:left="0" w:right="0"/>
              <w:jc w:val="center"/>
              <w:rPr>
                <w:rFonts w:hint="eastAsia" w:ascii="宋体" w:hAnsi="宋体" w:eastAsia="宋体" w:cs="宋体"/>
                <w:color w:val="auto"/>
                <w:highlight w:val="none"/>
                <w:lang w:bidi="he-IL"/>
              </w:rPr>
            </w:pPr>
            <w:r>
              <w:rPr>
                <w:rFonts w:hint="eastAsia" w:ascii="宋体" w:hAnsi="宋体" w:eastAsia="宋体" w:cs="宋体"/>
                <w:color w:val="auto"/>
                <w:highlight w:val="none"/>
                <w:lang w:bidi="he-IL"/>
              </w:rPr>
              <w:t>第15.1款</w:t>
            </w:r>
          </w:p>
        </w:tc>
        <w:tc>
          <w:tcPr>
            <w:tcW w:w="1022" w:type="pct"/>
            <w:noWrap w:val="0"/>
            <w:vAlign w:val="center"/>
          </w:tcPr>
          <w:p w14:paraId="639F19EA">
            <w:pPr>
              <w:keepNext w:val="0"/>
              <w:keepLines w:val="0"/>
              <w:widowControl/>
              <w:suppressLineNumbers w:val="0"/>
              <w:adjustRightInd w:val="0"/>
              <w:snapToGrid w:val="0"/>
              <w:spacing w:before="0" w:beforeAutospacing="0" w:after="0" w:afterAutospacing="0"/>
              <w:ind w:left="0" w:right="0"/>
              <w:rPr>
                <w:rFonts w:hint="eastAsia" w:ascii="宋体" w:hAnsi="宋体" w:eastAsia="宋体" w:cs="宋体"/>
                <w:color w:val="auto"/>
                <w:highlight w:val="none"/>
                <w:lang w:bidi="he-IL"/>
              </w:rPr>
            </w:pPr>
            <w:r>
              <w:rPr>
                <w:rFonts w:hint="eastAsia" w:ascii="宋体" w:hAnsi="宋体" w:eastAsia="宋体" w:cs="宋体"/>
                <w:color w:val="auto"/>
                <w:highlight w:val="none"/>
                <w:lang w:bidi="he-IL"/>
              </w:rPr>
              <w:t>修理、重作、更换相关具体规定</w:t>
            </w:r>
          </w:p>
        </w:tc>
        <w:tc>
          <w:tcPr>
            <w:tcW w:w="3034" w:type="pct"/>
            <w:noWrap w:val="0"/>
            <w:vAlign w:val="center"/>
          </w:tcPr>
          <w:p w14:paraId="31223838">
            <w:pPr>
              <w:keepNext w:val="0"/>
              <w:keepLines w:val="0"/>
              <w:widowControl/>
              <w:suppressLineNumbers w:val="0"/>
              <w:adjustRightInd w:val="0"/>
              <w:snapToGrid w:val="0"/>
              <w:spacing w:before="0" w:beforeAutospacing="0" w:after="0" w:afterAutospacing="0"/>
              <w:ind w:left="0" w:right="0"/>
              <w:rPr>
                <w:rFonts w:hint="eastAsia" w:ascii="宋体" w:hAnsi="宋体" w:eastAsia="宋体" w:cs="宋体"/>
                <w:color w:val="auto"/>
                <w:highlight w:val="none"/>
                <w:lang w:bidi="he-IL"/>
              </w:rPr>
            </w:pPr>
            <w:r>
              <w:rPr>
                <w:rFonts w:hint="eastAsia" w:ascii="宋体" w:hAnsi="宋体" w:eastAsia="宋体" w:cs="宋体"/>
                <w:color w:val="auto"/>
                <w:highlight w:val="none"/>
                <w:lang w:bidi="he-IL"/>
              </w:rPr>
              <w:t>更换</w:t>
            </w:r>
          </w:p>
        </w:tc>
      </w:tr>
      <w:tr w14:paraId="0013596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943" w:type="pct"/>
            <w:noWrap w:val="0"/>
            <w:vAlign w:val="center"/>
          </w:tcPr>
          <w:p w14:paraId="3B1BF5CC">
            <w:pPr>
              <w:keepNext w:val="0"/>
              <w:keepLines w:val="0"/>
              <w:widowControl/>
              <w:suppressLineNumbers w:val="0"/>
              <w:adjustRightInd w:val="0"/>
              <w:snapToGrid w:val="0"/>
              <w:spacing w:before="0" w:beforeAutospacing="0" w:after="0" w:afterAutospacing="0"/>
              <w:ind w:left="0" w:right="0"/>
              <w:jc w:val="center"/>
              <w:rPr>
                <w:rFonts w:hint="eastAsia" w:ascii="宋体" w:hAnsi="宋体" w:eastAsia="宋体" w:cs="宋体"/>
                <w:color w:val="auto"/>
                <w:highlight w:val="none"/>
                <w:lang w:bidi="he-IL"/>
              </w:rPr>
            </w:pPr>
            <w:r>
              <w:rPr>
                <w:rFonts w:hint="eastAsia" w:ascii="宋体" w:hAnsi="宋体" w:eastAsia="宋体" w:cs="宋体"/>
                <w:color w:val="auto"/>
                <w:highlight w:val="none"/>
                <w:lang w:bidi="he-IL"/>
              </w:rPr>
              <w:t>第二节</w:t>
            </w:r>
          </w:p>
          <w:p w14:paraId="498012A8">
            <w:pPr>
              <w:keepNext w:val="0"/>
              <w:keepLines w:val="0"/>
              <w:widowControl/>
              <w:suppressLineNumbers w:val="0"/>
              <w:adjustRightInd w:val="0"/>
              <w:snapToGrid w:val="0"/>
              <w:spacing w:before="0" w:beforeAutospacing="0" w:after="0" w:afterAutospacing="0"/>
              <w:ind w:left="0" w:right="0"/>
              <w:jc w:val="center"/>
              <w:rPr>
                <w:rFonts w:hint="eastAsia" w:ascii="宋体" w:hAnsi="宋体" w:eastAsia="宋体" w:cs="宋体"/>
                <w:color w:val="auto"/>
                <w:highlight w:val="none"/>
                <w:lang w:bidi="he-IL"/>
              </w:rPr>
            </w:pPr>
            <w:r>
              <w:rPr>
                <w:rFonts w:hint="eastAsia" w:ascii="宋体" w:hAnsi="宋体" w:eastAsia="宋体" w:cs="宋体"/>
                <w:color w:val="auto"/>
                <w:highlight w:val="none"/>
                <w:lang w:bidi="he-IL"/>
              </w:rPr>
              <w:t>第15.2（2）项</w:t>
            </w:r>
          </w:p>
        </w:tc>
        <w:tc>
          <w:tcPr>
            <w:tcW w:w="1022" w:type="pct"/>
            <w:noWrap w:val="0"/>
            <w:vAlign w:val="center"/>
          </w:tcPr>
          <w:p w14:paraId="58F2913A">
            <w:pPr>
              <w:keepNext w:val="0"/>
              <w:keepLines w:val="0"/>
              <w:widowControl/>
              <w:suppressLineNumbers w:val="0"/>
              <w:adjustRightInd w:val="0"/>
              <w:snapToGrid w:val="0"/>
              <w:spacing w:before="0" w:beforeAutospacing="0" w:after="0" w:afterAutospacing="0"/>
              <w:ind w:left="0" w:right="0"/>
              <w:rPr>
                <w:rFonts w:hint="eastAsia" w:ascii="宋体" w:hAnsi="宋体" w:eastAsia="宋体" w:cs="宋体"/>
                <w:color w:val="auto"/>
                <w:highlight w:val="none"/>
                <w:lang w:bidi="he-IL"/>
              </w:rPr>
            </w:pPr>
            <w:r>
              <w:rPr>
                <w:rFonts w:hint="eastAsia" w:ascii="宋体" w:hAnsi="宋体" w:eastAsia="宋体" w:cs="宋体"/>
                <w:color w:val="auto"/>
                <w:highlight w:val="none"/>
                <w:lang w:bidi="he-IL"/>
              </w:rPr>
              <w:t>迟延交货赔偿费</w:t>
            </w:r>
          </w:p>
        </w:tc>
        <w:tc>
          <w:tcPr>
            <w:tcW w:w="3034" w:type="pct"/>
            <w:noWrap w:val="0"/>
            <w:vAlign w:val="center"/>
          </w:tcPr>
          <w:p w14:paraId="682104DB">
            <w:pPr>
              <w:keepNext w:val="0"/>
              <w:keepLines w:val="0"/>
              <w:widowControl/>
              <w:suppressLineNumbers w:val="0"/>
              <w:adjustRightInd w:val="0"/>
              <w:snapToGrid w:val="0"/>
              <w:spacing w:before="0" w:beforeAutospacing="0" w:after="0" w:afterAutospacing="0"/>
              <w:ind w:left="0" w:right="0"/>
              <w:rPr>
                <w:rFonts w:hint="eastAsia" w:ascii="宋体" w:hAnsi="宋体" w:eastAsia="宋体" w:cs="宋体"/>
                <w:color w:val="auto"/>
                <w:highlight w:val="none"/>
                <w:u w:val="single"/>
                <w:lang w:bidi="he-IL"/>
              </w:rPr>
            </w:pPr>
            <w:r>
              <w:rPr>
                <w:rFonts w:hint="eastAsia" w:ascii="宋体" w:hAnsi="宋体" w:eastAsia="宋体" w:cs="宋体"/>
                <w:color w:val="auto"/>
                <w:highlight w:val="none"/>
                <w:lang w:bidi="he-IL"/>
              </w:rPr>
              <w:t>甲乙双方在签订合同时自行商定</w:t>
            </w:r>
          </w:p>
        </w:tc>
      </w:tr>
      <w:tr w14:paraId="2E5B2BA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943" w:type="pct"/>
            <w:noWrap w:val="0"/>
            <w:vAlign w:val="center"/>
          </w:tcPr>
          <w:p w14:paraId="6434FA67">
            <w:pPr>
              <w:keepNext w:val="0"/>
              <w:keepLines w:val="0"/>
              <w:widowControl/>
              <w:suppressLineNumbers w:val="0"/>
              <w:adjustRightInd w:val="0"/>
              <w:snapToGrid w:val="0"/>
              <w:spacing w:before="0" w:beforeAutospacing="0" w:after="0" w:afterAutospacing="0"/>
              <w:ind w:left="0" w:right="0"/>
              <w:jc w:val="center"/>
              <w:rPr>
                <w:rFonts w:hint="eastAsia" w:ascii="宋体" w:hAnsi="宋体" w:eastAsia="宋体" w:cs="宋体"/>
                <w:color w:val="auto"/>
                <w:highlight w:val="none"/>
                <w:lang w:bidi="he-IL"/>
              </w:rPr>
            </w:pPr>
            <w:r>
              <w:rPr>
                <w:rFonts w:hint="eastAsia" w:ascii="宋体" w:hAnsi="宋体" w:eastAsia="宋体" w:cs="宋体"/>
                <w:color w:val="auto"/>
                <w:highlight w:val="none"/>
                <w:lang w:bidi="he-IL"/>
              </w:rPr>
              <w:t>第二节</w:t>
            </w:r>
          </w:p>
          <w:p w14:paraId="4ABC7FD8">
            <w:pPr>
              <w:keepNext w:val="0"/>
              <w:keepLines w:val="0"/>
              <w:widowControl/>
              <w:suppressLineNumbers w:val="0"/>
              <w:adjustRightInd w:val="0"/>
              <w:snapToGrid w:val="0"/>
              <w:spacing w:before="0" w:beforeAutospacing="0" w:after="0" w:afterAutospacing="0"/>
              <w:ind w:left="0" w:right="0"/>
              <w:jc w:val="center"/>
              <w:rPr>
                <w:rFonts w:hint="eastAsia" w:ascii="宋体" w:hAnsi="宋体" w:eastAsia="宋体" w:cs="宋体"/>
                <w:color w:val="auto"/>
                <w:highlight w:val="none"/>
                <w:lang w:bidi="he-IL"/>
              </w:rPr>
            </w:pPr>
            <w:r>
              <w:rPr>
                <w:rFonts w:hint="eastAsia" w:ascii="宋体" w:hAnsi="宋体" w:eastAsia="宋体" w:cs="宋体"/>
                <w:color w:val="auto"/>
                <w:highlight w:val="none"/>
                <w:lang w:bidi="he-IL"/>
              </w:rPr>
              <w:t>第15.3款</w:t>
            </w:r>
          </w:p>
        </w:tc>
        <w:tc>
          <w:tcPr>
            <w:tcW w:w="1022" w:type="pct"/>
            <w:noWrap w:val="0"/>
            <w:vAlign w:val="center"/>
          </w:tcPr>
          <w:p w14:paraId="6A8AFCCC">
            <w:pPr>
              <w:keepNext w:val="0"/>
              <w:keepLines w:val="0"/>
              <w:widowControl/>
              <w:suppressLineNumbers w:val="0"/>
              <w:adjustRightInd w:val="0"/>
              <w:snapToGrid w:val="0"/>
              <w:spacing w:before="0" w:beforeAutospacing="0" w:after="0" w:afterAutospacing="0"/>
              <w:ind w:left="0" w:right="0"/>
              <w:rPr>
                <w:rFonts w:hint="eastAsia" w:ascii="宋体" w:hAnsi="宋体" w:eastAsia="宋体" w:cs="宋体"/>
                <w:color w:val="auto"/>
                <w:highlight w:val="none"/>
                <w:lang w:bidi="he-IL"/>
              </w:rPr>
            </w:pPr>
            <w:r>
              <w:rPr>
                <w:rFonts w:hint="eastAsia" w:ascii="宋体" w:hAnsi="宋体" w:eastAsia="宋体" w:cs="宋体"/>
                <w:color w:val="auto"/>
                <w:highlight w:val="none"/>
                <w:lang w:bidi="he-IL"/>
              </w:rPr>
              <w:t>逾期付款利息</w:t>
            </w:r>
          </w:p>
        </w:tc>
        <w:tc>
          <w:tcPr>
            <w:tcW w:w="3034" w:type="pct"/>
            <w:noWrap w:val="0"/>
            <w:vAlign w:val="center"/>
          </w:tcPr>
          <w:p w14:paraId="30955393">
            <w:pPr>
              <w:keepNext w:val="0"/>
              <w:keepLines w:val="0"/>
              <w:widowControl/>
              <w:suppressLineNumbers w:val="0"/>
              <w:adjustRightInd w:val="0"/>
              <w:snapToGrid w:val="0"/>
              <w:spacing w:before="0" w:beforeAutospacing="0" w:after="0" w:afterAutospacing="0"/>
              <w:ind w:left="0" w:right="0"/>
              <w:rPr>
                <w:rFonts w:hint="eastAsia" w:ascii="宋体" w:hAnsi="宋体" w:eastAsia="宋体" w:cs="宋体"/>
                <w:color w:val="auto"/>
                <w:highlight w:val="none"/>
                <w:u w:val="single"/>
                <w:lang w:bidi="he-IL"/>
              </w:rPr>
            </w:pPr>
            <w:r>
              <w:rPr>
                <w:rFonts w:hint="eastAsia" w:ascii="宋体" w:hAnsi="宋体" w:eastAsia="宋体" w:cs="宋体"/>
                <w:color w:val="auto"/>
                <w:highlight w:val="none"/>
                <w:lang w:bidi="he-IL"/>
              </w:rPr>
              <w:t>中国人民银行规定的金融机构计收逾期贷款利息的标准计算</w:t>
            </w:r>
          </w:p>
        </w:tc>
      </w:tr>
      <w:tr w14:paraId="4FC813E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876" w:hRule="atLeast"/>
        </w:trPr>
        <w:tc>
          <w:tcPr>
            <w:tcW w:w="943" w:type="pct"/>
            <w:tcBorders>
              <w:bottom w:val="single" w:color="auto" w:sz="2" w:space="0"/>
              <w:right w:val="single" w:color="auto" w:sz="2" w:space="0"/>
            </w:tcBorders>
            <w:noWrap w:val="0"/>
            <w:vAlign w:val="center"/>
          </w:tcPr>
          <w:p w14:paraId="123AE929">
            <w:pPr>
              <w:keepNext w:val="0"/>
              <w:keepLines w:val="0"/>
              <w:widowControl/>
              <w:suppressLineNumbers w:val="0"/>
              <w:adjustRightInd w:val="0"/>
              <w:snapToGrid w:val="0"/>
              <w:spacing w:before="0" w:beforeAutospacing="0" w:after="0" w:afterAutospacing="0"/>
              <w:ind w:left="0" w:right="0"/>
              <w:jc w:val="center"/>
              <w:rPr>
                <w:rFonts w:hint="eastAsia" w:ascii="宋体" w:hAnsi="宋体" w:eastAsia="宋体" w:cs="宋体"/>
                <w:color w:val="auto"/>
                <w:highlight w:val="none"/>
                <w:lang w:bidi="he-IL"/>
              </w:rPr>
            </w:pPr>
            <w:r>
              <w:rPr>
                <w:rFonts w:hint="eastAsia" w:ascii="宋体" w:hAnsi="宋体" w:eastAsia="宋体" w:cs="宋体"/>
                <w:color w:val="auto"/>
                <w:highlight w:val="none"/>
                <w:lang w:bidi="he-IL"/>
              </w:rPr>
              <w:t>第二节</w:t>
            </w:r>
          </w:p>
          <w:p w14:paraId="11A79481">
            <w:pPr>
              <w:keepNext w:val="0"/>
              <w:keepLines w:val="0"/>
              <w:widowControl/>
              <w:suppressLineNumbers w:val="0"/>
              <w:adjustRightInd w:val="0"/>
              <w:snapToGrid w:val="0"/>
              <w:spacing w:before="0" w:beforeAutospacing="0" w:after="0" w:afterAutospacing="0"/>
              <w:ind w:left="0" w:right="0"/>
              <w:jc w:val="center"/>
              <w:rPr>
                <w:rFonts w:hint="eastAsia" w:ascii="宋体" w:hAnsi="宋体" w:eastAsia="宋体" w:cs="宋体"/>
                <w:color w:val="auto"/>
                <w:highlight w:val="none"/>
                <w:lang w:bidi="he-IL"/>
              </w:rPr>
            </w:pPr>
            <w:r>
              <w:rPr>
                <w:rFonts w:hint="eastAsia" w:ascii="宋体" w:hAnsi="宋体" w:eastAsia="宋体" w:cs="宋体"/>
                <w:color w:val="auto"/>
                <w:highlight w:val="none"/>
                <w:lang w:bidi="he-IL"/>
              </w:rPr>
              <w:t>第15.4款</w:t>
            </w:r>
          </w:p>
        </w:tc>
        <w:tc>
          <w:tcPr>
            <w:tcW w:w="1022" w:type="pct"/>
            <w:tcBorders>
              <w:left w:val="single" w:color="auto" w:sz="2" w:space="0"/>
              <w:bottom w:val="single" w:color="auto" w:sz="2" w:space="0"/>
              <w:right w:val="single" w:color="auto" w:sz="2" w:space="0"/>
            </w:tcBorders>
            <w:noWrap w:val="0"/>
            <w:vAlign w:val="center"/>
          </w:tcPr>
          <w:p w14:paraId="1201752F">
            <w:pPr>
              <w:keepNext w:val="0"/>
              <w:keepLines w:val="0"/>
              <w:widowControl/>
              <w:suppressLineNumbers w:val="0"/>
              <w:adjustRightInd w:val="0"/>
              <w:snapToGrid w:val="0"/>
              <w:spacing w:before="0" w:beforeAutospacing="0" w:after="0" w:afterAutospacing="0"/>
              <w:ind w:left="0" w:right="0"/>
              <w:rPr>
                <w:rFonts w:hint="eastAsia" w:ascii="宋体" w:hAnsi="宋体" w:eastAsia="宋体" w:cs="宋体"/>
                <w:color w:val="auto"/>
                <w:highlight w:val="none"/>
                <w:lang w:bidi="he-IL"/>
              </w:rPr>
            </w:pPr>
            <w:r>
              <w:rPr>
                <w:rFonts w:hint="eastAsia" w:ascii="宋体" w:hAnsi="宋体" w:eastAsia="宋体" w:cs="宋体"/>
                <w:color w:val="auto"/>
                <w:highlight w:val="none"/>
                <w:lang w:bidi="he-IL"/>
              </w:rPr>
              <w:t>其他违约责任</w:t>
            </w:r>
          </w:p>
        </w:tc>
        <w:tc>
          <w:tcPr>
            <w:tcW w:w="3034" w:type="pct"/>
            <w:tcBorders>
              <w:left w:val="single" w:color="auto" w:sz="2" w:space="0"/>
              <w:bottom w:val="single" w:color="auto" w:sz="2" w:space="0"/>
            </w:tcBorders>
            <w:noWrap w:val="0"/>
            <w:vAlign w:val="center"/>
          </w:tcPr>
          <w:p w14:paraId="0A9356A3">
            <w:pPr>
              <w:keepNext w:val="0"/>
              <w:keepLines w:val="0"/>
              <w:widowControl/>
              <w:suppressLineNumbers w:val="0"/>
              <w:adjustRightInd w:val="0"/>
              <w:snapToGrid w:val="0"/>
              <w:spacing w:before="0" w:beforeAutospacing="0" w:after="0" w:afterAutospacing="0"/>
              <w:ind w:left="0" w:right="0"/>
              <w:rPr>
                <w:rFonts w:hint="eastAsia" w:ascii="宋体" w:hAnsi="宋体" w:eastAsia="宋体" w:cs="宋体"/>
                <w:color w:val="auto"/>
                <w:highlight w:val="none"/>
                <w:u w:val="single"/>
                <w:lang w:bidi="he-IL"/>
              </w:rPr>
            </w:pPr>
            <w:r>
              <w:rPr>
                <w:rFonts w:hint="eastAsia" w:ascii="宋体" w:hAnsi="宋体" w:cs="宋体"/>
                <w:color w:val="auto"/>
                <w:highlight w:val="none"/>
                <w:lang w:val="en-US" w:eastAsia="zh-CN" w:bidi="he-IL"/>
              </w:rPr>
              <w:t>除合同约定外，</w:t>
            </w:r>
            <w:r>
              <w:rPr>
                <w:rFonts w:hint="eastAsia" w:ascii="宋体" w:hAnsi="宋体" w:eastAsia="宋体" w:cs="宋体"/>
                <w:color w:val="auto"/>
                <w:highlight w:val="none"/>
                <w:lang w:bidi="he-IL"/>
              </w:rPr>
              <w:t>甲乙双方在签订合同时自行商定</w:t>
            </w:r>
          </w:p>
        </w:tc>
      </w:tr>
      <w:tr w14:paraId="1C77F08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90" w:hRule="atLeast"/>
        </w:trPr>
        <w:tc>
          <w:tcPr>
            <w:tcW w:w="943" w:type="pct"/>
            <w:tcBorders>
              <w:top w:val="single" w:color="auto" w:sz="2" w:space="0"/>
              <w:right w:val="single" w:color="auto" w:sz="2" w:space="0"/>
            </w:tcBorders>
            <w:noWrap w:val="0"/>
            <w:vAlign w:val="center"/>
          </w:tcPr>
          <w:p w14:paraId="6691940B">
            <w:pPr>
              <w:keepNext w:val="0"/>
              <w:keepLines w:val="0"/>
              <w:widowControl/>
              <w:suppressLineNumbers w:val="0"/>
              <w:adjustRightInd w:val="0"/>
              <w:snapToGrid w:val="0"/>
              <w:spacing w:before="0" w:beforeAutospacing="0" w:after="0" w:afterAutospacing="0"/>
              <w:ind w:left="0" w:right="0"/>
              <w:jc w:val="center"/>
              <w:rPr>
                <w:rFonts w:hint="eastAsia" w:ascii="宋体" w:hAnsi="宋体" w:eastAsia="宋体" w:cs="宋体"/>
                <w:color w:val="auto"/>
                <w:highlight w:val="none"/>
                <w:lang w:bidi="he-IL"/>
              </w:rPr>
            </w:pPr>
            <w:r>
              <w:rPr>
                <w:rFonts w:hint="eastAsia" w:ascii="宋体" w:hAnsi="宋体" w:eastAsia="宋体" w:cs="宋体"/>
                <w:color w:val="auto"/>
                <w:highlight w:val="none"/>
                <w:lang w:bidi="he-IL"/>
              </w:rPr>
              <w:t>第二节</w:t>
            </w:r>
          </w:p>
          <w:p w14:paraId="24E17336">
            <w:pPr>
              <w:keepNext w:val="0"/>
              <w:keepLines w:val="0"/>
              <w:widowControl/>
              <w:suppressLineNumbers w:val="0"/>
              <w:adjustRightInd w:val="0"/>
              <w:snapToGrid w:val="0"/>
              <w:spacing w:before="0" w:beforeAutospacing="0" w:after="0" w:afterAutospacing="0"/>
              <w:ind w:left="0" w:right="0"/>
              <w:jc w:val="center"/>
              <w:rPr>
                <w:rFonts w:hint="eastAsia" w:ascii="宋体" w:hAnsi="宋体" w:eastAsia="宋体" w:cs="宋体"/>
                <w:color w:val="auto"/>
                <w:highlight w:val="none"/>
                <w:lang w:bidi="he-IL"/>
              </w:rPr>
            </w:pPr>
            <w:r>
              <w:rPr>
                <w:rFonts w:hint="eastAsia" w:ascii="宋体" w:hAnsi="宋体" w:eastAsia="宋体" w:cs="宋体"/>
                <w:color w:val="auto"/>
                <w:highlight w:val="none"/>
                <w:lang w:bidi="he-IL"/>
              </w:rPr>
              <w:t>第19.2款</w:t>
            </w:r>
          </w:p>
        </w:tc>
        <w:tc>
          <w:tcPr>
            <w:tcW w:w="1022" w:type="pct"/>
            <w:tcBorders>
              <w:top w:val="single" w:color="auto" w:sz="2" w:space="0"/>
              <w:left w:val="single" w:color="auto" w:sz="2" w:space="0"/>
              <w:right w:val="single" w:color="auto" w:sz="2" w:space="0"/>
            </w:tcBorders>
            <w:noWrap w:val="0"/>
            <w:vAlign w:val="center"/>
          </w:tcPr>
          <w:p w14:paraId="11698C19">
            <w:pPr>
              <w:keepNext w:val="0"/>
              <w:keepLines w:val="0"/>
              <w:widowControl/>
              <w:suppressLineNumbers w:val="0"/>
              <w:adjustRightInd w:val="0"/>
              <w:snapToGrid w:val="0"/>
              <w:spacing w:before="0" w:beforeAutospacing="0" w:after="0" w:afterAutospacing="0"/>
              <w:ind w:left="0" w:right="0"/>
              <w:rPr>
                <w:rFonts w:hint="eastAsia" w:ascii="宋体" w:hAnsi="宋体" w:eastAsia="宋体" w:cs="宋体"/>
                <w:color w:val="auto"/>
                <w:highlight w:val="none"/>
                <w:lang w:bidi="he-IL"/>
              </w:rPr>
            </w:pPr>
            <w:r>
              <w:rPr>
                <w:rFonts w:hint="eastAsia" w:ascii="宋体" w:hAnsi="宋体" w:eastAsia="宋体" w:cs="宋体"/>
                <w:color w:val="auto"/>
                <w:highlight w:val="none"/>
                <w:lang w:bidi="he-IL"/>
              </w:rPr>
              <w:t>解决争议的方法</w:t>
            </w:r>
          </w:p>
        </w:tc>
        <w:tc>
          <w:tcPr>
            <w:tcW w:w="3034" w:type="pct"/>
            <w:tcBorders>
              <w:top w:val="single" w:color="auto" w:sz="2" w:space="0"/>
              <w:left w:val="single" w:color="auto" w:sz="2" w:space="0"/>
            </w:tcBorders>
            <w:noWrap w:val="0"/>
            <w:vAlign w:val="center"/>
          </w:tcPr>
          <w:p w14:paraId="2A498D82">
            <w:pPr>
              <w:keepNext w:val="0"/>
              <w:keepLines w:val="0"/>
              <w:widowControl/>
              <w:suppressLineNumbers w:val="0"/>
              <w:autoSpaceDE w:val="0"/>
              <w:autoSpaceDN w:val="0"/>
              <w:adjustRightInd w:val="0"/>
              <w:snapToGrid w:val="0"/>
              <w:spacing w:before="0" w:beforeAutospacing="0" w:after="0" w:afterAutospacing="0" w:line="400" w:lineRule="exact"/>
              <w:ind w:left="0" w:right="0"/>
              <w:rPr>
                <w:rFonts w:hint="eastAsia" w:ascii="宋体" w:hAnsi="宋体" w:eastAsia="宋体" w:cs="宋体"/>
                <w:iCs/>
                <w:color w:val="auto"/>
                <w:highlight w:val="none"/>
                <w:lang w:bidi="he-IL"/>
              </w:rPr>
            </w:pPr>
            <w:r>
              <w:rPr>
                <w:rFonts w:hint="eastAsia" w:ascii="宋体" w:hAnsi="宋体" w:eastAsia="宋体" w:cs="宋体"/>
                <w:iCs/>
                <w:color w:val="auto"/>
                <w:highlight w:val="none"/>
                <w:lang w:bidi="he-IL"/>
              </w:rPr>
              <w:t>因本合同及合同有关事项发生的争议，按下列第</w:t>
            </w:r>
            <w:r>
              <w:rPr>
                <w:rFonts w:hint="eastAsia" w:ascii="宋体" w:hAnsi="宋体" w:eastAsia="宋体" w:cs="宋体"/>
                <w:iCs/>
                <w:color w:val="auto"/>
                <w:highlight w:val="none"/>
                <w:u w:val="single"/>
                <w:lang w:bidi="he-IL"/>
              </w:rPr>
              <w:t>（1）</w:t>
            </w:r>
            <w:r>
              <w:rPr>
                <w:rFonts w:hint="eastAsia" w:ascii="宋体" w:hAnsi="宋体" w:eastAsia="宋体" w:cs="宋体"/>
                <w:iCs/>
                <w:color w:val="auto"/>
                <w:highlight w:val="none"/>
                <w:lang w:bidi="he-IL"/>
              </w:rPr>
              <w:t>种方式解决：</w:t>
            </w:r>
          </w:p>
          <w:p w14:paraId="1A8918C7">
            <w:pPr>
              <w:keepNext w:val="0"/>
              <w:keepLines w:val="0"/>
              <w:widowControl/>
              <w:suppressLineNumbers w:val="0"/>
              <w:autoSpaceDE w:val="0"/>
              <w:autoSpaceDN w:val="0"/>
              <w:adjustRightInd w:val="0"/>
              <w:snapToGrid w:val="0"/>
              <w:spacing w:before="0" w:beforeAutospacing="0" w:after="0" w:afterAutospacing="0" w:line="400" w:lineRule="exact"/>
              <w:ind w:left="0" w:right="0"/>
              <w:rPr>
                <w:rFonts w:hint="eastAsia" w:ascii="宋体" w:hAnsi="宋体" w:eastAsia="宋体" w:cs="宋体"/>
                <w:iCs/>
                <w:color w:val="auto"/>
                <w:highlight w:val="none"/>
                <w:lang w:bidi="he-IL"/>
              </w:rPr>
            </w:pPr>
            <w:r>
              <w:rPr>
                <w:rFonts w:hint="eastAsia" w:ascii="宋体" w:hAnsi="宋体" w:eastAsia="宋体" w:cs="宋体"/>
                <w:iCs/>
                <w:color w:val="auto"/>
                <w:highlight w:val="none"/>
                <w:lang w:bidi="he-IL"/>
              </w:rPr>
              <w:t>（1）向</w:t>
            </w:r>
            <w:r>
              <w:rPr>
                <w:rFonts w:hint="eastAsia" w:ascii="宋体" w:hAnsi="宋体" w:eastAsia="宋体" w:cs="宋体"/>
                <w:iCs/>
                <w:color w:val="auto"/>
                <w:highlight w:val="none"/>
                <w:u w:val="single"/>
                <w:lang w:bidi="he-IL"/>
              </w:rPr>
              <w:t>香格里拉市</w:t>
            </w:r>
            <w:r>
              <w:rPr>
                <w:rFonts w:hint="eastAsia" w:ascii="宋体" w:hAnsi="宋体" w:eastAsia="宋体" w:cs="宋体"/>
                <w:iCs/>
                <w:color w:val="auto"/>
                <w:highlight w:val="none"/>
                <w:lang w:bidi="he-IL"/>
              </w:rPr>
              <w:t>仲裁委员会申请仲裁，仲裁地点为香格里拉市；</w:t>
            </w:r>
          </w:p>
          <w:p w14:paraId="2FDD8D16">
            <w:pPr>
              <w:keepNext w:val="0"/>
              <w:keepLines w:val="0"/>
              <w:widowControl/>
              <w:suppressLineNumbers w:val="0"/>
              <w:adjustRightInd w:val="0"/>
              <w:snapToGrid w:val="0"/>
              <w:spacing w:before="0" w:beforeAutospacing="0" w:after="0" w:afterAutospacing="0"/>
              <w:ind w:left="0" w:right="0"/>
              <w:rPr>
                <w:rFonts w:hint="eastAsia" w:ascii="宋体" w:hAnsi="宋体" w:eastAsia="宋体" w:cs="宋体"/>
                <w:color w:val="auto"/>
                <w:highlight w:val="none"/>
                <w:u w:val="single"/>
                <w:lang w:bidi="he-IL"/>
              </w:rPr>
            </w:pPr>
            <w:r>
              <w:rPr>
                <w:rFonts w:hint="eastAsia" w:ascii="宋体" w:hAnsi="宋体" w:eastAsia="宋体" w:cs="宋体"/>
                <w:iCs/>
                <w:color w:val="auto"/>
                <w:highlight w:val="none"/>
                <w:lang w:bidi="he-IL"/>
              </w:rPr>
              <w:t>（2）向人民法院起诉。</w:t>
            </w:r>
          </w:p>
        </w:tc>
      </w:tr>
      <w:tr w14:paraId="5C96ABE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70" w:hRule="atLeast"/>
        </w:trPr>
        <w:tc>
          <w:tcPr>
            <w:tcW w:w="943" w:type="pct"/>
            <w:tcBorders>
              <w:bottom w:val="double" w:color="auto" w:sz="4" w:space="0"/>
            </w:tcBorders>
            <w:noWrap w:val="0"/>
            <w:vAlign w:val="center"/>
          </w:tcPr>
          <w:p w14:paraId="7A25540F">
            <w:pPr>
              <w:keepNext w:val="0"/>
              <w:keepLines w:val="0"/>
              <w:widowControl/>
              <w:suppressLineNumbers w:val="0"/>
              <w:adjustRightInd w:val="0"/>
              <w:snapToGrid w:val="0"/>
              <w:spacing w:before="0" w:beforeAutospacing="0" w:after="0" w:afterAutospacing="0"/>
              <w:ind w:left="0" w:right="0"/>
              <w:jc w:val="center"/>
              <w:rPr>
                <w:rFonts w:hint="eastAsia" w:ascii="宋体" w:hAnsi="宋体" w:eastAsia="宋体" w:cs="宋体"/>
                <w:color w:val="auto"/>
                <w:highlight w:val="none"/>
                <w:lang w:bidi="he-IL"/>
              </w:rPr>
            </w:pPr>
            <w:r>
              <w:rPr>
                <w:rFonts w:hint="eastAsia" w:ascii="宋体" w:hAnsi="宋体" w:eastAsia="宋体" w:cs="宋体"/>
                <w:color w:val="auto"/>
                <w:highlight w:val="none"/>
                <w:lang w:bidi="he-IL"/>
              </w:rPr>
              <w:t>第二节</w:t>
            </w:r>
          </w:p>
          <w:p w14:paraId="6A19D52A">
            <w:pPr>
              <w:keepNext w:val="0"/>
              <w:keepLines w:val="0"/>
              <w:widowControl/>
              <w:suppressLineNumbers w:val="0"/>
              <w:adjustRightInd w:val="0"/>
              <w:snapToGrid w:val="0"/>
              <w:spacing w:before="0" w:beforeAutospacing="0" w:after="0" w:afterAutospacing="0"/>
              <w:ind w:left="0" w:right="0"/>
              <w:jc w:val="center"/>
              <w:rPr>
                <w:rFonts w:hint="eastAsia" w:ascii="宋体" w:hAnsi="宋体" w:eastAsia="宋体" w:cs="宋体"/>
                <w:color w:val="auto"/>
                <w:highlight w:val="none"/>
                <w:lang w:bidi="he-IL"/>
              </w:rPr>
            </w:pPr>
            <w:r>
              <w:rPr>
                <w:rFonts w:hint="eastAsia" w:ascii="宋体" w:hAnsi="宋体" w:eastAsia="宋体" w:cs="宋体"/>
                <w:color w:val="auto"/>
                <w:highlight w:val="none"/>
                <w:lang w:bidi="he-IL"/>
              </w:rPr>
              <w:t>第23.1款</w:t>
            </w:r>
          </w:p>
        </w:tc>
        <w:tc>
          <w:tcPr>
            <w:tcW w:w="1022" w:type="pct"/>
            <w:tcBorders>
              <w:bottom w:val="double" w:color="auto" w:sz="4" w:space="0"/>
            </w:tcBorders>
            <w:noWrap w:val="0"/>
            <w:vAlign w:val="center"/>
          </w:tcPr>
          <w:p w14:paraId="2F1F490B">
            <w:pPr>
              <w:keepNext w:val="0"/>
              <w:keepLines w:val="0"/>
              <w:widowControl/>
              <w:suppressLineNumbers w:val="0"/>
              <w:adjustRightInd w:val="0"/>
              <w:snapToGrid w:val="0"/>
              <w:spacing w:before="0" w:beforeAutospacing="0" w:after="0" w:afterAutospacing="0"/>
              <w:ind w:left="0" w:right="0"/>
              <w:rPr>
                <w:rFonts w:hint="eastAsia" w:ascii="宋体" w:hAnsi="宋体" w:eastAsia="宋体" w:cs="宋体"/>
                <w:color w:val="auto"/>
                <w:highlight w:val="none"/>
                <w:lang w:bidi="he-IL"/>
              </w:rPr>
            </w:pPr>
            <w:r>
              <w:rPr>
                <w:rFonts w:hint="eastAsia" w:ascii="宋体" w:hAnsi="宋体" w:eastAsia="宋体" w:cs="宋体"/>
                <w:bCs/>
                <w:color w:val="auto"/>
                <w:highlight w:val="none"/>
                <w:lang w:bidi="he-IL"/>
              </w:rPr>
              <w:t>其他专用条款</w:t>
            </w:r>
          </w:p>
        </w:tc>
        <w:tc>
          <w:tcPr>
            <w:tcW w:w="3034" w:type="pct"/>
            <w:tcBorders>
              <w:bottom w:val="double" w:color="auto" w:sz="4" w:space="0"/>
            </w:tcBorders>
            <w:noWrap w:val="0"/>
            <w:vAlign w:val="center"/>
          </w:tcPr>
          <w:p w14:paraId="3276FEBF">
            <w:pPr>
              <w:keepNext w:val="0"/>
              <w:keepLines w:val="0"/>
              <w:widowControl/>
              <w:suppressLineNumbers w:val="0"/>
              <w:adjustRightInd w:val="0"/>
              <w:snapToGrid w:val="0"/>
              <w:spacing w:before="0" w:beforeAutospacing="0" w:after="0" w:afterAutospacing="0"/>
              <w:ind w:left="0" w:right="0"/>
              <w:rPr>
                <w:rFonts w:hint="eastAsia" w:ascii="宋体" w:hAnsi="宋体" w:eastAsia="宋体" w:cs="宋体"/>
                <w:color w:val="auto"/>
                <w:highlight w:val="none"/>
                <w:lang w:bidi="he-IL"/>
              </w:rPr>
            </w:pPr>
            <w:r>
              <w:rPr>
                <w:rFonts w:hint="eastAsia" w:ascii="宋体" w:hAnsi="宋体" w:eastAsia="宋体" w:cs="宋体"/>
                <w:color w:val="auto"/>
                <w:highlight w:val="none"/>
                <w:lang w:bidi="he-IL"/>
              </w:rPr>
              <w:t>甲乙双方在签订合同时自行商定</w:t>
            </w:r>
          </w:p>
        </w:tc>
      </w:tr>
    </w:tbl>
    <w:p w14:paraId="7FF27B49">
      <w:pPr>
        <w:shd w:val="clear" w:color="auto" w:fill="auto"/>
        <w:rPr>
          <w:rFonts w:hint="eastAsia" w:ascii="宋体" w:hAnsi="宋体" w:eastAsia="宋体" w:cs="宋体"/>
        </w:rPr>
      </w:pPr>
    </w:p>
    <w:p w14:paraId="752BE096">
      <w:pPr>
        <w:rPr>
          <w:rFonts w:hint="eastAsia" w:ascii="宋体" w:hAnsi="宋体"/>
          <w:highlight w:val="none"/>
        </w:rPr>
      </w:pPr>
      <w:bookmarkStart w:id="219" w:name="_Toc31034"/>
      <w:bookmarkEnd w:id="219"/>
      <w:bookmarkStart w:id="220" w:name="_Toc12847"/>
      <w:bookmarkEnd w:id="220"/>
      <w:bookmarkStart w:id="221" w:name="_Toc8577"/>
      <w:bookmarkStart w:id="222" w:name="_Toc1506"/>
      <w:r>
        <w:rPr>
          <w:rFonts w:hint="eastAsia" w:ascii="宋体" w:hAnsi="宋体"/>
          <w:highlight w:val="none"/>
        </w:rPr>
        <w:br w:type="page"/>
      </w:r>
    </w:p>
    <w:p w14:paraId="33E7AE61">
      <w:pPr>
        <w:pStyle w:val="2"/>
        <w:spacing w:before="0" w:after="0" w:line="720" w:lineRule="auto"/>
        <w:jc w:val="center"/>
        <w:rPr>
          <w:rFonts w:hint="eastAsia" w:ascii="宋体" w:hAnsi="宋体" w:eastAsia="宋体"/>
          <w:highlight w:val="none"/>
          <w:lang w:eastAsia="zh-CN"/>
        </w:rPr>
      </w:pPr>
      <w:bookmarkStart w:id="292" w:name="_GoBack"/>
      <w:bookmarkEnd w:id="292"/>
      <w:r>
        <w:rPr>
          <w:rFonts w:hint="eastAsia" w:ascii="宋体" w:hAnsi="宋体"/>
          <w:highlight w:val="none"/>
        </w:rPr>
        <w:t xml:space="preserve">第六章 </w:t>
      </w:r>
      <w:bookmarkEnd w:id="221"/>
      <w:r>
        <w:rPr>
          <w:rFonts w:hint="eastAsia" w:ascii="宋体" w:hAnsi="宋体"/>
          <w:highlight w:val="none"/>
          <w:lang w:eastAsia="zh-CN"/>
        </w:rPr>
        <w:t>招标内容及要求</w:t>
      </w:r>
      <w:bookmarkEnd w:id="222"/>
    </w:p>
    <w:p w14:paraId="3F9F75FE">
      <w:pPr>
        <w:pStyle w:val="2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auto"/>
        <w:kinsoku/>
        <w:wordWrap/>
        <w:overflowPunct/>
        <w:topLinePunct w:val="0"/>
        <w:autoSpaceDE/>
        <w:autoSpaceDN/>
        <w:bidi w:val="0"/>
        <w:adjustRightInd/>
        <w:snapToGrid/>
        <w:spacing w:before="0" w:beforeAutospacing="0" w:after="0" w:afterAutospacing="0" w:line="540" w:lineRule="exact"/>
        <w:ind w:left="0" w:right="0" w:firstLine="482" w:firstLineChars="200"/>
        <w:jc w:val="left"/>
        <w:textAlignment w:val="auto"/>
        <w:rPr>
          <w:rFonts w:hint="eastAsia" w:ascii="宋体" w:hAnsi="宋体" w:eastAsia="宋体" w:cs="宋体"/>
          <w:b/>
          <w:bCs/>
          <w:i w:val="0"/>
          <w:iCs w:val="0"/>
          <w:caps w:val="0"/>
          <w:color w:val="333333"/>
          <w:spacing w:val="0"/>
          <w:sz w:val="24"/>
          <w:szCs w:val="24"/>
          <w:shd w:val="clear" w:color="auto" w:fill="FFFFFF"/>
        </w:rPr>
      </w:pPr>
      <w:r>
        <w:rPr>
          <w:rFonts w:hint="eastAsia" w:ascii="宋体" w:hAnsi="宋体" w:cs="宋体"/>
          <w:b/>
          <w:bCs/>
          <w:i w:val="0"/>
          <w:iCs w:val="0"/>
          <w:caps w:val="0"/>
          <w:color w:val="333333"/>
          <w:spacing w:val="0"/>
          <w:sz w:val="24"/>
          <w:szCs w:val="24"/>
          <w:shd w:val="clear" w:color="auto" w:fill="FFFFFF"/>
          <w:lang w:val="en-US" w:eastAsia="zh-CN"/>
        </w:rPr>
        <w:t>一、</w:t>
      </w:r>
      <w:r>
        <w:rPr>
          <w:rFonts w:hint="eastAsia" w:ascii="宋体" w:hAnsi="宋体" w:eastAsia="宋体" w:cs="宋体"/>
          <w:b/>
          <w:bCs/>
          <w:i w:val="0"/>
          <w:iCs w:val="0"/>
          <w:caps w:val="0"/>
          <w:color w:val="333333"/>
          <w:spacing w:val="0"/>
          <w:sz w:val="24"/>
          <w:szCs w:val="24"/>
          <w:shd w:val="clear" w:color="auto" w:fill="FFFFFF"/>
        </w:rPr>
        <w:t>采购标的数量、采购</w:t>
      </w:r>
      <w:r>
        <w:rPr>
          <w:rFonts w:hint="eastAsia" w:ascii="宋体" w:hAnsi="宋体" w:cs="宋体"/>
          <w:b/>
          <w:bCs/>
          <w:i w:val="0"/>
          <w:iCs w:val="0"/>
          <w:caps w:val="0"/>
          <w:color w:val="333333"/>
          <w:spacing w:val="0"/>
          <w:sz w:val="24"/>
          <w:szCs w:val="24"/>
          <w:shd w:val="clear" w:color="auto" w:fill="FFFFFF"/>
          <w:lang w:val="en-US" w:eastAsia="zh-CN"/>
        </w:rPr>
        <w:t>内容、合同履行期限、质保期及交货/</w:t>
      </w:r>
      <w:r>
        <w:rPr>
          <w:rFonts w:hint="eastAsia" w:ascii="宋体" w:hAnsi="宋体" w:eastAsia="宋体" w:cs="宋体"/>
          <w:b/>
          <w:bCs/>
          <w:i w:val="0"/>
          <w:iCs w:val="0"/>
          <w:caps w:val="0"/>
          <w:color w:val="333333"/>
          <w:spacing w:val="0"/>
          <w:sz w:val="24"/>
          <w:szCs w:val="24"/>
          <w:shd w:val="clear" w:color="auto" w:fill="FFFFFF"/>
        </w:rPr>
        <w:t>实施地点</w:t>
      </w:r>
      <w:r>
        <w:rPr>
          <w:rFonts w:hint="eastAsia" w:ascii="宋体" w:hAnsi="宋体" w:eastAsia="宋体" w:cs="宋体"/>
          <w:b/>
          <w:bCs/>
          <w:i w:val="0"/>
          <w:iCs w:val="0"/>
          <w:caps w:val="0"/>
          <w:color w:val="333333"/>
          <w:spacing w:val="0"/>
          <w:sz w:val="24"/>
          <w:szCs w:val="24"/>
          <w:shd w:val="clear" w:color="auto" w:fill="FFFFFF"/>
          <w:lang w:eastAsia="zh-CN"/>
        </w:rPr>
        <w:t>：</w:t>
      </w:r>
    </w:p>
    <w:tbl>
      <w:tblPr>
        <w:tblStyle w:val="28"/>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43"/>
        <w:gridCol w:w="4255"/>
        <w:gridCol w:w="1527"/>
        <w:gridCol w:w="1258"/>
        <w:gridCol w:w="1749"/>
      </w:tblGrid>
      <w:tr w14:paraId="76B4F5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85" w:type="pct"/>
            <w:noWrap w:val="0"/>
            <w:vAlign w:val="center"/>
          </w:tcPr>
          <w:p w14:paraId="0AD18FE7">
            <w:pPr>
              <w:pStyle w:val="2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right="0"/>
              <w:jc w:val="center"/>
              <w:textAlignment w:val="auto"/>
              <w:rPr>
                <w:rFonts w:hint="default" w:ascii="宋体" w:hAnsi="宋体" w:eastAsia="宋体" w:cs="宋体"/>
                <w:b/>
                <w:bCs/>
                <w:kern w:val="0"/>
                <w:sz w:val="24"/>
                <w:szCs w:val="24"/>
                <w:vertAlign w:val="baseline"/>
                <w:lang w:val="en-US" w:eastAsia="zh-CN" w:bidi="ar-SA"/>
              </w:rPr>
            </w:pPr>
            <w:r>
              <w:rPr>
                <w:rFonts w:hint="eastAsia" w:ascii="宋体" w:hAnsi="宋体" w:eastAsia="Times New Roman" w:cs="宋体"/>
                <w:b/>
                <w:bCs/>
                <w:kern w:val="0"/>
                <w:sz w:val="24"/>
                <w:szCs w:val="24"/>
                <w:vertAlign w:val="baseline"/>
                <w:lang w:val="en-US" w:eastAsia="zh-CN" w:bidi="ar-SA"/>
              </w:rPr>
              <w:t>序号</w:t>
            </w:r>
          </w:p>
        </w:tc>
        <w:tc>
          <w:tcPr>
            <w:tcW w:w="2185" w:type="pct"/>
            <w:noWrap w:val="0"/>
            <w:vAlign w:val="center"/>
          </w:tcPr>
          <w:p w14:paraId="10643DCD">
            <w:pPr>
              <w:pStyle w:val="2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right="0"/>
              <w:jc w:val="center"/>
              <w:textAlignment w:val="auto"/>
              <w:rPr>
                <w:rFonts w:hint="default" w:ascii="宋体" w:hAnsi="宋体" w:eastAsia="宋体" w:cs="宋体"/>
                <w:b/>
                <w:bCs/>
                <w:kern w:val="0"/>
                <w:sz w:val="24"/>
                <w:szCs w:val="24"/>
                <w:vertAlign w:val="baseline"/>
                <w:lang w:val="en-US" w:eastAsia="zh-CN" w:bidi="ar-SA"/>
              </w:rPr>
            </w:pPr>
            <w:r>
              <w:rPr>
                <w:rFonts w:hint="eastAsia" w:ascii="宋体" w:hAnsi="宋体" w:eastAsia="Times New Roman" w:cs="宋体"/>
                <w:b/>
                <w:bCs/>
                <w:kern w:val="0"/>
                <w:sz w:val="24"/>
                <w:szCs w:val="24"/>
                <w:vertAlign w:val="baseline"/>
                <w:lang w:val="en-US" w:eastAsia="zh-CN" w:bidi="ar-SA"/>
              </w:rPr>
              <w:t>设备名称</w:t>
            </w:r>
          </w:p>
        </w:tc>
        <w:tc>
          <w:tcPr>
            <w:tcW w:w="784" w:type="pct"/>
            <w:noWrap w:val="0"/>
            <w:vAlign w:val="center"/>
          </w:tcPr>
          <w:p w14:paraId="612524C2">
            <w:pPr>
              <w:pStyle w:val="2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right="0"/>
              <w:jc w:val="center"/>
              <w:textAlignment w:val="auto"/>
              <w:rPr>
                <w:rFonts w:hint="default" w:ascii="宋体" w:hAnsi="宋体" w:eastAsia="宋体" w:cs="宋体"/>
                <w:b/>
                <w:bCs/>
                <w:kern w:val="0"/>
                <w:sz w:val="24"/>
                <w:szCs w:val="24"/>
                <w:vertAlign w:val="baseline"/>
                <w:lang w:val="en-US" w:eastAsia="zh-CN" w:bidi="ar-SA"/>
              </w:rPr>
            </w:pPr>
            <w:r>
              <w:rPr>
                <w:rFonts w:hint="eastAsia" w:ascii="宋体" w:hAnsi="宋体" w:eastAsia="Times New Roman" w:cs="宋体"/>
                <w:b/>
                <w:bCs/>
                <w:kern w:val="0"/>
                <w:sz w:val="24"/>
                <w:szCs w:val="24"/>
                <w:vertAlign w:val="baseline"/>
                <w:lang w:val="en-US" w:eastAsia="zh-CN" w:bidi="ar-SA"/>
              </w:rPr>
              <w:t>单位</w:t>
            </w:r>
          </w:p>
        </w:tc>
        <w:tc>
          <w:tcPr>
            <w:tcW w:w="646" w:type="pct"/>
            <w:noWrap w:val="0"/>
            <w:vAlign w:val="center"/>
          </w:tcPr>
          <w:p w14:paraId="1771765D">
            <w:pPr>
              <w:pStyle w:val="2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right="0"/>
              <w:jc w:val="center"/>
              <w:textAlignment w:val="auto"/>
              <w:rPr>
                <w:rFonts w:hint="default" w:ascii="宋体" w:hAnsi="宋体" w:eastAsia="宋体" w:cs="宋体"/>
                <w:b/>
                <w:bCs/>
                <w:kern w:val="0"/>
                <w:sz w:val="24"/>
                <w:szCs w:val="24"/>
                <w:vertAlign w:val="baseline"/>
                <w:lang w:val="en-US" w:eastAsia="zh-CN" w:bidi="ar-SA"/>
              </w:rPr>
            </w:pPr>
            <w:r>
              <w:rPr>
                <w:rFonts w:hint="eastAsia" w:ascii="宋体" w:hAnsi="宋体" w:eastAsia="Times New Roman" w:cs="宋体"/>
                <w:b/>
                <w:bCs/>
                <w:kern w:val="0"/>
                <w:sz w:val="24"/>
                <w:szCs w:val="24"/>
                <w:vertAlign w:val="baseline"/>
                <w:lang w:val="en-US" w:eastAsia="zh-CN" w:bidi="ar-SA"/>
              </w:rPr>
              <w:t>数量</w:t>
            </w:r>
          </w:p>
        </w:tc>
        <w:tc>
          <w:tcPr>
            <w:tcW w:w="898" w:type="pct"/>
            <w:noWrap w:val="0"/>
            <w:vAlign w:val="center"/>
          </w:tcPr>
          <w:p w14:paraId="3140DFA0">
            <w:pPr>
              <w:pStyle w:val="2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right="0"/>
              <w:jc w:val="center"/>
              <w:textAlignment w:val="auto"/>
              <w:rPr>
                <w:rFonts w:hint="default" w:ascii="宋体" w:hAnsi="宋体" w:eastAsia="宋体" w:cs="宋体"/>
                <w:b/>
                <w:bCs/>
                <w:kern w:val="0"/>
                <w:sz w:val="24"/>
                <w:szCs w:val="24"/>
                <w:vertAlign w:val="baseline"/>
                <w:lang w:val="en-US" w:eastAsia="zh-CN" w:bidi="ar-SA"/>
              </w:rPr>
            </w:pPr>
            <w:r>
              <w:rPr>
                <w:rFonts w:hint="eastAsia" w:ascii="宋体" w:hAnsi="宋体" w:eastAsia="Times New Roman" w:cs="宋体"/>
                <w:b/>
                <w:bCs/>
                <w:kern w:val="0"/>
                <w:sz w:val="24"/>
                <w:szCs w:val="24"/>
                <w:vertAlign w:val="baseline"/>
                <w:lang w:val="en-US" w:eastAsia="zh-CN" w:bidi="ar-SA"/>
              </w:rPr>
              <w:t>单价（元）</w:t>
            </w:r>
          </w:p>
        </w:tc>
      </w:tr>
      <w:tr w14:paraId="22A96A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 w:hRule="atLeast"/>
        </w:trPr>
        <w:tc>
          <w:tcPr>
            <w:tcW w:w="485" w:type="pct"/>
            <w:noWrap w:val="0"/>
            <w:vAlign w:val="top"/>
          </w:tcPr>
          <w:p w14:paraId="374ACB95">
            <w:pPr>
              <w:pStyle w:val="2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right="0"/>
              <w:jc w:val="center"/>
              <w:textAlignment w:val="auto"/>
              <w:rPr>
                <w:rFonts w:hint="default" w:ascii="宋体" w:hAnsi="宋体" w:eastAsia="宋体" w:cs="宋体"/>
                <w:kern w:val="0"/>
                <w:sz w:val="24"/>
                <w:szCs w:val="24"/>
                <w:vertAlign w:val="baseline"/>
                <w:lang w:val="en-US" w:eastAsia="zh-CN" w:bidi="ar-SA"/>
              </w:rPr>
            </w:pPr>
            <w:r>
              <w:rPr>
                <w:rFonts w:hint="eastAsia" w:ascii="宋体" w:hAnsi="宋体" w:eastAsia="Times New Roman" w:cs="宋体"/>
                <w:kern w:val="0"/>
                <w:sz w:val="24"/>
                <w:szCs w:val="24"/>
                <w:vertAlign w:val="baseline"/>
                <w:lang w:val="en-US" w:eastAsia="zh-CN" w:bidi="ar-SA"/>
              </w:rPr>
              <w:t>1</w:t>
            </w:r>
          </w:p>
        </w:tc>
        <w:tc>
          <w:tcPr>
            <w:tcW w:w="2185" w:type="pct"/>
            <w:noWrap w:val="0"/>
            <w:vAlign w:val="center"/>
          </w:tcPr>
          <w:p w14:paraId="5C55526D">
            <w:pPr>
              <w:pStyle w:val="2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right="0"/>
              <w:jc w:val="center"/>
              <w:textAlignment w:val="auto"/>
              <w:rPr>
                <w:rFonts w:hint="eastAsia" w:ascii="宋体" w:hAnsi="宋体" w:eastAsia="宋体" w:cs="宋体"/>
                <w:kern w:val="0"/>
                <w:sz w:val="24"/>
                <w:szCs w:val="24"/>
                <w:vertAlign w:val="baseline"/>
                <w:lang w:val="en-US" w:eastAsia="zh-CN" w:bidi="ar-SA"/>
              </w:rPr>
            </w:pPr>
            <w:r>
              <w:rPr>
                <w:rFonts w:hint="eastAsia"/>
                <w:sz w:val="24"/>
                <w:szCs w:val="24"/>
              </w:rPr>
              <w:t>多</w:t>
            </w:r>
            <w:r>
              <w:rPr>
                <w:sz w:val="24"/>
                <w:szCs w:val="24"/>
              </w:rPr>
              <w:t>导睡眠监测仪</w:t>
            </w:r>
          </w:p>
        </w:tc>
        <w:tc>
          <w:tcPr>
            <w:tcW w:w="784" w:type="pct"/>
            <w:noWrap w:val="0"/>
            <w:vAlign w:val="center"/>
          </w:tcPr>
          <w:p w14:paraId="6D5E8AA6">
            <w:pPr>
              <w:pStyle w:val="2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right="0"/>
              <w:jc w:val="center"/>
              <w:textAlignment w:val="auto"/>
              <w:rPr>
                <w:rFonts w:hint="default" w:ascii="宋体" w:hAnsi="宋体" w:eastAsia="宋体" w:cs="宋体"/>
                <w:kern w:val="0"/>
                <w:sz w:val="24"/>
                <w:szCs w:val="24"/>
                <w:vertAlign w:val="baseline"/>
                <w:lang w:val="en-US" w:eastAsia="zh-CN" w:bidi="ar-SA"/>
              </w:rPr>
            </w:pPr>
            <w:r>
              <w:rPr>
                <w:rFonts w:hint="eastAsia" w:ascii="宋体" w:hAnsi="宋体" w:eastAsia="Times New Roman" w:cs="宋体"/>
                <w:kern w:val="0"/>
                <w:sz w:val="24"/>
                <w:szCs w:val="24"/>
                <w:vertAlign w:val="baseline"/>
                <w:lang w:val="en-US" w:eastAsia="zh-CN" w:bidi="ar-SA"/>
              </w:rPr>
              <w:t>台</w:t>
            </w:r>
          </w:p>
        </w:tc>
        <w:tc>
          <w:tcPr>
            <w:tcW w:w="646" w:type="pct"/>
            <w:noWrap w:val="0"/>
            <w:vAlign w:val="center"/>
          </w:tcPr>
          <w:p w14:paraId="481B8F91">
            <w:pPr>
              <w:pStyle w:val="2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right="0"/>
              <w:jc w:val="center"/>
              <w:textAlignment w:val="auto"/>
              <w:rPr>
                <w:rFonts w:hint="default" w:ascii="宋体" w:hAnsi="宋体" w:eastAsia="宋体" w:cs="宋体"/>
                <w:kern w:val="0"/>
                <w:sz w:val="24"/>
                <w:szCs w:val="24"/>
                <w:vertAlign w:val="baseline"/>
                <w:lang w:val="en-US" w:eastAsia="zh-CN" w:bidi="ar-SA"/>
              </w:rPr>
            </w:pPr>
            <w:r>
              <w:rPr>
                <w:rFonts w:hint="eastAsia" w:ascii="宋体" w:hAnsi="宋体" w:eastAsia="Times New Roman" w:cs="宋体"/>
                <w:kern w:val="0"/>
                <w:sz w:val="24"/>
                <w:szCs w:val="24"/>
                <w:vertAlign w:val="baseline"/>
                <w:lang w:val="en-US" w:eastAsia="zh-CN" w:bidi="ar-SA"/>
              </w:rPr>
              <w:t>1</w:t>
            </w:r>
          </w:p>
        </w:tc>
        <w:tc>
          <w:tcPr>
            <w:tcW w:w="898" w:type="pct"/>
            <w:noWrap w:val="0"/>
            <w:vAlign w:val="center"/>
          </w:tcPr>
          <w:p w14:paraId="26BEA3F9">
            <w:pPr>
              <w:keepNext w:val="0"/>
              <w:keepLines w:val="0"/>
              <w:widowControl/>
              <w:suppressLineNumbers w:val="0"/>
              <w:jc w:val="center"/>
              <w:textAlignment w:val="center"/>
              <w:rPr>
                <w:rFonts w:hint="default" w:ascii="宋体" w:hAnsi="宋体" w:eastAsia="宋体" w:cs="宋体"/>
                <w:b w:val="0"/>
                <w:bCs w:val="0"/>
                <w:kern w:val="0"/>
                <w:sz w:val="24"/>
                <w:szCs w:val="24"/>
                <w:vertAlign w:val="baseline"/>
                <w:lang w:val="en-US" w:eastAsia="zh-CN" w:bidi="ar-SA"/>
              </w:rPr>
            </w:pPr>
            <w:r>
              <w:rPr>
                <w:rFonts w:hint="eastAsia"/>
                <w:sz w:val="24"/>
                <w:szCs w:val="24"/>
              </w:rPr>
              <w:t>265000.00</w:t>
            </w:r>
          </w:p>
        </w:tc>
      </w:tr>
      <w:tr w14:paraId="10DFEF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85" w:type="pct"/>
            <w:noWrap w:val="0"/>
            <w:vAlign w:val="top"/>
          </w:tcPr>
          <w:p w14:paraId="0DE334F6">
            <w:pPr>
              <w:pStyle w:val="2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right="0"/>
              <w:jc w:val="center"/>
              <w:textAlignment w:val="auto"/>
              <w:rPr>
                <w:rFonts w:hint="default" w:ascii="宋体" w:hAnsi="宋体" w:eastAsia="宋体" w:cs="宋体"/>
                <w:kern w:val="0"/>
                <w:sz w:val="24"/>
                <w:szCs w:val="24"/>
                <w:vertAlign w:val="baseline"/>
                <w:lang w:val="en-US" w:eastAsia="zh-CN" w:bidi="ar-SA"/>
              </w:rPr>
            </w:pPr>
            <w:r>
              <w:rPr>
                <w:rFonts w:hint="eastAsia" w:ascii="宋体" w:hAnsi="宋体" w:eastAsia="Times New Roman" w:cs="宋体"/>
                <w:kern w:val="0"/>
                <w:sz w:val="24"/>
                <w:szCs w:val="24"/>
                <w:vertAlign w:val="baseline"/>
                <w:lang w:val="en-US" w:eastAsia="zh-CN" w:bidi="ar-SA"/>
              </w:rPr>
              <w:t>2</w:t>
            </w:r>
          </w:p>
        </w:tc>
        <w:tc>
          <w:tcPr>
            <w:tcW w:w="2185" w:type="pct"/>
            <w:noWrap w:val="0"/>
            <w:vAlign w:val="center"/>
          </w:tcPr>
          <w:p w14:paraId="0D3AF6F4">
            <w:pPr>
              <w:pStyle w:val="2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right="0"/>
              <w:jc w:val="center"/>
              <w:textAlignment w:val="auto"/>
              <w:rPr>
                <w:rFonts w:hint="eastAsia" w:ascii="宋体" w:hAnsi="宋体" w:eastAsia="宋体" w:cs="宋体"/>
                <w:kern w:val="0"/>
                <w:sz w:val="24"/>
                <w:szCs w:val="24"/>
                <w:vertAlign w:val="baseline"/>
                <w:lang w:val="en-US" w:eastAsia="zh-CN" w:bidi="ar-SA"/>
              </w:rPr>
            </w:pPr>
            <w:r>
              <w:rPr>
                <w:sz w:val="24"/>
                <w:szCs w:val="24"/>
              </w:rPr>
              <w:t>血液净化机</w:t>
            </w:r>
            <w:r>
              <w:rPr>
                <w:rFonts w:hint="eastAsia"/>
                <w:sz w:val="24"/>
                <w:szCs w:val="24"/>
              </w:rPr>
              <w:t>CRRT</w:t>
            </w:r>
          </w:p>
        </w:tc>
        <w:tc>
          <w:tcPr>
            <w:tcW w:w="784" w:type="pct"/>
            <w:noWrap w:val="0"/>
            <w:vAlign w:val="center"/>
          </w:tcPr>
          <w:p w14:paraId="79A09802">
            <w:pPr>
              <w:pStyle w:val="2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right="0"/>
              <w:jc w:val="center"/>
              <w:textAlignment w:val="auto"/>
              <w:rPr>
                <w:rFonts w:hint="default" w:ascii="宋体" w:hAnsi="宋体" w:eastAsia="宋体" w:cs="宋体"/>
                <w:kern w:val="0"/>
                <w:sz w:val="24"/>
                <w:szCs w:val="24"/>
                <w:vertAlign w:val="baseline"/>
                <w:lang w:val="en-US" w:eastAsia="zh-CN" w:bidi="ar-SA"/>
              </w:rPr>
            </w:pPr>
            <w:r>
              <w:rPr>
                <w:rFonts w:hint="eastAsia" w:ascii="宋体" w:hAnsi="宋体" w:eastAsia="Times New Roman" w:cs="宋体"/>
                <w:kern w:val="0"/>
                <w:sz w:val="24"/>
                <w:szCs w:val="24"/>
                <w:vertAlign w:val="baseline"/>
                <w:lang w:val="en-US" w:eastAsia="zh-CN" w:bidi="ar-SA"/>
              </w:rPr>
              <w:t>台</w:t>
            </w:r>
          </w:p>
        </w:tc>
        <w:tc>
          <w:tcPr>
            <w:tcW w:w="646" w:type="pct"/>
            <w:noWrap w:val="0"/>
            <w:vAlign w:val="center"/>
          </w:tcPr>
          <w:p w14:paraId="7E1952C1">
            <w:pPr>
              <w:pStyle w:val="2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right="0"/>
              <w:jc w:val="center"/>
              <w:textAlignment w:val="auto"/>
              <w:rPr>
                <w:rFonts w:hint="default" w:ascii="宋体" w:hAnsi="宋体" w:eastAsia="宋体" w:cs="宋体"/>
                <w:kern w:val="0"/>
                <w:sz w:val="24"/>
                <w:szCs w:val="24"/>
                <w:vertAlign w:val="baseline"/>
                <w:lang w:val="en-US" w:eastAsia="zh-CN" w:bidi="ar-SA"/>
              </w:rPr>
            </w:pPr>
            <w:r>
              <w:rPr>
                <w:rFonts w:hint="eastAsia" w:ascii="宋体" w:hAnsi="宋体" w:eastAsia="Times New Roman" w:cs="宋体"/>
                <w:kern w:val="0"/>
                <w:sz w:val="24"/>
                <w:szCs w:val="24"/>
                <w:vertAlign w:val="baseline"/>
                <w:lang w:val="en-US" w:eastAsia="zh-CN" w:bidi="ar-SA"/>
              </w:rPr>
              <w:t>1</w:t>
            </w:r>
          </w:p>
        </w:tc>
        <w:tc>
          <w:tcPr>
            <w:tcW w:w="898" w:type="pct"/>
            <w:noWrap w:val="0"/>
            <w:vAlign w:val="center"/>
          </w:tcPr>
          <w:p w14:paraId="6C2860A6">
            <w:pPr>
              <w:keepNext w:val="0"/>
              <w:keepLines w:val="0"/>
              <w:widowControl/>
              <w:suppressLineNumbers w:val="0"/>
              <w:jc w:val="center"/>
              <w:textAlignment w:val="center"/>
              <w:rPr>
                <w:rFonts w:hint="default" w:ascii="宋体" w:hAnsi="宋体" w:eastAsia="宋体" w:cs="宋体"/>
                <w:b w:val="0"/>
                <w:bCs w:val="0"/>
                <w:kern w:val="0"/>
                <w:sz w:val="24"/>
                <w:szCs w:val="24"/>
                <w:vertAlign w:val="baseline"/>
                <w:lang w:val="en-US" w:eastAsia="zh-CN" w:bidi="ar-SA"/>
              </w:rPr>
            </w:pPr>
            <w:r>
              <w:rPr>
                <w:rFonts w:hint="eastAsia" w:ascii="宋体" w:hAnsi="宋体" w:cs="宋体"/>
                <w:spacing w:val="3"/>
                <w:sz w:val="24"/>
                <w:szCs w:val="24"/>
                <w:lang w:val="en-US" w:eastAsia="zh-CN"/>
              </w:rPr>
              <w:t>400000.00</w:t>
            </w:r>
          </w:p>
        </w:tc>
      </w:tr>
      <w:tr w14:paraId="4AF59D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85" w:type="pct"/>
            <w:noWrap w:val="0"/>
            <w:vAlign w:val="top"/>
          </w:tcPr>
          <w:p w14:paraId="16C3A064">
            <w:pPr>
              <w:pStyle w:val="2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right="0"/>
              <w:jc w:val="center"/>
              <w:textAlignment w:val="auto"/>
              <w:rPr>
                <w:rFonts w:hint="default" w:ascii="宋体" w:hAnsi="宋体" w:eastAsia="Times New Roman" w:cs="宋体"/>
                <w:kern w:val="0"/>
                <w:sz w:val="24"/>
                <w:szCs w:val="24"/>
                <w:vertAlign w:val="baseline"/>
                <w:lang w:val="en-US" w:eastAsia="zh-CN" w:bidi="ar-SA"/>
              </w:rPr>
            </w:pPr>
            <w:r>
              <w:rPr>
                <w:rFonts w:hint="eastAsia" w:ascii="宋体" w:hAnsi="宋体" w:eastAsia="Times New Roman" w:cs="宋体"/>
                <w:kern w:val="0"/>
                <w:sz w:val="24"/>
                <w:szCs w:val="24"/>
                <w:vertAlign w:val="baseline"/>
                <w:lang w:val="en-US" w:eastAsia="zh-CN" w:bidi="ar-SA"/>
              </w:rPr>
              <w:t>3</w:t>
            </w:r>
          </w:p>
        </w:tc>
        <w:tc>
          <w:tcPr>
            <w:tcW w:w="2185" w:type="pct"/>
            <w:noWrap w:val="0"/>
            <w:vAlign w:val="center"/>
          </w:tcPr>
          <w:p w14:paraId="79F09D95">
            <w:pPr>
              <w:pStyle w:val="2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right="0"/>
              <w:jc w:val="center"/>
              <w:textAlignment w:val="auto"/>
              <w:rPr>
                <w:rFonts w:hint="default" w:ascii="宋体" w:hAnsi="宋体" w:eastAsia="宋体" w:cs="宋体"/>
                <w:kern w:val="0"/>
                <w:sz w:val="24"/>
                <w:szCs w:val="24"/>
                <w:vertAlign w:val="baseline"/>
                <w:lang w:val="en-US" w:eastAsia="zh-CN" w:bidi="ar-SA"/>
              </w:rPr>
            </w:pPr>
            <w:r>
              <w:rPr>
                <w:sz w:val="24"/>
                <w:szCs w:val="24"/>
              </w:rPr>
              <w:t>阴道分泌物检测仪</w:t>
            </w:r>
          </w:p>
        </w:tc>
        <w:tc>
          <w:tcPr>
            <w:tcW w:w="784" w:type="pct"/>
            <w:noWrap w:val="0"/>
            <w:vAlign w:val="center"/>
          </w:tcPr>
          <w:p w14:paraId="1FA4C389">
            <w:pPr>
              <w:pStyle w:val="2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right="0"/>
              <w:jc w:val="center"/>
              <w:textAlignment w:val="auto"/>
              <w:rPr>
                <w:rFonts w:hint="default" w:ascii="宋体" w:hAnsi="宋体" w:eastAsia="宋体" w:cs="宋体"/>
                <w:kern w:val="0"/>
                <w:sz w:val="24"/>
                <w:szCs w:val="24"/>
                <w:vertAlign w:val="baseline"/>
                <w:lang w:val="en-US" w:eastAsia="zh-CN" w:bidi="ar-SA"/>
              </w:rPr>
            </w:pPr>
            <w:r>
              <w:rPr>
                <w:rFonts w:hint="eastAsia" w:ascii="宋体" w:hAnsi="宋体" w:eastAsia="Times New Roman" w:cs="宋体"/>
                <w:kern w:val="0"/>
                <w:sz w:val="24"/>
                <w:szCs w:val="24"/>
                <w:vertAlign w:val="baseline"/>
                <w:lang w:val="en-US" w:eastAsia="zh-CN" w:bidi="ar-SA"/>
              </w:rPr>
              <w:t>台</w:t>
            </w:r>
          </w:p>
        </w:tc>
        <w:tc>
          <w:tcPr>
            <w:tcW w:w="646" w:type="pct"/>
            <w:noWrap w:val="0"/>
            <w:vAlign w:val="center"/>
          </w:tcPr>
          <w:p w14:paraId="4A0378D0">
            <w:pPr>
              <w:pStyle w:val="2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right="0"/>
              <w:jc w:val="center"/>
              <w:textAlignment w:val="auto"/>
              <w:rPr>
                <w:rFonts w:hint="default" w:ascii="宋体" w:hAnsi="宋体" w:eastAsia="宋体" w:cs="宋体"/>
                <w:kern w:val="0"/>
                <w:sz w:val="24"/>
                <w:szCs w:val="24"/>
                <w:vertAlign w:val="baseline"/>
                <w:lang w:val="en-US" w:eastAsia="zh-CN" w:bidi="ar-SA"/>
              </w:rPr>
            </w:pPr>
            <w:r>
              <w:rPr>
                <w:rFonts w:hint="eastAsia" w:ascii="宋体" w:hAnsi="宋体" w:cs="宋体"/>
                <w:kern w:val="0"/>
                <w:sz w:val="24"/>
                <w:szCs w:val="24"/>
                <w:vertAlign w:val="baseline"/>
                <w:lang w:val="en-US" w:eastAsia="zh-CN" w:bidi="ar-SA"/>
              </w:rPr>
              <w:t>1</w:t>
            </w:r>
          </w:p>
        </w:tc>
        <w:tc>
          <w:tcPr>
            <w:tcW w:w="898" w:type="pct"/>
            <w:noWrap w:val="0"/>
            <w:vAlign w:val="center"/>
          </w:tcPr>
          <w:p w14:paraId="23F0A688">
            <w:pPr>
              <w:keepNext w:val="0"/>
              <w:keepLines w:val="0"/>
              <w:widowControl/>
              <w:suppressLineNumbers w:val="0"/>
              <w:jc w:val="center"/>
              <w:textAlignment w:val="center"/>
              <w:rPr>
                <w:rFonts w:hint="default" w:ascii="宋体" w:hAnsi="宋体" w:eastAsia="宋体" w:cs="宋体"/>
                <w:b w:val="0"/>
                <w:bCs w:val="0"/>
                <w:kern w:val="0"/>
                <w:sz w:val="24"/>
                <w:szCs w:val="24"/>
                <w:vertAlign w:val="baseline"/>
                <w:lang w:val="en-US" w:eastAsia="zh-CN" w:bidi="ar-SA"/>
              </w:rPr>
            </w:pPr>
            <w:r>
              <w:rPr>
                <w:rFonts w:hint="eastAsia" w:ascii="宋体" w:hAnsi="宋体" w:cs="宋体"/>
                <w:spacing w:val="1"/>
                <w:position w:val="1"/>
                <w:sz w:val="24"/>
                <w:szCs w:val="24"/>
                <w:lang w:val="en-US" w:eastAsia="zh-CN"/>
              </w:rPr>
              <w:t>80000.00</w:t>
            </w:r>
          </w:p>
        </w:tc>
      </w:tr>
      <w:tr w14:paraId="2FA3B2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485" w:type="pct"/>
            <w:noWrap w:val="0"/>
            <w:vAlign w:val="top"/>
          </w:tcPr>
          <w:p w14:paraId="44E7B9D0">
            <w:pPr>
              <w:pStyle w:val="2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right="0"/>
              <w:jc w:val="center"/>
              <w:textAlignment w:val="auto"/>
              <w:rPr>
                <w:rFonts w:hint="default" w:ascii="宋体" w:hAnsi="宋体" w:eastAsia="Times New Roman" w:cs="宋体"/>
                <w:kern w:val="0"/>
                <w:sz w:val="24"/>
                <w:szCs w:val="24"/>
                <w:vertAlign w:val="baseline"/>
                <w:lang w:val="en-US" w:eastAsia="zh-CN" w:bidi="ar-SA"/>
              </w:rPr>
            </w:pPr>
            <w:r>
              <w:rPr>
                <w:rFonts w:hint="eastAsia" w:ascii="宋体" w:hAnsi="宋体" w:eastAsia="Times New Roman" w:cs="宋体"/>
                <w:kern w:val="0"/>
                <w:sz w:val="24"/>
                <w:szCs w:val="24"/>
                <w:vertAlign w:val="baseline"/>
                <w:lang w:val="en-US" w:eastAsia="zh-CN" w:bidi="ar-SA"/>
              </w:rPr>
              <w:t>4</w:t>
            </w:r>
          </w:p>
        </w:tc>
        <w:tc>
          <w:tcPr>
            <w:tcW w:w="2185" w:type="pct"/>
            <w:noWrap w:val="0"/>
            <w:vAlign w:val="center"/>
          </w:tcPr>
          <w:p w14:paraId="5550291B">
            <w:pPr>
              <w:pStyle w:val="2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right="0"/>
              <w:jc w:val="center"/>
              <w:textAlignment w:val="auto"/>
              <w:rPr>
                <w:rFonts w:hint="eastAsia" w:ascii="宋体" w:hAnsi="宋体" w:eastAsia="宋体" w:cs="宋体"/>
                <w:spacing w:val="7"/>
                <w:sz w:val="24"/>
                <w:szCs w:val="24"/>
              </w:rPr>
            </w:pPr>
            <w:r>
              <w:rPr>
                <w:sz w:val="24"/>
                <w:szCs w:val="24"/>
              </w:rPr>
              <w:t>心电图机</w:t>
            </w:r>
          </w:p>
        </w:tc>
        <w:tc>
          <w:tcPr>
            <w:tcW w:w="784" w:type="pct"/>
            <w:noWrap w:val="0"/>
            <w:vAlign w:val="center"/>
          </w:tcPr>
          <w:p w14:paraId="01866368">
            <w:pPr>
              <w:pStyle w:val="2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right="0"/>
              <w:jc w:val="center"/>
              <w:textAlignment w:val="auto"/>
              <w:rPr>
                <w:rFonts w:hint="eastAsia" w:ascii="宋体" w:hAnsi="宋体" w:eastAsia="Times New Roman" w:cs="宋体"/>
                <w:kern w:val="0"/>
                <w:sz w:val="24"/>
                <w:szCs w:val="24"/>
                <w:vertAlign w:val="baseline"/>
                <w:lang w:val="en-US" w:eastAsia="zh-CN" w:bidi="ar-SA"/>
              </w:rPr>
            </w:pPr>
            <w:r>
              <w:rPr>
                <w:rFonts w:hint="eastAsia" w:ascii="宋体" w:hAnsi="宋体" w:eastAsia="Times New Roman" w:cs="宋体"/>
                <w:kern w:val="0"/>
                <w:sz w:val="24"/>
                <w:szCs w:val="24"/>
                <w:vertAlign w:val="baseline"/>
                <w:lang w:val="en-US" w:eastAsia="zh-CN" w:bidi="ar-SA"/>
              </w:rPr>
              <w:t>台</w:t>
            </w:r>
          </w:p>
        </w:tc>
        <w:tc>
          <w:tcPr>
            <w:tcW w:w="646" w:type="pct"/>
            <w:noWrap w:val="0"/>
            <w:vAlign w:val="center"/>
          </w:tcPr>
          <w:p w14:paraId="504E3365">
            <w:pPr>
              <w:pStyle w:val="2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right="0"/>
              <w:jc w:val="center"/>
              <w:textAlignment w:val="auto"/>
              <w:rPr>
                <w:rFonts w:hint="default" w:ascii="宋体" w:hAnsi="宋体" w:cs="宋体"/>
                <w:kern w:val="0"/>
                <w:sz w:val="24"/>
                <w:szCs w:val="24"/>
                <w:vertAlign w:val="baseline"/>
                <w:lang w:val="en-US" w:eastAsia="zh-CN" w:bidi="ar-SA"/>
              </w:rPr>
            </w:pPr>
            <w:r>
              <w:rPr>
                <w:rFonts w:hint="eastAsia" w:ascii="宋体" w:hAnsi="宋体" w:cs="宋体"/>
                <w:kern w:val="0"/>
                <w:sz w:val="24"/>
                <w:szCs w:val="24"/>
                <w:vertAlign w:val="baseline"/>
                <w:lang w:val="en-US" w:eastAsia="zh-CN" w:bidi="ar-SA"/>
              </w:rPr>
              <w:t>2</w:t>
            </w:r>
          </w:p>
        </w:tc>
        <w:tc>
          <w:tcPr>
            <w:tcW w:w="898" w:type="pct"/>
            <w:noWrap w:val="0"/>
            <w:vAlign w:val="center"/>
          </w:tcPr>
          <w:p w14:paraId="23AD53F7">
            <w:pPr>
              <w:keepNext w:val="0"/>
              <w:keepLines w:val="0"/>
              <w:widowControl/>
              <w:suppressLineNumbers w:val="0"/>
              <w:jc w:val="center"/>
              <w:textAlignment w:val="center"/>
              <w:rPr>
                <w:rFonts w:hint="default" w:ascii="宋体" w:hAnsi="宋体" w:eastAsia="宋体" w:cs="宋体"/>
                <w:spacing w:val="1"/>
                <w:position w:val="1"/>
                <w:sz w:val="24"/>
                <w:szCs w:val="24"/>
                <w:lang w:val="en-US"/>
              </w:rPr>
            </w:pPr>
            <w:r>
              <w:rPr>
                <w:rFonts w:hint="eastAsia" w:ascii="宋体" w:hAnsi="宋体" w:cs="宋体"/>
                <w:sz w:val="24"/>
                <w:szCs w:val="24"/>
                <w:vertAlign w:val="baseline"/>
                <w:lang w:val="en-US" w:eastAsia="zh-CN"/>
              </w:rPr>
              <w:t>29000.00</w:t>
            </w:r>
          </w:p>
        </w:tc>
      </w:tr>
      <w:tr w14:paraId="0B8E66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85" w:type="pct"/>
            <w:noWrap w:val="0"/>
            <w:vAlign w:val="top"/>
          </w:tcPr>
          <w:p w14:paraId="3DB3E501">
            <w:pPr>
              <w:pStyle w:val="2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right="0"/>
              <w:jc w:val="center"/>
              <w:textAlignment w:val="auto"/>
              <w:rPr>
                <w:rFonts w:hint="default" w:ascii="宋体" w:hAnsi="宋体" w:eastAsia="Times New Roman" w:cs="宋体"/>
                <w:kern w:val="0"/>
                <w:sz w:val="24"/>
                <w:szCs w:val="24"/>
                <w:vertAlign w:val="baseline"/>
                <w:lang w:val="en-US" w:eastAsia="zh-CN" w:bidi="ar-SA"/>
              </w:rPr>
            </w:pPr>
            <w:r>
              <w:rPr>
                <w:rFonts w:hint="eastAsia" w:ascii="宋体" w:hAnsi="宋体" w:eastAsia="Times New Roman" w:cs="宋体"/>
                <w:kern w:val="0"/>
                <w:sz w:val="24"/>
                <w:szCs w:val="24"/>
                <w:vertAlign w:val="baseline"/>
                <w:lang w:val="en-US" w:eastAsia="zh-CN" w:bidi="ar-SA"/>
              </w:rPr>
              <w:t>5</w:t>
            </w:r>
          </w:p>
        </w:tc>
        <w:tc>
          <w:tcPr>
            <w:tcW w:w="2185" w:type="pct"/>
            <w:noWrap w:val="0"/>
            <w:vAlign w:val="center"/>
          </w:tcPr>
          <w:p w14:paraId="763961F7">
            <w:pPr>
              <w:pStyle w:val="2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right="0"/>
              <w:jc w:val="center"/>
              <w:textAlignment w:val="auto"/>
              <w:rPr>
                <w:rFonts w:hint="eastAsia" w:ascii="宋体" w:hAnsi="宋体" w:eastAsia="宋体" w:cs="宋体"/>
                <w:spacing w:val="4"/>
                <w:sz w:val="24"/>
                <w:szCs w:val="24"/>
              </w:rPr>
            </w:pPr>
            <w:r>
              <w:rPr>
                <w:sz w:val="24"/>
                <w:szCs w:val="24"/>
              </w:rPr>
              <w:t>麻醉医生工作台</w:t>
            </w:r>
          </w:p>
        </w:tc>
        <w:tc>
          <w:tcPr>
            <w:tcW w:w="784" w:type="pct"/>
            <w:noWrap w:val="0"/>
            <w:vAlign w:val="center"/>
          </w:tcPr>
          <w:p w14:paraId="5D1C773B">
            <w:pPr>
              <w:pStyle w:val="2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right="0"/>
              <w:jc w:val="center"/>
              <w:textAlignment w:val="auto"/>
              <w:rPr>
                <w:rFonts w:hint="default" w:ascii="宋体" w:hAnsi="宋体" w:eastAsia="Times New Roman" w:cs="宋体"/>
                <w:kern w:val="0"/>
                <w:sz w:val="24"/>
                <w:szCs w:val="24"/>
                <w:vertAlign w:val="baseline"/>
                <w:lang w:val="en-US" w:eastAsia="zh-CN" w:bidi="ar-SA"/>
              </w:rPr>
            </w:pPr>
            <w:r>
              <w:rPr>
                <w:rFonts w:hint="eastAsia" w:ascii="宋体" w:hAnsi="宋体" w:eastAsia="Times New Roman" w:cs="宋体"/>
                <w:kern w:val="0"/>
                <w:sz w:val="24"/>
                <w:szCs w:val="24"/>
                <w:vertAlign w:val="baseline"/>
                <w:lang w:val="en-US" w:eastAsia="zh-CN" w:bidi="ar-SA"/>
              </w:rPr>
              <w:t>张</w:t>
            </w:r>
          </w:p>
        </w:tc>
        <w:tc>
          <w:tcPr>
            <w:tcW w:w="646" w:type="pct"/>
            <w:noWrap w:val="0"/>
            <w:vAlign w:val="center"/>
          </w:tcPr>
          <w:p w14:paraId="18420EAA">
            <w:pPr>
              <w:pStyle w:val="2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right="0"/>
              <w:jc w:val="center"/>
              <w:textAlignment w:val="auto"/>
              <w:rPr>
                <w:rFonts w:hint="default" w:ascii="宋体" w:hAnsi="宋体" w:cs="宋体"/>
                <w:kern w:val="0"/>
                <w:sz w:val="24"/>
                <w:szCs w:val="24"/>
                <w:vertAlign w:val="baseline"/>
                <w:lang w:val="en-US" w:eastAsia="zh-CN" w:bidi="ar-SA"/>
              </w:rPr>
            </w:pPr>
            <w:r>
              <w:rPr>
                <w:rFonts w:hint="eastAsia" w:ascii="宋体" w:hAnsi="宋体" w:cs="宋体"/>
                <w:kern w:val="0"/>
                <w:sz w:val="24"/>
                <w:szCs w:val="24"/>
                <w:vertAlign w:val="baseline"/>
                <w:lang w:val="en-US" w:eastAsia="zh-CN" w:bidi="ar-SA"/>
              </w:rPr>
              <w:t>2</w:t>
            </w:r>
          </w:p>
        </w:tc>
        <w:tc>
          <w:tcPr>
            <w:tcW w:w="898" w:type="pct"/>
            <w:noWrap w:val="0"/>
            <w:vAlign w:val="center"/>
          </w:tcPr>
          <w:p w14:paraId="1ECDE859">
            <w:pPr>
              <w:keepNext w:val="0"/>
              <w:keepLines w:val="0"/>
              <w:widowControl/>
              <w:suppressLineNumbers w:val="0"/>
              <w:jc w:val="center"/>
              <w:textAlignment w:val="center"/>
              <w:rPr>
                <w:rFonts w:hint="default" w:ascii="宋体" w:hAnsi="宋体" w:eastAsia="宋体" w:cs="宋体"/>
                <w:sz w:val="24"/>
                <w:szCs w:val="24"/>
                <w:vertAlign w:val="baseline"/>
                <w:lang w:val="en-US" w:eastAsia="zh-CN"/>
              </w:rPr>
            </w:pPr>
            <w:r>
              <w:rPr>
                <w:rFonts w:hint="eastAsia" w:ascii="宋体" w:hAnsi="宋体" w:cs="宋体"/>
                <w:spacing w:val="2"/>
                <w:position w:val="1"/>
                <w:sz w:val="24"/>
                <w:szCs w:val="24"/>
                <w:lang w:val="en-US" w:eastAsia="zh-CN"/>
              </w:rPr>
              <w:t>3200.00</w:t>
            </w:r>
          </w:p>
        </w:tc>
      </w:tr>
      <w:tr w14:paraId="093056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85" w:type="pct"/>
            <w:noWrap w:val="0"/>
            <w:vAlign w:val="top"/>
          </w:tcPr>
          <w:p w14:paraId="35763067">
            <w:pPr>
              <w:pStyle w:val="2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right="0"/>
              <w:jc w:val="center"/>
              <w:textAlignment w:val="auto"/>
              <w:rPr>
                <w:rFonts w:hint="default" w:ascii="宋体" w:hAnsi="宋体" w:eastAsia="Times New Roman" w:cs="宋体"/>
                <w:kern w:val="0"/>
                <w:sz w:val="24"/>
                <w:szCs w:val="24"/>
                <w:vertAlign w:val="baseline"/>
                <w:lang w:val="en-US" w:eastAsia="zh-CN" w:bidi="ar-SA"/>
              </w:rPr>
            </w:pPr>
            <w:r>
              <w:rPr>
                <w:rFonts w:hint="eastAsia" w:ascii="宋体" w:hAnsi="宋体" w:eastAsia="Times New Roman" w:cs="宋体"/>
                <w:kern w:val="0"/>
                <w:sz w:val="24"/>
                <w:szCs w:val="24"/>
                <w:vertAlign w:val="baseline"/>
                <w:lang w:val="en-US" w:eastAsia="zh-CN" w:bidi="ar-SA"/>
              </w:rPr>
              <w:t>6</w:t>
            </w:r>
          </w:p>
        </w:tc>
        <w:tc>
          <w:tcPr>
            <w:tcW w:w="2185" w:type="pct"/>
            <w:noWrap w:val="0"/>
            <w:vAlign w:val="center"/>
          </w:tcPr>
          <w:p w14:paraId="62438118">
            <w:pPr>
              <w:pStyle w:val="2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right="0"/>
              <w:jc w:val="center"/>
              <w:textAlignment w:val="auto"/>
              <w:rPr>
                <w:rFonts w:hint="eastAsia" w:ascii="宋体" w:hAnsi="宋体" w:eastAsia="宋体" w:cs="宋体"/>
                <w:spacing w:val="4"/>
                <w:sz w:val="24"/>
                <w:szCs w:val="24"/>
              </w:rPr>
            </w:pPr>
            <w:r>
              <w:rPr>
                <w:sz w:val="24"/>
                <w:szCs w:val="24"/>
              </w:rPr>
              <w:t>骨科四肢清创台</w:t>
            </w:r>
          </w:p>
        </w:tc>
        <w:tc>
          <w:tcPr>
            <w:tcW w:w="784" w:type="pct"/>
            <w:noWrap w:val="0"/>
            <w:vAlign w:val="center"/>
          </w:tcPr>
          <w:p w14:paraId="1A90FBFC">
            <w:pPr>
              <w:pStyle w:val="2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right="0"/>
              <w:jc w:val="center"/>
              <w:textAlignment w:val="auto"/>
              <w:rPr>
                <w:rFonts w:hint="default" w:ascii="宋体" w:hAnsi="宋体" w:eastAsia="Times New Roman" w:cs="宋体"/>
                <w:kern w:val="0"/>
                <w:sz w:val="24"/>
                <w:szCs w:val="24"/>
                <w:vertAlign w:val="baseline"/>
                <w:lang w:val="en-US" w:eastAsia="zh-CN" w:bidi="ar-SA"/>
              </w:rPr>
            </w:pPr>
            <w:r>
              <w:rPr>
                <w:rFonts w:hint="eastAsia" w:ascii="宋体" w:hAnsi="宋体" w:eastAsia="Times New Roman" w:cs="宋体"/>
                <w:kern w:val="0"/>
                <w:sz w:val="24"/>
                <w:szCs w:val="24"/>
                <w:vertAlign w:val="baseline"/>
                <w:lang w:val="en-US" w:eastAsia="zh-CN" w:bidi="ar-SA"/>
              </w:rPr>
              <w:t>张</w:t>
            </w:r>
          </w:p>
        </w:tc>
        <w:tc>
          <w:tcPr>
            <w:tcW w:w="646" w:type="pct"/>
            <w:noWrap w:val="0"/>
            <w:vAlign w:val="center"/>
          </w:tcPr>
          <w:p w14:paraId="67B59BA1">
            <w:pPr>
              <w:pStyle w:val="2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right="0"/>
              <w:jc w:val="center"/>
              <w:textAlignment w:val="auto"/>
              <w:rPr>
                <w:rFonts w:hint="default" w:ascii="宋体" w:hAnsi="宋体" w:cs="宋体"/>
                <w:kern w:val="0"/>
                <w:sz w:val="24"/>
                <w:szCs w:val="24"/>
                <w:vertAlign w:val="baseline"/>
                <w:lang w:val="en-US" w:eastAsia="zh-CN" w:bidi="ar-SA"/>
              </w:rPr>
            </w:pPr>
            <w:r>
              <w:rPr>
                <w:rFonts w:hint="eastAsia" w:ascii="宋体" w:hAnsi="宋体" w:cs="宋体"/>
                <w:kern w:val="0"/>
                <w:sz w:val="24"/>
                <w:szCs w:val="24"/>
                <w:vertAlign w:val="baseline"/>
                <w:lang w:val="en-US" w:eastAsia="zh-CN" w:bidi="ar-SA"/>
              </w:rPr>
              <w:t>1</w:t>
            </w:r>
          </w:p>
        </w:tc>
        <w:tc>
          <w:tcPr>
            <w:tcW w:w="898" w:type="pct"/>
            <w:noWrap w:val="0"/>
            <w:vAlign w:val="center"/>
          </w:tcPr>
          <w:p w14:paraId="5CFB2A6A">
            <w:pPr>
              <w:keepNext w:val="0"/>
              <w:keepLines w:val="0"/>
              <w:widowControl/>
              <w:suppressLineNumbers w:val="0"/>
              <w:jc w:val="center"/>
              <w:textAlignment w:val="center"/>
              <w:rPr>
                <w:rFonts w:hint="eastAsia" w:ascii="宋体" w:hAnsi="宋体" w:eastAsia="宋体" w:cs="宋体"/>
                <w:spacing w:val="2"/>
                <w:position w:val="1"/>
                <w:sz w:val="24"/>
                <w:szCs w:val="24"/>
              </w:rPr>
            </w:pPr>
            <w:r>
              <w:rPr>
                <w:rFonts w:hint="eastAsia" w:ascii="宋体" w:hAnsi="宋体" w:cs="宋体"/>
                <w:spacing w:val="3"/>
                <w:position w:val="1"/>
                <w:sz w:val="24"/>
                <w:szCs w:val="24"/>
                <w:lang w:val="en-US" w:eastAsia="zh-CN"/>
              </w:rPr>
              <w:t>4300</w:t>
            </w:r>
            <w:r>
              <w:rPr>
                <w:rFonts w:hint="eastAsia" w:ascii="宋体" w:hAnsi="宋体" w:eastAsia="宋体" w:cs="宋体"/>
                <w:spacing w:val="3"/>
                <w:position w:val="1"/>
                <w:sz w:val="24"/>
                <w:szCs w:val="24"/>
              </w:rPr>
              <w:t>.0</w:t>
            </w:r>
            <w:r>
              <w:rPr>
                <w:rFonts w:hint="eastAsia" w:ascii="宋体" w:hAnsi="宋体" w:eastAsia="宋体" w:cs="宋体"/>
                <w:spacing w:val="3"/>
                <w:position w:val="1"/>
                <w:sz w:val="24"/>
                <w:szCs w:val="24"/>
                <w:lang w:val="en-US" w:eastAsia="zh-CN"/>
              </w:rPr>
              <w:t>0</w:t>
            </w:r>
          </w:p>
        </w:tc>
      </w:tr>
      <w:tr w14:paraId="39F7A6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85" w:type="pct"/>
            <w:noWrap w:val="0"/>
            <w:vAlign w:val="top"/>
          </w:tcPr>
          <w:p w14:paraId="7A2642C7">
            <w:pPr>
              <w:pStyle w:val="2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right="0"/>
              <w:jc w:val="center"/>
              <w:textAlignment w:val="auto"/>
              <w:rPr>
                <w:rFonts w:hint="default" w:ascii="宋体" w:hAnsi="宋体" w:eastAsia="Times New Roman" w:cs="宋体"/>
                <w:kern w:val="0"/>
                <w:sz w:val="24"/>
                <w:szCs w:val="24"/>
                <w:vertAlign w:val="baseline"/>
                <w:lang w:val="en-US" w:eastAsia="zh-CN" w:bidi="ar-SA"/>
              </w:rPr>
            </w:pPr>
            <w:r>
              <w:rPr>
                <w:rFonts w:hint="eastAsia" w:ascii="宋体" w:hAnsi="宋体" w:eastAsia="Times New Roman" w:cs="宋体"/>
                <w:kern w:val="0"/>
                <w:sz w:val="24"/>
                <w:szCs w:val="24"/>
                <w:vertAlign w:val="baseline"/>
                <w:lang w:val="en-US" w:eastAsia="zh-CN" w:bidi="ar-SA"/>
              </w:rPr>
              <w:t>7</w:t>
            </w:r>
          </w:p>
        </w:tc>
        <w:tc>
          <w:tcPr>
            <w:tcW w:w="2185" w:type="pct"/>
            <w:noWrap w:val="0"/>
            <w:vAlign w:val="center"/>
          </w:tcPr>
          <w:p w14:paraId="0A360D7F">
            <w:pPr>
              <w:pStyle w:val="2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right="0"/>
              <w:jc w:val="center"/>
              <w:textAlignment w:val="auto"/>
              <w:rPr>
                <w:rFonts w:hint="eastAsia" w:ascii="宋体" w:hAnsi="宋体" w:eastAsia="宋体" w:cs="宋体"/>
                <w:spacing w:val="7"/>
                <w:sz w:val="24"/>
                <w:szCs w:val="24"/>
              </w:rPr>
            </w:pPr>
            <w:r>
              <w:rPr>
                <w:sz w:val="24"/>
                <w:szCs w:val="24"/>
              </w:rPr>
              <w:t>输血保温箱</w:t>
            </w:r>
          </w:p>
        </w:tc>
        <w:tc>
          <w:tcPr>
            <w:tcW w:w="784" w:type="pct"/>
            <w:noWrap w:val="0"/>
            <w:vAlign w:val="center"/>
          </w:tcPr>
          <w:p w14:paraId="5F8D0D26">
            <w:pPr>
              <w:pStyle w:val="2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right="0"/>
              <w:jc w:val="center"/>
              <w:textAlignment w:val="auto"/>
              <w:rPr>
                <w:rFonts w:hint="eastAsia" w:ascii="宋体" w:hAnsi="宋体" w:eastAsia="Times New Roman" w:cs="宋体"/>
                <w:kern w:val="0"/>
                <w:sz w:val="24"/>
                <w:szCs w:val="24"/>
                <w:vertAlign w:val="baseline"/>
                <w:lang w:val="en-US" w:eastAsia="zh-CN" w:bidi="ar-SA"/>
              </w:rPr>
            </w:pPr>
            <w:r>
              <w:rPr>
                <w:rFonts w:hint="eastAsia" w:ascii="宋体" w:hAnsi="宋体" w:eastAsia="Times New Roman" w:cs="宋体"/>
                <w:kern w:val="0"/>
                <w:sz w:val="24"/>
                <w:szCs w:val="24"/>
                <w:vertAlign w:val="baseline"/>
                <w:lang w:val="en-US" w:eastAsia="zh-CN" w:bidi="ar-SA"/>
              </w:rPr>
              <w:t>1</w:t>
            </w:r>
          </w:p>
        </w:tc>
        <w:tc>
          <w:tcPr>
            <w:tcW w:w="646" w:type="pct"/>
            <w:noWrap w:val="0"/>
            <w:vAlign w:val="center"/>
          </w:tcPr>
          <w:p w14:paraId="0D1F3B05">
            <w:pPr>
              <w:pStyle w:val="2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right="0"/>
              <w:jc w:val="center"/>
              <w:textAlignment w:val="auto"/>
              <w:rPr>
                <w:rFonts w:hint="default" w:ascii="宋体" w:hAnsi="宋体" w:cs="宋体"/>
                <w:kern w:val="0"/>
                <w:sz w:val="24"/>
                <w:szCs w:val="24"/>
                <w:vertAlign w:val="baseline"/>
                <w:lang w:val="en-US" w:eastAsia="zh-CN" w:bidi="ar-SA"/>
              </w:rPr>
            </w:pPr>
            <w:r>
              <w:rPr>
                <w:rFonts w:hint="eastAsia" w:ascii="宋体" w:hAnsi="宋体" w:cs="宋体"/>
                <w:kern w:val="0"/>
                <w:sz w:val="24"/>
                <w:szCs w:val="24"/>
                <w:vertAlign w:val="baseline"/>
                <w:lang w:val="en-US" w:eastAsia="zh-CN" w:bidi="ar-SA"/>
              </w:rPr>
              <w:t>1</w:t>
            </w:r>
          </w:p>
        </w:tc>
        <w:tc>
          <w:tcPr>
            <w:tcW w:w="898" w:type="pct"/>
            <w:noWrap w:val="0"/>
            <w:vAlign w:val="center"/>
          </w:tcPr>
          <w:p w14:paraId="2FA40CDF">
            <w:pPr>
              <w:keepNext w:val="0"/>
              <w:keepLines w:val="0"/>
              <w:widowControl/>
              <w:suppressLineNumbers w:val="0"/>
              <w:jc w:val="center"/>
              <w:textAlignment w:val="center"/>
              <w:rPr>
                <w:rFonts w:hint="eastAsia" w:ascii="宋体" w:hAnsi="宋体" w:eastAsia="宋体" w:cs="宋体"/>
                <w:spacing w:val="3"/>
                <w:position w:val="1"/>
                <w:sz w:val="24"/>
                <w:szCs w:val="24"/>
              </w:rPr>
            </w:pPr>
            <w:r>
              <w:rPr>
                <w:rFonts w:hint="eastAsia" w:ascii="宋体" w:hAnsi="宋体" w:cs="宋体"/>
                <w:spacing w:val="1"/>
                <w:sz w:val="24"/>
                <w:szCs w:val="24"/>
                <w:lang w:val="en-US" w:eastAsia="zh-CN"/>
              </w:rPr>
              <w:t>1880</w:t>
            </w:r>
            <w:r>
              <w:rPr>
                <w:rFonts w:hint="eastAsia" w:ascii="宋体" w:hAnsi="宋体" w:eastAsia="宋体" w:cs="宋体"/>
                <w:spacing w:val="1"/>
                <w:sz w:val="24"/>
                <w:szCs w:val="24"/>
                <w:lang w:val="en-US" w:eastAsia="zh-CN"/>
              </w:rPr>
              <w:t>.0</w:t>
            </w:r>
            <w:r>
              <w:rPr>
                <w:rFonts w:hint="eastAsia" w:ascii="宋体" w:hAnsi="宋体" w:cs="宋体"/>
                <w:spacing w:val="1"/>
                <w:sz w:val="24"/>
                <w:szCs w:val="24"/>
                <w:lang w:val="en-US" w:eastAsia="zh-CN"/>
              </w:rPr>
              <w:t>0</w:t>
            </w:r>
          </w:p>
        </w:tc>
      </w:tr>
    </w:tbl>
    <w:p w14:paraId="74BF3E81">
      <w:pPr>
        <w:keepNext w:val="0"/>
        <w:keepLines w:val="0"/>
        <w:pageBreakBefore w:val="0"/>
        <w:widowControl w:val="0"/>
        <w:suppressLineNumbers w:val="0"/>
        <w:kinsoku/>
        <w:wordWrap/>
        <w:overflowPunct/>
        <w:topLinePunct w:val="0"/>
        <w:autoSpaceDE/>
        <w:autoSpaceDN/>
        <w:bidi w:val="0"/>
        <w:adjustRightInd/>
        <w:snapToGrid/>
        <w:spacing w:beforeAutospacing="0" w:afterAutospacing="0" w:line="360" w:lineRule="auto"/>
        <w:ind w:left="0" w:right="0" w:firstLine="480" w:firstLineChars="200"/>
        <w:jc w:val="both"/>
        <w:textAlignment w:val="auto"/>
        <w:rPr>
          <w:rFonts w:hint="eastAsia" w:ascii="宋体" w:hAnsi="宋体" w:eastAsia="宋体" w:cs="宋体"/>
          <w:i w:val="0"/>
          <w:iCs w:val="0"/>
          <w:color w:val="auto"/>
          <w:sz w:val="24"/>
          <w:szCs w:val="24"/>
          <w:highlight w:val="none"/>
          <w:u w:val="single"/>
          <w:lang w:val="en-US"/>
        </w:rPr>
      </w:pPr>
      <w:r>
        <w:rPr>
          <w:rFonts w:hint="eastAsia" w:ascii="宋体" w:hAnsi="宋体" w:eastAsia="宋体" w:cs="宋体"/>
          <w:i w:val="0"/>
          <w:iCs w:val="0"/>
          <w:color w:val="auto"/>
          <w:kern w:val="2"/>
          <w:sz w:val="24"/>
          <w:szCs w:val="24"/>
          <w:highlight w:val="none"/>
          <w:lang w:val="en-US" w:eastAsia="zh-CN" w:bidi="ar"/>
        </w:rPr>
        <w:t>合同履行期限：</w:t>
      </w:r>
      <w:r>
        <w:rPr>
          <w:rFonts w:hint="eastAsia" w:ascii="宋体" w:hAnsi="宋体" w:cs="宋体"/>
          <w:color w:val="auto"/>
          <w:kern w:val="2"/>
          <w:sz w:val="24"/>
          <w:szCs w:val="24"/>
          <w:highlight w:val="none"/>
          <w:lang w:val="en-US" w:eastAsia="zh-CN" w:bidi="ar"/>
        </w:rPr>
        <w:t>自合同签订之日起至质保期满止。</w:t>
      </w:r>
    </w:p>
    <w:p w14:paraId="0178D605">
      <w:pPr>
        <w:keepNext w:val="0"/>
        <w:keepLines w:val="0"/>
        <w:pageBreakBefore w:val="0"/>
        <w:widowControl w:val="0"/>
        <w:suppressLineNumbers w:val="0"/>
        <w:kinsoku/>
        <w:wordWrap/>
        <w:overflowPunct/>
        <w:topLinePunct w:val="0"/>
        <w:autoSpaceDE/>
        <w:autoSpaceDN/>
        <w:bidi w:val="0"/>
        <w:adjustRightInd/>
        <w:snapToGrid/>
        <w:spacing w:beforeAutospacing="0" w:afterAutospacing="0" w:line="360" w:lineRule="auto"/>
        <w:ind w:left="0" w:right="0" w:firstLine="480" w:firstLineChars="200"/>
        <w:jc w:val="both"/>
        <w:textAlignment w:val="auto"/>
        <w:rPr>
          <w:rFonts w:hint="eastAsia" w:ascii="宋体" w:hAnsi="宋体" w:eastAsia="宋体" w:cs="宋体"/>
          <w:i w:val="0"/>
          <w:iCs w:val="0"/>
          <w:color w:val="auto"/>
          <w:kern w:val="2"/>
          <w:sz w:val="24"/>
          <w:szCs w:val="24"/>
          <w:highlight w:val="none"/>
          <w:lang w:val="en-US" w:eastAsia="zh-CN" w:bidi="ar"/>
        </w:rPr>
      </w:pPr>
      <w:r>
        <w:rPr>
          <w:rFonts w:hint="eastAsia" w:ascii="宋体" w:hAnsi="宋体"/>
          <w:kern w:val="2"/>
          <w:sz w:val="24"/>
          <w:szCs w:val="24"/>
          <w:highlight w:val="none"/>
        </w:rPr>
        <w:t>质保期：</w:t>
      </w:r>
      <w:r>
        <w:rPr>
          <w:rFonts w:hint="eastAsia" w:ascii="宋体" w:hAnsi="宋体" w:cs="宋体"/>
          <w:kern w:val="2"/>
          <w:sz w:val="24"/>
          <w:szCs w:val="24"/>
          <w:highlight w:val="none"/>
          <w:lang w:val="en-US" w:eastAsia="zh-CN"/>
        </w:rPr>
        <w:t>原厂5年质保</w:t>
      </w:r>
    </w:p>
    <w:p w14:paraId="0C93220A">
      <w:pPr>
        <w:keepNext w:val="0"/>
        <w:keepLines w:val="0"/>
        <w:pageBreakBefore w:val="0"/>
        <w:widowControl w:val="0"/>
        <w:suppressLineNumbers w:val="0"/>
        <w:kinsoku/>
        <w:wordWrap/>
        <w:overflowPunct/>
        <w:topLinePunct w:val="0"/>
        <w:autoSpaceDE/>
        <w:autoSpaceDN/>
        <w:bidi w:val="0"/>
        <w:adjustRightInd/>
        <w:snapToGrid/>
        <w:spacing w:beforeAutospacing="0" w:afterAutospacing="0" w:line="360" w:lineRule="auto"/>
        <w:ind w:left="0" w:right="0" w:firstLine="480" w:firstLineChars="200"/>
        <w:jc w:val="both"/>
        <w:textAlignment w:val="auto"/>
        <w:rPr>
          <w:rFonts w:hint="default" w:ascii="宋体" w:hAnsi="宋体" w:eastAsia="宋体" w:cs="宋体"/>
          <w:i w:val="0"/>
          <w:iCs w:val="0"/>
          <w:color w:val="auto"/>
          <w:kern w:val="2"/>
          <w:sz w:val="24"/>
          <w:szCs w:val="24"/>
          <w:highlight w:val="none"/>
          <w:lang w:val="en-US" w:eastAsia="zh-CN" w:bidi="ar"/>
        </w:rPr>
      </w:pPr>
      <w:r>
        <w:rPr>
          <w:rFonts w:hint="eastAsia" w:ascii="宋体" w:hAnsi="宋体" w:eastAsia="宋体" w:cs="宋体"/>
          <w:i w:val="0"/>
          <w:iCs w:val="0"/>
          <w:color w:val="auto"/>
          <w:kern w:val="2"/>
          <w:sz w:val="24"/>
          <w:szCs w:val="24"/>
          <w:highlight w:val="none"/>
          <w:lang w:val="en-US" w:eastAsia="zh-CN" w:bidi="ar"/>
        </w:rPr>
        <w:t>交货地点：香格里拉市人民医院</w:t>
      </w:r>
    </w:p>
    <w:p w14:paraId="26805DC8">
      <w:pPr>
        <w:pStyle w:val="2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auto"/>
        <w:kinsoku/>
        <w:wordWrap/>
        <w:overflowPunct/>
        <w:topLinePunct w:val="0"/>
        <w:autoSpaceDE/>
        <w:autoSpaceDN/>
        <w:bidi w:val="0"/>
        <w:adjustRightInd/>
        <w:snapToGrid/>
        <w:spacing w:before="0" w:beforeAutospacing="0" w:after="0" w:afterAutospacing="0" w:line="540" w:lineRule="exact"/>
        <w:ind w:left="0" w:right="0" w:firstLine="482" w:firstLineChars="200"/>
        <w:jc w:val="left"/>
        <w:textAlignment w:val="auto"/>
        <w:rPr>
          <w:rFonts w:hint="eastAsia" w:ascii="宋体" w:hAnsi="宋体" w:eastAsia="宋体" w:cs="宋体"/>
          <w:b/>
          <w:bCs/>
          <w:i w:val="0"/>
          <w:iCs w:val="0"/>
          <w:caps w:val="0"/>
          <w:color w:val="333333"/>
          <w:spacing w:val="0"/>
          <w:sz w:val="24"/>
          <w:szCs w:val="24"/>
        </w:rPr>
      </w:pPr>
      <w:r>
        <w:rPr>
          <w:rFonts w:hint="eastAsia" w:ascii="宋体" w:hAnsi="宋体" w:eastAsia="宋体" w:cs="宋体"/>
          <w:b/>
          <w:bCs/>
          <w:i w:val="0"/>
          <w:iCs w:val="0"/>
          <w:caps w:val="0"/>
          <w:color w:val="333333"/>
          <w:spacing w:val="0"/>
          <w:sz w:val="24"/>
          <w:szCs w:val="24"/>
          <w:shd w:val="clear" w:color="auto" w:fill="FFFFFF"/>
        </w:rPr>
        <w:t>二</w:t>
      </w:r>
      <w:r>
        <w:rPr>
          <w:rFonts w:hint="eastAsia" w:ascii="宋体" w:hAnsi="宋体" w:cs="宋体"/>
          <w:b/>
          <w:bCs/>
          <w:i w:val="0"/>
          <w:iCs w:val="0"/>
          <w:caps w:val="0"/>
          <w:color w:val="333333"/>
          <w:spacing w:val="0"/>
          <w:sz w:val="24"/>
          <w:szCs w:val="24"/>
          <w:shd w:val="clear" w:color="auto" w:fill="FFFFFF"/>
          <w:lang w:eastAsia="zh-CN"/>
        </w:rPr>
        <w:t>、</w:t>
      </w:r>
      <w:r>
        <w:rPr>
          <w:rFonts w:hint="eastAsia" w:ascii="宋体" w:hAnsi="宋体" w:eastAsia="宋体" w:cs="宋体"/>
          <w:b/>
          <w:bCs/>
          <w:i w:val="0"/>
          <w:iCs w:val="0"/>
          <w:caps w:val="0"/>
          <w:color w:val="333333"/>
          <w:spacing w:val="0"/>
          <w:sz w:val="24"/>
          <w:szCs w:val="24"/>
          <w:shd w:val="clear" w:color="auto" w:fill="FFFFFF"/>
        </w:rPr>
        <w:t>采购标的需执行的国家相关标准、行业标准、地方标准或者其他标准、规范</w:t>
      </w:r>
      <w:r>
        <w:rPr>
          <w:rFonts w:hint="eastAsia" w:ascii="宋体" w:hAnsi="宋体" w:eastAsia="宋体" w:cs="宋体"/>
          <w:b/>
          <w:bCs/>
          <w:i w:val="0"/>
          <w:iCs w:val="0"/>
          <w:caps w:val="0"/>
          <w:color w:val="333333"/>
          <w:spacing w:val="0"/>
          <w:sz w:val="24"/>
          <w:szCs w:val="24"/>
          <w:shd w:val="clear" w:color="auto" w:fill="FFFFFF"/>
          <w:lang w:eastAsia="zh-CN"/>
        </w:rPr>
        <w:t>：</w:t>
      </w:r>
    </w:p>
    <w:p w14:paraId="68ED133F">
      <w:pPr>
        <w:pStyle w:val="2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auto"/>
        <w:kinsoku/>
        <w:wordWrap/>
        <w:overflowPunct/>
        <w:topLinePunct w:val="0"/>
        <w:autoSpaceDE/>
        <w:autoSpaceDN/>
        <w:bidi w:val="0"/>
        <w:adjustRightInd/>
        <w:snapToGrid/>
        <w:spacing w:before="0" w:beforeAutospacing="0" w:after="0" w:afterAutospacing="0" w:line="540" w:lineRule="exact"/>
        <w:ind w:left="0" w:right="0" w:firstLine="480" w:firstLineChars="200"/>
        <w:jc w:val="left"/>
        <w:textAlignment w:val="auto"/>
        <w:rPr>
          <w:rFonts w:hint="eastAsia" w:ascii="宋体" w:hAnsi="宋体" w:eastAsia="宋体" w:cs="宋体"/>
          <w:b w:val="0"/>
          <w:bCs w:val="0"/>
          <w:i w:val="0"/>
          <w:iCs w:val="0"/>
          <w:caps w:val="0"/>
          <w:color w:val="333333"/>
          <w:spacing w:val="0"/>
          <w:sz w:val="24"/>
          <w:szCs w:val="24"/>
          <w:shd w:val="clear" w:color="auto" w:fill="FFFFFF"/>
          <w:lang w:val="en-US" w:eastAsia="zh-CN"/>
        </w:rPr>
      </w:pPr>
      <w:r>
        <w:rPr>
          <w:rFonts w:hint="eastAsia" w:ascii="宋体" w:hAnsi="宋体" w:eastAsia="宋体" w:cs="宋体"/>
          <w:color w:val="auto"/>
          <w:sz w:val="24"/>
        </w:rPr>
        <w:t>依据《中华人民共和国政府采购法》、中华人民共和国财政部令第87号《政府采购货物和服务招标投标管理办法》、财库〔2019〕38号《财政部关于促进政府采购公平竞争优化营商环境的通知》等相关法律法规，根据</w:t>
      </w:r>
      <w:r>
        <w:rPr>
          <w:rFonts w:hint="eastAsia" w:ascii="宋体" w:hAnsi="宋体"/>
          <w:bCs/>
          <w:color w:val="auto"/>
          <w:kern w:val="2"/>
          <w:sz w:val="24"/>
          <w:szCs w:val="20"/>
          <w:highlight w:val="none"/>
          <w:lang w:eastAsia="zh-CN"/>
        </w:rPr>
        <w:t>香格里拉市人民医院</w:t>
      </w:r>
      <w:r>
        <w:rPr>
          <w:rFonts w:hint="eastAsia" w:ascii="宋体" w:hAnsi="宋体" w:eastAsia="宋体" w:cs="宋体"/>
          <w:color w:val="auto"/>
          <w:sz w:val="24"/>
        </w:rPr>
        <w:t>实际需求，编制采购标准，满足</w:t>
      </w:r>
      <w:r>
        <w:rPr>
          <w:rFonts w:hint="eastAsia" w:ascii="宋体" w:hAnsi="宋体"/>
          <w:bCs/>
          <w:color w:val="auto"/>
          <w:kern w:val="2"/>
          <w:sz w:val="24"/>
          <w:szCs w:val="20"/>
          <w:highlight w:val="none"/>
          <w:lang w:eastAsia="zh-CN"/>
        </w:rPr>
        <w:t>香格里拉市人民医院</w:t>
      </w:r>
      <w:r>
        <w:rPr>
          <w:rFonts w:hint="eastAsia" w:ascii="宋体" w:hAnsi="宋体" w:eastAsia="宋体" w:cs="宋体"/>
          <w:color w:val="auto"/>
          <w:sz w:val="24"/>
        </w:rPr>
        <w:t>使用需求</w:t>
      </w:r>
      <w:r>
        <w:rPr>
          <w:rFonts w:hint="eastAsia" w:ascii="宋体" w:hAnsi="宋体" w:eastAsia="宋体" w:cs="宋体"/>
          <w:b w:val="0"/>
          <w:bCs w:val="0"/>
          <w:i w:val="0"/>
          <w:iCs w:val="0"/>
          <w:caps w:val="0"/>
          <w:color w:val="333333"/>
          <w:spacing w:val="0"/>
          <w:sz w:val="24"/>
          <w:szCs w:val="24"/>
          <w:shd w:val="clear" w:color="auto" w:fill="FFFFFF"/>
          <w:lang w:val="en-US" w:eastAsia="zh-CN"/>
        </w:rPr>
        <w:t>。</w:t>
      </w:r>
    </w:p>
    <w:p w14:paraId="6AA33DD4">
      <w:pPr>
        <w:pStyle w:val="2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auto"/>
        <w:kinsoku/>
        <w:wordWrap/>
        <w:overflowPunct/>
        <w:topLinePunct w:val="0"/>
        <w:autoSpaceDE/>
        <w:autoSpaceDN/>
        <w:bidi w:val="0"/>
        <w:adjustRightInd/>
        <w:snapToGrid/>
        <w:spacing w:before="0" w:beforeAutospacing="0" w:after="0" w:afterAutospacing="0" w:line="540" w:lineRule="exact"/>
        <w:ind w:left="0" w:right="0" w:firstLine="482" w:firstLineChars="200"/>
        <w:jc w:val="left"/>
        <w:textAlignment w:val="auto"/>
        <w:rPr>
          <w:rFonts w:hint="eastAsia" w:ascii="宋体" w:hAnsi="宋体" w:eastAsia="宋体" w:cs="宋体"/>
          <w:b/>
          <w:bCs/>
          <w:i w:val="0"/>
          <w:iCs w:val="0"/>
          <w:caps w:val="0"/>
          <w:color w:val="333333"/>
          <w:spacing w:val="0"/>
          <w:sz w:val="24"/>
          <w:szCs w:val="24"/>
          <w:highlight w:val="none"/>
          <w:shd w:val="clear" w:color="auto" w:fill="FFFFFF"/>
          <w:lang w:eastAsia="zh-CN"/>
        </w:rPr>
      </w:pPr>
      <w:r>
        <w:rPr>
          <w:rFonts w:hint="eastAsia" w:ascii="宋体" w:hAnsi="宋体" w:eastAsia="宋体" w:cs="宋体"/>
          <w:b/>
          <w:bCs/>
          <w:i w:val="0"/>
          <w:iCs w:val="0"/>
          <w:caps w:val="0"/>
          <w:color w:val="333333"/>
          <w:spacing w:val="0"/>
          <w:sz w:val="24"/>
          <w:szCs w:val="24"/>
          <w:highlight w:val="none"/>
          <w:shd w:val="clear" w:color="auto" w:fill="FFFFFF"/>
        </w:rPr>
        <w:t>三</w:t>
      </w:r>
      <w:r>
        <w:rPr>
          <w:rFonts w:hint="eastAsia" w:ascii="宋体" w:hAnsi="宋体" w:cs="宋体"/>
          <w:b/>
          <w:bCs/>
          <w:i w:val="0"/>
          <w:iCs w:val="0"/>
          <w:caps w:val="0"/>
          <w:color w:val="333333"/>
          <w:spacing w:val="0"/>
          <w:sz w:val="24"/>
          <w:szCs w:val="24"/>
          <w:highlight w:val="none"/>
          <w:shd w:val="clear" w:color="auto" w:fill="FFFFFF"/>
          <w:lang w:eastAsia="zh-CN"/>
        </w:rPr>
        <w:t>、</w:t>
      </w:r>
      <w:r>
        <w:rPr>
          <w:rFonts w:hint="eastAsia" w:ascii="宋体" w:hAnsi="宋体" w:eastAsia="宋体" w:cs="宋体"/>
          <w:b/>
          <w:bCs/>
          <w:i w:val="0"/>
          <w:iCs w:val="0"/>
          <w:caps w:val="0"/>
          <w:color w:val="333333"/>
          <w:spacing w:val="0"/>
          <w:sz w:val="24"/>
          <w:szCs w:val="24"/>
          <w:highlight w:val="none"/>
          <w:shd w:val="clear" w:color="auto" w:fill="FFFFFF"/>
        </w:rPr>
        <w:t>采购标的技术规格、</w:t>
      </w:r>
      <w:r>
        <w:rPr>
          <w:rFonts w:hint="eastAsia" w:ascii="宋体" w:hAnsi="宋体" w:cs="宋体"/>
          <w:b/>
          <w:bCs/>
          <w:i w:val="0"/>
          <w:iCs w:val="0"/>
          <w:caps w:val="0"/>
          <w:color w:val="333333"/>
          <w:spacing w:val="0"/>
          <w:sz w:val="24"/>
          <w:szCs w:val="24"/>
          <w:highlight w:val="none"/>
          <w:shd w:val="clear" w:color="auto" w:fill="FFFFFF"/>
          <w:lang w:val="en-US" w:eastAsia="zh-CN"/>
        </w:rPr>
        <w:t>参数</w:t>
      </w:r>
      <w:r>
        <w:rPr>
          <w:rFonts w:hint="eastAsia" w:ascii="宋体" w:hAnsi="宋体" w:eastAsia="宋体" w:cs="宋体"/>
          <w:b/>
          <w:bCs/>
          <w:i w:val="0"/>
          <w:iCs w:val="0"/>
          <w:caps w:val="0"/>
          <w:color w:val="333333"/>
          <w:spacing w:val="0"/>
          <w:sz w:val="24"/>
          <w:szCs w:val="24"/>
          <w:highlight w:val="none"/>
          <w:shd w:val="clear" w:color="auto" w:fill="FFFFFF"/>
        </w:rPr>
        <w:t>等要求</w:t>
      </w:r>
      <w:r>
        <w:rPr>
          <w:rFonts w:hint="eastAsia" w:ascii="宋体" w:hAnsi="宋体" w:eastAsia="宋体" w:cs="宋体"/>
          <w:b/>
          <w:bCs/>
          <w:i w:val="0"/>
          <w:iCs w:val="0"/>
          <w:caps w:val="0"/>
          <w:color w:val="333333"/>
          <w:spacing w:val="0"/>
          <w:sz w:val="24"/>
          <w:szCs w:val="24"/>
          <w:highlight w:val="none"/>
          <w:shd w:val="clear" w:color="auto" w:fill="FFFFFF"/>
          <w:lang w:eastAsia="zh-CN"/>
        </w:rPr>
        <w:t>：</w:t>
      </w:r>
    </w:p>
    <w:tbl>
      <w:tblPr>
        <w:tblStyle w:val="28"/>
        <w:tblW w:w="4999" w:type="pct"/>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top w:w="0" w:type="dxa"/>
          <w:left w:w="108" w:type="dxa"/>
          <w:bottom w:w="0" w:type="dxa"/>
          <w:right w:w="108" w:type="dxa"/>
        </w:tblCellMar>
      </w:tblPr>
      <w:tblGrid>
        <w:gridCol w:w="859"/>
        <w:gridCol w:w="2012"/>
        <w:gridCol w:w="6867"/>
      </w:tblGrid>
      <w:tr w14:paraId="7E802FEC">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96" w:hRule="atLeast"/>
        </w:trPr>
        <w:tc>
          <w:tcPr>
            <w:tcW w:w="441" w:type="pct"/>
            <w:vAlign w:val="center"/>
          </w:tcPr>
          <w:p w14:paraId="01DD0293">
            <w:pPr>
              <w:jc w:val="center"/>
              <w:rPr>
                <w:sz w:val="24"/>
                <w:szCs w:val="24"/>
              </w:rPr>
            </w:pPr>
            <w:r>
              <w:rPr>
                <w:sz w:val="24"/>
                <w:szCs w:val="24"/>
              </w:rPr>
              <w:t>序号</w:t>
            </w:r>
          </w:p>
        </w:tc>
        <w:tc>
          <w:tcPr>
            <w:tcW w:w="1033" w:type="pct"/>
            <w:vAlign w:val="center"/>
          </w:tcPr>
          <w:p w14:paraId="57358A40">
            <w:pPr>
              <w:jc w:val="center"/>
              <w:rPr>
                <w:sz w:val="24"/>
                <w:szCs w:val="24"/>
              </w:rPr>
            </w:pPr>
            <w:r>
              <w:rPr>
                <w:sz w:val="24"/>
                <w:szCs w:val="24"/>
              </w:rPr>
              <w:t>设备名称</w:t>
            </w:r>
          </w:p>
        </w:tc>
        <w:tc>
          <w:tcPr>
            <w:tcW w:w="3525" w:type="pct"/>
            <w:vAlign w:val="center"/>
          </w:tcPr>
          <w:p w14:paraId="0EC1A1AC">
            <w:pPr>
              <w:jc w:val="center"/>
              <w:rPr>
                <w:sz w:val="24"/>
                <w:szCs w:val="24"/>
              </w:rPr>
            </w:pPr>
            <w:r>
              <w:rPr>
                <w:sz w:val="24"/>
                <w:szCs w:val="24"/>
              </w:rPr>
              <w:t>技术参数</w:t>
            </w:r>
          </w:p>
        </w:tc>
      </w:tr>
      <w:tr w14:paraId="1C8DF062">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988" w:hRule="atLeast"/>
        </w:trPr>
        <w:tc>
          <w:tcPr>
            <w:tcW w:w="441" w:type="pct"/>
            <w:vAlign w:val="center"/>
          </w:tcPr>
          <w:p w14:paraId="358A1E7A">
            <w:pPr>
              <w:jc w:val="center"/>
              <w:rPr>
                <w:sz w:val="24"/>
                <w:szCs w:val="24"/>
              </w:rPr>
            </w:pPr>
            <w:r>
              <w:rPr>
                <w:rFonts w:hint="eastAsia"/>
                <w:sz w:val="24"/>
                <w:szCs w:val="24"/>
              </w:rPr>
              <w:t>1</w:t>
            </w:r>
          </w:p>
        </w:tc>
        <w:tc>
          <w:tcPr>
            <w:tcW w:w="1033" w:type="pct"/>
            <w:vAlign w:val="center"/>
          </w:tcPr>
          <w:p w14:paraId="2C1436E5">
            <w:pPr>
              <w:jc w:val="center"/>
              <w:rPr>
                <w:sz w:val="24"/>
                <w:szCs w:val="24"/>
              </w:rPr>
            </w:pPr>
            <w:r>
              <w:rPr>
                <w:rFonts w:hint="eastAsia"/>
                <w:sz w:val="24"/>
                <w:szCs w:val="24"/>
              </w:rPr>
              <w:t>多</w:t>
            </w:r>
            <w:r>
              <w:rPr>
                <w:sz w:val="24"/>
                <w:szCs w:val="24"/>
              </w:rPr>
              <w:t>导睡眠监测仪</w:t>
            </w:r>
          </w:p>
        </w:tc>
        <w:tc>
          <w:tcPr>
            <w:tcW w:w="3525" w:type="pct"/>
          </w:tcPr>
          <w:p w14:paraId="2BD21A77">
            <w:pPr>
              <w:jc w:val="left"/>
              <w:rPr>
                <w:rFonts w:ascii="Calibri" w:hAnsi="Calibri" w:eastAsia="宋体" w:cs="Times New Roman"/>
                <w:sz w:val="24"/>
                <w:szCs w:val="24"/>
                <w:lang w:val="en-GB"/>
              </w:rPr>
            </w:pPr>
            <w:r>
              <w:rPr>
                <w:rFonts w:hint="eastAsia" w:ascii="Calibri" w:hAnsi="Calibri" w:eastAsia="宋体" w:cs="Times New Roman"/>
                <w:sz w:val="24"/>
                <w:szCs w:val="24"/>
                <w:lang w:val="en-GB"/>
              </w:rPr>
              <w:t>1、设备适用于儿童及成人。</w:t>
            </w:r>
          </w:p>
          <w:p w14:paraId="0375F7A4">
            <w:pPr>
              <w:jc w:val="left"/>
              <w:rPr>
                <w:rFonts w:ascii="Calibri" w:hAnsi="Calibri" w:eastAsia="宋体" w:cs="Times New Roman"/>
                <w:sz w:val="24"/>
                <w:szCs w:val="24"/>
                <w:lang w:val="en-GB"/>
              </w:rPr>
            </w:pPr>
            <w:r>
              <w:rPr>
                <w:rFonts w:hint="eastAsia" w:ascii="宋体" w:hAnsi="宋体" w:eastAsia="宋体" w:cs="宋体"/>
                <w:sz w:val="24"/>
                <w:szCs w:val="24"/>
                <w:lang w:val="en-GB"/>
              </w:rPr>
              <w:t>★</w:t>
            </w:r>
            <w:r>
              <w:rPr>
                <w:rFonts w:ascii="Calibri" w:hAnsi="Calibri" w:eastAsia="宋体" w:cs="Times New Roman"/>
                <w:sz w:val="24"/>
                <w:szCs w:val="24"/>
                <w:lang w:val="en-GB"/>
              </w:rPr>
              <w:t>2</w:t>
            </w:r>
            <w:r>
              <w:rPr>
                <w:rFonts w:hint="eastAsia" w:ascii="Calibri" w:hAnsi="Calibri" w:eastAsia="宋体" w:cs="Times New Roman"/>
                <w:sz w:val="24"/>
                <w:szCs w:val="24"/>
                <w:lang w:val="en-GB"/>
              </w:rPr>
              <w:t>、设备的医疗器械注册证中，其适用范围中必须注明所能监测的生理指标，需包含脑电、眼电、肌电、心电、口鼻气流、胸腹呼吸、血氧饱和度、脉率、鼾声、体动、体位、环境光、CPAP等重要参数。从而符合国家医疗收费标准。</w:t>
            </w:r>
          </w:p>
          <w:p w14:paraId="472E7CAB">
            <w:pPr>
              <w:jc w:val="left"/>
              <w:rPr>
                <w:rFonts w:ascii="Calibri" w:hAnsi="Calibri" w:eastAsia="宋体" w:cs="Times New Roman"/>
                <w:sz w:val="24"/>
                <w:szCs w:val="24"/>
                <w:lang w:val="en-GB"/>
              </w:rPr>
            </w:pPr>
            <w:r>
              <w:rPr>
                <w:rFonts w:hint="eastAsia" w:ascii="Calibri" w:hAnsi="Calibri" w:eastAsia="宋体" w:cs="Times New Roman"/>
                <w:sz w:val="24"/>
                <w:szCs w:val="24"/>
                <w:lang w:val="en-GB"/>
              </w:rPr>
              <w:t>3、</w:t>
            </w:r>
            <w:r>
              <w:rPr>
                <w:rFonts w:hint="eastAsia" w:ascii="Calibri" w:hAnsi="Calibri" w:eastAsia="宋体" w:cs="Times New Roman"/>
                <w:sz w:val="24"/>
                <w:szCs w:val="24"/>
              </w:rPr>
              <w:t>设备</w:t>
            </w:r>
            <w:r>
              <w:rPr>
                <w:rFonts w:hint="eastAsia" w:ascii="Calibri" w:hAnsi="Calibri" w:eastAsia="宋体" w:cs="Times New Roman"/>
                <w:sz w:val="24"/>
                <w:szCs w:val="24"/>
                <w:lang w:val="en-GB"/>
              </w:rPr>
              <w:t>导联数</w:t>
            </w:r>
            <w:r>
              <w:rPr>
                <w:rFonts w:ascii="Calibri" w:hAnsi="Calibri" w:eastAsia="宋体" w:cs="Times New Roman"/>
                <w:sz w:val="24"/>
                <w:szCs w:val="24"/>
                <w:lang w:val="en-GB"/>
              </w:rPr>
              <w:t>≥55</w:t>
            </w:r>
            <w:r>
              <w:rPr>
                <w:rFonts w:hint="eastAsia" w:ascii="Calibri" w:hAnsi="Calibri" w:eastAsia="宋体" w:cs="Times New Roman"/>
                <w:sz w:val="24"/>
                <w:szCs w:val="24"/>
                <w:lang w:val="en-GB"/>
              </w:rPr>
              <w:t>，包括脑电（10导）、眼动电（2导）、下颌肌电（2导）、心电（2导）、下肢肌电活动（4导）、呼吸气流（口鼻气流压力和口鼻气流热敏）、胸腹呼吸（独立RIP胸、腹导联）、脉搏血氧饱和度、脉率、脉搏波、五体位、胸部主机内置9轴加速度传感器、压力鼾声、麦克风鼾声、环境光、主动事件标记、实时阻抗、电池电量、血氧阈值报警、双模组蓝牙通道、P</w:t>
            </w:r>
            <w:r>
              <w:rPr>
                <w:rFonts w:ascii="Calibri" w:hAnsi="Calibri" w:eastAsia="宋体" w:cs="Times New Roman"/>
                <w:sz w:val="24"/>
                <w:szCs w:val="24"/>
                <w:lang w:val="en-GB"/>
              </w:rPr>
              <w:t>TT</w:t>
            </w:r>
            <w:r>
              <w:rPr>
                <w:rFonts w:hint="eastAsia" w:ascii="Calibri" w:hAnsi="Calibri" w:eastAsia="宋体" w:cs="Times New Roman"/>
                <w:sz w:val="24"/>
                <w:szCs w:val="24"/>
                <w:lang w:val="en-GB"/>
              </w:rPr>
              <w:t>、无线外接扩展通道参数等。</w:t>
            </w:r>
          </w:p>
          <w:p w14:paraId="4BD9F33E">
            <w:pPr>
              <w:jc w:val="left"/>
              <w:rPr>
                <w:rFonts w:ascii="Calibri" w:hAnsi="Calibri" w:eastAsia="宋体" w:cs="Times New Roman"/>
                <w:sz w:val="24"/>
                <w:szCs w:val="24"/>
                <w:lang w:val="en-GB"/>
              </w:rPr>
            </w:pPr>
            <w:r>
              <w:rPr>
                <w:rFonts w:hint="eastAsia" w:ascii="宋体" w:hAnsi="宋体" w:eastAsia="宋体" w:cs="宋体"/>
                <w:sz w:val="24"/>
                <w:szCs w:val="24"/>
                <w:lang w:val="en-GB"/>
              </w:rPr>
              <w:t>★</w:t>
            </w:r>
            <w:r>
              <w:rPr>
                <w:rFonts w:ascii="Calibri" w:hAnsi="Calibri" w:eastAsia="宋体" w:cs="Times New Roman"/>
                <w:sz w:val="24"/>
                <w:szCs w:val="24"/>
                <w:lang w:val="en-GB"/>
              </w:rPr>
              <w:t>4</w:t>
            </w:r>
            <w:r>
              <w:rPr>
                <w:rFonts w:hint="eastAsia" w:ascii="Calibri" w:hAnsi="Calibri" w:eastAsia="宋体" w:cs="Times New Roman"/>
                <w:sz w:val="24"/>
                <w:szCs w:val="24"/>
                <w:lang w:val="en-GB"/>
              </w:rPr>
              <w:t>、电生理信号共模抑制比≥</w:t>
            </w:r>
            <w:r>
              <w:rPr>
                <w:rFonts w:ascii="Calibri" w:hAnsi="Calibri" w:eastAsia="宋体" w:cs="Times New Roman"/>
                <w:sz w:val="24"/>
                <w:szCs w:val="24"/>
              </w:rPr>
              <w:t xml:space="preserve"> 110 dB</w:t>
            </w:r>
            <w:r>
              <w:rPr>
                <w:rFonts w:hint="eastAsia" w:ascii="Calibri" w:hAnsi="Calibri" w:eastAsia="宋体" w:cs="Times New Roman"/>
                <w:sz w:val="24"/>
                <w:szCs w:val="24"/>
                <w:lang w:val="en-GB"/>
              </w:rPr>
              <w:t>，</w:t>
            </w:r>
            <w:r>
              <w:rPr>
                <w:rFonts w:ascii="Calibri" w:hAnsi="Calibri" w:eastAsia="宋体" w:cs="Times New Roman"/>
                <w:sz w:val="24"/>
                <w:szCs w:val="24"/>
                <w:lang w:val="en-GB"/>
              </w:rPr>
              <w:t>输入阻抗</w:t>
            </w:r>
            <w:r>
              <w:rPr>
                <w:rFonts w:hint="eastAsia" w:ascii="Calibri" w:hAnsi="Calibri" w:eastAsia="宋体" w:cs="Times New Roman"/>
                <w:sz w:val="24"/>
                <w:szCs w:val="24"/>
                <w:lang w:val="en-GB"/>
              </w:rPr>
              <w:t>≥</w:t>
            </w:r>
            <w:r>
              <w:rPr>
                <w:rFonts w:ascii="Calibri" w:hAnsi="Calibri" w:eastAsia="宋体" w:cs="Times New Roman"/>
                <w:sz w:val="24"/>
                <w:szCs w:val="24"/>
              </w:rPr>
              <w:t>10 MΩ，</w:t>
            </w:r>
            <w:r>
              <w:rPr>
                <w:rFonts w:hint="eastAsia" w:ascii="Calibri" w:hAnsi="Calibri" w:eastAsia="宋体" w:cs="Times New Roman"/>
                <w:sz w:val="24"/>
                <w:szCs w:val="24"/>
                <w:lang w:val="en-GB"/>
              </w:rPr>
              <w:t>内部噪音</w:t>
            </w:r>
            <w:r>
              <w:rPr>
                <w:rFonts w:hint="eastAsia" w:ascii="Calibri" w:hAnsi="Calibri" w:eastAsia="宋体" w:cs="Times New Roman"/>
                <w:sz w:val="24"/>
                <w:szCs w:val="24"/>
              </w:rPr>
              <w:t>≤</w:t>
            </w:r>
            <w:r>
              <w:rPr>
                <w:rFonts w:ascii="Calibri" w:hAnsi="Calibri" w:eastAsia="宋体" w:cs="Times New Roman"/>
                <w:sz w:val="24"/>
                <w:szCs w:val="24"/>
              </w:rPr>
              <w:t>1.5</w:t>
            </w:r>
            <w:r>
              <w:rPr>
                <w:rFonts w:hint="eastAsia" w:ascii="Calibri" w:hAnsi="Calibri" w:eastAsia="宋体" w:cs="Times New Roman"/>
                <w:sz w:val="24"/>
                <w:szCs w:val="24"/>
              </w:rPr>
              <w:t>μVp-p</w:t>
            </w:r>
            <w:r>
              <w:rPr>
                <w:rFonts w:hint="eastAsia" w:ascii="Calibri" w:hAnsi="Calibri" w:eastAsia="宋体" w:cs="Times New Roman"/>
                <w:sz w:val="24"/>
                <w:szCs w:val="24"/>
                <w:lang w:val="en-GB"/>
              </w:rPr>
              <w:t>，信号精度误差≤</w:t>
            </w:r>
            <w:r>
              <w:rPr>
                <w:rFonts w:hint="eastAsia" w:ascii="Calibri" w:hAnsi="Calibri" w:eastAsia="宋体" w:cs="Times New Roman"/>
                <w:sz w:val="24"/>
                <w:szCs w:val="24"/>
              </w:rPr>
              <w:t>2%</w:t>
            </w:r>
            <w:r>
              <w:rPr>
                <w:rFonts w:hint="eastAsia" w:ascii="Calibri" w:hAnsi="Calibri" w:eastAsia="宋体" w:cs="Times New Roman"/>
                <w:sz w:val="24"/>
                <w:szCs w:val="24"/>
                <w:lang w:val="en-GB"/>
              </w:rPr>
              <w:t>，</w:t>
            </w:r>
            <w:r>
              <w:rPr>
                <w:rFonts w:hint="eastAsia" w:ascii="Calibri" w:hAnsi="Calibri" w:eastAsia="宋体" w:cs="Times New Roman"/>
                <w:sz w:val="24"/>
                <w:szCs w:val="24"/>
              </w:rPr>
              <w:t xml:space="preserve"> 2</w:t>
            </w:r>
            <w:r>
              <w:rPr>
                <w:rFonts w:ascii="Calibri" w:hAnsi="Calibri" w:eastAsia="宋体" w:cs="Times New Roman"/>
                <w:sz w:val="24"/>
                <w:szCs w:val="24"/>
              </w:rPr>
              <w:t>4</w:t>
            </w:r>
            <w:r>
              <w:rPr>
                <w:rFonts w:hint="eastAsia" w:ascii="Calibri" w:hAnsi="Calibri" w:eastAsia="宋体" w:cs="Times New Roman"/>
                <w:sz w:val="24"/>
                <w:szCs w:val="24"/>
                <w:lang w:val="en-GB"/>
              </w:rPr>
              <w:t>位高采样精度，采样频率即存储频率≥</w:t>
            </w:r>
            <w:r>
              <w:rPr>
                <w:rFonts w:hint="eastAsia" w:ascii="Calibri" w:hAnsi="Calibri" w:eastAsia="宋体" w:cs="Times New Roman"/>
                <w:sz w:val="24"/>
                <w:szCs w:val="24"/>
              </w:rPr>
              <w:t>5</w:t>
            </w:r>
            <w:r>
              <w:rPr>
                <w:rFonts w:ascii="Calibri" w:hAnsi="Calibri" w:eastAsia="宋体" w:cs="Times New Roman"/>
                <w:sz w:val="24"/>
                <w:szCs w:val="24"/>
              </w:rPr>
              <w:t>00</w:t>
            </w:r>
            <w:r>
              <w:rPr>
                <w:rFonts w:hint="eastAsia" w:ascii="Calibri" w:hAnsi="Calibri" w:eastAsia="宋体" w:cs="Times New Roman"/>
                <w:sz w:val="24"/>
                <w:szCs w:val="24"/>
              </w:rPr>
              <w:t>Hz</w:t>
            </w:r>
            <w:r>
              <w:rPr>
                <w:rFonts w:hint="eastAsia" w:ascii="Calibri" w:hAnsi="Calibri" w:eastAsia="宋体" w:cs="Times New Roman"/>
                <w:sz w:val="24"/>
                <w:szCs w:val="24"/>
                <w:lang w:val="en-GB"/>
              </w:rPr>
              <w:t>。</w:t>
            </w:r>
          </w:p>
          <w:p w14:paraId="1F57C0BA">
            <w:pPr>
              <w:jc w:val="left"/>
              <w:rPr>
                <w:rFonts w:ascii="Calibri" w:hAnsi="Calibri" w:eastAsia="宋体" w:cs="Times New Roman"/>
                <w:sz w:val="24"/>
                <w:szCs w:val="24"/>
                <w:lang w:val="en-GB"/>
              </w:rPr>
            </w:pPr>
            <w:r>
              <w:rPr>
                <w:rFonts w:ascii="Calibri" w:hAnsi="Calibri" w:eastAsia="宋体" w:cs="Times New Roman"/>
                <w:sz w:val="24"/>
                <w:szCs w:val="24"/>
                <w:lang w:val="en-GB"/>
              </w:rPr>
              <w:t>5</w:t>
            </w:r>
            <w:r>
              <w:rPr>
                <w:rFonts w:hint="eastAsia" w:ascii="Calibri" w:hAnsi="Calibri" w:eastAsia="宋体" w:cs="Times New Roman"/>
                <w:sz w:val="24"/>
                <w:szCs w:val="24"/>
                <w:lang w:val="en-GB"/>
              </w:rPr>
              <w:t>、软件分析参数定义符合AASM 美国睡眠医学会睡眠及其相关事件判读手册2</w:t>
            </w:r>
            <w:r>
              <w:rPr>
                <w:rFonts w:ascii="Calibri" w:hAnsi="Calibri" w:eastAsia="宋体" w:cs="Times New Roman"/>
                <w:sz w:val="24"/>
                <w:szCs w:val="24"/>
                <w:lang w:val="en-GB"/>
              </w:rPr>
              <w:t>.6</w:t>
            </w:r>
            <w:r>
              <w:rPr>
                <w:rFonts w:hint="eastAsia" w:ascii="Calibri" w:hAnsi="Calibri" w:eastAsia="宋体" w:cs="Times New Roman"/>
                <w:sz w:val="24"/>
                <w:szCs w:val="24"/>
                <w:lang w:val="en-GB"/>
              </w:rPr>
              <w:t>版。</w:t>
            </w:r>
          </w:p>
          <w:p w14:paraId="0FE5415E">
            <w:pPr>
              <w:jc w:val="left"/>
              <w:rPr>
                <w:rFonts w:ascii="Calibri" w:hAnsi="Calibri" w:eastAsia="宋体" w:cs="Times New Roman"/>
                <w:sz w:val="24"/>
                <w:szCs w:val="24"/>
                <w:lang w:val="en-GB"/>
              </w:rPr>
            </w:pPr>
            <w:r>
              <w:rPr>
                <w:rFonts w:ascii="Calibri" w:hAnsi="Calibri" w:eastAsia="宋体" w:cs="Times New Roman"/>
                <w:sz w:val="24"/>
                <w:szCs w:val="24"/>
                <w:lang w:val="en-GB"/>
              </w:rPr>
              <w:t>6</w:t>
            </w:r>
            <w:r>
              <w:rPr>
                <w:rFonts w:hint="eastAsia" w:ascii="Calibri" w:hAnsi="Calibri" w:eastAsia="宋体" w:cs="Times New Roman"/>
                <w:sz w:val="24"/>
                <w:szCs w:val="24"/>
                <w:lang w:val="en-GB"/>
              </w:rPr>
              <w:t>、设备小巧轻便，胸部主机重量≤</w:t>
            </w:r>
            <w:r>
              <w:rPr>
                <w:rFonts w:hint="eastAsia" w:ascii="Calibri" w:hAnsi="Calibri" w:eastAsia="宋体" w:cs="Times New Roman"/>
                <w:sz w:val="24"/>
                <w:szCs w:val="24"/>
              </w:rPr>
              <w:t>4</w:t>
            </w:r>
            <w:r>
              <w:rPr>
                <w:rFonts w:ascii="Calibri" w:hAnsi="Calibri" w:eastAsia="宋体" w:cs="Times New Roman"/>
                <w:sz w:val="24"/>
                <w:szCs w:val="24"/>
              </w:rPr>
              <w:t>5</w:t>
            </w:r>
            <w:r>
              <w:rPr>
                <w:rFonts w:hint="eastAsia" w:ascii="Calibri" w:hAnsi="Calibri" w:eastAsia="宋体" w:cs="Times New Roman"/>
                <w:sz w:val="24"/>
                <w:szCs w:val="24"/>
              </w:rPr>
              <w:t>g；腕部主机</w:t>
            </w:r>
            <w:r>
              <w:rPr>
                <w:rFonts w:hint="eastAsia" w:ascii="Calibri" w:hAnsi="Calibri" w:eastAsia="宋体" w:cs="Times New Roman"/>
                <w:sz w:val="24"/>
                <w:szCs w:val="24"/>
                <w:lang w:val="en-GB"/>
              </w:rPr>
              <w:t>重量≤</w:t>
            </w:r>
            <w:r>
              <w:rPr>
                <w:rFonts w:hint="eastAsia" w:ascii="Calibri" w:hAnsi="Calibri" w:eastAsia="宋体" w:cs="Times New Roman"/>
                <w:sz w:val="24"/>
                <w:szCs w:val="24"/>
              </w:rPr>
              <w:t>8</w:t>
            </w:r>
            <w:r>
              <w:rPr>
                <w:rFonts w:ascii="Calibri" w:hAnsi="Calibri" w:eastAsia="宋体" w:cs="Times New Roman"/>
                <w:sz w:val="24"/>
                <w:szCs w:val="24"/>
              </w:rPr>
              <w:t>5g</w:t>
            </w:r>
            <w:r>
              <w:rPr>
                <w:rFonts w:hint="eastAsia" w:ascii="Calibri" w:hAnsi="Calibri" w:eastAsia="宋体" w:cs="Times New Roman"/>
                <w:sz w:val="24"/>
                <w:szCs w:val="24"/>
                <w:lang w:val="en-GB"/>
              </w:rPr>
              <w:t>（带电池），监测过程中不影响患者进行小幅度的活动。</w:t>
            </w:r>
          </w:p>
          <w:p w14:paraId="2B2E840A">
            <w:pPr>
              <w:jc w:val="left"/>
              <w:rPr>
                <w:rFonts w:ascii="Calibri" w:hAnsi="Calibri" w:eastAsia="宋体" w:cs="Times New Roman"/>
                <w:sz w:val="24"/>
                <w:szCs w:val="24"/>
                <w:lang w:val="en-GB"/>
              </w:rPr>
            </w:pPr>
            <w:r>
              <w:rPr>
                <w:rFonts w:hint="eastAsia" w:ascii="宋体" w:hAnsi="宋体" w:eastAsia="宋体" w:cs="宋体"/>
                <w:sz w:val="24"/>
                <w:szCs w:val="24"/>
                <w:lang w:val="en-GB"/>
              </w:rPr>
              <w:t>★</w:t>
            </w:r>
            <w:r>
              <w:rPr>
                <w:rFonts w:ascii="Calibri" w:hAnsi="Calibri" w:eastAsia="宋体" w:cs="Times New Roman"/>
                <w:sz w:val="24"/>
                <w:szCs w:val="24"/>
                <w:lang w:val="en-GB"/>
              </w:rPr>
              <w:t>7</w:t>
            </w:r>
            <w:r>
              <w:rPr>
                <w:rFonts w:hint="eastAsia" w:ascii="Calibri" w:hAnsi="Calibri" w:eastAsia="宋体" w:cs="Times New Roman"/>
                <w:sz w:val="24"/>
                <w:szCs w:val="24"/>
                <w:lang w:val="en-GB"/>
              </w:rPr>
              <w:t>、设备腕部主机具备2.0寸全彩液晶内屏， 腕部主机可以显示记录状态、蓝牙状态、电池电量、受试者信息、设备版本号等信息，同时具备物理按键，用于患者主动标记事件。</w:t>
            </w:r>
          </w:p>
          <w:p w14:paraId="6816AA7B">
            <w:pPr>
              <w:jc w:val="left"/>
              <w:rPr>
                <w:rFonts w:ascii="Calibri" w:hAnsi="Calibri" w:eastAsia="宋体" w:cs="Times New Roman"/>
                <w:sz w:val="24"/>
                <w:szCs w:val="24"/>
                <w:lang w:val="en-GB"/>
              </w:rPr>
            </w:pPr>
            <w:r>
              <w:rPr>
                <w:rFonts w:ascii="Calibri" w:hAnsi="Calibri" w:eastAsia="宋体" w:cs="Times New Roman"/>
                <w:sz w:val="24"/>
                <w:szCs w:val="24"/>
                <w:lang w:val="en-GB"/>
              </w:rPr>
              <w:t>8</w:t>
            </w:r>
            <w:r>
              <w:rPr>
                <w:rFonts w:hint="eastAsia" w:ascii="Calibri" w:hAnsi="Calibri" w:eastAsia="宋体" w:cs="Times New Roman"/>
                <w:sz w:val="24"/>
                <w:szCs w:val="24"/>
                <w:lang w:val="en-GB"/>
              </w:rPr>
              <w:t>、设备采用内置聚合物锂电池供电，容量≥1</w:t>
            </w:r>
            <w:r>
              <w:rPr>
                <w:rFonts w:ascii="Calibri" w:hAnsi="Calibri" w:eastAsia="宋体" w:cs="Times New Roman"/>
                <w:sz w:val="24"/>
                <w:szCs w:val="24"/>
                <w:lang w:val="en-GB"/>
              </w:rPr>
              <w:t>600</w:t>
            </w:r>
            <w:r>
              <w:rPr>
                <w:rFonts w:hint="eastAsia" w:ascii="Calibri" w:hAnsi="Calibri" w:eastAsia="宋体" w:cs="Times New Roman"/>
                <w:sz w:val="24"/>
                <w:szCs w:val="24"/>
                <w:lang w:val="en-GB"/>
              </w:rPr>
              <w:t>mAh，</w:t>
            </w:r>
            <w:r>
              <w:rPr>
                <w:rFonts w:ascii="Calibri" w:hAnsi="Calibri" w:eastAsia="宋体" w:cs="Times New Roman"/>
                <w:sz w:val="24"/>
                <w:szCs w:val="24"/>
                <w:lang w:val="en-GB"/>
              </w:rPr>
              <w:t>实时监测</w:t>
            </w:r>
            <w:r>
              <w:rPr>
                <w:rFonts w:hint="eastAsia" w:ascii="Calibri" w:hAnsi="Calibri" w:eastAsia="宋体" w:cs="Times New Roman"/>
                <w:sz w:val="24"/>
                <w:szCs w:val="24"/>
                <w:lang w:val="en-GB"/>
              </w:rPr>
              <w:t>模式下续航时间≥</w:t>
            </w:r>
            <w:r>
              <w:rPr>
                <w:rFonts w:ascii="Calibri" w:hAnsi="Calibri" w:eastAsia="宋体" w:cs="Times New Roman"/>
                <w:sz w:val="24"/>
                <w:szCs w:val="24"/>
                <w:lang w:val="en-GB"/>
              </w:rPr>
              <w:t>24小时</w:t>
            </w:r>
            <w:r>
              <w:rPr>
                <w:rFonts w:hint="eastAsia" w:ascii="Calibri" w:hAnsi="Calibri" w:eastAsia="宋体" w:cs="Times New Roman"/>
                <w:sz w:val="24"/>
                <w:szCs w:val="24"/>
                <w:lang w:val="en-GB"/>
              </w:rPr>
              <w:t>；电池无需拆卸更换。</w:t>
            </w:r>
          </w:p>
          <w:p w14:paraId="6B4CEC85">
            <w:pPr>
              <w:jc w:val="left"/>
              <w:rPr>
                <w:rFonts w:ascii="Calibri" w:hAnsi="Calibri" w:eastAsia="宋体" w:cs="Times New Roman"/>
                <w:sz w:val="24"/>
                <w:szCs w:val="24"/>
                <w:lang w:val="en-GB"/>
              </w:rPr>
            </w:pPr>
            <w:r>
              <w:rPr>
                <w:rFonts w:ascii="Calibri" w:hAnsi="Calibri" w:eastAsia="宋体" w:cs="Times New Roman"/>
                <w:sz w:val="24"/>
                <w:szCs w:val="24"/>
                <w:lang w:val="en-GB"/>
              </w:rPr>
              <w:t>9</w:t>
            </w:r>
            <w:r>
              <w:rPr>
                <w:rFonts w:hint="eastAsia" w:ascii="Calibri" w:hAnsi="Calibri" w:eastAsia="宋体" w:cs="Times New Roman"/>
                <w:sz w:val="24"/>
                <w:szCs w:val="24"/>
                <w:lang w:val="en-GB"/>
              </w:rPr>
              <w:t>、腕部主机设备具备Type-C四合一接口，通过同一接口可以同时进行数据通讯传输与充电功能，无需对设备进行拔卡读取数据。数据通讯速率达到真USB</w:t>
            </w:r>
            <w:r>
              <w:rPr>
                <w:rFonts w:ascii="Calibri" w:hAnsi="Calibri" w:eastAsia="宋体" w:cs="Times New Roman"/>
                <w:sz w:val="24"/>
                <w:szCs w:val="24"/>
                <w:lang w:val="en-GB"/>
              </w:rPr>
              <w:t>3.0</w:t>
            </w:r>
            <w:r>
              <w:rPr>
                <w:rFonts w:hint="eastAsia" w:ascii="Calibri" w:hAnsi="Calibri" w:eastAsia="宋体" w:cs="Times New Roman"/>
                <w:sz w:val="24"/>
                <w:szCs w:val="24"/>
                <w:lang w:val="en-GB"/>
              </w:rPr>
              <w:t>，传输速率≥</w:t>
            </w:r>
            <w:r>
              <w:rPr>
                <w:rFonts w:ascii="Calibri" w:hAnsi="Calibri" w:eastAsia="宋体" w:cs="Times New Roman"/>
                <w:sz w:val="24"/>
                <w:szCs w:val="24"/>
                <w:lang w:val="en-GB"/>
              </w:rPr>
              <w:t>160</w:t>
            </w:r>
            <w:r>
              <w:rPr>
                <w:rFonts w:hint="eastAsia" w:ascii="Calibri" w:hAnsi="Calibri" w:eastAsia="宋体" w:cs="Times New Roman"/>
                <w:sz w:val="24"/>
                <w:szCs w:val="24"/>
                <w:lang w:val="en-GB"/>
              </w:rPr>
              <w:t>Mb</w:t>
            </w:r>
            <w:r>
              <w:rPr>
                <w:rFonts w:ascii="Calibri" w:hAnsi="Calibri" w:eastAsia="宋体" w:cs="Times New Roman"/>
                <w:sz w:val="24"/>
                <w:szCs w:val="24"/>
                <w:lang w:val="en-GB"/>
              </w:rPr>
              <w:t>/</w:t>
            </w:r>
            <w:r>
              <w:rPr>
                <w:rFonts w:hint="eastAsia" w:ascii="Calibri" w:hAnsi="Calibri" w:eastAsia="宋体" w:cs="Times New Roman"/>
                <w:sz w:val="24"/>
                <w:szCs w:val="24"/>
                <w:lang w:val="en-GB"/>
              </w:rPr>
              <w:t>s，单个初筛数据（2</w:t>
            </w:r>
            <w:r>
              <w:rPr>
                <w:rFonts w:ascii="Calibri" w:hAnsi="Calibri" w:eastAsia="宋体" w:cs="Times New Roman"/>
                <w:sz w:val="24"/>
                <w:szCs w:val="24"/>
                <w:lang w:val="en-GB"/>
              </w:rPr>
              <w:t>4</w:t>
            </w:r>
            <w:r>
              <w:rPr>
                <w:rFonts w:hint="eastAsia" w:ascii="Calibri" w:hAnsi="Calibri" w:eastAsia="宋体" w:cs="Times New Roman"/>
                <w:sz w:val="24"/>
                <w:szCs w:val="24"/>
                <w:lang w:val="en-GB"/>
              </w:rPr>
              <w:t>小时记录）传输时间≤5s，单个多导数据（2</w:t>
            </w:r>
            <w:r>
              <w:rPr>
                <w:rFonts w:ascii="Calibri" w:hAnsi="Calibri" w:eastAsia="宋体" w:cs="Times New Roman"/>
                <w:sz w:val="24"/>
                <w:szCs w:val="24"/>
                <w:lang w:val="en-GB"/>
              </w:rPr>
              <w:t>4</w:t>
            </w:r>
            <w:r>
              <w:rPr>
                <w:rFonts w:hint="eastAsia" w:ascii="Calibri" w:hAnsi="Calibri" w:eastAsia="宋体" w:cs="Times New Roman"/>
                <w:sz w:val="24"/>
                <w:szCs w:val="24"/>
                <w:lang w:val="en-GB"/>
              </w:rPr>
              <w:t>小时记录）传输时间≤</w:t>
            </w:r>
            <w:r>
              <w:rPr>
                <w:rFonts w:ascii="Calibri" w:hAnsi="Calibri" w:eastAsia="宋体" w:cs="Times New Roman"/>
                <w:sz w:val="24"/>
                <w:szCs w:val="24"/>
                <w:lang w:val="en-GB"/>
              </w:rPr>
              <w:t>60</w:t>
            </w:r>
            <w:r>
              <w:rPr>
                <w:rFonts w:hint="eastAsia" w:ascii="Calibri" w:hAnsi="Calibri" w:eastAsia="宋体" w:cs="Times New Roman"/>
                <w:sz w:val="24"/>
                <w:szCs w:val="24"/>
                <w:lang w:val="en-GB"/>
              </w:rPr>
              <w:t>s。</w:t>
            </w:r>
          </w:p>
          <w:p w14:paraId="6B75C4E4">
            <w:pPr>
              <w:jc w:val="left"/>
              <w:rPr>
                <w:rFonts w:ascii="Calibri" w:hAnsi="Calibri" w:eastAsia="宋体" w:cs="Times New Roman"/>
                <w:sz w:val="24"/>
                <w:szCs w:val="24"/>
                <w:lang w:val="en-GB"/>
              </w:rPr>
            </w:pPr>
            <w:r>
              <w:rPr>
                <w:rFonts w:ascii="Calibri" w:hAnsi="Calibri" w:eastAsia="宋体" w:cs="Times New Roman"/>
                <w:sz w:val="24"/>
                <w:szCs w:val="24"/>
                <w:lang w:val="en-GB"/>
              </w:rPr>
              <w:t>10</w:t>
            </w:r>
            <w:r>
              <w:rPr>
                <w:rFonts w:hint="eastAsia" w:ascii="Calibri" w:hAnsi="Calibri" w:eastAsia="宋体" w:cs="Times New Roman"/>
                <w:sz w:val="24"/>
                <w:szCs w:val="24"/>
                <w:lang w:val="en-GB"/>
              </w:rPr>
              <w:t>、主机内置双蓝牙模块，可通过电脑端蓝牙无线连接，软件进行无线初始化，录入患者基本信息及相关监测数据及指标的设置，也可以采用Type-C四合一接口进行数据初始化。主机可以通过无线通讯通道，可升级外接呼末、呼吸机等多种外扩无线设备，并支持通过软件进行远程操控，实时修改设备参数。</w:t>
            </w:r>
          </w:p>
          <w:p w14:paraId="7D43A9CD">
            <w:pPr>
              <w:jc w:val="left"/>
              <w:rPr>
                <w:rFonts w:ascii="Calibri" w:hAnsi="Calibri" w:eastAsia="宋体" w:cs="Times New Roman"/>
                <w:sz w:val="24"/>
                <w:szCs w:val="24"/>
                <w:lang w:val="en-GB"/>
              </w:rPr>
            </w:pPr>
            <w:r>
              <w:rPr>
                <w:rFonts w:hint="eastAsia" w:ascii="宋体" w:hAnsi="宋体" w:eastAsia="宋体" w:cs="宋体"/>
                <w:sz w:val="24"/>
                <w:szCs w:val="24"/>
                <w:lang w:val="en-GB"/>
              </w:rPr>
              <w:t>★</w:t>
            </w:r>
            <w:r>
              <w:rPr>
                <w:rFonts w:ascii="Calibri" w:hAnsi="Calibri" w:eastAsia="宋体" w:cs="Times New Roman"/>
                <w:sz w:val="24"/>
                <w:szCs w:val="24"/>
                <w:lang w:val="en-GB"/>
              </w:rPr>
              <w:t>11</w:t>
            </w:r>
            <w:r>
              <w:rPr>
                <w:rFonts w:hint="eastAsia" w:ascii="Calibri" w:hAnsi="Calibri" w:eastAsia="宋体" w:cs="Times New Roman"/>
                <w:sz w:val="24"/>
                <w:szCs w:val="24"/>
                <w:lang w:val="en-GB"/>
              </w:rPr>
              <w:t>、设备具有无线遥测功能，通过内置蓝牙模块实现实时无线数据传输功能，</w:t>
            </w:r>
            <w:r>
              <w:rPr>
                <w:rFonts w:ascii="Calibri" w:hAnsi="Calibri" w:eastAsia="宋体" w:cs="Times New Roman"/>
                <w:sz w:val="24"/>
                <w:szCs w:val="24"/>
                <w:lang w:val="en-GB"/>
              </w:rPr>
              <w:t>发射频率2.4GHz，遵循</w:t>
            </w:r>
            <w:r>
              <w:rPr>
                <w:rFonts w:hint="eastAsia" w:ascii="Calibri" w:hAnsi="Calibri" w:eastAsia="宋体" w:cs="Times New Roman"/>
                <w:sz w:val="24"/>
                <w:szCs w:val="24"/>
                <w:lang w:val="en-GB"/>
              </w:rPr>
              <w:t>低功耗</w:t>
            </w:r>
            <w:r>
              <w:rPr>
                <w:rFonts w:ascii="Calibri" w:hAnsi="Calibri" w:eastAsia="宋体" w:cs="Times New Roman"/>
                <w:sz w:val="24"/>
                <w:szCs w:val="24"/>
                <w:lang w:val="en-GB"/>
              </w:rPr>
              <w:t>蓝牙</w:t>
            </w:r>
            <w:r>
              <w:rPr>
                <w:rFonts w:hint="eastAsia" w:ascii="Calibri" w:hAnsi="Calibri" w:eastAsia="宋体" w:cs="Times New Roman"/>
                <w:sz w:val="24"/>
                <w:szCs w:val="24"/>
                <w:lang w:val="en-GB"/>
              </w:rPr>
              <w:t>BLE</w:t>
            </w:r>
            <w:r>
              <w:rPr>
                <w:rFonts w:ascii="Calibri" w:hAnsi="Calibri" w:eastAsia="宋体" w:cs="Times New Roman"/>
                <w:sz w:val="24"/>
                <w:szCs w:val="24"/>
                <w:lang w:val="en-GB"/>
              </w:rPr>
              <w:t xml:space="preserve"> </w:t>
            </w:r>
            <w:r>
              <w:rPr>
                <w:rFonts w:hint="eastAsia" w:ascii="Calibri" w:hAnsi="Calibri" w:eastAsia="宋体" w:cs="Times New Roman"/>
                <w:sz w:val="24"/>
                <w:szCs w:val="24"/>
                <w:lang w:val="en-GB"/>
              </w:rPr>
              <w:t>5</w:t>
            </w:r>
            <w:r>
              <w:rPr>
                <w:rFonts w:ascii="Calibri" w:hAnsi="Calibri" w:eastAsia="宋体" w:cs="Times New Roman"/>
                <w:sz w:val="24"/>
                <w:szCs w:val="24"/>
                <w:lang w:val="en-GB"/>
              </w:rPr>
              <w:t>.0传输协议</w:t>
            </w:r>
            <w:r>
              <w:rPr>
                <w:rFonts w:hint="eastAsia" w:ascii="Calibri" w:hAnsi="Calibri" w:eastAsia="宋体" w:cs="Times New Roman"/>
                <w:sz w:val="24"/>
                <w:szCs w:val="24"/>
                <w:lang w:val="en-GB"/>
              </w:rPr>
              <w:t>，传输稳定，抗干扰性强。</w:t>
            </w:r>
          </w:p>
          <w:p w14:paraId="3EBDCBD7">
            <w:pPr>
              <w:jc w:val="left"/>
              <w:rPr>
                <w:rFonts w:ascii="Calibri" w:hAnsi="Calibri" w:eastAsia="宋体" w:cs="Times New Roman"/>
                <w:sz w:val="24"/>
                <w:szCs w:val="24"/>
                <w:lang w:val="en-GB"/>
              </w:rPr>
            </w:pPr>
            <w:r>
              <w:rPr>
                <w:rFonts w:ascii="Calibri" w:hAnsi="Calibri" w:eastAsia="宋体" w:cs="Times New Roman"/>
                <w:sz w:val="24"/>
                <w:szCs w:val="24"/>
                <w:lang w:val="en-GB"/>
              </w:rPr>
              <w:t>12</w:t>
            </w:r>
            <w:r>
              <w:rPr>
                <w:rFonts w:hint="eastAsia" w:ascii="Calibri" w:hAnsi="Calibri" w:eastAsia="宋体" w:cs="Times New Roman"/>
                <w:sz w:val="24"/>
                <w:szCs w:val="24"/>
                <w:lang w:val="en-GB"/>
              </w:rPr>
              <w:t>、设备具有环境光监测功能，可通过环境光自动识别出关灯和开灯时间。</w:t>
            </w:r>
          </w:p>
          <w:p w14:paraId="08126A85">
            <w:pPr>
              <w:jc w:val="left"/>
              <w:rPr>
                <w:rFonts w:ascii="Calibri" w:hAnsi="Calibri" w:eastAsia="宋体" w:cs="Times New Roman"/>
                <w:sz w:val="24"/>
                <w:szCs w:val="24"/>
                <w:lang w:val="en-GB"/>
              </w:rPr>
            </w:pPr>
            <w:r>
              <w:rPr>
                <w:rFonts w:hint="eastAsia" w:ascii="Calibri" w:hAnsi="Calibri" w:eastAsia="宋体" w:cs="Times New Roman"/>
                <w:sz w:val="24"/>
                <w:szCs w:val="24"/>
                <w:lang w:val="en-GB"/>
              </w:rPr>
              <w:t>1</w:t>
            </w:r>
            <w:r>
              <w:rPr>
                <w:rFonts w:ascii="Calibri" w:hAnsi="Calibri" w:eastAsia="宋体" w:cs="Times New Roman"/>
                <w:sz w:val="24"/>
                <w:szCs w:val="24"/>
                <w:lang w:val="en-GB"/>
              </w:rPr>
              <w:t>3</w:t>
            </w:r>
            <w:r>
              <w:rPr>
                <w:rFonts w:hint="eastAsia" w:ascii="Calibri" w:hAnsi="Calibri" w:eastAsia="宋体" w:cs="Times New Roman"/>
                <w:sz w:val="24"/>
                <w:szCs w:val="24"/>
                <w:lang w:val="en-GB"/>
              </w:rPr>
              <w:t>、具有高通、低通滤波、心电滤波、眼电滤波、工频陷波功能，可对单个通道进行滤波参数调整。</w:t>
            </w:r>
          </w:p>
          <w:p w14:paraId="28505236">
            <w:pPr>
              <w:jc w:val="left"/>
              <w:rPr>
                <w:rFonts w:ascii="Calibri" w:hAnsi="Calibri" w:eastAsia="宋体" w:cs="Times New Roman"/>
                <w:sz w:val="24"/>
                <w:szCs w:val="24"/>
                <w:lang w:val="en-GB"/>
              </w:rPr>
            </w:pPr>
            <w:r>
              <w:rPr>
                <w:rFonts w:hint="eastAsia" w:ascii="Calibri" w:hAnsi="Calibri" w:eastAsia="宋体" w:cs="Times New Roman"/>
                <w:sz w:val="24"/>
                <w:szCs w:val="24"/>
                <w:lang w:val="en-GB"/>
              </w:rPr>
              <w:t>1</w:t>
            </w:r>
            <w:r>
              <w:rPr>
                <w:rFonts w:ascii="Calibri" w:hAnsi="Calibri" w:eastAsia="宋体" w:cs="Times New Roman"/>
                <w:sz w:val="24"/>
                <w:szCs w:val="24"/>
                <w:lang w:val="en-GB"/>
              </w:rPr>
              <w:t>4</w:t>
            </w:r>
            <w:r>
              <w:rPr>
                <w:rFonts w:hint="eastAsia" w:ascii="Calibri" w:hAnsi="Calibri" w:eastAsia="宋体" w:cs="Times New Roman"/>
                <w:sz w:val="24"/>
                <w:szCs w:val="24"/>
                <w:lang w:val="en-GB"/>
              </w:rPr>
              <w:t>、具有实时阻抗检测功能，针对电生理信号（EXG信号）进行阻抗测试，避免因穿戴或其它不当问题影响信号采集质量。</w:t>
            </w:r>
          </w:p>
          <w:p w14:paraId="0D43F65A">
            <w:pPr>
              <w:jc w:val="left"/>
              <w:rPr>
                <w:rFonts w:ascii="Calibri" w:hAnsi="Calibri" w:eastAsia="宋体" w:cs="Times New Roman"/>
                <w:sz w:val="24"/>
                <w:szCs w:val="24"/>
                <w:lang w:val="en-GB"/>
              </w:rPr>
            </w:pPr>
            <w:r>
              <w:rPr>
                <w:rFonts w:hint="eastAsia" w:ascii="Calibri" w:hAnsi="Calibri" w:eastAsia="宋体" w:cs="Times New Roman"/>
                <w:sz w:val="24"/>
                <w:szCs w:val="24"/>
                <w:lang w:val="en-GB"/>
              </w:rPr>
              <w:t>1</w:t>
            </w:r>
            <w:r>
              <w:rPr>
                <w:rFonts w:ascii="Calibri" w:hAnsi="Calibri" w:eastAsia="宋体" w:cs="Times New Roman"/>
                <w:sz w:val="24"/>
                <w:szCs w:val="24"/>
                <w:lang w:val="en-GB"/>
              </w:rPr>
              <w:t>5</w:t>
            </w:r>
            <w:r>
              <w:rPr>
                <w:rFonts w:hint="eastAsia" w:ascii="Calibri" w:hAnsi="Calibri" w:eastAsia="宋体" w:cs="Times New Roman"/>
                <w:sz w:val="24"/>
                <w:szCs w:val="24"/>
                <w:lang w:val="en-GB"/>
              </w:rPr>
              <w:t>、</w:t>
            </w:r>
            <w:r>
              <w:rPr>
                <w:rFonts w:ascii="Calibri" w:hAnsi="Calibri" w:eastAsia="宋体" w:cs="Times New Roman"/>
                <w:sz w:val="24"/>
                <w:szCs w:val="24"/>
                <w:lang w:val="en-GB"/>
              </w:rPr>
              <w:t>患者报告</w:t>
            </w:r>
            <w:r>
              <w:rPr>
                <w:rFonts w:hint="eastAsia" w:ascii="Calibri" w:hAnsi="Calibri" w:eastAsia="宋体" w:cs="Times New Roman"/>
                <w:sz w:val="24"/>
                <w:szCs w:val="24"/>
                <w:lang w:val="en-GB"/>
              </w:rPr>
              <w:t>一键生成，</w:t>
            </w:r>
            <w:r>
              <w:rPr>
                <w:rFonts w:ascii="Calibri" w:hAnsi="Calibri" w:eastAsia="宋体" w:cs="Times New Roman"/>
                <w:sz w:val="24"/>
                <w:szCs w:val="24"/>
                <w:lang w:val="en-GB"/>
              </w:rPr>
              <w:t>可导出</w:t>
            </w:r>
            <w:r>
              <w:rPr>
                <w:rFonts w:hint="eastAsia" w:ascii="Calibri" w:hAnsi="Calibri" w:eastAsia="宋体" w:cs="Times New Roman"/>
                <w:sz w:val="24"/>
                <w:szCs w:val="24"/>
                <w:lang w:val="en-GB"/>
              </w:rPr>
              <w:t>为</w:t>
            </w:r>
            <w:r>
              <w:rPr>
                <w:rFonts w:ascii="Calibri" w:hAnsi="Calibri" w:eastAsia="宋体" w:cs="Times New Roman"/>
                <w:sz w:val="24"/>
                <w:szCs w:val="24"/>
                <w:lang w:val="en-GB"/>
              </w:rPr>
              <w:t>WORD、EXCEL、PDF</w:t>
            </w:r>
            <w:r>
              <w:rPr>
                <w:rFonts w:hint="eastAsia" w:ascii="Calibri" w:hAnsi="Calibri" w:eastAsia="宋体" w:cs="Times New Roman"/>
                <w:sz w:val="24"/>
                <w:szCs w:val="24"/>
                <w:lang w:val="en-GB"/>
              </w:rPr>
              <w:t>格式，同时可自定义报告模板，同时支持一键导出不同病例患者的各项监测生理指标至Excel中，便于临床医务人员进行科研及其他数据收集操作。</w:t>
            </w:r>
          </w:p>
          <w:p w14:paraId="49B36B5C">
            <w:pPr>
              <w:jc w:val="left"/>
              <w:rPr>
                <w:rFonts w:ascii="Calibri" w:hAnsi="Calibri" w:eastAsia="宋体" w:cs="Times New Roman"/>
                <w:sz w:val="24"/>
                <w:szCs w:val="24"/>
                <w:lang w:val="en-GB"/>
              </w:rPr>
            </w:pPr>
            <w:r>
              <w:rPr>
                <w:rFonts w:ascii="Calibri" w:hAnsi="Calibri" w:eastAsia="宋体" w:cs="Times New Roman"/>
                <w:sz w:val="24"/>
                <w:szCs w:val="24"/>
                <w:lang w:val="en-GB"/>
              </w:rPr>
              <w:t>16</w:t>
            </w:r>
            <w:r>
              <w:rPr>
                <w:rFonts w:hint="eastAsia" w:ascii="Calibri" w:hAnsi="Calibri" w:eastAsia="宋体" w:cs="Times New Roman"/>
                <w:sz w:val="24"/>
                <w:szCs w:val="24"/>
                <w:lang w:val="en-GB"/>
              </w:rPr>
              <w:t>、数据文件格式采用国际通用EDF格式，可将数据导入至其它所需要软件平台进行分析。</w:t>
            </w:r>
          </w:p>
          <w:p w14:paraId="70A26EEA">
            <w:pPr>
              <w:jc w:val="left"/>
              <w:rPr>
                <w:rFonts w:ascii="Calibri" w:hAnsi="Calibri" w:eastAsia="宋体" w:cs="Times New Roman"/>
                <w:sz w:val="24"/>
                <w:szCs w:val="24"/>
                <w:lang w:val="en-GB"/>
              </w:rPr>
            </w:pPr>
            <w:r>
              <w:rPr>
                <w:rFonts w:ascii="Calibri" w:hAnsi="Calibri" w:eastAsia="宋体" w:cs="Times New Roman"/>
                <w:sz w:val="24"/>
                <w:szCs w:val="24"/>
                <w:lang w:val="en-GB"/>
              </w:rPr>
              <w:t>17</w:t>
            </w:r>
            <w:r>
              <w:rPr>
                <w:rFonts w:hint="eastAsia" w:ascii="Calibri" w:hAnsi="Calibri" w:eastAsia="宋体" w:cs="Times New Roman"/>
                <w:sz w:val="24"/>
                <w:szCs w:val="24"/>
                <w:lang w:val="en-GB"/>
              </w:rPr>
              <w:t>、软件回放诊断界面的时基可自定义调整，支持分屏且各个分区的时基独立，分区的占比也可自由调整；可以手动或自动分析睡眠分期、呼吸事件、缺氧、肢体运动等事件，并最终生成统计结果和报告；睡眠报告具有睡眠节律、血氧、氧减、心率、脉率、觉醒、腿动、呼吸事件、</w:t>
            </w:r>
            <w:r>
              <w:rPr>
                <w:rFonts w:ascii="Calibri" w:hAnsi="Calibri" w:eastAsia="宋体" w:cs="Times New Roman"/>
                <w:sz w:val="24"/>
                <w:szCs w:val="24"/>
                <w:lang w:val="en-GB"/>
              </w:rPr>
              <w:t>PTT</w:t>
            </w:r>
            <w:r>
              <w:rPr>
                <w:rFonts w:hint="eastAsia" w:ascii="Calibri" w:hAnsi="Calibri" w:eastAsia="宋体" w:cs="Times New Roman"/>
                <w:sz w:val="24"/>
                <w:szCs w:val="24"/>
                <w:lang w:val="en-GB"/>
              </w:rPr>
              <w:t>、体动、体位的趋势图，压力滴定报表。</w:t>
            </w:r>
          </w:p>
          <w:p w14:paraId="02C2195D">
            <w:pPr>
              <w:jc w:val="left"/>
              <w:rPr>
                <w:rFonts w:ascii="Calibri" w:hAnsi="Calibri" w:eastAsia="宋体" w:cs="Times New Roman"/>
                <w:sz w:val="24"/>
                <w:szCs w:val="24"/>
                <w:lang w:val="en-GB"/>
              </w:rPr>
            </w:pPr>
            <w:r>
              <w:rPr>
                <w:rFonts w:ascii="Calibri" w:hAnsi="Calibri" w:eastAsia="宋体" w:cs="Times New Roman"/>
                <w:sz w:val="24"/>
                <w:szCs w:val="24"/>
                <w:lang w:val="en-GB"/>
              </w:rPr>
              <w:t>18</w:t>
            </w:r>
            <w:r>
              <w:rPr>
                <w:rFonts w:hint="eastAsia" w:ascii="Calibri" w:hAnsi="Calibri" w:eastAsia="宋体" w:cs="Times New Roman"/>
                <w:sz w:val="24"/>
                <w:szCs w:val="24"/>
                <w:lang w:val="en-GB"/>
              </w:rPr>
              <w:t>、设备具备硅胶指套、硅胶戒指等多种睡眠监测血氧传感器，不会对人体产生压迫伤，减少发生被动脱落的可能，确保整夜血氧指标监测的完整性。</w:t>
            </w:r>
          </w:p>
          <w:p w14:paraId="33453829">
            <w:pPr>
              <w:jc w:val="left"/>
              <w:rPr>
                <w:rFonts w:ascii="Calibri" w:hAnsi="Calibri" w:eastAsia="宋体" w:cs="Times New Roman"/>
                <w:sz w:val="24"/>
                <w:szCs w:val="24"/>
                <w:lang w:val="en-GB"/>
              </w:rPr>
            </w:pPr>
            <w:r>
              <w:rPr>
                <w:rFonts w:hint="eastAsia" w:ascii="宋体" w:hAnsi="宋体" w:eastAsia="宋体" w:cs="宋体"/>
                <w:sz w:val="24"/>
                <w:szCs w:val="24"/>
                <w:lang w:val="en-GB"/>
              </w:rPr>
              <w:t>★</w:t>
            </w:r>
            <w:r>
              <w:rPr>
                <w:rFonts w:ascii="Calibri" w:hAnsi="Calibri" w:eastAsia="宋体" w:cs="Times New Roman"/>
                <w:sz w:val="24"/>
                <w:szCs w:val="24"/>
                <w:lang w:val="en-GB"/>
              </w:rPr>
              <w:t>19</w:t>
            </w:r>
            <w:r>
              <w:rPr>
                <w:rFonts w:hint="eastAsia" w:ascii="Calibri" w:hAnsi="Calibri" w:eastAsia="宋体" w:cs="Times New Roman"/>
                <w:sz w:val="24"/>
                <w:szCs w:val="24"/>
                <w:lang w:val="en-GB"/>
              </w:rPr>
              <w:t>、回放分析功能：可用色标自动标记纺锤波、K综合波、Delta波，包括REM期的反相和正相眼球运动、各种呼吸事件、氧减事件等，可通过快捷键注释（包括事件类型，起止时间，峰值，谷值等），并具备自动统计功能。</w:t>
            </w:r>
          </w:p>
          <w:p w14:paraId="456E2F70">
            <w:pPr>
              <w:jc w:val="left"/>
              <w:rPr>
                <w:rFonts w:ascii="Calibri" w:hAnsi="Calibri" w:eastAsia="宋体" w:cs="Times New Roman"/>
                <w:sz w:val="24"/>
                <w:szCs w:val="24"/>
                <w:lang w:val="en-GB"/>
              </w:rPr>
            </w:pPr>
            <w:r>
              <w:rPr>
                <w:rFonts w:hint="eastAsia" w:ascii="宋体" w:hAnsi="宋体" w:eastAsia="宋体" w:cs="宋体"/>
                <w:sz w:val="24"/>
                <w:szCs w:val="24"/>
                <w:lang w:val="en-GB"/>
              </w:rPr>
              <w:t>★</w:t>
            </w:r>
            <w:r>
              <w:rPr>
                <w:rFonts w:ascii="Calibri" w:hAnsi="Calibri" w:eastAsia="宋体" w:cs="Times New Roman"/>
                <w:sz w:val="24"/>
                <w:szCs w:val="24"/>
                <w:lang w:val="en-GB"/>
              </w:rPr>
              <w:t>20</w:t>
            </w:r>
            <w:r>
              <w:rPr>
                <w:rFonts w:hint="eastAsia" w:ascii="Calibri" w:hAnsi="Calibri" w:eastAsia="宋体" w:cs="Times New Roman"/>
                <w:sz w:val="24"/>
                <w:szCs w:val="24"/>
                <w:lang w:val="en-GB"/>
              </w:rPr>
              <w:t>、软件具有设备管理功能，一套软件支持管理多套、不同型号的设备，类别分明，信息直观，简约高效；也可同时打开多个实时监测窗口，多个判图窗口（均可含不同模式）。</w:t>
            </w:r>
          </w:p>
          <w:p w14:paraId="04FB5C1A">
            <w:pPr>
              <w:jc w:val="left"/>
              <w:rPr>
                <w:rFonts w:ascii="Calibri" w:hAnsi="Calibri" w:eastAsia="宋体" w:cs="Times New Roman"/>
                <w:sz w:val="24"/>
                <w:szCs w:val="24"/>
                <w:lang w:val="en-GB"/>
              </w:rPr>
            </w:pPr>
            <w:r>
              <w:rPr>
                <w:rFonts w:ascii="Calibri" w:hAnsi="Calibri" w:eastAsia="宋体" w:cs="Times New Roman"/>
                <w:sz w:val="24"/>
                <w:szCs w:val="24"/>
                <w:lang w:val="en-GB"/>
              </w:rPr>
              <w:t>21</w:t>
            </w:r>
            <w:r>
              <w:rPr>
                <w:rFonts w:hint="eastAsia" w:ascii="Calibri" w:hAnsi="Calibri" w:eastAsia="宋体" w:cs="Times New Roman"/>
                <w:sz w:val="24"/>
                <w:szCs w:val="24"/>
                <w:lang w:val="en-GB"/>
              </w:rPr>
              <w:t>、具备心率分析功能：分析和统计在各个时期伴有呼吸事件时的停搏、心动过缓、心动过速、复杂性心动过速和房颤的次数；统计在呼吸事件发生时的室性早搏和室上性早搏事件。</w:t>
            </w:r>
          </w:p>
          <w:p w14:paraId="57EF625F">
            <w:pPr>
              <w:jc w:val="left"/>
              <w:rPr>
                <w:rFonts w:ascii="Calibri" w:hAnsi="Calibri" w:eastAsia="宋体" w:cs="Times New Roman"/>
                <w:sz w:val="24"/>
                <w:szCs w:val="24"/>
                <w:lang w:val="en-GB"/>
              </w:rPr>
            </w:pPr>
            <w:r>
              <w:rPr>
                <w:rFonts w:ascii="Calibri" w:hAnsi="Calibri" w:eastAsia="宋体" w:cs="Times New Roman"/>
                <w:sz w:val="24"/>
                <w:szCs w:val="24"/>
                <w:lang w:val="en-GB"/>
              </w:rPr>
              <w:t>22</w:t>
            </w:r>
            <w:r>
              <w:rPr>
                <w:rFonts w:hint="eastAsia" w:ascii="Calibri" w:hAnsi="Calibri" w:eastAsia="宋体" w:cs="Times New Roman"/>
                <w:sz w:val="24"/>
                <w:szCs w:val="24"/>
                <w:lang w:val="en-GB"/>
              </w:rPr>
              <w:t>、软件首页即有便捷功能，病历各项展示信息进行排序和控制显示；病历的报告简述，报告打印；双击即可动态化进入不同状态病历的下一步操作。</w:t>
            </w:r>
          </w:p>
          <w:p w14:paraId="6B1A0497">
            <w:pPr>
              <w:jc w:val="left"/>
              <w:rPr>
                <w:rFonts w:ascii="Calibri" w:hAnsi="Calibri" w:eastAsia="宋体" w:cs="Times New Roman"/>
                <w:sz w:val="24"/>
                <w:szCs w:val="24"/>
                <w:lang w:val="en-GB"/>
              </w:rPr>
            </w:pPr>
            <w:r>
              <w:rPr>
                <w:rFonts w:ascii="Calibri" w:hAnsi="Calibri" w:eastAsia="宋体" w:cs="Times New Roman"/>
                <w:sz w:val="24"/>
                <w:szCs w:val="24"/>
                <w:lang w:val="en-GB"/>
              </w:rPr>
              <w:t>23</w:t>
            </w:r>
            <w:r>
              <w:rPr>
                <w:rFonts w:hint="eastAsia" w:ascii="Calibri" w:hAnsi="Calibri" w:eastAsia="宋体" w:cs="Times New Roman"/>
                <w:sz w:val="24"/>
                <w:szCs w:val="24"/>
                <w:lang w:val="en-GB"/>
              </w:rPr>
              <w:t>、软件判读中事件标注拖动框内有信息展示，实时展示拖动时间、下降比、氧减值等信息，辅助快速判图。</w:t>
            </w:r>
          </w:p>
          <w:p w14:paraId="69C96A6A">
            <w:pPr>
              <w:jc w:val="left"/>
              <w:rPr>
                <w:rFonts w:ascii="Calibri" w:hAnsi="Calibri" w:eastAsia="宋体" w:cs="Times New Roman"/>
                <w:sz w:val="24"/>
                <w:szCs w:val="24"/>
                <w:lang w:val="en-GB"/>
              </w:rPr>
            </w:pPr>
            <w:r>
              <w:rPr>
                <w:rFonts w:ascii="Calibri" w:hAnsi="Calibri" w:eastAsia="宋体" w:cs="Times New Roman"/>
                <w:sz w:val="24"/>
                <w:szCs w:val="24"/>
                <w:lang w:val="en-GB"/>
              </w:rPr>
              <w:t>24</w:t>
            </w:r>
            <w:r>
              <w:rPr>
                <w:rFonts w:hint="eastAsia" w:ascii="Calibri" w:hAnsi="Calibri" w:eastAsia="宋体" w:cs="Times New Roman"/>
                <w:sz w:val="24"/>
                <w:szCs w:val="24"/>
                <w:lang w:val="en-GB"/>
              </w:rPr>
              <w:t>、配备判图医师管理系统，不同身份对应不同权限模式，例如，见习只可浏览不可诊断；医师签名支持 留白、电子签名、电子手工签名。</w:t>
            </w:r>
          </w:p>
          <w:p w14:paraId="16AFED80">
            <w:pPr>
              <w:jc w:val="left"/>
              <w:rPr>
                <w:sz w:val="24"/>
                <w:szCs w:val="24"/>
                <w:lang w:val="en-GB"/>
              </w:rPr>
            </w:pPr>
            <w:r>
              <w:rPr>
                <w:rFonts w:ascii="Calibri" w:hAnsi="Calibri" w:eastAsia="宋体" w:cs="Times New Roman"/>
                <w:sz w:val="24"/>
                <w:szCs w:val="24"/>
                <w:lang w:val="en-GB"/>
              </w:rPr>
              <w:t>25</w:t>
            </w:r>
            <w:r>
              <w:rPr>
                <w:rFonts w:hint="eastAsia" w:ascii="Calibri" w:hAnsi="Calibri" w:eastAsia="宋体" w:cs="Times New Roman"/>
                <w:sz w:val="24"/>
                <w:szCs w:val="24"/>
                <w:lang w:val="en-GB"/>
              </w:rPr>
              <w:t>、自定义配置趋势图的展现方式，支持折线图、直方图、色块图，任意模式，随意配置，满足不同医院使用习惯。</w:t>
            </w:r>
          </w:p>
        </w:tc>
      </w:tr>
      <w:tr w14:paraId="16BB013D">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988" w:hRule="atLeast"/>
        </w:trPr>
        <w:tc>
          <w:tcPr>
            <w:tcW w:w="441" w:type="pct"/>
            <w:vAlign w:val="center"/>
          </w:tcPr>
          <w:p w14:paraId="1FE5F5C7">
            <w:pPr>
              <w:jc w:val="center"/>
              <w:rPr>
                <w:sz w:val="24"/>
                <w:szCs w:val="24"/>
              </w:rPr>
            </w:pPr>
            <w:r>
              <w:rPr>
                <w:rFonts w:hint="eastAsia"/>
                <w:sz w:val="24"/>
                <w:szCs w:val="24"/>
              </w:rPr>
              <w:t>2</w:t>
            </w:r>
          </w:p>
        </w:tc>
        <w:tc>
          <w:tcPr>
            <w:tcW w:w="1033" w:type="pct"/>
            <w:vAlign w:val="center"/>
          </w:tcPr>
          <w:p w14:paraId="483B22D2">
            <w:pPr>
              <w:jc w:val="center"/>
              <w:rPr>
                <w:sz w:val="24"/>
                <w:szCs w:val="24"/>
              </w:rPr>
            </w:pPr>
            <w:r>
              <w:rPr>
                <w:sz w:val="24"/>
                <w:szCs w:val="24"/>
              </w:rPr>
              <w:t>血液净化机</w:t>
            </w:r>
            <w:r>
              <w:rPr>
                <w:rFonts w:hint="eastAsia"/>
                <w:sz w:val="24"/>
                <w:szCs w:val="24"/>
              </w:rPr>
              <w:t>CRRT</w:t>
            </w:r>
          </w:p>
        </w:tc>
        <w:tc>
          <w:tcPr>
            <w:tcW w:w="3525" w:type="pct"/>
          </w:tcPr>
          <w:p w14:paraId="6172AAD0">
            <w:pPr>
              <w:jc w:val="left"/>
              <w:rPr>
                <w:bCs/>
                <w:sz w:val="24"/>
                <w:szCs w:val="24"/>
              </w:rPr>
            </w:pPr>
            <w:r>
              <w:rPr>
                <w:rFonts w:hint="eastAsia"/>
                <w:bCs/>
                <w:sz w:val="24"/>
                <w:szCs w:val="24"/>
              </w:rPr>
              <w:t>一、功能描述：</w:t>
            </w:r>
          </w:p>
          <w:p w14:paraId="00CFCA02">
            <w:pPr>
              <w:jc w:val="left"/>
              <w:rPr>
                <w:bCs/>
                <w:sz w:val="24"/>
                <w:szCs w:val="24"/>
              </w:rPr>
            </w:pPr>
            <w:r>
              <w:rPr>
                <w:rFonts w:hint="eastAsia"/>
                <w:bCs/>
                <w:sz w:val="24"/>
                <w:szCs w:val="24"/>
              </w:rPr>
              <w:t>临床用于连续性血液净化治疗、血浆置换治疗等</w:t>
            </w:r>
          </w:p>
          <w:p w14:paraId="25D3CE5C">
            <w:pPr>
              <w:jc w:val="left"/>
              <w:rPr>
                <w:bCs/>
                <w:sz w:val="24"/>
                <w:szCs w:val="24"/>
              </w:rPr>
            </w:pPr>
            <w:r>
              <w:rPr>
                <w:rFonts w:hint="eastAsia"/>
                <w:bCs/>
                <w:sz w:val="24"/>
                <w:szCs w:val="24"/>
              </w:rPr>
              <w:t>二、治疗模式：</w:t>
            </w:r>
          </w:p>
          <w:p w14:paraId="699B55DA">
            <w:pPr>
              <w:jc w:val="left"/>
              <w:rPr>
                <w:sz w:val="24"/>
                <w:szCs w:val="24"/>
              </w:rPr>
            </w:pPr>
            <w:r>
              <w:rPr>
                <w:rFonts w:hint="eastAsia"/>
                <w:bCs/>
                <w:sz w:val="24"/>
                <w:szCs w:val="24"/>
              </w:rPr>
              <w:t>★连续性静脉静脉血液透析（CVVHD）、连续性静脉静脉血液滤过（CVVH）、连续性静脉静脉血液透析滤过（CVVHDF）、血浆置换治疗（TPE），并可实现一体化枸橼酸抗凝模式下CVVHD、CVVHDF治疗。</w:t>
            </w:r>
          </w:p>
          <w:p w14:paraId="0204DEB2">
            <w:pPr>
              <w:jc w:val="left"/>
              <w:rPr>
                <w:bCs/>
                <w:sz w:val="24"/>
                <w:szCs w:val="24"/>
              </w:rPr>
            </w:pPr>
            <w:r>
              <w:rPr>
                <w:rFonts w:hint="eastAsia"/>
                <w:bCs/>
                <w:sz w:val="24"/>
                <w:szCs w:val="24"/>
              </w:rPr>
              <w:t>三、技术要求</w:t>
            </w:r>
          </w:p>
          <w:p w14:paraId="6BD3EC39">
            <w:pPr>
              <w:jc w:val="left"/>
              <w:rPr>
                <w:bCs/>
                <w:sz w:val="24"/>
                <w:szCs w:val="24"/>
              </w:rPr>
            </w:pPr>
            <w:r>
              <w:rPr>
                <w:rFonts w:hint="eastAsia"/>
                <w:bCs/>
                <w:sz w:val="24"/>
                <w:szCs w:val="24"/>
              </w:rPr>
              <w:t>★1.具有≥14英寸中文触摸显示屏。</w:t>
            </w:r>
          </w:p>
          <w:p w14:paraId="41FC60DC">
            <w:pPr>
              <w:jc w:val="left"/>
              <w:rPr>
                <w:bCs/>
                <w:sz w:val="24"/>
                <w:szCs w:val="24"/>
              </w:rPr>
            </w:pPr>
            <w:r>
              <w:rPr>
                <w:rFonts w:hint="eastAsia"/>
                <w:bCs/>
                <w:sz w:val="24"/>
                <w:szCs w:val="24"/>
              </w:rPr>
              <w:t>2.具有耗材安装指引，具有智能纠错功能。</w:t>
            </w:r>
          </w:p>
          <w:p w14:paraId="0791B6F8">
            <w:pPr>
              <w:jc w:val="left"/>
              <w:rPr>
                <w:sz w:val="24"/>
                <w:szCs w:val="24"/>
              </w:rPr>
            </w:pPr>
            <w:r>
              <w:rPr>
                <w:rFonts w:hint="eastAsia"/>
                <w:bCs/>
                <w:sz w:val="24"/>
                <w:szCs w:val="24"/>
              </w:rPr>
              <w:t>★3.设备配置≥5个流量泵，包含血泵、置换液泵、透析液泵、滤出液泵，包含用于枸橼酸抗凝治疗的枸橼酸泵和钙泵。</w:t>
            </w:r>
          </w:p>
          <w:p w14:paraId="68B325C2">
            <w:pPr>
              <w:jc w:val="left"/>
              <w:rPr>
                <w:sz w:val="24"/>
                <w:szCs w:val="24"/>
              </w:rPr>
            </w:pPr>
            <w:r>
              <w:rPr>
                <w:rFonts w:hint="eastAsia"/>
                <w:sz w:val="24"/>
                <w:szCs w:val="24"/>
              </w:rPr>
              <w:t>4.标配1个肝素泵，流量范围1-20ml/h，具有单次推注功能。</w:t>
            </w:r>
          </w:p>
          <w:p w14:paraId="5982E8EC">
            <w:pPr>
              <w:jc w:val="left"/>
              <w:rPr>
                <w:bCs/>
                <w:sz w:val="24"/>
                <w:szCs w:val="24"/>
              </w:rPr>
            </w:pPr>
            <w:r>
              <w:rPr>
                <w:rFonts w:hint="eastAsia"/>
                <w:bCs/>
                <w:sz w:val="24"/>
                <w:szCs w:val="24"/>
              </w:rPr>
              <w:t>★5.为保证设备运转正常和连续性血液净化治疗需求，需可提供与设备同品牌的原厂管路及滤器，耗材设计使用时长至少可达70h。</w:t>
            </w:r>
          </w:p>
          <w:p w14:paraId="030DE20F">
            <w:pPr>
              <w:jc w:val="left"/>
              <w:rPr>
                <w:sz w:val="24"/>
                <w:szCs w:val="24"/>
              </w:rPr>
            </w:pPr>
            <w:r>
              <w:rPr>
                <w:rFonts w:hint="eastAsia"/>
                <w:sz w:val="24"/>
                <w:szCs w:val="24"/>
              </w:rPr>
              <w:t>6.具有超滤比率显示和报警提示功能；</w:t>
            </w:r>
          </w:p>
          <w:p w14:paraId="6025E90C">
            <w:pPr>
              <w:jc w:val="left"/>
              <w:rPr>
                <w:sz w:val="24"/>
                <w:szCs w:val="24"/>
              </w:rPr>
            </w:pPr>
            <w:r>
              <w:rPr>
                <w:rFonts w:hint="eastAsia"/>
                <w:bCs/>
                <w:sz w:val="24"/>
                <w:szCs w:val="24"/>
              </w:rPr>
              <w:t>★</w:t>
            </w:r>
            <w:r>
              <w:rPr>
                <w:rFonts w:hint="eastAsia"/>
                <w:sz w:val="24"/>
                <w:szCs w:val="24"/>
              </w:rPr>
              <w:t>7.加热系统：可直接对置换液和透析液进行同时加热，不对血液直接加热，加热范围不超过35-39℃。</w:t>
            </w:r>
          </w:p>
          <w:p w14:paraId="6A51DD14">
            <w:pPr>
              <w:jc w:val="left"/>
              <w:rPr>
                <w:bCs/>
                <w:sz w:val="24"/>
                <w:szCs w:val="24"/>
              </w:rPr>
            </w:pPr>
            <w:r>
              <w:rPr>
                <w:rFonts w:hint="eastAsia"/>
                <w:bCs/>
                <w:sz w:val="24"/>
                <w:szCs w:val="24"/>
              </w:rPr>
              <w:t>8.可实施监测动脉压、静脉压、滤器前压、滤过液压、跨膜压，并具备所有压力趋势图显示功能。</w:t>
            </w:r>
          </w:p>
          <w:p w14:paraId="39706073">
            <w:pPr>
              <w:jc w:val="left"/>
              <w:rPr>
                <w:sz w:val="24"/>
                <w:szCs w:val="24"/>
              </w:rPr>
            </w:pPr>
            <w:r>
              <w:rPr>
                <w:rFonts w:hint="eastAsia"/>
                <w:bCs/>
                <w:sz w:val="24"/>
                <w:szCs w:val="24"/>
              </w:rPr>
              <w:t>★9.具有至少4个高精度天平，单个天平称重≥12kg</w:t>
            </w:r>
          </w:p>
          <w:p w14:paraId="2FB263B5">
            <w:pPr>
              <w:jc w:val="left"/>
              <w:rPr>
                <w:bCs/>
                <w:sz w:val="24"/>
                <w:szCs w:val="24"/>
              </w:rPr>
            </w:pPr>
            <w:r>
              <w:rPr>
                <w:rFonts w:hint="eastAsia"/>
                <w:bCs/>
                <w:sz w:val="24"/>
                <w:szCs w:val="24"/>
              </w:rPr>
              <w:t>10.流量控制范围：</w:t>
            </w:r>
          </w:p>
          <w:p w14:paraId="11B55A2E">
            <w:pPr>
              <w:jc w:val="left"/>
              <w:rPr>
                <w:bCs/>
                <w:sz w:val="24"/>
                <w:szCs w:val="24"/>
              </w:rPr>
            </w:pPr>
            <w:r>
              <w:rPr>
                <w:rFonts w:hint="eastAsia"/>
                <w:bCs/>
                <w:sz w:val="24"/>
                <w:szCs w:val="24"/>
              </w:rPr>
              <w:t>10.1血泵流量范围：10mL/min～500mL/min；</w:t>
            </w:r>
          </w:p>
          <w:p w14:paraId="61B250EC">
            <w:pPr>
              <w:jc w:val="left"/>
              <w:rPr>
                <w:sz w:val="24"/>
                <w:szCs w:val="24"/>
              </w:rPr>
            </w:pPr>
            <w:r>
              <w:rPr>
                <w:rFonts w:hint="eastAsia"/>
                <w:sz w:val="24"/>
                <w:szCs w:val="24"/>
              </w:rPr>
              <w:t>10.2置换液流量范围：10～80mL/min；</w:t>
            </w:r>
          </w:p>
          <w:p w14:paraId="260E36C6">
            <w:pPr>
              <w:jc w:val="left"/>
              <w:rPr>
                <w:bCs/>
                <w:sz w:val="24"/>
                <w:szCs w:val="24"/>
              </w:rPr>
            </w:pPr>
            <w:r>
              <w:rPr>
                <w:rFonts w:hint="eastAsia"/>
                <w:bCs/>
                <w:sz w:val="24"/>
                <w:szCs w:val="24"/>
              </w:rPr>
              <w:t>10.3废液流量范围：10～180mL/min；</w:t>
            </w:r>
          </w:p>
          <w:p w14:paraId="735EC2A5">
            <w:pPr>
              <w:jc w:val="left"/>
              <w:rPr>
                <w:bCs/>
                <w:sz w:val="24"/>
                <w:szCs w:val="24"/>
              </w:rPr>
            </w:pPr>
            <w:r>
              <w:rPr>
                <w:rFonts w:hint="eastAsia"/>
                <w:bCs/>
                <w:sz w:val="24"/>
                <w:szCs w:val="24"/>
              </w:rPr>
              <w:t>10.4透析液流量范围：</w:t>
            </w:r>
            <w:r>
              <w:rPr>
                <w:rFonts w:hint="eastAsia"/>
                <w:sz w:val="24"/>
                <w:szCs w:val="24"/>
              </w:rPr>
              <w:t>10～80mL/min</w:t>
            </w:r>
          </w:p>
          <w:p w14:paraId="3E337846">
            <w:pPr>
              <w:jc w:val="left"/>
              <w:rPr>
                <w:bCs/>
                <w:sz w:val="24"/>
                <w:szCs w:val="24"/>
              </w:rPr>
            </w:pPr>
            <w:r>
              <w:rPr>
                <w:rFonts w:hint="eastAsia"/>
                <w:bCs/>
                <w:sz w:val="24"/>
                <w:szCs w:val="24"/>
              </w:rPr>
              <w:t>11.压力监测范围：</w:t>
            </w:r>
          </w:p>
          <w:p w14:paraId="27C5638B">
            <w:pPr>
              <w:jc w:val="left"/>
              <w:rPr>
                <w:sz w:val="24"/>
                <w:szCs w:val="24"/>
              </w:rPr>
            </w:pPr>
            <w:r>
              <w:rPr>
                <w:rFonts w:hint="eastAsia"/>
                <w:sz w:val="24"/>
                <w:szCs w:val="24"/>
              </w:rPr>
              <w:t>11.1动脉压监测范围: -250mmHg～+300mmHg；</w:t>
            </w:r>
          </w:p>
          <w:p w14:paraId="5A65EDF4">
            <w:pPr>
              <w:jc w:val="left"/>
              <w:rPr>
                <w:bCs/>
                <w:sz w:val="24"/>
                <w:szCs w:val="24"/>
              </w:rPr>
            </w:pPr>
            <w:r>
              <w:rPr>
                <w:rFonts w:hint="eastAsia"/>
                <w:bCs/>
                <w:sz w:val="24"/>
                <w:szCs w:val="24"/>
              </w:rPr>
              <w:t>11.2静脉压监测范围: -50mmHg～+500mmHg；</w:t>
            </w:r>
          </w:p>
          <w:p w14:paraId="2218D65B">
            <w:pPr>
              <w:jc w:val="left"/>
              <w:rPr>
                <w:sz w:val="24"/>
                <w:szCs w:val="24"/>
              </w:rPr>
            </w:pPr>
            <w:r>
              <w:rPr>
                <w:rFonts w:hint="eastAsia"/>
                <w:sz w:val="24"/>
                <w:szCs w:val="24"/>
              </w:rPr>
              <w:t>11.3跨膜压监测范围: -300mmHg～+400mmHg；</w:t>
            </w:r>
          </w:p>
          <w:p w14:paraId="2B938F5A">
            <w:pPr>
              <w:jc w:val="left"/>
              <w:rPr>
                <w:sz w:val="24"/>
                <w:szCs w:val="24"/>
              </w:rPr>
            </w:pPr>
            <w:r>
              <w:rPr>
                <w:rFonts w:hint="eastAsia"/>
                <w:sz w:val="24"/>
                <w:szCs w:val="24"/>
              </w:rPr>
              <w:t>12.静脉端具备空气探测器，可监测到最小20ul的气泡</w:t>
            </w:r>
          </w:p>
          <w:p w14:paraId="2B6293C2">
            <w:pPr>
              <w:jc w:val="left"/>
              <w:rPr>
                <w:sz w:val="24"/>
                <w:szCs w:val="24"/>
              </w:rPr>
            </w:pPr>
            <w:r>
              <w:rPr>
                <w:rFonts w:hint="eastAsia"/>
                <w:sz w:val="24"/>
                <w:szCs w:val="24"/>
              </w:rPr>
              <w:t>13．具有临时中断治疗程序</w:t>
            </w:r>
          </w:p>
          <w:p w14:paraId="3F32599B">
            <w:pPr>
              <w:jc w:val="left"/>
              <w:rPr>
                <w:bCs/>
                <w:sz w:val="24"/>
                <w:szCs w:val="24"/>
              </w:rPr>
            </w:pPr>
            <w:r>
              <w:rPr>
                <w:rFonts w:hint="eastAsia"/>
                <w:bCs/>
                <w:sz w:val="24"/>
                <w:szCs w:val="24"/>
              </w:rPr>
              <w:t>14.具备漏血监测：可检测≤0.35mL/min。</w:t>
            </w:r>
          </w:p>
          <w:p w14:paraId="33A2A502">
            <w:pPr>
              <w:jc w:val="left"/>
              <w:rPr>
                <w:bCs/>
                <w:sz w:val="24"/>
                <w:szCs w:val="24"/>
              </w:rPr>
            </w:pPr>
            <w:r>
              <w:rPr>
                <w:rFonts w:hint="eastAsia"/>
                <w:bCs/>
                <w:sz w:val="24"/>
                <w:szCs w:val="24"/>
              </w:rPr>
              <w:t>15.备用电池，确保不间断治疔至少15分钟。</w:t>
            </w:r>
          </w:p>
          <w:p w14:paraId="70DA379B">
            <w:pPr>
              <w:jc w:val="left"/>
              <w:rPr>
                <w:bCs/>
                <w:sz w:val="24"/>
                <w:szCs w:val="24"/>
              </w:rPr>
            </w:pPr>
            <w:r>
              <w:rPr>
                <w:rFonts w:hint="eastAsia"/>
                <w:bCs/>
                <w:sz w:val="24"/>
                <w:szCs w:val="24"/>
              </w:rPr>
              <w:t>16.采用全万向轮设计，设备前后均设计把手，便于转运。</w:t>
            </w:r>
          </w:p>
        </w:tc>
      </w:tr>
      <w:tr w14:paraId="5014CD93">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988" w:hRule="atLeast"/>
        </w:trPr>
        <w:tc>
          <w:tcPr>
            <w:tcW w:w="441" w:type="pct"/>
            <w:vAlign w:val="center"/>
          </w:tcPr>
          <w:p w14:paraId="53EAD371">
            <w:pPr>
              <w:jc w:val="center"/>
              <w:rPr>
                <w:sz w:val="24"/>
                <w:szCs w:val="24"/>
              </w:rPr>
            </w:pPr>
            <w:r>
              <w:rPr>
                <w:rFonts w:hint="eastAsia"/>
                <w:sz w:val="24"/>
                <w:szCs w:val="24"/>
              </w:rPr>
              <w:t>3</w:t>
            </w:r>
          </w:p>
        </w:tc>
        <w:tc>
          <w:tcPr>
            <w:tcW w:w="1033" w:type="pct"/>
            <w:vAlign w:val="center"/>
          </w:tcPr>
          <w:p w14:paraId="42A14B67">
            <w:pPr>
              <w:jc w:val="center"/>
              <w:rPr>
                <w:sz w:val="24"/>
                <w:szCs w:val="24"/>
              </w:rPr>
            </w:pPr>
            <w:r>
              <w:rPr>
                <w:sz w:val="24"/>
                <w:szCs w:val="24"/>
              </w:rPr>
              <w:t>阴道分泌物检测仪</w:t>
            </w:r>
          </w:p>
        </w:tc>
        <w:tc>
          <w:tcPr>
            <w:tcW w:w="3525" w:type="pct"/>
          </w:tcPr>
          <w:p w14:paraId="073CC317">
            <w:pPr>
              <w:jc w:val="left"/>
              <w:rPr>
                <w:rFonts w:hint="eastAsia"/>
                <w:sz w:val="24"/>
                <w:szCs w:val="24"/>
              </w:rPr>
            </w:pPr>
            <w:r>
              <w:rPr>
                <w:rFonts w:hint="eastAsia"/>
                <w:bCs/>
                <w:sz w:val="24"/>
                <w:szCs w:val="24"/>
              </w:rPr>
              <w:t>★</w:t>
            </w:r>
            <w:r>
              <w:rPr>
                <w:rFonts w:hint="eastAsia"/>
                <w:sz w:val="24"/>
                <w:szCs w:val="24"/>
              </w:rPr>
              <w:t>1、全自动化检测：集条码扫描，加稀释液、洗脱、制片，加样、温控、检测、报告输出、数据统计等为一体，避免手工操作和人为误差，充分解放人工。</w:t>
            </w:r>
          </w:p>
          <w:p w14:paraId="33FF7123">
            <w:pPr>
              <w:jc w:val="left"/>
              <w:rPr>
                <w:rFonts w:hint="eastAsia"/>
                <w:sz w:val="24"/>
                <w:szCs w:val="24"/>
              </w:rPr>
            </w:pPr>
            <w:r>
              <w:rPr>
                <w:rFonts w:hint="eastAsia"/>
                <w:bCs/>
                <w:sz w:val="24"/>
                <w:szCs w:val="24"/>
              </w:rPr>
              <w:t>★</w:t>
            </w:r>
            <w:r>
              <w:rPr>
                <w:rFonts w:hint="eastAsia"/>
                <w:sz w:val="24"/>
                <w:szCs w:val="24"/>
              </w:rPr>
              <w:t>2、检测容量大：一次性最大装样48T，排管式进样，随到随检（不必要等上一批次检测结束后，才能添加新样本）</w:t>
            </w:r>
          </w:p>
          <w:p w14:paraId="20B74CCC">
            <w:pPr>
              <w:jc w:val="left"/>
              <w:rPr>
                <w:rFonts w:hint="eastAsia"/>
                <w:sz w:val="24"/>
                <w:szCs w:val="24"/>
              </w:rPr>
            </w:pPr>
            <w:r>
              <w:rPr>
                <w:rFonts w:hint="eastAsia"/>
                <w:bCs/>
                <w:sz w:val="24"/>
                <w:szCs w:val="24"/>
              </w:rPr>
              <w:t>★</w:t>
            </w:r>
            <w:r>
              <w:rPr>
                <w:rFonts w:hint="eastAsia"/>
                <w:sz w:val="24"/>
                <w:szCs w:val="24"/>
              </w:rPr>
              <w:t>3、检测后数据信息化管理：USB接口、</w:t>
            </w:r>
            <w:r>
              <w:rPr>
                <w:sz w:val="24"/>
                <w:szCs w:val="24"/>
              </w:rPr>
              <w:t>双向通讯，可与医院信息管理系统连接，实现了检测结果的共享及病例信息管理的标准化，可存储几十万条病例资料</w:t>
            </w:r>
          </w:p>
          <w:p w14:paraId="571C9844">
            <w:pPr>
              <w:jc w:val="left"/>
              <w:rPr>
                <w:rFonts w:hint="eastAsia"/>
                <w:sz w:val="24"/>
                <w:szCs w:val="24"/>
              </w:rPr>
            </w:pPr>
            <w:r>
              <w:rPr>
                <w:rFonts w:hint="eastAsia"/>
                <w:sz w:val="24"/>
                <w:szCs w:val="24"/>
              </w:rPr>
              <w:t>4、整机测试速度≥50T/H；</w:t>
            </w:r>
          </w:p>
          <w:p w14:paraId="6EBF8FE0">
            <w:pPr>
              <w:jc w:val="left"/>
              <w:rPr>
                <w:rFonts w:hint="eastAsia"/>
                <w:sz w:val="24"/>
                <w:szCs w:val="24"/>
              </w:rPr>
            </w:pPr>
            <w:r>
              <w:rPr>
                <w:rFonts w:hint="eastAsia"/>
                <w:sz w:val="24"/>
                <w:szCs w:val="24"/>
              </w:rPr>
              <w:t>5、检测流程的实时状态监控：友好的人机对话界面，可实时监测每一个标本的检测过程，方便操作者进行有效的实时监控</w:t>
            </w:r>
          </w:p>
          <w:p w14:paraId="7FA6AB66">
            <w:pPr>
              <w:jc w:val="left"/>
              <w:rPr>
                <w:rFonts w:hint="eastAsia"/>
                <w:sz w:val="24"/>
                <w:szCs w:val="24"/>
              </w:rPr>
            </w:pPr>
            <w:r>
              <w:rPr>
                <w:rFonts w:hint="eastAsia"/>
                <w:bCs/>
                <w:sz w:val="24"/>
                <w:szCs w:val="24"/>
              </w:rPr>
              <w:t>★</w:t>
            </w:r>
            <w:r>
              <w:rPr>
                <w:rFonts w:hint="eastAsia"/>
                <w:sz w:val="24"/>
                <w:szCs w:val="24"/>
              </w:rPr>
              <w:t>6、检测灵活性：可根据临床要求对温育温度、温育时间、吸样和加样量等参数进行设定，为阴道炎检测的临床科研、教学提供便利</w:t>
            </w:r>
          </w:p>
          <w:p w14:paraId="4AF12344">
            <w:pPr>
              <w:jc w:val="left"/>
              <w:rPr>
                <w:rFonts w:hint="eastAsia"/>
                <w:sz w:val="24"/>
                <w:szCs w:val="24"/>
              </w:rPr>
            </w:pPr>
            <w:r>
              <w:rPr>
                <w:rFonts w:hint="eastAsia"/>
                <w:bCs/>
                <w:sz w:val="24"/>
                <w:szCs w:val="24"/>
              </w:rPr>
              <w:t>★</w:t>
            </w:r>
            <w:r>
              <w:rPr>
                <w:rFonts w:hint="eastAsia"/>
                <w:sz w:val="24"/>
                <w:szCs w:val="24"/>
              </w:rPr>
              <w:t>7、检测安全性：吸液量准确，非接触TIP式加样，避免了加样的交叉感染；检测完成后废试剂板和针头自动进入收集盒，避免人工收集造成交叉污染；样本吸空、堵塞报警，避免样本漏加；CCD检测模式，可及时观看检测真实结果，方便结果复核</w:t>
            </w:r>
          </w:p>
          <w:p w14:paraId="179DEA85">
            <w:pPr>
              <w:jc w:val="left"/>
              <w:rPr>
                <w:rFonts w:hint="eastAsia"/>
                <w:sz w:val="24"/>
                <w:szCs w:val="24"/>
              </w:rPr>
            </w:pPr>
            <w:r>
              <w:rPr>
                <w:rFonts w:hint="eastAsia"/>
                <w:bCs/>
                <w:sz w:val="24"/>
                <w:szCs w:val="24"/>
              </w:rPr>
              <w:t>★</w:t>
            </w:r>
            <w:r>
              <w:rPr>
                <w:rFonts w:hint="eastAsia"/>
                <w:sz w:val="24"/>
                <w:szCs w:val="24"/>
              </w:rPr>
              <w:t>8、三种技术平台检测：可同时实现同一样本的形态学，干化学酶和乳胶层析三种方法学的检测。还可以进行任意一种或两种方法学组合的检测模式切换。</w:t>
            </w:r>
          </w:p>
          <w:p w14:paraId="0C5E8B86">
            <w:pPr>
              <w:jc w:val="left"/>
              <w:rPr>
                <w:rFonts w:hint="eastAsia"/>
                <w:sz w:val="24"/>
                <w:szCs w:val="24"/>
              </w:rPr>
            </w:pPr>
            <w:r>
              <w:rPr>
                <w:rFonts w:hint="eastAsia"/>
                <w:bCs/>
                <w:sz w:val="24"/>
                <w:szCs w:val="24"/>
              </w:rPr>
              <w:t>★</w:t>
            </w:r>
            <w:r>
              <w:rPr>
                <w:rFonts w:hint="eastAsia"/>
                <w:sz w:val="24"/>
                <w:szCs w:val="24"/>
              </w:rPr>
              <w:t>9、形态学检测支持染色模式，可自动分析判读白带样本有形成分中多个检测项目，包括上皮细胞、白细胞、杆菌、霉菌等，并可进行分类计数</w:t>
            </w:r>
            <w:r>
              <w:rPr>
                <w:sz w:val="24"/>
                <w:szCs w:val="24"/>
              </w:rPr>
              <w:t>。高倍镜（X40）下可拍摄动态视频，方便结果复核。</w:t>
            </w:r>
          </w:p>
          <w:p w14:paraId="3AF34F63">
            <w:pPr>
              <w:jc w:val="left"/>
              <w:rPr>
                <w:rFonts w:hint="eastAsia"/>
                <w:sz w:val="24"/>
                <w:szCs w:val="24"/>
              </w:rPr>
            </w:pPr>
            <w:r>
              <w:rPr>
                <w:rFonts w:hint="eastAsia"/>
                <w:sz w:val="24"/>
                <w:szCs w:val="24"/>
              </w:rPr>
              <w:t>10、可同时完成最多7个干化学项目（氧化酶、过氧化氢、白细胞酯酶、唾液酸苷酶、β-葡萄糖醛酸酶及乙酰氨基葡萄糖苷酶及pH值）进而提示女性下生殖道是否存在微生态失衡，能做到同时检测细菌性阴道病、外阴阴道假丝酵母菌病、阴道毛滴虫病等多种感染类型</w:t>
            </w:r>
          </w:p>
          <w:p w14:paraId="49BB59E9">
            <w:pPr>
              <w:jc w:val="left"/>
              <w:rPr>
                <w:rFonts w:hint="eastAsia"/>
                <w:sz w:val="24"/>
                <w:szCs w:val="24"/>
              </w:rPr>
            </w:pPr>
            <w:r>
              <w:rPr>
                <w:rFonts w:hint="eastAsia"/>
                <w:bCs/>
                <w:sz w:val="24"/>
                <w:szCs w:val="24"/>
              </w:rPr>
              <w:t>★</w:t>
            </w:r>
            <w:r>
              <w:rPr>
                <w:rFonts w:hint="eastAsia"/>
                <w:sz w:val="24"/>
                <w:szCs w:val="24"/>
              </w:rPr>
              <w:t>11、可同时完成2个病原体抗原（白色念珠菌和阴道毛滴虫）的检测，能够进一步提升假丝酵母菌、阴道毛滴虫的检出率，避免漏检；还能进行白假丝酵母菌/非白假丝酵母菌鉴别，提升治愈率。</w:t>
            </w:r>
          </w:p>
          <w:p w14:paraId="1251E0DB">
            <w:pPr>
              <w:jc w:val="left"/>
              <w:rPr>
                <w:rFonts w:hint="eastAsia"/>
                <w:sz w:val="24"/>
                <w:szCs w:val="24"/>
              </w:rPr>
            </w:pPr>
            <w:r>
              <w:rPr>
                <w:rFonts w:hint="eastAsia"/>
                <w:sz w:val="24"/>
                <w:szCs w:val="24"/>
              </w:rPr>
              <w:t>12、人性化操作：具有完善的故障自恢复功能和报错提醒功能，让使用者更放心；自动识别试剂及样本，试剂样本缺失报警，支持一键式启动。整板式替换枪头，免去人工装枪头繁琐工作</w:t>
            </w:r>
          </w:p>
          <w:p w14:paraId="63ED782A">
            <w:pPr>
              <w:jc w:val="left"/>
              <w:rPr>
                <w:rFonts w:hint="eastAsia"/>
                <w:sz w:val="24"/>
                <w:szCs w:val="24"/>
              </w:rPr>
            </w:pPr>
            <w:r>
              <w:rPr>
                <w:rFonts w:hint="eastAsia"/>
                <w:sz w:val="24"/>
                <w:szCs w:val="24"/>
              </w:rPr>
              <w:t>13、生成图文并茂由镜检、功能检及抗原检测合并的更完整的检测报告，还可定制化的检验报告单</w:t>
            </w:r>
          </w:p>
          <w:p w14:paraId="316994CA">
            <w:pPr>
              <w:jc w:val="left"/>
              <w:rPr>
                <w:sz w:val="24"/>
                <w:szCs w:val="24"/>
              </w:rPr>
            </w:pPr>
            <w:r>
              <w:rPr>
                <w:rFonts w:hint="eastAsia"/>
                <w:sz w:val="24"/>
                <w:szCs w:val="24"/>
              </w:rPr>
              <w:t>14、生产企业通过国际ISO13485认证及高新技术企业认证、环境管理体系认证、职业健康管理体系认证、ISO 9001认证</w:t>
            </w:r>
          </w:p>
        </w:tc>
      </w:tr>
      <w:tr w14:paraId="229628BD">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988" w:hRule="atLeast"/>
        </w:trPr>
        <w:tc>
          <w:tcPr>
            <w:tcW w:w="441" w:type="pct"/>
            <w:vAlign w:val="center"/>
          </w:tcPr>
          <w:p w14:paraId="35AD2D07">
            <w:pPr>
              <w:jc w:val="center"/>
              <w:rPr>
                <w:sz w:val="24"/>
                <w:szCs w:val="24"/>
              </w:rPr>
            </w:pPr>
            <w:r>
              <w:rPr>
                <w:rFonts w:hint="eastAsia"/>
                <w:sz w:val="24"/>
                <w:szCs w:val="24"/>
              </w:rPr>
              <w:t>4</w:t>
            </w:r>
          </w:p>
        </w:tc>
        <w:tc>
          <w:tcPr>
            <w:tcW w:w="1033" w:type="pct"/>
            <w:vAlign w:val="center"/>
          </w:tcPr>
          <w:p w14:paraId="17A1FA7B">
            <w:pPr>
              <w:jc w:val="center"/>
              <w:rPr>
                <w:sz w:val="24"/>
                <w:szCs w:val="24"/>
              </w:rPr>
            </w:pPr>
            <w:r>
              <w:rPr>
                <w:sz w:val="24"/>
                <w:szCs w:val="24"/>
              </w:rPr>
              <w:t>心电图机</w:t>
            </w:r>
          </w:p>
        </w:tc>
        <w:tc>
          <w:tcPr>
            <w:tcW w:w="3525" w:type="pct"/>
          </w:tcPr>
          <w:p w14:paraId="053DD8E0">
            <w:pPr>
              <w:rPr>
                <w:rFonts w:ascii="Calibri" w:hAnsi="Calibri" w:eastAsia="宋体" w:cs="Times New Roman"/>
                <w:sz w:val="24"/>
                <w:szCs w:val="24"/>
              </w:rPr>
            </w:pPr>
            <w:r>
              <w:rPr>
                <w:sz w:val="24"/>
                <w:szCs w:val="24"/>
              </w:rPr>
              <w:t>一、</w:t>
            </w:r>
            <w:r>
              <w:rPr>
                <w:rFonts w:ascii="Calibri" w:hAnsi="Calibri" w:eastAsia="宋体" w:cs="Times New Roman"/>
                <w:sz w:val="24"/>
                <w:szCs w:val="24"/>
              </w:rPr>
              <w:t>ECG输入及波形处理</w:t>
            </w:r>
          </w:p>
          <w:p w14:paraId="0D47FA47">
            <w:pPr>
              <w:rPr>
                <w:rFonts w:ascii="Calibri" w:hAnsi="Calibri" w:eastAsia="宋体" w:cs="Times New Roman"/>
                <w:sz w:val="24"/>
                <w:szCs w:val="24"/>
              </w:rPr>
            </w:pPr>
            <w:r>
              <w:rPr>
                <w:rFonts w:hint="eastAsia"/>
                <w:sz w:val="24"/>
                <w:szCs w:val="24"/>
              </w:rPr>
              <w:t>1.1、</w:t>
            </w:r>
            <w:r>
              <w:rPr>
                <w:rFonts w:ascii="Calibri" w:hAnsi="Calibri" w:eastAsia="宋体" w:cs="Times New Roman"/>
                <w:sz w:val="24"/>
                <w:szCs w:val="24"/>
              </w:rPr>
              <w:t>标准12导联心电信号同步采集，支持九导联专用儿童模式，具有9导联、12导联同步自动分析功能</w:t>
            </w:r>
          </w:p>
          <w:p w14:paraId="67C82D99">
            <w:pPr>
              <w:rPr>
                <w:rFonts w:ascii="Calibri" w:hAnsi="Calibri" w:eastAsia="宋体" w:cs="Times New Roman"/>
                <w:sz w:val="24"/>
                <w:szCs w:val="24"/>
              </w:rPr>
            </w:pPr>
            <w:r>
              <w:rPr>
                <w:rFonts w:hint="eastAsia"/>
                <w:sz w:val="24"/>
                <w:szCs w:val="24"/>
              </w:rPr>
              <w:t>1.2、</w:t>
            </w:r>
            <w:r>
              <w:rPr>
                <w:rFonts w:ascii="Calibri" w:hAnsi="Calibri" w:eastAsia="宋体" w:cs="Times New Roman"/>
                <w:sz w:val="24"/>
                <w:szCs w:val="24"/>
              </w:rPr>
              <w:t>输入阻抗：≥90MΩ</w:t>
            </w:r>
          </w:p>
          <w:p w14:paraId="75B4EC37">
            <w:pPr>
              <w:rPr>
                <w:rFonts w:ascii="Calibri" w:hAnsi="Calibri" w:eastAsia="宋体" w:cs="Times New Roman"/>
                <w:sz w:val="24"/>
                <w:szCs w:val="24"/>
              </w:rPr>
            </w:pPr>
            <w:r>
              <w:rPr>
                <w:rFonts w:hint="eastAsia"/>
                <w:sz w:val="24"/>
                <w:szCs w:val="24"/>
              </w:rPr>
              <w:t>1.3、</w:t>
            </w:r>
            <w:r>
              <w:rPr>
                <w:rFonts w:ascii="Calibri" w:hAnsi="Calibri" w:eastAsia="宋体" w:cs="Times New Roman"/>
                <w:sz w:val="24"/>
                <w:szCs w:val="24"/>
              </w:rPr>
              <w:t>A/D转换：24bit</w:t>
            </w:r>
          </w:p>
          <w:p w14:paraId="6CE255F6">
            <w:pPr>
              <w:rPr>
                <w:rFonts w:ascii="Calibri" w:hAnsi="Calibri" w:eastAsia="宋体" w:cs="Times New Roman"/>
                <w:sz w:val="24"/>
                <w:szCs w:val="24"/>
              </w:rPr>
            </w:pPr>
            <w:r>
              <w:rPr>
                <w:rFonts w:hint="eastAsia"/>
                <w:bCs/>
                <w:sz w:val="24"/>
                <w:szCs w:val="24"/>
              </w:rPr>
              <w:t>★</w:t>
            </w:r>
            <w:r>
              <w:rPr>
                <w:rFonts w:hint="eastAsia"/>
                <w:sz w:val="24"/>
                <w:szCs w:val="24"/>
              </w:rPr>
              <w:t>1.4、</w:t>
            </w:r>
            <w:r>
              <w:rPr>
                <w:rFonts w:ascii="Calibri" w:hAnsi="Calibri" w:eastAsia="宋体" w:cs="Times New Roman"/>
                <w:sz w:val="24"/>
                <w:szCs w:val="24"/>
              </w:rPr>
              <w:t>采样率：≥60</w:t>
            </w:r>
            <w:r>
              <w:rPr>
                <w:rFonts w:hint="eastAsia" w:ascii="Calibri" w:hAnsi="Calibri" w:eastAsia="宋体" w:cs="Times New Roman"/>
                <w:sz w:val="24"/>
                <w:szCs w:val="24"/>
              </w:rPr>
              <w:t>k</w:t>
            </w:r>
            <w:r>
              <w:rPr>
                <w:rFonts w:ascii="Calibri" w:hAnsi="Calibri" w:eastAsia="宋体" w:cs="Times New Roman"/>
                <w:sz w:val="24"/>
                <w:szCs w:val="24"/>
              </w:rPr>
              <w:t xml:space="preserve"> Hz </w:t>
            </w:r>
          </w:p>
          <w:p w14:paraId="56CF6516">
            <w:pPr>
              <w:rPr>
                <w:rFonts w:ascii="Calibri" w:hAnsi="Calibri" w:eastAsia="宋体" w:cs="Times New Roman"/>
                <w:sz w:val="24"/>
                <w:szCs w:val="24"/>
              </w:rPr>
            </w:pPr>
            <w:r>
              <w:rPr>
                <w:rFonts w:hint="eastAsia"/>
                <w:sz w:val="24"/>
                <w:szCs w:val="24"/>
              </w:rPr>
              <w:t>1.5、</w:t>
            </w:r>
            <w:r>
              <w:rPr>
                <w:rFonts w:hint="eastAsia" w:ascii="Calibri" w:hAnsi="Calibri" w:eastAsia="宋体" w:cs="Times New Roman"/>
                <w:sz w:val="24"/>
                <w:szCs w:val="24"/>
              </w:rPr>
              <w:t>独立起搏通道，</w:t>
            </w:r>
            <w:r>
              <w:rPr>
                <w:rFonts w:ascii="Calibri" w:hAnsi="Calibri" w:eastAsia="宋体" w:cs="Times New Roman"/>
                <w:sz w:val="24"/>
                <w:szCs w:val="24"/>
              </w:rPr>
              <w:t>起搏采样率≥60</w:t>
            </w:r>
            <w:r>
              <w:rPr>
                <w:rFonts w:hint="eastAsia" w:ascii="Calibri" w:hAnsi="Calibri" w:eastAsia="宋体" w:cs="Times New Roman"/>
                <w:sz w:val="24"/>
                <w:szCs w:val="24"/>
              </w:rPr>
              <w:t>k</w:t>
            </w:r>
            <w:r>
              <w:rPr>
                <w:rFonts w:ascii="Calibri" w:hAnsi="Calibri" w:eastAsia="宋体" w:cs="Times New Roman"/>
                <w:sz w:val="24"/>
                <w:szCs w:val="24"/>
              </w:rPr>
              <w:t xml:space="preserve"> Hz</w:t>
            </w:r>
          </w:p>
          <w:p w14:paraId="68B6F51A">
            <w:pPr>
              <w:rPr>
                <w:rFonts w:ascii="Calibri" w:hAnsi="Calibri" w:eastAsia="宋体" w:cs="Times New Roman"/>
                <w:sz w:val="24"/>
                <w:szCs w:val="24"/>
              </w:rPr>
            </w:pPr>
            <w:r>
              <w:rPr>
                <w:rFonts w:hint="eastAsia"/>
                <w:bCs/>
                <w:sz w:val="24"/>
                <w:szCs w:val="24"/>
              </w:rPr>
              <w:t>★</w:t>
            </w:r>
            <w:r>
              <w:rPr>
                <w:rFonts w:hint="eastAsia"/>
                <w:sz w:val="24"/>
                <w:szCs w:val="24"/>
              </w:rPr>
              <w:t>1.6、</w:t>
            </w:r>
            <w:r>
              <w:rPr>
                <w:rFonts w:ascii="Calibri" w:hAnsi="Calibri" w:eastAsia="宋体" w:cs="Times New Roman"/>
                <w:sz w:val="24"/>
                <w:szCs w:val="24"/>
              </w:rPr>
              <w:t>频率响应</w:t>
            </w:r>
            <w:r>
              <w:rPr>
                <w:rFonts w:hint="eastAsia" w:ascii="Calibri" w:hAnsi="Calibri" w:eastAsia="宋体" w:cs="Times New Roman"/>
                <w:sz w:val="24"/>
                <w:szCs w:val="24"/>
              </w:rPr>
              <w:t>：至少包含</w:t>
            </w:r>
            <w:r>
              <w:rPr>
                <w:rFonts w:ascii="Calibri" w:hAnsi="Calibri" w:eastAsia="宋体" w:cs="Times New Roman"/>
                <w:sz w:val="24"/>
                <w:szCs w:val="24"/>
              </w:rPr>
              <w:t>0.05Hz-500Hz</w:t>
            </w:r>
          </w:p>
          <w:p w14:paraId="207021A7">
            <w:pPr>
              <w:rPr>
                <w:rFonts w:ascii="Calibri" w:hAnsi="Calibri" w:eastAsia="宋体" w:cs="Times New Roman"/>
                <w:sz w:val="24"/>
                <w:szCs w:val="24"/>
              </w:rPr>
            </w:pPr>
            <w:r>
              <w:rPr>
                <w:rFonts w:hint="eastAsia"/>
                <w:sz w:val="24"/>
                <w:szCs w:val="24"/>
              </w:rPr>
              <w:t>1.7、</w:t>
            </w:r>
            <w:r>
              <w:rPr>
                <w:rFonts w:ascii="Calibri" w:hAnsi="Calibri" w:eastAsia="宋体" w:cs="Times New Roman"/>
                <w:sz w:val="24"/>
                <w:szCs w:val="24"/>
              </w:rPr>
              <w:t>耐极化电压：≥±955mV</w:t>
            </w:r>
          </w:p>
          <w:p w14:paraId="745DAED1">
            <w:pPr>
              <w:rPr>
                <w:rFonts w:ascii="Calibri" w:hAnsi="Calibri" w:eastAsia="宋体" w:cs="Times New Roman"/>
                <w:sz w:val="24"/>
                <w:szCs w:val="24"/>
              </w:rPr>
            </w:pPr>
            <w:r>
              <w:rPr>
                <w:rFonts w:hint="eastAsia"/>
                <w:bCs/>
                <w:sz w:val="24"/>
                <w:szCs w:val="24"/>
              </w:rPr>
              <w:t>★</w:t>
            </w:r>
            <w:r>
              <w:rPr>
                <w:rFonts w:hint="eastAsia"/>
                <w:sz w:val="24"/>
                <w:szCs w:val="24"/>
              </w:rPr>
              <w:t>1.8、</w:t>
            </w:r>
            <w:r>
              <w:rPr>
                <w:rFonts w:ascii="Calibri" w:hAnsi="Calibri" w:eastAsia="宋体" w:cs="Times New Roman"/>
                <w:sz w:val="24"/>
                <w:szCs w:val="24"/>
              </w:rPr>
              <w:t>时间常数：≥5s</w:t>
            </w:r>
          </w:p>
          <w:p w14:paraId="19A9C464">
            <w:pPr>
              <w:rPr>
                <w:rFonts w:ascii="Calibri" w:hAnsi="Calibri" w:eastAsia="宋体" w:cs="Times New Roman"/>
                <w:sz w:val="24"/>
                <w:szCs w:val="24"/>
              </w:rPr>
            </w:pPr>
            <w:r>
              <w:rPr>
                <w:rFonts w:hint="eastAsia"/>
                <w:sz w:val="24"/>
                <w:szCs w:val="24"/>
              </w:rPr>
              <w:t>1.9、</w:t>
            </w:r>
            <w:r>
              <w:rPr>
                <w:rFonts w:ascii="Calibri" w:hAnsi="Calibri" w:eastAsia="宋体" w:cs="Times New Roman"/>
                <w:sz w:val="24"/>
                <w:szCs w:val="24"/>
              </w:rPr>
              <w:t>共模抑制比：≥135dB</w:t>
            </w:r>
          </w:p>
          <w:p w14:paraId="29E273A4">
            <w:pPr>
              <w:rPr>
                <w:rFonts w:ascii="Calibri" w:hAnsi="Calibri" w:eastAsia="宋体" w:cs="Times New Roman"/>
                <w:sz w:val="24"/>
                <w:szCs w:val="24"/>
              </w:rPr>
            </w:pPr>
            <w:r>
              <w:rPr>
                <w:rFonts w:hint="eastAsia"/>
                <w:bCs/>
                <w:sz w:val="24"/>
                <w:szCs w:val="24"/>
              </w:rPr>
              <w:t>★</w:t>
            </w:r>
            <w:r>
              <w:rPr>
                <w:rFonts w:hint="eastAsia"/>
                <w:sz w:val="24"/>
                <w:szCs w:val="24"/>
              </w:rPr>
              <w:t>1.10、</w:t>
            </w:r>
            <w:r>
              <w:rPr>
                <w:rFonts w:hint="eastAsia" w:ascii="Calibri" w:hAnsi="Calibri" w:eastAsia="宋体" w:cs="Times New Roman"/>
                <w:sz w:val="24"/>
                <w:szCs w:val="24"/>
              </w:rPr>
              <w:t>定标电压：</w:t>
            </w:r>
            <w:r>
              <w:rPr>
                <w:rFonts w:ascii="Calibri" w:hAnsi="Calibri" w:eastAsia="宋体" w:cs="Times New Roman"/>
                <w:sz w:val="24"/>
                <w:szCs w:val="24"/>
              </w:rPr>
              <w:t>1mV±1%</w:t>
            </w:r>
          </w:p>
          <w:p w14:paraId="69FECCD1">
            <w:pPr>
              <w:rPr>
                <w:rFonts w:ascii="Calibri" w:hAnsi="Calibri" w:eastAsia="宋体" w:cs="Times New Roman"/>
                <w:sz w:val="24"/>
                <w:szCs w:val="24"/>
              </w:rPr>
            </w:pPr>
            <w:r>
              <w:rPr>
                <w:rFonts w:hint="eastAsia"/>
                <w:sz w:val="24"/>
                <w:szCs w:val="24"/>
              </w:rPr>
              <w:t>1.11、</w:t>
            </w:r>
            <w:r>
              <w:rPr>
                <w:rFonts w:ascii="Calibri" w:hAnsi="Calibri" w:eastAsia="宋体" w:cs="Times New Roman"/>
                <w:sz w:val="24"/>
                <w:szCs w:val="24"/>
              </w:rPr>
              <w:t>抗干扰滤波：具有交流滤波、肌电滤波、基线漂移滤波、低通滤波功能</w:t>
            </w:r>
          </w:p>
          <w:p w14:paraId="29E4951A">
            <w:pPr>
              <w:rPr>
                <w:rFonts w:ascii="Calibri" w:hAnsi="Calibri" w:eastAsia="宋体" w:cs="Times New Roman"/>
                <w:sz w:val="24"/>
                <w:szCs w:val="24"/>
              </w:rPr>
            </w:pPr>
            <w:r>
              <w:rPr>
                <w:rFonts w:hint="eastAsia"/>
                <w:sz w:val="24"/>
                <w:szCs w:val="24"/>
              </w:rPr>
              <w:t>1.12、</w:t>
            </w:r>
            <w:r>
              <w:rPr>
                <w:rFonts w:ascii="Calibri" w:hAnsi="Calibri" w:eastAsia="宋体" w:cs="Times New Roman"/>
                <w:sz w:val="24"/>
                <w:szCs w:val="24"/>
              </w:rPr>
              <w:t>增益：1.25、2.5、5、10、20、10/5、自动（AGC）mm/mV可选</w:t>
            </w:r>
          </w:p>
          <w:p w14:paraId="2B74BEFA">
            <w:pPr>
              <w:rPr>
                <w:rFonts w:ascii="Calibri" w:hAnsi="Calibri" w:eastAsia="宋体" w:cs="Times New Roman"/>
                <w:sz w:val="24"/>
                <w:szCs w:val="24"/>
              </w:rPr>
            </w:pPr>
            <w:r>
              <w:rPr>
                <w:rFonts w:hint="eastAsia"/>
                <w:sz w:val="24"/>
                <w:szCs w:val="24"/>
              </w:rPr>
              <w:t>1.13、</w:t>
            </w:r>
            <w:r>
              <w:rPr>
                <w:rFonts w:ascii="Calibri" w:hAnsi="Calibri" w:eastAsia="宋体" w:cs="Times New Roman"/>
                <w:sz w:val="24"/>
                <w:szCs w:val="24"/>
              </w:rPr>
              <w:t>走速：5mm/s、6.25 mm/s、10 mm/s、12.5mm/s、25mm/s、50mm/s可选</w:t>
            </w:r>
          </w:p>
          <w:p w14:paraId="4A549293">
            <w:pPr>
              <w:rPr>
                <w:rFonts w:ascii="Calibri" w:hAnsi="Calibri" w:eastAsia="宋体" w:cs="Times New Roman"/>
                <w:sz w:val="24"/>
                <w:szCs w:val="24"/>
              </w:rPr>
            </w:pPr>
            <w:r>
              <w:rPr>
                <w:sz w:val="24"/>
                <w:szCs w:val="24"/>
              </w:rPr>
              <w:t>二、</w:t>
            </w:r>
            <w:r>
              <w:rPr>
                <w:rFonts w:ascii="Calibri" w:hAnsi="Calibri" w:eastAsia="宋体" w:cs="Times New Roman"/>
                <w:sz w:val="24"/>
                <w:szCs w:val="24"/>
              </w:rPr>
              <w:t>整机</w:t>
            </w:r>
            <w:r>
              <w:rPr>
                <w:rFonts w:hint="eastAsia" w:ascii="Calibri" w:hAnsi="Calibri" w:eastAsia="宋体" w:cs="Times New Roman"/>
                <w:sz w:val="24"/>
                <w:szCs w:val="24"/>
              </w:rPr>
              <w:t>配置</w:t>
            </w:r>
          </w:p>
          <w:p w14:paraId="49F11298">
            <w:pPr>
              <w:rPr>
                <w:sz w:val="24"/>
                <w:szCs w:val="24"/>
              </w:rPr>
            </w:pPr>
            <w:r>
              <w:rPr>
                <w:rFonts w:hint="eastAsia"/>
                <w:bCs/>
                <w:sz w:val="24"/>
                <w:szCs w:val="24"/>
              </w:rPr>
              <w:t>★</w:t>
            </w:r>
            <w:r>
              <w:rPr>
                <w:rFonts w:hint="eastAsia"/>
                <w:sz w:val="24"/>
                <w:szCs w:val="24"/>
              </w:rPr>
              <w:t>2.1、</w:t>
            </w:r>
            <w:r>
              <w:rPr>
                <w:rFonts w:ascii="Calibri" w:hAnsi="Calibri" w:eastAsia="宋体" w:cs="Times New Roman"/>
                <w:sz w:val="24"/>
                <w:szCs w:val="24"/>
              </w:rPr>
              <w:t>≥8英寸彩色液晶电容触摸屏，</w:t>
            </w:r>
            <w:r>
              <w:rPr>
                <w:rFonts w:hint="eastAsia" w:ascii="Calibri" w:hAnsi="Calibri" w:eastAsia="宋体" w:cs="Times New Roman"/>
                <w:sz w:val="24"/>
                <w:szCs w:val="24"/>
              </w:rPr>
              <w:t>屏幕倾斜角设计，</w:t>
            </w:r>
            <w:r>
              <w:rPr>
                <w:rFonts w:ascii="Calibri" w:hAnsi="Calibri" w:eastAsia="宋体" w:cs="Times New Roman"/>
                <w:sz w:val="24"/>
                <w:szCs w:val="24"/>
              </w:rPr>
              <w:t>分辨率≥1280×800</w:t>
            </w:r>
          </w:p>
          <w:p w14:paraId="5DA74CA5">
            <w:pPr>
              <w:rPr>
                <w:rFonts w:ascii="Calibri" w:hAnsi="Calibri" w:eastAsia="宋体" w:cs="Times New Roman"/>
                <w:sz w:val="24"/>
                <w:szCs w:val="24"/>
              </w:rPr>
            </w:pPr>
            <w:r>
              <w:rPr>
                <w:rFonts w:hint="eastAsia"/>
                <w:bCs/>
                <w:sz w:val="24"/>
                <w:szCs w:val="24"/>
              </w:rPr>
              <w:t>★</w:t>
            </w:r>
            <w:r>
              <w:rPr>
                <w:rFonts w:hint="eastAsia"/>
                <w:sz w:val="24"/>
                <w:szCs w:val="24"/>
              </w:rPr>
              <w:t>2.2、</w:t>
            </w:r>
            <w:r>
              <w:rPr>
                <w:rFonts w:hint="eastAsia" w:ascii="Calibri" w:hAnsi="Calibri" w:eastAsia="宋体" w:cs="Times New Roman"/>
                <w:sz w:val="24"/>
                <w:szCs w:val="24"/>
              </w:rPr>
              <w:t>整机重量≤3</w:t>
            </w:r>
            <w:r>
              <w:rPr>
                <w:rFonts w:ascii="Calibri" w:hAnsi="Calibri" w:eastAsia="宋体" w:cs="Times New Roman"/>
                <w:sz w:val="24"/>
                <w:szCs w:val="24"/>
              </w:rPr>
              <w:t>kg</w:t>
            </w:r>
          </w:p>
          <w:p w14:paraId="73AEB655">
            <w:pPr>
              <w:rPr>
                <w:rFonts w:ascii="Calibri" w:hAnsi="Calibri" w:eastAsia="宋体" w:cs="Times New Roman"/>
                <w:sz w:val="24"/>
                <w:szCs w:val="24"/>
              </w:rPr>
            </w:pPr>
            <w:r>
              <w:rPr>
                <w:rFonts w:hint="eastAsia"/>
                <w:bCs/>
                <w:sz w:val="24"/>
                <w:szCs w:val="24"/>
              </w:rPr>
              <w:t>★</w:t>
            </w:r>
            <w:r>
              <w:rPr>
                <w:rFonts w:hint="eastAsia"/>
                <w:sz w:val="24"/>
                <w:szCs w:val="24"/>
              </w:rPr>
              <w:t>2.3、</w:t>
            </w:r>
            <w:r>
              <w:rPr>
                <w:rFonts w:hint="eastAsia" w:ascii="Calibri" w:hAnsi="Calibri" w:eastAsia="宋体" w:cs="Times New Roman"/>
                <w:sz w:val="24"/>
                <w:szCs w:val="24"/>
              </w:rPr>
              <w:t>内置热敏点阵打印机（非外置模块），并支持通过有线/无线方式外接激光打印机打印A</w:t>
            </w:r>
            <w:r>
              <w:rPr>
                <w:rFonts w:ascii="Calibri" w:hAnsi="Calibri" w:eastAsia="宋体" w:cs="Times New Roman"/>
                <w:sz w:val="24"/>
                <w:szCs w:val="24"/>
              </w:rPr>
              <w:t>4</w:t>
            </w:r>
            <w:r>
              <w:rPr>
                <w:rFonts w:hint="eastAsia" w:ascii="Calibri" w:hAnsi="Calibri" w:eastAsia="宋体" w:cs="Times New Roman"/>
                <w:sz w:val="24"/>
                <w:szCs w:val="24"/>
              </w:rPr>
              <w:t>报告</w:t>
            </w:r>
            <w:r>
              <w:rPr>
                <w:rFonts w:ascii="Calibri" w:hAnsi="Calibri" w:eastAsia="宋体" w:cs="Times New Roman"/>
                <w:sz w:val="24"/>
                <w:szCs w:val="24"/>
              </w:rPr>
              <w:t xml:space="preserve"> </w:t>
            </w:r>
          </w:p>
          <w:p w14:paraId="574402C6">
            <w:pPr>
              <w:rPr>
                <w:rFonts w:ascii="Calibri" w:hAnsi="Calibri" w:eastAsia="宋体" w:cs="Times New Roman"/>
                <w:sz w:val="24"/>
                <w:szCs w:val="24"/>
              </w:rPr>
            </w:pPr>
            <w:r>
              <w:rPr>
                <w:rFonts w:hint="eastAsia"/>
                <w:sz w:val="24"/>
                <w:szCs w:val="24"/>
              </w:rPr>
              <w:t>2.4、</w:t>
            </w:r>
            <w:r>
              <w:rPr>
                <w:rFonts w:hint="eastAsia" w:ascii="Calibri" w:hAnsi="Calibri" w:eastAsia="宋体" w:cs="Times New Roman"/>
                <w:sz w:val="24"/>
                <w:szCs w:val="24"/>
              </w:rPr>
              <w:t>设备内置存储器可支持≥1</w:t>
            </w:r>
            <w:r>
              <w:rPr>
                <w:rFonts w:ascii="Calibri" w:hAnsi="Calibri" w:eastAsia="宋体" w:cs="Times New Roman"/>
                <w:sz w:val="24"/>
                <w:szCs w:val="24"/>
              </w:rPr>
              <w:t>00000</w:t>
            </w:r>
            <w:r>
              <w:rPr>
                <w:rFonts w:hint="eastAsia" w:ascii="Calibri" w:hAnsi="Calibri" w:eastAsia="宋体" w:cs="Times New Roman"/>
                <w:sz w:val="24"/>
                <w:szCs w:val="24"/>
              </w:rPr>
              <w:t>例病例储存，并</w:t>
            </w:r>
            <w:r>
              <w:rPr>
                <w:rFonts w:ascii="Calibri" w:hAnsi="Calibri" w:eastAsia="宋体" w:cs="Times New Roman"/>
                <w:sz w:val="24"/>
                <w:szCs w:val="24"/>
              </w:rPr>
              <w:t>支持外接U盘和SD卡扩展存储</w:t>
            </w:r>
            <w:r>
              <w:rPr>
                <w:rFonts w:hint="eastAsia" w:ascii="Calibri" w:hAnsi="Calibri" w:eastAsia="宋体" w:cs="Times New Roman"/>
                <w:sz w:val="24"/>
                <w:szCs w:val="24"/>
              </w:rPr>
              <w:t>空间</w:t>
            </w:r>
          </w:p>
          <w:p w14:paraId="522C8349">
            <w:pPr>
              <w:rPr>
                <w:rFonts w:ascii="Calibri" w:hAnsi="Calibri" w:eastAsia="宋体" w:cs="Times New Roman"/>
                <w:sz w:val="24"/>
                <w:szCs w:val="24"/>
              </w:rPr>
            </w:pPr>
            <w:r>
              <w:rPr>
                <w:rFonts w:hint="eastAsia"/>
                <w:sz w:val="24"/>
                <w:szCs w:val="24"/>
              </w:rPr>
              <w:t>2.5、</w:t>
            </w:r>
            <w:r>
              <w:rPr>
                <w:rFonts w:hint="eastAsia" w:ascii="Calibri" w:hAnsi="Calibri" w:eastAsia="宋体" w:cs="Times New Roman"/>
                <w:sz w:val="24"/>
                <w:szCs w:val="24"/>
              </w:rPr>
              <w:t>可支持通过</w:t>
            </w:r>
            <w:r>
              <w:rPr>
                <w:rFonts w:ascii="Calibri" w:hAnsi="Calibri" w:eastAsia="宋体" w:cs="Times New Roman"/>
                <w:sz w:val="24"/>
                <w:szCs w:val="24"/>
              </w:rPr>
              <w:t>有线、无线</w:t>
            </w:r>
            <w:r>
              <w:rPr>
                <w:rFonts w:hint="eastAsia" w:ascii="Calibri" w:hAnsi="Calibri" w:eastAsia="宋体" w:cs="Times New Roman"/>
                <w:sz w:val="24"/>
                <w:szCs w:val="24"/>
              </w:rPr>
              <w:t>、移动网络</w:t>
            </w:r>
            <w:r>
              <w:rPr>
                <w:rFonts w:ascii="Calibri" w:hAnsi="Calibri" w:eastAsia="宋体" w:cs="Times New Roman"/>
                <w:sz w:val="24"/>
                <w:szCs w:val="24"/>
              </w:rPr>
              <w:t>的方式进行联网</w:t>
            </w:r>
            <w:r>
              <w:rPr>
                <w:rFonts w:hint="eastAsia" w:ascii="Calibri" w:hAnsi="Calibri" w:eastAsia="宋体" w:cs="Times New Roman"/>
                <w:sz w:val="24"/>
                <w:szCs w:val="24"/>
              </w:rPr>
              <w:t>，内置</w:t>
            </w:r>
            <w:r>
              <w:rPr>
                <w:rFonts w:ascii="Calibri" w:hAnsi="Calibri" w:eastAsia="宋体" w:cs="Times New Roman"/>
                <w:sz w:val="24"/>
                <w:szCs w:val="24"/>
              </w:rPr>
              <w:t>WIFI</w:t>
            </w:r>
            <w:r>
              <w:rPr>
                <w:rFonts w:hint="eastAsia" w:ascii="Calibri" w:hAnsi="Calibri" w:eastAsia="宋体" w:cs="Times New Roman"/>
                <w:sz w:val="24"/>
                <w:szCs w:val="24"/>
              </w:rPr>
              <w:t>模块，可支持2.4GHz/5G Hz双频带传输</w:t>
            </w:r>
          </w:p>
          <w:p w14:paraId="27344995">
            <w:pPr>
              <w:rPr>
                <w:rFonts w:ascii="Calibri" w:hAnsi="Calibri" w:eastAsia="宋体" w:cs="Times New Roman"/>
                <w:sz w:val="24"/>
                <w:szCs w:val="24"/>
              </w:rPr>
            </w:pPr>
            <w:r>
              <w:rPr>
                <w:rFonts w:hint="eastAsia"/>
                <w:sz w:val="24"/>
                <w:szCs w:val="24"/>
              </w:rPr>
              <w:t>2.6、</w:t>
            </w:r>
            <w:r>
              <w:rPr>
                <w:rFonts w:hint="eastAsia" w:ascii="Calibri" w:hAnsi="Calibri" w:eastAsia="宋体" w:cs="Times New Roman"/>
                <w:sz w:val="24"/>
                <w:szCs w:val="24"/>
              </w:rPr>
              <w:t>内置蓝牙模块，支持通过蓝牙分享报告，实现远程会诊</w:t>
            </w:r>
          </w:p>
          <w:p w14:paraId="171A6B31">
            <w:pPr>
              <w:rPr>
                <w:rFonts w:ascii="Calibri" w:hAnsi="Calibri" w:eastAsia="宋体" w:cs="Times New Roman"/>
                <w:sz w:val="24"/>
                <w:szCs w:val="24"/>
              </w:rPr>
            </w:pPr>
            <w:r>
              <w:rPr>
                <w:rFonts w:hint="eastAsia"/>
                <w:sz w:val="24"/>
                <w:szCs w:val="24"/>
              </w:rPr>
              <w:t>三、</w:t>
            </w:r>
            <w:r>
              <w:rPr>
                <w:rFonts w:hint="eastAsia" w:ascii="Calibri" w:hAnsi="Calibri" w:eastAsia="宋体" w:cs="Times New Roman"/>
                <w:sz w:val="24"/>
                <w:szCs w:val="24"/>
              </w:rPr>
              <w:t>系统功能</w:t>
            </w:r>
          </w:p>
          <w:p w14:paraId="550BB70D">
            <w:pPr>
              <w:rPr>
                <w:rFonts w:ascii="Calibri" w:hAnsi="Calibri" w:eastAsia="宋体" w:cs="Times New Roman"/>
                <w:sz w:val="24"/>
                <w:szCs w:val="24"/>
              </w:rPr>
            </w:pPr>
            <w:r>
              <w:rPr>
                <w:rFonts w:hint="eastAsia"/>
                <w:sz w:val="24"/>
                <w:szCs w:val="24"/>
              </w:rPr>
              <w:t>3.1、</w:t>
            </w:r>
            <w:r>
              <w:rPr>
                <w:rFonts w:ascii="Calibri" w:hAnsi="Calibri" w:eastAsia="宋体" w:cs="Times New Roman"/>
                <w:sz w:val="24"/>
                <w:szCs w:val="24"/>
              </w:rPr>
              <w:t>中文输入及中文操作提示和中文报告语言</w:t>
            </w:r>
          </w:p>
          <w:p w14:paraId="7B5BFD08">
            <w:pPr>
              <w:rPr>
                <w:rFonts w:ascii="Calibri" w:hAnsi="Calibri" w:eastAsia="宋体" w:cs="Times New Roman"/>
                <w:sz w:val="24"/>
                <w:szCs w:val="24"/>
              </w:rPr>
            </w:pPr>
            <w:r>
              <w:rPr>
                <w:rFonts w:hint="eastAsia"/>
                <w:sz w:val="24"/>
                <w:szCs w:val="24"/>
              </w:rPr>
              <w:t>3.2、</w:t>
            </w:r>
            <w:r>
              <w:rPr>
                <w:rFonts w:ascii="Calibri" w:hAnsi="Calibri" w:eastAsia="宋体" w:cs="Times New Roman"/>
                <w:sz w:val="24"/>
                <w:szCs w:val="24"/>
              </w:rPr>
              <w:t>手动、自动、节律</w:t>
            </w:r>
            <w:r>
              <w:rPr>
                <w:rFonts w:hint="eastAsia" w:ascii="Calibri" w:hAnsi="Calibri" w:eastAsia="宋体" w:cs="Times New Roman"/>
                <w:sz w:val="24"/>
                <w:szCs w:val="24"/>
              </w:rPr>
              <w:t>等检查模式可选，并支持实时采样、预采样及触发采样等采样模式</w:t>
            </w:r>
          </w:p>
          <w:p w14:paraId="0968A8EF">
            <w:pPr>
              <w:rPr>
                <w:rFonts w:ascii="Calibri" w:hAnsi="Calibri" w:eastAsia="宋体" w:cs="Times New Roman"/>
                <w:sz w:val="24"/>
                <w:szCs w:val="24"/>
              </w:rPr>
            </w:pPr>
            <w:r>
              <w:rPr>
                <w:rFonts w:hint="eastAsia"/>
                <w:sz w:val="24"/>
                <w:szCs w:val="24"/>
              </w:rPr>
              <w:t>3.3、</w:t>
            </w:r>
            <w:r>
              <w:rPr>
                <w:rFonts w:ascii="Calibri" w:hAnsi="Calibri" w:eastAsia="宋体" w:cs="Times New Roman"/>
                <w:sz w:val="24"/>
                <w:szCs w:val="24"/>
              </w:rPr>
              <w:t>具有导联信号质量检测功能，以不同颜色标记信号质量，提醒医生对相应导联进行处理</w:t>
            </w:r>
          </w:p>
          <w:p w14:paraId="3E9D9DAE">
            <w:pPr>
              <w:rPr>
                <w:sz w:val="24"/>
                <w:szCs w:val="24"/>
              </w:rPr>
            </w:pPr>
            <w:r>
              <w:rPr>
                <w:rFonts w:hint="eastAsia"/>
                <w:bCs/>
                <w:sz w:val="24"/>
                <w:szCs w:val="24"/>
              </w:rPr>
              <w:t>★</w:t>
            </w:r>
            <w:r>
              <w:rPr>
                <w:rFonts w:hint="eastAsia"/>
                <w:sz w:val="24"/>
                <w:szCs w:val="24"/>
              </w:rPr>
              <w:t>3.4、</w:t>
            </w:r>
            <w:r>
              <w:rPr>
                <w:rFonts w:ascii="Calibri" w:hAnsi="Calibri" w:eastAsia="宋体" w:cs="Times New Roman"/>
                <w:sz w:val="24"/>
                <w:szCs w:val="24"/>
              </w:rPr>
              <w:t>具有智能采集功能，可根据导联信号质量自动开始/停止心电采集</w:t>
            </w:r>
          </w:p>
          <w:p w14:paraId="50437D66">
            <w:pPr>
              <w:rPr>
                <w:rFonts w:ascii="Calibri" w:hAnsi="Calibri" w:eastAsia="宋体" w:cs="Times New Roman"/>
                <w:sz w:val="24"/>
                <w:szCs w:val="24"/>
              </w:rPr>
            </w:pPr>
            <w:r>
              <w:rPr>
                <w:rFonts w:hint="eastAsia"/>
                <w:sz w:val="24"/>
                <w:szCs w:val="24"/>
              </w:rPr>
              <w:t>3.5、</w:t>
            </w:r>
            <w:r>
              <w:rPr>
                <w:rFonts w:ascii="Calibri" w:hAnsi="Calibri" w:eastAsia="宋体" w:cs="Times New Roman"/>
                <w:sz w:val="24"/>
                <w:szCs w:val="24"/>
              </w:rPr>
              <w:t>支持</w:t>
            </w:r>
            <w:r>
              <w:rPr>
                <w:rFonts w:hint="eastAsia" w:ascii="Calibri" w:hAnsi="Calibri" w:eastAsia="宋体" w:cs="Times New Roman"/>
                <w:sz w:val="24"/>
                <w:szCs w:val="24"/>
              </w:rPr>
              <w:t>≥</w:t>
            </w:r>
            <w:r>
              <w:rPr>
                <w:rFonts w:ascii="Calibri" w:hAnsi="Calibri" w:eastAsia="宋体" w:cs="Times New Roman"/>
                <w:sz w:val="24"/>
                <w:szCs w:val="24"/>
              </w:rPr>
              <w:t>30min数据采集</w:t>
            </w:r>
            <w:r>
              <w:rPr>
                <w:rFonts w:hint="eastAsia" w:ascii="Calibri" w:hAnsi="Calibri" w:eastAsia="宋体" w:cs="Times New Roman"/>
                <w:sz w:val="24"/>
                <w:szCs w:val="24"/>
              </w:rPr>
              <w:t>及</w:t>
            </w:r>
            <w:r>
              <w:rPr>
                <w:rFonts w:ascii="Calibri" w:hAnsi="Calibri" w:eastAsia="宋体" w:cs="Times New Roman"/>
                <w:sz w:val="24"/>
                <w:szCs w:val="24"/>
              </w:rPr>
              <w:t>冻结功能，方便医生对所需区间的波形进行更好的观察、分析并选择所需要的时间段进行记录</w:t>
            </w:r>
          </w:p>
          <w:p w14:paraId="399362B4">
            <w:pPr>
              <w:rPr>
                <w:rFonts w:ascii="Calibri" w:hAnsi="Calibri" w:eastAsia="宋体" w:cs="Times New Roman"/>
                <w:sz w:val="24"/>
                <w:szCs w:val="24"/>
              </w:rPr>
            </w:pPr>
            <w:r>
              <w:rPr>
                <w:rFonts w:hint="eastAsia"/>
                <w:sz w:val="24"/>
                <w:szCs w:val="24"/>
              </w:rPr>
              <w:t>3.6、</w:t>
            </w:r>
            <w:r>
              <w:rPr>
                <w:rFonts w:hint="eastAsia" w:ascii="Calibri" w:hAnsi="Calibri" w:eastAsia="宋体" w:cs="Times New Roman"/>
                <w:sz w:val="24"/>
                <w:szCs w:val="24"/>
              </w:rPr>
              <w:t>采集过程中可自动检测</w:t>
            </w:r>
            <w:r>
              <w:rPr>
                <w:rFonts w:ascii="Calibri" w:hAnsi="Calibri" w:eastAsia="宋体" w:cs="Times New Roman"/>
                <w:sz w:val="24"/>
                <w:szCs w:val="24"/>
              </w:rPr>
              <w:t>心律失常</w:t>
            </w:r>
            <w:r>
              <w:rPr>
                <w:rFonts w:hint="eastAsia" w:ascii="Calibri" w:hAnsi="Calibri" w:eastAsia="宋体" w:cs="Times New Roman"/>
                <w:sz w:val="24"/>
                <w:szCs w:val="24"/>
              </w:rPr>
              <w:t>并予以</w:t>
            </w:r>
            <w:r>
              <w:rPr>
                <w:rFonts w:ascii="Calibri" w:hAnsi="Calibri" w:eastAsia="宋体" w:cs="Times New Roman"/>
                <w:sz w:val="24"/>
                <w:szCs w:val="24"/>
              </w:rPr>
              <w:t>提示</w:t>
            </w:r>
          </w:p>
          <w:p w14:paraId="220769F8">
            <w:pPr>
              <w:rPr>
                <w:rFonts w:ascii="Calibri" w:hAnsi="Calibri" w:eastAsia="宋体" w:cs="Times New Roman"/>
                <w:sz w:val="24"/>
                <w:szCs w:val="24"/>
              </w:rPr>
            </w:pPr>
            <w:r>
              <w:rPr>
                <w:rFonts w:hint="eastAsia"/>
                <w:sz w:val="24"/>
                <w:szCs w:val="24"/>
              </w:rPr>
              <w:t>3.7、</w:t>
            </w:r>
            <w:r>
              <w:rPr>
                <w:rFonts w:ascii="Calibri" w:hAnsi="Calibri" w:eastAsia="宋体" w:cs="Times New Roman"/>
                <w:sz w:val="24"/>
                <w:szCs w:val="24"/>
              </w:rPr>
              <w:t>具有严重疾病提示功能，可对心肌梗死等危急重症心电图进行</w:t>
            </w:r>
            <w:r>
              <w:rPr>
                <w:rFonts w:hint="eastAsia" w:ascii="Calibri" w:hAnsi="Calibri" w:eastAsia="宋体" w:cs="Times New Roman"/>
                <w:sz w:val="24"/>
                <w:szCs w:val="24"/>
              </w:rPr>
              <w:t>突出</w:t>
            </w:r>
            <w:r>
              <w:rPr>
                <w:rFonts w:ascii="Calibri" w:hAnsi="Calibri" w:eastAsia="宋体" w:cs="Times New Roman"/>
                <w:sz w:val="24"/>
                <w:szCs w:val="24"/>
              </w:rPr>
              <w:t>标识</w:t>
            </w:r>
          </w:p>
          <w:p w14:paraId="007C613F">
            <w:pPr>
              <w:rPr>
                <w:rFonts w:ascii="Calibri" w:hAnsi="Calibri" w:eastAsia="宋体" w:cs="Times New Roman"/>
                <w:sz w:val="24"/>
                <w:szCs w:val="24"/>
              </w:rPr>
            </w:pPr>
            <w:r>
              <w:rPr>
                <w:rFonts w:hint="eastAsia"/>
                <w:sz w:val="24"/>
                <w:szCs w:val="24"/>
              </w:rPr>
              <w:t>3.8、</w:t>
            </w:r>
            <w:r>
              <w:rPr>
                <w:rFonts w:ascii="Calibri" w:hAnsi="Calibri" w:eastAsia="宋体" w:cs="Times New Roman"/>
                <w:sz w:val="24"/>
                <w:szCs w:val="24"/>
              </w:rPr>
              <w:t>具有在屏诊断功能，可在屏幕上进行报告查看、报告编辑、波形放大、数据测量等操作</w:t>
            </w:r>
          </w:p>
          <w:p w14:paraId="1E9AA170">
            <w:pPr>
              <w:rPr>
                <w:rFonts w:ascii="Calibri" w:hAnsi="Calibri" w:eastAsia="宋体" w:cs="Times New Roman"/>
                <w:sz w:val="24"/>
                <w:szCs w:val="24"/>
              </w:rPr>
            </w:pPr>
            <w:r>
              <w:rPr>
                <w:rFonts w:hint="eastAsia"/>
                <w:sz w:val="24"/>
                <w:szCs w:val="24"/>
              </w:rPr>
              <w:t>3.9、</w:t>
            </w:r>
            <w:r>
              <w:rPr>
                <w:rFonts w:ascii="Calibri" w:hAnsi="Calibri" w:eastAsia="宋体" w:cs="Times New Roman"/>
                <w:sz w:val="24"/>
                <w:szCs w:val="24"/>
              </w:rPr>
              <w:t>具有病历管理功能，可进行</w:t>
            </w:r>
            <w:bookmarkStart w:id="223" w:name="OLE_LINK4"/>
            <w:r>
              <w:rPr>
                <w:rFonts w:ascii="Calibri" w:hAnsi="Calibri" w:eastAsia="宋体" w:cs="Times New Roman"/>
                <w:sz w:val="24"/>
                <w:szCs w:val="24"/>
              </w:rPr>
              <w:t>病历查询</w:t>
            </w:r>
            <w:bookmarkEnd w:id="223"/>
            <w:r>
              <w:rPr>
                <w:rFonts w:ascii="Calibri" w:hAnsi="Calibri" w:eastAsia="宋体" w:cs="Times New Roman"/>
                <w:sz w:val="24"/>
                <w:szCs w:val="24"/>
              </w:rPr>
              <w:t>、预览、修改、传输、打印，方便医生调阅病人信息</w:t>
            </w:r>
          </w:p>
          <w:p w14:paraId="5AF4314A">
            <w:pPr>
              <w:rPr>
                <w:rFonts w:ascii="Calibri" w:hAnsi="Calibri" w:eastAsia="宋体" w:cs="Times New Roman"/>
                <w:sz w:val="24"/>
                <w:szCs w:val="24"/>
              </w:rPr>
            </w:pPr>
            <w:r>
              <w:rPr>
                <w:rFonts w:hint="eastAsia"/>
                <w:bCs/>
                <w:sz w:val="24"/>
                <w:szCs w:val="24"/>
              </w:rPr>
              <w:t>★</w:t>
            </w:r>
            <w:r>
              <w:rPr>
                <w:rFonts w:hint="eastAsia"/>
                <w:sz w:val="24"/>
                <w:szCs w:val="24"/>
              </w:rPr>
              <w:t>3.10、</w:t>
            </w:r>
            <w:r>
              <w:rPr>
                <w:rFonts w:hint="eastAsia" w:ascii="Calibri" w:hAnsi="Calibri" w:eastAsia="宋体" w:cs="Times New Roman"/>
                <w:sz w:val="24"/>
                <w:szCs w:val="24"/>
              </w:rPr>
              <w:t>可升级心电向量、晚电位、时间心向量、心率变异性、频谱心电等多种高级分析功能，辅助全面了解患者情况</w:t>
            </w:r>
          </w:p>
          <w:p w14:paraId="327ED85D">
            <w:pPr>
              <w:rPr>
                <w:rFonts w:ascii="Calibri" w:hAnsi="Calibri" w:eastAsia="宋体" w:cs="Times New Roman"/>
                <w:sz w:val="24"/>
                <w:szCs w:val="24"/>
              </w:rPr>
            </w:pPr>
            <w:r>
              <w:rPr>
                <w:rFonts w:hint="eastAsia"/>
                <w:bCs/>
                <w:sz w:val="24"/>
                <w:szCs w:val="24"/>
              </w:rPr>
              <w:t>★</w:t>
            </w:r>
            <w:r>
              <w:rPr>
                <w:rFonts w:hint="eastAsia"/>
                <w:sz w:val="24"/>
                <w:szCs w:val="24"/>
              </w:rPr>
              <w:t>3.12、</w:t>
            </w:r>
            <w:r>
              <w:rPr>
                <w:rFonts w:hint="eastAsia" w:ascii="Calibri" w:hAnsi="Calibri" w:eastAsia="宋体" w:cs="Times New Roman"/>
                <w:sz w:val="24"/>
                <w:szCs w:val="24"/>
              </w:rPr>
              <w:t>具有S</w:t>
            </w:r>
            <w:r>
              <w:rPr>
                <w:rFonts w:ascii="Calibri" w:hAnsi="Calibri" w:eastAsia="宋体" w:cs="Times New Roman"/>
                <w:sz w:val="24"/>
                <w:szCs w:val="24"/>
              </w:rPr>
              <w:t>T-MAP</w:t>
            </w:r>
            <w:r>
              <w:rPr>
                <w:rFonts w:hint="eastAsia" w:ascii="Calibri" w:hAnsi="Calibri" w:eastAsia="宋体" w:cs="Times New Roman"/>
                <w:sz w:val="24"/>
                <w:szCs w:val="24"/>
              </w:rPr>
              <w:t>及S</w:t>
            </w:r>
            <w:r>
              <w:rPr>
                <w:rFonts w:ascii="Calibri" w:hAnsi="Calibri" w:eastAsia="宋体" w:cs="Times New Roman"/>
                <w:sz w:val="24"/>
                <w:szCs w:val="24"/>
              </w:rPr>
              <w:t>T-VIEW</w:t>
            </w:r>
            <w:r>
              <w:rPr>
                <w:rFonts w:hint="eastAsia" w:ascii="Calibri" w:hAnsi="Calibri" w:eastAsia="宋体" w:cs="Times New Roman"/>
                <w:sz w:val="24"/>
                <w:szCs w:val="24"/>
              </w:rPr>
              <w:t>功能，提示心肌梗死相关信息，并可打印相关报告</w:t>
            </w:r>
          </w:p>
          <w:p w14:paraId="5FA0BA30">
            <w:pPr>
              <w:rPr>
                <w:rFonts w:ascii="Calibri" w:hAnsi="Calibri" w:eastAsia="宋体" w:cs="Times New Roman"/>
                <w:sz w:val="24"/>
                <w:szCs w:val="24"/>
              </w:rPr>
            </w:pPr>
            <w:r>
              <w:rPr>
                <w:rFonts w:hint="eastAsia"/>
                <w:sz w:val="24"/>
                <w:szCs w:val="24"/>
              </w:rPr>
              <w:t>3.13、</w:t>
            </w:r>
            <w:r>
              <w:rPr>
                <w:rFonts w:hint="eastAsia" w:ascii="Calibri" w:hAnsi="Calibri" w:eastAsia="宋体" w:cs="Times New Roman"/>
                <w:sz w:val="24"/>
                <w:szCs w:val="24"/>
              </w:rPr>
              <w:t>支持用户登录设置，并针对不同用户分权限管理</w:t>
            </w:r>
          </w:p>
          <w:p w14:paraId="7A551438">
            <w:pPr>
              <w:rPr>
                <w:rFonts w:ascii="Calibri" w:hAnsi="Calibri" w:eastAsia="宋体" w:cs="Times New Roman"/>
                <w:sz w:val="24"/>
                <w:szCs w:val="24"/>
              </w:rPr>
            </w:pPr>
            <w:r>
              <w:rPr>
                <w:rFonts w:hint="eastAsia"/>
                <w:sz w:val="24"/>
                <w:szCs w:val="24"/>
              </w:rPr>
              <w:t>3.14、</w:t>
            </w:r>
            <w:r>
              <w:rPr>
                <w:rFonts w:ascii="Calibri" w:hAnsi="Calibri" w:eastAsia="宋体" w:cs="Times New Roman"/>
                <w:sz w:val="24"/>
                <w:szCs w:val="24"/>
              </w:rPr>
              <w:t>可以与同品牌心电网络相连，实现病人预约信息的下载，检查数据自动上传，</w:t>
            </w:r>
            <w:r>
              <w:rPr>
                <w:rFonts w:hint="eastAsia"/>
                <w:sz w:val="24"/>
                <w:szCs w:val="24"/>
              </w:rPr>
              <w:t>3.15、</w:t>
            </w:r>
            <w:r>
              <w:rPr>
                <w:rFonts w:ascii="Calibri" w:hAnsi="Calibri" w:eastAsia="宋体" w:cs="Times New Roman"/>
                <w:sz w:val="24"/>
                <w:szCs w:val="24"/>
              </w:rPr>
              <w:t>实现全方位信息化管理，优化医院工作流程，减少医生工作量</w:t>
            </w:r>
          </w:p>
          <w:p w14:paraId="4C3CD7CF">
            <w:pPr>
              <w:rPr>
                <w:rFonts w:ascii="Calibri" w:hAnsi="Calibri" w:eastAsia="宋体" w:cs="Times New Roman"/>
                <w:sz w:val="24"/>
                <w:szCs w:val="24"/>
              </w:rPr>
            </w:pPr>
            <w:r>
              <w:rPr>
                <w:rFonts w:hint="eastAsia"/>
                <w:sz w:val="24"/>
                <w:szCs w:val="24"/>
              </w:rPr>
              <w:t>四、</w:t>
            </w:r>
            <w:r>
              <w:rPr>
                <w:rFonts w:hint="eastAsia" w:ascii="Calibri" w:hAnsi="Calibri" w:eastAsia="宋体" w:cs="Times New Roman"/>
                <w:sz w:val="24"/>
                <w:szCs w:val="24"/>
              </w:rPr>
              <w:t>电源：</w:t>
            </w:r>
          </w:p>
          <w:p w14:paraId="435B25E7">
            <w:pPr>
              <w:rPr>
                <w:rFonts w:ascii="Calibri" w:hAnsi="Calibri" w:eastAsia="宋体" w:cs="Times New Roman"/>
                <w:sz w:val="24"/>
                <w:szCs w:val="24"/>
              </w:rPr>
            </w:pPr>
            <w:r>
              <w:rPr>
                <w:rFonts w:hint="eastAsia"/>
                <w:sz w:val="24"/>
                <w:szCs w:val="24"/>
              </w:rPr>
              <w:t>4.1、</w:t>
            </w:r>
            <w:r>
              <w:rPr>
                <w:rFonts w:hint="eastAsia" w:ascii="Calibri" w:hAnsi="Calibri" w:eastAsia="宋体" w:cs="Times New Roman"/>
                <w:sz w:val="24"/>
                <w:szCs w:val="24"/>
              </w:rPr>
              <w:t>交直流两用，自动转换</w:t>
            </w:r>
          </w:p>
          <w:p w14:paraId="41353D24">
            <w:pPr>
              <w:rPr>
                <w:sz w:val="24"/>
                <w:szCs w:val="24"/>
              </w:rPr>
            </w:pPr>
            <w:r>
              <w:rPr>
                <w:rFonts w:hint="eastAsia"/>
                <w:bCs/>
                <w:sz w:val="24"/>
                <w:szCs w:val="24"/>
              </w:rPr>
              <w:t>★</w:t>
            </w:r>
            <w:r>
              <w:rPr>
                <w:rFonts w:hint="eastAsia"/>
                <w:sz w:val="24"/>
                <w:szCs w:val="24"/>
              </w:rPr>
              <w:t>4.2、</w:t>
            </w:r>
            <w:r>
              <w:rPr>
                <w:rFonts w:hint="eastAsia" w:ascii="Calibri" w:hAnsi="Calibri" w:eastAsia="宋体" w:cs="Times New Roman"/>
                <w:sz w:val="24"/>
                <w:szCs w:val="24"/>
              </w:rPr>
              <w:t xml:space="preserve">直流电源：内置可充电锂离子电池，充足后可正常工作时间≥4小时  </w:t>
            </w:r>
          </w:p>
        </w:tc>
      </w:tr>
      <w:tr w14:paraId="37BBCE6C">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988" w:hRule="atLeast"/>
        </w:trPr>
        <w:tc>
          <w:tcPr>
            <w:tcW w:w="441" w:type="pct"/>
            <w:vAlign w:val="center"/>
          </w:tcPr>
          <w:p w14:paraId="0BA9210A">
            <w:pPr>
              <w:jc w:val="center"/>
              <w:rPr>
                <w:sz w:val="24"/>
                <w:szCs w:val="24"/>
              </w:rPr>
            </w:pPr>
            <w:r>
              <w:rPr>
                <w:rFonts w:hint="eastAsia"/>
                <w:sz w:val="24"/>
                <w:szCs w:val="24"/>
              </w:rPr>
              <w:t>5</w:t>
            </w:r>
          </w:p>
        </w:tc>
        <w:tc>
          <w:tcPr>
            <w:tcW w:w="1033" w:type="pct"/>
            <w:vAlign w:val="center"/>
          </w:tcPr>
          <w:p w14:paraId="6FD3F7B8">
            <w:pPr>
              <w:jc w:val="center"/>
              <w:rPr>
                <w:sz w:val="24"/>
                <w:szCs w:val="24"/>
              </w:rPr>
            </w:pPr>
            <w:r>
              <w:rPr>
                <w:sz w:val="24"/>
                <w:szCs w:val="24"/>
              </w:rPr>
              <w:t>麻醉医生工作台</w:t>
            </w:r>
          </w:p>
        </w:tc>
        <w:tc>
          <w:tcPr>
            <w:tcW w:w="3525" w:type="pct"/>
          </w:tcPr>
          <w:p w14:paraId="0D68A0E7">
            <w:pPr>
              <w:jc w:val="left"/>
              <w:rPr>
                <w:rFonts w:ascii="Calibri" w:hAnsi="Calibri" w:eastAsia="宋体" w:cs="Times New Roman"/>
                <w:sz w:val="24"/>
                <w:szCs w:val="24"/>
              </w:rPr>
            </w:pPr>
            <w:r>
              <w:rPr>
                <w:rFonts w:hint="eastAsia"/>
                <w:sz w:val="24"/>
                <w:szCs w:val="24"/>
              </w:rPr>
              <w:t>1、</w:t>
            </w:r>
            <w:r>
              <w:rPr>
                <w:rFonts w:hint="eastAsia" w:ascii="Calibri" w:hAnsi="Calibri" w:eastAsia="宋体" w:cs="Times New Roman"/>
                <w:sz w:val="24"/>
                <w:szCs w:val="24"/>
              </w:rPr>
              <w:t>主体材质为ABS工程塑料，抽屉采用全塑ABS材质模块化设计；</w:t>
            </w:r>
          </w:p>
          <w:p w14:paraId="28D45D84">
            <w:pPr>
              <w:jc w:val="left"/>
              <w:rPr>
                <w:rFonts w:ascii="Calibri" w:hAnsi="Calibri" w:eastAsia="宋体" w:cs="Times New Roman"/>
                <w:sz w:val="24"/>
                <w:szCs w:val="24"/>
              </w:rPr>
            </w:pPr>
            <w:r>
              <w:rPr>
                <w:rFonts w:hint="eastAsia"/>
                <w:sz w:val="24"/>
                <w:szCs w:val="24"/>
              </w:rPr>
              <w:t>2、</w:t>
            </w:r>
            <w:r>
              <w:rPr>
                <w:rFonts w:hint="eastAsia" w:ascii="Calibri" w:hAnsi="Calibri" w:eastAsia="宋体" w:cs="Times New Roman"/>
                <w:sz w:val="24"/>
                <w:szCs w:val="24"/>
              </w:rPr>
              <w:t>台面安装不锈钢三面围栏，精致美观；选用Φ12不锈钢棒焊接，牢固可靠；</w:t>
            </w:r>
          </w:p>
          <w:p w14:paraId="74332C54">
            <w:pPr>
              <w:jc w:val="left"/>
              <w:rPr>
                <w:rFonts w:ascii="Calibri" w:hAnsi="Calibri" w:eastAsia="宋体" w:cs="Times New Roman"/>
                <w:sz w:val="24"/>
                <w:szCs w:val="24"/>
              </w:rPr>
            </w:pPr>
            <w:r>
              <w:rPr>
                <w:rFonts w:hint="eastAsia"/>
                <w:sz w:val="24"/>
                <w:szCs w:val="24"/>
              </w:rPr>
              <w:t>3、</w:t>
            </w:r>
            <w:r>
              <w:rPr>
                <w:rFonts w:ascii="Calibri" w:hAnsi="Calibri" w:eastAsia="宋体" w:cs="Times New Roman"/>
                <w:sz w:val="24"/>
                <w:szCs w:val="24"/>
              </w:rPr>
              <w:t>车</w:t>
            </w:r>
            <w:r>
              <w:rPr>
                <w:rFonts w:hint="eastAsia" w:ascii="Calibri" w:hAnsi="Calibri" w:eastAsia="宋体" w:cs="Times New Roman"/>
                <w:sz w:val="24"/>
                <w:szCs w:val="24"/>
              </w:rPr>
              <w:t>体采用铝合金立柱，侧边装有中控锁定装置，操作简单、方便；</w:t>
            </w:r>
          </w:p>
          <w:p w14:paraId="4B42AACB">
            <w:pPr>
              <w:jc w:val="left"/>
              <w:rPr>
                <w:rFonts w:ascii="Calibri" w:hAnsi="Calibri" w:eastAsia="宋体" w:cs="Times New Roman"/>
                <w:sz w:val="24"/>
                <w:szCs w:val="24"/>
              </w:rPr>
            </w:pPr>
            <w:r>
              <w:rPr>
                <w:rFonts w:hint="eastAsia"/>
                <w:sz w:val="24"/>
                <w:szCs w:val="24"/>
              </w:rPr>
              <w:t>4、</w:t>
            </w:r>
            <w:r>
              <w:rPr>
                <w:rFonts w:hint="eastAsia" w:ascii="Calibri" w:hAnsi="Calibri" w:eastAsia="宋体" w:cs="Times New Roman"/>
                <w:sz w:val="24"/>
                <w:szCs w:val="24"/>
              </w:rPr>
              <w:t>车体配有两小抽（抽屉高度68mm）、两中抽（抽屉高度120mm）、和一大抽（抽屉高度248mm），抽屉内置分割条，可自由分割，抽屉可随时拆装,导轨采用三节式滚珠静音导轨；车体左侧面带有手写板和侧翻式物料盒；车体台面护栏上方配有5个透明翻转麻醉盒，方便药品存放；</w:t>
            </w:r>
          </w:p>
          <w:p w14:paraId="6AF0139C">
            <w:pPr>
              <w:jc w:val="left"/>
              <w:rPr>
                <w:rFonts w:ascii="Calibri" w:hAnsi="Calibri" w:eastAsia="宋体" w:cs="Times New Roman"/>
                <w:sz w:val="24"/>
                <w:szCs w:val="24"/>
              </w:rPr>
            </w:pPr>
            <w:r>
              <w:rPr>
                <w:rFonts w:hint="eastAsia"/>
                <w:sz w:val="24"/>
                <w:szCs w:val="24"/>
              </w:rPr>
              <w:t>5、</w:t>
            </w:r>
            <w:r>
              <w:rPr>
                <w:rFonts w:hint="eastAsia" w:ascii="Calibri" w:hAnsi="Calibri" w:eastAsia="宋体" w:cs="Times New Roman"/>
                <w:sz w:val="24"/>
                <w:szCs w:val="24"/>
              </w:rPr>
              <w:t>底部四只静音防缠绕脚轮，脚轮直径Φ100mm，推行灵活承载量大，选用优质品牌脚轮；</w:t>
            </w:r>
          </w:p>
          <w:p w14:paraId="252DA6D2">
            <w:pPr>
              <w:jc w:val="left"/>
              <w:rPr>
                <w:rFonts w:ascii="Calibri" w:hAnsi="Calibri" w:eastAsia="宋体" w:cs="Times New Roman"/>
                <w:sz w:val="24"/>
                <w:szCs w:val="24"/>
              </w:rPr>
            </w:pPr>
            <w:r>
              <w:rPr>
                <w:rFonts w:hint="eastAsia"/>
                <w:sz w:val="24"/>
                <w:szCs w:val="24"/>
              </w:rPr>
              <w:t>6、</w:t>
            </w:r>
            <w:r>
              <w:rPr>
                <w:rFonts w:hint="eastAsia" w:ascii="Calibri" w:hAnsi="Calibri" w:eastAsia="宋体" w:cs="Times New Roman"/>
                <w:sz w:val="24"/>
                <w:szCs w:val="24"/>
              </w:rPr>
              <w:t>车体规格：750*480*1300mm</w:t>
            </w:r>
          </w:p>
          <w:p w14:paraId="06E0EB8D">
            <w:pPr>
              <w:jc w:val="left"/>
              <w:rPr>
                <w:sz w:val="24"/>
                <w:szCs w:val="24"/>
              </w:rPr>
            </w:pPr>
            <w:r>
              <w:rPr>
                <w:rFonts w:hint="eastAsia" w:ascii="Calibri" w:hAnsi="Calibri" w:eastAsia="宋体" w:cs="Times New Roman"/>
                <w:sz w:val="24"/>
                <w:szCs w:val="24"/>
              </w:rPr>
              <w:t>标配：侧挂盒1个，利器盒2个,B型垃圾桶2个，单排麻醉盒1套；</w:t>
            </w:r>
          </w:p>
        </w:tc>
      </w:tr>
      <w:tr w14:paraId="5CCECA96">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988" w:hRule="atLeast"/>
        </w:trPr>
        <w:tc>
          <w:tcPr>
            <w:tcW w:w="441" w:type="pct"/>
            <w:vAlign w:val="center"/>
          </w:tcPr>
          <w:p w14:paraId="5FD319BE">
            <w:pPr>
              <w:jc w:val="center"/>
              <w:rPr>
                <w:sz w:val="24"/>
                <w:szCs w:val="24"/>
              </w:rPr>
            </w:pPr>
            <w:r>
              <w:rPr>
                <w:rFonts w:hint="eastAsia"/>
                <w:sz w:val="24"/>
                <w:szCs w:val="24"/>
              </w:rPr>
              <w:t>6</w:t>
            </w:r>
          </w:p>
        </w:tc>
        <w:tc>
          <w:tcPr>
            <w:tcW w:w="1033" w:type="pct"/>
            <w:vAlign w:val="center"/>
          </w:tcPr>
          <w:p w14:paraId="7FCA7F42">
            <w:pPr>
              <w:jc w:val="center"/>
              <w:rPr>
                <w:sz w:val="24"/>
                <w:szCs w:val="24"/>
              </w:rPr>
            </w:pPr>
            <w:r>
              <w:rPr>
                <w:sz w:val="24"/>
                <w:szCs w:val="24"/>
              </w:rPr>
              <w:t>骨科四肢清创台</w:t>
            </w:r>
          </w:p>
        </w:tc>
        <w:tc>
          <w:tcPr>
            <w:tcW w:w="3525" w:type="pct"/>
          </w:tcPr>
          <w:p w14:paraId="607C1811">
            <w:pPr>
              <w:jc w:val="left"/>
              <w:rPr>
                <w:sz w:val="24"/>
                <w:szCs w:val="24"/>
              </w:rPr>
            </w:pPr>
            <w:r>
              <w:rPr>
                <w:rFonts w:hint="eastAsia"/>
                <w:sz w:val="24"/>
                <w:szCs w:val="24"/>
              </w:rPr>
              <w:t>1、</w:t>
            </w:r>
            <w:r>
              <w:rPr>
                <w:sz w:val="24"/>
                <w:szCs w:val="24"/>
              </w:rPr>
              <w:t>长宽高：</w:t>
            </w:r>
            <w:r>
              <w:rPr>
                <w:rFonts w:hint="eastAsia"/>
                <w:sz w:val="24"/>
                <w:szCs w:val="24"/>
              </w:rPr>
              <w:t>640/420/860mm</w:t>
            </w:r>
          </w:p>
          <w:p w14:paraId="71B4D48D">
            <w:pPr>
              <w:jc w:val="left"/>
              <w:rPr>
                <w:sz w:val="24"/>
                <w:szCs w:val="24"/>
              </w:rPr>
            </w:pPr>
            <w:r>
              <w:rPr>
                <w:rFonts w:hint="eastAsia"/>
                <w:sz w:val="24"/>
                <w:szCs w:val="24"/>
              </w:rPr>
              <w:t>2、环保不锈钢材质</w:t>
            </w:r>
          </w:p>
          <w:p w14:paraId="3C38604D">
            <w:pPr>
              <w:jc w:val="left"/>
              <w:rPr>
                <w:sz w:val="24"/>
                <w:szCs w:val="24"/>
              </w:rPr>
            </w:pPr>
            <w:r>
              <w:rPr>
                <w:rFonts w:hint="eastAsia"/>
                <w:sz w:val="24"/>
                <w:szCs w:val="24"/>
              </w:rPr>
              <w:t>3、承重强，不易变形，坚固耐用</w:t>
            </w:r>
          </w:p>
        </w:tc>
      </w:tr>
      <w:tr w14:paraId="75FC5522">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988" w:hRule="atLeast"/>
        </w:trPr>
        <w:tc>
          <w:tcPr>
            <w:tcW w:w="441" w:type="pct"/>
            <w:vAlign w:val="center"/>
          </w:tcPr>
          <w:p w14:paraId="0383E1B6">
            <w:pPr>
              <w:jc w:val="center"/>
              <w:rPr>
                <w:sz w:val="24"/>
                <w:szCs w:val="24"/>
              </w:rPr>
            </w:pPr>
            <w:r>
              <w:rPr>
                <w:rFonts w:hint="eastAsia"/>
                <w:sz w:val="24"/>
                <w:szCs w:val="24"/>
              </w:rPr>
              <w:t>7</w:t>
            </w:r>
          </w:p>
        </w:tc>
        <w:tc>
          <w:tcPr>
            <w:tcW w:w="1033" w:type="pct"/>
            <w:vAlign w:val="center"/>
          </w:tcPr>
          <w:p w14:paraId="04F27340">
            <w:pPr>
              <w:jc w:val="center"/>
              <w:rPr>
                <w:sz w:val="24"/>
                <w:szCs w:val="24"/>
              </w:rPr>
            </w:pPr>
            <w:r>
              <w:rPr>
                <w:sz w:val="24"/>
                <w:szCs w:val="24"/>
              </w:rPr>
              <w:t>输血保温箱</w:t>
            </w:r>
          </w:p>
        </w:tc>
        <w:tc>
          <w:tcPr>
            <w:tcW w:w="3525" w:type="pct"/>
          </w:tcPr>
          <w:p w14:paraId="78BDDAFB">
            <w:pPr>
              <w:rPr>
                <w:sz w:val="24"/>
                <w:szCs w:val="24"/>
              </w:rPr>
            </w:pPr>
            <w:r>
              <w:rPr>
                <w:rFonts w:hint="eastAsia"/>
                <w:sz w:val="24"/>
                <w:szCs w:val="24"/>
              </w:rPr>
              <w:t xml:space="preserve">1、外尺寸:42*24.5*30cm </w:t>
            </w:r>
          </w:p>
          <w:p w14:paraId="0951B0BD">
            <w:pPr>
              <w:rPr>
                <w:sz w:val="24"/>
                <w:szCs w:val="24"/>
              </w:rPr>
            </w:pPr>
            <w:r>
              <w:rPr>
                <w:rFonts w:hint="eastAsia"/>
                <w:sz w:val="24"/>
                <w:szCs w:val="24"/>
              </w:rPr>
              <w:t>2、内尺寸:33.5*17*24cm</w:t>
            </w:r>
          </w:p>
          <w:p w14:paraId="62BA280D">
            <w:pPr>
              <w:rPr>
                <w:sz w:val="24"/>
                <w:szCs w:val="24"/>
              </w:rPr>
            </w:pPr>
            <w:r>
              <w:rPr>
                <w:rFonts w:hint="eastAsia"/>
                <w:sz w:val="24"/>
                <w:szCs w:val="24"/>
              </w:rPr>
              <w:t>3、外层采用汽车保险杠专用材料扬子PP原米改性塑料米，外表光洁，韧性更好.</w:t>
            </w:r>
          </w:p>
          <w:p w14:paraId="16E270E5">
            <w:pPr>
              <w:rPr>
                <w:sz w:val="24"/>
                <w:szCs w:val="24"/>
              </w:rPr>
            </w:pPr>
            <w:r>
              <w:rPr>
                <w:rFonts w:hint="eastAsia"/>
                <w:sz w:val="24"/>
                <w:szCs w:val="24"/>
              </w:rPr>
              <w:t xml:space="preserve">箱子正面--嵌入式温度计。 </w:t>
            </w:r>
          </w:p>
          <w:p w14:paraId="23EC5D9C">
            <w:pPr>
              <w:rPr>
                <w:sz w:val="24"/>
                <w:szCs w:val="24"/>
              </w:rPr>
            </w:pPr>
            <w:r>
              <w:rPr>
                <w:rFonts w:hint="eastAsia"/>
                <w:sz w:val="24"/>
                <w:szCs w:val="24"/>
              </w:rPr>
              <w:t>4、提手--人性化手掌形提手。 内测做水波纹，外侧横向压纹。更加贴合手形状，均衡受力。</w:t>
            </w:r>
          </w:p>
          <w:p w14:paraId="38F7DD31">
            <w:pPr>
              <w:rPr>
                <w:sz w:val="24"/>
                <w:szCs w:val="24"/>
              </w:rPr>
            </w:pPr>
            <w:r>
              <w:rPr>
                <w:rFonts w:hint="eastAsia"/>
                <w:sz w:val="24"/>
                <w:szCs w:val="24"/>
              </w:rPr>
              <w:t>5、箱子正面中心自带有锁孔，可用于挂密码锁或者封铅带。保证采样的安全。</w:t>
            </w:r>
          </w:p>
          <w:p w14:paraId="2A3879C8">
            <w:pPr>
              <w:rPr>
                <w:sz w:val="24"/>
                <w:szCs w:val="24"/>
              </w:rPr>
            </w:pPr>
            <w:r>
              <w:rPr>
                <w:rFonts w:hint="eastAsia"/>
                <w:sz w:val="24"/>
                <w:szCs w:val="24"/>
              </w:rPr>
              <w:t>6、底部---圆形垫角。箱子两侧---固定背带的孔位。</w:t>
            </w:r>
          </w:p>
          <w:p w14:paraId="32F1C35E">
            <w:pPr>
              <w:rPr>
                <w:sz w:val="24"/>
                <w:szCs w:val="24"/>
              </w:rPr>
            </w:pPr>
            <w:r>
              <w:rPr>
                <w:rFonts w:hint="eastAsia"/>
                <w:sz w:val="24"/>
                <w:szCs w:val="24"/>
              </w:rPr>
              <w:t>7、箱子背面合页--微型摇臂，可控制箱子的开合角度，避免箱盖角度太大导致箱子后翻。</w:t>
            </w:r>
          </w:p>
          <w:p w14:paraId="0607D681">
            <w:pPr>
              <w:rPr>
                <w:sz w:val="24"/>
                <w:szCs w:val="24"/>
              </w:rPr>
            </w:pPr>
            <w:r>
              <w:rPr>
                <w:rFonts w:hint="eastAsia"/>
                <w:sz w:val="24"/>
                <w:szCs w:val="24"/>
              </w:rPr>
              <w:t>8、箱子顶盖--环绕硅胶密封圈，100%回弹，使得箱盖和箱体无缝对接，防止冷气流失。</w:t>
            </w:r>
          </w:p>
          <w:p w14:paraId="3A6DAD2B">
            <w:pPr>
              <w:rPr>
                <w:sz w:val="24"/>
                <w:szCs w:val="24"/>
              </w:rPr>
            </w:pPr>
            <w:r>
              <w:rPr>
                <w:rFonts w:hint="eastAsia"/>
                <w:sz w:val="24"/>
                <w:szCs w:val="24"/>
              </w:rPr>
              <w:t>9、配备背带一条，带有护肩垫，使用起来不勒肩膀。</w:t>
            </w:r>
          </w:p>
          <w:p w14:paraId="3CFF25C6">
            <w:pPr>
              <w:rPr>
                <w:sz w:val="24"/>
                <w:szCs w:val="24"/>
              </w:rPr>
            </w:pPr>
            <w:r>
              <w:rPr>
                <w:rFonts w:hint="eastAsia"/>
                <w:sz w:val="24"/>
                <w:szCs w:val="24"/>
              </w:rPr>
              <w:t>10、箱内蓄冷冰盒，采用双重密封，内含有高分子蓄冷材料。</w:t>
            </w:r>
          </w:p>
          <w:p w14:paraId="3FF324CD">
            <w:pPr>
              <w:rPr>
                <w:sz w:val="24"/>
                <w:szCs w:val="24"/>
              </w:rPr>
            </w:pPr>
            <w:r>
              <w:rPr>
                <w:rFonts w:hint="eastAsia"/>
                <w:sz w:val="24"/>
                <w:szCs w:val="24"/>
              </w:rPr>
              <w:t>11、保温层--无氟聚氨酯发泡，平均发泡厚度2CM，密度50KGS/M3</w:t>
            </w:r>
          </w:p>
        </w:tc>
      </w:tr>
      <w:tr w14:paraId="02FC0572">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988" w:hRule="atLeast"/>
        </w:trPr>
        <w:tc>
          <w:tcPr>
            <w:tcW w:w="441" w:type="pct"/>
            <w:vAlign w:val="center"/>
          </w:tcPr>
          <w:p w14:paraId="3D58795C">
            <w:pPr>
              <w:jc w:val="center"/>
              <w:rPr>
                <w:sz w:val="24"/>
                <w:szCs w:val="24"/>
              </w:rPr>
            </w:pPr>
          </w:p>
        </w:tc>
        <w:tc>
          <w:tcPr>
            <w:tcW w:w="1033" w:type="pct"/>
            <w:vAlign w:val="center"/>
          </w:tcPr>
          <w:p w14:paraId="05712D05">
            <w:pPr>
              <w:jc w:val="center"/>
              <w:rPr>
                <w:sz w:val="24"/>
                <w:szCs w:val="24"/>
              </w:rPr>
            </w:pPr>
            <w:r>
              <w:rPr>
                <w:sz w:val="24"/>
                <w:szCs w:val="24"/>
              </w:rPr>
              <w:t>合计</w:t>
            </w:r>
          </w:p>
        </w:tc>
        <w:tc>
          <w:tcPr>
            <w:tcW w:w="3525" w:type="pct"/>
          </w:tcPr>
          <w:p w14:paraId="2CD92A25">
            <w:pPr>
              <w:jc w:val="left"/>
              <w:rPr>
                <w:sz w:val="24"/>
                <w:szCs w:val="24"/>
              </w:rPr>
            </w:pPr>
          </w:p>
        </w:tc>
      </w:tr>
    </w:tbl>
    <w:p w14:paraId="2F165BE5">
      <w:pPr>
        <w:jc w:val="center"/>
        <w:outlineLvl w:val="1"/>
        <w:rPr>
          <w:rFonts w:hint="eastAsia" w:ascii="宋体" w:hAnsi="宋体"/>
          <w:highlight w:val="none"/>
        </w:rPr>
      </w:pPr>
      <w:r>
        <w:rPr>
          <w:rFonts w:hint="eastAsia" w:ascii="宋体" w:hAnsi="宋体" w:eastAsia="宋体" w:cs="宋体"/>
          <w:b/>
          <w:bCs/>
          <w:i w:val="0"/>
          <w:iCs w:val="0"/>
          <w:caps w:val="0"/>
          <w:color w:val="333333"/>
          <w:spacing w:val="0"/>
          <w:sz w:val="24"/>
          <w:szCs w:val="24"/>
          <w:shd w:val="clear" w:color="auto" w:fill="FFFFFF"/>
        </w:rPr>
        <w:br w:type="page"/>
      </w:r>
      <w:bookmarkStart w:id="224" w:name="_Toc19163"/>
      <w:bookmarkEnd w:id="224"/>
      <w:bookmarkStart w:id="225" w:name="_Toc17654"/>
      <w:bookmarkEnd w:id="225"/>
      <w:bookmarkStart w:id="226" w:name="_Toc24075"/>
      <w:bookmarkStart w:id="227" w:name="_Toc8146"/>
      <w:r>
        <w:rPr>
          <w:rFonts w:hint="eastAsia" w:ascii="宋体" w:hAnsi="宋体"/>
          <w:b/>
          <w:bCs/>
          <w:sz w:val="44"/>
          <w:szCs w:val="44"/>
          <w:highlight w:val="none"/>
        </w:rPr>
        <w:t>第七章 投标文件格式</w:t>
      </w:r>
      <w:bookmarkEnd w:id="226"/>
      <w:bookmarkEnd w:id="227"/>
    </w:p>
    <w:p w14:paraId="70800ADB">
      <w:pPr>
        <w:rPr>
          <w:rFonts w:hint="eastAsia" w:ascii="宋体" w:hAnsi="宋体"/>
          <w:highlight w:val="none"/>
        </w:rPr>
      </w:pPr>
      <w:r>
        <w:rPr>
          <w:rFonts w:hint="eastAsia" w:ascii="宋体" w:hAnsi="宋体"/>
          <w:highlight w:val="none"/>
        </w:rPr>
        <w:t xml:space="preserve"> </w:t>
      </w:r>
    </w:p>
    <w:p w14:paraId="3EA3C92A">
      <w:pPr>
        <w:rPr>
          <w:rFonts w:hint="eastAsia" w:ascii="宋体" w:hAnsi="宋体"/>
          <w:highlight w:val="none"/>
        </w:rPr>
      </w:pPr>
      <w:r>
        <w:rPr>
          <w:rFonts w:hint="eastAsia" w:ascii="宋体" w:hAnsi="宋体"/>
          <w:highlight w:val="none"/>
        </w:rPr>
        <w:t xml:space="preserve"> </w:t>
      </w:r>
    </w:p>
    <w:p w14:paraId="794D3CB1">
      <w:pPr>
        <w:jc w:val="center"/>
        <w:rPr>
          <w:rFonts w:hint="eastAsia"/>
          <w:b/>
          <w:sz w:val="44"/>
          <w:szCs w:val="44"/>
          <w:highlight w:val="none"/>
        </w:rPr>
      </w:pPr>
      <w:r>
        <w:rPr>
          <w:rFonts w:hint="eastAsia"/>
          <w:b/>
          <w:sz w:val="44"/>
          <w:szCs w:val="44"/>
          <w:highlight w:val="none"/>
        </w:rPr>
        <w:t>资格审查部分封面</w:t>
      </w:r>
    </w:p>
    <w:p w14:paraId="3E055C13">
      <w:pPr>
        <w:rPr>
          <w:rFonts w:hint="eastAsia" w:ascii="宋体" w:hAnsi="宋体"/>
          <w:highlight w:val="none"/>
        </w:rPr>
      </w:pPr>
    </w:p>
    <w:p w14:paraId="20E664D9">
      <w:pPr>
        <w:rPr>
          <w:rFonts w:hint="eastAsia" w:ascii="宋体" w:hAnsi="宋体"/>
          <w:highlight w:val="none"/>
        </w:rPr>
      </w:pPr>
      <w:r>
        <w:rPr>
          <w:rFonts w:hint="eastAsia" w:ascii="宋体" w:hAnsi="宋体"/>
          <w:highlight w:val="none"/>
        </w:rPr>
        <w:t xml:space="preserve"> </w:t>
      </w:r>
    </w:p>
    <w:p w14:paraId="1F98DD26">
      <w:pPr>
        <w:jc w:val="center"/>
        <w:rPr>
          <w:rFonts w:hint="eastAsia" w:ascii="宋体" w:hAnsi="宋体" w:eastAsia="宋体"/>
          <w:b/>
          <w:bCs/>
          <w:sz w:val="44"/>
          <w:szCs w:val="44"/>
          <w:highlight w:val="none"/>
          <w:lang w:eastAsia="zh-CN"/>
        </w:rPr>
      </w:pPr>
      <w:r>
        <w:rPr>
          <w:rFonts w:hint="eastAsia" w:ascii="宋体" w:hAnsi="宋体"/>
          <w:b/>
          <w:bCs/>
          <w:sz w:val="44"/>
          <w:szCs w:val="44"/>
          <w:highlight w:val="none"/>
          <w:lang w:val="en-US" w:eastAsia="zh-CN"/>
        </w:rPr>
        <w:t>沪滇协作香格里拉市人民医院多导睡眠检测仪、血液净化机等采购项目</w:t>
      </w:r>
    </w:p>
    <w:p w14:paraId="598763E4">
      <w:pPr>
        <w:rPr>
          <w:rFonts w:hint="eastAsia" w:ascii="宋体" w:hAnsi="宋体"/>
          <w:b/>
          <w:bCs/>
          <w:sz w:val="44"/>
          <w:szCs w:val="44"/>
          <w:highlight w:val="none"/>
        </w:rPr>
      </w:pPr>
      <w:r>
        <w:rPr>
          <w:rFonts w:hint="eastAsia" w:ascii="宋体" w:hAnsi="宋体"/>
          <w:b/>
          <w:bCs/>
          <w:sz w:val="44"/>
          <w:szCs w:val="44"/>
          <w:highlight w:val="none"/>
        </w:rPr>
        <w:t xml:space="preserve"> </w:t>
      </w:r>
    </w:p>
    <w:p w14:paraId="509D7D62">
      <w:pPr>
        <w:rPr>
          <w:rFonts w:hint="eastAsia" w:ascii="宋体" w:hAnsi="宋体"/>
          <w:b/>
          <w:bCs/>
          <w:sz w:val="44"/>
          <w:szCs w:val="44"/>
          <w:highlight w:val="none"/>
        </w:rPr>
      </w:pPr>
      <w:r>
        <w:rPr>
          <w:rFonts w:hint="eastAsia" w:ascii="宋体" w:hAnsi="宋体"/>
          <w:b/>
          <w:bCs/>
          <w:sz w:val="44"/>
          <w:szCs w:val="44"/>
          <w:highlight w:val="none"/>
        </w:rPr>
        <w:t xml:space="preserve"> </w:t>
      </w:r>
    </w:p>
    <w:p w14:paraId="351051C6">
      <w:pPr>
        <w:rPr>
          <w:rFonts w:hint="eastAsia" w:ascii="宋体" w:hAnsi="宋体"/>
          <w:b/>
          <w:bCs/>
          <w:sz w:val="44"/>
          <w:szCs w:val="44"/>
          <w:highlight w:val="none"/>
        </w:rPr>
      </w:pPr>
      <w:r>
        <w:rPr>
          <w:rFonts w:hint="eastAsia" w:ascii="宋体" w:hAnsi="宋体"/>
          <w:b/>
          <w:bCs/>
          <w:sz w:val="44"/>
          <w:szCs w:val="44"/>
          <w:highlight w:val="none"/>
        </w:rPr>
        <w:t xml:space="preserve"> </w:t>
      </w:r>
    </w:p>
    <w:p w14:paraId="64234010">
      <w:pPr>
        <w:rPr>
          <w:rFonts w:hint="eastAsia" w:ascii="宋体" w:hAnsi="宋体"/>
          <w:b/>
          <w:bCs/>
          <w:sz w:val="44"/>
          <w:szCs w:val="44"/>
          <w:highlight w:val="none"/>
        </w:rPr>
      </w:pPr>
      <w:r>
        <w:rPr>
          <w:rFonts w:hint="eastAsia" w:ascii="宋体" w:hAnsi="宋体"/>
          <w:b/>
          <w:bCs/>
          <w:sz w:val="44"/>
          <w:szCs w:val="44"/>
          <w:highlight w:val="none"/>
        </w:rPr>
        <w:t xml:space="preserve"> </w:t>
      </w:r>
    </w:p>
    <w:p w14:paraId="7720EF24">
      <w:pPr>
        <w:rPr>
          <w:rFonts w:hint="eastAsia" w:ascii="宋体" w:hAnsi="宋体"/>
          <w:b/>
          <w:bCs/>
          <w:sz w:val="44"/>
          <w:szCs w:val="44"/>
          <w:highlight w:val="none"/>
        </w:rPr>
      </w:pPr>
      <w:r>
        <w:rPr>
          <w:rFonts w:hint="eastAsia" w:ascii="宋体" w:hAnsi="宋体"/>
          <w:b/>
          <w:bCs/>
          <w:sz w:val="44"/>
          <w:szCs w:val="44"/>
          <w:highlight w:val="none"/>
        </w:rPr>
        <w:t xml:space="preserve"> </w:t>
      </w:r>
    </w:p>
    <w:p w14:paraId="5AA5290A">
      <w:pPr>
        <w:jc w:val="center"/>
        <w:rPr>
          <w:rFonts w:hint="eastAsia" w:ascii="宋体" w:hAnsi="宋体"/>
          <w:b/>
          <w:bCs/>
          <w:sz w:val="52"/>
          <w:szCs w:val="52"/>
          <w:highlight w:val="none"/>
        </w:rPr>
      </w:pPr>
      <w:r>
        <w:rPr>
          <w:rFonts w:hint="eastAsia" w:ascii="宋体" w:hAnsi="宋体"/>
          <w:b/>
          <w:bCs/>
          <w:sz w:val="52"/>
          <w:szCs w:val="52"/>
          <w:highlight w:val="none"/>
        </w:rPr>
        <w:t>投 标 文 件</w:t>
      </w:r>
    </w:p>
    <w:p w14:paraId="07F79528">
      <w:pPr>
        <w:jc w:val="center"/>
        <w:outlineLvl w:val="2"/>
        <w:rPr>
          <w:rFonts w:hint="eastAsia" w:ascii="宋体" w:hAnsi="宋体"/>
          <w:b/>
          <w:bCs/>
          <w:sz w:val="32"/>
          <w:szCs w:val="32"/>
          <w:highlight w:val="none"/>
        </w:rPr>
      </w:pPr>
      <w:bookmarkStart w:id="228" w:name="_Toc29527"/>
      <w:r>
        <w:rPr>
          <w:rFonts w:hint="eastAsia" w:ascii="宋体" w:hAnsi="宋体"/>
          <w:b/>
          <w:bCs/>
          <w:sz w:val="32"/>
          <w:szCs w:val="32"/>
          <w:highlight w:val="none"/>
        </w:rPr>
        <w:t>资格审查部分</w:t>
      </w:r>
      <w:bookmarkEnd w:id="228"/>
    </w:p>
    <w:p w14:paraId="5EBC2049">
      <w:pPr>
        <w:rPr>
          <w:rFonts w:hint="eastAsia" w:ascii="宋体" w:hAnsi="宋体"/>
          <w:b/>
          <w:bCs/>
          <w:sz w:val="44"/>
          <w:szCs w:val="44"/>
          <w:highlight w:val="none"/>
        </w:rPr>
      </w:pPr>
      <w:r>
        <w:rPr>
          <w:rFonts w:hint="eastAsia" w:ascii="宋体" w:hAnsi="宋体"/>
          <w:b/>
          <w:bCs/>
          <w:sz w:val="44"/>
          <w:szCs w:val="44"/>
          <w:highlight w:val="none"/>
        </w:rPr>
        <w:t xml:space="preserve"> </w:t>
      </w:r>
    </w:p>
    <w:p w14:paraId="25526B09">
      <w:pPr>
        <w:rPr>
          <w:rFonts w:hint="eastAsia" w:ascii="宋体" w:hAnsi="宋体"/>
          <w:b/>
          <w:bCs/>
          <w:sz w:val="44"/>
          <w:szCs w:val="44"/>
          <w:highlight w:val="none"/>
        </w:rPr>
      </w:pPr>
      <w:r>
        <w:rPr>
          <w:rFonts w:hint="eastAsia" w:ascii="宋体" w:hAnsi="宋体"/>
          <w:b/>
          <w:bCs/>
          <w:sz w:val="44"/>
          <w:szCs w:val="44"/>
          <w:highlight w:val="none"/>
        </w:rPr>
        <w:t xml:space="preserve"> </w:t>
      </w:r>
    </w:p>
    <w:p w14:paraId="1F6172D9">
      <w:pPr>
        <w:rPr>
          <w:rFonts w:hint="eastAsia" w:ascii="宋体" w:hAnsi="宋体"/>
          <w:b/>
          <w:bCs/>
          <w:sz w:val="44"/>
          <w:szCs w:val="44"/>
          <w:highlight w:val="none"/>
        </w:rPr>
      </w:pPr>
      <w:r>
        <w:rPr>
          <w:rFonts w:hint="eastAsia" w:ascii="宋体" w:hAnsi="宋体"/>
          <w:b/>
          <w:bCs/>
          <w:sz w:val="44"/>
          <w:szCs w:val="44"/>
          <w:highlight w:val="none"/>
        </w:rPr>
        <w:t xml:space="preserve"> </w:t>
      </w:r>
    </w:p>
    <w:p w14:paraId="0F7C5C06">
      <w:pPr>
        <w:rPr>
          <w:rFonts w:hint="eastAsia" w:ascii="宋体" w:hAnsi="宋体"/>
          <w:b/>
          <w:bCs/>
          <w:sz w:val="44"/>
          <w:szCs w:val="44"/>
          <w:highlight w:val="none"/>
        </w:rPr>
      </w:pPr>
      <w:r>
        <w:rPr>
          <w:rFonts w:hint="eastAsia" w:ascii="宋体" w:hAnsi="宋体"/>
          <w:b/>
          <w:bCs/>
          <w:sz w:val="44"/>
          <w:szCs w:val="44"/>
          <w:highlight w:val="none"/>
        </w:rPr>
        <w:t xml:space="preserve"> </w:t>
      </w:r>
    </w:p>
    <w:p w14:paraId="48264571">
      <w:pPr>
        <w:rPr>
          <w:rFonts w:hint="eastAsia" w:ascii="宋体" w:hAnsi="宋体"/>
          <w:b/>
          <w:bCs/>
          <w:sz w:val="44"/>
          <w:szCs w:val="44"/>
          <w:highlight w:val="none"/>
        </w:rPr>
      </w:pPr>
      <w:r>
        <w:rPr>
          <w:rFonts w:hint="eastAsia" w:ascii="宋体" w:hAnsi="宋体"/>
          <w:b/>
          <w:bCs/>
          <w:sz w:val="44"/>
          <w:szCs w:val="44"/>
          <w:highlight w:val="none"/>
        </w:rPr>
        <w:t xml:space="preserve"> </w:t>
      </w:r>
    </w:p>
    <w:p w14:paraId="345F497B">
      <w:pPr>
        <w:ind w:firstLine="1968" w:firstLineChars="700"/>
        <w:rPr>
          <w:rFonts w:hint="eastAsia" w:ascii="宋体" w:hAnsi="宋体"/>
          <w:b/>
          <w:sz w:val="28"/>
          <w:szCs w:val="28"/>
          <w:highlight w:val="none"/>
        </w:rPr>
      </w:pPr>
      <w:bookmarkStart w:id="229" w:name="_Toc24434"/>
      <w:bookmarkEnd w:id="229"/>
      <w:r>
        <w:rPr>
          <w:rFonts w:hint="eastAsia" w:ascii="宋体" w:hAnsi="宋体"/>
          <w:b/>
          <w:sz w:val="28"/>
          <w:szCs w:val="28"/>
          <w:highlight w:val="none"/>
        </w:rPr>
        <w:t>投标人：</w:t>
      </w:r>
      <w:r>
        <w:rPr>
          <w:rFonts w:hint="eastAsia" w:ascii="宋体" w:hAnsi="宋体"/>
          <w:b/>
          <w:sz w:val="28"/>
          <w:szCs w:val="28"/>
          <w:highlight w:val="none"/>
          <w:u w:val="single"/>
        </w:rPr>
        <w:tab/>
      </w:r>
      <w:r>
        <w:rPr>
          <w:rFonts w:hint="eastAsia" w:ascii="宋体" w:hAnsi="宋体"/>
          <w:b/>
          <w:sz w:val="28"/>
          <w:szCs w:val="28"/>
          <w:highlight w:val="none"/>
          <w:u w:val="single"/>
        </w:rPr>
        <w:t xml:space="preserve">           </w:t>
      </w:r>
      <w:r>
        <w:rPr>
          <w:rFonts w:hint="eastAsia" w:ascii="宋体" w:hAnsi="宋体"/>
          <w:b/>
          <w:sz w:val="28"/>
          <w:szCs w:val="28"/>
          <w:highlight w:val="none"/>
        </w:rPr>
        <w:t>(电子签章)</w:t>
      </w:r>
    </w:p>
    <w:p w14:paraId="7E80929E">
      <w:pPr>
        <w:rPr>
          <w:b/>
          <w:sz w:val="28"/>
          <w:szCs w:val="28"/>
          <w:highlight w:val="none"/>
        </w:rPr>
      </w:pPr>
      <w:r>
        <w:rPr>
          <w:rFonts w:hint="eastAsia" w:ascii="宋体" w:hAnsi="宋体"/>
          <w:b/>
          <w:sz w:val="28"/>
          <w:szCs w:val="28"/>
          <w:highlight w:val="none"/>
        </w:rPr>
        <w:t>法定代表人(单位负责人)或其委托代理人：</w:t>
      </w:r>
      <w:r>
        <w:rPr>
          <w:rFonts w:hint="eastAsia" w:ascii="宋体" w:hAnsi="宋体"/>
          <w:b/>
          <w:sz w:val="28"/>
          <w:szCs w:val="28"/>
          <w:highlight w:val="none"/>
          <w:u w:val="single"/>
        </w:rPr>
        <w:tab/>
      </w:r>
      <w:r>
        <w:rPr>
          <w:rFonts w:hint="eastAsia" w:ascii="宋体" w:hAnsi="宋体"/>
          <w:b/>
          <w:sz w:val="28"/>
          <w:szCs w:val="28"/>
          <w:highlight w:val="none"/>
          <w:u w:val="single"/>
        </w:rPr>
        <w:t xml:space="preserve">     </w:t>
      </w:r>
      <w:r>
        <w:rPr>
          <w:rFonts w:hint="eastAsia" w:ascii="宋体" w:hAnsi="宋体"/>
          <w:b/>
          <w:sz w:val="28"/>
          <w:szCs w:val="28"/>
          <w:highlight w:val="none"/>
        </w:rPr>
        <w:t>(电子签章)</w:t>
      </w:r>
    </w:p>
    <w:p w14:paraId="31E65E27">
      <w:pPr>
        <w:ind w:firstLine="1968" w:firstLineChars="700"/>
        <w:rPr>
          <w:sz w:val="28"/>
          <w:szCs w:val="28"/>
          <w:highlight w:val="none"/>
        </w:rPr>
        <w:sectPr>
          <w:pgSz w:w="11906" w:h="16838"/>
          <w:pgMar w:top="1191" w:right="1191" w:bottom="1191" w:left="1191" w:header="720" w:footer="720" w:gutter="0"/>
          <w:pgNumType w:fmt="decimal"/>
          <w:cols w:space="720" w:num="1"/>
          <w:docGrid w:type="lines" w:linePitch="317" w:charSpace="0"/>
        </w:sectPr>
      </w:pPr>
      <w:r>
        <w:rPr>
          <w:b/>
          <w:sz w:val="28"/>
          <w:szCs w:val="28"/>
          <w:highlight w:val="none"/>
        </w:rPr>
        <w:t>日期：</w:t>
      </w:r>
      <w:r>
        <w:rPr>
          <w:rFonts w:hint="eastAsia"/>
          <w:bCs/>
          <w:sz w:val="28"/>
          <w:szCs w:val="28"/>
          <w:highlight w:val="none"/>
          <w:u w:val="single"/>
        </w:rPr>
        <w:t xml:space="preserve">      </w:t>
      </w:r>
      <w:r>
        <w:rPr>
          <w:b/>
          <w:sz w:val="28"/>
          <w:szCs w:val="28"/>
          <w:highlight w:val="none"/>
        </w:rPr>
        <w:t>年</w:t>
      </w:r>
      <w:r>
        <w:rPr>
          <w:rFonts w:hint="eastAsia"/>
          <w:bCs/>
          <w:sz w:val="28"/>
          <w:szCs w:val="28"/>
          <w:highlight w:val="none"/>
          <w:u w:val="single"/>
        </w:rPr>
        <w:t xml:space="preserve">     </w:t>
      </w:r>
      <w:r>
        <w:rPr>
          <w:b/>
          <w:sz w:val="28"/>
          <w:szCs w:val="28"/>
          <w:highlight w:val="none"/>
        </w:rPr>
        <w:t>月</w:t>
      </w:r>
      <w:r>
        <w:rPr>
          <w:rFonts w:hint="eastAsia"/>
          <w:bCs/>
          <w:sz w:val="28"/>
          <w:szCs w:val="28"/>
          <w:highlight w:val="none"/>
          <w:u w:val="single"/>
        </w:rPr>
        <w:t xml:space="preserve">     </w:t>
      </w:r>
      <w:r>
        <w:rPr>
          <w:b/>
          <w:sz w:val="28"/>
          <w:szCs w:val="28"/>
          <w:highlight w:val="none"/>
        </w:rPr>
        <w:t>日</w:t>
      </w:r>
    </w:p>
    <w:p w14:paraId="36F921CB">
      <w:pPr>
        <w:pStyle w:val="4"/>
        <w:spacing w:before="0" w:after="0" w:line="720" w:lineRule="auto"/>
        <w:rPr>
          <w:rFonts w:hint="eastAsia"/>
          <w:color w:val="auto"/>
          <w:szCs w:val="28"/>
          <w:highlight w:val="none"/>
        </w:rPr>
      </w:pPr>
      <w:bookmarkStart w:id="230" w:name="_Toc7742"/>
      <w:r>
        <w:rPr>
          <w:rFonts w:hint="eastAsia" w:ascii="宋体" w:hAnsi="宋体" w:cs="宋体"/>
          <w:color w:val="auto"/>
          <w:szCs w:val="28"/>
          <w:highlight w:val="none"/>
        </w:rPr>
        <w:t>一、</w:t>
      </w:r>
      <w:r>
        <w:rPr>
          <w:rFonts w:hint="eastAsia"/>
          <w:color w:val="auto"/>
          <w:szCs w:val="28"/>
          <w:highlight w:val="none"/>
        </w:rPr>
        <w:t>具有独立承担民事责任的能力</w:t>
      </w:r>
      <w:bookmarkEnd w:id="230"/>
    </w:p>
    <w:p w14:paraId="562CAA43">
      <w:pPr>
        <w:pStyle w:val="15"/>
        <w:keepNext w:val="0"/>
        <w:keepLines w:val="0"/>
        <w:pageBreakBefore w:val="0"/>
        <w:widowControl/>
        <w:tabs>
          <w:tab w:val="left" w:pos="5580"/>
        </w:tabs>
        <w:kinsoku/>
        <w:wordWrap/>
        <w:overflowPunct/>
        <w:topLinePunct w:val="0"/>
        <w:autoSpaceDE/>
        <w:autoSpaceDN/>
        <w:bidi w:val="0"/>
        <w:adjustRightInd/>
        <w:snapToGrid/>
        <w:spacing w:line="360" w:lineRule="auto"/>
        <w:ind w:left="540" w:leftChars="257" w:firstLine="539"/>
        <w:textAlignment w:val="auto"/>
        <w:rPr>
          <w:rFonts w:hint="eastAsia" w:ascii="宋体" w:hAnsi="宋体" w:cs="宋体"/>
          <w:color w:val="auto"/>
          <w:highlight w:val="none"/>
        </w:rPr>
      </w:pPr>
      <w:r>
        <w:rPr>
          <w:rFonts w:hint="eastAsia"/>
          <w:color w:val="auto"/>
          <w:sz w:val="24"/>
          <w:szCs w:val="24"/>
          <w:lang w:val="en-US" w:eastAsia="zh-CN"/>
        </w:rPr>
        <w:t>提供法人或者其他组织的营业执照等证明文件。</w:t>
      </w:r>
      <w:bookmarkStart w:id="231" w:name="_Toc24593"/>
      <w:bookmarkEnd w:id="231"/>
      <w:bookmarkStart w:id="232" w:name="_Toc10328"/>
      <w:r>
        <w:rPr>
          <w:rFonts w:hint="eastAsia"/>
          <w:color w:val="auto"/>
          <w:sz w:val="24"/>
          <w:szCs w:val="24"/>
          <w:highlight w:val="none"/>
          <w:lang w:val="en-US" w:eastAsia="zh-CN"/>
        </w:rPr>
        <w:t>（提供扫描件)</w:t>
      </w:r>
    </w:p>
    <w:bookmarkEnd w:id="232"/>
    <w:p w14:paraId="67D3B6A4">
      <w:pPr>
        <w:bidi w:val="0"/>
        <w:rPr>
          <w:rFonts w:hint="eastAsia"/>
          <w:color w:val="auto"/>
        </w:rPr>
      </w:pPr>
      <w:bookmarkStart w:id="233" w:name="_Toc24801"/>
      <w:bookmarkStart w:id="234" w:name="_Toc11747"/>
    </w:p>
    <w:p w14:paraId="0565E110">
      <w:pPr>
        <w:pStyle w:val="11"/>
        <w:rPr>
          <w:rFonts w:hint="eastAsia"/>
          <w:color w:val="auto"/>
        </w:rPr>
      </w:pPr>
    </w:p>
    <w:p w14:paraId="72AE4E16">
      <w:pPr>
        <w:pStyle w:val="4"/>
        <w:spacing w:before="0" w:after="0" w:line="720" w:lineRule="auto"/>
        <w:jc w:val="center"/>
        <w:rPr>
          <w:rFonts w:hint="eastAsia" w:ascii="宋体" w:hAnsi="宋体" w:eastAsia="宋体" w:cs="宋体"/>
          <w:color w:val="auto"/>
          <w:highlight w:val="none"/>
        </w:rPr>
      </w:pPr>
      <w:bookmarkStart w:id="235" w:name="_Toc20697"/>
      <w:r>
        <w:rPr>
          <w:rFonts w:hint="eastAsia" w:ascii="宋体" w:hAnsi="宋体" w:eastAsia="宋体" w:cs="宋体"/>
          <w:color w:val="auto"/>
          <w:sz w:val="28"/>
          <w:szCs w:val="28"/>
          <w:highlight w:val="none"/>
        </w:rPr>
        <w:t>二、具有良好的商业信誉和健全的财务会计制度</w:t>
      </w:r>
      <w:bookmarkEnd w:id="233"/>
      <w:bookmarkEnd w:id="234"/>
      <w:bookmarkEnd w:id="235"/>
    </w:p>
    <w:p w14:paraId="65891DFE">
      <w:pPr>
        <w:keepNext w:val="0"/>
        <w:keepLines w:val="0"/>
        <w:pageBreakBefore w:val="0"/>
        <w:widowControl w:val="0"/>
        <w:suppressLineNumbers w:val="0"/>
        <w:kinsoku/>
        <w:wordWrap/>
        <w:overflowPunct/>
        <w:topLinePunct w:val="0"/>
        <w:autoSpaceDE/>
        <w:autoSpaceDN/>
        <w:bidi w:val="0"/>
        <w:adjustRightInd/>
        <w:snapToGrid/>
        <w:spacing w:beforeAutospacing="0" w:afterAutospacing="0" w:line="360" w:lineRule="auto"/>
        <w:ind w:left="0" w:right="0" w:firstLine="480" w:firstLineChars="200"/>
        <w:jc w:val="both"/>
        <w:textAlignment w:val="auto"/>
        <w:outlineLvl w:val="9"/>
        <w:rPr>
          <w:rFonts w:hint="eastAsia" w:ascii="宋体" w:hAnsi="宋体" w:eastAsia="宋体" w:cs="宋体"/>
          <w:i w:val="0"/>
          <w:iCs w:val="0"/>
          <w:color w:val="auto"/>
          <w:kern w:val="2"/>
          <w:sz w:val="24"/>
          <w:szCs w:val="24"/>
          <w:highlight w:val="none"/>
          <w:lang w:val="en-US" w:eastAsia="zh-CN" w:bidi="ar"/>
        </w:rPr>
      </w:pPr>
      <w:bookmarkStart w:id="236" w:name="_Toc27285"/>
      <w:bookmarkStart w:id="237" w:name="_Toc25770"/>
      <w:r>
        <w:rPr>
          <w:rFonts w:hint="eastAsia" w:ascii="宋体" w:hAnsi="宋体" w:eastAsia="宋体" w:cs="宋体"/>
          <w:i w:val="0"/>
          <w:iCs w:val="0"/>
          <w:color w:val="auto"/>
          <w:kern w:val="2"/>
          <w:sz w:val="24"/>
          <w:szCs w:val="24"/>
          <w:highlight w:val="none"/>
          <w:lang w:val="en-US" w:eastAsia="zh-CN" w:bidi="ar"/>
        </w:rPr>
        <w:t>投标人须提供</w:t>
      </w:r>
      <w:r>
        <w:rPr>
          <w:rFonts w:hint="eastAsia" w:ascii="宋体" w:hAnsi="宋体" w:eastAsia="宋体" w:cs="宋体"/>
          <w:i w:val="0"/>
          <w:iCs w:val="0"/>
          <w:color w:val="auto"/>
          <w:kern w:val="2"/>
          <w:sz w:val="24"/>
          <w:szCs w:val="24"/>
          <w:highlight w:val="none"/>
          <w:u w:val="none"/>
          <w:lang w:val="en-US" w:eastAsia="zh-CN" w:bidi="ar"/>
        </w:rPr>
        <w:t>2023</w:t>
      </w:r>
      <w:r>
        <w:rPr>
          <w:rFonts w:hint="eastAsia" w:ascii="宋体" w:hAnsi="宋体" w:eastAsia="宋体" w:cs="宋体"/>
          <w:i w:val="0"/>
          <w:iCs w:val="0"/>
          <w:color w:val="auto"/>
          <w:kern w:val="2"/>
          <w:sz w:val="24"/>
          <w:szCs w:val="24"/>
          <w:highlight w:val="none"/>
          <w:lang w:val="en-US" w:eastAsia="zh-CN" w:bidi="ar"/>
        </w:rPr>
        <w:t>年或2024年经</w:t>
      </w:r>
      <w:r>
        <w:rPr>
          <w:rFonts w:hint="eastAsia" w:ascii="宋体" w:hAnsi="宋体" w:cs="宋体"/>
          <w:i w:val="0"/>
          <w:iCs w:val="0"/>
          <w:color w:val="auto"/>
          <w:kern w:val="2"/>
          <w:sz w:val="24"/>
          <w:szCs w:val="24"/>
          <w:highlight w:val="none"/>
          <w:lang w:val="en-US" w:eastAsia="zh-CN" w:bidi="ar"/>
        </w:rPr>
        <w:t>审计的</w:t>
      </w:r>
      <w:r>
        <w:rPr>
          <w:rFonts w:hint="eastAsia" w:ascii="宋体" w:hAnsi="宋体" w:eastAsia="宋体" w:cs="宋体"/>
          <w:i w:val="0"/>
          <w:iCs w:val="0"/>
          <w:color w:val="auto"/>
          <w:kern w:val="2"/>
          <w:sz w:val="24"/>
          <w:szCs w:val="24"/>
          <w:highlight w:val="none"/>
          <w:lang w:val="en-US" w:eastAsia="zh-CN" w:bidi="ar"/>
        </w:rPr>
        <w:t>财务报</w:t>
      </w:r>
      <w:r>
        <w:rPr>
          <w:rFonts w:hint="eastAsia" w:ascii="宋体" w:hAnsi="宋体" w:cs="宋体"/>
          <w:i w:val="0"/>
          <w:iCs w:val="0"/>
          <w:color w:val="auto"/>
          <w:kern w:val="2"/>
          <w:sz w:val="24"/>
          <w:szCs w:val="24"/>
          <w:highlight w:val="none"/>
          <w:lang w:val="en-US" w:eastAsia="zh-CN" w:bidi="ar"/>
        </w:rPr>
        <w:t>告</w:t>
      </w:r>
      <w:r>
        <w:rPr>
          <w:rFonts w:hint="eastAsia" w:ascii="宋体" w:hAnsi="宋体" w:eastAsia="宋体" w:cs="宋体"/>
          <w:i w:val="0"/>
          <w:iCs w:val="0"/>
          <w:color w:val="auto"/>
          <w:kern w:val="2"/>
          <w:sz w:val="24"/>
          <w:szCs w:val="24"/>
          <w:highlight w:val="none"/>
          <w:lang w:val="en-US" w:eastAsia="zh-CN" w:bidi="ar"/>
        </w:rPr>
        <w:t>(包括资产负债表、利润表、现金流量表)，新成立不满</w:t>
      </w:r>
      <w:r>
        <w:rPr>
          <w:rFonts w:hint="eastAsia" w:ascii="宋体" w:hAnsi="宋体" w:eastAsia="宋体" w:cs="宋体"/>
          <w:i w:val="0"/>
          <w:iCs w:val="0"/>
          <w:color w:val="auto"/>
          <w:kern w:val="2"/>
          <w:sz w:val="24"/>
          <w:szCs w:val="24"/>
          <w:highlight w:val="none"/>
          <w:u w:val="single"/>
          <w:lang w:val="en-US" w:eastAsia="zh-CN" w:bidi="ar"/>
        </w:rPr>
        <w:t>1</w:t>
      </w:r>
      <w:r>
        <w:rPr>
          <w:rFonts w:hint="eastAsia" w:ascii="宋体" w:hAnsi="宋体" w:eastAsia="宋体" w:cs="宋体"/>
          <w:i w:val="0"/>
          <w:iCs w:val="0"/>
          <w:color w:val="auto"/>
          <w:kern w:val="2"/>
          <w:sz w:val="24"/>
          <w:szCs w:val="24"/>
          <w:highlight w:val="none"/>
          <w:lang w:val="en-US" w:eastAsia="zh-CN" w:bidi="ar"/>
        </w:rPr>
        <w:t>年的投标人提供自成立至今</w:t>
      </w:r>
      <w:r>
        <w:rPr>
          <w:rFonts w:hint="eastAsia" w:ascii="宋体" w:hAnsi="宋体" w:cs="宋体"/>
          <w:i w:val="0"/>
          <w:iCs w:val="0"/>
          <w:color w:val="auto"/>
          <w:kern w:val="2"/>
          <w:sz w:val="24"/>
          <w:szCs w:val="24"/>
          <w:highlight w:val="none"/>
          <w:lang w:val="en-US" w:eastAsia="zh-CN" w:bidi="ar"/>
        </w:rPr>
        <w:t>的</w:t>
      </w:r>
      <w:r>
        <w:rPr>
          <w:rFonts w:hint="eastAsia" w:ascii="宋体" w:hAnsi="宋体" w:eastAsia="宋体" w:cs="宋体"/>
          <w:i w:val="0"/>
          <w:iCs w:val="0"/>
          <w:color w:val="auto"/>
          <w:kern w:val="2"/>
          <w:sz w:val="24"/>
          <w:szCs w:val="24"/>
          <w:highlight w:val="none"/>
          <w:lang w:val="en-US" w:eastAsia="zh-CN" w:bidi="ar"/>
        </w:rPr>
        <w:t>财务报</w:t>
      </w:r>
      <w:r>
        <w:rPr>
          <w:rFonts w:hint="eastAsia" w:ascii="宋体" w:hAnsi="宋体" w:cs="宋体"/>
          <w:i w:val="0"/>
          <w:iCs w:val="0"/>
          <w:color w:val="auto"/>
          <w:kern w:val="2"/>
          <w:sz w:val="24"/>
          <w:szCs w:val="24"/>
          <w:highlight w:val="none"/>
          <w:lang w:val="en-US" w:eastAsia="zh-CN" w:bidi="ar"/>
        </w:rPr>
        <w:t>表；</w:t>
      </w:r>
    </w:p>
    <w:p w14:paraId="1CF649EE">
      <w:pPr>
        <w:pStyle w:val="49"/>
        <w:ind w:firstLine="480" w:firstLineChars="200"/>
        <w:rPr>
          <w:rFonts w:hint="eastAsia" w:ascii="宋体" w:hAnsi="宋体" w:eastAsia="宋体" w:cs="宋体"/>
          <w:color w:val="auto"/>
          <w:sz w:val="28"/>
          <w:szCs w:val="28"/>
          <w:highlight w:val="none"/>
        </w:rPr>
      </w:pPr>
      <w:r>
        <w:rPr>
          <w:rFonts w:hint="eastAsia" w:ascii="宋体" w:hAnsi="宋体" w:eastAsia="宋体" w:cs="宋体"/>
          <w:color w:val="auto"/>
          <w:sz w:val="24"/>
          <w:szCs w:val="24"/>
          <w:highlight w:val="none"/>
          <w:lang w:val="en-US" w:eastAsia="zh-CN"/>
        </w:rPr>
        <w:t>（提供扫描件)</w:t>
      </w:r>
    </w:p>
    <w:p w14:paraId="6B4DD6C7">
      <w:pPr>
        <w:bidi w:val="0"/>
        <w:rPr>
          <w:rFonts w:hint="eastAsia"/>
          <w:color w:val="auto"/>
        </w:rPr>
      </w:pPr>
    </w:p>
    <w:p w14:paraId="193BF772">
      <w:pPr>
        <w:pStyle w:val="11"/>
        <w:rPr>
          <w:rFonts w:hint="eastAsia"/>
          <w:color w:val="auto"/>
        </w:rPr>
      </w:pPr>
    </w:p>
    <w:p w14:paraId="54AB5F85">
      <w:pPr>
        <w:pStyle w:val="4"/>
        <w:spacing w:before="0" w:after="0" w:line="720" w:lineRule="auto"/>
        <w:jc w:val="center"/>
        <w:rPr>
          <w:rFonts w:hint="eastAsia" w:ascii="宋体" w:hAnsi="宋体" w:eastAsia="宋体" w:cs="宋体"/>
          <w:color w:val="auto"/>
          <w:highlight w:val="none"/>
          <w:lang w:eastAsia="zh-CN"/>
        </w:rPr>
      </w:pPr>
      <w:bookmarkStart w:id="238" w:name="_Toc29703"/>
      <w:r>
        <w:rPr>
          <w:rFonts w:hint="eastAsia" w:ascii="宋体" w:hAnsi="宋体" w:eastAsia="宋体" w:cs="宋体"/>
          <w:color w:val="auto"/>
          <w:sz w:val="28"/>
          <w:szCs w:val="28"/>
          <w:highlight w:val="none"/>
        </w:rPr>
        <w:t>三、</w:t>
      </w:r>
      <w:bookmarkEnd w:id="236"/>
      <w:bookmarkEnd w:id="237"/>
      <w:r>
        <w:rPr>
          <w:rFonts w:hint="eastAsia" w:ascii="宋体" w:hAnsi="宋体" w:cs="宋体"/>
          <w:color w:val="auto"/>
          <w:sz w:val="28"/>
          <w:szCs w:val="28"/>
          <w:highlight w:val="none"/>
          <w:lang w:eastAsia="zh-CN"/>
        </w:rPr>
        <w:t>具有履行合同所必需的设备和专业技术能力</w:t>
      </w:r>
      <w:bookmarkEnd w:id="238"/>
    </w:p>
    <w:p w14:paraId="06208402">
      <w:pPr>
        <w:pStyle w:val="49"/>
        <w:ind w:firstLine="480" w:firstLineChars="200"/>
        <w:rPr>
          <w:rFonts w:hint="eastAsia" w:ascii="宋体" w:hAnsi="宋体" w:eastAsia="宋体" w:cs="宋体"/>
          <w:color w:val="auto"/>
          <w:sz w:val="24"/>
          <w:szCs w:val="24"/>
          <w:highlight w:val="none"/>
        </w:rPr>
      </w:pPr>
      <w:bookmarkStart w:id="239" w:name="_Toc14504"/>
      <w:bookmarkEnd w:id="239"/>
      <w:bookmarkStart w:id="240" w:name="_Toc20341"/>
      <w:r>
        <w:rPr>
          <w:rFonts w:hint="eastAsia" w:ascii="宋体" w:hAnsi="宋体" w:eastAsia="宋体" w:cs="宋体"/>
          <w:color w:val="auto"/>
          <w:sz w:val="24"/>
          <w:szCs w:val="24"/>
          <w:highlight w:val="none"/>
          <w:lang w:eastAsia="zh-CN"/>
        </w:rPr>
        <w:t>提供具备履行合同所必需的设备和专业技术能力的证明材料</w:t>
      </w:r>
      <w:r>
        <w:rPr>
          <w:rFonts w:hint="eastAsia" w:ascii="宋体" w:hAnsi="宋体" w:eastAsia="宋体" w:cs="宋体"/>
          <w:color w:val="auto"/>
          <w:sz w:val="24"/>
          <w:szCs w:val="24"/>
          <w:highlight w:val="none"/>
        </w:rPr>
        <w:t>。</w:t>
      </w:r>
    </w:p>
    <w:bookmarkEnd w:id="240"/>
    <w:p w14:paraId="27AF164F">
      <w:pPr>
        <w:bidi w:val="0"/>
        <w:rPr>
          <w:rFonts w:hint="eastAsia"/>
          <w:color w:val="auto"/>
        </w:rPr>
      </w:pPr>
      <w:bookmarkStart w:id="241" w:name="_Toc1209"/>
      <w:bookmarkStart w:id="242" w:name="_Toc23521"/>
    </w:p>
    <w:p w14:paraId="7C014800">
      <w:pPr>
        <w:bidi w:val="0"/>
        <w:rPr>
          <w:rFonts w:hint="eastAsia"/>
          <w:color w:val="auto"/>
        </w:rPr>
      </w:pPr>
    </w:p>
    <w:p w14:paraId="111005CC">
      <w:pPr>
        <w:pStyle w:val="11"/>
        <w:rPr>
          <w:rFonts w:hint="eastAsia"/>
          <w:color w:val="auto"/>
        </w:rPr>
      </w:pPr>
    </w:p>
    <w:p w14:paraId="50186779">
      <w:pPr>
        <w:pStyle w:val="11"/>
        <w:rPr>
          <w:rFonts w:hint="eastAsia"/>
          <w:color w:val="auto"/>
        </w:rPr>
      </w:pPr>
    </w:p>
    <w:p w14:paraId="68CA8FE0">
      <w:pPr>
        <w:pStyle w:val="4"/>
        <w:spacing w:before="0" w:after="0" w:line="720" w:lineRule="auto"/>
        <w:jc w:val="center"/>
        <w:rPr>
          <w:rFonts w:hint="eastAsia" w:ascii="宋体" w:hAnsi="宋体" w:eastAsia="宋体" w:cs="宋体"/>
          <w:color w:val="auto"/>
          <w:highlight w:val="none"/>
          <w:lang w:eastAsia="zh-CN"/>
        </w:rPr>
      </w:pPr>
      <w:bookmarkStart w:id="243" w:name="_Toc6832"/>
      <w:r>
        <w:rPr>
          <w:rFonts w:hint="eastAsia" w:ascii="宋体" w:hAnsi="宋体" w:eastAsia="宋体" w:cs="宋体"/>
          <w:color w:val="auto"/>
          <w:sz w:val="28"/>
          <w:szCs w:val="28"/>
          <w:highlight w:val="none"/>
        </w:rPr>
        <w:t>四、</w:t>
      </w:r>
      <w:bookmarkEnd w:id="241"/>
      <w:bookmarkEnd w:id="242"/>
      <w:r>
        <w:rPr>
          <w:rFonts w:hint="eastAsia" w:ascii="宋体" w:hAnsi="宋体" w:cs="宋体"/>
          <w:color w:val="auto"/>
          <w:sz w:val="28"/>
          <w:szCs w:val="28"/>
          <w:highlight w:val="none"/>
          <w:lang w:eastAsia="zh-CN"/>
        </w:rPr>
        <w:t>有依法缴纳税收和社会保障资金的良好记录</w:t>
      </w:r>
      <w:bookmarkEnd w:id="243"/>
    </w:p>
    <w:p w14:paraId="60BEA35F">
      <w:pPr>
        <w:spacing w:line="360" w:lineRule="auto"/>
        <w:ind w:firstLine="480" w:firstLineChars="200"/>
        <w:jc w:val="both"/>
        <w:rPr>
          <w:rFonts w:hint="eastAsia" w:ascii="宋体" w:hAnsi="宋体" w:eastAsia="宋体" w:cs="宋体"/>
          <w:i w:val="0"/>
          <w:iCs w:val="0"/>
          <w:color w:val="auto"/>
          <w:kern w:val="2"/>
          <w:sz w:val="24"/>
          <w:szCs w:val="24"/>
          <w:highlight w:val="none"/>
          <w:lang w:val="en-US" w:eastAsia="zh-CN" w:bidi="ar"/>
        </w:rPr>
      </w:pPr>
      <w:r>
        <w:rPr>
          <w:rFonts w:hint="eastAsia" w:ascii="宋体" w:hAnsi="宋体" w:cs="宋体"/>
          <w:color w:val="auto"/>
          <w:kern w:val="2"/>
          <w:sz w:val="24"/>
          <w:szCs w:val="24"/>
          <w:highlight w:val="none"/>
          <w:lang w:eastAsia="zh-CN" w:bidi="ar"/>
        </w:rPr>
        <w:t>提供202</w:t>
      </w:r>
      <w:r>
        <w:rPr>
          <w:rFonts w:hint="eastAsia" w:ascii="宋体" w:hAnsi="宋体" w:cs="宋体"/>
          <w:color w:val="auto"/>
          <w:kern w:val="2"/>
          <w:sz w:val="24"/>
          <w:szCs w:val="24"/>
          <w:highlight w:val="none"/>
          <w:lang w:val="en-US" w:eastAsia="zh-CN" w:bidi="ar"/>
        </w:rPr>
        <w:t>5</w:t>
      </w:r>
      <w:r>
        <w:rPr>
          <w:rFonts w:hint="eastAsia" w:ascii="宋体" w:hAnsi="宋体" w:cs="宋体"/>
          <w:color w:val="auto"/>
          <w:kern w:val="2"/>
          <w:sz w:val="24"/>
          <w:szCs w:val="24"/>
          <w:highlight w:val="none"/>
          <w:lang w:eastAsia="zh-CN" w:bidi="ar"/>
        </w:rPr>
        <w:t>年1月至今任意3个月</w:t>
      </w:r>
      <w:r>
        <w:rPr>
          <w:rFonts w:hint="eastAsia" w:ascii="宋体" w:hAnsi="宋体" w:cs="宋体"/>
          <w:color w:val="auto"/>
          <w:kern w:val="2"/>
          <w:sz w:val="24"/>
          <w:szCs w:val="24"/>
          <w:highlight w:val="none"/>
          <w:lang w:bidi="ar"/>
        </w:rPr>
        <w:t>依法缴纳税收和缴纳社会保障资金的证明(成立未满</w:t>
      </w:r>
      <w:r>
        <w:rPr>
          <w:rFonts w:hint="eastAsia" w:ascii="宋体" w:hAnsi="宋体" w:cs="宋体"/>
          <w:color w:val="auto"/>
          <w:kern w:val="2"/>
          <w:sz w:val="24"/>
          <w:szCs w:val="24"/>
          <w:highlight w:val="none"/>
          <w:lang w:val="en-US" w:eastAsia="zh-CN" w:bidi="ar"/>
        </w:rPr>
        <w:t>3</w:t>
      </w:r>
      <w:r>
        <w:rPr>
          <w:rFonts w:hint="eastAsia" w:ascii="宋体" w:hAnsi="宋体" w:cs="宋体"/>
          <w:color w:val="auto"/>
          <w:kern w:val="2"/>
          <w:sz w:val="24"/>
          <w:szCs w:val="24"/>
          <w:highlight w:val="none"/>
          <w:lang w:bidi="ar"/>
        </w:rPr>
        <w:t>个月的提供成立以来的税收和社会保障资金缴纳凭据；依法免税或不需要缴纳社会保障资金的供应商，应提供相应文</w:t>
      </w:r>
      <w:r>
        <w:rPr>
          <w:rFonts w:hint="eastAsia" w:ascii="宋体" w:hAnsi="宋体" w:cs="宋体"/>
          <w:color w:val="auto"/>
          <w:sz w:val="24"/>
          <w:szCs w:val="24"/>
          <w:highlight w:val="none"/>
        </w:rPr>
        <w:t>件证明其依法免税或不需要缴纳社会保障资金)。</w:t>
      </w:r>
      <w:r>
        <w:rPr>
          <w:rFonts w:hint="eastAsia"/>
          <w:color w:val="auto"/>
          <w:sz w:val="24"/>
          <w:szCs w:val="24"/>
          <w:highlight w:val="none"/>
          <w:lang w:val="en-US" w:eastAsia="zh-CN"/>
        </w:rPr>
        <w:t>（提供扫描件)</w:t>
      </w:r>
    </w:p>
    <w:p w14:paraId="02E73844">
      <w:pPr>
        <w:autoSpaceDE w:val="0"/>
        <w:spacing w:line="480" w:lineRule="auto"/>
        <w:rPr>
          <w:rFonts w:hint="eastAsia" w:ascii="宋体" w:hAnsi="宋体"/>
          <w:color w:val="FF0000"/>
          <w:sz w:val="24"/>
          <w:szCs w:val="24"/>
          <w:highlight w:val="none"/>
        </w:rPr>
      </w:pPr>
    </w:p>
    <w:p w14:paraId="1DB0F304">
      <w:pPr>
        <w:pStyle w:val="4"/>
        <w:spacing w:before="0" w:after="0" w:line="720" w:lineRule="auto"/>
        <w:jc w:val="center"/>
        <w:rPr>
          <w:rFonts w:hint="eastAsia" w:ascii="宋体" w:hAnsi="宋体" w:eastAsia="宋体" w:cs="宋体"/>
          <w:highlight w:val="none"/>
        </w:rPr>
      </w:pPr>
      <w:bookmarkStart w:id="244" w:name="_Toc8069"/>
      <w:bookmarkEnd w:id="244"/>
      <w:r>
        <w:rPr>
          <w:rFonts w:hint="eastAsia" w:ascii="宋体" w:hAnsi="宋体" w:cs="宋体"/>
          <w:highlight w:val="none"/>
        </w:rPr>
        <w:br w:type="page"/>
      </w:r>
      <w:bookmarkStart w:id="245" w:name="_Toc29320"/>
      <w:r>
        <w:rPr>
          <w:rFonts w:hint="eastAsia" w:ascii="宋体" w:hAnsi="宋体" w:cs="宋体"/>
          <w:highlight w:val="none"/>
        </w:rPr>
        <w:t>五、</w:t>
      </w:r>
      <w:bookmarkStart w:id="246" w:name="_Toc4022"/>
      <w:bookmarkEnd w:id="246"/>
      <w:bookmarkStart w:id="247" w:name="_Toc30512"/>
      <w:r>
        <w:rPr>
          <w:rFonts w:hint="eastAsia" w:ascii="宋体" w:hAnsi="宋体" w:eastAsia="宋体" w:cs="宋体"/>
          <w:sz w:val="28"/>
          <w:szCs w:val="28"/>
          <w:highlight w:val="none"/>
        </w:rPr>
        <w:t>参加政府采购活动前三年内，在经营活动中没有重大违法记录</w:t>
      </w:r>
      <w:bookmarkEnd w:id="245"/>
    </w:p>
    <w:p w14:paraId="1DFB89E2">
      <w:pPr>
        <w:spacing w:line="360" w:lineRule="auto"/>
        <w:ind w:firstLine="480" w:firstLineChars="20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致：</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lang w:val="en-US" w:eastAsia="zh-CN"/>
        </w:rPr>
        <w:t>（采购人）</w:t>
      </w:r>
    </w:p>
    <w:p w14:paraId="78C98C04">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 （投标人自行承诺及说明，内容自拟）               </w:t>
      </w:r>
    </w:p>
    <w:p w14:paraId="5C066A65">
      <w:pPr>
        <w:spacing w:line="360" w:lineRule="auto"/>
        <w:ind w:firstLine="480" w:firstLineChars="20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 </w:t>
      </w:r>
    </w:p>
    <w:p w14:paraId="392AF831">
      <w:pPr>
        <w:spacing w:line="360" w:lineRule="auto"/>
        <w:ind w:firstLine="480" w:firstLineChars="200"/>
        <w:rPr>
          <w:rFonts w:hint="eastAsia" w:ascii="宋体" w:hAnsi="宋体" w:eastAsia="宋体" w:cs="宋体"/>
          <w:sz w:val="24"/>
          <w:szCs w:val="24"/>
          <w:highlight w:val="none"/>
          <w:lang w:val="en-US" w:eastAsia="zh-CN"/>
        </w:rPr>
      </w:pPr>
    </w:p>
    <w:p w14:paraId="7C2825BD">
      <w:pPr>
        <w:spacing w:line="360" w:lineRule="auto"/>
        <w:ind w:firstLine="480" w:firstLineChars="200"/>
        <w:rPr>
          <w:rFonts w:hint="eastAsia" w:ascii="宋体" w:hAnsi="宋体" w:eastAsia="宋体" w:cs="宋体"/>
          <w:sz w:val="24"/>
          <w:szCs w:val="24"/>
          <w:highlight w:val="none"/>
          <w:lang w:val="en-US" w:eastAsia="zh-CN"/>
        </w:rPr>
      </w:pPr>
    </w:p>
    <w:p w14:paraId="5634B200">
      <w:pPr>
        <w:spacing w:line="360" w:lineRule="auto"/>
        <w:ind w:firstLine="480" w:firstLineChars="200"/>
        <w:rPr>
          <w:rFonts w:hint="eastAsia" w:ascii="宋体" w:hAnsi="宋体" w:eastAsia="宋体" w:cs="宋体"/>
          <w:sz w:val="24"/>
          <w:szCs w:val="24"/>
          <w:highlight w:val="none"/>
          <w:lang w:val="en-US" w:eastAsia="zh-CN"/>
        </w:rPr>
      </w:pPr>
    </w:p>
    <w:p w14:paraId="07168018">
      <w:pPr>
        <w:ind w:firstLine="1205" w:firstLineChars="500"/>
        <w:rPr>
          <w:rFonts w:hint="eastAsia" w:ascii="宋体" w:hAnsi="宋体" w:eastAsia="宋体" w:cs="宋体"/>
          <w:b/>
          <w:bCs/>
          <w:sz w:val="24"/>
          <w:szCs w:val="24"/>
          <w:highlight w:val="none"/>
        </w:rPr>
      </w:pPr>
    </w:p>
    <w:p w14:paraId="64FE94B8">
      <w:pPr>
        <w:ind w:firstLine="1205" w:firstLineChars="500"/>
        <w:rPr>
          <w:rFonts w:hint="eastAsia" w:ascii="宋体" w:hAnsi="宋体" w:eastAsia="宋体" w:cs="宋体"/>
          <w:b/>
          <w:bCs/>
          <w:sz w:val="24"/>
          <w:szCs w:val="24"/>
          <w:highlight w:val="none"/>
        </w:rPr>
      </w:pPr>
    </w:p>
    <w:p w14:paraId="42F98613">
      <w:pPr>
        <w:ind w:firstLine="1205" w:firstLineChars="500"/>
        <w:rPr>
          <w:rFonts w:hint="eastAsia" w:ascii="宋体" w:hAnsi="宋体" w:eastAsia="宋体" w:cs="宋体"/>
          <w:b/>
          <w:bCs/>
          <w:sz w:val="24"/>
          <w:szCs w:val="24"/>
          <w:highlight w:val="none"/>
        </w:rPr>
      </w:pPr>
    </w:p>
    <w:p w14:paraId="59A9BEEC">
      <w:pPr>
        <w:pStyle w:val="11"/>
        <w:rPr>
          <w:rFonts w:hint="eastAsia"/>
        </w:rPr>
      </w:pPr>
    </w:p>
    <w:p w14:paraId="3CFC1F28">
      <w:pPr>
        <w:ind w:firstLine="1205" w:firstLineChars="500"/>
        <w:rPr>
          <w:rFonts w:hint="eastAsia" w:ascii="宋体" w:hAnsi="宋体" w:eastAsia="宋体" w:cs="宋体"/>
          <w:b/>
          <w:bCs/>
          <w:sz w:val="24"/>
          <w:szCs w:val="24"/>
          <w:highlight w:val="none"/>
        </w:rPr>
      </w:pPr>
    </w:p>
    <w:p w14:paraId="46367EA6">
      <w:pPr>
        <w:ind w:firstLine="1205" w:firstLineChars="500"/>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投标人：</w:t>
      </w:r>
      <w:r>
        <w:rPr>
          <w:rFonts w:hint="eastAsia" w:ascii="宋体" w:hAnsi="宋体" w:eastAsia="宋体" w:cs="宋体"/>
          <w:b/>
          <w:bCs/>
          <w:sz w:val="24"/>
          <w:szCs w:val="24"/>
          <w:highlight w:val="none"/>
          <w:u w:val="single"/>
        </w:rPr>
        <w:tab/>
      </w:r>
      <w:r>
        <w:rPr>
          <w:rFonts w:hint="eastAsia" w:ascii="宋体" w:hAnsi="宋体" w:eastAsia="宋体" w:cs="宋体"/>
          <w:b/>
          <w:bCs/>
          <w:sz w:val="24"/>
          <w:szCs w:val="24"/>
          <w:highlight w:val="none"/>
          <w:u w:val="single"/>
        </w:rPr>
        <w:t xml:space="preserve">                                    </w:t>
      </w:r>
      <w:r>
        <w:rPr>
          <w:rFonts w:hint="eastAsia" w:ascii="宋体" w:hAnsi="宋体" w:eastAsia="宋体" w:cs="宋体"/>
          <w:b/>
          <w:bCs/>
          <w:sz w:val="24"/>
          <w:szCs w:val="24"/>
          <w:highlight w:val="none"/>
        </w:rPr>
        <w:t>(电子签章)</w:t>
      </w:r>
    </w:p>
    <w:p w14:paraId="7A470530">
      <w:pP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 </w:t>
      </w:r>
    </w:p>
    <w:p w14:paraId="35275E6D">
      <w:pPr>
        <w:ind w:firstLine="1205" w:firstLineChars="500"/>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法定代表人(单位负责人)或其委托代理人：</w:t>
      </w:r>
      <w:r>
        <w:rPr>
          <w:rFonts w:hint="eastAsia" w:ascii="宋体" w:hAnsi="宋体" w:eastAsia="宋体" w:cs="宋体"/>
          <w:b/>
          <w:bCs/>
          <w:sz w:val="24"/>
          <w:szCs w:val="24"/>
          <w:highlight w:val="none"/>
        </w:rPr>
        <w:tab/>
      </w:r>
      <w:r>
        <w:rPr>
          <w:rFonts w:hint="eastAsia" w:ascii="宋体" w:hAnsi="宋体" w:eastAsia="宋体" w:cs="宋体"/>
          <w:b/>
          <w:bCs/>
          <w:sz w:val="24"/>
          <w:szCs w:val="24"/>
          <w:highlight w:val="none"/>
          <w:u w:val="single"/>
        </w:rPr>
        <w:t xml:space="preserve">             </w:t>
      </w:r>
      <w:r>
        <w:rPr>
          <w:rFonts w:hint="eastAsia" w:ascii="宋体" w:hAnsi="宋体" w:eastAsia="宋体" w:cs="宋体"/>
          <w:b/>
          <w:bCs/>
          <w:sz w:val="24"/>
          <w:szCs w:val="24"/>
          <w:highlight w:val="none"/>
        </w:rPr>
        <w:t>(电子签章)</w:t>
      </w:r>
    </w:p>
    <w:p w14:paraId="0BDAF816">
      <w:pP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 </w:t>
      </w:r>
    </w:p>
    <w:p w14:paraId="0BB14DF7">
      <w:pPr>
        <w:ind w:firstLine="1205" w:firstLineChars="500"/>
        <w:rPr>
          <w:rFonts w:hint="eastAsia" w:ascii="宋体" w:hAnsi="宋体" w:eastAsia="宋体" w:cs="宋体"/>
          <w:highlight w:val="none"/>
        </w:rPr>
      </w:pPr>
      <w:r>
        <w:rPr>
          <w:rFonts w:hint="eastAsia" w:ascii="宋体" w:hAnsi="宋体" w:eastAsia="宋体" w:cs="宋体"/>
          <w:b/>
          <w:bCs/>
          <w:sz w:val="24"/>
          <w:szCs w:val="24"/>
          <w:highlight w:val="none"/>
        </w:rPr>
        <w:t>日期：</w:t>
      </w:r>
      <w:r>
        <w:rPr>
          <w:rFonts w:hint="eastAsia" w:ascii="宋体" w:hAnsi="宋体" w:eastAsia="宋体" w:cs="宋体"/>
          <w:b/>
          <w:bCs/>
          <w:sz w:val="24"/>
          <w:szCs w:val="24"/>
          <w:highlight w:val="none"/>
          <w:u w:val="single"/>
        </w:rPr>
        <w:t xml:space="preserve">         </w:t>
      </w:r>
      <w:r>
        <w:rPr>
          <w:rFonts w:hint="eastAsia" w:ascii="宋体" w:hAnsi="宋体" w:eastAsia="宋体" w:cs="宋体"/>
          <w:b/>
          <w:bCs/>
          <w:sz w:val="24"/>
          <w:szCs w:val="24"/>
          <w:highlight w:val="none"/>
        </w:rPr>
        <w:t xml:space="preserve">年 </w:t>
      </w:r>
      <w:r>
        <w:rPr>
          <w:rFonts w:hint="eastAsia" w:ascii="宋体" w:hAnsi="宋体" w:eastAsia="宋体" w:cs="宋体"/>
          <w:b/>
          <w:bCs/>
          <w:sz w:val="24"/>
          <w:szCs w:val="24"/>
          <w:highlight w:val="none"/>
          <w:u w:val="single"/>
        </w:rPr>
        <w:tab/>
      </w:r>
      <w:r>
        <w:rPr>
          <w:rFonts w:hint="eastAsia" w:ascii="宋体" w:hAnsi="宋体" w:eastAsia="宋体" w:cs="宋体"/>
          <w:b/>
          <w:bCs/>
          <w:sz w:val="24"/>
          <w:szCs w:val="24"/>
          <w:highlight w:val="none"/>
          <w:u w:val="single"/>
        </w:rPr>
        <w:t xml:space="preserve"> </w:t>
      </w:r>
      <w:r>
        <w:rPr>
          <w:rFonts w:hint="eastAsia" w:ascii="宋体" w:hAnsi="宋体" w:eastAsia="宋体" w:cs="宋体"/>
          <w:b/>
          <w:bCs/>
          <w:sz w:val="24"/>
          <w:szCs w:val="24"/>
          <w:highlight w:val="none"/>
        </w:rPr>
        <w:t xml:space="preserve">月 </w:t>
      </w:r>
      <w:r>
        <w:rPr>
          <w:rFonts w:hint="eastAsia" w:ascii="宋体" w:hAnsi="宋体" w:eastAsia="宋体" w:cs="宋体"/>
          <w:b/>
          <w:bCs/>
          <w:sz w:val="24"/>
          <w:szCs w:val="24"/>
          <w:highlight w:val="none"/>
          <w:u w:val="single"/>
        </w:rPr>
        <w:t xml:space="preserve">   </w:t>
      </w:r>
      <w:r>
        <w:rPr>
          <w:rFonts w:hint="eastAsia" w:ascii="宋体" w:hAnsi="宋体" w:eastAsia="宋体" w:cs="宋体"/>
          <w:b/>
          <w:bCs/>
          <w:sz w:val="24"/>
          <w:szCs w:val="24"/>
          <w:highlight w:val="none"/>
        </w:rPr>
        <w:t>日</w:t>
      </w:r>
    </w:p>
    <w:p w14:paraId="7BB61066">
      <w:pPr>
        <w:pStyle w:val="11"/>
        <w:rPr>
          <w:rFonts w:hint="eastAsia"/>
          <w:b/>
          <w:sz w:val="28"/>
          <w:szCs w:val="28"/>
          <w:highlight w:val="none"/>
        </w:rPr>
      </w:pPr>
    </w:p>
    <w:p w14:paraId="32835E6E">
      <w:pPr>
        <w:pStyle w:val="11"/>
        <w:rPr>
          <w:rFonts w:hint="eastAsia"/>
          <w:b/>
          <w:sz w:val="28"/>
          <w:szCs w:val="28"/>
          <w:highlight w:val="none"/>
        </w:rPr>
      </w:pPr>
    </w:p>
    <w:p w14:paraId="7096F8B3">
      <w:pPr>
        <w:pStyle w:val="11"/>
        <w:rPr>
          <w:rFonts w:hint="eastAsia"/>
          <w:b/>
          <w:sz w:val="28"/>
          <w:szCs w:val="28"/>
          <w:highlight w:val="none"/>
        </w:rPr>
      </w:pPr>
    </w:p>
    <w:p w14:paraId="577E16DF">
      <w:pPr>
        <w:pStyle w:val="11"/>
        <w:rPr>
          <w:rFonts w:hint="eastAsia" w:ascii="宋体" w:hAnsi="宋体" w:eastAsia="宋体" w:cs="宋体"/>
          <w:sz w:val="24"/>
          <w:szCs w:val="24"/>
          <w:highlight w:val="none"/>
          <w:lang w:val="en-US" w:eastAsia="zh-CN"/>
        </w:rPr>
      </w:pPr>
    </w:p>
    <w:p w14:paraId="27C6D102">
      <w:pPr>
        <w:pStyle w:val="11"/>
        <w:rPr>
          <w:rFonts w:hint="eastAsia" w:ascii="宋体" w:hAnsi="宋体" w:eastAsia="宋体" w:cs="宋体"/>
          <w:sz w:val="24"/>
          <w:szCs w:val="24"/>
          <w:highlight w:val="none"/>
          <w:lang w:val="en-US" w:eastAsia="zh-CN"/>
        </w:rPr>
      </w:pPr>
    </w:p>
    <w:p w14:paraId="2C137D22">
      <w:pPr>
        <w:pStyle w:val="11"/>
        <w:rPr>
          <w:rFonts w:hint="eastAsia" w:ascii="宋体" w:hAnsi="宋体" w:eastAsia="宋体" w:cs="宋体"/>
          <w:sz w:val="24"/>
          <w:szCs w:val="24"/>
          <w:highlight w:val="none"/>
          <w:lang w:val="en-US" w:eastAsia="zh-CN"/>
        </w:rPr>
      </w:pPr>
    </w:p>
    <w:p w14:paraId="6C3AB7D2">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注：重大违法记录，是指供应商因违法经营受到刑事处罚或者责令停产停业、吊销许可证或者执照、较大数额罚款等行政处罚。</w:t>
      </w:r>
    </w:p>
    <w:bookmarkEnd w:id="247"/>
    <w:p w14:paraId="4F0B516C">
      <w:pPr>
        <w:widowControl w:val="0"/>
        <w:spacing w:line="360" w:lineRule="auto"/>
        <w:rPr>
          <w:rFonts w:hint="eastAsia" w:ascii="宋体" w:hAnsi="宋体"/>
          <w:highlight w:val="none"/>
        </w:rPr>
      </w:pPr>
      <w:bookmarkStart w:id="248" w:name="_Toc16296"/>
      <w:bookmarkEnd w:id="248"/>
      <w:bookmarkStart w:id="249" w:name="_Toc15638"/>
      <w:bookmarkEnd w:id="249"/>
      <w:bookmarkStart w:id="250" w:name="_Toc15765"/>
    </w:p>
    <w:bookmarkEnd w:id="250"/>
    <w:p w14:paraId="1A49D6CB">
      <w:pPr>
        <w:spacing w:line="440" w:lineRule="exact"/>
        <w:rPr>
          <w:rStyle w:val="36"/>
          <w:rFonts w:hint="eastAsia"/>
          <w:highlight w:val="none"/>
        </w:rPr>
      </w:pPr>
      <w:bookmarkStart w:id="251" w:name="_Toc29133"/>
      <w:bookmarkEnd w:id="251"/>
    </w:p>
    <w:p w14:paraId="23996E3E">
      <w:pPr>
        <w:pStyle w:val="4"/>
        <w:rPr>
          <w:rFonts w:hint="eastAsia"/>
          <w:highlight w:val="none"/>
        </w:rPr>
      </w:pPr>
      <w:bookmarkStart w:id="252" w:name="_Toc21048"/>
      <w:r>
        <w:rPr>
          <w:rFonts w:hint="eastAsia"/>
          <w:highlight w:val="none"/>
          <w:lang w:val="en-US" w:eastAsia="zh-CN"/>
        </w:rPr>
        <w:t>六</w:t>
      </w:r>
      <w:r>
        <w:rPr>
          <w:rFonts w:hint="eastAsia"/>
          <w:highlight w:val="none"/>
        </w:rPr>
        <w:t>、其他</w:t>
      </w:r>
      <w:bookmarkEnd w:id="252"/>
    </w:p>
    <w:p w14:paraId="10BB6598">
      <w:pPr>
        <w:pStyle w:val="11"/>
        <w:ind w:firstLine="465"/>
        <w:rPr>
          <w:rFonts w:hint="eastAsia" w:ascii="宋体" w:hAnsi="宋体" w:eastAsia="宋体" w:cs="宋体"/>
          <w:kern w:val="0"/>
          <w:sz w:val="24"/>
          <w:highlight w:val="none"/>
          <w:lang w:eastAsia="zh-CN"/>
        </w:rPr>
      </w:pPr>
      <w:r>
        <w:rPr>
          <w:rFonts w:hint="eastAsia" w:ascii="宋体" w:hAnsi="宋体" w:cs="宋体"/>
          <w:kern w:val="0"/>
          <w:sz w:val="24"/>
          <w:highlight w:val="none"/>
          <w:lang w:val="en-US" w:eastAsia="zh-CN"/>
        </w:rPr>
        <w:t>1、</w:t>
      </w:r>
      <w:r>
        <w:rPr>
          <w:rFonts w:hint="eastAsia" w:ascii="宋体" w:hAnsi="宋体" w:cs="宋体"/>
          <w:kern w:val="0"/>
          <w:sz w:val="24"/>
          <w:highlight w:val="none"/>
        </w:rPr>
        <w:t>单位负责人为同一人或者存在直接控股、管理关系的不同供应商，不得参加同一合同项下的政府采购活动。为采购项目提供整体设计、规范编制或者项目管理、监理、检测等服务的供应商，不得再参加该采购项目的其他采购活动。</w:t>
      </w:r>
      <w:r>
        <w:rPr>
          <w:rFonts w:hint="eastAsia" w:ascii="宋体" w:hAnsi="宋体" w:cs="宋体"/>
          <w:kern w:val="0"/>
          <w:sz w:val="24"/>
          <w:highlight w:val="none"/>
          <w:lang w:eastAsia="zh-CN"/>
        </w:rPr>
        <w:t>（</w:t>
      </w:r>
      <w:r>
        <w:rPr>
          <w:rFonts w:hint="eastAsia" w:ascii="宋体" w:hAnsi="宋体" w:cs="宋体"/>
          <w:kern w:val="0"/>
          <w:sz w:val="24"/>
          <w:highlight w:val="none"/>
          <w:lang w:val="en-US" w:eastAsia="zh-CN"/>
        </w:rPr>
        <w:t>提供承诺</w:t>
      </w:r>
      <w:r>
        <w:rPr>
          <w:rFonts w:hint="eastAsia" w:ascii="宋体" w:hAnsi="宋体" w:cs="宋体"/>
          <w:kern w:val="0"/>
          <w:sz w:val="24"/>
          <w:highlight w:val="none"/>
          <w:lang w:eastAsia="zh-CN"/>
        </w:rPr>
        <w:t>）</w:t>
      </w:r>
    </w:p>
    <w:p w14:paraId="4AD5AE2F">
      <w:pPr>
        <w:widowControl w:val="0"/>
        <w:spacing w:line="360" w:lineRule="auto"/>
        <w:ind w:firstLine="480" w:firstLineChars="200"/>
        <w:jc w:val="both"/>
        <w:rPr>
          <w:rFonts w:hint="eastAsia" w:ascii="宋体" w:hAnsi="宋体" w:eastAsia="宋体" w:cs="宋体"/>
          <w:color w:val="auto"/>
          <w:kern w:val="2"/>
          <w:sz w:val="24"/>
          <w:szCs w:val="24"/>
          <w:highlight w:val="none"/>
          <w:lang w:eastAsia="zh-CN" w:bidi="ar"/>
        </w:rPr>
      </w:pPr>
      <w:r>
        <w:rPr>
          <w:rFonts w:hint="eastAsia" w:ascii="宋体" w:hAnsi="宋体" w:eastAsia="宋体" w:cs="宋体"/>
          <w:i w:val="0"/>
          <w:iCs w:val="0"/>
          <w:color w:val="auto"/>
          <w:kern w:val="2"/>
          <w:sz w:val="24"/>
          <w:szCs w:val="24"/>
          <w:highlight w:val="none"/>
          <w:lang w:val="en-US" w:eastAsia="zh-CN" w:bidi="ar"/>
        </w:rPr>
        <w:t>2、</w:t>
      </w:r>
      <w:r>
        <w:rPr>
          <w:rFonts w:hint="eastAsia" w:ascii="宋体" w:hAnsi="宋体" w:cs="宋体"/>
          <w:color w:val="auto"/>
          <w:kern w:val="2"/>
          <w:sz w:val="24"/>
          <w:szCs w:val="24"/>
          <w:highlight w:val="none"/>
          <w:lang w:bidi="ar"/>
        </w:rPr>
        <w:t>投标人如果是代理商或经销商，须提供医疗器械经营许可证/备案，所投产品制造商医疗器械生产许可证（制造商工商注册地在中华人民共和国境外的，不做此要求）、所投产品的医疗器械注册证；投标人如果是制造商，须提供医疗器械生产许可证（制造商工商注册地在中华人民共和国境外的，不做此要求）、所投产品的医疗器械注册证。医疗器械生产或经营许可证生产或经营范围须覆盖所投第二、三类医疗器械（复印件加盖公章。根据中华人民共和国国务院令第</w:t>
      </w:r>
      <w:r>
        <w:rPr>
          <w:rFonts w:hint="eastAsia" w:ascii="宋体" w:hAnsi="宋体" w:cs="宋体"/>
          <w:color w:val="auto"/>
          <w:kern w:val="2"/>
          <w:sz w:val="24"/>
          <w:szCs w:val="24"/>
          <w:highlight w:val="none"/>
          <w:lang w:val="en-US" w:eastAsia="zh-CN" w:bidi="ar"/>
        </w:rPr>
        <w:t>739</w:t>
      </w:r>
      <w:r>
        <w:rPr>
          <w:rFonts w:hint="eastAsia" w:ascii="宋体" w:hAnsi="宋体" w:cs="宋体"/>
          <w:color w:val="auto"/>
          <w:kern w:val="2"/>
          <w:sz w:val="24"/>
          <w:szCs w:val="24"/>
          <w:highlight w:val="none"/>
          <w:lang w:bidi="ar"/>
        </w:rPr>
        <w:t>号《医疗器械监督管理条例》和国家药品监督管理局《医疗器械分类目录》的规定，在《医疗器械分类目录》内的产品必须按照《医疗器械监督管理条例》的要求提供，其他不在《医疗器械分类目录》内的不作强行要求）。</w:t>
      </w:r>
      <w:r>
        <w:rPr>
          <w:rFonts w:hint="eastAsia" w:ascii="宋体" w:hAnsi="宋体" w:cs="宋体"/>
          <w:color w:val="auto"/>
          <w:kern w:val="2"/>
          <w:sz w:val="24"/>
          <w:szCs w:val="24"/>
          <w:highlight w:val="none"/>
          <w:lang w:eastAsia="zh-CN" w:bidi="ar"/>
        </w:rPr>
        <w:t>（</w:t>
      </w:r>
      <w:r>
        <w:rPr>
          <w:rFonts w:hint="eastAsia" w:ascii="宋体" w:hAnsi="宋体" w:cs="宋体"/>
          <w:color w:val="auto"/>
          <w:kern w:val="2"/>
          <w:sz w:val="24"/>
          <w:szCs w:val="24"/>
          <w:highlight w:val="none"/>
          <w:lang w:val="en-US" w:eastAsia="zh-CN" w:bidi="ar"/>
        </w:rPr>
        <w:t>提供证明材料</w:t>
      </w:r>
      <w:r>
        <w:rPr>
          <w:rFonts w:hint="eastAsia" w:ascii="宋体" w:hAnsi="宋体" w:cs="宋体"/>
          <w:color w:val="auto"/>
          <w:kern w:val="2"/>
          <w:sz w:val="24"/>
          <w:szCs w:val="24"/>
          <w:highlight w:val="none"/>
          <w:lang w:eastAsia="zh-CN" w:bidi="ar"/>
        </w:rPr>
        <w:t>）</w:t>
      </w:r>
    </w:p>
    <w:p w14:paraId="55142365">
      <w:pPr>
        <w:pStyle w:val="6"/>
        <w:rPr>
          <w:rFonts w:hint="default"/>
          <w:lang w:val="en-US" w:eastAsia="zh-CN"/>
        </w:rPr>
      </w:pPr>
      <w:r>
        <w:rPr>
          <w:rFonts w:hint="eastAsia" w:ascii="宋体" w:hAnsi="宋体" w:cs="宋体"/>
          <w:color w:val="auto"/>
          <w:kern w:val="2"/>
          <w:sz w:val="24"/>
          <w:szCs w:val="24"/>
          <w:highlight w:val="none"/>
          <w:lang w:val="en-US" w:eastAsia="zh-CN" w:bidi="ar"/>
        </w:rPr>
        <w:t>3、</w:t>
      </w:r>
      <w:r>
        <w:rPr>
          <w:rFonts w:hint="eastAsia" w:ascii="宋体" w:hAnsi="宋体" w:eastAsia="宋体" w:cs="宋体"/>
          <w:i w:val="0"/>
          <w:iCs w:val="0"/>
          <w:color w:val="auto"/>
          <w:kern w:val="2"/>
          <w:sz w:val="24"/>
          <w:szCs w:val="24"/>
          <w:highlight w:val="none"/>
          <w:lang w:val="en-US" w:eastAsia="zh-CN" w:bidi="ar"/>
        </w:rPr>
        <w:t>本项目不接受联合体投标。（提供承诺）</w:t>
      </w:r>
    </w:p>
    <w:p w14:paraId="23196A2C">
      <w:pPr>
        <w:spacing w:line="360" w:lineRule="auto"/>
        <w:ind w:firstLine="480" w:firstLineChars="200"/>
        <w:rPr>
          <w:rFonts w:hint="eastAsia" w:ascii="宋体" w:hAnsi="宋体"/>
          <w:sz w:val="24"/>
          <w:szCs w:val="24"/>
          <w:highlight w:val="none"/>
        </w:rPr>
      </w:pPr>
      <w:r>
        <w:rPr>
          <w:rFonts w:hint="eastAsia" w:ascii="宋体" w:hAnsi="宋体" w:cs="宋体"/>
          <w:sz w:val="24"/>
          <w:highlight w:val="none"/>
          <w:lang w:val="en-US" w:eastAsia="zh-CN"/>
        </w:rPr>
        <w:t>4</w:t>
      </w:r>
      <w:r>
        <w:rPr>
          <w:rFonts w:hint="eastAsia" w:ascii="宋体" w:hAnsi="宋体" w:cs="宋体"/>
          <w:sz w:val="24"/>
          <w:highlight w:val="none"/>
          <w:lang w:eastAsia="zh-CN"/>
        </w:rPr>
        <w:t>、</w:t>
      </w:r>
      <w:r>
        <w:rPr>
          <w:rFonts w:hint="eastAsia" w:ascii="宋体" w:hAnsi="宋体" w:cs="宋体"/>
          <w:sz w:val="24"/>
          <w:highlight w:val="none"/>
        </w:rPr>
        <w:t>招标文件要求及投标人认为需要提交的其他资格证明材料。</w:t>
      </w:r>
    </w:p>
    <w:p w14:paraId="4E6120FB">
      <w:pPr>
        <w:rPr>
          <w:rFonts w:hint="eastAsia" w:ascii="宋体" w:hAnsi="宋体"/>
          <w:b/>
          <w:bCs/>
          <w:sz w:val="44"/>
          <w:szCs w:val="44"/>
          <w:highlight w:val="none"/>
          <w:u w:val="single"/>
        </w:rPr>
      </w:pPr>
      <w:r>
        <w:rPr>
          <w:rFonts w:hint="eastAsia" w:ascii="宋体" w:hAnsi="宋体"/>
          <w:sz w:val="24"/>
          <w:szCs w:val="24"/>
          <w:highlight w:val="none"/>
          <w:lang w:eastAsia="zh-CN"/>
        </w:rPr>
        <w:br w:type="page"/>
      </w:r>
    </w:p>
    <w:p w14:paraId="26B3E605">
      <w:pPr>
        <w:jc w:val="center"/>
        <w:rPr>
          <w:rFonts w:hint="eastAsia" w:ascii="宋体" w:hAnsi="宋体" w:eastAsia="宋体"/>
          <w:b/>
          <w:bCs/>
          <w:sz w:val="44"/>
          <w:szCs w:val="44"/>
          <w:highlight w:val="none"/>
          <w:lang w:eastAsia="zh-CN"/>
        </w:rPr>
      </w:pPr>
      <w:r>
        <w:rPr>
          <w:rFonts w:hint="eastAsia" w:ascii="宋体" w:hAnsi="宋体"/>
          <w:b/>
          <w:bCs/>
          <w:sz w:val="44"/>
          <w:szCs w:val="44"/>
          <w:highlight w:val="none"/>
          <w:lang w:val="en-US" w:eastAsia="zh-CN"/>
        </w:rPr>
        <w:t>沪滇协作香格里拉市人民医院多导睡眠检测仪、血液净化机等采购项目</w:t>
      </w:r>
    </w:p>
    <w:p w14:paraId="051FCADE">
      <w:pPr>
        <w:jc w:val="center"/>
        <w:rPr>
          <w:rFonts w:hint="eastAsia"/>
          <w:b/>
          <w:sz w:val="44"/>
          <w:szCs w:val="44"/>
          <w:highlight w:val="none"/>
        </w:rPr>
      </w:pPr>
    </w:p>
    <w:p w14:paraId="678D2E9E">
      <w:pPr>
        <w:jc w:val="center"/>
        <w:rPr>
          <w:rFonts w:hint="eastAsia"/>
          <w:b/>
          <w:sz w:val="44"/>
          <w:szCs w:val="44"/>
          <w:highlight w:val="none"/>
        </w:rPr>
      </w:pPr>
      <w:r>
        <w:rPr>
          <w:rFonts w:hint="eastAsia"/>
          <w:b/>
          <w:sz w:val="44"/>
          <w:szCs w:val="44"/>
          <w:highlight w:val="none"/>
        </w:rPr>
        <w:t>商务技术部分封面</w:t>
      </w:r>
    </w:p>
    <w:p w14:paraId="2849BF52">
      <w:pPr>
        <w:rPr>
          <w:rFonts w:hint="eastAsia" w:ascii="宋体" w:hAnsi="宋体"/>
          <w:b/>
          <w:bCs/>
          <w:sz w:val="44"/>
          <w:szCs w:val="44"/>
          <w:highlight w:val="none"/>
        </w:rPr>
      </w:pPr>
    </w:p>
    <w:p w14:paraId="6196E608">
      <w:pPr>
        <w:rPr>
          <w:rFonts w:hint="eastAsia" w:ascii="宋体" w:hAnsi="宋体"/>
          <w:b/>
          <w:bCs/>
          <w:sz w:val="44"/>
          <w:szCs w:val="44"/>
          <w:highlight w:val="none"/>
        </w:rPr>
      </w:pPr>
      <w:r>
        <w:rPr>
          <w:rFonts w:hint="eastAsia" w:ascii="宋体" w:hAnsi="宋体"/>
          <w:b/>
          <w:bCs/>
          <w:sz w:val="44"/>
          <w:szCs w:val="44"/>
          <w:highlight w:val="none"/>
        </w:rPr>
        <w:t xml:space="preserve"> </w:t>
      </w:r>
    </w:p>
    <w:p w14:paraId="1D11F779">
      <w:pPr>
        <w:rPr>
          <w:rFonts w:hint="eastAsia" w:ascii="宋体" w:hAnsi="宋体"/>
          <w:b/>
          <w:bCs/>
          <w:sz w:val="44"/>
          <w:szCs w:val="44"/>
          <w:highlight w:val="none"/>
        </w:rPr>
      </w:pPr>
      <w:r>
        <w:rPr>
          <w:rFonts w:hint="eastAsia" w:ascii="宋体" w:hAnsi="宋体"/>
          <w:b/>
          <w:bCs/>
          <w:sz w:val="44"/>
          <w:szCs w:val="44"/>
          <w:highlight w:val="none"/>
        </w:rPr>
        <w:t xml:space="preserve"> </w:t>
      </w:r>
    </w:p>
    <w:p w14:paraId="460FB322">
      <w:pPr>
        <w:rPr>
          <w:rFonts w:hint="eastAsia" w:ascii="宋体" w:hAnsi="宋体"/>
          <w:b/>
          <w:bCs/>
          <w:sz w:val="44"/>
          <w:szCs w:val="44"/>
          <w:highlight w:val="none"/>
        </w:rPr>
      </w:pPr>
      <w:r>
        <w:rPr>
          <w:rFonts w:hint="eastAsia" w:ascii="宋体" w:hAnsi="宋体"/>
          <w:b/>
          <w:bCs/>
          <w:sz w:val="44"/>
          <w:szCs w:val="44"/>
          <w:highlight w:val="none"/>
        </w:rPr>
        <w:t xml:space="preserve"> </w:t>
      </w:r>
    </w:p>
    <w:p w14:paraId="35517840">
      <w:pPr>
        <w:jc w:val="center"/>
        <w:rPr>
          <w:rFonts w:hint="eastAsia" w:ascii="宋体" w:hAnsi="宋体"/>
          <w:b/>
          <w:bCs/>
          <w:sz w:val="32"/>
          <w:szCs w:val="32"/>
          <w:highlight w:val="none"/>
        </w:rPr>
      </w:pPr>
      <w:r>
        <w:rPr>
          <w:rFonts w:hint="eastAsia" w:ascii="宋体" w:hAnsi="宋体"/>
          <w:b/>
          <w:bCs/>
          <w:sz w:val="52"/>
          <w:szCs w:val="52"/>
          <w:highlight w:val="none"/>
        </w:rPr>
        <w:t>投 标 文 件</w:t>
      </w:r>
    </w:p>
    <w:p w14:paraId="27265050">
      <w:pPr>
        <w:jc w:val="center"/>
        <w:outlineLvl w:val="2"/>
        <w:rPr>
          <w:rFonts w:hint="eastAsia" w:ascii="宋体" w:hAnsi="宋体"/>
          <w:b/>
          <w:bCs/>
          <w:sz w:val="32"/>
          <w:szCs w:val="32"/>
          <w:highlight w:val="none"/>
        </w:rPr>
      </w:pPr>
      <w:bookmarkStart w:id="253" w:name="_Toc23921"/>
      <w:r>
        <w:rPr>
          <w:rFonts w:hint="eastAsia" w:ascii="宋体" w:hAnsi="宋体"/>
          <w:b/>
          <w:bCs/>
          <w:sz w:val="32"/>
          <w:szCs w:val="32"/>
          <w:highlight w:val="none"/>
        </w:rPr>
        <w:t>商务技术部分</w:t>
      </w:r>
      <w:bookmarkEnd w:id="253"/>
    </w:p>
    <w:p w14:paraId="57E6379A">
      <w:pPr>
        <w:rPr>
          <w:rFonts w:hint="eastAsia" w:ascii="宋体" w:hAnsi="宋体"/>
          <w:b/>
          <w:bCs/>
          <w:sz w:val="44"/>
          <w:szCs w:val="44"/>
          <w:highlight w:val="none"/>
        </w:rPr>
      </w:pPr>
      <w:r>
        <w:rPr>
          <w:rFonts w:hint="eastAsia" w:ascii="宋体" w:hAnsi="宋体"/>
          <w:b/>
          <w:bCs/>
          <w:sz w:val="44"/>
          <w:szCs w:val="44"/>
          <w:highlight w:val="none"/>
        </w:rPr>
        <w:t xml:space="preserve"> </w:t>
      </w:r>
    </w:p>
    <w:p w14:paraId="3CDE51E4">
      <w:pPr>
        <w:rPr>
          <w:rFonts w:hint="eastAsia" w:ascii="宋体" w:hAnsi="宋体"/>
          <w:b/>
          <w:bCs/>
          <w:sz w:val="44"/>
          <w:szCs w:val="44"/>
          <w:highlight w:val="none"/>
        </w:rPr>
      </w:pPr>
      <w:r>
        <w:rPr>
          <w:rFonts w:hint="eastAsia" w:ascii="宋体" w:hAnsi="宋体"/>
          <w:b/>
          <w:bCs/>
          <w:sz w:val="44"/>
          <w:szCs w:val="44"/>
          <w:highlight w:val="none"/>
        </w:rPr>
        <w:t xml:space="preserve"> </w:t>
      </w:r>
    </w:p>
    <w:p w14:paraId="1AFC2CCA">
      <w:pPr>
        <w:rPr>
          <w:rFonts w:hint="eastAsia" w:ascii="宋体" w:hAnsi="宋体"/>
          <w:b/>
          <w:bCs/>
          <w:sz w:val="44"/>
          <w:szCs w:val="44"/>
          <w:highlight w:val="none"/>
        </w:rPr>
      </w:pPr>
      <w:r>
        <w:rPr>
          <w:rFonts w:hint="eastAsia" w:ascii="宋体" w:hAnsi="宋体"/>
          <w:b/>
          <w:bCs/>
          <w:sz w:val="44"/>
          <w:szCs w:val="44"/>
          <w:highlight w:val="none"/>
        </w:rPr>
        <w:t xml:space="preserve"> </w:t>
      </w:r>
    </w:p>
    <w:p w14:paraId="111A78C3">
      <w:pPr>
        <w:rPr>
          <w:rFonts w:hint="eastAsia" w:ascii="宋体" w:hAnsi="宋体"/>
          <w:b/>
          <w:bCs/>
          <w:sz w:val="44"/>
          <w:szCs w:val="44"/>
          <w:highlight w:val="none"/>
        </w:rPr>
      </w:pPr>
      <w:r>
        <w:rPr>
          <w:rFonts w:hint="eastAsia" w:ascii="宋体" w:hAnsi="宋体"/>
          <w:b/>
          <w:bCs/>
          <w:sz w:val="44"/>
          <w:szCs w:val="44"/>
          <w:highlight w:val="none"/>
        </w:rPr>
        <w:t xml:space="preserve"> </w:t>
      </w:r>
    </w:p>
    <w:p w14:paraId="132AB251">
      <w:pPr>
        <w:rPr>
          <w:rFonts w:hint="eastAsia" w:ascii="宋体" w:hAnsi="宋体"/>
          <w:b/>
          <w:bCs/>
          <w:sz w:val="44"/>
          <w:szCs w:val="44"/>
          <w:highlight w:val="none"/>
        </w:rPr>
      </w:pPr>
      <w:r>
        <w:rPr>
          <w:rFonts w:hint="eastAsia" w:ascii="宋体" w:hAnsi="宋体"/>
          <w:b/>
          <w:bCs/>
          <w:sz w:val="44"/>
          <w:szCs w:val="44"/>
          <w:highlight w:val="none"/>
        </w:rPr>
        <w:t xml:space="preserve"> </w:t>
      </w:r>
    </w:p>
    <w:p w14:paraId="590FD32D">
      <w:pPr>
        <w:ind w:left="0" w:leftChars="0" w:firstLine="1687" w:firstLineChars="600"/>
        <w:rPr>
          <w:rFonts w:hint="eastAsia" w:ascii="宋体" w:hAnsi="宋体"/>
          <w:b/>
          <w:sz w:val="28"/>
          <w:szCs w:val="28"/>
          <w:highlight w:val="none"/>
        </w:rPr>
      </w:pPr>
      <w:r>
        <w:rPr>
          <w:rFonts w:hint="eastAsia" w:ascii="宋体" w:hAnsi="宋体"/>
          <w:b/>
          <w:sz w:val="28"/>
          <w:szCs w:val="28"/>
          <w:highlight w:val="none"/>
        </w:rPr>
        <w:t>投标人：</w:t>
      </w:r>
      <w:r>
        <w:rPr>
          <w:rFonts w:hint="eastAsia" w:ascii="宋体" w:hAnsi="宋体"/>
          <w:b/>
          <w:sz w:val="28"/>
          <w:szCs w:val="28"/>
          <w:highlight w:val="none"/>
          <w:u w:val="single"/>
        </w:rPr>
        <w:tab/>
      </w:r>
      <w:r>
        <w:rPr>
          <w:rFonts w:hint="eastAsia" w:ascii="宋体" w:hAnsi="宋体"/>
          <w:b/>
          <w:sz w:val="28"/>
          <w:szCs w:val="28"/>
          <w:highlight w:val="none"/>
          <w:u w:val="single"/>
        </w:rPr>
        <w:t xml:space="preserve">           </w:t>
      </w:r>
      <w:r>
        <w:rPr>
          <w:rFonts w:hint="eastAsia" w:ascii="宋体" w:hAnsi="宋体"/>
          <w:b/>
          <w:sz w:val="28"/>
          <w:szCs w:val="28"/>
          <w:highlight w:val="none"/>
        </w:rPr>
        <w:t>(电子签章)</w:t>
      </w:r>
    </w:p>
    <w:p w14:paraId="51530F34">
      <w:pPr>
        <w:ind w:left="0" w:leftChars="0" w:firstLine="1687" w:firstLineChars="600"/>
        <w:rPr>
          <w:b/>
          <w:sz w:val="28"/>
          <w:szCs w:val="28"/>
          <w:highlight w:val="none"/>
        </w:rPr>
      </w:pPr>
      <w:r>
        <w:rPr>
          <w:rFonts w:hint="eastAsia" w:ascii="宋体" w:hAnsi="宋体"/>
          <w:b/>
          <w:sz w:val="28"/>
          <w:szCs w:val="28"/>
          <w:highlight w:val="none"/>
        </w:rPr>
        <w:t>法定代表人(单位负责人)或其委托代理人：</w:t>
      </w:r>
      <w:r>
        <w:rPr>
          <w:rFonts w:hint="eastAsia" w:ascii="宋体" w:hAnsi="宋体"/>
          <w:b/>
          <w:sz w:val="28"/>
          <w:szCs w:val="28"/>
          <w:highlight w:val="none"/>
          <w:u w:val="single"/>
        </w:rPr>
        <w:tab/>
      </w:r>
      <w:r>
        <w:rPr>
          <w:rFonts w:hint="eastAsia" w:ascii="宋体" w:hAnsi="宋体"/>
          <w:b/>
          <w:sz w:val="28"/>
          <w:szCs w:val="28"/>
          <w:highlight w:val="none"/>
          <w:u w:val="single"/>
        </w:rPr>
        <w:t xml:space="preserve">     </w:t>
      </w:r>
      <w:r>
        <w:rPr>
          <w:rFonts w:hint="eastAsia" w:ascii="宋体" w:hAnsi="宋体"/>
          <w:b/>
          <w:sz w:val="28"/>
          <w:szCs w:val="28"/>
          <w:highlight w:val="none"/>
        </w:rPr>
        <w:t>(电子签章)</w:t>
      </w:r>
    </w:p>
    <w:p w14:paraId="4C51B5C1">
      <w:pPr>
        <w:ind w:left="0" w:leftChars="0" w:firstLine="1687" w:firstLineChars="600"/>
        <w:rPr>
          <w:sz w:val="28"/>
          <w:szCs w:val="28"/>
          <w:highlight w:val="none"/>
        </w:rPr>
        <w:sectPr>
          <w:footerReference r:id="rId7" w:type="default"/>
          <w:pgSz w:w="11906" w:h="16838"/>
          <w:pgMar w:top="1191" w:right="1191" w:bottom="1191" w:left="1191" w:header="720" w:footer="720" w:gutter="0"/>
          <w:pgNumType w:fmt="decimal"/>
          <w:cols w:space="720" w:num="1"/>
          <w:docGrid w:type="lines" w:linePitch="317" w:charSpace="0"/>
        </w:sectPr>
      </w:pPr>
      <w:r>
        <w:rPr>
          <w:b/>
          <w:sz w:val="28"/>
          <w:szCs w:val="28"/>
          <w:highlight w:val="none"/>
        </w:rPr>
        <w:t>日期：</w:t>
      </w:r>
      <w:r>
        <w:rPr>
          <w:rFonts w:hint="eastAsia"/>
          <w:bCs/>
          <w:sz w:val="28"/>
          <w:szCs w:val="28"/>
          <w:highlight w:val="none"/>
          <w:u w:val="single"/>
        </w:rPr>
        <w:t xml:space="preserve">      </w:t>
      </w:r>
      <w:r>
        <w:rPr>
          <w:b/>
          <w:sz w:val="28"/>
          <w:szCs w:val="28"/>
          <w:highlight w:val="none"/>
        </w:rPr>
        <w:t>年</w:t>
      </w:r>
      <w:r>
        <w:rPr>
          <w:rFonts w:hint="eastAsia"/>
          <w:bCs/>
          <w:sz w:val="28"/>
          <w:szCs w:val="28"/>
          <w:highlight w:val="none"/>
          <w:u w:val="single"/>
        </w:rPr>
        <w:t xml:space="preserve">     </w:t>
      </w:r>
      <w:r>
        <w:rPr>
          <w:b/>
          <w:sz w:val="28"/>
          <w:szCs w:val="28"/>
          <w:highlight w:val="none"/>
        </w:rPr>
        <w:t>月</w:t>
      </w:r>
      <w:r>
        <w:rPr>
          <w:rFonts w:hint="eastAsia"/>
          <w:bCs/>
          <w:sz w:val="28"/>
          <w:szCs w:val="28"/>
          <w:highlight w:val="none"/>
          <w:u w:val="single"/>
        </w:rPr>
        <w:t xml:space="preserve">     </w:t>
      </w:r>
      <w:r>
        <w:rPr>
          <w:b/>
          <w:sz w:val="28"/>
          <w:szCs w:val="28"/>
          <w:highlight w:val="none"/>
        </w:rPr>
        <w:t>日</w:t>
      </w:r>
    </w:p>
    <w:p w14:paraId="1BE5383D">
      <w:pPr>
        <w:spacing w:line="240" w:lineRule="exact"/>
        <w:rPr>
          <w:rFonts w:hint="eastAsia" w:ascii="宋体" w:hAnsi="宋体"/>
          <w:sz w:val="28"/>
          <w:szCs w:val="28"/>
          <w:highlight w:val="none"/>
        </w:rPr>
      </w:pPr>
      <w:bookmarkStart w:id="254" w:name="_Toc15981"/>
      <w:bookmarkEnd w:id="254"/>
      <w:bookmarkStart w:id="255" w:name="_Toc28459"/>
      <w:bookmarkEnd w:id="255"/>
      <w:bookmarkStart w:id="256" w:name="_Toc31298"/>
      <w:bookmarkEnd w:id="256"/>
      <w:bookmarkStart w:id="257" w:name="_Toc10984"/>
      <w:bookmarkEnd w:id="257"/>
      <w:bookmarkStart w:id="258" w:name="_Toc29456"/>
    </w:p>
    <w:p w14:paraId="74CDAE33">
      <w:pPr>
        <w:pStyle w:val="4"/>
        <w:widowControl/>
        <w:autoSpaceDE w:val="0"/>
        <w:spacing w:before="0" w:after="0" w:line="240" w:lineRule="auto"/>
        <w:rPr>
          <w:rFonts w:hint="eastAsia" w:ascii="宋体" w:hAnsi="宋体"/>
          <w:szCs w:val="28"/>
          <w:highlight w:val="none"/>
        </w:rPr>
      </w:pPr>
      <w:bookmarkStart w:id="259" w:name="_Toc23832"/>
      <w:r>
        <w:rPr>
          <w:rFonts w:hint="eastAsia" w:ascii="宋体" w:hAnsi="宋体"/>
          <w:szCs w:val="28"/>
          <w:highlight w:val="none"/>
        </w:rPr>
        <w:t>一、开标一览表</w:t>
      </w:r>
      <w:bookmarkEnd w:id="258"/>
      <w:bookmarkEnd w:id="259"/>
    </w:p>
    <w:p w14:paraId="4237F123">
      <w:pPr>
        <w:spacing w:line="200" w:lineRule="exact"/>
        <w:rPr>
          <w:rFonts w:hint="eastAsia" w:ascii="宋体" w:hAnsi="宋体"/>
          <w:highlight w:val="none"/>
        </w:rPr>
      </w:pPr>
      <w:r>
        <w:rPr>
          <w:rFonts w:ascii="宋体" w:hAnsi="宋体"/>
          <w:highlight w:val="none"/>
        </w:rPr>
        <w:t xml:space="preserve"> </w:t>
      </w:r>
    </w:p>
    <w:p w14:paraId="4B4A553D">
      <w:pPr>
        <w:spacing w:line="480" w:lineRule="exact"/>
        <w:ind w:left="1400" w:hanging="1400" w:hangingChars="500"/>
        <w:rPr>
          <w:rFonts w:ascii="宋体" w:hAnsi="宋体"/>
          <w:sz w:val="28"/>
          <w:szCs w:val="28"/>
          <w:highlight w:val="none"/>
        </w:rPr>
      </w:pPr>
      <w:r>
        <w:rPr>
          <w:rFonts w:hint="eastAsia" w:ascii="宋体" w:hAnsi="宋体"/>
          <w:sz w:val="28"/>
          <w:szCs w:val="28"/>
          <w:highlight w:val="none"/>
        </w:rPr>
        <w:t xml:space="preserve"> </w:t>
      </w:r>
    </w:p>
    <w:p w14:paraId="1C64185F">
      <w:pPr>
        <w:spacing w:line="480" w:lineRule="exact"/>
        <w:ind w:left="1200" w:hanging="1200" w:hangingChars="500"/>
        <w:rPr>
          <w:rFonts w:hint="eastAsia" w:ascii="宋体" w:hAnsi="宋体"/>
          <w:sz w:val="24"/>
          <w:szCs w:val="24"/>
          <w:highlight w:val="none"/>
          <w:u w:val="single"/>
        </w:rPr>
      </w:pPr>
      <w:r>
        <w:rPr>
          <w:rFonts w:hint="eastAsia" w:ascii="宋体" w:hAnsi="宋体"/>
          <w:sz w:val="24"/>
          <w:szCs w:val="24"/>
          <w:highlight w:val="none"/>
        </w:rPr>
        <w:t>项目名称：</w:t>
      </w:r>
      <w:r>
        <w:rPr>
          <w:rFonts w:hint="eastAsia" w:ascii="宋体" w:hAnsi="宋体"/>
          <w:sz w:val="24"/>
          <w:szCs w:val="24"/>
          <w:highlight w:val="none"/>
          <w:lang w:val="en-US" w:eastAsia="zh-CN"/>
        </w:rPr>
        <w:t>沪滇协作香格里拉市人民医院多导睡眠检测仪、血液净化机等采购项目</w:t>
      </w:r>
    </w:p>
    <w:p w14:paraId="0E2ECDD6">
      <w:pPr>
        <w:spacing w:line="480" w:lineRule="exact"/>
        <w:rPr>
          <w:rFonts w:hint="eastAsia" w:ascii="宋体" w:hAnsi="宋体"/>
          <w:sz w:val="24"/>
          <w:szCs w:val="24"/>
          <w:highlight w:val="none"/>
        </w:rPr>
      </w:pPr>
      <w:r>
        <w:rPr>
          <w:rFonts w:hint="eastAsia" w:ascii="宋体" w:hAnsi="宋体"/>
          <w:sz w:val="24"/>
          <w:szCs w:val="24"/>
          <w:highlight w:val="none"/>
        </w:rPr>
        <w:t>招标编号：</w:t>
      </w:r>
      <w:r>
        <w:rPr>
          <w:rFonts w:hint="eastAsia" w:ascii="宋体" w:hAnsi="宋体" w:cs="宋体"/>
          <w:color w:val="auto"/>
          <w:kern w:val="2"/>
          <w:sz w:val="24"/>
          <w:szCs w:val="24"/>
          <w:highlight w:val="none"/>
          <w:lang w:eastAsia="zh-CN" w:bidi="ar"/>
        </w:rPr>
        <w:t xml:space="preserve">DQZC2025-G1-00159-YNYZ-0016 </w:t>
      </w:r>
      <w:r>
        <w:rPr>
          <w:rFonts w:hint="eastAsia" w:ascii="宋体" w:hAnsi="宋体"/>
          <w:sz w:val="24"/>
          <w:szCs w:val="24"/>
          <w:highlight w:val="none"/>
        </w:rPr>
        <w:t xml:space="preserve"> </w:t>
      </w:r>
    </w:p>
    <w:tbl>
      <w:tblPr>
        <w:tblStyle w:val="27"/>
        <w:tblW w:w="0" w:type="auto"/>
        <w:tblInd w:w="0" w:type="dxa"/>
        <w:tblLayout w:type="fixed"/>
        <w:tblCellMar>
          <w:top w:w="0" w:type="dxa"/>
          <w:left w:w="108" w:type="dxa"/>
          <w:bottom w:w="0" w:type="dxa"/>
          <w:right w:w="108" w:type="dxa"/>
        </w:tblCellMar>
      </w:tblPr>
      <w:tblGrid>
        <w:gridCol w:w="2222"/>
        <w:gridCol w:w="2302"/>
        <w:gridCol w:w="2386"/>
        <w:gridCol w:w="2421"/>
      </w:tblGrid>
      <w:tr w14:paraId="32B9336C">
        <w:tblPrEx>
          <w:tblCellMar>
            <w:top w:w="0" w:type="dxa"/>
            <w:left w:w="108" w:type="dxa"/>
            <w:bottom w:w="0" w:type="dxa"/>
            <w:right w:w="108" w:type="dxa"/>
          </w:tblCellMar>
        </w:tblPrEx>
        <w:trPr>
          <w:cantSplit/>
          <w:trHeight w:val="877" w:hRule="atLeast"/>
        </w:trPr>
        <w:tc>
          <w:tcPr>
            <w:tcW w:w="2222" w:type="dxa"/>
            <w:tcBorders>
              <w:top w:val="single" w:color="auto" w:sz="4" w:space="0"/>
              <w:left w:val="single" w:color="auto" w:sz="4" w:space="0"/>
              <w:bottom w:val="single" w:color="auto" w:sz="4" w:space="0"/>
              <w:right w:val="single" w:color="auto" w:sz="4" w:space="0"/>
            </w:tcBorders>
            <w:noWrap w:val="0"/>
            <w:vAlign w:val="center"/>
          </w:tcPr>
          <w:p w14:paraId="74675636">
            <w:pPr>
              <w:adjustRightInd w:val="0"/>
              <w:snapToGrid w:val="0"/>
              <w:spacing w:line="440" w:lineRule="exact"/>
              <w:jc w:val="center"/>
              <w:rPr>
                <w:rFonts w:ascii="宋体" w:hAnsi="宋体"/>
                <w:b/>
                <w:bCs/>
                <w:kern w:val="2"/>
                <w:sz w:val="24"/>
                <w:szCs w:val="24"/>
                <w:highlight w:val="none"/>
              </w:rPr>
            </w:pPr>
            <w:r>
              <w:rPr>
                <w:rFonts w:hint="eastAsia" w:ascii="宋体" w:hAnsi="宋体"/>
                <w:b/>
                <w:bCs/>
                <w:kern w:val="2"/>
                <w:sz w:val="24"/>
                <w:szCs w:val="24"/>
                <w:highlight w:val="none"/>
              </w:rPr>
              <w:t>投标总价(元)</w:t>
            </w:r>
          </w:p>
        </w:tc>
        <w:tc>
          <w:tcPr>
            <w:tcW w:w="2302" w:type="dxa"/>
            <w:tcBorders>
              <w:top w:val="single" w:color="auto" w:sz="4" w:space="0"/>
              <w:left w:val="nil"/>
              <w:bottom w:val="single" w:color="auto" w:sz="4" w:space="0"/>
              <w:right w:val="single" w:color="auto" w:sz="4" w:space="0"/>
            </w:tcBorders>
            <w:noWrap w:val="0"/>
            <w:vAlign w:val="center"/>
          </w:tcPr>
          <w:p w14:paraId="37EDF387">
            <w:pPr>
              <w:adjustRightInd w:val="0"/>
              <w:snapToGrid w:val="0"/>
              <w:spacing w:line="440" w:lineRule="exact"/>
              <w:jc w:val="center"/>
              <w:rPr>
                <w:rFonts w:ascii="宋体" w:hAnsi="宋体"/>
                <w:b/>
                <w:bCs/>
                <w:kern w:val="2"/>
                <w:sz w:val="24"/>
                <w:szCs w:val="24"/>
                <w:highlight w:val="none"/>
              </w:rPr>
            </w:pPr>
            <w:r>
              <w:rPr>
                <w:rFonts w:hint="eastAsia" w:ascii="宋体" w:hAnsi="宋体"/>
                <w:b/>
                <w:bCs/>
                <w:kern w:val="2"/>
                <w:sz w:val="24"/>
                <w:szCs w:val="24"/>
                <w:highlight w:val="none"/>
              </w:rPr>
              <w:t>交货期</w:t>
            </w:r>
          </w:p>
        </w:tc>
        <w:tc>
          <w:tcPr>
            <w:tcW w:w="2386" w:type="dxa"/>
            <w:tcBorders>
              <w:top w:val="single" w:color="auto" w:sz="4" w:space="0"/>
              <w:left w:val="nil"/>
              <w:bottom w:val="single" w:color="auto" w:sz="4" w:space="0"/>
              <w:right w:val="single" w:color="auto" w:sz="4" w:space="0"/>
            </w:tcBorders>
            <w:noWrap w:val="0"/>
            <w:vAlign w:val="center"/>
          </w:tcPr>
          <w:p w14:paraId="126D89CD">
            <w:pPr>
              <w:adjustRightInd w:val="0"/>
              <w:snapToGrid w:val="0"/>
              <w:spacing w:line="440" w:lineRule="exact"/>
              <w:jc w:val="center"/>
              <w:rPr>
                <w:rFonts w:hint="eastAsia" w:ascii="宋体" w:hAnsi="宋体" w:eastAsia="宋体"/>
                <w:b/>
                <w:bCs/>
                <w:kern w:val="2"/>
                <w:sz w:val="24"/>
                <w:szCs w:val="24"/>
                <w:highlight w:val="none"/>
                <w:lang w:eastAsia="zh-CN"/>
              </w:rPr>
            </w:pPr>
            <w:r>
              <w:rPr>
                <w:rFonts w:hint="eastAsia" w:ascii="宋体" w:hAnsi="宋体"/>
                <w:b/>
                <w:bCs/>
                <w:color w:val="auto"/>
                <w:kern w:val="2"/>
                <w:sz w:val="24"/>
                <w:szCs w:val="24"/>
                <w:highlight w:val="none"/>
                <w:lang w:val="en-US" w:eastAsia="zh-CN"/>
              </w:rPr>
              <w:t>质保期</w:t>
            </w:r>
          </w:p>
        </w:tc>
        <w:tc>
          <w:tcPr>
            <w:tcW w:w="2421" w:type="dxa"/>
            <w:tcBorders>
              <w:top w:val="single" w:color="auto" w:sz="4" w:space="0"/>
              <w:left w:val="nil"/>
              <w:bottom w:val="single" w:color="auto" w:sz="4" w:space="0"/>
              <w:right w:val="single" w:color="auto" w:sz="4" w:space="0"/>
            </w:tcBorders>
            <w:noWrap w:val="0"/>
            <w:vAlign w:val="center"/>
          </w:tcPr>
          <w:p w14:paraId="01F142D6">
            <w:pPr>
              <w:adjustRightInd w:val="0"/>
              <w:snapToGrid w:val="0"/>
              <w:spacing w:line="440" w:lineRule="exact"/>
              <w:jc w:val="center"/>
              <w:rPr>
                <w:rFonts w:hint="eastAsia" w:ascii="宋体" w:hAnsi="宋体" w:eastAsia="宋体"/>
                <w:b/>
                <w:bCs/>
                <w:kern w:val="2"/>
                <w:sz w:val="24"/>
                <w:szCs w:val="24"/>
                <w:highlight w:val="none"/>
                <w:lang w:eastAsia="zh-CN"/>
              </w:rPr>
            </w:pPr>
            <w:r>
              <w:rPr>
                <w:rFonts w:hint="eastAsia" w:ascii="宋体" w:hAnsi="宋体"/>
                <w:b/>
                <w:bCs/>
                <w:kern w:val="2"/>
                <w:sz w:val="24"/>
                <w:szCs w:val="24"/>
                <w:highlight w:val="none"/>
                <w:lang w:val="en-US" w:eastAsia="zh-CN"/>
              </w:rPr>
              <w:t>备注</w:t>
            </w:r>
          </w:p>
        </w:tc>
      </w:tr>
      <w:tr w14:paraId="08908A5B">
        <w:tblPrEx>
          <w:tblCellMar>
            <w:top w:w="0" w:type="dxa"/>
            <w:left w:w="108" w:type="dxa"/>
            <w:bottom w:w="0" w:type="dxa"/>
            <w:right w:w="108" w:type="dxa"/>
          </w:tblCellMar>
        </w:tblPrEx>
        <w:trPr>
          <w:cantSplit/>
          <w:trHeight w:val="1212" w:hRule="atLeast"/>
        </w:trPr>
        <w:tc>
          <w:tcPr>
            <w:tcW w:w="2222" w:type="dxa"/>
            <w:tcBorders>
              <w:top w:val="single" w:color="auto" w:sz="4" w:space="0"/>
              <w:left w:val="single" w:color="auto" w:sz="4" w:space="0"/>
              <w:bottom w:val="single" w:color="auto" w:sz="4" w:space="0"/>
              <w:right w:val="single" w:color="auto" w:sz="4" w:space="0"/>
            </w:tcBorders>
            <w:noWrap w:val="0"/>
            <w:vAlign w:val="center"/>
          </w:tcPr>
          <w:p w14:paraId="19918331">
            <w:pPr>
              <w:spacing w:line="460" w:lineRule="exact"/>
              <w:jc w:val="left"/>
              <w:rPr>
                <w:rFonts w:ascii="宋体" w:hAnsi="宋体"/>
                <w:b/>
                <w:bCs/>
                <w:kern w:val="2"/>
                <w:sz w:val="24"/>
                <w:szCs w:val="24"/>
                <w:highlight w:val="none"/>
              </w:rPr>
            </w:pPr>
            <w:r>
              <w:rPr>
                <w:rFonts w:hint="eastAsia" w:ascii="宋体" w:hAnsi="宋体"/>
                <w:b/>
                <w:bCs/>
                <w:kern w:val="2"/>
                <w:sz w:val="24"/>
                <w:szCs w:val="24"/>
                <w:highlight w:val="none"/>
                <w:lang w:eastAsia="zh-CN"/>
              </w:rPr>
              <w:t>小写：</w:t>
            </w:r>
          </w:p>
        </w:tc>
        <w:tc>
          <w:tcPr>
            <w:tcW w:w="2302" w:type="dxa"/>
            <w:tcBorders>
              <w:top w:val="single" w:color="auto" w:sz="4" w:space="0"/>
              <w:left w:val="nil"/>
              <w:bottom w:val="single" w:color="auto" w:sz="4" w:space="0"/>
              <w:right w:val="single" w:color="auto" w:sz="4" w:space="0"/>
            </w:tcBorders>
            <w:noWrap w:val="0"/>
            <w:vAlign w:val="center"/>
          </w:tcPr>
          <w:p w14:paraId="3950E45C">
            <w:pPr>
              <w:spacing w:line="460" w:lineRule="exact"/>
              <w:jc w:val="center"/>
              <w:rPr>
                <w:rFonts w:ascii="宋体" w:hAnsi="宋体"/>
                <w:b/>
                <w:bCs/>
                <w:kern w:val="2"/>
                <w:sz w:val="24"/>
                <w:szCs w:val="24"/>
                <w:highlight w:val="none"/>
              </w:rPr>
            </w:pPr>
          </w:p>
        </w:tc>
        <w:tc>
          <w:tcPr>
            <w:tcW w:w="2386" w:type="dxa"/>
            <w:tcBorders>
              <w:top w:val="single" w:color="auto" w:sz="4" w:space="0"/>
              <w:left w:val="nil"/>
              <w:bottom w:val="single" w:color="auto" w:sz="4" w:space="0"/>
              <w:right w:val="single" w:color="auto" w:sz="4" w:space="0"/>
            </w:tcBorders>
            <w:noWrap w:val="0"/>
            <w:vAlign w:val="center"/>
          </w:tcPr>
          <w:p w14:paraId="59AFA2C5">
            <w:pPr>
              <w:spacing w:line="460" w:lineRule="exact"/>
              <w:jc w:val="center"/>
              <w:rPr>
                <w:rFonts w:ascii="宋体" w:hAnsi="宋体"/>
                <w:b/>
                <w:bCs/>
                <w:kern w:val="2"/>
                <w:sz w:val="24"/>
                <w:szCs w:val="24"/>
                <w:highlight w:val="none"/>
              </w:rPr>
            </w:pPr>
          </w:p>
        </w:tc>
        <w:tc>
          <w:tcPr>
            <w:tcW w:w="2421" w:type="dxa"/>
            <w:tcBorders>
              <w:top w:val="single" w:color="auto" w:sz="4" w:space="0"/>
              <w:left w:val="nil"/>
              <w:bottom w:val="single" w:color="auto" w:sz="4" w:space="0"/>
              <w:right w:val="single" w:color="auto" w:sz="4" w:space="0"/>
            </w:tcBorders>
            <w:noWrap w:val="0"/>
            <w:vAlign w:val="center"/>
          </w:tcPr>
          <w:p w14:paraId="6EF12970">
            <w:pPr>
              <w:spacing w:line="460" w:lineRule="exact"/>
              <w:jc w:val="center"/>
              <w:rPr>
                <w:rFonts w:ascii="宋体" w:hAnsi="宋体"/>
                <w:b/>
                <w:bCs/>
                <w:kern w:val="2"/>
                <w:sz w:val="24"/>
                <w:szCs w:val="24"/>
                <w:highlight w:val="none"/>
              </w:rPr>
            </w:pPr>
          </w:p>
        </w:tc>
      </w:tr>
      <w:tr w14:paraId="326D9D88">
        <w:tblPrEx>
          <w:tblCellMar>
            <w:top w:w="0" w:type="dxa"/>
            <w:left w:w="108" w:type="dxa"/>
            <w:bottom w:w="0" w:type="dxa"/>
            <w:right w:w="108" w:type="dxa"/>
          </w:tblCellMar>
        </w:tblPrEx>
        <w:trPr>
          <w:cantSplit/>
          <w:trHeight w:val="687" w:hRule="atLeast"/>
        </w:trPr>
        <w:tc>
          <w:tcPr>
            <w:tcW w:w="9331" w:type="dxa"/>
            <w:gridSpan w:val="4"/>
            <w:tcBorders>
              <w:left w:val="single" w:color="auto" w:sz="4" w:space="0"/>
              <w:bottom w:val="single" w:color="auto" w:sz="4" w:space="0"/>
              <w:right w:val="single" w:color="auto" w:sz="4" w:space="0"/>
            </w:tcBorders>
            <w:noWrap w:val="0"/>
            <w:vAlign w:val="center"/>
          </w:tcPr>
          <w:p w14:paraId="486C74F0">
            <w:pPr>
              <w:spacing w:line="460" w:lineRule="exact"/>
              <w:jc w:val="left"/>
              <w:rPr>
                <w:rFonts w:ascii="宋体" w:hAnsi="宋体"/>
                <w:b/>
                <w:bCs/>
                <w:kern w:val="2"/>
                <w:sz w:val="24"/>
                <w:szCs w:val="24"/>
                <w:highlight w:val="none"/>
              </w:rPr>
            </w:pPr>
            <w:r>
              <w:rPr>
                <w:rFonts w:hint="eastAsia" w:ascii="宋体" w:hAnsi="宋体"/>
                <w:b/>
                <w:bCs/>
                <w:kern w:val="2"/>
                <w:sz w:val="24"/>
                <w:szCs w:val="24"/>
                <w:highlight w:val="none"/>
              </w:rPr>
              <w:t>投标总价(</w:t>
            </w:r>
            <w:r>
              <w:rPr>
                <w:rFonts w:hint="eastAsia" w:ascii="宋体" w:hAnsi="宋体"/>
                <w:b/>
                <w:bCs/>
                <w:kern w:val="2"/>
                <w:sz w:val="24"/>
                <w:szCs w:val="24"/>
                <w:highlight w:val="none"/>
                <w:lang w:eastAsia="zh-CN"/>
              </w:rPr>
              <w:t>大写）：</w:t>
            </w:r>
          </w:p>
        </w:tc>
      </w:tr>
    </w:tbl>
    <w:p w14:paraId="1D44FC99">
      <w:pPr>
        <w:spacing w:line="420" w:lineRule="exact"/>
        <w:ind w:right="-309" w:rightChars="-147"/>
        <w:rPr>
          <w:rFonts w:hint="eastAsia" w:ascii="宋体" w:hAnsi="宋体"/>
          <w:sz w:val="28"/>
          <w:szCs w:val="28"/>
          <w:highlight w:val="none"/>
        </w:rPr>
      </w:pPr>
      <w:r>
        <w:rPr>
          <w:rFonts w:hint="eastAsia" w:ascii="宋体" w:hAnsi="宋体"/>
          <w:sz w:val="28"/>
          <w:szCs w:val="28"/>
          <w:highlight w:val="none"/>
        </w:rPr>
        <w:t xml:space="preserve"> </w:t>
      </w:r>
    </w:p>
    <w:p w14:paraId="1F3ECD70">
      <w:pPr>
        <w:spacing w:line="600" w:lineRule="atLeast"/>
        <w:rPr>
          <w:rFonts w:hint="eastAsia" w:ascii="宋体" w:hAnsi="宋体"/>
          <w:sz w:val="28"/>
          <w:szCs w:val="28"/>
          <w:highlight w:val="none"/>
        </w:rPr>
      </w:pPr>
      <w:r>
        <w:rPr>
          <w:rFonts w:hint="eastAsia" w:ascii="宋体" w:hAnsi="宋体"/>
          <w:sz w:val="28"/>
          <w:szCs w:val="28"/>
          <w:highlight w:val="none"/>
        </w:rPr>
        <w:t xml:space="preserve"> </w:t>
      </w:r>
    </w:p>
    <w:p w14:paraId="504E031B">
      <w:pPr>
        <w:spacing w:line="600" w:lineRule="atLeast"/>
        <w:rPr>
          <w:rFonts w:hint="eastAsia" w:ascii="宋体" w:hAnsi="宋体"/>
          <w:sz w:val="28"/>
          <w:szCs w:val="28"/>
          <w:highlight w:val="none"/>
        </w:rPr>
      </w:pPr>
      <w:r>
        <w:rPr>
          <w:rFonts w:hint="eastAsia" w:ascii="宋体" w:hAnsi="宋体"/>
          <w:sz w:val="28"/>
          <w:szCs w:val="28"/>
          <w:highlight w:val="none"/>
        </w:rPr>
        <w:t xml:space="preserve">  </w:t>
      </w:r>
    </w:p>
    <w:p w14:paraId="1B79BBFA">
      <w:pPr>
        <w:pStyle w:val="11"/>
      </w:pPr>
    </w:p>
    <w:p w14:paraId="47A0A646">
      <w:pPr>
        <w:ind w:firstLine="1968" w:firstLineChars="700"/>
        <w:rPr>
          <w:rFonts w:hint="eastAsia" w:ascii="宋体" w:hAnsi="宋体"/>
          <w:b/>
          <w:sz w:val="28"/>
          <w:szCs w:val="28"/>
          <w:highlight w:val="none"/>
        </w:rPr>
      </w:pPr>
      <w:r>
        <w:rPr>
          <w:rFonts w:hint="eastAsia" w:ascii="宋体" w:hAnsi="宋体"/>
          <w:b/>
          <w:sz w:val="28"/>
          <w:szCs w:val="28"/>
          <w:highlight w:val="none"/>
        </w:rPr>
        <w:t>投标人：</w:t>
      </w:r>
      <w:r>
        <w:rPr>
          <w:rFonts w:hint="eastAsia" w:ascii="宋体" w:hAnsi="宋体"/>
          <w:b/>
          <w:sz w:val="28"/>
          <w:szCs w:val="28"/>
          <w:highlight w:val="none"/>
          <w:u w:val="single"/>
        </w:rPr>
        <w:tab/>
      </w:r>
      <w:r>
        <w:rPr>
          <w:rFonts w:hint="eastAsia" w:ascii="宋体" w:hAnsi="宋体"/>
          <w:b/>
          <w:sz w:val="28"/>
          <w:szCs w:val="28"/>
          <w:highlight w:val="none"/>
          <w:u w:val="single"/>
        </w:rPr>
        <w:t xml:space="preserve">           </w:t>
      </w:r>
      <w:r>
        <w:rPr>
          <w:rFonts w:hint="eastAsia" w:ascii="宋体" w:hAnsi="宋体"/>
          <w:b/>
          <w:sz w:val="28"/>
          <w:szCs w:val="28"/>
          <w:highlight w:val="none"/>
        </w:rPr>
        <w:t>(电子签章)</w:t>
      </w:r>
    </w:p>
    <w:p w14:paraId="7EE6263A">
      <w:pPr>
        <w:ind w:firstLine="1687" w:firstLineChars="600"/>
        <w:rPr>
          <w:b/>
          <w:sz w:val="28"/>
          <w:szCs w:val="28"/>
          <w:highlight w:val="none"/>
        </w:rPr>
      </w:pPr>
      <w:r>
        <w:rPr>
          <w:rFonts w:hint="eastAsia" w:ascii="宋体" w:hAnsi="宋体"/>
          <w:b/>
          <w:sz w:val="28"/>
          <w:szCs w:val="28"/>
          <w:highlight w:val="none"/>
        </w:rPr>
        <w:t>法定代表人(单位负责人)或其委托代理人：</w:t>
      </w:r>
      <w:r>
        <w:rPr>
          <w:rFonts w:hint="eastAsia" w:ascii="宋体" w:hAnsi="宋体"/>
          <w:b/>
          <w:sz w:val="28"/>
          <w:szCs w:val="28"/>
          <w:highlight w:val="none"/>
          <w:u w:val="single"/>
        </w:rPr>
        <w:tab/>
      </w:r>
      <w:r>
        <w:rPr>
          <w:rFonts w:hint="eastAsia" w:ascii="宋体" w:hAnsi="宋体"/>
          <w:b/>
          <w:sz w:val="28"/>
          <w:szCs w:val="28"/>
          <w:highlight w:val="none"/>
          <w:u w:val="single"/>
        </w:rPr>
        <w:t xml:space="preserve">     </w:t>
      </w:r>
      <w:r>
        <w:rPr>
          <w:rFonts w:hint="eastAsia" w:ascii="宋体" w:hAnsi="宋体"/>
          <w:b/>
          <w:sz w:val="28"/>
          <w:szCs w:val="28"/>
          <w:highlight w:val="none"/>
        </w:rPr>
        <w:t>(电子签章)</w:t>
      </w:r>
    </w:p>
    <w:p w14:paraId="4B7C7488">
      <w:pPr>
        <w:ind w:firstLine="1968" w:firstLineChars="700"/>
        <w:rPr>
          <w:sz w:val="28"/>
          <w:szCs w:val="28"/>
          <w:highlight w:val="none"/>
        </w:rPr>
        <w:sectPr>
          <w:footerReference r:id="rId8" w:type="default"/>
          <w:pgSz w:w="11906" w:h="16838"/>
          <w:pgMar w:top="1191" w:right="1191" w:bottom="1191" w:left="1191" w:header="720" w:footer="720" w:gutter="0"/>
          <w:pgNumType w:fmt="decimal"/>
          <w:cols w:space="720" w:num="1"/>
          <w:docGrid w:type="lines" w:linePitch="317" w:charSpace="0"/>
        </w:sectPr>
      </w:pPr>
      <w:r>
        <w:rPr>
          <w:b/>
          <w:sz w:val="28"/>
          <w:szCs w:val="28"/>
          <w:highlight w:val="none"/>
        </w:rPr>
        <w:t>日期：</w:t>
      </w:r>
      <w:r>
        <w:rPr>
          <w:rFonts w:hint="eastAsia"/>
          <w:bCs/>
          <w:sz w:val="28"/>
          <w:szCs w:val="28"/>
          <w:highlight w:val="none"/>
          <w:u w:val="single"/>
        </w:rPr>
        <w:t xml:space="preserve">      </w:t>
      </w:r>
      <w:r>
        <w:rPr>
          <w:b/>
          <w:sz w:val="28"/>
          <w:szCs w:val="28"/>
          <w:highlight w:val="none"/>
        </w:rPr>
        <w:t>年</w:t>
      </w:r>
      <w:r>
        <w:rPr>
          <w:rFonts w:hint="eastAsia"/>
          <w:bCs/>
          <w:sz w:val="28"/>
          <w:szCs w:val="28"/>
          <w:highlight w:val="none"/>
          <w:u w:val="single"/>
        </w:rPr>
        <w:t xml:space="preserve">     </w:t>
      </w:r>
      <w:r>
        <w:rPr>
          <w:b/>
          <w:sz w:val="28"/>
          <w:szCs w:val="28"/>
          <w:highlight w:val="none"/>
        </w:rPr>
        <w:t>月</w:t>
      </w:r>
      <w:r>
        <w:rPr>
          <w:rFonts w:hint="eastAsia"/>
          <w:bCs/>
          <w:sz w:val="28"/>
          <w:szCs w:val="28"/>
          <w:highlight w:val="none"/>
          <w:u w:val="single"/>
        </w:rPr>
        <w:t xml:space="preserve">     </w:t>
      </w:r>
      <w:r>
        <w:rPr>
          <w:b/>
          <w:sz w:val="28"/>
          <w:szCs w:val="28"/>
          <w:highlight w:val="none"/>
        </w:rPr>
        <w:t>日</w:t>
      </w:r>
    </w:p>
    <w:p w14:paraId="7C076A1A">
      <w:pPr>
        <w:pStyle w:val="4"/>
        <w:widowControl/>
        <w:autoSpaceDE w:val="0"/>
        <w:spacing w:before="0" w:after="0" w:line="240" w:lineRule="auto"/>
        <w:rPr>
          <w:rFonts w:hint="eastAsia" w:ascii="宋体" w:hAnsi="宋体"/>
          <w:szCs w:val="28"/>
          <w:highlight w:val="none"/>
        </w:rPr>
      </w:pPr>
      <w:bookmarkStart w:id="260" w:name="_Toc17435"/>
      <w:bookmarkEnd w:id="260"/>
      <w:bookmarkStart w:id="261" w:name="_Toc2521"/>
      <w:bookmarkStart w:id="262" w:name="_Toc22942"/>
      <w:r>
        <w:rPr>
          <w:rFonts w:hint="eastAsia" w:ascii="宋体" w:hAnsi="宋体"/>
          <w:szCs w:val="28"/>
          <w:highlight w:val="none"/>
        </w:rPr>
        <w:t>二、投标函</w:t>
      </w:r>
      <w:bookmarkEnd w:id="261"/>
      <w:bookmarkEnd w:id="262"/>
    </w:p>
    <w:p w14:paraId="161D4F0B">
      <w:pPr>
        <w:spacing w:line="360" w:lineRule="auto"/>
        <w:rPr>
          <w:rFonts w:hint="eastAsia" w:ascii="宋体" w:hAnsi="宋体"/>
          <w:sz w:val="24"/>
          <w:szCs w:val="24"/>
          <w:highlight w:val="none"/>
          <w:u w:val="single"/>
        </w:rPr>
      </w:pPr>
    </w:p>
    <w:p w14:paraId="28639ADF">
      <w:pPr>
        <w:spacing w:line="360" w:lineRule="auto"/>
        <w:rPr>
          <w:rFonts w:hint="eastAsia" w:ascii="宋体" w:hAnsi="宋体"/>
          <w:sz w:val="24"/>
          <w:szCs w:val="24"/>
          <w:highlight w:val="none"/>
        </w:rPr>
      </w:pPr>
      <w:r>
        <w:rPr>
          <w:rFonts w:hint="eastAsia" w:ascii="宋体" w:hAnsi="宋体"/>
          <w:sz w:val="24"/>
          <w:szCs w:val="24"/>
          <w:highlight w:val="none"/>
          <w:u w:val="single"/>
        </w:rPr>
        <w:t xml:space="preserve">             </w:t>
      </w:r>
      <w:r>
        <w:rPr>
          <w:rFonts w:hint="eastAsia" w:ascii="宋体" w:hAnsi="宋体"/>
          <w:sz w:val="24"/>
          <w:szCs w:val="24"/>
          <w:highlight w:val="none"/>
        </w:rPr>
        <w:t>(采购人名称)：</w:t>
      </w:r>
    </w:p>
    <w:p w14:paraId="27C1F1C4">
      <w:pPr>
        <w:autoSpaceDE w:val="0"/>
        <w:autoSpaceDN w:val="0"/>
        <w:adjustRightInd w:val="0"/>
        <w:snapToGrid w:val="0"/>
        <w:spacing w:line="360" w:lineRule="auto"/>
        <w:ind w:firstLine="480" w:firstLineChars="200"/>
        <w:rPr>
          <w:rFonts w:hint="eastAsia" w:ascii="宋体" w:hAnsi="宋体"/>
          <w:sz w:val="24"/>
          <w:szCs w:val="24"/>
          <w:highlight w:val="none"/>
        </w:rPr>
      </w:pPr>
      <w:r>
        <w:rPr>
          <w:rFonts w:hint="eastAsia" w:ascii="宋体" w:hAnsi="宋体"/>
          <w:sz w:val="24"/>
          <w:szCs w:val="24"/>
          <w:highlight w:val="none"/>
        </w:rPr>
        <w:t>我方已仔细研究了</w:t>
      </w:r>
      <w:r>
        <w:rPr>
          <w:rFonts w:hint="eastAsia" w:ascii="宋体" w:hAnsi="宋体"/>
          <w:sz w:val="24"/>
          <w:szCs w:val="24"/>
          <w:highlight w:val="none"/>
          <w:u w:val="single"/>
        </w:rPr>
        <w:t xml:space="preserve">              </w:t>
      </w:r>
      <w:r>
        <w:rPr>
          <w:rFonts w:hint="eastAsia" w:ascii="宋体" w:hAnsi="宋体"/>
          <w:sz w:val="24"/>
          <w:szCs w:val="24"/>
          <w:highlight w:val="none"/>
        </w:rPr>
        <w:t>(项目名称)招标文件的全部内容，</w:t>
      </w:r>
      <w:r>
        <w:rPr>
          <w:rFonts w:hint="eastAsia" w:ascii="宋体" w:hAnsi="宋体" w:cs="仿宋_GB2312"/>
          <w:sz w:val="24"/>
          <w:highlight w:val="none"/>
        </w:rPr>
        <w:t>且对招标文件无任何异议，并愿意以“开标一览表”所填写的投标总价，</w:t>
      </w:r>
      <w:r>
        <w:rPr>
          <w:rFonts w:hint="eastAsia" w:ascii="宋体" w:hAnsi="宋体" w:cs="TimesNewRomanPSMT"/>
          <w:sz w:val="24"/>
          <w:highlight w:val="none"/>
        </w:rPr>
        <w:t>向你方</w:t>
      </w:r>
      <w:r>
        <w:rPr>
          <w:rFonts w:hint="eastAsia" w:ascii="宋体" w:hAnsi="宋体"/>
          <w:sz w:val="24"/>
          <w:highlight w:val="none"/>
        </w:rPr>
        <w:t>提供招标文件要求的</w:t>
      </w:r>
      <w:r>
        <w:rPr>
          <w:rFonts w:hint="eastAsia" w:ascii="宋体" w:hAnsi="宋体" w:cs="仿宋_GB2312"/>
          <w:sz w:val="24"/>
          <w:highlight w:val="none"/>
        </w:rPr>
        <w:t>货物。</w:t>
      </w:r>
      <w:r>
        <w:rPr>
          <w:rFonts w:hint="eastAsia" w:ascii="宋体" w:hAnsi="宋体"/>
          <w:sz w:val="24"/>
          <w:szCs w:val="24"/>
          <w:highlight w:val="none"/>
        </w:rPr>
        <w:t xml:space="preserve">    </w:t>
      </w:r>
    </w:p>
    <w:p w14:paraId="566BB565">
      <w:pPr>
        <w:numPr>
          <w:ilvl w:val="0"/>
          <w:numId w:val="7"/>
        </w:numPr>
        <w:autoSpaceDE w:val="0"/>
        <w:autoSpaceDN w:val="0"/>
        <w:adjustRightInd w:val="0"/>
        <w:snapToGrid w:val="0"/>
        <w:spacing w:line="360" w:lineRule="auto"/>
        <w:ind w:firstLine="480" w:firstLineChars="200"/>
        <w:rPr>
          <w:rFonts w:hint="eastAsia" w:ascii="宋体" w:hAnsi="宋体" w:cs="TimesNewRomanPSMT"/>
          <w:color w:val="auto"/>
          <w:sz w:val="24"/>
          <w:highlight w:val="none"/>
        </w:rPr>
      </w:pPr>
      <w:r>
        <w:rPr>
          <w:rFonts w:hint="eastAsia" w:ascii="宋体" w:hAnsi="宋体" w:cs="TimesNewRomanPSMT"/>
          <w:sz w:val="24"/>
          <w:highlight w:val="none"/>
        </w:rPr>
        <w:t>我方承诺在投标有效期内不修改或撤销投标文件。否则，你方可不予退还我方的投标保证金。</w:t>
      </w:r>
    </w:p>
    <w:p w14:paraId="3C2D5A92">
      <w:pPr>
        <w:autoSpaceDE w:val="0"/>
        <w:autoSpaceDN w:val="0"/>
        <w:adjustRightInd w:val="0"/>
        <w:snapToGrid w:val="0"/>
        <w:spacing w:line="360" w:lineRule="auto"/>
        <w:ind w:firstLine="480" w:firstLineChars="200"/>
        <w:rPr>
          <w:rFonts w:ascii="宋体" w:hAnsi="宋体" w:cs="TimesNewRomanPSMT"/>
          <w:color w:val="auto"/>
          <w:sz w:val="24"/>
          <w:highlight w:val="none"/>
        </w:rPr>
      </w:pPr>
      <w:r>
        <w:rPr>
          <w:rFonts w:hint="eastAsia" w:ascii="宋体" w:hAnsi="宋体" w:cs="TimesNewRomanPSMT"/>
          <w:color w:val="auto"/>
          <w:sz w:val="24"/>
          <w:highlight w:val="none"/>
        </w:rPr>
        <w:t>2.本投标的投标有效期为自投标截止之日起</w:t>
      </w:r>
      <w:r>
        <w:rPr>
          <w:rFonts w:hint="eastAsia" w:ascii="宋体" w:hAnsi="宋体" w:cs="TimesNewRomanPSMT"/>
          <w:color w:val="auto"/>
          <w:sz w:val="24"/>
          <w:highlight w:val="none"/>
          <w:u w:val="single"/>
        </w:rPr>
        <w:t xml:space="preserve"> </w:t>
      </w:r>
      <w:r>
        <w:rPr>
          <w:rFonts w:hint="eastAsia" w:ascii="宋体" w:hAnsi="宋体" w:cs="TimesNewRomanPSMT"/>
          <w:color w:val="auto"/>
          <w:sz w:val="24"/>
          <w:highlight w:val="none"/>
          <w:u w:val="single"/>
          <w:lang w:val="en-US" w:eastAsia="zh-CN"/>
        </w:rPr>
        <w:t>90</w:t>
      </w:r>
      <w:r>
        <w:rPr>
          <w:rFonts w:hint="eastAsia" w:ascii="宋体" w:hAnsi="宋体" w:cs="TimesNewRomanPSMT"/>
          <w:color w:val="auto"/>
          <w:sz w:val="24"/>
          <w:highlight w:val="none"/>
          <w:u w:val="single"/>
        </w:rPr>
        <w:t xml:space="preserve"> </w:t>
      </w:r>
      <w:r>
        <w:rPr>
          <w:rFonts w:hint="eastAsia" w:ascii="宋体" w:hAnsi="宋体" w:cs="TimesNewRomanPSMT"/>
          <w:color w:val="auto"/>
          <w:sz w:val="24"/>
          <w:highlight w:val="none"/>
        </w:rPr>
        <w:t>个日历天。</w:t>
      </w:r>
    </w:p>
    <w:p w14:paraId="334474F5">
      <w:pPr>
        <w:pStyle w:val="11"/>
        <w:ind w:firstLine="480" w:firstLineChars="200"/>
        <w:rPr>
          <w:rFonts w:hint="eastAsia" w:ascii="宋体" w:hAnsi="宋体" w:cs="TimesNewRomanPSMT"/>
          <w:color w:val="auto"/>
          <w:kern w:val="0"/>
          <w:sz w:val="24"/>
          <w:highlight w:val="none"/>
        </w:rPr>
      </w:pPr>
      <w:r>
        <w:rPr>
          <w:rFonts w:hint="eastAsia" w:ascii="宋体" w:hAnsi="宋体" w:cs="TimesNewRomanPSMT"/>
          <w:color w:val="auto"/>
          <w:kern w:val="0"/>
          <w:sz w:val="24"/>
          <w:highlight w:val="none"/>
        </w:rPr>
        <w:t>3.我方承诺所提交的投标文件及有关资料是完整的、真实的、准确的和有效的，否则，我方承担由此造成的任何损失及引起的任何后果。</w:t>
      </w:r>
    </w:p>
    <w:p w14:paraId="1E7D3F80">
      <w:pPr>
        <w:autoSpaceDE w:val="0"/>
        <w:autoSpaceDN w:val="0"/>
        <w:adjustRightInd w:val="0"/>
        <w:snapToGrid w:val="0"/>
        <w:spacing w:line="360" w:lineRule="auto"/>
        <w:ind w:firstLine="480" w:firstLineChars="200"/>
        <w:rPr>
          <w:rFonts w:ascii="宋体" w:hAnsi="宋体" w:cs="TimesNewRomanPSMT"/>
          <w:sz w:val="24"/>
          <w:highlight w:val="none"/>
        </w:rPr>
      </w:pPr>
      <w:r>
        <w:rPr>
          <w:rFonts w:hint="eastAsia" w:ascii="宋体" w:hAnsi="宋体" w:cs="TimesNewRomanPSMT"/>
          <w:sz w:val="24"/>
          <w:highlight w:val="none"/>
        </w:rPr>
        <w:t>4．如我方中标：</w:t>
      </w:r>
    </w:p>
    <w:p w14:paraId="3A47C1E3">
      <w:pPr>
        <w:autoSpaceDE w:val="0"/>
        <w:autoSpaceDN w:val="0"/>
        <w:adjustRightInd w:val="0"/>
        <w:snapToGrid w:val="0"/>
        <w:spacing w:line="360" w:lineRule="auto"/>
        <w:ind w:firstLine="480" w:firstLineChars="200"/>
        <w:rPr>
          <w:rFonts w:ascii="宋体" w:hAnsi="宋体" w:cs="仿宋_GB2312"/>
          <w:sz w:val="24"/>
          <w:highlight w:val="none"/>
        </w:rPr>
      </w:pPr>
      <w:r>
        <w:rPr>
          <w:rFonts w:hint="eastAsia" w:ascii="宋体" w:hAnsi="宋体" w:cs="仿宋_GB2312"/>
          <w:sz w:val="24"/>
          <w:highlight w:val="none"/>
        </w:rPr>
        <w:t>（</w:t>
      </w:r>
      <w:r>
        <w:rPr>
          <w:rFonts w:ascii="宋体" w:hAnsi="宋体" w:cs="TimesNewRomanPSMT"/>
          <w:sz w:val="24"/>
          <w:highlight w:val="none"/>
        </w:rPr>
        <w:t>1</w:t>
      </w:r>
      <w:r>
        <w:rPr>
          <w:rFonts w:hint="eastAsia" w:ascii="宋体" w:hAnsi="宋体" w:cs="TimesNewRomanPSMT"/>
          <w:sz w:val="24"/>
          <w:highlight w:val="none"/>
          <w:lang w:eastAsia="zh-CN"/>
        </w:rPr>
        <w:t>）</w:t>
      </w:r>
      <w:r>
        <w:rPr>
          <w:rFonts w:hint="eastAsia" w:ascii="宋体" w:hAnsi="宋体" w:cs="仿宋_GB2312"/>
          <w:sz w:val="24"/>
          <w:highlight w:val="none"/>
        </w:rPr>
        <w:t>我方承诺在收到中标通知书后，在中标通知书规定的期限内与你方签订合同。</w:t>
      </w:r>
    </w:p>
    <w:p w14:paraId="7A2BC99C">
      <w:pPr>
        <w:autoSpaceDE w:val="0"/>
        <w:autoSpaceDN w:val="0"/>
        <w:adjustRightInd w:val="0"/>
        <w:snapToGrid w:val="0"/>
        <w:spacing w:line="360" w:lineRule="auto"/>
        <w:ind w:firstLine="480" w:firstLineChars="200"/>
        <w:rPr>
          <w:rFonts w:ascii="宋体" w:hAnsi="宋体" w:cs="仿宋_GB2312"/>
          <w:sz w:val="24"/>
          <w:highlight w:val="none"/>
        </w:rPr>
      </w:pPr>
      <w:r>
        <w:rPr>
          <w:rFonts w:hint="eastAsia" w:ascii="宋体" w:hAnsi="宋体" w:cs="仿宋_GB2312"/>
          <w:sz w:val="24"/>
          <w:highlight w:val="none"/>
        </w:rPr>
        <w:t>（</w:t>
      </w:r>
      <w:r>
        <w:rPr>
          <w:rFonts w:hint="eastAsia" w:ascii="宋体" w:hAnsi="宋体" w:cs="仿宋_GB2312"/>
          <w:sz w:val="24"/>
          <w:highlight w:val="none"/>
          <w:lang w:val="en-US" w:eastAsia="zh-CN"/>
        </w:rPr>
        <w:t>2</w:t>
      </w:r>
      <w:r>
        <w:rPr>
          <w:rFonts w:hint="eastAsia" w:ascii="宋体" w:hAnsi="宋体" w:cs="仿宋_GB2312"/>
          <w:sz w:val="24"/>
          <w:highlight w:val="none"/>
          <w:lang w:eastAsia="zh-CN"/>
        </w:rPr>
        <w:t>）</w:t>
      </w:r>
      <w:r>
        <w:rPr>
          <w:rFonts w:hint="eastAsia" w:ascii="宋体" w:hAnsi="宋体" w:cs="仿宋_GB2312"/>
          <w:sz w:val="24"/>
          <w:highlight w:val="none"/>
        </w:rPr>
        <w:t>我方承诺按照招标文件规定向你方递交履约保证金。</w:t>
      </w:r>
    </w:p>
    <w:p w14:paraId="0C47FE31">
      <w:pPr>
        <w:autoSpaceDE w:val="0"/>
        <w:autoSpaceDN w:val="0"/>
        <w:adjustRightInd w:val="0"/>
        <w:snapToGrid w:val="0"/>
        <w:spacing w:line="360" w:lineRule="auto"/>
        <w:ind w:firstLine="480" w:firstLineChars="200"/>
        <w:rPr>
          <w:rFonts w:hint="eastAsia" w:ascii="宋体" w:hAnsi="宋体" w:cs="仿宋_GB2312"/>
          <w:sz w:val="24"/>
          <w:highlight w:val="none"/>
        </w:rPr>
      </w:pPr>
      <w:r>
        <w:rPr>
          <w:rFonts w:hint="eastAsia" w:ascii="宋体" w:hAnsi="宋体" w:cs="仿宋_GB2312"/>
          <w:sz w:val="24"/>
          <w:highlight w:val="none"/>
        </w:rPr>
        <w:t>（3</w:t>
      </w:r>
      <w:r>
        <w:rPr>
          <w:rFonts w:hint="eastAsia" w:ascii="宋体" w:hAnsi="宋体" w:cs="仿宋_GB2312"/>
          <w:sz w:val="24"/>
          <w:highlight w:val="none"/>
          <w:lang w:eastAsia="zh-CN"/>
        </w:rPr>
        <w:t>）</w:t>
      </w:r>
      <w:r>
        <w:rPr>
          <w:rFonts w:hint="eastAsia" w:ascii="宋体" w:hAnsi="宋体" w:cs="仿宋_GB2312"/>
          <w:sz w:val="24"/>
          <w:highlight w:val="none"/>
        </w:rPr>
        <w:t>我方承诺按合同约定的期限和地点，提供符合招标文件要求的全部的招标货物/服务。</w:t>
      </w:r>
    </w:p>
    <w:p w14:paraId="01941C14">
      <w:pPr>
        <w:autoSpaceDE w:val="0"/>
        <w:autoSpaceDN w:val="0"/>
        <w:adjustRightInd w:val="0"/>
        <w:snapToGrid w:val="0"/>
        <w:spacing w:line="360" w:lineRule="auto"/>
        <w:ind w:firstLine="480" w:firstLineChars="200"/>
        <w:rPr>
          <w:rFonts w:hint="default" w:eastAsia="宋体"/>
          <w:lang w:val="en-US" w:eastAsia="zh-CN"/>
        </w:rPr>
      </w:pPr>
      <w:r>
        <w:rPr>
          <w:rFonts w:hint="eastAsia" w:ascii="宋体" w:hAnsi="宋体" w:cs="仿宋_GB2312"/>
          <w:sz w:val="24"/>
          <w:highlight w:val="none"/>
          <w:lang w:eastAsia="zh-CN"/>
        </w:rPr>
        <w:t>（</w:t>
      </w:r>
      <w:r>
        <w:rPr>
          <w:rFonts w:hint="eastAsia" w:ascii="宋体" w:hAnsi="宋体" w:cs="仿宋_GB2312"/>
          <w:sz w:val="24"/>
          <w:highlight w:val="none"/>
          <w:lang w:val="en-US" w:eastAsia="zh-CN"/>
        </w:rPr>
        <w:t>4）除商务条款偏离表和技术规格偏离表列出的偏差外，我方满足招标文件的全部要求。</w:t>
      </w:r>
    </w:p>
    <w:p w14:paraId="1970CB54">
      <w:pPr>
        <w:autoSpaceDE w:val="0"/>
        <w:autoSpaceDN w:val="0"/>
        <w:adjustRightInd w:val="0"/>
        <w:snapToGrid w:val="0"/>
        <w:spacing w:line="360" w:lineRule="auto"/>
        <w:ind w:firstLine="480" w:firstLineChars="200"/>
        <w:rPr>
          <w:rFonts w:ascii="宋体" w:hAnsi="宋体" w:cs="TimesNewRomanPSMT"/>
          <w:sz w:val="24"/>
          <w:highlight w:val="none"/>
        </w:rPr>
      </w:pPr>
      <w:r>
        <w:rPr>
          <w:rFonts w:hint="eastAsia" w:ascii="宋体" w:hAnsi="宋体" w:cs="TimesNewRomanPSMT"/>
          <w:sz w:val="24"/>
          <w:highlight w:val="none"/>
        </w:rPr>
        <w:t>5．</w:t>
      </w:r>
      <w:r>
        <w:rPr>
          <w:rFonts w:hint="eastAsia" w:ascii="宋体" w:hAnsi="宋体" w:cs="TimesNewRomanPSMT"/>
          <w:sz w:val="24"/>
          <w:highlight w:val="none"/>
          <w:u w:val="single"/>
        </w:rPr>
        <w:t xml:space="preserve">               </w:t>
      </w:r>
      <w:r>
        <w:rPr>
          <w:rFonts w:ascii="宋体" w:hAnsi="宋体" w:cs="TimesNewRomanPSMT"/>
          <w:sz w:val="24"/>
          <w:highlight w:val="none"/>
          <w:u w:val="single"/>
        </w:rPr>
        <w:t xml:space="preserve"> </w:t>
      </w:r>
      <w:r>
        <w:rPr>
          <w:rFonts w:hint="eastAsia" w:ascii="宋体" w:hAnsi="宋体" w:cs="TimesNewRomanPSMT"/>
          <w:sz w:val="24"/>
          <w:highlight w:val="none"/>
        </w:rPr>
        <w:t>（其他补充说明）。</w:t>
      </w:r>
    </w:p>
    <w:p w14:paraId="4EECE2BE">
      <w:pPr>
        <w:pStyle w:val="11"/>
        <w:ind w:firstLine="480" w:firstLineChars="200"/>
        <w:rPr>
          <w:rFonts w:hint="eastAsia" w:ascii="宋体" w:hAnsi="宋体" w:cs="TimesNewRomanPSMT"/>
          <w:kern w:val="0"/>
          <w:sz w:val="24"/>
          <w:highlight w:val="none"/>
        </w:rPr>
      </w:pPr>
    </w:p>
    <w:p w14:paraId="1B22B9B9">
      <w:pPr>
        <w:spacing w:line="360" w:lineRule="auto"/>
        <w:ind w:firstLine="2891" w:firstLineChars="1200"/>
        <w:rPr>
          <w:rFonts w:hint="eastAsia" w:ascii="宋体" w:hAnsi="宋体"/>
          <w:b/>
          <w:bCs/>
          <w:sz w:val="24"/>
          <w:szCs w:val="24"/>
          <w:highlight w:val="none"/>
        </w:rPr>
      </w:pPr>
      <w:r>
        <w:rPr>
          <w:rFonts w:hint="eastAsia" w:ascii="宋体" w:hAnsi="宋体"/>
          <w:b/>
          <w:bCs/>
          <w:sz w:val="24"/>
          <w:szCs w:val="24"/>
          <w:highlight w:val="none"/>
        </w:rPr>
        <w:t>投 标 人：</w:t>
      </w:r>
      <w:r>
        <w:rPr>
          <w:rFonts w:hint="eastAsia" w:ascii="宋体" w:hAnsi="宋体"/>
          <w:b/>
          <w:bCs/>
          <w:sz w:val="24"/>
          <w:szCs w:val="24"/>
          <w:highlight w:val="none"/>
          <w:u w:val="single"/>
        </w:rPr>
        <w:tab/>
      </w:r>
      <w:r>
        <w:rPr>
          <w:rFonts w:hint="eastAsia" w:ascii="宋体" w:hAnsi="宋体"/>
          <w:b/>
          <w:bCs/>
          <w:sz w:val="24"/>
          <w:szCs w:val="24"/>
          <w:highlight w:val="none"/>
          <w:u w:val="single"/>
        </w:rPr>
        <w:t xml:space="preserve">                         </w:t>
      </w:r>
      <w:r>
        <w:rPr>
          <w:rFonts w:hint="eastAsia" w:ascii="宋体" w:hAnsi="宋体"/>
          <w:b/>
          <w:bCs/>
          <w:sz w:val="24"/>
          <w:szCs w:val="24"/>
          <w:highlight w:val="none"/>
        </w:rPr>
        <w:t>(电子签章)</w:t>
      </w:r>
    </w:p>
    <w:p w14:paraId="3850199F">
      <w:pPr>
        <w:spacing w:line="360" w:lineRule="auto"/>
        <w:ind w:left="2880"/>
        <w:rPr>
          <w:rFonts w:hint="eastAsia" w:ascii="宋体" w:hAnsi="宋体"/>
          <w:b/>
          <w:bCs/>
          <w:sz w:val="24"/>
          <w:szCs w:val="24"/>
          <w:highlight w:val="none"/>
        </w:rPr>
      </w:pPr>
      <w:r>
        <w:rPr>
          <w:rFonts w:hint="eastAsia" w:ascii="宋体" w:hAnsi="宋体"/>
          <w:b/>
          <w:bCs/>
          <w:sz w:val="24"/>
          <w:szCs w:val="24"/>
          <w:highlight w:val="none"/>
        </w:rPr>
        <w:t>法定代表人(单位负责人)或其委托代理人：</w:t>
      </w:r>
      <w:r>
        <w:rPr>
          <w:rFonts w:hint="eastAsia" w:ascii="宋体" w:hAnsi="宋体"/>
          <w:b/>
          <w:bCs/>
          <w:sz w:val="24"/>
          <w:szCs w:val="24"/>
          <w:highlight w:val="none"/>
          <w:u w:val="single"/>
        </w:rPr>
        <w:tab/>
      </w:r>
      <w:r>
        <w:rPr>
          <w:rFonts w:hint="eastAsia" w:ascii="宋体" w:hAnsi="宋体"/>
          <w:b/>
          <w:bCs/>
          <w:sz w:val="24"/>
          <w:szCs w:val="24"/>
          <w:highlight w:val="none"/>
          <w:u w:val="single"/>
        </w:rPr>
        <w:t xml:space="preserve">      </w:t>
      </w:r>
      <w:r>
        <w:rPr>
          <w:rFonts w:hint="eastAsia" w:ascii="宋体" w:hAnsi="宋体"/>
          <w:b/>
          <w:bCs/>
          <w:sz w:val="24"/>
          <w:szCs w:val="24"/>
          <w:highlight w:val="none"/>
        </w:rPr>
        <w:t>(电子签章)</w:t>
      </w:r>
    </w:p>
    <w:p w14:paraId="27115330">
      <w:pPr>
        <w:spacing w:line="360" w:lineRule="auto"/>
        <w:ind w:left="2880"/>
        <w:rPr>
          <w:rFonts w:hint="eastAsia" w:ascii="宋体" w:hAnsi="宋体"/>
          <w:b/>
          <w:bCs/>
          <w:sz w:val="24"/>
          <w:szCs w:val="24"/>
          <w:highlight w:val="none"/>
          <w:u w:val="single"/>
        </w:rPr>
      </w:pPr>
      <w:r>
        <w:rPr>
          <w:rFonts w:hint="eastAsia" w:ascii="宋体" w:hAnsi="宋体"/>
          <w:b/>
          <w:bCs/>
          <w:sz w:val="24"/>
          <w:szCs w:val="24"/>
          <w:highlight w:val="none"/>
        </w:rPr>
        <w:t>地</w:t>
      </w:r>
      <w:r>
        <w:rPr>
          <w:rFonts w:hint="eastAsia" w:ascii="宋体" w:hAnsi="宋体"/>
          <w:b/>
          <w:bCs/>
          <w:sz w:val="24"/>
          <w:szCs w:val="24"/>
          <w:highlight w:val="none"/>
        </w:rPr>
        <w:tab/>
      </w:r>
      <w:r>
        <w:rPr>
          <w:rFonts w:hint="eastAsia" w:ascii="宋体" w:hAnsi="宋体"/>
          <w:b/>
          <w:bCs/>
          <w:sz w:val="24"/>
          <w:szCs w:val="24"/>
          <w:highlight w:val="none"/>
        </w:rPr>
        <w:t>址：</w:t>
      </w:r>
      <w:r>
        <w:rPr>
          <w:rFonts w:hint="eastAsia" w:ascii="宋体" w:hAnsi="宋体"/>
          <w:b/>
          <w:bCs/>
          <w:sz w:val="24"/>
          <w:szCs w:val="24"/>
          <w:highlight w:val="none"/>
          <w:u w:val="single"/>
        </w:rPr>
        <w:t xml:space="preserve">                                           </w:t>
      </w:r>
    </w:p>
    <w:p w14:paraId="057CC83D">
      <w:pPr>
        <w:spacing w:line="360" w:lineRule="auto"/>
        <w:ind w:left="2880"/>
        <w:rPr>
          <w:rFonts w:hint="eastAsia" w:ascii="宋体" w:hAnsi="宋体"/>
          <w:b/>
          <w:bCs/>
          <w:sz w:val="24"/>
          <w:szCs w:val="24"/>
          <w:highlight w:val="none"/>
        </w:rPr>
      </w:pPr>
      <w:r>
        <w:rPr>
          <w:rFonts w:hint="eastAsia" w:ascii="宋体" w:hAnsi="宋体"/>
          <w:b/>
          <w:bCs/>
          <w:sz w:val="24"/>
          <w:szCs w:val="24"/>
          <w:highlight w:val="none"/>
        </w:rPr>
        <w:t>网</w:t>
      </w:r>
      <w:r>
        <w:rPr>
          <w:rFonts w:hint="eastAsia" w:ascii="宋体" w:hAnsi="宋体"/>
          <w:b/>
          <w:bCs/>
          <w:sz w:val="24"/>
          <w:szCs w:val="24"/>
          <w:highlight w:val="none"/>
        </w:rPr>
        <w:tab/>
      </w:r>
      <w:r>
        <w:rPr>
          <w:rFonts w:hint="eastAsia" w:ascii="宋体" w:hAnsi="宋体"/>
          <w:b/>
          <w:bCs/>
          <w:sz w:val="24"/>
          <w:szCs w:val="24"/>
          <w:highlight w:val="none"/>
        </w:rPr>
        <w:t>址：</w:t>
      </w:r>
      <w:r>
        <w:rPr>
          <w:rFonts w:hint="eastAsia" w:ascii="宋体" w:hAnsi="宋体"/>
          <w:b/>
          <w:bCs/>
          <w:sz w:val="24"/>
          <w:szCs w:val="24"/>
          <w:highlight w:val="none"/>
          <w:u w:val="single"/>
        </w:rPr>
        <w:t xml:space="preserve">                                           </w:t>
      </w:r>
    </w:p>
    <w:p w14:paraId="73E584E4">
      <w:pPr>
        <w:spacing w:line="360" w:lineRule="auto"/>
        <w:ind w:left="2880"/>
        <w:rPr>
          <w:rFonts w:hint="eastAsia" w:ascii="宋体" w:hAnsi="宋体"/>
          <w:b/>
          <w:bCs/>
          <w:sz w:val="24"/>
          <w:szCs w:val="24"/>
          <w:highlight w:val="none"/>
        </w:rPr>
      </w:pPr>
      <w:r>
        <w:rPr>
          <w:rFonts w:hint="eastAsia" w:ascii="宋体" w:hAnsi="宋体"/>
          <w:b/>
          <w:bCs/>
          <w:sz w:val="24"/>
          <w:szCs w:val="24"/>
          <w:highlight w:val="none"/>
        </w:rPr>
        <w:t>电</w:t>
      </w:r>
      <w:r>
        <w:rPr>
          <w:rFonts w:hint="eastAsia" w:ascii="宋体" w:hAnsi="宋体"/>
          <w:b/>
          <w:bCs/>
          <w:sz w:val="24"/>
          <w:szCs w:val="24"/>
          <w:highlight w:val="none"/>
        </w:rPr>
        <w:tab/>
      </w:r>
      <w:r>
        <w:rPr>
          <w:rFonts w:hint="eastAsia" w:ascii="宋体" w:hAnsi="宋体"/>
          <w:b/>
          <w:bCs/>
          <w:sz w:val="24"/>
          <w:szCs w:val="24"/>
          <w:highlight w:val="none"/>
        </w:rPr>
        <w:t>话：</w:t>
      </w:r>
      <w:r>
        <w:rPr>
          <w:rFonts w:hint="eastAsia" w:ascii="宋体" w:hAnsi="宋体"/>
          <w:b/>
          <w:bCs/>
          <w:sz w:val="24"/>
          <w:szCs w:val="24"/>
          <w:highlight w:val="none"/>
          <w:u w:val="single"/>
        </w:rPr>
        <w:t xml:space="preserve">                       </w:t>
      </w:r>
      <w:r>
        <w:rPr>
          <w:rFonts w:hint="eastAsia" w:ascii="宋体" w:hAnsi="宋体"/>
          <w:b/>
          <w:bCs/>
          <w:sz w:val="24"/>
          <w:szCs w:val="24"/>
          <w:highlight w:val="none"/>
          <w:u w:val="single"/>
          <w:lang w:val="en-US" w:eastAsia="zh-CN"/>
        </w:rPr>
        <w:t xml:space="preserve">                                                                                       </w:t>
      </w:r>
      <w:r>
        <w:rPr>
          <w:rFonts w:hint="eastAsia" w:ascii="宋体" w:hAnsi="宋体"/>
          <w:b/>
          <w:bCs/>
          <w:sz w:val="24"/>
          <w:szCs w:val="24"/>
          <w:highlight w:val="none"/>
          <w:u w:val="single"/>
        </w:rPr>
        <w:t xml:space="preserve">                    </w:t>
      </w:r>
    </w:p>
    <w:p w14:paraId="3BBAC26B">
      <w:pPr>
        <w:spacing w:line="360" w:lineRule="auto"/>
        <w:ind w:left="2880"/>
        <w:rPr>
          <w:rFonts w:hint="eastAsia" w:ascii="宋体" w:hAnsi="宋体"/>
          <w:b/>
          <w:bCs/>
          <w:sz w:val="24"/>
          <w:szCs w:val="24"/>
          <w:highlight w:val="none"/>
        </w:rPr>
      </w:pPr>
      <w:r>
        <w:rPr>
          <w:rFonts w:hint="eastAsia" w:ascii="宋体" w:hAnsi="宋体"/>
          <w:b/>
          <w:bCs/>
          <w:sz w:val="24"/>
          <w:szCs w:val="24"/>
          <w:highlight w:val="none"/>
        </w:rPr>
        <w:t>传</w:t>
      </w:r>
      <w:r>
        <w:rPr>
          <w:rFonts w:hint="eastAsia" w:ascii="宋体" w:hAnsi="宋体"/>
          <w:b/>
          <w:bCs/>
          <w:sz w:val="24"/>
          <w:szCs w:val="24"/>
          <w:highlight w:val="none"/>
        </w:rPr>
        <w:tab/>
      </w:r>
      <w:r>
        <w:rPr>
          <w:rFonts w:hint="eastAsia" w:ascii="宋体" w:hAnsi="宋体"/>
          <w:b/>
          <w:bCs/>
          <w:sz w:val="24"/>
          <w:szCs w:val="24"/>
          <w:highlight w:val="none"/>
        </w:rPr>
        <w:t>真：</w:t>
      </w:r>
      <w:r>
        <w:rPr>
          <w:rFonts w:hint="eastAsia" w:ascii="宋体" w:hAnsi="宋体"/>
          <w:b/>
          <w:bCs/>
          <w:sz w:val="24"/>
          <w:szCs w:val="24"/>
          <w:highlight w:val="none"/>
          <w:u w:val="single"/>
        </w:rPr>
        <w:t xml:space="preserve">                                           </w:t>
      </w:r>
    </w:p>
    <w:p w14:paraId="6BC0D095">
      <w:pPr>
        <w:spacing w:line="360" w:lineRule="auto"/>
        <w:ind w:left="2880"/>
        <w:rPr>
          <w:rFonts w:hint="eastAsia" w:ascii="宋体" w:hAnsi="宋体"/>
          <w:b/>
          <w:bCs/>
          <w:sz w:val="24"/>
          <w:szCs w:val="24"/>
          <w:highlight w:val="none"/>
        </w:rPr>
      </w:pPr>
      <w:r>
        <w:rPr>
          <w:rFonts w:hint="eastAsia" w:ascii="宋体" w:hAnsi="宋体"/>
          <w:b/>
          <w:bCs/>
          <w:sz w:val="24"/>
          <w:szCs w:val="24"/>
          <w:highlight w:val="none"/>
        </w:rPr>
        <w:t>邮政编码：</w:t>
      </w:r>
      <w:r>
        <w:rPr>
          <w:rFonts w:hint="eastAsia" w:ascii="宋体" w:hAnsi="宋体"/>
          <w:b/>
          <w:bCs/>
          <w:sz w:val="24"/>
          <w:szCs w:val="24"/>
          <w:highlight w:val="none"/>
          <w:u w:val="single"/>
        </w:rPr>
        <w:t xml:space="preserve">                                         </w:t>
      </w:r>
    </w:p>
    <w:p w14:paraId="323C8773">
      <w:pPr>
        <w:spacing w:line="360" w:lineRule="auto"/>
        <w:ind w:left="2880"/>
        <w:rPr>
          <w:rFonts w:hint="eastAsia" w:ascii="宋体" w:hAnsi="宋体"/>
          <w:b/>
          <w:bCs/>
          <w:sz w:val="24"/>
          <w:szCs w:val="24"/>
          <w:highlight w:val="none"/>
        </w:rPr>
      </w:pPr>
      <w:r>
        <w:rPr>
          <w:rFonts w:hint="eastAsia" w:ascii="宋体" w:hAnsi="宋体"/>
          <w:b/>
          <w:bCs/>
          <w:sz w:val="24"/>
          <w:szCs w:val="24"/>
          <w:highlight w:val="none"/>
        </w:rPr>
        <w:t>日  期：</w:t>
      </w:r>
      <w:r>
        <w:rPr>
          <w:rFonts w:hint="eastAsia" w:ascii="宋体" w:hAnsi="宋体"/>
          <w:b/>
          <w:bCs/>
          <w:sz w:val="24"/>
          <w:szCs w:val="24"/>
          <w:highlight w:val="none"/>
          <w:u w:val="single"/>
        </w:rPr>
        <w:t xml:space="preserve">       </w:t>
      </w:r>
      <w:r>
        <w:rPr>
          <w:rFonts w:hint="eastAsia" w:ascii="宋体" w:hAnsi="宋体"/>
          <w:b/>
          <w:bCs/>
          <w:sz w:val="24"/>
          <w:szCs w:val="24"/>
          <w:highlight w:val="none"/>
        </w:rPr>
        <w:t>年</w:t>
      </w:r>
      <w:r>
        <w:rPr>
          <w:rFonts w:hint="eastAsia" w:ascii="宋体" w:hAnsi="宋体"/>
          <w:b/>
          <w:bCs/>
          <w:sz w:val="24"/>
          <w:szCs w:val="24"/>
          <w:highlight w:val="none"/>
          <w:u w:val="single"/>
        </w:rPr>
        <w:t xml:space="preserve">    </w:t>
      </w:r>
      <w:r>
        <w:rPr>
          <w:rFonts w:hint="eastAsia" w:ascii="宋体" w:hAnsi="宋体"/>
          <w:b/>
          <w:bCs/>
          <w:sz w:val="24"/>
          <w:szCs w:val="24"/>
          <w:highlight w:val="none"/>
        </w:rPr>
        <w:t>月</w:t>
      </w:r>
      <w:r>
        <w:rPr>
          <w:rFonts w:hint="eastAsia" w:ascii="宋体" w:hAnsi="宋体"/>
          <w:b/>
          <w:bCs/>
          <w:sz w:val="24"/>
          <w:szCs w:val="24"/>
          <w:highlight w:val="none"/>
          <w:u w:val="single"/>
        </w:rPr>
        <w:t xml:space="preserve">    </w:t>
      </w:r>
      <w:r>
        <w:rPr>
          <w:rFonts w:hint="eastAsia" w:ascii="宋体" w:hAnsi="宋体"/>
          <w:b/>
          <w:bCs/>
          <w:sz w:val="24"/>
          <w:szCs w:val="24"/>
          <w:highlight w:val="none"/>
        </w:rPr>
        <w:t>日</w:t>
      </w:r>
    </w:p>
    <w:p w14:paraId="49B2576B">
      <w:pPr>
        <w:spacing w:line="360" w:lineRule="auto"/>
        <w:rPr>
          <w:rFonts w:hint="eastAsia" w:ascii="宋体" w:hAnsi="宋体"/>
          <w:b/>
          <w:bCs/>
          <w:sz w:val="24"/>
          <w:szCs w:val="24"/>
          <w:highlight w:val="none"/>
        </w:rPr>
      </w:pPr>
      <w:r>
        <w:rPr>
          <w:rFonts w:hint="eastAsia" w:ascii="宋体" w:hAnsi="宋体"/>
          <w:b/>
          <w:bCs/>
          <w:sz w:val="24"/>
          <w:szCs w:val="24"/>
          <w:highlight w:val="none"/>
        </w:rPr>
        <w:t xml:space="preserve"> </w:t>
      </w:r>
    </w:p>
    <w:p w14:paraId="338EA939">
      <w:pPr>
        <w:spacing w:line="240" w:lineRule="exact"/>
        <w:rPr>
          <w:rFonts w:hint="eastAsia" w:ascii="宋体" w:hAnsi="宋体"/>
          <w:b/>
          <w:bCs/>
          <w:sz w:val="44"/>
          <w:szCs w:val="44"/>
          <w:highlight w:val="none"/>
        </w:rPr>
      </w:pPr>
    </w:p>
    <w:p w14:paraId="474BBD09">
      <w:pPr>
        <w:pStyle w:val="4"/>
        <w:widowControl/>
        <w:autoSpaceDE w:val="0"/>
        <w:spacing w:before="0" w:after="0" w:line="360" w:lineRule="auto"/>
        <w:ind w:firstLine="562" w:firstLineChars="200"/>
        <w:rPr>
          <w:rFonts w:hint="eastAsia" w:ascii="宋体" w:hAnsi="宋体"/>
          <w:szCs w:val="28"/>
          <w:highlight w:val="none"/>
        </w:rPr>
      </w:pPr>
      <w:bookmarkStart w:id="263" w:name="_Toc17119"/>
      <w:bookmarkEnd w:id="263"/>
      <w:bookmarkStart w:id="264" w:name="_Toc13197"/>
      <w:r>
        <w:rPr>
          <w:rFonts w:ascii="宋体" w:hAnsi="宋体"/>
          <w:szCs w:val="28"/>
          <w:highlight w:val="none"/>
        </w:rPr>
        <w:br w:type="page"/>
      </w:r>
      <w:bookmarkStart w:id="265" w:name="_Toc4934"/>
      <w:r>
        <w:rPr>
          <w:rFonts w:hint="eastAsia" w:ascii="宋体" w:hAnsi="宋体" w:cs="Times New Roman"/>
          <w:b/>
          <w:bCs/>
          <w:szCs w:val="28"/>
          <w:highlight w:val="none"/>
        </w:rPr>
        <w:t>三、法定代表人(单位负责人)身份证明</w:t>
      </w:r>
      <w:bookmarkEnd w:id="264"/>
      <w:r>
        <w:rPr>
          <w:rFonts w:hint="eastAsia" w:ascii="宋体" w:hAnsi="宋体" w:cs="Times New Roman"/>
          <w:b/>
          <w:bCs/>
          <w:szCs w:val="28"/>
          <w:highlight w:val="none"/>
        </w:rPr>
        <w:t>书</w:t>
      </w:r>
      <w:bookmarkEnd w:id="265"/>
    </w:p>
    <w:p w14:paraId="308A90D0">
      <w:pPr>
        <w:spacing w:line="200" w:lineRule="exact"/>
        <w:rPr>
          <w:rFonts w:hint="eastAsia" w:ascii="宋体" w:hAnsi="宋体"/>
          <w:highlight w:val="none"/>
        </w:rPr>
      </w:pPr>
      <w:r>
        <w:rPr>
          <w:rFonts w:ascii="宋体" w:hAnsi="宋体"/>
          <w:highlight w:val="none"/>
        </w:rPr>
        <w:t xml:space="preserve"> </w:t>
      </w:r>
    </w:p>
    <w:p w14:paraId="584A7316">
      <w:pPr>
        <w:spacing w:line="200" w:lineRule="exact"/>
        <w:rPr>
          <w:rFonts w:ascii="宋体" w:hAnsi="宋体"/>
          <w:highlight w:val="none"/>
        </w:rPr>
      </w:pPr>
      <w:r>
        <w:rPr>
          <w:rFonts w:ascii="宋体" w:hAnsi="宋体"/>
          <w:highlight w:val="none"/>
        </w:rPr>
        <w:t xml:space="preserve"> </w:t>
      </w:r>
    </w:p>
    <w:p w14:paraId="1DDEDDCC">
      <w:pPr>
        <w:spacing w:line="200" w:lineRule="exact"/>
        <w:rPr>
          <w:rFonts w:ascii="宋体" w:hAnsi="宋体"/>
          <w:highlight w:val="none"/>
        </w:rPr>
      </w:pPr>
      <w:r>
        <w:rPr>
          <w:rFonts w:ascii="宋体" w:hAnsi="宋体"/>
          <w:highlight w:val="none"/>
        </w:rPr>
        <w:t xml:space="preserve"> </w:t>
      </w:r>
    </w:p>
    <w:p w14:paraId="76999EC5">
      <w:pPr>
        <w:autoSpaceDE w:val="0"/>
        <w:autoSpaceDN w:val="0"/>
        <w:adjustRightInd w:val="0"/>
        <w:spacing w:line="360" w:lineRule="auto"/>
        <w:ind w:firstLine="480" w:firstLineChars="200"/>
        <w:rPr>
          <w:rFonts w:ascii="宋体" w:hAnsi="宋体" w:cs="仿宋_GB2312"/>
          <w:sz w:val="24"/>
          <w:highlight w:val="none"/>
        </w:rPr>
      </w:pPr>
      <w:r>
        <w:rPr>
          <w:rFonts w:hint="eastAsia" w:ascii="宋体" w:hAnsi="宋体" w:cs="仿宋_GB2312"/>
          <w:sz w:val="24"/>
          <w:highlight w:val="none"/>
        </w:rPr>
        <w:t>投标人名称：</w:t>
      </w:r>
      <w:r>
        <w:rPr>
          <w:rFonts w:hint="eastAsia" w:ascii="宋体" w:hAnsi="宋体" w:cs="仿宋_GB2312"/>
          <w:sz w:val="24"/>
          <w:highlight w:val="none"/>
          <w:u w:val="single"/>
        </w:rPr>
        <w:t xml:space="preserve">                      </w:t>
      </w:r>
      <w:r>
        <w:rPr>
          <w:rFonts w:hint="eastAsia" w:ascii="宋体" w:hAnsi="宋体" w:cs="仿宋_GB2312"/>
          <w:sz w:val="24"/>
          <w:highlight w:val="none"/>
        </w:rPr>
        <w:t xml:space="preserve"> </w:t>
      </w:r>
    </w:p>
    <w:p w14:paraId="3A69E22A">
      <w:pPr>
        <w:autoSpaceDE w:val="0"/>
        <w:autoSpaceDN w:val="0"/>
        <w:adjustRightInd w:val="0"/>
        <w:spacing w:line="360" w:lineRule="auto"/>
        <w:ind w:firstLine="480" w:firstLineChars="200"/>
        <w:rPr>
          <w:rFonts w:ascii="宋体" w:hAnsi="宋体" w:cs="仿宋_GB2312"/>
          <w:sz w:val="24"/>
          <w:highlight w:val="none"/>
        </w:rPr>
      </w:pPr>
      <w:r>
        <w:rPr>
          <w:rFonts w:hint="eastAsia" w:ascii="宋体" w:hAnsi="宋体" w:cs="仿宋_GB2312"/>
          <w:sz w:val="24"/>
          <w:highlight w:val="none"/>
        </w:rPr>
        <w:t>单位性质：</w:t>
      </w:r>
      <w:r>
        <w:rPr>
          <w:rFonts w:hint="eastAsia" w:ascii="宋体" w:hAnsi="宋体" w:cs="仿宋_GB2312"/>
          <w:sz w:val="24"/>
          <w:highlight w:val="none"/>
          <w:u w:val="single"/>
        </w:rPr>
        <w:t xml:space="preserve">                        </w:t>
      </w:r>
      <w:r>
        <w:rPr>
          <w:rFonts w:hint="eastAsia" w:ascii="宋体" w:hAnsi="宋体" w:cs="仿宋_GB2312"/>
          <w:sz w:val="24"/>
          <w:highlight w:val="none"/>
        </w:rPr>
        <w:t xml:space="preserve"> </w:t>
      </w:r>
    </w:p>
    <w:p w14:paraId="717D925E">
      <w:pPr>
        <w:autoSpaceDE w:val="0"/>
        <w:autoSpaceDN w:val="0"/>
        <w:adjustRightInd w:val="0"/>
        <w:spacing w:line="360" w:lineRule="auto"/>
        <w:ind w:firstLine="480" w:firstLineChars="200"/>
        <w:rPr>
          <w:rFonts w:ascii="宋体" w:hAnsi="宋体" w:cs="仿宋_GB2312"/>
          <w:sz w:val="24"/>
          <w:highlight w:val="none"/>
        </w:rPr>
      </w:pPr>
      <w:r>
        <w:rPr>
          <w:rFonts w:hint="eastAsia" w:ascii="宋体" w:hAnsi="宋体" w:cs="仿宋_GB2312"/>
          <w:sz w:val="24"/>
          <w:highlight w:val="none"/>
        </w:rPr>
        <w:t>地    址：</w:t>
      </w:r>
      <w:r>
        <w:rPr>
          <w:rFonts w:hint="eastAsia" w:ascii="宋体" w:hAnsi="宋体" w:cs="仿宋_GB2312"/>
          <w:sz w:val="24"/>
          <w:highlight w:val="none"/>
          <w:u w:val="single"/>
        </w:rPr>
        <w:t xml:space="preserve">                        </w:t>
      </w:r>
    </w:p>
    <w:p w14:paraId="1FF5EBD3">
      <w:pPr>
        <w:autoSpaceDE w:val="0"/>
        <w:autoSpaceDN w:val="0"/>
        <w:adjustRightInd w:val="0"/>
        <w:spacing w:line="360" w:lineRule="auto"/>
        <w:ind w:firstLine="480" w:firstLineChars="200"/>
        <w:rPr>
          <w:rFonts w:ascii="宋体" w:hAnsi="宋体" w:cs="仿宋_GB2312"/>
          <w:sz w:val="24"/>
          <w:highlight w:val="none"/>
        </w:rPr>
      </w:pPr>
      <w:r>
        <w:rPr>
          <w:rFonts w:hint="eastAsia" w:ascii="宋体" w:hAnsi="宋体" w:cs="仿宋_GB2312"/>
          <w:sz w:val="24"/>
          <w:highlight w:val="none"/>
        </w:rPr>
        <w:t>成立时间：</w:t>
      </w:r>
      <w:r>
        <w:rPr>
          <w:rFonts w:hint="eastAsia" w:ascii="宋体" w:hAnsi="宋体" w:cs="仿宋_GB2312"/>
          <w:sz w:val="24"/>
          <w:highlight w:val="none"/>
          <w:u w:val="single"/>
        </w:rPr>
        <w:t xml:space="preserve">     </w:t>
      </w:r>
      <w:r>
        <w:rPr>
          <w:rFonts w:ascii="宋体" w:hAnsi="宋体" w:cs="仿宋_GB2312"/>
          <w:sz w:val="24"/>
          <w:highlight w:val="none"/>
          <w:u w:val="single"/>
        </w:rPr>
        <w:t xml:space="preserve"> </w:t>
      </w:r>
      <w:r>
        <w:rPr>
          <w:rFonts w:hint="eastAsia" w:ascii="宋体" w:hAnsi="宋体" w:cs="仿宋_GB2312"/>
          <w:sz w:val="24"/>
          <w:highlight w:val="none"/>
          <w:u w:val="single"/>
        </w:rPr>
        <w:t xml:space="preserve"> </w:t>
      </w:r>
      <w:r>
        <w:rPr>
          <w:rFonts w:hint="eastAsia" w:ascii="宋体" w:hAnsi="宋体" w:cs="仿宋_GB2312"/>
          <w:sz w:val="24"/>
          <w:highlight w:val="none"/>
        </w:rPr>
        <w:t>年</w:t>
      </w:r>
      <w:r>
        <w:rPr>
          <w:rFonts w:hint="eastAsia" w:ascii="宋体" w:hAnsi="宋体" w:cs="仿宋_GB2312"/>
          <w:sz w:val="24"/>
          <w:highlight w:val="none"/>
          <w:u w:val="single"/>
        </w:rPr>
        <w:t xml:space="preserve">     </w:t>
      </w:r>
      <w:r>
        <w:rPr>
          <w:rFonts w:hint="eastAsia" w:ascii="宋体" w:hAnsi="宋体" w:cs="仿宋_GB2312"/>
          <w:sz w:val="24"/>
          <w:highlight w:val="none"/>
        </w:rPr>
        <w:t>月</w:t>
      </w:r>
      <w:r>
        <w:rPr>
          <w:rFonts w:hint="eastAsia" w:ascii="宋体" w:hAnsi="宋体" w:cs="仿宋_GB2312"/>
          <w:sz w:val="24"/>
          <w:highlight w:val="none"/>
          <w:u w:val="single"/>
        </w:rPr>
        <w:t xml:space="preserve">  </w:t>
      </w:r>
      <w:r>
        <w:rPr>
          <w:rFonts w:ascii="宋体" w:hAnsi="宋体" w:cs="仿宋_GB2312"/>
          <w:sz w:val="24"/>
          <w:highlight w:val="none"/>
          <w:u w:val="single"/>
        </w:rPr>
        <w:t xml:space="preserve"> </w:t>
      </w:r>
      <w:r>
        <w:rPr>
          <w:rFonts w:hint="eastAsia" w:ascii="宋体" w:hAnsi="宋体" w:cs="仿宋_GB2312"/>
          <w:sz w:val="24"/>
          <w:highlight w:val="none"/>
          <w:u w:val="single"/>
        </w:rPr>
        <w:t xml:space="preserve">    </w:t>
      </w:r>
      <w:r>
        <w:rPr>
          <w:rFonts w:hint="eastAsia" w:ascii="宋体" w:hAnsi="宋体" w:cs="仿宋_GB2312"/>
          <w:sz w:val="24"/>
          <w:highlight w:val="none"/>
        </w:rPr>
        <w:t>日</w:t>
      </w:r>
    </w:p>
    <w:p w14:paraId="5DAC6116">
      <w:pPr>
        <w:autoSpaceDE w:val="0"/>
        <w:autoSpaceDN w:val="0"/>
        <w:adjustRightInd w:val="0"/>
        <w:spacing w:line="360" w:lineRule="auto"/>
        <w:ind w:firstLine="480" w:firstLineChars="200"/>
        <w:rPr>
          <w:rFonts w:hint="eastAsia" w:ascii="宋体" w:hAnsi="宋体" w:cs="仿宋_GB2312"/>
          <w:sz w:val="24"/>
          <w:highlight w:val="none"/>
        </w:rPr>
      </w:pPr>
      <w:r>
        <w:rPr>
          <w:rFonts w:hint="eastAsia" w:ascii="宋体" w:hAnsi="宋体" w:cs="仿宋_GB2312"/>
          <w:sz w:val="24"/>
          <w:highlight w:val="none"/>
        </w:rPr>
        <w:t>经营期限：</w:t>
      </w:r>
      <w:r>
        <w:rPr>
          <w:rFonts w:hint="eastAsia" w:ascii="宋体" w:hAnsi="宋体" w:cs="仿宋_GB2312"/>
          <w:sz w:val="24"/>
          <w:highlight w:val="none"/>
          <w:u w:val="single"/>
        </w:rPr>
        <w:t xml:space="preserve">                         </w:t>
      </w:r>
    </w:p>
    <w:p w14:paraId="42B41D8B">
      <w:pPr>
        <w:spacing w:line="360" w:lineRule="auto"/>
        <w:ind w:firstLine="480" w:firstLineChars="200"/>
        <w:rPr>
          <w:rFonts w:hint="eastAsia" w:ascii="宋体" w:hAnsi="宋体"/>
          <w:sz w:val="24"/>
          <w:szCs w:val="24"/>
          <w:highlight w:val="none"/>
        </w:rPr>
      </w:pPr>
    </w:p>
    <w:p w14:paraId="59C66425">
      <w:pPr>
        <w:spacing w:line="360" w:lineRule="auto"/>
        <w:ind w:firstLine="480" w:firstLineChars="200"/>
        <w:rPr>
          <w:rFonts w:hint="eastAsia" w:ascii="宋体" w:hAnsi="宋体"/>
          <w:sz w:val="24"/>
          <w:szCs w:val="24"/>
          <w:highlight w:val="none"/>
        </w:rPr>
      </w:pPr>
      <w:r>
        <w:rPr>
          <w:rFonts w:hint="eastAsia" w:ascii="宋体" w:hAnsi="宋体"/>
          <w:sz w:val="24"/>
          <w:szCs w:val="24"/>
          <w:highlight w:val="none"/>
        </w:rPr>
        <w:t>姓名：</w:t>
      </w:r>
      <w:r>
        <w:rPr>
          <w:rFonts w:hint="eastAsia" w:ascii="宋体" w:hAnsi="宋体"/>
          <w:sz w:val="24"/>
          <w:szCs w:val="24"/>
          <w:highlight w:val="none"/>
          <w:u w:val="single"/>
        </w:rPr>
        <w:t xml:space="preserve">           </w:t>
      </w:r>
      <w:r>
        <w:rPr>
          <w:rFonts w:hint="eastAsia" w:ascii="宋体" w:hAnsi="宋体"/>
          <w:sz w:val="24"/>
          <w:szCs w:val="24"/>
          <w:highlight w:val="none"/>
        </w:rPr>
        <w:t>性别：</w:t>
      </w:r>
      <w:r>
        <w:rPr>
          <w:rFonts w:hint="eastAsia" w:ascii="宋体" w:hAnsi="宋体"/>
          <w:sz w:val="24"/>
          <w:szCs w:val="24"/>
          <w:highlight w:val="none"/>
          <w:u w:val="single"/>
        </w:rPr>
        <w:t xml:space="preserve">          </w:t>
      </w:r>
      <w:r>
        <w:rPr>
          <w:rFonts w:hint="eastAsia" w:ascii="宋体" w:hAnsi="宋体"/>
          <w:sz w:val="24"/>
          <w:szCs w:val="24"/>
          <w:highlight w:val="none"/>
        </w:rPr>
        <w:t>年龄：</w:t>
      </w:r>
      <w:r>
        <w:rPr>
          <w:rFonts w:hint="eastAsia" w:ascii="宋体" w:hAnsi="宋体"/>
          <w:sz w:val="24"/>
          <w:szCs w:val="24"/>
          <w:highlight w:val="none"/>
          <w:u w:val="single"/>
        </w:rPr>
        <w:t xml:space="preserve">          </w:t>
      </w:r>
      <w:r>
        <w:rPr>
          <w:rFonts w:hint="eastAsia" w:ascii="宋体" w:hAnsi="宋体"/>
          <w:sz w:val="24"/>
          <w:szCs w:val="24"/>
          <w:highlight w:val="none"/>
        </w:rPr>
        <w:t>职务：</w:t>
      </w:r>
      <w:r>
        <w:rPr>
          <w:rFonts w:hint="eastAsia" w:ascii="宋体" w:hAnsi="宋体"/>
          <w:sz w:val="24"/>
          <w:szCs w:val="24"/>
          <w:highlight w:val="none"/>
          <w:u w:val="single"/>
        </w:rPr>
        <w:t xml:space="preserve">          </w:t>
      </w:r>
    </w:p>
    <w:p w14:paraId="46FDA966">
      <w:pPr>
        <w:spacing w:line="360" w:lineRule="auto"/>
        <w:ind w:firstLine="480" w:firstLineChars="200"/>
        <w:rPr>
          <w:rFonts w:hint="eastAsia" w:ascii="宋体" w:hAnsi="宋体"/>
          <w:sz w:val="24"/>
          <w:szCs w:val="24"/>
          <w:highlight w:val="none"/>
        </w:rPr>
      </w:pPr>
      <w:r>
        <w:rPr>
          <w:rFonts w:hint="eastAsia" w:ascii="宋体" w:hAnsi="宋体"/>
          <w:sz w:val="24"/>
          <w:szCs w:val="24"/>
          <w:highlight w:val="none"/>
        </w:rPr>
        <w:t>系</w:t>
      </w:r>
      <w:r>
        <w:rPr>
          <w:rFonts w:hint="eastAsia" w:ascii="宋体" w:hAnsi="宋体"/>
          <w:sz w:val="24"/>
          <w:szCs w:val="24"/>
          <w:highlight w:val="none"/>
          <w:u w:val="single"/>
        </w:rPr>
        <w:tab/>
      </w:r>
      <w:r>
        <w:rPr>
          <w:rFonts w:hint="eastAsia" w:ascii="宋体" w:hAnsi="宋体"/>
          <w:sz w:val="24"/>
          <w:szCs w:val="24"/>
          <w:highlight w:val="none"/>
          <w:u w:val="single"/>
        </w:rPr>
        <w:t xml:space="preserve">                   </w:t>
      </w:r>
      <w:r>
        <w:rPr>
          <w:rFonts w:hint="eastAsia" w:ascii="宋体" w:hAnsi="宋体"/>
          <w:sz w:val="24"/>
          <w:szCs w:val="24"/>
          <w:highlight w:val="none"/>
        </w:rPr>
        <w:t>(投标人名称)的法定代表人(单位负责人)。</w:t>
      </w:r>
    </w:p>
    <w:p w14:paraId="24CDD15B">
      <w:pPr>
        <w:spacing w:line="360" w:lineRule="auto"/>
        <w:ind w:firstLine="480" w:firstLineChars="200"/>
        <w:rPr>
          <w:rFonts w:hint="eastAsia" w:ascii="宋体" w:hAnsi="宋体"/>
          <w:sz w:val="24"/>
          <w:szCs w:val="24"/>
          <w:highlight w:val="none"/>
        </w:rPr>
      </w:pPr>
      <w:r>
        <w:rPr>
          <w:rFonts w:hint="eastAsia" w:ascii="宋体" w:hAnsi="宋体"/>
          <w:sz w:val="24"/>
          <w:szCs w:val="24"/>
          <w:highlight w:val="none"/>
        </w:rPr>
        <w:t>特此证明。</w:t>
      </w:r>
    </w:p>
    <w:p w14:paraId="3A5D5DF0">
      <w:pPr>
        <w:spacing w:line="480" w:lineRule="auto"/>
        <w:rPr>
          <w:rFonts w:hint="eastAsia" w:ascii="宋体" w:hAnsi="宋体"/>
          <w:sz w:val="24"/>
          <w:szCs w:val="24"/>
          <w:highlight w:val="none"/>
        </w:rPr>
      </w:pPr>
      <w:r>
        <w:rPr>
          <w:rFonts w:hint="eastAsia" w:ascii="宋体" w:hAnsi="宋体"/>
          <w:sz w:val="24"/>
          <w:szCs w:val="24"/>
          <w:highlight w:val="none"/>
        </w:rPr>
        <w:t xml:space="preserve"> </w:t>
      </w:r>
    </w:p>
    <w:p w14:paraId="79398A48">
      <w:pPr>
        <w:spacing w:line="480" w:lineRule="auto"/>
        <w:ind w:firstLine="480" w:firstLineChars="200"/>
        <w:rPr>
          <w:rFonts w:hint="eastAsia" w:ascii="宋体" w:hAnsi="宋体"/>
          <w:sz w:val="24"/>
          <w:szCs w:val="24"/>
          <w:highlight w:val="none"/>
        </w:rPr>
      </w:pPr>
      <w:r>
        <w:rPr>
          <w:rFonts w:hint="eastAsia" w:ascii="宋体" w:hAnsi="宋体"/>
          <w:sz w:val="24"/>
          <w:szCs w:val="24"/>
          <w:highlight w:val="none"/>
        </w:rPr>
        <w:t>附：法定代表人(单位负责人)身份证</w:t>
      </w:r>
      <w:r>
        <w:rPr>
          <w:rFonts w:hint="eastAsia" w:ascii="宋体" w:hAnsi="宋体"/>
          <w:sz w:val="24"/>
          <w:szCs w:val="24"/>
          <w:highlight w:val="none"/>
          <w:lang w:eastAsia="zh-CN"/>
        </w:rPr>
        <w:t>扫描件</w:t>
      </w:r>
      <w:r>
        <w:rPr>
          <w:rFonts w:hint="eastAsia" w:ascii="宋体" w:hAnsi="宋体"/>
          <w:sz w:val="24"/>
          <w:szCs w:val="24"/>
          <w:highlight w:val="none"/>
        </w:rPr>
        <w:t>。</w:t>
      </w:r>
    </w:p>
    <w:p w14:paraId="1EED08E6">
      <w:pPr>
        <w:spacing w:line="360" w:lineRule="auto"/>
        <w:ind w:left="4480"/>
        <w:jc w:val="both"/>
        <w:rPr>
          <w:rFonts w:hint="eastAsia" w:ascii="宋体" w:hAnsi="宋体"/>
          <w:b/>
          <w:sz w:val="24"/>
          <w:szCs w:val="24"/>
          <w:highlight w:val="none"/>
        </w:rPr>
      </w:pPr>
      <w:r>
        <w:rPr>
          <w:rFonts w:hint="eastAsia" w:ascii="宋体" w:hAnsi="宋体"/>
          <w:b/>
          <w:sz w:val="24"/>
          <w:szCs w:val="24"/>
          <w:highlight w:val="none"/>
        </w:rPr>
        <w:t xml:space="preserve">  </w:t>
      </w:r>
    </w:p>
    <w:p w14:paraId="19A001A3">
      <w:pPr>
        <w:spacing w:line="360" w:lineRule="auto"/>
        <w:ind w:left="4480"/>
        <w:jc w:val="both"/>
        <w:rPr>
          <w:rFonts w:hint="eastAsia" w:ascii="宋体" w:hAnsi="宋体"/>
          <w:b/>
          <w:sz w:val="24"/>
          <w:szCs w:val="24"/>
          <w:highlight w:val="none"/>
        </w:rPr>
      </w:pPr>
      <w:r>
        <w:rPr>
          <w:rFonts w:hint="eastAsia" w:ascii="宋体" w:hAnsi="宋体"/>
          <w:b/>
          <w:sz w:val="24"/>
          <w:szCs w:val="24"/>
          <w:highlight w:val="none"/>
        </w:rPr>
        <w:t>投标人：</w:t>
      </w:r>
      <w:r>
        <w:rPr>
          <w:rFonts w:hint="eastAsia" w:ascii="宋体" w:hAnsi="宋体"/>
          <w:b/>
          <w:sz w:val="24"/>
          <w:szCs w:val="24"/>
          <w:highlight w:val="none"/>
          <w:u w:val="single"/>
        </w:rPr>
        <w:tab/>
      </w:r>
      <w:r>
        <w:rPr>
          <w:rFonts w:hint="eastAsia" w:ascii="宋体" w:hAnsi="宋体"/>
          <w:b/>
          <w:sz w:val="24"/>
          <w:szCs w:val="24"/>
          <w:highlight w:val="none"/>
          <w:u w:val="single"/>
        </w:rPr>
        <w:t xml:space="preserve">           </w:t>
      </w:r>
      <w:r>
        <w:rPr>
          <w:rFonts w:hint="eastAsia" w:ascii="宋体" w:hAnsi="宋体"/>
          <w:b/>
          <w:sz w:val="24"/>
          <w:szCs w:val="24"/>
          <w:highlight w:val="none"/>
        </w:rPr>
        <w:t>(电子签章)</w:t>
      </w:r>
    </w:p>
    <w:p w14:paraId="66F00618">
      <w:pPr>
        <w:spacing w:line="20" w:lineRule="exact"/>
        <w:rPr>
          <w:rFonts w:hint="eastAsia" w:ascii="宋体" w:hAnsi="宋体"/>
          <w:b/>
          <w:sz w:val="24"/>
          <w:szCs w:val="24"/>
          <w:highlight w:val="none"/>
        </w:rPr>
      </w:pPr>
      <w:r>
        <w:rPr>
          <w:rFonts w:ascii="宋体" w:hAnsi="宋体"/>
          <w:b/>
          <w:sz w:val="24"/>
          <w:szCs w:val="24"/>
          <w:highlight w:val="none"/>
        </w:rPr>
        <w:t xml:space="preserve"> </w:t>
      </w:r>
    </w:p>
    <w:p w14:paraId="18B7DA74">
      <w:pPr>
        <w:spacing w:line="200" w:lineRule="exact"/>
        <w:rPr>
          <w:rFonts w:ascii="宋体" w:hAnsi="宋体"/>
          <w:b/>
          <w:sz w:val="24"/>
          <w:szCs w:val="24"/>
          <w:highlight w:val="none"/>
        </w:rPr>
      </w:pPr>
      <w:r>
        <w:rPr>
          <w:rFonts w:ascii="宋体" w:hAnsi="宋体"/>
          <w:b/>
          <w:sz w:val="24"/>
          <w:szCs w:val="24"/>
          <w:highlight w:val="none"/>
        </w:rPr>
        <w:t xml:space="preserve"> </w:t>
      </w:r>
    </w:p>
    <w:p w14:paraId="1AD04BE3">
      <w:pPr>
        <w:spacing w:line="200" w:lineRule="exact"/>
        <w:rPr>
          <w:rFonts w:ascii="宋体" w:hAnsi="宋体"/>
          <w:b/>
          <w:sz w:val="24"/>
          <w:szCs w:val="24"/>
          <w:highlight w:val="none"/>
        </w:rPr>
      </w:pPr>
      <w:r>
        <w:rPr>
          <w:rFonts w:ascii="宋体" w:hAnsi="宋体"/>
          <w:b/>
          <w:sz w:val="24"/>
          <w:szCs w:val="24"/>
          <w:highlight w:val="none"/>
        </w:rPr>
        <w:t xml:space="preserve"> </w:t>
      </w:r>
    </w:p>
    <w:p w14:paraId="30AE305F">
      <w:pPr>
        <w:wordWrap w:val="0"/>
        <w:ind w:right="480"/>
        <w:jc w:val="center"/>
        <w:rPr>
          <w:rFonts w:hint="eastAsia" w:ascii="宋体" w:hAnsi="宋体"/>
          <w:b/>
          <w:sz w:val="24"/>
          <w:szCs w:val="24"/>
          <w:highlight w:val="none"/>
        </w:rPr>
      </w:pPr>
      <w:r>
        <w:rPr>
          <w:rFonts w:hint="eastAsia" w:ascii="宋体" w:hAnsi="宋体"/>
          <w:b/>
          <w:sz w:val="24"/>
          <w:szCs w:val="24"/>
          <w:highlight w:val="none"/>
        </w:rPr>
        <w:t xml:space="preserve">                         </w:t>
      </w:r>
    </w:p>
    <w:p w14:paraId="7D956DFF">
      <w:pPr>
        <w:wordWrap w:val="0"/>
        <w:ind w:right="480"/>
        <w:jc w:val="center"/>
        <w:rPr>
          <w:rFonts w:ascii="宋体" w:hAnsi="宋体"/>
          <w:b/>
          <w:sz w:val="24"/>
          <w:szCs w:val="24"/>
          <w:highlight w:val="none"/>
        </w:rPr>
      </w:pPr>
      <w:r>
        <w:rPr>
          <w:rFonts w:hint="eastAsia" w:ascii="宋体" w:hAnsi="宋体"/>
          <w:b/>
          <w:sz w:val="24"/>
          <w:szCs w:val="24"/>
          <w:highlight w:val="none"/>
        </w:rPr>
        <w:t xml:space="preserve">                       日  期：</w:t>
      </w:r>
      <w:r>
        <w:rPr>
          <w:rFonts w:hint="eastAsia" w:ascii="宋体" w:hAnsi="宋体"/>
          <w:b/>
          <w:sz w:val="24"/>
          <w:szCs w:val="24"/>
          <w:highlight w:val="none"/>
          <w:u w:val="single"/>
        </w:rPr>
        <w:t xml:space="preserve">     </w:t>
      </w:r>
      <w:r>
        <w:rPr>
          <w:rFonts w:hint="eastAsia" w:ascii="宋体" w:hAnsi="宋体"/>
          <w:b/>
          <w:sz w:val="24"/>
          <w:szCs w:val="24"/>
          <w:highlight w:val="none"/>
        </w:rPr>
        <w:t>年</w:t>
      </w:r>
      <w:r>
        <w:rPr>
          <w:rFonts w:hint="eastAsia" w:ascii="宋体" w:hAnsi="宋体"/>
          <w:b/>
          <w:sz w:val="24"/>
          <w:szCs w:val="24"/>
          <w:highlight w:val="none"/>
          <w:u w:val="single"/>
        </w:rPr>
        <w:t xml:space="preserve">   </w:t>
      </w:r>
      <w:r>
        <w:rPr>
          <w:rFonts w:hint="eastAsia" w:ascii="宋体" w:hAnsi="宋体"/>
          <w:b/>
          <w:sz w:val="24"/>
          <w:szCs w:val="24"/>
          <w:highlight w:val="none"/>
        </w:rPr>
        <w:t>月</w:t>
      </w:r>
      <w:r>
        <w:rPr>
          <w:rFonts w:hint="eastAsia" w:ascii="宋体" w:hAnsi="宋体"/>
          <w:b/>
          <w:sz w:val="24"/>
          <w:szCs w:val="24"/>
          <w:highlight w:val="none"/>
          <w:u w:val="single"/>
        </w:rPr>
        <w:t xml:space="preserve">   </w:t>
      </w:r>
      <w:r>
        <w:rPr>
          <w:rFonts w:hint="eastAsia" w:ascii="宋体" w:hAnsi="宋体"/>
          <w:b/>
          <w:sz w:val="24"/>
          <w:szCs w:val="24"/>
          <w:highlight w:val="none"/>
        </w:rPr>
        <w:t>日</w:t>
      </w:r>
    </w:p>
    <w:p w14:paraId="401B320C">
      <w:pPr>
        <w:spacing w:line="360" w:lineRule="auto"/>
        <w:ind w:firstLine="5760" w:firstLineChars="2400"/>
        <w:jc w:val="both"/>
        <w:rPr>
          <w:rFonts w:hint="eastAsia" w:ascii="宋体" w:hAnsi="宋体"/>
          <w:sz w:val="24"/>
          <w:szCs w:val="24"/>
          <w:highlight w:val="none"/>
        </w:rPr>
      </w:pPr>
      <w:r>
        <w:rPr>
          <w:rFonts w:hint="eastAsia" w:ascii="宋体" w:hAnsi="宋体"/>
          <w:sz w:val="24"/>
          <w:szCs w:val="24"/>
          <w:highlight w:val="none"/>
        </w:rPr>
        <w:t xml:space="preserve"> </w:t>
      </w:r>
    </w:p>
    <w:p w14:paraId="15FD8F15">
      <w:pPr>
        <w:spacing w:line="20" w:lineRule="exact"/>
        <w:rPr>
          <w:rFonts w:hint="eastAsia" w:ascii="宋体" w:hAnsi="宋体"/>
          <w:b/>
          <w:bCs/>
          <w:sz w:val="44"/>
          <w:szCs w:val="44"/>
          <w:highlight w:val="none"/>
        </w:rPr>
      </w:pPr>
      <w:r>
        <w:rPr>
          <w:rFonts w:ascii="宋体" w:hAnsi="宋体"/>
          <w:highlight w:val="none"/>
        </w:rPr>
        <w:t xml:space="preserve"> </w:t>
      </w:r>
    </w:p>
    <w:tbl>
      <w:tblPr>
        <w:tblStyle w:val="2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813"/>
        <w:gridCol w:w="4814"/>
      </w:tblGrid>
      <w:tr w14:paraId="0DA656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6" w:hRule="atLeast"/>
        </w:trPr>
        <w:tc>
          <w:tcPr>
            <w:tcW w:w="4813" w:type="dxa"/>
            <w:noWrap w:val="0"/>
            <w:vAlign w:val="center"/>
          </w:tcPr>
          <w:p w14:paraId="70D00AE3">
            <w:pPr>
              <w:widowControl w:val="0"/>
              <w:spacing w:before="317" w:beforeLines="100" w:after="317" w:afterLines="100" w:line="600" w:lineRule="exact"/>
              <w:jc w:val="center"/>
              <w:rPr>
                <w:rFonts w:ascii="宋体" w:hAnsi="宋体"/>
                <w:highlight w:val="none"/>
              </w:rPr>
            </w:pPr>
            <w:bookmarkStart w:id="266" w:name="_Toc31847"/>
            <w:bookmarkEnd w:id="266"/>
            <w:bookmarkStart w:id="267" w:name="_Toc15398"/>
            <w:bookmarkEnd w:id="267"/>
            <w:bookmarkStart w:id="268" w:name="_Toc23744"/>
            <w:r>
              <w:rPr>
                <w:rFonts w:hint="eastAsia" w:ascii="宋体" w:hAnsi="宋体" w:eastAsia="Times New Roman"/>
                <w:sz w:val="24"/>
                <w:szCs w:val="24"/>
                <w:highlight w:val="none"/>
              </w:rPr>
              <w:t>法定代表人(单位负责人)身份证</w:t>
            </w:r>
            <w:r>
              <w:rPr>
                <w:rFonts w:hint="eastAsia" w:ascii="宋体" w:hAnsi="宋体"/>
                <w:sz w:val="24"/>
                <w:szCs w:val="24"/>
                <w:highlight w:val="none"/>
              </w:rPr>
              <w:t>正面</w:t>
            </w:r>
          </w:p>
        </w:tc>
        <w:tc>
          <w:tcPr>
            <w:tcW w:w="4814" w:type="dxa"/>
            <w:noWrap w:val="0"/>
            <w:vAlign w:val="center"/>
          </w:tcPr>
          <w:p w14:paraId="575D4C4A">
            <w:pPr>
              <w:widowControl w:val="0"/>
              <w:spacing w:before="317" w:beforeLines="100" w:after="317" w:afterLines="100" w:line="600" w:lineRule="exact"/>
              <w:jc w:val="center"/>
              <w:rPr>
                <w:rFonts w:ascii="宋体" w:hAnsi="宋体" w:eastAsia="Times New Roman"/>
                <w:highlight w:val="none"/>
              </w:rPr>
            </w:pPr>
            <w:r>
              <w:rPr>
                <w:rFonts w:hint="eastAsia" w:ascii="宋体" w:hAnsi="宋体" w:eastAsia="Times New Roman"/>
                <w:sz w:val="24"/>
                <w:szCs w:val="24"/>
                <w:highlight w:val="none"/>
              </w:rPr>
              <w:t>法定代表人(单位负责人)身份证</w:t>
            </w:r>
            <w:r>
              <w:rPr>
                <w:rFonts w:hint="eastAsia" w:ascii="宋体" w:hAnsi="宋体"/>
                <w:sz w:val="24"/>
                <w:szCs w:val="24"/>
                <w:highlight w:val="none"/>
              </w:rPr>
              <w:t>反面</w:t>
            </w:r>
          </w:p>
        </w:tc>
      </w:tr>
    </w:tbl>
    <w:p w14:paraId="31813D9D">
      <w:pPr>
        <w:pStyle w:val="4"/>
        <w:widowControl/>
        <w:autoSpaceDE w:val="0"/>
        <w:spacing w:before="0" w:after="0" w:line="360" w:lineRule="auto"/>
        <w:ind w:firstLine="562" w:firstLineChars="200"/>
        <w:outlineLvl w:val="2"/>
        <w:rPr>
          <w:rFonts w:hint="eastAsia" w:ascii="宋体" w:hAnsi="宋体"/>
          <w:szCs w:val="28"/>
          <w:highlight w:val="none"/>
        </w:rPr>
      </w:pPr>
      <w:r>
        <w:rPr>
          <w:rFonts w:hint="eastAsia" w:ascii="宋体" w:hAnsi="宋体"/>
          <w:szCs w:val="28"/>
          <w:highlight w:val="none"/>
        </w:rPr>
        <w:br w:type="page"/>
      </w:r>
      <w:bookmarkStart w:id="269" w:name="_Toc13202"/>
      <w:r>
        <w:rPr>
          <w:rFonts w:hint="eastAsia" w:ascii="宋体" w:hAnsi="宋体"/>
          <w:szCs w:val="28"/>
          <w:highlight w:val="none"/>
        </w:rPr>
        <w:t>四、授权委托书</w:t>
      </w:r>
      <w:bookmarkEnd w:id="268"/>
      <w:bookmarkEnd w:id="269"/>
    </w:p>
    <w:p w14:paraId="4C0DC567">
      <w:pPr>
        <w:spacing w:line="200" w:lineRule="exact"/>
        <w:rPr>
          <w:rFonts w:hint="eastAsia" w:ascii="宋体" w:hAnsi="宋体"/>
          <w:highlight w:val="none"/>
        </w:rPr>
      </w:pPr>
      <w:r>
        <w:rPr>
          <w:rFonts w:ascii="宋体" w:hAnsi="宋体"/>
          <w:highlight w:val="none"/>
        </w:rPr>
        <w:t xml:space="preserve"> </w:t>
      </w:r>
    </w:p>
    <w:p w14:paraId="18D4E344">
      <w:pPr>
        <w:spacing w:line="200" w:lineRule="exact"/>
        <w:rPr>
          <w:rFonts w:ascii="宋体" w:hAnsi="宋体"/>
          <w:highlight w:val="none"/>
        </w:rPr>
      </w:pPr>
      <w:r>
        <w:rPr>
          <w:rFonts w:ascii="宋体" w:hAnsi="宋体"/>
          <w:highlight w:val="none"/>
        </w:rPr>
        <w:t xml:space="preserve"> </w:t>
      </w:r>
    </w:p>
    <w:p w14:paraId="308B099F">
      <w:pPr>
        <w:spacing w:line="360" w:lineRule="auto"/>
        <w:ind w:firstLine="480" w:firstLineChars="200"/>
        <w:rPr>
          <w:rFonts w:ascii="宋体" w:hAnsi="宋体"/>
          <w:sz w:val="24"/>
          <w:szCs w:val="24"/>
          <w:highlight w:val="none"/>
        </w:rPr>
      </w:pPr>
      <w:r>
        <w:rPr>
          <w:rFonts w:hint="eastAsia" w:ascii="宋体" w:hAnsi="宋体"/>
          <w:sz w:val="24"/>
          <w:szCs w:val="24"/>
          <w:highlight w:val="none"/>
        </w:rPr>
        <w:t>本人</w:t>
      </w:r>
      <w:r>
        <w:rPr>
          <w:rFonts w:hint="eastAsia" w:ascii="宋体" w:hAnsi="宋体"/>
          <w:sz w:val="24"/>
          <w:szCs w:val="24"/>
          <w:highlight w:val="none"/>
          <w:u w:val="single"/>
        </w:rPr>
        <w:t xml:space="preserve">             </w:t>
      </w:r>
      <w:r>
        <w:rPr>
          <w:rFonts w:hint="eastAsia" w:ascii="宋体" w:hAnsi="宋体"/>
          <w:sz w:val="24"/>
          <w:szCs w:val="24"/>
          <w:highlight w:val="none"/>
        </w:rPr>
        <w:t>(姓名)系</w:t>
      </w:r>
      <w:r>
        <w:rPr>
          <w:rFonts w:hint="eastAsia" w:ascii="宋体" w:hAnsi="宋体"/>
          <w:sz w:val="24"/>
          <w:szCs w:val="24"/>
          <w:highlight w:val="none"/>
          <w:u w:val="single"/>
        </w:rPr>
        <w:t xml:space="preserve">                      </w:t>
      </w:r>
      <w:r>
        <w:rPr>
          <w:rFonts w:hint="eastAsia" w:ascii="宋体" w:hAnsi="宋体"/>
          <w:sz w:val="24"/>
          <w:szCs w:val="24"/>
          <w:highlight w:val="none"/>
        </w:rPr>
        <w:t>(投标人名称)的法定代表人(单位负责人)，现委托</w:t>
      </w:r>
      <w:r>
        <w:rPr>
          <w:rFonts w:hint="eastAsia" w:ascii="宋体" w:hAnsi="宋体"/>
          <w:sz w:val="24"/>
          <w:szCs w:val="24"/>
          <w:highlight w:val="none"/>
          <w:u w:val="single"/>
        </w:rPr>
        <w:t xml:space="preserve">             </w:t>
      </w:r>
      <w:r>
        <w:rPr>
          <w:rFonts w:hint="eastAsia" w:ascii="宋体" w:hAnsi="宋体"/>
          <w:sz w:val="24"/>
          <w:szCs w:val="24"/>
          <w:highlight w:val="none"/>
        </w:rPr>
        <w:t>(姓名)为我方代理人。代理人根据授权，以我方名义签署、澄清、说明、补正、撤回、修改</w:t>
      </w:r>
      <w:r>
        <w:rPr>
          <w:rFonts w:hint="eastAsia" w:ascii="宋体" w:hAnsi="宋体"/>
          <w:sz w:val="24"/>
          <w:szCs w:val="24"/>
          <w:highlight w:val="none"/>
          <w:u w:val="single"/>
        </w:rPr>
        <w:t xml:space="preserve">             </w:t>
      </w:r>
      <w:r>
        <w:rPr>
          <w:rFonts w:hint="eastAsia" w:ascii="宋体" w:hAnsi="宋体"/>
          <w:sz w:val="24"/>
          <w:szCs w:val="24"/>
          <w:highlight w:val="none"/>
        </w:rPr>
        <w:t>（项目名称）投标文件、签订合同和处理有关事宜，其法律后果由我方承担。</w:t>
      </w:r>
    </w:p>
    <w:p w14:paraId="24513108">
      <w:pPr>
        <w:spacing w:line="360" w:lineRule="auto"/>
        <w:ind w:firstLine="480" w:firstLineChars="200"/>
        <w:rPr>
          <w:rFonts w:hint="eastAsia" w:ascii="宋体" w:hAnsi="宋体"/>
          <w:sz w:val="24"/>
          <w:szCs w:val="24"/>
          <w:highlight w:val="none"/>
        </w:rPr>
      </w:pPr>
      <w:r>
        <w:rPr>
          <w:rFonts w:hint="eastAsia" w:ascii="宋体" w:hAnsi="宋体"/>
          <w:sz w:val="24"/>
          <w:szCs w:val="24"/>
          <w:highlight w:val="none"/>
        </w:rPr>
        <w:t>代理人无转委托权。</w:t>
      </w:r>
    </w:p>
    <w:p w14:paraId="052DE800">
      <w:pPr>
        <w:spacing w:before="468" w:line="360" w:lineRule="auto"/>
        <w:ind w:firstLine="3373" w:firstLineChars="1400"/>
        <w:rPr>
          <w:rFonts w:hint="eastAsia" w:ascii="宋体" w:hAnsi="宋体"/>
          <w:b/>
          <w:sz w:val="24"/>
          <w:szCs w:val="24"/>
          <w:highlight w:val="none"/>
        </w:rPr>
      </w:pPr>
      <w:r>
        <w:rPr>
          <w:rFonts w:hint="eastAsia" w:ascii="宋体" w:hAnsi="宋体"/>
          <w:b/>
          <w:sz w:val="24"/>
          <w:szCs w:val="24"/>
          <w:highlight w:val="none"/>
        </w:rPr>
        <w:t>投 标 人：</w:t>
      </w:r>
      <w:r>
        <w:rPr>
          <w:rFonts w:hint="eastAsia" w:ascii="宋体" w:hAnsi="宋体"/>
          <w:b/>
          <w:sz w:val="24"/>
          <w:szCs w:val="24"/>
          <w:highlight w:val="none"/>
          <w:u w:val="single"/>
        </w:rPr>
        <w:t xml:space="preserve">                        </w:t>
      </w:r>
      <w:r>
        <w:rPr>
          <w:rFonts w:hint="eastAsia" w:ascii="宋体" w:hAnsi="宋体"/>
          <w:b/>
          <w:sz w:val="24"/>
          <w:szCs w:val="24"/>
          <w:highlight w:val="none"/>
        </w:rPr>
        <w:t>(电子签章)</w:t>
      </w:r>
    </w:p>
    <w:p w14:paraId="4D937070">
      <w:pPr>
        <w:spacing w:before="468" w:line="360" w:lineRule="auto"/>
        <w:ind w:firstLine="3373" w:firstLineChars="1400"/>
        <w:rPr>
          <w:rFonts w:hint="eastAsia" w:ascii="宋体" w:hAnsi="宋体"/>
          <w:b/>
          <w:sz w:val="24"/>
          <w:szCs w:val="24"/>
          <w:highlight w:val="none"/>
        </w:rPr>
      </w:pPr>
      <w:r>
        <w:rPr>
          <w:rFonts w:hint="eastAsia" w:ascii="宋体" w:hAnsi="宋体"/>
          <w:b/>
          <w:sz w:val="24"/>
          <w:szCs w:val="24"/>
          <w:highlight w:val="none"/>
        </w:rPr>
        <w:t>法定代表人(单位负责人)：</w:t>
      </w:r>
      <w:r>
        <w:rPr>
          <w:rFonts w:hint="eastAsia" w:ascii="宋体" w:hAnsi="宋体"/>
          <w:b/>
          <w:sz w:val="24"/>
          <w:szCs w:val="24"/>
          <w:highlight w:val="none"/>
          <w:u w:val="single"/>
        </w:rPr>
        <w:t xml:space="preserve">           </w:t>
      </w:r>
      <w:r>
        <w:rPr>
          <w:rFonts w:hint="eastAsia" w:ascii="宋体" w:hAnsi="宋体"/>
          <w:b/>
          <w:sz w:val="24"/>
          <w:szCs w:val="24"/>
          <w:highlight w:val="none"/>
        </w:rPr>
        <w:t>(电子签章)</w:t>
      </w:r>
    </w:p>
    <w:p w14:paraId="6FBEF36F">
      <w:pPr>
        <w:autoSpaceDE w:val="0"/>
        <w:autoSpaceDN w:val="0"/>
        <w:adjustRightInd w:val="0"/>
        <w:spacing w:line="360" w:lineRule="auto"/>
        <w:ind w:firstLine="3373" w:firstLineChars="1400"/>
        <w:rPr>
          <w:rFonts w:hint="eastAsia"/>
          <w:b/>
          <w:bCs/>
          <w:sz w:val="24"/>
          <w:szCs w:val="24"/>
          <w:highlight w:val="none"/>
          <w:u w:val="single"/>
        </w:rPr>
      </w:pPr>
      <w:r>
        <w:rPr>
          <w:rFonts w:hint="eastAsia" w:ascii="宋体" w:hAnsi="宋体" w:cs="仿宋_GB2312"/>
          <w:b/>
          <w:bCs/>
          <w:sz w:val="24"/>
          <w:szCs w:val="24"/>
          <w:highlight w:val="none"/>
        </w:rPr>
        <w:t>身份证号码：</w:t>
      </w:r>
      <w:r>
        <w:rPr>
          <w:rFonts w:hint="eastAsia" w:ascii="宋体" w:hAnsi="宋体" w:cs="仿宋_GB2312"/>
          <w:b/>
          <w:bCs/>
          <w:sz w:val="24"/>
          <w:szCs w:val="24"/>
          <w:highlight w:val="none"/>
          <w:u w:val="single"/>
        </w:rPr>
        <w:t xml:space="preserve">                            </w:t>
      </w:r>
    </w:p>
    <w:p w14:paraId="4A1A87DC">
      <w:pPr>
        <w:spacing w:before="468" w:line="360" w:lineRule="auto"/>
        <w:ind w:firstLine="3373" w:firstLineChars="1400"/>
        <w:rPr>
          <w:rFonts w:hint="eastAsia" w:ascii="宋体" w:hAnsi="宋体"/>
          <w:b/>
          <w:sz w:val="24"/>
          <w:szCs w:val="24"/>
          <w:highlight w:val="none"/>
        </w:rPr>
      </w:pPr>
      <w:r>
        <w:rPr>
          <w:rFonts w:hint="eastAsia" w:ascii="宋体" w:hAnsi="宋体"/>
          <w:b/>
          <w:sz w:val="24"/>
          <w:szCs w:val="24"/>
          <w:highlight w:val="none"/>
        </w:rPr>
        <w:t>委托代理人：</w:t>
      </w:r>
      <w:r>
        <w:rPr>
          <w:rFonts w:hint="eastAsia" w:ascii="宋体" w:hAnsi="宋体"/>
          <w:b/>
          <w:sz w:val="24"/>
          <w:szCs w:val="24"/>
          <w:highlight w:val="none"/>
          <w:u w:val="single"/>
        </w:rPr>
        <w:t xml:space="preserve">                       </w:t>
      </w:r>
    </w:p>
    <w:p w14:paraId="34A4E063">
      <w:pPr>
        <w:autoSpaceDE w:val="0"/>
        <w:autoSpaceDN w:val="0"/>
        <w:adjustRightInd w:val="0"/>
        <w:spacing w:line="360" w:lineRule="auto"/>
        <w:ind w:firstLine="3373" w:firstLineChars="1400"/>
        <w:rPr>
          <w:rFonts w:hint="eastAsia"/>
          <w:highlight w:val="none"/>
        </w:rPr>
      </w:pPr>
      <w:r>
        <w:rPr>
          <w:rFonts w:hint="eastAsia" w:ascii="宋体" w:hAnsi="宋体" w:cs="仿宋_GB2312"/>
          <w:b/>
          <w:bCs/>
          <w:sz w:val="24"/>
          <w:highlight w:val="none"/>
        </w:rPr>
        <w:t>身份证号码：</w:t>
      </w:r>
      <w:r>
        <w:rPr>
          <w:rFonts w:hint="eastAsia" w:ascii="宋体" w:hAnsi="宋体" w:cs="仿宋_GB2312"/>
          <w:b/>
          <w:bCs/>
          <w:sz w:val="24"/>
          <w:highlight w:val="none"/>
          <w:u w:val="single"/>
        </w:rPr>
        <w:t xml:space="preserve">                            </w:t>
      </w:r>
    </w:p>
    <w:p w14:paraId="184E1E57">
      <w:pPr>
        <w:spacing w:before="468" w:line="360" w:lineRule="auto"/>
        <w:ind w:firstLine="3373" w:firstLineChars="1400"/>
        <w:rPr>
          <w:rFonts w:hint="eastAsia" w:ascii="宋体" w:hAnsi="宋体"/>
          <w:b/>
          <w:sz w:val="24"/>
          <w:szCs w:val="24"/>
          <w:highlight w:val="none"/>
        </w:rPr>
      </w:pPr>
      <w:r>
        <w:rPr>
          <w:rFonts w:hint="eastAsia" w:ascii="宋体" w:hAnsi="宋体"/>
          <w:b/>
          <w:sz w:val="24"/>
          <w:szCs w:val="24"/>
          <w:highlight w:val="none"/>
        </w:rPr>
        <w:t>日期：</w:t>
      </w:r>
      <w:r>
        <w:rPr>
          <w:rFonts w:hint="eastAsia" w:ascii="宋体" w:hAnsi="宋体"/>
          <w:b/>
          <w:sz w:val="24"/>
          <w:szCs w:val="24"/>
          <w:highlight w:val="none"/>
          <w:u w:val="single"/>
        </w:rPr>
        <w:t xml:space="preserve">       </w:t>
      </w:r>
      <w:r>
        <w:rPr>
          <w:rFonts w:hint="eastAsia" w:ascii="宋体" w:hAnsi="宋体"/>
          <w:b/>
          <w:sz w:val="24"/>
          <w:szCs w:val="24"/>
          <w:highlight w:val="none"/>
        </w:rPr>
        <w:t>年</w:t>
      </w:r>
      <w:r>
        <w:rPr>
          <w:rFonts w:hint="eastAsia" w:ascii="宋体" w:hAnsi="宋体"/>
          <w:b/>
          <w:sz w:val="24"/>
          <w:szCs w:val="24"/>
          <w:highlight w:val="none"/>
          <w:u w:val="single"/>
        </w:rPr>
        <w:t xml:space="preserve">    </w:t>
      </w:r>
      <w:r>
        <w:rPr>
          <w:rFonts w:hint="eastAsia" w:ascii="宋体" w:hAnsi="宋体"/>
          <w:b/>
          <w:sz w:val="24"/>
          <w:szCs w:val="24"/>
          <w:highlight w:val="none"/>
        </w:rPr>
        <w:t>月</w:t>
      </w:r>
      <w:r>
        <w:rPr>
          <w:rFonts w:hint="eastAsia" w:ascii="宋体" w:hAnsi="宋体"/>
          <w:b/>
          <w:sz w:val="24"/>
          <w:szCs w:val="24"/>
          <w:highlight w:val="none"/>
          <w:u w:val="single"/>
        </w:rPr>
        <w:t xml:space="preserve">    </w:t>
      </w:r>
      <w:r>
        <w:rPr>
          <w:rFonts w:hint="eastAsia" w:ascii="宋体" w:hAnsi="宋体"/>
          <w:b/>
          <w:sz w:val="24"/>
          <w:szCs w:val="24"/>
          <w:highlight w:val="none"/>
        </w:rPr>
        <w:t>日</w:t>
      </w:r>
    </w:p>
    <w:p w14:paraId="17489416">
      <w:pPr>
        <w:keepNext w:val="0"/>
        <w:keepLines w:val="0"/>
        <w:pageBreakBefore w:val="0"/>
        <w:widowControl/>
        <w:kinsoku/>
        <w:wordWrap/>
        <w:overflowPunct/>
        <w:topLinePunct w:val="0"/>
        <w:autoSpaceDE/>
        <w:autoSpaceDN/>
        <w:bidi w:val="0"/>
        <w:adjustRightInd/>
        <w:snapToGrid/>
        <w:spacing w:line="360" w:lineRule="auto"/>
        <w:ind w:right="482"/>
        <w:textAlignment w:val="auto"/>
        <w:rPr>
          <w:rFonts w:hint="eastAsia" w:ascii="宋体" w:hAnsi="宋体"/>
          <w:sz w:val="24"/>
          <w:szCs w:val="24"/>
          <w:highlight w:val="none"/>
        </w:rPr>
      </w:pPr>
      <w:r>
        <w:rPr>
          <w:rFonts w:hint="eastAsia" w:ascii="宋体" w:hAnsi="宋体"/>
          <w:b/>
          <w:sz w:val="24"/>
          <w:szCs w:val="24"/>
          <w:highlight w:val="none"/>
        </w:rPr>
        <w:t>注：</w:t>
      </w:r>
      <w:r>
        <w:rPr>
          <w:rFonts w:ascii="宋体" w:hAnsi="宋体"/>
          <w:b/>
          <w:sz w:val="24"/>
          <w:highlight w:val="none"/>
        </w:rPr>
        <w:t>附授权委托代理人身份证</w:t>
      </w:r>
      <w:r>
        <w:rPr>
          <w:rFonts w:hint="eastAsia" w:ascii="宋体" w:hAnsi="宋体"/>
          <w:b/>
          <w:sz w:val="24"/>
          <w:szCs w:val="24"/>
          <w:highlight w:val="none"/>
          <w:lang w:val="en-US" w:eastAsia="zh-CN"/>
        </w:rPr>
        <w:t>扫描件</w:t>
      </w:r>
      <w:r>
        <w:rPr>
          <w:rFonts w:ascii="宋体" w:hAnsi="宋体"/>
          <w:b/>
          <w:sz w:val="24"/>
          <w:highlight w:val="none"/>
        </w:rPr>
        <w:t>，如由法定代表人亲自签署</w:t>
      </w:r>
      <w:r>
        <w:rPr>
          <w:rFonts w:ascii="宋体" w:hAnsi="宋体"/>
          <w:b/>
          <w:bCs/>
          <w:sz w:val="24"/>
          <w:highlight w:val="none"/>
        </w:rPr>
        <w:t>投标文件</w:t>
      </w:r>
      <w:r>
        <w:rPr>
          <w:rFonts w:ascii="宋体" w:hAnsi="宋体"/>
          <w:b/>
          <w:sz w:val="24"/>
          <w:highlight w:val="none"/>
        </w:rPr>
        <w:t>并参与相关活动，则不需要办理授权。如由被授权的代理人签署上述文件，则必须按本格式规定填报并提交授权书，否则被授权的代理人将不被认可</w:t>
      </w:r>
      <w:r>
        <w:rPr>
          <w:rFonts w:hint="eastAsia" w:ascii="宋体" w:hAnsi="宋体"/>
          <w:b/>
          <w:sz w:val="24"/>
          <w:highlight w:val="none"/>
        </w:rPr>
        <w:t>。</w:t>
      </w:r>
    </w:p>
    <w:p w14:paraId="75545694">
      <w:pPr>
        <w:ind w:right="480"/>
        <w:rPr>
          <w:rFonts w:hint="eastAsia" w:ascii="宋体" w:hAnsi="宋体"/>
          <w:sz w:val="24"/>
          <w:szCs w:val="24"/>
          <w:highlight w:val="none"/>
        </w:rPr>
      </w:pPr>
    </w:p>
    <w:tbl>
      <w:tblPr>
        <w:tblStyle w:val="2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813"/>
        <w:gridCol w:w="4814"/>
      </w:tblGrid>
      <w:tr w14:paraId="36313A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6" w:hRule="atLeast"/>
        </w:trPr>
        <w:tc>
          <w:tcPr>
            <w:tcW w:w="4813" w:type="dxa"/>
            <w:noWrap w:val="0"/>
            <w:vAlign w:val="center"/>
          </w:tcPr>
          <w:p w14:paraId="34AF5E95">
            <w:pPr>
              <w:widowControl w:val="0"/>
              <w:spacing w:before="317" w:beforeLines="100" w:after="317" w:afterLines="100" w:line="600" w:lineRule="exact"/>
              <w:jc w:val="center"/>
              <w:rPr>
                <w:rFonts w:ascii="宋体" w:hAnsi="宋体"/>
                <w:highlight w:val="none"/>
              </w:rPr>
            </w:pPr>
            <w:r>
              <w:rPr>
                <w:rFonts w:hint="eastAsia" w:ascii="宋体" w:hAnsi="宋体"/>
                <w:sz w:val="24"/>
                <w:szCs w:val="24"/>
                <w:highlight w:val="none"/>
              </w:rPr>
              <w:t>代理</w:t>
            </w:r>
            <w:r>
              <w:rPr>
                <w:rFonts w:hint="eastAsia" w:ascii="宋体" w:hAnsi="宋体" w:eastAsia="Times New Roman"/>
                <w:sz w:val="24"/>
                <w:szCs w:val="24"/>
                <w:highlight w:val="none"/>
              </w:rPr>
              <w:t>人身份证</w:t>
            </w:r>
            <w:r>
              <w:rPr>
                <w:rFonts w:hint="eastAsia" w:ascii="宋体" w:hAnsi="宋体"/>
                <w:sz w:val="24"/>
                <w:szCs w:val="24"/>
                <w:highlight w:val="none"/>
              </w:rPr>
              <w:t>正面</w:t>
            </w:r>
          </w:p>
        </w:tc>
        <w:tc>
          <w:tcPr>
            <w:tcW w:w="4814" w:type="dxa"/>
            <w:noWrap w:val="0"/>
            <w:vAlign w:val="center"/>
          </w:tcPr>
          <w:p w14:paraId="4F51ECBD">
            <w:pPr>
              <w:widowControl w:val="0"/>
              <w:spacing w:before="317" w:beforeLines="100" w:after="317" w:afterLines="100" w:line="600" w:lineRule="exact"/>
              <w:jc w:val="center"/>
              <w:rPr>
                <w:rFonts w:ascii="宋体" w:hAnsi="宋体" w:eastAsia="Times New Roman"/>
                <w:highlight w:val="none"/>
              </w:rPr>
            </w:pPr>
            <w:r>
              <w:rPr>
                <w:rFonts w:hint="eastAsia" w:ascii="宋体" w:hAnsi="宋体"/>
                <w:sz w:val="24"/>
                <w:szCs w:val="24"/>
                <w:highlight w:val="none"/>
              </w:rPr>
              <w:t>代理</w:t>
            </w:r>
            <w:r>
              <w:rPr>
                <w:rFonts w:hint="eastAsia" w:ascii="宋体" w:hAnsi="宋体" w:eastAsia="Times New Roman"/>
                <w:sz w:val="24"/>
                <w:szCs w:val="24"/>
                <w:highlight w:val="none"/>
              </w:rPr>
              <w:t>人身份证</w:t>
            </w:r>
            <w:r>
              <w:rPr>
                <w:rFonts w:hint="eastAsia" w:ascii="宋体" w:hAnsi="宋体"/>
                <w:sz w:val="24"/>
                <w:szCs w:val="24"/>
                <w:highlight w:val="none"/>
              </w:rPr>
              <w:t>反面</w:t>
            </w:r>
          </w:p>
        </w:tc>
      </w:tr>
    </w:tbl>
    <w:p w14:paraId="620144C6">
      <w:pPr>
        <w:spacing w:line="240" w:lineRule="exact"/>
        <w:rPr>
          <w:rFonts w:hint="eastAsia" w:ascii="宋体" w:hAnsi="宋体"/>
          <w:b/>
          <w:bCs/>
          <w:sz w:val="44"/>
          <w:szCs w:val="44"/>
          <w:highlight w:val="none"/>
        </w:rPr>
      </w:pPr>
    </w:p>
    <w:p w14:paraId="52F89545">
      <w:pPr>
        <w:pStyle w:val="4"/>
        <w:widowControl/>
        <w:autoSpaceDE w:val="0"/>
        <w:spacing w:before="0" w:after="0" w:line="360" w:lineRule="auto"/>
        <w:jc w:val="center"/>
        <w:rPr>
          <w:rFonts w:hint="eastAsia" w:ascii="宋体" w:hAnsi="宋体" w:eastAsia="宋体" w:cs="宋体"/>
          <w:szCs w:val="28"/>
        </w:rPr>
      </w:pPr>
      <w:bookmarkStart w:id="270" w:name="_Toc25271"/>
      <w:bookmarkEnd w:id="270"/>
      <w:bookmarkStart w:id="271" w:name="_Toc26620"/>
      <w:bookmarkEnd w:id="271"/>
      <w:bookmarkStart w:id="272" w:name="_Toc28613"/>
      <w:r>
        <w:rPr>
          <w:rFonts w:hint="eastAsia" w:ascii="宋体" w:hAnsi="宋体"/>
          <w:szCs w:val="28"/>
          <w:highlight w:val="none"/>
        </w:rPr>
        <w:br w:type="page"/>
      </w:r>
      <w:bookmarkStart w:id="273" w:name="_Toc6680"/>
      <w:bookmarkStart w:id="274" w:name="_Toc30543"/>
      <w:r>
        <w:rPr>
          <w:rFonts w:hint="eastAsia" w:ascii="宋体" w:hAnsi="宋体" w:eastAsia="宋体" w:cs="宋体"/>
          <w:szCs w:val="28"/>
        </w:rPr>
        <w:t>五、投标人基本情况表</w:t>
      </w:r>
      <w:bookmarkEnd w:id="273"/>
      <w:bookmarkEnd w:id="274"/>
    </w:p>
    <w:tbl>
      <w:tblPr>
        <w:tblStyle w:val="2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49"/>
        <w:gridCol w:w="1350"/>
        <w:gridCol w:w="2721"/>
        <w:gridCol w:w="1404"/>
        <w:gridCol w:w="1982"/>
      </w:tblGrid>
      <w:tr w14:paraId="32318C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449" w:type="dxa"/>
            <w:tcBorders>
              <w:top w:val="single" w:color="auto" w:sz="4" w:space="0"/>
              <w:left w:val="single" w:color="auto" w:sz="4" w:space="0"/>
              <w:bottom w:val="single" w:color="auto" w:sz="4" w:space="0"/>
              <w:right w:val="single" w:color="auto" w:sz="4" w:space="0"/>
            </w:tcBorders>
            <w:noWrap w:val="0"/>
            <w:vAlign w:val="center"/>
          </w:tcPr>
          <w:p w14:paraId="5CF262B1">
            <w:pPr>
              <w:spacing w:line="440" w:lineRule="exact"/>
              <w:jc w:val="center"/>
              <w:rPr>
                <w:rFonts w:hint="eastAsia" w:ascii="宋体" w:hAnsi="宋体" w:eastAsia="宋体" w:cs="宋体"/>
                <w:sz w:val="24"/>
                <w:szCs w:val="24"/>
              </w:rPr>
            </w:pPr>
            <w:r>
              <w:rPr>
                <w:rFonts w:hint="eastAsia" w:ascii="宋体" w:hAnsi="宋体" w:eastAsia="宋体" w:cs="宋体"/>
                <w:sz w:val="24"/>
                <w:szCs w:val="24"/>
              </w:rPr>
              <w:t>投标人名称</w:t>
            </w:r>
          </w:p>
        </w:tc>
        <w:tc>
          <w:tcPr>
            <w:tcW w:w="7457" w:type="dxa"/>
            <w:gridSpan w:val="4"/>
            <w:tcBorders>
              <w:top w:val="single" w:color="auto" w:sz="4" w:space="0"/>
              <w:left w:val="nil"/>
              <w:bottom w:val="single" w:color="auto" w:sz="4" w:space="0"/>
              <w:right w:val="single" w:color="auto" w:sz="4" w:space="0"/>
            </w:tcBorders>
            <w:noWrap w:val="0"/>
            <w:vAlign w:val="center"/>
          </w:tcPr>
          <w:p w14:paraId="033E5477">
            <w:pPr>
              <w:spacing w:line="440" w:lineRule="exact"/>
              <w:jc w:val="center"/>
              <w:rPr>
                <w:rFonts w:hint="eastAsia" w:ascii="宋体" w:hAnsi="宋体" w:eastAsia="宋体" w:cs="宋体"/>
                <w:sz w:val="24"/>
                <w:szCs w:val="24"/>
              </w:rPr>
            </w:pPr>
          </w:p>
        </w:tc>
      </w:tr>
      <w:tr w14:paraId="5370B2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449" w:type="dxa"/>
            <w:tcBorders>
              <w:top w:val="single" w:color="auto" w:sz="4" w:space="0"/>
              <w:left w:val="single" w:color="auto" w:sz="4" w:space="0"/>
              <w:bottom w:val="single" w:color="auto" w:sz="4" w:space="0"/>
              <w:right w:val="single" w:color="auto" w:sz="4" w:space="0"/>
            </w:tcBorders>
            <w:noWrap w:val="0"/>
            <w:vAlign w:val="center"/>
          </w:tcPr>
          <w:p w14:paraId="33E55297">
            <w:pPr>
              <w:spacing w:line="440" w:lineRule="exact"/>
              <w:jc w:val="center"/>
              <w:rPr>
                <w:rFonts w:hint="eastAsia" w:ascii="宋体" w:hAnsi="宋体" w:eastAsia="宋体" w:cs="宋体"/>
                <w:sz w:val="24"/>
                <w:szCs w:val="24"/>
              </w:rPr>
            </w:pPr>
            <w:r>
              <w:rPr>
                <w:rFonts w:hint="eastAsia" w:ascii="宋体" w:hAnsi="宋体" w:eastAsia="宋体" w:cs="宋体"/>
                <w:sz w:val="24"/>
                <w:szCs w:val="24"/>
              </w:rPr>
              <w:t>注册资金</w:t>
            </w:r>
          </w:p>
        </w:tc>
        <w:tc>
          <w:tcPr>
            <w:tcW w:w="4071" w:type="dxa"/>
            <w:gridSpan w:val="2"/>
            <w:tcBorders>
              <w:top w:val="single" w:color="auto" w:sz="4" w:space="0"/>
              <w:left w:val="nil"/>
              <w:bottom w:val="single" w:color="auto" w:sz="4" w:space="0"/>
              <w:right w:val="single" w:color="auto" w:sz="4" w:space="0"/>
            </w:tcBorders>
            <w:noWrap w:val="0"/>
            <w:vAlign w:val="center"/>
          </w:tcPr>
          <w:p w14:paraId="6333A2B9">
            <w:pPr>
              <w:spacing w:line="440" w:lineRule="exact"/>
              <w:jc w:val="center"/>
              <w:rPr>
                <w:rFonts w:hint="eastAsia" w:ascii="宋体" w:hAnsi="宋体" w:eastAsia="宋体" w:cs="宋体"/>
                <w:sz w:val="24"/>
                <w:szCs w:val="24"/>
              </w:rPr>
            </w:pPr>
          </w:p>
        </w:tc>
        <w:tc>
          <w:tcPr>
            <w:tcW w:w="1404" w:type="dxa"/>
            <w:tcBorders>
              <w:top w:val="single" w:color="auto" w:sz="4" w:space="0"/>
              <w:left w:val="nil"/>
              <w:bottom w:val="single" w:color="auto" w:sz="4" w:space="0"/>
              <w:right w:val="single" w:color="auto" w:sz="4" w:space="0"/>
            </w:tcBorders>
            <w:noWrap w:val="0"/>
            <w:vAlign w:val="center"/>
          </w:tcPr>
          <w:p w14:paraId="4F122CB0">
            <w:pPr>
              <w:spacing w:line="440" w:lineRule="exact"/>
              <w:jc w:val="center"/>
              <w:rPr>
                <w:rFonts w:hint="eastAsia" w:ascii="宋体" w:hAnsi="宋体" w:eastAsia="宋体" w:cs="宋体"/>
                <w:sz w:val="24"/>
                <w:szCs w:val="24"/>
              </w:rPr>
            </w:pPr>
            <w:r>
              <w:rPr>
                <w:rFonts w:hint="eastAsia" w:ascii="宋体" w:hAnsi="宋体" w:eastAsia="宋体" w:cs="宋体"/>
                <w:sz w:val="24"/>
                <w:szCs w:val="24"/>
              </w:rPr>
              <w:t>成立时间</w:t>
            </w:r>
          </w:p>
        </w:tc>
        <w:tc>
          <w:tcPr>
            <w:tcW w:w="1982" w:type="dxa"/>
            <w:tcBorders>
              <w:top w:val="single" w:color="auto" w:sz="4" w:space="0"/>
              <w:left w:val="nil"/>
              <w:bottom w:val="single" w:color="auto" w:sz="4" w:space="0"/>
              <w:right w:val="single" w:color="auto" w:sz="4" w:space="0"/>
            </w:tcBorders>
            <w:noWrap w:val="0"/>
            <w:vAlign w:val="center"/>
          </w:tcPr>
          <w:p w14:paraId="65F03C9B">
            <w:pPr>
              <w:spacing w:line="440" w:lineRule="exact"/>
              <w:jc w:val="center"/>
              <w:rPr>
                <w:rFonts w:hint="eastAsia" w:ascii="宋体" w:hAnsi="宋体" w:eastAsia="宋体" w:cs="宋体"/>
                <w:sz w:val="24"/>
                <w:szCs w:val="24"/>
              </w:rPr>
            </w:pPr>
          </w:p>
        </w:tc>
      </w:tr>
      <w:tr w14:paraId="0A4008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449" w:type="dxa"/>
            <w:tcBorders>
              <w:top w:val="single" w:color="auto" w:sz="4" w:space="0"/>
              <w:left w:val="single" w:color="auto" w:sz="4" w:space="0"/>
              <w:bottom w:val="single" w:color="auto" w:sz="4" w:space="0"/>
              <w:right w:val="single" w:color="auto" w:sz="4" w:space="0"/>
            </w:tcBorders>
            <w:noWrap w:val="0"/>
            <w:vAlign w:val="center"/>
          </w:tcPr>
          <w:p w14:paraId="02745098">
            <w:pPr>
              <w:spacing w:line="440" w:lineRule="exact"/>
              <w:jc w:val="center"/>
              <w:rPr>
                <w:rFonts w:hint="eastAsia" w:ascii="宋体" w:hAnsi="宋体" w:eastAsia="宋体" w:cs="宋体"/>
                <w:sz w:val="24"/>
                <w:szCs w:val="24"/>
              </w:rPr>
            </w:pPr>
            <w:r>
              <w:rPr>
                <w:rFonts w:hint="eastAsia" w:ascii="宋体" w:hAnsi="宋体" w:eastAsia="宋体" w:cs="宋体"/>
                <w:sz w:val="24"/>
                <w:szCs w:val="24"/>
              </w:rPr>
              <w:t>注册地址</w:t>
            </w:r>
          </w:p>
        </w:tc>
        <w:tc>
          <w:tcPr>
            <w:tcW w:w="7457" w:type="dxa"/>
            <w:gridSpan w:val="4"/>
            <w:tcBorders>
              <w:top w:val="single" w:color="auto" w:sz="4" w:space="0"/>
              <w:left w:val="nil"/>
              <w:bottom w:val="single" w:color="auto" w:sz="4" w:space="0"/>
              <w:right w:val="single" w:color="auto" w:sz="4" w:space="0"/>
            </w:tcBorders>
            <w:noWrap w:val="0"/>
            <w:vAlign w:val="center"/>
          </w:tcPr>
          <w:p w14:paraId="22D853DF">
            <w:pPr>
              <w:spacing w:line="440" w:lineRule="exact"/>
              <w:jc w:val="center"/>
              <w:rPr>
                <w:rFonts w:hint="eastAsia" w:ascii="宋体" w:hAnsi="宋体" w:eastAsia="宋体" w:cs="宋体"/>
                <w:sz w:val="24"/>
                <w:szCs w:val="24"/>
              </w:rPr>
            </w:pPr>
          </w:p>
        </w:tc>
      </w:tr>
      <w:tr w14:paraId="700536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449" w:type="dxa"/>
            <w:tcBorders>
              <w:top w:val="single" w:color="auto" w:sz="4" w:space="0"/>
              <w:left w:val="single" w:color="auto" w:sz="4" w:space="0"/>
              <w:bottom w:val="single" w:color="auto" w:sz="4" w:space="0"/>
              <w:right w:val="single" w:color="auto" w:sz="4" w:space="0"/>
            </w:tcBorders>
            <w:noWrap w:val="0"/>
            <w:vAlign w:val="center"/>
          </w:tcPr>
          <w:p w14:paraId="290517F4">
            <w:pPr>
              <w:spacing w:line="440" w:lineRule="exact"/>
              <w:jc w:val="center"/>
              <w:rPr>
                <w:rFonts w:hint="eastAsia" w:ascii="宋体" w:hAnsi="宋体" w:eastAsia="宋体" w:cs="宋体"/>
                <w:sz w:val="24"/>
                <w:szCs w:val="24"/>
              </w:rPr>
            </w:pPr>
            <w:r>
              <w:rPr>
                <w:rFonts w:hint="eastAsia" w:ascii="宋体" w:hAnsi="宋体" w:eastAsia="宋体" w:cs="宋体"/>
                <w:sz w:val="24"/>
                <w:szCs w:val="24"/>
              </w:rPr>
              <w:t>邮政编码</w:t>
            </w:r>
          </w:p>
        </w:tc>
        <w:tc>
          <w:tcPr>
            <w:tcW w:w="4071" w:type="dxa"/>
            <w:gridSpan w:val="2"/>
            <w:tcBorders>
              <w:top w:val="single" w:color="auto" w:sz="4" w:space="0"/>
              <w:left w:val="nil"/>
              <w:bottom w:val="single" w:color="auto" w:sz="4" w:space="0"/>
              <w:right w:val="single" w:color="auto" w:sz="4" w:space="0"/>
            </w:tcBorders>
            <w:noWrap w:val="0"/>
            <w:vAlign w:val="center"/>
          </w:tcPr>
          <w:p w14:paraId="1C2BAB64">
            <w:pPr>
              <w:spacing w:line="440" w:lineRule="exact"/>
              <w:jc w:val="center"/>
              <w:rPr>
                <w:rFonts w:hint="eastAsia" w:ascii="宋体" w:hAnsi="宋体" w:eastAsia="宋体" w:cs="宋体"/>
                <w:sz w:val="24"/>
                <w:szCs w:val="24"/>
              </w:rPr>
            </w:pPr>
          </w:p>
        </w:tc>
        <w:tc>
          <w:tcPr>
            <w:tcW w:w="1404" w:type="dxa"/>
            <w:tcBorders>
              <w:top w:val="single" w:color="auto" w:sz="4" w:space="0"/>
              <w:left w:val="nil"/>
              <w:bottom w:val="single" w:color="auto" w:sz="4" w:space="0"/>
              <w:right w:val="single" w:color="auto" w:sz="4" w:space="0"/>
            </w:tcBorders>
            <w:noWrap w:val="0"/>
            <w:vAlign w:val="center"/>
          </w:tcPr>
          <w:p w14:paraId="6A33FB6C">
            <w:pPr>
              <w:spacing w:line="440" w:lineRule="exact"/>
              <w:jc w:val="center"/>
              <w:rPr>
                <w:rFonts w:hint="eastAsia" w:ascii="宋体" w:hAnsi="宋体" w:eastAsia="宋体" w:cs="宋体"/>
                <w:sz w:val="24"/>
                <w:szCs w:val="24"/>
              </w:rPr>
            </w:pPr>
            <w:r>
              <w:rPr>
                <w:rFonts w:hint="eastAsia" w:ascii="宋体" w:hAnsi="宋体" w:eastAsia="宋体" w:cs="宋体"/>
                <w:sz w:val="24"/>
                <w:szCs w:val="24"/>
              </w:rPr>
              <w:t>员工总数</w:t>
            </w:r>
          </w:p>
        </w:tc>
        <w:tc>
          <w:tcPr>
            <w:tcW w:w="1982" w:type="dxa"/>
            <w:tcBorders>
              <w:top w:val="single" w:color="auto" w:sz="4" w:space="0"/>
              <w:left w:val="nil"/>
              <w:bottom w:val="single" w:color="auto" w:sz="4" w:space="0"/>
              <w:right w:val="single" w:color="auto" w:sz="4" w:space="0"/>
            </w:tcBorders>
            <w:noWrap w:val="0"/>
            <w:vAlign w:val="center"/>
          </w:tcPr>
          <w:p w14:paraId="390FE386">
            <w:pPr>
              <w:spacing w:line="440" w:lineRule="exact"/>
              <w:jc w:val="center"/>
              <w:rPr>
                <w:rFonts w:hint="eastAsia" w:ascii="宋体" w:hAnsi="宋体" w:eastAsia="宋体" w:cs="宋体"/>
                <w:sz w:val="24"/>
                <w:szCs w:val="24"/>
              </w:rPr>
            </w:pPr>
          </w:p>
        </w:tc>
      </w:tr>
      <w:tr w14:paraId="3BFD47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449" w:type="dxa"/>
            <w:vMerge w:val="restart"/>
            <w:tcBorders>
              <w:top w:val="nil"/>
              <w:left w:val="single" w:color="auto" w:sz="4" w:space="0"/>
              <w:bottom w:val="single" w:color="auto" w:sz="4" w:space="0"/>
              <w:right w:val="single" w:color="auto" w:sz="4" w:space="0"/>
            </w:tcBorders>
            <w:noWrap w:val="0"/>
            <w:vAlign w:val="center"/>
          </w:tcPr>
          <w:p w14:paraId="15ABB0D0">
            <w:pPr>
              <w:spacing w:line="440" w:lineRule="exact"/>
              <w:jc w:val="center"/>
              <w:rPr>
                <w:rFonts w:hint="eastAsia" w:ascii="宋体" w:hAnsi="宋体" w:eastAsia="宋体" w:cs="宋体"/>
                <w:sz w:val="24"/>
                <w:szCs w:val="24"/>
              </w:rPr>
            </w:pPr>
            <w:r>
              <w:rPr>
                <w:rFonts w:hint="eastAsia" w:ascii="宋体" w:hAnsi="宋体" w:eastAsia="宋体" w:cs="宋体"/>
                <w:sz w:val="24"/>
                <w:szCs w:val="24"/>
              </w:rPr>
              <w:t>联系方式</w:t>
            </w:r>
          </w:p>
        </w:tc>
        <w:tc>
          <w:tcPr>
            <w:tcW w:w="1350" w:type="dxa"/>
            <w:tcBorders>
              <w:top w:val="single" w:color="auto" w:sz="4" w:space="0"/>
              <w:left w:val="nil"/>
              <w:bottom w:val="single" w:color="auto" w:sz="4" w:space="0"/>
              <w:right w:val="single" w:color="auto" w:sz="4" w:space="0"/>
            </w:tcBorders>
            <w:noWrap w:val="0"/>
            <w:vAlign w:val="center"/>
          </w:tcPr>
          <w:p w14:paraId="410237D5">
            <w:pPr>
              <w:spacing w:line="440" w:lineRule="exact"/>
              <w:jc w:val="center"/>
              <w:rPr>
                <w:rFonts w:hint="eastAsia" w:ascii="宋体" w:hAnsi="宋体" w:eastAsia="宋体" w:cs="宋体"/>
                <w:sz w:val="24"/>
                <w:szCs w:val="24"/>
              </w:rPr>
            </w:pPr>
            <w:r>
              <w:rPr>
                <w:rFonts w:hint="eastAsia" w:ascii="宋体" w:hAnsi="宋体" w:eastAsia="宋体" w:cs="宋体"/>
                <w:sz w:val="24"/>
                <w:szCs w:val="24"/>
              </w:rPr>
              <w:t>联系人</w:t>
            </w:r>
          </w:p>
        </w:tc>
        <w:tc>
          <w:tcPr>
            <w:tcW w:w="2721" w:type="dxa"/>
            <w:tcBorders>
              <w:top w:val="single" w:color="auto" w:sz="4" w:space="0"/>
              <w:left w:val="nil"/>
              <w:bottom w:val="single" w:color="auto" w:sz="4" w:space="0"/>
              <w:right w:val="single" w:color="auto" w:sz="4" w:space="0"/>
            </w:tcBorders>
            <w:noWrap w:val="0"/>
            <w:vAlign w:val="center"/>
          </w:tcPr>
          <w:p w14:paraId="0C7B6645">
            <w:pPr>
              <w:spacing w:line="440" w:lineRule="exact"/>
              <w:jc w:val="center"/>
              <w:rPr>
                <w:rFonts w:hint="eastAsia" w:ascii="宋体" w:hAnsi="宋体" w:eastAsia="宋体" w:cs="宋体"/>
                <w:sz w:val="24"/>
                <w:szCs w:val="24"/>
              </w:rPr>
            </w:pPr>
          </w:p>
        </w:tc>
        <w:tc>
          <w:tcPr>
            <w:tcW w:w="1404" w:type="dxa"/>
            <w:tcBorders>
              <w:top w:val="single" w:color="auto" w:sz="4" w:space="0"/>
              <w:left w:val="nil"/>
              <w:bottom w:val="single" w:color="auto" w:sz="4" w:space="0"/>
              <w:right w:val="single" w:color="auto" w:sz="4" w:space="0"/>
            </w:tcBorders>
            <w:noWrap w:val="0"/>
            <w:vAlign w:val="center"/>
          </w:tcPr>
          <w:p w14:paraId="61D90B87">
            <w:pPr>
              <w:spacing w:line="440" w:lineRule="exact"/>
              <w:jc w:val="center"/>
              <w:rPr>
                <w:rFonts w:hint="eastAsia" w:ascii="宋体" w:hAnsi="宋体" w:eastAsia="宋体" w:cs="宋体"/>
                <w:sz w:val="24"/>
                <w:szCs w:val="24"/>
              </w:rPr>
            </w:pPr>
            <w:r>
              <w:rPr>
                <w:rFonts w:hint="eastAsia" w:ascii="宋体" w:hAnsi="宋体" w:eastAsia="宋体" w:cs="宋体"/>
                <w:sz w:val="24"/>
                <w:szCs w:val="24"/>
              </w:rPr>
              <w:t>电话</w:t>
            </w:r>
          </w:p>
        </w:tc>
        <w:tc>
          <w:tcPr>
            <w:tcW w:w="1982" w:type="dxa"/>
            <w:tcBorders>
              <w:top w:val="single" w:color="auto" w:sz="4" w:space="0"/>
              <w:left w:val="nil"/>
              <w:bottom w:val="single" w:color="auto" w:sz="4" w:space="0"/>
              <w:right w:val="single" w:color="auto" w:sz="4" w:space="0"/>
            </w:tcBorders>
            <w:noWrap w:val="0"/>
            <w:vAlign w:val="center"/>
          </w:tcPr>
          <w:p w14:paraId="47F64B4E">
            <w:pPr>
              <w:spacing w:line="440" w:lineRule="exact"/>
              <w:jc w:val="center"/>
              <w:rPr>
                <w:rFonts w:hint="eastAsia" w:ascii="宋体" w:hAnsi="宋体" w:eastAsia="宋体" w:cs="宋体"/>
                <w:sz w:val="24"/>
                <w:szCs w:val="24"/>
              </w:rPr>
            </w:pPr>
          </w:p>
        </w:tc>
      </w:tr>
      <w:tr w14:paraId="6208E2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449" w:type="dxa"/>
            <w:vMerge w:val="continue"/>
            <w:tcBorders>
              <w:top w:val="nil"/>
              <w:left w:val="single" w:color="auto" w:sz="4" w:space="0"/>
              <w:bottom w:val="single" w:color="auto" w:sz="4" w:space="0"/>
              <w:right w:val="single" w:color="auto" w:sz="4" w:space="0"/>
            </w:tcBorders>
            <w:noWrap w:val="0"/>
            <w:vAlign w:val="center"/>
          </w:tcPr>
          <w:p w14:paraId="021CDB17">
            <w:pPr>
              <w:widowControl w:val="0"/>
              <w:jc w:val="both"/>
              <w:rPr>
                <w:rFonts w:hint="eastAsia" w:ascii="宋体" w:hAnsi="宋体" w:eastAsia="宋体" w:cs="宋体"/>
                <w:kern w:val="2"/>
                <w:sz w:val="24"/>
                <w:szCs w:val="24"/>
              </w:rPr>
            </w:pPr>
          </w:p>
        </w:tc>
        <w:tc>
          <w:tcPr>
            <w:tcW w:w="1350" w:type="dxa"/>
            <w:tcBorders>
              <w:top w:val="single" w:color="auto" w:sz="4" w:space="0"/>
              <w:left w:val="nil"/>
              <w:bottom w:val="single" w:color="auto" w:sz="4" w:space="0"/>
              <w:right w:val="single" w:color="auto" w:sz="4" w:space="0"/>
            </w:tcBorders>
            <w:noWrap w:val="0"/>
            <w:vAlign w:val="center"/>
          </w:tcPr>
          <w:p w14:paraId="1B7F70CB">
            <w:pPr>
              <w:spacing w:line="440" w:lineRule="exact"/>
              <w:jc w:val="center"/>
              <w:rPr>
                <w:rFonts w:hint="eastAsia" w:ascii="宋体" w:hAnsi="宋体" w:eastAsia="宋体" w:cs="宋体"/>
                <w:sz w:val="24"/>
                <w:szCs w:val="24"/>
              </w:rPr>
            </w:pPr>
            <w:r>
              <w:rPr>
                <w:rFonts w:hint="eastAsia" w:ascii="宋体" w:hAnsi="宋体" w:eastAsia="宋体" w:cs="宋体"/>
                <w:sz w:val="24"/>
                <w:szCs w:val="24"/>
              </w:rPr>
              <w:t>网址</w:t>
            </w:r>
          </w:p>
        </w:tc>
        <w:tc>
          <w:tcPr>
            <w:tcW w:w="2721" w:type="dxa"/>
            <w:tcBorders>
              <w:top w:val="single" w:color="auto" w:sz="4" w:space="0"/>
              <w:left w:val="nil"/>
              <w:bottom w:val="single" w:color="auto" w:sz="4" w:space="0"/>
              <w:right w:val="single" w:color="auto" w:sz="4" w:space="0"/>
            </w:tcBorders>
            <w:noWrap w:val="0"/>
            <w:vAlign w:val="center"/>
          </w:tcPr>
          <w:p w14:paraId="0CF2A6F6">
            <w:pPr>
              <w:spacing w:line="440" w:lineRule="exact"/>
              <w:jc w:val="center"/>
              <w:rPr>
                <w:rFonts w:hint="eastAsia" w:ascii="宋体" w:hAnsi="宋体" w:eastAsia="宋体" w:cs="宋体"/>
                <w:sz w:val="24"/>
                <w:szCs w:val="24"/>
              </w:rPr>
            </w:pPr>
          </w:p>
        </w:tc>
        <w:tc>
          <w:tcPr>
            <w:tcW w:w="1404" w:type="dxa"/>
            <w:tcBorders>
              <w:top w:val="single" w:color="auto" w:sz="4" w:space="0"/>
              <w:left w:val="nil"/>
              <w:bottom w:val="single" w:color="auto" w:sz="4" w:space="0"/>
              <w:right w:val="single" w:color="auto" w:sz="4" w:space="0"/>
            </w:tcBorders>
            <w:noWrap w:val="0"/>
            <w:vAlign w:val="center"/>
          </w:tcPr>
          <w:p w14:paraId="08ADFD94">
            <w:pPr>
              <w:spacing w:line="440" w:lineRule="exact"/>
              <w:jc w:val="center"/>
              <w:rPr>
                <w:rFonts w:hint="eastAsia" w:ascii="宋体" w:hAnsi="宋体" w:eastAsia="宋体" w:cs="宋体"/>
                <w:sz w:val="24"/>
                <w:szCs w:val="24"/>
              </w:rPr>
            </w:pPr>
            <w:r>
              <w:rPr>
                <w:rFonts w:hint="eastAsia" w:ascii="宋体" w:hAnsi="宋体" w:eastAsia="宋体" w:cs="宋体"/>
                <w:sz w:val="24"/>
                <w:szCs w:val="24"/>
              </w:rPr>
              <w:t>传真</w:t>
            </w:r>
          </w:p>
        </w:tc>
        <w:tc>
          <w:tcPr>
            <w:tcW w:w="1982" w:type="dxa"/>
            <w:tcBorders>
              <w:top w:val="single" w:color="auto" w:sz="4" w:space="0"/>
              <w:left w:val="nil"/>
              <w:bottom w:val="single" w:color="auto" w:sz="4" w:space="0"/>
              <w:right w:val="single" w:color="auto" w:sz="4" w:space="0"/>
            </w:tcBorders>
            <w:noWrap w:val="0"/>
            <w:vAlign w:val="center"/>
          </w:tcPr>
          <w:p w14:paraId="130E570D">
            <w:pPr>
              <w:spacing w:line="440" w:lineRule="exact"/>
              <w:jc w:val="center"/>
              <w:rPr>
                <w:rFonts w:hint="eastAsia" w:ascii="宋体" w:hAnsi="宋体" w:eastAsia="宋体" w:cs="宋体"/>
                <w:sz w:val="24"/>
                <w:szCs w:val="24"/>
              </w:rPr>
            </w:pPr>
          </w:p>
        </w:tc>
      </w:tr>
      <w:tr w14:paraId="5582F2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449" w:type="dxa"/>
            <w:tcBorders>
              <w:top w:val="single" w:color="auto" w:sz="4" w:space="0"/>
              <w:left w:val="single" w:color="auto" w:sz="4" w:space="0"/>
              <w:bottom w:val="single" w:color="auto" w:sz="4" w:space="0"/>
              <w:right w:val="single" w:color="auto" w:sz="4" w:space="0"/>
            </w:tcBorders>
            <w:noWrap w:val="0"/>
            <w:vAlign w:val="center"/>
          </w:tcPr>
          <w:p w14:paraId="4599B9D6">
            <w:pPr>
              <w:spacing w:line="440" w:lineRule="exact"/>
              <w:jc w:val="center"/>
              <w:rPr>
                <w:rFonts w:hint="eastAsia" w:ascii="宋体" w:hAnsi="宋体" w:eastAsia="宋体" w:cs="宋体"/>
                <w:sz w:val="24"/>
                <w:szCs w:val="24"/>
              </w:rPr>
            </w:pPr>
            <w:r>
              <w:rPr>
                <w:rFonts w:hint="eastAsia" w:ascii="宋体" w:hAnsi="宋体" w:eastAsia="宋体" w:cs="宋体"/>
                <w:sz w:val="24"/>
                <w:szCs w:val="24"/>
              </w:rPr>
              <w:t>法定代表人</w:t>
            </w:r>
          </w:p>
          <w:p w14:paraId="6C40F3AF">
            <w:pPr>
              <w:spacing w:line="440" w:lineRule="exact"/>
              <w:jc w:val="center"/>
              <w:rPr>
                <w:rFonts w:hint="eastAsia" w:ascii="宋体" w:hAnsi="宋体" w:eastAsia="宋体" w:cs="宋体"/>
                <w:sz w:val="24"/>
                <w:szCs w:val="24"/>
              </w:rPr>
            </w:pPr>
            <w:r>
              <w:rPr>
                <w:rFonts w:hint="eastAsia" w:ascii="宋体" w:hAnsi="宋体" w:eastAsia="宋体" w:cs="宋体"/>
                <w:sz w:val="24"/>
                <w:szCs w:val="24"/>
              </w:rPr>
              <w:t>(单位负责人)</w:t>
            </w:r>
          </w:p>
        </w:tc>
        <w:tc>
          <w:tcPr>
            <w:tcW w:w="1350" w:type="dxa"/>
            <w:tcBorders>
              <w:top w:val="single" w:color="auto" w:sz="4" w:space="0"/>
              <w:left w:val="nil"/>
              <w:bottom w:val="single" w:color="auto" w:sz="4" w:space="0"/>
              <w:right w:val="single" w:color="auto" w:sz="4" w:space="0"/>
            </w:tcBorders>
            <w:noWrap w:val="0"/>
            <w:vAlign w:val="center"/>
          </w:tcPr>
          <w:p w14:paraId="4A863C6C">
            <w:pPr>
              <w:spacing w:line="440" w:lineRule="exact"/>
              <w:jc w:val="center"/>
              <w:rPr>
                <w:rFonts w:hint="eastAsia" w:ascii="宋体" w:hAnsi="宋体" w:eastAsia="宋体" w:cs="宋体"/>
                <w:sz w:val="24"/>
                <w:szCs w:val="24"/>
              </w:rPr>
            </w:pPr>
            <w:r>
              <w:rPr>
                <w:rFonts w:hint="eastAsia" w:ascii="宋体" w:hAnsi="宋体" w:eastAsia="宋体" w:cs="宋体"/>
                <w:sz w:val="24"/>
                <w:szCs w:val="24"/>
              </w:rPr>
              <w:t>姓名</w:t>
            </w:r>
          </w:p>
        </w:tc>
        <w:tc>
          <w:tcPr>
            <w:tcW w:w="2721" w:type="dxa"/>
            <w:tcBorders>
              <w:top w:val="single" w:color="auto" w:sz="4" w:space="0"/>
              <w:left w:val="nil"/>
              <w:bottom w:val="single" w:color="auto" w:sz="4" w:space="0"/>
              <w:right w:val="single" w:color="auto" w:sz="4" w:space="0"/>
            </w:tcBorders>
            <w:noWrap w:val="0"/>
            <w:vAlign w:val="center"/>
          </w:tcPr>
          <w:p w14:paraId="7A028582">
            <w:pPr>
              <w:spacing w:line="440" w:lineRule="exact"/>
              <w:jc w:val="center"/>
              <w:rPr>
                <w:rFonts w:hint="eastAsia" w:ascii="宋体" w:hAnsi="宋体" w:eastAsia="宋体" w:cs="宋体"/>
                <w:sz w:val="24"/>
                <w:szCs w:val="24"/>
              </w:rPr>
            </w:pPr>
          </w:p>
        </w:tc>
        <w:tc>
          <w:tcPr>
            <w:tcW w:w="1404" w:type="dxa"/>
            <w:tcBorders>
              <w:top w:val="single" w:color="auto" w:sz="4" w:space="0"/>
              <w:left w:val="nil"/>
              <w:bottom w:val="single" w:color="auto" w:sz="4" w:space="0"/>
              <w:right w:val="single" w:color="auto" w:sz="4" w:space="0"/>
            </w:tcBorders>
            <w:noWrap w:val="0"/>
            <w:vAlign w:val="center"/>
          </w:tcPr>
          <w:p w14:paraId="7282EC06">
            <w:pPr>
              <w:spacing w:line="440" w:lineRule="exact"/>
              <w:jc w:val="center"/>
              <w:rPr>
                <w:rFonts w:hint="eastAsia" w:ascii="宋体" w:hAnsi="宋体" w:eastAsia="宋体" w:cs="宋体"/>
                <w:sz w:val="24"/>
                <w:szCs w:val="24"/>
              </w:rPr>
            </w:pPr>
            <w:r>
              <w:rPr>
                <w:rFonts w:hint="eastAsia" w:ascii="宋体" w:hAnsi="宋体" w:eastAsia="宋体" w:cs="宋体"/>
                <w:sz w:val="24"/>
                <w:szCs w:val="24"/>
              </w:rPr>
              <w:t>电话</w:t>
            </w:r>
          </w:p>
        </w:tc>
        <w:tc>
          <w:tcPr>
            <w:tcW w:w="1982" w:type="dxa"/>
            <w:tcBorders>
              <w:top w:val="single" w:color="auto" w:sz="4" w:space="0"/>
              <w:left w:val="nil"/>
              <w:bottom w:val="single" w:color="auto" w:sz="4" w:space="0"/>
              <w:right w:val="single" w:color="auto" w:sz="4" w:space="0"/>
            </w:tcBorders>
            <w:noWrap w:val="0"/>
            <w:vAlign w:val="center"/>
          </w:tcPr>
          <w:p w14:paraId="767D6C4D">
            <w:pPr>
              <w:spacing w:line="440" w:lineRule="exact"/>
              <w:jc w:val="center"/>
              <w:rPr>
                <w:rFonts w:hint="eastAsia" w:ascii="宋体" w:hAnsi="宋体" w:eastAsia="宋体" w:cs="宋体"/>
                <w:sz w:val="24"/>
                <w:szCs w:val="24"/>
              </w:rPr>
            </w:pPr>
          </w:p>
        </w:tc>
      </w:tr>
      <w:tr w14:paraId="43BD77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449" w:type="dxa"/>
            <w:tcBorders>
              <w:top w:val="single" w:color="auto" w:sz="4" w:space="0"/>
              <w:left w:val="single" w:color="auto" w:sz="4" w:space="0"/>
              <w:bottom w:val="single" w:color="auto" w:sz="4" w:space="0"/>
              <w:right w:val="single" w:color="auto" w:sz="4" w:space="0"/>
            </w:tcBorders>
            <w:noWrap w:val="0"/>
            <w:vAlign w:val="center"/>
          </w:tcPr>
          <w:p w14:paraId="622D63D8">
            <w:pPr>
              <w:spacing w:line="440" w:lineRule="exact"/>
              <w:jc w:val="center"/>
              <w:rPr>
                <w:rFonts w:hint="eastAsia" w:ascii="宋体" w:hAnsi="宋体" w:eastAsia="宋体" w:cs="宋体"/>
                <w:sz w:val="24"/>
                <w:szCs w:val="24"/>
              </w:rPr>
            </w:pPr>
            <w:r>
              <w:rPr>
                <w:rFonts w:hint="eastAsia" w:ascii="宋体" w:hAnsi="宋体" w:eastAsia="宋体" w:cs="宋体"/>
                <w:sz w:val="24"/>
                <w:szCs w:val="24"/>
              </w:rPr>
              <w:t>投标人须知要求投标人需具有的各类资质证书(若有)</w:t>
            </w:r>
          </w:p>
        </w:tc>
        <w:tc>
          <w:tcPr>
            <w:tcW w:w="7457" w:type="dxa"/>
            <w:gridSpan w:val="4"/>
            <w:tcBorders>
              <w:top w:val="single" w:color="auto" w:sz="4" w:space="0"/>
              <w:left w:val="nil"/>
              <w:bottom w:val="single" w:color="auto" w:sz="4" w:space="0"/>
              <w:right w:val="single" w:color="auto" w:sz="4" w:space="0"/>
            </w:tcBorders>
            <w:noWrap w:val="0"/>
            <w:vAlign w:val="center"/>
          </w:tcPr>
          <w:p w14:paraId="23DC1B8E">
            <w:pPr>
              <w:spacing w:line="440" w:lineRule="exact"/>
              <w:rPr>
                <w:rFonts w:hint="eastAsia" w:ascii="宋体" w:hAnsi="宋体" w:eastAsia="宋体" w:cs="宋体"/>
                <w:sz w:val="24"/>
                <w:szCs w:val="24"/>
              </w:rPr>
            </w:pPr>
            <w:r>
              <w:rPr>
                <w:rFonts w:hint="eastAsia" w:ascii="宋体" w:hAnsi="宋体" w:eastAsia="宋体" w:cs="宋体"/>
                <w:sz w:val="24"/>
                <w:szCs w:val="24"/>
              </w:rPr>
              <w:t>类型：                等级：                 证书号：</w:t>
            </w:r>
          </w:p>
        </w:tc>
      </w:tr>
      <w:tr w14:paraId="65F987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449" w:type="dxa"/>
            <w:tcBorders>
              <w:top w:val="single" w:color="auto" w:sz="4" w:space="0"/>
              <w:left w:val="single" w:color="auto" w:sz="4" w:space="0"/>
              <w:bottom w:val="single" w:color="auto" w:sz="4" w:space="0"/>
              <w:right w:val="single" w:color="auto" w:sz="4" w:space="0"/>
            </w:tcBorders>
            <w:noWrap w:val="0"/>
            <w:vAlign w:val="center"/>
          </w:tcPr>
          <w:p w14:paraId="2DCFC1FB">
            <w:pPr>
              <w:spacing w:line="440" w:lineRule="exact"/>
              <w:jc w:val="center"/>
              <w:rPr>
                <w:rFonts w:hint="eastAsia" w:ascii="宋体" w:hAnsi="宋体" w:eastAsia="宋体" w:cs="宋体"/>
                <w:sz w:val="24"/>
                <w:szCs w:val="24"/>
              </w:rPr>
            </w:pPr>
            <w:r>
              <w:rPr>
                <w:rFonts w:hint="eastAsia" w:ascii="宋体" w:hAnsi="宋体" w:eastAsia="宋体" w:cs="宋体"/>
                <w:sz w:val="24"/>
                <w:szCs w:val="24"/>
              </w:rPr>
              <w:t>基本账户开户银行</w:t>
            </w:r>
          </w:p>
        </w:tc>
        <w:tc>
          <w:tcPr>
            <w:tcW w:w="7457" w:type="dxa"/>
            <w:gridSpan w:val="4"/>
            <w:tcBorders>
              <w:top w:val="single" w:color="auto" w:sz="4" w:space="0"/>
              <w:left w:val="nil"/>
              <w:bottom w:val="single" w:color="auto" w:sz="4" w:space="0"/>
              <w:right w:val="single" w:color="auto" w:sz="4" w:space="0"/>
            </w:tcBorders>
            <w:noWrap w:val="0"/>
            <w:vAlign w:val="center"/>
          </w:tcPr>
          <w:p w14:paraId="53B2416B">
            <w:pPr>
              <w:spacing w:line="440" w:lineRule="exact"/>
              <w:jc w:val="center"/>
              <w:rPr>
                <w:rFonts w:hint="eastAsia" w:ascii="宋体" w:hAnsi="宋体" w:eastAsia="宋体" w:cs="宋体"/>
                <w:sz w:val="24"/>
                <w:szCs w:val="24"/>
              </w:rPr>
            </w:pPr>
          </w:p>
        </w:tc>
      </w:tr>
      <w:tr w14:paraId="793A4A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449" w:type="dxa"/>
            <w:tcBorders>
              <w:top w:val="single" w:color="auto" w:sz="4" w:space="0"/>
              <w:left w:val="single" w:color="auto" w:sz="4" w:space="0"/>
              <w:bottom w:val="single" w:color="auto" w:sz="4" w:space="0"/>
              <w:right w:val="single" w:color="auto" w:sz="4" w:space="0"/>
            </w:tcBorders>
            <w:noWrap w:val="0"/>
            <w:vAlign w:val="center"/>
          </w:tcPr>
          <w:p w14:paraId="6EE16BB8">
            <w:pPr>
              <w:spacing w:line="440" w:lineRule="exact"/>
              <w:jc w:val="center"/>
              <w:rPr>
                <w:rFonts w:hint="eastAsia" w:ascii="宋体" w:hAnsi="宋体" w:eastAsia="宋体" w:cs="宋体"/>
                <w:sz w:val="24"/>
                <w:szCs w:val="24"/>
              </w:rPr>
            </w:pPr>
            <w:r>
              <w:rPr>
                <w:rFonts w:hint="eastAsia" w:ascii="宋体" w:hAnsi="宋体" w:eastAsia="宋体" w:cs="宋体"/>
                <w:sz w:val="24"/>
                <w:szCs w:val="24"/>
              </w:rPr>
              <w:t>基本账户银行账号</w:t>
            </w:r>
          </w:p>
        </w:tc>
        <w:tc>
          <w:tcPr>
            <w:tcW w:w="7457" w:type="dxa"/>
            <w:gridSpan w:val="4"/>
            <w:tcBorders>
              <w:top w:val="single" w:color="auto" w:sz="4" w:space="0"/>
              <w:left w:val="nil"/>
              <w:bottom w:val="single" w:color="auto" w:sz="4" w:space="0"/>
              <w:right w:val="single" w:color="auto" w:sz="4" w:space="0"/>
            </w:tcBorders>
            <w:noWrap w:val="0"/>
            <w:vAlign w:val="center"/>
          </w:tcPr>
          <w:p w14:paraId="7DC47856">
            <w:pPr>
              <w:spacing w:line="440" w:lineRule="exact"/>
              <w:jc w:val="center"/>
              <w:rPr>
                <w:rFonts w:hint="eastAsia" w:ascii="宋体" w:hAnsi="宋体" w:eastAsia="宋体" w:cs="宋体"/>
                <w:sz w:val="24"/>
                <w:szCs w:val="24"/>
              </w:rPr>
            </w:pPr>
          </w:p>
        </w:tc>
      </w:tr>
      <w:tr w14:paraId="7D7BF1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449" w:type="dxa"/>
            <w:tcBorders>
              <w:top w:val="single" w:color="auto" w:sz="4" w:space="0"/>
              <w:left w:val="single" w:color="auto" w:sz="4" w:space="0"/>
              <w:bottom w:val="single" w:color="auto" w:sz="4" w:space="0"/>
              <w:right w:val="single" w:color="auto" w:sz="4" w:space="0"/>
            </w:tcBorders>
            <w:noWrap w:val="0"/>
            <w:vAlign w:val="center"/>
          </w:tcPr>
          <w:p w14:paraId="0B921112">
            <w:pPr>
              <w:spacing w:line="440" w:lineRule="exact"/>
              <w:jc w:val="center"/>
              <w:rPr>
                <w:rFonts w:hint="eastAsia" w:ascii="宋体" w:hAnsi="宋体" w:eastAsia="宋体" w:cs="宋体"/>
                <w:sz w:val="24"/>
                <w:szCs w:val="24"/>
              </w:rPr>
            </w:pPr>
            <w:r>
              <w:rPr>
                <w:rFonts w:hint="eastAsia" w:ascii="宋体" w:hAnsi="宋体" w:eastAsia="宋体" w:cs="宋体"/>
                <w:sz w:val="24"/>
                <w:szCs w:val="24"/>
              </w:rPr>
              <w:t>投标人关联企业情况(包括但不限于与投标人法定代表人(单位负责人)为同一人或者存在控股、管理关系的不同单位)</w:t>
            </w:r>
          </w:p>
        </w:tc>
        <w:tc>
          <w:tcPr>
            <w:tcW w:w="7457" w:type="dxa"/>
            <w:gridSpan w:val="4"/>
            <w:tcBorders>
              <w:top w:val="single" w:color="auto" w:sz="4" w:space="0"/>
              <w:left w:val="nil"/>
              <w:bottom w:val="single" w:color="auto" w:sz="4" w:space="0"/>
              <w:right w:val="single" w:color="auto" w:sz="4" w:space="0"/>
            </w:tcBorders>
            <w:noWrap w:val="0"/>
            <w:vAlign w:val="center"/>
          </w:tcPr>
          <w:p w14:paraId="6206C725">
            <w:pPr>
              <w:spacing w:line="440" w:lineRule="exact"/>
              <w:jc w:val="center"/>
              <w:rPr>
                <w:rFonts w:hint="eastAsia" w:ascii="宋体" w:hAnsi="宋体" w:eastAsia="宋体" w:cs="宋体"/>
                <w:sz w:val="24"/>
                <w:szCs w:val="24"/>
              </w:rPr>
            </w:pPr>
          </w:p>
        </w:tc>
      </w:tr>
      <w:tr w14:paraId="5E62AE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449" w:type="dxa"/>
            <w:tcBorders>
              <w:top w:val="single" w:color="auto" w:sz="4" w:space="0"/>
              <w:left w:val="single" w:color="auto" w:sz="4" w:space="0"/>
              <w:bottom w:val="single" w:color="auto" w:sz="4" w:space="0"/>
              <w:right w:val="single" w:color="auto" w:sz="4" w:space="0"/>
            </w:tcBorders>
            <w:noWrap w:val="0"/>
            <w:vAlign w:val="center"/>
          </w:tcPr>
          <w:p w14:paraId="32B7768C">
            <w:pPr>
              <w:spacing w:line="440" w:lineRule="exact"/>
              <w:jc w:val="center"/>
              <w:rPr>
                <w:rFonts w:hint="eastAsia" w:ascii="宋体" w:hAnsi="宋体" w:eastAsia="宋体" w:cs="宋体"/>
                <w:sz w:val="24"/>
                <w:szCs w:val="24"/>
              </w:rPr>
            </w:pPr>
            <w:r>
              <w:rPr>
                <w:rFonts w:hint="eastAsia" w:ascii="宋体" w:hAnsi="宋体" w:eastAsia="宋体" w:cs="宋体"/>
                <w:sz w:val="24"/>
                <w:szCs w:val="24"/>
              </w:rPr>
              <w:t>备注</w:t>
            </w:r>
          </w:p>
        </w:tc>
        <w:tc>
          <w:tcPr>
            <w:tcW w:w="7457" w:type="dxa"/>
            <w:gridSpan w:val="4"/>
            <w:tcBorders>
              <w:top w:val="single" w:color="auto" w:sz="4" w:space="0"/>
              <w:left w:val="nil"/>
              <w:bottom w:val="single" w:color="auto" w:sz="4" w:space="0"/>
              <w:right w:val="single" w:color="auto" w:sz="4" w:space="0"/>
            </w:tcBorders>
            <w:noWrap w:val="0"/>
            <w:vAlign w:val="center"/>
          </w:tcPr>
          <w:p w14:paraId="66E6FDA4">
            <w:pPr>
              <w:spacing w:line="440" w:lineRule="exact"/>
              <w:jc w:val="center"/>
              <w:rPr>
                <w:rFonts w:hint="eastAsia" w:ascii="宋体" w:hAnsi="宋体" w:eastAsia="宋体" w:cs="宋体"/>
                <w:sz w:val="24"/>
                <w:szCs w:val="24"/>
              </w:rPr>
            </w:pPr>
          </w:p>
        </w:tc>
      </w:tr>
    </w:tbl>
    <w:p w14:paraId="3491E0AD">
      <w:pPr>
        <w:bidi w:val="0"/>
        <w:rPr>
          <w:rFonts w:hint="eastAsia"/>
          <w:sz w:val="22"/>
          <w:szCs w:val="22"/>
        </w:rPr>
      </w:pPr>
      <w:r>
        <w:rPr>
          <w:rFonts w:hint="eastAsia"/>
          <w:sz w:val="22"/>
          <w:szCs w:val="22"/>
        </w:rPr>
        <w:t>注：投标人应根据招标文件要求在本表后附相关证明材料，如资质证书(若有)、</w:t>
      </w:r>
      <w:r>
        <w:rPr>
          <w:rFonts w:hint="eastAsia"/>
          <w:sz w:val="22"/>
          <w:szCs w:val="22"/>
          <w:lang w:eastAsia="zh-CN"/>
        </w:rPr>
        <w:t>开户许可证或基本存款账户信息</w:t>
      </w:r>
      <w:r>
        <w:rPr>
          <w:rFonts w:hint="eastAsia"/>
          <w:sz w:val="22"/>
          <w:szCs w:val="22"/>
        </w:rPr>
        <w:t>等。</w:t>
      </w:r>
    </w:p>
    <w:p w14:paraId="240035E2">
      <w:pPr>
        <w:pStyle w:val="4"/>
        <w:widowControl/>
        <w:autoSpaceDE w:val="0"/>
        <w:spacing w:before="0" w:after="0" w:line="360" w:lineRule="auto"/>
        <w:jc w:val="center"/>
        <w:rPr>
          <w:rFonts w:hint="eastAsia" w:ascii="宋体" w:hAnsi="宋体"/>
          <w:szCs w:val="28"/>
          <w:highlight w:val="none"/>
        </w:rPr>
      </w:pPr>
      <w:r>
        <w:rPr>
          <w:rFonts w:hint="eastAsia" w:ascii="宋体" w:hAnsi="宋体" w:eastAsia="宋体" w:cs="宋体"/>
          <w:b w:val="0"/>
          <w:bCs w:val="0"/>
          <w:sz w:val="24"/>
          <w:szCs w:val="24"/>
        </w:rPr>
        <w:br w:type="page"/>
      </w:r>
      <w:bookmarkStart w:id="275" w:name="_Toc17079"/>
      <w:r>
        <w:rPr>
          <w:rFonts w:hint="eastAsia" w:ascii="宋体" w:hAnsi="宋体"/>
          <w:szCs w:val="28"/>
          <w:highlight w:val="none"/>
          <w:lang w:val="en-US" w:eastAsia="zh-CN"/>
        </w:rPr>
        <w:t>六</w:t>
      </w:r>
      <w:r>
        <w:rPr>
          <w:rFonts w:hint="eastAsia" w:ascii="宋体" w:hAnsi="宋体"/>
          <w:szCs w:val="28"/>
          <w:highlight w:val="none"/>
        </w:rPr>
        <w:t>、投标保证金</w:t>
      </w:r>
      <w:bookmarkEnd w:id="272"/>
      <w:bookmarkEnd w:id="275"/>
    </w:p>
    <w:p w14:paraId="488292FC">
      <w:pPr>
        <w:autoSpaceDE w:val="0"/>
        <w:spacing w:line="240" w:lineRule="exact"/>
        <w:ind w:firstLine="960" w:firstLineChars="400"/>
        <w:rPr>
          <w:rFonts w:hint="eastAsia" w:ascii="宋体" w:hAnsi="宋体"/>
          <w:sz w:val="24"/>
          <w:szCs w:val="24"/>
          <w:highlight w:val="none"/>
        </w:rPr>
      </w:pPr>
      <w:r>
        <w:rPr>
          <w:rFonts w:hint="eastAsia" w:ascii="宋体" w:hAnsi="宋体"/>
          <w:sz w:val="24"/>
          <w:szCs w:val="24"/>
          <w:highlight w:val="none"/>
        </w:rPr>
        <w:t xml:space="preserve"> </w:t>
      </w:r>
    </w:p>
    <w:p w14:paraId="402B5548">
      <w:pPr>
        <w:spacing w:before="120" w:after="120" w:line="360" w:lineRule="auto"/>
        <w:jc w:val="center"/>
        <w:rPr>
          <w:rFonts w:ascii="宋体"/>
          <w:sz w:val="24"/>
          <w:szCs w:val="24"/>
          <w:highlight w:val="none"/>
        </w:rPr>
      </w:pPr>
      <w:r>
        <w:rPr>
          <w:rFonts w:hint="eastAsia" w:ascii="宋体"/>
          <w:sz w:val="24"/>
          <w:szCs w:val="24"/>
          <w:highlight w:val="none"/>
          <w:lang w:val="en-US" w:eastAsia="zh-CN"/>
        </w:rPr>
        <w:t>本项目不要求递交投标保证金</w:t>
      </w:r>
      <w:r>
        <w:rPr>
          <w:rFonts w:ascii="宋体"/>
          <w:sz w:val="24"/>
          <w:szCs w:val="24"/>
          <w:highlight w:val="none"/>
        </w:rPr>
        <w:t>。</w:t>
      </w:r>
    </w:p>
    <w:p w14:paraId="58382920">
      <w:pPr>
        <w:autoSpaceDE w:val="0"/>
        <w:spacing w:line="360" w:lineRule="auto"/>
        <w:ind w:firstLine="960" w:firstLineChars="400"/>
        <w:rPr>
          <w:rFonts w:hint="eastAsia" w:ascii="宋体" w:hAnsi="宋体"/>
          <w:sz w:val="24"/>
          <w:szCs w:val="24"/>
          <w:highlight w:val="none"/>
        </w:rPr>
      </w:pPr>
      <w:r>
        <w:rPr>
          <w:rFonts w:hint="eastAsia" w:ascii="宋体" w:hAnsi="宋体"/>
          <w:sz w:val="24"/>
          <w:szCs w:val="24"/>
          <w:highlight w:val="none"/>
        </w:rPr>
        <w:t xml:space="preserve"> </w:t>
      </w:r>
    </w:p>
    <w:p w14:paraId="7B5F31EF">
      <w:pPr>
        <w:autoSpaceDE w:val="0"/>
        <w:spacing w:line="360" w:lineRule="auto"/>
        <w:ind w:firstLine="960" w:firstLineChars="400"/>
        <w:rPr>
          <w:rFonts w:hint="eastAsia" w:ascii="宋体" w:hAnsi="宋体"/>
          <w:sz w:val="24"/>
          <w:szCs w:val="24"/>
          <w:highlight w:val="none"/>
        </w:rPr>
      </w:pPr>
      <w:r>
        <w:rPr>
          <w:rFonts w:hint="eastAsia" w:ascii="宋体" w:hAnsi="宋体"/>
          <w:sz w:val="24"/>
          <w:szCs w:val="24"/>
          <w:highlight w:val="none"/>
        </w:rPr>
        <w:t xml:space="preserve"> </w:t>
      </w:r>
    </w:p>
    <w:p w14:paraId="4AF77547">
      <w:pPr>
        <w:pStyle w:val="4"/>
        <w:widowControl/>
        <w:autoSpaceDE w:val="0"/>
        <w:spacing w:before="0" w:after="0" w:line="240" w:lineRule="auto"/>
        <w:jc w:val="center"/>
        <w:rPr>
          <w:rFonts w:hint="eastAsia" w:ascii="宋体" w:hAnsi="宋体"/>
          <w:sz w:val="24"/>
          <w:szCs w:val="24"/>
          <w:highlight w:val="none"/>
        </w:rPr>
      </w:pPr>
      <w:bookmarkStart w:id="276" w:name="_Toc23543"/>
      <w:bookmarkEnd w:id="276"/>
      <w:bookmarkStart w:id="277" w:name="_Toc25087"/>
      <w:r>
        <w:rPr>
          <w:rFonts w:hint="eastAsia" w:ascii="宋体" w:hAnsi="宋体"/>
          <w:szCs w:val="28"/>
          <w:highlight w:val="none"/>
          <w:lang w:val="en-US" w:eastAsia="zh-CN"/>
        </w:rPr>
        <w:br w:type="page"/>
      </w:r>
      <w:bookmarkStart w:id="278" w:name="_Toc23796"/>
      <w:r>
        <w:rPr>
          <w:rFonts w:hint="eastAsia" w:ascii="宋体" w:hAnsi="宋体"/>
          <w:szCs w:val="28"/>
          <w:highlight w:val="none"/>
          <w:lang w:val="en-US" w:eastAsia="zh-CN"/>
        </w:rPr>
        <w:t>七</w:t>
      </w:r>
      <w:r>
        <w:rPr>
          <w:rFonts w:hint="eastAsia" w:ascii="宋体" w:hAnsi="宋体"/>
          <w:szCs w:val="28"/>
          <w:highlight w:val="none"/>
        </w:rPr>
        <w:t>、商务条款偏离表和</w:t>
      </w:r>
      <w:bookmarkEnd w:id="277"/>
      <w:r>
        <w:rPr>
          <w:rFonts w:hint="eastAsia" w:ascii="宋体" w:hAnsi="宋体"/>
          <w:szCs w:val="28"/>
          <w:highlight w:val="none"/>
        </w:rPr>
        <w:t>技术规格偏离表</w:t>
      </w:r>
      <w:bookmarkEnd w:id="278"/>
    </w:p>
    <w:p w14:paraId="030D775E">
      <w:pPr>
        <w:autoSpaceDE w:val="0"/>
        <w:spacing w:line="360" w:lineRule="auto"/>
        <w:ind w:firstLine="241" w:firstLineChars="100"/>
        <w:jc w:val="center"/>
        <w:rPr>
          <w:rFonts w:hint="eastAsia" w:ascii="宋体" w:hAnsi="宋体"/>
          <w:b/>
          <w:bCs/>
          <w:sz w:val="24"/>
          <w:szCs w:val="24"/>
          <w:highlight w:val="none"/>
        </w:rPr>
      </w:pPr>
      <w:r>
        <w:rPr>
          <w:rFonts w:hint="eastAsia" w:ascii="宋体" w:hAnsi="宋体"/>
          <w:b/>
          <w:bCs/>
          <w:sz w:val="24"/>
          <w:szCs w:val="24"/>
          <w:highlight w:val="none"/>
        </w:rPr>
        <w:t>(一)商务条款偏离表</w:t>
      </w:r>
    </w:p>
    <w:tbl>
      <w:tblPr>
        <w:tblStyle w:val="2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7"/>
        <w:gridCol w:w="2130"/>
        <w:gridCol w:w="2236"/>
        <w:gridCol w:w="2419"/>
        <w:gridCol w:w="825"/>
        <w:gridCol w:w="825"/>
      </w:tblGrid>
      <w:tr w14:paraId="2B1364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69" w:hRule="atLeast"/>
          <w:jc w:val="center"/>
        </w:trPr>
        <w:tc>
          <w:tcPr>
            <w:tcW w:w="757" w:type="dxa"/>
            <w:tcBorders>
              <w:top w:val="single" w:color="auto" w:sz="4" w:space="0"/>
              <w:left w:val="single" w:color="auto" w:sz="4" w:space="0"/>
              <w:bottom w:val="single" w:color="auto" w:sz="4" w:space="0"/>
              <w:right w:val="single" w:color="auto" w:sz="4" w:space="0"/>
            </w:tcBorders>
            <w:noWrap w:val="0"/>
            <w:vAlign w:val="center"/>
          </w:tcPr>
          <w:p w14:paraId="0D309065">
            <w:pPr>
              <w:jc w:val="center"/>
              <w:rPr>
                <w:rFonts w:hint="eastAsia" w:ascii="宋体" w:hAnsi="宋体" w:cs="宋体"/>
                <w:b/>
                <w:bCs/>
                <w:sz w:val="24"/>
                <w:szCs w:val="24"/>
                <w:highlight w:val="none"/>
              </w:rPr>
            </w:pPr>
            <w:r>
              <w:rPr>
                <w:rFonts w:hint="eastAsia" w:ascii="宋体" w:hAnsi="宋体" w:cs="宋体"/>
                <w:b/>
                <w:bCs/>
                <w:sz w:val="24"/>
                <w:szCs w:val="24"/>
                <w:highlight w:val="none"/>
              </w:rPr>
              <w:t>序号</w:t>
            </w:r>
          </w:p>
        </w:tc>
        <w:tc>
          <w:tcPr>
            <w:tcW w:w="2130" w:type="dxa"/>
            <w:tcBorders>
              <w:top w:val="single" w:color="auto" w:sz="4" w:space="0"/>
              <w:left w:val="nil"/>
              <w:bottom w:val="single" w:color="auto" w:sz="4" w:space="0"/>
              <w:right w:val="single" w:color="auto" w:sz="4" w:space="0"/>
            </w:tcBorders>
            <w:noWrap w:val="0"/>
            <w:vAlign w:val="center"/>
          </w:tcPr>
          <w:p w14:paraId="38D12B6D">
            <w:pPr>
              <w:jc w:val="center"/>
              <w:rPr>
                <w:rFonts w:hint="eastAsia" w:ascii="宋体" w:hAnsi="宋体" w:cs="宋体"/>
                <w:b/>
                <w:bCs/>
                <w:sz w:val="24"/>
                <w:szCs w:val="24"/>
                <w:highlight w:val="none"/>
              </w:rPr>
            </w:pPr>
            <w:r>
              <w:rPr>
                <w:rFonts w:hint="eastAsia" w:ascii="宋体" w:hAnsi="宋体" w:cs="宋体"/>
                <w:b/>
                <w:bCs/>
                <w:sz w:val="24"/>
                <w:szCs w:val="24"/>
                <w:highlight w:val="none"/>
              </w:rPr>
              <w:t>招标文件条款号</w:t>
            </w:r>
          </w:p>
        </w:tc>
        <w:tc>
          <w:tcPr>
            <w:tcW w:w="2236" w:type="dxa"/>
            <w:tcBorders>
              <w:top w:val="single" w:color="auto" w:sz="4" w:space="0"/>
              <w:left w:val="nil"/>
              <w:bottom w:val="single" w:color="auto" w:sz="4" w:space="0"/>
              <w:right w:val="single" w:color="auto" w:sz="4" w:space="0"/>
            </w:tcBorders>
            <w:noWrap w:val="0"/>
            <w:vAlign w:val="center"/>
          </w:tcPr>
          <w:p w14:paraId="5BA86260">
            <w:pPr>
              <w:jc w:val="center"/>
              <w:rPr>
                <w:rFonts w:hint="eastAsia" w:ascii="宋体" w:hAnsi="宋体" w:cs="宋体"/>
                <w:b/>
                <w:bCs/>
                <w:sz w:val="24"/>
                <w:szCs w:val="24"/>
                <w:highlight w:val="none"/>
              </w:rPr>
            </w:pPr>
            <w:r>
              <w:rPr>
                <w:rFonts w:hint="eastAsia" w:ascii="宋体" w:hAnsi="宋体" w:cs="宋体"/>
                <w:b/>
                <w:bCs/>
                <w:sz w:val="24"/>
                <w:szCs w:val="24"/>
                <w:highlight w:val="none"/>
              </w:rPr>
              <w:t>招标文件的商务条款内容</w:t>
            </w:r>
          </w:p>
        </w:tc>
        <w:tc>
          <w:tcPr>
            <w:tcW w:w="2419" w:type="dxa"/>
            <w:tcBorders>
              <w:top w:val="single" w:color="auto" w:sz="4" w:space="0"/>
              <w:left w:val="nil"/>
              <w:bottom w:val="single" w:color="auto" w:sz="4" w:space="0"/>
              <w:right w:val="single" w:color="auto" w:sz="4" w:space="0"/>
            </w:tcBorders>
            <w:noWrap w:val="0"/>
            <w:vAlign w:val="center"/>
          </w:tcPr>
          <w:p w14:paraId="2E34506C">
            <w:pPr>
              <w:jc w:val="center"/>
              <w:rPr>
                <w:rFonts w:hint="eastAsia" w:ascii="宋体" w:hAnsi="宋体" w:cs="宋体"/>
                <w:b/>
                <w:bCs/>
                <w:sz w:val="24"/>
                <w:szCs w:val="24"/>
                <w:highlight w:val="none"/>
              </w:rPr>
            </w:pPr>
            <w:r>
              <w:rPr>
                <w:rFonts w:hint="eastAsia" w:ascii="宋体" w:hAnsi="宋体" w:cs="宋体"/>
                <w:b/>
                <w:bCs/>
                <w:sz w:val="24"/>
                <w:szCs w:val="24"/>
                <w:highlight w:val="none"/>
              </w:rPr>
              <w:t>投标文件的商务条款响应情况</w:t>
            </w:r>
          </w:p>
        </w:tc>
        <w:tc>
          <w:tcPr>
            <w:tcW w:w="825" w:type="dxa"/>
            <w:tcBorders>
              <w:top w:val="single" w:color="auto" w:sz="4" w:space="0"/>
              <w:left w:val="nil"/>
              <w:bottom w:val="single" w:color="auto" w:sz="4" w:space="0"/>
              <w:right w:val="single" w:color="auto" w:sz="4" w:space="0"/>
            </w:tcBorders>
            <w:noWrap w:val="0"/>
            <w:vAlign w:val="center"/>
          </w:tcPr>
          <w:p w14:paraId="677F35E8">
            <w:pPr>
              <w:jc w:val="center"/>
              <w:rPr>
                <w:rFonts w:hint="eastAsia" w:ascii="宋体" w:hAnsi="宋体" w:cs="宋体"/>
                <w:b/>
                <w:bCs/>
                <w:sz w:val="24"/>
                <w:szCs w:val="24"/>
                <w:highlight w:val="none"/>
              </w:rPr>
            </w:pPr>
            <w:r>
              <w:rPr>
                <w:rFonts w:hint="eastAsia" w:ascii="宋体" w:hAnsi="宋体" w:cs="宋体"/>
                <w:b/>
                <w:bCs/>
                <w:sz w:val="24"/>
                <w:szCs w:val="24"/>
                <w:highlight w:val="none"/>
              </w:rPr>
              <w:t>偏离情况</w:t>
            </w:r>
          </w:p>
        </w:tc>
        <w:tc>
          <w:tcPr>
            <w:tcW w:w="825" w:type="dxa"/>
            <w:tcBorders>
              <w:top w:val="single" w:color="auto" w:sz="4" w:space="0"/>
              <w:left w:val="nil"/>
              <w:bottom w:val="single" w:color="auto" w:sz="4" w:space="0"/>
              <w:right w:val="single" w:color="auto" w:sz="4" w:space="0"/>
            </w:tcBorders>
            <w:noWrap w:val="0"/>
            <w:vAlign w:val="center"/>
          </w:tcPr>
          <w:p w14:paraId="10D58D58">
            <w:pPr>
              <w:jc w:val="center"/>
              <w:rPr>
                <w:rFonts w:hint="eastAsia" w:ascii="宋体" w:hAnsi="宋体" w:cs="宋体"/>
                <w:b/>
                <w:bCs/>
                <w:sz w:val="24"/>
                <w:szCs w:val="24"/>
                <w:highlight w:val="none"/>
              </w:rPr>
            </w:pPr>
            <w:r>
              <w:rPr>
                <w:rFonts w:hint="eastAsia" w:ascii="宋体" w:hAnsi="宋体" w:cs="宋体"/>
                <w:b/>
                <w:bCs/>
                <w:sz w:val="24"/>
                <w:szCs w:val="24"/>
                <w:highlight w:val="none"/>
              </w:rPr>
              <w:t>说明</w:t>
            </w:r>
          </w:p>
        </w:tc>
      </w:tr>
      <w:tr w14:paraId="4EB801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57" w:type="dxa"/>
            <w:tcBorders>
              <w:top w:val="single" w:color="auto" w:sz="4" w:space="0"/>
              <w:left w:val="single" w:color="auto" w:sz="4" w:space="0"/>
              <w:bottom w:val="single" w:color="auto" w:sz="4" w:space="0"/>
              <w:right w:val="single" w:color="auto" w:sz="4" w:space="0"/>
            </w:tcBorders>
            <w:noWrap w:val="0"/>
            <w:vAlign w:val="center"/>
          </w:tcPr>
          <w:p w14:paraId="191ED8CF">
            <w:pPr>
              <w:jc w:val="center"/>
              <w:rPr>
                <w:rFonts w:hint="eastAsia" w:ascii="宋体" w:hAnsi="宋体" w:cs="宋体"/>
                <w:sz w:val="24"/>
                <w:szCs w:val="24"/>
                <w:highlight w:val="none"/>
              </w:rPr>
            </w:pPr>
            <w:r>
              <w:rPr>
                <w:rFonts w:hint="eastAsia" w:ascii="宋体" w:hAnsi="宋体" w:cs="宋体"/>
                <w:sz w:val="24"/>
                <w:szCs w:val="24"/>
                <w:highlight w:val="none"/>
              </w:rPr>
              <w:t>1</w:t>
            </w:r>
          </w:p>
        </w:tc>
        <w:tc>
          <w:tcPr>
            <w:tcW w:w="2130" w:type="dxa"/>
            <w:tcBorders>
              <w:top w:val="single" w:color="auto" w:sz="4" w:space="0"/>
              <w:left w:val="nil"/>
              <w:bottom w:val="single" w:color="auto" w:sz="4" w:space="0"/>
              <w:right w:val="single" w:color="auto" w:sz="4" w:space="0"/>
            </w:tcBorders>
            <w:noWrap w:val="0"/>
            <w:vAlign w:val="center"/>
          </w:tcPr>
          <w:p w14:paraId="0AA87050">
            <w:pPr>
              <w:jc w:val="center"/>
              <w:rPr>
                <w:rFonts w:hint="eastAsia" w:ascii="宋体" w:hAnsi="宋体" w:cs="宋体"/>
                <w:sz w:val="24"/>
                <w:szCs w:val="24"/>
                <w:highlight w:val="none"/>
              </w:rPr>
            </w:pPr>
            <w:r>
              <w:rPr>
                <w:rFonts w:hint="eastAsia" w:ascii="宋体" w:hAnsi="宋体" w:cs="宋体"/>
                <w:sz w:val="24"/>
                <w:szCs w:val="24"/>
                <w:highlight w:val="none"/>
              </w:rPr>
              <w:t>“投标人须知前附表”第1.3.2款</w:t>
            </w:r>
          </w:p>
        </w:tc>
        <w:tc>
          <w:tcPr>
            <w:tcW w:w="2236" w:type="dxa"/>
            <w:tcBorders>
              <w:top w:val="single" w:color="auto" w:sz="4" w:space="0"/>
              <w:left w:val="nil"/>
              <w:bottom w:val="single" w:color="auto" w:sz="4" w:space="0"/>
              <w:right w:val="single" w:color="auto" w:sz="4" w:space="0"/>
            </w:tcBorders>
            <w:noWrap w:val="0"/>
            <w:vAlign w:val="center"/>
          </w:tcPr>
          <w:p w14:paraId="41A1785F">
            <w:pPr>
              <w:spacing w:line="380" w:lineRule="exact"/>
              <w:jc w:val="both"/>
              <w:rPr>
                <w:rFonts w:hint="eastAsia" w:ascii="宋体" w:hAnsi="宋体" w:eastAsia="宋体" w:cs="宋体"/>
                <w:sz w:val="24"/>
                <w:szCs w:val="24"/>
                <w:highlight w:val="none"/>
                <w:lang w:eastAsia="zh-CN"/>
              </w:rPr>
            </w:pPr>
            <w:r>
              <w:rPr>
                <w:rFonts w:hint="eastAsia" w:ascii="宋体" w:hAnsi="宋体" w:cs="宋体"/>
                <w:sz w:val="24"/>
                <w:szCs w:val="24"/>
                <w:highlight w:val="none"/>
              </w:rPr>
              <w:t>交货期</w:t>
            </w:r>
            <w:r>
              <w:rPr>
                <w:rFonts w:hint="eastAsia" w:ascii="宋体" w:hAnsi="宋体" w:cs="宋体"/>
                <w:sz w:val="24"/>
                <w:szCs w:val="24"/>
                <w:highlight w:val="none"/>
                <w:lang w:eastAsia="zh-CN"/>
              </w:rPr>
              <w:t>：</w:t>
            </w:r>
            <w:r>
              <w:rPr>
                <w:rFonts w:hint="eastAsia" w:ascii="宋体" w:hAnsi="宋体" w:cs="宋体"/>
                <w:kern w:val="2"/>
                <w:sz w:val="24"/>
                <w:szCs w:val="24"/>
                <w:highlight w:val="none"/>
                <w:lang w:val="en-US" w:eastAsia="zh-CN"/>
              </w:rPr>
              <w:t>签订合同后45天内</w:t>
            </w:r>
          </w:p>
        </w:tc>
        <w:tc>
          <w:tcPr>
            <w:tcW w:w="2419" w:type="dxa"/>
            <w:tcBorders>
              <w:top w:val="single" w:color="auto" w:sz="4" w:space="0"/>
              <w:left w:val="nil"/>
              <w:bottom w:val="single" w:color="auto" w:sz="4" w:space="0"/>
              <w:right w:val="single" w:color="auto" w:sz="4" w:space="0"/>
            </w:tcBorders>
            <w:noWrap w:val="0"/>
            <w:vAlign w:val="center"/>
          </w:tcPr>
          <w:p w14:paraId="25EC6864">
            <w:pPr>
              <w:jc w:val="center"/>
              <w:rPr>
                <w:rFonts w:hint="eastAsia" w:ascii="宋体" w:hAnsi="宋体" w:cs="宋体"/>
                <w:sz w:val="24"/>
                <w:szCs w:val="24"/>
                <w:highlight w:val="none"/>
              </w:rPr>
            </w:pPr>
          </w:p>
        </w:tc>
        <w:tc>
          <w:tcPr>
            <w:tcW w:w="825" w:type="dxa"/>
            <w:tcBorders>
              <w:top w:val="single" w:color="auto" w:sz="4" w:space="0"/>
              <w:left w:val="nil"/>
              <w:bottom w:val="single" w:color="auto" w:sz="4" w:space="0"/>
              <w:right w:val="single" w:color="auto" w:sz="4" w:space="0"/>
            </w:tcBorders>
            <w:noWrap w:val="0"/>
            <w:vAlign w:val="center"/>
          </w:tcPr>
          <w:p w14:paraId="3835B76F">
            <w:pPr>
              <w:jc w:val="center"/>
              <w:rPr>
                <w:rFonts w:hint="eastAsia" w:ascii="宋体" w:hAnsi="宋体" w:cs="宋体"/>
                <w:sz w:val="24"/>
                <w:szCs w:val="24"/>
                <w:highlight w:val="none"/>
              </w:rPr>
            </w:pPr>
          </w:p>
        </w:tc>
        <w:tc>
          <w:tcPr>
            <w:tcW w:w="825" w:type="dxa"/>
            <w:tcBorders>
              <w:top w:val="single" w:color="auto" w:sz="4" w:space="0"/>
              <w:left w:val="nil"/>
              <w:bottom w:val="single" w:color="auto" w:sz="4" w:space="0"/>
              <w:right w:val="single" w:color="auto" w:sz="4" w:space="0"/>
            </w:tcBorders>
            <w:noWrap w:val="0"/>
            <w:vAlign w:val="center"/>
          </w:tcPr>
          <w:p w14:paraId="6EB70855">
            <w:pPr>
              <w:jc w:val="center"/>
              <w:rPr>
                <w:rFonts w:hint="eastAsia" w:ascii="宋体" w:hAnsi="宋体" w:cs="宋体"/>
                <w:sz w:val="24"/>
                <w:szCs w:val="24"/>
                <w:highlight w:val="none"/>
              </w:rPr>
            </w:pPr>
          </w:p>
        </w:tc>
      </w:tr>
      <w:tr w14:paraId="170AEA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57" w:type="dxa"/>
            <w:tcBorders>
              <w:top w:val="single" w:color="auto" w:sz="4" w:space="0"/>
              <w:left w:val="single" w:color="auto" w:sz="4" w:space="0"/>
              <w:bottom w:val="single" w:color="auto" w:sz="4" w:space="0"/>
              <w:right w:val="single" w:color="auto" w:sz="4" w:space="0"/>
            </w:tcBorders>
            <w:noWrap w:val="0"/>
            <w:vAlign w:val="center"/>
          </w:tcPr>
          <w:p w14:paraId="385AD91D">
            <w:pPr>
              <w:jc w:val="center"/>
              <w:rPr>
                <w:rFonts w:hint="eastAsia" w:ascii="宋体" w:hAnsi="宋体" w:cs="宋体"/>
                <w:sz w:val="24"/>
                <w:szCs w:val="24"/>
                <w:highlight w:val="none"/>
              </w:rPr>
            </w:pPr>
            <w:r>
              <w:rPr>
                <w:rFonts w:hint="eastAsia" w:ascii="宋体" w:hAnsi="宋体" w:cs="宋体"/>
                <w:sz w:val="24"/>
                <w:szCs w:val="24"/>
                <w:highlight w:val="none"/>
              </w:rPr>
              <w:t>2</w:t>
            </w:r>
          </w:p>
        </w:tc>
        <w:tc>
          <w:tcPr>
            <w:tcW w:w="2130" w:type="dxa"/>
            <w:tcBorders>
              <w:top w:val="single" w:color="auto" w:sz="4" w:space="0"/>
              <w:left w:val="nil"/>
              <w:bottom w:val="single" w:color="auto" w:sz="4" w:space="0"/>
              <w:right w:val="single" w:color="auto" w:sz="4" w:space="0"/>
            </w:tcBorders>
            <w:noWrap w:val="0"/>
            <w:vAlign w:val="center"/>
          </w:tcPr>
          <w:p w14:paraId="10C69BA1">
            <w:pPr>
              <w:jc w:val="center"/>
              <w:rPr>
                <w:rFonts w:hint="eastAsia" w:ascii="宋体" w:hAnsi="宋体" w:cs="宋体"/>
                <w:sz w:val="24"/>
                <w:szCs w:val="24"/>
                <w:highlight w:val="none"/>
              </w:rPr>
            </w:pPr>
            <w:r>
              <w:rPr>
                <w:rFonts w:hint="eastAsia" w:ascii="宋体" w:hAnsi="宋体" w:cs="宋体"/>
                <w:sz w:val="24"/>
                <w:szCs w:val="24"/>
                <w:highlight w:val="none"/>
              </w:rPr>
              <w:t>“投标人须知前附表”第1.3.2款</w:t>
            </w:r>
          </w:p>
        </w:tc>
        <w:tc>
          <w:tcPr>
            <w:tcW w:w="2236" w:type="dxa"/>
            <w:tcBorders>
              <w:top w:val="single" w:color="auto" w:sz="4" w:space="0"/>
              <w:left w:val="nil"/>
              <w:bottom w:val="single" w:color="auto" w:sz="4" w:space="0"/>
              <w:right w:val="single" w:color="auto" w:sz="4" w:space="0"/>
            </w:tcBorders>
            <w:noWrap w:val="0"/>
            <w:vAlign w:val="center"/>
          </w:tcPr>
          <w:p w14:paraId="30AD4696">
            <w:pPr>
              <w:jc w:val="center"/>
              <w:rPr>
                <w:rFonts w:hint="eastAsia" w:ascii="宋体" w:hAnsi="宋体" w:eastAsia="宋体" w:cs="宋体"/>
                <w:sz w:val="24"/>
                <w:szCs w:val="24"/>
                <w:highlight w:val="none"/>
                <w:lang w:eastAsia="zh-CN"/>
              </w:rPr>
            </w:pPr>
            <w:r>
              <w:rPr>
                <w:rFonts w:hint="eastAsia" w:ascii="宋体" w:hAnsi="宋体" w:cs="宋体"/>
                <w:sz w:val="24"/>
                <w:szCs w:val="24"/>
                <w:highlight w:val="none"/>
              </w:rPr>
              <w:t>质保期</w:t>
            </w:r>
            <w:r>
              <w:rPr>
                <w:rFonts w:hint="eastAsia" w:ascii="宋体" w:hAnsi="宋体" w:cs="宋体"/>
                <w:sz w:val="24"/>
                <w:szCs w:val="24"/>
                <w:highlight w:val="none"/>
                <w:lang w:eastAsia="zh-CN"/>
              </w:rPr>
              <w:t>：</w:t>
            </w:r>
            <w:r>
              <w:rPr>
                <w:rFonts w:hint="eastAsia" w:ascii="宋体" w:hAnsi="宋体" w:cs="宋体"/>
                <w:kern w:val="2"/>
                <w:sz w:val="24"/>
                <w:szCs w:val="24"/>
                <w:highlight w:val="none"/>
                <w:lang w:val="en-US" w:eastAsia="zh-CN"/>
              </w:rPr>
              <w:t>原厂5年质保</w:t>
            </w:r>
          </w:p>
        </w:tc>
        <w:tc>
          <w:tcPr>
            <w:tcW w:w="2419" w:type="dxa"/>
            <w:tcBorders>
              <w:top w:val="single" w:color="auto" w:sz="4" w:space="0"/>
              <w:left w:val="nil"/>
              <w:bottom w:val="single" w:color="auto" w:sz="4" w:space="0"/>
              <w:right w:val="single" w:color="auto" w:sz="4" w:space="0"/>
            </w:tcBorders>
            <w:noWrap w:val="0"/>
            <w:vAlign w:val="center"/>
          </w:tcPr>
          <w:p w14:paraId="404992EE">
            <w:pPr>
              <w:jc w:val="center"/>
              <w:rPr>
                <w:rFonts w:hint="eastAsia" w:ascii="宋体" w:hAnsi="宋体" w:cs="宋体"/>
                <w:sz w:val="24"/>
                <w:szCs w:val="24"/>
                <w:highlight w:val="none"/>
              </w:rPr>
            </w:pPr>
          </w:p>
        </w:tc>
        <w:tc>
          <w:tcPr>
            <w:tcW w:w="825" w:type="dxa"/>
            <w:tcBorders>
              <w:top w:val="single" w:color="auto" w:sz="4" w:space="0"/>
              <w:left w:val="nil"/>
              <w:bottom w:val="single" w:color="auto" w:sz="4" w:space="0"/>
              <w:right w:val="single" w:color="auto" w:sz="4" w:space="0"/>
            </w:tcBorders>
            <w:noWrap w:val="0"/>
            <w:vAlign w:val="center"/>
          </w:tcPr>
          <w:p w14:paraId="1B872413">
            <w:pPr>
              <w:jc w:val="center"/>
              <w:rPr>
                <w:rFonts w:hint="eastAsia" w:ascii="宋体" w:hAnsi="宋体" w:cs="宋体"/>
                <w:sz w:val="24"/>
                <w:szCs w:val="24"/>
                <w:highlight w:val="none"/>
              </w:rPr>
            </w:pPr>
          </w:p>
        </w:tc>
        <w:tc>
          <w:tcPr>
            <w:tcW w:w="825" w:type="dxa"/>
            <w:tcBorders>
              <w:top w:val="single" w:color="auto" w:sz="4" w:space="0"/>
              <w:left w:val="nil"/>
              <w:bottom w:val="single" w:color="auto" w:sz="4" w:space="0"/>
              <w:right w:val="single" w:color="auto" w:sz="4" w:space="0"/>
            </w:tcBorders>
            <w:noWrap w:val="0"/>
            <w:vAlign w:val="center"/>
          </w:tcPr>
          <w:p w14:paraId="3170AE11">
            <w:pPr>
              <w:jc w:val="center"/>
              <w:rPr>
                <w:rFonts w:hint="eastAsia" w:ascii="宋体" w:hAnsi="宋体" w:cs="宋体"/>
                <w:sz w:val="24"/>
                <w:szCs w:val="24"/>
                <w:highlight w:val="none"/>
              </w:rPr>
            </w:pPr>
          </w:p>
        </w:tc>
      </w:tr>
      <w:tr w14:paraId="183424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57" w:type="dxa"/>
            <w:tcBorders>
              <w:top w:val="single" w:color="auto" w:sz="4" w:space="0"/>
              <w:left w:val="single" w:color="auto" w:sz="4" w:space="0"/>
              <w:bottom w:val="single" w:color="auto" w:sz="4" w:space="0"/>
              <w:right w:val="single" w:color="auto" w:sz="4" w:space="0"/>
            </w:tcBorders>
            <w:noWrap w:val="0"/>
            <w:vAlign w:val="center"/>
          </w:tcPr>
          <w:p w14:paraId="4376B92D">
            <w:pPr>
              <w:jc w:val="center"/>
              <w:rPr>
                <w:rFonts w:hint="eastAsia" w:ascii="宋体" w:hAnsi="宋体" w:cs="宋体"/>
                <w:sz w:val="24"/>
                <w:szCs w:val="24"/>
                <w:highlight w:val="none"/>
              </w:rPr>
            </w:pPr>
            <w:r>
              <w:rPr>
                <w:rFonts w:hint="eastAsia" w:ascii="宋体" w:hAnsi="宋体" w:cs="宋体"/>
                <w:sz w:val="24"/>
                <w:szCs w:val="24"/>
                <w:highlight w:val="none"/>
              </w:rPr>
              <w:t>3</w:t>
            </w:r>
          </w:p>
        </w:tc>
        <w:tc>
          <w:tcPr>
            <w:tcW w:w="2130" w:type="dxa"/>
            <w:tcBorders>
              <w:top w:val="single" w:color="auto" w:sz="4" w:space="0"/>
              <w:left w:val="nil"/>
              <w:bottom w:val="single" w:color="auto" w:sz="4" w:space="0"/>
              <w:right w:val="single" w:color="auto" w:sz="4" w:space="0"/>
            </w:tcBorders>
            <w:noWrap w:val="0"/>
            <w:vAlign w:val="center"/>
          </w:tcPr>
          <w:p w14:paraId="4EF971F4">
            <w:pPr>
              <w:jc w:val="center"/>
              <w:rPr>
                <w:rFonts w:hint="eastAsia" w:ascii="宋体" w:hAnsi="宋体" w:cs="宋体"/>
                <w:sz w:val="24"/>
                <w:szCs w:val="24"/>
                <w:highlight w:val="none"/>
              </w:rPr>
            </w:pPr>
            <w:r>
              <w:rPr>
                <w:rFonts w:hint="eastAsia" w:ascii="宋体" w:hAnsi="宋体" w:cs="宋体"/>
                <w:sz w:val="24"/>
                <w:szCs w:val="24"/>
                <w:highlight w:val="none"/>
              </w:rPr>
              <w:t>“投标人须知前附表”第1.3.3款</w:t>
            </w:r>
          </w:p>
        </w:tc>
        <w:tc>
          <w:tcPr>
            <w:tcW w:w="2236" w:type="dxa"/>
            <w:tcBorders>
              <w:top w:val="single" w:color="auto" w:sz="4" w:space="0"/>
              <w:left w:val="nil"/>
              <w:bottom w:val="single" w:color="auto" w:sz="4" w:space="0"/>
              <w:right w:val="single" w:color="auto" w:sz="4" w:space="0"/>
            </w:tcBorders>
            <w:noWrap w:val="0"/>
            <w:vAlign w:val="center"/>
          </w:tcPr>
          <w:p w14:paraId="30B4C986">
            <w:pPr>
              <w:jc w:val="center"/>
              <w:rPr>
                <w:rFonts w:hint="eastAsia" w:ascii="宋体" w:hAnsi="宋体" w:eastAsia="宋体" w:cs="宋体"/>
                <w:sz w:val="24"/>
                <w:szCs w:val="24"/>
                <w:highlight w:val="none"/>
                <w:lang w:eastAsia="zh-CN"/>
              </w:rPr>
            </w:pPr>
            <w:r>
              <w:rPr>
                <w:rFonts w:hint="eastAsia" w:ascii="宋体" w:hAnsi="宋体" w:cs="宋体"/>
                <w:sz w:val="24"/>
                <w:szCs w:val="24"/>
                <w:highlight w:val="none"/>
              </w:rPr>
              <w:t>交货地点</w:t>
            </w:r>
            <w:r>
              <w:rPr>
                <w:rFonts w:hint="eastAsia" w:ascii="宋体" w:hAnsi="宋体" w:cs="宋体"/>
                <w:sz w:val="24"/>
                <w:szCs w:val="24"/>
                <w:highlight w:val="none"/>
                <w:lang w:eastAsia="zh-CN"/>
              </w:rPr>
              <w:t>：</w:t>
            </w:r>
            <w:r>
              <w:rPr>
                <w:rFonts w:hint="eastAsia" w:ascii="宋体" w:hAnsi="宋体" w:cs="宋体"/>
                <w:sz w:val="24"/>
                <w:szCs w:val="24"/>
                <w:highlight w:val="none"/>
                <w:lang w:val="en-US" w:eastAsia="zh-CN"/>
              </w:rPr>
              <w:t>香格里拉市人民医院</w:t>
            </w:r>
          </w:p>
        </w:tc>
        <w:tc>
          <w:tcPr>
            <w:tcW w:w="2419" w:type="dxa"/>
            <w:tcBorders>
              <w:top w:val="single" w:color="auto" w:sz="4" w:space="0"/>
              <w:left w:val="nil"/>
              <w:bottom w:val="single" w:color="auto" w:sz="4" w:space="0"/>
              <w:right w:val="single" w:color="auto" w:sz="4" w:space="0"/>
            </w:tcBorders>
            <w:noWrap w:val="0"/>
            <w:vAlign w:val="center"/>
          </w:tcPr>
          <w:p w14:paraId="57303F22">
            <w:pPr>
              <w:jc w:val="center"/>
              <w:rPr>
                <w:rFonts w:hint="eastAsia" w:ascii="宋体" w:hAnsi="宋体" w:cs="宋体"/>
                <w:sz w:val="24"/>
                <w:szCs w:val="24"/>
                <w:highlight w:val="none"/>
              </w:rPr>
            </w:pPr>
          </w:p>
        </w:tc>
        <w:tc>
          <w:tcPr>
            <w:tcW w:w="825" w:type="dxa"/>
            <w:tcBorders>
              <w:top w:val="single" w:color="auto" w:sz="4" w:space="0"/>
              <w:left w:val="nil"/>
              <w:bottom w:val="single" w:color="auto" w:sz="4" w:space="0"/>
              <w:right w:val="single" w:color="auto" w:sz="4" w:space="0"/>
            </w:tcBorders>
            <w:noWrap w:val="0"/>
            <w:vAlign w:val="center"/>
          </w:tcPr>
          <w:p w14:paraId="2DA0129F">
            <w:pPr>
              <w:jc w:val="center"/>
              <w:rPr>
                <w:rFonts w:hint="eastAsia" w:ascii="宋体" w:hAnsi="宋体" w:cs="宋体"/>
                <w:sz w:val="24"/>
                <w:szCs w:val="24"/>
                <w:highlight w:val="none"/>
              </w:rPr>
            </w:pPr>
          </w:p>
        </w:tc>
        <w:tc>
          <w:tcPr>
            <w:tcW w:w="825" w:type="dxa"/>
            <w:tcBorders>
              <w:top w:val="single" w:color="auto" w:sz="4" w:space="0"/>
              <w:left w:val="nil"/>
              <w:bottom w:val="single" w:color="auto" w:sz="4" w:space="0"/>
              <w:right w:val="single" w:color="auto" w:sz="4" w:space="0"/>
            </w:tcBorders>
            <w:noWrap w:val="0"/>
            <w:vAlign w:val="center"/>
          </w:tcPr>
          <w:p w14:paraId="05AD01DD">
            <w:pPr>
              <w:jc w:val="center"/>
              <w:rPr>
                <w:rFonts w:hint="eastAsia" w:ascii="宋体" w:hAnsi="宋体" w:cs="宋体"/>
                <w:sz w:val="24"/>
                <w:szCs w:val="24"/>
                <w:highlight w:val="none"/>
              </w:rPr>
            </w:pPr>
          </w:p>
        </w:tc>
      </w:tr>
      <w:tr w14:paraId="42DB99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57" w:type="dxa"/>
            <w:tcBorders>
              <w:top w:val="single" w:color="auto" w:sz="4" w:space="0"/>
              <w:left w:val="single" w:color="auto" w:sz="4" w:space="0"/>
              <w:bottom w:val="single" w:color="auto" w:sz="4" w:space="0"/>
              <w:right w:val="single" w:color="auto" w:sz="4" w:space="0"/>
            </w:tcBorders>
            <w:noWrap w:val="0"/>
            <w:vAlign w:val="center"/>
          </w:tcPr>
          <w:p w14:paraId="14C290D8">
            <w:pPr>
              <w:jc w:val="center"/>
              <w:rPr>
                <w:rFonts w:hint="eastAsia" w:ascii="宋体" w:hAnsi="宋体" w:cs="宋体"/>
                <w:sz w:val="24"/>
                <w:szCs w:val="24"/>
                <w:highlight w:val="none"/>
              </w:rPr>
            </w:pPr>
            <w:r>
              <w:rPr>
                <w:rFonts w:hint="eastAsia" w:ascii="宋体" w:hAnsi="宋体" w:cs="宋体"/>
                <w:sz w:val="24"/>
                <w:szCs w:val="24"/>
                <w:highlight w:val="none"/>
              </w:rPr>
              <w:t>4</w:t>
            </w:r>
          </w:p>
        </w:tc>
        <w:tc>
          <w:tcPr>
            <w:tcW w:w="2130" w:type="dxa"/>
            <w:tcBorders>
              <w:top w:val="single" w:color="auto" w:sz="4" w:space="0"/>
              <w:left w:val="nil"/>
              <w:bottom w:val="single" w:color="auto" w:sz="4" w:space="0"/>
              <w:right w:val="single" w:color="auto" w:sz="4" w:space="0"/>
            </w:tcBorders>
            <w:noWrap w:val="0"/>
            <w:vAlign w:val="center"/>
          </w:tcPr>
          <w:p w14:paraId="62D7D052">
            <w:pPr>
              <w:jc w:val="center"/>
              <w:rPr>
                <w:rFonts w:hint="eastAsia" w:ascii="宋体" w:hAnsi="宋体" w:cs="宋体"/>
                <w:sz w:val="24"/>
                <w:szCs w:val="24"/>
                <w:highlight w:val="none"/>
              </w:rPr>
            </w:pPr>
            <w:r>
              <w:rPr>
                <w:rFonts w:hint="eastAsia" w:ascii="宋体" w:hAnsi="宋体" w:cs="宋体"/>
                <w:sz w:val="24"/>
                <w:szCs w:val="24"/>
                <w:highlight w:val="none"/>
              </w:rPr>
              <w:t>“投标人须知前附表”第1.3.3款</w:t>
            </w:r>
          </w:p>
        </w:tc>
        <w:tc>
          <w:tcPr>
            <w:tcW w:w="2236" w:type="dxa"/>
            <w:tcBorders>
              <w:top w:val="single" w:color="auto" w:sz="4" w:space="0"/>
              <w:left w:val="nil"/>
              <w:bottom w:val="single" w:color="auto" w:sz="4" w:space="0"/>
              <w:right w:val="single" w:color="auto" w:sz="4" w:space="0"/>
            </w:tcBorders>
            <w:noWrap w:val="0"/>
            <w:vAlign w:val="center"/>
          </w:tcPr>
          <w:p w14:paraId="709E97ED">
            <w:pPr>
              <w:jc w:val="center"/>
              <w:rPr>
                <w:rFonts w:hint="eastAsia" w:ascii="宋体" w:hAnsi="宋体" w:eastAsia="宋体" w:cs="宋体"/>
                <w:sz w:val="24"/>
                <w:szCs w:val="24"/>
                <w:highlight w:val="none"/>
                <w:lang w:eastAsia="zh-CN"/>
              </w:rPr>
            </w:pPr>
            <w:r>
              <w:rPr>
                <w:rFonts w:hint="eastAsia" w:ascii="宋体" w:hAnsi="宋体" w:cs="宋体"/>
                <w:sz w:val="24"/>
                <w:szCs w:val="24"/>
                <w:highlight w:val="none"/>
              </w:rPr>
              <w:t>交货方式</w:t>
            </w:r>
            <w:r>
              <w:rPr>
                <w:rFonts w:hint="eastAsia" w:ascii="宋体" w:hAnsi="宋体" w:cs="宋体"/>
                <w:sz w:val="24"/>
                <w:szCs w:val="24"/>
                <w:highlight w:val="none"/>
                <w:lang w:eastAsia="zh-CN"/>
              </w:rPr>
              <w:t>：现场交货</w:t>
            </w:r>
          </w:p>
        </w:tc>
        <w:tc>
          <w:tcPr>
            <w:tcW w:w="2419" w:type="dxa"/>
            <w:tcBorders>
              <w:top w:val="single" w:color="auto" w:sz="4" w:space="0"/>
              <w:left w:val="nil"/>
              <w:bottom w:val="single" w:color="auto" w:sz="4" w:space="0"/>
              <w:right w:val="single" w:color="auto" w:sz="4" w:space="0"/>
            </w:tcBorders>
            <w:noWrap w:val="0"/>
            <w:vAlign w:val="center"/>
          </w:tcPr>
          <w:p w14:paraId="1E7BB1A3">
            <w:pPr>
              <w:jc w:val="center"/>
              <w:rPr>
                <w:rFonts w:hint="eastAsia" w:ascii="宋体" w:hAnsi="宋体" w:cs="宋体"/>
                <w:sz w:val="24"/>
                <w:szCs w:val="24"/>
                <w:highlight w:val="none"/>
              </w:rPr>
            </w:pPr>
          </w:p>
        </w:tc>
        <w:tc>
          <w:tcPr>
            <w:tcW w:w="825" w:type="dxa"/>
            <w:tcBorders>
              <w:top w:val="single" w:color="auto" w:sz="4" w:space="0"/>
              <w:left w:val="nil"/>
              <w:bottom w:val="single" w:color="auto" w:sz="4" w:space="0"/>
              <w:right w:val="single" w:color="auto" w:sz="4" w:space="0"/>
            </w:tcBorders>
            <w:noWrap w:val="0"/>
            <w:vAlign w:val="center"/>
          </w:tcPr>
          <w:p w14:paraId="5760B7C7">
            <w:pPr>
              <w:jc w:val="center"/>
              <w:rPr>
                <w:rFonts w:hint="eastAsia" w:ascii="宋体" w:hAnsi="宋体" w:cs="宋体"/>
                <w:sz w:val="24"/>
                <w:szCs w:val="24"/>
                <w:highlight w:val="none"/>
              </w:rPr>
            </w:pPr>
          </w:p>
        </w:tc>
        <w:tc>
          <w:tcPr>
            <w:tcW w:w="825" w:type="dxa"/>
            <w:tcBorders>
              <w:top w:val="single" w:color="auto" w:sz="4" w:space="0"/>
              <w:left w:val="nil"/>
              <w:bottom w:val="single" w:color="auto" w:sz="4" w:space="0"/>
              <w:right w:val="single" w:color="auto" w:sz="4" w:space="0"/>
            </w:tcBorders>
            <w:noWrap w:val="0"/>
            <w:vAlign w:val="center"/>
          </w:tcPr>
          <w:p w14:paraId="691EA373">
            <w:pPr>
              <w:jc w:val="center"/>
              <w:rPr>
                <w:rFonts w:hint="eastAsia" w:ascii="宋体" w:hAnsi="宋体" w:cs="宋体"/>
                <w:sz w:val="24"/>
                <w:szCs w:val="24"/>
                <w:highlight w:val="none"/>
              </w:rPr>
            </w:pPr>
          </w:p>
        </w:tc>
      </w:tr>
      <w:tr w14:paraId="568956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57" w:type="dxa"/>
            <w:tcBorders>
              <w:top w:val="single" w:color="auto" w:sz="4" w:space="0"/>
              <w:left w:val="single" w:color="auto" w:sz="4" w:space="0"/>
              <w:bottom w:val="single" w:color="auto" w:sz="4" w:space="0"/>
              <w:right w:val="single" w:color="auto" w:sz="4" w:space="0"/>
            </w:tcBorders>
            <w:noWrap w:val="0"/>
            <w:vAlign w:val="center"/>
          </w:tcPr>
          <w:p w14:paraId="3E15BBA7">
            <w:pPr>
              <w:jc w:val="center"/>
              <w:rPr>
                <w:rFonts w:hint="eastAsia" w:ascii="宋体" w:hAnsi="宋体" w:cs="宋体"/>
                <w:sz w:val="24"/>
                <w:szCs w:val="24"/>
                <w:highlight w:val="none"/>
              </w:rPr>
            </w:pPr>
            <w:r>
              <w:rPr>
                <w:rFonts w:hint="eastAsia" w:ascii="宋体" w:hAnsi="宋体" w:cs="宋体"/>
                <w:sz w:val="24"/>
                <w:szCs w:val="24"/>
                <w:highlight w:val="none"/>
              </w:rPr>
              <w:t>5</w:t>
            </w:r>
          </w:p>
        </w:tc>
        <w:tc>
          <w:tcPr>
            <w:tcW w:w="2130" w:type="dxa"/>
            <w:tcBorders>
              <w:top w:val="single" w:color="auto" w:sz="4" w:space="0"/>
              <w:left w:val="nil"/>
              <w:bottom w:val="single" w:color="auto" w:sz="4" w:space="0"/>
              <w:right w:val="single" w:color="auto" w:sz="4" w:space="0"/>
            </w:tcBorders>
            <w:noWrap w:val="0"/>
            <w:vAlign w:val="center"/>
          </w:tcPr>
          <w:p w14:paraId="77F32269">
            <w:pPr>
              <w:jc w:val="center"/>
              <w:rPr>
                <w:rFonts w:hint="eastAsia" w:ascii="宋体" w:hAnsi="宋体" w:cs="宋体"/>
                <w:sz w:val="24"/>
                <w:szCs w:val="24"/>
                <w:highlight w:val="none"/>
              </w:rPr>
            </w:pPr>
            <w:r>
              <w:rPr>
                <w:rFonts w:hint="eastAsia" w:ascii="宋体" w:hAnsi="宋体" w:cs="宋体"/>
                <w:sz w:val="24"/>
                <w:szCs w:val="24"/>
                <w:highlight w:val="none"/>
              </w:rPr>
              <w:t>“投标人须知前附表”第3.3.1款</w:t>
            </w:r>
          </w:p>
        </w:tc>
        <w:tc>
          <w:tcPr>
            <w:tcW w:w="2236" w:type="dxa"/>
            <w:tcBorders>
              <w:top w:val="single" w:color="auto" w:sz="4" w:space="0"/>
              <w:left w:val="nil"/>
              <w:bottom w:val="single" w:color="auto" w:sz="4" w:space="0"/>
              <w:right w:val="single" w:color="auto" w:sz="4" w:space="0"/>
            </w:tcBorders>
            <w:noWrap w:val="0"/>
            <w:vAlign w:val="center"/>
          </w:tcPr>
          <w:p w14:paraId="6DF5306F">
            <w:pPr>
              <w:jc w:val="center"/>
              <w:rPr>
                <w:rFonts w:hint="eastAsia" w:ascii="宋体" w:hAnsi="宋体" w:eastAsia="宋体" w:cs="宋体"/>
                <w:sz w:val="24"/>
                <w:szCs w:val="24"/>
                <w:highlight w:val="none"/>
                <w:lang w:eastAsia="zh-CN"/>
              </w:rPr>
            </w:pPr>
            <w:r>
              <w:rPr>
                <w:rFonts w:hint="eastAsia" w:ascii="宋体" w:hAnsi="宋体" w:cs="宋体"/>
                <w:sz w:val="24"/>
                <w:szCs w:val="24"/>
                <w:highlight w:val="none"/>
              </w:rPr>
              <w:t>投标有效期</w:t>
            </w:r>
            <w:r>
              <w:rPr>
                <w:rFonts w:hint="eastAsia" w:ascii="宋体" w:hAnsi="宋体" w:cs="宋体"/>
                <w:sz w:val="24"/>
                <w:szCs w:val="24"/>
                <w:highlight w:val="none"/>
                <w:lang w:eastAsia="zh-CN"/>
              </w:rPr>
              <w:t>：投标有效期为90日历天(从投标截止之日算起)。</w:t>
            </w:r>
          </w:p>
        </w:tc>
        <w:tc>
          <w:tcPr>
            <w:tcW w:w="2419" w:type="dxa"/>
            <w:tcBorders>
              <w:top w:val="single" w:color="auto" w:sz="4" w:space="0"/>
              <w:left w:val="nil"/>
              <w:bottom w:val="single" w:color="auto" w:sz="4" w:space="0"/>
              <w:right w:val="single" w:color="auto" w:sz="4" w:space="0"/>
            </w:tcBorders>
            <w:noWrap w:val="0"/>
            <w:vAlign w:val="center"/>
          </w:tcPr>
          <w:p w14:paraId="639F5622">
            <w:pPr>
              <w:jc w:val="center"/>
              <w:rPr>
                <w:rFonts w:hint="eastAsia" w:ascii="宋体" w:hAnsi="宋体" w:cs="宋体"/>
                <w:sz w:val="24"/>
                <w:szCs w:val="24"/>
                <w:highlight w:val="none"/>
              </w:rPr>
            </w:pPr>
          </w:p>
        </w:tc>
        <w:tc>
          <w:tcPr>
            <w:tcW w:w="825" w:type="dxa"/>
            <w:tcBorders>
              <w:top w:val="single" w:color="auto" w:sz="4" w:space="0"/>
              <w:left w:val="nil"/>
              <w:bottom w:val="single" w:color="auto" w:sz="4" w:space="0"/>
              <w:right w:val="single" w:color="auto" w:sz="4" w:space="0"/>
            </w:tcBorders>
            <w:noWrap w:val="0"/>
            <w:vAlign w:val="center"/>
          </w:tcPr>
          <w:p w14:paraId="7920F167">
            <w:pPr>
              <w:jc w:val="center"/>
              <w:rPr>
                <w:rFonts w:hint="eastAsia" w:ascii="宋体" w:hAnsi="宋体" w:cs="宋体"/>
                <w:sz w:val="24"/>
                <w:szCs w:val="24"/>
                <w:highlight w:val="none"/>
              </w:rPr>
            </w:pPr>
          </w:p>
        </w:tc>
        <w:tc>
          <w:tcPr>
            <w:tcW w:w="825" w:type="dxa"/>
            <w:tcBorders>
              <w:top w:val="single" w:color="auto" w:sz="4" w:space="0"/>
              <w:left w:val="nil"/>
              <w:bottom w:val="single" w:color="auto" w:sz="4" w:space="0"/>
              <w:right w:val="single" w:color="auto" w:sz="4" w:space="0"/>
            </w:tcBorders>
            <w:noWrap w:val="0"/>
            <w:vAlign w:val="center"/>
          </w:tcPr>
          <w:p w14:paraId="75785667">
            <w:pPr>
              <w:jc w:val="center"/>
              <w:rPr>
                <w:rFonts w:hint="eastAsia" w:ascii="宋体" w:hAnsi="宋体" w:cs="宋体"/>
                <w:sz w:val="24"/>
                <w:szCs w:val="24"/>
                <w:highlight w:val="none"/>
              </w:rPr>
            </w:pPr>
          </w:p>
        </w:tc>
      </w:tr>
    </w:tbl>
    <w:p w14:paraId="41A0F87B">
      <w:pPr>
        <w:spacing w:before="158" w:beforeLines="50" w:line="360" w:lineRule="auto"/>
        <w:ind w:firstLine="241" w:firstLineChars="100"/>
        <w:jc w:val="center"/>
        <w:rPr>
          <w:rFonts w:hint="eastAsia" w:ascii="宋体" w:hAnsi="宋体"/>
          <w:b/>
          <w:bCs/>
          <w:sz w:val="24"/>
          <w:szCs w:val="24"/>
          <w:highlight w:val="none"/>
        </w:rPr>
      </w:pPr>
      <w:r>
        <w:rPr>
          <w:rFonts w:hint="eastAsia" w:ascii="宋体" w:hAnsi="宋体"/>
          <w:b/>
          <w:bCs/>
          <w:sz w:val="24"/>
          <w:szCs w:val="24"/>
          <w:highlight w:val="none"/>
        </w:rPr>
        <w:br w:type="page"/>
      </w:r>
      <w:r>
        <w:rPr>
          <w:rFonts w:hint="eastAsia" w:ascii="宋体" w:hAnsi="宋体"/>
          <w:b/>
          <w:bCs/>
          <w:sz w:val="24"/>
          <w:szCs w:val="24"/>
          <w:highlight w:val="none"/>
        </w:rPr>
        <w:t>(二)技术规格偏离表</w:t>
      </w:r>
    </w:p>
    <w:tbl>
      <w:tblPr>
        <w:tblStyle w:val="2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7"/>
        <w:gridCol w:w="1912"/>
        <w:gridCol w:w="1839"/>
        <w:gridCol w:w="1593"/>
        <w:gridCol w:w="1500"/>
        <w:gridCol w:w="750"/>
        <w:gridCol w:w="975"/>
      </w:tblGrid>
      <w:tr w14:paraId="25E307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967" w:type="dxa"/>
            <w:noWrap w:val="0"/>
            <w:vAlign w:val="center"/>
          </w:tcPr>
          <w:p w14:paraId="46C2CC28">
            <w:pPr>
              <w:spacing w:line="400" w:lineRule="exact"/>
              <w:jc w:val="center"/>
              <w:rPr>
                <w:rFonts w:hint="eastAsia" w:ascii="宋体" w:hAnsi="宋体" w:cs="宋体"/>
                <w:b/>
                <w:sz w:val="24"/>
                <w:szCs w:val="24"/>
                <w:highlight w:val="none"/>
              </w:rPr>
            </w:pPr>
            <w:r>
              <w:rPr>
                <w:rFonts w:hint="eastAsia" w:ascii="宋体" w:hAnsi="宋体" w:cs="宋体"/>
                <w:b/>
                <w:sz w:val="24"/>
                <w:szCs w:val="24"/>
                <w:highlight w:val="none"/>
              </w:rPr>
              <w:t>序号</w:t>
            </w:r>
          </w:p>
        </w:tc>
        <w:tc>
          <w:tcPr>
            <w:tcW w:w="1912" w:type="dxa"/>
            <w:noWrap w:val="0"/>
            <w:vAlign w:val="center"/>
          </w:tcPr>
          <w:p w14:paraId="1975E344">
            <w:pPr>
              <w:spacing w:line="400" w:lineRule="exact"/>
              <w:jc w:val="center"/>
              <w:rPr>
                <w:rFonts w:hint="eastAsia" w:ascii="宋体" w:hAnsi="宋体" w:cs="宋体"/>
                <w:b/>
                <w:sz w:val="24"/>
                <w:szCs w:val="24"/>
                <w:highlight w:val="none"/>
              </w:rPr>
            </w:pPr>
            <w:r>
              <w:rPr>
                <w:rFonts w:hint="eastAsia" w:ascii="宋体" w:hAnsi="宋体" w:cs="宋体"/>
                <w:b/>
                <w:sz w:val="24"/>
                <w:szCs w:val="24"/>
                <w:highlight w:val="none"/>
              </w:rPr>
              <w:t>货物名称</w:t>
            </w:r>
          </w:p>
        </w:tc>
        <w:tc>
          <w:tcPr>
            <w:tcW w:w="1839" w:type="dxa"/>
            <w:noWrap w:val="0"/>
            <w:vAlign w:val="center"/>
          </w:tcPr>
          <w:p w14:paraId="40C6242F">
            <w:pPr>
              <w:spacing w:line="400" w:lineRule="exact"/>
              <w:jc w:val="center"/>
              <w:rPr>
                <w:rFonts w:hint="eastAsia" w:ascii="宋体" w:hAnsi="宋体" w:cs="宋体"/>
                <w:b/>
                <w:sz w:val="24"/>
                <w:szCs w:val="24"/>
                <w:highlight w:val="none"/>
              </w:rPr>
            </w:pPr>
            <w:r>
              <w:rPr>
                <w:rFonts w:hint="eastAsia" w:ascii="宋体" w:hAnsi="宋体" w:cs="宋体"/>
                <w:b/>
                <w:sz w:val="24"/>
                <w:szCs w:val="24"/>
                <w:highlight w:val="none"/>
              </w:rPr>
              <w:t>招标文件</w:t>
            </w:r>
          </w:p>
          <w:p w14:paraId="526A90A5">
            <w:pPr>
              <w:spacing w:line="400" w:lineRule="exact"/>
              <w:jc w:val="center"/>
              <w:rPr>
                <w:rFonts w:hint="eastAsia" w:ascii="宋体" w:hAnsi="宋体" w:cs="宋体"/>
                <w:b/>
                <w:sz w:val="24"/>
                <w:szCs w:val="24"/>
                <w:highlight w:val="none"/>
              </w:rPr>
            </w:pPr>
            <w:r>
              <w:rPr>
                <w:rFonts w:hint="eastAsia" w:ascii="宋体" w:hAnsi="宋体" w:cs="宋体"/>
                <w:b/>
                <w:sz w:val="24"/>
                <w:szCs w:val="24"/>
                <w:highlight w:val="none"/>
              </w:rPr>
              <w:t>条款号</w:t>
            </w:r>
          </w:p>
        </w:tc>
        <w:tc>
          <w:tcPr>
            <w:tcW w:w="1593" w:type="dxa"/>
            <w:noWrap w:val="0"/>
            <w:vAlign w:val="center"/>
          </w:tcPr>
          <w:p w14:paraId="485E78BD">
            <w:pPr>
              <w:spacing w:line="400" w:lineRule="exact"/>
              <w:jc w:val="center"/>
              <w:rPr>
                <w:rFonts w:hint="eastAsia" w:ascii="宋体" w:hAnsi="宋体" w:cs="宋体"/>
                <w:b/>
                <w:sz w:val="24"/>
                <w:szCs w:val="24"/>
                <w:highlight w:val="none"/>
              </w:rPr>
            </w:pPr>
            <w:r>
              <w:rPr>
                <w:rFonts w:hint="eastAsia" w:ascii="宋体" w:hAnsi="宋体" w:cs="宋体"/>
                <w:b/>
                <w:sz w:val="24"/>
                <w:szCs w:val="24"/>
                <w:highlight w:val="none"/>
              </w:rPr>
              <w:t>招标技术规格及要求</w:t>
            </w:r>
          </w:p>
        </w:tc>
        <w:tc>
          <w:tcPr>
            <w:tcW w:w="1500" w:type="dxa"/>
            <w:noWrap w:val="0"/>
            <w:vAlign w:val="center"/>
          </w:tcPr>
          <w:p w14:paraId="67AED800">
            <w:pPr>
              <w:spacing w:line="400" w:lineRule="exact"/>
              <w:jc w:val="center"/>
              <w:rPr>
                <w:rFonts w:hint="eastAsia" w:ascii="宋体" w:hAnsi="宋体" w:cs="宋体"/>
                <w:b/>
                <w:sz w:val="24"/>
                <w:szCs w:val="24"/>
                <w:highlight w:val="none"/>
              </w:rPr>
            </w:pPr>
            <w:r>
              <w:rPr>
                <w:rFonts w:hint="eastAsia" w:ascii="宋体" w:hAnsi="宋体" w:cs="宋体"/>
                <w:b/>
                <w:sz w:val="24"/>
                <w:szCs w:val="24"/>
                <w:highlight w:val="none"/>
              </w:rPr>
              <w:t>投标技术</w:t>
            </w:r>
          </w:p>
          <w:p w14:paraId="5B42A78C">
            <w:pPr>
              <w:spacing w:line="400" w:lineRule="exact"/>
              <w:jc w:val="center"/>
              <w:rPr>
                <w:rFonts w:hint="eastAsia" w:ascii="宋体" w:hAnsi="宋体" w:cs="宋体"/>
                <w:b/>
                <w:sz w:val="24"/>
                <w:szCs w:val="24"/>
                <w:highlight w:val="none"/>
              </w:rPr>
            </w:pPr>
            <w:r>
              <w:rPr>
                <w:rFonts w:hint="eastAsia" w:ascii="宋体" w:hAnsi="宋体" w:cs="宋体"/>
                <w:b/>
                <w:sz w:val="24"/>
                <w:szCs w:val="24"/>
                <w:highlight w:val="none"/>
              </w:rPr>
              <w:t>规格及要求</w:t>
            </w:r>
          </w:p>
        </w:tc>
        <w:tc>
          <w:tcPr>
            <w:tcW w:w="750" w:type="dxa"/>
            <w:noWrap w:val="0"/>
            <w:vAlign w:val="center"/>
          </w:tcPr>
          <w:p w14:paraId="576D3BA9">
            <w:pPr>
              <w:spacing w:line="400" w:lineRule="exact"/>
              <w:jc w:val="center"/>
              <w:rPr>
                <w:rFonts w:hint="eastAsia" w:ascii="宋体" w:hAnsi="宋体" w:cs="宋体"/>
                <w:b/>
                <w:sz w:val="24"/>
                <w:szCs w:val="24"/>
                <w:highlight w:val="none"/>
              </w:rPr>
            </w:pPr>
            <w:r>
              <w:rPr>
                <w:rFonts w:hint="eastAsia" w:ascii="宋体" w:hAnsi="宋体" w:cs="宋体"/>
                <w:b/>
                <w:sz w:val="24"/>
                <w:szCs w:val="24"/>
                <w:highlight w:val="none"/>
              </w:rPr>
              <w:t>偏离情况</w:t>
            </w:r>
          </w:p>
        </w:tc>
        <w:tc>
          <w:tcPr>
            <w:tcW w:w="975" w:type="dxa"/>
            <w:noWrap w:val="0"/>
            <w:vAlign w:val="center"/>
          </w:tcPr>
          <w:p w14:paraId="6D38A3C3">
            <w:pPr>
              <w:spacing w:line="400" w:lineRule="exact"/>
              <w:jc w:val="center"/>
              <w:rPr>
                <w:rFonts w:hint="eastAsia" w:ascii="宋体" w:hAnsi="宋体" w:cs="宋体"/>
                <w:b/>
                <w:sz w:val="24"/>
                <w:szCs w:val="24"/>
                <w:highlight w:val="none"/>
              </w:rPr>
            </w:pPr>
            <w:r>
              <w:rPr>
                <w:rFonts w:hint="eastAsia" w:ascii="宋体" w:hAnsi="宋体" w:cs="宋体"/>
                <w:b/>
                <w:sz w:val="24"/>
                <w:szCs w:val="24"/>
                <w:highlight w:val="none"/>
              </w:rPr>
              <w:t>说明</w:t>
            </w:r>
          </w:p>
        </w:tc>
      </w:tr>
      <w:tr w14:paraId="50AB7F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jc w:val="center"/>
        </w:trPr>
        <w:tc>
          <w:tcPr>
            <w:tcW w:w="967" w:type="dxa"/>
            <w:noWrap w:val="0"/>
            <w:vAlign w:val="center"/>
          </w:tcPr>
          <w:p w14:paraId="71B0B462">
            <w:pPr>
              <w:spacing w:line="480" w:lineRule="exact"/>
              <w:jc w:val="center"/>
              <w:rPr>
                <w:rFonts w:hint="eastAsia" w:ascii="宋体" w:hAnsi="宋体" w:cs="宋体"/>
                <w:sz w:val="24"/>
                <w:szCs w:val="24"/>
                <w:highlight w:val="none"/>
              </w:rPr>
            </w:pPr>
          </w:p>
        </w:tc>
        <w:tc>
          <w:tcPr>
            <w:tcW w:w="1912" w:type="dxa"/>
            <w:noWrap w:val="0"/>
            <w:vAlign w:val="top"/>
          </w:tcPr>
          <w:p w14:paraId="08E90251">
            <w:pPr>
              <w:spacing w:line="480" w:lineRule="exact"/>
              <w:rPr>
                <w:rFonts w:hint="eastAsia" w:ascii="宋体" w:hAnsi="宋体" w:cs="宋体"/>
                <w:sz w:val="24"/>
                <w:szCs w:val="24"/>
                <w:highlight w:val="none"/>
              </w:rPr>
            </w:pPr>
          </w:p>
        </w:tc>
        <w:tc>
          <w:tcPr>
            <w:tcW w:w="1839" w:type="dxa"/>
            <w:noWrap w:val="0"/>
            <w:vAlign w:val="top"/>
          </w:tcPr>
          <w:p w14:paraId="0EFA9A83">
            <w:pPr>
              <w:spacing w:line="480" w:lineRule="exact"/>
              <w:rPr>
                <w:rFonts w:hint="eastAsia" w:ascii="宋体" w:hAnsi="宋体" w:cs="宋体"/>
                <w:sz w:val="24"/>
                <w:szCs w:val="24"/>
                <w:highlight w:val="none"/>
              </w:rPr>
            </w:pPr>
          </w:p>
        </w:tc>
        <w:tc>
          <w:tcPr>
            <w:tcW w:w="1593" w:type="dxa"/>
            <w:noWrap w:val="0"/>
            <w:vAlign w:val="top"/>
          </w:tcPr>
          <w:p w14:paraId="4451CB85">
            <w:pPr>
              <w:spacing w:line="480" w:lineRule="exact"/>
              <w:rPr>
                <w:rFonts w:hint="eastAsia" w:ascii="宋体" w:hAnsi="宋体" w:cs="宋体"/>
                <w:sz w:val="24"/>
                <w:szCs w:val="24"/>
                <w:highlight w:val="none"/>
              </w:rPr>
            </w:pPr>
          </w:p>
        </w:tc>
        <w:tc>
          <w:tcPr>
            <w:tcW w:w="1500" w:type="dxa"/>
            <w:noWrap w:val="0"/>
            <w:vAlign w:val="top"/>
          </w:tcPr>
          <w:p w14:paraId="50379E82">
            <w:pPr>
              <w:spacing w:line="480" w:lineRule="exact"/>
              <w:rPr>
                <w:rFonts w:hint="eastAsia" w:ascii="宋体" w:hAnsi="宋体" w:cs="宋体"/>
                <w:sz w:val="24"/>
                <w:szCs w:val="24"/>
                <w:highlight w:val="none"/>
              </w:rPr>
            </w:pPr>
          </w:p>
        </w:tc>
        <w:tc>
          <w:tcPr>
            <w:tcW w:w="750" w:type="dxa"/>
            <w:noWrap w:val="0"/>
            <w:vAlign w:val="top"/>
          </w:tcPr>
          <w:p w14:paraId="3606DC97">
            <w:pPr>
              <w:spacing w:line="480" w:lineRule="exact"/>
              <w:rPr>
                <w:rFonts w:hint="eastAsia" w:ascii="宋体" w:hAnsi="宋体" w:cs="宋体"/>
                <w:sz w:val="24"/>
                <w:szCs w:val="24"/>
                <w:highlight w:val="none"/>
              </w:rPr>
            </w:pPr>
          </w:p>
        </w:tc>
        <w:tc>
          <w:tcPr>
            <w:tcW w:w="975" w:type="dxa"/>
            <w:noWrap w:val="0"/>
            <w:vAlign w:val="top"/>
          </w:tcPr>
          <w:p w14:paraId="4E313D4F">
            <w:pPr>
              <w:spacing w:line="480" w:lineRule="exact"/>
              <w:rPr>
                <w:rFonts w:hint="eastAsia" w:ascii="宋体" w:hAnsi="宋体" w:cs="宋体"/>
                <w:sz w:val="24"/>
                <w:szCs w:val="24"/>
                <w:highlight w:val="none"/>
              </w:rPr>
            </w:pPr>
          </w:p>
        </w:tc>
      </w:tr>
      <w:tr w14:paraId="68940B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4" w:hRule="atLeast"/>
          <w:jc w:val="center"/>
        </w:trPr>
        <w:tc>
          <w:tcPr>
            <w:tcW w:w="967" w:type="dxa"/>
            <w:noWrap w:val="0"/>
            <w:vAlign w:val="center"/>
          </w:tcPr>
          <w:p w14:paraId="2E85E2D7">
            <w:pPr>
              <w:spacing w:line="480" w:lineRule="exact"/>
              <w:jc w:val="center"/>
              <w:rPr>
                <w:rFonts w:hint="eastAsia" w:ascii="宋体" w:hAnsi="宋体" w:cs="宋体"/>
                <w:sz w:val="24"/>
                <w:szCs w:val="24"/>
                <w:highlight w:val="none"/>
              </w:rPr>
            </w:pPr>
          </w:p>
        </w:tc>
        <w:tc>
          <w:tcPr>
            <w:tcW w:w="1912" w:type="dxa"/>
            <w:noWrap w:val="0"/>
            <w:vAlign w:val="top"/>
          </w:tcPr>
          <w:p w14:paraId="2033D07D">
            <w:pPr>
              <w:spacing w:line="480" w:lineRule="exact"/>
              <w:rPr>
                <w:rFonts w:hint="eastAsia" w:ascii="宋体" w:hAnsi="宋体" w:cs="宋体"/>
                <w:sz w:val="24"/>
                <w:szCs w:val="24"/>
                <w:highlight w:val="none"/>
              </w:rPr>
            </w:pPr>
          </w:p>
        </w:tc>
        <w:tc>
          <w:tcPr>
            <w:tcW w:w="1839" w:type="dxa"/>
            <w:noWrap w:val="0"/>
            <w:vAlign w:val="top"/>
          </w:tcPr>
          <w:p w14:paraId="314787F6">
            <w:pPr>
              <w:spacing w:line="480" w:lineRule="exact"/>
              <w:rPr>
                <w:rFonts w:hint="eastAsia" w:ascii="宋体" w:hAnsi="宋体" w:cs="宋体"/>
                <w:sz w:val="24"/>
                <w:szCs w:val="24"/>
                <w:highlight w:val="none"/>
              </w:rPr>
            </w:pPr>
          </w:p>
        </w:tc>
        <w:tc>
          <w:tcPr>
            <w:tcW w:w="1593" w:type="dxa"/>
            <w:noWrap w:val="0"/>
            <w:vAlign w:val="top"/>
          </w:tcPr>
          <w:p w14:paraId="24BCB810">
            <w:pPr>
              <w:spacing w:line="480" w:lineRule="exact"/>
              <w:rPr>
                <w:rFonts w:hint="eastAsia" w:ascii="宋体" w:hAnsi="宋体" w:cs="宋体"/>
                <w:sz w:val="24"/>
                <w:szCs w:val="24"/>
                <w:highlight w:val="none"/>
              </w:rPr>
            </w:pPr>
          </w:p>
        </w:tc>
        <w:tc>
          <w:tcPr>
            <w:tcW w:w="1500" w:type="dxa"/>
            <w:noWrap w:val="0"/>
            <w:vAlign w:val="top"/>
          </w:tcPr>
          <w:p w14:paraId="6D603858">
            <w:pPr>
              <w:spacing w:line="480" w:lineRule="exact"/>
              <w:rPr>
                <w:rFonts w:hint="eastAsia" w:ascii="宋体" w:hAnsi="宋体" w:cs="宋体"/>
                <w:sz w:val="24"/>
                <w:szCs w:val="24"/>
                <w:highlight w:val="none"/>
              </w:rPr>
            </w:pPr>
          </w:p>
        </w:tc>
        <w:tc>
          <w:tcPr>
            <w:tcW w:w="750" w:type="dxa"/>
            <w:noWrap w:val="0"/>
            <w:vAlign w:val="top"/>
          </w:tcPr>
          <w:p w14:paraId="553B80A0">
            <w:pPr>
              <w:spacing w:line="480" w:lineRule="exact"/>
              <w:rPr>
                <w:rFonts w:hint="eastAsia" w:ascii="宋体" w:hAnsi="宋体" w:cs="宋体"/>
                <w:sz w:val="24"/>
                <w:szCs w:val="24"/>
                <w:highlight w:val="none"/>
              </w:rPr>
            </w:pPr>
          </w:p>
        </w:tc>
        <w:tc>
          <w:tcPr>
            <w:tcW w:w="975" w:type="dxa"/>
            <w:noWrap w:val="0"/>
            <w:vAlign w:val="top"/>
          </w:tcPr>
          <w:p w14:paraId="29667107">
            <w:pPr>
              <w:spacing w:line="480" w:lineRule="exact"/>
              <w:rPr>
                <w:rFonts w:hint="eastAsia" w:ascii="宋体" w:hAnsi="宋体" w:cs="宋体"/>
                <w:sz w:val="24"/>
                <w:szCs w:val="24"/>
                <w:highlight w:val="none"/>
              </w:rPr>
            </w:pPr>
          </w:p>
        </w:tc>
      </w:tr>
      <w:tr w14:paraId="31B502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jc w:val="center"/>
        </w:trPr>
        <w:tc>
          <w:tcPr>
            <w:tcW w:w="967" w:type="dxa"/>
            <w:noWrap w:val="0"/>
            <w:vAlign w:val="center"/>
          </w:tcPr>
          <w:p w14:paraId="769BFA47">
            <w:pPr>
              <w:spacing w:line="480" w:lineRule="exact"/>
              <w:jc w:val="center"/>
              <w:rPr>
                <w:rFonts w:hint="eastAsia" w:ascii="宋体" w:hAnsi="宋体" w:cs="宋体"/>
                <w:sz w:val="24"/>
                <w:szCs w:val="24"/>
                <w:highlight w:val="none"/>
              </w:rPr>
            </w:pPr>
          </w:p>
        </w:tc>
        <w:tc>
          <w:tcPr>
            <w:tcW w:w="1912" w:type="dxa"/>
            <w:noWrap w:val="0"/>
            <w:vAlign w:val="top"/>
          </w:tcPr>
          <w:p w14:paraId="6B0F9A8D">
            <w:pPr>
              <w:spacing w:line="480" w:lineRule="exact"/>
              <w:rPr>
                <w:rFonts w:hint="eastAsia" w:ascii="宋体" w:hAnsi="宋体" w:cs="宋体"/>
                <w:sz w:val="24"/>
                <w:szCs w:val="24"/>
                <w:highlight w:val="none"/>
              </w:rPr>
            </w:pPr>
          </w:p>
        </w:tc>
        <w:tc>
          <w:tcPr>
            <w:tcW w:w="1839" w:type="dxa"/>
            <w:noWrap w:val="0"/>
            <w:vAlign w:val="top"/>
          </w:tcPr>
          <w:p w14:paraId="333167A0">
            <w:pPr>
              <w:spacing w:line="480" w:lineRule="exact"/>
              <w:rPr>
                <w:rFonts w:hint="eastAsia" w:ascii="宋体" w:hAnsi="宋体" w:cs="宋体"/>
                <w:sz w:val="24"/>
                <w:szCs w:val="24"/>
                <w:highlight w:val="none"/>
              </w:rPr>
            </w:pPr>
          </w:p>
        </w:tc>
        <w:tc>
          <w:tcPr>
            <w:tcW w:w="1593" w:type="dxa"/>
            <w:noWrap w:val="0"/>
            <w:vAlign w:val="top"/>
          </w:tcPr>
          <w:p w14:paraId="4A890116">
            <w:pPr>
              <w:spacing w:line="480" w:lineRule="exact"/>
              <w:rPr>
                <w:rFonts w:hint="eastAsia" w:ascii="宋体" w:hAnsi="宋体" w:cs="宋体"/>
                <w:sz w:val="24"/>
                <w:szCs w:val="24"/>
                <w:highlight w:val="none"/>
              </w:rPr>
            </w:pPr>
          </w:p>
        </w:tc>
        <w:tc>
          <w:tcPr>
            <w:tcW w:w="1500" w:type="dxa"/>
            <w:noWrap w:val="0"/>
            <w:vAlign w:val="top"/>
          </w:tcPr>
          <w:p w14:paraId="415E92F8">
            <w:pPr>
              <w:spacing w:line="480" w:lineRule="exact"/>
              <w:rPr>
                <w:rFonts w:hint="eastAsia" w:ascii="宋体" w:hAnsi="宋体" w:cs="宋体"/>
                <w:sz w:val="24"/>
                <w:szCs w:val="24"/>
                <w:highlight w:val="none"/>
              </w:rPr>
            </w:pPr>
          </w:p>
        </w:tc>
        <w:tc>
          <w:tcPr>
            <w:tcW w:w="750" w:type="dxa"/>
            <w:noWrap w:val="0"/>
            <w:vAlign w:val="top"/>
          </w:tcPr>
          <w:p w14:paraId="4DADF99E">
            <w:pPr>
              <w:spacing w:line="480" w:lineRule="exact"/>
              <w:rPr>
                <w:rFonts w:hint="eastAsia" w:ascii="宋体" w:hAnsi="宋体" w:cs="宋体"/>
                <w:sz w:val="24"/>
                <w:szCs w:val="24"/>
                <w:highlight w:val="none"/>
              </w:rPr>
            </w:pPr>
          </w:p>
        </w:tc>
        <w:tc>
          <w:tcPr>
            <w:tcW w:w="975" w:type="dxa"/>
            <w:noWrap w:val="0"/>
            <w:vAlign w:val="top"/>
          </w:tcPr>
          <w:p w14:paraId="07BDC856">
            <w:pPr>
              <w:spacing w:line="480" w:lineRule="exact"/>
              <w:rPr>
                <w:rFonts w:hint="eastAsia" w:ascii="宋体" w:hAnsi="宋体" w:cs="宋体"/>
                <w:sz w:val="24"/>
                <w:szCs w:val="24"/>
                <w:highlight w:val="none"/>
              </w:rPr>
            </w:pPr>
          </w:p>
        </w:tc>
      </w:tr>
      <w:tr w14:paraId="3DE07D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2" w:hRule="atLeast"/>
          <w:jc w:val="center"/>
        </w:trPr>
        <w:tc>
          <w:tcPr>
            <w:tcW w:w="967" w:type="dxa"/>
            <w:noWrap w:val="0"/>
            <w:vAlign w:val="center"/>
          </w:tcPr>
          <w:p w14:paraId="6E89B899">
            <w:pPr>
              <w:spacing w:line="480" w:lineRule="exact"/>
              <w:jc w:val="center"/>
              <w:rPr>
                <w:rFonts w:hint="eastAsia" w:ascii="宋体" w:hAnsi="宋体" w:cs="宋体"/>
                <w:sz w:val="24"/>
                <w:szCs w:val="24"/>
                <w:highlight w:val="none"/>
              </w:rPr>
            </w:pPr>
          </w:p>
        </w:tc>
        <w:tc>
          <w:tcPr>
            <w:tcW w:w="1912" w:type="dxa"/>
            <w:noWrap w:val="0"/>
            <w:vAlign w:val="top"/>
          </w:tcPr>
          <w:p w14:paraId="4F7DFB61">
            <w:pPr>
              <w:spacing w:line="480" w:lineRule="exact"/>
              <w:rPr>
                <w:rFonts w:hint="eastAsia" w:ascii="宋体" w:hAnsi="宋体" w:cs="宋体"/>
                <w:sz w:val="24"/>
                <w:szCs w:val="24"/>
                <w:highlight w:val="none"/>
              </w:rPr>
            </w:pPr>
          </w:p>
        </w:tc>
        <w:tc>
          <w:tcPr>
            <w:tcW w:w="1839" w:type="dxa"/>
            <w:noWrap w:val="0"/>
            <w:vAlign w:val="top"/>
          </w:tcPr>
          <w:p w14:paraId="28E38366">
            <w:pPr>
              <w:spacing w:line="480" w:lineRule="exact"/>
              <w:rPr>
                <w:rFonts w:hint="eastAsia" w:ascii="宋体" w:hAnsi="宋体" w:cs="宋体"/>
                <w:sz w:val="24"/>
                <w:szCs w:val="24"/>
                <w:highlight w:val="none"/>
              </w:rPr>
            </w:pPr>
          </w:p>
        </w:tc>
        <w:tc>
          <w:tcPr>
            <w:tcW w:w="1593" w:type="dxa"/>
            <w:noWrap w:val="0"/>
            <w:vAlign w:val="top"/>
          </w:tcPr>
          <w:p w14:paraId="11D47920">
            <w:pPr>
              <w:spacing w:line="480" w:lineRule="exact"/>
              <w:rPr>
                <w:rFonts w:hint="eastAsia" w:ascii="宋体" w:hAnsi="宋体" w:cs="宋体"/>
                <w:sz w:val="24"/>
                <w:szCs w:val="24"/>
                <w:highlight w:val="none"/>
              </w:rPr>
            </w:pPr>
          </w:p>
        </w:tc>
        <w:tc>
          <w:tcPr>
            <w:tcW w:w="1500" w:type="dxa"/>
            <w:noWrap w:val="0"/>
            <w:vAlign w:val="top"/>
          </w:tcPr>
          <w:p w14:paraId="22BF70B2">
            <w:pPr>
              <w:spacing w:line="480" w:lineRule="exact"/>
              <w:rPr>
                <w:rFonts w:hint="eastAsia" w:ascii="宋体" w:hAnsi="宋体" w:cs="宋体"/>
                <w:sz w:val="24"/>
                <w:szCs w:val="24"/>
                <w:highlight w:val="none"/>
              </w:rPr>
            </w:pPr>
          </w:p>
        </w:tc>
        <w:tc>
          <w:tcPr>
            <w:tcW w:w="750" w:type="dxa"/>
            <w:noWrap w:val="0"/>
            <w:vAlign w:val="top"/>
          </w:tcPr>
          <w:p w14:paraId="6241EBF2">
            <w:pPr>
              <w:spacing w:line="480" w:lineRule="exact"/>
              <w:rPr>
                <w:rFonts w:hint="eastAsia" w:ascii="宋体" w:hAnsi="宋体" w:cs="宋体"/>
                <w:sz w:val="24"/>
                <w:szCs w:val="24"/>
                <w:highlight w:val="none"/>
              </w:rPr>
            </w:pPr>
          </w:p>
        </w:tc>
        <w:tc>
          <w:tcPr>
            <w:tcW w:w="975" w:type="dxa"/>
            <w:noWrap w:val="0"/>
            <w:vAlign w:val="top"/>
          </w:tcPr>
          <w:p w14:paraId="29370D73">
            <w:pPr>
              <w:spacing w:line="480" w:lineRule="exact"/>
              <w:rPr>
                <w:rFonts w:hint="eastAsia" w:ascii="宋体" w:hAnsi="宋体" w:cs="宋体"/>
                <w:sz w:val="24"/>
                <w:szCs w:val="24"/>
                <w:highlight w:val="none"/>
              </w:rPr>
            </w:pPr>
          </w:p>
        </w:tc>
      </w:tr>
      <w:tr w14:paraId="20EFD7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1" w:hRule="atLeast"/>
          <w:jc w:val="center"/>
        </w:trPr>
        <w:tc>
          <w:tcPr>
            <w:tcW w:w="967" w:type="dxa"/>
            <w:noWrap w:val="0"/>
            <w:vAlign w:val="center"/>
          </w:tcPr>
          <w:p w14:paraId="0D011B7A">
            <w:pPr>
              <w:spacing w:line="480" w:lineRule="exact"/>
              <w:jc w:val="center"/>
              <w:rPr>
                <w:rFonts w:hint="eastAsia" w:ascii="宋体" w:hAnsi="宋体" w:cs="宋体"/>
                <w:sz w:val="24"/>
                <w:szCs w:val="24"/>
                <w:highlight w:val="none"/>
              </w:rPr>
            </w:pPr>
          </w:p>
        </w:tc>
        <w:tc>
          <w:tcPr>
            <w:tcW w:w="1912" w:type="dxa"/>
            <w:noWrap w:val="0"/>
            <w:vAlign w:val="top"/>
          </w:tcPr>
          <w:p w14:paraId="0F617B87">
            <w:pPr>
              <w:spacing w:line="480" w:lineRule="exact"/>
              <w:rPr>
                <w:rFonts w:hint="eastAsia" w:ascii="宋体" w:hAnsi="宋体" w:cs="宋体"/>
                <w:sz w:val="24"/>
                <w:szCs w:val="24"/>
                <w:highlight w:val="none"/>
              </w:rPr>
            </w:pPr>
          </w:p>
        </w:tc>
        <w:tc>
          <w:tcPr>
            <w:tcW w:w="1839" w:type="dxa"/>
            <w:noWrap w:val="0"/>
            <w:vAlign w:val="top"/>
          </w:tcPr>
          <w:p w14:paraId="53C8A012">
            <w:pPr>
              <w:spacing w:line="480" w:lineRule="exact"/>
              <w:rPr>
                <w:rFonts w:hint="eastAsia" w:ascii="宋体" w:hAnsi="宋体" w:cs="宋体"/>
                <w:sz w:val="24"/>
                <w:szCs w:val="24"/>
                <w:highlight w:val="none"/>
              </w:rPr>
            </w:pPr>
          </w:p>
        </w:tc>
        <w:tc>
          <w:tcPr>
            <w:tcW w:w="1593" w:type="dxa"/>
            <w:noWrap w:val="0"/>
            <w:vAlign w:val="top"/>
          </w:tcPr>
          <w:p w14:paraId="73A249AD">
            <w:pPr>
              <w:spacing w:line="480" w:lineRule="exact"/>
              <w:rPr>
                <w:rFonts w:hint="eastAsia" w:ascii="宋体" w:hAnsi="宋体" w:cs="宋体"/>
                <w:sz w:val="24"/>
                <w:szCs w:val="24"/>
                <w:highlight w:val="none"/>
              </w:rPr>
            </w:pPr>
          </w:p>
        </w:tc>
        <w:tc>
          <w:tcPr>
            <w:tcW w:w="1500" w:type="dxa"/>
            <w:noWrap w:val="0"/>
            <w:vAlign w:val="top"/>
          </w:tcPr>
          <w:p w14:paraId="0B16F80C">
            <w:pPr>
              <w:spacing w:line="480" w:lineRule="exact"/>
              <w:rPr>
                <w:rFonts w:hint="eastAsia" w:ascii="宋体" w:hAnsi="宋体" w:cs="宋体"/>
                <w:sz w:val="24"/>
                <w:szCs w:val="24"/>
                <w:highlight w:val="none"/>
              </w:rPr>
            </w:pPr>
          </w:p>
        </w:tc>
        <w:tc>
          <w:tcPr>
            <w:tcW w:w="750" w:type="dxa"/>
            <w:noWrap w:val="0"/>
            <w:vAlign w:val="top"/>
          </w:tcPr>
          <w:p w14:paraId="6A4BBA7C">
            <w:pPr>
              <w:spacing w:line="480" w:lineRule="exact"/>
              <w:rPr>
                <w:rFonts w:hint="eastAsia" w:ascii="宋体" w:hAnsi="宋体" w:cs="宋体"/>
                <w:sz w:val="24"/>
                <w:szCs w:val="24"/>
                <w:highlight w:val="none"/>
              </w:rPr>
            </w:pPr>
          </w:p>
        </w:tc>
        <w:tc>
          <w:tcPr>
            <w:tcW w:w="975" w:type="dxa"/>
            <w:noWrap w:val="0"/>
            <w:vAlign w:val="top"/>
          </w:tcPr>
          <w:p w14:paraId="7BCF71AE">
            <w:pPr>
              <w:spacing w:line="480" w:lineRule="exact"/>
              <w:rPr>
                <w:rFonts w:hint="eastAsia" w:ascii="宋体" w:hAnsi="宋体" w:cs="宋体"/>
                <w:sz w:val="24"/>
                <w:szCs w:val="24"/>
                <w:highlight w:val="none"/>
              </w:rPr>
            </w:pPr>
          </w:p>
        </w:tc>
      </w:tr>
    </w:tbl>
    <w:p w14:paraId="77E9D2D7">
      <w:pPr>
        <w:autoSpaceD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注：各投标人必须对招标文件“第六章 </w:t>
      </w:r>
      <w:r>
        <w:rPr>
          <w:rFonts w:hint="eastAsia" w:ascii="宋体" w:hAnsi="宋体"/>
          <w:color w:val="auto"/>
          <w:sz w:val="24"/>
          <w:szCs w:val="24"/>
          <w:highlight w:val="none"/>
          <w:lang w:eastAsia="zh-CN"/>
        </w:rPr>
        <w:t>招标内容及要求</w:t>
      </w:r>
      <w:r>
        <w:rPr>
          <w:rFonts w:hint="eastAsia" w:ascii="宋体" w:hAnsi="宋体"/>
          <w:color w:val="auto"/>
          <w:sz w:val="24"/>
          <w:szCs w:val="24"/>
          <w:highlight w:val="none"/>
        </w:rPr>
        <w:t>”中的</w:t>
      </w:r>
      <w:r>
        <w:rPr>
          <w:rFonts w:hint="eastAsia" w:ascii="宋体" w:hAnsi="宋体"/>
          <w:color w:val="auto"/>
          <w:sz w:val="24"/>
          <w:szCs w:val="24"/>
          <w:highlight w:val="none"/>
          <w:lang w:eastAsia="zh-CN"/>
        </w:rPr>
        <w:t>“</w:t>
      </w:r>
      <w:r>
        <w:rPr>
          <w:rFonts w:hint="eastAsia" w:ascii="宋体" w:hAnsi="宋体" w:eastAsia="宋体" w:cs="宋体"/>
          <w:b/>
          <w:bCs/>
          <w:i w:val="0"/>
          <w:iCs w:val="0"/>
          <w:caps w:val="0"/>
          <w:color w:val="333333"/>
          <w:spacing w:val="0"/>
          <w:sz w:val="24"/>
          <w:szCs w:val="24"/>
          <w:highlight w:val="none"/>
          <w:shd w:val="clear" w:color="auto" w:fill="FFFFFF"/>
        </w:rPr>
        <w:t>三</w:t>
      </w:r>
      <w:r>
        <w:rPr>
          <w:rFonts w:hint="eastAsia" w:ascii="宋体" w:hAnsi="宋体" w:cs="宋体"/>
          <w:b/>
          <w:bCs/>
          <w:i w:val="0"/>
          <w:iCs w:val="0"/>
          <w:caps w:val="0"/>
          <w:color w:val="333333"/>
          <w:spacing w:val="0"/>
          <w:sz w:val="24"/>
          <w:szCs w:val="24"/>
          <w:highlight w:val="none"/>
          <w:shd w:val="clear" w:color="auto" w:fill="FFFFFF"/>
          <w:lang w:eastAsia="zh-CN"/>
        </w:rPr>
        <w:t>、</w:t>
      </w:r>
      <w:r>
        <w:rPr>
          <w:rFonts w:hint="eastAsia" w:ascii="宋体" w:hAnsi="宋体" w:eastAsia="宋体" w:cs="宋体"/>
          <w:b/>
          <w:bCs/>
          <w:i w:val="0"/>
          <w:iCs w:val="0"/>
          <w:caps w:val="0"/>
          <w:color w:val="333333"/>
          <w:spacing w:val="0"/>
          <w:sz w:val="24"/>
          <w:szCs w:val="24"/>
          <w:highlight w:val="none"/>
          <w:shd w:val="clear" w:color="auto" w:fill="FFFFFF"/>
        </w:rPr>
        <w:t>采购标的技术规格、</w:t>
      </w:r>
      <w:r>
        <w:rPr>
          <w:rFonts w:hint="eastAsia" w:ascii="宋体" w:hAnsi="宋体" w:cs="宋体"/>
          <w:b/>
          <w:bCs/>
          <w:i w:val="0"/>
          <w:iCs w:val="0"/>
          <w:caps w:val="0"/>
          <w:color w:val="333333"/>
          <w:spacing w:val="0"/>
          <w:sz w:val="24"/>
          <w:szCs w:val="24"/>
          <w:highlight w:val="none"/>
          <w:shd w:val="clear" w:color="auto" w:fill="FFFFFF"/>
          <w:lang w:val="en-US" w:eastAsia="zh-CN"/>
        </w:rPr>
        <w:t>参数</w:t>
      </w:r>
      <w:r>
        <w:rPr>
          <w:rFonts w:hint="eastAsia" w:ascii="宋体" w:hAnsi="宋体" w:eastAsia="宋体" w:cs="宋体"/>
          <w:b/>
          <w:bCs/>
          <w:i w:val="0"/>
          <w:iCs w:val="0"/>
          <w:caps w:val="0"/>
          <w:color w:val="333333"/>
          <w:spacing w:val="0"/>
          <w:sz w:val="24"/>
          <w:szCs w:val="24"/>
          <w:highlight w:val="none"/>
          <w:shd w:val="clear" w:color="auto" w:fill="FFFFFF"/>
        </w:rPr>
        <w:t>等要求</w:t>
      </w:r>
      <w:r>
        <w:rPr>
          <w:rFonts w:hint="eastAsia" w:ascii="宋体" w:hAnsi="宋体"/>
          <w:color w:val="auto"/>
          <w:sz w:val="24"/>
          <w:szCs w:val="24"/>
          <w:highlight w:val="none"/>
          <w:lang w:eastAsia="zh-CN"/>
        </w:rPr>
        <w:t>”</w:t>
      </w:r>
      <w:r>
        <w:rPr>
          <w:rFonts w:hint="eastAsia" w:ascii="宋体" w:hAnsi="宋体"/>
          <w:color w:val="auto"/>
          <w:sz w:val="24"/>
          <w:szCs w:val="24"/>
          <w:highlight w:val="none"/>
        </w:rPr>
        <w:t xml:space="preserve">作出全面、真实的反映，投标人除如实填写技术规格偏离表外，投标文件中必须提供制造厂商出具的满足产品需求的技术证明材料(包括但不限于产品彩页或白皮书)、说明书以及配置清单等资料以证明其产品的技术指标参数和具体配置情况的真实性，采购人也可根据设备制造厂商官方网站资料以证明投标人产品的技术指标参数和具体配置情况的真实性。若投标文件中最新技术支持资料参数与技术规格偏离表应答不符或无技术资料应答，而投标人又未在投标文件中作出说明和解释的，视为不响应该条技术参数要求。 </w:t>
      </w:r>
    </w:p>
    <w:p w14:paraId="03A9F1FF">
      <w:pPr>
        <w:autoSpaceDE w:val="0"/>
        <w:spacing w:line="360" w:lineRule="auto"/>
        <w:ind w:firstLine="960" w:firstLineChars="400"/>
        <w:rPr>
          <w:rFonts w:hint="eastAsia" w:ascii="宋体" w:hAnsi="宋体"/>
          <w:sz w:val="24"/>
          <w:szCs w:val="24"/>
          <w:highlight w:val="none"/>
        </w:rPr>
      </w:pPr>
      <w:r>
        <w:rPr>
          <w:rFonts w:hint="eastAsia" w:ascii="宋体" w:hAnsi="宋体"/>
          <w:sz w:val="24"/>
          <w:szCs w:val="24"/>
          <w:highlight w:val="none"/>
        </w:rPr>
        <w:t xml:space="preserve"> </w:t>
      </w:r>
    </w:p>
    <w:p w14:paraId="068690B0">
      <w:pPr>
        <w:ind w:left="0" w:leftChars="0" w:firstLine="1687" w:firstLineChars="600"/>
        <w:rPr>
          <w:rFonts w:hint="eastAsia" w:ascii="宋体" w:hAnsi="宋体"/>
          <w:b/>
          <w:sz w:val="28"/>
          <w:szCs w:val="28"/>
          <w:highlight w:val="none"/>
        </w:rPr>
      </w:pPr>
      <w:bookmarkStart w:id="279" w:name="_Toc14236"/>
      <w:bookmarkEnd w:id="279"/>
      <w:bookmarkStart w:id="280" w:name="_Toc29437"/>
      <w:r>
        <w:rPr>
          <w:rFonts w:hint="eastAsia" w:ascii="宋体" w:hAnsi="宋体"/>
          <w:b/>
          <w:sz w:val="28"/>
          <w:szCs w:val="28"/>
          <w:highlight w:val="none"/>
        </w:rPr>
        <w:t>投标人：</w:t>
      </w:r>
      <w:r>
        <w:rPr>
          <w:rFonts w:hint="eastAsia" w:ascii="宋体" w:hAnsi="宋体"/>
          <w:b/>
          <w:sz w:val="28"/>
          <w:szCs w:val="28"/>
          <w:highlight w:val="none"/>
          <w:u w:val="single"/>
        </w:rPr>
        <w:tab/>
      </w:r>
      <w:r>
        <w:rPr>
          <w:rFonts w:hint="eastAsia" w:ascii="宋体" w:hAnsi="宋体"/>
          <w:b/>
          <w:sz w:val="28"/>
          <w:szCs w:val="28"/>
          <w:highlight w:val="none"/>
          <w:u w:val="single"/>
        </w:rPr>
        <w:t xml:space="preserve">           </w:t>
      </w:r>
      <w:r>
        <w:rPr>
          <w:rFonts w:hint="eastAsia" w:ascii="宋体" w:hAnsi="宋体"/>
          <w:b/>
          <w:sz w:val="28"/>
          <w:szCs w:val="28"/>
          <w:highlight w:val="none"/>
        </w:rPr>
        <w:t>(电子签章)</w:t>
      </w:r>
    </w:p>
    <w:p w14:paraId="4499BE2A">
      <w:pPr>
        <w:ind w:left="0" w:leftChars="0" w:firstLine="1687" w:firstLineChars="600"/>
        <w:rPr>
          <w:b/>
          <w:sz w:val="28"/>
          <w:szCs w:val="28"/>
          <w:highlight w:val="none"/>
        </w:rPr>
      </w:pPr>
      <w:r>
        <w:rPr>
          <w:rFonts w:hint="eastAsia" w:ascii="宋体" w:hAnsi="宋体"/>
          <w:b/>
          <w:sz w:val="28"/>
          <w:szCs w:val="28"/>
          <w:highlight w:val="none"/>
        </w:rPr>
        <w:t>法定代表人(单位负责人)或其委托代理人：</w:t>
      </w:r>
      <w:r>
        <w:rPr>
          <w:rFonts w:hint="eastAsia" w:ascii="宋体" w:hAnsi="宋体"/>
          <w:b/>
          <w:sz w:val="28"/>
          <w:szCs w:val="28"/>
          <w:highlight w:val="none"/>
          <w:u w:val="single"/>
        </w:rPr>
        <w:tab/>
      </w:r>
      <w:r>
        <w:rPr>
          <w:rFonts w:hint="eastAsia" w:ascii="宋体" w:hAnsi="宋体"/>
          <w:b/>
          <w:sz w:val="28"/>
          <w:szCs w:val="28"/>
          <w:highlight w:val="none"/>
          <w:u w:val="single"/>
        </w:rPr>
        <w:t xml:space="preserve">     </w:t>
      </w:r>
      <w:r>
        <w:rPr>
          <w:rFonts w:hint="eastAsia" w:ascii="宋体" w:hAnsi="宋体"/>
          <w:b/>
          <w:sz w:val="28"/>
          <w:szCs w:val="28"/>
          <w:highlight w:val="none"/>
        </w:rPr>
        <w:t>(电子签章)</w:t>
      </w:r>
    </w:p>
    <w:p w14:paraId="1C50FAF4">
      <w:pPr>
        <w:ind w:left="0" w:leftChars="0" w:firstLine="1687" w:firstLineChars="600"/>
        <w:rPr>
          <w:sz w:val="28"/>
          <w:szCs w:val="28"/>
          <w:highlight w:val="none"/>
        </w:rPr>
        <w:sectPr>
          <w:footerReference r:id="rId9" w:type="default"/>
          <w:pgSz w:w="11906" w:h="16838"/>
          <w:pgMar w:top="1191" w:right="1191" w:bottom="1191" w:left="1191" w:header="720" w:footer="720" w:gutter="0"/>
          <w:pgNumType w:fmt="decimal"/>
          <w:cols w:space="720" w:num="1"/>
          <w:docGrid w:type="lines" w:linePitch="317" w:charSpace="0"/>
        </w:sectPr>
      </w:pPr>
      <w:r>
        <w:rPr>
          <w:b/>
          <w:sz w:val="28"/>
          <w:szCs w:val="28"/>
          <w:highlight w:val="none"/>
        </w:rPr>
        <w:t>日期：</w:t>
      </w:r>
      <w:r>
        <w:rPr>
          <w:rFonts w:hint="eastAsia"/>
          <w:bCs/>
          <w:sz w:val="28"/>
          <w:szCs w:val="28"/>
          <w:highlight w:val="none"/>
          <w:u w:val="single"/>
        </w:rPr>
        <w:t xml:space="preserve">      </w:t>
      </w:r>
      <w:r>
        <w:rPr>
          <w:b/>
          <w:sz w:val="28"/>
          <w:szCs w:val="28"/>
          <w:highlight w:val="none"/>
        </w:rPr>
        <w:t>年</w:t>
      </w:r>
      <w:r>
        <w:rPr>
          <w:rFonts w:hint="eastAsia"/>
          <w:bCs/>
          <w:sz w:val="28"/>
          <w:szCs w:val="28"/>
          <w:highlight w:val="none"/>
          <w:u w:val="single"/>
        </w:rPr>
        <w:t xml:space="preserve">     </w:t>
      </w:r>
      <w:r>
        <w:rPr>
          <w:b/>
          <w:sz w:val="28"/>
          <w:szCs w:val="28"/>
          <w:highlight w:val="none"/>
        </w:rPr>
        <w:t>月</w:t>
      </w:r>
      <w:r>
        <w:rPr>
          <w:rFonts w:hint="eastAsia"/>
          <w:bCs/>
          <w:sz w:val="28"/>
          <w:szCs w:val="28"/>
          <w:highlight w:val="none"/>
          <w:u w:val="single"/>
        </w:rPr>
        <w:t xml:space="preserve">     </w:t>
      </w:r>
      <w:r>
        <w:rPr>
          <w:b/>
          <w:sz w:val="28"/>
          <w:szCs w:val="28"/>
          <w:highlight w:val="none"/>
        </w:rPr>
        <w:t>日</w:t>
      </w:r>
    </w:p>
    <w:p w14:paraId="7EC5DDD5">
      <w:pPr>
        <w:pStyle w:val="4"/>
        <w:widowControl/>
        <w:autoSpaceDE w:val="0"/>
        <w:spacing w:before="0" w:after="0" w:line="240" w:lineRule="auto"/>
        <w:rPr>
          <w:rFonts w:hint="eastAsia"/>
          <w:highlight w:val="none"/>
        </w:rPr>
      </w:pPr>
      <w:bookmarkStart w:id="281" w:name="_Toc6113"/>
      <w:r>
        <w:rPr>
          <w:rFonts w:hint="eastAsia" w:ascii="宋体" w:hAnsi="宋体"/>
          <w:szCs w:val="28"/>
          <w:highlight w:val="none"/>
          <w:lang w:val="en-US" w:eastAsia="zh-CN"/>
        </w:rPr>
        <w:t>八</w:t>
      </w:r>
      <w:r>
        <w:rPr>
          <w:rFonts w:hint="eastAsia" w:ascii="宋体" w:hAnsi="宋体"/>
          <w:szCs w:val="28"/>
          <w:highlight w:val="none"/>
        </w:rPr>
        <w:t>、</w:t>
      </w:r>
      <w:bookmarkEnd w:id="280"/>
      <w:r>
        <w:rPr>
          <w:rFonts w:hint="eastAsia" w:ascii="宋体" w:hAnsi="宋体"/>
          <w:szCs w:val="28"/>
          <w:highlight w:val="none"/>
        </w:rPr>
        <w:t>分项报价表</w:t>
      </w:r>
      <w:bookmarkEnd w:id="281"/>
    </w:p>
    <w:p w14:paraId="2F4AF982">
      <w:pPr>
        <w:pStyle w:val="15"/>
        <w:spacing w:line="240" w:lineRule="atLeast"/>
        <w:rPr>
          <w:rFonts w:hint="eastAsia" w:hAnsi="宋体" w:cs="宋体"/>
          <w:sz w:val="24"/>
          <w:szCs w:val="24"/>
          <w:highlight w:val="none"/>
        </w:rPr>
      </w:pPr>
      <w:r>
        <w:rPr>
          <w:rFonts w:hint="eastAsia" w:hAnsi="宋体" w:cs="宋体"/>
          <w:sz w:val="24"/>
          <w:szCs w:val="24"/>
          <w:highlight w:val="none"/>
        </w:rPr>
        <w:t xml:space="preserve">                                                                   </w:t>
      </w:r>
    </w:p>
    <w:tbl>
      <w:tblPr>
        <w:tblStyle w:val="27"/>
        <w:tblW w:w="1054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5"/>
        <w:gridCol w:w="1246"/>
        <w:gridCol w:w="1158"/>
        <w:gridCol w:w="1500"/>
        <w:gridCol w:w="777"/>
        <w:gridCol w:w="967"/>
        <w:gridCol w:w="1154"/>
        <w:gridCol w:w="1102"/>
        <w:gridCol w:w="891"/>
        <w:gridCol w:w="998"/>
      </w:tblGrid>
      <w:tr w14:paraId="77BD3A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4" w:hRule="atLeast"/>
          <w:jc w:val="center"/>
        </w:trPr>
        <w:tc>
          <w:tcPr>
            <w:tcW w:w="755" w:type="dxa"/>
            <w:noWrap w:val="0"/>
            <w:vAlign w:val="center"/>
          </w:tcPr>
          <w:p w14:paraId="152F4BA0">
            <w:pPr>
              <w:pStyle w:val="15"/>
              <w:spacing w:line="240" w:lineRule="atLeast"/>
              <w:jc w:val="both"/>
              <w:rPr>
                <w:rFonts w:hint="eastAsia" w:hAnsi="宋体" w:cs="宋体"/>
                <w:b/>
                <w:bCs/>
                <w:sz w:val="24"/>
                <w:szCs w:val="24"/>
                <w:highlight w:val="none"/>
              </w:rPr>
            </w:pPr>
            <w:r>
              <w:rPr>
                <w:rFonts w:hint="eastAsia" w:hAnsi="宋体" w:cs="宋体"/>
                <w:b/>
                <w:bCs/>
                <w:sz w:val="24"/>
                <w:szCs w:val="24"/>
                <w:highlight w:val="none"/>
              </w:rPr>
              <w:t>序号</w:t>
            </w:r>
          </w:p>
        </w:tc>
        <w:tc>
          <w:tcPr>
            <w:tcW w:w="1246" w:type="dxa"/>
            <w:noWrap w:val="0"/>
            <w:vAlign w:val="center"/>
          </w:tcPr>
          <w:p w14:paraId="4ADFB541">
            <w:pPr>
              <w:pStyle w:val="15"/>
              <w:spacing w:line="240" w:lineRule="atLeast"/>
              <w:jc w:val="center"/>
              <w:rPr>
                <w:rFonts w:hint="eastAsia" w:hAnsi="宋体" w:cs="宋体"/>
                <w:b/>
                <w:bCs/>
                <w:sz w:val="24"/>
                <w:szCs w:val="24"/>
                <w:highlight w:val="none"/>
              </w:rPr>
            </w:pPr>
            <w:r>
              <w:rPr>
                <w:rFonts w:hint="eastAsia" w:hAnsi="宋体" w:cs="宋体"/>
                <w:b/>
                <w:bCs/>
                <w:sz w:val="24"/>
                <w:szCs w:val="24"/>
                <w:highlight w:val="none"/>
              </w:rPr>
              <w:t>分项名称</w:t>
            </w:r>
          </w:p>
        </w:tc>
        <w:tc>
          <w:tcPr>
            <w:tcW w:w="1158" w:type="dxa"/>
            <w:noWrap w:val="0"/>
            <w:vAlign w:val="center"/>
          </w:tcPr>
          <w:p w14:paraId="4352D35F">
            <w:pPr>
              <w:pStyle w:val="15"/>
              <w:spacing w:line="240" w:lineRule="atLeast"/>
              <w:jc w:val="center"/>
              <w:rPr>
                <w:rFonts w:hint="eastAsia" w:hAnsi="宋体" w:eastAsia="宋体" w:cs="宋体"/>
                <w:b/>
                <w:bCs/>
                <w:sz w:val="24"/>
                <w:szCs w:val="24"/>
                <w:highlight w:val="none"/>
                <w:lang w:eastAsia="zh-CN"/>
              </w:rPr>
            </w:pPr>
            <w:r>
              <w:rPr>
                <w:rFonts w:hint="eastAsia" w:hAnsi="宋体" w:cs="宋体"/>
                <w:b/>
                <w:bCs/>
                <w:color w:val="auto"/>
                <w:sz w:val="24"/>
                <w:szCs w:val="24"/>
                <w:highlight w:val="none"/>
                <w:lang w:eastAsia="zh-CN"/>
              </w:rPr>
              <w:t>品牌</w:t>
            </w:r>
          </w:p>
        </w:tc>
        <w:tc>
          <w:tcPr>
            <w:tcW w:w="1500" w:type="dxa"/>
            <w:noWrap w:val="0"/>
            <w:vAlign w:val="center"/>
          </w:tcPr>
          <w:p w14:paraId="26C43E6F">
            <w:pPr>
              <w:pStyle w:val="15"/>
              <w:spacing w:line="240" w:lineRule="atLeast"/>
              <w:jc w:val="center"/>
              <w:rPr>
                <w:rFonts w:hint="eastAsia" w:hAnsi="宋体" w:cs="宋体"/>
                <w:b/>
                <w:bCs/>
                <w:sz w:val="24"/>
                <w:szCs w:val="24"/>
                <w:highlight w:val="none"/>
              </w:rPr>
            </w:pPr>
            <w:r>
              <w:rPr>
                <w:rFonts w:hint="eastAsia" w:hAnsi="宋体" w:cs="宋体"/>
                <w:b/>
                <w:bCs/>
                <w:sz w:val="24"/>
                <w:szCs w:val="24"/>
                <w:highlight w:val="none"/>
              </w:rPr>
              <w:t>型号和规格</w:t>
            </w:r>
          </w:p>
        </w:tc>
        <w:tc>
          <w:tcPr>
            <w:tcW w:w="777" w:type="dxa"/>
            <w:noWrap w:val="0"/>
            <w:vAlign w:val="center"/>
          </w:tcPr>
          <w:p w14:paraId="2C3AB34B">
            <w:pPr>
              <w:pStyle w:val="15"/>
              <w:spacing w:line="240" w:lineRule="atLeast"/>
              <w:jc w:val="center"/>
              <w:rPr>
                <w:rFonts w:hint="eastAsia" w:hAnsi="宋体" w:cs="宋体"/>
                <w:b/>
                <w:bCs/>
                <w:sz w:val="24"/>
                <w:szCs w:val="24"/>
                <w:highlight w:val="none"/>
              </w:rPr>
            </w:pPr>
            <w:r>
              <w:rPr>
                <w:rFonts w:hint="eastAsia" w:hAnsi="宋体" w:cs="宋体"/>
                <w:b/>
                <w:bCs/>
                <w:sz w:val="24"/>
                <w:szCs w:val="24"/>
                <w:highlight w:val="none"/>
              </w:rPr>
              <w:t>数量</w:t>
            </w:r>
          </w:p>
        </w:tc>
        <w:tc>
          <w:tcPr>
            <w:tcW w:w="967" w:type="dxa"/>
            <w:noWrap w:val="0"/>
            <w:vAlign w:val="center"/>
          </w:tcPr>
          <w:p w14:paraId="1AF457FD">
            <w:pPr>
              <w:pStyle w:val="15"/>
              <w:spacing w:line="240" w:lineRule="atLeast"/>
              <w:jc w:val="center"/>
              <w:rPr>
                <w:rFonts w:hint="eastAsia" w:hAnsi="宋体" w:cs="宋体"/>
                <w:b/>
                <w:bCs/>
                <w:sz w:val="24"/>
                <w:szCs w:val="24"/>
                <w:highlight w:val="none"/>
              </w:rPr>
            </w:pPr>
            <w:r>
              <w:rPr>
                <w:rFonts w:hint="eastAsia" w:hAnsi="宋体" w:cs="宋体"/>
                <w:b/>
                <w:bCs/>
                <w:sz w:val="24"/>
                <w:szCs w:val="24"/>
                <w:highlight w:val="none"/>
              </w:rPr>
              <w:t>原产地</w:t>
            </w:r>
          </w:p>
        </w:tc>
        <w:tc>
          <w:tcPr>
            <w:tcW w:w="1154" w:type="dxa"/>
            <w:noWrap w:val="0"/>
            <w:vAlign w:val="center"/>
          </w:tcPr>
          <w:p w14:paraId="3B572BFF">
            <w:pPr>
              <w:pStyle w:val="15"/>
              <w:spacing w:line="240" w:lineRule="atLeast"/>
              <w:jc w:val="center"/>
              <w:rPr>
                <w:rFonts w:hint="eastAsia" w:hAnsi="宋体" w:cs="宋体"/>
                <w:b/>
                <w:bCs/>
                <w:sz w:val="24"/>
                <w:szCs w:val="24"/>
                <w:highlight w:val="none"/>
              </w:rPr>
            </w:pPr>
            <w:r>
              <w:rPr>
                <w:rFonts w:hint="eastAsia" w:hAnsi="宋体" w:cs="宋体"/>
                <w:b/>
                <w:bCs/>
                <w:sz w:val="24"/>
                <w:szCs w:val="24"/>
                <w:highlight w:val="none"/>
              </w:rPr>
              <w:t>制造商名称</w:t>
            </w:r>
          </w:p>
        </w:tc>
        <w:tc>
          <w:tcPr>
            <w:tcW w:w="1102" w:type="dxa"/>
            <w:noWrap w:val="0"/>
            <w:vAlign w:val="center"/>
          </w:tcPr>
          <w:p w14:paraId="0B8ABFA2">
            <w:pPr>
              <w:pStyle w:val="15"/>
              <w:spacing w:line="240" w:lineRule="atLeast"/>
              <w:jc w:val="center"/>
              <w:rPr>
                <w:rFonts w:hint="eastAsia" w:hAnsi="宋体" w:eastAsia="宋体" w:cs="宋体"/>
                <w:b/>
                <w:bCs/>
                <w:sz w:val="24"/>
                <w:szCs w:val="24"/>
                <w:highlight w:val="none"/>
                <w:lang w:eastAsia="zh-CN"/>
              </w:rPr>
            </w:pPr>
            <w:r>
              <w:rPr>
                <w:rFonts w:hint="eastAsia" w:hAnsi="宋体" w:cs="宋体"/>
                <w:b/>
                <w:bCs/>
                <w:sz w:val="24"/>
                <w:szCs w:val="24"/>
                <w:highlight w:val="none"/>
              </w:rPr>
              <w:t>单价</w:t>
            </w:r>
            <w:r>
              <w:rPr>
                <w:rFonts w:hint="eastAsia" w:hAnsi="宋体" w:cs="宋体"/>
                <w:b/>
                <w:bCs/>
                <w:sz w:val="24"/>
                <w:szCs w:val="24"/>
                <w:highlight w:val="none"/>
                <w:lang w:eastAsia="zh-CN"/>
              </w:rPr>
              <w:t>（元）</w:t>
            </w:r>
          </w:p>
        </w:tc>
        <w:tc>
          <w:tcPr>
            <w:tcW w:w="891" w:type="dxa"/>
            <w:noWrap w:val="0"/>
            <w:vAlign w:val="center"/>
          </w:tcPr>
          <w:p w14:paraId="063D3BB5">
            <w:pPr>
              <w:pStyle w:val="15"/>
              <w:spacing w:line="240" w:lineRule="atLeast"/>
              <w:jc w:val="center"/>
              <w:rPr>
                <w:rFonts w:hint="eastAsia" w:hAnsi="宋体" w:eastAsia="宋体" w:cs="宋体"/>
                <w:b/>
                <w:bCs/>
                <w:sz w:val="24"/>
                <w:szCs w:val="24"/>
                <w:highlight w:val="none"/>
                <w:lang w:eastAsia="zh-CN"/>
              </w:rPr>
            </w:pPr>
            <w:r>
              <w:rPr>
                <w:rFonts w:hint="eastAsia" w:hAnsi="宋体" w:cs="宋体"/>
                <w:b/>
                <w:bCs/>
                <w:sz w:val="24"/>
                <w:szCs w:val="24"/>
                <w:highlight w:val="none"/>
              </w:rPr>
              <w:t>合价</w:t>
            </w:r>
            <w:r>
              <w:rPr>
                <w:rFonts w:hint="eastAsia" w:hAnsi="宋体" w:cs="宋体"/>
                <w:b/>
                <w:bCs/>
                <w:sz w:val="24"/>
                <w:szCs w:val="24"/>
                <w:highlight w:val="none"/>
                <w:lang w:eastAsia="zh-CN"/>
              </w:rPr>
              <w:t>（元）</w:t>
            </w:r>
          </w:p>
        </w:tc>
        <w:tc>
          <w:tcPr>
            <w:tcW w:w="998" w:type="dxa"/>
            <w:noWrap w:val="0"/>
            <w:vAlign w:val="center"/>
          </w:tcPr>
          <w:p w14:paraId="5B89A183">
            <w:pPr>
              <w:pStyle w:val="15"/>
              <w:spacing w:line="240" w:lineRule="atLeast"/>
              <w:jc w:val="center"/>
              <w:rPr>
                <w:rFonts w:hint="eastAsia" w:hAnsi="宋体" w:cs="宋体"/>
                <w:b/>
                <w:bCs/>
                <w:sz w:val="24"/>
                <w:szCs w:val="24"/>
                <w:highlight w:val="none"/>
              </w:rPr>
            </w:pPr>
            <w:r>
              <w:rPr>
                <w:rFonts w:hint="eastAsia" w:hAnsi="宋体" w:cs="宋体"/>
                <w:b/>
                <w:bCs/>
                <w:sz w:val="24"/>
                <w:szCs w:val="24"/>
                <w:highlight w:val="none"/>
              </w:rPr>
              <w:t>备注</w:t>
            </w:r>
          </w:p>
        </w:tc>
      </w:tr>
      <w:tr w14:paraId="6A1BE7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 w:hRule="atLeast"/>
          <w:jc w:val="center"/>
        </w:trPr>
        <w:tc>
          <w:tcPr>
            <w:tcW w:w="755" w:type="dxa"/>
            <w:noWrap w:val="0"/>
            <w:vAlign w:val="center"/>
          </w:tcPr>
          <w:p w14:paraId="6EE5DEFD">
            <w:pPr>
              <w:jc w:val="center"/>
              <w:rPr>
                <w:rFonts w:hint="eastAsia" w:ascii="宋体" w:hAnsi="宋体" w:eastAsia="宋体" w:cs="宋体"/>
              </w:rPr>
            </w:pPr>
            <w:r>
              <w:rPr>
                <w:rFonts w:hint="eastAsia" w:ascii="宋体" w:hAnsi="宋体" w:eastAsia="宋体" w:cs="宋体"/>
              </w:rPr>
              <w:t>1</w:t>
            </w:r>
          </w:p>
        </w:tc>
        <w:tc>
          <w:tcPr>
            <w:tcW w:w="1246" w:type="dxa"/>
            <w:noWrap w:val="0"/>
            <w:vAlign w:val="center"/>
          </w:tcPr>
          <w:p w14:paraId="3752DC88">
            <w:pPr>
              <w:pStyle w:val="15"/>
              <w:spacing w:line="240" w:lineRule="atLeast"/>
              <w:jc w:val="center"/>
              <w:rPr>
                <w:rFonts w:hint="eastAsia" w:hAnsi="宋体" w:cs="宋体"/>
                <w:sz w:val="24"/>
                <w:szCs w:val="24"/>
                <w:highlight w:val="none"/>
              </w:rPr>
            </w:pPr>
          </w:p>
        </w:tc>
        <w:tc>
          <w:tcPr>
            <w:tcW w:w="1158" w:type="dxa"/>
            <w:noWrap w:val="0"/>
            <w:vAlign w:val="center"/>
          </w:tcPr>
          <w:p w14:paraId="2DDA61CA">
            <w:pPr>
              <w:pStyle w:val="15"/>
              <w:spacing w:line="240" w:lineRule="atLeast"/>
              <w:ind w:left="1080" w:leftChars="257" w:hanging="540"/>
              <w:jc w:val="center"/>
              <w:rPr>
                <w:rFonts w:hint="eastAsia" w:hAnsi="宋体" w:cs="宋体"/>
                <w:sz w:val="24"/>
                <w:szCs w:val="24"/>
                <w:highlight w:val="none"/>
              </w:rPr>
            </w:pPr>
          </w:p>
        </w:tc>
        <w:tc>
          <w:tcPr>
            <w:tcW w:w="1500" w:type="dxa"/>
            <w:noWrap w:val="0"/>
            <w:vAlign w:val="center"/>
          </w:tcPr>
          <w:p w14:paraId="397C45F9">
            <w:pPr>
              <w:pStyle w:val="15"/>
              <w:spacing w:line="240" w:lineRule="atLeast"/>
              <w:ind w:left="1080" w:leftChars="257" w:hanging="540"/>
              <w:jc w:val="center"/>
              <w:rPr>
                <w:rFonts w:hint="eastAsia" w:hAnsi="宋体" w:cs="宋体"/>
                <w:sz w:val="24"/>
                <w:szCs w:val="24"/>
                <w:highlight w:val="none"/>
              </w:rPr>
            </w:pPr>
          </w:p>
        </w:tc>
        <w:tc>
          <w:tcPr>
            <w:tcW w:w="777" w:type="dxa"/>
            <w:noWrap w:val="0"/>
            <w:vAlign w:val="center"/>
          </w:tcPr>
          <w:p w14:paraId="35F54544">
            <w:pPr>
              <w:pStyle w:val="15"/>
              <w:spacing w:line="240" w:lineRule="atLeast"/>
              <w:ind w:left="1080" w:leftChars="257" w:hanging="540"/>
              <w:jc w:val="center"/>
              <w:rPr>
                <w:rFonts w:hint="eastAsia" w:hAnsi="宋体" w:cs="宋体"/>
                <w:sz w:val="24"/>
                <w:szCs w:val="24"/>
                <w:highlight w:val="none"/>
              </w:rPr>
            </w:pPr>
          </w:p>
        </w:tc>
        <w:tc>
          <w:tcPr>
            <w:tcW w:w="967" w:type="dxa"/>
            <w:noWrap w:val="0"/>
            <w:vAlign w:val="center"/>
          </w:tcPr>
          <w:p w14:paraId="3D842A62">
            <w:pPr>
              <w:pStyle w:val="15"/>
              <w:spacing w:line="240" w:lineRule="atLeast"/>
              <w:ind w:left="1080" w:leftChars="257" w:hanging="540"/>
              <w:jc w:val="center"/>
              <w:rPr>
                <w:rFonts w:hint="eastAsia" w:hAnsi="宋体" w:cs="宋体"/>
                <w:sz w:val="24"/>
                <w:szCs w:val="24"/>
                <w:highlight w:val="none"/>
              </w:rPr>
            </w:pPr>
          </w:p>
        </w:tc>
        <w:tc>
          <w:tcPr>
            <w:tcW w:w="1154" w:type="dxa"/>
            <w:noWrap w:val="0"/>
            <w:vAlign w:val="center"/>
          </w:tcPr>
          <w:p w14:paraId="2E267A14">
            <w:pPr>
              <w:pStyle w:val="15"/>
              <w:spacing w:line="240" w:lineRule="atLeast"/>
              <w:ind w:left="1080" w:leftChars="257" w:hanging="540"/>
              <w:jc w:val="center"/>
              <w:rPr>
                <w:rFonts w:hint="eastAsia" w:hAnsi="宋体" w:cs="宋体"/>
                <w:sz w:val="24"/>
                <w:szCs w:val="24"/>
                <w:highlight w:val="none"/>
              </w:rPr>
            </w:pPr>
          </w:p>
        </w:tc>
        <w:tc>
          <w:tcPr>
            <w:tcW w:w="1102" w:type="dxa"/>
            <w:noWrap w:val="0"/>
            <w:vAlign w:val="center"/>
          </w:tcPr>
          <w:p w14:paraId="750C30BB">
            <w:pPr>
              <w:pStyle w:val="15"/>
              <w:spacing w:line="240" w:lineRule="atLeast"/>
              <w:ind w:left="1080" w:leftChars="257" w:hanging="540"/>
              <w:jc w:val="center"/>
              <w:rPr>
                <w:rFonts w:hint="eastAsia" w:hAnsi="宋体" w:cs="宋体"/>
                <w:sz w:val="24"/>
                <w:szCs w:val="24"/>
                <w:highlight w:val="none"/>
              </w:rPr>
            </w:pPr>
          </w:p>
        </w:tc>
        <w:tc>
          <w:tcPr>
            <w:tcW w:w="891" w:type="dxa"/>
            <w:noWrap w:val="0"/>
            <w:vAlign w:val="center"/>
          </w:tcPr>
          <w:p w14:paraId="76A6E747">
            <w:pPr>
              <w:pStyle w:val="15"/>
              <w:spacing w:line="240" w:lineRule="atLeast"/>
              <w:ind w:left="1080" w:leftChars="257" w:hanging="540"/>
              <w:jc w:val="center"/>
              <w:rPr>
                <w:rFonts w:hint="eastAsia" w:hAnsi="宋体" w:cs="宋体"/>
                <w:sz w:val="24"/>
                <w:szCs w:val="24"/>
                <w:highlight w:val="none"/>
              </w:rPr>
            </w:pPr>
          </w:p>
        </w:tc>
        <w:tc>
          <w:tcPr>
            <w:tcW w:w="998" w:type="dxa"/>
            <w:noWrap w:val="0"/>
            <w:vAlign w:val="center"/>
          </w:tcPr>
          <w:p w14:paraId="18E3BD95">
            <w:pPr>
              <w:pStyle w:val="15"/>
              <w:spacing w:line="240" w:lineRule="atLeast"/>
              <w:ind w:left="1080" w:leftChars="257" w:hanging="540"/>
              <w:jc w:val="center"/>
              <w:rPr>
                <w:rFonts w:hint="eastAsia" w:hAnsi="宋体" w:cs="宋体"/>
                <w:sz w:val="24"/>
                <w:szCs w:val="24"/>
                <w:highlight w:val="none"/>
              </w:rPr>
            </w:pPr>
          </w:p>
        </w:tc>
      </w:tr>
      <w:tr w14:paraId="0E425F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9" w:hRule="atLeast"/>
          <w:jc w:val="center"/>
        </w:trPr>
        <w:tc>
          <w:tcPr>
            <w:tcW w:w="755" w:type="dxa"/>
            <w:noWrap w:val="0"/>
            <w:vAlign w:val="center"/>
          </w:tcPr>
          <w:p w14:paraId="7D22535F">
            <w:pPr>
              <w:jc w:val="center"/>
              <w:rPr>
                <w:rFonts w:hint="eastAsia" w:ascii="宋体" w:hAnsi="宋体" w:eastAsia="宋体" w:cs="宋体"/>
              </w:rPr>
            </w:pPr>
            <w:r>
              <w:rPr>
                <w:rFonts w:hint="eastAsia" w:ascii="宋体" w:hAnsi="宋体" w:eastAsia="宋体" w:cs="宋体"/>
              </w:rPr>
              <w:t>2</w:t>
            </w:r>
          </w:p>
        </w:tc>
        <w:tc>
          <w:tcPr>
            <w:tcW w:w="1246" w:type="dxa"/>
            <w:noWrap w:val="0"/>
            <w:vAlign w:val="center"/>
          </w:tcPr>
          <w:p w14:paraId="5ACA7DE8">
            <w:pPr>
              <w:pStyle w:val="15"/>
              <w:spacing w:line="240" w:lineRule="atLeast"/>
              <w:jc w:val="center"/>
              <w:rPr>
                <w:rFonts w:hint="eastAsia" w:hAnsi="宋体" w:cs="宋体"/>
                <w:sz w:val="24"/>
                <w:szCs w:val="24"/>
                <w:highlight w:val="none"/>
              </w:rPr>
            </w:pPr>
          </w:p>
        </w:tc>
        <w:tc>
          <w:tcPr>
            <w:tcW w:w="1158" w:type="dxa"/>
            <w:noWrap w:val="0"/>
            <w:vAlign w:val="center"/>
          </w:tcPr>
          <w:p w14:paraId="154E7B5C">
            <w:pPr>
              <w:pStyle w:val="15"/>
              <w:spacing w:line="240" w:lineRule="atLeast"/>
              <w:ind w:left="1080" w:leftChars="257" w:hanging="540"/>
              <w:jc w:val="center"/>
              <w:rPr>
                <w:rFonts w:hint="eastAsia" w:hAnsi="宋体" w:cs="宋体"/>
                <w:sz w:val="24"/>
                <w:szCs w:val="24"/>
                <w:highlight w:val="none"/>
              </w:rPr>
            </w:pPr>
          </w:p>
        </w:tc>
        <w:tc>
          <w:tcPr>
            <w:tcW w:w="1500" w:type="dxa"/>
            <w:noWrap w:val="0"/>
            <w:vAlign w:val="center"/>
          </w:tcPr>
          <w:p w14:paraId="582E72A6">
            <w:pPr>
              <w:pStyle w:val="15"/>
              <w:spacing w:line="240" w:lineRule="atLeast"/>
              <w:ind w:left="1080" w:leftChars="257" w:hanging="540"/>
              <w:jc w:val="center"/>
              <w:rPr>
                <w:rFonts w:hint="eastAsia" w:hAnsi="宋体" w:cs="宋体"/>
                <w:sz w:val="24"/>
                <w:szCs w:val="24"/>
                <w:highlight w:val="none"/>
              </w:rPr>
            </w:pPr>
          </w:p>
        </w:tc>
        <w:tc>
          <w:tcPr>
            <w:tcW w:w="777" w:type="dxa"/>
            <w:noWrap w:val="0"/>
            <w:vAlign w:val="center"/>
          </w:tcPr>
          <w:p w14:paraId="62441689">
            <w:pPr>
              <w:pStyle w:val="15"/>
              <w:spacing w:line="240" w:lineRule="atLeast"/>
              <w:ind w:left="1080" w:leftChars="257" w:hanging="540"/>
              <w:jc w:val="center"/>
              <w:rPr>
                <w:rFonts w:hint="eastAsia" w:hAnsi="宋体" w:cs="宋体"/>
                <w:sz w:val="24"/>
                <w:szCs w:val="24"/>
                <w:highlight w:val="none"/>
              </w:rPr>
            </w:pPr>
          </w:p>
        </w:tc>
        <w:tc>
          <w:tcPr>
            <w:tcW w:w="967" w:type="dxa"/>
            <w:noWrap w:val="0"/>
            <w:vAlign w:val="center"/>
          </w:tcPr>
          <w:p w14:paraId="22CB576D">
            <w:pPr>
              <w:pStyle w:val="15"/>
              <w:spacing w:line="240" w:lineRule="atLeast"/>
              <w:ind w:left="1080" w:leftChars="257" w:hanging="540"/>
              <w:jc w:val="center"/>
              <w:rPr>
                <w:rFonts w:hint="eastAsia" w:hAnsi="宋体" w:cs="宋体"/>
                <w:sz w:val="24"/>
                <w:szCs w:val="24"/>
                <w:highlight w:val="none"/>
              </w:rPr>
            </w:pPr>
          </w:p>
        </w:tc>
        <w:tc>
          <w:tcPr>
            <w:tcW w:w="1154" w:type="dxa"/>
            <w:noWrap w:val="0"/>
            <w:vAlign w:val="center"/>
          </w:tcPr>
          <w:p w14:paraId="71413939">
            <w:pPr>
              <w:pStyle w:val="15"/>
              <w:spacing w:line="240" w:lineRule="atLeast"/>
              <w:ind w:left="1080" w:leftChars="257" w:hanging="540"/>
              <w:jc w:val="center"/>
              <w:rPr>
                <w:rFonts w:hint="eastAsia" w:hAnsi="宋体" w:cs="宋体"/>
                <w:sz w:val="24"/>
                <w:szCs w:val="24"/>
                <w:highlight w:val="none"/>
              </w:rPr>
            </w:pPr>
          </w:p>
        </w:tc>
        <w:tc>
          <w:tcPr>
            <w:tcW w:w="1102" w:type="dxa"/>
            <w:noWrap w:val="0"/>
            <w:vAlign w:val="center"/>
          </w:tcPr>
          <w:p w14:paraId="6659CB63">
            <w:pPr>
              <w:pStyle w:val="15"/>
              <w:spacing w:line="240" w:lineRule="atLeast"/>
              <w:ind w:left="1080" w:leftChars="257" w:hanging="540"/>
              <w:jc w:val="center"/>
              <w:rPr>
                <w:rFonts w:hint="eastAsia" w:hAnsi="宋体" w:cs="宋体"/>
                <w:sz w:val="24"/>
                <w:szCs w:val="24"/>
                <w:highlight w:val="none"/>
              </w:rPr>
            </w:pPr>
          </w:p>
        </w:tc>
        <w:tc>
          <w:tcPr>
            <w:tcW w:w="891" w:type="dxa"/>
            <w:noWrap w:val="0"/>
            <w:vAlign w:val="center"/>
          </w:tcPr>
          <w:p w14:paraId="6457E447">
            <w:pPr>
              <w:pStyle w:val="15"/>
              <w:spacing w:line="240" w:lineRule="atLeast"/>
              <w:ind w:left="1080" w:leftChars="257" w:hanging="540"/>
              <w:jc w:val="center"/>
              <w:rPr>
                <w:rFonts w:hint="eastAsia" w:hAnsi="宋体" w:cs="宋体"/>
                <w:sz w:val="24"/>
                <w:szCs w:val="24"/>
                <w:highlight w:val="none"/>
              </w:rPr>
            </w:pPr>
          </w:p>
        </w:tc>
        <w:tc>
          <w:tcPr>
            <w:tcW w:w="998" w:type="dxa"/>
            <w:noWrap w:val="0"/>
            <w:vAlign w:val="center"/>
          </w:tcPr>
          <w:p w14:paraId="2532681E">
            <w:pPr>
              <w:pStyle w:val="15"/>
              <w:spacing w:line="240" w:lineRule="atLeast"/>
              <w:ind w:left="1080" w:leftChars="257" w:hanging="540"/>
              <w:jc w:val="center"/>
              <w:rPr>
                <w:rFonts w:hint="eastAsia" w:hAnsi="宋体" w:cs="宋体"/>
                <w:sz w:val="24"/>
                <w:szCs w:val="24"/>
                <w:highlight w:val="none"/>
              </w:rPr>
            </w:pPr>
          </w:p>
        </w:tc>
      </w:tr>
      <w:tr w14:paraId="404C83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9" w:hRule="atLeast"/>
          <w:jc w:val="center"/>
        </w:trPr>
        <w:tc>
          <w:tcPr>
            <w:tcW w:w="755" w:type="dxa"/>
            <w:noWrap w:val="0"/>
            <w:vAlign w:val="center"/>
          </w:tcPr>
          <w:p w14:paraId="039045BA">
            <w:pPr>
              <w:jc w:val="center"/>
              <w:rPr>
                <w:rFonts w:hint="eastAsia" w:ascii="宋体" w:hAnsi="宋体" w:eastAsia="宋体" w:cs="宋体"/>
              </w:rPr>
            </w:pPr>
            <w:r>
              <w:rPr>
                <w:rFonts w:hint="eastAsia" w:ascii="宋体" w:hAnsi="宋体" w:eastAsia="宋体" w:cs="宋体"/>
              </w:rPr>
              <w:t>3</w:t>
            </w:r>
          </w:p>
        </w:tc>
        <w:tc>
          <w:tcPr>
            <w:tcW w:w="1246" w:type="dxa"/>
            <w:noWrap w:val="0"/>
            <w:vAlign w:val="center"/>
          </w:tcPr>
          <w:p w14:paraId="5F761D3C">
            <w:pPr>
              <w:pStyle w:val="15"/>
              <w:spacing w:line="240" w:lineRule="atLeast"/>
              <w:jc w:val="center"/>
              <w:rPr>
                <w:rFonts w:hint="eastAsia" w:hAnsi="宋体" w:cs="宋体"/>
                <w:sz w:val="24"/>
                <w:szCs w:val="24"/>
                <w:highlight w:val="none"/>
              </w:rPr>
            </w:pPr>
          </w:p>
        </w:tc>
        <w:tc>
          <w:tcPr>
            <w:tcW w:w="1158" w:type="dxa"/>
            <w:noWrap w:val="0"/>
            <w:vAlign w:val="center"/>
          </w:tcPr>
          <w:p w14:paraId="63A3AC15">
            <w:pPr>
              <w:pStyle w:val="15"/>
              <w:spacing w:line="240" w:lineRule="atLeast"/>
              <w:ind w:left="1080" w:leftChars="257" w:hanging="540"/>
              <w:jc w:val="center"/>
              <w:rPr>
                <w:rFonts w:hint="eastAsia" w:hAnsi="宋体" w:cs="宋体"/>
                <w:sz w:val="24"/>
                <w:szCs w:val="24"/>
                <w:highlight w:val="none"/>
              </w:rPr>
            </w:pPr>
          </w:p>
        </w:tc>
        <w:tc>
          <w:tcPr>
            <w:tcW w:w="1500" w:type="dxa"/>
            <w:noWrap w:val="0"/>
            <w:vAlign w:val="center"/>
          </w:tcPr>
          <w:p w14:paraId="2BF4DEAB">
            <w:pPr>
              <w:pStyle w:val="15"/>
              <w:spacing w:line="240" w:lineRule="atLeast"/>
              <w:ind w:left="1080" w:leftChars="257" w:hanging="540"/>
              <w:jc w:val="center"/>
              <w:rPr>
                <w:rFonts w:hint="eastAsia" w:hAnsi="宋体" w:cs="宋体"/>
                <w:sz w:val="24"/>
                <w:szCs w:val="24"/>
                <w:highlight w:val="none"/>
              </w:rPr>
            </w:pPr>
          </w:p>
        </w:tc>
        <w:tc>
          <w:tcPr>
            <w:tcW w:w="777" w:type="dxa"/>
            <w:noWrap w:val="0"/>
            <w:vAlign w:val="center"/>
          </w:tcPr>
          <w:p w14:paraId="2F14EAEE">
            <w:pPr>
              <w:pStyle w:val="15"/>
              <w:spacing w:line="240" w:lineRule="atLeast"/>
              <w:ind w:left="1080" w:leftChars="257" w:hanging="540"/>
              <w:jc w:val="center"/>
              <w:rPr>
                <w:rFonts w:hint="eastAsia" w:hAnsi="宋体" w:cs="宋体"/>
                <w:sz w:val="24"/>
                <w:szCs w:val="24"/>
                <w:highlight w:val="none"/>
              </w:rPr>
            </w:pPr>
          </w:p>
        </w:tc>
        <w:tc>
          <w:tcPr>
            <w:tcW w:w="967" w:type="dxa"/>
            <w:noWrap w:val="0"/>
            <w:vAlign w:val="center"/>
          </w:tcPr>
          <w:p w14:paraId="5A2F7D10">
            <w:pPr>
              <w:pStyle w:val="15"/>
              <w:spacing w:line="240" w:lineRule="atLeast"/>
              <w:ind w:left="1080" w:leftChars="257" w:hanging="540"/>
              <w:jc w:val="center"/>
              <w:rPr>
                <w:rFonts w:hint="eastAsia" w:hAnsi="宋体" w:cs="宋体"/>
                <w:sz w:val="24"/>
                <w:szCs w:val="24"/>
                <w:highlight w:val="none"/>
              </w:rPr>
            </w:pPr>
          </w:p>
        </w:tc>
        <w:tc>
          <w:tcPr>
            <w:tcW w:w="1154" w:type="dxa"/>
            <w:noWrap w:val="0"/>
            <w:vAlign w:val="center"/>
          </w:tcPr>
          <w:p w14:paraId="091E3DE0">
            <w:pPr>
              <w:pStyle w:val="15"/>
              <w:spacing w:line="240" w:lineRule="atLeast"/>
              <w:ind w:left="1080" w:leftChars="257" w:hanging="540"/>
              <w:jc w:val="center"/>
              <w:rPr>
                <w:rFonts w:hint="eastAsia" w:hAnsi="宋体" w:cs="宋体"/>
                <w:sz w:val="24"/>
                <w:szCs w:val="24"/>
                <w:highlight w:val="none"/>
              </w:rPr>
            </w:pPr>
          </w:p>
        </w:tc>
        <w:tc>
          <w:tcPr>
            <w:tcW w:w="1102" w:type="dxa"/>
            <w:noWrap w:val="0"/>
            <w:vAlign w:val="center"/>
          </w:tcPr>
          <w:p w14:paraId="1E5B5CA0">
            <w:pPr>
              <w:pStyle w:val="15"/>
              <w:spacing w:line="240" w:lineRule="atLeast"/>
              <w:ind w:left="1080" w:leftChars="257" w:hanging="540"/>
              <w:jc w:val="center"/>
              <w:rPr>
                <w:rFonts w:hint="eastAsia" w:hAnsi="宋体" w:cs="宋体"/>
                <w:sz w:val="24"/>
                <w:szCs w:val="24"/>
                <w:highlight w:val="none"/>
              </w:rPr>
            </w:pPr>
          </w:p>
        </w:tc>
        <w:tc>
          <w:tcPr>
            <w:tcW w:w="891" w:type="dxa"/>
            <w:noWrap w:val="0"/>
            <w:vAlign w:val="center"/>
          </w:tcPr>
          <w:p w14:paraId="252CAE97">
            <w:pPr>
              <w:pStyle w:val="15"/>
              <w:spacing w:line="240" w:lineRule="atLeast"/>
              <w:ind w:left="1080" w:leftChars="257" w:hanging="540"/>
              <w:jc w:val="center"/>
              <w:rPr>
                <w:rFonts w:hint="eastAsia" w:hAnsi="宋体" w:cs="宋体"/>
                <w:sz w:val="24"/>
                <w:szCs w:val="24"/>
                <w:highlight w:val="none"/>
              </w:rPr>
            </w:pPr>
          </w:p>
        </w:tc>
        <w:tc>
          <w:tcPr>
            <w:tcW w:w="998" w:type="dxa"/>
            <w:noWrap w:val="0"/>
            <w:vAlign w:val="center"/>
          </w:tcPr>
          <w:p w14:paraId="49F3E392">
            <w:pPr>
              <w:pStyle w:val="15"/>
              <w:spacing w:line="240" w:lineRule="atLeast"/>
              <w:ind w:left="1080" w:leftChars="257" w:hanging="540"/>
              <w:jc w:val="center"/>
              <w:rPr>
                <w:rFonts w:hint="eastAsia" w:hAnsi="宋体" w:cs="宋体"/>
                <w:sz w:val="24"/>
                <w:szCs w:val="24"/>
                <w:highlight w:val="none"/>
              </w:rPr>
            </w:pPr>
          </w:p>
        </w:tc>
      </w:tr>
      <w:tr w14:paraId="231414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jc w:val="center"/>
        </w:trPr>
        <w:tc>
          <w:tcPr>
            <w:tcW w:w="755" w:type="dxa"/>
            <w:noWrap w:val="0"/>
            <w:vAlign w:val="center"/>
          </w:tcPr>
          <w:p w14:paraId="123CDA92">
            <w:pPr>
              <w:jc w:val="center"/>
              <w:rPr>
                <w:rFonts w:hint="eastAsia" w:ascii="宋体" w:hAnsi="宋体" w:eastAsia="宋体" w:cs="宋体"/>
              </w:rPr>
            </w:pPr>
            <w:r>
              <w:rPr>
                <w:rFonts w:hint="eastAsia" w:ascii="宋体" w:hAnsi="宋体" w:eastAsia="宋体" w:cs="宋体"/>
              </w:rPr>
              <w:t>4</w:t>
            </w:r>
          </w:p>
        </w:tc>
        <w:tc>
          <w:tcPr>
            <w:tcW w:w="1246" w:type="dxa"/>
            <w:noWrap w:val="0"/>
            <w:vAlign w:val="center"/>
          </w:tcPr>
          <w:p w14:paraId="5EFCDAAB">
            <w:pPr>
              <w:pStyle w:val="15"/>
              <w:spacing w:line="240" w:lineRule="atLeast"/>
              <w:jc w:val="center"/>
              <w:rPr>
                <w:rFonts w:hint="eastAsia" w:hAnsi="宋体" w:cs="宋体"/>
                <w:sz w:val="24"/>
                <w:szCs w:val="24"/>
                <w:highlight w:val="none"/>
              </w:rPr>
            </w:pPr>
          </w:p>
        </w:tc>
        <w:tc>
          <w:tcPr>
            <w:tcW w:w="1158" w:type="dxa"/>
            <w:noWrap w:val="0"/>
            <w:vAlign w:val="center"/>
          </w:tcPr>
          <w:p w14:paraId="04BADEB4">
            <w:pPr>
              <w:pStyle w:val="15"/>
              <w:spacing w:line="240" w:lineRule="atLeast"/>
              <w:ind w:left="1080" w:leftChars="257" w:hanging="540"/>
              <w:jc w:val="center"/>
              <w:rPr>
                <w:rFonts w:hint="eastAsia" w:hAnsi="宋体" w:cs="宋体"/>
                <w:sz w:val="24"/>
                <w:szCs w:val="24"/>
                <w:highlight w:val="none"/>
              </w:rPr>
            </w:pPr>
          </w:p>
        </w:tc>
        <w:tc>
          <w:tcPr>
            <w:tcW w:w="1500" w:type="dxa"/>
            <w:noWrap w:val="0"/>
            <w:vAlign w:val="center"/>
          </w:tcPr>
          <w:p w14:paraId="27161C4B">
            <w:pPr>
              <w:pStyle w:val="15"/>
              <w:spacing w:line="240" w:lineRule="atLeast"/>
              <w:ind w:left="1080" w:leftChars="257" w:hanging="540"/>
              <w:jc w:val="center"/>
              <w:rPr>
                <w:rFonts w:hint="eastAsia" w:hAnsi="宋体" w:cs="宋体"/>
                <w:sz w:val="24"/>
                <w:szCs w:val="24"/>
                <w:highlight w:val="none"/>
              </w:rPr>
            </w:pPr>
          </w:p>
        </w:tc>
        <w:tc>
          <w:tcPr>
            <w:tcW w:w="777" w:type="dxa"/>
            <w:noWrap w:val="0"/>
            <w:vAlign w:val="center"/>
          </w:tcPr>
          <w:p w14:paraId="3525C35F">
            <w:pPr>
              <w:pStyle w:val="15"/>
              <w:spacing w:line="240" w:lineRule="atLeast"/>
              <w:ind w:left="1080" w:leftChars="257" w:hanging="540"/>
              <w:jc w:val="center"/>
              <w:rPr>
                <w:rFonts w:hint="eastAsia" w:hAnsi="宋体" w:cs="宋体"/>
                <w:sz w:val="24"/>
                <w:szCs w:val="24"/>
                <w:highlight w:val="none"/>
              </w:rPr>
            </w:pPr>
          </w:p>
        </w:tc>
        <w:tc>
          <w:tcPr>
            <w:tcW w:w="967" w:type="dxa"/>
            <w:noWrap w:val="0"/>
            <w:vAlign w:val="center"/>
          </w:tcPr>
          <w:p w14:paraId="4FBE0A98">
            <w:pPr>
              <w:pStyle w:val="15"/>
              <w:spacing w:line="240" w:lineRule="atLeast"/>
              <w:ind w:left="1080" w:leftChars="257" w:hanging="540"/>
              <w:jc w:val="center"/>
              <w:rPr>
                <w:rFonts w:hint="eastAsia" w:hAnsi="宋体" w:cs="宋体"/>
                <w:sz w:val="24"/>
                <w:szCs w:val="24"/>
                <w:highlight w:val="none"/>
              </w:rPr>
            </w:pPr>
          </w:p>
        </w:tc>
        <w:tc>
          <w:tcPr>
            <w:tcW w:w="1154" w:type="dxa"/>
            <w:noWrap w:val="0"/>
            <w:vAlign w:val="center"/>
          </w:tcPr>
          <w:p w14:paraId="5BF46F7E">
            <w:pPr>
              <w:pStyle w:val="15"/>
              <w:spacing w:line="240" w:lineRule="atLeast"/>
              <w:ind w:left="1080" w:leftChars="257" w:hanging="540"/>
              <w:jc w:val="center"/>
              <w:rPr>
                <w:rFonts w:hint="eastAsia" w:hAnsi="宋体" w:cs="宋体"/>
                <w:sz w:val="24"/>
                <w:szCs w:val="24"/>
                <w:highlight w:val="none"/>
              </w:rPr>
            </w:pPr>
          </w:p>
        </w:tc>
        <w:tc>
          <w:tcPr>
            <w:tcW w:w="1102" w:type="dxa"/>
            <w:noWrap w:val="0"/>
            <w:vAlign w:val="center"/>
          </w:tcPr>
          <w:p w14:paraId="41FE297E">
            <w:pPr>
              <w:pStyle w:val="15"/>
              <w:spacing w:line="240" w:lineRule="atLeast"/>
              <w:ind w:left="1080" w:leftChars="257" w:hanging="540"/>
              <w:jc w:val="center"/>
              <w:rPr>
                <w:rFonts w:hint="eastAsia" w:hAnsi="宋体" w:cs="宋体"/>
                <w:sz w:val="24"/>
                <w:szCs w:val="24"/>
                <w:highlight w:val="none"/>
              </w:rPr>
            </w:pPr>
          </w:p>
        </w:tc>
        <w:tc>
          <w:tcPr>
            <w:tcW w:w="891" w:type="dxa"/>
            <w:noWrap w:val="0"/>
            <w:vAlign w:val="center"/>
          </w:tcPr>
          <w:p w14:paraId="16BEA6D9">
            <w:pPr>
              <w:pStyle w:val="15"/>
              <w:spacing w:line="240" w:lineRule="atLeast"/>
              <w:ind w:left="1080" w:leftChars="257" w:hanging="540"/>
              <w:jc w:val="center"/>
              <w:rPr>
                <w:rFonts w:hint="eastAsia" w:hAnsi="宋体" w:cs="宋体"/>
                <w:sz w:val="24"/>
                <w:szCs w:val="24"/>
                <w:highlight w:val="none"/>
              </w:rPr>
            </w:pPr>
          </w:p>
        </w:tc>
        <w:tc>
          <w:tcPr>
            <w:tcW w:w="998" w:type="dxa"/>
            <w:noWrap w:val="0"/>
            <w:vAlign w:val="center"/>
          </w:tcPr>
          <w:p w14:paraId="385862FE">
            <w:pPr>
              <w:pStyle w:val="15"/>
              <w:spacing w:line="240" w:lineRule="atLeast"/>
              <w:ind w:left="1080" w:leftChars="257" w:hanging="540"/>
              <w:jc w:val="center"/>
              <w:rPr>
                <w:rFonts w:hint="eastAsia" w:hAnsi="宋体" w:cs="宋体"/>
                <w:sz w:val="24"/>
                <w:szCs w:val="24"/>
                <w:highlight w:val="none"/>
              </w:rPr>
            </w:pPr>
          </w:p>
        </w:tc>
      </w:tr>
      <w:tr w14:paraId="22710E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jc w:val="center"/>
        </w:trPr>
        <w:tc>
          <w:tcPr>
            <w:tcW w:w="755" w:type="dxa"/>
            <w:noWrap w:val="0"/>
            <w:vAlign w:val="center"/>
          </w:tcPr>
          <w:p w14:paraId="324B6E11">
            <w:pPr>
              <w:jc w:val="center"/>
              <w:rPr>
                <w:rFonts w:hint="eastAsia" w:ascii="宋体" w:hAnsi="宋体" w:eastAsia="宋体" w:cs="宋体"/>
              </w:rPr>
            </w:pPr>
            <w:r>
              <w:rPr>
                <w:rFonts w:hint="eastAsia" w:ascii="宋体" w:hAnsi="宋体" w:eastAsia="宋体" w:cs="宋体"/>
              </w:rPr>
              <w:t>5</w:t>
            </w:r>
          </w:p>
        </w:tc>
        <w:tc>
          <w:tcPr>
            <w:tcW w:w="1246" w:type="dxa"/>
            <w:noWrap w:val="0"/>
            <w:vAlign w:val="center"/>
          </w:tcPr>
          <w:p w14:paraId="6912F9D7">
            <w:pPr>
              <w:pStyle w:val="15"/>
              <w:spacing w:line="240" w:lineRule="atLeast"/>
              <w:jc w:val="center"/>
              <w:rPr>
                <w:rFonts w:hint="eastAsia" w:hAnsi="宋体" w:cs="宋体"/>
                <w:sz w:val="24"/>
                <w:szCs w:val="24"/>
                <w:highlight w:val="none"/>
              </w:rPr>
            </w:pPr>
          </w:p>
        </w:tc>
        <w:tc>
          <w:tcPr>
            <w:tcW w:w="1158" w:type="dxa"/>
            <w:noWrap w:val="0"/>
            <w:vAlign w:val="center"/>
          </w:tcPr>
          <w:p w14:paraId="1A83FBA4">
            <w:pPr>
              <w:pStyle w:val="15"/>
              <w:spacing w:line="240" w:lineRule="atLeast"/>
              <w:ind w:left="1080" w:leftChars="257" w:hanging="540"/>
              <w:jc w:val="center"/>
              <w:rPr>
                <w:rFonts w:hint="eastAsia" w:hAnsi="宋体" w:cs="宋体"/>
                <w:sz w:val="24"/>
                <w:szCs w:val="24"/>
                <w:highlight w:val="none"/>
              </w:rPr>
            </w:pPr>
          </w:p>
        </w:tc>
        <w:tc>
          <w:tcPr>
            <w:tcW w:w="1500" w:type="dxa"/>
            <w:noWrap w:val="0"/>
            <w:vAlign w:val="center"/>
          </w:tcPr>
          <w:p w14:paraId="78CBF841">
            <w:pPr>
              <w:pStyle w:val="15"/>
              <w:spacing w:line="240" w:lineRule="atLeast"/>
              <w:ind w:left="1080" w:leftChars="257" w:hanging="540"/>
              <w:jc w:val="center"/>
              <w:rPr>
                <w:rFonts w:hint="eastAsia" w:hAnsi="宋体" w:cs="宋体"/>
                <w:sz w:val="24"/>
                <w:szCs w:val="24"/>
                <w:highlight w:val="none"/>
              </w:rPr>
            </w:pPr>
          </w:p>
        </w:tc>
        <w:tc>
          <w:tcPr>
            <w:tcW w:w="777" w:type="dxa"/>
            <w:noWrap w:val="0"/>
            <w:vAlign w:val="center"/>
          </w:tcPr>
          <w:p w14:paraId="7EF54DC6">
            <w:pPr>
              <w:pStyle w:val="15"/>
              <w:spacing w:line="240" w:lineRule="atLeast"/>
              <w:ind w:left="1080" w:leftChars="257" w:hanging="540"/>
              <w:jc w:val="center"/>
              <w:rPr>
                <w:rFonts w:hint="eastAsia" w:hAnsi="宋体" w:cs="宋体"/>
                <w:sz w:val="24"/>
                <w:szCs w:val="24"/>
                <w:highlight w:val="none"/>
              </w:rPr>
            </w:pPr>
          </w:p>
        </w:tc>
        <w:tc>
          <w:tcPr>
            <w:tcW w:w="967" w:type="dxa"/>
            <w:noWrap w:val="0"/>
            <w:vAlign w:val="center"/>
          </w:tcPr>
          <w:p w14:paraId="35091461">
            <w:pPr>
              <w:pStyle w:val="15"/>
              <w:spacing w:line="240" w:lineRule="atLeast"/>
              <w:ind w:left="1080" w:leftChars="257" w:hanging="540"/>
              <w:jc w:val="center"/>
              <w:rPr>
                <w:rFonts w:hint="eastAsia" w:hAnsi="宋体" w:cs="宋体"/>
                <w:sz w:val="24"/>
                <w:szCs w:val="24"/>
                <w:highlight w:val="none"/>
              </w:rPr>
            </w:pPr>
          </w:p>
        </w:tc>
        <w:tc>
          <w:tcPr>
            <w:tcW w:w="1154" w:type="dxa"/>
            <w:noWrap w:val="0"/>
            <w:vAlign w:val="center"/>
          </w:tcPr>
          <w:p w14:paraId="69AFD05D">
            <w:pPr>
              <w:pStyle w:val="15"/>
              <w:spacing w:line="240" w:lineRule="atLeast"/>
              <w:ind w:left="1080" w:leftChars="257" w:hanging="540"/>
              <w:jc w:val="center"/>
              <w:rPr>
                <w:rFonts w:hint="eastAsia" w:hAnsi="宋体" w:cs="宋体"/>
                <w:sz w:val="24"/>
                <w:szCs w:val="24"/>
                <w:highlight w:val="none"/>
              </w:rPr>
            </w:pPr>
          </w:p>
        </w:tc>
        <w:tc>
          <w:tcPr>
            <w:tcW w:w="1102" w:type="dxa"/>
            <w:noWrap w:val="0"/>
            <w:vAlign w:val="center"/>
          </w:tcPr>
          <w:p w14:paraId="557E3953">
            <w:pPr>
              <w:pStyle w:val="15"/>
              <w:spacing w:line="240" w:lineRule="atLeast"/>
              <w:ind w:left="1080" w:leftChars="257" w:hanging="540"/>
              <w:jc w:val="center"/>
              <w:rPr>
                <w:rFonts w:hint="eastAsia" w:hAnsi="宋体" w:cs="宋体"/>
                <w:sz w:val="24"/>
                <w:szCs w:val="24"/>
                <w:highlight w:val="none"/>
              </w:rPr>
            </w:pPr>
          </w:p>
        </w:tc>
        <w:tc>
          <w:tcPr>
            <w:tcW w:w="891" w:type="dxa"/>
            <w:noWrap w:val="0"/>
            <w:vAlign w:val="center"/>
          </w:tcPr>
          <w:p w14:paraId="224F18D3">
            <w:pPr>
              <w:pStyle w:val="15"/>
              <w:spacing w:line="240" w:lineRule="atLeast"/>
              <w:ind w:left="1080" w:leftChars="257" w:hanging="540"/>
              <w:jc w:val="center"/>
              <w:rPr>
                <w:rFonts w:hint="eastAsia" w:hAnsi="宋体" w:cs="宋体"/>
                <w:sz w:val="24"/>
                <w:szCs w:val="24"/>
                <w:highlight w:val="none"/>
              </w:rPr>
            </w:pPr>
          </w:p>
        </w:tc>
        <w:tc>
          <w:tcPr>
            <w:tcW w:w="998" w:type="dxa"/>
            <w:noWrap w:val="0"/>
            <w:vAlign w:val="center"/>
          </w:tcPr>
          <w:p w14:paraId="441E400E">
            <w:pPr>
              <w:pStyle w:val="15"/>
              <w:spacing w:line="240" w:lineRule="atLeast"/>
              <w:ind w:left="1080" w:leftChars="257" w:hanging="540"/>
              <w:jc w:val="center"/>
              <w:rPr>
                <w:rFonts w:hint="eastAsia" w:hAnsi="宋体" w:cs="宋体"/>
                <w:sz w:val="24"/>
                <w:szCs w:val="24"/>
                <w:highlight w:val="none"/>
              </w:rPr>
            </w:pPr>
          </w:p>
        </w:tc>
      </w:tr>
      <w:tr w14:paraId="14DF60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9" w:hRule="atLeast"/>
          <w:jc w:val="center"/>
        </w:trPr>
        <w:tc>
          <w:tcPr>
            <w:tcW w:w="755" w:type="dxa"/>
            <w:noWrap w:val="0"/>
            <w:vAlign w:val="center"/>
          </w:tcPr>
          <w:p w14:paraId="3CF39541">
            <w:pPr>
              <w:jc w:val="center"/>
              <w:rPr>
                <w:rFonts w:hint="eastAsia" w:ascii="宋体" w:hAnsi="宋体" w:eastAsia="宋体" w:cs="宋体"/>
              </w:rPr>
            </w:pPr>
            <w:r>
              <w:rPr>
                <w:rFonts w:hint="eastAsia" w:ascii="宋体" w:hAnsi="宋体" w:eastAsia="宋体" w:cs="宋体"/>
              </w:rPr>
              <w:t>…</w:t>
            </w:r>
          </w:p>
        </w:tc>
        <w:tc>
          <w:tcPr>
            <w:tcW w:w="1246" w:type="dxa"/>
            <w:noWrap w:val="0"/>
            <w:vAlign w:val="center"/>
          </w:tcPr>
          <w:p w14:paraId="0ED810FB">
            <w:pPr>
              <w:pStyle w:val="15"/>
              <w:spacing w:line="240" w:lineRule="atLeast"/>
              <w:jc w:val="center"/>
              <w:rPr>
                <w:rFonts w:hint="eastAsia" w:hAnsi="宋体" w:cs="宋体"/>
                <w:sz w:val="24"/>
                <w:szCs w:val="24"/>
                <w:highlight w:val="none"/>
              </w:rPr>
            </w:pPr>
          </w:p>
        </w:tc>
        <w:tc>
          <w:tcPr>
            <w:tcW w:w="1158" w:type="dxa"/>
            <w:noWrap w:val="0"/>
            <w:vAlign w:val="center"/>
          </w:tcPr>
          <w:p w14:paraId="74DBF454">
            <w:pPr>
              <w:pStyle w:val="15"/>
              <w:spacing w:line="240" w:lineRule="atLeast"/>
              <w:ind w:left="1080" w:leftChars="257" w:hanging="540"/>
              <w:jc w:val="center"/>
              <w:rPr>
                <w:rFonts w:hint="eastAsia" w:hAnsi="宋体" w:cs="宋体"/>
                <w:sz w:val="24"/>
                <w:szCs w:val="24"/>
                <w:highlight w:val="none"/>
              </w:rPr>
            </w:pPr>
          </w:p>
        </w:tc>
        <w:tc>
          <w:tcPr>
            <w:tcW w:w="1500" w:type="dxa"/>
            <w:noWrap w:val="0"/>
            <w:vAlign w:val="center"/>
          </w:tcPr>
          <w:p w14:paraId="4B333D62">
            <w:pPr>
              <w:pStyle w:val="15"/>
              <w:spacing w:line="240" w:lineRule="atLeast"/>
              <w:ind w:left="1080" w:leftChars="257" w:hanging="540"/>
              <w:jc w:val="center"/>
              <w:rPr>
                <w:rFonts w:hint="eastAsia" w:hAnsi="宋体" w:cs="宋体"/>
                <w:sz w:val="24"/>
                <w:szCs w:val="24"/>
                <w:highlight w:val="none"/>
              </w:rPr>
            </w:pPr>
          </w:p>
        </w:tc>
        <w:tc>
          <w:tcPr>
            <w:tcW w:w="777" w:type="dxa"/>
            <w:noWrap w:val="0"/>
            <w:vAlign w:val="center"/>
          </w:tcPr>
          <w:p w14:paraId="6D217634">
            <w:pPr>
              <w:pStyle w:val="15"/>
              <w:spacing w:line="240" w:lineRule="atLeast"/>
              <w:ind w:left="1080" w:leftChars="257" w:hanging="540"/>
              <w:jc w:val="center"/>
              <w:rPr>
                <w:rFonts w:hint="eastAsia" w:hAnsi="宋体" w:cs="宋体"/>
                <w:sz w:val="24"/>
                <w:szCs w:val="24"/>
                <w:highlight w:val="none"/>
              </w:rPr>
            </w:pPr>
          </w:p>
        </w:tc>
        <w:tc>
          <w:tcPr>
            <w:tcW w:w="967" w:type="dxa"/>
            <w:noWrap w:val="0"/>
            <w:vAlign w:val="center"/>
          </w:tcPr>
          <w:p w14:paraId="505D37FF">
            <w:pPr>
              <w:pStyle w:val="15"/>
              <w:spacing w:line="240" w:lineRule="atLeast"/>
              <w:ind w:left="1080" w:leftChars="257" w:hanging="540"/>
              <w:jc w:val="center"/>
              <w:rPr>
                <w:rFonts w:hint="eastAsia" w:hAnsi="宋体" w:cs="宋体"/>
                <w:sz w:val="24"/>
                <w:szCs w:val="24"/>
                <w:highlight w:val="none"/>
              </w:rPr>
            </w:pPr>
          </w:p>
        </w:tc>
        <w:tc>
          <w:tcPr>
            <w:tcW w:w="1154" w:type="dxa"/>
            <w:noWrap w:val="0"/>
            <w:vAlign w:val="center"/>
          </w:tcPr>
          <w:p w14:paraId="2079DFC5">
            <w:pPr>
              <w:pStyle w:val="15"/>
              <w:spacing w:line="240" w:lineRule="atLeast"/>
              <w:ind w:left="1080" w:leftChars="257" w:hanging="540"/>
              <w:jc w:val="center"/>
              <w:rPr>
                <w:rFonts w:hint="eastAsia" w:hAnsi="宋体" w:cs="宋体"/>
                <w:sz w:val="24"/>
                <w:szCs w:val="24"/>
                <w:highlight w:val="none"/>
              </w:rPr>
            </w:pPr>
          </w:p>
        </w:tc>
        <w:tc>
          <w:tcPr>
            <w:tcW w:w="1102" w:type="dxa"/>
            <w:noWrap w:val="0"/>
            <w:vAlign w:val="center"/>
          </w:tcPr>
          <w:p w14:paraId="7105A6B8">
            <w:pPr>
              <w:pStyle w:val="15"/>
              <w:spacing w:line="240" w:lineRule="atLeast"/>
              <w:ind w:left="1080" w:leftChars="257" w:hanging="540"/>
              <w:jc w:val="center"/>
              <w:rPr>
                <w:rFonts w:hint="eastAsia" w:hAnsi="宋体" w:cs="宋体"/>
                <w:sz w:val="24"/>
                <w:szCs w:val="24"/>
                <w:highlight w:val="none"/>
              </w:rPr>
            </w:pPr>
          </w:p>
        </w:tc>
        <w:tc>
          <w:tcPr>
            <w:tcW w:w="891" w:type="dxa"/>
            <w:noWrap w:val="0"/>
            <w:vAlign w:val="center"/>
          </w:tcPr>
          <w:p w14:paraId="1630B7B5">
            <w:pPr>
              <w:pStyle w:val="15"/>
              <w:spacing w:line="240" w:lineRule="atLeast"/>
              <w:ind w:left="1080" w:leftChars="257" w:hanging="540"/>
              <w:jc w:val="center"/>
              <w:rPr>
                <w:rFonts w:hint="eastAsia" w:hAnsi="宋体" w:cs="宋体"/>
                <w:sz w:val="24"/>
                <w:szCs w:val="24"/>
                <w:highlight w:val="none"/>
              </w:rPr>
            </w:pPr>
          </w:p>
        </w:tc>
        <w:tc>
          <w:tcPr>
            <w:tcW w:w="998" w:type="dxa"/>
            <w:noWrap w:val="0"/>
            <w:vAlign w:val="center"/>
          </w:tcPr>
          <w:p w14:paraId="14D8569B">
            <w:pPr>
              <w:pStyle w:val="15"/>
              <w:spacing w:line="240" w:lineRule="atLeast"/>
              <w:ind w:left="1080" w:leftChars="257" w:hanging="540"/>
              <w:jc w:val="center"/>
              <w:rPr>
                <w:rFonts w:hint="eastAsia" w:hAnsi="宋体" w:cs="宋体"/>
                <w:sz w:val="24"/>
                <w:szCs w:val="24"/>
                <w:highlight w:val="none"/>
              </w:rPr>
            </w:pPr>
          </w:p>
        </w:tc>
      </w:tr>
      <w:tr w14:paraId="67A525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9" w:hRule="atLeast"/>
          <w:jc w:val="center"/>
        </w:trPr>
        <w:tc>
          <w:tcPr>
            <w:tcW w:w="10548" w:type="dxa"/>
            <w:gridSpan w:val="10"/>
            <w:noWrap w:val="0"/>
            <w:vAlign w:val="center"/>
          </w:tcPr>
          <w:p w14:paraId="4A62A575">
            <w:pPr>
              <w:pStyle w:val="15"/>
              <w:spacing w:line="240" w:lineRule="atLeast"/>
              <w:jc w:val="both"/>
              <w:rPr>
                <w:rFonts w:hint="eastAsia" w:hAnsi="宋体" w:cs="宋体"/>
                <w:sz w:val="24"/>
                <w:szCs w:val="24"/>
                <w:highlight w:val="none"/>
              </w:rPr>
            </w:pPr>
            <w:r>
              <w:rPr>
                <w:rFonts w:hAnsi="宋体" w:cs="宋体"/>
                <w:sz w:val="24"/>
                <w:szCs w:val="24"/>
                <w:highlight w:val="none"/>
              </w:rPr>
              <w:t>小计</w:t>
            </w:r>
            <w:r>
              <w:rPr>
                <w:rFonts w:hint="eastAsia" w:hAnsi="宋体" w:cs="宋体"/>
                <w:sz w:val="24"/>
                <w:szCs w:val="24"/>
                <w:highlight w:val="none"/>
                <w:lang w:eastAsia="zh-CN"/>
              </w:rPr>
              <w:t>（元）</w:t>
            </w:r>
            <w:r>
              <w:rPr>
                <w:rFonts w:hint="eastAsia" w:hAnsi="宋体" w:cs="宋体"/>
                <w:sz w:val="24"/>
                <w:szCs w:val="24"/>
                <w:highlight w:val="none"/>
              </w:rPr>
              <w:t>：</w:t>
            </w:r>
          </w:p>
        </w:tc>
      </w:tr>
      <w:tr w14:paraId="0A5CA2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0" w:hRule="atLeast"/>
          <w:jc w:val="center"/>
        </w:trPr>
        <w:tc>
          <w:tcPr>
            <w:tcW w:w="10548" w:type="dxa"/>
            <w:gridSpan w:val="10"/>
            <w:noWrap w:val="0"/>
            <w:vAlign w:val="center"/>
          </w:tcPr>
          <w:p w14:paraId="1424B5A9">
            <w:pPr>
              <w:pStyle w:val="15"/>
              <w:spacing w:line="240" w:lineRule="atLeast"/>
              <w:rPr>
                <w:rFonts w:hint="eastAsia" w:hAnsi="宋体" w:cs="宋体"/>
                <w:sz w:val="24"/>
                <w:szCs w:val="24"/>
                <w:highlight w:val="none"/>
              </w:rPr>
            </w:pPr>
            <w:r>
              <w:rPr>
                <w:rFonts w:hint="eastAsia" w:hAnsi="宋体" w:cs="宋体"/>
                <w:sz w:val="24"/>
                <w:szCs w:val="24"/>
                <w:highlight w:val="none"/>
              </w:rPr>
              <w:t>总价</w:t>
            </w:r>
            <w:r>
              <w:rPr>
                <w:rFonts w:hint="eastAsia" w:hAnsi="宋体" w:cs="宋体"/>
                <w:sz w:val="24"/>
                <w:szCs w:val="24"/>
                <w:highlight w:val="none"/>
                <w:lang w:eastAsia="zh-CN"/>
              </w:rPr>
              <w:t>（元）</w:t>
            </w:r>
            <w:r>
              <w:rPr>
                <w:rFonts w:hint="eastAsia" w:hAnsi="宋体" w:cs="宋体"/>
                <w:sz w:val="24"/>
                <w:szCs w:val="24"/>
                <w:highlight w:val="none"/>
              </w:rPr>
              <w:t>：</w:t>
            </w:r>
          </w:p>
        </w:tc>
      </w:tr>
    </w:tbl>
    <w:p w14:paraId="4103BAEB">
      <w:pPr>
        <w:pStyle w:val="15"/>
        <w:spacing w:line="240" w:lineRule="atLeast"/>
        <w:rPr>
          <w:rFonts w:hint="eastAsia" w:hAnsi="宋体" w:cs="宋体"/>
          <w:sz w:val="24"/>
          <w:szCs w:val="24"/>
          <w:highlight w:val="none"/>
        </w:rPr>
      </w:pPr>
    </w:p>
    <w:p w14:paraId="772AABA4">
      <w:pPr>
        <w:pStyle w:val="15"/>
        <w:spacing w:line="240" w:lineRule="atLeast"/>
        <w:ind w:firstLine="480" w:firstLineChars="200"/>
        <w:rPr>
          <w:rFonts w:hint="eastAsia" w:hAnsi="宋体" w:cs="宋体"/>
          <w:sz w:val="24"/>
          <w:szCs w:val="24"/>
          <w:highlight w:val="none"/>
        </w:rPr>
      </w:pPr>
    </w:p>
    <w:p w14:paraId="5DD4A1BC">
      <w:pPr>
        <w:ind w:firstLine="1687" w:firstLineChars="600"/>
        <w:rPr>
          <w:rFonts w:hint="eastAsia" w:ascii="宋体" w:hAnsi="宋体"/>
          <w:b/>
          <w:sz w:val="28"/>
          <w:szCs w:val="28"/>
          <w:highlight w:val="none"/>
        </w:rPr>
      </w:pPr>
      <w:r>
        <w:rPr>
          <w:rFonts w:hint="eastAsia" w:ascii="宋体" w:hAnsi="宋体"/>
          <w:b/>
          <w:sz w:val="28"/>
          <w:szCs w:val="28"/>
          <w:highlight w:val="none"/>
        </w:rPr>
        <w:t>投标人：</w:t>
      </w:r>
      <w:r>
        <w:rPr>
          <w:rFonts w:hint="eastAsia" w:ascii="宋体" w:hAnsi="宋体"/>
          <w:b/>
          <w:sz w:val="28"/>
          <w:szCs w:val="28"/>
          <w:highlight w:val="none"/>
          <w:u w:val="single"/>
        </w:rPr>
        <w:tab/>
      </w:r>
      <w:r>
        <w:rPr>
          <w:rFonts w:hint="eastAsia" w:ascii="宋体" w:hAnsi="宋体"/>
          <w:b/>
          <w:sz w:val="28"/>
          <w:szCs w:val="28"/>
          <w:highlight w:val="none"/>
          <w:u w:val="single"/>
        </w:rPr>
        <w:t xml:space="preserve">           </w:t>
      </w:r>
      <w:r>
        <w:rPr>
          <w:rFonts w:hint="eastAsia" w:ascii="宋体" w:hAnsi="宋体"/>
          <w:b/>
          <w:sz w:val="28"/>
          <w:szCs w:val="28"/>
          <w:highlight w:val="none"/>
        </w:rPr>
        <w:t>(电子签章)</w:t>
      </w:r>
    </w:p>
    <w:p w14:paraId="4EFE72C2">
      <w:pPr>
        <w:ind w:firstLine="1687" w:firstLineChars="600"/>
        <w:rPr>
          <w:b/>
          <w:sz w:val="28"/>
          <w:szCs w:val="28"/>
          <w:highlight w:val="none"/>
        </w:rPr>
      </w:pPr>
      <w:r>
        <w:rPr>
          <w:rFonts w:hint="eastAsia" w:ascii="宋体" w:hAnsi="宋体"/>
          <w:b/>
          <w:sz w:val="28"/>
          <w:szCs w:val="28"/>
          <w:highlight w:val="none"/>
        </w:rPr>
        <w:t>法定代表人(单位负责人)或其委托代理人：</w:t>
      </w:r>
      <w:r>
        <w:rPr>
          <w:rFonts w:hint="eastAsia" w:ascii="宋体" w:hAnsi="宋体"/>
          <w:b/>
          <w:sz w:val="28"/>
          <w:szCs w:val="28"/>
          <w:highlight w:val="none"/>
          <w:u w:val="single"/>
        </w:rPr>
        <w:tab/>
      </w:r>
      <w:r>
        <w:rPr>
          <w:rFonts w:hint="eastAsia" w:ascii="宋体" w:hAnsi="宋体"/>
          <w:b/>
          <w:sz w:val="28"/>
          <w:szCs w:val="28"/>
          <w:highlight w:val="none"/>
          <w:u w:val="single"/>
        </w:rPr>
        <w:t xml:space="preserve">      </w:t>
      </w:r>
      <w:r>
        <w:rPr>
          <w:rFonts w:hint="eastAsia" w:ascii="宋体" w:hAnsi="宋体"/>
          <w:b/>
          <w:sz w:val="28"/>
          <w:szCs w:val="28"/>
          <w:highlight w:val="none"/>
        </w:rPr>
        <w:t>(电子签章)</w:t>
      </w:r>
    </w:p>
    <w:p w14:paraId="0CDD7259">
      <w:pPr>
        <w:ind w:firstLine="1687" w:firstLineChars="600"/>
        <w:rPr>
          <w:sz w:val="28"/>
          <w:szCs w:val="28"/>
          <w:highlight w:val="none"/>
        </w:rPr>
        <w:sectPr>
          <w:headerReference r:id="rId10" w:type="default"/>
          <w:footerReference r:id="rId11" w:type="default"/>
          <w:pgSz w:w="11906" w:h="16838"/>
          <w:pgMar w:top="1191" w:right="1191" w:bottom="1191" w:left="1191" w:header="720" w:footer="720" w:gutter="0"/>
          <w:pgNumType w:fmt="decimal"/>
          <w:cols w:space="720" w:num="1"/>
          <w:docGrid w:type="lines" w:linePitch="317" w:charSpace="0"/>
        </w:sectPr>
      </w:pPr>
      <w:r>
        <w:rPr>
          <w:b/>
          <w:sz w:val="28"/>
          <w:szCs w:val="28"/>
          <w:highlight w:val="none"/>
        </w:rPr>
        <w:t>日期：</w:t>
      </w:r>
      <w:r>
        <w:rPr>
          <w:rFonts w:hint="eastAsia"/>
          <w:bCs/>
          <w:sz w:val="28"/>
          <w:szCs w:val="28"/>
          <w:highlight w:val="none"/>
          <w:u w:val="single"/>
        </w:rPr>
        <w:t xml:space="preserve">      </w:t>
      </w:r>
      <w:r>
        <w:rPr>
          <w:b/>
          <w:sz w:val="28"/>
          <w:szCs w:val="28"/>
          <w:highlight w:val="none"/>
        </w:rPr>
        <w:t>年</w:t>
      </w:r>
      <w:r>
        <w:rPr>
          <w:rFonts w:hint="eastAsia"/>
          <w:bCs/>
          <w:sz w:val="28"/>
          <w:szCs w:val="28"/>
          <w:highlight w:val="none"/>
          <w:u w:val="single"/>
        </w:rPr>
        <w:t xml:space="preserve">     </w:t>
      </w:r>
      <w:r>
        <w:rPr>
          <w:b/>
          <w:sz w:val="28"/>
          <w:szCs w:val="28"/>
          <w:highlight w:val="none"/>
        </w:rPr>
        <w:t>月</w:t>
      </w:r>
      <w:r>
        <w:rPr>
          <w:rFonts w:hint="eastAsia"/>
          <w:bCs/>
          <w:sz w:val="28"/>
          <w:szCs w:val="28"/>
          <w:highlight w:val="none"/>
          <w:u w:val="single"/>
        </w:rPr>
        <w:t xml:space="preserve">    </w:t>
      </w:r>
      <w:r>
        <w:rPr>
          <w:rFonts w:hint="eastAsia"/>
          <w:b/>
          <w:sz w:val="28"/>
          <w:szCs w:val="28"/>
          <w:highlight w:val="none"/>
        </w:rPr>
        <w:t>日</w:t>
      </w:r>
    </w:p>
    <w:p w14:paraId="590129A5">
      <w:pPr>
        <w:pStyle w:val="4"/>
        <w:widowControl/>
        <w:autoSpaceDE w:val="0"/>
        <w:spacing w:before="0" w:after="0" w:line="360" w:lineRule="auto"/>
        <w:ind w:firstLine="562" w:firstLineChars="200"/>
        <w:rPr>
          <w:rFonts w:hint="eastAsia" w:ascii="宋体" w:hAnsi="宋体"/>
          <w:szCs w:val="28"/>
          <w:highlight w:val="none"/>
        </w:rPr>
      </w:pPr>
      <w:bookmarkStart w:id="282" w:name="_Toc10610"/>
      <w:bookmarkEnd w:id="282"/>
      <w:bookmarkStart w:id="283" w:name="_Toc15277"/>
      <w:bookmarkEnd w:id="283"/>
      <w:bookmarkStart w:id="284" w:name="_Toc14426"/>
      <w:r>
        <w:rPr>
          <w:rFonts w:hint="eastAsia" w:ascii="宋体" w:hAnsi="宋体"/>
          <w:szCs w:val="28"/>
          <w:highlight w:val="none"/>
          <w:lang w:val="en-US" w:eastAsia="zh-CN"/>
        </w:rPr>
        <w:t>九</w:t>
      </w:r>
      <w:r>
        <w:rPr>
          <w:rFonts w:hint="eastAsia" w:ascii="宋体" w:hAnsi="宋体"/>
          <w:szCs w:val="28"/>
          <w:highlight w:val="none"/>
          <w:lang w:eastAsia="zh-CN"/>
        </w:rPr>
        <w:t>、交货方案及时间进度计划安排</w:t>
      </w:r>
      <w:bookmarkEnd w:id="284"/>
    </w:p>
    <w:p w14:paraId="4267C68F">
      <w:pPr>
        <w:jc w:val="center"/>
        <w:rPr>
          <w:rFonts w:hint="eastAsia" w:eastAsia="宋体"/>
          <w:sz w:val="24"/>
          <w:szCs w:val="24"/>
          <w:highlight w:val="none"/>
          <w:lang w:eastAsia="zh-CN"/>
        </w:rPr>
      </w:pPr>
      <w:r>
        <w:rPr>
          <w:rFonts w:hint="eastAsia"/>
          <w:sz w:val="24"/>
          <w:szCs w:val="24"/>
          <w:highlight w:val="none"/>
          <w:lang w:eastAsia="zh-CN"/>
        </w:rPr>
        <w:t>（</w:t>
      </w:r>
      <w:r>
        <w:rPr>
          <w:rFonts w:hint="eastAsia"/>
          <w:sz w:val="24"/>
          <w:szCs w:val="24"/>
          <w:highlight w:val="none"/>
          <w:lang w:val="en-US" w:eastAsia="zh-CN"/>
        </w:rPr>
        <w:t>格式自拟</w:t>
      </w:r>
      <w:r>
        <w:rPr>
          <w:rFonts w:hint="eastAsia"/>
          <w:sz w:val="24"/>
          <w:szCs w:val="24"/>
          <w:highlight w:val="none"/>
          <w:lang w:eastAsia="zh-CN"/>
        </w:rPr>
        <w:t>）</w:t>
      </w:r>
    </w:p>
    <w:p w14:paraId="0AFFC2FA">
      <w:pPr>
        <w:pStyle w:val="11"/>
        <w:rPr>
          <w:rFonts w:hint="eastAsia"/>
          <w:highlight w:val="none"/>
        </w:rPr>
      </w:pPr>
    </w:p>
    <w:p w14:paraId="32DD73A1">
      <w:pPr>
        <w:pStyle w:val="11"/>
        <w:rPr>
          <w:rFonts w:hint="eastAsia"/>
          <w:highlight w:val="none"/>
        </w:rPr>
      </w:pPr>
    </w:p>
    <w:p w14:paraId="56977E61">
      <w:pPr>
        <w:pStyle w:val="4"/>
        <w:widowControl/>
        <w:autoSpaceDE w:val="0"/>
        <w:spacing w:before="0" w:after="0" w:line="360" w:lineRule="auto"/>
        <w:ind w:firstLine="562" w:firstLineChars="200"/>
        <w:rPr>
          <w:rFonts w:hint="eastAsia" w:ascii="宋体" w:hAnsi="宋体" w:eastAsia="宋体" w:cs="Times New Roman"/>
          <w:b/>
          <w:bCs/>
          <w:szCs w:val="28"/>
          <w:highlight w:val="none"/>
          <w:lang w:val="en-US" w:eastAsia="zh-CN"/>
        </w:rPr>
      </w:pPr>
      <w:bookmarkStart w:id="285" w:name="_Toc22692"/>
      <w:r>
        <w:rPr>
          <w:rFonts w:hint="eastAsia" w:ascii="宋体" w:hAnsi="宋体" w:eastAsia="宋体" w:cs="Times New Roman"/>
          <w:b/>
          <w:bCs/>
          <w:szCs w:val="28"/>
          <w:highlight w:val="none"/>
          <w:lang w:val="en-US" w:eastAsia="zh-CN"/>
        </w:rPr>
        <w:t>十、</w:t>
      </w:r>
      <w:r>
        <w:rPr>
          <w:rFonts w:hint="eastAsia" w:ascii="宋体" w:hAnsi="宋体" w:eastAsia="宋体" w:cs="Times New Roman"/>
          <w:b/>
          <w:bCs/>
          <w:szCs w:val="28"/>
          <w:highlight w:val="none"/>
          <w:lang w:eastAsia="zh-CN"/>
        </w:rPr>
        <w:t>质量保证及保障承诺</w:t>
      </w:r>
      <w:bookmarkEnd w:id="285"/>
    </w:p>
    <w:p w14:paraId="09FF0D42">
      <w:pPr>
        <w:jc w:val="center"/>
        <w:rPr>
          <w:rFonts w:hint="eastAsia" w:eastAsia="宋体"/>
          <w:sz w:val="24"/>
          <w:szCs w:val="24"/>
          <w:highlight w:val="none"/>
          <w:lang w:eastAsia="zh-CN"/>
        </w:rPr>
      </w:pPr>
      <w:r>
        <w:rPr>
          <w:rFonts w:hint="eastAsia"/>
          <w:sz w:val="24"/>
          <w:szCs w:val="24"/>
          <w:highlight w:val="none"/>
          <w:lang w:eastAsia="zh-CN"/>
        </w:rPr>
        <w:t>（</w:t>
      </w:r>
      <w:r>
        <w:rPr>
          <w:rFonts w:hint="eastAsia"/>
          <w:sz w:val="24"/>
          <w:szCs w:val="24"/>
          <w:highlight w:val="none"/>
          <w:lang w:val="en-US" w:eastAsia="zh-CN"/>
        </w:rPr>
        <w:t>格式自拟</w:t>
      </w:r>
      <w:r>
        <w:rPr>
          <w:rFonts w:hint="eastAsia"/>
          <w:sz w:val="24"/>
          <w:szCs w:val="24"/>
          <w:highlight w:val="none"/>
          <w:lang w:eastAsia="zh-CN"/>
        </w:rPr>
        <w:t>）</w:t>
      </w:r>
    </w:p>
    <w:p w14:paraId="4610FF11">
      <w:pPr>
        <w:rPr>
          <w:rFonts w:hint="eastAsia" w:ascii="宋体" w:hAnsi="宋体"/>
          <w:szCs w:val="28"/>
          <w:highlight w:val="none"/>
          <w:lang w:val="en-US" w:eastAsia="zh-CN"/>
        </w:rPr>
      </w:pPr>
    </w:p>
    <w:p w14:paraId="77693F80">
      <w:pPr>
        <w:pStyle w:val="11"/>
        <w:rPr>
          <w:rFonts w:hint="eastAsia" w:ascii="宋体" w:hAnsi="宋体"/>
          <w:szCs w:val="28"/>
          <w:highlight w:val="none"/>
          <w:lang w:val="en-US" w:eastAsia="zh-CN"/>
        </w:rPr>
      </w:pPr>
    </w:p>
    <w:p w14:paraId="26D57FA4">
      <w:pPr>
        <w:pStyle w:val="11"/>
        <w:rPr>
          <w:rFonts w:hint="eastAsia" w:ascii="宋体" w:hAnsi="宋体"/>
          <w:szCs w:val="28"/>
          <w:highlight w:val="none"/>
          <w:lang w:val="en-US" w:eastAsia="zh-CN"/>
        </w:rPr>
      </w:pPr>
    </w:p>
    <w:p w14:paraId="0A477239">
      <w:pPr>
        <w:pStyle w:val="4"/>
        <w:widowControl/>
        <w:numPr>
          <w:ilvl w:val="0"/>
          <w:numId w:val="0"/>
        </w:numPr>
        <w:autoSpaceDE w:val="0"/>
        <w:spacing w:before="0" w:after="0" w:line="360" w:lineRule="auto"/>
        <w:ind w:leftChars="200"/>
        <w:jc w:val="center"/>
        <w:rPr>
          <w:rFonts w:hint="eastAsia" w:ascii="宋体" w:hAnsi="宋体"/>
          <w:szCs w:val="28"/>
          <w:highlight w:val="none"/>
        </w:rPr>
      </w:pPr>
      <w:bookmarkStart w:id="286" w:name="_Toc21081"/>
      <w:r>
        <w:rPr>
          <w:rFonts w:hint="eastAsia" w:ascii="宋体" w:hAnsi="宋体"/>
          <w:szCs w:val="28"/>
          <w:highlight w:val="none"/>
          <w:lang w:val="en-US" w:eastAsia="zh-CN"/>
        </w:rPr>
        <w:t>十一、售后服务方案</w:t>
      </w:r>
      <w:bookmarkEnd w:id="286"/>
    </w:p>
    <w:p w14:paraId="745BFE36">
      <w:pPr>
        <w:jc w:val="center"/>
        <w:rPr>
          <w:rFonts w:hint="eastAsia" w:eastAsia="宋体"/>
          <w:sz w:val="24"/>
          <w:szCs w:val="24"/>
          <w:highlight w:val="none"/>
          <w:lang w:eastAsia="zh-CN"/>
        </w:rPr>
      </w:pPr>
      <w:r>
        <w:rPr>
          <w:rFonts w:hint="eastAsia"/>
          <w:sz w:val="24"/>
          <w:szCs w:val="24"/>
          <w:highlight w:val="none"/>
          <w:lang w:eastAsia="zh-CN"/>
        </w:rPr>
        <w:t>（</w:t>
      </w:r>
      <w:r>
        <w:rPr>
          <w:rFonts w:hint="eastAsia"/>
          <w:sz w:val="24"/>
          <w:szCs w:val="24"/>
          <w:highlight w:val="none"/>
          <w:lang w:val="en-US" w:eastAsia="zh-CN"/>
        </w:rPr>
        <w:t>格式自拟</w:t>
      </w:r>
      <w:r>
        <w:rPr>
          <w:rFonts w:hint="eastAsia"/>
          <w:sz w:val="24"/>
          <w:szCs w:val="24"/>
          <w:highlight w:val="none"/>
          <w:lang w:eastAsia="zh-CN"/>
        </w:rPr>
        <w:t>）</w:t>
      </w:r>
    </w:p>
    <w:p w14:paraId="56216692">
      <w:pPr>
        <w:rPr>
          <w:rFonts w:hint="eastAsia" w:ascii="宋体" w:hAnsi="宋体"/>
          <w:szCs w:val="28"/>
          <w:highlight w:val="none"/>
        </w:rPr>
      </w:pPr>
    </w:p>
    <w:p w14:paraId="6260935E">
      <w:pPr>
        <w:rPr>
          <w:rFonts w:hint="eastAsia" w:ascii="宋体" w:hAnsi="宋体"/>
          <w:szCs w:val="28"/>
          <w:highlight w:val="none"/>
        </w:rPr>
      </w:pPr>
    </w:p>
    <w:p w14:paraId="5F9DA3CA">
      <w:pPr>
        <w:rPr>
          <w:rFonts w:hint="eastAsia" w:ascii="宋体" w:hAnsi="宋体"/>
          <w:szCs w:val="28"/>
          <w:highlight w:val="none"/>
        </w:rPr>
      </w:pPr>
    </w:p>
    <w:p w14:paraId="3552B65D">
      <w:pPr>
        <w:pStyle w:val="4"/>
        <w:widowControl/>
        <w:numPr>
          <w:ilvl w:val="0"/>
          <w:numId w:val="0"/>
        </w:numPr>
        <w:autoSpaceDE w:val="0"/>
        <w:spacing w:before="0" w:after="0" w:line="360" w:lineRule="auto"/>
        <w:ind w:leftChars="200"/>
        <w:jc w:val="center"/>
        <w:rPr>
          <w:rFonts w:hint="eastAsia" w:ascii="宋体" w:hAnsi="宋体"/>
          <w:szCs w:val="28"/>
          <w:highlight w:val="none"/>
        </w:rPr>
      </w:pPr>
      <w:bookmarkStart w:id="287" w:name="_Toc30320"/>
      <w:r>
        <w:rPr>
          <w:rFonts w:hint="eastAsia" w:ascii="宋体" w:hAnsi="宋体"/>
          <w:szCs w:val="28"/>
          <w:highlight w:val="none"/>
          <w:lang w:val="en-US" w:eastAsia="zh-CN"/>
        </w:rPr>
        <w:t>十二、故障响应时间及应急措施</w:t>
      </w:r>
      <w:bookmarkEnd w:id="287"/>
    </w:p>
    <w:p w14:paraId="417EAF6E">
      <w:pPr>
        <w:jc w:val="center"/>
        <w:rPr>
          <w:rFonts w:hint="eastAsia" w:eastAsia="宋体"/>
          <w:sz w:val="24"/>
          <w:szCs w:val="24"/>
          <w:highlight w:val="none"/>
          <w:lang w:eastAsia="zh-CN"/>
        </w:rPr>
      </w:pPr>
      <w:r>
        <w:rPr>
          <w:rFonts w:hint="eastAsia"/>
          <w:sz w:val="24"/>
          <w:szCs w:val="24"/>
          <w:highlight w:val="none"/>
          <w:lang w:eastAsia="zh-CN"/>
        </w:rPr>
        <w:t>（</w:t>
      </w:r>
      <w:r>
        <w:rPr>
          <w:rFonts w:hint="eastAsia"/>
          <w:sz w:val="24"/>
          <w:szCs w:val="24"/>
          <w:highlight w:val="none"/>
          <w:lang w:val="en-US" w:eastAsia="zh-CN"/>
        </w:rPr>
        <w:t>格式自拟</w:t>
      </w:r>
      <w:r>
        <w:rPr>
          <w:rFonts w:hint="eastAsia"/>
          <w:sz w:val="24"/>
          <w:szCs w:val="24"/>
          <w:highlight w:val="none"/>
          <w:lang w:eastAsia="zh-CN"/>
        </w:rPr>
        <w:t>）</w:t>
      </w:r>
    </w:p>
    <w:p w14:paraId="79B67CC1">
      <w:pPr>
        <w:pStyle w:val="11"/>
        <w:rPr>
          <w:rFonts w:hint="eastAsia" w:ascii="宋体" w:hAnsi="宋体"/>
          <w:szCs w:val="28"/>
          <w:highlight w:val="none"/>
        </w:rPr>
      </w:pPr>
    </w:p>
    <w:p w14:paraId="5C325FF2">
      <w:pPr>
        <w:pStyle w:val="11"/>
        <w:rPr>
          <w:rFonts w:hint="eastAsia" w:ascii="宋体" w:hAnsi="宋体"/>
          <w:szCs w:val="28"/>
          <w:highlight w:val="none"/>
        </w:rPr>
      </w:pPr>
    </w:p>
    <w:p w14:paraId="50586729">
      <w:pPr>
        <w:pStyle w:val="4"/>
        <w:widowControl/>
        <w:numPr>
          <w:ilvl w:val="0"/>
          <w:numId w:val="0"/>
        </w:numPr>
        <w:autoSpaceDE w:val="0"/>
        <w:spacing w:before="0" w:after="0" w:line="360" w:lineRule="auto"/>
        <w:ind w:leftChars="200"/>
        <w:jc w:val="center"/>
        <w:rPr>
          <w:rFonts w:hint="default" w:ascii="宋体" w:hAnsi="宋体"/>
          <w:szCs w:val="28"/>
          <w:highlight w:val="none"/>
          <w:lang w:val="en-US"/>
        </w:rPr>
      </w:pPr>
      <w:bookmarkStart w:id="288" w:name="_Toc13242"/>
      <w:r>
        <w:rPr>
          <w:rFonts w:hint="eastAsia" w:ascii="宋体" w:hAnsi="宋体"/>
          <w:szCs w:val="28"/>
          <w:highlight w:val="none"/>
          <w:lang w:val="en-US" w:eastAsia="zh-CN"/>
        </w:rPr>
        <w:t>十三、培训方案</w:t>
      </w:r>
      <w:bookmarkEnd w:id="288"/>
    </w:p>
    <w:p w14:paraId="29813467">
      <w:pPr>
        <w:jc w:val="center"/>
        <w:rPr>
          <w:rFonts w:hint="eastAsia" w:eastAsia="宋体"/>
          <w:sz w:val="24"/>
          <w:szCs w:val="24"/>
          <w:highlight w:val="none"/>
          <w:lang w:eastAsia="zh-CN"/>
        </w:rPr>
      </w:pPr>
      <w:r>
        <w:rPr>
          <w:rFonts w:hint="eastAsia"/>
          <w:sz w:val="24"/>
          <w:szCs w:val="24"/>
          <w:highlight w:val="none"/>
          <w:lang w:eastAsia="zh-CN"/>
        </w:rPr>
        <w:t>（</w:t>
      </w:r>
      <w:r>
        <w:rPr>
          <w:rFonts w:hint="eastAsia"/>
          <w:sz w:val="24"/>
          <w:szCs w:val="24"/>
          <w:highlight w:val="none"/>
          <w:lang w:val="en-US" w:eastAsia="zh-CN"/>
        </w:rPr>
        <w:t>格式自拟</w:t>
      </w:r>
      <w:r>
        <w:rPr>
          <w:rFonts w:hint="eastAsia"/>
          <w:sz w:val="24"/>
          <w:szCs w:val="24"/>
          <w:highlight w:val="none"/>
          <w:lang w:eastAsia="zh-CN"/>
        </w:rPr>
        <w:t>）</w:t>
      </w:r>
    </w:p>
    <w:p w14:paraId="647A23D2">
      <w:pPr>
        <w:pStyle w:val="11"/>
        <w:rPr>
          <w:rFonts w:hint="eastAsia" w:ascii="宋体" w:hAnsi="宋体"/>
          <w:szCs w:val="28"/>
          <w:highlight w:val="none"/>
        </w:rPr>
      </w:pPr>
      <w:r>
        <w:rPr>
          <w:rFonts w:hint="eastAsia" w:ascii="宋体" w:hAnsi="宋体"/>
          <w:szCs w:val="28"/>
          <w:highlight w:val="none"/>
        </w:rPr>
        <w:br w:type="page"/>
      </w:r>
    </w:p>
    <w:p w14:paraId="219E9BB5">
      <w:pPr>
        <w:pStyle w:val="11"/>
        <w:rPr>
          <w:rFonts w:hint="eastAsia" w:ascii="宋体" w:hAnsi="宋体"/>
          <w:szCs w:val="28"/>
          <w:highlight w:val="none"/>
        </w:rPr>
      </w:pPr>
    </w:p>
    <w:p w14:paraId="7A12F83B">
      <w:pPr>
        <w:pStyle w:val="4"/>
        <w:widowControl/>
        <w:numPr>
          <w:ilvl w:val="0"/>
          <w:numId w:val="0"/>
        </w:numPr>
        <w:autoSpaceDE w:val="0"/>
        <w:spacing w:before="0" w:after="0" w:line="360" w:lineRule="auto"/>
        <w:ind w:leftChars="200"/>
        <w:jc w:val="center"/>
        <w:rPr>
          <w:rFonts w:hint="eastAsia" w:ascii="宋体" w:hAnsi="宋体"/>
          <w:sz w:val="24"/>
          <w:szCs w:val="24"/>
          <w:highlight w:val="none"/>
        </w:rPr>
      </w:pPr>
      <w:bookmarkStart w:id="289" w:name="_Toc10141"/>
      <w:r>
        <w:rPr>
          <w:rFonts w:hint="eastAsia" w:ascii="宋体" w:hAnsi="宋体"/>
          <w:szCs w:val="28"/>
          <w:highlight w:val="none"/>
          <w:lang w:eastAsia="zh-CN"/>
        </w:rPr>
        <w:t>十</w:t>
      </w:r>
      <w:r>
        <w:rPr>
          <w:rFonts w:hint="eastAsia" w:ascii="宋体" w:hAnsi="宋体"/>
          <w:szCs w:val="28"/>
          <w:highlight w:val="none"/>
          <w:lang w:val="en-US" w:eastAsia="zh-CN"/>
        </w:rPr>
        <w:t>四</w:t>
      </w:r>
      <w:r>
        <w:rPr>
          <w:rFonts w:hint="eastAsia" w:ascii="宋体" w:hAnsi="宋体"/>
          <w:szCs w:val="28"/>
          <w:highlight w:val="none"/>
          <w:lang w:eastAsia="zh-CN"/>
        </w:rPr>
        <w:t>、</w:t>
      </w:r>
      <w:r>
        <w:rPr>
          <w:rFonts w:hint="eastAsia" w:ascii="宋体" w:hAnsi="宋体"/>
          <w:szCs w:val="28"/>
          <w:highlight w:val="none"/>
        </w:rPr>
        <w:t>其他资料</w:t>
      </w:r>
      <w:bookmarkEnd w:id="289"/>
    </w:p>
    <w:p w14:paraId="673189EF">
      <w:pPr>
        <w:spacing w:before="158" w:beforeLines="50" w:line="360" w:lineRule="auto"/>
        <w:ind w:firstLine="720" w:firstLineChars="300"/>
        <w:rPr>
          <w:rFonts w:hint="eastAsia" w:ascii="宋体" w:hAnsi="宋体"/>
          <w:sz w:val="24"/>
          <w:szCs w:val="24"/>
          <w:highlight w:val="none"/>
        </w:rPr>
      </w:pPr>
    </w:p>
    <w:p w14:paraId="292172D7">
      <w:pPr>
        <w:spacing w:before="158" w:beforeLines="50" w:line="360" w:lineRule="auto"/>
        <w:ind w:firstLine="720" w:firstLineChars="300"/>
        <w:rPr>
          <w:rFonts w:hint="eastAsia" w:ascii="宋体" w:hAnsi="宋体"/>
          <w:sz w:val="24"/>
          <w:szCs w:val="24"/>
          <w:highlight w:val="none"/>
        </w:rPr>
      </w:pPr>
      <w:r>
        <w:rPr>
          <w:rFonts w:hint="eastAsia" w:ascii="宋体" w:hAnsi="宋体"/>
          <w:sz w:val="24"/>
          <w:szCs w:val="24"/>
          <w:highlight w:val="none"/>
        </w:rPr>
        <w:t>(一)投标人能享受政策优惠的证明材料</w:t>
      </w:r>
    </w:p>
    <w:p w14:paraId="201E5B78">
      <w:pPr>
        <w:spacing w:before="158" w:beforeLines="50" w:line="360" w:lineRule="auto"/>
        <w:ind w:firstLine="720" w:firstLineChars="300"/>
        <w:rPr>
          <w:rFonts w:hint="eastAsia" w:ascii="宋体" w:hAnsi="宋体"/>
          <w:sz w:val="24"/>
          <w:szCs w:val="24"/>
          <w:highlight w:val="none"/>
        </w:rPr>
      </w:pPr>
      <w:r>
        <w:rPr>
          <w:rFonts w:hint="eastAsia" w:ascii="宋体" w:hAnsi="宋体"/>
          <w:sz w:val="24"/>
          <w:szCs w:val="24"/>
          <w:highlight w:val="none"/>
        </w:rPr>
        <w:t>(二)招标文件要求提交的其他资料</w:t>
      </w:r>
    </w:p>
    <w:p w14:paraId="061CED91">
      <w:pPr>
        <w:spacing w:before="158" w:beforeLines="50" w:line="360" w:lineRule="auto"/>
        <w:ind w:firstLine="720" w:firstLineChars="300"/>
        <w:rPr>
          <w:rFonts w:hint="eastAsia" w:ascii="宋体" w:hAnsi="宋体"/>
          <w:sz w:val="24"/>
          <w:szCs w:val="24"/>
          <w:highlight w:val="none"/>
        </w:rPr>
      </w:pPr>
      <w:r>
        <w:rPr>
          <w:rFonts w:hint="eastAsia" w:ascii="宋体" w:hAnsi="宋体"/>
          <w:sz w:val="24"/>
          <w:szCs w:val="24"/>
          <w:highlight w:val="none"/>
        </w:rPr>
        <w:t>(三)投标人认为需要提交的其他资料</w:t>
      </w:r>
    </w:p>
    <w:p w14:paraId="38B66228">
      <w:pPr>
        <w:keepNext w:val="0"/>
        <w:keepLines w:val="0"/>
        <w:pageBreakBefore w:val="0"/>
        <w:kinsoku/>
        <w:wordWrap/>
        <w:overflowPunct/>
        <w:topLinePunct w:val="0"/>
        <w:autoSpaceDE/>
        <w:autoSpaceDN/>
        <w:bidi w:val="0"/>
        <w:adjustRightInd/>
        <w:snapToGrid/>
        <w:spacing w:line="480" w:lineRule="auto"/>
        <w:jc w:val="center"/>
        <w:textAlignment w:val="auto"/>
        <w:rPr>
          <w:rFonts w:hint="eastAsia" w:ascii="宋体" w:hAnsi="宋体" w:eastAsia="宋体" w:cs="宋体"/>
          <w:b/>
          <w:bCs/>
          <w:color w:val="000000"/>
          <w:sz w:val="24"/>
          <w:szCs w:val="24"/>
          <w:shd w:val="clear" w:color="auto" w:fill="FFFFFF"/>
        </w:rPr>
      </w:pPr>
      <w:r>
        <w:rPr>
          <w:rFonts w:hint="eastAsia" w:ascii="宋体" w:hAnsi="宋体"/>
          <w:sz w:val="24"/>
          <w:szCs w:val="24"/>
          <w:highlight w:val="none"/>
        </w:rPr>
        <w:br w:type="page"/>
      </w:r>
      <w:r>
        <w:rPr>
          <w:rFonts w:hint="eastAsia" w:ascii="宋体" w:hAnsi="宋体" w:eastAsia="宋体" w:cs="宋体"/>
          <w:b/>
          <w:bCs/>
          <w:color w:val="000000"/>
          <w:sz w:val="24"/>
          <w:szCs w:val="24"/>
          <w:shd w:val="clear" w:color="auto" w:fill="FFFFFF"/>
        </w:rPr>
        <w:t>中小企业声明函(货物)</w:t>
      </w:r>
    </w:p>
    <w:p w14:paraId="2C81CF79">
      <w:pPr>
        <w:keepNext w:val="0"/>
        <w:keepLines w:val="0"/>
        <w:pageBreakBefore w:val="0"/>
        <w:widowControl w:val="0"/>
        <w:kinsoku/>
        <w:wordWrap/>
        <w:overflowPunct/>
        <w:topLinePunct w:val="0"/>
        <w:autoSpaceDE/>
        <w:autoSpaceDN/>
        <w:bidi w:val="0"/>
        <w:adjustRightInd/>
        <w:snapToGrid/>
        <w:spacing w:line="480" w:lineRule="auto"/>
        <w:ind w:firstLine="480" w:firstLineChars="200"/>
        <w:jc w:val="left"/>
        <w:textAlignment w:val="auto"/>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lang w:val="en-US" w:eastAsia="zh-CN"/>
        </w:rPr>
        <w:t xml:space="preserve"> </w:t>
      </w:r>
      <w:r>
        <w:rPr>
          <w:rFonts w:hint="eastAsia" w:ascii="宋体" w:hAnsi="宋体" w:eastAsia="宋体" w:cs="宋体"/>
          <w:color w:val="000000"/>
          <w:sz w:val="24"/>
          <w:szCs w:val="24"/>
          <w:shd w:val="clear" w:color="auto" w:fill="FFFFFF"/>
        </w:rPr>
        <w:t>本公司</w:t>
      </w:r>
      <w:r>
        <w:rPr>
          <w:rFonts w:hint="eastAsia" w:ascii="宋体" w:hAnsi="宋体" w:eastAsia="宋体" w:cs="宋体"/>
          <w:color w:val="000000"/>
          <w:sz w:val="24"/>
          <w:szCs w:val="24"/>
          <w:u w:val="none"/>
          <w:shd w:val="clear" w:color="auto" w:fill="FFFFFF"/>
          <w:lang w:val="en-US" w:eastAsia="zh-CN"/>
        </w:rPr>
        <w:t>（</w:t>
      </w:r>
      <w:r>
        <w:rPr>
          <w:rFonts w:hint="eastAsia" w:ascii="宋体" w:hAnsi="宋体" w:eastAsia="宋体" w:cs="宋体"/>
          <w:color w:val="000000"/>
          <w:sz w:val="24"/>
          <w:szCs w:val="24"/>
          <w:u w:val="none"/>
          <w:shd w:val="clear" w:color="auto" w:fill="FFFFFF"/>
        </w:rPr>
        <w:t>联合体)</w:t>
      </w:r>
      <w:r>
        <w:rPr>
          <w:rFonts w:hint="eastAsia" w:ascii="宋体" w:hAnsi="宋体" w:eastAsia="宋体" w:cs="宋体"/>
          <w:color w:val="000000"/>
          <w:sz w:val="24"/>
          <w:szCs w:val="24"/>
          <w:shd w:val="clear" w:color="auto" w:fill="FFFFFF"/>
        </w:rPr>
        <w:t>郑重声明，根据《政府采购促进中小企业发展管理办法》(财库( 2020 )46号)的规定，本公司(联合体)参加</w:t>
      </w:r>
      <w:r>
        <w:rPr>
          <w:rFonts w:hint="eastAsia" w:ascii="宋体" w:hAnsi="宋体" w:eastAsia="宋体" w:cs="宋体"/>
          <w:color w:val="000000"/>
          <w:sz w:val="24"/>
          <w:szCs w:val="24"/>
          <w:u w:val="single"/>
          <w:shd w:val="clear" w:color="auto" w:fill="FFFFFF"/>
          <w:lang w:val="en-US" w:eastAsia="zh-CN"/>
        </w:rPr>
        <w:t xml:space="preserve">       </w:t>
      </w:r>
      <w:r>
        <w:rPr>
          <w:rFonts w:hint="eastAsia" w:ascii="宋体" w:hAnsi="宋体" w:eastAsia="宋体" w:cs="宋体"/>
          <w:color w:val="000000"/>
          <w:sz w:val="24"/>
          <w:szCs w:val="24"/>
          <w:u w:val="single"/>
          <w:shd w:val="clear" w:color="auto" w:fill="FFFFFF"/>
        </w:rPr>
        <w:t>(单位名称)</w:t>
      </w:r>
      <w:r>
        <w:rPr>
          <w:rFonts w:hint="eastAsia" w:ascii="宋体" w:hAnsi="宋体" w:eastAsia="宋体" w:cs="宋体"/>
          <w:color w:val="000000"/>
          <w:sz w:val="24"/>
          <w:szCs w:val="24"/>
          <w:u w:val="single"/>
          <w:shd w:val="clear" w:color="auto" w:fill="FFFFFF"/>
          <w:lang w:val="en-US" w:eastAsia="zh-CN"/>
        </w:rPr>
        <w:t xml:space="preserve"> </w:t>
      </w:r>
      <w:r>
        <w:rPr>
          <w:rFonts w:hint="eastAsia" w:ascii="宋体" w:hAnsi="宋体" w:eastAsia="宋体" w:cs="宋体"/>
          <w:color w:val="000000"/>
          <w:sz w:val="24"/>
          <w:szCs w:val="24"/>
          <w:shd w:val="clear" w:color="auto" w:fill="FFFFFF"/>
        </w:rPr>
        <w:t>的</w:t>
      </w:r>
      <w:r>
        <w:rPr>
          <w:rFonts w:hint="eastAsia" w:ascii="宋体" w:hAnsi="宋体" w:eastAsia="宋体" w:cs="宋体"/>
          <w:color w:val="000000"/>
          <w:sz w:val="24"/>
          <w:szCs w:val="24"/>
          <w:u w:val="single"/>
          <w:shd w:val="clear" w:color="auto" w:fill="FFFFFF"/>
          <w:lang w:val="en-US" w:eastAsia="zh-CN"/>
        </w:rPr>
        <w:t xml:space="preserve">    </w:t>
      </w:r>
      <w:r>
        <w:rPr>
          <w:rFonts w:hint="eastAsia" w:ascii="宋体" w:hAnsi="宋体" w:eastAsia="宋体" w:cs="宋体"/>
          <w:color w:val="000000"/>
          <w:sz w:val="24"/>
          <w:szCs w:val="24"/>
          <w:u w:val="single"/>
          <w:shd w:val="clear" w:color="auto" w:fill="FFFFFF"/>
        </w:rPr>
        <w:t>(项目名称)</w:t>
      </w:r>
      <w:r>
        <w:rPr>
          <w:rFonts w:hint="eastAsia" w:ascii="宋体" w:hAnsi="宋体" w:eastAsia="宋体" w:cs="宋体"/>
          <w:color w:val="000000"/>
          <w:sz w:val="24"/>
          <w:szCs w:val="24"/>
          <w:shd w:val="clear" w:color="auto" w:fill="FFFFFF"/>
        </w:rPr>
        <w:t>采购活动，提供的货物全部由符合政策要求的中小企业制造。相关</w:t>
      </w:r>
      <w:r>
        <w:rPr>
          <w:rFonts w:hint="eastAsia" w:cs="宋体"/>
          <w:color w:val="000000"/>
          <w:sz w:val="24"/>
          <w:szCs w:val="24"/>
          <w:shd w:val="clear" w:color="auto" w:fill="FFFFFF"/>
          <w:lang w:eastAsia="zh-CN"/>
        </w:rPr>
        <w:t>企业</w:t>
      </w:r>
      <w:r>
        <w:rPr>
          <w:rFonts w:hint="eastAsia" w:ascii="宋体" w:hAnsi="宋体" w:eastAsia="宋体" w:cs="宋体"/>
          <w:color w:val="000000"/>
          <w:sz w:val="24"/>
          <w:szCs w:val="24"/>
          <w:shd w:val="clear" w:color="auto" w:fill="FFFFFF"/>
        </w:rPr>
        <w:t>(含联合体中的中小企业、签订分包意向协议的中小企业)的具体情况如下:</w:t>
      </w:r>
    </w:p>
    <w:p w14:paraId="70426618">
      <w:pPr>
        <w:keepNext w:val="0"/>
        <w:keepLines w:val="0"/>
        <w:pageBreakBefore w:val="0"/>
        <w:widowControl w:val="0"/>
        <w:numPr>
          <w:ilvl w:val="0"/>
          <w:numId w:val="0"/>
        </w:numPr>
        <w:kinsoku/>
        <w:wordWrap/>
        <w:overflowPunct/>
        <w:topLinePunct w:val="0"/>
        <w:autoSpaceDE/>
        <w:autoSpaceDN/>
        <w:bidi w:val="0"/>
        <w:adjustRightInd/>
        <w:snapToGrid/>
        <w:spacing w:line="480" w:lineRule="auto"/>
        <w:ind w:firstLine="480" w:firstLineChars="200"/>
        <w:jc w:val="both"/>
        <w:textAlignment w:val="auto"/>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u w:val="none"/>
          <w:shd w:val="clear" w:color="auto" w:fill="FFFFFF"/>
          <w:lang w:val="en-US" w:eastAsia="zh-CN"/>
        </w:rPr>
        <w:t xml:space="preserve">1. </w:t>
      </w:r>
      <w:r>
        <w:rPr>
          <w:rFonts w:hint="eastAsia" w:ascii="宋体" w:hAnsi="宋体" w:eastAsia="宋体" w:cs="宋体"/>
          <w:color w:val="000000"/>
          <w:sz w:val="24"/>
          <w:szCs w:val="24"/>
          <w:u w:val="single"/>
          <w:shd w:val="clear" w:color="auto" w:fill="FFFFFF"/>
          <w:lang w:val="en-US" w:eastAsia="zh-CN"/>
        </w:rPr>
        <w:t xml:space="preserve">       </w:t>
      </w:r>
      <w:r>
        <w:rPr>
          <w:rFonts w:hint="eastAsia" w:ascii="宋体" w:hAnsi="宋体" w:eastAsia="宋体" w:cs="宋体"/>
          <w:color w:val="000000"/>
          <w:sz w:val="24"/>
          <w:szCs w:val="24"/>
          <w:u w:val="single"/>
          <w:shd w:val="clear" w:color="auto" w:fill="FFFFFF"/>
        </w:rPr>
        <w:t>(标的名称)</w:t>
      </w:r>
      <w:r>
        <w:rPr>
          <w:rFonts w:hint="eastAsia" w:ascii="宋体" w:hAnsi="宋体" w:eastAsia="宋体" w:cs="宋体"/>
          <w:color w:val="000000"/>
          <w:sz w:val="24"/>
          <w:szCs w:val="24"/>
          <w:shd w:val="clear" w:color="auto" w:fill="FFFFFF"/>
        </w:rPr>
        <w:t>，属于</w:t>
      </w:r>
      <w:r>
        <w:rPr>
          <w:rFonts w:hint="eastAsia" w:ascii="宋体" w:hAnsi="宋体" w:eastAsia="宋体" w:cs="宋体"/>
          <w:color w:val="000000"/>
          <w:sz w:val="24"/>
          <w:szCs w:val="24"/>
          <w:u w:val="single"/>
          <w:shd w:val="clear" w:color="auto" w:fill="FFFFFF"/>
        </w:rPr>
        <w:t xml:space="preserve"> </w:t>
      </w:r>
      <w:r>
        <w:rPr>
          <w:rFonts w:hint="eastAsia" w:ascii="宋体" w:hAnsi="宋体" w:eastAsia="宋体" w:cs="宋体"/>
          <w:color w:val="000000"/>
          <w:sz w:val="24"/>
          <w:szCs w:val="24"/>
          <w:u w:val="single"/>
          <w:shd w:val="clear" w:color="auto" w:fill="FFFFFF"/>
          <w:lang w:val="en-US" w:eastAsia="zh-CN"/>
        </w:rPr>
        <w:t xml:space="preserve">     </w:t>
      </w:r>
      <w:r>
        <w:rPr>
          <w:rFonts w:hint="eastAsia" w:ascii="宋体" w:hAnsi="宋体" w:eastAsia="宋体" w:cs="宋体"/>
          <w:color w:val="000000"/>
          <w:sz w:val="24"/>
          <w:szCs w:val="24"/>
          <w:u w:val="single"/>
          <w:shd w:val="clear" w:color="auto" w:fill="FFFFFF"/>
        </w:rPr>
        <w:t>(采购文件中明确的所属行业)</w:t>
      </w:r>
      <w:r>
        <w:rPr>
          <w:rFonts w:hint="eastAsia" w:ascii="宋体" w:hAnsi="宋体" w:eastAsia="宋体" w:cs="宋体"/>
          <w:color w:val="000000"/>
          <w:sz w:val="24"/>
          <w:szCs w:val="24"/>
          <w:shd w:val="clear" w:color="auto" w:fill="FFFFFF"/>
        </w:rPr>
        <w:t>行业</w:t>
      </w:r>
      <w:r>
        <w:rPr>
          <w:rFonts w:hint="eastAsia" w:ascii="宋体" w:hAnsi="宋体" w:eastAsia="宋体" w:cs="宋体"/>
          <w:color w:val="000000"/>
          <w:sz w:val="24"/>
          <w:szCs w:val="24"/>
          <w:shd w:val="clear" w:color="auto" w:fill="FFFFFF"/>
          <w:lang w:eastAsia="zh-CN"/>
        </w:rPr>
        <w:t>；</w:t>
      </w:r>
      <w:r>
        <w:rPr>
          <w:rFonts w:hint="eastAsia" w:ascii="宋体" w:hAnsi="宋体" w:eastAsia="宋体" w:cs="宋体"/>
          <w:color w:val="000000"/>
          <w:sz w:val="24"/>
          <w:szCs w:val="24"/>
          <w:shd w:val="clear" w:color="auto" w:fill="FFFFFF"/>
        </w:rPr>
        <w:t>制造商为</w:t>
      </w:r>
      <w:r>
        <w:rPr>
          <w:rFonts w:hint="eastAsia" w:ascii="宋体" w:hAnsi="宋体" w:eastAsia="宋体" w:cs="宋体"/>
          <w:color w:val="000000"/>
          <w:sz w:val="24"/>
          <w:szCs w:val="24"/>
          <w:u w:val="single"/>
          <w:shd w:val="clear" w:color="auto" w:fill="FFFFFF"/>
        </w:rPr>
        <w:t xml:space="preserve"> </w:t>
      </w:r>
      <w:r>
        <w:rPr>
          <w:rFonts w:hint="eastAsia" w:ascii="宋体" w:hAnsi="宋体" w:eastAsia="宋体" w:cs="宋体"/>
          <w:color w:val="000000"/>
          <w:sz w:val="24"/>
          <w:szCs w:val="24"/>
          <w:u w:val="single"/>
          <w:shd w:val="clear" w:color="auto" w:fill="FFFFFF"/>
          <w:lang w:val="en-US" w:eastAsia="zh-CN"/>
        </w:rPr>
        <w:t xml:space="preserve">   </w:t>
      </w:r>
      <w:r>
        <w:rPr>
          <w:rFonts w:hint="eastAsia" w:ascii="宋体" w:hAnsi="宋体" w:eastAsia="宋体" w:cs="宋体"/>
          <w:color w:val="000000"/>
          <w:sz w:val="24"/>
          <w:szCs w:val="24"/>
          <w:u w:val="single"/>
          <w:shd w:val="clear" w:color="auto" w:fill="FFFFFF"/>
        </w:rPr>
        <w:t>(企业名称)</w:t>
      </w:r>
      <w:r>
        <w:rPr>
          <w:rFonts w:hint="eastAsia" w:ascii="宋体" w:hAnsi="宋体" w:eastAsia="宋体" w:cs="宋体"/>
          <w:color w:val="000000"/>
          <w:sz w:val="24"/>
          <w:szCs w:val="24"/>
          <w:shd w:val="clear" w:color="auto" w:fill="FFFFFF"/>
          <w:lang w:eastAsia="zh-CN"/>
        </w:rPr>
        <w:t>，</w:t>
      </w:r>
      <w:r>
        <w:rPr>
          <w:rFonts w:hint="eastAsia" w:ascii="宋体" w:hAnsi="宋体" w:eastAsia="宋体" w:cs="宋体"/>
          <w:color w:val="000000"/>
          <w:sz w:val="24"/>
          <w:szCs w:val="24"/>
          <w:shd w:val="clear" w:color="auto" w:fill="FFFFFF"/>
        </w:rPr>
        <w:t>从业人员</w:t>
      </w:r>
      <w:r>
        <w:rPr>
          <w:rFonts w:hint="eastAsia" w:ascii="宋体" w:hAnsi="宋体" w:eastAsia="宋体" w:cs="宋体"/>
          <w:color w:val="000000"/>
          <w:sz w:val="24"/>
          <w:szCs w:val="24"/>
          <w:u w:val="single"/>
          <w:shd w:val="clear" w:color="auto" w:fill="FFFFFF"/>
          <w:lang w:val="en-US" w:eastAsia="zh-CN"/>
        </w:rPr>
        <w:t xml:space="preserve">     </w:t>
      </w:r>
      <w:r>
        <w:rPr>
          <w:rFonts w:hint="eastAsia" w:ascii="宋体" w:hAnsi="宋体" w:eastAsia="宋体" w:cs="宋体"/>
          <w:color w:val="000000"/>
          <w:sz w:val="24"/>
          <w:szCs w:val="24"/>
          <w:shd w:val="clear" w:color="auto" w:fill="FFFFFF"/>
        </w:rPr>
        <w:t>人</w:t>
      </w:r>
      <w:r>
        <w:rPr>
          <w:rFonts w:hint="eastAsia" w:ascii="宋体" w:hAnsi="宋体" w:eastAsia="宋体" w:cs="宋体"/>
          <w:color w:val="000000"/>
          <w:sz w:val="24"/>
          <w:szCs w:val="24"/>
          <w:shd w:val="clear" w:color="auto" w:fill="FFFFFF"/>
          <w:lang w:eastAsia="zh-CN"/>
        </w:rPr>
        <w:t>，</w:t>
      </w:r>
      <w:r>
        <w:rPr>
          <w:rFonts w:hint="eastAsia" w:ascii="宋体" w:hAnsi="宋体" w:eastAsia="宋体" w:cs="宋体"/>
          <w:color w:val="000000"/>
          <w:sz w:val="24"/>
          <w:szCs w:val="24"/>
          <w:shd w:val="clear" w:color="auto" w:fill="FFFFFF"/>
        </w:rPr>
        <w:t xml:space="preserve"> 营业收入为</w:t>
      </w:r>
      <w:r>
        <w:rPr>
          <w:rFonts w:hint="eastAsia" w:ascii="宋体" w:hAnsi="宋体" w:eastAsia="宋体" w:cs="宋体"/>
          <w:color w:val="000000"/>
          <w:sz w:val="24"/>
          <w:szCs w:val="24"/>
          <w:u w:val="single"/>
          <w:shd w:val="clear" w:color="auto" w:fill="FFFFFF"/>
          <w:lang w:val="en-US" w:eastAsia="zh-CN"/>
        </w:rPr>
        <w:t xml:space="preserve">     </w:t>
      </w:r>
      <w:r>
        <w:rPr>
          <w:rFonts w:hint="eastAsia" w:ascii="宋体" w:hAnsi="宋体" w:eastAsia="宋体" w:cs="宋体"/>
          <w:color w:val="000000"/>
          <w:sz w:val="24"/>
          <w:szCs w:val="24"/>
          <w:shd w:val="clear" w:color="auto" w:fill="FFFFFF"/>
        </w:rPr>
        <w:t>万元，资产总额为___ 万元</w:t>
      </w:r>
      <w:r>
        <w:rPr>
          <w:rFonts w:hint="eastAsia" w:ascii="宋体" w:hAnsi="宋体" w:eastAsia="宋体" w:cs="宋体"/>
          <w:color w:val="000000"/>
          <w:sz w:val="24"/>
          <w:szCs w:val="24"/>
          <w:shd w:val="clear" w:color="auto" w:fill="FFFFFF"/>
          <w:vertAlign w:val="superscript"/>
          <w:lang w:val="en-US" w:eastAsia="zh-CN"/>
        </w:rPr>
        <w:t>1</w:t>
      </w:r>
      <w:r>
        <w:rPr>
          <w:rFonts w:hint="eastAsia" w:ascii="宋体" w:hAnsi="宋体" w:eastAsia="宋体" w:cs="宋体"/>
          <w:color w:val="000000"/>
          <w:sz w:val="24"/>
          <w:szCs w:val="24"/>
          <w:shd w:val="clear" w:color="auto" w:fill="FFFFFF"/>
          <w:lang w:eastAsia="zh-CN"/>
        </w:rPr>
        <w:t>，</w:t>
      </w:r>
      <w:r>
        <w:rPr>
          <w:rFonts w:hint="eastAsia" w:ascii="宋体" w:hAnsi="宋体" w:eastAsia="宋体" w:cs="宋体"/>
          <w:color w:val="000000"/>
          <w:sz w:val="24"/>
          <w:szCs w:val="24"/>
          <w:shd w:val="clear" w:color="auto" w:fill="FFFFFF"/>
        </w:rPr>
        <w:t>属于</w:t>
      </w:r>
      <w:r>
        <w:rPr>
          <w:rFonts w:hint="eastAsia" w:ascii="宋体" w:hAnsi="宋体" w:eastAsia="宋体" w:cs="宋体"/>
          <w:color w:val="000000"/>
          <w:sz w:val="24"/>
          <w:szCs w:val="24"/>
          <w:u w:val="single"/>
          <w:shd w:val="clear" w:color="auto" w:fill="FFFFFF"/>
          <w:lang w:val="en-US" w:eastAsia="zh-CN"/>
        </w:rPr>
        <w:t xml:space="preserve">     （</w:t>
      </w:r>
      <w:r>
        <w:rPr>
          <w:rFonts w:hint="eastAsia" w:ascii="宋体" w:hAnsi="宋体" w:eastAsia="宋体" w:cs="宋体"/>
          <w:color w:val="000000"/>
          <w:sz w:val="24"/>
          <w:szCs w:val="24"/>
          <w:u w:val="single"/>
          <w:shd w:val="clear" w:color="auto" w:fill="FFFFFF"/>
        </w:rPr>
        <w:t>中型企业、</w:t>
      </w:r>
      <w:r>
        <w:rPr>
          <w:rFonts w:hint="eastAsia" w:ascii="宋体" w:hAnsi="宋体" w:eastAsia="宋体" w:cs="宋体"/>
          <w:color w:val="000000"/>
          <w:sz w:val="24"/>
          <w:szCs w:val="24"/>
          <w:u w:val="single"/>
          <w:shd w:val="clear" w:color="auto" w:fill="FFFFFF"/>
          <w:lang w:eastAsia="zh-CN"/>
        </w:rPr>
        <w:t>小</w:t>
      </w:r>
      <w:r>
        <w:rPr>
          <w:rFonts w:hint="eastAsia" w:ascii="宋体" w:hAnsi="宋体" w:eastAsia="宋体" w:cs="宋体"/>
          <w:color w:val="000000"/>
          <w:sz w:val="24"/>
          <w:szCs w:val="24"/>
          <w:u w:val="single"/>
          <w:shd w:val="clear" w:color="auto" w:fill="FFFFFF"/>
        </w:rPr>
        <w:t>型企业、微型企业</w:t>
      </w:r>
      <w:r>
        <w:rPr>
          <w:rFonts w:hint="eastAsia" w:ascii="宋体" w:hAnsi="宋体" w:eastAsia="宋体" w:cs="宋体"/>
          <w:color w:val="000000"/>
          <w:sz w:val="24"/>
          <w:szCs w:val="24"/>
          <w:u w:val="single"/>
          <w:shd w:val="clear" w:color="auto" w:fill="FFFFFF"/>
          <w:lang w:eastAsia="zh-CN"/>
        </w:rPr>
        <w:t>）</w:t>
      </w:r>
      <w:r>
        <w:rPr>
          <w:rFonts w:hint="eastAsia" w:ascii="宋体" w:hAnsi="宋体" w:eastAsia="宋体" w:cs="宋体"/>
          <w:color w:val="000000"/>
          <w:sz w:val="24"/>
          <w:szCs w:val="24"/>
          <w:shd w:val="clear" w:color="auto" w:fill="FFFFFF"/>
          <w:lang w:eastAsia="zh-CN"/>
        </w:rPr>
        <w:t>；</w:t>
      </w:r>
    </w:p>
    <w:p w14:paraId="6993CCEF">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000000"/>
          <w:sz w:val="24"/>
          <w:szCs w:val="24"/>
          <w:u w:val="none"/>
          <w:shd w:val="clear" w:color="auto" w:fill="FFFFFF"/>
          <w:lang w:val="en-US" w:eastAsia="zh-CN"/>
        </w:rPr>
      </w:pPr>
      <w:r>
        <w:rPr>
          <w:rFonts w:hint="eastAsia" w:ascii="宋体" w:hAnsi="宋体" w:eastAsia="宋体" w:cs="宋体"/>
          <w:color w:val="000000"/>
          <w:sz w:val="24"/>
          <w:szCs w:val="24"/>
          <w:shd w:val="clear" w:color="auto" w:fill="FFFFFF"/>
        </w:rPr>
        <w:t>2.</w:t>
      </w:r>
      <w:r>
        <w:rPr>
          <w:rFonts w:hint="eastAsia" w:ascii="宋体" w:hAnsi="宋体" w:eastAsia="宋体" w:cs="宋体"/>
          <w:color w:val="000000"/>
          <w:sz w:val="24"/>
          <w:szCs w:val="24"/>
          <w:u w:val="single"/>
          <w:shd w:val="clear" w:color="auto" w:fill="FFFFFF"/>
          <w:lang w:val="en-US" w:eastAsia="zh-CN"/>
        </w:rPr>
        <w:t xml:space="preserve">      （</w:t>
      </w:r>
      <w:r>
        <w:rPr>
          <w:rFonts w:hint="eastAsia" w:ascii="宋体" w:hAnsi="宋体" w:eastAsia="宋体" w:cs="宋体"/>
          <w:color w:val="000000"/>
          <w:sz w:val="24"/>
          <w:szCs w:val="24"/>
          <w:u w:val="single"/>
          <w:shd w:val="clear" w:color="auto" w:fill="FFFFFF"/>
        </w:rPr>
        <w:t>标的名称)</w:t>
      </w:r>
      <w:r>
        <w:rPr>
          <w:rFonts w:hint="eastAsia" w:ascii="宋体" w:hAnsi="宋体" w:eastAsia="宋体" w:cs="宋体"/>
          <w:color w:val="000000"/>
          <w:sz w:val="24"/>
          <w:szCs w:val="24"/>
          <w:shd w:val="clear" w:color="auto" w:fill="FFFFFF"/>
          <w:lang w:eastAsia="zh-CN"/>
        </w:rPr>
        <w:t>，</w:t>
      </w:r>
      <w:r>
        <w:rPr>
          <w:rFonts w:hint="eastAsia" w:ascii="宋体" w:hAnsi="宋体" w:eastAsia="宋体" w:cs="宋体"/>
          <w:color w:val="000000"/>
          <w:sz w:val="24"/>
          <w:szCs w:val="24"/>
          <w:shd w:val="clear" w:color="auto" w:fill="FFFFFF"/>
        </w:rPr>
        <w:t xml:space="preserve"> 属于</w:t>
      </w:r>
      <w:r>
        <w:rPr>
          <w:rFonts w:hint="eastAsia" w:ascii="宋体" w:hAnsi="宋体" w:eastAsia="宋体" w:cs="宋体"/>
          <w:color w:val="000000"/>
          <w:sz w:val="24"/>
          <w:szCs w:val="24"/>
          <w:u w:val="single"/>
          <w:shd w:val="clear" w:color="auto" w:fill="FFFFFF"/>
          <w:lang w:val="en-US" w:eastAsia="zh-CN"/>
        </w:rPr>
        <w:t xml:space="preserve">     （</w:t>
      </w:r>
      <w:r>
        <w:rPr>
          <w:rFonts w:hint="eastAsia" w:ascii="宋体" w:hAnsi="宋体" w:eastAsia="宋体" w:cs="宋体"/>
          <w:color w:val="000000"/>
          <w:sz w:val="24"/>
          <w:szCs w:val="24"/>
          <w:u w:val="single"/>
          <w:shd w:val="clear" w:color="auto" w:fill="FFFFFF"/>
        </w:rPr>
        <w:t>采购文件中明确的所属行业)</w:t>
      </w:r>
      <w:r>
        <w:rPr>
          <w:rFonts w:hint="eastAsia" w:ascii="宋体" w:hAnsi="宋体" w:eastAsia="宋体" w:cs="宋体"/>
          <w:color w:val="000000"/>
          <w:sz w:val="24"/>
          <w:szCs w:val="24"/>
          <w:shd w:val="clear" w:color="auto" w:fill="FFFFFF"/>
        </w:rPr>
        <w:t>行业</w:t>
      </w:r>
      <w:r>
        <w:rPr>
          <w:rFonts w:hint="eastAsia" w:ascii="宋体" w:hAnsi="宋体" w:eastAsia="宋体" w:cs="宋体"/>
          <w:color w:val="000000"/>
          <w:sz w:val="24"/>
          <w:szCs w:val="24"/>
          <w:shd w:val="clear" w:color="auto" w:fill="FFFFFF"/>
          <w:lang w:eastAsia="zh-CN"/>
        </w:rPr>
        <w:t>；</w:t>
      </w:r>
      <w:r>
        <w:rPr>
          <w:rFonts w:hint="eastAsia" w:ascii="宋体" w:hAnsi="宋体" w:eastAsia="宋体" w:cs="宋体"/>
          <w:color w:val="000000"/>
          <w:sz w:val="24"/>
          <w:szCs w:val="24"/>
          <w:shd w:val="clear" w:color="auto" w:fill="FFFFFF"/>
        </w:rPr>
        <w:t>制造商为</w:t>
      </w:r>
      <w:r>
        <w:rPr>
          <w:rFonts w:hint="eastAsia" w:ascii="宋体" w:hAnsi="宋体" w:eastAsia="宋体" w:cs="宋体"/>
          <w:color w:val="000000"/>
          <w:sz w:val="24"/>
          <w:szCs w:val="24"/>
          <w:u w:val="single"/>
          <w:shd w:val="clear" w:color="auto" w:fill="FFFFFF"/>
        </w:rPr>
        <w:t xml:space="preserve"> </w:t>
      </w:r>
      <w:r>
        <w:rPr>
          <w:rFonts w:hint="eastAsia" w:ascii="宋体" w:hAnsi="宋体" w:eastAsia="宋体" w:cs="宋体"/>
          <w:color w:val="000000"/>
          <w:sz w:val="24"/>
          <w:szCs w:val="24"/>
          <w:u w:val="single"/>
          <w:shd w:val="clear" w:color="auto" w:fill="FFFFFF"/>
          <w:lang w:val="en-US" w:eastAsia="zh-CN"/>
        </w:rPr>
        <w:t xml:space="preserve">      </w:t>
      </w:r>
      <w:r>
        <w:rPr>
          <w:rFonts w:hint="eastAsia" w:ascii="宋体" w:hAnsi="宋体" w:eastAsia="宋体" w:cs="宋体"/>
          <w:color w:val="000000"/>
          <w:sz w:val="24"/>
          <w:szCs w:val="24"/>
          <w:u w:val="single"/>
          <w:shd w:val="clear" w:color="auto" w:fill="FFFFFF"/>
        </w:rPr>
        <w:t>(企业名称)</w:t>
      </w:r>
      <w:r>
        <w:rPr>
          <w:rFonts w:hint="eastAsia" w:ascii="宋体" w:hAnsi="宋体" w:eastAsia="宋体" w:cs="宋体"/>
          <w:color w:val="000000"/>
          <w:sz w:val="24"/>
          <w:szCs w:val="24"/>
          <w:shd w:val="clear" w:color="auto" w:fill="FFFFFF"/>
          <w:lang w:eastAsia="zh-CN"/>
        </w:rPr>
        <w:t>，</w:t>
      </w:r>
      <w:r>
        <w:rPr>
          <w:rFonts w:hint="eastAsia" w:ascii="宋体" w:hAnsi="宋体" w:eastAsia="宋体" w:cs="宋体"/>
          <w:color w:val="000000"/>
          <w:sz w:val="24"/>
          <w:szCs w:val="24"/>
          <w:shd w:val="clear" w:color="auto" w:fill="FFFFFF"/>
        </w:rPr>
        <w:t>从业人员</w:t>
      </w:r>
      <w:r>
        <w:rPr>
          <w:rFonts w:hint="eastAsia" w:ascii="宋体" w:hAnsi="宋体" w:eastAsia="宋体" w:cs="宋体"/>
          <w:color w:val="000000"/>
          <w:sz w:val="24"/>
          <w:szCs w:val="24"/>
          <w:u w:val="single"/>
          <w:shd w:val="clear" w:color="auto" w:fill="FFFFFF"/>
          <w:lang w:val="en-US" w:eastAsia="zh-CN"/>
        </w:rPr>
        <w:t xml:space="preserve">     </w:t>
      </w:r>
      <w:r>
        <w:rPr>
          <w:rFonts w:hint="eastAsia" w:ascii="宋体" w:hAnsi="宋体" w:eastAsia="宋体" w:cs="宋体"/>
          <w:color w:val="000000"/>
          <w:sz w:val="24"/>
          <w:szCs w:val="24"/>
          <w:shd w:val="clear" w:color="auto" w:fill="FFFFFF"/>
        </w:rPr>
        <w:t>人， 营业收入为</w:t>
      </w:r>
      <w:r>
        <w:rPr>
          <w:rFonts w:hint="eastAsia" w:ascii="宋体" w:hAnsi="宋体" w:eastAsia="宋体" w:cs="宋体"/>
          <w:color w:val="000000"/>
          <w:sz w:val="24"/>
          <w:szCs w:val="24"/>
          <w:u w:val="single"/>
          <w:shd w:val="clear" w:color="auto" w:fill="FFFFFF"/>
          <w:lang w:val="en-US" w:eastAsia="zh-CN"/>
        </w:rPr>
        <w:t xml:space="preserve">      </w:t>
      </w:r>
      <w:r>
        <w:rPr>
          <w:rFonts w:hint="eastAsia" w:ascii="宋体" w:hAnsi="宋体" w:eastAsia="宋体" w:cs="宋体"/>
          <w:color w:val="000000"/>
          <w:sz w:val="24"/>
          <w:szCs w:val="24"/>
          <w:shd w:val="clear" w:color="auto" w:fill="FFFFFF"/>
        </w:rPr>
        <w:t>万元， 资产总额为</w:t>
      </w:r>
      <w:r>
        <w:rPr>
          <w:rFonts w:hint="eastAsia" w:ascii="宋体" w:hAnsi="宋体" w:eastAsia="宋体" w:cs="宋体"/>
          <w:color w:val="000000"/>
          <w:sz w:val="24"/>
          <w:szCs w:val="24"/>
          <w:u w:val="single"/>
          <w:shd w:val="clear" w:color="auto" w:fill="FFFFFF"/>
          <w:lang w:val="en-US" w:eastAsia="zh-CN"/>
        </w:rPr>
        <w:t xml:space="preserve">      </w:t>
      </w:r>
      <w:r>
        <w:rPr>
          <w:rFonts w:hint="eastAsia" w:ascii="宋体" w:hAnsi="宋体" w:eastAsia="宋体" w:cs="宋体"/>
          <w:color w:val="000000"/>
          <w:sz w:val="24"/>
          <w:szCs w:val="24"/>
          <w:shd w:val="clear" w:color="auto" w:fill="FFFFFF"/>
        </w:rPr>
        <w:t>万元，属于</w:t>
      </w:r>
      <w:r>
        <w:rPr>
          <w:rFonts w:hint="eastAsia" w:ascii="宋体" w:hAnsi="宋体" w:eastAsia="宋体" w:cs="宋体"/>
          <w:color w:val="000000"/>
          <w:sz w:val="24"/>
          <w:szCs w:val="24"/>
          <w:u w:val="single"/>
          <w:shd w:val="clear" w:color="auto" w:fill="FFFFFF"/>
          <w:lang w:val="en-US" w:eastAsia="zh-CN"/>
        </w:rPr>
        <w:t xml:space="preserve">   （</w:t>
      </w:r>
      <w:r>
        <w:rPr>
          <w:rFonts w:hint="eastAsia" w:ascii="宋体" w:hAnsi="宋体" w:eastAsia="宋体" w:cs="宋体"/>
          <w:color w:val="000000"/>
          <w:sz w:val="24"/>
          <w:szCs w:val="24"/>
          <w:u w:val="single"/>
          <w:shd w:val="clear" w:color="auto" w:fill="FFFFFF"/>
        </w:rPr>
        <w:t>中型企业、 小型企业、微型企业)</w:t>
      </w:r>
      <w:r>
        <w:rPr>
          <w:rFonts w:hint="eastAsia" w:ascii="宋体" w:hAnsi="宋体" w:eastAsia="宋体" w:cs="宋体"/>
          <w:color w:val="000000"/>
          <w:sz w:val="24"/>
          <w:szCs w:val="24"/>
          <w:u w:val="none"/>
          <w:shd w:val="clear" w:color="auto" w:fill="FFFFFF"/>
          <w:lang w:val="en-US" w:eastAsia="zh-CN"/>
        </w:rPr>
        <w:t>；</w:t>
      </w:r>
    </w:p>
    <w:p w14:paraId="6188CA68">
      <w:pPr>
        <w:keepNext w:val="0"/>
        <w:keepLines w:val="0"/>
        <w:pageBreakBefore w:val="0"/>
        <w:widowControl w:val="0"/>
        <w:kinsoku/>
        <w:wordWrap/>
        <w:overflowPunct/>
        <w:topLinePunct w:val="0"/>
        <w:autoSpaceDE/>
        <w:autoSpaceDN/>
        <w:bidi w:val="0"/>
        <w:adjustRightInd/>
        <w:snapToGrid/>
        <w:spacing w:line="480" w:lineRule="auto"/>
        <w:ind w:firstLine="480" w:firstLineChars="200"/>
        <w:jc w:val="left"/>
        <w:textAlignment w:val="auto"/>
        <w:rPr>
          <w:rFonts w:hint="default" w:ascii="宋体" w:hAnsi="宋体" w:eastAsia="宋体" w:cs="宋体"/>
          <w:color w:val="000000"/>
          <w:sz w:val="24"/>
          <w:szCs w:val="24"/>
          <w:shd w:val="clear" w:color="auto" w:fill="FFFFFF"/>
          <w:lang w:val="en-US" w:eastAsia="zh-CN"/>
        </w:rPr>
      </w:pPr>
      <w:r>
        <w:rPr>
          <w:rFonts w:hint="eastAsia" w:ascii="宋体" w:hAnsi="宋体" w:eastAsia="宋体" w:cs="宋体"/>
          <w:color w:val="000000"/>
          <w:sz w:val="24"/>
          <w:szCs w:val="24"/>
          <w:shd w:val="clear" w:color="auto" w:fill="FFFFFF"/>
          <w:lang w:val="en-US" w:eastAsia="zh-CN"/>
        </w:rPr>
        <w:t>......</w:t>
      </w:r>
    </w:p>
    <w:p w14:paraId="5F8086A5">
      <w:pPr>
        <w:keepNext w:val="0"/>
        <w:keepLines w:val="0"/>
        <w:pageBreakBefore w:val="0"/>
        <w:widowControl w:val="0"/>
        <w:kinsoku/>
        <w:wordWrap/>
        <w:overflowPunct/>
        <w:topLinePunct w:val="0"/>
        <w:autoSpaceDE/>
        <w:autoSpaceDN/>
        <w:bidi w:val="0"/>
        <w:adjustRightInd/>
        <w:snapToGrid/>
        <w:spacing w:line="480" w:lineRule="auto"/>
        <w:ind w:firstLine="480" w:firstLineChars="200"/>
        <w:jc w:val="left"/>
        <w:textAlignment w:val="auto"/>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以上企业，不属于大企业的分支机构，不存在控股股东为大企业的情形，也不存在与大企业的负责人为同一人的情形。</w:t>
      </w:r>
    </w:p>
    <w:p w14:paraId="15324E5D">
      <w:pPr>
        <w:keepNext w:val="0"/>
        <w:keepLines w:val="0"/>
        <w:pageBreakBefore w:val="0"/>
        <w:widowControl w:val="0"/>
        <w:kinsoku/>
        <w:wordWrap/>
        <w:overflowPunct/>
        <w:topLinePunct w:val="0"/>
        <w:autoSpaceDE/>
        <w:autoSpaceDN/>
        <w:bidi w:val="0"/>
        <w:adjustRightInd/>
        <w:snapToGrid/>
        <w:spacing w:line="480" w:lineRule="auto"/>
        <w:ind w:firstLine="480" w:firstLineChars="200"/>
        <w:jc w:val="both"/>
        <w:textAlignment w:val="auto"/>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本企业对上述声明内容的真实性负责。如有虛假，将依法承担相应责任。</w:t>
      </w:r>
    </w:p>
    <w:p w14:paraId="4AC6C80B">
      <w:pPr>
        <w:keepNext w:val="0"/>
        <w:keepLines w:val="0"/>
        <w:pageBreakBefore w:val="0"/>
        <w:kinsoku/>
        <w:wordWrap/>
        <w:overflowPunct/>
        <w:topLinePunct w:val="0"/>
        <w:autoSpaceDE/>
        <w:autoSpaceDN/>
        <w:bidi w:val="0"/>
        <w:adjustRightInd/>
        <w:snapToGrid/>
        <w:spacing w:line="480" w:lineRule="auto"/>
        <w:ind w:left="3360" w:leftChars="0" w:hanging="3360" w:hangingChars="1400"/>
        <w:jc w:val="center"/>
        <w:textAlignment w:val="auto"/>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企业名称(盖章):</w:t>
      </w:r>
    </w:p>
    <w:p w14:paraId="004C623B">
      <w:pPr>
        <w:keepNext w:val="0"/>
        <w:keepLines w:val="0"/>
        <w:pageBreakBefore w:val="0"/>
        <w:kinsoku/>
        <w:wordWrap/>
        <w:overflowPunct/>
        <w:topLinePunct w:val="0"/>
        <w:autoSpaceDE/>
        <w:autoSpaceDN/>
        <w:bidi w:val="0"/>
        <w:adjustRightInd/>
        <w:snapToGrid/>
        <w:spacing w:line="480" w:lineRule="auto"/>
        <w:ind w:firstLine="4080" w:firstLineChars="1700"/>
        <w:jc w:val="both"/>
        <w:textAlignment w:val="auto"/>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日</w:t>
      </w:r>
      <w:r>
        <w:rPr>
          <w:rFonts w:hint="eastAsia" w:ascii="宋体" w:hAnsi="宋体" w:eastAsia="宋体" w:cs="宋体"/>
          <w:color w:val="000000"/>
          <w:sz w:val="24"/>
          <w:szCs w:val="24"/>
          <w:shd w:val="clear" w:color="auto" w:fill="FFFFFF"/>
          <w:lang w:val="en-US" w:eastAsia="zh-CN"/>
        </w:rPr>
        <w:t xml:space="preserve"> </w:t>
      </w:r>
      <w:r>
        <w:rPr>
          <w:rFonts w:hint="eastAsia" w:ascii="宋体" w:hAnsi="宋体" w:eastAsia="宋体" w:cs="宋体"/>
          <w:color w:val="000000"/>
          <w:sz w:val="24"/>
          <w:szCs w:val="24"/>
          <w:shd w:val="clear" w:color="auto" w:fill="FFFFFF"/>
        </w:rPr>
        <w:t>期:</w:t>
      </w:r>
    </w:p>
    <w:p w14:paraId="352FDE93">
      <w:pPr>
        <w:keepNext w:val="0"/>
        <w:keepLines w:val="0"/>
        <w:pageBreakBefore w:val="0"/>
        <w:kinsoku/>
        <w:wordWrap/>
        <w:overflowPunct/>
        <w:topLinePunct w:val="0"/>
        <w:autoSpaceDE/>
        <w:autoSpaceDN/>
        <w:bidi w:val="0"/>
        <w:adjustRightInd/>
        <w:snapToGrid/>
        <w:spacing w:line="480" w:lineRule="auto"/>
        <w:jc w:val="both"/>
        <w:textAlignment w:val="auto"/>
        <w:rPr>
          <w:rFonts w:hint="default" w:ascii="宋体" w:hAnsi="宋体" w:eastAsia="宋体" w:cs="宋体"/>
          <w:color w:val="000000"/>
          <w:sz w:val="24"/>
          <w:szCs w:val="24"/>
          <w:u w:val="single"/>
          <w:shd w:val="clear" w:color="auto" w:fill="FFFFFF"/>
          <w:lang w:val="en-US" w:eastAsia="zh-CN"/>
        </w:rPr>
      </w:pPr>
      <w:r>
        <w:rPr>
          <w:rFonts w:hint="eastAsia" w:ascii="宋体" w:hAnsi="宋体" w:eastAsia="宋体" w:cs="宋体"/>
          <w:color w:val="000000"/>
          <w:sz w:val="24"/>
          <w:szCs w:val="24"/>
          <w:u w:val="single"/>
          <w:shd w:val="clear" w:color="auto" w:fill="FFFFFF"/>
          <w:lang w:val="en-US" w:eastAsia="zh-CN"/>
        </w:rPr>
        <w:t xml:space="preserve">                   </w:t>
      </w:r>
    </w:p>
    <w:p w14:paraId="79797428">
      <w:pPr>
        <w:keepNext w:val="0"/>
        <w:keepLines w:val="0"/>
        <w:pageBreakBefore w:val="0"/>
        <w:kinsoku/>
        <w:wordWrap/>
        <w:overflowPunct/>
        <w:topLinePunct w:val="0"/>
        <w:autoSpaceDE/>
        <w:autoSpaceDN/>
        <w:bidi w:val="0"/>
        <w:adjustRightInd/>
        <w:snapToGrid/>
        <w:spacing w:line="480" w:lineRule="auto"/>
        <w:jc w:val="left"/>
        <w:textAlignment w:val="auto"/>
        <w:rPr>
          <w:rFonts w:hint="eastAsia" w:ascii="宋体" w:hAnsi="宋体" w:eastAsia="宋体" w:cs="宋体"/>
          <w:color w:val="000000"/>
          <w:sz w:val="18"/>
          <w:szCs w:val="18"/>
          <w:shd w:val="clear" w:color="auto" w:fill="FFFFFF"/>
        </w:rPr>
      </w:pPr>
      <w:r>
        <w:rPr>
          <w:rFonts w:hint="eastAsia" w:ascii="宋体" w:hAnsi="宋体" w:eastAsia="宋体" w:cs="宋体"/>
          <w:color w:val="000000"/>
          <w:sz w:val="18"/>
          <w:szCs w:val="18"/>
          <w:shd w:val="clear" w:color="auto" w:fill="FFFFFF"/>
          <w:vertAlign w:val="superscript"/>
          <w:lang w:val="en-US" w:eastAsia="zh-CN"/>
        </w:rPr>
        <w:t>1</w:t>
      </w:r>
      <w:r>
        <w:rPr>
          <w:rFonts w:hint="eastAsia" w:ascii="宋体" w:hAnsi="宋体" w:eastAsia="宋体" w:cs="宋体"/>
          <w:color w:val="000000"/>
          <w:sz w:val="18"/>
          <w:szCs w:val="18"/>
          <w:shd w:val="clear" w:color="auto" w:fill="FFFFFF"/>
        </w:rPr>
        <w:t>从业人员、营业收入、资产总额填报上一年度数据，无上</w:t>
      </w:r>
      <w:r>
        <w:rPr>
          <w:rFonts w:hint="eastAsia" w:ascii="宋体" w:hAnsi="宋体" w:eastAsia="宋体" w:cs="宋体"/>
          <w:color w:val="000000"/>
          <w:sz w:val="18"/>
          <w:szCs w:val="18"/>
          <w:shd w:val="clear" w:color="auto" w:fill="FFFFFF"/>
          <w:lang w:eastAsia="zh-CN"/>
        </w:rPr>
        <w:t>一</w:t>
      </w:r>
      <w:r>
        <w:rPr>
          <w:rFonts w:hint="eastAsia" w:ascii="宋体" w:hAnsi="宋体" w:eastAsia="宋体" w:cs="宋体"/>
          <w:color w:val="000000"/>
          <w:sz w:val="18"/>
          <w:szCs w:val="18"/>
          <w:shd w:val="clear" w:color="auto" w:fill="FFFFFF"/>
        </w:rPr>
        <w:t>年度数据的新成立企业可不填报。</w:t>
      </w:r>
      <w:bookmarkStart w:id="290" w:name="_Toc468"/>
      <w:bookmarkEnd w:id="290"/>
      <w:bookmarkStart w:id="291" w:name="_Toc12254"/>
      <w:bookmarkEnd w:id="291"/>
    </w:p>
    <w:p w14:paraId="5F611966">
      <w:pPr>
        <w:spacing w:line="480" w:lineRule="auto"/>
        <w:jc w:val="center"/>
        <w:rPr>
          <w:rFonts w:hint="eastAsia" w:ascii="宋体" w:hAnsi="宋体"/>
          <w:b/>
          <w:spacing w:val="6"/>
          <w:sz w:val="30"/>
          <w:szCs w:val="30"/>
          <w:highlight w:val="none"/>
        </w:rPr>
      </w:pPr>
      <w:r>
        <w:rPr>
          <w:rFonts w:hint="eastAsia" w:ascii="宋体" w:hAnsi="宋体" w:eastAsia="宋体" w:cs="宋体"/>
          <w:color w:val="000000"/>
          <w:sz w:val="18"/>
          <w:szCs w:val="18"/>
          <w:shd w:val="clear" w:color="auto" w:fill="FFFFFF"/>
        </w:rPr>
        <w:br w:type="page"/>
      </w:r>
      <w:r>
        <w:rPr>
          <w:rFonts w:hint="eastAsia" w:ascii="宋体" w:hAnsi="宋体" w:cs="宋体"/>
          <w:b/>
          <w:bCs/>
          <w:sz w:val="24"/>
          <w:szCs w:val="24"/>
          <w:highlight w:val="none"/>
          <w:shd w:val="clear" w:color="auto" w:fill="FFFFFF"/>
        </w:rPr>
        <w:t>残疾人福利性单位声明函格式</w:t>
      </w:r>
    </w:p>
    <w:p w14:paraId="0C5EBC3C">
      <w:pPr>
        <w:spacing w:line="588" w:lineRule="exact"/>
        <w:ind w:firstLine="504" w:firstLineChars="200"/>
        <w:rPr>
          <w:rFonts w:hint="eastAsia" w:ascii="宋体" w:hAnsi="宋体" w:cs="宋体"/>
          <w:spacing w:val="6"/>
          <w:sz w:val="24"/>
          <w:szCs w:val="24"/>
          <w:highlight w:val="none"/>
        </w:rPr>
      </w:pPr>
      <w:r>
        <w:rPr>
          <w:rFonts w:hint="eastAsia" w:ascii="宋体" w:hAnsi="宋体" w:cs="宋体"/>
          <w:spacing w:val="6"/>
          <w:sz w:val="24"/>
          <w:szCs w:val="24"/>
          <w:highlight w:val="none"/>
        </w:rPr>
        <w:t>本单位郑重声明，根据《财政部 民政部 中国残疾人联合会关于促进残疾人就业政府采购政策的通知》（财库</w:t>
      </w:r>
      <w:r>
        <w:rPr>
          <w:rFonts w:hint="eastAsia" w:ascii="宋体" w:hAnsi="宋体" w:cs="宋体"/>
          <w:sz w:val="24"/>
          <w:szCs w:val="24"/>
          <w:highlight w:val="none"/>
        </w:rPr>
        <w:t>〔2017〕 141</w:t>
      </w:r>
      <w:r>
        <w:rPr>
          <w:rFonts w:hint="eastAsia" w:ascii="宋体" w:hAnsi="宋体" w:cs="宋体"/>
          <w:spacing w:val="6"/>
          <w:sz w:val="24"/>
          <w:szCs w:val="24"/>
          <w:highlight w:val="none"/>
        </w:rPr>
        <w:t>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7D7AFFD8">
      <w:pPr>
        <w:spacing w:line="588" w:lineRule="exact"/>
        <w:ind w:firstLine="504" w:firstLineChars="200"/>
        <w:rPr>
          <w:rFonts w:hint="eastAsia" w:ascii="宋体" w:hAnsi="宋体" w:cs="宋体"/>
          <w:spacing w:val="6"/>
          <w:sz w:val="24"/>
          <w:szCs w:val="24"/>
          <w:highlight w:val="none"/>
        </w:rPr>
      </w:pPr>
      <w:r>
        <w:rPr>
          <w:rFonts w:hint="eastAsia" w:ascii="宋体" w:hAnsi="宋体" w:cs="宋体"/>
          <w:spacing w:val="6"/>
          <w:sz w:val="24"/>
          <w:szCs w:val="24"/>
          <w:highlight w:val="none"/>
        </w:rPr>
        <w:t>本单位对上述声明的真实性负责。如有虚假，将依法承担相应责任。</w:t>
      </w:r>
    </w:p>
    <w:p w14:paraId="566009D2">
      <w:pPr>
        <w:spacing w:line="588" w:lineRule="exact"/>
        <w:ind w:firstLine="504" w:firstLineChars="200"/>
        <w:rPr>
          <w:rFonts w:hint="eastAsia" w:ascii="宋体" w:hAnsi="宋体" w:cs="宋体"/>
          <w:spacing w:val="6"/>
          <w:sz w:val="24"/>
          <w:szCs w:val="24"/>
          <w:highlight w:val="none"/>
        </w:rPr>
      </w:pPr>
    </w:p>
    <w:p w14:paraId="72FF7C92">
      <w:pPr>
        <w:spacing w:line="588" w:lineRule="exact"/>
        <w:ind w:firstLine="504" w:firstLineChars="200"/>
        <w:rPr>
          <w:rFonts w:hint="eastAsia" w:ascii="宋体" w:hAnsi="宋体" w:cs="宋体"/>
          <w:spacing w:val="6"/>
          <w:sz w:val="24"/>
          <w:szCs w:val="24"/>
          <w:highlight w:val="none"/>
        </w:rPr>
      </w:pPr>
    </w:p>
    <w:p w14:paraId="00E27093">
      <w:pPr>
        <w:tabs>
          <w:tab w:val="left" w:pos="4860"/>
        </w:tabs>
        <w:spacing w:line="588" w:lineRule="exact"/>
        <w:ind w:right="1560" w:firstLine="504" w:firstLineChars="200"/>
        <w:jc w:val="center"/>
        <w:rPr>
          <w:rFonts w:hint="eastAsia" w:ascii="宋体" w:hAnsi="宋体" w:cs="宋体"/>
          <w:spacing w:val="6"/>
          <w:sz w:val="24"/>
          <w:szCs w:val="24"/>
          <w:highlight w:val="none"/>
        </w:rPr>
      </w:pPr>
      <w:r>
        <w:rPr>
          <w:rFonts w:hint="eastAsia" w:ascii="宋体" w:hAnsi="宋体" w:cs="宋体"/>
          <w:spacing w:val="6"/>
          <w:sz w:val="24"/>
          <w:szCs w:val="24"/>
          <w:highlight w:val="none"/>
        </w:rPr>
        <w:t xml:space="preserve">               单位名称（盖章）：</w:t>
      </w:r>
    </w:p>
    <w:p w14:paraId="294C1348">
      <w:pPr>
        <w:tabs>
          <w:tab w:val="left" w:pos="4860"/>
        </w:tabs>
        <w:spacing w:line="588" w:lineRule="exact"/>
        <w:ind w:right="1560" w:firstLine="504" w:firstLineChars="200"/>
        <w:jc w:val="center"/>
        <w:rPr>
          <w:rFonts w:hint="eastAsia" w:ascii="宋体" w:hAnsi="宋体" w:cs="宋体"/>
          <w:spacing w:val="6"/>
          <w:sz w:val="24"/>
          <w:szCs w:val="24"/>
          <w:highlight w:val="none"/>
        </w:rPr>
      </w:pPr>
      <w:r>
        <w:rPr>
          <w:rFonts w:hint="eastAsia" w:ascii="宋体" w:hAnsi="宋体" w:cs="宋体"/>
          <w:spacing w:val="6"/>
          <w:sz w:val="24"/>
          <w:szCs w:val="24"/>
          <w:highlight w:val="none"/>
        </w:rPr>
        <w:t xml:space="preserve">       日  期：</w:t>
      </w:r>
    </w:p>
    <w:p w14:paraId="20BD54F9">
      <w:pPr>
        <w:tabs>
          <w:tab w:val="left" w:pos="4860"/>
        </w:tabs>
        <w:spacing w:line="588" w:lineRule="exact"/>
        <w:ind w:right="1560"/>
        <w:jc w:val="both"/>
        <w:rPr>
          <w:rFonts w:hint="eastAsia" w:ascii="宋体" w:hAnsi="宋体" w:cs="宋体"/>
          <w:spacing w:val="6"/>
          <w:sz w:val="24"/>
          <w:szCs w:val="24"/>
          <w:highlight w:val="none"/>
        </w:rPr>
      </w:pPr>
    </w:p>
    <w:p w14:paraId="0DEF7042">
      <w:pPr>
        <w:spacing w:line="480" w:lineRule="auto"/>
        <w:jc w:val="center"/>
        <w:rPr>
          <w:rFonts w:ascii="宋体" w:hAnsi="宋体" w:cs="宋体"/>
          <w:b/>
          <w:bCs/>
          <w:sz w:val="24"/>
          <w:szCs w:val="24"/>
          <w:highlight w:val="none"/>
          <w:shd w:val="clear" w:color="auto" w:fill="FFFFFF"/>
        </w:rPr>
      </w:pPr>
      <w:r>
        <w:rPr>
          <w:rFonts w:hint="eastAsia" w:ascii="宋体" w:hAnsi="宋体" w:cs="宋体"/>
          <w:b/>
          <w:bCs/>
          <w:sz w:val="24"/>
          <w:szCs w:val="24"/>
          <w:highlight w:val="none"/>
          <w:shd w:val="clear" w:color="auto" w:fill="FFFFFF"/>
        </w:rPr>
        <w:br w:type="page"/>
      </w:r>
      <w:r>
        <w:rPr>
          <w:rFonts w:hint="eastAsia" w:ascii="宋体" w:hAnsi="宋体" w:cs="宋体"/>
          <w:b/>
          <w:bCs/>
          <w:sz w:val="24"/>
          <w:szCs w:val="24"/>
          <w:highlight w:val="none"/>
          <w:shd w:val="clear" w:color="auto" w:fill="FFFFFF"/>
        </w:rPr>
        <w:t>监狱企业证明文件格式</w:t>
      </w:r>
    </w:p>
    <w:p w14:paraId="422BA7CE">
      <w:pPr>
        <w:spacing w:line="480" w:lineRule="auto"/>
        <w:ind w:firstLine="480" w:firstLineChars="200"/>
        <w:rPr>
          <w:rFonts w:hint="eastAsia" w:ascii="宋体" w:hAnsi="宋体"/>
          <w:sz w:val="24"/>
          <w:szCs w:val="24"/>
          <w:highlight w:val="none"/>
        </w:rPr>
      </w:pPr>
      <w:r>
        <w:rPr>
          <w:rFonts w:hint="eastAsia" w:ascii="宋体" w:hAnsi="宋体"/>
          <w:sz w:val="24"/>
          <w:szCs w:val="24"/>
          <w:highlight w:val="none"/>
        </w:rPr>
        <w:t>根据《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50A38320">
      <w:pPr>
        <w:spacing w:line="480" w:lineRule="auto"/>
        <w:ind w:firstLine="480" w:firstLineChars="200"/>
        <w:rPr>
          <w:rFonts w:hint="eastAsia" w:ascii="宋体" w:hAnsi="宋体" w:eastAsia="宋体"/>
          <w:sz w:val="24"/>
          <w:szCs w:val="24"/>
          <w:highlight w:val="none"/>
          <w:lang w:eastAsia="zh-CN"/>
        </w:rPr>
      </w:pPr>
      <w:r>
        <w:rPr>
          <w:rFonts w:hint="eastAsia" w:ascii="宋体" w:hAnsi="宋体"/>
          <w:sz w:val="24"/>
          <w:szCs w:val="24"/>
          <w:highlight w:val="none"/>
        </w:rPr>
        <w:t>监狱企业参加政府采购活动时，应当提供由省级以上监狱管理局、戒毒管理局（含新疆生产建设兵团）出具的属于监狱企业的证明文件。</w:t>
      </w:r>
    </w:p>
    <w:p w14:paraId="1893F81B">
      <w:pPr>
        <w:spacing w:line="480" w:lineRule="auto"/>
        <w:ind w:firstLine="480" w:firstLineChars="200"/>
        <w:rPr>
          <w:rFonts w:hint="eastAsia" w:ascii="宋体" w:hAnsi="宋体" w:eastAsia="宋体"/>
          <w:sz w:val="24"/>
          <w:szCs w:val="24"/>
          <w:highlight w:val="none"/>
          <w:lang w:eastAsia="zh-CN"/>
        </w:rPr>
      </w:pPr>
      <w:r>
        <w:rPr>
          <w:rFonts w:hint="eastAsia" w:ascii="宋体" w:hAnsi="宋体"/>
          <w:sz w:val="24"/>
          <w:szCs w:val="24"/>
          <w:highlight w:val="none"/>
        </w:rPr>
        <w:t xml:space="preserve">   </w:t>
      </w:r>
    </w:p>
    <w:p w14:paraId="6E260B3C">
      <w:pPr>
        <w:pStyle w:val="6"/>
        <w:rPr>
          <w:rFonts w:hint="eastAsia"/>
          <w:lang w:eastAsia="zh-CN"/>
        </w:rPr>
      </w:pPr>
    </w:p>
    <w:p w14:paraId="7232EADC">
      <w:pPr>
        <w:spacing w:line="480" w:lineRule="auto"/>
        <w:rPr>
          <w:rFonts w:hint="eastAsia" w:ascii="宋体" w:hAnsi="宋体" w:cs="宋体"/>
          <w:sz w:val="18"/>
          <w:szCs w:val="18"/>
          <w:highlight w:val="none"/>
          <w:shd w:val="clear" w:color="auto" w:fill="FFFFFF"/>
        </w:rPr>
      </w:pPr>
      <w:r>
        <w:rPr>
          <w:rFonts w:hint="eastAsia" w:ascii="宋体" w:hAnsi="宋体"/>
          <w:highlight w:val="none"/>
        </w:rPr>
        <w:t>注：符合条件的监狱企业在参加政府采购活动时，应当按《财政部 司法部关于政府采购支持监狱企业发展有关问题的通知》（财</w:t>
      </w:r>
      <w:r>
        <w:rPr>
          <w:rFonts w:hint="eastAsia" w:ascii="宋体" w:hAnsi="宋体" w:cs="宋体"/>
          <w:highlight w:val="none"/>
        </w:rPr>
        <w:t>库[2014]68 号</w:t>
      </w:r>
      <w:r>
        <w:rPr>
          <w:rFonts w:hint="eastAsia" w:ascii="宋体" w:hAnsi="宋体"/>
          <w:highlight w:val="none"/>
        </w:rPr>
        <w:t>）提供规定的《监狱企业证明文件》，并对证明文件的真实性负责。</w:t>
      </w:r>
    </w:p>
    <w:p w14:paraId="2206BC02">
      <w:pPr>
        <w:keepNext w:val="0"/>
        <w:keepLines w:val="0"/>
        <w:pageBreakBefore w:val="0"/>
        <w:kinsoku/>
        <w:wordWrap/>
        <w:overflowPunct/>
        <w:topLinePunct w:val="0"/>
        <w:autoSpaceDE/>
        <w:autoSpaceDN/>
        <w:bidi w:val="0"/>
        <w:adjustRightInd/>
        <w:snapToGrid/>
        <w:spacing w:line="480" w:lineRule="auto"/>
        <w:jc w:val="left"/>
        <w:textAlignment w:val="auto"/>
        <w:rPr>
          <w:rFonts w:ascii="宋体" w:hAnsi="宋体"/>
          <w:sz w:val="24"/>
          <w:szCs w:val="24"/>
          <w:highlight w:val="none"/>
        </w:rPr>
      </w:pPr>
    </w:p>
    <w:sectPr>
      <w:headerReference r:id="rId12" w:type="default"/>
      <w:footerReference r:id="rId13" w:type="default"/>
      <w:pgSz w:w="11906" w:h="16838"/>
      <w:pgMar w:top="1191" w:right="1191" w:bottom="1191" w:left="1191" w:header="720" w:footer="720" w:gutter="0"/>
      <w:pgNumType w:fmt="decimal"/>
      <w:cols w:space="720" w:num="1"/>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华文楷体">
    <w:altName w:val="宋体"/>
    <w:panose1 w:val="02010600040101010101"/>
    <w:charset w:val="86"/>
    <w:family w:val="auto"/>
    <w:pitch w:val="default"/>
    <w:sig w:usb0="00000000" w:usb1="00000000" w:usb2="00000000" w:usb3="00000000" w:csb0="0004009F" w:csb1="DFD7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Wingdings 2">
    <w:altName w:val="Wingdings"/>
    <w:panose1 w:val="05020102010507070707"/>
    <w:charset w:val="02"/>
    <w:family w:val="auto"/>
    <w:pitch w:val="default"/>
    <w:sig w:usb0="00000000" w:usb1="00000000" w:usb2="00000000" w:usb3="00000000" w:csb0="80000000" w:csb1="00000000"/>
  </w:font>
  <w:font w:name="Malgun Gothic">
    <w:panose1 w:val="020B0503020000020004"/>
    <w:charset w:val="81"/>
    <w:family w:val="swiss"/>
    <w:pitch w:val="default"/>
    <w:sig w:usb0="9000002F" w:usb1="29D77CFB" w:usb2="00000012" w:usb3="00000000" w:csb0="00080001" w:csb1="00000000"/>
  </w:font>
  <w:font w:name="TimesNewRomanPSMT">
    <w:altName w:val="宋体"/>
    <w:panose1 w:val="00000000000000000000"/>
    <w:charset w:val="00"/>
    <w:family w:val="auto"/>
    <w:pitch w:val="default"/>
    <w:sig w:usb0="00000000" w:usb1="00000000" w:usb2="00000010"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Kingsoft U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7F1BE64">
    <w:pPr>
      <w:pStyle w:val="18"/>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0E51089B">
                          <w:pPr>
                            <w:pStyle w:val="18"/>
                          </w:pPr>
                          <w:r>
                            <w:fldChar w:fldCharType="begin"/>
                          </w:r>
                          <w:r>
                            <w:instrText xml:space="preserve"> PAGE  \* MERGEFORMAT </w:instrText>
                          </w:r>
                          <w:r>
                            <w:fldChar w:fldCharType="separate"/>
                          </w:r>
                          <w:r>
                            <w:t>- 2 -</w:t>
                          </w:r>
                          <w:r>
                            <w:fldChar w:fldCharType="end"/>
                          </w:r>
                        </w:p>
                      </w:txbxContent>
                    </wps:txbx>
                    <wps:bodyPr vert="horz" wrap="none" lIns="0" tIns="0" rIns="0" bIns="0" anchor="t" anchorCtr="0" upright="0">
                      <a:spAutoFit/>
                    </wps:bodyPr>
                  </wps:wsp>
                </a:graphicData>
              </a:graphic>
            </wp:anchor>
          </w:drawing>
        </mc:Choice>
        <mc:Fallback>
          <w:pict>
            <v:shape id="文本框 51"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">
              <v:fill on="f" focussize="0,0"/>
              <v:stroke on="f"/>
              <v:imagedata o:title=""/>
              <o:lock v:ext="edit" aspectratio="f"/>
              <v:textbox inset="0mm,0mm,0mm,0mm" style="mso-fit-shape-to-text:t;">
                <w:txbxContent>
                  <w:p w14:paraId="0E51089B">
                    <w:pPr>
                      <w:pStyle w:val="18"/>
                    </w:pPr>
                    <w:r>
                      <w:fldChar w:fldCharType="begin"/>
                    </w:r>
                    <w:r>
                      <w:instrText xml:space="preserve"> PAGE  \* MERGEFORMAT </w:instrText>
                    </w:r>
                    <w:r>
                      <w:fldChar w:fldCharType="separate"/>
                    </w:r>
                    <w:r>
                      <w:t>- 2 -</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BC8D0B">
    <w:pPr>
      <w:pStyle w:val="18"/>
      <w:jc w:val="cente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5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1E85DCCD">
                          <w:pPr>
                            <w:pStyle w:val="18"/>
                          </w:pPr>
                          <w:r>
                            <w:fldChar w:fldCharType="begin"/>
                          </w:r>
                          <w:r>
                            <w:instrText xml:space="preserve"> PAGE  \* MERGEFORMAT </w:instrText>
                          </w:r>
                          <w:r>
                            <w:fldChar w:fldCharType="separate"/>
                          </w:r>
                          <w:r>
                            <w:t>- 22 -</w:t>
                          </w:r>
                          <w:r>
                            <w:fldChar w:fldCharType="end"/>
                          </w:r>
                        </w:p>
                      </w:txbxContent>
                    </wps:txbx>
                    <wps:bodyPr vert="horz" wrap="none" lIns="0" tIns="0" rIns="0" bIns="0" anchor="t" anchorCtr="0" upright="0">
                      <a:spAutoFit/>
                    </wps:bodyPr>
                  </wps:wsp>
                </a:graphicData>
              </a:graphic>
            </wp:anchor>
          </w:drawing>
        </mc:Choice>
        <mc:Fallback>
          <w:pict>
            <v:shape id="文本框 52"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">
              <v:fill on="f" focussize="0,0"/>
              <v:stroke on="f"/>
              <v:imagedata o:title=""/>
              <o:lock v:ext="edit" aspectratio="f"/>
              <v:textbox inset="0mm,0mm,0mm,0mm" style="mso-fit-shape-to-text:t;">
                <w:txbxContent>
                  <w:p w14:paraId="1E85DCCD">
                    <w:pPr>
                      <w:pStyle w:val="18"/>
                    </w:pPr>
                    <w:r>
                      <w:fldChar w:fldCharType="begin"/>
                    </w:r>
                    <w:r>
                      <w:instrText xml:space="preserve"> PAGE  \* MERGEFORMAT </w:instrText>
                    </w:r>
                    <w:r>
                      <w:fldChar w:fldCharType="separate"/>
                    </w:r>
                    <w:r>
                      <w:t>- 22 -</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ABAD06F">
    <w:pPr>
      <w:pStyle w:val="18"/>
      <w:jc w:val="center"/>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5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7AA49DED">
                          <w:pPr>
                            <w:pStyle w:val="18"/>
                          </w:pPr>
                          <w:r>
                            <w:fldChar w:fldCharType="begin"/>
                          </w:r>
                          <w:r>
                            <w:instrText xml:space="preserve"> PAGE  \* MERGEFORMAT </w:instrText>
                          </w:r>
                          <w:r>
                            <w:fldChar w:fldCharType="separate"/>
                          </w:r>
                          <w:r>
                            <w:t>- 54 -</w:t>
                          </w:r>
                          <w:r>
                            <w:fldChar w:fldCharType="end"/>
                          </w:r>
                        </w:p>
                      </w:txbxContent>
                    </wps:txbx>
                    <wps:bodyPr vert="horz" wrap="none" lIns="0" tIns="0" rIns="0" bIns="0" anchor="t" anchorCtr="0" upright="0">
                      <a:spAutoFit/>
                    </wps:bodyPr>
                  </wps:wsp>
                </a:graphicData>
              </a:graphic>
            </wp:anchor>
          </w:drawing>
        </mc:Choice>
        <mc:Fallback>
          <w:pict>
            <v:shape id="文本框 54"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">
              <v:fill on="f" focussize="0,0"/>
              <v:stroke on="f"/>
              <v:imagedata o:title=""/>
              <o:lock v:ext="edit" aspectratio="f"/>
              <v:textbox inset="0mm,0mm,0mm,0mm" style="mso-fit-shape-to-text:t;">
                <w:txbxContent>
                  <w:p w14:paraId="7AA49DED">
                    <w:pPr>
                      <w:pStyle w:val="18"/>
                    </w:pPr>
                    <w:r>
                      <w:fldChar w:fldCharType="begin"/>
                    </w:r>
                    <w:r>
                      <w:instrText xml:space="preserve"> PAGE  \* MERGEFORMAT </w:instrText>
                    </w:r>
                    <w:r>
                      <w:fldChar w:fldCharType="separate"/>
                    </w:r>
                    <w:r>
                      <w:t>- 54 -</w:t>
                    </w:r>
                    <w:r>
                      <w:fldChar w:fldCharType="end"/>
                    </w:r>
                  </w:p>
                </w:txbxContent>
              </v:textbox>
            </v:shape>
          </w:pict>
        </mc:Fallback>
      </mc:AlternateContent>
    </w:r>
  </w:p>
  <w:p w14:paraId="76F89E9A">
    <w:pPr>
      <w:pStyle w:val="18"/>
      <w:jc w:val="cen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B0927A">
    <w:pPr>
      <w:pStyle w:val="18"/>
      <w:jc w:val="center"/>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5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61AAC08C">
                          <w:pPr>
                            <w:pStyle w:val="18"/>
                          </w:pPr>
                          <w:r>
                            <w:fldChar w:fldCharType="begin"/>
                          </w:r>
                          <w:r>
                            <w:instrText xml:space="preserve"> PAGE  \* MERGEFORMAT </w:instrText>
                          </w:r>
                          <w:r>
                            <w:fldChar w:fldCharType="separate"/>
                          </w:r>
                          <w:r>
                            <w:t>- 58 -</w:t>
                          </w:r>
                          <w:r>
                            <w:fldChar w:fldCharType="end"/>
                          </w:r>
                        </w:p>
                      </w:txbxContent>
                    </wps:txbx>
                    <wps:bodyPr vert="horz" wrap="none" lIns="0" tIns="0" rIns="0" bIns="0" anchor="t" anchorCtr="0" upright="0">
                      <a:spAutoFit/>
                    </wps:bodyPr>
                  </wps:wsp>
                </a:graphicData>
              </a:graphic>
            </wp:anchor>
          </w:drawing>
        </mc:Choice>
        <mc:Fallback>
          <w:pict>
            <v:shape id="文本框 55"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">
              <v:fill on="f" focussize="0,0"/>
              <v:stroke on="f"/>
              <v:imagedata o:title=""/>
              <o:lock v:ext="edit" aspectratio="f"/>
              <v:textbox inset="0mm,0mm,0mm,0mm" style="mso-fit-shape-to-text:t;">
                <w:txbxContent>
                  <w:p w14:paraId="61AAC08C">
                    <w:pPr>
                      <w:pStyle w:val="18"/>
                    </w:pPr>
                    <w:r>
                      <w:fldChar w:fldCharType="begin"/>
                    </w:r>
                    <w:r>
                      <w:instrText xml:space="preserve"> PAGE  \* MERGEFORMAT </w:instrText>
                    </w:r>
                    <w:r>
                      <w:fldChar w:fldCharType="separate"/>
                    </w:r>
                    <w:r>
                      <w:t>- 58 -</w:t>
                    </w:r>
                    <w:r>
                      <w:fldChar w:fldCharType="end"/>
                    </w:r>
                  </w:p>
                </w:txbxContent>
              </v:textbox>
            </v:shape>
          </w:pict>
        </mc:Fallback>
      </mc:AlternateContent>
    </w:r>
  </w:p>
  <w:p w14:paraId="3257EC41">
    <w:pPr>
      <w:pStyle w:val="18"/>
      <w:jc w:val="cen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2C6084">
    <w:pPr>
      <w:pStyle w:val="18"/>
      <w:jc w:val="center"/>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5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6145F272">
                          <w:pPr>
                            <w:pStyle w:val="18"/>
                          </w:pPr>
                          <w:r>
                            <w:fldChar w:fldCharType="begin"/>
                          </w:r>
                          <w:r>
                            <w:instrText xml:space="preserve"> PAGE  \* MERGEFORMAT </w:instrText>
                          </w:r>
                          <w:r>
                            <w:fldChar w:fldCharType="separate"/>
                          </w:r>
                          <w:r>
                            <w:t>- 59 -</w:t>
                          </w:r>
                          <w:r>
                            <w:fldChar w:fldCharType="end"/>
                          </w:r>
                        </w:p>
                      </w:txbxContent>
                    </wps:txbx>
                    <wps:bodyPr vert="horz" wrap="none" lIns="0" tIns="0" rIns="0" bIns="0" anchor="t" anchorCtr="0" upright="0">
                      <a:spAutoFit/>
                    </wps:bodyPr>
                  </wps:wsp>
                </a:graphicData>
              </a:graphic>
            </wp:anchor>
          </w:drawing>
        </mc:Choice>
        <mc:Fallback>
          <w:pict>
            <v:shape id="文本框 5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">
              <v:fill on="f" focussize="0,0"/>
              <v:stroke on="f"/>
              <v:imagedata o:title=""/>
              <o:lock v:ext="edit" aspectratio="f"/>
              <v:textbox inset="0mm,0mm,0mm,0mm" style="mso-fit-shape-to-text:t;">
                <w:txbxContent>
                  <w:p w14:paraId="6145F272">
                    <w:pPr>
                      <w:pStyle w:val="18"/>
                    </w:pPr>
                    <w:r>
                      <w:fldChar w:fldCharType="begin"/>
                    </w:r>
                    <w:r>
                      <w:instrText xml:space="preserve"> PAGE  \* MERGEFORMAT </w:instrText>
                    </w:r>
                    <w:r>
                      <w:fldChar w:fldCharType="separate"/>
                    </w:r>
                    <w:r>
                      <w:t>- 59 -</w:t>
                    </w:r>
                    <w:r>
                      <w:fldChar w:fldCharType="end"/>
                    </w:r>
                  </w:p>
                </w:txbxContent>
              </v:textbox>
            </v:shape>
          </w:pict>
        </mc:Fallback>
      </mc:AlternateContent>
    </w:r>
  </w:p>
  <w:p w14:paraId="61FD58FD">
    <w:pPr>
      <w:pStyle w:val="18"/>
      <w:jc w:val="cente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8868E6">
    <w:pPr>
      <w:pStyle w:val="18"/>
      <w:jc w:val="center"/>
    </w:pPr>
    <w:r>
      <w:rPr>
        <w:sz w:val="1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5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5F86469E">
                          <w:pPr>
                            <w:pStyle w:val="18"/>
                          </w:pPr>
                          <w:r>
                            <w:fldChar w:fldCharType="begin"/>
                          </w:r>
                          <w:r>
                            <w:instrText xml:space="preserve"> PAGE  \* MERGEFORMAT </w:instrText>
                          </w:r>
                          <w:r>
                            <w:fldChar w:fldCharType="separate"/>
                          </w:r>
                          <w:r>
                            <w:t>- 66 -</w:t>
                          </w:r>
                          <w:r>
                            <w:fldChar w:fldCharType="end"/>
                          </w:r>
                        </w:p>
                      </w:txbxContent>
                    </wps:txbx>
                    <wps:bodyPr vert="horz" wrap="none" lIns="0" tIns="0" rIns="0" bIns="0" anchor="t" anchorCtr="0" upright="0">
                      <a:spAutoFit/>
                    </wps:bodyPr>
                  </wps:wsp>
                </a:graphicData>
              </a:graphic>
            </wp:anchor>
          </w:drawing>
        </mc:Choice>
        <mc:Fallback>
          <w:pict>
            <v:shape id="文本框 57"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">
              <v:fill on="f" focussize="0,0"/>
              <v:stroke on="f"/>
              <v:imagedata o:title=""/>
              <o:lock v:ext="edit" aspectratio="f"/>
              <v:textbox inset="0mm,0mm,0mm,0mm" style="mso-fit-shape-to-text:t;">
                <w:txbxContent>
                  <w:p w14:paraId="5F86469E">
                    <w:pPr>
                      <w:pStyle w:val="18"/>
                    </w:pPr>
                    <w:r>
                      <w:fldChar w:fldCharType="begin"/>
                    </w:r>
                    <w:r>
                      <w:instrText xml:space="preserve"> PAGE  \* MERGEFORMAT </w:instrText>
                    </w:r>
                    <w:r>
                      <w:fldChar w:fldCharType="separate"/>
                    </w:r>
                    <w:r>
                      <w:t>- 66 -</w:t>
                    </w:r>
                    <w:r>
                      <w:fldChar w:fldCharType="end"/>
                    </w:r>
                  </w:p>
                </w:txbxContent>
              </v:textbox>
            </v:shape>
          </w:pict>
        </mc:Fallback>
      </mc:AlternateContent>
    </w:r>
  </w:p>
  <w:p w14:paraId="5F7BA755">
    <w:pPr>
      <w:pStyle w:val="18"/>
      <w:jc w:val="cente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3992B41">
    <w:pPr>
      <w:pStyle w:val="18"/>
      <w:jc w:val="center"/>
    </w:pPr>
    <w:r>
      <w:rPr>
        <w:sz w:val="18"/>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5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140A5568">
                          <w:pPr>
                            <w:pStyle w:val="18"/>
                          </w:pPr>
                          <w:r>
                            <w:fldChar w:fldCharType="begin"/>
                          </w:r>
                          <w:r>
                            <w:instrText xml:space="preserve"> PAGE  \* MERGEFORMAT </w:instrText>
                          </w:r>
                          <w:r>
                            <w:fldChar w:fldCharType="separate"/>
                          </w:r>
                          <w:r>
                            <w:t>- 67 -</w:t>
                          </w:r>
                          <w:r>
                            <w:fldChar w:fldCharType="end"/>
                          </w:r>
                        </w:p>
                      </w:txbxContent>
                    </wps:txbx>
                    <wps:bodyPr vert="horz" wrap="none" lIns="0" tIns="0" rIns="0" bIns="0" anchor="t" anchorCtr="0" upright="0">
                      <a:spAutoFit/>
                    </wps:bodyPr>
                  </wps:wsp>
                </a:graphicData>
              </a:graphic>
            </wp:anchor>
          </w:drawing>
        </mc:Choice>
        <mc:Fallback>
          <w:pict>
            <v:shape id="文本框 58"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">
              <v:fill on="f" focussize="0,0"/>
              <v:stroke on="f"/>
              <v:imagedata o:title=""/>
              <o:lock v:ext="edit" aspectratio="f"/>
              <v:textbox inset="0mm,0mm,0mm,0mm" style="mso-fit-shape-to-text:t;">
                <w:txbxContent>
                  <w:p w14:paraId="140A5568">
                    <w:pPr>
                      <w:pStyle w:val="18"/>
                    </w:pPr>
                    <w:r>
                      <w:fldChar w:fldCharType="begin"/>
                    </w:r>
                    <w:r>
                      <w:instrText xml:space="preserve"> PAGE  \* MERGEFORMAT </w:instrText>
                    </w:r>
                    <w:r>
                      <w:fldChar w:fldCharType="separate"/>
                    </w:r>
                    <w:r>
                      <w:t>- 67 -</w:t>
                    </w:r>
                    <w:r>
                      <w:fldChar w:fldCharType="end"/>
                    </w:r>
                  </w:p>
                </w:txbxContent>
              </v:textbox>
            </v:shape>
          </w:pict>
        </mc:Fallback>
      </mc:AlternateContent>
    </w:r>
  </w:p>
  <w:p w14:paraId="285D8FD1">
    <w:pPr>
      <w:pStyle w:val="18"/>
      <w:jc w:val="cente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9DD988">
    <w:pPr>
      <w:pStyle w:val="19"/>
      <w:pBdr>
        <w:bottom w:val="single" w:color="auto" w:sz="4" w:space="1"/>
      </w:pBdr>
      <w:jc w:val="both"/>
    </w:pPr>
    <w:r>
      <w:rPr>
        <w:rFonts w:hint="eastAsia"/>
        <w:b/>
        <w:bCs/>
        <w:sz w:val="21"/>
        <w:szCs w:val="21"/>
      </w:rPr>
      <w:t xml:space="preserve">     </w:t>
    </w:r>
    <w:r>
      <w:rPr>
        <w:rFonts w:hint="eastAsia"/>
        <w:b/>
        <w:bCs/>
        <w:sz w:val="21"/>
        <w:szCs w:val="21"/>
        <w:lang w:val="en-US" w:eastAsia="zh-CN"/>
      </w:rPr>
      <w:t xml:space="preserve">                             </w:t>
    </w:r>
    <w:r>
      <w:rPr>
        <w:rFonts w:hint="eastAsia"/>
        <w:b/>
        <w:bCs/>
        <w:sz w:val="21"/>
        <w:szCs w:val="21"/>
      </w:rPr>
      <w:t xml:space="preserve">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25322B">
    <w:pPr>
      <w:pStyle w:val="19"/>
      <w:pBdr>
        <w:bottom w:val="none" w:color="auto" w:sz="0" w:space="1"/>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1F2C4F">
    <w:pPr>
      <w:pStyle w:val="19"/>
      <w:jc w:val="right"/>
    </w:pPr>
    <w:r>
      <w:rPr>
        <w:rFonts w:hint="eastAsia" w:ascii="宋体" w:hAnsi="宋体"/>
        <w:b/>
        <w:bCs/>
        <w:sz w:val="21"/>
        <w:szCs w:val="21"/>
        <w:lang w:eastAsia="zh-CN"/>
      </w:rPr>
      <w:t>云南玉昭工程咨询有限公司</w:t>
    </w:r>
    <w:r>
      <w:rPr>
        <w:rFonts w:hint="eastAsia"/>
        <w:b/>
        <w:bCs/>
        <w:sz w:val="21"/>
        <w:szCs w:val="21"/>
      </w:rPr>
      <w:t xml:space="preserve">                                                     </w:t>
    </w:r>
    <w:r>
      <w:rPr>
        <w:rFonts w:hint="eastAsia" w:ascii="宋体" w:hAnsi="宋体"/>
        <w:b/>
        <w:bCs/>
        <w:color w:val="000000"/>
        <w:sz w:val="21"/>
        <w:szCs w:val="21"/>
      </w:rPr>
      <w:t>招标文件</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1FE3C9">
    <w:pPr>
      <w:pStyle w:val="19"/>
      <w:jc w:val="right"/>
    </w:pPr>
    <w:r>
      <w:rPr>
        <w:rFonts w:hint="eastAsia" w:ascii="宋体" w:hAnsi="宋体"/>
        <w:b/>
        <w:bCs/>
        <w:sz w:val="21"/>
        <w:szCs w:val="21"/>
        <w:lang w:eastAsia="zh-CN"/>
      </w:rPr>
      <w:t>云南玉昭工程咨询有限公司</w:t>
    </w:r>
    <w:r>
      <w:rPr>
        <w:rFonts w:hint="eastAsia"/>
        <w:b/>
        <w:bCs/>
        <w:sz w:val="21"/>
        <w:szCs w:val="21"/>
      </w:rPr>
      <w:t xml:space="preserve">                                                     </w:t>
    </w:r>
    <w:r>
      <w:rPr>
        <w:rFonts w:hint="eastAsia" w:ascii="宋体" w:hAnsi="宋体"/>
        <w:b/>
        <w:bCs/>
        <w:color w:val="000000"/>
        <w:sz w:val="21"/>
        <w:szCs w:val="21"/>
      </w:rPr>
      <w:t>招标文件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F6BC116"/>
    <w:multiLevelType w:val="singleLevel"/>
    <w:tmpl w:val="BF6BC116"/>
    <w:lvl w:ilvl="0" w:tentative="0">
      <w:start w:val="16"/>
      <w:numFmt w:val="decimal"/>
      <w:suff w:val="space"/>
      <w:lvlText w:val="%1."/>
      <w:lvlJc w:val="left"/>
    </w:lvl>
  </w:abstractNum>
  <w:abstractNum w:abstractNumId="1">
    <w:nsid w:val="DDECD3BC"/>
    <w:multiLevelType w:val="singleLevel"/>
    <w:tmpl w:val="DDECD3BC"/>
    <w:lvl w:ilvl="0" w:tentative="0">
      <w:start w:val="6"/>
      <w:numFmt w:val="decimal"/>
      <w:suff w:val="space"/>
      <w:lvlText w:val="%1."/>
      <w:lvlJc w:val="left"/>
    </w:lvl>
  </w:abstractNum>
  <w:abstractNum w:abstractNumId="2">
    <w:nsid w:val="DE759F4B"/>
    <w:multiLevelType w:val="singleLevel"/>
    <w:tmpl w:val="DE759F4B"/>
    <w:lvl w:ilvl="0" w:tentative="0">
      <w:start w:val="2"/>
      <w:numFmt w:val="decimal"/>
      <w:suff w:val="space"/>
      <w:lvlText w:val="%1."/>
      <w:lvlJc w:val="left"/>
    </w:lvl>
  </w:abstractNum>
  <w:abstractNum w:abstractNumId="3">
    <w:nsid w:val="DEABE1DB"/>
    <w:multiLevelType w:val="singleLevel"/>
    <w:tmpl w:val="DEABE1DB"/>
    <w:lvl w:ilvl="0" w:tentative="0">
      <w:start w:val="23"/>
      <w:numFmt w:val="decimal"/>
      <w:suff w:val="space"/>
      <w:lvlText w:val="%1."/>
      <w:lvlJc w:val="left"/>
    </w:lvl>
  </w:abstractNum>
  <w:abstractNum w:abstractNumId="4">
    <w:nsid w:val="FFEFC674"/>
    <w:multiLevelType w:val="singleLevel"/>
    <w:tmpl w:val="FFEFC674"/>
    <w:lvl w:ilvl="0" w:tentative="0">
      <w:start w:val="1"/>
      <w:numFmt w:val="decimal"/>
      <w:suff w:val="nothing"/>
      <w:lvlText w:val="（%1）"/>
      <w:lvlJc w:val="left"/>
    </w:lvl>
  </w:abstractNum>
  <w:abstractNum w:abstractNumId="5">
    <w:nsid w:val="216BE14E"/>
    <w:multiLevelType w:val="singleLevel"/>
    <w:tmpl w:val="216BE14E"/>
    <w:lvl w:ilvl="0" w:tentative="0">
      <w:start w:val="1"/>
      <w:numFmt w:val="decimal"/>
      <w:lvlText w:val="%1."/>
      <w:lvlJc w:val="left"/>
      <w:pPr>
        <w:tabs>
          <w:tab w:val="left" w:pos="312"/>
        </w:tabs>
      </w:pPr>
    </w:lvl>
  </w:abstractNum>
  <w:abstractNum w:abstractNumId="6">
    <w:nsid w:val="7A0F6431"/>
    <w:multiLevelType w:val="singleLevel"/>
    <w:tmpl w:val="7A0F6431"/>
    <w:lvl w:ilvl="0" w:tentative="0">
      <w:start w:val="1"/>
      <w:numFmt w:val="decimal"/>
      <w:suff w:val="space"/>
      <w:lvlText w:val="%1."/>
      <w:lvlJc w:val="left"/>
    </w:lvl>
  </w:abstractNum>
  <w:num w:numId="1">
    <w:abstractNumId w:val="6"/>
  </w:num>
  <w:num w:numId="2">
    <w:abstractNumId w:val="4"/>
  </w:num>
  <w:num w:numId="3">
    <w:abstractNumId w:val="2"/>
  </w:num>
  <w:num w:numId="4">
    <w:abstractNumId w:val="1"/>
  </w:num>
  <w:num w:numId="5">
    <w:abstractNumId w:val="0"/>
  </w:num>
  <w:num w:numId="6">
    <w:abstractNumId w:val="3"/>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5"/>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rawingGridHorizontalSpacing w:val="210"/>
  <w:drawingGridVerticalSpacing w:val="159"/>
  <w:displayHorizontalDrawingGridEvery w:val="1"/>
  <w:displayVerticalDrawingGridEvery w:val="1"/>
  <w:noPunctuationKerning w:val="1"/>
  <w:characterSpacingControl w:val="compressPunctuation"/>
  <w:hdrShapeDefaults>
    <o:shapelayout v:ext="edit">
      <o:idmap v:ext="edit" data="1"/>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mU0NDc4NWQ4NTg0ZjYwN2FkMzk0MjY0OTk3ZjNiZGIifQ=="/>
  </w:docVars>
  <w:rsids>
    <w:rsidRoot w:val="001A07FD"/>
    <w:rsid w:val="00030F55"/>
    <w:rsid w:val="00047E90"/>
    <w:rsid w:val="000636B3"/>
    <w:rsid w:val="000815F4"/>
    <w:rsid w:val="0009057F"/>
    <w:rsid w:val="000A3744"/>
    <w:rsid w:val="000B608D"/>
    <w:rsid w:val="000B736F"/>
    <w:rsid w:val="000D0527"/>
    <w:rsid w:val="000F4007"/>
    <w:rsid w:val="00116F18"/>
    <w:rsid w:val="0013374D"/>
    <w:rsid w:val="00146907"/>
    <w:rsid w:val="0016301C"/>
    <w:rsid w:val="00180065"/>
    <w:rsid w:val="00182CB0"/>
    <w:rsid w:val="001A07FD"/>
    <w:rsid w:val="001B7434"/>
    <w:rsid w:val="00204378"/>
    <w:rsid w:val="002235B9"/>
    <w:rsid w:val="00237053"/>
    <w:rsid w:val="002932BF"/>
    <w:rsid w:val="002C4B13"/>
    <w:rsid w:val="003037B0"/>
    <w:rsid w:val="0030759A"/>
    <w:rsid w:val="00324338"/>
    <w:rsid w:val="003347CA"/>
    <w:rsid w:val="00346AC4"/>
    <w:rsid w:val="0036146A"/>
    <w:rsid w:val="0037646C"/>
    <w:rsid w:val="003815C9"/>
    <w:rsid w:val="00381BBB"/>
    <w:rsid w:val="00390E93"/>
    <w:rsid w:val="003A249C"/>
    <w:rsid w:val="003B4871"/>
    <w:rsid w:val="003C22C3"/>
    <w:rsid w:val="003C360A"/>
    <w:rsid w:val="003C4CCE"/>
    <w:rsid w:val="003E46C2"/>
    <w:rsid w:val="00403F20"/>
    <w:rsid w:val="0040799E"/>
    <w:rsid w:val="00410DB4"/>
    <w:rsid w:val="00464071"/>
    <w:rsid w:val="00481D6F"/>
    <w:rsid w:val="00483E43"/>
    <w:rsid w:val="004A08E4"/>
    <w:rsid w:val="004A1EB8"/>
    <w:rsid w:val="004B48CF"/>
    <w:rsid w:val="004F4040"/>
    <w:rsid w:val="005045E6"/>
    <w:rsid w:val="005065F5"/>
    <w:rsid w:val="005451A9"/>
    <w:rsid w:val="00572B7B"/>
    <w:rsid w:val="00573201"/>
    <w:rsid w:val="00583614"/>
    <w:rsid w:val="00583D45"/>
    <w:rsid w:val="00585E76"/>
    <w:rsid w:val="005872F4"/>
    <w:rsid w:val="005F467F"/>
    <w:rsid w:val="00603E36"/>
    <w:rsid w:val="0061332D"/>
    <w:rsid w:val="00621A45"/>
    <w:rsid w:val="00623E81"/>
    <w:rsid w:val="00630F0A"/>
    <w:rsid w:val="00640445"/>
    <w:rsid w:val="00670B46"/>
    <w:rsid w:val="00687017"/>
    <w:rsid w:val="00687647"/>
    <w:rsid w:val="006A5253"/>
    <w:rsid w:val="006A6C89"/>
    <w:rsid w:val="006C1FEC"/>
    <w:rsid w:val="006D45D9"/>
    <w:rsid w:val="007115E2"/>
    <w:rsid w:val="00724AAB"/>
    <w:rsid w:val="0074247B"/>
    <w:rsid w:val="00754D31"/>
    <w:rsid w:val="00761E55"/>
    <w:rsid w:val="00777DDD"/>
    <w:rsid w:val="007C49FC"/>
    <w:rsid w:val="007E4B61"/>
    <w:rsid w:val="00802276"/>
    <w:rsid w:val="00816F9A"/>
    <w:rsid w:val="00905380"/>
    <w:rsid w:val="00916252"/>
    <w:rsid w:val="00940EB2"/>
    <w:rsid w:val="00955A1A"/>
    <w:rsid w:val="009657FA"/>
    <w:rsid w:val="009B3FC3"/>
    <w:rsid w:val="009C1CE3"/>
    <w:rsid w:val="009C6BDD"/>
    <w:rsid w:val="00A066DE"/>
    <w:rsid w:val="00A12ACE"/>
    <w:rsid w:val="00A15FA5"/>
    <w:rsid w:val="00A36387"/>
    <w:rsid w:val="00A73EA0"/>
    <w:rsid w:val="00B06C3B"/>
    <w:rsid w:val="00B34228"/>
    <w:rsid w:val="00B46918"/>
    <w:rsid w:val="00B603D4"/>
    <w:rsid w:val="00B7266A"/>
    <w:rsid w:val="00BB67C4"/>
    <w:rsid w:val="00BD79AC"/>
    <w:rsid w:val="00C13FE8"/>
    <w:rsid w:val="00C22632"/>
    <w:rsid w:val="00C32331"/>
    <w:rsid w:val="00C57E14"/>
    <w:rsid w:val="00C61887"/>
    <w:rsid w:val="00CB2995"/>
    <w:rsid w:val="00CD3EE7"/>
    <w:rsid w:val="00CE112A"/>
    <w:rsid w:val="00D0774B"/>
    <w:rsid w:val="00D14B99"/>
    <w:rsid w:val="00D4070C"/>
    <w:rsid w:val="00D71F18"/>
    <w:rsid w:val="00D8741D"/>
    <w:rsid w:val="00D90051"/>
    <w:rsid w:val="00D9745C"/>
    <w:rsid w:val="00DE0969"/>
    <w:rsid w:val="00DE4940"/>
    <w:rsid w:val="00DF5B6C"/>
    <w:rsid w:val="00E04CED"/>
    <w:rsid w:val="00E05EEA"/>
    <w:rsid w:val="00E44912"/>
    <w:rsid w:val="00E6646C"/>
    <w:rsid w:val="00E664C0"/>
    <w:rsid w:val="00E72790"/>
    <w:rsid w:val="00E93FBB"/>
    <w:rsid w:val="00E964D4"/>
    <w:rsid w:val="00EA04F9"/>
    <w:rsid w:val="00ED26E7"/>
    <w:rsid w:val="00EF1E98"/>
    <w:rsid w:val="00F04FBF"/>
    <w:rsid w:val="00F251F0"/>
    <w:rsid w:val="00F51D67"/>
    <w:rsid w:val="00F65597"/>
    <w:rsid w:val="00F655E1"/>
    <w:rsid w:val="00F774D7"/>
    <w:rsid w:val="00FB007A"/>
    <w:rsid w:val="00FC4483"/>
    <w:rsid w:val="00FE66FE"/>
    <w:rsid w:val="010974DF"/>
    <w:rsid w:val="010F4B69"/>
    <w:rsid w:val="0130676A"/>
    <w:rsid w:val="01375E41"/>
    <w:rsid w:val="013B7A72"/>
    <w:rsid w:val="013E24BF"/>
    <w:rsid w:val="01416D8C"/>
    <w:rsid w:val="01453A14"/>
    <w:rsid w:val="01542E3B"/>
    <w:rsid w:val="01585BB8"/>
    <w:rsid w:val="015A204F"/>
    <w:rsid w:val="015F686F"/>
    <w:rsid w:val="01666F1F"/>
    <w:rsid w:val="016A0CC6"/>
    <w:rsid w:val="016D7475"/>
    <w:rsid w:val="01735F4B"/>
    <w:rsid w:val="017D3325"/>
    <w:rsid w:val="018569B4"/>
    <w:rsid w:val="018C6445"/>
    <w:rsid w:val="01AC4C57"/>
    <w:rsid w:val="01B27DD6"/>
    <w:rsid w:val="01B871C0"/>
    <w:rsid w:val="01CC4933"/>
    <w:rsid w:val="01CC654C"/>
    <w:rsid w:val="01DC58DF"/>
    <w:rsid w:val="01E054EB"/>
    <w:rsid w:val="01E26AB1"/>
    <w:rsid w:val="01E71F06"/>
    <w:rsid w:val="01EF5D98"/>
    <w:rsid w:val="01F46458"/>
    <w:rsid w:val="01FE0A2C"/>
    <w:rsid w:val="0201658D"/>
    <w:rsid w:val="02072DF4"/>
    <w:rsid w:val="021F4076"/>
    <w:rsid w:val="02215E17"/>
    <w:rsid w:val="02217A18"/>
    <w:rsid w:val="0224084D"/>
    <w:rsid w:val="02247C30"/>
    <w:rsid w:val="02251F8E"/>
    <w:rsid w:val="02261066"/>
    <w:rsid w:val="022B7034"/>
    <w:rsid w:val="02345DAF"/>
    <w:rsid w:val="02483A5D"/>
    <w:rsid w:val="025E3B16"/>
    <w:rsid w:val="02693BD4"/>
    <w:rsid w:val="02793C5B"/>
    <w:rsid w:val="027B63D7"/>
    <w:rsid w:val="02832BC7"/>
    <w:rsid w:val="02836DE2"/>
    <w:rsid w:val="02895B83"/>
    <w:rsid w:val="028F5707"/>
    <w:rsid w:val="029B6E90"/>
    <w:rsid w:val="02A26030"/>
    <w:rsid w:val="02A3377A"/>
    <w:rsid w:val="02AA6756"/>
    <w:rsid w:val="02AD3D3A"/>
    <w:rsid w:val="02AD3D85"/>
    <w:rsid w:val="02AE6FF2"/>
    <w:rsid w:val="02B05949"/>
    <w:rsid w:val="02B07F0A"/>
    <w:rsid w:val="02B40E10"/>
    <w:rsid w:val="02B67502"/>
    <w:rsid w:val="02B964A5"/>
    <w:rsid w:val="02C37979"/>
    <w:rsid w:val="02C52D11"/>
    <w:rsid w:val="02CA6F70"/>
    <w:rsid w:val="02D15CAB"/>
    <w:rsid w:val="02D57887"/>
    <w:rsid w:val="02DC556E"/>
    <w:rsid w:val="02EE68FF"/>
    <w:rsid w:val="02F46B94"/>
    <w:rsid w:val="03016A60"/>
    <w:rsid w:val="03093A07"/>
    <w:rsid w:val="03120381"/>
    <w:rsid w:val="03153165"/>
    <w:rsid w:val="031846AA"/>
    <w:rsid w:val="031C07A5"/>
    <w:rsid w:val="031C7ACD"/>
    <w:rsid w:val="03257081"/>
    <w:rsid w:val="03305546"/>
    <w:rsid w:val="03337D3C"/>
    <w:rsid w:val="03347BA5"/>
    <w:rsid w:val="03465DA8"/>
    <w:rsid w:val="034F0A40"/>
    <w:rsid w:val="035241DD"/>
    <w:rsid w:val="035962AC"/>
    <w:rsid w:val="0360752C"/>
    <w:rsid w:val="03630548"/>
    <w:rsid w:val="0366170B"/>
    <w:rsid w:val="036E4DF2"/>
    <w:rsid w:val="036F73CC"/>
    <w:rsid w:val="0375678B"/>
    <w:rsid w:val="037B422A"/>
    <w:rsid w:val="038D0696"/>
    <w:rsid w:val="038E5359"/>
    <w:rsid w:val="03930F87"/>
    <w:rsid w:val="03960557"/>
    <w:rsid w:val="039D36DA"/>
    <w:rsid w:val="03A861F3"/>
    <w:rsid w:val="03AC50CD"/>
    <w:rsid w:val="03B20756"/>
    <w:rsid w:val="03B23C58"/>
    <w:rsid w:val="03B35A38"/>
    <w:rsid w:val="03B45169"/>
    <w:rsid w:val="03C15054"/>
    <w:rsid w:val="03CF3A69"/>
    <w:rsid w:val="03CF7C42"/>
    <w:rsid w:val="03D97465"/>
    <w:rsid w:val="03E154A3"/>
    <w:rsid w:val="04003C23"/>
    <w:rsid w:val="040445FD"/>
    <w:rsid w:val="040719FE"/>
    <w:rsid w:val="04090A66"/>
    <w:rsid w:val="040E4806"/>
    <w:rsid w:val="04131BA8"/>
    <w:rsid w:val="041812F0"/>
    <w:rsid w:val="041B68E1"/>
    <w:rsid w:val="04254EF7"/>
    <w:rsid w:val="04255BC3"/>
    <w:rsid w:val="04316766"/>
    <w:rsid w:val="04332B08"/>
    <w:rsid w:val="043707EE"/>
    <w:rsid w:val="04474A49"/>
    <w:rsid w:val="045A77D7"/>
    <w:rsid w:val="045E5D63"/>
    <w:rsid w:val="04634D8F"/>
    <w:rsid w:val="046D155D"/>
    <w:rsid w:val="04742E94"/>
    <w:rsid w:val="047F15EC"/>
    <w:rsid w:val="0482591E"/>
    <w:rsid w:val="04874F74"/>
    <w:rsid w:val="04895937"/>
    <w:rsid w:val="04A313BF"/>
    <w:rsid w:val="04A51EC4"/>
    <w:rsid w:val="04AB0032"/>
    <w:rsid w:val="04B11C19"/>
    <w:rsid w:val="04BA08C9"/>
    <w:rsid w:val="04BB3CBA"/>
    <w:rsid w:val="04BF2CB8"/>
    <w:rsid w:val="04C7198E"/>
    <w:rsid w:val="04D94F44"/>
    <w:rsid w:val="04DB4128"/>
    <w:rsid w:val="04DC1BC8"/>
    <w:rsid w:val="04DF3800"/>
    <w:rsid w:val="04E24BE1"/>
    <w:rsid w:val="04E43D0E"/>
    <w:rsid w:val="04F75026"/>
    <w:rsid w:val="04F90CBC"/>
    <w:rsid w:val="04F95927"/>
    <w:rsid w:val="04FA3462"/>
    <w:rsid w:val="050354D7"/>
    <w:rsid w:val="051162FA"/>
    <w:rsid w:val="05287F8F"/>
    <w:rsid w:val="05321753"/>
    <w:rsid w:val="05391F80"/>
    <w:rsid w:val="053A4ACF"/>
    <w:rsid w:val="053E3845"/>
    <w:rsid w:val="05410997"/>
    <w:rsid w:val="054779AD"/>
    <w:rsid w:val="054E74F8"/>
    <w:rsid w:val="0556011D"/>
    <w:rsid w:val="05584F57"/>
    <w:rsid w:val="05595CE0"/>
    <w:rsid w:val="055C2EC6"/>
    <w:rsid w:val="05615C15"/>
    <w:rsid w:val="056A2976"/>
    <w:rsid w:val="056F38EF"/>
    <w:rsid w:val="05762528"/>
    <w:rsid w:val="05765006"/>
    <w:rsid w:val="057768BF"/>
    <w:rsid w:val="0580501B"/>
    <w:rsid w:val="058B1B02"/>
    <w:rsid w:val="058F0E70"/>
    <w:rsid w:val="058F67EC"/>
    <w:rsid w:val="05AA7E70"/>
    <w:rsid w:val="05B21DE2"/>
    <w:rsid w:val="05B872DF"/>
    <w:rsid w:val="05BB5A50"/>
    <w:rsid w:val="05C94E2E"/>
    <w:rsid w:val="05C96854"/>
    <w:rsid w:val="05CB2D33"/>
    <w:rsid w:val="05DF622F"/>
    <w:rsid w:val="05EA3BDD"/>
    <w:rsid w:val="05EC0BBF"/>
    <w:rsid w:val="05F159E2"/>
    <w:rsid w:val="05F2506C"/>
    <w:rsid w:val="05F921F6"/>
    <w:rsid w:val="05FE23E4"/>
    <w:rsid w:val="05FF3C1A"/>
    <w:rsid w:val="06062A3D"/>
    <w:rsid w:val="06075FEC"/>
    <w:rsid w:val="060D49F6"/>
    <w:rsid w:val="06112B3C"/>
    <w:rsid w:val="06215539"/>
    <w:rsid w:val="062D2A4C"/>
    <w:rsid w:val="062F6A41"/>
    <w:rsid w:val="0638780A"/>
    <w:rsid w:val="063E0DE6"/>
    <w:rsid w:val="064176D8"/>
    <w:rsid w:val="06454C97"/>
    <w:rsid w:val="06491398"/>
    <w:rsid w:val="064B1E81"/>
    <w:rsid w:val="064D0BCD"/>
    <w:rsid w:val="06514C09"/>
    <w:rsid w:val="065710C2"/>
    <w:rsid w:val="06584D4D"/>
    <w:rsid w:val="067C1522"/>
    <w:rsid w:val="068122F5"/>
    <w:rsid w:val="06837E4F"/>
    <w:rsid w:val="06843D48"/>
    <w:rsid w:val="06905732"/>
    <w:rsid w:val="06927983"/>
    <w:rsid w:val="06975731"/>
    <w:rsid w:val="069B626B"/>
    <w:rsid w:val="069C25C5"/>
    <w:rsid w:val="069C5DA9"/>
    <w:rsid w:val="06B95C2A"/>
    <w:rsid w:val="06C15D84"/>
    <w:rsid w:val="06C3703E"/>
    <w:rsid w:val="06C614AC"/>
    <w:rsid w:val="06CC61A7"/>
    <w:rsid w:val="06D2524A"/>
    <w:rsid w:val="06D43DFA"/>
    <w:rsid w:val="06E51995"/>
    <w:rsid w:val="06EA3E03"/>
    <w:rsid w:val="06F42009"/>
    <w:rsid w:val="06F85DFF"/>
    <w:rsid w:val="070B081D"/>
    <w:rsid w:val="070D7104"/>
    <w:rsid w:val="071579E5"/>
    <w:rsid w:val="07165BB5"/>
    <w:rsid w:val="071664CB"/>
    <w:rsid w:val="07195698"/>
    <w:rsid w:val="072C51F4"/>
    <w:rsid w:val="0730654F"/>
    <w:rsid w:val="073D207A"/>
    <w:rsid w:val="074A1497"/>
    <w:rsid w:val="074A49E1"/>
    <w:rsid w:val="074B6B0A"/>
    <w:rsid w:val="074E2E85"/>
    <w:rsid w:val="07515BF5"/>
    <w:rsid w:val="075850A0"/>
    <w:rsid w:val="076003DE"/>
    <w:rsid w:val="0760628E"/>
    <w:rsid w:val="076B3425"/>
    <w:rsid w:val="076B52A9"/>
    <w:rsid w:val="076D5A34"/>
    <w:rsid w:val="0776142E"/>
    <w:rsid w:val="07764244"/>
    <w:rsid w:val="077B0190"/>
    <w:rsid w:val="0783049C"/>
    <w:rsid w:val="07870AFB"/>
    <w:rsid w:val="078748AB"/>
    <w:rsid w:val="078B665C"/>
    <w:rsid w:val="07AC3018"/>
    <w:rsid w:val="07BA0B8A"/>
    <w:rsid w:val="07BE249F"/>
    <w:rsid w:val="07BF409F"/>
    <w:rsid w:val="07CF3C47"/>
    <w:rsid w:val="07D76651"/>
    <w:rsid w:val="07DA2045"/>
    <w:rsid w:val="07DC0946"/>
    <w:rsid w:val="07DD06DB"/>
    <w:rsid w:val="07DD5905"/>
    <w:rsid w:val="07DF26DB"/>
    <w:rsid w:val="07E239CC"/>
    <w:rsid w:val="07E53475"/>
    <w:rsid w:val="07F25F78"/>
    <w:rsid w:val="07F8725D"/>
    <w:rsid w:val="07FC2E74"/>
    <w:rsid w:val="07FE79CD"/>
    <w:rsid w:val="08015504"/>
    <w:rsid w:val="080D4B60"/>
    <w:rsid w:val="080E7859"/>
    <w:rsid w:val="080F1AFD"/>
    <w:rsid w:val="08191757"/>
    <w:rsid w:val="08275E9F"/>
    <w:rsid w:val="083927E4"/>
    <w:rsid w:val="083C0402"/>
    <w:rsid w:val="083C4608"/>
    <w:rsid w:val="08436517"/>
    <w:rsid w:val="084C154B"/>
    <w:rsid w:val="084F0A17"/>
    <w:rsid w:val="085A3CC5"/>
    <w:rsid w:val="08627391"/>
    <w:rsid w:val="086A114C"/>
    <w:rsid w:val="086E4FBF"/>
    <w:rsid w:val="08711291"/>
    <w:rsid w:val="087329A6"/>
    <w:rsid w:val="087466EA"/>
    <w:rsid w:val="087E15BA"/>
    <w:rsid w:val="088A6EB5"/>
    <w:rsid w:val="089A6A2E"/>
    <w:rsid w:val="08A676CB"/>
    <w:rsid w:val="08AA0C7F"/>
    <w:rsid w:val="08B35527"/>
    <w:rsid w:val="08C62846"/>
    <w:rsid w:val="08C95534"/>
    <w:rsid w:val="08CE1601"/>
    <w:rsid w:val="08DE3382"/>
    <w:rsid w:val="08F6361B"/>
    <w:rsid w:val="08F77308"/>
    <w:rsid w:val="08FF6095"/>
    <w:rsid w:val="09045AED"/>
    <w:rsid w:val="09060B75"/>
    <w:rsid w:val="090653B1"/>
    <w:rsid w:val="09132149"/>
    <w:rsid w:val="09207898"/>
    <w:rsid w:val="09246B7F"/>
    <w:rsid w:val="0926197A"/>
    <w:rsid w:val="092D395B"/>
    <w:rsid w:val="092F19E3"/>
    <w:rsid w:val="09325651"/>
    <w:rsid w:val="09344E19"/>
    <w:rsid w:val="09370A52"/>
    <w:rsid w:val="093D51B4"/>
    <w:rsid w:val="095504DD"/>
    <w:rsid w:val="09647EC4"/>
    <w:rsid w:val="09766ACB"/>
    <w:rsid w:val="09767697"/>
    <w:rsid w:val="0980626C"/>
    <w:rsid w:val="0983157E"/>
    <w:rsid w:val="098621E3"/>
    <w:rsid w:val="098D628F"/>
    <w:rsid w:val="098E7098"/>
    <w:rsid w:val="098F50FF"/>
    <w:rsid w:val="09924AB2"/>
    <w:rsid w:val="0998486F"/>
    <w:rsid w:val="09996199"/>
    <w:rsid w:val="099F1D68"/>
    <w:rsid w:val="09B25C8F"/>
    <w:rsid w:val="09B37AEC"/>
    <w:rsid w:val="09B50186"/>
    <w:rsid w:val="09BC4A90"/>
    <w:rsid w:val="09C51231"/>
    <w:rsid w:val="09C72651"/>
    <w:rsid w:val="09CC05C4"/>
    <w:rsid w:val="09D23279"/>
    <w:rsid w:val="09D27E0F"/>
    <w:rsid w:val="09E23085"/>
    <w:rsid w:val="09E62EBE"/>
    <w:rsid w:val="09EF5595"/>
    <w:rsid w:val="09F1006B"/>
    <w:rsid w:val="09F2400E"/>
    <w:rsid w:val="09FE29B2"/>
    <w:rsid w:val="09FE7367"/>
    <w:rsid w:val="0A07135F"/>
    <w:rsid w:val="0A116CF4"/>
    <w:rsid w:val="0A1B5351"/>
    <w:rsid w:val="0A1C7EC9"/>
    <w:rsid w:val="0A2363B0"/>
    <w:rsid w:val="0A26442A"/>
    <w:rsid w:val="0A287FA0"/>
    <w:rsid w:val="0A2A0524"/>
    <w:rsid w:val="0A2C0D3B"/>
    <w:rsid w:val="0A2E5E53"/>
    <w:rsid w:val="0A310F18"/>
    <w:rsid w:val="0A311F02"/>
    <w:rsid w:val="0A321633"/>
    <w:rsid w:val="0A332E85"/>
    <w:rsid w:val="0A340E0D"/>
    <w:rsid w:val="0A341682"/>
    <w:rsid w:val="0A3838AE"/>
    <w:rsid w:val="0A3F14EC"/>
    <w:rsid w:val="0A4A3E4A"/>
    <w:rsid w:val="0A522D71"/>
    <w:rsid w:val="0A546A76"/>
    <w:rsid w:val="0A5E482E"/>
    <w:rsid w:val="0A6B6E10"/>
    <w:rsid w:val="0A7B0C26"/>
    <w:rsid w:val="0A7B1AB9"/>
    <w:rsid w:val="0A7F5E19"/>
    <w:rsid w:val="0A801619"/>
    <w:rsid w:val="0A807AEF"/>
    <w:rsid w:val="0A810269"/>
    <w:rsid w:val="0A8C6A20"/>
    <w:rsid w:val="0A9713FA"/>
    <w:rsid w:val="0A9A05A9"/>
    <w:rsid w:val="0A9A72F3"/>
    <w:rsid w:val="0A9F3C9B"/>
    <w:rsid w:val="0AB441B1"/>
    <w:rsid w:val="0ABA39F1"/>
    <w:rsid w:val="0ABB708E"/>
    <w:rsid w:val="0AC716EE"/>
    <w:rsid w:val="0ACD1AA9"/>
    <w:rsid w:val="0AE778EA"/>
    <w:rsid w:val="0AE94F91"/>
    <w:rsid w:val="0AEF170F"/>
    <w:rsid w:val="0AF50251"/>
    <w:rsid w:val="0AF92D45"/>
    <w:rsid w:val="0AFC4CD1"/>
    <w:rsid w:val="0AFC55BB"/>
    <w:rsid w:val="0B0005A1"/>
    <w:rsid w:val="0B1526A9"/>
    <w:rsid w:val="0B194C41"/>
    <w:rsid w:val="0B2427D9"/>
    <w:rsid w:val="0B3643CE"/>
    <w:rsid w:val="0B38329D"/>
    <w:rsid w:val="0B396B39"/>
    <w:rsid w:val="0B410063"/>
    <w:rsid w:val="0B4D1563"/>
    <w:rsid w:val="0B586D3B"/>
    <w:rsid w:val="0B5948DD"/>
    <w:rsid w:val="0B5D4231"/>
    <w:rsid w:val="0B5F1DC7"/>
    <w:rsid w:val="0B605F4D"/>
    <w:rsid w:val="0B6A23FA"/>
    <w:rsid w:val="0B7B2078"/>
    <w:rsid w:val="0B7F7B23"/>
    <w:rsid w:val="0B8B19A4"/>
    <w:rsid w:val="0BA340B9"/>
    <w:rsid w:val="0BA8074F"/>
    <w:rsid w:val="0BAA2594"/>
    <w:rsid w:val="0BB645A8"/>
    <w:rsid w:val="0BBA6DAD"/>
    <w:rsid w:val="0BBC0DC9"/>
    <w:rsid w:val="0BBC72FE"/>
    <w:rsid w:val="0BC154BD"/>
    <w:rsid w:val="0BC26AAB"/>
    <w:rsid w:val="0BC8196A"/>
    <w:rsid w:val="0BC93196"/>
    <w:rsid w:val="0BD11F11"/>
    <w:rsid w:val="0BD53BE7"/>
    <w:rsid w:val="0BD62DF0"/>
    <w:rsid w:val="0BDC33FE"/>
    <w:rsid w:val="0BDC743A"/>
    <w:rsid w:val="0BE2426F"/>
    <w:rsid w:val="0BE85DDD"/>
    <w:rsid w:val="0BF027CF"/>
    <w:rsid w:val="0BF66F00"/>
    <w:rsid w:val="0BF84DC8"/>
    <w:rsid w:val="0BF977FE"/>
    <w:rsid w:val="0BFC6861"/>
    <w:rsid w:val="0C003A87"/>
    <w:rsid w:val="0C004624"/>
    <w:rsid w:val="0C0C03C9"/>
    <w:rsid w:val="0C123F38"/>
    <w:rsid w:val="0C127856"/>
    <w:rsid w:val="0C190A0A"/>
    <w:rsid w:val="0C1F3477"/>
    <w:rsid w:val="0C215BD8"/>
    <w:rsid w:val="0C2462E1"/>
    <w:rsid w:val="0C27273B"/>
    <w:rsid w:val="0C2C50D5"/>
    <w:rsid w:val="0C2D7534"/>
    <w:rsid w:val="0C2F0761"/>
    <w:rsid w:val="0C316782"/>
    <w:rsid w:val="0C3C3CA0"/>
    <w:rsid w:val="0C3F3A46"/>
    <w:rsid w:val="0C4018D0"/>
    <w:rsid w:val="0C405E13"/>
    <w:rsid w:val="0C4D1731"/>
    <w:rsid w:val="0C50326D"/>
    <w:rsid w:val="0C524FEC"/>
    <w:rsid w:val="0C556C9B"/>
    <w:rsid w:val="0C572BD3"/>
    <w:rsid w:val="0C5730C1"/>
    <w:rsid w:val="0C64251E"/>
    <w:rsid w:val="0C691AB4"/>
    <w:rsid w:val="0C6C4136"/>
    <w:rsid w:val="0C7120BA"/>
    <w:rsid w:val="0C743DEB"/>
    <w:rsid w:val="0C7567F0"/>
    <w:rsid w:val="0C7D57C5"/>
    <w:rsid w:val="0C801498"/>
    <w:rsid w:val="0C82275E"/>
    <w:rsid w:val="0C836D6B"/>
    <w:rsid w:val="0C890893"/>
    <w:rsid w:val="0C8D251A"/>
    <w:rsid w:val="0C90777F"/>
    <w:rsid w:val="0C916659"/>
    <w:rsid w:val="0C9B1C08"/>
    <w:rsid w:val="0C9D66F6"/>
    <w:rsid w:val="0CA21D12"/>
    <w:rsid w:val="0CBD0903"/>
    <w:rsid w:val="0CBD341E"/>
    <w:rsid w:val="0CC32094"/>
    <w:rsid w:val="0CD143AE"/>
    <w:rsid w:val="0CD61C5E"/>
    <w:rsid w:val="0CDA2B45"/>
    <w:rsid w:val="0CE005BA"/>
    <w:rsid w:val="0CE92E2F"/>
    <w:rsid w:val="0CF238D9"/>
    <w:rsid w:val="0CF3265F"/>
    <w:rsid w:val="0CF54C18"/>
    <w:rsid w:val="0CFB7D5D"/>
    <w:rsid w:val="0D0105C4"/>
    <w:rsid w:val="0D020CCB"/>
    <w:rsid w:val="0D0676A4"/>
    <w:rsid w:val="0D190F81"/>
    <w:rsid w:val="0D1D58C9"/>
    <w:rsid w:val="0D262447"/>
    <w:rsid w:val="0D2B3F36"/>
    <w:rsid w:val="0D3333F8"/>
    <w:rsid w:val="0D361020"/>
    <w:rsid w:val="0D423EAE"/>
    <w:rsid w:val="0D5261BF"/>
    <w:rsid w:val="0D57246E"/>
    <w:rsid w:val="0D6734E3"/>
    <w:rsid w:val="0D6E4804"/>
    <w:rsid w:val="0D7D2A79"/>
    <w:rsid w:val="0D7D3E0F"/>
    <w:rsid w:val="0D8200F5"/>
    <w:rsid w:val="0D86133A"/>
    <w:rsid w:val="0D893804"/>
    <w:rsid w:val="0D8D3537"/>
    <w:rsid w:val="0DA2444C"/>
    <w:rsid w:val="0DA44C4F"/>
    <w:rsid w:val="0DA63D3D"/>
    <w:rsid w:val="0DAC0338"/>
    <w:rsid w:val="0DAC7CEF"/>
    <w:rsid w:val="0DAD62D1"/>
    <w:rsid w:val="0DBB4523"/>
    <w:rsid w:val="0DC209AA"/>
    <w:rsid w:val="0DC44BEA"/>
    <w:rsid w:val="0DC906B2"/>
    <w:rsid w:val="0DCB34F3"/>
    <w:rsid w:val="0DD265EC"/>
    <w:rsid w:val="0DD43F77"/>
    <w:rsid w:val="0DDF4F23"/>
    <w:rsid w:val="0DE805D5"/>
    <w:rsid w:val="0DFC545B"/>
    <w:rsid w:val="0DFE3130"/>
    <w:rsid w:val="0E052416"/>
    <w:rsid w:val="0E20647A"/>
    <w:rsid w:val="0E2B77B0"/>
    <w:rsid w:val="0E2D3866"/>
    <w:rsid w:val="0E304F48"/>
    <w:rsid w:val="0E33779F"/>
    <w:rsid w:val="0E3E07E5"/>
    <w:rsid w:val="0E44758C"/>
    <w:rsid w:val="0E4504CC"/>
    <w:rsid w:val="0E4D0FC1"/>
    <w:rsid w:val="0E511DEE"/>
    <w:rsid w:val="0E5753B1"/>
    <w:rsid w:val="0E611762"/>
    <w:rsid w:val="0E6370CE"/>
    <w:rsid w:val="0E667D4E"/>
    <w:rsid w:val="0E6C75F4"/>
    <w:rsid w:val="0E6F1DC2"/>
    <w:rsid w:val="0E72373D"/>
    <w:rsid w:val="0E7C4A82"/>
    <w:rsid w:val="0E8E520D"/>
    <w:rsid w:val="0E8F336A"/>
    <w:rsid w:val="0E8F359F"/>
    <w:rsid w:val="0E917529"/>
    <w:rsid w:val="0EAA3109"/>
    <w:rsid w:val="0EB75DD5"/>
    <w:rsid w:val="0EB809A9"/>
    <w:rsid w:val="0EC25A79"/>
    <w:rsid w:val="0EC345DF"/>
    <w:rsid w:val="0ECA7B73"/>
    <w:rsid w:val="0ECD648E"/>
    <w:rsid w:val="0ECF2D08"/>
    <w:rsid w:val="0ED4462A"/>
    <w:rsid w:val="0EDA7ABD"/>
    <w:rsid w:val="0EE16478"/>
    <w:rsid w:val="0EE9317A"/>
    <w:rsid w:val="0EF84110"/>
    <w:rsid w:val="0F000C96"/>
    <w:rsid w:val="0F030982"/>
    <w:rsid w:val="0F0F50B1"/>
    <w:rsid w:val="0F1218E2"/>
    <w:rsid w:val="0F266F83"/>
    <w:rsid w:val="0F267BBE"/>
    <w:rsid w:val="0F292A93"/>
    <w:rsid w:val="0F2B39D9"/>
    <w:rsid w:val="0F332828"/>
    <w:rsid w:val="0F383593"/>
    <w:rsid w:val="0F3C7A41"/>
    <w:rsid w:val="0F4704DA"/>
    <w:rsid w:val="0F5346EB"/>
    <w:rsid w:val="0F565E8D"/>
    <w:rsid w:val="0F5E2F7D"/>
    <w:rsid w:val="0F6B43C5"/>
    <w:rsid w:val="0F7113C1"/>
    <w:rsid w:val="0F76462C"/>
    <w:rsid w:val="0F767D88"/>
    <w:rsid w:val="0F7958FE"/>
    <w:rsid w:val="0F895627"/>
    <w:rsid w:val="0F8B0C31"/>
    <w:rsid w:val="0F927664"/>
    <w:rsid w:val="0F955B67"/>
    <w:rsid w:val="0FA04150"/>
    <w:rsid w:val="0FA40C23"/>
    <w:rsid w:val="0FB7141D"/>
    <w:rsid w:val="0FB72367"/>
    <w:rsid w:val="0FB73E77"/>
    <w:rsid w:val="0FB9413C"/>
    <w:rsid w:val="0FC06194"/>
    <w:rsid w:val="0FC226D4"/>
    <w:rsid w:val="0FC47664"/>
    <w:rsid w:val="0FDB1C82"/>
    <w:rsid w:val="0FED0854"/>
    <w:rsid w:val="0FED3576"/>
    <w:rsid w:val="0FF63E22"/>
    <w:rsid w:val="0FFD41BD"/>
    <w:rsid w:val="0FFD5200"/>
    <w:rsid w:val="10005A8C"/>
    <w:rsid w:val="10092592"/>
    <w:rsid w:val="10211950"/>
    <w:rsid w:val="10213F6E"/>
    <w:rsid w:val="103247B3"/>
    <w:rsid w:val="10354C54"/>
    <w:rsid w:val="104071D9"/>
    <w:rsid w:val="1042731E"/>
    <w:rsid w:val="104273D7"/>
    <w:rsid w:val="10445B9A"/>
    <w:rsid w:val="10494F32"/>
    <w:rsid w:val="104A6951"/>
    <w:rsid w:val="104F21BA"/>
    <w:rsid w:val="10560D06"/>
    <w:rsid w:val="105B0B5E"/>
    <w:rsid w:val="10613C9B"/>
    <w:rsid w:val="10640B9B"/>
    <w:rsid w:val="10651D23"/>
    <w:rsid w:val="10655C5D"/>
    <w:rsid w:val="10673933"/>
    <w:rsid w:val="10702130"/>
    <w:rsid w:val="107514F4"/>
    <w:rsid w:val="109E5FEF"/>
    <w:rsid w:val="10A35CA8"/>
    <w:rsid w:val="10BA0DCE"/>
    <w:rsid w:val="10C20B10"/>
    <w:rsid w:val="10C3101B"/>
    <w:rsid w:val="10C876B1"/>
    <w:rsid w:val="10CA34E1"/>
    <w:rsid w:val="10CE5C82"/>
    <w:rsid w:val="10D25FC1"/>
    <w:rsid w:val="10D26878"/>
    <w:rsid w:val="10DA4B72"/>
    <w:rsid w:val="10DD09CE"/>
    <w:rsid w:val="10ED1D0E"/>
    <w:rsid w:val="10EE684F"/>
    <w:rsid w:val="10F535D3"/>
    <w:rsid w:val="11082CF7"/>
    <w:rsid w:val="11153FC3"/>
    <w:rsid w:val="111D7E38"/>
    <w:rsid w:val="1123195D"/>
    <w:rsid w:val="112B0024"/>
    <w:rsid w:val="113F126E"/>
    <w:rsid w:val="114F1D45"/>
    <w:rsid w:val="115600D4"/>
    <w:rsid w:val="115920CE"/>
    <w:rsid w:val="11647B2C"/>
    <w:rsid w:val="1174468E"/>
    <w:rsid w:val="117C32EA"/>
    <w:rsid w:val="118834E8"/>
    <w:rsid w:val="119908C2"/>
    <w:rsid w:val="119A3ADB"/>
    <w:rsid w:val="119E09B8"/>
    <w:rsid w:val="11AF2018"/>
    <w:rsid w:val="11B1006A"/>
    <w:rsid w:val="11B62D7E"/>
    <w:rsid w:val="11C02D2E"/>
    <w:rsid w:val="11C605E7"/>
    <w:rsid w:val="11CC464A"/>
    <w:rsid w:val="11D37EA7"/>
    <w:rsid w:val="11D72CBF"/>
    <w:rsid w:val="11E626AA"/>
    <w:rsid w:val="11E90B6B"/>
    <w:rsid w:val="11ED3D2F"/>
    <w:rsid w:val="11F400C8"/>
    <w:rsid w:val="11F538AA"/>
    <w:rsid w:val="11F67003"/>
    <w:rsid w:val="11F81593"/>
    <w:rsid w:val="1203277A"/>
    <w:rsid w:val="1206792D"/>
    <w:rsid w:val="1228182C"/>
    <w:rsid w:val="12312169"/>
    <w:rsid w:val="124368EB"/>
    <w:rsid w:val="12455342"/>
    <w:rsid w:val="12566960"/>
    <w:rsid w:val="1259358F"/>
    <w:rsid w:val="12594D28"/>
    <w:rsid w:val="125B2172"/>
    <w:rsid w:val="125C0F94"/>
    <w:rsid w:val="12665399"/>
    <w:rsid w:val="126F08F1"/>
    <w:rsid w:val="127220C8"/>
    <w:rsid w:val="12735809"/>
    <w:rsid w:val="1279351E"/>
    <w:rsid w:val="127C14E4"/>
    <w:rsid w:val="127C1D9A"/>
    <w:rsid w:val="127F6497"/>
    <w:rsid w:val="12823F18"/>
    <w:rsid w:val="12861640"/>
    <w:rsid w:val="128A1CAF"/>
    <w:rsid w:val="129530C6"/>
    <w:rsid w:val="129659CF"/>
    <w:rsid w:val="129E37B8"/>
    <w:rsid w:val="129F3C34"/>
    <w:rsid w:val="12A1706C"/>
    <w:rsid w:val="12A27DC3"/>
    <w:rsid w:val="12A56C60"/>
    <w:rsid w:val="12AC1D5A"/>
    <w:rsid w:val="12AF17AA"/>
    <w:rsid w:val="12B24C82"/>
    <w:rsid w:val="12B508B1"/>
    <w:rsid w:val="12B65B63"/>
    <w:rsid w:val="12B7019C"/>
    <w:rsid w:val="12B843BB"/>
    <w:rsid w:val="12CB4575"/>
    <w:rsid w:val="12CF5487"/>
    <w:rsid w:val="12D175E2"/>
    <w:rsid w:val="12D4727E"/>
    <w:rsid w:val="12D71F2E"/>
    <w:rsid w:val="12D818DA"/>
    <w:rsid w:val="12E31BDE"/>
    <w:rsid w:val="12E83881"/>
    <w:rsid w:val="12EC7AE9"/>
    <w:rsid w:val="13017E87"/>
    <w:rsid w:val="13063F06"/>
    <w:rsid w:val="13071595"/>
    <w:rsid w:val="130E780C"/>
    <w:rsid w:val="13117D70"/>
    <w:rsid w:val="131A335A"/>
    <w:rsid w:val="13313BF8"/>
    <w:rsid w:val="13425FE7"/>
    <w:rsid w:val="134A6C68"/>
    <w:rsid w:val="135720BE"/>
    <w:rsid w:val="135A334F"/>
    <w:rsid w:val="13646528"/>
    <w:rsid w:val="137131BB"/>
    <w:rsid w:val="13750189"/>
    <w:rsid w:val="137A683C"/>
    <w:rsid w:val="1384637C"/>
    <w:rsid w:val="138B328C"/>
    <w:rsid w:val="138C5731"/>
    <w:rsid w:val="13903825"/>
    <w:rsid w:val="139C5FF5"/>
    <w:rsid w:val="139D1015"/>
    <w:rsid w:val="13A37472"/>
    <w:rsid w:val="13A9686B"/>
    <w:rsid w:val="13B04A88"/>
    <w:rsid w:val="13B84F5A"/>
    <w:rsid w:val="13BB1CF9"/>
    <w:rsid w:val="13C46C25"/>
    <w:rsid w:val="13C54FC2"/>
    <w:rsid w:val="13C83C17"/>
    <w:rsid w:val="13CD3FA3"/>
    <w:rsid w:val="13D645AE"/>
    <w:rsid w:val="13DD3F4F"/>
    <w:rsid w:val="13DE2A6A"/>
    <w:rsid w:val="13E2622E"/>
    <w:rsid w:val="13F33280"/>
    <w:rsid w:val="14092680"/>
    <w:rsid w:val="140D6D71"/>
    <w:rsid w:val="14117786"/>
    <w:rsid w:val="141E0717"/>
    <w:rsid w:val="14297453"/>
    <w:rsid w:val="143907F8"/>
    <w:rsid w:val="143E5B17"/>
    <w:rsid w:val="1445537A"/>
    <w:rsid w:val="144B12F1"/>
    <w:rsid w:val="14540C19"/>
    <w:rsid w:val="14592D75"/>
    <w:rsid w:val="145D40F9"/>
    <w:rsid w:val="146429B0"/>
    <w:rsid w:val="146733DC"/>
    <w:rsid w:val="146F51D9"/>
    <w:rsid w:val="148963AA"/>
    <w:rsid w:val="14961F15"/>
    <w:rsid w:val="14991C4C"/>
    <w:rsid w:val="14B25F3D"/>
    <w:rsid w:val="14B47C73"/>
    <w:rsid w:val="14B74712"/>
    <w:rsid w:val="14BD517C"/>
    <w:rsid w:val="14C72C73"/>
    <w:rsid w:val="14CF2F4A"/>
    <w:rsid w:val="14D7277E"/>
    <w:rsid w:val="14DF0BA2"/>
    <w:rsid w:val="14E13ABE"/>
    <w:rsid w:val="14EC111C"/>
    <w:rsid w:val="14F2438D"/>
    <w:rsid w:val="14FD260F"/>
    <w:rsid w:val="15060D13"/>
    <w:rsid w:val="1508059A"/>
    <w:rsid w:val="150A0F40"/>
    <w:rsid w:val="150A1CAF"/>
    <w:rsid w:val="150D5EF5"/>
    <w:rsid w:val="15115FBE"/>
    <w:rsid w:val="151E58BF"/>
    <w:rsid w:val="152864F1"/>
    <w:rsid w:val="152A4D86"/>
    <w:rsid w:val="152B4878"/>
    <w:rsid w:val="152D0EAD"/>
    <w:rsid w:val="153426C4"/>
    <w:rsid w:val="15412E70"/>
    <w:rsid w:val="15451518"/>
    <w:rsid w:val="15457C9B"/>
    <w:rsid w:val="15474C21"/>
    <w:rsid w:val="154B3B30"/>
    <w:rsid w:val="154C5769"/>
    <w:rsid w:val="155B51EC"/>
    <w:rsid w:val="155D63FE"/>
    <w:rsid w:val="1566616E"/>
    <w:rsid w:val="156A4DD9"/>
    <w:rsid w:val="156C1118"/>
    <w:rsid w:val="158A0510"/>
    <w:rsid w:val="15A24385"/>
    <w:rsid w:val="15A31535"/>
    <w:rsid w:val="15A4548C"/>
    <w:rsid w:val="15A75661"/>
    <w:rsid w:val="15A91D18"/>
    <w:rsid w:val="15B11E25"/>
    <w:rsid w:val="15BB6C7B"/>
    <w:rsid w:val="15C87753"/>
    <w:rsid w:val="15D41C79"/>
    <w:rsid w:val="15D84B69"/>
    <w:rsid w:val="15DB3018"/>
    <w:rsid w:val="15DD706A"/>
    <w:rsid w:val="15E85EA3"/>
    <w:rsid w:val="15FD4136"/>
    <w:rsid w:val="1608552B"/>
    <w:rsid w:val="160F1A18"/>
    <w:rsid w:val="16105D65"/>
    <w:rsid w:val="161B6D47"/>
    <w:rsid w:val="162A45AF"/>
    <w:rsid w:val="162B4B2F"/>
    <w:rsid w:val="163663F7"/>
    <w:rsid w:val="163F32EB"/>
    <w:rsid w:val="164A5A03"/>
    <w:rsid w:val="16523ED5"/>
    <w:rsid w:val="165364C3"/>
    <w:rsid w:val="165A2BDE"/>
    <w:rsid w:val="16636CE1"/>
    <w:rsid w:val="166E0A8A"/>
    <w:rsid w:val="166F1D3D"/>
    <w:rsid w:val="16706B4D"/>
    <w:rsid w:val="16710DF6"/>
    <w:rsid w:val="1673768F"/>
    <w:rsid w:val="1675224E"/>
    <w:rsid w:val="16752821"/>
    <w:rsid w:val="16792576"/>
    <w:rsid w:val="16806552"/>
    <w:rsid w:val="16826733"/>
    <w:rsid w:val="168523D3"/>
    <w:rsid w:val="168B4CC3"/>
    <w:rsid w:val="1692495E"/>
    <w:rsid w:val="16947717"/>
    <w:rsid w:val="16A100CA"/>
    <w:rsid w:val="16A13043"/>
    <w:rsid w:val="16AA4DAF"/>
    <w:rsid w:val="16AD1756"/>
    <w:rsid w:val="16AE01A6"/>
    <w:rsid w:val="16B23F2C"/>
    <w:rsid w:val="16B943F6"/>
    <w:rsid w:val="16D04FC6"/>
    <w:rsid w:val="16D15FD8"/>
    <w:rsid w:val="16D33E72"/>
    <w:rsid w:val="16D7709E"/>
    <w:rsid w:val="16D91158"/>
    <w:rsid w:val="16DA7D18"/>
    <w:rsid w:val="16E97EF9"/>
    <w:rsid w:val="16F07B27"/>
    <w:rsid w:val="16F10E05"/>
    <w:rsid w:val="16F5440C"/>
    <w:rsid w:val="16FE0496"/>
    <w:rsid w:val="17006251"/>
    <w:rsid w:val="170B17C5"/>
    <w:rsid w:val="171038A9"/>
    <w:rsid w:val="17137909"/>
    <w:rsid w:val="171A0E17"/>
    <w:rsid w:val="171B65B0"/>
    <w:rsid w:val="171D619F"/>
    <w:rsid w:val="171E24D6"/>
    <w:rsid w:val="171E475F"/>
    <w:rsid w:val="17237EFC"/>
    <w:rsid w:val="172E4346"/>
    <w:rsid w:val="17384267"/>
    <w:rsid w:val="173F2DB2"/>
    <w:rsid w:val="17477185"/>
    <w:rsid w:val="1748044E"/>
    <w:rsid w:val="174D23F4"/>
    <w:rsid w:val="17532E5E"/>
    <w:rsid w:val="175937E0"/>
    <w:rsid w:val="176A54AD"/>
    <w:rsid w:val="176F1347"/>
    <w:rsid w:val="1780603B"/>
    <w:rsid w:val="17A245DC"/>
    <w:rsid w:val="17A61C6F"/>
    <w:rsid w:val="17AD3B71"/>
    <w:rsid w:val="17B0594D"/>
    <w:rsid w:val="17B15903"/>
    <w:rsid w:val="17B27A9B"/>
    <w:rsid w:val="17B926ED"/>
    <w:rsid w:val="17BA79E2"/>
    <w:rsid w:val="17BC4772"/>
    <w:rsid w:val="17D12728"/>
    <w:rsid w:val="17D24DD8"/>
    <w:rsid w:val="17E60A7A"/>
    <w:rsid w:val="17EB746B"/>
    <w:rsid w:val="17EF54C7"/>
    <w:rsid w:val="17F07560"/>
    <w:rsid w:val="17F84D97"/>
    <w:rsid w:val="17FB38A2"/>
    <w:rsid w:val="18030739"/>
    <w:rsid w:val="18090844"/>
    <w:rsid w:val="180C0AFD"/>
    <w:rsid w:val="18117B13"/>
    <w:rsid w:val="181870D4"/>
    <w:rsid w:val="182251D3"/>
    <w:rsid w:val="182E5E4C"/>
    <w:rsid w:val="1833144C"/>
    <w:rsid w:val="183E096C"/>
    <w:rsid w:val="184C3483"/>
    <w:rsid w:val="184F2CDA"/>
    <w:rsid w:val="18685DE7"/>
    <w:rsid w:val="186A2283"/>
    <w:rsid w:val="1876019B"/>
    <w:rsid w:val="187C0DEA"/>
    <w:rsid w:val="188365CF"/>
    <w:rsid w:val="189F6C54"/>
    <w:rsid w:val="18A73433"/>
    <w:rsid w:val="18A763D9"/>
    <w:rsid w:val="18AB19DB"/>
    <w:rsid w:val="18AD51D7"/>
    <w:rsid w:val="18B307D7"/>
    <w:rsid w:val="18B6058F"/>
    <w:rsid w:val="18D11090"/>
    <w:rsid w:val="18D25C5F"/>
    <w:rsid w:val="18DB65A0"/>
    <w:rsid w:val="18E03DC5"/>
    <w:rsid w:val="18E04B97"/>
    <w:rsid w:val="18EA00FB"/>
    <w:rsid w:val="18F46A0A"/>
    <w:rsid w:val="18FA3995"/>
    <w:rsid w:val="18FB18A2"/>
    <w:rsid w:val="18FB50F2"/>
    <w:rsid w:val="190A14A1"/>
    <w:rsid w:val="19161AC1"/>
    <w:rsid w:val="19234C01"/>
    <w:rsid w:val="19273717"/>
    <w:rsid w:val="192D0E31"/>
    <w:rsid w:val="192E2A29"/>
    <w:rsid w:val="192E7999"/>
    <w:rsid w:val="1933023C"/>
    <w:rsid w:val="19354C84"/>
    <w:rsid w:val="19584C54"/>
    <w:rsid w:val="195949B2"/>
    <w:rsid w:val="19595246"/>
    <w:rsid w:val="19677EDB"/>
    <w:rsid w:val="19681C0E"/>
    <w:rsid w:val="196D36B1"/>
    <w:rsid w:val="198A612F"/>
    <w:rsid w:val="19903A06"/>
    <w:rsid w:val="199E7A91"/>
    <w:rsid w:val="19CA2ECA"/>
    <w:rsid w:val="19CB2EF4"/>
    <w:rsid w:val="19D674A8"/>
    <w:rsid w:val="19D723F1"/>
    <w:rsid w:val="19D87405"/>
    <w:rsid w:val="19E055A8"/>
    <w:rsid w:val="19E0599C"/>
    <w:rsid w:val="19F11A9A"/>
    <w:rsid w:val="19FA13E8"/>
    <w:rsid w:val="1A036BA3"/>
    <w:rsid w:val="1A0B43D6"/>
    <w:rsid w:val="1A241336"/>
    <w:rsid w:val="1A2A63F9"/>
    <w:rsid w:val="1A31116E"/>
    <w:rsid w:val="1A311711"/>
    <w:rsid w:val="1A3E158C"/>
    <w:rsid w:val="1A401B3F"/>
    <w:rsid w:val="1A4101E8"/>
    <w:rsid w:val="1A45702C"/>
    <w:rsid w:val="1A477774"/>
    <w:rsid w:val="1A4F3D41"/>
    <w:rsid w:val="1A512FD2"/>
    <w:rsid w:val="1A5E03C2"/>
    <w:rsid w:val="1A5E2B30"/>
    <w:rsid w:val="1A67697A"/>
    <w:rsid w:val="1A6B29D9"/>
    <w:rsid w:val="1A6E5D76"/>
    <w:rsid w:val="1A716BEE"/>
    <w:rsid w:val="1A7421CF"/>
    <w:rsid w:val="1A78230D"/>
    <w:rsid w:val="1A7936B8"/>
    <w:rsid w:val="1A8A0F34"/>
    <w:rsid w:val="1A935399"/>
    <w:rsid w:val="1A9E0C15"/>
    <w:rsid w:val="1A9F4369"/>
    <w:rsid w:val="1AA743DD"/>
    <w:rsid w:val="1AA96E85"/>
    <w:rsid w:val="1AAA519D"/>
    <w:rsid w:val="1AB50EE5"/>
    <w:rsid w:val="1AB6087E"/>
    <w:rsid w:val="1AB84DFF"/>
    <w:rsid w:val="1AC31C19"/>
    <w:rsid w:val="1AD054F8"/>
    <w:rsid w:val="1AD4046B"/>
    <w:rsid w:val="1AE56801"/>
    <w:rsid w:val="1AE678CE"/>
    <w:rsid w:val="1AE946EE"/>
    <w:rsid w:val="1AEE5D74"/>
    <w:rsid w:val="1AF62694"/>
    <w:rsid w:val="1AFA67BD"/>
    <w:rsid w:val="1AFD7373"/>
    <w:rsid w:val="1B090710"/>
    <w:rsid w:val="1B0A5DC1"/>
    <w:rsid w:val="1B0D0F4D"/>
    <w:rsid w:val="1B0E73B3"/>
    <w:rsid w:val="1B11251A"/>
    <w:rsid w:val="1B14674F"/>
    <w:rsid w:val="1B1D3DDF"/>
    <w:rsid w:val="1B1E5757"/>
    <w:rsid w:val="1B2916E5"/>
    <w:rsid w:val="1B40507B"/>
    <w:rsid w:val="1B4A1EFB"/>
    <w:rsid w:val="1B506076"/>
    <w:rsid w:val="1B5A5883"/>
    <w:rsid w:val="1B5F7FA7"/>
    <w:rsid w:val="1B63668C"/>
    <w:rsid w:val="1B75252A"/>
    <w:rsid w:val="1B773D4F"/>
    <w:rsid w:val="1B7C14A1"/>
    <w:rsid w:val="1B8076CB"/>
    <w:rsid w:val="1B821D08"/>
    <w:rsid w:val="1B862833"/>
    <w:rsid w:val="1B8F4135"/>
    <w:rsid w:val="1B8F46A0"/>
    <w:rsid w:val="1B96294F"/>
    <w:rsid w:val="1BA0432B"/>
    <w:rsid w:val="1BB77278"/>
    <w:rsid w:val="1BBA7D60"/>
    <w:rsid w:val="1BBE4EC6"/>
    <w:rsid w:val="1BC83389"/>
    <w:rsid w:val="1BD029B6"/>
    <w:rsid w:val="1BD46CB0"/>
    <w:rsid w:val="1BD5178C"/>
    <w:rsid w:val="1BD95EA0"/>
    <w:rsid w:val="1BD97A80"/>
    <w:rsid w:val="1BDB5678"/>
    <w:rsid w:val="1BE55780"/>
    <w:rsid w:val="1BE71058"/>
    <w:rsid w:val="1BEB4C2C"/>
    <w:rsid w:val="1BEB7AB6"/>
    <w:rsid w:val="1BF27CCF"/>
    <w:rsid w:val="1BFA3269"/>
    <w:rsid w:val="1C0434B2"/>
    <w:rsid w:val="1C056ECA"/>
    <w:rsid w:val="1C115B48"/>
    <w:rsid w:val="1C157D90"/>
    <w:rsid w:val="1C1F6CF4"/>
    <w:rsid w:val="1C216234"/>
    <w:rsid w:val="1C2B7889"/>
    <w:rsid w:val="1C351CFE"/>
    <w:rsid w:val="1C3B7046"/>
    <w:rsid w:val="1C3D13EB"/>
    <w:rsid w:val="1C4C143F"/>
    <w:rsid w:val="1C617A22"/>
    <w:rsid w:val="1C65129F"/>
    <w:rsid w:val="1C6E2DCC"/>
    <w:rsid w:val="1C7437E0"/>
    <w:rsid w:val="1C776C33"/>
    <w:rsid w:val="1C7D08AC"/>
    <w:rsid w:val="1C7F13F7"/>
    <w:rsid w:val="1C803DBA"/>
    <w:rsid w:val="1C843076"/>
    <w:rsid w:val="1C8B02A0"/>
    <w:rsid w:val="1C8F2CAC"/>
    <w:rsid w:val="1C945E62"/>
    <w:rsid w:val="1C95113D"/>
    <w:rsid w:val="1C9B54DF"/>
    <w:rsid w:val="1CAB6E93"/>
    <w:rsid w:val="1CB3587E"/>
    <w:rsid w:val="1CB75B94"/>
    <w:rsid w:val="1CB772D9"/>
    <w:rsid w:val="1CBB5035"/>
    <w:rsid w:val="1CBE5564"/>
    <w:rsid w:val="1CC0422B"/>
    <w:rsid w:val="1CC25AC1"/>
    <w:rsid w:val="1CC7132A"/>
    <w:rsid w:val="1CCA246C"/>
    <w:rsid w:val="1CCC703D"/>
    <w:rsid w:val="1CD63CAB"/>
    <w:rsid w:val="1CD840AA"/>
    <w:rsid w:val="1CE20E79"/>
    <w:rsid w:val="1CE767B2"/>
    <w:rsid w:val="1CF10230"/>
    <w:rsid w:val="1CF245F9"/>
    <w:rsid w:val="1CFA1714"/>
    <w:rsid w:val="1CFC7D16"/>
    <w:rsid w:val="1D040938"/>
    <w:rsid w:val="1D065F12"/>
    <w:rsid w:val="1D0D5860"/>
    <w:rsid w:val="1D0E580F"/>
    <w:rsid w:val="1D0F4A6C"/>
    <w:rsid w:val="1D1518E9"/>
    <w:rsid w:val="1D201BEC"/>
    <w:rsid w:val="1D2A5313"/>
    <w:rsid w:val="1D405181"/>
    <w:rsid w:val="1D504FA4"/>
    <w:rsid w:val="1D5507B0"/>
    <w:rsid w:val="1D5C1E36"/>
    <w:rsid w:val="1D5E0613"/>
    <w:rsid w:val="1D7C2114"/>
    <w:rsid w:val="1D8448B6"/>
    <w:rsid w:val="1D846372"/>
    <w:rsid w:val="1D975171"/>
    <w:rsid w:val="1D9D356A"/>
    <w:rsid w:val="1D9E440E"/>
    <w:rsid w:val="1DAA08C2"/>
    <w:rsid w:val="1DAC3AA0"/>
    <w:rsid w:val="1DB37CFA"/>
    <w:rsid w:val="1DB409A2"/>
    <w:rsid w:val="1DB55626"/>
    <w:rsid w:val="1DBD5182"/>
    <w:rsid w:val="1DC82412"/>
    <w:rsid w:val="1DD51824"/>
    <w:rsid w:val="1DE1781B"/>
    <w:rsid w:val="1DEA0685"/>
    <w:rsid w:val="1DEC327A"/>
    <w:rsid w:val="1DEF076F"/>
    <w:rsid w:val="1DF92447"/>
    <w:rsid w:val="1E036FCE"/>
    <w:rsid w:val="1E0C2701"/>
    <w:rsid w:val="1E0E6AFA"/>
    <w:rsid w:val="1E0F7022"/>
    <w:rsid w:val="1E1C3098"/>
    <w:rsid w:val="1E1D398A"/>
    <w:rsid w:val="1E37321D"/>
    <w:rsid w:val="1E3A3838"/>
    <w:rsid w:val="1E3D2069"/>
    <w:rsid w:val="1E4104FD"/>
    <w:rsid w:val="1E4163FC"/>
    <w:rsid w:val="1E4241EF"/>
    <w:rsid w:val="1E4419FE"/>
    <w:rsid w:val="1E4E1A57"/>
    <w:rsid w:val="1E4E34C7"/>
    <w:rsid w:val="1E4E4A3D"/>
    <w:rsid w:val="1E581686"/>
    <w:rsid w:val="1E5B4AA6"/>
    <w:rsid w:val="1E6500BF"/>
    <w:rsid w:val="1E690A57"/>
    <w:rsid w:val="1E6E0489"/>
    <w:rsid w:val="1E6F7DA5"/>
    <w:rsid w:val="1E74426A"/>
    <w:rsid w:val="1E7B6870"/>
    <w:rsid w:val="1E82066D"/>
    <w:rsid w:val="1E850848"/>
    <w:rsid w:val="1E943E4C"/>
    <w:rsid w:val="1E987366"/>
    <w:rsid w:val="1EB37DB8"/>
    <w:rsid w:val="1EB82435"/>
    <w:rsid w:val="1EBA2573"/>
    <w:rsid w:val="1EC25CD2"/>
    <w:rsid w:val="1ECA4FED"/>
    <w:rsid w:val="1ED36602"/>
    <w:rsid w:val="1ED3667D"/>
    <w:rsid w:val="1ED460BE"/>
    <w:rsid w:val="1ED918F0"/>
    <w:rsid w:val="1EDF6C2C"/>
    <w:rsid w:val="1EE06C8F"/>
    <w:rsid w:val="1EEB5D4D"/>
    <w:rsid w:val="1EED6ACA"/>
    <w:rsid w:val="1EED77D2"/>
    <w:rsid w:val="1EF108E0"/>
    <w:rsid w:val="1EF24653"/>
    <w:rsid w:val="1EF24C05"/>
    <w:rsid w:val="1EF503D0"/>
    <w:rsid w:val="1EF97345"/>
    <w:rsid w:val="1EFA6C70"/>
    <w:rsid w:val="1F0C0694"/>
    <w:rsid w:val="1F147ED5"/>
    <w:rsid w:val="1F181798"/>
    <w:rsid w:val="1F1D0099"/>
    <w:rsid w:val="1F233E4E"/>
    <w:rsid w:val="1F247CB0"/>
    <w:rsid w:val="1F2A6433"/>
    <w:rsid w:val="1F2C1918"/>
    <w:rsid w:val="1F3472CB"/>
    <w:rsid w:val="1F3B0C11"/>
    <w:rsid w:val="1F3F7B73"/>
    <w:rsid w:val="1F44301F"/>
    <w:rsid w:val="1F467EB2"/>
    <w:rsid w:val="1F4B15BC"/>
    <w:rsid w:val="1F4E188E"/>
    <w:rsid w:val="1F506314"/>
    <w:rsid w:val="1F5533D5"/>
    <w:rsid w:val="1F5B0028"/>
    <w:rsid w:val="1F903753"/>
    <w:rsid w:val="1F941997"/>
    <w:rsid w:val="1F9610B3"/>
    <w:rsid w:val="1F9772EB"/>
    <w:rsid w:val="1F984562"/>
    <w:rsid w:val="1F9B1D74"/>
    <w:rsid w:val="1F9C068B"/>
    <w:rsid w:val="1F9D4183"/>
    <w:rsid w:val="1FA318D5"/>
    <w:rsid w:val="1FA7646C"/>
    <w:rsid w:val="1FB13D6B"/>
    <w:rsid w:val="1FB4120E"/>
    <w:rsid w:val="1FB47A2F"/>
    <w:rsid w:val="1FB57B5F"/>
    <w:rsid w:val="1FB7103A"/>
    <w:rsid w:val="1FBA2CF7"/>
    <w:rsid w:val="1FD2426D"/>
    <w:rsid w:val="1FE52321"/>
    <w:rsid w:val="1FE70D17"/>
    <w:rsid w:val="1FF5147F"/>
    <w:rsid w:val="20014E73"/>
    <w:rsid w:val="20036D5E"/>
    <w:rsid w:val="20076AE7"/>
    <w:rsid w:val="20197940"/>
    <w:rsid w:val="202C530B"/>
    <w:rsid w:val="20410870"/>
    <w:rsid w:val="204B16C3"/>
    <w:rsid w:val="20677BEA"/>
    <w:rsid w:val="206C2809"/>
    <w:rsid w:val="206E7D70"/>
    <w:rsid w:val="206F43D6"/>
    <w:rsid w:val="20791826"/>
    <w:rsid w:val="207E424C"/>
    <w:rsid w:val="207F53D7"/>
    <w:rsid w:val="208828C6"/>
    <w:rsid w:val="20945EC6"/>
    <w:rsid w:val="209E6D19"/>
    <w:rsid w:val="20A929C8"/>
    <w:rsid w:val="20B36E9E"/>
    <w:rsid w:val="20B53B26"/>
    <w:rsid w:val="20B67DA5"/>
    <w:rsid w:val="20C841BD"/>
    <w:rsid w:val="20D03CA3"/>
    <w:rsid w:val="20D2281D"/>
    <w:rsid w:val="20D95B86"/>
    <w:rsid w:val="20EB0D84"/>
    <w:rsid w:val="20ED6CE8"/>
    <w:rsid w:val="20F30FEF"/>
    <w:rsid w:val="20FE3FDE"/>
    <w:rsid w:val="21083C57"/>
    <w:rsid w:val="21114EDC"/>
    <w:rsid w:val="21192317"/>
    <w:rsid w:val="212D740B"/>
    <w:rsid w:val="21321A13"/>
    <w:rsid w:val="21345016"/>
    <w:rsid w:val="21390795"/>
    <w:rsid w:val="214404C9"/>
    <w:rsid w:val="2147236C"/>
    <w:rsid w:val="21490C41"/>
    <w:rsid w:val="214E496B"/>
    <w:rsid w:val="215C3726"/>
    <w:rsid w:val="215C78D1"/>
    <w:rsid w:val="21613AFB"/>
    <w:rsid w:val="217A3AD7"/>
    <w:rsid w:val="21813113"/>
    <w:rsid w:val="218615EC"/>
    <w:rsid w:val="21883C8D"/>
    <w:rsid w:val="218C2F9C"/>
    <w:rsid w:val="219A43F9"/>
    <w:rsid w:val="21A56AF5"/>
    <w:rsid w:val="21B86CA6"/>
    <w:rsid w:val="21C1459A"/>
    <w:rsid w:val="21E13C58"/>
    <w:rsid w:val="21E5308A"/>
    <w:rsid w:val="21E761D0"/>
    <w:rsid w:val="220138FF"/>
    <w:rsid w:val="22020F9C"/>
    <w:rsid w:val="22033DA0"/>
    <w:rsid w:val="220F5C44"/>
    <w:rsid w:val="22153CEF"/>
    <w:rsid w:val="222B0537"/>
    <w:rsid w:val="22311C10"/>
    <w:rsid w:val="224A108D"/>
    <w:rsid w:val="224A76E8"/>
    <w:rsid w:val="224C3665"/>
    <w:rsid w:val="224E530E"/>
    <w:rsid w:val="22576CAC"/>
    <w:rsid w:val="22673393"/>
    <w:rsid w:val="226D1A73"/>
    <w:rsid w:val="227118C4"/>
    <w:rsid w:val="227A2634"/>
    <w:rsid w:val="228D2F50"/>
    <w:rsid w:val="2294211F"/>
    <w:rsid w:val="229A7EDD"/>
    <w:rsid w:val="229C3196"/>
    <w:rsid w:val="22A0444E"/>
    <w:rsid w:val="22A04AF7"/>
    <w:rsid w:val="22AE0860"/>
    <w:rsid w:val="22BC0F4A"/>
    <w:rsid w:val="22C14C18"/>
    <w:rsid w:val="22C2698E"/>
    <w:rsid w:val="22C348E5"/>
    <w:rsid w:val="22CD43A7"/>
    <w:rsid w:val="22CF2FA9"/>
    <w:rsid w:val="22D32D50"/>
    <w:rsid w:val="22D410CC"/>
    <w:rsid w:val="22E267F9"/>
    <w:rsid w:val="22E448F2"/>
    <w:rsid w:val="22EB7249"/>
    <w:rsid w:val="22F2788A"/>
    <w:rsid w:val="22F9367A"/>
    <w:rsid w:val="230A382B"/>
    <w:rsid w:val="230D3B9D"/>
    <w:rsid w:val="23163498"/>
    <w:rsid w:val="231B7AAA"/>
    <w:rsid w:val="232240F6"/>
    <w:rsid w:val="23256DAA"/>
    <w:rsid w:val="23390503"/>
    <w:rsid w:val="233B27C1"/>
    <w:rsid w:val="23505039"/>
    <w:rsid w:val="235D6544"/>
    <w:rsid w:val="235F406A"/>
    <w:rsid w:val="235F5429"/>
    <w:rsid w:val="23623B5A"/>
    <w:rsid w:val="23632BB8"/>
    <w:rsid w:val="23640FB0"/>
    <w:rsid w:val="23642049"/>
    <w:rsid w:val="2368268D"/>
    <w:rsid w:val="23687E83"/>
    <w:rsid w:val="2371139D"/>
    <w:rsid w:val="23797F46"/>
    <w:rsid w:val="23836902"/>
    <w:rsid w:val="23872CE5"/>
    <w:rsid w:val="238B20A6"/>
    <w:rsid w:val="238C3EED"/>
    <w:rsid w:val="23932D62"/>
    <w:rsid w:val="23995E62"/>
    <w:rsid w:val="239C706C"/>
    <w:rsid w:val="239E5DAB"/>
    <w:rsid w:val="23A04AAE"/>
    <w:rsid w:val="23B52D71"/>
    <w:rsid w:val="23BF14A7"/>
    <w:rsid w:val="23C24044"/>
    <w:rsid w:val="23C34253"/>
    <w:rsid w:val="23CD3C1F"/>
    <w:rsid w:val="23D06E28"/>
    <w:rsid w:val="23D108F4"/>
    <w:rsid w:val="23D2373C"/>
    <w:rsid w:val="23D30F57"/>
    <w:rsid w:val="23D427EC"/>
    <w:rsid w:val="23D52455"/>
    <w:rsid w:val="23D5257E"/>
    <w:rsid w:val="23E30FB9"/>
    <w:rsid w:val="23E55BB7"/>
    <w:rsid w:val="23E86947"/>
    <w:rsid w:val="23EB0E0A"/>
    <w:rsid w:val="23F93412"/>
    <w:rsid w:val="24003E36"/>
    <w:rsid w:val="24025F67"/>
    <w:rsid w:val="24026973"/>
    <w:rsid w:val="24082FFD"/>
    <w:rsid w:val="240D4E2B"/>
    <w:rsid w:val="241729C7"/>
    <w:rsid w:val="242C4A12"/>
    <w:rsid w:val="24360D1A"/>
    <w:rsid w:val="243E2796"/>
    <w:rsid w:val="243F33CD"/>
    <w:rsid w:val="24473F3B"/>
    <w:rsid w:val="24540554"/>
    <w:rsid w:val="245A2573"/>
    <w:rsid w:val="245C6C30"/>
    <w:rsid w:val="24612064"/>
    <w:rsid w:val="24626C85"/>
    <w:rsid w:val="246365BB"/>
    <w:rsid w:val="24691C87"/>
    <w:rsid w:val="246B71DD"/>
    <w:rsid w:val="24804C37"/>
    <w:rsid w:val="248165DC"/>
    <w:rsid w:val="24965BCE"/>
    <w:rsid w:val="249D0F40"/>
    <w:rsid w:val="24AE0576"/>
    <w:rsid w:val="24B842AD"/>
    <w:rsid w:val="24BD6B45"/>
    <w:rsid w:val="24CC50D0"/>
    <w:rsid w:val="24CD4D69"/>
    <w:rsid w:val="24D12D46"/>
    <w:rsid w:val="24DB4FFF"/>
    <w:rsid w:val="24DC011C"/>
    <w:rsid w:val="24DF0160"/>
    <w:rsid w:val="24E4168F"/>
    <w:rsid w:val="24EB5AB1"/>
    <w:rsid w:val="24EE491C"/>
    <w:rsid w:val="24F87B69"/>
    <w:rsid w:val="24FC4ED2"/>
    <w:rsid w:val="25023CB2"/>
    <w:rsid w:val="250A6D88"/>
    <w:rsid w:val="251A608E"/>
    <w:rsid w:val="251D24AE"/>
    <w:rsid w:val="252129F0"/>
    <w:rsid w:val="25223DB4"/>
    <w:rsid w:val="2524462C"/>
    <w:rsid w:val="25244912"/>
    <w:rsid w:val="252657F0"/>
    <w:rsid w:val="252C75B8"/>
    <w:rsid w:val="253359F2"/>
    <w:rsid w:val="25384E31"/>
    <w:rsid w:val="253F67E1"/>
    <w:rsid w:val="254B4B18"/>
    <w:rsid w:val="254C6617"/>
    <w:rsid w:val="254F010E"/>
    <w:rsid w:val="25514417"/>
    <w:rsid w:val="25567657"/>
    <w:rsid w:val="25622A5F"/>
    <w:rsid w:val="2572244F"/>
    <w:rsid w:val="257738AF"/>
    <w:rsid w:val="257F4A05"/>
    <w:rsid w:val="25861D82"/>
    <w:rsid w:val="259E71CD"/>
    <w:rsid w:val="25A635D9"/>
    <w:rsid w:val="25A662D7"/>
    <w:rsid w:val="25A86E75"/>
    <w:rsid w:val="25AE2938"/>
    <w:rsid w:val="25B31D75"/>
    <w:rsid w:val="25B62DE4"/>
    <w:rsid w:val="25BB0385"/>
    <w:rsid w:val="25BC2871"/>
    <w:rsid w:val="25CA0921"/>
    <w:rsid w:val="25CB0C18"/>
    <w:rsid w:val="25D13AEB"/>
    <w:rsid w:val="25D86561"/>
    <w:rsid w:val="25E2769B"/>
    <w:rsid w:val="25EB34F5"/>
    <w:rsid w:val="25FA2770"/>
    <w:rsid w:val="260439C2"/>
    <w:rsid w:val="261D13BC"/>
    <w:rsid w:val="262B6CE7"/>
    <w:rsid w:val="26355224"/>
    <w:rsid w:val="26455B3C"/>
    <w:rsid w:val="26481395"/>
    <w:rsid w:val="26491D5B"/>
    <w:rsid w:val="2650545E"/>
    <w:rsid w:val="26564D95"/>
    <w:rsid w:val="265956E8"/>
    <w:rsid w:val="26635755"/>
    <w:rsid w:val="26663282"/>
    <w:rsid w:val="266C407E"/>
    <w:rsid w:val="266D5DB7"/>
    <w:rsid w:val="266F1818"/>
    <w:rsid w:val="26776AED"/>
    <w:rsid w:val="26784417"/>
    <w:rsid w:val="26831E62"/>
    <w:rsid w:val="26873A39"/>
    <w:rsid w:val="26886FB3"/>
    <w:rsid w:val="268C4B6E"/>
    <w:rsid w:val="268F769A"/>
    <w:rsid w:val="26907D50"/>
    <w:rsid w:val="26920BFA"/>
    <w:rsid w:val="269C2A2E"/>
    <w:rsid w:val="269F0E4A"/>
    <w:rsid w:val="26A96406"/>
    <w:rsid w:val="26AE3074"/>
    <w:rsid w:val="26B038E9"/>
    <w:rsid w:val="26C61FE4"/>
    <w:rsid w:val="26CA7121"/>
    <w:rsid w:val="26D44D6F"/>
    <w:rsid w:val="26D54139"/>
    <w:rsid w:val="26DE480D"/>
    <w:rsid w:val="26E42734"/>
    <w:rsid w:val="26E44D57"/>
    <w:rsid w:val="26E524AA"/>
    <w:rsid w:val="26EE1993"/>
    <w:rsid w:val="26EE3EA9"/>
    <w:rsid w:val="27020328"/>
    <w:rsid w:val="270D2469"/>
    <w:rsid w:val="271725DF"/>
    <w:rsid w:val="271B7370"/>
    <w:rsid w:val="271C25AF"/>
    <w:rsid w:val="271D191F"/>
    <w:rsid w:val="272969A2"/>
    <w:rsid w:val="272A498F"/>
    <w:rsid w:val="27316337"/>
    <w:rsid w:val="274041B2"/>
    <w:rsid w:val="27494C9F"/>
    <w:rsid w:val="2756711B"/>
    <w:rsid w:val="27571033"/>
    <w:rsid w:val="275C3ED9"/>
    <w:rsid w:val="275D10E9"/>
    <w:rsid w:val="27602319"/>
    <w:rsid w:val="27627383"/>
    <w:rsid w:val="27637EA1"/>
    <w:rsid w:val="276655F9"/>
    <w:rsid w:val="2774770C"/>
    <w:rsid w:val="277664C2"/>
    <w:rsid w:val="277B51EB"/>
    <w:rsid w:val="277E6196"/>
    <w:rsid w:val="27902370"/>
    <w:rsid w:val="279132F5"/>
    <w:rsid w:val="279273E5"/>
    <w:rsid w:val="279957D8"/>
    <w:rsid w:val="279A5F86"/>
    <w:rsid w:val="279D7857"/>
    <w:rsid w:val="27A512B4"/>
    <w:rsid w:val="27AC3F4C"/>
    <w:rsid w:val="27AD77B8"/>
    <w:rsid w:val="27B11BCE"/>
    <w:rsid w:val="27B22C99"/>
    <w:rsid w:val="27B37CFF"/>
    <w:rsid w:val="27C83884"/>
    <w:rsid w:val="27D75754"/>
    <w:rsid w:val="27DD44BD"/>
    <w:rsid w:val="27DE44F3"/>
    <w:rsid w:val="27E00E49"/>
    <w:rsid w:val="27E025E3"/>
    <w:rsid w:val="27E31C81"/>
    <w:rsid w:val="27E87EB2"/>
    <w:rsid w:val="27F843F9"/>
    <w:rsid w:val="27FC037A"/>
    <w:rsid w:val="27FC77A0"/>
    <w:rsid w:val="280011EB"/>
    <w:rsid w:val="28060F58"/>
    <w:rsid w:val="28077C52"/>
    <w:rsid w:val="280A77E0"/>
    <w:rsid w:val="28165B2E"/>
    <w:rsid w:val="281E15DD"/>
    <w:rsid w:val="28245882"/>
    <w:rsid w:val="28273885"/>
    <w:rsid w:val="2832361F"/>
    <w:rsid w:val="283D65AE"/>
    <w:rsid w:val="2847022F"/>
    <w:rsid w:val="284C53A3"/>
    <w:rsid w:val="284D6B87"/>
    <w:rsid w:val="28537D18"/>
    <w:rsid w:val="285904B0"/>
    <w:rsid w:val="28633F56"/>
    <w:rsid w:val="286C5825"/>
    <w:rsid w:val="28800D94"/>
    <w:rsid w:val="2884790D"/>
    <w:rsid w:val="288904C9"/>
    <w:rsid w:val="288E49C9"/>
    <w:rsid w:val="28974527"/>
    <w:rsid w:val="289B7222"/>
    <w:rsid w:val="28A048D2"/>
    <w:rsid w:val="28A33108"/>
    <w:rsid w:val="28A42A77"/>
    <w:rsid w:val="28A51801"/>
    <w:rsid w:val="28AA34FB"/>
    <w:rsid w:val="28B9156D"/>
    <w:rsid w:val="28BA5168"/>
    <w:rsid w:val="28BB4BB3"/>
    <w:rsid w:val="28C6693F"/>
    <w:rsid w:val="28C72AD9"/>
    <w:rsid w:val="28C85178"/>
    <w:rsid w:val="28DC6197"/>
    <w:rsid w:val="28EC45F2"/>
    <w:rsid w:val="28F20CD2"/>
    <w:rsid w:val="28F32944"/>
    <w:rsid w:val="28F96D0F"/>
    <w:rsid w:val="28FD64D7"/>
    <w:rsid w:val="290D35E1"/>
    <w:rsid w:val="29121205"/>
    <w:rsid w:val="29153DEE"/>
    <w:rsid w:val="292909F1"/>
    <w:rsid w:val="293107D2"/>
    <w:rsid w:val="29423EF2"/>
    <w:rsid w:val="29464ACE"/>
    <w:rsid w:val="29587DFA"/>
    <w:rsid w:val="29592BB1"/>
    <w:rsid w:val="295E36CF"/>
    <w:rsid w:val="296177A4"/>
    <w:rsid w:val="2965703F"/>
    <w:rsid w:val="296A3063"/>
    <w:rsid w:val="296E3DDF"/>
    <w:rsid w:val="29703302"/>
    <w:rsid w:val="297154B3"/>
    <w:rsid w:val="297A56A8"/>
    <w:rsid w:val="298C5D80"/>
    <w:rsid w:val="2990451B"/>
    <w:rsid w:val="29982084"/>
    <w:rsid w:val="29A205DE"/>
    <w:rsid w:val="29AA5B4C"/>
    <w:rsid w:val="29AE6870"/>
    <w:rsid w:val="29B26810"/>
    <w:rsid w:val="29BA5809"/>
    <w:rsid w:val="29C64E2E"/>
    <w:rsid w:val="29D1351A"/>
    <w:rsid w:val="29D22306"/>
    <w:rsid w:val="29D23DD9"/>
    <w:rsid w:val="29D73B83"/>
    <w:rsid w:val="29EA7835"/>
    <w:rsid w:val="29EE6E5C"/>
    <w:rsid w:val="29F642BA"/>
    <w:rsid w:val="29F925DD"/>
    <w:rsid w:val="29F950BF"/>
    <w:rsid w:val="29FF2DE0"/>
    <w:rsid w:val="2A025CA4"/>
    <w:rsid w:val="2A120A71"/>
    <w:rsid w:val="2A131E21"/>
    <w:rsid w:val="2A17684F"/>
    <w:rsid w:val="2A192D9F"/>
    <w:rsid w:val="2A1A0CA3"/>
    <w:rsid w:val="2A1E360D"/>
    <w:rsid w:val="2A1F7557"/>
    <w:rsid w:val="2A272C3F"/>
    <w:rsid w:val="2A3215FA"/>
    <w:rsid w:val="2A3D1040"/>
    <w:rsid w:val="2A3D200C"/>
    <w:rsid w:val="2A407BE7"/>
    <w:rsid w:val="2A462E4E"/>
    <w:rsid w:val="2A4717DC"/>
    <w:rsid w:val="2A510FFD"/>
    <w:rsid w:val="2A586F2B"/>
    <w:rsid w:val="2A5B1EFD"/>
    <w:rsid w:val="2A6A463C"/>
    <w:rsid w:val="2A6B4CF3"/>
    <w:rsid w:val="2A7409D2"/>
    <w:rsid w:val="2A742098"/>
    <w:rsid w:val="2A7A5C2D"/>
    <w:rsid w:val="2A7E571E"/>
    <w:rsid w:val="2A7F4D44"/>
    <w:rsid w:val="2A7F65E1"/>
    <w:rsid w:val="2A83282A"/>
    <w:rsid w:val="2A8A6BFC"/>
    <w:rsid w:val="2A8B7A34"/>
    <w:rsid w:val="2A94182E"/>
    <w:rsid w:val="2A967FBC"/>
    <w:rsid w:val="2A996835"/>
    <w:rsid w:val="2A9C0585"/>
    <w:rsid w:val="2A9C66BF"/>
    <w:rsid w:val="2A9C76F4"/>
    <w:rsid w:val="2AA5589B"/>
    <w:rsid w:val="2AA6682D"/>
    <w:rsid w:val="2AB54EB7"/>
    <w:rsid w:val="2AC22ABA"/>
    <w:rsid w:val="2AD20567"/>
    <w:rsid w:val="2AD40439"/>
    <w:rsid w:val="2AD405B4"/>
    <w:rsid w:val="2AD636E3"/>
    <w:rsid w:val="2ADE501D"/>
    <w:rsid w:val="2AE046A9"/>
    <w:rsid w:val="2AE416EB"/>
    <w:rsid w:val="2AE5634E"/>
    <w:rsid w:val="2AEE3472"/>
    <w:rsid w:val="2AF03F94"/>
    <w:rsid w:val="2AF07D24"/>
    <w:rsid w:val="2AF1578A"/>
    <w:rsid w:val="2AF54800"/>
    <w:rsid w:val="2AF86B63"/>
    <w:rsid w:val="2B124AAA"/>
    <w:rsid w:val="2B165956"/>
    <w:rsid w:val="2B1779D9"/>
    <w:rsid w:val="2B217AF7"/>
    <w:rsid w:val="2B237F61"/>
    <w:rsid w:val="2B256729"/>
    <w:rsid w:val="2B2C7381"/>
    <w:rsid w:val="2B356B66"/>
    <w:rsid w:val="2B4324C3"/>
    <w:rsid w:val="2B4749DA"/>
    <w:rsid w:val="2B485E04"/>
    <w:rsid w:val="2B4A732D"/>
    <w:rsid w:val="2B604AAA"/>
    <w:rsid w:val="2B614186"/>
    <w:rsid w:val="2B6233E8"/>
    <w:rsid w:val="2B681F2A"/>
    <w:rsid w:val="2B7645A4"/>
    <w:rsid w:val="2B78024E"/>
    <w:rsid w:val="2B80401C"/>
    <w:rsid w:val="2B823A00"/>
    <w:rsid w:val="2B920D55"/>
    <w:rsid w:val="2B9569B0"/>
    <w:rsid w:val="2B9C6A40"/>
    <w:rsid w:val="2B9D0D74"/>
    <w:rsid w:val="2BA0749F"/>
    <w:rsid w:val="2BA2070E"/>
    <w:rsid w:val="2BAA5FAA"/>
    <w:rsid w:val="2BB86AF1"/>
    <w:rsid w:val="2BBD1B76"/>
    <w:rsid w:val="2BC0427F"/>
    <w:rsid w:val="2BC94187"/>
    <w:rsid w:val="2BCD636C"/>
    <w:rsid w:val="2BD01B21"/>
    <w:rsid w:val="2BDA1365"/>
    <w:rsid w:val="2BDC196B"/>
    <w:rsid w:val="2BE934F0"/>
    <w:rsid w:val="2BE95597"/>
    <w:rsid w:val="2BF808D8"/>
    <w:rsid w:val="2BFB7E49"/>
    <w:rsid w:val="2C011E18"/>
    <w:rsid w:val="2C030F60"/>
    <w:rsid w:val="2C0559CB"/>
    <w:rsid w:val="2C082A04"/>
    <w:rsid w:val="2C0B3D13"/>
    <w:rsid w:val="2C1048F5"/>
    <w:rsid w:val="2C1051E7"/>
    <w:rsid w:val="2C162F47"/>
    <w:rsid w:val="2C1B2283"/>
    <w:rsid w:val="2C1E7C3A"/>
    <w:rsid w:val="2C24291A"/>
    <w:rsid w:val="2C3144A1"/>
    <w:rsid w:val="2C336E27"/>
    <w:rsid w:val="2C3C1309"/>
    <w:rsid w:val="2C42026C"/>
    <w:rsid w:val="2C464EB8"/>
    <w:rsid w:val="2C49519C"/>
    <w:rsid w:val="2C551A9C"/>
    <w:rsid w:val="2C5A286A"/>
    <w:rsid w:val="2C5B065F"/>
    <w:rsid w:val="2C5C6C9B"/>
    <w:rsid w:val="2C633786"/>
    <w:rsid w:val="2C654010"/>
    <w:rsid w:val="2C691C5B"/>
    <w:rsid w:val="2C6E3EE3"/>
    <w:rsid w:val="2C740550"/>
    <w:rsid w:val="2C743F88"/>
    <w:rsid w:val="2C7953B4"/>
    <w:rsid w:val="2C8433C2"/>
    <w:rsid w:val="2C8525C3"/>
    <w:rsid w:val="2C8B7151"/>
    <w:rsid w:val="2C970CA7"/>
    <w:rsid w:val="2CA27F24"/>
    <w:rsid w:val="2CA60F5C"/>
    <w:rsid w:val="2CA6175D"/>
    <w:rsid w:val="2CA707FF"/>
    <w:rsid w:val="2CAD2974"/>
    <w:rsid w:val="2CB15D8C"/>
    <w:rsid w:val="2CB66439"/>
    <w:rsid w:val="2CC04B44"/>
    <w:rsid w:val="2CCC3A8A"/>
    <w:rsid w:val="2CD25FF6"/>
    <w:rsid w:val="2CD6501A"/>
    <w:rsid w:val="2CE8284E"/>
    <w:rsid w:val="2CEA2372"/>
    <w:rsid w:val="2CEB4EE3"/>
    <w:rsid w:val="2CF85B39"/>
    <w:rsid w:val="2D1234FB"/>
    <w:rsid w:val="2D184CBE"/>
    <w:rsid w:val="2D225E32"/>
    <w:rsid w:val="2D2816D8"/>
    <w:rsid w:val="2D2A5CD1"/>
    <w:rsid w:val="2D3270DB"/>
    <w:rsid w:val="2D40787B"/>
    <w:rsid w:val="2D4459A4"/>
    <w:rsid w:val="2D4B565F"/>
    <w:rsid w:val="2D5D3C66"/>
    <w:rsid w:val="2D656C20"/>
    <w:rsid w:val="2D6575EC"/>
    <w:rsid w:val="2D6729DE"/>
    <w:rsid w:val="2D683517"/>
    <w:rsid w:val="2D6B5FF8"/>
    <w:rsid w:val="2D7153BC"/>
    <w:rsid w:val="2D784BC8"/>
    <w:rsid w:val="2D7B1EBA"/>
    <w:rsid w:val="2D7C6E5F"/>
    <w:rsid w:val="2DA21756"/>
    <w:rsid w:val="2DAA3BFC"/>
    <w:rsid w:val="2DAA6907"/>
    <w:rsid w:val="2DB23579"/>
    <w:rsid w:val="2DB63D6A"/>
    <w:rsid w:val="2DD33A33"/>
    <w:rsid w:val="2DD5339A"/>
    <w:rsid w:val="2DD862A4"/>
    <w:rsid w:val="2DD970F1"/>
    <w:rsid w:val="2DDC3D01"/>
    <w:rsid w:val="2DDD1E55"/>
    <w:rsid w:val="2DDD287D"/>
    <w:rsid w:val="2DE079CF"/>
    <w:rsid w:val="2DE2461C"/>
    <w:rsid w:val="2DE2701D"/>
    <w:rsid w:val="2DE34026"/>
    <w:rsid w:val="2DEB1013"/>
    <w:rsid w:val="2DED7DFA"/>
    <w:rsid w:val="2DF939FD"/>
    <w:rsid w:val="2E010F22"/>
    <w:rsid w:val="2E014A7A"/>
    <w:rsid w:val="2E0507F6"/>
    <w:rsid w:val="2E0A760D"/>
    <w:rsid w:val="2E0D76F4"/>
    <w:rsid w:val="2E3D27AA"/>
    <w:rsid w:val="2E430E39"/>
    <w:rsid w:val="2E432091"/>
    <w:rsid w:val="2E4421D0"/>
    <w:rsid w:val="2E48750F"/>
    <w:rsid w:val="2E4B5A0E"/>
    <w:rsid w:val="2E4E2BC8"/>
    <w:rsid w:val="2E534CCE"/>
    <w:rsid w:val="2E5C008E"/>
    <w:rsid w:val="2E5E5D0F"/>
    <w:rsid w:val="2E600AC3"/>
    <w:rsid w:val="2E7F46DA"/>
    <w:rsid w:val="2E80440C"/>
    <w:rsid w:val="2E813902"/>
    <w:rsid w:val="2E861E29"/>
    <w:rsid w:val="2E872E3D"/>
    <w:rsid w:val="2E8F38D6"/>
    <w:rsid w:val="2E91428C"/>
    <w:rsid w:val="2E9345AB"/>
    <w:rsid w:val="2E9921C7"/>
    <w:rsid w:val="2E996742"/>
    <w:rsid w:val="2EA11458"/>
    <w:rsid w:val="2EA40F80"/>
    <w:rsid w:val="2EAE1185"/>
    <w:rsid w:val="2EB406CC"/>
    <w:rsid w:val="2EB51BB6"/>
    <w:rsid w:val="2EB536D8"/>
    <w:rsid w:val="2EC50D4B"/>
    <w:rsid w:val="2EDA3E8E"/>
    <w:rsid w:val="2EDA55A5"/>
    <w:rsid w:val="2EE40C4C"/>
    <w:rsid w:val="2EE63891"/>
    <w:rsid w:val="2EF56EE3"/>
    <w:rsid w:val="2EFA4801"/>
    <w:rsid w:val="2F01313C"/>
    <w:rsid w:val="2F03725B"/>
    <w:rsid w:val="2F042284"/>
    <w:rsid w:val="2F05640D"/>
    <w:rsid w:val="2F066438"/>
    <w:rsid w:val="2F0A3A24"/>
    <w:rsid w:val="2F103761"/>
    <w:rsid w:val="2F15304A"/>
    <w:rsid w:val="2F251F8C"/>
    <w:rsid w:val="2F2D5882"/>
    <w:rsid w:val="2F320664"/>
    <w:rsid w:val="2F344610"/>
    <w:rsid w:val="2F3762E5"/>
    <w:rsid w:val="2F395B2B"/>
    <w:rsid w:val="2F3D3B9C"/>
    <w:rsid w:val="2F405C8F"/>
    <w:rsid w:val="2F4525F6"/>
    <w:rsid w:val="2F4A02C4"/>
    <w:rsid w:val="2F5644FF"/>
    <w:rsid w:val="2F566BAD"/>
    <w:rsid w:val="2F924CF6"/>
    <w:rsid w:val="2F9C312F"/>
    <w:rsid w:val="2F9C6B51"/>
    <w:rsid w:val="2FA14E9F"/>
    <w:rsid w:val="2FA855E5"/>
    <w:rsid w:val="2FC34275"/>
    <w:rsid w:val="2FD47B8E"/>
    <w:rsid w:val="2FDB3AD2"/>
    <w:rsid w:val="2FDC2BFB"/>
    <w:rsid w:val="2FDD3AA9"/>
    <w:rsid w:val="2FDE3265"/>
    <w:rsid w:val="2FE51D9B"/>
    <w:rsid w:val="2FE83639"/>
    <w:rsid w:val="2FF93D83"/>
    <w:rsid w:val="2FFA2F0A"/>
    <w:rsid w:val="3018672B"/>
    <w:rsid w:val="301D1CA0"/>
    <w:rsid w:val="302C3041"/>
    <w:rsid w:val="30344AD4"/>
    <w:rsid w:val="3038167C"/>
    <w:rsid w:val="303C2806"/>
    <w:rsid w:val="30402A75"/>
    <w:rsid w:val="3045414B"/>
    <w:rsid w:val="30467B28"/>
    <w:rsid w:val="30481219"/>
    <w:rsid w:val="30593A52"/>
    <w:rsid w:val="305940FD"/>
    <w:rsid w:val="305B205D"/>
    <w:rsid w:val="305C3CC8"/>
    <w:rsid w:val="305C5377"/>
    <w:rsid w:val="306B7AE0"/>
    <w:rsid w:val="3071032F"/>
    <w:rsid w:val="30711C90"/>
    <w:rsid w:val="307556CD"/>
    <w:rsid w:val="307B5C11"/>
    <w:rsid w:val="30884C0A"/>
    <w:rsid w:val="30901D07"/>
    <w:rsid w:val="30957205"/>
    <w:rsid w:val="30972B8C"/>
    <w:rsid w:val="30981DAD"/>
    <w:rsid w:val="309C445C"/>
    <w:rsid w:val="30A05CC2"/>
    <w:rsid w:val="30BD2FFD"/>
    <w:rsid w:val="30C97165"/>
    <w:rsid w:val="30D36097"/>
    <w:rsid w:val="30E51454"/>
    <w:rsid w:val="30E608E3"/>
    <w:rsid w:val="30EB518F"/>
    <w:rsid w:val="30F77FF5"/>
    <w:rsid w:val="30FE3126"/>
    <w:rsid w:val="3101110A"/>
    <w:rsid w:val="31081F14"/>
    <w:rsid w:val="3110617B"/>
    <w:rsid w:val="311606E0"/>
    <w:rsid w:val="3116221C"/>
    <w:rsid w:val="312A0FB5"/>
    <w:rsid w:val="31435E7E"/>
    <w:rsid w:val="31454093"/>
    <w:rsid w:val="314F3F2F"/>
    <w:rsid w:val="31516EE6"/>
    <w:rsid w:val="31540BBC"/>
    <w:rsid w:val="315E1885"/>
    <w:rsid w:val="315E509F"/>
    <w:rsid w:val="31600CAE"/>
    <w:rsid w:val="316767CD"/>
    <w:rsid w:val="316F553D"/>
    <w:rsid w:val="317C6EC4"/>
    <w:rsid w:val="317E0F6C"/>
    <w:rsid w:val="318329F8"/>
    <w:rsid w:val="318C0616"/>
    <w:rsid w:val="319606F5"/>
    <w:rsid w:val="319C5DFB"/>
    <w:rsid w:val="319D7433"/>
    <w:rsid w:val="31A57A34"/>
    <w:rsid w:val="31A81FEB"/>
    <w:rsid w:val="31AC549E"/>
    <w:rsid w:val="31B457D3"/>
    <w:rsid w:val="31B804D9"/>
    <w:rsid w:val="31C40A54"/>
    <w:rsid w:val="31CA592E"/>
    <w:rsid w:val="31D2079F"/>
    <w:rsid w:val="31E22F4B"/>
    <w:rsid w:val="31E51A73"/>
    <w:rsid w:val="31E6099A"/>
    <w:rsid w:val="31E92DD9"/>
    <w:rsid w:val="31EC0661"/>
    <w:rsid w:val="31F434B3"/>
    <w:rsid w:val="31FA3E15"/>
    <w:rsid w:val="320A693D"/>
    <w:rsid w:val="320F5741"/>
    <w:rsid w:val="3213790C"/>
    <w:rsid w:val="32171DEB"/>
    <w:rsid w:val="321F4591"/>
    <w:rsid w:val="32261397"/>
    <w:rsid w:val="322D5174"/>
    <w:rsid w:val="32323931"/>
    <w:rsid w:val="32356386"/>
    <w:rsid w:val="32356C79"/>
    <w:rsid w:val="323C4918"/>
    <w:rsid w:val="323D419D"/>
    <w:rsid w:val="32531849"/>
    <w:rsid w:val="32671C48"/>
    <w:rsid w:val="326A20D3"/>
    <w:rsid w:val="32701994"/>
    <w:rsid w:val="32781D39"/>
    <w:rsid w:val="327A531D"/>
    <w:rsid w:val="32806122"/>
    <w:rsid w:val="328B290A"/>
    <w:rsid w:val="32901F1E"/>
    <w:rsid w:val="32A13F64"/>
    <w:rsid w:val="32A74F77"/>
    <w:rsid w:val="32AF7663"/>
    <w:rsid w:val="32B0079C"/>
    <w:rsid w:val="32B80FE0"/>
    <w:rsid w:val="32BC6F66"/>
    <w:rsid w:val="32C616AF"/>
    <w:rsid w:val="32C7758B"/>
    <w:rsid w:val="32CD20E1"/>
    <w:rsid w:val="32DC6C3D"/>
    <w:rsid w:val="32E620B2"/>
    <w:rsid w:val="32EF4CA4"/>
    <w:rsid w:val="33012173"/>
    <w:rsid w:val="3307027A"/>
    <w:rsid w:val="330D3AE3"/>
    <w:rsid w:val="33121D46"/>
    <w:rsid w:val="33170AD4"/>
    <w:rsid w:val="331C7249"/>
    <w:rsid w:val="331E6519"/>
    <w:rsid w:val="331F1BF8"/>
    <w:rsid w:val="332762C3"/>
    <w:rsid w:val="332A16B7"/>
    <w:rsid w:val="3344502A"/>
    <w:rsid w:val="334E278D"/>
    <w:rsid w:val="33501410"/>
    <w:rsid w:val="33703E0D"/>
    <w:rsid w:val="337656C6"/>
    <w:rsid w:val="33780EA1"/>
    <w:rsid w:val="337F42B4"/>
    <w:rsid w:val="338874CA"/>
    <w:rsid w:val="338B4A07"/>
    <w:rsid w:val="339047DC"/>
    <w:rsid w:val="339174E4"/>
    <w:rsid w:val="33922BA4"/>
    <w:rsid w:val="3395257E"/>
    <w:rsid w:val="33962013"/>
    <w:rsid w:val="33977CCF"/>
    <w:rsid w:val="339877B9"/>
    <w:rsid w:val="339C09C3"/>
    <w:rsid w:val="339C1778"/>
    <w:rsid w:val="339D721B"/>
    <w:rsid w:val="33BB3369"/>
    <w:rsid w:val="33BD487F"/>
    <w:rsid w:val="33BE22DC"/>
    <w:rsid w:val="33BE5883"/>
    <w:rsid w:val="33C1244A"/>
    <w:rsid w:val="33D564A5"/>
    <w:rsid w:val="33DF67D8"/>
    <w:rsid w:val="33E12879"/>
    <w:rsid w:val="33EC331A"/>
    <w:rsid w:val="33EC6FB6"/>
    <w:rsid w:val="33F9172C"/>
    <w:rsid w:val="33FB5FA1"/>
    <w:rsid w:val="340A74A4"/>
    <w:rsid w:val="340D6A5E"/>
    <w:rsid w:val="342B004A"/>
    <w:rsid w:val="34347437"/>
    <w:rsid w:val="34365FB2"/>
    <w:rsid w:val="343A2C67"/>
    <w:rsid w:val="345901E2"/>
    <w:rsid w:val="345B0C87"/>
    <w:rsid w:val="345B612A"/>
    <w:rsid w:val="34610E0E"/>
    <w:rsid w:val="346D4150"/>
    <w:rsid w:val="34776B38"/>
    <w:rsid w:val="347D0F19"/>
    <w:rsid w:val="348A53AC"/>
    <w:rsid w:val="348A615B"/>
    <w:rsid w:val="348D5440"/>
    <w:rsid w:val="34960CBE"/>
    <w:rsid w:val="34994DEC"/>
    <w:rsid w:val="34996154"/>
    <w:rsid w:val="349A69EF"/>
    <w:rsid w:val="34AA4679"/>
    <w:rsid w:val="34AE1165"/>
    <w:rsid w:val="34C3798A"/>
    <w:rsid w:val="34C41DDC"/>
    <w:rsid w:val="34C52EA2"/>
    <w:rsid w:val="34C60D9C"/>
    <w:rsid w:val="34DB32BB"/>
    <w:rsid w:val="34F35D01"/>
    <w:rsid w:val="35002A15"/>
    <w:rsid w:val="35102070"/>
    <w:rsid w:val="351137B9"/>
    <w:rsid w:val="35124A0D"/>
    <w:rsid w:val="351B2D65"/>
    <w:rsid w:val="351B43C7"/>
    <w:rsid w:val="354658AF"/>
    <w:rsid w:val="35497AB7"/>
    <w:rsid w:val="3550415A"/>
    <w:rsid w:val="355D6155"/>
    <w:rsid w:val="355F0732"/>
    <w:rsid w:val="356C3F81"/>
    <w:rsid w:val="356D3631"/>
    <w:rsid w:val="356E1072"/>
    <w:rsid w:val="356F6271"/>
    <w:rsid w:val="35703816"/>
    <w:rsid w:val="35764F4A"/>
    <w:rsid w:val="357D172C"/>
    <w:rsid w:val="35812D9B"/>
    <w:rsid w:val="358304AB"/>
    <w:rsid w:val="359F7869"/>
    <w:rsid w:val="35A160DC"/>
    <w:rsid w:val="35A20420"/>
    <w:rsid w:val="35A5058B"/>
    <w:rsid w:val="35B36EFA"/>
    <w:rsid w:val="35BC4B27"/>
    <w:rsid w:val="35BD2792"/>
    <w:rsid w:val="35C94AEF"/>
    <w:rsid w:val="35CC19E4"/>
    <w:rsid w:val="35DC1B26"/>
    <w:rsid w:val="35E37515"/>
    <w:rsid w:val="35E40A76"/>
    <w:rsid w:val="35E65FA8"/>
    <w:rsid w:val="35F60392"/>
    <w:rsid w:val="35FA51A5"/>
    <w:rsid w:val="35FB502F"/>
    <w:rsid w:val="35FD3490"/>
    <w:rsid w:val="360E16AE"/>
    <w:rsid w:val="36176647"/>
    <w:rsid w:val="363357CB"/>
    <w:rsid w:val="363E58CF"/>
    <w:rsid w:val="364066FB"/>
    <w:rsid w:val="36495C0A"/>
    <w:rsid w:val="364F5A2A"/>
    <w:rsid w:val="365519F4"/>
    <w:rsid w:val="36595DF6"/>
    <w:rsid w:val="36614384"/>
    <w:rsid w:val="366204B8"/>
    <w:rsid w:val="36631CA0"/>
    <w:rsid w:val="36717C5A"/>
    <w:rsid w:val="36774942"/>
    <w:rsid w:val="36856E78"/>
    <w:rsid w:val="36881634"/>
    <w:rsid w:val="368C76FA"/>
    <w:rsid w:val="368F76FA"/>
    <w:rsid w:val="36923F9D"/>
    <w:rsid w:val="36981915"/>
    <w:rsid w:val="36B12624"/>
    <w:rsid w:val="36B660E9"/>
    <w:rsid w:val="36B71B89"/>
    <w:rsid w:val="36CB4D77"/>
    <w:rsid w:val="36D925A0"/>
    <w:rsid w:val="36DA62AB"/>
    <w:rsid w:val="36E52680"/>
    <w:rsid w:val="36E53AF8"/>
    <w:rsid w:val="36F101A1"/>
    <w:rsid w:val="36F32FEF"/>
    <w:rsid w:val="36F54FB9"/>
    <w:rsid w:val="36FC3260"/>
    <w:rsid w:val="37060463"/>
    <w:rsid w:val="370A5E5F"/>
    <w:rsid w:val="370D0235"/>
    <w:rsid w:val="37143AAA"/>
    <w:rsid w:val="371F2036"/>
    <w:rsid w:val="372B669C"/>
    <w:rsid w:val="372E3079"/>
    <w:rsid w:val="373B1EBD"/>
    <w:rsid w:val="373E5A03"/>
    <w:rsid w:val="374B2493"/>
    <w:rsid w:val="374E59E2"/>
    <w:rsid w:val="37520F54"/>
    <w:rsid w:val="37570BCB"/>
    <w:rsid w:val="375B67B8"/>
    <w:rsid w:val="37661CB3"/>
    <w:rsid w:val="376C22F6"/>
    <w:rsid w:val="376D21A7"/>
    <w:rsid w:val="377071F8"/>
    <w:rsid w:val="37707FE0"/>
    <w:rsid w:val="37717766"/>
    <w:rsid w:val="37727E4D"/>
    <w:rsid w:val="3773519C"/>
    <w:rsid w:val="377452B8"/>
    <w:rsid w:val="37773CD2"/>
    <w:rsid w:val="377B5A15"/>
    <w:rsid w:val="37894E57"/>
    <w:rsid w:val="378F792B"/>
    <w:rsid w:val="37921EAB"/>
    <w:rsid w:val="37A21FE2"/>
    <w:rsid w:val="37AF3A9B"/>
    <w:rsid w:val="37C61413"/>
    <w:rsid w:val="37D71B9E"/>
    <w:rsid w:val="37D95BC3"/>
    <w:rsid w:val="37DB1B4A"/>
    <w:rsid w:val="37EA3D1D"/>
    <w:rsid w:val="37F0752F"/>
    <w:rsid w:val="38032ADD"/>
    <w:rsid w:val="38054534"/>
    <w:rsid w:val="380F70A0"/>
    <w:rsid w:val="38124799"/>
    <w:rsid w:val="38181651"/>
    <w:rsid w:val="381A129D"/>
    <w:rsid w:val="381B3AE1"/>
    <w:rsid w:val="3837515E"/>
    <w:rsid w:val="384445D2"/>
    <w:rsid w:val="38466BC9"/>
    <w:rsid w:val="385979C8"/>
    <w:rsid w:val="38621032"/>
    <w:rsid w:val="386C17FE"/>
    <w:rsid w:val="386F71C2"/>
    <w:rsid w:val="38864EE1"/>
    <w:rsid w:val="388A553D"/>
    <w:rsid w:val="388D26FF"/>
    <w:rsid w:val="389007B4"/>
    <w:rsid w:val="389525C6"/>
    <w:rsid w:val="389C3F60"/>
    <w:rsid w:val="389E28DB"/>
    <w:rsid w:val="38A256ED"/>
    <w:rsid w:val="38B0624E"/>
    <w:rsid w:val="38B4706D"/>
    <w:rsid w:val="38B60D7F"/>
    <w:rsid w:val="38B6531C"/>
    <w:rsid w:val="38BA0EE3"/>
    <w:rsid w:val="38BA4416"/>
    <w:rsid w:val="38C10BE9"/>
    <w:rsid w:val="38C4603C"/>
    <w:rsid w:val="38D429AD"/>
    <w:rsid w:val="38D45CEE"/>
    <w:rsid w:val="38E1369C"/>
    <w:rsid w:val="38F02352"/>
    <w:rsid w:val="38F60C3D"/>
    <w:rsid w:val="390078F4"/>
    <w:rsid w:val="391754AA"/>
    <w:rsid w:val="391F67F6"/>
    <w:rsid w:val="39236CE5"/>
    <w:rsid w:val="39251316"/>
    <w:rsid w:val="39273592"/>
    <w:rsid w:val="392B4CC2"/>
    <w:rsid w:val="392B6496"/>
    <w:rsid w:val="39312A65"/>
    <w:rsid w:val="39396CB4"/>
    <w:rsid w:val="39404B30"/>
    <w:rsid w:val="3943543F"/>
    <w:rsid w:val="394C69E7"/>
    <w:rsid w:val="394F4956"/>
    <w:rsid w:val="39585980"/>
    <w:rsid w:val="395B4F36"/>
    <w:rsid w:val="39614E4F"/>
    <w:rsid w:val="39652C73"/>
    <w:rsid w:val="396A50BF"/>
    <w:rsid w:val="39730397"/>
    <w:rsid w:val="397828E0"/>
    <w:rsid w:val="397B107A"/>
    <w:rsid w:val="39800ACE"/>
    <w:rsid w:val="39980CE2"/>
    <w:rsid w:val="3998558D"/>
    <w:rsid w:val="399B34CA"/>
    <w:rsid w:val="39AA339F"/>
    <w:rsid w:val="39AB53AE"/>
    <w:rsid w:val="39AF4C4F"/>
    <w:rsid w:val="39B83678"/>
    <w:rsid w:val="39D0636E"/>
    <w:rsid w:val="39D17CDD"/>
    <w:rsid w:val="39F44362"/>
    <w:rsid w:val="39F62389"/>
    <w:rsid w:val="39F63B7B"/>
    <w:rsid w:val="39F925EC"/>
    <w:rsid w:val="3A035D99"/>
    <w:rsid w:val="3A0E4679"/>
    <w:rsid w:val="3A15193A"/>
    <w:rsid w:val="3A185146"/>
    <w:rsid w:val="3A1B7A36"/>
    <w:rsid w:val="3A1F2B4F"/>
    <w:rsid w:val="3A220E5F"/>
    <w:rsid w:val="3A222B60"/>
    <w:rsid w:val="3A2644AB"/>
    <w:rsid w:val="3A30298D"/>
    <w:rsid w:val="3A3C1A7E"/>
    <w:rsid w:val="3A3C7D6C"/>
    <w:rsid w:val="3A3D6E67"/>
    <w:rsid w:val="3A3E5C67"/>
    <w:rsid w:val="3A451DB4"/>
    <w:rsid w:val="3A4936E3"/>
    <w:rsid w:val="3A4D2A17"/>
    <w:rsid w:val="3A4F7A71"/>
    <w:rsid w:val="3A58374B"/>
    <w:rsid w:val="3A5941F6"/>
    <w:rsid w:val="3A596DA8"/>
    <w:rsid w:val="3A5A1D9E"/>
    <w:rsid w:val="3A5A6C2B"/>
    <w:rsid w:val="3A5B22E9"/>
    <w:rsid w:val="3A5C3E46"/>
    <w:rsid w:val="3A5E32F8"/>
    <w:rsid w:val="3A611DF3"/>
    <w:rsid w:val="3A624674"/>
    <w:rsid w:val="3A6D58D7"/>
    <w:rsid w:val="3A6E0425"/>
    <w:rsid w:val="3A714BF8"/>
    <w:rsid w:val="3A7572A8"/>
    <w:rsid w:val="3A7E046D"/>
    <w:rsid w:val="3A7F656F"/>
    <w:rsid w:val="3A825363"/>
    <w:rsid w:val="3A83464D"/>
    <w:rsid w:val="3A841F02"/>
    <w:rsid w:val="3A8A5A19"/>
    <w:rsid w:val="3A9155E6"/>
    <w:rsid w:val="3A954B7A"/>
    <w:rsid w:val="3A9B50DC"/>
    <w:rsid w:val="3A9C4E84"/>
    <w:rsid w:val="3AA11C63"/>
    <w:rsid w:val="3AA35C36"/>
    <w:rsid w:val="3AA9087F"/>
    <w:rsid w:val="3AAA4AD8"/>
    <w:rsid w:val="3AB160D5"/>
    <w:rsid w:val="3AB37C0B"/>
    <w:rsid w:val="3AC07099"/>
    <w:rsid w:val="3AC90541"/>
    <w:rsid w:val="3AD0154B"/>
    <w:rsid w:val="3AD26502"/>
    <w:rsid w:val="3AD32BE2"/>
    <w:rsid w:val="3AD735A4"/>
    <w:rsid w:val="3ADB5B92"/>
    <w:rsid w:val="3AE335C6"/>
    <w:rsid w:val="3AED053C"/>
    <w:rsid w:val="3AED5FA8"/>
    <w:rsid w:val="3AF2204F"/>
    <w:rsid w:val="3AF56227"/>
    <w:rsid w:val="3AF657E1"/>
    <w:rsid w:val="3AF97E01"/>
    <w:rsid w:val="3B0032A7"/>
    <w:rsid w:val="3B03752F"/>
    <w:rsid w:val="3B0F2390"/>
    <w:rsid w:val="3B0F5F1E"/>
    <w:rsid w:val="3B1220C7"/>
    <w:rsid w:val="3B3360B0"/>
    <w:rsid w:val="3B360092"/>
    <w:rsid w:val="3B3E7FD4"/>
    <w:rsid w:val="3B4278FE"/>
    <w:rsid w:val="3B44637B"/>
    <w:rsid w:val="3B4B0135"/>
    <w:rsid w:val="3B504E40"/>
    <w:rsid w:val="3B5F7815"/>
    <w:rsid w:val="3B620744"/>
    <w:rsid w:val="3B6413E7"/>
    <w:rsid w:val="3B7A783B"/>
    <w:rsid w:val="3B8D6917"/>
    <w:rsid w:val="3B98772E"/>
    <w:rsid w:val="3BA40788"/>
    <w:rsid w:val="3BB02276"/>
    <w:rsid w:val="3BB3643D"/>
    <w:rsid w:val="3BB41E71"/>
    <w:rsid w:val="3BBC1A25"/>
    <w:rsid w:val="3BC56E05"/>
    <w:rsid w:val="3BD938AF"/>
    <w:rsid w:val="3BDF0887"/>
    <w:rsid w:val="3BE12208"/>
    <w:rsid w:val="3BE45065"/>
    <w:rsid w:val="3BF847AA"/>
    <w:rsid w:val="3BFA0259"/>
    <w:rsid w:val="3C0309FF"/>
    <w:rsid w:val="3C042E3E"/>
    <w:rsid w:val="3C050C40"/>
    <w:rsid w:val="3C072663"/>
    <w:rsid w:val="3C0B2E45"/>
    <w:rsid w:val="3C1A4E8D"/>
    <w:rsid w:val="3C1F76F3"/>
    <w:rsid w:val="3C257B71"/>
    <w:rsid w:val="3C2841B0"/>
    <w:rsid w:val="3C2974B3"/>
    <w:rsid w:val="3C3C186F"/>
    <w:rsid w:val="3C3D7E2F"/>
    <w:rsid w:val="3C450BC5"/>
    <w:rsid w:val="3C47574F"/>
    <w:rsid w:val="3C5110CE"/>
    <w:rsid w:val="3C5C5193"/>
    <w:rsid w:val="3C6242D8"/>
    <w:rsid w:val="3C784DBC"/>
    <w:rsid w:val="3C7923FD"/>
    <w:rsid w:val="3C7E21FC"/>
    <w:rsid w:val="3C835139"/>
    <w:rsid w:val="3C8E55CD"/>
    <w:rsid w:val="3C8E5872"/>
    <w:rsid w:val="3C913F59"/>
    <w:rsid w:val="3C943C7F"/>
    <w:rsid w:val="3C9D3203"/>
    <w:rsid w:val="3C9E76A6"/>
    <w:rsid w:val="3C9E7D39"/>
    <w:rsid w:val="3C9F5433"/>
    <w:rsid w:val="3CA05E3F"/>
    <w:rsid w:val="3CA60FF0"/>
    <w:rsid w:val="3CAF5049"/>
    <w:rsid w:val="3CB17B91"/>
    <w:rsid w:val="3CC037D9"/>
    <w:rsid w:val="3CCC3FAB"/>
    <w:rsid w:val="3CD20233"/>
    <w:rsid w:val="3CD23409"/>
    <w:rsid w:val="3CDA5E44"/>
    <w:rsid w:val="3CDF248B"/>
    <w:rsid w:val="3CF77787"/>
    <w:rsid w:val="3CF80F5E"/>
    <w:rsid w:val="3CFA11B8"/>
    <w:rsid w:val="3CFD5614"/>
    <w:rsid w:val="3D061853"/>
    <w:rsid w:val="3D083D85"/>
    <w:rsid w:val="3D094A3E"/>
    <w:rsid w:val="3D107860"/>
    <w:rsid w:val="3D183C46"/>
    <w:rsid w:val="3D2346F2"/>
    <w:rsid w:val="3D2B7651"/>
    <w:rsid w:val="3D2C6DEC"/>
    <w:rsid w:val="3D3F7B7E"/>
    <w:rsid w:val="3D415BFE"/>
    <w:rsid w:val="3D464AD9"/>
    <w:rsid w:val="3D466470"/>
    <w:rsid w:val="3D483413"/>
    <w:rsid w:val="3D485717"/>
    <w:rsid w:val="3D531698"/>
    <w:rsid w:val="3D5F59D0"/>
    <w:rsid w:val="3D631F45"/>
    <w:rsid w:val="3D6E1622"/>
    <w:rsid w:val="3D9745C5"/>
    <w:rsid w:val="3D980D16"/>
    <w:rsid w:val="3D9831E5"/>
    <w:rsid w:val="3D9B1367"/>
    <w:rsid w:val="3DA638E7"/>
    <w:rsid w:val="3DA71209"/>
    <w:rsid w:val="3DC945C0"/>
    <w:rsid w:val="3DCE0347"/>
    <w:rsid w:val="3DCF044A"/>
    <w:rsid w:val="3DD82F3F"/>
    <w:rsid w:val="3DE10046"/>
    <w:rsid w:val="3DED7C84"/>
    <w:rsid w:val="3E012F06"/>
    <w:rsid w:val="3E0516F6"/>
    <w:rsid w:val="3E06185A"/>
    <w:rsid w:val="3E062C93"/>
    <w:rsid w:val="3E1645D3"/>
    <w:rsid w:val="3E1667F0"/>
    <w:rsid w:val="3E1A07C5"/>
    <w:rsid w:val="3E1C3D68"/>
    <w:rsid w:val="3E1D6BA4"/>
    <w:rsid w:val="3E225D40"/>
    <w:rsid w:val="3E25375E"/>
    <w:rsid w:val="3E257108"/>
    <w:rsid w:val="3E297DA1"/>
    <w:rsid w:val="3E2A2C0A"/>
    <w:rsid w:val="3E2B13A7"/>
    <w:rsid w:val="3E2E03FF"/>
    <w:rsid w:val="3E37784B"/>
    <w:rsid w:val="3E381EA5"/>
    <w:rsid w:val="3E3846AB"/>
    <w:rsid w:val="3E4A4CB2"/>
    <w:rsid w:val="3E4E7D71"/>
    <w:rsid w:val="3E4F147F"/>
    <w:rsid w:val="3E5A3610"/>
    <w:rsid w:val="3E5D4E61"/>
    <w:rsid w:val="3E616240"/>
    <w:rsid w:val="3E63157B"/>
    <w:rsid w:val="3E672C02"/>
    <w:rsid w:val="3E702BB8"/>
    <w:rsid w:val="3E807C4C"/>
    <w:rsid w:val="3E810402"/>
    <w:rsid w:val="3E8310AF"/>
    <w:rsid w:val="3EB761D7"/>
    <w:rsid w:val="3EC40C65"/>
    <w:rsid w:val="3ECB1717"/>
    <w:rsid w:val="3ED92DDA"/>
    <w:rsid w:val="3ED96F6F"/>
    <w:rsid w:val="3EE7761A"/>
    <w:rsid w:val="3EF17DA4"/>
    <w:rsid w:val="3EF2332E"/>
    <w:rsid w:val="3EF2654D"/>
    <w:rsid w:val="3EF56437"/>
    <w:rsid w:val="3EFB607B"/>
    <w:rsid w:val="3EFF7197"/>
    <w:rsid w:val="3F035498"/>
    <w:rsid w:val="3F055C54"/>
    <w:rsid w:val="3F0C5BCE"/>
    <w:rsid w:val="3F114F57"/>
    <w:rsid w:val="3F117156"/>
    <w:rsid w:val="3F1D2AEF"/>
    <w:rsid w:val="3F201122"/>
    <w:rsid w:val="3F22062E"/>
    <w:rsid w:val="3F2B0046"/>
    <w:rsid w:val="3F2F40D7"/>
    <w:rsid w:val="3F303FAB"/>
    <w:rsid w:val="3F3222E3"/>
    <w:rsid w:val="3F352F72"/>
    <w:rsid w:val="3F3774CD"/>
    <w:rsid w:val="3F416176"/>
    <w:rsid w:val="3F532102"/>
    <w:rsid w:val="3F576FA1"/>
    <w:rsid w:val="3F580906"/>
    <w:rsid w:val="3F5A3EFB"/>
    <w:rsid w:val="3F5A4D5E"/>
    <w:rsid w:val="3F7006D6"/>
    <w:rsid w:val="3F79679A"/>
    <w:rsid w:val="3F8F2B6A"/>
    <w:rsid w:val="3F9908B0"/>
    <w:rsid w:val="3FA367A0"/>
    <w:rsid w:val="3FA84EB2"/>
    <w:rsid w:val="3FA85DB5"/>
    <w:rsid w:val="3FAA7193"/>
    <w:rsid w:val="3FAD4B3B"/>
    <w:rsid w:val="3FB34E43"/>
    <w:rsid w:val="3FC0345D"/>
    <w:rsid w:val="3FC0576C"/>
    <w:rsid w:val="3FC24499"/>
    <w:rsid w:val="3FC24F5C"/>
    <w:rsid w:val="3FC96CE0"/>
    <w:rsid w:val="3FD03D01"/>
    <w:rsid w:val="3FD4498A"/>
    <w:rsid w:val="3FD64800"/>
    <w:rsid w:val="3FDA5EAF"/>
    <w:rsid w:val="3FDB6D16"/>
    <w:rsid w:val="3FDC701A"/>
    <w:rsid w:val="3FE0553B"/>
    <w:rsid w:val="3FE11A0A"/>
    <w:rsid w:val="3FE135FB"/>
    <w:rsid w:val="3FE221D2"/>
    <w:rsid w:val="3FE2774D"/>
    <w:rsid w:val="3FE87D28"/>
    <w:rsid w:val="3FEA089A"/>
    <w:rsid w:val="3FEE60A4"/>
    <w:rsid w:val="3FEF6D26"/>
    <w:rsid w:val="3FF54F69"/>
    <w:rsid w:val="3FFA44C9"/>
    <w:rsid w:val="3FFA719D"/>
    <w:rsid w:val="400533B5"/>
    <w:rsid w:val="400759D9"/>
    <w:rsid w:val="400969C4"/>
    <w:rsid w:val="400A5241"/>
    <w:rsid w:val="401A368E"/>
    <w:rsid w:val="401E5225"/>
    <w:rsid w:val="40200EC2"/>
    <w:rsid w:val="40376069"/>
    <w:rsid w:val="40387BC5"/>
    <w:rsid w:val="403D4406"/>
    <w:rsid w:val="403E6AA8"/>
    <w:rsid w:val="40400879"/>
    <w:rsid w:val="40402847"/>
    <w:rsid w:val="404C0609"/>
    <w:rsid w:val="40502545"/>
    <w:rsid w:val="405D53FA"/>
    <w:rsid w:val="40612A0F"/>
    <w:rsid w:val="406435E5"/>
    <w:rsid w:val="40657EEF"/>
    <w:rsid w:val="406C7C6F"/>
    <w:rsid w:val="406E1939"/>
    <w:rsid w:val="407D753B"/>
    <w:rsid w:val="407E1D23"/>
    <w:rsid w:val="40806E1B"/>
    <w:rsid w:val="4084492C"/>
    <w:rsid w:val="40906E9B"/>
    <w:rsid w:val="409207A7"/>
    <w:rsid w:val="40940958"/>
    <w:rsid w:val="40980764"/>
    <w:rsid w:val="40A56E0D"/>
    <w:rsid w:val="40AF5A59"/>
    <w:rsid w:val="40B565DA"/>
    <w:rsid w:val="40BA51BE"/>
    <w:rsid w:val="40BC08F6"/>
    <w:rsid w:val="40BD00BB"/>
    <w:rsid w:val="40C177AA"/>
    <w:rsid w:val="40DC68A2"/>
    <w:rsid w:val="40E90A23"/>
    <w:rsid w:val="40EE51A8"/>
    <w:rsid w:val="40F20B1F"/>
    <w:rsid w:val="40F86916"/>
    <w:rsid w:val="40FA321B"/>
    <w:rsid w:val="40FF0DBB"/>
    <w:rsid w:val="4101607F"/>
    <w:rsid w:val="41022D94"/>
    <w:rsid w:val="41082DC3"/>
    <w:rsid w:val="412170B1"/>
    <w:rsid w:val="4123014B"/>
    <w:rsid w:val="41301C9A"/>
    <w:rsid w:val="41341E40"/>
    <w:rsid w:val="4139028D"/>
    <w:rsid w:val="413A53EA"/>
    <w:rsid w:val="413E270C"/>
    <w:rsid w:val="414214F9"/>
    <w:rsid w:val="4149251B"/>
    <w:rsid w:val="414B1ED2"/>
    <w:rsid w:val="415037DD"/>
    <w:rsid w:val="41526D4A"/>
    <w:rsid w:val="415D5C35"/>
    <w:rsid w:val="415F730C"/>
    <w:rsid w:val="41621B71"/>
    <w:rsid w:val="41811A80"/>
    <w:rsid w:val="418C5377"/>
    <w:rsid w:val="418D7C08"/>
    <w:rsid w:val="419165DA"/>
    <w:rsid w:val="41AA0EFE"/>
    <w:rsid w:val="41B31CF9"/>
    <w:rsid w:val="41B3723D"/>
    <w:rsid w:val="41C002C6"/>
    <w:rsid w:val="41C07F72"/>
    <w:rsid w:val="41C65E0E"/>
    <w:rsid w:val="41C954F1"/>
    <w:rsid w:val="41EE1F6D"/>
    <w:rsid w:val="41FC7345"/>
    <w:rsid w:val="41FF7A7E"/>
    <w:rsid w:val="42055BCF"/>
    <w:rsid w:val="42062C90"/>
    <w:rsid w:val="420D35D1"/>
    <w:rsid w:val="42124FEB"/>
    <w:rsid w:val="421E19DD"/>
    <w:rsid w:val="42201ADB"/>
    <w:rsid w:val="42243ADD"/>
    <w:rsid w:val="4226140E"/>
    <w:rsid w:val="42262641"/>
    <w:rsid w:val="422A6BE5"/>
    <w:rsid w:val="422D7D03"/>
    <w:rsid w:val="42387360"/>
    <w:rsid w:val="423A512B"/>
    <w:rsid w:val="424E09DB"/>
    <w:rsid w:val="424F14CB"/>
    <w:rsid w:val="425830C6"/>
    <w:rsid w:val="425C6098"/>
    <w:rsid w:val="42646511"/>
    <w:rsid w:val="4265214F"/>
    <w:rsid w:val="426703CA"/>
    <w:rsid w:val="426724A2"/>
    <w:rsid w:val="426C1EA8"/>
    <w:rsid w:val="42815953"/>
    <w:rsid w:val="428D023C"/>
    <w:rsid w:val="429007CB"/>
    <w:rsid w:val="429953F0"/>
    <w:rsid w:val="42A826E7"/>
    <w:rsid w:val="42AE6807"/>
    <w:rsid w:val="42B51AA1"/>
    <w:rsid w:val="42C30985"/>
    <w:rsid w:val="42CE5721"/>
    <w:rsid w:val="42D83185"/>
    <w:rsid w:val="42DA1044"/>
    <w:rsid w:val="42E04F76"/>
    <w:rsid w:val="42E27E52"/>
    <w:rsid w:val="42F867E3"/>
    <w:rsid w:val="42F96836"/>
    <w:rsid w:val="42FC1238"/>
    <w:rsid w:val="43040332"/>
    <w:rsid w:val="43081AD9"/>
    <w:rsid w:val="43271B07"/>
    <w:rsid w:val="43280811"/>
    <w:rsid w:val="43284A6A"/>
    <w:rsid w:val="432F2506"/>
    <w:rsid w:val="43340E51"/>
    <w:rsid w:val="43381992"/>
    <w:rsid w:val="433F23BF"/>
    <w:rsid w:val="43482915"/>
    <w:rsid w:val="434A572C"/>
    <w:rsid w:val="43501147"/>
    <w:rsid w:val="43621575"/>
    <w:rsid w:val="436360F3"/>
    <w:rsid w:val="436624A8"/>
    <w:rsid w:val="43666F3B"/>
    <w:rsid w:val="436A2A12"/>
    <w:rsid w:val="436C0A55"/>
    <w:rsid w:val="436D064B"/>
    <w:rsid w:val="43726256"/>
    <w:rsid w:val="437460FA"/>
    <w:rsid w:val="437D37BF"/>
    <w:rsid w:val="437D5D97"/>
    <w:rsid w:val="438374A9"/>
    <w:rsid w:val="43837506"/>
    <w:rsid w:val="438B5FFE"/>
    <w:rsid w:val="438D3317"/>
    <w:rsid w:val="43AF03C9"/>
    <w:rsid w:val="43B12337"/>
    <w:rsid w:val="43B14470"/>
    <w:rsid w:val="43B43EDE"/>
    <w:rsid w:val="43B47D4C"/>
    <w:rsid w:val="43B9111D"/>
    <w:rsid w:val="43C471BD"/>
    <w:rsid w:val="43C81360"/>
    <w:rsid w:val="43CB16B2"/>
    <w:rsid w:val="43DF7E96"/>
    <w:rsid w:val="43E04F09"/>
    <w:rsid w:val="43E17880"/>
    <w:rsid w:val="43E30165"/>
    <w:rsid w:val="43E4084E"/>
    <w:rsid w:val="43E800C6"/>
    <w:rsid w:val="43F3462F"/>
    <w:rsid w:val="43F52C05"/>
    <w:rsid w:val="43FB7DF3"/>
    <w:rsid w:val="43FC346C"/>
    <w:rsid w:val="440E5844"/>
    <w:rsid w:val="44117846"/>
    <w:rsid w:val="44147B34"/>
    <w:rsid w:val="44257D8E"/>
    <w:rsid w:val="442A5D06"/>
    <w:rsid w:val="442E5908"/>
    <w:rsid w:val="4439400C"/>
    <w:rsid w:val="4439540E"/>
    <w:rsid w:val="44512364"/>
    <w:rsid w:val="44560305"/>
    <w:rsid w:val="446636C5"/>
    <w:rsid w:val="447D1640"/>
    <w:rsid w:val="4480296D"/>
    <w:rsid w:val="448166E9"/>
    <w:rsid w:val="448678B2"/>
    <w:rsid w:val="448E51CC"/>
    <w:rsid w:val="4494624E"/>
    <w:rsid w:val="449848C7"/>
    <w:rsid w:val="44AF4BA1"/>
    <w:rsid w:val="44B253BE"/>
    <w:rsid w:val="44B2632E"/>
    <w:rsid w:val="44B2697E"/>
    <w:rsid w:val="44B55895"/>
    <w:rsid w:val="44BC1818"/>
    <w:rsid w:val="44BC1ADC"/>
    <w:rsid w:val="44BC6084"/>
    <w:rsid w:val="44C33C1C"/>
    <w:rsid w:val="44C77FE4"/>
    <w:rsid w:val="44CE7E45"/>
    <w:rsid w:val="44D11736"/>
    <w:rsid w:val="44D55756"/>
    <w:rsid w:val="44DD4355"/>
    <w:rsid w:val="44E00E0F"/>
    <w:rsid w:val="44E132FE"/>
    <w:rsid w:val="44F70F49"/>
    <w:rsid w:val="44FA19ED"/>
    <w:rsid w:val="44FA649B"/>
    <w:rsid w:val="44FB7CD7"/>
    <w:rsid w:val="44FE7B0F"/>
    <w:rsid w:val="45085EB8"/>
    <w:rsid w:val="450939CD"/>
    <w:rsid w:val="450B3CA0"/>
    <w:rsid w:val="4510454F"/>
    <w:rsid w:val="45185AF4"/>
    <w:rsid w:val="451A5BEB"/>
    <w:rsid w:val="45206383"/>
    <w:rsid w:val="45234637"/>
    <w:rsid w:val="452D38D3"/>
    <w:rsid w:val="453E4193"/>
    <w:rsid w:val="454255CA"/>
    <w:rsid w:val="45577395"/>
    <w:rsid w:val="4561316A"/>
    <w:rsid w:val="45633AE3"/>
    <w:rsid w:val="45644225"/>
    <w:rsid w:val="457479F1"/>
    <w:rsid w:val="4584775C"/>
    <w:rsid w:val="45916EEF"/>
    <w:rsid w:val="459344B7"/>
    <w:rsid w:val="45A20CE2"/>
    <w:rsid w:val="45A81449"/>
    <w:rsid w:val="45A81950"/>
    <w:rsid w:val="45AB2840"/>
    <w:rsid w:val="45AB71DA"/>
    <w:rsid w:val="45AF0A29"/>
    <w:rsid w:val="45B92244"/>
    <w:rsid w:val="45BE4FDB"/>
    <w:rsid w:val="45BE62C2"/>
    <w:rsid w:val="45C0705E"/>
    <w:rsid w:val="45E27A68"/>
    <w:rsid w:val="45E42F61"/>
    <w:rsid w:val="45E85CE9"/>
    <w:rsid w:val="45F01DCD"/>
    <w:rsid w:val="45F62E65"/>
    <w:rsid w:val="45FD74ED"/>
    <w:rsid w:val="46050349"/>
    <w:rsid w:val="460B16A1"/>
    <w:rsid w:val="46145618"/>
    <w:rsid w:val="46206E94"/>
    <w:rsid w:val="46221289"/>
    <w:rsid w:val="4628691C"/>
    <w:rsid w:val="46324558"/>
    <w:rsid w:val="46365564"/>
    <w:rsid w:val="46382CF3"/>
    <w:rsid w:val="463E4B6F"/>
    <w:rsid w:val="464B1905"/>
    <w:rsid w:val="4658217D"/>
    <w:rsid w:val="46610538"/>
    <w:rsid w:val="466C778C"/>
    <w:rsid w:val="4670530F"/>
    <w:rsid w:val="468676F9"/>
    <w:rsid w:val="46AB4DBE"/>
    <w:rsid w:val="46AF5FB8"/>
    <w:rsid w:val="46B35B9F"/>
    <w:rsid w:val="46BF115D"/>
    <w:rsid w:val="46C44CB7"/>
    <w:rsid w:val="46C5380C"/>
    <w:rsid w:val="46C749A5"/>
    <w:rsid w:val="46C96A6C"/>
    <w:rsid w:val="46CB603F"/>
    <w:rsid w:val="46D21F34"/>
    <w:rsid w:val="46EE5581"/>
    <w:rsid w:val="46F100B8"/>
    <w:rsid w:val="46FA7FB8"/>
    <w:rsid w:val="47002DEF"/>
    <w:rsid w:val="47037841"/>
    <w:rsid w:val="470B0531"/>
    <w:rsid w:val="471F3210"/>
    <w:rsid w:val="47336C6F"/>
    <w:rsid w:val="47402DAA"/>
    <w:rsid w:val="474750DC"/>
    <w:rsid w:val="474C419A"/>
    <w:rsid w:val="474E6907"/>
    <w:rsid w:val="474E7A5D"/>
    <w:rsid w:val="47567017"/>
    <w:rsid w:val="475E0087"/>
    <w:rsid w:val="476140B1"/>
    <w:rsid w:val="476269FC"/>
    <w:rsid w:val="47666D38"/>
    <w:rsid w:val="47763FFA"/>
    <w:rsid w:val="4780263C"/>
    <w:rsid w:val="478104EB"/>
    <w:rsid w:val="47863271"/>
    <w:rsid w:val="478839AE"/>
    <w:rsid w:val="47896D4F"/>
    <w:rsid w:val="47982A36"/>
    <w:rsid w:val="47A21D03"/>
    <w:rsid w:val="47AC4635"/>
    <w:rsid w:val="47AD79A7"/>
    <w:rsid w:val="47B45F77"/>
    <w:rsid w:val="47B601F9"/>
    <w:rsid w:val="47BE2659"/>
    <w:rsid w:val="47C068CA"/>
    <w:rsid w:val="47C65B11"/>
    <w:rsid w:val="47C80021"/>
    <w:rsid w:val="47CC159F"/>
    <w:rsid w:val="47D31B17"/>
    <w:rsid w:val="47D64E19"/>
    <w:rsid w:val="47DD2D70"/>
    <w:rsid w:val="47E335C5"/>
    <w:rsid w:val="47EA5D49"/>
    <w:rsid w:val="47F00544"/>
    <w:rsid w:val="47FA38B9"/>
    <w:rsid w:val="480712F5"/>
    <w:rsid w:val="482149DA"/>
    <w:rsid w:val="4826335E"/>
    <w:rsid w:val="482A6A56"/>
    <w:rsid w:val="482B534E"/>
    <w:rsid w:val="482E032B"/>
    <w:rsid w:val="483639D2"/>
    <w:rsid w:val="483C2771"/>
    <w:rsid w:val="4844715C"/>
    <w:rsid w:val="484503C6"/>
    <w:rsid w:val="48492230"/>
    <w:rsid w:val="484A2C8B"/>
    <w:rsid w:val="484D4424"/>
    <w:rsid w:val="48587156"/>
    <w:rsid w:val="485B40A0"/>
    <w:rsid w:val="485C4105"/>
    <w:rsid w:val="48652AF4"/>
    <w:rsid w:val="48725180"/>
    <w:rsid w:val="487E153D"/>
    <w:rsid w:val="48802857"/>
    <w:rsid w:val="48817770"/>
    <w:rsid w:val="488D31C1"/>
    <w:rsid w:val="48971C07"/>
    <w:rsid w:val="489A3FC2"/>
    <w:rsid w:val="489A5DAA"/>
    <w:rsid w:val="48A04659"/>
    <w:rsid w:val="48A27CAA"/>
    <w:rsid w:val="48A31B88"/>
    <w:rsid w:val="48BC04DD"/>
    <w:rsid w:val="48BE2CF0"/>
    <w:rsid w:val="48C15D8D"/>
    <w:rsid w:val="48C25955"/>
    <w:rsid w:val="48C955E5"/>
    <w:rsid w:val="48CA6810"/>
    <w:rsid w:val="48D13B36"/>
    <w:rsid w:val="48DA439B"/>
    <w:rsid w:val="48E44E43"/>
    <w:rsid w:val="48E4724D"/>
    <w:rsid w:val="48E53924"/>
    <w:rsid w:val="48E63F8B"/>
    <w:rsid w:val="48E84F13"/>
    <w:rsid w:val="48E94329"/>
    <w:rsid w:val="48EF0F23"/>
    <w:rsid w:val="48FB4BC3"/>
    <w:rsid w:val="48FB5804"/>
    <w:rsid w:val="49086D1B"/>
    <w:rsid w:val="4915791B"/>
    <w:rsid w:val="491C3076"/>
    <w:rsid w:val="49324DD3"/>
    <w:rsid w:val="4939707B"/>
    <w:rsid w:val="493E5E9C"/>
    <w:rsid w:val="49414B4F"/>
    <w:rsid w:val="494A552B"/>
    <w:rsid w:val="495077AD"/>
    <w:rsid w:val="49532CF3"/>
    <w:rsid w:val="49581E86"/>
    <w:rsid w:val="4958391B"/>
    <w:rsid w:val="495D7302"/>
    <w:rsid w:val="496607B9"/>
    <w:rsid w:val="4968161B"/>
    <w:rsid w:val="496C36CB"/>
    <w:rsid w:val="496D2BF3"/>
    <w:rsid w:val="49825EA3"/>
    <w:rsid w:val="498D72D3"/>
    <w:rsid w:val="499402FE"/>
    <w:rsid w:val="499B6E75"/>
    <w:rsid w:val="49A01BF5"/>
    <w:rsid w:val="49A13026"/>
    <w:rsid w:val="49A81F15"/>
    <w:rsid w:val="49B04D70"/>
    <w:rsid w:val="49B07C49"/>
    <w:rsid w:val="49B24B36"/>
    <w:rsid w:val="49BA3A93"/>
    <w:rsid w:val="49BC5080"/>
    <w:rsid w:val="49BD004C"/>
    <w:rsid w:val="49BD1576"/>
    <w:rsid w:val="49BE7C01"/>
    <w:rsid w:val="49BF6B4D"/>
    <w:rsid w:val="49C97028"/>
    <w:rsid w:val="49CA5515"/>
    <w:rsid w:val="49DA5740"/>
    <w:rsid w:val="49DB093F"/>
    <w:rsid w:val="49DC0B0E"/>
    <w:rsid w:val="49DE64CC"/>
    <w:rsid w:val="49E13015"/>
    <w:rsid w:val="49E4389B"/>
    <w:rsid w:val="49F00F52"/>
    <w:rsid w:val="49FD72CF"/>
    <w:rsid w:val="4A122E59"/>
    <w:rsid w:val="4A1B043B"/>
    <w:rsid w:val="4A235C8A"/>
    <w:rsid w:val="4A292935"/>
    <w:rsid w:val="4A2E6BA5"/>
    <w:rsid w:val="4A33120A"/>
    <w:rsid w:val="4A34774F"/>
    <w:rsid w:val="4A35109E"/>
    <w:rsid w:val="4A360ACF"/>
    <w:rsid w:val="4A377A65"/>
    <w:rsid w:val="4A385EDB"/>
    <w:rsid w:val="4A397CF0"/>
    <w:rsid w:val="4A3E5075"/>
    <w:rsid w:val="4A3E5F17"/>
    <w:rsid w:val="4A471EB8"/>
    <w:rsid w:val="4A49367A"/>
    <w:rsid w:val="4A4A7180"/>
    <w:rsid w:val="4A4D16C6"/>
    <w:rsid w:val="4A653DAC"/>
    <w:rsid w:val="4A657908"/>
    <w:rsid w:val="4A8C7C76"/>
    <w:rsid w:val="4AAB34BB"/>
    <w:rsid w:val="4AAF54B1"/>
    <w:rsid w:val="4AB00AB1"/>
    <w:rsid w:val="4AB26985"/>
    <w:rsid w:val="4AB838E8"/>
    <w:rsid w:val="4ABE4768"/>
    <w:rsid w:val="4AC07A88"/>
    <w:rsid w:val="4AC34B56"/>
    <w:rsid w:val="4ACE1952"/>
    <w:rsid w:val="4AD25834"/>
    <w:rsid w:val="4AD31BF7"/>
    <w:rsid w:val="4AD625B4"/>
    <w:rsid w:val="4AD85CF3"/>
    <w:rsid w:val="4AE12695"/>
    <w:rsid w:val="4AE5063F"/>
    <w:rsid w:val="4AEB4287"/>
    <w:rsid w:val="4AF201D5"/>
    <w:rsid w:val="4AF87CD0"/>
    <w:rsid w:val="4AFD1ED3"/>
    <w:rsid w:val="4B052044"/>
    <w:rsid w:val="4B124BB6"/>
    <w:rsid w:val="4B162370"/>
    <w:rsid w:val="4B1969EA"/>
    <w:rsid w:val="4B1E3E9D"/>
    <w:rsid w:val="4B2373E8"/>
    <w:rsid w:val="4B247B19"/>
    <w:rsid w:val="4B28699B"/>
    <w:rsid w:val="4B30654A"/>
    <w:rsid w:val="4B313770"/>
    <w:rsid w:val="4B337729"/>
    <w:rsid w:val="4B37776E"/>
    <w:rsid w:val="4B415F6D"/>
    <w:rsid w:val="4B53794C"/>
    <w:rsid w:val="4B5847DE"/>
    <w:rsid w:val="4B5F2399"/>
    <w:rsid w:val="4B742639"/>
    <w:rsid w:val="4B7B423B"/>
    <w:rsid w:val="4B8938A4"/>
    <w:rsid w:val="4B8A6570"/>
    <w:rsid w:val="4B947A37"/>
    <w:rsid w:val="4B990B42"/>
    <w:rsid w:val="4BA21CED"/>
    <w:rsid w:val="4BA47014"/>
    <w:rsid w:val="4BA56AD4"/>
    <w:rsid w:val="4BAA137B"/>
    <w:rsid w:val="4BAA58CE"/>
    <w:rsid w:val="4BAC1B73"/>
    <w:rsid w:val="4BB23021"/>
    <w:rsid w:val="4BB560F4"/>
    <w:rsid w:val="4BB64CD0"/>
    <w:rsid w:val="4BC12085"/>
    <w:rsid w:val="4BC41A56"/>
    <w:rsid w:val="4BC859C1"/>
    <w:rsid w:val="4BD40AAB"/>
    <w:rsid w:val="4BE84CBE"/>
    <w:rsid w:val="4BEB2C94"/>
    <w:rsid w:val="4BF1099C"/>
    <w:rsid w:val="4BF623B0"/>
    <w:rsid w:val="4BF86D6D"/>
    <w:rsid w:val="4BFB0607"/>
    <w:rsid w:val="4C0007D3"/>
    <w:rsid w:val="4C00522E"/>
    <w:rsid w:val="4C051F8F"/>
    <w:rsid w:val="4C08466C"/>
    <w:rsid w:val="4C0849EF"/>
    <w:rsid w:val="4C085165"/>
    <w:rsid w:val="4C12207D"/>
    <w:rsid w:val="4C1471C6"/>
    <w:rsid w:val="4C147838"/>
    <w:rsid w:val="4C152CAE"/>
    <w:rsid w:val="4C1604D1"/>
    <w:rsid w:val="4C27778C"/>
    <w:rsid w:val="4C28045F"/>
    <w:rsid w:val="4C2F0A45"/>
    <w:rsid w:val="4C353FDB"/>
    <w:rsid w:val="4C3F1A17"/>
    <w:rsid w:val="4C3F668A"/>
    <w:rsid w:val="4C4125D9"/>
    <w:rsid w:val="4C4135CF"/>
    <w:rsid w:val="4C4437AE"/>
    <w:rsid w:val="4C4E5B23"/>
    <w:rsid w:val="4C50471A"/>
    <w:rsid w:val="4C534C86"/>
    <w:rsid w:val="4C5D11D7"/>
    <w:rsid w:val="4C5E3199"/>
    <w:rsid w:val="4C5E6ACF"/>
    <w:rsid w:val="4C6B2FE2"/>
    <w:rsid w:val="4C787885"/>
    <w:rsid w:val="4C7E409F"/>
    <w:rsid w:val="4C807EFC"/>
    <w:rsid w:val="4C831751"/>
    <w:rsid w:val="4C84008B"/>
    <w:rsid w:val="4C921493"/>
    <w:rsid w:val="4C96075E"/>
    <w:rsid w:val="4C960838"/>
    <w:rsid w:val="4C991AEB"/>
    <w:rsid w:val="4CB210AA"/>
    <w:rsid w:val="4CB4376C"/>
    <w:rsid w:val="4CBD0B1F"/>
    <w:rsid w:val="4CC22A4A"/>
    <w:rsid w:val="4CC64FB8"/>
    <w:rsid w:val="4CCA40FA"/>
    <w:rsid w:val="4CCC0113"/>
    <w:rsid w:val="4CD2789C"/>
    <w:rsid w:val="4CDF7E46"/>
    <w:rsid w:val="4CE27936"/>
    <w:rsid w:val="4CE601DA"/>
    <w:rsid w:val="4CE87889"/>
    <w:rsid w:val="4CED710E"/>
    <w:rsid w:val="4CF17AA4"/>
    <w:rsid w:val="4CF87AFD"/>
    <w:rsid w:val="4D003857"/>
    <w:rsid w:val="4D05521E"/>
    <w:rsid w:val="4D076FF3"/>
    <w:rsid w:val="4D08414A"/>
    <w:rsid w:val="4D092506"/>
    <w:rsid w:val="4D200666"/>
    <w:rsid w:val="4D3A7012"/>
    <w:rsid w:val="4D3D19D7"/>
    <w:rsid w:val="4D4203D5"/>
    <w:rsid w:val="4D451508"/>
    <w:rsid w:val="4D47346B"/>
    <w:rsid w:val="4D495DF4"/>
    <w:rsid w:val="4D581CBD"/>
    <w:rsid w:val="4D685EAA"/>
    <w:rsid w:val="4D69316A"/>
    <w:rsid w:val="4D7234EB"/>
    <w:rsid w:val="4D785A58"/>
    <w:rsid w:val="4D853E44"/>
    <w:rsid w:val="4D8744C7"/>
    <w:rsid w:val="4D970124"/>
    <w:rsid w:val="4D992749"/>
    <w:rsid w:val="4DB37149"/>
    <w:rsid w:val="4DC2477B"/>
    <w:rsid w:val="4DC37AAD"/>
    <w:rsid w:val="4DC4703C"/>
    <w:rsid w:val="4DD03A81"/>
    <w:rsid w:val="4DE1012A"/>
    <w:rsid w:val="4DE56472"/>
    <w:rsid w:val="4DEA16B8"/>
    <w:rsid w:val="4DF17ECD"/>
    <w:rsid w:val="4DF65554"/>
    <w:rsid w:val="4DF73AC4"/>
    <w:rsid w:val="4DFA077E"/>
    <w:rsid w:val="4DFC1243"/>
    <w:rsid w:val="4E02229A"/>
    <w:rsid w:val="4E050405"/>
    <w:rsid w:val="4E132BF4"/>
    <w:rsid w:val="4E162BA9"/>
    <w:rsid w:val="4E1E0460"/>
    <w:rsid w:val="4E1F2098"/>
    <w:rsid w:val="4E245FCD"/>
    <w:rsid w:val="4E2A37D7"/>
    <w:rsid w:val="4E2C0F3C"/>
    <w:rsid w:val="4E2F4F0E"/>
    <w:rsid w:val="4E3F0D8B"/>
    <w:rsid w:val="4E4022AD"/>
    <w:rsid w:val="4E452F68"/>
    <w:rsid w:val="4E4D75CC"/>
    <w:rsid w:val="4E4F602D"/>
    <w:rsid w:val="4E521DCC"/>
    <w:rsid w:val="4E563A79"/>
    <w:rsid w:val="4E5D37BF"/>
    <w:rsid w:val="4E5E7854"/>
    <w:rsid w:val="4E60113A"/>
    <w:rsid w:val="4E6F6FA8"/>
    <w:rsid w:val="4E7C40A4"/>
    <w:rsid w:val="4E8267E7"/>
    <w:rsid w:val="4E826B8B"/>
    <w:rsid w:val="4E870437"/>
    <w:rsid w:val="4E915C83"/>
    <w:rsid w:val="4E920755"/>
    <w:rsid w:val="4E980798"/>
    <w:rsid w:val="4E9A5427"/>
    <w:rsid w:val="4E9A7B73"/>
    <w:rsid w:val="4E9E6AA4"/>
    <w:rsid w:val="4EA244DC"/>
    <w:rsid w:val="4EA3784C"/>
    <w:rsid w:val="4EB951BF"/>
    <w:rsid w:val="4EBB7642"/>
    <w:rsid w:val="4EBF6B54"/>
    <w:rsid w:val="4EC0678A"/>
    <w:rsid w:val="4EC16EB7"/>
    <w:rsid w:val="4EC935CE"/>
    <w:rsid w:val="4ECD2EF2"/>
    <w:rsid w:val="4ED11C95"/>
    <w:rsid w:val="4ED15594"/>
    <w:rsid w:val="4EDC019B"/>
    <w:rsid w:val="4EDD798C"/>
    <w:rsid w:val="4EE27137"/>
    <w:rsid w:val="4EEB6A39"/>
    <w:rsid w:val="4EED611E"/>
    <w:rsid w:val="4EF44D23"/>
    <w:rsid w:val="4EF844EA"/>
    <w:rsid w:val="4EFB744F"/>
    <w:rsid w:val="4EFC3112"/>
    <w:rsid w:val="4EFC3DAA"/>
    <w:rsid w:val="4EFD1701"/>
    <w:rsid w:val="4EFF66FB"/>
    <w:rsid w:val="4F040683"/>
    <w:rsid w:val="4F130C17"/>
    <w:rsid w:val="4F166D4A"/>
    <w:rsid w:val="4F270D2D"/>
    <w:rsid w:val="4F2737C5"/>
    <w:rsid w:val="4F31723C"/>
    <w:rsid w:val="4F340C63"/>
    <w:rsid w:val="4F38629A"/>
    <w:rsid w:val="4F3E1BA7"/>
    <w:rsid w:val="4F4C1097"/>
    <w:rsid w:val="4F527868"/>
    <w:rsid w:val="4F5C39D0"/>
    <w:rsid w:val="4F5D32A4"/>
    <w:rsid w:val="4F6709AC"/>
    <w:rsid w:val="4F6D642E"/>
    <w:rsid w:val="4F6F762E"/>
    <w:rsid w:val="4F767689"/>
    <w:rsid w:val="4F7B372A"/>
    <w:rsid w:val="4F926827"/>
    <w:rsid w:val="4F98633D"/>
    <w:rsid w:val="4FA2515B"/>
    <w:rsid w:val="4FA4623D"/>
    <w:rsid w:val="4FA86461"/>
    <w:rsid w:val="4FAA16EE"/>
    <w:rsid w:val="4FAB620C"/>
    <w:rsid w:val="4FB25D36"/>
    <w:rsid w:val="4FB55FF8"/>
    <w:rsid w:val="4FCF79B6"/>
    <w:rsid w:val="4FE06869"/>
    <w:rsid w:val="4FE9200A"/>
    <w:rsid w:val="4FEE65F2"/>
    <w:rsid w:val="4FF42752"/>
    <w:rsid w:val="4FF67560"/>
    <w:rsid w:val="4FF87BDA"/>
    <w:rsid w:val="4FF97471"/>
    <w:rsid w:val="4FFD4205"/>
    <w:rsid w:val="4FFF5603"/>
    <w:rsid w:val="500035DB"/>
    <w:rsid w:val="500554BB"/>
    <w:rsid w:val="50082791"/>
    <w:rsid w:val="500A21E7"/>
    <w:rsid w:val="5010424F"/>
    <w:rsid w:val="50153705"/>
    <w:rsid w:val="502318E5"/>
    <w:rsid w:val="502456DC"/>
    <w:rsid w:val="502E1C8A"/>
    <w:rsid w:val="502E37C2"/>
    <w:rsid w:val="503E77A0"/>
    <w:rsid w:val="504967D4"/>
    <w:rsid w:val="504C56EA"/>
    <w:rsid w:val="50523597"/>
    <w:rsid w:val="50537E95"/>
    <w:rsid w:val="50583896"/>
    <w:rsid w:val="50585CC6"/>
    <w:rsid w:val="5059113E"/>
    <w:rsid w:val="506871A6"/>
    <w:rsid w:val="506B39C8"/>
    <w:rsid w:val="50757758"/>
    <w:rsid w:val="507E4835"/>
    <w:rsid w:val="50807FAC"/>
    <w:rsid w:val="508159F6"/>
    <w:rsid w:val="50841FF1"/>
    <w:rsid w:val="50914C3F"/>
    <w:rsid w:val="50984F92"/>
    <w:rsid w:val="509E1DC6"/>
    <w:rsid w:val="509E4F4D"/>
    <w:rsid w:val="50A07C67"/>
    <w:rsid w:val="50AC4DAF"/>
    <w:rsid w:val="50B568B9"/>
    <w:rsid w:val="50B926E0"/>
    <w:rsid w:val="50BE7D72"/>
    <w:rsid w:val="50C069B4"/>
    <w:rsid w:val="50C479A8"/>
    <w:rsid w:val="50D101AA"/>
    <w:rsid w:val="50D71075"/>
    <w:rsid w:val="50E32A6C"/>
    <w:rsid w:val="50E772C9"/>
    <w:rsid w:val="50E93B81"/>
    <w:rsid w:val="510530E4"/>
    <w:rsid w:val="510D3CD7"/>
    <w:rsid w:val="51161C4E"/>
    <w:rsid w:val="511848E8"/>
    <w:rsid w:val="51205736"/>
    <w:rsid w:val="51242D1A"/>
    <w:rsid w:val="51275130"/>
    <w:rsid w:val="51332596"/>
    <w:rsid w:val="51360B87"/>
    <w:rsid w:val="513938C9"/>
    <w:rsid w:val="51394095"/>
    <w:rsid w:val="51396A83"/>
    <w:rsid w:val="513A2A02"/>
    <w:rsid w:val="513E3F26"/>
    <w:rsid w:val="51401058"/>
    <w:rsid w:val="514C1FED"/>
    <w:rsid w:val="514E5AEA"/>
    <w:rsid w:val="5156081F"/>
    <w:rsid w:val="51600E24"/>
    <w:rsid w:val="51602B30"/>
    <w:rsid w:val="51657342"/>
    <w:rsid w:val="51722A42"/>
    <w:rsid w:val="5173706F"/>
    <w:rsid w:val="51774780"/>
    <w:rsid w:val="51853637"/>
    <w:rsid w:val="518A2050"/>
    <w:rsid w:val="518D1F26"/>
    <w:rsid w:val="519E2B14"/>
    <w:rsid w:val="51A055DC"/>
    <w:rsid w:val="51AA5DE3"/>
    <w:rsid w:val="51AC6764"/>
    <w:rsid w:val="51AD4B3B"/>
    <w:rsid w:val="51B52056"/>
    <w:rsid w:val="51B74F5A"/>
    <w:rsid w:val="51BD002A"/>
    <w:rsid w:val="51C36CCB"/>
    <w:rsid w:val="51C4585C"/>
    <w:rsid w:val="51C471B1"/>
    <w:rsid w:val="51CA613D"/>
    <w:rsid w:val="51DB1C8D"/>
    <w:rsid w:val="51E82B6A"/>
    <w:rsid w:val="51EA4CB0"/>
    <w:rsid w:val="51EC1D13"/>
    <w:rsid w:val="51EE435D"/>
    <w:rsid w:val="52000617"/>
    <w:rsid w:val="520A4783"/>
    <w:rsid w:val="520D4FCD"/>
    <w:rsid w:val="520E4EF5"/>
    <w:rsid w:val="520F69D2"/>
    <w:rsid w:val="52145799"/>
    <w:rsid w:val="521570C5"/>
    <w:rsid w:val="521D24AF"/>
    <w:rsid w:val="52242841"/>
    <w:rsid w:val="52277D53"/>
    <w:rsid w:val="522B352E"/>
    <w:rsid w:val="522F41A9"/>
    <w:rsid w:val="523E6D57"/>
    <w:rsid w:val="52417FCE"/>
    <w:rsid w:val="52474E72"/>
    <w:rsid w:val="52495D62"/>
    <w:rsid w:val="52517014"/>
    <w:rsid w:val="525E1819"/>
    <w:rsid w:val="52656D4B"/>
    <w:rsid w:val="526606C2"/>
    <w:rsid w:val="52690A8A"/>
    <w:rsid w:val="526D15E2"/>
    <w:rsid w:val="52702CC3"/>
    <w:rsid w:val="527C0553"/>
    <w:rsid w:val="52994479"/>
    <w:rsid w:val="529C787B"/>
    <w:rsid w:val="52A118F2"/>
    <w:rsid w:val="52A62910"/>
    <w:rsid w:val="52AC196F"/>
    <w:rsid w:val="52BB751E"/>
    <w:rsid w:val="52BF0C6B"/>
    <w:rsid w:val="52BF7616"/>
    <w:rsid w:val="52D302DE"/>
    <w:rsid w:val="52DB37D2"/>
    <w:rsid w:val="52E112D6"/>
    <w:rsid w:val="52EE6661"/>
    <w:rsid w:val="52EF771A"/>
    <w:rsid w:val="52F23609"/>
    <w:rsid w:val="52F725D3"/>
    <w:rsid w:val="53155FA7"/>
    <w:rsid w:val="53243A84"/>
    <w:rsid w:val="532C2893"/>
    <w:rsid w:val="532E7557"/>
    <w:rsid w:val="53315C4B"/>
    <w:rsid w:val="533A00AA"/>
    <w:rsid w:val="533C7D22"/>
    <w:rsid w:val="53476182"/>
    <w:rsid w:val="53494600"/>
    <w:rsid w:val="534F7E64"/>
    <w:rsid w:val="53575365"/>
    <w:rsid w:val="53582DCC"/>
    <w:rsid w:val="5359399F"/>
    <w:rsid w:val="536F51A3"/>
    <w:rsid w:val="537321AC"/>
    <w:rsid w:val="53743ED1"/>
    <w:rsid w:val="53746E0E"/>
    <w:rsid w:val="53752E08"/>
    <w:rsid w:val="537D120F"/>
    <w:rsid w:val="538C05FC"/>
    <w:rsid w:val="538E7ED0"/>
    <w:rsid w:val="53920585"/>
    <w:rsid w:val="5396301E"/>
    <w:rsid w:val="539831F9"/>
    <w:rsid w:val="539A41B3"/>
    <w:rsid w:val="53A87319"/>
    <w:rsid w:val="53AA17A9"/>
    <w:rsid w:val="53B842AC"/>
    <w:rsid w:val="53BB5C95"/>
    <w:rsid w:val="53BE5711"/>
    <w:rsid w:val="53C42C43"/>
    <w:rsid w:val="53CB12B0"/>
    <w:rsid w:val="53D60E94"/>
    <w:rsid w:val="53EC1ECF"/>
    <w:rsid w:val="53F74AF6"/>
    <w:rsid w:val="53FD311C"/>
    <w:rsid w:val="53FD3B90"/>
    <w:rsid w:val="54084EF7"/>
    <w:rsid w:val="540A305C"/>
    <w:rsid w:val="5410110C"/>
    <w:rsid w:val="54131912"/>
    <w:rsid w:val="541C1529"/>
    <w:rsid w:val="54222228"/>
    <w:rsid w:val="5422763A"/>
    <w:rsid w:val="542A4CF1"/>
    <w:rsid w:val="54393B83"/>
    <w:rsid w:val="544615CD"/>
    <w:rsid w:val="54510C43"/>
    <w:rsid w:val="54517EF0"/>
    <w:rsid w:val="54521272"/>
    <w:rsid w:val="54521A63"/>
    <w:rsid w:val="5456526D"/>
    <w:rsid w:val="546135C3"/>
    <w:rsid w:val="54640C31"/>
    <w:rsid w:val="546B3A7C"/>
    <w:rsid w:val="546E71A0"/>
    <w:rsid w:val="547145DD"/>
    <w:rsid w:val="547609DD"/>
    <w:rsid w:val="547B5D3D"/>
    <w:rsid w:val="54805EAC"/>
    <w:rsid w:val="5482587D"/>
    <w:rsid w:val="548341C1"/>
    <w:rsid w:val="5484104F"/>
    <w:rsid w:val="54886400"/>
    <w:rsid w:val="54922940"/>
    <w:rsid w:val="54923C71"/>
    <w:rsid w:val="54A43723"/>
    <w:rsid w:val="54A75B90"/>
    <w:rsid w:val="54AE280E"/>
    <w:rsid w:val="54B3060F"/>
    <w:rsid w:val="54B40DB1"/>
    <w:rsid w:val="54B4518C"/>
    <w:rsid w:val="54B9373B"/>
    <w:rsid w:val="54B95A1A"/>
    <w:rsid w:val="54C23274"/>
    <w:rsid w:val="54CD127A"/>
    <w:rsid w:val="54D26341"/>
    <w:rsid w:val="54D45BC4"/>
    <w:rsid w:val="54DB49C4"/>
    <w:rsid w:val="54DC1C2B"/>
    <w:rsid w:val="54DE1184"/>
    <w:rsid w:val="54DE7576"/>
    <w:rsid w:val="54E212F4"/>
    <w:rsid w:val="54E92EA3"/>
    <w:rsid w:val="54F2448F"/>
    <w:rsid w:val="54FB018C"/>
    <w:rsid w:val="550109C1"/>
    <w:rsid w:val="55012924"/>
    <w:rsid w:val="55054110"/>
    <w:rsid w:val="5508132B"/>
    <w:rsid w:val="55100B6A"/>
    <w:rsid w:val="55122FCC"/>
    <w:rsid w:val="55131049"/>
    <w:rsid w:val="55164C9A"/>
    <w:rsid w:val="551A15C6"/>
    <w:rsid w:val="551F2C7C"/>
    <w:rsid w:val="55284354"/>
    <w:rsid w:val="552F12F5"/>
    <w:rsid w:val="553A18C8"/>
    <w:rsid w:val="553F43DA"/>
    <w:rsid w:val="5543118E"/>
    <w:rsid w:val="5546256D"/>
    <w:rsid w:val="554F7B33"/>
    <w:rsid w:val="555946AB"/>
    <w:rsid w:val="555C3C55"/>
    <w:rsid w:val="555C3E9A"/>
    <w:rsid w:val="556100F8"/>
    <w:rsid w:val="55627866"/>
    <w:rsid w:val="55627B08"/>
    <w:rsid w:val="5565088E"/>
    <w:rsid w:val="556D2C0F"/>
    <w:rsid w:val="556F7375"/>
    <w:rsid w:val="55721481"/>
    <w:rsid w:val="5579157E"/>
    <w:rsid w:val="5580275A"/>
    <w:rsid w:val="55911E19"/>
    <w:rsid w:val="559601F5"/>
    <w:rsid w:val="559B253D"/>
    <w:rsid w:val="559E2967"/>
    <w:rsid w:val="559F620B"/>
    <w:rsid w:val="55A03621"/>
    <w:rsid w:val="55A17B91"/>
    <w:rsid w:val="55AD5540"/>
    <w:rsid w:val="55B47996"/>
    <w:rsid w:val="55BA1450"/>
    <w:rsid w:val="55BB3061"/>
    <w:rsid w:val="55C37CDE"/>
    <w:rsid w:val="55C7591B"/>
    <w:rsid w:val="55D22539"/>
    <w:rsid w:val="55E34C3E"/>
    <w:rsid w:val="55E53845"/>
    <w:rsid w:val="55E61A70"/>
    <w:rsid w:val="55F720C6"/>
    <w:rsid w:val="55FD133D"/>
    <w:rsid w:val="56031ECA"/>
    <w:rsid w:val="5607285D"/>
    <w:rsid w:val="560C76EF"/>
    <w:rsid w:val="560F2F20"/>
    <w:rsid w:val="56120991"/>
    <w:rsid w:val="562D50DC"/>
    <w:rsid w:val="563D46B2"/>
    <w:rsid w:val="56457704"/>
    <w:rsid w:val="5648287B"/>
    <w:rsid w:val="565638FD"/>
    <w:rsid w:val="565740D6"/>
    <w:rsid w:val="5658153C"/>
    <w:rsid w:val="5667179F"/>
    <w:rsid w:val="5669552B"/>
    <w:rsid w:val="566D3E5D"/>
    <w:rsid w:val="566E677D"/>
    <w:rsid w:val="56756FEE"/>
    <w:rsid w:val="567A14B2"/>
    <w:rsid w:val="567F2B2A"/>
    <w:rsid w:val="568B0655"/>
    <w:rsid w:val="568F6105"/>
    <w:rsid w:val="569340BF"/>
    <w:rsid w:val="569D7032"/>
    <w:rsid w:val="56A26CA4"/>
    <w:rsid w:val="56A769A9"/>
    <w:rsid w:val="56A90163"/>
    <w:rsid w:val="56AD22B9"/>
    <w:rsid w:val="56BA554A"/>
    <w:rsid w:val="56BE12F4"/>
    <w:rsid w:val="56C500AD"/>
    <w:rsid w:val="56C768C1"/>
    <w:rsid w:val="56CA40F1"/>
    <w:rsid w:val="56CB20C5"/>
    <w:rsid w:val="56CF17A9"/>
    <w:rsid w:val="56DE774E"/>
    <w:rsid w:val="56ED3AE9"/>
    <w:rsid w:val="56EF6AA9"/>
    <w:rsid w:val="56F232A6"/>
    <w:rsid w:val="56FB3DE8"/>
    <w:rsid w:val="57016C0B"/>
    <w:rsid w:val="57101D0B"/>
    <w:rsid w:val="57131037"/>
    <w:rsid w:val="571C57F3"/>
    <w:rsid w:val="57263372"/>
    <w:rsid w:val="573556C2"/>
    <w:rsid w:val="57405985"/>
    <w:rsid w:val="575632CC"/>
    <w:rsid w:val="57606F87"/>
    <w:rsid w:val="577A6D2E"/>
    <w:rsid w:val="577E0893"/>
    <w:rsid w:val="577F0575"/>
    <w:rsid w:val="57877110"/>
    <w:rsid w:val="578840B1"/>
    <w:rsid w:val="57945726"/>
    <w:rsid w:val="579D34A4"/>
    <w:rsid w:val="57AC7F76"/>
    <w:rsid w:val="57B17ABA"/>
    <w:rsid w:val="57B37249"/>
    <w:rsid w:val="57B528A1"/>
    <w:rsid w:val="57BF6AF8"/>
    <w:rsid w:val="57C969E3"/>
    <w:rsid w:val="57D2297B"/>
    <w:rsid w:val="57D57D2F"/>
    <w:rsid w:val="57D60714"/>
    <w:rsid w:val="57D94111"/>
    <w:rsid w:val="57DC2BAD"/>
    <w:rsid w:val="57F15865"/>
    <w:rsid w:val="57F67D0A"/>
    <w:rsid w:val="57FF2C6E"/>
    <w:rsid w:val="580112DD"/>
    <w:rsid w:val="58057B99"/>
    <w:rsid w:val="58075662"/>
    <w:rsid w:val="580815FA"/>
    <w:rsid w:val="5808676D"/>
    <w:rsid w:val="58164CFD"/>
    <w:rsid w:val="58201D40"/>
    <w:rsid w:val="582E57DE"/>
    <w:rsid w:val="583A3C22"/>
    <w:rsid w:val="58430D07"/>
    <w:rsid w:val="584326B5"/>
    <w:rsid w:val="58611D04"/>
    <w:rsid w:val="586631C9"/>
    <w:rsid w:val="586846EF"/>
    <w:rsid w:val="586D2962"/>
    <w:rsid w:val="5872759C"/>
    <w:rsid w:val="58872F30"/>
    <w:rsid w:val="588B353C"/>
    <w:rsid w:val="588B7142"/>
    <w:rsid w:val="589B5B49"/>
    <w:rsid w:val="589E3418"/>
    <w:rsid w:val="58AF3175"/>
    <w:rsid w:val="58B67BEB"/>
    <w:rsid w:val="58C00689"/>
    <w:rsid w:val="58C957ED"/>
    <w:rsid w:val="58CA7BFC"/>
    <w:rsid w:val="58CC7366"/>
    <w:rsid w:val="58CD149A"/>
    <w:rsid w:val="58CF1EE7"/>
    <w:rsid w:val="58DF2335"/>
    <w:rsid w:val="58E3120B"/>
    <w:rsid w:val="58ED24DC"/>
    <w:rsid w:val="58EE7F4C"/>
    <w:rsid w:val="58F46DEA"/>
    <w:rsid w:val="58FB7105"/>
    <w:rsid w:val="59060509"/>
    <w:rsid w:val="59097FF9"/>
    <w:rsid w:val="590B158E"/>
    <w:rsid w:val="590B5B1F"/>
    <w:rsid w:val="59107FD3"/>
    <w:rsid w:val="591401BA"/>
    <w:rsid w:val="59283577"/>
    <w:rsid w:val="592C532E"/>
    <w:rsid w:val="592D4E59"/>
    <w:rsid w:val="59495D0A"/>
    <w:rsid w:val="594A0F1E"/>
    <w:rsid w:val="594B2650"/>
    <w:rsid w:val="59550077"/>
    <w:rsid w:val="595D42F7"/>
    <w:rsid w:val="595E0345"/>
    <w:rsid w:val="59633BAD"/>
    <w:rsid w:val="59695B0E"/>
    <w:rsid w:val="597900D1"/>
    <w:rsid w:val="59831B59"/>
    <w:rsid w:val="5984766D"/>
    <w:rsid w:val="598D1CE2"/>
    <w:rsid w:val="59941933"/>
    <w:rsid w:val="59A114F8"/>
    <w:rsid w:val="59A3309B"/>
    <w:rsid w:val="59A44352"/>
    <w:rsid w:val="59A51405"/>
    <w:rsid w:val="59AD460E"/>
    <w:rsid w:val="59B764D9"/>
    <w:rsid w:val="59BA7DD3"/>
    <w:rsid w:val="59BF0470"/>
    <w:rsid w:val="59C12B00"/>
    <w:rsid w:val="59C26B25"/>
    <w:rsid w:val="59C5315A"/>
    <w:rsid w:val="59C85BBA"/>
    <w:rsid w:val="59DA1A0D"/>
    <w:rsid w:val="59DF73D7"/>
    <w:rsid w:val="59E01997"/>
    <w:rsid w:val="59F112FE"/>
    <w:rsid w:val="59F26158"/>
    <w:rsid w:val="59FA1FEC"/>
    <w:rsid w:val="5A0B62FC"/>
    <w:rsid w:val="5A0C522E"/>
    <w:rsid w:val="5A132EDD"/>
    <w:rsid w:val="5A136829"/>
    <w:rsid w:val="5A143FBA"/>
    <w:rsid w:val="5A2643CB"/>
    <w:rsid w:val="5A364C43"/>
    <w:rsid w:val="5A397DDF"/>
    <w:rsid w:val="5A425696"/>
    <w:rsid w:val="5A450D3E"/>
    <w:rsid w:val="5A4D708A"/>
    <w:rsid w:val="5A513A05"/>
    <w:rsid w:val="5A663955"/>
    <w:rsid w:val="5A761225"/>
    <w:rsid w:val="5A7B6CD4"/>
    <w:rsid w:val="5A8A4153"/>
    <w:rsid w:val="5A8F4ABF"/>
    <w:rsid w:val="5A9038A8"/>
    <w:rsid w:val="5A942E60"/>
    <w:rsid w:val="5AAD1584"/>
    <w:rsid w:val="5AB62857"/>
    <w:rsid w:val="5AB67988"/>
    <w:rsid w:val="5AB91724"/>
    <w:rsid w:val="5ABF5901"/>
    <w:rsid w:val="5ABF7D64"/>
    <w:rsid w:val="5AC4067B"/>
    <w:rsid w:val="5ACA5953"/>
    <w:rsid w:val="5ACB3A4A"/>
    <w:rsid w:val="5ACF19E6"/>
    <w:rsid w:val="5AD47477"/>
    <w:rsid w:val="5AE3217B"/>
    <w:rsid w:val="5AE57817"/>
    <w:rsid w:val="5AE60D3F"/>
    <w:rsid w:val="5AE70490"/>
    <w:rsid w:val="5AE83DF8"/>
    <w:rsid w:val="5AEB20AC"/>
    <w:rsid w:val="5AF34ABD"/>
    <w:rsid w:val="5AF50BD0"/>
    <w:rsid w:val="5B06430D"/>
    <w:rsid w:val="5B0C1DEE"/>
    <w:rsid w:val="5B173253"/>
    <w:rsid w:val="5B26453F"/>
    <w:rsid w:val="5B2A49AD"/>
    <w:rsid w:val="5B4041A6"/>
    <w:rsid w:val="5B43724B"/>
    <w:rsid w:val="5B476CB1"/>
    <w:rsid w:val="5B500161"/>
    <w:rsid w:val="5B59062D"/>
    <w:rsid w:val="5B5E462C"/>
    <w:rsid w:val="5B6451A6"/>
    <w:rsid w:val="5B75731B"/>
    <w:rsid w:val="5B7E1EB2"/>
    <w:rsid w:val="5B847D3D"/>
    <w:rsid w:val="5B861444"/>
    <w:rsid w:val="5B8A50DE"/>
    <w:rsid w:val="5B912B50"/>
    <w:rsid w:val="5B953ED2"/>
    <w:rsid w:val="5B993928"/>
    <w:rsid w:val="5B9955E8"/>
    <w:rsid w:val="5B9A5925"/>
    <w:rsid w:val="5B9B4306"/>
    <w:rsid w:val="5B9E436E"/>
    <w:rsid w:val="5BA13C73"/>
    <w:rsid w:val="5BA74225"/>
    <w:rsid w:val="5BAA0E05"/>
    <w:rsid w:val="5BB3110B"/>
    <w:rsid w:val="5BB50DF9"/>
    <w:rsid w:val="5BBC76E7"/>
    <w:rsid w:val="5BBE50CA"/>
    <w:rsid w:val="5BC2290D"/>
    <w:rsid w:val="5BC90992"/>
    <w:rsid w:val="5BCB2B90"/>
    <w:rsid w:val="5BD81FA8"/>
    <w:rsid w:val="5BDD7C46"/>
    <w:rsid w:val="5BE72873"/>
    <w:rsid w:val="5BED5D88"/>
    <w:rsid w:val="5BF204A7"/>
    <w:rsid w:val="5BF53049"/>
    <w:rsid w:val="5BF53B3D"/>
    <w:rsid w:val="5BF75936"/>
    <w:rsid w:val="5BFB7164"/>
    <w:rsid w:val="5C0056E3"/>
    <w:rsid w:val="5C0B1C47"/>
    <w:rsid w:val="5C0B2E25"/>
    <w:rsid w:val="5C17648D"/>
    <w:rsid w:val="5C1A310B"/>
    <w:rsid w:val="5C1A753A"/>
    <w:rsid w:val="5C202F01"/>
    <w:rsid w:val="5C236E8E"/>
    <w:rsid w:val="5C312060"/>
    <w:rsid w:val="5C461A91"/>
    <w:rsid w:val="5C4639E1"/>
    <w:rsid w:val="5C497FA1"/>
    <w:rsid w:val="5C4A39F7"/>
    <w:rsid w:val="5C4B3F8B"/>
    <w:rsid w:val="5C583E24"/>
    <w:rsid w:val="5C5D0D87"/>
    <w:rsid w:val="5C60208A"/>
    <w:rsid w:val="5C66535C"/>
    <w:rsid w:val="5C6D424E"/>
    <w:rsid w:val="5C727C32"/>
    <w:rsid w:val="5C774020"/>
    <w:rsid w:val="5C78796F"/>
    <w:rsid w:val="5C8318BE"/>
    <w:rsid w:val="5C836D63"/>
    <w:rsid w:val="5C847D9F"/>
    <w:rsid w:val="5C8A0E37"/>
    <w:rsid w:val="5C93198C"/>
    <w:rsid w:val="5C98042B"/>
    <w:rsid w:val="5C9913E2"/>
    <w:rsid w:val="5CA66466"/>
    <w:rsid w:val="5CAD630E"/>
    <w:rsid w:val="5CB33015"/>
    <w:rsid w:val="5CB46F5A"/>
    <w:rsid w:val="5CB7639B"/>
    <w:rsid w:val="5CD91E24"/>
    <w:rsid w:val="5CDE0C87"/>
    <w:rsid w:val="5CDF1DCE"/>
    <w:rsid w:val="5CE33758"/>
    <w:rsid w:val="5CE96194"/>
    <w:rsid w:val="5CF319DE"/>
    <w:rsid w:val="5CF50E0C"/>
    <w:rsid w:val="5CFA2EAA"/>
    <w:rsid w:val="5D041404"/>
    <w:rsid w:val="5D05702F"/>
    <w:rsid w:val="5D0819AF"/>
    <w:rsid w:val="5D0B3DB3"/>
    <w:rsid w:val="5D0C00B7"/>
    <w:rsid w:val="5D131B22"/>
    <w:rsid w:val="5D15609A"/>
    <w:rsid w:val="5D1F0193"/>
    <w:rsid w:val="5D243C94"/>
    <w:rsid w:val="5D246DB0"/>
    <w:rsid w:val="5D264973"/>
    <w:rsid w:val="5D283218"/>
    <w:rsid w:val="5D2A41F3"/>
    <w:rsid w:val="5D2E6280"/>
    <w:rsid w:val="5D3C3250"/>
    <w:rsid w:val="5D3E70CC"/>
    <w:rsid w:val="5D412E9E"/>
    <w:rsid w:val="5D503C55"/>
    <w:rsid w:val="5D5531B4"/>
    <w:rsid w:val="5D5E4BD3"/>
    <w:rsid w:val="5D610FBA"/>
    <w:rsid w:val="5D73062F"/>
    <w:rsid w:val="5D7519FB"/>
    <w:rsid w:val="5D754359"/>
    <w:rsid w:val="5D7D61FF"/>
    <w:rsid w:val="5D7E072C"/>
    <w:rsid w:val="5D7F5B3F"/>
    <w:rsid w:val="5D8374DA"/>
    <w:rsid w:val="5D9043C5"/>
    <w:rsid w:val="5D916BCF"/>
    <w:rsid w:val="5D917380"/>
    <w:rsid w:val="5D976281"/>
    <w:rsid w:val="5D9F66F5"/>
    <w:rsid w:val="5DBF03EB"/>
    <w:rsid w:val="5DBF5867"/>
    <w:rsid w:val="5DC04997"/>
    <w:rsid w:val="5DC53591"/>
    <w:rsid w:val="5DC85744"/>
    <w:rsid w:val="5DCF2F34"/>
    <w:rsid w:val="5DD2534B"/>
    <w:rsid w:val="5DE80B25"/>
    <w:rsid w:val="5DEB2D6E"/>
    <w:rsid w:val="5DF03535"/>
    <w:rsid w:val="5DF85FBA"/>
    <w:rsid w:val="5DFC2939"/>
    <w:rsid w:val="5E021BE6"/>
    <w:rsid w:val="5E027BA8"/>
    <w:rsid w:val="5E072804"/>
    <w:rsid w:val="5E0A0BB4"/>
    <w:rsid w:val="5E0A3A10"/>
    <w:rsid w:val="5E135BA1"/>
    <w:rsid w:val="5E2860C8"/>
    <w:rsid w:val="5E2A0754"/>
    <w:rsid w:val="5E2B3F5E"/>
    <w:rsid w:val="5E384323"/>
    <w:rsid w:val="5E3B2009"/>
    <w:rsid w:val="5E3B3903"/>
    <w:rsid w:val="5E3C3CAB"/>
    <w:rsid w:val="5E3E2839"/>
    <w:rsid w:val="5E425E09"/>
    <w:rsid w:val="5E445E81"/>
    <w:rsid w:val="5E4E3305"/>
    <w:rsid w:val="5E561E50"/>
    <w:rsid w:val="5E6551CC"/>
    <w:rsid w:val="5E6D2BC6"/>
    <w:rsid w:val="5E7516A9"/>
    <w:rsid w:val="5E754D4A"/>
    <w:rsid w:val="5E757973"/>
    <w:rsid w:val="5E8B5B78"/>
    <w:rsid w:val="5E8D40BB"/>
    <w:rsid w:val="5E912506"/>
    <w:rsid w:val="5EA0790D"/>
    <w:rsid w:val="5EA20FD9"/>
    <w:rsid w:val="5EA96EBE"/>
    <w:rsid w:val="5EAC37CE"/>
    <w:rsid w:val="5EB47C6B"/>
    <w:rsid w:val="5EB505C8"/>
    <w:rsid w:val="5EB97BFE"/>
    <w:rsid w:val="5EBB4529"/>
    <w:rsid w:val="5EBC4050"/>
    <w:rsid w:val="5EBD6D92"/>
    <w:rsid w:val="5ECE4AD3"/>
    <w:rsid w:val="5ED90A4F"/>
    <w:rsid w:val="5EDB5760"/>
    <w:rsid w:val="5EEB6A6F"/>
    <w:rsid w:val="5EF04834"/>
    <w:rsid w:val="5EF77A28"/>
    <w:rsid w:val="5EFA508F"/>
    <w:rsid w:val="5F1A537B"/>
    <w:rsid w:val="5F1D3DA3"/>
    <w:rsid w:val="5F1E6215"/>
    <w:rsid w:val="5F207D18"/>
    <w:rsid w:val="5F22545D"/>
    <w:rsid w:val="5F24765D"/>
    <w:rsid w:val="5F290D15"/>
    <w:rsid w:val="5F2B466E"/>
    <w:rsid w:val="5F2D4A41"/>
    <w:rsid w:val="5F4209AC"/>
    <w:rsid w:val="5F424C71"/>
    <w:rsid w:val="5F432EAB"/>
    <w:rsid w:val="5F4420C1"/>
    <w:rsid w:val="5F4E1724"/>
    <w:rsid w:val="5F58372D"/>
    <w:rsid w:val="5F5C17A0"/>
    <w:rsid w:val="5F5C28E2"/>
    <w:rsid w:val="5F654B11"/>
    <w:rsid w:val="5F6649D0"/>
    <w:rsid w:val="5F67640E"/>
    <w:rsid w:val="5F755CC4"/>
    <w:rsid w:val="5F7A430A"/>
    <w:rsid w:val="5F7F18C1"/>
    <w:rsid w:val="5F8124DD"/>
    <w:rsid w:val="5F8737A8"/>
    <w:rsid w:val="5F8B58BB"/>
    <w:rsid w:val="5F8C5268"/>
    <w:rsid w:val="5F94225B"/>
    <w:rsid w:val="5F9840E4"/>
    <w:rsid w:val="5FAB0881"/>
    <w:rsid w:val="5FB872AD"/>
    <w:rsid w:val="5FBA585B"/>
    <w:rsid w:val="5FC111DF"/>
    <w:rsid w:val="5FD6077A"/>
    <w:rsid w:val="5FD845D7"/>
    <w:rsid w:val="5FD91EC4"/>
    <w:rsid w:val="5FDA00BB"/>
    <w:rsid w:val="5FDC6830"/>
    <w:rsid w:val="5FDF3861"/>
    <w:rsid w:val="5FE13A7D"/>
    <w:rsid w:val="5FE57F90"/>
    <w:rsid w:val="5FF842D2"/>
    <w:rsid w:val="5FF96B92"/>
    <w:rsid w:val="5FFF6B3B"/>
    <w:rsid w:val="60010018"/>
    <w:rsid w:val="60033EF8"/>
    <w:rsid w:val="6008100A"/>
    <w:rsid w:val="60103832"/>
    <w:rsid w:val="6011375B"/>
    <w:rsid w:val="60170FDD"/>
    <w:rsid w:val="601A4CAC"/>
    <w:rsid w:val="602A33E5"/>
    <w:rsid w:val="602D12EB"/>
    <w:rsid w:val="60354303"/>
    <w:rsid w:val="60381E7E"/>
    <w:rsid w:val="603B39E3"/>
    <w:rsid w:val="603D123C"/>
    <w:rsid w:val="60405096"/>
    <w:rsid w:val="60430916"/>
    <w:rsid w:val="60433F1A"/>
    <w:rsid w:val="604638DA"/>
    <w:rsid w:val="604A0111"/>
    <w:rsid w:val="604B2C00"/>
    <w:rsid w:val="60531BBE"/>
    <w:rsid w:val="60593614"/>
    <w:rsid w:val="605A2653"/>
    <w:rsid w:val="605B16EF"/>
    <w:rsid w:val="606030AA"/>
    <w:rsid w:val="606F1089"/>
    <w:rsid w:val="607029FA"/>
    <w:rsid w:val="60743486"/>
    <w:rsid w:val="60820079"/>
    <w:rsid w:val="60823802"/>
    <w:rsid w:val="60866FAA"/>
    <w:rsid w:val="60887821"/>
    <w:rsid w:val="608951D9"/>
    <w:rsid w:val="608A3E83"/>
    <w:rsid w:val="60911AB1"/>
    <w:rsid w:val="60912DAE"/>
    <w:rsid w:val="60914E6D"/>
    <w:rsid w:val="609D4A67"/>
    <w:rsid w:val="60A31E12"/>
    <w:rsid w:val="60AB53BD"/>
    <w:rsid w:val="60AE1332"/>
    <w:rsid w:val="60B06382"/>
    <w:rsid w:val="60B238E8"/>
    <w:rsid w:val="60B8658C"/>
    <w:rsid w:val="60C56A58"/>
    <w:rsid w:val="60D05951"/>
    <w:rsid w:val="60D5418A"/>
    <w:rsid w:val="60E40FCB"/>
    <w:rsid w:val="60E727D0"/>
    <w:rsid w:val="60E76E71"/>
    <w:rsid w:val="60F431B6"/>
    <w:rsid w:val="60F4333C"/>
    <w:rsid w:val="60F80E08"/>
    <w:rsid w:val="60F80F7E"/>
    <w:rsid w:val="61101393"/>
    <w:rsid w:val="6117277E"/>
    <w:rsid w:val="61181721"/>
    <w:rsid w:val="613624C4"/>
    <w:rsid w:val="613B28D7"/>
    <w:rsid w:val="613B5B36"/>
    <w:rsid w:val="613C2142"/>
    <w:rsid w:val="61411BD9"/>
    <w:rsid w:val="6144456B"/>
    <w:rsid w:val="61520F1C"/>
    <w:rsid w:val="615858BA"/>
    <w:rsid w:val="615C2A71"/>
    <w:rsid w:val="615F4C01"/>
    <w:rsid w:val="61620211"/>
    <w:rsid w:val="616273AE"/>
    <w:rsid w:val="61647FDF"/>
    <w:rsid w:val="616D3F1F"/>
    <w:rsid w:val="616F7D6C"/>
    <w:rsid w:val="617B185C"/>
    <w:rsid w:val="617F354E"/>
    <w:rsid w:val="6182718B"/>
    <w:rsid w:val="618943CD"/>
    <w:rsid w:val="618B6600"/>
    <w:rsid w:val="618F3B50"/>
    <w:rsid w:val="619176D1"/>
    <w:rsid w:val="619B1D96"/>
    <w:rsid w:val="619E3328"/>
    <w:rsid w:val="61A31CD2"/>
    <w:rsid w:val="61A84FD3"/>
    <w:rsid w:val="61AD6547"/>
    <w:rsid w:val="61B629E5"/>
    <w:rsid w:val="61BA64FF"/>
    <w:rsid w:val="61BE455F"/>
    <w:rsid w:val="61C16E98"/>
    <w:rsid w:val="61D67110"/>
    <w:rsid w:val="61D758C9"/>
    <w:rsid w:val="61DE0274"/>
    <w:rsid w:val="61E044C2"/>
    <w:rsid w:val="61E54BC6"/>
    <w:rsid w:val="61E61E86"/>
    <w:rsid w:val="61F14599"/>
    <w:rsid w:val="61FA0D76"/>
    <w:rsid w:val="61FD12D7"/>
    <w:rsid w:val="6202633D"/>
    <w:rsid w:val="62067684"/>
    <w:rsid w:val="62072558"/>
    <w:rsid w:val="620956CC"/>
    <w:rsid w:val="620B0F65"/>
    <w:rsid w:val="620D48D5"/>
    <w:rsid w:val="62125C14"/>
    <w:rsid w:val="621C6FEF"/>
    <w:rsid w:val="62270BA2"/>
    <w:rsid w:val="622802D4"/>
    <w:rsid w:val="622C60B8"/>
    <w:rsid w:val="622F0784"/>
    <w:rsid w:val="62365A7B"/>
    <w:rsid w:val="62421627"/>
    <w:rsid w:val="62434609"/>
    <w:rsid w:val="624779E5"/>
    <w:rsid w:val="62487455"/>
    <w:rsid w:val="624A7EEB"/>
    <w:rsid w:val="625A4EAE"/>
    <w:rsid w:val="625E3BE5"/>
    <w:rsid w:val="62632E08"/>
    <w:rsid w:val="626C104E"/>
    <w:rsid w:val="6271733B"/>
    <w:rsid w:val="627358D5"/>
    <w:rsid w:val="6276629E"/>
    <w:rsid w:val="627F535F"/>
    <w:rsid w:val="6287237F"/>
    <w:rsid w:val="628841ED"/>
    <w:rsid w:val="62894017"/>
    <w:rsid w:val="628D497B"/>
    <w:rsid w:val="62915BF9"/>
    <w:rsid w:val="62935911"/>
    <w:rsid w:val="629B2D2F"/>
    <w:rsid w:val="629F4FFC"/>
    <w:rsid w:val="62AE35A5"/>
    <w:rsid w:val="62AF758F"/>
    <w:rsid w:val="62B74707"/>
    <w:rsid w:val="62C4751A"/>
    <w:rsid w:val="62C50258"/>
    <w:rsid w:val="62C70051"/>
    <w:rsid w:val="62CC1A55"/>
    <w:rsid w:val="62D033D7"/>
    <w:rsid w:val="62D24E91"/>
    <w:rsid w:val="62D56E87"/>
    <w:rsid w:val="62D64631"/>
    <w:rsid w:val="62DB42A1"/>
    <w:rsid w:val="62DC7633"/>
    <w:rsid w:val="62E4189E"/>
    <w:rsid w:val="62EA14E5"/>
    <w:rsid w:val="62F35A7A"/>
    <w:rsid w:val="62F615EE"/>
    <w:rsid w:val="6300533B"/>
    <w:rsid w:val="63005D3D"/>
    <w:rsid w:val="630F3E93"/>
    <w:rsid w:val="631779FB"/>
    <w:rsid w:val="63181EE7"/>
    <w:rsid w:val="631D0BDB"/>
    <w:rsid w:val="632150B7"/>
    <w:rsid w:val="632443AD"/>
    <w:rsid w:val="63282367"/>
    <w:rsid w:val="63292FE2"/>
    <w:rsid w:val="633640E0"/>
    <w:rsid w:val="634250D9"/>
    <w:rsid w:val="63436FC8"/>
    <w:rsid w:val="634B54BD"/>
    <w:rsid w:val="634B676D"/>
    <w:rsid w:val="634F4786"/>
    <w:rsid w:val="635A7DCF"/>
    <w:rsid w:val="63654F5B"/>
    <w:rsid w:val="6365621B"/>
    <w:rsid w:val="63690152"/>
    <w:rsid w:val="636B401B"/>
    <w:rsid w:val="636D5B47"/>
    <w:rsid w:val="637356EA"/>
    <w:rsid w:val="63743354"/>
    <w:rsid w:val="63774C12"/>
    <w:rsid w:val="63790EBC"/>
    <w:rsid w:val="637A1D49"/>
    <w:rsid w:val="637D4470"/>
    <w:rsid w:val="63822E81"/>
    <w:rsid w:val="638A3FB7"/>
    <w:rsid w:val="639B3033"/>
    <w:rsid w:val="63AB6274"/>
    <w:rsid w:val="63B252AA"/>
    <w:rsid w:val="63B268A4"/>
    <w:rsid w:val="63BF01CA"/>
    <w:rsid w:val="63C26F97"/>
    <w:rsid w:val="63C72DA4"/>
    <w:rsid w:val="63CD52B1"/>
    <w:rsid w:val="63D346A3"/>
    <w:rsid w:val="63D81139"/>
    <w:rsid w:val="63DA30BD"/>
    <w:rsid w:val="63DE1E1F"/>
    <w:rsid w:val="63DF7591"/>
    <w:rsid w:val="640A7E6F"/>
    <w:rsid w:val="640D5592"/>
    <w:rsid w:val="640F111D"/>
    <w:rsid w:val="641070C0"/>
    <w:rsid w:val="6415471B"/>
    <w:rsid w:val="64177A6E"/>
    <w:rsid w:val="64184A94"/>
    <w:rsid w:val="641A24E2"/>
    <w:rsid w:val="641C62B2"/>
    <w:rsid w:val="641C6342"/>
    <w:rsid w:val="641D5D90"/>
    <w:rsid w:val="64236444"/>
    <w:rsid w:val="642A4A6F"/>
    <w:rsid w:val="642A69E2"/>
    <w:rsid w:val="642E14F0"/>
    <w:rsid w:val="644106C9"/>
    <w:rsid w:val="64430863"/>
    <w:rsid w:val="64487864"/>
    <w:rsid w:val="6455416E"/>
    <w:rsid w:val="645A2BDF"/>
    <w:rsid w:val="645E43AA"/>
    <w:rsid w:val="64675F8C"/>
    <w:rsid w:val="647E2BEE"/>
    <w:rsid w:val="64821DEA"/>
    <w:rsid w:val="6484560E"/>
    <w:rsid w:val="648834FC"/>
    <w:rsid w:val="64933326"/>
    <w:rsid w:val="649A0BB7"/>
    <w:rsid w:val="649D3EDA"/>
    <w:rsid w:val="649E604B"/>
    <w:rsid w:val="64A20B38"/>
    <w:rsid w:val="64A25691"/>
    <w:rsid w:val="64AB4EC5"/>
    <w:rsid w:val="64B132E4"/>
    <w:rsid w:val="64B47BFE"/>
    <w:rsid w:val="64BF5725"/>
    <w:rsid w:val="64C202A5"/>
    <w:rsid w:val="64C82295"/>
    <w:rsid w:val="64CD091C"/>
    <w:rsid w:val="64D578D7"/>
    <w:rsid w:val="64D72494"/>
    <w:rsid w:val="64D76205"/>
    <w:rsid w:val="64D911C7"/>
    <w:rsid w:val="64D9683E"/>
    <w:rsid w:val="64E2648D"/>
    <w:rsid w:val="64E45FE6"/>
    <w:rsid w:val="64EA01BF"/>
    <w:rsid w:val="64EF2F60"/>
    <w:rsid w:val="64F6737C"/>
    <w:rsid w:val="65040FBB"/>
    <w:rsid w:val="650A6B91"/>
    <w:rsid w:val="650A7524"/>
    <w:rsid w:val="650C1046"/>
    <w:rsid w:val="650C3283"/>
    <w:rsid w:val="65146114"/>
    <w:rsid w:val="651B2C2A"/>
    <w:rsid w:val="65230D6E"/>
    <w:rsid w:val="652930F2"/>
    <w:rsid w:val="65305B8D"/>
    <w:rsid w:val="653921B1"/>
    <w:rsid w:val="653C59A6"/>
    <w:rsid w:val="653E5583"/>
    <w:rsid w:val="653F64B5"/>
    <w:rsid w:val="6543536E"/>
    <w:rsid w:val="65442CBA"/>
    <w:rsid w:val="65513C14"/>
    <w:rsid w:val="65584095"/>
    <w:rsid w:val="656514DA"/>
    <w:rsid w:val="65707C2C"/>
    <w:rsid w:val="6572029D"/>
    <w:rsid w:val="65741979"/>
    <w:rsid w:val="657F2E63"/>
    <w:rsid w:val="65853AE9"/>
    <w:rsid w:val="658D62E6"/>
    <w:rsid w:val="659805C0"/>
    <w:rsid w:val="659A1697"/>
    <w:rsid w:val="65A5705B"/>
    <w:rsid w:val="65A87423"/>
    <w:rsid w:val="65AA4C86"/>
    <w:rsid w:val="65B363DF"/>
    <w:rsid w:val="65B43AEC"/>
    <w:rsid w:val="65BB400B"/>
    <w:rsid w:val="65CE0C9E"/>
    <w:rsid w:val="65D33E68"/>
    <w:rsid w:val="65DB009A"/>
    <w:rsid w:val="65DD32BC"/>
    <w:rsid w:val="65E21CCA"/>
    <w:rsid w:val="65EC32E5"/>
    <w:rsid w:val="65F061C8"/>
    <w:rsid w:val="65F441B3"/>
    <w:rsid w:val="65F65B2A"/>
    <w:rsid w:val="65FD4589"/>
    <w:rsid w:val="65FF7A90"/>
    <w:rsid w:val="66003EE4"/>
    <w:rsid w:val="660600DF"/>
    <w:rsid w:val="66070283"/>
    <w:rsid w:val="660B3E3D"/>
    <w:rsid w:val="660C6E9F"/>
    <w:rsid w:val="66191177"/>
    <w:rsid w:val="6619154B"/>
    <w:rsid w:val="66255BFF"/>
    <w:rsid w:val="662639BA"/>
    <w:rsid w:val="662B77A0"/>
    <w:rsid w:val="662F01E1"/>
    <w:rsid w:val="6630148C"/>
    <w:rsid w:val="66447EBD"/>
    <w:rsid w:val="66475647"/>
    <w:rsid w:val="664775F0"/>
    <w:rsid w:val="664B6F71"/>
    <w:rsid w:val="664E23DC"/>
    <w:rsid w:val="664F3D0B"/>
    <w:rsid w:val="6652062B"/>
    <w:rsid w:val="665C1474"/>
    <w:rsid w:val="66615364"/>
    <w:rsid w:val="66731E80"/>
    <w:rsid w:val="667810A9"/>
    <w:rsid w:val="66831332"/>
    <w:rsid w:val="66860FFF"/>
    <w:rsid w:val="668F2D4B"/>
    <w:rsid w:val="6697363C"/>
    <w:rsid w:val="66AD64D9"/>
    <w:rsid w:val="66BE5742"/>
    <w:rsid w:val="66D13795"/>
    <w:rsid w:val="66D734E4"/>
    <w:rsid w:val="66D7487B"/>
    <w:rsid w:val="66E5153A"/>
    <w:rsid w:val="66E71872"/>
    <w:rsid w:val="66EC3434"/>
    <w:rsid w:val="66F2311B"/>
    <w:rsid w:val="66F66888"/>
    <w:rsid w:val="66F727EF"/>
    <w:rsid w:val="66F77E3C"/>
    <w:rsid w:val="66F8124E"/>
    <w:rsid w:val="66FD3534"/>
    <w:rsid w:val="66FE3167"/>
    <w:rsid w:val="66FE6CC3"/>
    <w:rsid w:val="66FF280D"/>
    <w:rsid w:val="66FF5A8F"/>
    <w:rsid w:val="67006EDF"/>
    <w:rsid w:val="67094206"/>
    <w:rsid w:val="670D6659"/>
    <w:rsid w:val="671A2E3A"/>
    <w:rsid w:val="671B753A"/>
    <w:rsid w:val="672226B7"/>
    <w:rsid w:val="6724186C"/>
    <w:rsid w:val="67267330"/>
    <w:rsid w:val="672D4731"/>
    <w:rsid w:val="673858C6"/>
    <w:rsid w:val="67401089"/>
    <w:rsid w:val="674C7A41"/>
    <w:rsid w:val="674E7649"/>
    <w:rsid w:val="6755619C"/>
    <w:rsid w:val="67582877"/>
    <w:rsid w:val="675B102C"/>
    <w:rsid w:val="675B7579"/>
    <w:rsid w:val="675D55A7"/>
    <w:rsid w:val="675F2192"/>
    <w:rsid w:val="676845C8"/>
    <w:rsid w:val="676B1118"/>
    <w:rsid w:val="676B22CD"/>
    <w:rsid w:val="67746652"/>
    <w:rsid w:val="677B3668"/>
    <w:rsid w:val="677C15A0"/>
    <w:rsid w:val="677F65D8"/>
    <w:rsid w:val="67802EFA"/>
    <w:rsid w:val="678802ED"/>
    <w:rsid w:val="67961046"/>
    <w:rsid w:val="67980139"/>
    <w:rsid w:val="679876DF"/>
    <w:rsid w:val="679B2F2F"/>
    <w:rsid w:val="679E0E10"/>
    <w:rsid w:val="67A23989"/>
    <w:rsid w:val="67A27AFC"/>
    <w:rsid w:val="67A74E48"/>
    <w:rsid w:val="67B6134C"/>
    <w:rsid w:val="67B877CA"/>
    <w:rsid w:val="67C577E1"/>
    <w:rsid w:val="67CA36CD"/>
    <w:rsid w:val="67CB5AE3"/>
    <w:rsid w:val="67CB7E43"/>
    <w:rsid w:val="67D01EEE"/>
    <w:rsid w:val="67D05F56"/>
    <w:rsid w:val="67D11F53"/>
    <w:rsid w:val="67DF56A4"/>
    <w:rsid w:val="67E01BA5"/>
    <w:rsid w:val="67E03808"/>
    <w:rsid w:val="67E45A32"/>
    <w:rsid w:val="67E97759"/>
    <w:rsid w:val="67EB0B9E"/>
    <w:rsid w:val="67FA3EA4"/>
    <w:rsid w:val="68006EC8"/>
    <w:rsid w:val="68094711"/>
    <w:rsid w:val="681346F9"/>
    <w:rsid w:val="68160DEC"/>
    <w:rsid w:val="68190258"/>
    <w:rsid w:val="681A5D7E"/>
    <w:rsid w:val="68266375"/>
    <w:rsid w:val="68295146"/>
    <w:rsid w:val="682B0D20"/>
    <w:rsid w:val="68330BEE"/>
    <w:rsid w:val="6836153B"/>
    <w:rsid w:val="683A21CA"/>
    <w:rsid w:val="683E1810"/>
    <w:rsid w:val="683E47B8"/>
    <w:rsid w:val="683F7AD2"/>
    <w:rsid w:val="68420858"/>
    <w:rsid w:val="684B55E1"/>
    <w:rsid w:val="684E507E"/>
    <w:rsid w:val="6850056F"/>
    <w:rsid w:val="685112E9"/>
    <w:rsid w:val="68514113"/>
    <w:rsid w:val="685A5826"/>
    <w:rsid w:val="685F0A3E"/>
    <w:rsid w:val="68607763"/>
    <w:rsid w:val="686C4C12"/>
    <w:rsid w:val="686F092D"/>
    <w:rsid w:val="6874626F"/>
    <w:rsid w:val="68794E8B"/>
    <w:rsid w:val="687B1AA8"/>
    <w:rsid w:val="687F00C0"/>
    <w:rsid w:val="6890596A"/>
    <w:rsid w:val="68906CCB"/>
    <w:rsid w:val="68941AA2"/>
    <w:rsid w:val="689533A1"/>
    <w:rsid w:val="6895507A"/>
    <w:rsid w:val="68965998"/>
    <w:rsid w:val="689D2BEF"/>
    <w:rsid w:val="689D5338"/>
    <w:rsid w:val="689F675E"/>
    <w:rsid w:val="68A20A77"/>
    <w:rsid w:val="68C957AD"/>
    <w:rsid w:val="68CD0A14"/>
    <w:rsid w:val="68D3413B"/>
    <w:rsid w:val="68D75378"/>
    <w:rsid w:val="68EA3C2B"/>
    <w:rsid w:val="68FD6E33"/>
    <w:rsid w:val="6903697B"/>
    <w:rsid w:val="691150BC"/>
    <w:rsid w:val="691B586A"/>
    <w:rsid w:val="691E41B2"/>
    <w:rsid w:val="691E7AE4"/>
    <w:rsid w:val="692B6129"/>
    <w:rsid w:val="692F6AA9"/>
    <w:rsid w:val="69332C99"/>
    <w:rsid w:val="6933534A"/>
    <w:rsid w:val="69341180"/>
    <w:rsid w:val="6934737D"/>
    <w:rsid w:val="693518FB"/>
    <w:rsid w:val="693C7BB9"/>
    <w:rsid w:val="693F7551"/>
    <w:rsid w:val="69465531"/>
    <w:rsid w:val="6947220C"/>
    <w:rsid w:val="69560380"/>
    <w:rsid w:val="695738BD"/>
    <w:rsid w:val="695D7D9C"/>
    <w:rsid w:val="69690D6B"/>
    <w:rsid w:val="697E134C"/>
    <w:rsid w:val="698D1F73"/>
    <w:rsid w:val="69A35016"/>
    <w:rsid w:val="69A52143"/>
    <w:rsid w:val="69B4541D"/>
    <w:rsid w:val="69BA0787"/>
    <w:rsid w:val="69C4397C"/>
    <w:rsid w:val="69CB3757"/>
    <w:rsid w:val="69CF221A"/>
    <w:rsid w:val="69CF257E"/>
    <w:rsid w:val="69D71C14"/>
    <w:rsid w:val="69D96B71"/>
    <w:rsid w:val="69E11ACF"/>
    <w:rsid w:val="69E74168"/>
    <w:rsid w:val="69E90419"/>
    <w:rsid w:val="69ED4E05"/>
    <w:rsid w:val="69FD3A97"/>
    <w:rsid w:val="6A034FCE"/>
    <w:rsid w:val="6A07144C"/>
    <w:rsid w:val="6A0C65D5"/>
    <w:rsid w:val="6A0E7AE3"/>
    <w:rsid w:val="6A171A02"/>
    <w:rsid w:val="6A1908E3"/>
    <w:rsid w:val="6A1D1985"/>
    <w:rsid w:val="6A1E0C4C"/>
    <w:rsid w:val="6A2076C3"/>
    <w:rsid w:val="6A240F66"/>
    <w:rsid w:val="6A2D1C4E"/>
    <w:rsid w:val="6A3047AA"/>
    <w:rsid w:val="6A3550F2"/>
    <w:rsid w:val="6A381952"/>
    <w:rsid w:val="6A420882"/>
    <w:rsid w:val="6A436049"/>
    <w:rsid w:val="6A4A6A21"/>
    <w:rsid w:val="6A4E7B99"/>
    <w:rsid w:val="6A525926"/>
    <w:rsid w:val="6A5273D1"/>
    <w:rsid w:val="6A543885"/>
    <w:rsid w:val="6A57091D"/>
    <w:rsid w:val="6A6257BB"/>
    <w:rsid w:val="6A6910C1"/>
    <w:rsid w:val="6A7171D7"/>
    <w:rsid w:val="6A750AE2"/>
    <w:rsid w:val="6A782BBF"/>
    <w:rsid w:val="6A7A6FA8"/>
    <w:rsid w:val="6A803564"/>
    <w:rsid w:val="6A88614A"/>
    <w:rsid w:val="6A8A5C7F"/>
    <w:rsid w:val="6A8D7B0B"/>
    <w:rsid w:val="6A8F16D0"/>
    <w:rsid w:val="6A903F85"/>
    <w:rsid w:val="6A9D776B"/>
    <w:rsid w:val="6A9F22CE"/>
    <w:rsid w:val="6AA620C7"/>
    <w:rsid w:val="6AA87672"/>
    <w:rsid w:val="6AAD3DCE"/>
    <w:rsid w:val="6ABC585C"/>
    <w:rsid w:val="6ABD0EED"/>
    <w:rsid w:val="6AC133C0"/>
    <w:rsid w:val="6AC974D8"/>
    <w:rsid w:val="6ACF3D34"/>
    <w:rsid w:val="6AD77D3B"/>
    <w:rsid w:val="6AD85FE7"/>
    <w:rsid w:val="6AD87AE0"/>
    <w:rsid w:val="6AD93742"/>
    <w:rsid w:val="6AE875B9"/>
    <w:rsid w:val="6AE96F43"/>
    <w:rsid w:val="6AEB7E41"/>
    <w:rsid w:val="6AED195F"/>
    <w:rsid w:val="6AEE0ED6"/>
    <w:rsid w:val="6AEE38D8"/>
    <w:rsid w:val="6AF200A6"/>
    <w:rsid w:val="6AF512F4"/>
    <w:rsid w:val="6AF9600E"/>
    <w:rsid w:val="6AFB68EC"/>
    <w:rsid w:val="6AFD51CF"/>
    <w:rsid w:val="6AFD5828"/>
    <w:rsid w:val="6B0C4EA8"/>
    <w:rsid w:val="6B1A4248"/>
    <w:rsid w:val="6B1C06F6"/>
    <w:rsid w:val="6B1E7C2F"/>
    <w:rsid w:val="6B2769C2"/>
    <w:rsid w:val="6B2F380D"/>
    <w:rsid w:val="6B370BDA"/>
    <w:rsid w:val="6B451619"/>
    <w:rsid w:val="6B4F2441"/>
    <w:rsid w:val="6B5837AB"/>
    <w:rsid w:val="6B5844A1"/>
    <w:rsid w:val="6B6429DD"/>
    <w:rsid w:val="6B661536"/>
    <w:rsid w:val="6B673E74"/>
    <w:rsid w:val="6B6C6E76"/>
    <w:rsid w:val="6B743A82"/>
    <w:rsid w:val="6B7F1B93"/>
    <w:rsid w:val="6B8D46FD"/>
    <w:rsid w:val="6B8E7A00"/>
    <w:rsid w:val="6B926010"/>
    <w:rsid w:val="6B931943"/>
    <w:rsid w:val="6B970D25"/>
    <w:rsid w:val="6B9C6539"/>
    <w:rsid w:val="6B9F6E02"/>
    <w:rsid w:val="6BA31BB1"/>
    <w:rsid w:val="6BA5131C"/>
    <w:rsid w:val="6BAA7061"/>
    <w:rsid w:val="6BBA1542"/>
    <w:rsid w:val="6BBD6A19"/>
    <w:rsid w:val="6BD565AB"/>
    <w:rsid w:val="6BE52720"/>
    <w:rsid w:val="6BF94813"/>
    <w:rsid w:val="6C3111D6"/>
    <w:rsid w:val="6C312507"/>
    <w:rsid w:val="6C3702A4"/>
    <w:rsid w:val="6C394FC3"/>
    <w:rsid w:val="6C3D0992"/>
    <w:rsid w:val="6C441988"/>
    <w:rsid w:val="6C467A32"/>
    <w:rsid w:val="6C481D33"/>
    <w:rsid w:val="6C492842"/>
    <w:rsid w:val="6C4A6009"/>
    <w:rsid w:val="6C4F21FC"/>
    <w:rsid w:val="6C517AA6"/>
    <w:rsid w:val="6C570557"/>
    <w:rsid w:val="6C735652"/>
    <w:rsid w:val="6C77554D"/>
    <w:rsid w:val="6C7F5660"/>
    <w:rsid w:val="6C801EEA"/>
    <w:rsid w:val="6C851344"/>
    <w:rsid w:val="6C857B97"/>
    <w:rsid w:val="6C891D4F"/>
    <w:rsid w:val="6C8A2C02"/>
    <w:rsid w:val="6C976618"/>
    <w:rsid w:val="6CA21B6A"/>
    <w:rsid w:val="6CAF490C"/>
    <w:rsid w:val="6CBD2908"/>
    <w:rsid w:val="6CC9331B"/>
    <w:rsid w:val="6CD401EC"/>
    <w:rsid w:val="6CE9267E"/>
    <w:rsid w:val="6CED230E"/>
    <w:rsid w:val="6CED2B28"/>
    <w:rsid w:val="6CF03AEE"/>
    <w:rsid w:val="6CF91D8C"/>
    <w:rsid w:val="6CFA6C68"/>
    <w:rsid w:val="6D051620"/>
    <w:rsid w:val="6D0737CE"/>
    <w:rsid w:val="6D075075"/>
    <w:rsid w:val="6D08270F"/>
    <w:rsid w:val="6D0D7C60"/>
    <w:rsid w:val="6D1652A1"/>
    <w:rsid w:val="6D1A0DA5"/>
    <w:rsid w:val="6D25364D"/>
    <w:rsid w:val="6D2A4F0D"/>
    <w:rsid w:val="6D2C31D6"/>
    <w:rsid w:val="6D2D0302"/>
    <w:rsid w:val="6D330529"/>
    <w:rsid w:val="6D34387D"/>
    <w:rsid w:val="6D3C511D"/>
    <w:rsid w:val="6D3F766C"/>
    <w:rsid w:val="6D5652DD"/>
    <w:rsid w:val="6D5768B7"/>
    <w:rsid w:val="6D5A3393"/>
    <w:rsid w:val="6D601A36"/>
    <w:rsid w:val="6D683D05"/>
    <w:rsid w:val="6D6A2C2F"/>
    <w:rsid w:val="6D6B5B7D"/>
    <w:rsid w:val="6D7C77B7"/>
    <w:rsid w:val="6D7E02BC"/>
    <w:rsid w:val="6D897165"/>
    <w:rsid w:val="6D8E4518"/>
    <w:rsid w:val="6D951ED6"/>
    <w:rsid w:val="6D9662DC"/>
    <w:rsid w:val="6D9B1CAE"/>
    <w:rsid w:val="6D9C4737"/>
    <w:rsid w:val="6DA27507"/>
    <w:rsid w:val="6DB207D0"/>
    <w:rsid w:val="6DBC5712"/>
    <w:rsid w:val="6DBE64B8"/>
    <w:rsid w:val="6DCC6136"/>
    <w:rsid w:val="6DD8502D"/>
    <w:rsid w:val="6DDC381E"/>
    <w:rsid w:val="6DDE33AA"/>
    <w:rsid w:val="6DE005A7"/>
    <w:rsid w:val="6DE24784"/>
    <w:rsid w:val="6DE32556"/>
    <w:rsid w:val="6DE42232"/>
    <w:rsid w:val="6DE9770C"/>
    <w:rsid w:val="6E0018F5"/>
    <w:rsid w:val="6E115DE8"/>
    <w:rsid w:val="6E142D35"/>
    <w:rsid w:val="6E151D5A"/>
    <w:rsid w:val="6E171279"/>
    <w:rsid w:val="6E1F4036"/>
    <w:rsid w:val="6E2128BE"/>
    <w:rsid w:val="6E246E46"/>
    <w:rsid w:val="6E297B9D"/>
    <w:rsid w:val="6E2F1C57"/>
    <w:rsid w:val="6E3418C4"/>
    <w:rsid w:val="6E533829"/>
    <w:rsid w:val="6E5D013A"/>
    <w:rsid w:val="6E605C81"/>
    <w:rsid w:val="6E614566"/>
    <w:rsid w:val="6E712C93"/>
    <w:rsid w:val="6E7B658E"/>
    <w:rsid w:val="6E855289"/>
    <w:rsid w:val="6E8E2CF2"/>
    <w:rsid w:val="6E94767F"/>
    <w:rsid w:val="6E991824"/>
    <w:rsid w:val="6E9947B3"/>
    <w:rsid w:val="6E9A5523"/>
    <w:rsid w:val="6E9A775F"/>
    <w:rsid w:val="6E9E3FA6"/>
    <w:rsid w:val="6E9F03D8"/>
    <w:rsid w:val="6EBF45C8"/>
    <w:rsid w:val="6EC06586"/>
    <w:rsid w:val="6ED042F3"/>
    <w:rsid w:val="6EDD18B4"/>
    <w:rsid w:val="6EE3488B"/>
    <w:rsid w:val="6EEA2389"/>
    <w:rsid w:val="6EF1606D"/>
    <w:rsid w:val="6EF71452"/>
    <w:rsid w:val="6EF86CF7"/>
    <w:rsid w:val="6EFB1A58"/>
    <w:rsid w:val="6F036E5D"/>
    <w:rsid w:val="6F050BC0"/>
    <w:rsid w:val="6F097FDF"/>
    <w:rsid w:val="6F0D1CD6"/>
    <w:rsid w:val="6F0F4C4D"/>
    <w:rsid w:val="6F1E7E69"/>
    <w:rsid w:val="6F2868C8"/>
    <w:rsid w:val="6F293789"/>
    <w:rsid w:val="6F2B0496"/>
    <w:rsid w:val="6F2C5348"/>
    <w:rsid w:val="6F2F090E"/>
    <w:rsid w:val="6F324291"/>
    <w:rsid w:val="6F5615D5"/>
    <w:rsid w:val="6F5942E0"/>
    <w:rsid w:val="6F5F2937"/>
    <w:rsid w:val="6F647E89"/>
    <w:rsid w:val="6F6B7A4C"/>
    <w:rsid w:val="6F6E46E3"/>
    <w:rsid w:val="6F882B72"/>
    <w:rsid w:val="6F8F4E86"/>
    <w:rsid w:val="6FB63D4C"/>
    <w:rsid w:val="6FB64E3E"/>
    <w:rsid w:val="6FBD0418"/>
    <w:rsid w:val="6FC048BC"/>
    <w:rsid w:val="6FC56779"/>
    <w:rsid w:val="6FC70A73"/>
    <w:rsid w:val="6FCB24DF"/>
    <w:rsid w:val="6FD5651B"/>
    <w:rsid w:val="6FD66065"/>
    <w:rsid w:val="6FD67575"/>
    <w:rsid w:val="6FD7411F"/>
    <w:rsid w:val="6FDD4897"/>
    <w:rsid w:val="6FE17402"/>
    <w:rsid w:val="6FE803A6"/>
    <w:rsid w:val="6FEA1419"/>
    <w:rsid w:val="6FEF0689"/>
    <w:rsid w:val="6FFD46A9"/>
    <w:rsid w:val="70041191"/>
    <w:rsid w:val="70055A2E"/>
    <w:rsid w:val="70094861"/>
    <w:rsid w:val="70116EF3"/>
    <w:rsid w:val="701A5543"/>
    <w:rsid w:val="701D5921"/>
    <w:rsid w:val="70271646"/>
    <w:rsid w:val="702A3801"/>
    <w:rsid w:val="70445721"/>
    <w:rsid w:val="70495453"/>
    <w:rsid w:val="70532079"/>
    <w:rsid w:val="705423B6"/>
    <w:rsid w:val="70651B61"/>
    <w:rsid w:val="706F76FE"/>
    <w:rsid w:val="707137F1"/>
    <w:rsid w:val="70732A2D"/>
    <w:rsid w:val="70766CF4"/>
    <w:rsid w:val="70803921"/>
    <w:rsid w:val="708061C3"/>
    <w:rsid w:val="70816B68"/>
    <w:rsid w:val="70881160"/>
    <w:rsid w:val="708D466D"/>
    <w:rsid w:val="70904285"/>
    <w:rsid w:val="7096018B"/>
    <w:rsid w:val="7098290A"/>
    <w:rsid w:val="70983EB2"/>
    <w:rsid w:val="709D2060"/>
    <w:rsid w:val="70AA0F73"/>
    <w:rsid w:val="70B84826"/>
    <w:rsid w:val="70C25F11"/>
    <w:rsid w:val="70C75C1B"/>
    <w:rsid w:val="70CB4C66"/>
    <w:rsid w:val="70D07E34"/>
    <w:rsid w:val="70D1066A"/>
    <w:rsid w:val="70D14DB1"/>
    <w:rsid w:val="70DE2209"/>
    <w:rsid w:val="70E06E29"/>
    <w:rsid w:val="70EA2DB6"/>
    <w:rsid w:val="70EC5AB1"/>
    <w:rsid w:val="70F0560F"/>
    <w:rsid w:val="70F72A90"/>
    <w:rsid w:val="70F93503"/>
    <w:rsid w:val="71073280"/>
    <w:rsid w:val="71092F0B"/>
    <w:rsid w:val="711C3351"/>
    <w:rsid w:val="711F364D"/>
    <w:rsid w:val="71276BFD"/>
    <w:rsid w:val="712C665B"/>
    <w:rsid w:val="713E37CA"/>
    <w:rsid w:val="71415607"/>
    <w:rsid w:val="71480353"/>
    <w:rsid w:val="71497D42"/>
    <w:rsid w:val="714E0C12"/>
    <w:rsid w:val="71533507"/>
    <w:rsid w:val="716B53BA"/>
    <w:rsid w:val="716C7460"/>
    <w:rsid w:val="71811901"/>
    <w:rsid w:val="71815A56"/>
    <w:rsid w:val="718657BA"/>
    <w:rsid w:val="718A2D0C"/>
    <w:rsid w:val="718C51B4"/>
    <w:rsid w:val="71914168"/>
    <w:rsid w:val="71940B11"/>
    <w:rsid w:val="71A843FB"/>
    <w:rsid w:val="71AD4DCE"/>
    <w:rsid w:val="71B61B68"/>
    <w:rsid w:val="71BC7B23"/>
    <w:rsid w:val="71C254BD"/>
    <w:rsid w:val="71C52870"/>
    <w:rsid w:val="71C652B0"/>
    <w:rsid w:val="71CA25C3"/>
    <w:rsid w:val="71CA2F8E"/>
    <w:rsid w:val="71CB1C7C"/>
    <w:rsid w:val="71D04246"/>
    <w:rsid w:val="71D747B4"/>
    <w:rsid w:val="71D93505"/>
    <w:rsid w:val="71E70440"/>
    <w:rsid w:val="7201728A"/>
    <w:rsid w:val="720965F3"/>
    <w:rsid w:val="720D425E"/>
    <w:rsid w:val="72155B21"/>
    <w:rsid w:val="721D249D"/>
    <w:rsid w:val="72203D1C"/>
    <w:rsid w:val="722B2C07"/>
    <w:rsid w:val="72342D06"/>
    <w:rsid w:val="72362B15"/>
    <w:rsid w:val="72394BFF"/>
    <w:rsid w:val="723A1D4B"/>
    <w:rsid w:val="723B0DCB"/>
    <w:rsid w:val="723C28FC"/>
    <w:rsid w:val="723F0DBE"/>
    <w:rsid w:val="723F67BB"/>
    <w:rsid w:val="7245554A"/>
    <w:rsid w:val="7249173A"/>
    <w:rsid w:val="724C122A"/>
    <w:rsid w:val="725505D3"/>
    <w:rsid w:val="72556D83"/>
    <w:rsid w:val="725839D3"/>
    <w:rsid w:val="72621A7F"/>
    <w:rsid w:val="726D6CAB"/>
    <w:rsid w:val="72700DF5"/>
    <w:rsid w:val="72705CB2"/>
    <w:rsid w:val="72711126"/>
    <w:rsid w:val="72732F9F"/>
    <w:rsid w:val="7273651B"/>
    <w:rsid w:val="727A7C8D"/>
    <w:rsid w:val="727B1F2D"/>
    <w:rsid w:val="727B319C"/>
    <w:rsid w:val="72811CEE"/>
    <w:rsid w:val="72945A53"/>
    <w:rsid w:val="72B047B2"/>
    <w:rsid w:val="72C31B2D"/>
    <w:rsid w:val="72C8493B"/>
    <w:rsid w:val="72CB2CD0"/>
    <w:rsid w:val="72CD144E"/>
    <w:rsid w:val="72D134DE"/>
    <w:rsid w:val="72D57966"/>
    <w:rsid w:val="72DD01BE"/>
    <w:rsid w:val="72DD1BDE"/>
    <w:rsid w:val="72E316E7"/>
    <w:rsid w:val="72E44DF3"/>
    <w:rsid w:val="72F73362"/>
    <w:rsid w:val="72FA752B"/>
    <w:rsid w:val="72FD6392"/>
    <w:rsid w:val="72FF629D"/>
    <w:rsid w:val="72FF6B34"/>
    <w:rsid w:val="731A4C2B"/>
    <w:rsid w:val="73213812"/>
    <w:rsid w:val="732B1540"/>
    <w:rsid w:val="732F34C5"/>
    <w:rsid w:val="733C60FD"/>
    <w:rsid w:val="7348540A"/>
    <w:rsid w:val="73495B32"/>
    <w:rsid w:val="734B54A4"/>
    <w:rsid w:val="73555EBD"/>
    <w:rsid w:val="735A3627"/>
    <w:rsid w:val="7364132F"/>
    <w:rsid w:val="73666F58"/>
    <w:rsid w:val="736953A2"/>
    <w:rsid w:val="737F118B"/>
    <w:rsid w:val="73892637"/>
    <w:rsid w:val="738D49B5"/>
    <w:rsid w:val="738E14FD"/>
    <w:rsid w:val="739A7D73"/>
    <w:rsid w:val="73A617EE"/>
    <w:rsid w:val="73A6581B"/>
    <w:rsid w:val="73AE1BE5"/>
    <w:rsid w:val="73AF37DA"/>
    <w:rsid w:val="73B344B6"/>
    <w:rsid w:val="73BD1EB7"/>
    <w:rsid w:val="73CB1409"/>
    <w:rsid w:val="73CE790A"/>
    <w:rsid w:val="73D23222"/>
    <w:rsid w:val="73E003D1"/>
    <w:rsid w:val="73E23B6D"/>
    <w:rsid w:val="73E74253"/>
    <w:rsid w:val="73FB375D"/>
    <w:rsid w:val="740272D5"/>
    <w:rsid w:val="740B3EAE"/>
    <w:rsid w:val="740C0D95"/>
    <w:rsid w:val="740D0733"/>
    <w:rsid w:val="740E228F"/>
    <w:rsid w:val="740E7F30"/>
    <w:rsid w:val="7416389E"/>
    <w:rsid w:val="741C0D36"/>
    <w:rsid w:val="741C619B"/>
    <w:rsid w:val="74221EBD"/>
    <w:rsid w:val="74295BD7"/>
    <w:rsid w:val="742D6863"/>
    <w:rsid w:val="74347BE6"/>
    <w:rsid w:val="743562A5"/>
    <w:rsid w:val="7437463E"/>
    <w:rsid w:val="744B103D"/>
    <w:rsid w:val="74541440"/>
    <w:rsid w:val="74552352"/>
    <w:rsid w:val="745B0F15"/>
    <w:rsid w:val="74632A5E"/>
    <w:rsid w:val="746E72F3"/>
    <w:rsid w:val="746E7D68"/>
    <w:rsid w:val="7470586B"/>
    <w:rsid w:val="7478139A"/>
    <w:rsid w:val="748162CE"/>
    <w:rsid w:val="748202F8"/>
    <w:rsid w:val="74834279"/>
    <w:rsid w:val="748348ED"/>
    <w:rsid w:val="74877914"/>
    <w:rsid w:val="749642FF"/>
    <w:rsid w:val="749811BB"/>
    <w:rsid w:val="749D23FA"/>
    <w:rsid w:val="74B65081"/>
    <w:rsid w:val="74BC310B"/>
    <w:rsid w:val="74BC781F"/>
    <w:rsid w:val="74BF4B59"/>
    <w:rsid w:val="74C65346"/>
    <w:rsid w:val="74D0590E"/>
    <w:rsid w:val="74D97635"/>
    <w:rsid w:val="74E97B45"/>
    <w:rsid w:val="74EF2AE7"/>
    <w:rsid w:val="74F016BD"/>
    <w:rsid w:val="75066890"/>
    <w:rsid w:val="750E2891"/>
    <w:rsid w:val="750F1CF5"/>
    <w:rsid w:val="752000AC"/>
    <w:rsid w:val="75220300"/>
    <w:rsid w:val="752539F4"/>
    <w:rsid w:val="752C6330"/>
    <w:rsid w:val="75337796"/>
    <w:rsid w:val="75381CB1"/>
    <w:rsid w:val="753C6ECE"/>
    <w:rsid w:val="754108DA"/>
    <w:rsid w:val="754461E9"/>
    <w:rsid w:val="75453D02"/>
    <w:rsid w:val="754629E6"/>
    <w:rsid w:val="754A0877"/>
    <w:rsid w:val="75521659"/>
    <w:rsid w:val="75533FDA"/>
    <w:rsid w:val="755706DF"/>
    <w:rsid w:val="75581C24"/>
    <w:rsid w:val="756248C1"/>
    <w:rsid w:val="756B7033"/>
    <w:rsid w:val="756C0ECD"/>
    <w:rsid w:val="757728D2"/>
    <w:rsid w:val="758E2AA6"/>
    <w:rsid w:val="759115EC"/>
    <w:rsid w:val="75913ABF"/>
    <w:rsid w:val="759F3282"/>
    <w:rsid w:val="75A212FA"/>
    <w:rsid w:val="75A46D13"/>
    <w:rsid w:val="75A7723F"/>
    <w:rsid w:val="75AB1E72"/>
    <w:rsid w:val="75B60ECF"/>
    <w:rsid w:val="75B64F3F"/>
    <w:rsid w:val="75B908EE"/>
    <w:rsid w:val="75C31803"/>
    <w:rsid w:val="75C87B64"/>
    <w:rsid w:val="75CA2C48"/>
    <w:rsid w:val="75D106D7"/>
    <w:rsid w:val="75D31A63"/>
    <w:rsid w:val="75D66DBB"/>
    <w:rsid w:val="75D73501"/>
    <w:rsid w:val="75D831F0"/>
    <w:rsid w:val="75E1615B"/>
    <w:rsid w:val="75F2380A"/>
    <w:rsid w:val="760D5CD0"/>
    <w:rsid w:val="761806BD"/>
    <w:rsid w:val="76227E09"/>
    <w:rsid w:val="76276092"/>
    <w:rsid w:val="76295220"/>
    <w:rsid w:val="762A60A0"/>
    <w:rsid w:val="762A6A1E"/>
    <w:rsid w:val="762D0EFC"/>
    <w:rsid w:val="7634605A"/>
    <w:rsid w:val="76436971"/>
    <w:rsid w:val="76492863"/>
    <w:rsid w:val="764D2D48"/>
    <w:rsid w:val="7652295A"/>
    <w:rsid w:val="765859FE"/>
    <w:rsid w:val="76591F00"/>
    <w:rsid w:val="765B28D5"/>
    <w:rsid w:val="765C6931"/>
    <w:rsid w:val="76641FF3"/>
    <w:rsid w:val="766C76F7"/>
    <w:rsid w:val="766E0306"/>
    <w:rsid w:val="76734F12"/>
    <w:rsid w:val="76760B78"/>
    <w:rsid w:val="767D1A60"/>
    <w:rsid w:val="76834910"/>
    <w:rsid w:val="76854545"/>
    <w:rsid w:val="768F064E"/>
    <w:rsid w:val="769E62A4"/>
    <w:rsid w:val="76A62318"/>
    <w:rsid w:val="76AD22C2"/>
    <w:rsid w:val="76CA2B96"/>
    <w:rsid w:val="76D654E3"/>
    <w:rsid w:val="76E11B21"/>
    <w:rsid w:val="76F4274E"/>
    <w:rsid w:val="76F468C1"/>
    <w:rsid w:val="76F61765"/>
    <w:rsid w:val="77057AC7"/>
    <w:rsid w:val="77091C1D"/>
    <w:rsid w:val="77176176"/>
    <w:rsid w:val="77184DBB"/>
    <w:rsid w:val="77273EF9"/>
    <w:rsid w:val="772810EA"/>
    <w:rsid w:val="772B7C4A"/>
    <w:rsid w:val="77353F3A"/>
    <w:rsid w:val="77355FF8"/>
    <w:rsid w:val="773B3B6C"/>
    <w:rsid w:val="773E690B"/>
    <w:rsid w:val="77400703"/>
    <w:rsid w:val="7756121A"/>
    <w:rsid w:val="7758133C"/>
    <w:rsid w:val="775B68E4"/>
    <w:rsid w:val="77606A50"/>
    <w:rsid w:val="7763584A"/>
    <w:rsid w:val="776963DA"/>
    <w:rsid w:val="777668F5"/>
    <w:rsid w:val="777B48D8"/>
    <w:rsid w:val="777B6635"/>
    <w:rsid w:val="777E21DF"/>
    <w:rsid w:val="777F7BCB"/>
    <w:rsid w:val="77815231"/>
    <w:rsid w:val="7785679F"/>
    <w:rsid w:val="778F7D27"/>
    <w:rsid w:val="77A00DF4"/>
    <w:rsid w:val="77A15356"/>
    <w:rsid w:val="77A87F21"/>
    <w:rsid w:val="77AE2345"/>
    <w:rsid w:val="77AE3264"/>
    <w:rsid w:val="77B935E5"/>
    <w:rsid w:val="77BC6466"/>
    <w:rsid w:val="77D23813"/>
    <w:rsid w:val="77D45F4A"/>
    <w:rsid w:val="77D77B93"/>
    <w:rsid w:val="77DC1C29"/>
    <w:rsid w:val="77EE0CEA"/>
    <w:rsid w:val="77EF091C"/>
    <w:rsid w:val="77F109E8"/>
    <w:rsid w:val="77F56FD2"/>
    <w:rsid w:val="77FE37C0"/>
    <w:rsid w:val="780E2EA0"/>
    <w:rsid w:val="781A6637"/>
    <w:rsid w:val="78213EEA"/>
    <w:rsid w:val="7826607A"/>
    <w:rsid w:val="782A457F"/>
    <w:rsid w:val="78335386"/>
    <w:rsid w:val="783B305E"/>
    <w:rsid w:val="783D7A4E"/>
    <w:rsid w:val="783E55CA"/>
    <w:rsid w:val="784758CF"/>
    <w:rsid w:val="78485FF0"/>
    <w:rsid w:val="784937C3"/>
    <w:rsid w:val="784C3D32"/>
    <w:rsid w:val="784E3B4B"/>
    <w:rsid w:val="7857163D"/>
    <w:rsid w:val="785A41C8"/>
    <w:rsid w:val="785C7C68"/>
    <w:rsid w:val="7861169D"/>
    <w:rsid w:val="786609D2"/>
    <w:rsid w:val="78671B47"/>
    <w:rsid w:val="78693FFC"/>
    <w:rsid w:val="787F34C3"/>
    <w:rsid w:val="78811BD8"/>
    <w:rsid w:val="78862191"/>
    <w:rsid w:val="78864B66"/>
    <w:rsid w:val="788823C6"/>
    <w:rsid w:val="78920B5A"/>
    <w:rsid w:val="78954C16"/>
    <w:rsid w:val="7898512E"/>
    <w:rsid w:val="78990247"/>
    <w:rsid w:val="789B6C35"/>
    <w:rsid w:val="78A75ED7"/>
    <w:rsid w:val="78A771BA"/>
    <w:rsid w:val="78B6638E"/>
    <w:rsid w:val="78C347C2"/>
    <w:rsid w:val="78C410EC"/>
    <w:rsid w:val="78C62E83"/>
    <w:rsid w:val="78CC6C21"/>
    <w:rsid w:val="78CE0448"/>
    <w:rsid w:val="78D05AFB"/>
    <w:rsid w:val="78D5211B"/>
    <w:rsid w:val="78E97A5B"/>
    <w:rsid w:val="78EB019C"/>
    <w:rsid w:val="78EC73CE"/>
    <w:rsid w:val="78EE37FE"/>
    <w:rsid w:val="78FD39FA"/>
    <w:rsid w:val="790B0C35"/>
    <w:rsid w:val="792B1C50"/>
    <w:rsid w:val="792C0101"/>
    <w:rsid w:val="792D0F75"/>
    <w:rsid w:val="79375CA0"/>
    <w:rsid w:val="79435236"/>
    <w:rsid w:val="79443176"/>
    <w:rsid w:val="79447590"/>
    <w:rsid w:val="794608DF"/>
    <w:rsid w:val="794637B7"/>
    <w:rsid w:val="794744F9"/>
    <w:rsid w:val="79501B57"/>
    <w:rsid w:val="79595B42"/>
    <w:rsid w:val="7969495B"/>
    <w:rsid w:val="796C3F60"/>
    <w:rsid w:val="796E0E48"/>
    <w:rsid w:val="796E3111"/>
    <w:rsid w:val="797A140D"/>
    <w:rsid w:val="797B0594"/>
    <w:rsid w:val="797D7D49"/>
    <w:rsid w:val="79846BBF"/>
    <w:rsid w:val="799D3504"/>
    <w:rsid w:val="799F0BFC"/>
    <w:rsid w:val="79A143D1"/>
    <w:rsid w:val="79A872C0"/>
    <w:rsid w:val="79B00387"/>
    <w:rsid w:val="79B13DC0"/>
    <w:rsid w:val="79B17F93"/>
    <w:rsid w:val="79BE5D52"/>
    <w:rsid w:val="79C8563A"/>
    <w:rsid w:val="79CB4676"/>
    <w:rsid w:val="79CC73D5"/>
    <w:rsid w:val="79CD74FE"/>
    <w:rsid w:val="79D033A0"/>
    <w:rsid w:val="79D5076B"/>
    <w:rsid w:val="79D55C9B"/>
    <w:rsid w:val="79D87769"/>
    <w:rsid w:val="79DA078F"/>
    <w:rsid w:val="79DE28E7"/>
    <w:rsid w:val="79E370AE"/>
    <w:rsid w:val="79E65A0C"/>
    <w:rsid w:val="79EB1840"/>
    <w:rsid w:val="79EC0EC1"/>
    <w:rsid w:val="79EF70E4"/>
    <w:rsid w:val="79F24465"/>
    <w:rsid w:val="79F3603F"/>
    <w:rsid w:val="79FB0B3C"/>
    <w:rsid w:val="7A0467B1"/>
    <w:rsid w:val="7A0744D1"/>
    <w:rsid w:val="7A0C60E7"/>
    <w:rsid w:val="7A1258C5"/>
    <w:rsid w:val="7A260A8F"/>
    <w:rsid w:val="7A3C369B"/>
    <w:rsid w:val="7A3F2AE4"/>
    <w:rsid w:val="7A436F7C"/>
    <w:rsid w:val="7A437B15"/>
    <w:rsid w:val="7A467EA8"/>
    <w:rsid w:val="7A4B0019"/>
    <w:rsid w:val="7A5A4E87"/>
    <w:rsid w:val="7A670DC1"/>
    <w:rsid w:val="7A6C57E5"/>
    <w:rsid w:val="7A774DAF"/>
    <w:rsid w:val="7A7F15E3"/>
    <w:rsid w:val="7A83138F"/>
    <w:rsid w:val="7A940F25"/>
    <w:rsid w:val="7A9462B6"/>
    <w:rsid w:val="7A961A4D"/>
    <w:rsid w:val="7AA92120"/>
    <w:rsid w:val="7AB363D7"/>
    <w:rsid w:val="7AB54D14"/>
    <w:rsid w:val="7AB67D8C"/>
    <w:rsid w:val="7AB77180"/>
    <w:rsid w:val="7AC14589"/>
    <w:rsid w:val="7AC83FC8"/>
    <w:rsid w:val="7ACB43A1"/>
    <w:rsid w:val="7ACE310B"/>
    <w:rsid w:val="7ACE6E75"/>
    <w:rsid w:val="7AD41DBD"/>
    <w:rsid w:val="7AE82445"/>
    <w:rsid w:val="7AF0377F"/>
    <w:rsid w:val="7AFD6738"/>
    <w:rsid w:val="7AFE6E3A"/>
    <w:rsid w:val="7AFF72F6"/>
    <w:rsid w:val="7B106685"/>
    <w:rsid w:val="7B195822"/>
    <w:rsid w:val="7B1E559E"/>
    <w:rsid w:val="7B3F1555"/>
    <w:rsid w:val="7B4600E8"/>
    <w:rsid w:val="7B507E0D"/>
    <w:rsid w:val="7B5764AF"/>
    <w:rsid w:val="7B660E1E"/>
    <w:rsid w:val="7B6A39F0"/>
    <w:rsid w:val="7B714987"/>
    <w:rsid w:val="7B744F90"/>
    <w:rsid w:val="7B821168"/>
    <w:rsid w:val="7B8E1F50"/>
    <w:rsid w:val="7B903451"/>
    <w:rsid w:val="7B97514F"/>
    <w:rsid w:val="7B99368A"/>
    <w:rsid w:val="7B9E07F1"/>
    <w:rsid w:val="7BA040F1"/>
    <w:rsid w:val="7BA14A1C"/>
    <w:rsid w:val="7BA47084"/>
    <w:rsid w:val="7BA54215"/>
    <w:rsid w:val="7BAA1F2C"/>
    <w:rsid w:val="7BB7779F"/>
    <w:rsid w:val="7BBE732B"/>
    <w:rsid w:val="7BCB0D94"/>
    <w:rsid w:val="7BD12079"/>
    <w:rsid w:val="7BD44407"/>
    <w:rsid w:val="7BE026AA"/>
    <w:rsid w:val="7BE36225"/>
    <w:rsid w:val="7BE839B7"/>
    <w:rsid w:val="7BEB4059"/>
    <w:rsid w:val="7BED4CCC"/>
    <w:rsid w:val="7BEE1668"/>
    <w:rsid w:val="7BF04785"/>
    <w:rsid w:val="7BF214C1"/>
    <w:rsid w:val="7C1B4269"/>
    <w:rsid w:val="7C1D1AC9"/>
    <w:rsid w:val="7C232DD9"/>
    <w:rsid w:val="7C2A55A2"/>
    <w:rsid w:val="7C314D89"/>
    <w:rsid w:val="7C3364BB"/>
    <w:rsid w:val="7C446A13"/>
    <w:rsid w:val="7C4934A5"/>
    <w:rsid w:val="7C4A0658"/>
    <w:rsid w:val="7C4B536B"/>
    <w:rsid w:val="7C547659"/>
    <w:rsid w:val="7C58030D"/>
    <w:rsid w:val="7C664EC1"/>
    <w:rsid w:val="7C78742B"/>
    <w:rsid w:val="7C80044E"/>
    <w:rsid w:val="7C873497"/>
    <w:rsid w:val="7C8768C5"/>
    <w:rsid w:val="7C8A5C27"/>
    <w:rsid w:val="7C8B5447"/>
    <w:rsid w:val="7C8D2B6B"/>
    <w:rsid w:val="7C932453"/>
    <w:rsid w:val="7C934DE7"/>
    <w:rsid w:val="7C953BE3"/>
    <w:rsid w:val="7C9D54D2"/>
    <w:rsid w:val="7CA2449E"/>
    <w:rsid w:val="7CAD45BC"/>
    <w:rsid w:val="7CB116A9"/>
    <w:rsid w:val="7CB127A0"/>
    <w:rsid w:val="7CB2301F"/>
    <w:rsid w:val="7CBE3A51"/>
    <w:rsid w:val="7CC05BC2"/>
    <w:rsid w:val="7CC87BC1"/>
    <w:rsid w:val="7CD132A4"/>
    <w:rsid w:val="7CD92172"/>
    <w:rsid w:val="7CE0772A"/>
    <w:rsid w:val="7CE25338"/>
    <w:rsid w:val="7CEB1193"/>
    <w:rsid w:val="7CF02985"/>
    <w:rsid w:val="7CF84B94"/>
    <w:rsid w:val="7D030A4F"/>
    <w:rsid w:val="7D056582"/>
    <w:rsid w:val="7D0C5E81"/>
    <w:rsid w:val="7D176B5E"/>
    <w:rsid w:val="7D2C0077"/>
    <w:rsid w:val="7D2C0EC1"/>
    <w:rsid w:val="7D2C20B6"/>
    <w:rsid w:val="7D332EF4"/>
    <w:rsid w:val="7D34140C"/>
    <w:rsid w:val="7D393DF7"/>
    <w:rsid w:val="7D4352DB"/>
    <w:rsid w:val="7D4A45B8"/>
    <w:rsid w:val="7D4B0519"/>
    <w:rsid w:val="7D4F5A86"/>
    <w:rsid w:val="7D5250FF"/>
    <w:rsid w:val="7D5721C5"/>
    <w:rsid w:val="7D5B67C5"/>
    <w:rsid w:val="7D5D262F"/>
    <w:rsid w:val="7D7A4997"/>
    <w:rsid w:val="7D7C34F2"/>
    <w:rsid w:val="7D843283"/>
    <w:rsid w:val="7D8B036D"/>
    <w:rsid w:val="7D8E1A04"/>
    <w:rsid w:val="7D91049C"/>
    <w:rsid w:val="7D925CA6"/>
    <w:rsid w:val="7D9D6767"/>
    <w:rsid w:val="7DA737B9"/>
    <w:rsid w:val="7DA76092"/>
    <w:rsid w:val="7DB62A23"/>
    <w:rsid w:val="7DC40AC5"/>
    <w:rsid w:val="7DC55815"/>
    <w:rsid w:val="7DCA7547"/>
    <w:rsid w:val="7DD10836"/>
    <w:rsid w:val="7DD24A07"/>
    <w:rsid w:val="7DD412D2"/>
    <w:rsid w:val="7DD47685"/>
    <w:rsid w:val="7DD6794C"/>
    <w:rsid w:val="7DDC707F"/>
    <w:rsid w:val="7DE11004"/>
    <w:rsid w:val="7DE2584F"/>
    <w:rsid w:val="7DE37E98"/>
    <w:rsid w:val="7DEB5EEA"/>
    <w:rsid w:val="7DF17F81"/>
    <w:rsid w:val="7DFF788D"/>
    <w:rsid w:val="7E01023E"/>
    <w:rsid w:val="7E0263DA"/>
    <w:rsid w:val="7E061337"/>
    <w:rsid w:val="7E0B0110"/>
    <w:rsid w:val="7E0D5661"/>
    <w:rsid w:val="7E105CE8"/>
    <w:rsid w:val="7E340F89"/>
    <w:rsid w:val="7E4048AC"/>
    <w:rsid w:val="7E48758C"/>
    <w:rsid w:val="7E49178E"/>
    <w:rsid w:val="7E4E42BE"/>
    <w:rsid w:val="7E510BDD"/>
    <w:rsid w:val="7E536C69"/>
    <w:rsid w:val="7E5D449D"/>
    <w:rsid w:val="7E5F3432"/>
    <w:rsid w:val="7E602721"/>
    <w:rsid w:val="7E607448"/>
    <w:rsid w:val="7E623997"/>
    <w:rsid w:val="7E6512BF"/>
    <w:rsid w:val="7E675E9D"/>
    <w:rsid w:val="7E6B0C8A"/>
    <w:rsid w:val="7E7136CC"/>
    <w:rsid w:val="7E740F7D"/>
    <w:rsid w:val="7E744041"/>
    <w:rsid w:val="7E76359A"/>
    <w:rsid w:val="7E763966"/>
    <w:rsid w:val="7E775B93"/>
    <w:rsid w:val="7E8055E4"/>
    <w:rsid w:val="7E815EE3"/>
    <w:rsid w:val="7E837D82"/>
    <w:rsid w:val="7E852C56"/>
    <w:rsid w:val="7E873097"/>
    <w:rsid w:val="7E8A7EF6"/>
    <w:rsid w:val="7EA56B36"/>
    <w:rsid w:val="7EA65DA5"/>
    <w:rsid w:val="7EAD2F22"/>
    <w:rsid w:val="7EAF255B"/>
    <w:rsid w:val="7EAF7397"/>
    <w:rsid w:val="7EB07BF7"/>
    <w:rsid w:val="7EB67F24"/>
    <w:rsid w:val="7EBB57F9"/>
    <w:rsid w:val="7EC07259"/>
    <w:rsid w:val="7EC60FC9"/>
    <w:rsid w:val="7EDA0B2E"/>
    <w:rsid w:val="7EDB7D56"/>
    <w:rsid w:val="7EDD286E"/>
    <w:rsid w:val="7EDD7534"/>
    <w:rsid w:val="7EE36103"/>
    <w:rsid w:val="7EE44903"/>
    <w:rsid w:val="7EEE656E"/>
    <w:rsid w:val="7EFA764E"/>
    <w:rsid w:val="7F011DF8"/>
    <w:rsid w:val="7F124A5E"/>
    <w:rsid w:val="7F1F284B"/>
    <w:rsid w:val="7F257AF9"/>
    <w:rsid w:val="7F3215EA"/>
    <w:rsid w:val="7F334275"/>
    <w:rsid w:val="7F375567"/>
    <w:rsid w:val="7F4120DD"/>
    <w:rsid w:val="7F437511"/>
    <w:rsid w:val="7F4412FD"/>
    <w:rsid w:val="7F4A32B5"/>
    <w:rsid w:val="7F4A651E"/>
    <w:rsid w:val="7F512408"/>
    <w:rsid w:val="7F5417F6"/>
    <w:rsid w:val="7F700B74"/>
    <w:rsid w:val="7F7109D4"/>
    <w:rsid w:val="7F841B51"/>
    <w:rsid w:val="7F8504DC"/>
    <w:rsid w:val="7F8E33B3"/>
    <w:rsid w:val="7F906DA2"/>
    <w:rsid w:val="7F9531C6"/>
    <w:rsid w:val="7F9B62CF"/>
    <w:rsid w:val="7FA0574E"/>
    <w:rsid w:val="7FA2124B"/>
    <w:rsid w:val="7FAA68F3"/>
    <w:rsid w:val="7FAC731C"/>
    <w:rsid w:val="7FBE6720"/>
    <w:rsid w:val="7FC134F1"/>
    <w:rsid w:val="7FCA5619"/>
    <w:rsid w:val="7FCF1612"/>
    <w:rsid w:val="7FD52433"/>
    <w:rsid w:val="7FDB3C42"/>
    <w:rsid w:val="7FDF1520"/>
    <w:rsid w:val="7FDF3365"/>
    <w:rsid w:val="7FE06151"/>
    <w:rsid w:val="7FE2771A"/>
    <w:rsid w:val="7FE81533"/>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99" w:semiHidden="0" w:name="heading 2"/>
    <w:lsdException w:qFormat="1" w:unhideWhenUsed="0" w:uiPriority="9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iPriority="99" w:semiHidden="0" w:name="Normal Indent"/>
    <w:lsdException w:qFormat="1" w:unhideWhenUsed="0" w:uiPriority="0" w:semiHidden="0"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qFormat="1" w:unhideWhenUsed="0" w:uiPriority="0"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qFormat="1" w:unhideWhenUsed="0" w:uiPriority="0" w:semiHidden="0" w:name="Body Text"/>
    <w:lsdException w:qFormat="1"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qFormat="1" w:uiPriority="99" w:semiHidden="0" w:name="Body Text 3"/>
    <w:lsdException w:uiPriority="99" w:name="Body Text Indent 2"/>
    <w:lsdException w:uiPriority="99" w:name="Body Text Indent 3"/>
    <w:lsdException w:uiPriority="99" w:name="Block Text"/>
    <w:lsdException w:qFormat="1" w:uiPriority="99" w:semiHidden="0" w:name="Hyperlink"/>
    <w:lsdException w:qFormat="1" w:uiPriority="99" w:semiHidden="0" w:name="FollowedHyperlink"/>
    <w:lsdException w:qFormat="1" w:unhideWhenUsed="0" w:uiPriority="0" w:semiHidden="0" w:name="Strong"/>
    <w:lsdException w:qFormat="1" w:unhideWhenUsed="0" w:uiPriority="20" w:semiHidden="0" w:name="Emphasis"/>
    <w:lsdException w:qFormat="1" w:uiPriority="99" w:semiHidden="0" w:name="Document Map"/>
    <w:lsdException w:qFormat="1" w:unhideWhenUsed="0" w:uiPriority="0"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宋体" w:cs="Times New Roman"/>
      <w:sz w:val="21"/>
      <w:szCs w:val="21"/>
      <w:lang w:val="en-US" w:eastAsia="zh-CN" w:bidi="ar-SA"/>
    </w:rPr>
  </w:style>
  <w:style w:type="paragraph" w:styleId="2">
    <w:name w:val="heading 1"/>
    <w:basedOn w:val="1"/>
    <w:next w:val="1"/>
    <w:link w:val="34"/>
    <w:qFormat/>
    <w:uiPriority w:val="99"/>
    <w:pPr>
      <w:keepNext/>
      <w:keepLines/>
      <w:widowControl w:val="0"/>
      <w:spacing w:before="340" w:after="330" w:line="576" w:lineRule="auto"/>
      <w:outlineLvl w:val="0"/>
    </w:pPr>
    <w:rPr>
      <w:b/>
      <w:bCs/>
      <w:kern w:val="44"/>
      <w:sz w:val="44"/>
      <w:szCs w:val="44"/>
    </w:rPr>
  </w:style>
  <w:style w:type="paragraph" w:styleId="3">
    <w:name w:val="heading 2"/>
    <w:basedOn w:val="1"/>
    <w:next w:val="1"/>
    <w:link w:val="35"/>
    <w:qFormat/>
    <w:uiPriority w:val="99"/>
    <w:pPr>
      <w:keepNext/>
      <w:keepLines/>
      <w:widowControl w:val="0"/>
      <w:spacing w:before="260" w:after="260" w:line="412" w:lineRule="auto"/>
      <w:outlineLvl w:val="1"/>
    </w:pPr>
    <w:rPr>
      <w:rFonts w:ascii="Arial" w:hAnsi="Arial" w:eastAsia="黑体"/>
      <w:b/>
      <w:bCs/>
      <w:sz w:val="32"/>
      <w:szCs w:val="32"/>
    </w:rPr>
  </w:style>
  <w:style w:type="paragraph" w:styleId="4">
    <w:name w:val="heading 3"/>
    <w:basedOn w:val="1"/>
    <w:next w:val="1"/>
    <w:link w:val="36"/>
    <w:qFormat/>
    <w:uiPriority w:val="99"/>
    <w:pPr>
      <w:keepNext/>
      <w:keepLines/>
      <w:widowControl w:val="0"/>
      <w:spacing w:before="380" w:after="380" w:line="412" w:lineRule="auto"/>
      <w:jc w:val="center"/>
      <w:outlineLvl w:val="2"/>
    </w:pPr>
    <w:rPr>
      <w:rFonts w:ascii="Times New Roman" w:hAnsi="Times New Roman" w:eastAsia="宋体"/>
      <w:b/>
      <w:bCs/>
      <w:sz w:val="28"/>
      <w:szCs w:val="32"/>
    </w:rPr>
  </w:style>
  <w:style w:type="character" w:default="1" w:styleId="29">
    <w:name w:val="Default Paragraph Font"/>
    <w:unhideWhenUsed/>
    <w:qFormat/>
    <w:uiPriority w:val="1"/>
  </w:style>
  <w:style w:type="table" w:default="1" w:styleId="27">
    <w:name w:val="Normal Table"/>
    <w:unhideWhenUsed/>
    <w:qFormat/>
    <w:uiPriority w:val="99"/>
    <w:tblPr>
      <w:tblCellMar>
        <w:top w:w="0" w:type="dxa"/>
        <w:left w:w="108" w:type="dxa"/>
        <w:bottom w:w="0" w:type="dxa"/>
        <w:right w:w="108" w:type="dxa"/>
      </w:tblCellMar>
    </w:tblPr>
  </w:style>
  <w:style w:type="paragraph" w:styleId="5">
    <w:name w:val="toc 7"/>
    <w:basedOn w:val="1"/>
    <w:next w:val="1"/>
    <w:unhideWhenUsed/>
    <w:qFormat/>
    <w:uiPriority w:val="39"/>
    <w:pPr>
      <w:ind w:left="1260"/>
    </w:pPr>
    <w:rPr>
      <w:rFonts w:ascii="Calibri" w:hAnsi="Calibri" w:cs="Calibri"/>
      <w:sz w:val="18"/>
      <w:szCs w:val="18"/>
    </w:rPr>
  </w:style>
  <w:style w:type="paragraph" w:styleId="6">
    <w:name w:val="Normal Indent"/>
    <w:basedOn w:val="1"/>
    <w:unhideWhenUsed/>
    <w:qFormat/>
    <w:uiPriority w:val="99"/>
    <w:pPr>
      <w:ind w:firstLine="420" w:firstLineChars="200"/>
    </w:pPr>
  </w:style>
  <w:style w:type="paragraph" w:styleId="7">
    <w:name w:val="Document Map"/>
    <w:basedOn w:val="1"/>
    <w:link w:val="37"/>
    <w:unhideWhenUsed/>
    <w:qFormat/>
    <w:uiPriority w:val="99"/>
    <w:rPr>
      <w:rFonts w:ascii="宋体"/>
      <w:sz w:val="18"/>
      <w:szCs w:val="18"/>
    </w:rPr>
  </w:style>
  <w:style w:type="paragraph" w:styleId="8">
    <w:name w:val="toa heading"/>
    <w:basedOn w:val="1"/>
    <w:next w:val="1"/>
    <w:semiHidden/>
    <w:qFormat/>
    <w:uiPriority w:val="0"/>
    <w:pPr>
      <w:widowControl w:val="0"/>
      <w:spacing w:before="120"/>
      <w:jc w:val="both"/>
    </w:pPr>
    <w:rPr>
      <w:rFonts w:ascii="Arial" w:hAnsi="Arial" w:cs="Arial"/>
      <w:kern w:val="2"/>
      <w:sz w:val="24"/>
      <w:szCs w:val="24"/>
    </w:rPr>
  </w:style>
  <w:style w:type="paragraph" w:styleId="9">
    <w:name w:val="annotation text"/>
    <w:basedOn w:val="1"/>
    <w:unhideWhenUsed/>
    <w:qFormat/>
    <w:uiPriority w:val="99"/>
    <w:pPr>
      <w:jc w:val="left"/>
    </w:pPr>
  </w:style>
  <w:style w:type="paragraph" w:styleId="10">
    <w:name w:val="Body Text 3"/>
    <w:basedOn w:val="1"/>
    <w:link w:val="38"/>
    <w:unhideWhenUsed/>
    <w:qFormat/>
    <w:uiPriority w:val="99"/>
    <w:rPr>
      <w:rFonts w:ascii="宋体"/>
      <w:sz w:val="24"/>
      <w:szCs w:val="24"/>
    </w:rPr>
  </w:style>
  <w:style w:type="paragraph" w:styleId="11">
    <w:name w:val="Body Text"/>
    <w:basedOn w:val="1"/>
    <w:qFormat/>
    <w:uiPriority w:val="0"/>
    <w:pPr>
      <w:spacing w:line="360" w:lineRule="auto"/>
    </w:pPr>
    <w:rPr>
      <w:rFonts w:ascii="Times New Roman" w:hAnsi="Times New Roman"/>
      <w:kern w:val="2"/>
      <w:sz w:val="21"/>
      <w:szCs w:val="24"/>
    </w:rPr>
  </w:style>
  <w:style w:type="paragraph" w:styleId="12">
    <w:name w:val="Body Text Indent"/>
    <w:basedOn w:val="1"/>
    <w:link w:val="39"/>
    <w:unhideWhenUsed/>
    <w:qFormat/>
    <w:uiPriority w:val="99"/>
    <w:pPr>
      <w:spacing w:line="460" w:lineRule="exact"/>
      <w:ind w:firstLine="510"/>
    </w:pPr>
  </w:style>
  <w:style w:type="paragraph" w:styleId="13">
    <w:name w:val="toc 5"/>
    <w:basedOn w:val="1"/>
    <w:next w:val="1"/>
    <w:unhideWhenUsed/>
    <w:qFormat/>
    <w:uiPriority w:val="39"/>
    <w:pPr>
      <w:ind w:left="840"/>
    </w:pPr>
    <w:rPr>
      <w:rFonts w:ascii="Calibri" w:hAnsi="Calibri" w:cs="Calibri"/>
      <w:sz w:val="18"/>
      <w:szCs w:val="18"/>
    </w:rPr>
  </w:style>
  <w:style w:type="paragraph" w:styleId="14">
    <w:name w:val="toc 3"/>
    <w:basedOn w:val="1"/>
    <w:next w:val="1"/>
    <w:unhideWhenUsed/>
    <w:qFormat/>
    <w:uiPriority w:val="39"/>
    <w:pPr>
      <w:ind w:left="420"/>
    </w:pPr>
    <w:rPr>
      <w:rFonts w:ascii="Calibri" w:hAnsi="Calibri" w:cs="Calibri"/>
      <w:i/>
      <w:iCs/>
      <w:sz w:val="20"/>
      <w:szCs w:val="20"/>
    </w:rPr>
  </w:style>
  <w:style w:type="paragraph" w:styleId="15">
    <w:name w:val="Plain Text"/>
    <w:basedOn w:val="1"/>
    <w:qFormat/>
    <w:uiPriority w:val="0"/>
    <w:rPr>
      <w:rFonts w:ascii="宋体" w:hAnsi="Courier New"/>
      <w:szCs w:val="20"/>
    </w:rPr>
  </w:style>
  <w:style w:type="paragraph" w:styleId="16">
    <w:name w:val="toc 8"/>
    <w:basedOn w:val="1"/>
    <w:next w:val="1"/>
    <w:unhideWhenUsed/>
    <w:qFormat/>
    <w:uiPriority w:val="39"/>
    <w:pPr>
      <w:ind w:left="1470"/>
    </w:pPr>
    <w:rPr>
      <w:rFonts w:ascii="Calibri" w:hAnsi="Calibri" w:cs="Calibri"/>
      <w:sz w:val="18"/>
      <w:szCs w:val="18"/>
    </w:rPr>
  </w:style>
  <w:style w:type="paragraph" w:styleId="17">
    <w:name w:val="Balloon Text"/>
    <w:basedOn w:val="1"/>
    <w:link w:val="40"/>
    <w:unhideWhenUsed/>
    <w:qFormat/>
    <w:uiPriority w:val="99"/>
    <w:rPr>
      <w:sz w:val="18"/>
      <w:szCs w:val="18"/>
    </w:rPr>
  </w:style>
  <w:style w:type="paragraph" w:styleId="18">
    <w:name w:val="footer"/>
    <w:basedOn w:val="1"/>
    <w:link w:val="41"/>
    <w:unhideWhenUsed/>
    <w:qFormat/>
    <w:uiPriority w:val="99"/>
    <w:pPr>
      <w:tabs>
        <w:tab w:val="center" w:pos="4153"/>
        <w:tab w:val="right" w:pos="8306"/>
      </w:tabs>
      <w:snapToGrid w:val="0"/>
      <w:jc w:val="left"/>
    </w:pPr>
    <w:rPr>
      <w:sz w:val="18"/>
      <w:szCs w:val="18"/>
    </w:rPr>
  </w:style>
  <w:style w:type="paragraph" w:styleId="19">
    <w:name w:val="header"/>
    <w:basedOn w:val="1"/>
    <w:link w:val="42"/>
    <w:unhideWhenUsed/>
    <w:qFormat/>
    <w:uiPriority w:val="99"/>
    <w:pPr>
      <w:pBdr>
        <w:bottom w:val="single" w:color="auto" w:sz="6" w:space="1"/>
      </w:pBdr>
      <w:tabs>
        <w:tab w:val="center" w:pos="4153"/>
        <w:tab w:val="right" w:pos="8306"/>
      </w:tabs>
      <w:snapToGrid w:val="0"/>
      <w:jc w:val="center"/>
    </w:pPr>
    <w:rPr>
      <w:sz w:val="18"/>
      <w:szCs w:val="18"/>
    </w:rPr>
  </w:style>
  <w:style w:type="paragraph" w:styleId="20">
    <w:name w:val="toc 1"/>
    <w:basedOn w:val="1"/>
    <w:next w:val="1"/>
    <w:unhideWhenUsed/>
    <w:qFormat/>
    <w:uiPriority w:val="39"/>
    <w:pPr>
      <w:spacing w:before="120" w:after="120"/>
    </w:pPr>
    <w:rPr>
      <w:rFonts w:ascii="Calibri" w:hAnsi="Calibri" w:cs="Calibri"/>
      <w:b/>
      <w:bCs/>
      <w:caps/>
      <w:sz w:val="20"/>
      <w:szCs w:val="20"/>
    </w:rPr>
  </w:style>
  <w:style w:type="paragraph" w:styleId="21">
    <w:name w:val="toc 4"/>
    <w:basedOn w:val="1"/>
    <w:next w:val="1"/>
    <w:unhideWhenUsed/>
    <w:qFormat/>
    <w:uiPriority w:val="39"/>
    <w:pPr>
      <w:ind w:left="630"/>
    </w:pPr>
    <w:rPr>
      <w:rFonts w:ascii="Calibri" w:hAnsi="Calibri" w:cs="Calibri"/>
      <w:sz w:val="18"/>
      <w:szCs w:val="18"/>
    </w:rPr>
  </w:style>
  <w:style w:type="paragraph" w:styleId="22">
    <w:name w:val="footnote text"/>
    <w:basedOn w:val="1"/>
    <w:qFormat/>
    <w:uiPriority w:val="0"/>
    <w:pPr>
      <w:adjustRightInd w:val="0"/>
      <w:spacing w:line="312" w:lineRule="atLeast"/>
      <w:jc w:val="left"/>
      <w:textAlignment w:val="baseline"/>
    </w:pPr>
    <w:rPr>
      <w:kern w:val="0"/>
      <w:sz w:val="18"/>
      <w:szCs w:val="20"/>
    </w:rPr>
  </w:style>
  <w:style w:type="paragraph" w:styleId="23">
    <w:name w:val="toc 6"/>
    <w:basedOn w:val="1"/>
    <w:next w:val="1"/>
    <w:unhideWhenUsed/>
    <w:qFormat/>
    <w:uiPriority w:val="39"/>
    <w:pPr>
      <w:ind w:left="1050"/>
    </w:pPr>
    <w:rPr>
      <w:rFonts w:ascii="Calibri" w:hAnsi="Calibri" w:cs="Calibri"/>
      <w:sz w:val="18"/>
      <w:szCs w:val="18"/>
    </w:rPr>
  </w:style>
  <w:style w:type="paragraph" w:styleId="24">
    <w:name w:val="toc 2"/>
    <w:basedOn w:val="1"/>
    <w:next w:val="1"/>
    <w:unhideWhenUsed/>
    <w:qFormat/>
    <w:uiPriority w:val="39"/>
    <w:pPr>
      <w:ind w:left="210"/>
    </w:pPr>
    <w:rPr>
      <w:rFonts w:ascii="Calibri" w:hAnsi="Calibri" w:cs="Calibri"/>
      <w:smallCaps/>
      <w:sz w:val="20"/>
      <w:szCs w:val="20"/>
    </w:rPr>
  </w:style>
  <w:style w:type="paragraph" w:styleId="25">
    <w:name w:val="toc 9"/>
    <w:basedOn w:val="1"/>
    <w:next w:val="1"/>
    <w:unhideWhenUsed/>
    <w:qFormat/>
    <w:uiPriority w:val="39"/>
    <w:pPr>
      <w:ind w:left="1680"/>
    </w:pPr>
    <w:rPr>
      <w:rFonts w:ascii="Calibri" w:hAnsi="Calibri" w:cs="Calibri"/>
      <w:sz w:val="18"/>
      <w:szCs w:val="18"/>
    </w:rPr>
  </w:style>
  <w:style w:type="paragraph" w:styleId="26">
    <w:name w:val="Normal (Web)"/>
    <w:basedOn w:val="1"/>
    <w:unhideWhenUsed/>
    <w:qFormat/>
    <w:uiPriority w:val="99"/>
    <w:pPr>
      <w:spacing w:before="100" w:beforeAutospacing="1" w:after="100" w:afterAutospacing="1"/>
    </w:pPr>
    <w:rPr>
      <w:sz w:val="24"/>
      <w:szCs w:val="24"/>
    </w:rPr>
  </w:style>
  <w:style w:type="table" w:styleId="28">
    <w:name w:val="Table Grid"/>
    <w:basedOn w:val="27"/>
    <w:unhideWhenUsed/>
    <w:qFormat/>
    <w:uiPriority w:val="99"/>
    <w:pPr>
      <w:widowControl w:val="0"/>
      <w:jc w:val="both"/>
    </w:pPr>
    <w:rPr>
      <w:rFonts w:ascii="Calibri" w:hAnsi="Calibri" w:eastAsia="Times New Roman" w:cs="Times New Roman"/>
      <w:szCs w:val="21"/>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0">
    <w:name w:val="Strong"/>
    <w:basedOn w:val="29"/>
    <w:qFormat/>
    <w:uiPriority w:val="0"/>
    <w:rPr>
      <w:b/>
    </w:rPr>
  </w:style>
  <w:style w:type="character" w:styleId="31">
    <w:name w:val="FollowedHyperlink"/>
    <w:basedOn w:val="29"/>
    <w:unhideWhenUsed/>
    <w:qFormat/>
    <w:uiPriority w:val="99"/>
    <w:rPr>
      <w:color w:val="333333"/>
      <w:u w:val="none"/>
    </w:rPr>
  </w:style>
  <w:style w:type="character" w:styleId="32">
    <w:name w:val="Emphasis"/>
    <w:basedOn w:val="29"/>
    <w:qFormat/>
    <w:uiPriority w:val="20"/>
    <w:rPr>
      <w:i/>
    </w:rPr>
  </w:style>
  <w:style w:type="character" w:styleId="33">
    <w:name w:val="Hyperlink"/>
    <w:basedOn w:val="29"/>
    <w:unhideWhenUsed/>
    <w:qFormat/>
    <w:uiPriority w:val="99"/>
    <w:rPr>
      <w:color w:val="333333"/>
      <w:u w:val="none"/>
    </w:rPr>
  </w:style>
  <w:style w:type="character" w:customStyle="1" w:styleId="34">
    <w:name w:val="标题 1 Char"/>
    <w:basedOn w:val="29"/>
    <w:link w:val="2"/>
    <w:qFormat/>
    <w:uiPriority w:val="99"/>
    <w:rPr>
      <w:rFonts w:ascii="Calibri" w:hAnsi="Calibri" w:eastAsia="宋体" w:cs="Times New Roman"/>
      <w:b/>
      <w:bCs/>
      <w:kern w:val="44"/>
      <w:sz w:val="44"/>
      <w:szCs w:val="44"/>
    </w:rPr>
  </w:style>
  <w:style w:type="character" w:customStyle="1" w:styleId="35">
    <w:name w:val="标题 2 Char"/>
    <w:basedOn w:val="29"/>
    <w:link w:val="3"/>
    <w:qFormat/>
    <w:uiPriority w:val="99"/>
    <w:rPr>
      <w:rFonts w:ascii="Arial" w:hAnsi="Arial" w:eastAsia="黑体" w:cs="Times New Roman"/>
      <w:b/>
      <w:bCs/>
      <w:kern w:val="0"/>
      <w:sz w:val="32"/>
      <w:szCs w:val="32"/>
    </w:rPr>
  </w:style>
  <w:style w:type="character" w:customStyle="1" w:styleId="36">
    <w:name w:val="标题 3 Char"/>
    <w:basedOn w:val="29"/>
    <w:link w:val="4"/>
    <w:qFormat/>
    <w:uiPriority w:val="99"/>
    <w:rPr>
      <w:rFonts w:ascii="Times New Roman" w:hAnsi="Times New Roman" w:eastAsia="宋体" w:cs="Times New Roman"/>
      <w:b/>
      <w:bCs/>
      <w:kern w:val="0"/>
      <w:sz w:val="28"/>
      <w:szCs w:val="32"/>
    </w:rPr>
  </w:style>
  <w:style w:type="character" w:customStyle="1" w:styleId="37">
    <w:name w:val="文档结构图 Char"/>
    <w:basedOn w:val="29"/>
    <w:link w:val="7"/>
    <w:semiHidden/>
    <w:qFormat/>
    <w:uiPriority w:val="99"/>
    <w:rPr>
      <w:rFonts w:ascii="宋体"/>
      <w:sz w:val="18"/>
      <w:szCs w:val="18"/>
    </w:rPr>
  </w:style>
  <w:style w:type="character" w:customStyle="1" w:styleId="38">
    <w:name w:val="正文文本 3 Char"/>
    <w:basedOn w:val="29"/>
    <w:link w:val="10"/>
    <w:qFormat/>
    <w:uiPriority w:val="99"/>
    <w:rPr>
      <w:rFonts w:ascii="宋体" w:hAnsi="Calibri" w:eastAsia="宋体" w:cs="Times New Roman"/>
      <w:kern w:val="0"/>
      <w:sz w:val="24"/>
      <w:szCs w:val="24"/>
    </w:rPr>
  </w:style>
  <w:style w:type="character" w:customStyle="1" w:styleId="39">
    <w:name w:val="正文文本缩进 Char"/>
    <w:basedOn w:val="29"/>
    <w:link w:val="12"/>
    <w:qFormat/>
    <w:uiPriority w:val="99"/>
    <w:rPr>
      <w:rFonts w:ascii="Calibri" w:hAnsi="Calibri" w:eastAsia="宋体" w:cs="Times New Roman"/>
      <w:kern w:val="0"/>
      <w:szCs w:val="21"/>
    </w:rPr>
  </w:style>
  <w:style w:type="character" w:customStyle="1" w:styleId="40">
    <w:name w:val="批注框文本 Char"/>
    <w:basedOn w:val="29"/>
    <w:link w:val="17"/>
    <w:semiHidden/>
    <w:qFormat/>
    <w:uiPriority w:val="99"/>
    <w:rPr>
      <w:sz w:val="18"/>
      <w:szCs w:val="18"/>
    </w:rPr>
  </w:style>
  <w:style w:type="character" w:customStyle="1" w:styleId="41">
    <w:name w:val="页脚 Char"/>
    <w:basedOn w:val="29"/>
    <w:link w:val="18"/>
    <w:qFormat/>
    <w:uiPriority w:val="99"/>
    <w:rPr>
      <w:sz w:val="18"/>
      <w:szCs w:val="18"/>
    </w:rPr>
  </w:style>
  <w:style w:type="character" w:customStyle="1" w:styleId="42">
    <w:name w:val="页眉 Char"/>
    <w:basedOn w:val="29"/>
    <w:link w:val="19"/>
    <w:qFormat/>
    <w:uiPriority w:val="99"/>
    <w:rPr>
      <w:sz w:val="18"/>
      <w:szCs w:val="18"/>
    </w:rPr>
  </w:style>
  <w:style w:type="paragraph" w:customStyle="1" w:styleId="43">
    <w:name w:val="AONormal"/>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 w:type="character" w:customStyle="1" w:styleId="44">
    <w:name w:val="15"/>
    <w:basedOn w:val="29"/>
    <w:qFormat/>
    <w:uiPriority w:val="0"/>
    <w:rPr>
      <w:rFonts w:hint="default" w:ascii="Times New Roman" w:hAnsi="Times New Roman" w:cs="Times New Roman"/>
      <w:b/>
      <w:bCs/>
      <w:kern w:val="44"/>
      <w:sz w:val="44"/>
      <w:szCs w:val="44"/>
    </w:rPr>
  </w:style>
  <w:style w:type="character" w:customStyle="1" w:styleId="45">
    <w:name w:val="16"/>
    <w:basedOn w:val="29"/>
    <w:qFormat/>
    <w:uiPriority w:val="0"/>
    <w:rPr>
      <w:rFonts w:hint="default" w:ascii="Times New Roman" w:hAnsi="Times New Roman" w:cs="Times New Roman"/>
      <w:b/>
      <w:bCs/>
      <w:sz w:val="32"/>
      <w:szCs w:val="32"/>
    </w:rPr>
  </w:style>
  <w:style w:type="paragraph" w:customStyle="1" w:styleId="46">
    <w:name w:val="纯文本1"/>
    <w:basedOn w:val="1"/>
    <w:qFormat/>
    <w:uiPriority w:val="0"/>
    <w:rPr>
      <w:rFonts w:ascii="宋体" w:hAnsi="Courier New" w:eastAsia="宋体" w:cs="Times New Roman"/>
      <w:szCs w:val="22"/>
    </w:rPr>
  </w:style>
  <w:style w:type="paragraph" w:customStyle="1" w:styleId="47">
    <w:name w:val="正文缩进1"/>
    <w:basedOn w:val="1"/>
    <w:qFormat/>
    <w:uiPriority w:val="0"/>
    <w:pPr>
      <w:autoSpaceDE w:val="0"/>
      <w:autoSpaceDN w:val="0"/>
      <w:adjustRightInd w:val="0"/>
      <w:ind w:firstLine="420"/>
      <w:jc w:val="left"/>
    </w:pPr>
    <w:rPr>
      <w:rFonts w:ascii="宋体" w:hAnsi="Calibri" w:eastAsia="宋体" w:cs="Times New Roman"/>
      <w:sz w:val="24"/>
      <w:szCs w:val="22"/>
    </w:rPr>
  </w:style>
  <w:style w:type="paragraph" w:customStyle="1" w:styleId="48">
    <w:name w:val="索引 11"/>
    <w:basedOn w:val="1"/>
    <w:next w:val="1"/>
    <w:qFormat/>
    <w:uiPriority w:val="0"/>
    <w:pPr>
      <w:spacing w:line="360" w:lineRule="auto"/>
    </w:pPr>
    <w:rPr>
      <w:rFonts w:ascii="仿宋_GB2312" w:eastAsia="仿宋_GB2312"/>
      <w:sz w:val="24"/>
      <w:szCs w:val="20"/>
    </w:rPr>
  </w:style>
  <w:style w:type="paragraph" w:customStyle="1" w:styleId="49">
    <w:name w:val="样式 样式 首行缩进:  2.57 字符 + 首行缩进:  2.57 字符"/>
    <w:basedOn w:val="1"/>
    <w:qFormat/>
    <w:uiPriority w:val="0"/>
    <w:pPr>
      <w:spacing w:line="360" w:lineRule="auto"/>
      <w:ind w:firstLine="771" w:firstLineChars="257"/>
    </w:pPr>
    <w:rPr>
      <w:rFonts w:eastAsia="仿宋" w:cs="宋体"/>
      <w:sz w:val="30"/>
      <w:szCs w:val="30"/>
    </w:rPr>
  </w:style>
  <w:style w:type="paragraph" w:customStyle="1" w:styleId="50">
    <w:name w:val="_Style 2"/>
    <w:basedOn w:val="1"/>
    <w:qFormat/>
    <w:uiPriority w:val="0"/>
  </w:style>
  <w:style w:type="paragraph" w:customStyle="1" w:styleId="51">
    <w:name w:val="列出段落1"/>
    <w:basedOn w:val="1"/>
    <w:qFormat/>
    <w:uiPriority w:val="0"/>
    <w:pPr>
      <w:ind w:firstLine="420" w:firstLineChars="200"/>
    </w:pPr>
    <w:rPr>
      <w:szCs w:val="21"/>
    </w:rPr>
  </w:style>
  <w:style w:type="paragraph" w:customStyle="1" w:styleId="52">
    <w:name w:val="Table Paragraph"/>
    <w:basedOn w:val="1"/>
    <w:qFormat/>
    <w:uiPriority w:val="0"/>
    <w:rPr>
      <w:rFonts w:ascii="Times New Roman" w:hAnsi="Times New Roman" w:eastAsia="宋体" w:cs="Times New Roman"/>
    </w:rPr>
  </w:style>
  <w:style w:type="paragraph" w:customStyle="1" w:styleId="53">
    <w:name w:val="Table Text"/>
    <w:basedOn w:val="1"/>
    <w:semiHidden/>
    <w:qFormat/>
    <w:uiPriority w:val="0"/>
    <w:rPr>
      <w:rFonts w:ascii="宋体" w:hAnsi="宋体" w:eastAsia="宋体" w:cs="宋体"/>
      <w:sz w:val="27"/>
      <w:szCs w:val="27"/>
      <w:lang w:val="en-US" w:eastAsia="en-US"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8" Type="http://schemas.openxmlformats.org/officeDocument/2006/relationships/fontTable" Target="fontTable.xml"/><Relationship Id="rId17" Type="http://schemas.openxmlformats.org/officeDocument/2006/relationships/numbering" Target="numbering.xml"/><Relationship Id="rId16" Type="http://schemas.openxmlformats.org/officeDocument/2006/relationships/customXml" Target="../customXml/item1.xml"/><Relationship Id="rId15" Type="http://schemas.openxmlformats.org/officeDocument/2006/relationships/image" Target="media/image1.png"/><Relationship Id="rId14" Type="http://schemas.openxmlformats.org/officeDocument/2006/relationships/theme" Target="theme/theme1.xml"/><Relationship Id="rId13" Type="http://schemas.openxmlformats.org/officeDocument/2006/relationships/footer" Target="footer7.xml"/><Relationship Id="rId12" Type="http://schemas.openxmlformats.org/officeDocument/2006/relationships/header" Target="header4.xml"/><Relationship Id="rId11" Type="http://schemas.openxmlformats.org/officeDocument/2006/relationships/footer" Target="footer6.xml"/><Relationship Id="rId10" Type="http://schemas.openxmlformats.org/officeDocument/2006/relationships/header" Target="header3.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74</Pages>
  <Words>848</Words>
  <Characters>1007</Characters>
  <Lines>350</Lines>
  <Paragraphs>98</Paragraphs>
  <TotalTime>41</TotalTime>
  <ScaleCrop>false</ScaleCrop>
  <LinksUpToDate>false</LinksUpToDate>
  <CharactersWithSpaces>1109</CharactersWithSpaces>
  <Application>WPS Office_12.1.0.21541_F1E327BC-269C-435d-A152-05C5408002CA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2017-10-18T03:15:00Z</dcterms:created>
  <dc:creator>jsb</dc:creator>
  <cp:lastModifiedBy>Wei、</cp:lastModifiedBy>
  <cp:lastPrinted>2019-03-27T01:24:00Z</cp:lastPrinted>
  <dcterms:modified xsi:type="dcterms:W3CDTF">2025-06-19T15:03:56Z</dcterms:modified>
  <cp:revision>15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2052-12.1.0.21541</vt:lpwstr>
  </property>
  <property fmtid="{D5CDD505-2E9C-101B-9397-08002B2CF9AE}" pid="3" name="ICV">
    <vt:lpwstr>251CF8F91FA9403FAB8921E958A69611_13</vt:lpwstr>
  </property>
  <property fmtid="{D5CDD505-2E9C-101B-9397-08002B2CF9AE}" pid="4" name="KSOTemplateDocerSaveRecord">
    <vt:lpwstr>eyJoZGlkIjoiNjdmNGFkY2ViZjFkNjAzOWMyNzI1OTkyNTViOGQ0MzEiLCJ1c2VySWQiOiIyNzY0NjE0NjIifQ==</vt:lpwstr>
  </property>
</Properties>
</file>