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采购需求：</w:t>
      </w:r>
    </w:p>
    <w:tbl>
      <w:tblPr>
        <w:tblStyle w:val="6"/>
        <w:tblW w:w="85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837"/>
        <w:gridCol w:w="3129"/>
        <w:gridCol w:w="974"/>
        <w:gridCol w:w="775"/>
        <w:gridCol w:w="1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包号</w:t>
            </w:r>
          </w:p>
        </w:tc>
        <w:tc>
          <w:tcPr>
            <w:tcW w:w="83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采购数量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5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各包总预算</w:t>
            </w:r>
          </w:p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（体育心理学实验室）</w:t>
            </w: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双手调节器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000000" w:themeColor="text1"/>
                <w:sz w:val="21"/>
                <w:szCs w:val="21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动作稳定器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镜画仪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反应时运动时测试仪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深度知觉仪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速度知觉仪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迷宫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无线心电信号采集分析系统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生物反馈无线肌电信号采集分析系统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皮肤电测试仪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注意分配实验仪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注意广度测试仪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学习迁移测试仪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记忆广度测试仪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瞬时记忆实验仪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PsyKey运动心理测评系统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心率表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台式电脑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实验桌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方凳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多媒体钢制多功能讲台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投影机（含吊架）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幕布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副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实验仪器柜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组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台式计算机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（运动生理生化实验室）</w:t>
            </w: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 xml:space="preserve"> 握力计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000000" w:themeColor="text1"/>
                <w:sz w:val="21"/>
                <w:szCs w:val="21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背力计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血糖检测仪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血红蛋白分析仪（试纸200片）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血脂检测仪（试条200个）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便携式血乳酸分析仪（测试条200个）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电子血压仪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肺活量计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身高体重测量一体机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反应时测定仪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标准视力灯箱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心率遥测仪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半自动生化分析仪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恒温水浴箱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实验桌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方凳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多媒体钢制多功能讲台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台式电脑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投影机（含吊架）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幕布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副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36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37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29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器械柜</w:t>
            </w:r>
          </w:p>
        </w:tc>
        <w:tc>
          <w:tcPr>
            <w:tcW w:w="97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7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组</w:t>
            </w:r>
          </w:p>
        </w:tc>
        <w:tc>
          <w:tcPr>
            <w:tcW w:w="1567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</w:tbl>
    <w:p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注</w:t>
      </w:r>
      <w:r>
        <w:rPr>
          <w:rFonts w:hint="eastAsia" w:ascii="宋体" w:hAnsi="宋体"/>
          <w:color w:val="auto"/>
          <w:szCs w:val="21"/>
          <w:highlight w:val="none"/>
        </w:rPr>
        <w:t>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本次采购项目共分2个包，</w:t>
      </w:r>
      <w:r>
        <w:rPr>
          <w:rFonts w:hint="eastAsia" w:ascii="宋体" w:hAnsi="宋体"/>
          <w:b/>
          <w:bCs/>
          <w:color w:val="auto"/>
          <w:szCs w:val="21"/>
          <w:highlight w:val="none"/>
          <w:lang w:val="en-US" w:eastAsia="zh-CN"/>
        </w:rPr>
        <w:t>供应商可兼投兼中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。</w:t>
      </w:r>
      <w:r>
        <w:rPr>
          <w:rFonts w:hint="eastAsia" w:ascii="宋体" w:hAnsi="宋体" w:cs="宋体"/>
          <w:b w:val="0"/>
          <w:bCs w:val="0"/>
          <w:color w:val="auto"/>
          <w:szCs w:val="21"/>
          <w:highlight w:val="none"/>
          <w:lang w:val="en-US" w:eastAsia="zh-CN"/>
        </w:rPr>
        <w:t>供应商报价超过各包预算金额或最高限价的其报价无效。</w:t>
      </w:r>
      <w:r>
        <w:rPr>
          <w:rFonts w:hint="eastAsia" w:ascii="宋体" w:hAnsi="宋体" w:cs="宋体"/>
          <w:szCs w:val="21"/>
        </w:rPr>
        <w:t>包含所有产品的供应、生产、采购、运输、检验、安装、调试、售后服务及培训等全部相关工作，供应商需对以下内容整体性投标，具体技术参数详见第三章采购需求。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4D50AC"/>
    <w:multiLevelType w:val="singleLevel"/>
    <w:tmpl w:val="334D50A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6AC97192"/>
    <w:multiLevelType w:val="singleLevel"/>
    <w:tmpl w:val="6AC9719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1ZmZkZTJmMTRjZTU0ZDBiMWI3NWQxZGRlY2U4MDQifQ=="/>
  </w:docVars>
  <w:rsids>
    <w:rsidRoot w:val="715645EC"/>
    <w:rsid w:val="0619231C"/>
    <w:rsid w:val="358B0D43"/>
    <w:rsid w:val="4C2E78C4"/>
    <w:rsid w:val="7156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39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 w:afterLines="0" w:afterAutospacing="0"/>
    </w:pPr>
  </w:style>
  <w:style w:type="paragraph" w:styleId="3">
    <w:name w:val="toc 9"/>
    <w:basedOn w:val="1"/>
    <w:next w:val="1"/>
    <w:qFormat/>
    <w:uiPriority w:val="39"/>
    <w:pPr>
      <w:ind w:left="1680"/>
      <w:jc w:val="left"/>
    </w:pPr>
    <w:rPr>
      <w:sz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2023-07-30T04:36:00Z</dcterms:created>
  <dc:creator>武汉创世纪-宋文奇</dc:creator>
  <cp:lastModifiedBy>武汉创世纪-宋文奇</cp:lastModifiedBy>
  <dcterms:modified xsi:type="dcterms:W3CDTF">2023-07-30T04:36:26Z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6DDF5890CCC943B78B17FFFE7CEB13E6_11</vt:lpwstr>
  </property>
</Properties>
</file>