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3D378">
      <w:pPr>
        <w:spacing w:line="600" w:lineRule="exact"/>
        <w:rPr>
          <w:rFonts w:hAnsi="宋体"/>
          <w:b/>
          <w:color w:val="auto"/>
          <w:spacing w:val="50"/>
          <w:sz w:val="72"/>
          <w:szCs w:val="72"/>
          <w:highlight w:val="none"/>
        </w:rPr>
      </w:pPr>
      <w:bookmarkStart w:id="0" w:name="_Toc21670"/>
    </w:p>
    <w:p w14:paraId="3A0BB539">
      <w:pPr>
        <w:pStyle w:val="29"/>
        <w:jc w:val="center"/>
        <w:rPr>
          <w:rFonts w:hint="eastAsia" w:hAnsi="宋体" w:eastAsia="宋体"/>
          <w:b/>
          <w:bCs/>
          <w:color w:val="auto"/>
          <w:sz w:val="52"/>
          <w:szCs w:val="52"/>
          <w:highlight w:val="none"/>
          <w:lang w:eastAsia="zh-CN"/>
        </w:rPr>
      </w:pPr>
      <w:r>
        <w:rPr>
          <w:rFonts w:hint="eastAsia" w:hAnsi="宋体"/>
          <w:b/>
          <w:bCs/>
          <w:color w:val="auto"/>
          <w:sz w:val="52"/>
          <w:szCs w:val="52"/>
          <w:highlight w:val="none"/>
          <w:lang w:eastAsia="zh-CN"/>
        </w:rPr>
        <w:t>德宏州公安局特巡警支队维稳处突装备采购项目</w:t>
      </w:r>
    </w:p>
    <w:p w14:paraId="08687782">
      <w:pPr>
        <w:rPr>
          <w:color w:val="auto"/>
          <w:highlight w:val="none"/>
        </w:rPr>
      </w:pPr>
    </w:p>
    <w:p w14:paraId="3F07A5D0">
      <w:pPr>
        <w:rPr>
          <w:color w:val="auto"/>
          <w:highlight w:val="none"/>
        </w:rPr>
      </w:pPr>
    </w:p>
    <w:p w14:paraId="2B9C1655">
      <w:pPr>
        <w:rPr>
          <w:color w:val="auto"/>
          <w:highlight w:val="none"/>
        </w:rPr>
      </w:pPr>
    </w:p>
    <w:p w14:paraId="7CBE180E">
      <w:pPr>
        <w:pStyle w:val="30"/>
        <w:ind w:firstLine="528"/>
        <w:rPr>
          <w:color w:val="auto"/>
          <w:highlight w:val="none"/>
        </w:rPr>
      </w:pPr>
    </w:p>
    <w:p w14:paraId="7DC8FA42">
      <w:pPr>
        <w:pStyle w:val="29"/>
        <w:rPr>
          <w:rFonts w:hAnsi="宋体"/>
          <w:b/>
          <w:bCs/>
          <w:color w:val="auto"/>
          <w:sz w:val="72"/>
          <w:highlight w:val="none"/>
        </w:rPr>
      </w:pPr>
    </w:p>
    <w:p w14:paraId="1B2C4AA8">
      <w:pPr>
        <w:pStyle w:val="9"/>
        <w:spacing w:line="360" w:lineRule="auto"/>
        <w:jc w:val="center"/>
        <w:rPr>
          <w:rFonts w:hAnsi="宋体"/>
          <w:b/>
          <w:bCs/>
          <w:color w:val="auto"/>
          <w:sz w:val="72"/>
          <w:szCs w:val="72"/>
          <w:highlight w:val="none"/>
        </w:rPr>
      </w:pPr>
      <w:r>
        <w:rPr>
          <w:rFonts w:hint="eastAsia" w:hAnsi="宋体"/>
          <w:b/>
          <w:bCs/>
          <w:color w:val="auto"/>
          <w:sz w:val="72"/>
          <w:szCs w:val="72"/>
          <w:highlight w:val="none"/>
        </w:rPr>
        <w:t>招标文件</w:t>
      </w:r>
    </w:p>
    <w:p w14:paraId="1BB4710B">
      <w:pPr>
        <w:spacing w:line="700" w:lineRule="exact"/>
        <w:jc w:val="cente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招标编号：</w:t>
      </w:r>
      <w:r>
        <w:rPr>
          <w:rFonts w:hint="eastAsia" w:ascii="宋体" w:hAnsi="宋体" w:cs="宋体"/>
          <w:b/>
          <w:color w:val="auto"/>
          <w:sz w:val="28"/>
          <w:szCs w:val="28"/>
          <w:highlight w:val="none"/>
          <w:lang w:eastAsia="zh-CN"/>
        </w:rPr>
        <w:t>YNLYZB-2025-97</w:t>
      </w:r>
    </w:p>
    <w:p w14:paraId="7C998986">
      <w:pPr>
        <w:pStyle w:val="9"/>
        <w:spacing w:line="360" w:lineRule="auto"/>
        <w:jc w:val="center"/>
        <w:rPr>
          <w:rFonts w:hAnsi="宋体"/>
          <w:color w:val="auto"/>
          <w:sz w:val="28"/>
          <w:szCs w:val="28"/>
          <w:highlight w:val="none"/>
        </w:rPr>
      </w:pPr>
    </w:p>
    <w:p w14:paraId="3D92F42D">
      <w:pPr>
        <w:pStyle w:val="9"/>
        <w:spacing w:line="360" w:lineRule="auto"/>
        <w:rPr>
          <w:rFonts w:hAnsi="宋体"/>
          <w:color w:val="auto"/>
          <w:highlight w:val="none"/>
        </w:rPr>
      </w:pPr>
    </w:p>
    <w:p w14:paraId="7156615B">
      <w:pPr>
        <w:rPr>
          <w:color w:val="auto"/>
          <w:highlight w:val="none"/>
        </w:rPr>
      </w:pPr>
    </w:p>
    <w:p w14:paraId="4221D278">
      <w:pPr>
        <w:rPr>
          <w:color w:val="auto"/>
          <w:highlight w:val="none"/>
        </w:rPr>
      </w:pPr>
    </w:p>
    <w:p w14:paraId="1A67DDC9">
      <w:pPr>
        <w:rPr>
          <w:color w:val="auto"/>
          <w:highlight w:val="none"/>
        </w:rPr>
      </w:pPr>
    </w:p>
    <w:p w14:paraId="08DBFABD">
      <w:pPr>
        <w:pStyle w:val="5"/>
        <w:rPr>
          <w:color w:val="auto"/>
          <w:highlight w:val="none"/>
        </w:rPr>
      </w:pPr>
    </w:p>
    <w:p w14:paraId="54A271A8">
      <w:pPr>
        <w:pStyle w:val="5"/>
        <w:rPr>
          <w:color w:val="auto"/>
          <w:highlight w:val="none"/>
        </w:rPr>
      </w:pPr>
    </w:p>
    <w:p w14:paraId="1018C994">
      <w:pPr>
        <w:pStyle w:val="22"/>
        <w:spacing w:beforeLines="200" w:line="1000" w:lineRule="exact"/>
        <w:ind w:left="0" w:leftChars="0" w:firstLine="1506" w:firstLineChars="500"/>
        <w:rPr>
          <w:rFonts w:hint="eastAsia" w:eastAsiaTheme="minorEastAsia"/>
          <w:b/>
          <w:color w:val="auto"/>
          <w:sz w:val="30"/>
          <w:szCs w:val="30"/>
          <w:highlight w:val="none"/>
          <w:lang w:eastAsia="zh-CN"/>
        </w:rPr>
      </w:pPr>
      <w:r>
        <w:rPr>
          <w:rFonts w:hint="eastAsia"/>
          <w:b/>
          <w:color w:val="auto"/>
          <w:sz w:val="30"/>
          <w:szCs w:val="30"/>
          <w:highlight w:val="none"/>
        </w:rPr>
        <w:t>采购人：</w:t>
      </w:r>
      <w:r>
        <w:rPr>
          <w:rFonts w:hint="eastAsia" w:asciiTheme="majorEastAsia" w:hAnsiTheme="majorEastAsia" w:eastAsiaTheme="majorEastAsia" w:cstheme="majorEastAsia"/>
          <w:b/>
          <w:color w:val="auto"/>
          <w:sz w:val="30"/>
          <w:szCs w:val="30"/>
          <w:highlight w:val="none"/>
          <w:lang w:eastAsia="zh-CN"/>
        </w:rPr>
        <w:t>德宏傣族景颇族自治州公安局</w:t>
      </w:r>
    </w:p>
    <w:p w14:paraId="0854F017">
      <w:pPr>
        <w:pStyle w:val="22"/>
        <w:spacing w:beforeLines="200" w:line="480" w:lineRule="auto"/>
        <w:ind w:left="0" w:leftChars="0" w:firstLine="1506" w:firstLineChars="500"/>
        <w:rPr>
          <w:rFonts w:hAnsi="宋体"/>
          <w:b/>
          <w:color w:val="auto"/>
          <w:sz w:val="30"/>
          <w:szCs w:val="30"/>
          <w:highlight w:val="none"/>
        </w:rPr>
      </w:pPr>
      <w:r>
        <w:rPr>
          <w:rFonts w:hint="eastAsia" w:hAnsi="宋体"/>
          <w:b/>
          <w:color w:val="auto"/>
          <w:sz w:val="30"/>
          <w:szCs w:val="30"/>
          <w:highlight w:val="none"/>
        </w:rPr>
        <w:t>采购</w:t>
      </w:r>
      <w:r>
        <w:rPr>
          <w:rFonts w:hAnsi="宋体"/>
          <w:b/>
          <w:color w:val="auto"/>
          <w:sz w:val="30"/>
          <w:szCs w:val="30"/>
          <w:highlight w:val="none"/>
        </w:rPr>
        <w:t>代理机构</w:t>
      </w:r>
      <w:r>
        <w:rPr>
          <w:rFonts w:hint="eastAsia"/>
          <w:b/>
          <w:color w:val="auto"/>
          <w:sz w:val="30"/>
          <w:szCs w:val="30"/>
          <w:highlight w:val="none"/>
        </w:rPr>
        <w:t>：</w:t>
      </w:r>
      <w:r>
        <w:rPr>
          <w:rFonts w:hint="eastAsia" w:hAnsi="宋体"/>
          <w:b/>
          <w:color w:val="auto"/>
          <w:sz w:val="30"/>
          <w:szCs w:val="30"/>
          <w:highlight w:val="none"/>
        </w:rPr>
        <w:t>云南立友工程咨询有限公司</w:t>
      </w:r>
    </w:p>
    <w:p w14:paraId="29A1169A">
      <w:pPr>
        <w:pStyle w:val="22"/>
        <w:spacing w:beforeLines="200" w:line="480" w:lineRule="auto"/>
        <w:ind w:left="0" w:leftChars="0" w:firstLine="1506" w:firstLineChars="500"/>
        <w:rPr>
          <w:rFonts w:ascii="宋体" w:hAnsi="宋体" w:cs="宋体"/>
          <w:b/>
          <w:bCs/>
          <w:color w:val="auto"/>
          <w:sz w:val="30"/>
          <w:szCs w:val="30"/>
          <w:highlight w:val="none"/>
        </w:rPr>
      </w:pPr>
      <w:r>
        <w:rPr>
          <w:rFonts w:hint="eastAsia" w:hAnsi="宋体"/>
          <w:b/>
          <w:color w:val="auto"/>
          <w:sz w:val="30"/>
          <w:szCs w:val="30"/>
          <w:highlight w:val="none"/>
        </w:rPr>
        <w:t>日  期：202</w:t>
      </w:r>
      <w:r>
        <w:rPr>
          <w:rFonts w:hint="eastAsia" w:hAnsi="宋体"/>
          <w:b/>
          <w:color w:val="auto"/>
          <w:sz w:val="30"/>
          <w:szCs w:val="30"/>
          <w:highlight w:val="none"/>
          <w:lang w:val="en-US" w:eastAsia="zh-CN"/>
        </w:rPr>
        <w:t>5</w:t>
      </w:r>
      <w:r>
        <w:rPr>
          <w:rFonts w:hint="eastAsia" w:hAnsi="宋体" w:cs="微软雅黑"/>
          <w:b/>
          <w:color w:val="auto"/>
          <w:sz w:val="30"/>
          <w:szCs w:val="30"/>
          <w:highlight w:val="none"/>
        </w:rPr>
        <w:t>年</w:t>
      </w:r>
      <w:r>
        <w:rPr>
          <w:rFonts w:hint="eastAsia" w:hAnsi="宋体" w:cs="微软雅黑"/>
          <w:b/>
          <w:color w:val="auto"/>
          <w:sz w:val="30"/>
          <w:szCs w:val="30"/>
          <w:highlight w:val="none"/>
          <w:lang w:val="en-US" w:eastAsia="zh-CN"/>
        </w:rPr>
        <w:t>6</w:t>
      </w:r>
      <w:r>
        <w:rPr>
          <w:rFonts w:hint="eastAsia" w:hAnsi="宋体" w:cs="微软雅黑"/>
          <w:b/>
          <w:color w:val="auto"/>
          <w:sz w:val="30"/>
          <w:szCs w:val="30"/>
          <w:highlight w:val="none"/>
        </w:rPr>
        <w:t>月</w:t>
      </w:r>
    </w:p>
    <w:p w14:paraId="0E982F4B">
      <w:pPr>
        <w:pStyle w:val="29"/>
        <w:rPr>
          <w:color w:val="auto"/>
          <w:highlight w:val="none"/>
        </w:rPr>
      </w:pPr>
    </w:p>
    <w:p w14:paraId="5104CD5F">
      <w:pPr>
        <w:pStyle w:val="9"/>
        <w:spacing w:line="360" w:lineRule="auto"/>
        <w:rPr>
          <w:rFonts w:hAnsi="宋体"/>
          <w:color w:val="auto"/>
          <w:highlight w:val="none"/>
        </w:rPr>
        <w:sectPr>
          <w:headerReference r:id="rId3" w:type="default"/>
          <w:footerReference r:id="rId4" w:type="default"/>
          <w:pgSz w:w="11906" w:h="16838"/>
          <w:pgMar w:top="1440" w:right="1440" w:bottom="1440" w:left="1440" w:header="851" w:footer="992" w:gutter="0"/>
          <w:cols w:space="425" w:num="1"/>
          <w:docGrid w:type="lines" w:linePitch="312" w:charSpace="0"/>
        </w:sectPr>
      </w:pPr>
    </w:p>
    <w:p w14:paraId="1C60DEF7">
      <w:pPr>
        <w:spacing w:beforeLines="50" w:afterLines="100"/>
        <w:jc w:val="center"/>
        <w:rPr>
          <w:b/>
          <w:bCs/>
          <w:color w:val="auto"/>
          <w:sz w:val="44"/>
          <w:szCs w:val="52"/>
          <w:highlight w:val="none"/>
        </w:rPr>
      </w:pPr>
      <w:r>
        <w:rPr>
          <w:rFonts w:hint="eastAsia"/>
          <w:b/>
          <w:bCs/>
          <w:color w:val="auto"/>
          <w:sz w:val="44"/>
          <w:szCs w:val="52"/>
          <w:highlight w:val="none"/>
        </w:rPr>
        <w:t>目 录</w:t>
      </w:r>
    </w:p>
    <w:p w14:paraId="38D2C01A">
      <w:pPr>
        <w:ind w:firstLine="640" w:firstLineChars="200"/>
        <w:rPr>
          <w:color w:val="auto"/>
          <w:position w:val="-6"/>
          <w:sz w:val="22"/>
          <w:szCs w:val="21"/>
          <w:highlight w:val="none"/>
        </w:rPr>
      </w:pPr>
      <w:r>
        <w:rPr>
          <w:rFonts w:hint="eastAsia"/>
          <w:color w:val="auto"/>
          <w:sz w:val="32"/>
          <w:szCs w:val="40"/>
          <w:highlight w:val="none"/>
        </w:rPr>
        <w:t>第一章 招标公告...........................................................................1</w:t>
      </w:r>
    </w:p>
    <w:p w14:paraId="2582F33C">
      <w:pPr>
        <w:ind w:firstLine="640" w:firstLineChars="200"/>
        <w:rPr>
          <w:rFonts w:hint="eastAsia" w:eastAsia="宋体"/>
          <w:color w:val="auto"/>
          <w:highlight w:val="none"/>
          <w:lang w:eastAsia="zh-CN"/>
        </w:rPr>
      </w:pPr>
      <w:r>
        <w:rPr>
          <w:rFonts w:hint="eastAsia"/>
          <w:color w:val="auto"/>
          <w:sz w:val="32"/>
          <w:szCs w:val="40"/>
          <w:highlight w:val="none"/>
        </w:rPr>
        <w:t>第二章 投标人须知.......................................................................</w:t>
      </w:r>
      <w:r>
        <w:rPr>
          <w:rFonts w:hint="eastAsia"/>
          <w:color w:val="auto"/>
          <w:sz w:val="32"/>
          <w:szCs w:val="40"/>
          <w:highlight w:val="none"/>
          <w:lang w:val="en-US" w:eastAsia="zh-CN"/>
        </w:rPr>
        <w:t>6</w:t>
      </w:r>
    </w:p>
    <w:p w14:paraId="7CFE5D81">
      <w:pPr>
        <w:ind w:firstLine="640" w:firstLineChars="200"/>
        <w:rPr>
          <w:rFonts w:hint="eastAsia" w:eastAsia="宋体"/>
          <w:color w:val="auto"/>
          <w:sz w:val="32"/>
          <w:szCs w:val="40"/>
          <w:highlight w:val="none"/>
          <w:lang w:eastAsia="zh-CN"/>
        </w:rPr>
      </w:pPr>
      <w:r>
        <w:rPr>
          <w:rFonts w:hint="eastAsia"/>
          <w:color w:val="auto"/>
          <w:sz w:val="32"/>
          <w:szCs w:val="40"/>
          <w:highlight w:val="none"/>
        </w:rPr>
        <w:t>第三章 评标办法.........................................................................3</w:t>
      </w:r>
      <w:r>
        <w:rPr>
          <w:rFonts w:hint="eastAsia"/>
          <w:color w:val="auto"/>
          <w:sz w:val="32"/>
          <w:szCs w:val="40"/>
          <w:highlight w:val="none"/>
          <w:lang w:val="en-US" w:eastAsia="zh-CN"/>
        </w:rPr>
        <w:t>2</w:t>
      </w:r>
    </w:p>
    <w:p w14:paraId="02D2D0ED">
      <w:pPr>
        <w:ind w:firstLine="640" w:firstLineChars="200"/>
        <w:rPr>
          <w:rFonts w:eastAsiaTheme="minorEastAsia"/>
          <w:color w:val="auto"/>
          <w:sz w:val="32"/>
          <w:szCs w:val="40"/>
          <w:highlight w:val="none"/>
        </w:rPr>
      </w:pPr>
      <w:r>
        <w:rPr>
          <w:rFonts w:hint="eastAsia"/>
          <w:color w:val="auto"/>
          <w:sz w:val="32"/>
          <w:szCs w:val="40"/>
          <w:highlight w:val="none"/>
        </w:rPr>
        <w:t>第四章 合同条款及合同书样式.................................................4</w:t>
      </w:r>
      <w:r>
        <w:rPr>
          <w:rFonts w:hint="eastAsia"/>
          <w:color w:val="auto"/>
          <w:sz w:val="32"/>
          <w:szCs w:val="40"/>
          <w:highlight w:val="none"/>
          <w:lang w:val="en-US" w:eastAsia="zh-CN"/>
        </w:rPr>
        <w:t>4</w:t>
      </w:r>
    </w:p>
    <w:p w14:paraId="7CB24644">
      <w:pPr>
        <w:ind w:firstLine="640" w:firstLineChars="200"/>
        <w:rPr>
          <w:rFonts w:hint="eastAsia" w:eastAsia="宋体"/>
          <w:color w:val="auto"/>
          <w:sz w:val="32"/>
          <w:szCs w:val="40"/>
          <w:highlight w:val="none"/>
          <w:lang w:val="en-US" w:eastAsia="zh-CN"/>
        </w:rPr>
      </w:pPr>
      <w:r>
        <w:rPr>
          <w:rFonts w:hint="eastAsia"/>
          <w:color w:val="auto"/>
          <w:sz w:val="32"/>
          <w:szCs w:val="40"/>
          <w:highlight w:val="none"/>
        </w:rPr>
        <w:t>第五章 采购需求.........................................................................</w:t>
      </w:r>
      <w:r>
        <w:rPr>
          <w:rFonts w:hint="eastAsia"/>
          <w:color w:val="auto"/>
          <w:sz w:val="32"/>
          <w:szCs w:val="40"/>
          <w:highlight w:val="none"/>
          <w:lang w:val="en-US" w:eastAsia="zh-CN"/>
        </w:rPr>
        <w:t>51</w:t>
      </w:r>
    </w:p>
    <w:p w14:paraId="6415EA47">
      <w:pPr>
        <w:pStyle w:val="7"/>
        <w:ind w:firstLine="640" w:firstLineChars="200"/>
        <w:rPr>
          <w:rFonts w:hint="eastAsia" w:eastAsia="宋体"/>
          <w:color w:val="auto"/>
          <w:highlight w:val="none"/>
          <w:lang w:val="en-US" w:eastAsia="zh-CN"/>
        </w:rPr>
      </w:pPr>
      <w:r>
        <w:rPr>
          <w:rFonts w:hint="eastAsia"/>
          <w:color w:val="auto"/>
          <w:sz w:val="32"/>
          <w:szCs w:val="40"/>
          <w:highlight w:val="none"/>
        </w:rPr>
        <w:t>第六章</w:t>
      </w:r>
      <w:r>
        <w:rPr>
          <w:rFonts w:hint="eastAsia"/>
          <w:color w:val="auto"/>
          <w:sz w:val="32"/>
          <w:szCs w:val="40"/>
          <w:highlight w:val="none"/>
          <w:lang w:val="en-US" w:eastAsia="zh-CN"/>
        </w:rPr>
        <w:t xml:space="preserve"> </w:t>
      </w:r>
      <w:r>
        <w:rPr>
          <w:rFonts w:hint="eastAsia"/>
          <w:color w:val="auto"/>
          <w:sz w:val="32"/>
          <w:szCs w:val="40"/>
          <w:highlight w:val="none"/>
        </w:rPr>
        <w:t>投标文件格式.................................................................</w:t>
      </w:r>
      <w:r>
        <w:rPr>
          <w:rFonts w:hint="eastAsia"/>
          <w:color w:val="auto"/>
          <w:sz w:val="32"/>
          <w:szCs w:val="40"/>
          <w:highlight w:val="none"/>
          <w:lang w:val="en-US" w:eastAsia="zh-CN"/>
        </w:rPr>
        <w:t>67</w:t>
      </w:r>
    </w:p>
    <w:p w14:paraId="47F551A7">
      <w:pPr>
        <w:rPr>
          <w:color w:val="auto"/>
          <w:highlight w:val="none"/>
        </w:rPr>
      </w:pPr>
    </w:p>
    <w:p w14:paraId="3C7A6D7B">
      <w:pPr>
        <w:pStyle w:val="22"/>
        <w:tabs>
          <w:tab w:val="left" w:pos="7596"/>
        </w:tabs>
        <w:rPr>
          <w:color w:val="auto"/>
          <w:highlight w:val="none"/>
        </w:rPr>
      </w:pPr>
      <w:r>
        <w:rPr>
          <w:rFonts w:hint="eastAsia"/>
          <w:color w:val="auto"/>
          <w:highlight w:val="none"/>
        </w:rPr>
        <w:tab/>
      </w:r>
    </w:p>
    <w:p w14:paraId="42DB155C">
      <w:pPr>
        <w:pStyle w:val="22"/>
        <w:rPr>
          <w:color w:val="auto"/>
          <w:highlight w:val="none"/>
        </w:rPr>
      </w:pPr>
    </w:p>
    <w:p w14:paraId="72B5A7FD">
      <w:pPr>
        <w:pStyle w:val="22"/>
        <w:rPr>
          <w:color w:val="auto"/>
          <w:highlight w:val="none"/>
        </w:rPr>
      </w:pPr>
    </w:p>
    <w:p w14:paraId="3D26E838">
      <w:pPr>
        <w:pStyle w:val="22"/>
        <w:rPr>
          <w:color w:val="auto"/>
          <w:highlight w:val="none"/>
        </w:rPr>
      </w:pPr>
    </w:p>
    <w:p w14:paraId="63F71907">
      <w:pPr>
        <w:pStyle w:val="22"/>
        <w:rPr>
          <w:color w:val="auto"/>
          <w:highlight w:val="none"/>
        </w:rPr>
        <w:sectPr>
          <w:pgSz w:w="11906" w:h="16838"/>
          <w:pgMar w:top="1440" w:right="1134" w:bottom="1440" w:left="1134" w:header="851" w:footer="992" w:gutter="0"/>
          <w:cols w:space="425" w:num="1"/>
          <w:docGrid w:type="lines" w:linePitch="312" w:charSpace="0"/>
        </w:sectPr>
      </w:pPr>
    </w:p>
    <w:bookmarkEnd w:id="0"/>
    <w:p w14:paraId="6E03DDDC">
      <w:pPr>
        <w:spacing w:afterLines="50"/>
        <w:jc w:val="center"/>
        <w:rPr>
          <w:b/>
          <w:color w:val="auto"/>
          <w:highlight w:val="none"/>
          <w:shd w:val="pct10" w:color="auto" w:fill="FFFFFF"/>
        </w:rPr>
      </w:pPr>
      <w:bookmarkStart w:id="1" w:name="_Toc19039"/>
      <w:bookmarkStart w:id="2" w:name="_Toc11419"/>
      <w:r>
        <w:rPr>
          <w:rFonts w:hint="eastAsia" w:ascii="宋体" w:cs="宋体"/>
          <w:b/>
          <w:color w:val="auto"/>
          <w:sz w:val="44"/>
          <w:szCs w:val="44"/>
          <w:highlight w:val="none"/>
        </w:rPr>
        <w:t>第一章</w:t>
      </w:r>
      <w:r>
        <w:rPr>
          <w:rFonts w:hint="eastAsia" w:ascii="宋体" w:cs="宋体"/>
          <w:b/>
          <w:color w:val="auto"/>
          <w:sz w:val="44"/>
          <w:szCs w:val="44"/>
          <w:highlight w:val="none"/>
          <w:lang w:val="en-US" w:eastAsia="zh-CN"/>
        </w:rPr>
        <w:t xml:space="preserve"> </w:t>
      </w:r>
      <w:r>
        <w:rPr>
          <w:rFonts w:hint="eastAsia" w:ascii="宋体" w:hAnsi="宋体" w:cs="宋体"/>
          <w:b/>
          <w:color w:val="auto"/>
          <w:sz w:val="44"/>
          <w:szCs w:val="44"/>
          <w:highlight w:val="none"/>
        </w:rPr>
        <w:t>招标公告</w:t>
      </w:r>
    </w:p>
    <w:p w14:paraId="45C2DDD5">
      <w:pPr>
        <w:pStyle w:val="22"/>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286D16C">
      <w:pPr>
        <w:pStyle w:val="22"/>
        <w:keepLines w:val="0"/>
        <w:pageBreakBefore w:val="0"/>
        <w:pBdr>
          <w:top w:val="single" w:color="auto" w:sz="4" w:space="0"/>
          <w:left w:val="single" w:color="auto" w:sz="4" w:space="0"/>
          <w:bottom w:val="single" w:color="auto" w:sz="4" w:space="0"/>
          <w:right w:val="single" w:color="auto" w:sz="4" w:space="0"/>
        </w:pBdr>
        <w:kinsoku/>
        <w:overflowPunct/>
        <w:topLinePunct w:val="0"/>
        <w:autoSpaceDE/>
        <w:autoSpaceDN/>
        <w:bidi w:val="0"/>
        <w:snapToGrid/>
        <w:spacing w:after="0" w:line="48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德宏州公安局特巡警支队维稳处突装备采购项目</w:t>
      </w:r>
      <w:r>
        <w:rPr>
          <w:rFonts w:hint="eastAsia" w:ascii="宋体" w:hAnsi="宋体" w:eastAsia="宋体" w:cs="宋体"/>
          <w:color w:val="auto"/>
          <w:sz w:val="24"/>
          <w:szCs w:val="24"/>
          <w:highlight w:val="none"/>
        </w:rPr>
        <w:t>的潜在投标人应在“政府采购云平台（https://www.zcygov.cn/）”获取采购文件，并于</w:t>
      </w:r>
      <w:r>
        <w:rPr>
          <w:rFonts w:hint="eastAsia" w:ascii="宋体" w:hAnsi="宋体" w:eastAsia="宋体" w:cs="宋体"/>
          <w:color w:val="auto"/>
          <w:sz w:val="24"/>
          <w:szCs w:val="24"/>
          <w:highlight w:val="none"/>
          <w:lang w:eastAsia="zh-CN"/>
        </w:rPr>
        <w:t>2025年7月15日09时00分</w:t>
      </w:r>
      <w:r>
        <w:rPr>
          <w:rFonts w:hint="eastAsia" w:ascii="宋体" w:hAnsi="宋体" w:eastAsia="宋体" w:cs="宋体"/>
          <w:color w:val="auto"/>
          <w:sz w:val="24"/>
          <w:szCs w:val="24"/>
          <w:highlight w:val="none"/>
        </w:rPr>
        <w:t>（北京时间）前</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投标文件。</w:t>
      </w:r>
    </w:p>
    <w:p w14:paraId="18DF9B64">
      <w:pPr>
        <w:pStyle w:val="3"/>
        <w:keepLines w:val="0"/>
        <w:pageBreakBefore w:val="0"/>
        <w:numPr>
          <w:ilvl w:val="1"/>
          <w:numId w:val="0"/>
        </w:numPr>
        <w:kinsoku/>
        <w:wordWrap/>
        <w:overflowPunct/>
        <w:topLinePunct w:val="0"/>
        <w:autoSpaceDE/>
        <w:autoSpaceDN/>
        <w:bidi w:val="0"/>
        <w:snapToGrid/>
        <w:spacing w:line="460" w:lineRule="exact"/>
        <w:textAlignment w:val="auto"/>
        <w:rPr>
          <w:rFonts w:ascii="宋体" w:hAnsi="宋体" w:eastAsia="宋体" w:cs="宋体"/>
          <w:bCs/>
          <w:color w:val="auto"/>
          <w:sz w:val="24"/>
          <w:szCs w:val="24"/>
          <w:highlight w:val="none"/>
        </w:rPr>
      </w:pPr>
      <w:bookmarkStart w:id="3" w:name="_Toc28359002"/>
      <w:bookmarkStart w:id="4" w:name="_Toc35393621"/>
      <w:bookmarkStart w:id="5" w:name="_Toc28359079"/>
      <w:bookmarkStart w:id="6" w:name="_Toc35393790"/>
      <w:bookmarkStart w:id="7" w:name="_Hlk24379207"/>
      <w:r>
        <w:rPr>
          <w:rFonts w:hint="eastAsia" w:ascii="宋体" w:hAnsi="宋体" w:eastAsia="宋体" w:cs="宋体"/>
          <w:bCs/>
          <w:color w:val="auto"/>
          <w:sz w:val="24"/>
          <w:szCs w:val="24"/>
          <w:highlight w:val="none"/>
        </w:rPr>
        <w:t>一、项目基本情况</w:t>
      </w:r>
      <w:bookmarkEnd w:id="3"/>
      <w:bookmarkEnd w:id="4"/>
      <w:bookmarkEnd w:id="5"/>
      <w:bookmarkEnd w:id="6"/>
    </w:p>
    <w:p w14:paraId="1F93D6FF">
      <w:pPr>
        <w:keepLines w:val="0"/>
        <w:pageBreakBefore w:val="0"/>
        <w:kinsoku/>
        <w:wordWrap/>
        <w:overflowPunct/>
        <w:topLinePunct w:val="0"/>
        <w:autoSpaceDE/>
        <w:autoSpaceDN/>
        <w:bidi w:val="0"/>
        <w:snapToGrid/>
        <w:spacing w:line="460" w:lineRule="exact"/>
        <w:ind w:firstLine="480" w:firstLineChars="20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4533100JH202500839</w:t>
      </w:r>
    </w:p>
    <w:p w14:paraId="56E05041">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招标编号：</w:t>
      </w:r>
      <w:r>
        <w:rPr>
          <w:rFonts w:hint="eastAsia" w:ascii="宋体" w:hAnsi="宋体" w:cs="宋体"/>
          <w:color w:val="auto"/>
          <w:sz w:val="24"/>
          <w:highlight w:val="none"/>
          <w:lang w:eastAsia="zh-CN"/>
        </w:rPr>
        <w:t>YNLYZB-2025-97</w:t>
      </w:r>
    </w:p>
    <w:p w14:paraId="5F7A7AB2">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德宏州公安局特巡警支队维稳处突装备采购项目</w:t>
      </w:r>
    </w:p>
    <w:bookmarkEnd w:id="7"/>
    <w:p w14:paraId="19E5580A">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预算金额：</w:t>
      </w:r>
      <w:r>
        <w:rPr>
          <w:rFonts w:hint="eastAsia" w:ascii="宋体" w:hAnsi="宋体"/>
          <w:color w:val="auto"/>
          <w:sz w:val="24"/>
          <w:highlight w:val="none"/>
          <w:lang w:eastAsia="zh-CN"/>
        </w:rPr>
        <w:t>368990.00</w:t>
      </w:r>
      <w:r>
        <w:rPr>
          <w:rFonts w:hint="eastAsia" w:ascii="宋体" w:hAnsi="宋体"/>
          <w:color w:val="auto"/>
          <w:sz w:val="24"/>
          <w:highlight w:val="none"/>
        </w:rPr>
        <w:t>元</w:t>
      </w:r>
    </w:p>
    <w:p w14:paraId="62175884">
      <w:pPr>
        <w:keepLines w:val="0"/>
        <w:pageBreakBefore w:val="0"/>
        <w:widowControl/>
        <w:kinsoku/>
        <w:wordWrap/>
        <w:overflowPunct/>
        <w:topLinePunct w:val="0"/>
        <w:autoSpaceDE/>
        <w:autoSpaceDN/>
        <w:bidi w:val="0"/>
        <w:snapToGrid/>
        <w:spacing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最高限价：</w:t>
      </w:r>
      <w:r>
        <w:rPr>
          <w:rFonts w:hint="eastAsia" w:ascii="宋体" w:hAnsi="宋体" w:cs="宋体"/>
          <w:color w:val="auto"/>
          <w:sz w:val="24"/>
          <w:highlight w:val="none"/>
          <w:lang w:eastAsia="zh-CN"/>
        </w:rPr>
        <w:t>368990.00</w:t>
      </w:r>
      <w:r>
        <w:rPr>
          <w:rFonts w:hint="eastAsia" w:ascii="宋体" w:hAnsi="宋体" w:cs="宋体"/>
          <w:color w:val="auto"/>
          <w:kern w:val="0"/>
          <w:sz w:val="24"/>
          <w:highlight w:val="none"/>
        </w:rPr>
        <w:t>元</w:t>
      </w:r>
      <w:r>
        <w:rPr>
          <w:rFonts w:hint="eastAsia" w:ascii="宋体" w:hAnsi="宋体" w:cs="宋体"/>
          <w:color w:val="auto"/>
          <w:sz w:val="24"/>
          <w:highlight w:val="none"/>
        </w:rPr>
        <w:t>（超过此报价的作无效标处理）</w:t>
      </w:r>
    </w:p>
    <w:p w14:paraId="7DE94905">
      <w:pPr>
        <w:keepLines w:val="0"/>
        <w:pageBreakBefore w:val="0"/>
        <w:widowControl/>
        <w:kinsoku/>
        <w:wordWrap/>
        <w:overflowPunct/>
        <w:topLinePunct w:val="0"/>
        <w:autoSpaceDE/>
        <w:autoSpaceDN/>
        <w:bidi w:val="0"/>
        <w:snapToGrid/>
        <w:spacing w:afterLines="50" w:line="46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采购需求：德宏州公安局</w:t>
      </w:r>
      <w:r>
        <w:rPr>
          <w:rFonts w:hint="eastAsia" w:ascii="宋体" w:hAnsi="宋体" w:cs="宋体"/>
          <w:color w:val="auto"/>
          <w:sz w:val="24"/>
          <w:highlight w:val="none"/>
          <w:lang w:eastAsia="zh-CN"/>
        </w:rPr>
        <w:t>特巡警支队</w:t>
      </w:r>
      <w:r>
        <w:rPr>
          <w:rFonts w:hint="eastAsia" w:ascii="宋体" w:hAnsi="宋体" w:cs="宋体"/>
          <w:color w:val="auto"/>
          <w:sz w:val="24"/>
          <w:highlight w:val="none"/>
        </w:rPr>
        <w:t>采购</w:t>
      </w:r>
      <w:r>
        <w:rPr>
          <w:rFonts w:hint="eastAsia" w:ascii="宋体" w:hAnsi="宋体" w:cs="宋体"/>
          <w:color w:val="auto"/>
          <w:sz w:val="24"/>
          <w:highlight w:val="none"/>
          <w:lang w:eastAsia="zh-CN"/>
        </w:rPr>
        <w:t>“维稳处突装备”</w:t>
      </w:r>
      <w:r>
        <w:rPr>
          <w:rFonts w:hint="eastAsia" w:ascii="宋体" w:hAnsi="宋体" w:cs="宋体"/>
          <w:color w:val="auto"/>
          <w:sz w:val="24"/>
          <w:highlight w:val="none"/>
          <w:lang w:val="en-US" w:eastAsia="zh-CN"/>
        </w:rPr>
        <w:t>一批。</w:t>
      </w:r>
    </w:p>
    <w:tbl>
      <w:tblPr>
        <w:tblStyle w:val="23"/>
        <w:tblW w:w="9753" w:type="dxa"/>
        <w:jc w:val="center"/>
        <w:tblLayout w:type="fixed"/>
        <w:tblCellMar>
          <w:top w:w="0" w:type="dxa"/>
          <w:left w:w="108" w:type="dxa"/>
          <w:bottom w:w="0" w:type="dxa"/>
          <w:right w:w="108" w:type="dxa"/>
        </w:tblCellMar>
      </w:tblPr>
      <w:tblGrid>
        <w:gridCol w:w="749"/>
        <w:gridCol w:w="3270"/>
        <w:gridCol w:w="1275"/>
        <w:gridCol w:w="825"/>
        <w:gridCol w:w="810"/>
        <w:gridCol w:w="1410"/>
        <w:gridCol w:w="1414"/>
      </w:tblGrid>
      <w:tr w14:paraId="7C742EBB">
        <w:tblPrEx>
          <w:tblCellMar>
            <w:top w:w="0" w:type="dxa"/>
            <w:left w:w="108" w:type="dxa"/>
            <w:bottom w:w="0" w:type="dxa"/>
            <w:right w:w="108" w:type="dxa"/>
          </w:tblCellMar>
        </w:tblPrEx>
        <w:trPr>
          <w:trHeight w:val="839"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AB92">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F661F">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产品名称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2044D">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是否接受进口产品投标</w:t>
            </w:r>
          </w:p>
        </w:tc>
        <w:tc>
          <w:tcPr>
            <w:tcW w:w="82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368DD143">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81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63CD8A3E">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计量单位</w:t>
            </w:r>
          </w:p>
        </w:tc>
        <w:tc>
          <w:tcPr>
            <w:tcW w:w="141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7E983F44">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单价</w:t>
            </w:r>
            <w:r>
              <w:rPr>
                <w:rFonts w:hint="eastAsia" w:ascii="宋体" w:hAnsi="宋体" w:cs="宋体"/>
                <w:b/>
                <w:bCs/>
                <w:color w:val="auto"/>
                <w:kern w:val="0"/>
                <w:szCs w:val="21"/>
                <w:highlight w:val="none"/>
              </w:rPr>
              <w:t>最高限价（元）</w:t>
            </w:r>
          </w:p>
        </w:tc>
        <w:tc>
          <w:tcPr>
            <w:tcW w:w="1414"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14CF41C5">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总价</w:t>
            </w:r>
            <w:r>
              <w:rPr>
                <w:rFonts w:hint="eastAsia" w:ascii="宋体" w:hAnsi="宋体" w:cs="宋体"/>
                <w:b/>
                <w:bCs/>
                <w:color w:val="auto"/>
                <w:kern w:val="0"/>
                <w:szCs w:val="21"/>
                <w:highlight w:val="none"/>
              </w:rPr>
              <w:t>最高限价（元）</w:t>
            </w:r>
          </w:p>
        </w:tc>
      </w:tr>
      <w:tr w14:paraId="651FF282">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E3588">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A081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破锁枪</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F5BE709">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91FCCA">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C2BCC9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支</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4AACE77">
            <w:pPr>
              <w:keepNext w:val="0"/>
              <w:keepLines w:val="0"/>
              <w:widowControl/>
              <w:suppressLineNumbers w:val="0"/>
              <w:jc w:val="center"/>
              <w:textAlignment w:val="center"/>
              <w:rPr>
                <w:rFonts w:hint="default" w:ascii="宋体" w:hAnsi="宋体" w:cs="宋体"/>
                <w:color w:val="auto"/>
                <w:kern w:val="0"/>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5DC53A1">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r>
      <w:tr w14:paraId="424BBFAB">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345BA">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0865B">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射击计时表</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F125A9D">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FA0991F">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C854E6">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1DAB061">
            <w:pPr>
              <w:keepNext w:val="0"/>
              <w:keepLines w:val="0"/>
              <w:widowControl/>
              <w:suppressLineNumbers w:val="0"/>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1500.00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13056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r>
      <w:tr w14:paraId="74800C84">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79CCC">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6BBA3">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降噪通讯耳机</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88C100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7A44E69">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15</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AB2F09">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320496F">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0F6E564">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22500.00 </w:t>
            </w:r>
          </w:p>
        </w:tc>
      </w:tr>
      <w:tr w14:paraId="12C3BDB5">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AE98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D0D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 内红点全息瞄准镜 </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5FC37BC">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75085A6">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BE27ECB">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319A09">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E9A2ADC">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25000.00 </w:t>
            </w:r>
          </w:p>
        </w:tc>
      </w:tr>
      <w:tr w14:paraId="48631D48">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9C56F">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CCB91">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验枪桶</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0A1FA51">
            <w:pPr>
              <w:widowControl/>
              <w:jc w:val="center"/>
              <w:textAlignment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AD4174B">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33BFC0">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126FC00">
            <w:pPr>
              <w:keepNext w:val="0"/>
              <w:keepLines w:val="0"/>
              <w:widowControl/>
              <w:suppressLineNumbers w:val="0"/>
              <w:jc w:val="center"/>
              <w:textAlignment w:val="center"/>
              <w:rPr>
                <w:rFonts w:hint="eastAsia"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2000.00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F24073">
            <w:pPr>
              <w:keepNext w:val="0"/>
              <w:keepLines w:val="0"/>
              <w:widowControl/>
              <w:suppressLineNumbers w:val="0"/>
              <w:jc w:val="center"/>
              <w:textAlignment w:val="center"/>
              <w:rPr>
                <w:rFonts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4000.00 </w:t>
            </w:r>
          </w:p>
        </w:tc>
      </w:tr>
      <w:tr w14:paraId="2BCA8DA3">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783DF">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6</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F2CE0">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防毒面具(过滤罐)</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ED2507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C89F17">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20</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98B6EC3">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个</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AC6B37F">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320.00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CB28D62">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6400.00 </w:t>
            </w:r>
          </w:p>
        </w:tc>
      </w:tr>
      <w:tr w14:paraId="0B2C8488">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E9B1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7</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2B8DDE">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轻型抛投锚钩器</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14303A21">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9232731">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B16D3EB">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E30676D">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13500.00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A519E07">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13500.00 </w:t>
            </w:r>
          </w:p>
        </w:tc>
      </w:tr>
      <w:tr w14:paraId="1F28D102">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082B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8</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31368">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快反装备包</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DFDC48F">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F440B91">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C150A95">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F1DC0E0">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3800.00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B39831B">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15200.00 </w:t>
            </w:r>
          </w:p>
        </w:tc>
      </w:tr>
      <w:tr w14:paraId="06FFB0C0">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7C23E">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0C095">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移动存储器（100t无人机专用）</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81B0603">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95059C8">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C4DD626">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1C09A3D">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23890.00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A66E15B">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23890.00 </w:t>
            </w:r>
          </w:p>
        </w:tc>
      </w:tr>
      <w:tr w14:paraId="1340EF51">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BE28D">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10</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298F3">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无人机诱捕单兵</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BE68342">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0592E44">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0B11E10">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台</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3EBC377">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180000.00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C558D54">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180000.00 </w:t>
            </w:r>
          </w:p>
        </w:tc>
      </w:tr>
      <w:tr w14:paraId="64CAE827">
        <w:tblPrEx>
          <w:tblCellMar>
            <w:top w:w="0" w:type="dxa"/>
            <w:left w:w="108" w:type="dxa"/>
            <w:bottom w:w="0" w:type="dxa"/>
            <w:right w:w="108" w:type="dxa"/>
          </w:tblCellMar>
        </w:tblPrEx>
        <w:trPr>
          <w:trHeight w:val="510" w:hRule="exact"/>
          <w:jc w:val="center"/>
        </w:trPr>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F19B4">
            <w:pPr>
              <w:widowControl/>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11</w:t>
            </w:r>
          </w:p>
        </w:tc>
        <w:tc>
          <w:tcPr>
            <w:tcW w:w="32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94594">
            <w:pPr>
              <w:keepNext w:val="0"/>
              <w:keepLines w:val="0"/>
              <w:widowControl/>
              <w:suppressLineNumbers w:val="0"/>
              <w:jc w:val="center"/>
              <w:textAlignment w:val="center"/>
              <w:rPr>
                <w:rFonts w:ascii="宋体" w:hAnsi="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无人机系留电源设备</w:t>
            </w:r>
          </w:p>
        </w:tc>
        <w:tc>
          <w:tcPr>
            <w:tcW w:w="12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983219B">
            <w:pPr>
              <w:widowControl/>
              <w:jc w:val="center"/>
              <w:textAlignment w:val="center"/>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EEC6756">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41C1884">
            <w:pPr>
              <w:keepNext w:val="0"/>
              <w:keepLines w:val="0"/>
              <w:widowControl/>
              <w:suppressLineNumbers w:val="0"/>
              <w:jc w:val="center"/>
              <w:textAlignment w:val="center"/>
              <w:rPr>
                <w:rFonts w:hint="eastAsia" w:ascii="宋体" w:hAnsi="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套</w:t>
            </w:r>
          </w:p>
        </w:tc>
        <w:tc>
          <w:tcPr>
            <w:tcW w:w="14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33AD452">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63500.00 </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D24900F">
            <w:pPr>
              <w:keepNext w:val="0"/>
              <w:keepLines w:val="0"/>
              <w:widowControl/>
              <w:suppressLineNumbers w:val="0"/>
              <w:jc w:val="center"/>
              <w:textAlignment w:val="center"/>
              <w:rPr>
                <w:rFonts w:hint="eastAsia" w:ascii="宋体" w:hAnsi="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63500.00 </w:t>
            </w:r>
          </w:p>
        </w:tc>
      </w:tr>
      <w:tr w14:paraId="26E0DF29">
        <w:tblPrEx>
          <w:tblCellMar>
            <w:top w:w="0" w:type="dxa"/>
            <w:left w:w="108" w:type="dxa"/>
            <w:bottom w:w="0" w:type="dxa"/>
            <w:right w:w="108" w:type="dxa"/>
          </w:tblCellMar>
        </w:tblPrEx>
        <w:trPr>
          <w:trHeight w:val="495" w:hRule="exact"/>
          <w:jc w:val="center"/>
        </w:trPr>
        <w:tc>
          <w:tcPr>
            <w:tcW w:w="8339" w:type="dxa"/>
            <w:gridSpan w:val="6"/>
            <w:tcBorders>
              <w:top w:val="single" w:color="000000" w:sz="4" w:space="0"/>
              <w:left w:val="single" w:color="000000" w:sz="4" w:space="0"/>
              <w:bottom w:val="single" w:color="000000" w:sz="4" w:space="0"/>
              <w:right w:val="single" w:color="auto" w:sz="4" w:space="0"/>
            </w:tcBorders>
            <w:shd w:val="clear" w:color="auto" w:fill="FFFFFF"/>
            <w:noWrap/>
            <w:vAlign w:val="center"/>
          </w:tcPr>
          <w:p w14:paraId="5A806312">
            <w:pPr>
              <w:widowControl/>
              <w:jc w:val="center"/>
              <w:textAlignment w:val="center"/>
              <w:rPr>
                <w:rFonts w:hint="eastAsia" w:ascii="宋体" w:hAnsi="宋体"/>
                <w:color w:val="auto"/>
                <w:szCs w:val="21"/>
                <w:highlight w:val="none"/>
              </w:rPr>
            </w:pPr>
            <w:r>
              <w:rPr>
                <w:rFonts w:hint="eastAsia" w:ascii="宋体" w:hAnsi="宋体"/>
                <w:color w:val="auto"/>
                <w:szCs w:val="21"/>
                <w:highlight w:val="none"/>
              </w:rPr>
              <w:t>合计</w:t>
            </w:r>
          </w:p>
        </w:tc>
        <w:tc>
          <w:tcPr>
            <w:tcW w:w="14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1E9B5B5">
            <w:pPr>
              <w:widowControl/>
              <w:jc w:val="center"/>
              <w:textAlignment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368990.00</w:t>
            </w:r>
          </w:p>
        </w:tc>
      </w:tr>
    </w:tbl>
    <w:p w14:paraId="774252CE">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lang w:eastAsia="zh-CN"/>
        </w:rPr>
        <w:t>产品符合现行国家相关规定及行业标准，符合采购人需求并一次性验收合格。</w:t>
      </w:r>
    </w:p>
    <w:p w14:paraId="299C4499">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合同履行期限：</w:t>
      </w:r>
      <w:r>
        <w:rPr>
          <w:rFonts w:hint="eastAsia" w:ascii="宋体" w:hAnsi="宋体" w:cs="宋体"/>
          <w:color w:val="auto"/>
          <w:sz w:val="24"/>
          <w:highlight w:val="none"/>
          <w:lang w:eastAsia="zh-CN"/>
        </w:rPr>
        <w:t>自合同签订之日起30日历天内完成供货并通过验收。</w:t>
      </w:r>
    </w:p>
    <w:p w14:paraId="56B4B875">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eastAsia="zh-CN"/>
        </w:rPr>
        <w:t>（</w:t>
      </w:r>
      <w:r>
        <w:rPr>
          <w:rFonts w:hint="eastAsia" w:ascii="宋体" w:hAnsi="宋体" w:cs="宋体"/>
          <w:color w:val="auto"/>
          <w:sz w:val="24"/>
          <w:highlight w:val="none"/>
        </w:rPr>
        <w:t>否</w:t>
      </w:r>
      <w:r>
        <w:rPr>
          <w:rFonts w:hint="eastAsia" w:ascii="宋体" w:hAnsi="宋体" w:cs="宋体"/>
          <w:color w:val="auto"/>
          <w:sz w:val="24"/>
          <w:highlight w:val="none"/>
          <w:lang w:eastAsia="zh-CN"/>
        </w:rPr>
        <w:t>）</w:t>
      </w:r>
      <w:r>
        <w:rPr>
          <w:rFonts w:hint="eastAsia" w:ascii="宋体" w:hAnsi="宋体" w:cs="宋体"/>
          <w:color w:val="auto"/>
          <w:sz w:val="24"/>
          <w:highlight w:val="none"/>
        </w:rPr>
        <w:t>接受联合体投标。</w:t>
      </w:r>
    </w:p>
    <w:p w14:paraId="2801D394">
      <w:pPr>
        <w:pStyle w:val="3"/>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bookmarkStart w:id="8" w:name="_Toc35393622"/>
      <w:bookmarkStart w:id="9" w:name="_Toc35393791"/>
      <w:bookmarkStart w:id="10" w:name="_Toc28359003"/>
      <w:bookmarkStart w:id="11" w:name="_Toc28359080"/>
      <w:r>
        <w:rPr>
          <w:rFonts w:hint="eastAsia" w:ascii="宋体" w:hAnsi="宋体" w:eastAsia="宋体" w:cs="宋体"/>
          <w:bCs/>
          <w:color w:val="auto"/>
          <w:sz w:val="24"/>
          <w:szCs w:val="24"/>
          <w:highlight w:val="none"/>
        </w:rPr>
        <w:t>二、申请人的资格要求：</w:t>
      </w:r>
      <w:bookmarkEnd w:id="8"/>
      <w:bookmarkEnd w:id="9"/>
      <w:bookmarkEnd w:id="10"/>
      <w:bookmarkEnd w:id="11"/>
    </w:p>
    <w:p w14:paraId="124BB351">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8BFC3BF">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bookmarkStart w:id="12" w:name="_Toc28359081"/>
      <w:bookmarkStart w:id="13" w:name="_Toc35393623"/>
      <w:bookmarkStart w:id="14" w:name="_Toc35393792"/>
      <w:bookmarkStart w:id="15" w:name="_Toc28359004"/>
      <w:r>
        <w:rPr>
          <w:rFonts w:hint="eastAsia" w:ascii="宋体" w:hAnsi="宋体" w:eastAsia="宋体" w:cs="宋体"/>
          <w:color w:val="auto"/>
          <w:sz w:val="24"/>
          <w:szCs w:val="24"/>
          <w:highlight w:val="none"/>
        </w:rPr>
        <w:t>（1）具有独立承担民事责任的能力：提供自然人有效身份证明或法人或者其他组织有效的营业执照等证明文件；</w:t>
      </w:r>
    </w:p>
    <w:p w14:paraId="552BFFE5">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4026CA57">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良好的商业信誉：①供应商应在信用中国（www.creditchina.gov.cn）中未被列入失信被执行人；②供应商应在信用中国（www.creditchina.gov.cn）中未被列入重大税收违法失信主体；③供应商应在中国政府采购网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中未被列入政府采购严重违法失信行为记录名单（备注：</w:t>
      </w:r>
      <w:r>
        <w:rPr>
          <w:rFonts w:hint="eastAsia" w:ascii="宋体" w:hAnsi="宋体" w:eastAsia="宋体" w:cs="宋体"/>
          <w:color w:val="auto"/>
          <w:sz w:val="24"/>
          <w:szCs w:val="24"/>
          <w:highlight w:val="none"/>
          <w:lang w:eastAsia="zh-CN"/>
        </w:rPr>
        <w:t>以上网站均由采购人或采购代理机构在资格审查时查询</w:t>
      </w:r>
      <w:r>
        <w:rPr>
          <w:rFonts w:hint="eastAsia" w:ascii="宋体" w:hAnsi="宋体" w:eastAsia="宋体" w:cs="宋体"/>
          <w:color w:val="auto"/>
          <w:sz w:val="24"/>
          <w:szCs w:val="24"/>
          <w:highlight w:val="none"/>
        </w:rPr>
        <w:t>，若供应商有失信行为，视为不满足资格要求）；</w:t>
      </w:r>
    </w:p>
    <w:p w14:paraId="705F2B05">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eastAsia="zh-CN"/>
        </w:rPr>
        <w:t>提供2022年至今任意年度经</w:t>
      </w:r>
      <w:r>
        <w:rPr>
          <w:rFonts w:hint="eastAsia" w:ascii="宋体" w:hAnsi="宋体" w:eastAsia="宋体" w:cs="宋体"/>
          <w:color w:val="auto"/>
          <w:sz w:val="24"/>
          <w:szCs w:val="24"/>
          <w:highlight w:val="none"/>
        </w:rPr>
        <w:t>第三方审计机构审计的财务状况报告（包括资产负债表、利润表、现金流量表），成立不满1年的供应商提供自成立至今的财务报表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包括资产负债表、利润表、现金流量表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提供银行出具的资信证明</w:t>
      </w:r>
      <w:r>
        <w:rPr>
          <w:rFonts w:hint="eastAsia" w:ascii="宋体" w:hAnsi="宋体" w:eastAsia="宋体" w:cs="宋体"/>
          <w:color w:val="auto"/>
          <w:sz w:val="24"/>
          <w:szCs w:val="24"/>
          <w:highlight w:val="none"/>
        </w:rPr>
        <w:t>；</w:t>
      </w:r>
    </w:p>
    <w:p w14:paraId="0CC90086">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（3）具有履行合同所必需的设备和专业技术能力：提供相关证明材料或书面声明；</w:t>
      </w:r>
    </w:p>
    <w:p w14:paraId="2A162A3C">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（4）具有依法缴纳税收和社会保障资金的良好记录：</w:t>
      </w: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2AAF1B14">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（5）参与本次政府采购活动前三年内，在经营活动中没有重大违法记录：提供参加本次政府采购活动前三年内在经营活动中没有重大违法记录的书面声明；</w:t>
      </w:r>
    </w:p>
    <w:p w14:paraId="29D2589A">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（6）法律、行政法规规定的其他条件：单位负责人为同一人或者存在直接控股、管理关系的不同供应商，不得参加同一合同项下的政府采购活动。</w:t>
      </w:r>
    </w:p>
    <w:p w14:paraId="3EEB584F">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6C059F37">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5966EB9C">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08C0803E">
      <w:pPr>
        <w:pStyle w:val="22"/>
        <w:keepLines w:val="0"/>
        <w:pageBreakBefore w:val="0"/>
        <w:kinsoku/>
        <w:overflowPunct/>
        <w:topLinePunct w:val="0"/>
        <w:autoSpaceDE/>
        <w:autoSpaceDN/>
        <w:bidi w:val="0"/>
        <w:snapToGrid/>
        <w:spacing w:after="0" w:line="45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6A0E822D">
      <w:pPr>
        <w:pStyle w:val="3"/>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三、获取招标文件</w:t>
      </w:r>
      <w:bookmarkEnd w:id="12"/>
      <w:bookmarkEnd w:id="13"/>
      <w:bookmarkEnd w:id="14"/>
      <w:bookmarkEnd w:id="15"/>
      <w:bookmarkStart w:id="16" w:name="_Toc28359005"/>
      <w:bookmarkStart w:id="17" w:name="_Toc28359082"/>
      <w:bookmarkStart w:id="18" w:name="_Toc35393793"/>
      <w:bookmarkStart w:id="19" w:name="_Toc35393624"/>
    </w:p>
    <w:p w14:paraId="202F9AC8">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日0</w:t>
      </w:r>
      <w:r>
        <w:rPr>
          <w:rFonts w:hint="eastAsia" w:ascii="宋体" w:hAnsi="宋体" w:cs="宋体"/>
          <w:color w:val="auto"/>
          <w:sz w:val="24"/>
          <w:highlight w:val="none"/>
          <w:lang w:val="en-US" w:eastAsia="zh-CN"/>
        </w:rPr>
        <w:t>6时</w:t>
      </w:r>
      <w:r>
        <w:rPr>
          <w:rFonts w:hint="eastAsia" w:ascii="宋体" w:hAnsi="宋体" w:cs="宋体"/>
          <w:color w:val="auto"/>
          <w:sz w:val="24"/>
          <w:highlight w:val="none"/>
        </w:rPr>
        <w:t>00分</w:t>
      </w:r>
      <w:r>
        <w:rPr>
          <w:rFonts w:hint="eastAsia" w:ascii="宋体" w:hAnsi="宋体" w:cs="宋体"/>
          <w:bCs/>
          <w:color w:val="auto"/>
          <w:kern w:val="0"/>
          <w:sz w:val="24"/>
          <w:highlight w:val="none"/>
        </w:rPr>
        <w:t>至202</w:t>
      </w:r>
      <w:r>
        <w:rPr>
          <w:rFonts w:hint="eastAsia" w:ascii="宋体" w:hAnsi="宋体" w:cs="宋体"/>
          <w:bCs/>
          <w:color w:val="auto"/>
          <w:kern w:val="0"/>
          <w:sz w:val="24"/>
          <w:highlight w:val="none"/>
          <w:lang w:val="en-US" w:eastAsia="zh-CN"/>
        </w:rPr>
        <w:t>5</w:t>
      </w:r>
      <w:r>
        <w:rPr>
          <w:rFonts w:hint="eastAsia" w:ascii="宋体" w:hAnsi="宋体" w:cs="宋体"/>
          <w:bCs/>
          <w:color w:val="auto"/>
          <w:kern w:val="0"/>
          <w:sz w:val="24"/>
          <w:highlight w:val="none"/>
        </w:rPr>
        <w:t>年</w:t>
      </w:r>
      <w:r>
        <w:rPr>
          <w:rFonts w:hint="eastAsia" w:ascii="宋体" w:hAnsi="宋体" w:cs="宋体"/>
          <w:bCs/>
          <w:color w:val="auto"/>
          <w:kern w:val="0"/>
          <w:sz w:val="24"/>
          <w:highlight w:val="none"/>
          <w:lang w:val="en-US" w:eastAsia="zh-CN"/>
        </w:rPr>
        <w:t>7</w:t>
      </w:r>
      <w:r>
        <w:rPr>
          <w:rFonts w:hint="eastAsia" w:ascii="宋体" w:hAnsi="宋体" w:cs="宋体"/>
          <w:bCs/>
          <w:color w:val="auto"/>
          <w:kern w:val="0"/>
          <w:sz w:val="24"/>
          <w:highlight w:val="none"/>
        </w:rPr>
        <w:t>月</w:t>
      </w:r>
      <w:r>
        <w:rPr>
          <w:rFonts w:hint="eastAsia" w:ascii="宋体" w:hAnsi="宋体" w:cs="宋体"/>
          <w:bCs/>
          <w:color w:val="auto"/>
          <w:kern w:val="0"/>
          <w:sz w:val="24"/>
          <w:highlight w:val="none"/>
          <w:lang w:val="en-US" w:eastAsia="zh-CN"/>
        </w:rPr>
        <w:t>2</w:t>
      </w:r>
      <w:r>
        <w:rPr>
          <w:rFonts w:hint="eastAsia" w:ascii="宋体" w:hAnsi="宋体" w:cs="宋体"/>
          <w:bCs/>
          <w:color w:val="auto"/>
          <w:kern w:val="0"/>
          <w:sz w:val="24"/>
          <w:highlight w:val="none"/>
        </w:rPr>
        <w:t>日23</w:t>
      </w:r>
      <w:r>
        <w:rPr>
          <w:rFonts w:hint="eastAsia" w:ascii="宋体" w:hAnsi="宋体" w:cs="宋体"/>
          <w:color w:val="auto"/>
          <w:sz w:val="24"/>
          <w:highlight w:val="none"/>
          <w:lang w:val="en-US" w:eastAsia="zh-CN"/>
        </w:rPr>
        <w:t>时</w:t>
      </w:r>
      <w:r>
        <w:rPr>
          <w:rFonts w:hint="eastAsia" w:ascii="宋体" w:hAnsi="宋体" w:cs="宋体"/>
          <w:bCs/>
          <w:color w:val="auto"/>
          <w:kern w:val="0"/>
          <w:sz w:val="24"/>
          <w:highlight w:val="none"/>
        </w:rPr>
        <w:t>59分；</w:t>
      </w:r>
    </w:p>
    <w:p w14:paraId="58E87BC3">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2.地点：</w:t>
      </w:r>
      <w:r>
        <w:rPr>
          <w:rFonts w:hint="eastAsia" w:ascii="宋体" w:hAnsi="宋体" w:cs="宋体"/>
          <w:b/>
          <w:bCs w:val="0"/>
          <w:color w:val="auto"/>
          <w:kern w:val="0"/>
          <w:sz w:val="24"/>
          <w:highlight w:val="none"/>
        </w:rPr>
        <w:t>政府采购云平台（https://www.zcygov.cn/）</w:t>
      </w:r>
      <w:r>
        <w:rPr>
          <w:rFonts w:hint="eastAsia" w:ascii="宋体" w:hAnsi="宋体" w:cs="宋体"/>
          <w:bCs/>
          <w:color w:val="auto"/>
          <w:kern w:val="0"/>
          <w:sz w:val="24"/>
          <w:highlight w:val="none"/>
        </w:rPr>
        <w:t>；</w:t>
      </w:r>
    </w:p>
    <w:p w14:paraId="349DBB4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3.方式：网上获取</w:t>
      </w:r>
      <w:bookmarkStart w:id="187" w:name="_GoBack"/>
      <w:bookmarkEnd w:id="187"/>
    </w:p>
    <w:bookmarkEnd w:id="16"/>
    <w:bookmarkEnd w:id="17"/>
    <w:bookmarkEnd w:id="18"/>
    <w:bookmarkEnd w:id="19"/>
    <w:p w14:paraId="14BC0341">
      <w:pPr>
        <w:keepLines w:val="0"/>
        <w:pageBreakBefore w:val="0"/>
        <w:kinsoku/>
        <w:wordWrap w:val="0"/>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bookmarkStart w:id="20" w:name="_Toc35393632"/>
      <w:bookmarkStart w:id="21" w:name="_Toc28359015"/>
      <w:bookmarkStart w:id="22" w:name="_Toc28359092"/>
      <w:bookmarkStart w:id="23" w:name="_Toc35393801"/>
      <w:bookmarkStart w:id="24" w:name="_Toc28359084"/>
      <w:bookmarkStart w:id="25" w:name="_Toc28359007"/>
      <w:bookmarkStart w:id="26" w:name="_Toc35393625"/>
      <w:bookmarkStart w:id="27" w:name="_Toc35393794"/>
      <w:r>
        <w:rPr>
          <w:rFonts w:hint="eastAsia" w:ascii="宋体" w:hAnsi="宋体" w:cs="宋体"/>
          <w:color w:val="auto"/>
          <w:sz w:val="24"/>
          <w:highlight w:val="none"/>
        </w:rPr>
        <w:t>（1）凡有意参加投标者，须在政采云平台办理数字证书（CA），并在政采云绑定数字证书（CA）后线上获取采购文件</w:t>
      </w:r>
      <w:r>
        <w:rPr>
          <w:rFonts w:hint="eastAsia" w:ascii="宋体" w:hAnsi="宋体" w:cs="宋体"/>
          <w:color w:val="auto"/>
          <w:sz w:val="24"/>
          <w:highlight w:val="none"/>
          <w:lang w:eastAsia="zh-CN"/>
        </w:rPr>
        <w:t>及其他</w:t>
      </w:r>
      <w:r>
        <w:rPr>
          <w:rFonts w:hint="eastAsia" w:ascii="宋体" w:hAnsi="宋体" w:cs="宋体"/>
          <w:color w:val="auto"/>
          <w:sz w:val="24"/>
          <w:highlight w:val="none"/>
        </w:rPr>
        <w:t>采购资料。CA申领链接：https://middle.zcygov.cn/ca/apply/list?_app_=zcy.sys，CA申领后需</w:t>
      </w:r>
      <w:r>
        <w:rPr>
          <w:rFonts w:hint="eastAsia" w:ascii="宋体" w:hAnsi="宋体" w:cs="宋体"/>
          <w:color w:val="auto"/>
          <w:sz w:val="24"/>
          <w:highlight w:val="none"/>
          <w:lang w:eastAsia="zh-CN"/>
        </w:rPr>
        <w:t>登录</w:t>
      </w:r>
      <w:r>
        <w:rPr>
          <w:rFonts w:hint="eastAsia" w:ascii="宋体" w:hAnsi="宋体" w:cs="宋体"/>
          <w:color w:val="auto"/>
          <w:sz w:val="24"/>
          <w:highlight w:val="none"/>
        </w:rPr>
        <w:t>政采云平台完成数字证书（CA）绑定才可以使</w:t>
      </w:r>
      <w:r>
        <w:rPr>
          <w:rFonts w:hint="eastAsia" w:ascii="宋体" w:hAnsi="宋体" w:cs="宋体"/>
          <w:bCs/>
          <w:color w:val="auto"/>
          <w:kern w:val="0"/>
          <w:sz w:val="24"/>
          <w:highlight w:val="none"/>
        </w:rPr>
        <w:t>用，数字证书（CA）详见其办理流程，如有问题可拨打政采云客户服务热线95763进行咨询。</w:t>
      </w:r>
    </w:p>
    <w:p w14:paraId="171E5313">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（2）供应商自行在“政府采购云平台（https://www.zcygov.cn/）”下载采购文件（操作路径：登录政采云平台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我的工作台</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项目采购</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获取采购文件</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找到本项目</w:t>
      </w:r>
      <w:r>
        <w:rPr>
          <w:rFonts w:hint="eastAsia" w:ascii="宋体" w:hAnsi="宋体" w:cs="宋体"/>
          <w:bCs/>
          <w:color w:val="auto"/>
          <w:kern w:val="0"/>
          <w:sz w:val="24"/>
          <w:highlight w:val="none"/>
          <w:lang w:eastAsia="zh-CN"/>
        </w:rPr>
        <w:t>－</w:t>
      </w:r>
      <w:r>
        <w:rPr>
          <w:rFonts w:hint="eastAsia" w:ascii="宋体" w:hAnsi="宋体" w:cs="宋体"/>
          <w:bCs/>
          <w:color w:val="auto"/>
          <w:kern w:val="0"/>
          <w:sz w:val="24"/>
          <w:highlight w:val="none"/>
        </w:rPr>
        <w:t>点击“申请获取采购文件”），电子投标文件制作需要基于“政府采购云平台（https://www.zcygov.cn/）”获取的采购文件编制；</w:t>
      </w:r>
    </w:p>
    <w:p w14:paraId="78914C37">
      <w:pPr>
        <w:keepLines w:val="0"/>
        <w:pageBreakBefore w:val="0"/>
        <w:widowControl/>
        <w:kinsoku/>
        <w:overflowPunct/>
        <w:topLinePunct w:val="0"/>
        <w:autoSpaceDE/>
        <w:autoSpaceDN/>
        <w:bidi w:val="0"/>
        <w:snapToGrid/>
        <w:spacing w:line="45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注：供应商如之前已办理过云南CA数字证书的，直接在政采云平台绑定即可，无需重复办理（2022年1月1日前办理的云南CA数字证书需到云南CA办理处进行升级），CA问题咨询电话4006727666。</w:t>
      </w:r>
    </w:p>
    <w:p w14:paraId="7AC4313B">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售价：0.00元。</w:t>
      </w:r>
    </w:p>
    <w:p w14:paraId="5F593423">
      <w:pPr>
        <w:pStyle w:val="3"/>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w:t>
      </w:r>
      <w:bookmarkEnd w:id="20"/>
      <w:bookmarkEnd w:id="21"/>
      <w:bookmarkEnd w:id="22"/>
      <w:bookmarkEnd w:id="23"/>
      <w:r>
        <w:rPr>
          <w:rFonts w:hint="eastAsia" w:ascii="宋体" w:hAnsi="宋体" w:eastAsia="宋体" w:cs="宋体"/>
          <w:bCs/>
          <w:color w:val="auto"/>
          <w:sz w:val="24"/>
          <w:szCs w:val="24"/>
          <w:highlight w:val="none"/>
        </w:rPr>
        <w:t>提交投标文件截止时间、开标时间和地点</w:t>
      </w:r>
    </w:p>
    <w:p w14:paraId="74E00F34">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bookmarkStart w:id="28" w:name="_Toc28359017"/>
      <w:bookmarkStart w:id="29" w:name="_Toc35393634"/>
      <w:bookmarkStart w:id="30" w:name="_Toc35393803"/>
      <w:bookmarkStart w:id="31" w:name="_Toc28359094"/>
      <w:r>
        <w:rPr>
          <w:rFonts w:hint="eastAsia" w:ascii="宋体" w:hAnsi="宋体" w:cs="宋体"/>
          <w:color w:val="auto"/>
          <w:sz w:val="24"/>
          <w:highlight w:val="none"/>
        </w:rPr>
        <w:t>1.提交投标文件截止时间：</w:t>
      </w:r>
      <w:r>
        <w:rPr>
          <w:rFonts w:hint="eastAsia" w:ascii="宋体" w:hAnsi="宋体" w:cs="宋体"/>
          <w:color w:val="auto"/>
          <w:sz w:val="24"/>
          <w:highlight w:val="none"/>
          <w:lang w:eastAsia="zh-CN"/>
        </w:rPr>
        <w:t>2025年7月15日09时00分</w:t>
      </w:r>
      <w:r>
        <w:rPr>
          <w:rFonts w:hint="eastAsia" w:ascii="宋体" w:hAnsi="宋体" w:cs="宋体"/>
          <w:color w:val="auto"/>
          <w:sz w:val="24"/>
          <w:highlight w:val="none"/>
        </w:rPr>
        <w:t>（北京时间）</w:t>
      </w:r>
    </w:p>
    <w:p w14:paraId="027F4D59">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2.开标时间：</w:t>
      </w:r>
      <w:r>
        <w:rPr>
          <w:rFonts w:hint="eastAsia" w:ascii="宋体" w:hAnsi="宋体" w:cs="宋体"/>
          <w:color w:val="auto"/>
          <w:sz w:val="24"/>
          <w:highlight w:val="none"/>
          <w:lang w:eastAsia="zh-CN"/>
        </w:rPr>
        <w:t>2025年7月15日09时00分</w:t>
      </w:r>
      <w:r>
        <w:rPr>
          <w:rFonts w:hint="eastAsia" w:ascii="宋体" w:hAnsi="宋体" w:cs="宋体"/>
          <w:color w:val="auto"/>
          <w:sz w:val="24"/>
          <w:highlight w:val="none"/>
        </w:rPr>
        <w:t>（北京时间）</w:t>
      </w:r>
    </w:p>
    <w:p w14:paraId="779AD62E">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3.开标地点：“政采云”平台开标大厅（https://www.zcygov.cn/），会议地点为云南立友工程咨询有限公司二楼会议室（云南省德宏州芒市榕树北路5号）。</w:t>
      </w:r>
    </w:p>
    <w:p w14:paraId="3F38E247">
      <w:pPr>
        <w:keepLines w:val="0"/>
        <w:pageBreakBefore w:val="0"/>
        <w:widowControl/>
        <w:kinsoku/>
        <w:overflowPunct/>
        <w:topLinePunct w:val="0"/>
        <w:autoSpaceDE/>
        <w:autoSpaceDN/>
        <w:bidi w:val="0"/>
        <w:snapToGrid/>
        <w:spacing w:line="450" w:lineRule="exact"/>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注：供应商应按照本项目采购文件和政采云平台的要求编制，须在</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提交截止时间前完成所有电子</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的上传，提交</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时请填写参加远程采购活动的经办人联系方式，</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提交截止时间前未完成文件上传的，视为撤回</w:t>
      </w:r>
      <w:r>
        <w:rPr>
          <w:rFonts w:hint="eastAsia" w:ascii="宋体" w:hAnsi="宋体" w:cs="宋体"/>
          <w:b/>
          <w:bCs/>
          <w:color w:val="auto"/>
          <w:sz w:val="24"/>
          <w:highlight w:val="none"/>
          <w:lang w:eastAsia="zh-CN"/>
        </w:rPr>
        <w:t>投标文件</w:t>
      </w:r>
      <w:r>
        <w:rPr>
          <w:rFonts w:hint="eastAsia" w:ascii="宋体" w:hAnsi="宋体" w:cs="宋体"/>
          <w:b/>
          <w:bCs/>
          <w:color w:val="auto"/>
          <w:sz w:val="24"/>
          <w:highlight w:val="none"/>
        </w:rPr>
        <w:t>。</w:t>
      </w:r>
    </w:p>
    <w:p w14:paraId="4B7D422E">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如遇平台相关问题，请及时联系政府采购云平台客服进行咨询，咨询电话：95763。</w:t>
      </w:r>
    </w:p>
    <w:p w14:paraId="15ACE660">
      <w:pPr>
        <w:keepLines w:val="0"/>
        <w:pageBreakBefore w:val="0"/>
        <w:widowControl/>
        <w:kinsoku/>
        <w:wordWrap w:val="0"/>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操作指南：https://edu.zcygov.cn/luban/yunnan-dzjy-gys?utm=luban.luban-PC-</w:t>
      </w:r>
      <w:r>
        <w:rPr>
          <w:rFonts w:ascii="宋体" w:hAnsi="宋体" w:cs="宋体"/>
          <w:color w:val="auto"/>
          <w:sz w:val="24"/>
          <w:highlight w:val="none"/>
        </w:rPr>
        <w:pict>
          <v:rect id="_x0000_s2050" o:spid="_x0000_s2050"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62336;mso-width-relative:page;mso-height-relative:page;"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path/>
            <v:fill focussize="0,0"/>
            <v:stroke/>
            <v:imagedata o:title=""/>
            <o:lock v:ext="edit"/>
          </v:rect>
        </w:pict>
      </w:r>
      <w:r>
        <w:rPr>
          <w:rFonts w:hint="eastAsia" w:ascii="宋体" w:hAnsi="宋体" w:cs="宋体"/>
          <w:color w:val="auto"/>
          <w:sz w:val="24"/>
          <w:highlight w:val="none"/>
        </w:rPr>
        <w:t>1514.161-market-menubar-pc.20.d37010404f7811edb5ec8fd9c5fe1d40。</w:t>
      </w:r>
    </w:p>
    <w:p w14:paraId="790E70EF">
      <w:pPr>
        <w:pStyle w:val="3"/>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五、公告期限</w:t>
      </w:r>
      <w:bookmarkEnd w:id="28"/>
      <w:bookmarkEnd w:id="29"/>
      <w:bookmarkEnd w:id="30"/>
      <w:bookmarkEnd w:id="31"/>
    </w:p>
    <w:p w14:paraId="3E6D4767">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rPr>
        <w:t>自本公告发布之日起5个工作日</w:t>
      </w:r>
      <w:r>
        <w:rPr>
          <w:rFonts w:hint="eastAsia" w:ascii="宋体" w:hAnsi="宋体" w:cs="宋体"/>
          <w:color w:val="auto"/>
          <w:kern w:val="0"/>
          <w:sz w:val="24"/>
          <w:highlight w:val="none"/>
        </w:rPr>
        <w:t>。</w:t>
      </w:r>
    </w:p>
    <w:bookmarkEnd w:id="24"/>
    <w:bookmarkEnd w:id="25"/>
    <w:bookmarkEnd w:id="26"/>
    <w:bookmarkEnd w:id="27"/>
    <w:p w14:paraId="31C0667F">
      <w:pPr>
        <w:pStyle w:val="3"/>
        <w:keepLines w:val="0"/>
        <w:pageBreakBefore w:val="0"/>
        <w:numPr>
          <w:ilvl w:val="1"/>
          <w:numId w:val="0"/>
        </w:numPr>
        <w:kinsoku/>
        <w:overflowPunct/>
        <w:topLinePunct w:val="0"/>
        <w:autoSpaceDE/>
        <w:autoSpaceDN/>
        <w:bidi w:val="0"/>
        <w:snapToGrid/>
        <w:spacing w:line="450" w:lineRule="exact"/>
        <w:textAlignment w:val="auto"/>
        <w:rPr>
          <w:rFonts w:ascii="宋体" w:hAnsi="宋体" w:eastAsia="宋体" w:cs="宋体"/>
          <w:bCs/>
          <w:color w:val="auto"/>
          <w:sz w:val="24"/>
          <w:szCs w:val="24"/>
          <w:highlight w:val="none"/>
        </w:rPr>
      </w:pPr>
      <w:bookmarkStart w:id="32" w:name="_Toc35393626"/>
      <w:bookmarkStart w:id="33" w:name="_Toc35393795"/>
      <w:r>
        <w:rPr>
          <w:rFonts w:hint="eastAsia" w:ascii="宋体" w:hAnsi="宋体" w:eastAsia="宋体" w:cs="宋体"/>
          <w:bCs/>
          <w:color w:val="auto"/>
          <w:sz w:val="24"/>
          <w:szCs w:val="24"/>
          <w:highlight w:val="none"/>
        </w:rPr>
        <w:t>六、其他补充事宜</w:t>
      </w:r>
      <w:bookmarkEnd w:id="32"/>
      <w:bookmarkEnd w:id="33"/>
    </w:p>
    <w:p w14:paraId="429650D5">
      <w:pPr>
        <w:keepLines w:val="0"/>
        <w:pageBreakBefore w:val="0"/>
        <w:kinsoku/>
        <w:overflowPunct/>
        <w:topLinePunct w:val="0"/>
        <w:autoSpaceDE/>
        <w:autoSpaceDN/>
        <w:bidi w:val="0"/>
        <w:snapToGrid/>
        <w:spacing w:line="450" w:lineRule="exact"/>
        <w:ind w:firstLine="482" w:firstLineChars="200"/>
        <w:jc w:val="left"/>
        <w:textAlignment w:val="auto"/>
        <w:rPr>
          <w:rFonts w:hint="eastAsia" w:ascii="宋体" w:hAnsi="宋体" w:cs="宋体"/>
          <w:b/>
          <w:color w:val="auto"/>
          <w:kern w:val="0"/>
          <w:sz w:val="24"/>
          <w:highlight w:val="none"/>
          <w:lang w:val="en-US" w:eastAsia="zh-CN"/>
        </w:rPr>
      </w:pPr>
      <w:bookmarkStart w:id="34" w:name="_Toc35393627"/>
      <w:bookmarkStart w:id="35" w:name="_Toc28359008"/>
      <w:bookmarkStart w:id="36" w:name="_Toc28359085"/>
      <w:bookmarkStart w:id="37" w:name="_Toc35393796"/>
      <w:r>
        <w:rPr>
          <w:rFonts w:hint="eastAsia" w:ascii="宋体" w:hAnsi="宋体" w:cs="宋体"/>
          <w:b/>
          <w:color w:val="auto"/>
          <w:kern w:val="0"/>
          <w:sz w:val="24"/>
          <w:highlight w:val="none"/>
          <w:lang w:val="en-US" w:eastAsia="zh-CN"/>
        </w:rPr>
        <w:t>1.样品提交要求：“快反装备包”1套。</w:t>
      </w:r>
    </w:p>
    <w:p w14:paraId="075426E7">
      <w:pPr>
        <w:keepLines w:val="0"/>
        <w:pageBreakBefore w:val="0"/>
        <w:kinsoku/>
        <w:overflowPunct/>
        <w:topLinePunct w:val="0"/>
        <w:autoSpaceDE/>
        <w:autoSpaceDN/>
        <w:bidi w:val="0"/>
        <w:snapToGrid/>
        <w:spacing w:line="450" w:lineRule="exact"/>
        <w:ind w:firstLine="480" w:firstLineChars="200"/>
        <w:jc w:val="left"/>
        <w:textAlignment w:val="auto"/>
        <w:rPr>
          <w:rFonts w:hint="eastAsia" w:ascii="宋体" w:hAnsi="宋体" w:cs="宋体"/>
          <w:b w:val="0"/>
          <w:bCs/>
          <w:color w:val="auto"/>
          <w:kern w:val="0"/>
          <w:sz w:val="24"/>
          <w:highlight w:val="none"/>
          <w:lang w:val="en-US" w:eastAsia="zh-CN"/>
        </w:rPr>
      </w:pPr>
      <w:r>
        <w:rPr>
          <w:rFonts w:hint="eastAsia" w:ascii="宋体" w:hAnsi="宋体" w:cs="宋体"/>
          <w:b w:val="0"/>
          <w:bCs/>
          <w:color w:val="auto"/>
          <w:kern w:val="0"/>
          <w:sz w:val="24"/>
          <w:highlight w:val="none"/>
          <w:lang w:val="en-US" w:eastAsia="zh-CN"/>
        </w:rPr>
        <w:t>样品提交时间：2025年7月15日08时30分至09时00分；</w:t>
      </w:r>
    </w:p>
    <w:p w14:paraId="422E5C1F">
      <w:pPr>
        <w:keepLines w:val="0"/>
        <w:pageBreakBefore w:val="0"/>
        <w:kinsoku/>
        <w:overflowPunct/>
        <w:topLinePunct w:val="0"/>
        <w:autoSpaceDE/>
        <w:autoSpaceDN/>
        <w:bidi w:val="0"/>
        <w:snapToGrid/>
        <w:spacing w:line="450" w:lineRule="exact"/>
        <w:ind w:firstLine="480" w:firstLineChars="200"/>
        <w:jc w:val="left"/>
        <w:textAlignment w:val="auto"/>
        <w:rPr>
          <w:rFonts w:hint="default" w:ascii="宋体" w:hAnsi="宋体" w:eastAsia="宋体" w:cs="宋体"/>
          <w:b w:val="0"/>
          <w:bCs/>
          <w:color w:val="auto"/>
          <w:kern w:val="0"/>
          <w:sz w:val="24"/>
          <w:highlight w:val="none"/>
          <w:lang w:val="en-US" w:eastAsia="zh-CN"/>
        </w:rPr>
      </w:pPr>
      <w:r>
        <w:rPr>
          <w:rFonts w:hint="eastAsia" w:ascii="宋体" w:hAnsi="宋体" w:cs="宋体"/>
          <w:b w:val="0"/>
          <w:bCs/>
          <w:color w:val="auto"/>
          <w:kern w:val="0"/>
          <w:sz w:val="24"/>
          <w:highlight w:val="none"/>
          <w:lang w:val="en-US" w:eastAsia="zh-CN"/>
        </w:rPr>
        <w:t>样品提交</w:t>
      </w:r>
      <w:r>
        <w:rPr>
          <w:rFonts w:hint="default" w:ascii="宋体" w:hAnsi="宋体" w:eastAsia="宋体" w:cs="宋体"/>
          <w:b w:val="0"/>
          <w:bCs/>
          <w:color w:val="auto"/>
          <w:kern w:val="0"/>
          <w:sz w:val="24"/>
          <w:highlight w:val="none"/>
          <w:lang w:val="en-US" w:eastAsia="zh-CN"/>
        </w:rPr>
        <w:t>截止时间：</w:t>
      </w:r>
      <w:r>
        <w:rPr>
          <w:rFonts w:hint="eastAsia" w:ascii="宋体" w:hAnsi="宋体" w:cs="宋体"/>
          <w:b w:val="0"/>
          <w:bCs/>
          <w:color w:val="auto"/>
          <w:kern w:val="0"/>
          <w:sz w:val="24"/>
          <w:highlight w:val="none"/>
          <w:lang w:val="en-US" w:eastAsia="zh-CN"/>
        </w:rPr>
        <w:t>2025年7月15日09时00分</w:t>
      </w:r>
      <w:r>
        <w:rPr>
          <w:rFonts w:hint="eastAsia" w:ascii="宋体" w:hAnsi="宋体" w:eastAsia="宋体" w:cs="宋体"/>
          <w:b w:val="0"/>
          <w:bCs/>
          <w:color w:val="auto"/>
          <w:kern w:val="0"/>
          <w:sz w:val="24"/>
          <w:highlight w:val="none"/>
          <w:lang w:val="en-US" w:eastAsia="zh-CN"/>
        </w:rPr>
        <w:t>；</w:t>
      </w:r>
    </w:p>
    <w:p w14:paraId="54585AF5">
      <w:pPr>
        <w:keepLines w:val="0"/>
        <w:pageBreakBefore w:val="0"/>
        <w:kinsoku/>
        <w:overflowPunct/>
        <w:topLinePunct w:val="0"/>
        <w:autoSpaceDE/>
        <w:autoSpaceDN/>
        <w:bidi w:val="0"/>
        <w:snapToGrid/>
        <w:spacing w:line="450" w:lineRule="exact"/>
        <w:ind w:firstLine="480" w:firstLineChars="200"/>
        <w:jc w:val="left"/>
        <w:textAlignment w:val="auto"/>
        <w:rPr>
          <w:rFonts w:hint="eastAsia" w:ascii="宋体" w:hAnsi="宋体" w:cs="宋体"/>
          <w:b w:val="0"/>
          <w:bCs/>
          <w:color w:val="auto"/>
          <w:kern w:val="0"/>
          <w:sz w:val="24"/>
          <w:highlight w:val="none"/>
          <w:lang w:eastAsia="zh-CN"/>
        </w:rPr>
      </w:pPr>
      <w:r>
        <w:rPr>
          <w:rFonts w:hint="eastAsia" w:ascii="宋体" w:hAnsi="宋体" w:eastAsia="宋体" w:cs="宋体"/>
          <w:b w:val="0"/>
          <w:bCs/>
          <w:color w:val="auto"/>
          <w:kern w:val="0"/>
          <w:sz w:val="24"/>
          <w:highlight w:val="none"/>
          <w:lang w:val="en-US" w:eastAsia="zh-CN"/>
        </w:rPr>
        <w:t>样品提交地点：</w:t>
      </w:r>
      <w:r>
        <w:rPr>
          <w:rFonts w:hint="eastAsia" w:ascii="宋体" w:hAnsi="宋体" w:cs="宋体"/>
          <w:b w:val="0"/>
          <w:bCs/>
          <w:color w:val="auto"/>
          <w:kern w:val="0"/>
          <w:sz w:val="24"/>
          <w:highlight w:val="none"/>
          <w:lang w:eastAsia="zh-CN"/>
        </w:rPr>
        <w:t>云南立友工程咨询有限公司二楼会议室（云南省德宏州芒市榕树北路5号）；</w:t>
      </w:r>
    </w:p>
    <w:p w14:paraId="75DA8827">
      <w:pPr>
        <w:keepLines w:val="0"/>
        <w:pageBreakBefore w:val="0"/>
        <w:kinsoku/>
        <w:overflowPunct/>
        <w:topLinePunct w:val="0"/>
        <w:autoSpaceDE/>
        <w:autoSpaceDN/>
        <w:bidi w:val="0"/>
        <w:snapToGrid/>
        <w:spacing w:line="450" w:lineRule="exact"/>
        <w:ind w:firstLine="482" w:firstLineChars="200"/>
        <w:jc w:val="left"/>
        <w:textAlignment w:val="auto"/>
        <w:rPr>
          <w:rFonts w:hint="eastAsia" w:ascii="宋体" w:hAnsi="宋体" w:eastAsia="宋体" w:cs="宋体"/>
          <w:b/>
          <w:bCs w:val="0"/>
          <w:color w:val="auto"/>
          <w:kern w:val="0"/>
          <w:sz w:val="24"/>
          <w:highlight w:val="none"/>
          <w:lang w:eastAsia="zh-CN"/>
        </w:rPr>
      </w:pPr>
      <w:r>
        <w:rPr>
          <w:rFonts w:hint="eastAsia" w:ascii="宋体" w:hAnsi="宋体" w:eastAsia="宋体" w:cs="宋体"/>
          <w:b/>
          <w:bCs w:val="0"/>
          <w:color w:val="auto"/>
          <w:kern w:val="0"/>
          <w:sz w:val="24"/>
          <w:highlight w:val="none"/>
          <w:lang w:val="en-US" w:eastAsia="zh-CN"/>
        </w:rPr>
        <w:t>注：</w:t>
      </w:r>
      <w:r>
        <w:rPr>
          <w:rFonts w:hint="eastAsia" w:ascii="宋体" w:hAnsi="宋体" w:eastAsia="宋体" w:cs="宋体"/>
          <w:b/>
          <w:bCs w:val="0"/>
          <w:color w:val="auto"/>
          <w:kern w:val="0"/>
          <w:sz w:val="24"/>
          <w:highlight w:val="none"/>
          <w:lang w:eastAsia="zh-CN"/>
        </w:rPr>
        <w:t>投标人的样品需在提交投标文件截止时间</w:t>
      </w:r>
      <w:r>
        <w:rPr>
          <w:rFonts w:hint="eastAsia" w:ascii="宋体" w:hAnsi="宋体" w:eastAsia="宋体" w:cs="宋体"/>
          <w:b/>
          <w:bCs w:val="0"/>
          <w:color w:val="auto"/>
          <w:kern w:val="0"/>
          <w:sz w:val="24"/>
          <w:highlight w:val="none"/>
          <w:lang w:val="en-US" w:eastAsia="zh-CN"/>
        </w:rPr>
        <w:t>前</w:t>
      </w:r>
      <w:r>
        <w:rPr>
          <w:rFonts w:hint="eastAsia" w:ascii="宋体" w:hAnsi="宋体" w:eastAsia="宋体" w:cs="宋体"/>
          <w:b/>
          <w:bCs w:val="0"/>
          <w:color w:val="auto"/>
          <w:kern w:val="0"/>
          <w:sz w:val="24"/>
          <w:highlight w:val="none"/>
          <w:lang w:eastAsia="zh-CN"/>
        </w:rPr>
        <w:t>在云南立友工程咨询有限公司二楼会议室（云南省德宏州芒市榕树北路5号）摆放完好，样品应密封完好，外包装上需注明项目名称、</w:t>
      </w:r>
      <w:r>
        <w:rPr>
          <w:rFonts w:hint="eastAsia" w:ascii="宋体" w:hAnsi="宋体" w:eastAsia="宋体" w:cs="宋体"/>
          <w:b/>
          <w:bCs w:val="0"/>
          <w:color w:val="auto"/>
          <w:kern w:val="0"/>
          <w:sz w:val="24"/>
          <w:highlight w:val="none"/>
          <w:lang w:val="en-US" w:eastAsia="zh-CN"/>
        </w:rPr>
        <w:t>招标</w:t>
      </w:r>
      <w:r>
        <w:rPr>
          <w:rFonts w:hint="eastAsia" w:ascii="宋体" w:hAnsi="宋体" w:eastAsia="宋体" w:cs="宋体"/>
          <w:b/>
          <w:bCs w:val="0"/>
          <w:color w:val="auto"/>
          <w:kern w:val="0"/>
          <w:sz w:val="24"/>
          <w:highlight w:val="none"/>
          <w:lang w:eastAsia="zh-CN"/>
        </w:rPr>
        <w:t>编号、产品名称、单位名称。</w:t>
      </w:r>
      <w:r>
        <w:rPr>
          <w:rFonts w:hint="eastAsia" w:ascii="宋体" w:hAnsi="宋体" w:eastAsia="宋体" w:cs="宋体"/>
          <w:b/>
          <w:bCs w:val="0"/>
          <w:color w:val="auto"/>
          <w:kern w:val="0"/>
          <w:sz w:val="24"/>
          <w:highlight w:val="none"/>
          <w:lang w:val="en-US" w:eastAsia="zh-CN"/>
        </w:rPr>
        <w:t>开标时，由采购代理公司进行现场编号，</w:t>
      </w:r>
      <w:r>
        <w:rPr>
          <w:rFonts w:hint="eastAsia" w:ascii="宋体" w:hAnsi="宋体" w:eastAsia="宋体" w:cs="宋体"/>
          <w:b/>
          <w:bCs w:val="0"/>
          <w:color w:val="auto"/>
          <w:kern w:val="0"/>
          <w:sz w:val="24"/>
          <w:highlight w:val="none"/>
          <w:lang w:eastAsia="zh-CN"/>
        </w:rPr>
        <w:t>样品将作为投标文件的有效附件，中标人样品作为验收时的依据，</w:t>
      </w:r>
      <w:r>
        <w:rPr>
          <w:rFonts w:hint="eastAsia" w:ascii="宋体" w:hAnsi="宋体" w:eastAsia="宋体" w:cs="宋体"/>
          <w:b/>
          <w:bCs w:val="0"/>
          <w:color w:val="auto"/>
          <w:kern w:val="0"/>
          <w:sz w:val="24"/>
          <w:highlight w:val="none"/>
          <w:lang w:val="en-US" w:eastAsia="zh-CN"/>
        </w:rPr>
        <w:t>除中标人的样品在采购货物全部验收合格后退还外（中标人的样品在评审结束后由采购人统一保存）</w:t>
      </w:r>
      <w:r>
        <w:rPr>
          <w:rFonts w:hint="eastAsia" w:ascii="宋体" w:hAnsi="宋体" w:eastAsia="宋体" w:cs="宋体"/>
          <w:b/>
          <w:bCs w:val="0"/>
          <w:color w:val="auto"/>
          <w:kern w:val="0"/>
          <w:sz w:val="24"/>
          <w:highlight w:val="none"/>
          <w:lang w:eastAsia="zh-CN"/>
        </w:rPr>
        <w:t>，未中标人样品于评审结束后退还。若投标人所提供的样品在评审过程中受破坏，投标人需自行承担样品破坏经济损失。</w:t>
      </w:r>
    </w:p>
    <w:p w14:paraId="6248D215">
      <w:pPr>
        <w:keepLines w:val="0"/>
        <w:pageBreakBefore w:val="0"/>
        <w:kinsoku/>
        <w:overflowPunct/>
        <w:topLinePunct w:val="0"/>
        <w:autoSpaceDE/>
        <w:autoSpaceDN/>
        <w:bidi w:val="0"/>
        <w:snapToGrid/>
        <w:spacing w:line="450" w:lineRule="exact"/>
        <w:ind w:firstLine="482" w:firstLineChars="200"/>
        <w:jc w:val="left"/>
        <w:textAlignment w:val="auto"/>
        <w:rPr>
          <w:rFonts w:ascii="宋体" w:hAnsi="宋体" w:cs="宋体"/>
          <w:b/>
          <w:color w:val="auto"/>
          <w:kern w:val="0"/>
          <w:sz w:val="24"/>
          <w:highlight w:val="none"/>
        </w:rPr>
      </w:pPr>
      <w:r>
        <w:rPr>
          <w:rFonts w:hint="eastAsia" w:ascii="宋体" w:hAnsi="宋体" w:cs="宋体"/>
          <w:b/>
          <w:color w:val="auto"/>
          <w:kern w:val="0"/>
          <w:sz w:val="24"/>
          <w:highlight w:val="none"/>
          <w:lang w:val="en-US" w:eastAsia="zh-CN"/>
        </w:rPr>
        <w:t>2</w:t>
      </w:r>
      <w:r>
        <w:rPr>
          <w:rFonts w:hint="eastAsia" w:ascii="宋体" w:hAnsi="宋体" w:cs="宋体"/>
          <w:b/>
          <w:color w:val="auto"/>
          <w:kern w:val="0"/>
          <w:sz w:val="24"/>
          <w:highlight w:val="none"/>
        </w:rPr>
        <w:t>.开标方式：网上开标</w:t>
      </w:r>
    </w:p>
    <w:p w14:paraId="1DAEF8DA">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（1）供应商须在政采云平台进行远程解密电子版</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w:t>
      </w:r>
    </w:p>
    <w:p w14:paraId="0D3967D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（2）供应商应在</w:t>
      </w:r>
      <w:r>
        <w:rPr>
          <w:rFonts w:hint="eastAsia" w:ascii="宋体" w:hAnsi="宋体" w:cs="宋体"/>
          <w:bCs/>
          <w:color w:val="auto"/>
          <w:kern w:val="0"/>
          <w:sz w:val="24"/>
          <w:highlight w:val="none"/>
          <w:lang w:eastAsia="zh-CN"/>
        </w:rPr>
        <w:t>投标文件</w:t>
      </w:r>
      <w:r>
        <w:rPr>
          <w:rFonts w:hint="eastAsia" w:ascii="宋体" w:hAnsi="宋体" w:cs="宋体"/>
          <w:bCs/>
          <w:color w:val="auto"/>
          <w:kern w:val="0"/>
          <w:sz w:val="24"/>
          <w:highlight w:val="none"/>
        </w:rPr>
        <w:t>提交截止时间前登录系统，并根据开标系统的提示操作解密文件。请参与本项目的供应商在使用政采云平台时，自行配备需要的音视频等设备，做好系统的调试工作，避免出现系统不能正常使用的情况；</w:t>
      </w:r>
    </w:p>
    <w:p w14:paraId="5B0BEC4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bCs/>
          <w:color w:val="auto"/>
          <w:kern w:val="0"/>
          <w:sz w:val="24"/>
          <w:highlight w:val="none"/>
        </w:rPr>
      </w:pPr>
      <w:r>
        <w:rPr>
          <w:rFonts w:hint="eastAsia" w:ascii="宋体" w:hAnsi="宋体" w:cs="宋体"/>
          <w:bCs/>
          <w:color w:val="auto"/>
          <w:kern w:val="0"/>
          <w:sz w:val="24"/>
          <w:highlight w:val="none"/>
        </w:rPr>
        <w:t>（3）如因供应商自身原因导致在规定时间内无法正常解密的（如：浏览器故障、未安装相关驱动、网络故障、加密CA与解密CA不一致等），代理机构不予异常处理，视为供应商自动弃标。</w:t>
      </w:r>
    </w:p>
    <w:p w14:paraId="0084D0A9">
      <w:pPr>
        <w:keepLines w:val="0"/>
        <w:pageBreakBefore w:val="0"/>
        <w:kinsoku/>
        <w:overflowPunct/>
        <w:topLinePunct w:val="0"/>
        <w:autoSpaceDE/>
        <w:autoSpaceDN/>
        <w:bidi w:val="0"/>
        <w:snapToGrid/>
        <w:spacing w:line="450" w:lineRule="exact"/>
        <w:ind w:firstLine="482" w:firstLineChars="200"/>
        <w:jc w:val="left"/>
        <w:textAlignment w:val="auto"/>
        <w:rPr>
          <w:rFonts w:ascii="宋体" w:hAnsi="宋体" w:cs="宋体"/>
          <w:b/>
          <w:bCs w:val="0"/>
          <w:color w:val="auto"/>
          <w:kern w:val="0"/>
          <w:sz w:val="24"/>
          <w:highlight w:val="none"/>
        </w:rPr>
      </w:pPr>
      <w:r>
        <w:rPr>
          <w:rFonts w:hint="eastAsia" w:ascii="宋体" w:hAnsi="宋体" w:cs="宋体"/>
          <w:b/>
          <w:bCs w:val="0"/>
          <w:color w:val="auto"/>
          <w:kern w:val="0"/>
          <w:sz w:val="24"/>
          <w:highlight w:val="none"/>
          <w:lang w:val="en-US" w:eastAsia="zh-CN"/>
        </w:rPr>
        <w:t>3</w:t>
      </w:r>
      <w:r>
        <w:rPr>
          <w:rFonts w:hint="eastAsia" w:ascii="宋体" w:hAnsi="宋体" w:cs="宋体"/>
          <w:b/>
          <w:bCs w:val="0"/>
          <w:color w:val="auto"/>
          <w:kern w:val="0"/>
          <w:sz w:val="24"/>
          <w:highlight w:val="none"/>
        </w:rPr>
        <w:t>.保证金</w:t>
      </w:r>
    </w:p>
    <w:p w14:paraId="040F3DC1">
      <w:pPr>
        <w:keepLines w:val="0"/>
        <w:pageBreakBefore w:val="0"/>
        <w:kinsoku/>
        <w:overflowPunct/>
        <w:topLinePunct w:val="0"/>
        <w:autoSpaceDE/>
        <w:autoSpaceDN/>
        <w:bidi w:val="0"/>
        <w:snapToGrid/>
        <w:spacing w:line="450" w:lineRule="exact"/>
        <w:ind w:firstLine="482" w:firstLineChars="200"/>
        <w:jc w:val="left"/>
        <w:textAlignment w:val="auto"/>
        <w:rPr>
          <w:rFonts w:hint="eastAsia" w:ascii="宋体" w:hAnsi="宋体" w:eastAsia="宋体" w:cs="宋体"/>
          <w:b/>
          <w:color w:val="auto"/>
          <w:sz w:val="24"/>
          <w:highlight w:val="none"/>
          <w:lang w:eastAsia="zh-CN"/>
        </w:rPr>
      </w:pPr>
      <w:r>
        <w:rPr>
          <w:rFonts w:hint="eastAsia" w:ascii="宋体" w:hAnsi="宋体" w:cs="宋体"/>
          <w:b/>
          <w:color w:val="auto"/>
          <w:kern w:val="0"/>
          <w:sz w:val="24"/>
          <w:highlight w:val="none"/>
        </w:rPr>
        <w:t>保证金金额：</w:t>
      </w:r>
      <w:r>
        <w:rPr>
          <w:rFonts w:hint="eastAsia" w:hAnsi="宋体" w:cs="宋体"/>
          <w:b/>
          <w:color w:val="auto"/>
          <w:sz w:val="24"/>
          <w:highlight w:val="none"/>
          <w:lang w:eastAsia="zh-CN"/>
        </w:rPr>
        <w:t>叁仟伍佰元整（¥3500.00）</w:t>
      </w:r>
    </w:p>
    <w:p w14:paraId="230489D3">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投标保证金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方式：可以采用“银行转账”、“银行保函”、“投标保证保险”任一方式，其中采用“银行转账”方式的，投标人以支票、汇票、本票、网上银行支付等非现金形式汇入指定账户；</w:t>
      </w:r>
    </w:p>
    <w:p w14:paraId="7E8EB4B4">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保证金</w:t>
      </w:r>
      <w:r>
        <w:rPr>
          <w:rFonts w:hint="eastAsia" w:ascii="宋体" w:hAnsi="宋体" w:cs="宋体"/>
          <w:color w:val="auto"/>
          <w:sz w:val="24"/>
          <w:highlight w:val="none"/>
          <w:lang w:eastAsia="zh-CN"/>
        </w:rPr>
        <w:t>缴纳</w:t>
      </w:r>
      <w:r>
        <w:rPr>
          <w:rFonts w:hint="eastAsia" w:ascii="宋体" w:hAnsi="宋体" w:cs="宋体"/>
          <w:color w:val="auto"/>
          <w:sz w:val="24"/>
          <w:highlight w:val="none"/>
        </w:rPr>
        <w:t>截止时间：</w:t>
      </w:r>
      <w:r>
        <w:rPr>
          <w:rFonts w:hint="eastAsia" w:ascii="宋体" w:hAnsi="宋体" w:cs="宋体"/>
          <w:color w:val="auto"/>
          <w:sz w:val="24"/>
          <w:highlight w:val="none"/>
          <w:lang w:val="en-US" w:eastAsia="zh-CN"/>
        </w:rPr>
        <w:t>同</w:t>
      </w:r>
      <w:r>
        <w:rPr>
          <w:rFonts w:hint="eastAsia" w:ascii="宋体" w:hAnsi="宋体" w:cs="宋体"/>
          <w:color w:val="auto"/>
          <w:sz w:val="24"/>
          <w:highlight w:val="none"/>
        </w:rPr>
        <w:t>提交投标文件截止时间。</w:t>
      </w:r>
    </w:p>
    <w:p w14:paraId="15407AE7">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户名：云南立友工程咨询有限公司</w:t>
      </w:r>
    </w:p>
    <w:p w14:paraId="1BCA7051">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 xml:space="preserve">账号：54000 19595 659012  </w:t>
      </w:r>
    </w:p>
    <w:p w14:paraId="56CF3439">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lang w:val="en-US" w:eastAsia="zh-CN"/>
        </w:rPr>
        <w:t>德宏农村商业银行芒市支行</w:t>
      </w:r>
    </w:p>
    <w:p w14:paraId="2AFBC772">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财务室联系电话：0692-2273788</w:t>
      </w:r>
    </w:p>
    <w:p w14:paraId="2246C35D">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bCs/>
          <w:color w:val="auto"/>
          <w:kern w:val="0"/>
          <w:sz w:val="24"/>
          <w:highlight w:val="none"/>
          <w:lang w:val="en-US" w:eastAsia="zh-CN"/>
        </w:rPr>
        <w:t>4</w:t>
      </w:r>
      <w:r>
        <w:rPr>
          <w:rFonts w:hint="eastAsia" w:ascii="宋体" w:hAnsi="宋体" w:cs="宋体"/>
          <w:bCs/>
          <w:color w:val="auto"/>
          <w:kern w:val="0"/>
          <w:sz w:val="24"/>
          <w:highlight w:val="none"/>
        </w:rPr>
        <w:t>.</w:t>
      </w:r>
      <w:r>
        <w:rPr>
          <w:rFonts w:hint="eastAsia" w:ascii="宋体" w:hAnsi="宋体" w:cs="宋体"/>
          <w:bCs/>
          <w:color w:val="auto"/>
          <w:sz w:val="24"/>
          <w:highlight w:val="none"/>
        </w:rPr>
        <w:t>相关费用：</w:t>
      </w:r>
      <w:r>
        <w:rPr>
          <w:rFonts w:hint="eastAsia" w:ascii="宋体" w:hAnsi="宋体" w:cs="宋体"/>
          <w:bCs/>
          <w:color w:val="auto"/>
          <w:sz w:val="24"/>
          <w:highlight w:val="none"/>
          <w:lang w:eastAsia="zh-CN"/>
        </w:rPr>
        <w:t>中标服务费以单个项目（或标段）</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通知书的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金额为计费基数，按关于印发《云南省建设工程招标代理服务收费</w:t>
      </w:r>
      <w:r>
        <w:rPr>
          <w:rFonts w:hint="eastAsia" w:ascii="宋体" w:hAnsi="宋体" w:cs="宋体"/>
          <w:bCs/>
          <w:color w:val="auto"/>
          <w:sz w:val="24"/>
          <w:highlight w:val="none"/>
          <w:lang w:val="en-US" w:eastAsia="zh-CN"/>
        </w:rPr>
        <w:t>参考意见</w:t>
      </w:r>
      <w:r>
        <w:rPr>
          <w:rFonts w:hint="eastAsia" w:ascii="宋体" w:hAnsi="宋体" w:cs="宋体"/>
          <w:bCs/>
          <w:color w:val="auto"/>
          <w:sz w:val="24"/>
          <w:highlight w:val="none"/>
          <w:lang w:eastAsia="zh-CN"/>
        </w:rPr>
        <w:t>》的通知（云建招协〔202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号）收费标准</w:t>
      </w:r>
      <w:r>
        <w:rPr>
          <w:rFonts w:hint="eastAsia" w:ascii="宋体" w:hAnsi="宋体" w:cs="宋体"/>
          <w:bCs/>
          <w:color w:val="auto"/>
          <w:sz w:val="24"/>
          <w:highlight w:val="none"/>
          <w:lang w:val="en-US" w:eastAsia="zh-CN"/>
        </w:rPr>
        <w:t>下浮10%</w:t>
      </w:r>
      <w:r>
        <w:rPr>
          <w:rFonts w:hint="eastAsia" w:ascii="宋体" w:hAnsi="宋体" w:cs="宋体"/>
          <w:bCs/>
          <w:color w:val="auto"/>
          <w:sz w:val="24"/>
          <w:highlight w:val="none"/>
          <w:lang w:eastAsia="zh-CN"/>
        </w:rPr>
        <w:t>收取，由</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单位支付</w:t>
      </w:r>
      <w:r>
        <w:rPr>
          <w:rFonts w:hint="eastAsia" w:ascii="宋体" w:hAnsi="宋体" w:cs="宋体"/>
          <w:color w:val="auto"/>
          <w:sz w:val="24"/>
          <w:highlight w:val="none"/>
        </w:rPr>
        <w:t>。</w:t>
      </w:r>
    </w:p>
    <w:p w14:paraId="750F6BEF">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kern w:val="0"/>
          <w:sz w:val="24"/>
          <w:highlight w:val="none"/>
        </w:rPr>
        <w:t>公告发布媒体：</w:t>
      </w:r>
      <w:r>
        <w:rPr>
          <w:rFonts w:hint="eastAsia" w:ascii="宋体" w:hAnsi="宋体" w:cs="宋体"/>
          <w:color w:val="auto"/>
          <w:sz w:val="24"/>
          <w:highlight w:val="none"/>
        </w:rPr>
        <w:t>本公告在《云南省政府采购网》（http://www.yngp.com/）、</w:t>
      </w:r>
      <w:r>
        <w:rPr>
          <w:rFonts w:hint="eastAsia" w:ascii="宋体" w:hAnsi="宋体" w:cs="宋体"/>
          <w:bCs/>
          <w:color w:val="auto"/>
          <w:kern w:val="0"/>
          <w:sz w:val="24"/>
          <w:highlight w:val="none"/>
        </w:rPr>
        <w:t>政府采购云平台（https://www.zcygov.cn/）</w:t>
      </w:r>
      <w:r>
        <w:rPr>
          <w:rFonts w:hint="eastAsia" w:ascii="宋体" w:hAnsi="宋体" w:cs="宋体"/>
          <w:color w:val="auto"/>
          <w:sz w:val="24"/>
          <w:highlight w:val="none"/>
        </w:rPr>
        <w:t>上发布，我公司对其他网站或媒体转载的公告及公告内容不承担任何责任。</w:t>
      </w:r>
    </w:p>
    <w:p w14:paraId="6F2B348B">
      <w:pPr>
        <w:keepLines w:val="0"/>
        <w:pageBreakBefore w:val="0"/>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.本项目执行政府采购促进中小企业发展、支持监狱企业、促进残疾人就业、扶持不发达地区、少数民族地区和优先采购节能、环保产品等政府采购政策。</w:t>
      </w:r>
    </w:p>
    <w:p w14:paraId="10BCC3DC">
      <w:pPr>
        <w:pStyle w:val="3"/>
        <w:keepLines w:val="0"/>
        <w:pageBreakBefore w:val="0"/>
        <w:numPr>
          <w:ilvl w:val="1"/>
          <w:numId w:val="0"/>
        </w:numPr>
        <w:kinsoku/>
        <w:overflowPunct/>
        <w:topLinePunct w:val="0"/>
        <w:autoSpaceDE/>
        <w:autoSpaceDN/>
        <w:bidi w:val="0"/>
        <w:snapToGrid/>
        <w:spacing w:before="0" w:line="450" w:lineRule="exact"/>
        <w:ind w:firstLine="480" w:firstLineChars="200"/>
        <w:textAlignment w:val="auto"/>
        <w:rPr>
          <w:rFonts w:ascii="宋体" w:hAnsi="宋体" w:eastAsia="宋体" w:cs="宋体"/>
          <w:b w:val="0"/>
          <w:color w:val="auto"/>
          <w:kern w:val="2"/>
          <w:sz w:val="24"/>
          <w:szCs w:val="24"/>
          <w:highlight w:val="none"/>
        </w:rPr>
      </w:pPr>
      <w:r>
        <w:rPr>
          <w:rFonts w:hint="eastAsia" w:ascii="宋体" w:hAnsi="宋体" w:eastAsia="宋体" w:cs="宋体"/>
          <w:b w:val="0"/>
          <w:color w:val="auto"/>
          <w:kern w:val="2"/>
          <w:sz w:val="24"/>
          <w:szCs w:val="24"/>
          <w:highlight w:val="none"/>
          <w:lang w:val="en-US" w:eastAsia="zh-CN"/>
        </w:rPr>
        <w:t>7</w:t>
      </w:r>
      <w:r>
        <w:rPr>
          <w:rFonts w:hint="eastAsia" w:ascii="宋体" w:hAnsi="宋体" w:eastAsia="宋体" w:cs="宋体"/>
          <w:b w:val="0"/>
          <w:color w:val="auto"/>
          <w:kern w:val="2"/>
          <w:sz w:val="24"/>
          <w:szCs w:val="24"/>
          <w:highlight w:val="none"/>
        </w:rPr>
        <w:t>.监督部门及联系电话</w:t>
      </w:r>
    </w:p>
    <w:p w14:paraId="2DF89E58">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行政监督部门及联系电话：德宏州财政局 0692-3990432</w:t>
      </w:r>
    </w:p>
    <w:p w14:paraId="7CD273A2">
      <w:pPr>
        <w:keepLines w:val="0"/>
        <w:pageBreakBefore w:val="0"/>
        <w:widowControl/>
        <w:kinsoku/>
        <w:overflowPunct/>
        <w:topLinePunct w:val="0"/>
        <w:autoSpaceDE/>
        <w:autoSpaceDN/>
        <w:bidi w:val="0"/>
        <w:snapToGrid/>
        <w:spacing w:line="45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纪检监督联系电话：0692-12388</w:t>
      </w:r>
    </w:p>
    <w:p w14:paraId="62ED4D6E">
      <w:pPr>
        <w:pStyle w:val="3"/>
        <w:keepLines w:val="0"/>
        <w:pageBreakBefore w:val="0"/>
        <w:numPr>
          <w:ilvl w:val="1"/>
          <w:numId w:val="0"/>
        </w:numPr>
        <w:kinsoku/>
        <w:overflowPunct/>
        <w:topLinePunct w:val="0"/>
        <w:autoSpaceDE/>
        <w:autoSpaceDN/>
        <w:bidi w:val="0"/>
        <w:snapToGrid/>
        <w:spacing w:line="480" w:lineRule="exact"/>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七、对本次招标提出询问，请按以下方式联系。</w:t>
      </w:r>
      <w:bookmarkEnd w:id="34"/>
      <w:bookmarkEnd w:id="35"/>
      <w:bookmarkEnd w:id="36"/>
      <w:bookmarkEnd w:id="37"/>
    </w:p>
    <w:p w14:paraId="640F8351">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bookmarkStart w:id="38" w:name="_Toc35393806"/>
      <w:bookmarkStart w:id="39" w:name="_Toc28359019"/>
      <w:bookmarkStart w:id="40" w:name="_Toc28359096"/>
      <w:bookmarkStart w:id="41" w:name="_Toc35393637"/>
      <w:bookmarkStart w:id="42" w:name="_Toc35393807"/>
      <w:bookmarkStart w:id="43" w:name="_Toc28359097"/>
      <w:bookmarkStart w:id="44" w:name="_Toc35393638"/>
      <w:bookmarkStart w:id="45" w:name="_Toc28359020"/>
      <w:r>
        <w:rPr>
          <w:rFonts w:hint="eastAsia" w:ascii="宋体" w:hAnsi="宋体" w:cs="宋体"/>
          <w:color w:val="auto"/>
          <w:sz w:val="24"/>
          <w:highlight w:val="none"/>
        </w:rPr>
        <w:t>1.采购人信息</w:t>
      </w:r>
      <w:bookmarkEnd w:id="38"/>
      <w:bookmarkEnd w:id="39"/>
      <w:bookmarkEnd w:id="40"/>
      <w:bookmarkEnd w:id="41"/>
    </w:p>
    <w:p w14:paraId="2066AB58">
      <w:pPr>
        <w:keepLines w:val="0"/>
        <w:pageBreakBefore w:val="0"/>
        <w:kinsoku/>
        <w:overflowPunct/>
        <w:topLinePunct w:val="0"/>
        <w:autoSpaceDE/>
        <w:autoSpaceDN/>
        <w:bidi w:val="0"/>
        <w:snapToGrid/>
        <w:spacing w:line="48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德宏傣族景颇族自治州公安局</w:t>
      </w:r>
    </w:p>
    <w:p w14:paraId="087C6DDD">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bCs/>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val="en-US" w:eastAsia="zh-CN"/>
        </w:rPr>
        <w:t>云南省</w:t>
      </w:r>
      <w:r>
        <w:rPr>
          <w:rFonts w:hint="eastAsia" w:ascii="宋体" w:hAnsi="宋体" w:cs="宋体"/>
          <w:color w:val="auto"/>
          <w:sz w:val="24"/>
          <w:highlight w:val="none"/>
          <w:lang w:eastAsia="zh-CN"/>
        </w:rPr>
        <w:t>德宏州芒市大街32号</w:t>
      </w:r>
    </w:p>
    <w:p w14:paraId="49935CCB">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联系方式：13988234657</w:t>
      </w:r>
    </w:p>
    <w:p w14:paraId="3CB6DEA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2.采购代理机构信息</w:t>
      </w:r>
    </w:p>
    <w:p w14:paraId="301E29C2">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名    称：云南立友工程咨询有限公司</w:t>
      </w:r>
    </w:p>
    <w:p w14:paraId="15792F8D">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统一社会信用代码：91533103MA6NT2PR2J</w:t>
      </w:r>
    </w:p>
    <w:p w14:paraId="78988FD0">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地　　址：云南省德宏州芒市榕树北路5号</w:t>
      </w:r>
    </w:p>
    <w:p w14:paraId="2EB3CE6C">
      <w:pPr>
        <w:keepLines w:val="0"/>
        <w:pageBreakBefore w:val="0"/>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联系方式：0692-2273788</w:t>
      </w:r>
    </w:p>
    <w:p w14:paraId="479C0F0A">
      <w:pPr>
        <w:keepLines w:val="0"/>
        <w:pageBreakBefore w:val="0"/>
        <w:widowControl/>
        <w:kinsoku/>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3.项目联系方式</w:t>
      </w:r>
    </w:p>
    <w:bookmarkEnd w:id="42"/>
    <w:bookmarkEnd w:id="43"/>
    <w:bookmarkEnd w:id="44"/>
    <w:bookmarkEnd w:id="45"/>
    <w:p w14:paraId="52CBF279">
      <w:pPr>
        <w:keepLines w:val="0"/>
        <w:pageBreakBefore w:val="0"/>
        <w:kinsoku/>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项目联系人：陈思宇（采购人）、叶杨、张辉（采购代理机构）</w:t>
      </w:r>
    </w:p>
    <w:p w14:paraId="5C152DD1">
      <w:pPr>
        <w:keepLines w:val="0"/>
        <w:pageBreakBefore w:val="0"/>
        <w:kinsoku/>
        <w:overflowPunct/>
        <w:topLinePunct w:val="0"/>
        <w:autoSpaceDE/>
        <w:autoSpaceDN/>
        <w:bidi w:val="0"/>
        <w:snapToGrid/>
        <w:spacing w:line="480" w:lineRule="exact"/>
        <w:ind w:firstLine="480" w:firstLineChars="200"/>
        <w:textAlignment w:val="auto"/>
        <w:rPr>
          <w:rFonts w:ascii="宋体" w:hAnsi="宋体" w:cs="宋体"/>
          <w:color w:val="auto"/>
          <w:szCs w:val="21"/>
          <w:highlight w:val="none"/>
        </w:rPr>
        <w:sectPr>
          <w:footerReference r:id="rId5" w:type="default"/>
          <w:pgSz w:w="11906" w:h="16838"/>
          <w:pgMar w:top="1440" w:right="1083" w:bottom="1440" w:left="1083" w:header="851" w:footer="992" w:gutter="0"/>
          <w:pgNumType w:fmt="decimal" w:start="1"/>
          <w:cols w:space="425" w:num="1"/>
          <w:docGrid w:type="lines" w:linePitch="312" w:charSpace="0"/>
        </w:sectPr>
      </w:pPr>
      <w:r>
        <w:rPr>
          <w:rFonts w:hint="eastAsia" w:ascii="宋体" w:hAnsi="宋体" w:cs="宋体"/>
          <w:color w:val="auto"/>
          <w:sz w:val="24"/>
          <w:highlight w:val="none"/>
        </w:rPr>
        <w:t>电话：13988234657（采购人）、13578</w:t>
      </w:r>
      <w:r>
        <w:rPr>
          <w:rFonts w:hint="eastAsia" w:ascii="宋体" w:hAnsi="宋体" w:cs="宋体"/>
          <w:color w:val="auto"/>
          <w:sz w:val="24"/>
          <w:highlight w:val="none"/>
          <w:lang w:val="en-US" w:eastAsia="zh-CN"/>
        </w:rPr>
        <w:t>266575</w:t>
      </w:r>
      <w:r>
        <w:rPr>
          <w:rFonts w:hint="eastAsia" w:ascii="宋体" w:hAnsi="宋体" w:cs="宋体"/>
          <w:color w:val="auto"/>
          <w:sz w:val="24"/>
          <w:highlight w:val="none"/>
        </w:rPr>
        <w:t>、0692-2273788（采购代理机构）</w:t>
      </w:r>
    </w:p>
    <w:p w14:paraId="615CB0FD">
      <w:pPr>
        <w:pStyle w:val="2"/>
        <w:spacing w:before="0" w:afterLines="50" w:line="360" w:lineRule="auto"/>
        <w:jc w:val="center"/>
        <w:rPr>
          <w:rFonts w:ascii="宋体" w:hAnsi="宋体" w:cs="宋体"/>
          <w:color w:val="auto"/>
          <w:highlight w:val="none"/>
        </w:rPr>
      </w:pPr>
      <w:r>
        <w:rPr>
          <w:rFonts w:hint="eastAsia" w:ascii="宋体" w:hAnsi="宋体" w:cs="宋体"/>
          <w:color w:val="auto"/>
          <w:highlight w:val="none"/>
        </w:rPr>
        <w:t>第二章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投标人须知</w:t>
      </w:r>
    </w:p>
    <w:p w14:paraId="05A17295">
      <w:pPr>
        <w:pStyle w:val="3"/>
        <w:numPr>
          <w:ilvl w:val="1"/>
          <w:numId w:val="0"/>
        </w:numPr>
        <w:tabs>
          <w:tab w:val="clear" w:pos="1021"/>
        </w:tabs>
        <w:spacing w:before="0"/>
        <w:jc w:val="center"/>
        <w:rPr>
          <w:rFonts w:ascii="宋体" w:hAnsi="宋体" w:eastAsia="宋体" w:cs="宋体"/>
          <w:color w:val="auto"/>
          <w:szCs w:val="28"/>
          <w:highlight w:val="none"/>
        </w:rPr>
      </w:pPr>
      <w:bookmarkStart w:id="46" w:name="_Toc13590"/>
      <w:bookmarkEnd w:id="46"/>
      <w:bookmarkStart w:id="47" w:name="_Toc21714"/>
      <w:bookmarkEnd w:id="47"/>
      <w:bookmarkStart w:id="48" w:name="_Toc7029"/>
      <w:bookmarkStart w:id="49" w:name="_Toc26144"/>
      <w:r>
        <w:rPr>
          <w:rFonts w:hint="eastAsia" w:ascii="宋体" w:hAnsi="宋体" w:eastAsia="宋体" w:cs="宋体"/>
          <w:color w:val="auto"/>
          <w:szCs w:val="28"/>
          <w:highlight w:val="none"/>
        </w:rPr>
        <w:t>投标人须知前附表</w:t>
      </w:r>
      <w:bookmarkEnd w:id="48"/>
      <w:bookmarkEnd w:id="49"/>
    </w:p>
    <w:p w14:paraId="581D4AC3">
      <w:pPr>
        <w:spacing w:line="200" w:lineRule="exact"/>
        <w:rPr>
          <w:rFonts w:ascii="宋体" w:hAnsi="宋体" w:cs="宋体"/>
          <w:color w:val="auto"/>
          <w:highlight w:val="none"/>
        </w:rPr>
      </w:pPr>
    </w:p>
    <w:tbl>
      <w:tblPr>
        <w:tblStyle w:val="23"/>
        <w:tblW w:w="9824" w:type="dxa"/>
        <w:jc w:val="center"/>
        <w:tblLayout w:type="fixed"/>
        <w:tblCellMar>
          <w:top w:w="0" w:type="dxa"/>
          <w:left w:w="0" w:type="dxa"/>
          <w:bottom w:w="0" w:type="dxa"/>
          <w:right w:w="0" w:type="dxa"/>
        </w:tblCellMar>
      </w:tblPr>
      <w:tblGrid>
        <w:gridCol w:w="990"/>
        <w:gridCol w:w="1638"/>
        <w:gridCol w:w="7196"/>
      </w:tblGrid>
      <w:tr w14:paraId="0BE0334E">
        <w:tblPrEx>
          <w:tblCellMar>
            <w:top w:w="0" w:type="dxa"/>
            <w:left w:w="0" w:type="dxa"/>
            <w:bottom w:w="0" w:type="dxa"/>
            <w:right w:w="0" w:type="dxa"/>
          </w:tblCellMar>
        </w:tblPrEx>
        <w:trPr>
          <w:trHeight w:val="473"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60055A2">
            <w:pPr>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638" w:type="dxa"/>
            <w:tcBorders>
              <w:top w:val="single" w:color="auto" w:sz="8" w:space="0"/>
              <w:left w:val="nil"/>
              <w:bottom w:val="single" w:color="auto" w:sz="8" w:space="0"/>
              <w:right w:val="single" w:color="auto" w:sz="8" w:space="0"/>
            </w:tcBorders>
            <w:vAlign w:val="center"/>
          </w:tcPr>
          <w:p w14:paraId="047F6BBD">
            <w:pPr>
              <w:jc w:val="center"/>
              <w:rPr>
                <w:rFonts w:ascii="宋体" w:hAnsi="宋体" w:cs="宋体"/>
                <w:b/>
                <w:color w:val="auto"/>
                <w:sz w:val="24"/>
                <w:highlight w:val="none"/>
              </w:rPr>
            </w:pPr>
            <w:r>
              <w:rPr>
                <w:rFonts w:hint="eastAsia" w:ascii="宋体" w:hAnsi="宋体" w:cs="宋体"/>
                <w:b/>
                <w:color w:val="auto"/>
                <w:sz w:val="24"/>
                <w:highlight w:val="none"/>
              </w:rPr>
              <w:t>条款名称</w:t>
            </w:r>
          </w:p>
        </w:tc>
        <w:tc>
          <w:tcPr>
            <w:tcW w:w="7196" w:type="dxa"/>
            <w:tcBorders>
              <w:top w:val="single" w:color="auto" w:sz="8" w:space="0"/>
              <w:left w:val="nil"/>
              <w:bottom w:val="single" w:color="auto" w:sz="8" w:space="0"/>
              <w:right w:val="single" w:color="auto" w:sz="8" w:space="0"/>
            </w:tcBorders>
            <w:vAlign w:val="center"/>
          </w:tcPr>
          <w:p w14:paraId="2FA2E05F">
            <w:pPr>
              <w:jc w:val="center"/>
              <w:rPr>
                <w:rFonts w:ascii="宋体" w:hAnsi="宋体" w:cs="宋体"/>
                <w:b/>
                <w:color w:val="auto"/>
                <w:sz w:val="24"/>
                <w:highlight w:val="none"/>
              </w:rPr>
            </w:pPr>
            <w:r>
              <w:rPr>
                <w:rFonts w:hint="eastAsia" w:ascii="宋体" w:hAnsi="宋体" w:cs="宋体"/>
                <w:b/>
                <w:color w:val="auto"/>
                <w:sz w:val="24"/>
                <w:highlight w:val="none"/>
              </w:rPr>
              <w:t>编列内容</w:t>
            </w:r>
          </w:p>
        </w:tc>
      </w:tr>
      <w:tr w14:paraId="794311B1">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B410C3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1.1.2</w:t>
            </w:r>
          </w:p>
        </w:tc>
        <w:tc>
          <w:tcPr>
            <w:tcW w:w="1638" w:type="dxa"/>
            <w:tcBorders>
              <w:top w:val="single" w:color="auto" w:sz="8" w:space="0"/>
              <w:left w:val="nil"/>
              <w:bottom w:val="single" w:color="auto" w:sz="8" w:space="0"/>
              <w:right w:val="single" w:color="auto" w:sz="8" w:space="0"/>
            </w:tcBorders>
            <w:vAlign w:val="center"/>
          </w:tcPr>
          <w:p w14:paraId="00F659D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采购人</w:t>
            </w:r>
          </w:p>
        </w:tc>
        <w:tc>
          <w:tcPr>
            <w:tcW w:w="7196" w:type="dxa"/>
            <w:tcBorders>
              <w:top w:val="single" w:color="auto" w:sz="8" w:space="0"/>
              <w:left w:val="nil"/>
              <w:bottom w:val="single" w:color="auto" w:sz="8" w:space="0"/>
              <w:right w:val="single" w:color="auto" w:sz="8" w:space="0"/>
            </w:tcBorders>
            <w:vAlign w:val="center"/>
          </w:tcPr>
          <w:p w14:paraId="4E99C8D4">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德宏傣族景颇族自治州公安局</w:t>
            </w:r>
          </w:p>
          <w:p w14:paraId="3D213D1D">
            <w:pPr>
              <w:spacing w:line="360" w:lineRule="auto"/>
              <w:jc w:val="left"/>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lang w:val="en-US" w:eastAsia="zh-CN"/>
              </w:rPr>
              <w:t>云南省</w:t>
            </w:r>
            <w:r>
              <w:rPr>
                <w:rFonts w:hint="eastAsia" w:ascii="宋体" w:hAnsi="宋体" w:cs="宋体"/>
                <w:color w:val="auto"/>
                <w:sz w:val="24"/>
                <w:highlight w:val="none"/>
                <w:lang w:eastAsia="zh-CN"/>
              </w:rPr>
              <w:t>德宏州芒市大街32号</w:t>
            </w:r>
          </w:p>
          <w:p w14:paraId="6141B819">
            <w:pPr>
              <w:spacing w:line="360" w:lineRule="auto"/>
              <w:jc w:val="left"/>
              <w:rPr>
                <w:rFonts w:ascii="宋体" w:hAnsi="宋体" w:cs="宋体"/>
                <w:color w:val="auto"/>
                <w:sz w:val="24"/>
                <w:highlight w:val="none"/>
              </w:rPr>
            </w:pPr>
            <w:r>
              <w:rPr>
                <w:rFonts w:hint="eastAsia" w:ascii="宋体" w:hAnsi="宋体" w:cs="宋体"/>
                <w:color w:val="auto"/>
                <w:sz w:val="24"/>
                <w:highlight w:val="none"/>
              </w:rPr>
              <w:t>联系人：陈思宇</w:t>
            </w:r>
          </w:p>
          <w:p w14:paraId="45DA3236">
            <w:pPr>
              <w:spacing w:line="360" w:lineRule="auto"/>
              <w:jc w:val="left"/>
              <w:rPr>
                <w:rFonts w:ascii="宋体" w:hAnsi="宋体" w:cs="宋体"/>
                <w:color w:val="auto"/>
                <w:sz w:val="24"/>
                <w:highlight w:val="none"/>
              </w:rPr>
            </w:pPr>
            <w:r>
              <w:rPr>
                <w:rFonts w:hint="eastAsia" w:ascii="宋体" w:hAnsi="宋体" w:cs="宋体"/>
                <w:color w:val="auto"/>
                <w:sz w:val="24"/>
                <w:highlight w:val="none"/>
              </w:rPr>
              <w:t>电话：13988234657</w:t>
            </w:r>
          </w:p>
        </w:tc>
      </w:tr>
      <w:tr w14:paraId="608F0159">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952854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1.1.3</w:t>
            </w:r>
          </w:p>
        </w:tc>
        <w:tc>
          <w:tcPr>
            <w:tcW w:w="1638" w:type="dxa"/>
            <w:tcBorders>
              <w:top w:val="single" w:color="auto" w:sz="8" w:space="0"/>
              <w:left w:val="nil"/>
              <w:bottom w:val="single" w:color="auto" w:sz="8" w:space="0"/>
              <w:right w:val="single" w:color="auto" w:sz="8" w:space="0"/>
            </w:tcBorders>
            <w:vAlign w:val="center"/>
          </w:tcPr>
          <w:p w14:paraId="508505F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采购代理机构</w:t>
            </w:r>
          </w:p>
        </w:tc>
        <w:tc>
          <w:tcPr>
            <w:tcW w:w="7196" w:type="dxa"/>
            <w:tcBorders>
              <w:top w:val="single" w:color="auto" w:sz="8" w:space="0"/>
              <w:left w:val="nil"/>
              <w:bottom w:val="single" w:color="auto" w:sz="8" w:space="0"/>
              <w:right w:val="single" w:color="auto" w:sz="8" w:space="0"/>
            </w:tcBorders>
            <w:vAlign w:val="center"/>
          </w:tcPr>
          <w:p w14:paraId="11113A9D">
            <w:pPr>
              <w:spacing w:line="360" w:lineRule="auto"/>
              <w:jc w:val="left"/>
              <w:rPr>
                <w:rFonts w:ascii="宋体" w:hAnsi="宋体" w:cs="宋体"/>
                <w:color w:val="auto"/>
                <w:sz w:val="24"/>
                <w:highlight w:val="none"/>
              </w:rPr>
            </w:pPr>
            <w:r>
              <w:rPr>
                <w:rFonts w:hint="eastAsia" w:ascii="宋体" w:hAnsi="宋体" w:cs="宋体"/>
                <w:color w:val="auto"/>
                <w:sz w:val="24"/>
                <w:highlight w:val="none"/>
              </w:rPr>
              <w:t>名称：云南立友工程咨询有限公司</w:t>
            </w:r>
          </w:p>
          <w:p w14:paraId="34108533">
            <w:pPr>
              <w:spacing w:line="360" w:lineRule="auto"/>
              <w:jc w:val="left"/>
              <w:rPr>
                <w:rFonts w:ascii="宋体" w:hAnsi="宋体" w:cs="宋体"/>
                <w:color w:val="auto"/>
                <w:sz w:val="24"/>
                <w:highlight w:val="none"/>
              </w:rPr>
            </w:pPr>
            <w:r>
              <w:rPr>
                <w:rFonts w:hint="eastAsia" w:ascii="宋体" w:hAnsi="宋体" w:cs="宋体"/>
                <w:color w:val="auto"/>
                <w:sz w:val="24"/>
                <w:highlight w:val="none"/>
              </w:rPr>
              <w:t>地址：云南省德宏州芒市榕树北路5号</w:t>
            </w:r>
          </w:p>
          <w:p w14:paraId="3D6B3088">
            <w:pPr>
              <w:spacing w:line="360" w:lineRule="auto"/>
              <w:jc w:val="left"/>
              <w:rPr>
                <w:rFonts w:ascii="宋体" w:hAnsi="宋体" w:cs="宋体"/>
                <w:color w:val="auto"/>
                <w:sz w:val="24"/>
                <w:highlight w:val="none"/>
              </w:rPr>
            </w:pPr>
            <w:r>
              <w:rPr>
                <w:rFonts w:hint="eastAsia" w:ascii="宋体" w:hAnsi="宋体" w:cs="宋体"/>
                <w:color w:val="auto"/>
                <w:sz w:val="24"/>
                <w:highlight w:val="none"/>
              </w:rPr>
              <w:t>联系人：叶杨、张辉</w:t>
            </w:r>
          </w:p>
          <w:p w14:paraId="303D5563">
            <w:pPr>
              <w:spacing w:line="360" w:lineRule="auto"/>
              <w:jc w:val="left"/>
              <w:rPr>
                <w:rFonts w:ascii="宋体" w:hAnsi="宋体" w:cs="宋体"/>
                <w:color w:val="auto"/>
                <w:sz w:val="24"/>
                <w:highlight w:val="none"/>
              </w:rPr>
            </w:pPr>
            <w:r>
              <w:rPr>
                <w:rFonts w:hint="eastAsia" w:ascii="宋体" w:hAnsi="宋体" w:cs="宋体"/>
                <w:color w:val="auto"/>
                <w:sz w:val="24"/>
                <w:highlight w:val="none"/>
              </w:rPr>
              <w:t>电话：13578</w:t>
            </w:r>
            <w:r>
              <w:rPr>
                <w:rFonts w:hint="eastAsia" w:ascii="宋体" w:hAnsi="宋体" w:cs="宋体"/>
                <w:color w:val="auto"/>
                <w:sz w:val="24"/>
                <w:highlight w:val="none"/>
                <w:lang w:val="en-US" w:eastAsia="zh-CN"/>
              </w:rPr>
              <w:t>266575</w:t>
            </w:r>
            <w:r>
              <w:rPr>
                <w:rFonts w:hint="eastAsia" w:ascii="宋体" w:hAnsi="宋体" w:cs="宋体"/>
                <w:color w:val="auto"/>
                <w:sz w:val="24"/>
                <w:highlight w:val="none"/>
              </w:rPr>
              <w:t>、0692-2273788</w:t>
            </w:r>
          </w:p>
        </w:tc>
      </w:tr>
      <w:tr w14:paraId="63D6B84B">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F68672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1.1.4</w:t>
            </w:r>
          </w:p>
        </w:tc>
        <w:tc>
          <w:tcPr>
            <w:tcW w:w="1638" w:type="dxa"/>
            <w:tcBorders>
              <w:top w:val="single" w:color="auto" w:sz="8" w:space="0"/>
              <w:left w:val="nil"/>
              <w:bottom w:val="single" w:color="auto" w:sz="8" w:space="0"/>
              <w:right w:val="single" w:color="auto" w:sz="8" w:space="0"/>
            </w:tcBorders>
            <w:vAlign w:val="center"/>
          </w:tcPr>
          <w:p w14:paraId="36A8B34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采购项目名称</w:t>
            </w:r>
          </w:p>
        </w:tc>
        <w:tc>
          <w:tcPr>
            <w:tcW w:w="7196" w:type="dxa"/>
            <w:tcBorders>
              <w:top w:val="single" w:color="auto" w:sz="8" w:space="0"/>
              <w:left w:val="nil"/>
              <w:bottom w:val="single" w:color="auto" w:sz="8" w:space="0"/>
              <w:right w:val="single" w:color="auto" w:sz="8" w:space="0"/>
            </w:tcBorders>
            <w:vAlign w:val="center"/>
          </w:tcPr>
          <w:p w14:paraId="6B901082">
            <w:pPr>
              <w:spacing w:line="3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德宏州公安局特巡警支队维稳处突装备采购项目</w:t>
            </w:r>
          </w:p>
        </w:tc>
      </w:tr>
      <w:tr w14:paraId="7F3D12BA">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412FFF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1.2.1</w:t>
            </w:r>
          </w:p>
        </w:tc>
        <w:tc>
          <w:tcPr>
            <w:tcW w:w="1638" w:type="dxa"/>
            <w:tcBorders>
              <w:top w:val="single" w:color="auto" w:sz="8" w:space="0"/>
              <w:left w:val="nil"/>
              <w:bottom w:val="single" w:color="auto" w:sz="8" w:space="0"/>
              <w:right w:val="single" w:color="auto" w:sz="8" w:space="0"/>
            </w:tcBorders>
            <w:vAlign w:val="center"/>
          </w:tcPr>
          <w:p w14:paraId="62F1C3E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资金来源及</w:t>
            </w:r>
          </w:p>
          <w:p w14:paraId="04CF210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落实情况</w:t>
            </w:r>
          </w:p>
        </w:tc>
        <w:tc>
          <w:tcPr>
            <w:tcW w:w="7196" w:type="dxa"/>
            <w:tcBorders>
              <w:top w:val="single" w:color="auto" w:sz="8" w:space="0"/>
              <w:left w:val="nil"/>
              <w:bottom w:val="single" w:color="auto" w:sz="8" w:space="0"/>
              <w:right w:val="single" w:color="auto" w:sz="8" w:space="0"/>
            </w:tcBorders>
            <w:vAlign w:val="center"/>
          </w:tcPr>
          <w:p w14:paraId="4425AD72">
            <w:pPr>
              <w:spacing w:line="360" w:lineRule="auto"/>
              <w:jc w:val="left"/>
              <w:rPr>
                <w:rFonts w:ascii="宋体" w:hAnsi="宋体" w:cs="宋体"/>
                <w:color w:val="auto"/>
                <w:sz w:val="24"/>
                <w:highlight w:val="none"/>
              </w:rPr>
            </w:pPr>
            <w:r>
              <w:rPr>
                <w:rFonts w:hint="eastAsia" w:ascii="宋体" w:hAnsi="宋体" w:cs="宋体"/>
                <w:color w:val="auto"/>
                <w:sz w:val="24"/>
                <w:highlight w:val="none"/>
              </w:rPr>
              <w:t>财政资金，已落实</w:t>
            </w:r>
          </w:p>
        </w:tc>
      </w:tr>
      <w:tr w14:paraId="2E5B1492">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89851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1.2.2</w:t>
            </w:r>
          </w:p>
        </w:tc>
        <w:tc>
          <w:tcPr>
            <w:tcW w:w="1638" w:type="dxa"/>
            <w:tcBorders>
              <w:top w:val="single" w:color="auto" w:sz="8" w:space="0"/>
              <w:left w:val="nil"/>
              <w:bottom w:val="single" w:color="auto" w:sz="8" w:space="0"/>
              <w:right w:val="single" w:color="auto" w:sz="8" w:space="0"/>
            </w:tcBorders>
            <w:vAlign w:val="center"/>
          </w:tcPr>
          <w:p w14:paraId="5DEAE65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预算金额</w:t>
            </w:r>
          </w:p>
        </w:tc>
        <w:tc>
          <w:tcPr>
            <w:tcW w:w="7196" w:type="dxa"/>
            <w:tcBorders>
              <w:top w:val="single" w:color="auto" w:sz="8" w:space="0"/>
              <w:left w:val="nil"/>
              <w:bottom w:val="single" w:color="auto" w:sz="8" w:space="0"/>
              <w:right w:val="single" w:color="auto" w:sz="8" w:space="0"/>
            </w:tcBorders>
            <w:vAlign w:val="center"/>
          </w:tcPr>
          <w:p w14:paraId="0731253F">
            <w:pPr>
              <w:spacing w:line="380" w:lineRule="exact"/>
              <w:rPr>
                <w:rFonts w:ascii="宋体" w:hAnsi="宋体" w:cs="宋体"/>
                <w:color w:val="auto"/>
                <w:sz w:val="24"/>
                <w:highlight w:val="none"/>
              </w:rPr>
            </w:pPr>
            <w:r>
              <w:rPr>
                <w:rFonts w:hint="eastAsia" w:ascii="宋体" w:hAnsi="宋体" w:cs="宋体"/>
                <w:color w:val="auto"/>
                <w:sz w:val="24"/>
                <w:highlight w:val="none"/>
                <w:lang w:eastAsia="zh-CN"/>
              </w:rPr>
              <w:t>368990.00</w:t>
            </w:r>
            <w:r>
              <w:rPr>
                <w:rFonts w:hint="eastAsia" w:ascii="宋体" w:hAnsi="宋体" w:cs="宋体"/>
                <w:color w:val="auto"/>
                <w:sz w:val="24"/>
                <w:highlight w:val="none"/>
              </w:rPr>
              <w:t>元</w:t>
            </w:r>
          </w:p>
        </w:tc>
      </w:tr>
      <w:tr w14:paraId="3AA81E29">
        <w:tblPrEx>
          <w:tblCellMar>
            <w:top w:w="0" w:type="dxa"/>
            <w:left w:w="0" w:type="dxa"/>
            <w:bottom w:w="0" w:type="dxa"/>
            <w:right w:w="0" w:type="dxa"/>
          </w:tblCellMar>
        </w:tblPrEx>
        <w:trPr>
          <w:trHeight w:val="14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EE0E8E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1.3.1</w:t>
            </w:r>
          </w:p>
        </w:tc>
        <w:tc>
          <w:tcPr>
            <w:tcW w:w="1638" w:type="dxa"/>
            <w:tcBorders>
              <w:top w:val="single" w:color="auto" w:sz="8" w:space="0"/>
              <w:left w:val="nil"/>
              <w:bottom w:val="single" w:color="auto" w:sz="8" w:space="0"/>
              <w:right w:val="single" w:color="auto" w:sz="8" w:space="0"/>
            </w:tcBorders>
            <w:vAlign w:val="center"/>
          </w:tcPr>
          <w:p w14:paraId="28AEB33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采购内容</w:t>
            </w:r>
          </w:p>
        </w:tc>
        <w:tc>
          <w:tcPr>
            <w:tcW w:w="7196" w:type="dxa"/>
            <w:tcBorders>
              <w:top w:val="single" w:color="auto" w:sz="8" w:space="0"/>
              <w:left w:val="nil"/>
              <w:bottom w:val="single" w:color="auto" w:sz="8" w:space="0"/>
              <w:right w:val="single" w:color="auto" w:sz="8" w:space="0"/>
            </w:tcBorders>
            <w:vAlign w:val="center"/>
          </w:tcPr>
          <w:p w14:paraId="603CCE98">
            <w:pPr>
              <w:widowControl/>
              <w:spacing w:line="520" w:lineRule="exact"/>
              <w:jc w:val="left"/>
              <w:rPr>
                <w:rFonts w:ascii="宋体" w:hAnsi="宋体" w:cs="宋体"/>
                <w:color w:val="auto"/>
                <w:sz w:val="24"/>
                <w:highlight w:val="none"/>
              </w:rPr>
            </w:pPr>
            <w:r>
              <w:rPr>
                <w:rFonts w:hint="eastAsia" w:ascii="宋体" w:hAnsi="宋体" w:cs="宋体"/>
                <w:color w:val="auto"/>
                <w:sz w:val="24"/>
                <w:highlight w:val="none"/>
              </w:rPr>
              <w:t>德宏州公安局</w:t>
            </w:r>
            <w:r>
              <w:rPr>
                <w:rFonts w:hint="eastAsia" w:ascii="宋体" w:hAnsi="宋体" w:cs="宋体"/>
                <w:color w:val="auto"/>
                <w:sz w:val="24"/>
                <w:highlight w:val="none"/>
                <w:lang w:eastAsia="zh-CN"/>
              </w:rPr>
              <w:t>特巡警支队</w:t>
            </w:r>
            <w:r>
              <w:rPr>
                <w:rFonts w:hint="eastAsia" w:ascii="宋体" w:hAnsi="宋体" w:cs="宋体"/>
                <w:color w:val="auto"/>
                <w:sz w:val="24"/>
                <w:highlight w:val="none"/>
              </w:rPr>
              <w:t>采购</w:t>
            </w:r>
            <w:r>
              <w:rPr>
                <w:rFonts w:hint="eastAsia" w:ascii="宋体" w:hAnsi="宋体" w:cs="宋体"/>
                <w:color w:val="auto"/>
                <w:sz w:val="24"/>
                <w:highlight w:val="none"/>
                <w:lang w:eastAsia="zh-CN"/>
              </w:rPr>
              <w:t>“维稳处突装备”</w:t>
            </w:r>
            <w:r>
              <w:rPr>
                <w:rFonts w:hint="eastAsia" w:ascii="宋体" w:hAnsi="宋体" w:cs="宋体"/>
                <w:color w:val="auto"/>
                <w:sz w:val="24"/>
                <w:highlight w:val="none"/>
                <w:lang w:val="en-US" w:eastAsia="zh-CN"/>
              </w:rPr>
              <w:t>一批</w:t>
            </w:r>
            <w:r>
              <w:rPr>
                <w:rFonts w:hint="eastAsia" w:ascii="宋体" w:hAnsi="宋体" w:cs="宋体"/>
                <w:color w:val="auto"/>
                <w:sz w:val="24"/>
                <w:highlight w:val="none"/>
              </w:rPr>
              <w:t>（详细的参数及采购需求详见招标文件“第五章 采购需求”）</w:t>
            </w:r>
          </w:p>
        </w:tc>
      </w:tr>
      <w:tr w14:paraId="61D83FD4">
        <w:tblPrEx>
          <w:tblCellMar>
            <w:top w:w="0" w:type="dxa"/>
            <w:left w:w="0" w:type="dxa"/>
            <w:bottom w:w="0" w:type="dxa"/>
            <w:right w:w="0" w:type="dxa"/>
          </w:tblCellMar>
        </w:tblPrEx>
        <w:trPr>
          <w:trHeight w:val="964"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1EEDEBC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1.3.2</w:t>
            </w:r>
          </w:p>
        </w:tc>
        <w:tc>
          <w:tcPr>
            <w:tcW w:w="1638" w:type="dxa"/>
            <w:tcBorders>
              <w:top w:val="single" w:color="auto" w:sz="8" w:space="0"/>
              <w:left w:val="nil"/>
              <w:bottom w:val="single" w:color="auto" w:sz="8" w:space="0"/>
              <w:right w:val="single" w:color="auto" w:sz="8" w:space="0"/>
            </w:tcBorders>
            <w:vAlign w:val="center"/>
          </w:tcPr>
          <w:p w14:paraId="7876F91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合同履行期限</w:t>
            </w:r>
          </w:p>
        </w:tc>
        <w:tc>
          <w:tcPr>
            <w:tcW w:w="7196" w:type="dxa"/>
            <w:tcBorders>
              <w:top w:val="single" w:color="auto" w:sz="8" w:space="0"/>
              <w:left w:val="nil"/>
              <w:bottom w:val="single" w:color="auto" w:sz="8" w:space="0"/>
              <w:right w:val="single" w:color="auto" w:sz="8" w:space="0"/>
            </w:tcBorders>
            <w:vAlign w:val="center"/>
          </w:tcPr>
          <w:p w14:paraId="5C1503B4">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自合同签订之日起30日历天内完成供货并通过验收</w:t>
            </w:r>
            <w:r>
              <w:rPr>
                <w:rFonts w:hint="eastAsia" w:ascii="宋体" w:hAnsi="宋体" w:cs="宋体"/>
                <w:color w:val="auto"/>
                <w:sz w:val="24"/>
                <w:highlight w:val="none"/>
              </w:rPr>
              <w:t>。</w:t>
            </w:r>
          </w:p>
        </w:tc>
      </w:tr>
      <w:tr w14:paraId="0C8C3070">
        <w:tblPrEx>
          <w:tblCellMar>
            <w:top w:w="0" w:type="dxa"/>
            <w:left w:w="0" w:type="dxa"/>
            <w:bottom w:w="0" w:type="dxa"/>
            <w:right w:w="0" w:type="dxa"/>
          </w:tblCellMar>
        </w:tblPrEx>
        <w:trPr>
          <w:trHeight w:val="964"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11021B1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1.3.3</w:t>
            </w:r>
          </w:p>
        </w:tc>
        <w:tc>
          <w:tcPr>
            <w:tcW w:w="1638" w:type="dxa"/>
            <w:tcBorders>
              <w:top w:val="single" w:color="auto" w:sz="8" w:space="0"/>
              <w:left w:val="nil"/>
              <w:bottom w:val="single" w:color="auto" w:sz="8" w:space="0"/>
              <w:right w:val="single" w:color="auto" w:sz="8" w:space="0"/>
            </w:tcBorders>
            <w:vAlign w:val="center"/>
          </w:tcPr>
          <w:p w14:paraId="400937E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7196" w:type="dxa"/>
            <w:tcBorders>
              <w:top w:val="single" w:color="auto" w:sz="8" w:space="0"/>
              <w:left w:val="nil"/>
              <w:bottom w:val="single" w:color="auto" w:sz="8" w:space="0"/>
              <w:right w:val="single" w:color="auto" w:sz="8" w:space="0"/>
            </w:tcBorders>
            <w:vAlign w:val="center"/>
          </w:tcPr>
          <w:p w14:paraId="26672775">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产品符合现行国家相关规定及行业标准，符合采购人需求并一次性验收合格</w:t>
            </w:r>
            <w:r>
              <w:rPr>
                <w:rFonts w:hint="eastAsia" w:ascii="宋体" w:hAnsi="宋体" w:cs="宋体"/>
                <w:color w:val="auto"/>
                <w:sz w:val="24"/>
                <w:highlight w:val="none"/>
              </w:rPr>
              <w:t>。</w:t>
            </w:r>
          </w:p>
        </w:tc>
      </w:tr>
      <w:tr w14:paraId="7867752F">
        <w:tblPrEx>
          <w:tblCellMar>
            <w:top w:w="0" w:type="dxa"/>
            <w:left w:w="0" w:type="dxa"/>
            <w:bottom w:w="0" w:type="dxa"/>
            <w:right w:w="0" w:type="dxa"/>
          </w:tblCellMar>
        </w:tblPrEx>
        <w:trPr>
          <w:trHeight w:val="680" w:hRule="exact"/>
          <w:jc w:val="center"/>
        </w:trPr>
        <w:tc>
          <w:tcPr>
            <w:tcW w:w="990" w:type="dxa"/>
            <w:tcBorders>
              <w:top w:val="single" w:color="auto" w:sz="8" w:space="0"/>
              <w:left w:val="single" w:color="auto" w:sz="8" w:space="0"/>
              <w:bottom w:val="single" w:color="auto" w:sz="8" w:space="0"/>
              <w:right w:val="single" w:color="auto" w:sz="8" w:space="0"/>
            </w:tcBorders>
            <w:vAlign w:val="center"/>
          </w:tcPr>
          <w:p w14:paraId="58B9BCF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1.3.4</w:t>
            </w:r>
          </w:p>
        </w:tc>
        <w:tc>
          <w:tcPr>
            <w:tcW w:w="1638" w:type="dxa"/>
            <w:tcBorders>
              <w:top w:val="single" w:color="auto" w:sz="8" w:space="0"/>
              <w:left w:val="nil"/>
              <w:bottom w:val="single" w:color="auto" w:sz="8" w:space="0"/>
              <w:right w:val="single" w:color="auto" w:sz="8" w:space="0"/>
            </w:tcBorders>
            <w:vAlign w:val="center"/>
          </w:tcPr>
          <w:p w14:paraId="7728FF08">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供货地点</w:t>
            </w:r>
          </w:p>
        </w:tc>
        <w:tc>
          <w:tcPr>
            <w:tcW w:w="7196" w:type="dxa"/>
            <w:tcBorders>
              <w:top w:val="single" w:color="auto" w:sz="8" w:space="0"/>
              <w:left w:val="nil"/>
              <w:bottom w:val="single" w:color="auto" w:sz="8" w:space="0"/>
              <w:right w:val="single" w:color="auto" w:sz="8" w:space="0"/>
            </w:tcBorders>
            <w:vAlign w:val="center"/>
          </w:tcPr>
          <w:p w14:paraId="25E27FD1">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德宏州公安局特巡警支队</w:t>
            </w:r>
            <w:r>
              <w:rPr>
                <w:rFonts w:hint="eastAsia" w:ascii="宋体" w:hAnsi="宋体" w:cs="宋体"/>
                <w:color w:val="auto"/>
                <w:sz w:val="24"/>
                <w:highlight w:val="none"/>
              </w:rPr>
              <w:t>。</w:t>
            </w:r>
          </w:p>
        </w:tc>
      </w:tr>
      <w:tr w14:paraId="6D2CE13F">
        <w:tblPrEx>
          <w:tblCellMar>
            <w:top w:w="0" w:type="dxa"/>
            <w:left w:w="0" w:type="dxa"/>
            <w:bottom w:w="0" w:type="dxa"/>
            <w:right w:w="0" w:type="dxa"/>
          </w:tblCellMar>
        </w:tblPrEx>
        <w:trPr>
          <w:trHeight w:val="54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FF1B7C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1.4.1</w:t>
            </w:r>
          </w:p>
        </w:tc>
        <w:tc>
          <w:tcPr>
            <w:tcW w:w="1638" w:type="dxa"/>
            <w:tcBorders>
              <w:top w:val="single" w:color="auto" w:sz="8" w:space="0"/>
              <w:left w:val="nil"/>
              <w:bottom w:val="single" w:color="auto" w:sz="8" w:space="0"/>
              <w:right w:val="single" w:color="auto" w:sz="8" w:space="0"/>
            </w:tcBorders>
            <w:vAlign w:val="center"/>
          </w:tcPr>
          <w:p w14:paraId="7FFCFBD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投标人资格</w:t>
            </w:r>
          </w:p>
          <w:p w14:paraId="002A9D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要求</w:t>
            </w:r>
          </w:p>
        </w:tc>
        <w:tc>
          <w:tcPr>
            <w:tcW w:w="7196" w:type="dxa"/>
            <w:tcBorders>
              <w:top w:val="single" w:color="auto" w:sz="8" w:space="0"/>
              <w:left w:val="nil"/>
              <w:bottom w:val="single" w:color="auto" w:sz="8" w:space="0"/>
              <w:right w:val="single" w:color="auto" w:sz="8" w:space="0"/>
            </w:tcBorders>
            <w:vAlign w:val="center"/>
          </w:tcPr>
          <w:p w14:paraId="25C8DADB">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E33A69F">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（1）具有独立承担民事责任的能力：提供自然人有效身份证明或法人或者其他组织有效的营业执照等证明文件；</w:t>
            </w:r>
          </w:p>
          <w:p w14:paraId="4F6020FE">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618F44EB">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良好的商业信誉：①供应商应在信用中国（www.creditchina.gov.cn）中未被列入失信被执行人；②供应商应在信用中国（www.creditchina.gov.cn）中未被列入重大税收违法失信主体；③供应商应在中国政府采购网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中未被列入政府采购严重违法失信行为记录名单（备注：</w:t>
            </w:r>
            <w:r>
              <w:rPr>
                <w:rFonts w:hint="eastAsia" w:ascii="宋体" w:hAnsi="宋体" w:eastAsia="宋体" w:cs="宋体"/>
                <w:color w:val="auto"/>
                <w:sz w:val="24"/>
                <w:szCs w:val="24"/>
                <w:highlight w:val="none"/>
                <w:lang w:eastAsia="zh-CN"/>
              </w:rPr>
              <w:t>以上网站均由采购人或采购代理机构在资格审查时查询</w:t>
            </w:r>
            <w:r>
              <w:rPr>
                <w:rFonts w:hint="eastAsia" w:ascii="宋体" w:hAnsi="宋体" w:eastAsia="宋体" w:cs="宋体"/>
                <w:color w:val="auto"/>
                <w:sz w:val="24"/>
                <w:szCs w:val="24"/>
                <w:highlight w:val="none"/>
              </w:rPr>
              <w:t>，若供应商有失信行为，视为不满足资格要求）；</w:t>
            </w:r>
          </w:p>
          <w:p w14:paraId="61B4A089">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健全的财务会计制度（内容可为以下</w:t>
            </w:r>
            <w:r>
              <w:rPr>
                <w:rFonts w:hint="eastAsia" w:ascii="宋体" w:hAnsi="宋体" w:eastAsia="宋体" w:cs="宋体"/>
                <w:color w:val="auto"/>
                <w:sz w:val="24"/>
                <w:szCs w:val="24"/>
                <w:highlight w:val="none"/>
                <w:lang w:eastAsia="zh-CN"/>
              </w:rPr>
              <w:t>二者之一</w:t>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eastAsia="zh-CN"/>
              </w:rPr>
              <w:t>提供2022年至今任意年度经</w:t>
            </w:r>
            <w:r>
              <w:rPr>
                <w:rFonts w:hint="eastAsia" w:ascii="宋体" w:hAnsi="宋体" w:eastAsia="宋体" w:cs="宋体"/>
                <w:color w:val="auto"/>
                <w:sz w:val="24"/>
                <w:szCs w:val="24"/>
                <w:highlight w:val="none"/>
              </w:rPr>
              <w:t>第三方审计机构审计的财务状况报告（包括资产负债表、利润表、现金流量表），成立不满1年的供应商提供自成立至今的财务报表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包括资产负债表、利润表、现金流量表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提供银行出具的资信证明</w:t>
            </w:r>
            <w:r>
              <w:rPr>
                <w:rFonts w:hint="eastAsia" w:ascii="宋体" w:hAnsi="宋体" w:eastAsia="宋体" w:cs="宋体"/>
                <w:color w:val="auto"/>
                <w:sz w:val="24"/>
                <w:szCs w:val="24"/>
                <w:highlight w:val="none"/>
              </w:rPr>
              <w:t>；</w:t>
            </w:r>
          </w:p>
          <w:p w14:paraId="0941934C">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（3）具有履行合同所必需的设备和专业技术能力：提供相关证明材料或书面声明；</w:t>
            </w:r>
          </w:p>
          <w:p w14:paraId="07011933">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（4）具有依法缴纳税收和社会保障资金的良好记录：</w:t>
            </w: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p w14:paraId="7AD8C4D1">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（5）参与本次政府采购活动前三年内，在经营活动中没有重大违法记录：提供参加本次政府采购活动前三年内在经营活动中没有重大违法记录的书面声明；</w:t>
            </w:r>
          </w:p>
          <w:p w14:paraId="1BC0CF34">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（6）法律、行政法规规定的其他条件：单位负责人为同一人或者存在直接控股、管理关系的不同供应商，不得参加同一合同项下的政府采购活动。</w:t>
            </w:r>
          </w:p>
          <w:p w14:paraId="743E889A">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DE0090D">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3D302294">
            <w:pPr>
              <w:pStyle w:val="22"/>
              <w:keepLines w:val="0"/>
              <w:pageBreakBefore w:val="0"/>
              <w:kinsoku/>
              <w:overflowPunct/>
              <w:topLinePunct w:val="0"/>
              <w:autoSpaceDE/>
              <w:autoSpaceDN/>
              <w:bidi w:val="0"/>
              <w:snapToGrid/>
              <w:spacing w:after="0" w:line="480" w:lineRule="exact"/>
              <w:ind w:left="0" w:leftChars="0" w:firstLine="0" w:firstLineChars="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14:paraId="41D65ACA">
            <w:pPr>
              <w:pStyle w:val="22"/>
              <w:spacing w:after="0" w:line="484" w:lineRule="exact"/>
              <w:ind w:left="0" w:leftChars="0" w:firstLine="0" w:firstLineChars="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tc>
      </w:tr>
      <w:tr w14:paraId="7AC5BAF8">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40F4A3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1.4.2</w:t>
            </w:r>
          </w:p>
        </w:tc>
        <w:tc>
          <w:tcPr>
            <w:tcW w:w="1638" w:type="dxa"/>
            <w:tcBorders>
              <w:top w:val="single" w:color="auto" w:sz="8" w:space="0"/>
              <w:left w:val="nil"/>
              <w:bottom w:val="single" w:color="auto" w:sz="8" w:space="0"/>
              <w:right w:val="single" w:color="auto" w:sz="8" w:space="0"/>
            </w:tcBorders>
            <w:vAlign w:val="center"/>
          </w:tcPr>
          <w:p w14:paraId="2F4298D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是否接受联合体投标</w:t>
            </w:r>
          </w:p>
        </w:tc>
        <w:tc>
          <w:tcPr>
            <w:tcW w:w="7196" w:type="dxa"/>
            <w:tcBorders>
              <w:top w:val="single" w:color="auto" w:sz="8" w:space="0"/>
              <w:left w:val="nil"/>
              <w:bottom w:val="single" w:color="auto" w:sz="8" w:space="0"/>
              <w:right w:val="single" w:color="auto" w:sz="8" w:space="0"/>
            </w:tcBorders>
            <w:vAlign w:val="center"/>
          </w:tcPr>
          <w:p w14:paraId="4FF0FC2F">
            <w:pPr>
              <w:spacing w:line="360" w:lineRule="auto"/>
              <w:jc w:val="left"/>
              <w:rPr>
                <w:rFonts w:ascii="宋体" w:hAnsi="宋体" w:cs="宋体"/>
                <w:color w:val="auto"/>
                <w:sz w:val="24"/>
                <w:highlight w:val="none"/>
              </w:rPr>
            </w:pPr>
            <w:r>
              <w:rPr>
                <w:rFonts w:hint="eastAsia" w:ascii="宋体" w:hAnsi="宋体" w:cs="宋体"/>
                <w:color w:val="auto"/>
                <w:sz w:val="24"/>
                <w:highlight w:val="none"/>
              </w:rPr>
              <w:t>□接受</w:t>
            </w:r>
          </w:p>
          <w:p w14:paraId="5FD9474C">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☑不接受</w:t>
            </w:r>
          </w:p>
        </w:tc>
      </w:tr>
      <w:tr w14:paraId="35C516E4">
        <w:tblPrEx>
          <w:tblCellMar>
            <w:top w:w="0" w:type="dxa"/>
            <w:left w:w="0" w:type="dxa"/>
            <w:bottom w:w="0" w:type="dxa"/>
            <w:right w:w="0" w:type="dxa"/>
          </w:tblCellMar>
        </w:tblPrEx>
        <w:trPr>
          <w:trHeight w:val="181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F5C887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1.9.1</w:t>
            </w:r>
          </w:p>
        </w:tc>
        <w:tc>
          <w:tcPr>
            <w:tcW w:w="1638" w:type="dxa"/>
            <w:tcBorders>
              <w:top w:val="single" w:color="auto" w:sz="8" w:space="0"/>
              <w:left w:val="nil"/>
              <w:bottom w:val="single" w:color="auto" w:sz="8" w:space="0"/>
              <w:right w:val="single" w:color="auto" w:sz="8" w:space="0"/>
            </w:tcBorders>
            <w:vAlign w:val="center"/>
          </w:tcPr>
          <w:p w14:paraId="31BC57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现场考察</w:t>
            </w:r>
          </w:p>
        </w:tc>
        <w:tc>
          <w:tcPr>
            <w:tcW w:w="7196" w:type="dxa"/>
            <w:tcBorders>
              <w:top w:val="single" w:color="auto" w:sz="8" w:space="0"/>
              <w:left w:val="nil"/>
              <w:bottom w:val="single" w:color="auto" w:sz="8" w:space="0"/>
              <w:right w:val="single" w:color="auto" w:sz="8" w:space="0"/>
            </w:tcBorders>
            <w:vAlign w:val="center"/>
          </w:tcPr>
          <w:p w14:paraId="06466EE9">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☑不组织</w:t>
            </w:r>
          </w:p>
          <w:p w14:paraId="644F5EBA">
            <w:pPr>
              <w:spacing w:line="360" w:lineRule="auto"/>
              <w:jc w:val="left"/>
              <w:rPr>
                <w:rFonts w:ascii="宋体" w:hAnsi="宋体" w:cs="宋体"/>
                <w:color w:val="auto"/>
                <w:sz w:val="24"/>
                <w:highlight w:val="none"/>
              </w:rPr>
            </w:pPr>
            <w:r>
              <w:rPr>
                <w:rFonts w:hint="eastAsia" w:ascii="宋体" w:hAnsi="宋体" w:cs="宋体"/>
                <w:color w:val="auto"/>
                <w:sz w:val="24"/>
                <w:highlight w:val="none"/>
              </w:rPr>
              <w:t>□组织。考察时间： 年  月  日（在招标文件提供期限截止后，开标前）</w:t>
            </w:r>
          </w:p>
          <w:p w14:paraId="0BAAD0F5">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highlight w:val="none"/>
              </w:rPr>
              <w:t>考察集中地点：/</w:t>
            </w:r>
          </w:p>
        </w:tc>
      </w:tr>
      <w:tr w14:paraId="1EC1F56A">
        <w:tblPrEx>
          <w:tblCellMar>
            <w:top w:w="0" w:type="dxa"/>
            <w:left w:w="0" w:type="dxa"/>
            <w:bottom w:w="0" w:type="dxa"/>
            <w:right w:w="0" w:type="dxa"/>
          </w:tblCellMar>
        </w:tblPrEx>
        <w:trPr>
          <w:trHeight w:val="14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3A31DE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1.10.1</w:t>
            </w:r>
          </w:p>
        </w:tc>
        <w:tc>
          <w:tcPr>
            <w:tcW w:w="1638" w:type="dxa"/>
            <w:tcBorders>
              <w:top w:val="single" w:color="auto" w:sz="8" w:space="0"/>
              <w:left w:val="nil"/>
              <w:bottom w:val="single" w:color="auto" w:sz="8" w:space="0"/>
              <w:right w:val="single" w:color="auto" w:sz="8" w:space="0"/>
            </w:tcBorders>
            <w:vAlign w:val="center"/>
          </w:tcPr>
          <w:p w14:paraId="0A2CB98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投标预备会</w:t>
            </w:r>
          </w:p>
        </w:tc>
        <w:tc>
          <w:tcPr>
            <w:tcW w:w="7196" w:type="dxa"/>
            <w:tcBorders>
              <w:top w:val="single" w:color="auto" w:sz="8" w:space="0"/>
              <w:left w:val="nil"/>
              <w:bottom w:val="single" w:color="auto" w:sz="8" w:space="0"/>
              <w:right w:val="single" w:color="auto" w:sz="8" w:space="0"/>
            </w:tcBorders>
            <w:vAlign w:val="center"/>
          </w:tcPr>
          <w:p w14:paraId="73C20117">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☑不召开</w:t>
            </w:r>
          </w:p>
          <w:p w14:paraId="30C45139">
            <w:pPr>
              <w:spacing w:line="360" w:lineRule="auto"/>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BAFB997">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14:paraId="0F649621">
        <w:tblPrEx>
          <w:tblCellMar>
            <w:top w:w="0" w:type="dxa"/>
            <w:left w:w="0" w:type="dxa"/>
            <w:bottom w:w="0" w:type="dxa"/>
            <w:right w:w="0" w:type="dxa"/>
          </w:tblCellMar>
        </w:tblPrEx>
        <w:trPr>
          <w:trHeight w:val="9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F7C3AC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1.11.1</w:t>
            </w:r>
          </w:p>
        </w:tc>
        <w:tc>
          <w:tcPr>
            <w:tcW w:w="1638" w:type="dxa"/>
            <w:tcBorders>
              <w:top w:val="single" w:color="auto" w:sz="8" w:space="0"/>
              <w:left w:val="nil"/>
              <w:bottom w:val="single" w:color="auto" w:sz="8" w:space="0"/>
              <w:right w:val="single" w:color="auto" w:sz="8" w:space="0"/>
            </w:tcBorders>
            <w:vAlign w:val="center"/>
          </w:tcPr>
          <w:p w14:paraId="5909B29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分包</w:t>
            </w:r>
          </w:p>
        </w:tc>
        <w:tc>
          <w:tcPr>
            <w:tcW w:w="7196" w:type="dxa"/>
            <w:tcBorders>
              <w:top w:val="single" w:color="auto" w:sz="8" w:space="0"/>
              <w:left w:val="nil"/>
              <w:bottom w:val="single" w:color="auto" w:sz="8" w:space="0"/>
              <w:right w:val="single" w:color="auto" w:sz="8" w:space="0"/>
            </w:tcBorders>
            <w:vAlign w:val="center"/>
          </w:tcPr>
          <w:p w14:paraId="6B91650D">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不允许</w:t>
            </w:r>
          </w:p>
          <w:p w14:paraId="508F23FB">
            <w:pPr>
              <w:spacing w:line="360" w:lineRule="auto"/>
              <w:jc w:val="left"/>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允许，分包内容要求</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22791428">
            <w:pPr>
              <w:spacing w:line="360" w:lineRule="auto"/>
              <w:ind w:firstLine="960" w:firstLineChars="400"/>
              <w:jc w:val="left"/>
              <w:rPr>
                <w:rFonts w:ascii="宋体" w:hAnsi="宋体" w:cs="宋体"/>
                <w:color w:val="auto"/>
                <w:sz w:val="24"/>
                <w:highlight w:val="none"/>
              </w:rPr>
            </w:pPr>
            <w:r>
              <w:rPr>
                <w:rFonts w:hint="eastAsia" w:ascii="宋体" w:hAnsi="宋体" w:cs="宋体"/>
                <w:color w:val="auto"/>
                <w:sz w:val="24"/>
                <w:highlight w:val="none"/>
              </w:rPr>
              <w:t>分包金额要求</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29ABEE7F">
            <w:pPr>
              <w:spacing w:line="360" w:lineRule="auto"/>
              <w:ind w:firstLine="960" w:firstLineChars="4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对分包人的资质要求</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14:paraId="2EE2E08E">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E01E4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1.12.1</w:t>
            </w:r>
          </w:p>
        </w:tc>
        <w:tc>
          <w:tcPr>
            <w:tcW w:w="1638" w:type="dxa"/>
            <w:tcBorders>
              <w:top w:val="single" w:color="auto" w:sz="8" w:space="0"/>
              <w:left w:val="nil"/>
              <w:bottom w:val="single" w:color="auto" w:sz="8" w:space="0"/>
              <w:right w:val="single" w:color="auto" w:sz="8" w:space="0"/>
            </w:tcBorders>
            <w:vAlign w:val="center"/>
          </w:tcPr>
          <w:p w14:paraId="5B2953C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实质性要求</w:t>
            </w:r>
          </w:p>
          <w:p w14:paraId="6FDFB3A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和条件</w:t>
            </w:r>
          </w:p>
        </w:tc>
        <w:tc>
          <w:tcPr>
            <w:tcW w:w="7196" w:type="dxa"/>
            <w:tcBorders>
              <w:top w:val="single" w:color="auto" w:sz="8" w:space="0"/>
              <w:left w:val="nil"/>
              <w:bottom w:val="single" w:color="auto" w:sz="8" w:space="0"/>
              <w:right w:val="single" w:color="auto" w:sz="8" w:space="0"/>
            </w:tcBorders>
            <w:vAlign w:val="center"/>
          </w:tcPr>
          <w:p w14:paraId="635DDE28">
            <w:pPr>
              <w:spacing w:line="360" w:lineRule="auto"/>
              <w:jc w:val="left"/>
              <w:rPr>
                <w:rFonts w:ascii="宋体" w:hAnsi="宋体" w:cs="宋体"/>
                <w:color w:val="auto"/>
                <w:sz w:val="24"/>
                <w:highlight w:val="none"/>
              </w:rPr>
            </w:pPr>
            <w:r>
              <w:rPr>
                <w:rFonts w:hint="eastAsia" w:ascii="宋体" w:hAnsi="宋体" w:cs="宋体"/>
                <w:color w:val="auto"/>
                <w:sz w:val="24"/>
                <w:highlight w:val="none"/>
              </w:rPr>
              <w:t>第三章“评标办法”资格评审标准规定的内容为实质性要求和条件，不满足任何一条将导致投标无效。请各投标人仔细阅读初步评审标准。</w:t>
            </w:r>
          </w:p>
        </w:tc>
      </w:tr>
      <w:tr w14:paraId="7693CC52">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4" w:space="0"/>
              <w:right w:val="single" w:color="auto" w:sz="8" w:space="0"/>
            </w:tcBorders>
            <w:vAlign w:val="center"/>
          </w:tcPr>
          <w:p w14:paraId="40CA7FF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1.12.3</w:t>
            </w:r>
          </w:p>
        </w:tc>
        <w:tc>
          <w:tcPr>
            <w:tcW w:w="1638" w:type="dxa"/>
            <w:tcBorders>
              <w:top w:val="single" w:color="auto" w:sz="8" w:space="0"/>
              <w:left w:val="nil"/>
              <w:bottom w:val="single" w:color="auto" w:sz="4" w:space="0"/>
              <w:right w:val="single" w:color="auto" w:sz="8" w:space="0"/>
            </w:tcBorders>
            <w:vAlign w:val="center"/>
          </w:tcPr>
          <w:p w14:paraId="04B9DD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偏离</w:t>
            </w:r>
          </w:p>
        </w:tc>
        <w:tc>
          <w:tcPr>
            <w:tcW w:w="7196" w:type="dxa"/>
            <w:tcBorders>
              <w:top w:val="single" w:color="auto" w:sz="8" w:space="0"/>
              <w:left w:val="nil"/>
              <w:bottom w:val="single" w:color="auto" w:sz="8" w:space="0"/>
              <w:right w:val="single" w:color="auto" w:sz="8" w:space="0"/>
            </w:tcBorders>
            <w:vAlign w:val="center"/>
          </w:tcPr>
          <w:p w14:paraId="25AE3C61">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□不允许</w:t>
            </w:r>
          </w:p>
          <w:p w14:paraId="09DCF766">
            <w:pPr>
              <w:spacing w:line="360" w:lineRule="auto"/>
              <w:jc w:val="left"/>
              <w:rPr>
                <w:rFonts w:ascii="宋体" w:hAnsi="宋体" w:cs="宋体"/>
                <w:color w:val="auto"/>
                <w:sz w:val="24"/>
                <w:highlight w:val="none"/>
              </w:rPr>
            </w:pPr>
            <w:r>
              <w:rPr>
                <w:rFonts w:hint="eastAsia" w:ascii="宋体" w:hAnsi="宋体" w:cs="宋体"/>
                <w:color w:val="auto"/>
                <w:sz w:val="24"/>
                <w:highlight w:val="none"/>
              </w:rPr>
              <w:t>☑允许：</w:t>
            </w:r>
            <w:r>
              <w:rPr>
                <w:rFonts w:hint="eastAsia" w:ascii="宋体" w:hAnsi="宋体" w:cs="宋体"/>
                <w:b/>
                <w:bCs/>
                <w:color w:val="auto"/>
                <w:sz w:val="24"/>
                <w:highlight w:val="none"/>
              </w:rPr>
              <w:t>除采购货物参数允许偏离外，其余内容不允许偏离。</w:t>
            </w:r>
          </w:p>
        </w:tc>
      </w:tr>
      <w:tr w14:paraId="20FDA089">
        <w:tblPrEx>
          <w:tblCellMar>
            <w:top w:w="0" w:type="dxa"/>
            <w:left w:w="0" w:type="dxa"/>
            <w:bottom w:w="0" w:type="dxa"/>
            <w:right w:w="0" w:type="dxa"/>
          </w:tblCellMar>
        </w:tblPrEx>
        <w:trPr>
          <w:trHeight w:val="1247" w:hRule="atLeast"/>
          <w:jc w:val="center"/>
        </w:trPr>
        <w:tc>
          <w:tcPr>
            <w:tcW w:w="990" w:type="dxa"/>
            <w:tcBorders>
              <w:top w:val="single" w:color="auto" w:sz="4" w:space="0"/>
              <w:left w:val="single" w:color="auto" w:sz="4" w:space="0"/>
              <w:bottom w:val="single" w:color="auto" w:sz="8" w:space="0"/>
              <w:right w:val="single" w:color="auto" w:sz="8" w:space="0"/>
            </w:tcBorders>
            <w:vAlign w:val="center"/>
          </w:tcPr>
          <w:p w14:paraId="300F4EB8">
            <w:pPr>
              <w:spacing w:line="360" w:lineRule="auto"/>
              <w:jc w:val="center"/>
              <w:rPr>
                <w:rFonts w:ascii="宋体" w:hAnsi="宋体" w:cs="宋体"/>
                <w:color w:val="auto"/>
                <w:sz w:val="24"/>
                <w:highlight w:val="none"/>
              </w:rPr>
            </w:pPr>
            <w:bookmarkStart w:id="50" w:name="page17"/>
            <w:bookmarkEnd w:id="50"/>
            <w:r>
              <w:rPr>
                <w:rFonts w:hint="eastAsia" w:ascii="宋体" w:hAnsi="宋体" w:cs="宋体"/>
                <w:color w:val="auto"/>
                <w:sz w:val="24"/>
                <w:highlight w:val="none"/>
              </w:rPr>
              <w:t>2.1</w:t>
            </w:r>
          </w:p>
        </w:tc>
        <w:tc>
          <w:tcPr>
            <w:tcW w:w="1638" w:type="dxa"/>
            <w:tcBorders>
              <w:top w:val="single" w:color="auto" w:sz="4" w:space="0"/>
              <w:left w:val="nil"/>
              <w:bottom w:val="single" w:color="auto" w:sz="8" w:space="0"/>
              <w:right w:val="single" w:color="auto" w:sz="4" w:space="0"/>
            </w:tcBorders>
            <w:vAlign w:val="center"/>
          </w:tcPr>
          <w:p w14:paraId="294B6AE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构成招标文件的其他资料</w:t>
            </w:r>
          </w:p>
        </w:tc>
        <w:tc>
          <w:tcPr>
            <w:tcW w:w="7196" w:type="dxa"/>
            <w:tcBorders>
              <w:top w:val="single" w:color="auto" w:sz="8" w:space="0"/>
              <w:left w:val="single" w:color="auto" w:sz="4" w:space="0"/>
              <w:bottom w:val="single" w:color="auto" w:sz="8" w:space="0"/>
              <w:right w:val="single" w:color="auto" w:sz="8" w:space="0"/>
            </w:tcBorders>
            <w:vAlign w:val="center"/>
          </w:tcPr>
          <w:p w14:paraId="5C6739A6">
            <w:pPr>
              <w:spacing w:line="360" w:lineRule="auto"/>
              <w:jc w:val="left"/>
              <w:rPr>
                <w:rFonts w:ascii="宋体" w:hAnsi="宋体" w:cs="宋体"/>
                <w:color w:val="auto"/>
                <w:sz w:val="24"/>
                <w:highlight w:val="none"/>
              </w:rPr>
            </w:pPr>
            <w:r>
              <w:rPr>
                <w:rFonts w:hint="eastAsia" w:ascii="宋体" w:hAnsi="宋体" w:cs="宋体"/>
                <w:color w:val="auto"/>
                <w:sz w:val="24"/>
                <w:highlight w:val="none"/>
              </w:rPr>
              <w:t>采购人发出的澄清、补充、修改、答疑书或通知等。</w:t>
            </w:r>
          </w:p>
        </w:tc>
      </w:tr>
      <w:tr w14:paraId="3EB88C97">
        <w:tblPrEx>
          <w:tblCellMar>
            <w:top w:w="0" w:type="dxa"/>
            <w:left w:w="0" w:type="dxa"/>
            <w:bottom w:w="0" w:type="dxa"/>
            <w:right w:w="0" w:type="dxa"/>
          </w:tblCellMar>
        </w:tblPrEx>
        <w:trPr>
          <w:trHeight w:val="1814" w:hRule="atLeast"/>
          <w:jc w:val="center"/>
        </w:trPr>
        <w:tc>
          <w:tcPr>
            <w:tcW w:w="990" w:type="dxa"/>
            <w:tcBorders>
              <w:top w:val="single" w:color="auto" w:sz="8" w:space="0"/>
              <w:left w:val="single" w:color="auto" w:sz="4" w:space="0"/>
              <w:bottom w:val="single" w:color="auto" w:sz="8" w:space="0"/>
              <w:right w:val="single" w:color="auto" w:sz="8" w:space="0"/>
            </w:tcBorders>
            <w:vAlign w:val="center"/>
          </w:tcPr>
          <w:p w14:paraId="4C2FE63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2.2</w:t>
            </w:r>
          </w:p>
        </w:tc>
        <w:tc>
          <w:tcPr>
            <w:tcW w:w="1638" w:type="dxa"/>
            <w:tcBorders>
              <w:top w:val="single" w:color="auto" w:sz="8" w:space="0"/>
              <w:left w:val="nil"/>
              <w:bottom w:val="single" w:color="auto" w:sz="8" w:space="0"/>
              <w:right w:val="single" w:color="auto" w:sz="4" w:space="0"/>
            </w:tcBorders>
            <w:vAlign w:val="center"/>
          </w:tcPr>
          <w:p w14:paraId="1FD509D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投标人提出问题及要求澄清招标文件的截止时间</w:t>
            </w:r>
          </w:p>
        </w:tc>
        <w:tc>
          <w:tcPr>
            <w:tcW w:w="7196" w:type="dxa"/>
            <w:tcBorders>
              <w:top w:val="single" w:color="auto" w:sz="8" w:space="0"/>
              <w:left w:val="single" w:color="auto" w:sz="4" w:space="0"/>
              <w:bottom w:val="single" w:color="auto" w:sz="8" w:space="0"/>
              <w:right w:val="single" w:color="auto" w:sz="8" w:space="0"/>
            </w:tcBorders>
            <w:vAlign w:val="center"/>
          </w:tcPr>
          <w:p w14:paraId="3AE33A0E">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截止时间为：应当在获取采购文件或者采购文件公告期限届满之日起7个工作日内提出。</w:t>
            </w:r>
          </w:p>
          <w:p w14:paraId="289A5EA3">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形式：登录“政府采购云平台（https://www.zcygov.cn/）”，通过在线方式提出。</w:t>
            </w:r>
            <w:r>
              <w:rPr>
                <w:rFonts w:hint="eastAsia" w:ascii="宋体" w:hAnsi="宋体" w:cs="宋体"/>
                <w:color w:val="auto"/>
                <w:sz w:val="24"/>
                <w:highlight w:val="none"/>
                <w:lang w:val="en-US" w:eastAsia="zh-CN"/>
              </w:rPr>
              <w:t>（注：政府采购云平台尚未开通地域，投标人联系代理机构采用邮件方式提出）</w:t>
            </w:r>
          </w:p>
        </w:tc>
      </w:tr>
      <w:tr w14:paraId="7CCD50EF">
        <w:tblPrEx>
          <w:tblCellMar>
            <w:top w:w="0" w:type="dxa"/>
            <w:left w:w="0" w:type="dxa"/>
            <w:bottom w:w="0" w:type="dxa"/>
            <w:right w:w="0" w:type="dxa"/>
          </w:tblCellMar>
        </w:tblPrEx>
        <w:trPr>
          <w:trHeight w:val="559" w:hRule="atLeast"/>
          <w:jc w:val="center"/>
        </w:trPr>
        <w:tc>
          <w:tcPr>
            <w:tcW w:w="990" w:type="dxa"/>
            <w:tcBorders>
              <w:top w:val="single" w:color="auto" w:sz="8" w:space="0"/>
              <w:left w:val="single" w:color="auto" w:sz="4" w:space="0"/>
              <w:bottom w:val="single" w:color="auto" w:sz="8" w:space="0"/>
              <w:right w:val="single" w:color="auto" w:sz="8" w:space="0"/>
            </w:tcBorders>
            <w:vAlign w:val="center"/>
          </w:tcPr>
          <w:p w14:paraId="4D64A00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2.3.2</w:t>
            </w:r>
          </w:p>
        </w:tc>
        <w:tc>
          <w:tcPr>
            <w:tcW w:w="1638" w:type="dxa"/>
            <w:tcBorders>
              <w:top w:val="single" w:color="auto" w:sz="8" w:space="0"/>
              <w:left w:val="nil"/>
              <w:bottom w:val="single" w:color="auto" w:sz="8" w:space="0"/>
              <w:right w:val="single" w:color="auto" w:sz="4" w:space="0"/>
            </w:tcBorders>
            <w:vAlign w:val="center"/>
          </w:tcPr>
          <w:p w14:paraId="4233503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招标文件澄清或修改截止</w:t>
            </w:r>
          </w:p>
          <w:p w14:paraId="1271A64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时间</w:t>
            </w:r>
          </w:p>
        </w:tc>
        <w:tc>
          <w:tcPr>
            <w:tcW w:w="7196" w:type="dxa"/>
            <w:tcBorders>
              <w:top w:val="single" w:color="auto" w:sz="8" w:space="0"/>
              <w:left w:val="single" w:color="auto" w:sz="4" w:space="0"/>
              <w:bottom w:val="single" w:color="auto" w:sz="8" w:space="0"/>
              <w:right w:val="single" w:color="auto" w:sz="8" w:space="0"/>
            </w:tcBorders>
            <w:vAlign w:val="center"/>
          </w:tcPr>
          <w:p w14:paraId="0FC0FCEE">
            <w:pPr>
              <w:pStyle w:val="38"/>
              <w:spacing w:line="360" w:lineRule="auto"/>
              <w:jc w:val="left"/>
              <w:rPr>
                <w:rFonts w:ascii="宋体" w:hAnsi="宋体" w:cs="宋体"/>
                <w:color w:val="auto"/>
                <w:sz w:val="24"/>
                <w:highlight w:val="none"/>
              </w:rPr>
            </w:pPr>
            <w:r>
              <w:rPr>
                <w:rFonts w:hint="eastAsia" w:ascii="宋体" w:hAnsi="宋体" w:cs="宋体"/>
                <w:color w:val="auto"/>
                <w:sz w:val="24"/>
                <w:highlight w:val="none"/>
              </w:rPr>
              <w:t>截止时间：投标截止时间前15日。</w:t>
            </w:r>
          </w:p>
          <w:p w14:paraId="458A387D">
            <w:pPr>
              <w:pStyle w:val="38"/>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形式：在公告发布媒介上发布澄清</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更正</w:t>
            </w:r>
            <w:r>
              <w:rPr>
                <w:rFonts w:hint="eastAsia" w:ascii="宋体" w:hAnsi="宋体" w:cs="宋体"/>
                <w:color w:val="auto"/>
                <w:sz w:val="24"/>
                <w:highlight w:val="none"/>
              </w:rPr>
              <w:t>公告</w:t>
            </w:r>
            <w:r>
              <w:rPr>
                <w:rFonts w:hint="eastAsia" w:ascii="宋体" w:hAnsi="宋体" w:cs="宋体"/>
                <w:color w:val="auto"/>
                <w:sz w:val="24"/>
                <w:highlight w:val="none"/>
                <w:lang w:eastAsia="zh-CN"/>
              </w:rPr>
              <w:t>。</w:t>
            </w:r>
          </w:p>
        </w:tc>
      </w:tr>
      <w:tr w14:paraId="24E6372D">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4" w:space="0"/>
              <w:bottom w:val="single" w:color="auto" w:sz="4" w:space="0"/>
              <w:right w:val="single" w:color="auto" w:sz="8" w:space="0"/>
            </w:tcBorders>
            <w:vAlign w:val="center"/>
          </w:tcPr>
          <w:p w14:paraId="1673537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3.2.3</w:t>
            </w:r>
          </w:p>
        </w:tc>
        <w:tc>
          <w:tcPr>
            <w:tcW w:w="1638" w:type="dxa"/>
            <w:tcBorders>
              <w:top w:val="single" w:color="auto" w:sz="8" w:space="0"/>
              <w:left w:val="nil"/>
              <w:bottom w:val="single" w:color="auto" w:sz="4" w:space="0"/>
              <w:right w:val="single" w:color="auto" w:sz="4" w:space="0"/>
            </w:tcBorders>
            <w:vAlign w:val="center"/>
          </w:tcPr>
          <w:p w14:paraId="79FB321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最高投标限价</w:t>
            </w:r>
          </w:p>
        </w:tc>
        <w:tc>
          <w:tcPr>
            <w:tcW w:w="7196" w:type="dxa"/>
            <w:tcBorders>
              <w:top w:val="single" w:color="auto" w:sz="8" w:space="0"/>
              <w:left w:val="single" w:color="auto" w:sz="4" w:space="0"/>
              <w:bottom w:val="single" w:color="auto" w:sz="8" w:space="0"/>
              <w:right w:val="single" w:color="auto" w:sz="8" w:space="0"/>
            </w:tcBorders>
            <w:vAlign w:val="center"/>
          </w:tcPr>
          <w:p w14:paraId="0CE3CCEB">
            <w:pPr>
              <w:spacing w:line="360" w:lineRule="auto"/>
              <w:jc w:val="left"/>
              <w:rPr>
                <w:rFonts w:ascii="宋体" w:hAnsi="宋体" w:cs="宋体"/>
                <w:color w:val="auto"/>
                <w:sz w:val="24"/>
                <w:highlight w:val="none"/>
              </w:rPr>
            </w:pPr>
            <w:r>
              <w:rPr>
                <w:rFonts w:hint="eastAsia" w:ascii="宋体" w:hAnsi="宋体" w:cs="宋体"/>
                <w:color w:val="auto"/>
                <w:sz w:val="24"/>
                <w:highlight w:val="none"/>
              </w:rPr>
              <w:t>□无</w:t>
            </w:r>
          </w:p>
          <w:p w14:paraId="1767E5A1">
            <w:pPr>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☑有，最高投标限价：</w:t>
            </w:r>
            <w:r>
              <w:rPr>
                <w:rFonts w:hint="eastAsia" w:ascii="宋体" w:hAnsi="宋体" w:cs="宋体"/>
                <w:b/>
                <w:bCs/>
                <w:color w:val="auto"/>
                <w:sz w:val="24"/>
                <w:highlight w:val="none"/>
                <w:lang w:eastAsia="zh-CN"/>
              </w:rPr>
              <w:t>368990.00</w:t>
            </w:r>
            <w:r>
              <w:rPr>
                <w:rFonts w:hint="eastAsia" w:ascii="宋体" w:hAnsi="宋体" w:cs="宋体"/>
                <w:b/>
                <w:bCs/>
                <w:color w:val="auto"/>
                <w:sz w:val="24"/>
                <w:highlight w:val="none"/>
              </w:rPr>
              <w:t>元（超过此报价的作无效标处理）</w:t>
            </w:r>
            <w:r>
              <w:rPr>
                <w:rFonts w:hint="eastAsia" w:ascii="宋体" w:hAnsi="宋体" w:cs="宋体"/>
                <w:color w:val="auto"/>
                <w:sz w:val="24"/>
                <w:highlight w:val="none"/>
              </w:rPr>
              <w:t>。</w:t>
            </w:r>
          </w:p>
        </w:tc>
      </w:tr>
      <w:tr w14:paraId="584609CF">
        <w:tblPrEx>
          <w:tblCellMar>
            <w:top w:w="0" w:type="dxa"/>
            <w:left w:w="0" w:type="dxa"/>
            <w:bottom w:w="0" w:type="dxa"/>
            <w:right w:w="0" w:type="dxa"/>
          </w:tblCellMar>
        </w:tblPrEx>
        <w:trPr>
          <w:trHeight w:val="1447" w:hRule="atLeast"/>
          <w:jc w:val="center"/>
        </w:trPr>
        <w:tc>
          <w:tcPr>
            <w:tcW w:w="990" w:type="dxa"/>
            <w:tcBorders>
              <w:top w:val="single" w:color="auto" w:sz="4" w:space="0"/>
              <w:left w:val="single" w:color="auto" w:sz="8" w:space="0"/>
              <w:bottom w:val="single" w:color="auto" w:sz="8" w:space="0"/>
              <w:right w:val="single" w:color="auto" w:sz="8" w:space="0"/>
            </w:tcBorders>
            <w:vAlign w:val="center"/>
          </w:tcPr>
          <w:p w14:paraId="340C625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3.2.4</w:t>
            </w:r>
          </w:p>
        </w:tc>
        <w:tc>
          <w:tcPr>
            <w:tcW w:w="1638" w:type="dxa"/>
            <w:tcBorders>
              <w:top w:val="single" w:color="auto" w:sz="4" w:space="0"/>
              <w:left w:val="nil"/>
              <w:bottom w:val="single" w:color="auto" w:sz="8" w:space="0"/>
              <w:right w:val="single" w:color="auto" w:sz="8" w:space="0"/>
            </w:tcBorders>
            <w:vAlign w:val="center"/>
          </w:tcPr>
          <w:p w14:paraId="52D7772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投标报价的</w:t>
            </w:r>
          </w:p>
          <w:p w14:paraId="17773AD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其他要求</w:t>
            </w:r>
          </w:p>
        </w:tc>
        <w:tc>
          <w:tcPr>
            <w:tcW w:w="7196" w:type="dxa"/>
            <w:tcBorders>
              <w:top w:val="single" w:color="auto" w:sz="8" w:space="0"/>
              <w:left w:val="nil"/>
              <w:bottom w:val="single" w:color="auto" w:sz="8" w:space="0"/>
              <w:right w:val="single" w:color="auto" w:sz="8" w:space="0"/>
            </w:tcBorders>
            <w:vAlign w:val="center"/>
          </w:tcPr>
          <w:p w14:paraId="22626EF3">
            <w:pPr>
              <w:pStyle w:val="6"/>
              <w:topLinePunct/>
              <w:spacing w:line="360" w:lineRule="auto"/>
              <w:jc w:val="left"/>
              <w:rPr>
                <w:rFonts w:hAnsi="宋体" w:cs="宋体"/>
                <w:b/>
                <w:bCs/>
                <w:color w:val="auto"/>
                <w:highlight w:val="none"/>
              </w:rPr>
            </w:pPr>
            <w:r>
              <w:rPr>
                <w:rFonts w:hint="eastAsia" w:hAnsi="宋体" w:cs="宋体"/>
                <w:b/>
                <w:bCs/>
                <w:color w:val="auto"/>
                <w:highlight w:val="none"/>
              </w:rPr>
              <w:t>（1）本项目设有</w:t>
            </w:r>
            <w:r>
              <w:rPr>
                <w:rFonts w:hint="eastAsia" w:hAnsi="宋体" w:cs="宋体"/>
                <w:b/>
                <w:bCs/>
                <w:color w:val="auto"/>
                <w:highlight w:val="none"/>
                <w:lang w:val="en-US" w:eastAsia="zh-CN"/>
              </w:rPr>
              <w:t>单价</w:t>
            </w:r>
            <w:r>
              <w:rPr>
                <w:rFonts w:hint="eastAsia" w:hAnsi="宋体" w:cs="宋体"/>
                <w:b/>
                <w:bCs/>
                <w:color w:val="auto"/>
                <w:highlight w:val="none"/>
              </w:rPr>
              <w:t>最高限价，投标人报价明细中单</w:t>
            </w:r>
            <w:r>
              <w:rPr>
                <w:rFonts w:hint="eastAsia" w:hAnsi="宋体" w:cs="宋体"/>
                <w:b/>
                <w:bCs/>
                <w:color w:val="auto"/>
                <w:highlight w:val="none"/>
                <w:lang w:val="en-US" w:eastAsia="zh-CN"/>
              </w:rPr>
              <w:t>价</w:t>
            </w:r>
            <w:r>
              <w:rPr>
                <w:rFonts w:hint="eastAsia" w:hAnsi="宋体" w:cs="宋体"/>
                <w:b/>
                <w:bCs/>
                <w:color w:val="auto"/>
                <w:highlight w:val="none"/>
              </w:rPr>
              <w:t>报价与总价均不能超过</w:t>
            </w:r>
            <w:r>
              <w:rPr>
                <w:rFonts w:hint="eastAsia" w:hAnsi="宋体" w:cs="宋体"/>
                <w:b/>
                <w:bCs/>
                <w:color w:val="auto"/>
                <w:highlight w:val="none"/>
                <w:lang w:val="en-US" w:eastAsia="zh-CN"/>
              </w:rPr>
              <w:t>相应的</w:t>
            </w:r>
            <w:r>
              <w:rPr>
                <w:rFonts w:hint="eastAsia" w:hAnsi="宋体" w:cs="宋体"/>
                <w:b/>
                <w:bCs/>
                <w:color w:val="auto"/>
                <w:highlight w:val="none"/>
              </w:rPr>
              <w:t>最高限价。</w:t>
            </w:r>
          </w:p>
          <w:p w14:paraId="117C091F">
            <w:pPr>
              <w:pStyle w:val="6"/>
              <w:topLinePunct/>
              <w:spacing w:line="360" w:lineRule="auto"/>
              <w:jc w:val="left"/>
              <w:rPr>
                <w:rFonts w:hAnsi="宋体" w:cs="宋体"/>
                <w:color w:val="auto"/>
                <w:highlight w:val="none"/>
              </w:rPr>
            </w:pPr>
            <w:r>
              <w:rPr>
                <w:rFonts w:hint="eastAsia" w:hAnsi="宋体" w:cs="宋体"/>
                <w:color w:val="auto"/>
                <w:highlight w:val="none"/>
              </w:rPr>
              <w:t>（2）本次投标报价为综合报价，报价应为人民币含税价（元），包括货物成本价格、利润、</w:t>
            </w:r>
            <w:r>
              <w:rPr>
                <w:rFonts w:hint="eastAsia" w:hAnsi="宋体" w:cs="宋体"/>
                <w:color w:val="auto"/>
                <w:highlight w:val="none"/>
                <w:lang w:val="zh-CN"/>
              </w:rPr>
              <w:t>运输</w:t>
            </w:r>
            <w:r>
              <w:rPr>
                <w:rFonts w:hint="eastAsia" w:hAnsi="宋体" w:cs="宋体"/>
                <w:color w:val="auto"/>
                <w:highlight w:val="none"/>
              </w:rPr>
              <w:t>、</w:t>
            </w:r>
            <w:r>
              <w:rPr>
                <w:rFonts w:hint="eastAsia" w:hAnsi="宋体" w:cs="宋体"/>
                <w:color w:val="auto"/>
                <w:highlight w:val="none"/>
                <w:lang w:val="zh-CN"/>
              </w:rPr>
              <w:t>验收、质保、</w:t>
            </w:r>
            <w:r>
              <w:rPr>
                <w:rFonts w:hint="eastAsia" w:hAnsi="宋体" w:cs="宋体"/>
                <w:color w:val="auto"/>
                <w:highlight w:val="none"/>
              </w:rPr>
              <w:t>保险、税收、</w:t>
            </w:r>
            <w:r>
              <w:rPr>
                <w:rFonts w:hint="eastAsia" w:hAnsi="宋体" w:cs="宋体"/>
                <w:color w:val="auto"/>
                <w:highlight w:val="none"/>
                <w:lang w:val="en-US" w:eastAsia="zh-CN"/>
              </w:rPr>
              <w:t>培训、</w:t>
            </w:r>
            <w:r>
              <w:rPr>
                <w:rFonts w:hint="eastAsia" w:hAnsi="宋体" w:cs="宋体"/>
                <w:color w:val="auto"/>
                <w:highlight w:val="none"/>
              </w:rPr>
              <w:t>后续服务、</w:t>
            </w:r>
            <w:r>
              <w:rPr>
                <w:rFonts w:hint="eastAsia" w:hAnsi="宋体" w:cs="宋体"/>
                <w:color w:val="auto"/>
                <w:highlight w:val="none"/>
                <w:lang w:eastAsia="zh-CN"/>
              </w:rPr>
              <w:t>中标服务费</w:t>
            </w:r>
            <w:r>
              <w:rPr>
                <w:rFonts w:hint="eastAsia" w:hAnsi="宋体" w:cs="宋体"/>
                <w:color w:val="auto"/>
                <w:highlight w:val="none"/>
              </w:rPr>
              <w:t>等本项目所涉及的一切费用。</w:t>
            </w:r>
          </w:p>
          <w:p w14:paraId="5E84595D">
            <w:pPr>
              <w:pStyle w:val="6"/>
              <w:topLinePunct/>
              <w:spacing w:line="360" w:lineRule="auto"/>
              <w:jc w:val="left"/>
              <w:rPr>
                <w:rFonts w:hAnsi="宋体" w:cs="宋体"/>
                <w:color w:val="auto"/>
                <w:highlight w:val="none"/>
              </w:rPr>
            </w:pPr>
            <w:r>
              <w:rPr>
                <w:rFonts w:hint="eastAsia" w:hAnsi="宋体" w:cs="宋体"/>
                <w:color w:val="auto"/>
                <w:highlight w:val="none"/>
              </w:rPr>
              <w:t>（3）投标报价不得低于成本价；</w:t>
            </w:r>
          </w:p>
          <w:p w14:paraId="067CA2BB">
            <w:pPr>
              <w:pStyle w:val="6"/>
              <w:topLinePunct/>
              <w:spacing w:line="360" w:lineRule="auto"/>
              <w:jc w:val="left"/>
              <w:rPr>
                <w:rFonts w:hAnsi="宋体" w:cs="宋体"/>
                <w:color w:val="auto"/>
                <w:highlight w:val="none"/>
              </w:rPr>
            </w:pPr>
            <w:r>
              <w:rPr>
                <w:rFonts w:hint="eastAsia" w:hAnsi="宋体" w:cs="宋体"/>
                <w:color w:val="auto"/>
                <w:highlight w:val="none"/>
              </w:rPr>
              <w:t>（4）投标人应承担所有与参加投标有关的自身的所有费用，不论采购的结果如何，采购代理机构和采购人在任何情况下均无义务和责任承担这些费用。</w:t>
            </w:r>
          </w:p>
          <w:p w14:paraId="3D814488">
            <w:pPr>
              <w:pStyle w:val="6"/>
              <w:topLinePunct/>
              <w:spacing w:line="360" w:lineRule="auto"/>
              <w:jc w:val="left"/>
              <w:rPr>
                <w:rFonts w:hAnsi="宋体" w:cs="宋体"/>
                <w:color w:val="auto"/>
                <w:highlight w:val="none"/>
              </w:rPr>
            </w:pPr>
            <w:r>
              <w:rPr>
                <w:rFonts w:hint="eastAsia" w:hAnsi="宋体" w:cs="宋体"/>
                <w:color w:val="auto"/>
                <w:highlight w:val="none"/>
              </w:rPr>
              <w:t>（5）有关本项目实施所需的所有费用（含税费）均计入报价。开标一览表（报价表）是报价的唯一载体。投标文件中价格全部采用人民币报价。招标文件未列明，而投标人认为必需的费用也需列入报价。</w:t>
            </w:r>
          </w:p>
          <w:p w14:paraId="4BC12295">
            <w:pPr>
              <w:pStyle w:val="6"/>
              <w:topLinePunct/>
              <w:spacing w:line="360" w:lineRule="auto"/>
              <w:jc w:val="left"/>
              <w:rPr>
                <w:rFonts w:hAnsi="宋体" w:cs="宋体"/>
                <w:b/>
                <w:bCs/>
                <w:color w:val="auto"/>
                <w:highlight w:val="none"/>
              </w:rPr>
            </w:pPr>
            <w:r>
              <w:rPr>
                <w:rFonts w:hint="eastAsia" w:hAnsi="宋体" w:cs="宋体"/>
                <w:b/>
                <w:bCs/>
                <w:color w:val="auto"/>
                <w:highlight w:val="none"/>
              </w:rPr>
              <w:t>投标报价出现下列情形的，投标无效：</w:t>
            </w:r>
          </w:p>
          <w:p w14:paraId="20916EAB">
            <w:pPr>
              <w:pStyle w:val="6"/>
              <w:topLinePunct/>
              <w:spacing w:line="360" w:lineRule="auto"/>
              <w:jc w:val="left"/>
              <w:rPr>
                <w:rFonts w:hAnsi="宋体" w:cs="宋体"/>
                <w:color w:val="auto"/>
                <w:highlight w:val="none"/>
              </w:rPr>
            </w:pPr>
            <w:r>
              <w:rPr>
                <w:rFonts w:hint="eastAsia" w:hAnsi="宋体" w:cs="宋体"/>
                <w:color w:val="auto"/>
                <w:highlight w:val="none"/>
              </w:rPr>
              <w:t>①投标文件出现不是唯一的、有选择性投标报价的；</w:t>
            </w:r>
          </w:p>
          <w:p w14:paraId="1C7FD595">
            <w:pPr>
              <w:pStyle w:val="6"/>
              <w:topLinePunct/>
              <w:spacing w:line="360" w:lineRule="auto"/>
              <w:jc w:val="left"/>
              <w:rPr>
                <w:rFonts w:hAnsi="宋体" w:cs="宋体"/>
                <w:color w:val="auto"/>
                <w:highlight w:val="none"/>
              </w:rPr>
            </w:pPr>
            <w:r>
              <w:rPr>
                <w:rFonts w:hint="eastAsia" w:hAnsi="宋体" w:cs="宋体"/>
                <w:color w:val="auto"/>
                <w:highlight w:val="none"/>
              </w:rPr>
              <w:t>②投标报价超过招标文件中规定的预算金额或者最高限价的；</w:t>
            </w:r>
          </w:p>
          <w:p w14:paraId="697D0A9D">
            <w:pPr>
              <w:pStyle w:val="6"/>
              <w:topLinePunct/>
              <w:spacing w:line="360" w:lineRule="auto"/>
              <w:jc w:val="left"/>
              <w:rPr>
                <w:rFonts w:hAnsi="宋体" w:cs="宋体"/>
                <w:color w:val="auto"/>
                <w:highlight w:val="none"/>
              </w:rPr>
            </w:pPr>
            <w:r>
              <w:rPr>
                <w:rFonts w:hint="eastAsia" w:hAnsi="宋体" w:cs="宋体"/>
                <w:color w:val="auto"/>
                <w:highlight w:val="none"/>
              </w:rPr>
              <w:t>③报价明显低于其他通过符合性审查投标人的报价，有可能影响产品质量或者不能诚信履约的，未能按要求提供书面说明或者提交相关证明材料证明其报价合理性的；</w:t>
            </w:r>
          </w:p>
          <w:p w14:paraId="4A3AC347">
            <w:pPr>
              <w:pStyle w:val="6"/>
              <w:topLinePunct/>
              <w:spacing w:line="360" w:lineRule="auto"/>
              <w:jc w:val="left"/>
              <w:rPr>
                <w:rFonts w:hAnsi="宋体" w:cs="宋体"/>
                <w:color w:val="auto"/>
                <w:highlight w:val="none"/>
              </w:rPr>
            </w:pPr>
            <w:r>
              <w:rPr>
                <w:rFonts w:hint="eastAsia" w:hAnsi="宋体" w:cs="宋体"/>
                <w:color w:val="auto"/>
                <w:highlight w:val="none"/>
              </w:rPr>
              <w:t>④投标人对根据修正原则修正后的报价不确认的。</w:t>
            </w:r>
          </w:p>
          <w:p w14:paraId="558A5B68">
            <w:pPr>
              <w:pStyle w:val="6"/>
              <w:topLinePunct/>
              <w:spacing w:line="360" w:lineRule="auto"/>
              <w:jc w:val="left"/>
              <w:rPr>
                <w:rFonts w:hAnsi="宋体" w:cs="宋体"/>
                <w:color w:val="auto"/>
                <w:highlight w:val="none"/>
              </w:rPr>
            </w:pPr>
            <w:r>
              <w:rPr>
                <w:rFonts w:hint="eastAsia" w:hAnsi="宋体" w:cs="宋体"/>
                <w:color w:val="auto"/>
                <w:highlight w:val="none"/>
              </w:rPr>
              <w:t>（6）</w:t>
            </w:r>
            <w:r>
              <w:rPr>
                <w:rFonts w:hint="eastAsia" w:hAnsi="宋体" w:cs="宋体"/>
                <w:color w:val="auto"/>
                <w:highlight w:val="none"/>
                <w:lang w:eastAsia="zh-CN"/>
              </w:rPr>
              <w:t>中标服务费</w:t>
            </w:r>
            <w:r>
              <w:rPr>
                <w:rFonts w:hint="eastAsia" w:hAnsi="宋体" w:cs="宋体"/>
                <w:color w:val="auto"/>
                <w:highlight w:val="none"/>
              </w:rPr>
              <w:t>：</w:t>
            </w:r>
            <w:r>
              <w:rPr>
                <w:rFonts w:hint="eastAsia" w:ascii="宋体" w:hAnsi="宋体" w:cs="宋体"/>
                <w:bCs/>
                <w:color w:val="auto"/>
                <w:sz w:val="24"/>
                <w:highlight w:val="none"/>
                <w:lang w:eastAsia="zh-CN"/>
              </w:rPr>
              <w:t>中标服务费以单个项目（或标段）</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通知书的</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金额为计费基数，按关于印发《云南省建设工程招标代理服务收费</w:t>
            </w:r>
            <w:r>
              <w:rPr>
                <w:rFonts w:hint="eastAsia" w:ascii="宋体" w:hAnsi="宋体" w:cs="宋体"/>
                <w:bCs/>
                <w:color w:val="auto"/>
                <w:sz w:val="24"/>
                <w:highlight w:val="none"/>
                <w:lang w:val="en-US" w:eastAsia="zh-CN"/>
              </w:rPr>
              <w:t>参考意见</w:t>
            </w:r>
            <w:r>
              <w:rPr>
                <w:rFonts w:hint="eastAsia" w:ascii="宋体" w:hAnsi="宋体" w:cs="宋体"/>
                <w:bCs/>
                <w:color w:val="auto"/>
                <w:sz w:val="24"/>
                <w:highlight w:val="none"/>
                <w:lang w:eastAsia="zh-CN"/>
              </w:rPr>
              <w:t>》的通知（云建招协〔202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〕5</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号）收费标准</w:t>
            </w:r>
            <w:r>
              <w:rPr>
                <w:rFonts w:hint="eastAsia" w:hAnsi="宋体" w:cs="宋体"/>
                <w:bCs/>
                <w:color w:val="auto"/>
                <w:sz w:val="24"/>
                <w:highlight w:val="none"/>
                <w:lang w:val="en-US" w:eastAsia="zh-CN"/>
              </w:rPr>
              <w:t>下浮10%</w:t>
            </w:r>
            <w:r>
              <w:rPr>
                <w:rFonts w:hint="eastAsia" w:ascii="宋体" w:hAnsi="宋体" w:cs="宋体"/>
                <w:bCs/>
                <w:color w:val="auto"/>
                <w:sz w:val="24"/>
                <w:highlight w:val="none"/>
                <w:lang w:eastAsia="zh-CN"/>
              </w:rPr>
              <w:t>收取，由</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单位支付</w:t>
            </w:r>
            <w:r>
              <w:rPr>
                <w:rFonts w:hint="eastAsia" w:hAnsi="宋体" w:cs="宋体"/>
                <w:color w:val="auto"/>
                <w:highlight w:val="none"/>
              </w:rPr>
              <w:t>。</w:t>
            </w:r>
          </w:p>
        </w:tc>
      </w:tr>
      <w:tr w14:paraId="728A2BBE">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3FF94D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3.3.1</w:t>
            </w:r>
          </w:p>
        </w:tc>
        <w:tc>
          <w:tcPr>
            <w:tcW w:w="1638" w:type="dxa"/>
            <w:tcBorders>
              <w:top w:val="single" w:color="auto" w:sz="8" w:space="0"/>
              <w:left w:val="nil"/>
              <w:bottom w:val="single" w:color="auto" w:sz="8" w:space="0"/>
              <w:right w:val="single" w:color="auto" w:sz="8" w:space="0"/>
            </w:tcBorders>
            <w:vAlign w:val="center"/>
          </w:tcPr>
          <w:p w14:paraId="3003106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196" w:type="dxa"/>
            <w:tcBorders>
              <w:top w:val="single" w:color="auto" w:sz="8" w:space="0"/>
              <w:left w:val="nil"/>
              <w:bottom w:val="single" w:color="auto" w:sz="8" w:space="0"/>
              <w:right w:val="single" w:color="auto" w:sz="8" w:space="0"/>
            </w:tcBorders>
            <w:vAlign w:val="center"/>
          </w:tcPr>
          <w:p w14:paraId="4EB082C0">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投标有效期为90日历天（从提交投标文件截止</w:t>
            </w:r>
            <w:r>
              <w:rPr>
                <w:rFonts w:hint="eastAsia" w:ascii="宋体" w:hAnsi="宋体" w:cs="宋体"/>
                <w:color w:val="auto"/>
                <w:sz w:val="24"/>
                <w:highlight w:val="none"/>
                <w:lang w:val="en-US" w:eastAsia="zh-CN"/>
              </w:rPr>
              <w:t>之</w:t>
            </w:r>
            <w:r>
              <w:rPr>
                <w:rFonts w:hint="eastAsia" w:ascii="宋体" w:hAnsi="宋体" w:cs="宋体"/>
                <w:color w:val="auto"/>
                <w:sz w:val="24"/>
                <w:highlight w:val="none"/>
              </w:rPr>
              <w:t>日算起）。</w:t>
            </w:r>
          </w:p>
        </w:tc>
      </w:tr>
      <w:tr w14:paraId="50E14B42">
        <w:tblPrEx>
          <w:tblCellMar>
            <w:top w:w="0" w:type="dxa"/>
            <w:left w:w="0" w:type="dxa"/>
            <w:bottom w:w="0" w:type="dxa"/>
            <w:right w:w="0" w:type="dxa"/>
          </w:tblCellMar>
        </w:tblPrEx>
        <w:trPr>
          <w:trHeight w:val="76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61E4B7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3.4.1</w:t>
            </w:r>
          </w:p>
        </w:tc>
        <w:tc>
          <w:tcPr>
            <w:tcW w:w="1638" w:type="dxa"/>
            <w:tcBorders>
              <w:top w:val="single" w:color="auto" w:sz="8" w:space="0"/>
              <w:left w:val="nil"/>
              <w:bottom w:val="single" w:color="auto" w:sz="8" w:space="0"/>
              <w:right w:val="single" w:color="auto" w:sz="8" w:space="0"/>
            </w:tcBorders>
            <w:vAlign w:val="center"/>
          </w:tcPr>
          <w:p w14:paraId="1F61081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投标保证金</w:t>
            </w:r>
          </w:p>
        </w:tc>
        <w:tc>
          <w:tcPr>
            <w:tcW w:w="7196" w:type="dxa"/>
            <w:tcBorders>
              <w:top w:val="single" w:color="auto" w:sz="8" w:space="0"/>
              <w:left w:val="nil"/>
              <w:bottom w:val="single" w:color="auto" w:sz="8" w:space="0"/>
              <w:right w:val="single" w:color="auto" w:sz="8" w:space="0"/>
            </w:tcBorders>
            <w:vAlign w:val="center"/>
          </w:tcPr>
          <w:p w14:paraId="0337FA81">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一、投标保证金提交方式</w:t>
            </w:r>
          </w:p>
          <w:p w14:paraId="36E5CD84">
            <w:pPr>
              <w:spacing w:line="360" w:lineRule="auto"/>
              <w:jc w:val="left"/>
              <w:rPr>
                <w:rFonts w:ascii="宋体" w:hAnsi="宋体" w:cs="宋体"/>
                <w:color w:val="auto"/>
                <w:sz w:val="24"/>
                <w:highlight w:val="none"/>
              </w:rPr>
            </w:pPr>
            <w:r>
              <w:rPr>
                <w:rFonts w:hint="eastAsia" w:ascii="宋体" w:hAnsi="宋体" w:cs="宋体"/>
                <w:color w:val="auto"/>
                <w:sz w:val="24"/>
                <w:highlight w:val="none"/>
              </w:rPr>
              <w:t>保证金的提交方式有三种：银行转账、银行保函、投标保证保险。</w:t>
            </w:r>
          </w:p>
          <w:p w14:paraId="0F0A92D5">
            <w:pPr>
              <w:spacing w:line="360" w:lineRule="auto"/>
              <w:jc w:val="left"/>
              <w:rPr>
                <w:rFonts w:ascii="宋体" w:hAnsi="宋体" w:cs="宋体"/>
                <w:color w:val="auto"/>
                <w:sz w:val="24"/>
                <w:highlight w:val="none"/>
              </w:rPr>
            </w:pPr>
            <w:r>
              <w:rPr>
                <w:rFonts w:hint="eastAsia" w:ascii="宋体" w:hAnsi="宋体" w:cs="宋体"/>
                <w:color w:val="auto"/>
                <w:sz w:val="24"/>
                <w:highlight w:val="none"/>
              </w:rPr>
              <w:t>（一）银行转账：投标保证金应以供应商自身的名义提交，不得以分支机构其他名义提交。</w:t>
            </w:r>
          </w:p>
          <w:p w14:paraId="2964C8D7">
            <w:pPr>
              <w:spacing w:line="360" w:lineRule="auto"/>
              <w:jc w:val="left"/>
              <w:rPr>
                <w:rFonts w:ascii="宋体" w:hAnsi="宋体" w:cs="宋体"/>
                <w:color w:val="auto"/>
                <w:sz w:val="24"/>
                <w:highlight w:val="none"/>
              </w:rPr>
            </w:pPr>
            <w:r>
              <w:rPr>
                <w:rFonts w:hint="eastAsia" w:ascii="宋体" w:hAnsi="宋体" w:cs="宋体"/>
                <w:color w:val="auto"/>
                <w:sz w:val="24"/>
                <w:highlight w:val="none"/>
              </w:rPr>
              <w:t>（二）银行保函：保函申请人必须是供应商，受益人必须是采购人；银行保函必须正确填写受益人和申请人的全称，并与招标文件规定的名称相一致，以免造成投标无效。</w:t>
            </w:r>
          </w:p>
          <w:p w14:paraId="37D59237">
            <w:pPr>
              <w:spacing w:line="360" w:lineRule="auto"/>
              <w:jc w:val="left"/>
              <w:rPr>
                <w:rFonts w:ascii="宋体" w:hAnsi="宋体" w:cs="宋体"/>
                <w:color w:val="auto"/>
                <w:sz w:val="24"/>
                <w:highlight w:val="none"/>
              </w:rPr>
            </w:pPr>
            <w:r>
              <w:rPr>
                <w:rFonts w:hint="eastAsia" w:ascii="宋体" w:hAnsi="宋体" w:cs="宋体"/>
                <w:color w:val="auto"/>
                <w:sz w:val="24"/>
                <w:highlight w:val="none"/>
              </w:rPr>
              <w:t>（三）保证保险：1.当供应商未能按照招标文件要求履行投标义务而导致采购人受到损失时，由保险公司按照保险合同对采购人的损失承担代偿责任。2.供应商在支付投标保证金保险费时，必须</w:t>
            </w:r>
            <w:r>
              <w:rPr>
                <w:rFonts w:hint="eastAsia" w:ascii="宋体" w:hAnsi="宋体" w:cs="宋体"/>
                <w:color w:val="auto"/>
                <w:sz w:val="24"/>
                <w:highlight w:val="none"/>
                <w:lang w:val="en-US" w:eastAsia="zh-CN"/>
              </w:rPr>
              <w:t>以自身名义</w:t>
            </w:r>
            <w:r>
              <w:rPr>
                <w:rFonts w:hint="eastAsia" w:ascii="宋体" w:hAnsi="宋体" w:cs="宋体"/>
                <w:color w:val="auto"/>
                <w:sz w:val="24"/>
                <w:highlight w:val="none"/>
              </w:rPr>
              <w:t>购买，未</w:t>
            </w:r>
            <w:r>
              <w:rPr>
                <w:rFonts w:hint="eastAsia" w:ascii="宋体" w:hAnsi="宋体" w:cs="宋体"/>
                <w:color w:val="auto"/>
                <w:sz w:val="24"/>
                <w:highlight w:val="none"/>
                <w:lang w:val="en-US" w:eastAsia="zh-CN"/>
              </w:rPr>
              <w:t>按要求</w:t>
            </w:r>
            <w:r>
              <w:rPr>
                <w:rFonts w:hint="eastAsia" w:ascii="宋体" w:hAnsi="宋体" w:cs="宋体"/>
                <w:color w:val="auto"/>
                <w:sz w:val="24"/>
                <w:highlight w:val="none"/>
              </w:rPr>
              <w:t>支付保费造成经济纠纷的应由企业自行承担。3.在投标保证保险中，供应商为投保人，采购人为被保险人。</w:t>
            </w:r>
          </w:p>
          <w:p w14:paraId="1B11307C">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二、投标保证金的提交时间</w:t>
            </w:r>
          </w:p>
          <w:p w14:paraId="735FF1C7">
            <w:pPr>
              <w:spacing w:line="360" w:lineRule="auto"/>
              <w:jc w:val="left"/>
              <w:rPr>
                <w:rFonts w:ascii="宋体" w:hAnsi="宋体" w:cs="宋体"/>
                <w:color w:val="auto"/>
                <w:sz w:val="24"/>
                <w:highlight w:val="none"/>
              </w:rPr>
            </w:pPr>
            <w:r>
              <w:rPr>
                <w:rFonts w:hint="eastAsia" w:ascii="宋体" w:hAnsi="宋体" w:cs="宋体"/>
                <w:color w:val="auto"/>
                <w:sz w:val="24"/>
                <w:highlight w:val="none"/>
              </w:rPr>
              <w:t>供应商需在</w:t>
            </w:r>
            <w:r>
              <w:rPr>
                <w:rFonts w:hint="eastAsia" w:ascii="宋体" w:hAnsi="宋体" w:cs="宋体"/>
                <w:color w:val="auto"/>
                <w:sz w:val="24"/>
                <w:highlight w:val="none"/>
                <w:lang w:val="en-US" w:eastAsia="zh-CN"/>
              </w:rPr>
              <w:t>提交</w:t>
            </w: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文件</w:t>
            </w:r>
            <w:r>
              <w:rPr>
                <w:rFonts w:hint="eastAsia" w:ascii="宋体" w:hAnsi="宋体" w:cs="宋体"/>
                <w:color w:val="auto"/>
                <w:sz w:val="24"/>
                <w:highlight w:val="none"/>
              </w:rPr>
              <w:t>截止时间前</w:t>
            </w:r>
            <w:r>
              <w:rPr>
                <w:rFonts w:hint="eastAsia" w:ascii="宋体" w:hAnsi="宋体" w:cs="宋体"/>
                <w:color w:val="auto"/>
                <w:sz w:val="24"/>
                <w:highlight w:val="none"/>
                <w:lang w:eastAsia="zh-CN"/>
              </w:rPr>
              <w:t>提交</w:t>
            </w:r>
            <w:r>
              <w:rPr>
                <w:rFonts w:hint="eastAsia" w:ascii="宋体" w:hAnsi="宋体" w:cs="宋体"/>
                <w:color w:val="auto"/>
                <w:sz w:val="24"/>
                <w:highlight w:val="none"/>
              </w:rPr>
              <w:t>保证金。</w:t>
            </w:r>
          </w:p>
          <w:p w14:paraId="03E71FB5">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三、投标保证金的办理程序</w:t>
            </w:r>
          </w:p>
          <w:p w14:paraId="7186F31F">
            <w:pPr>
              <w:spacing w:line="360" w:lineRule="auto"/>
              <w:jc w:val="left"/>
              <w:rPr>
                <w:rFonts w:ascii="宋体" w:hAnsi="宋体" w:cs="宋体"/>
                <w:b/>
                <w:bCs/>
                <w:color w:val="auto"/>
                <w:sz w:val="24"/>
                <w:highlight w:val="none"/>
              </w:rPr>
            </w:pPr>
            <w:r>
              <w:rPr>
                <w:color w:val="auto"/>
                <w:highlight w:val="none"/>
              </w:rPr>
              <w:fldChar w:fldCharType="begin"/>
            </w:r>
            <w:r>
              <w:rPr>
                <w:color w:val="auto"/>
                <w:highlight w:val="none"/>
              </w:rPr>
              <w:instrText xml:space="preserve"> AUTOTEXT  input534 \* MERGEFORMAT </w:instrText>
            </w:r>
            <w:r>
              <w:rPr>
                <w:color w:val="auto"/>
                <w:highlight w:val="none"/>
              </w:rPr>
              <w:fldChar w:fldCharType="separate"/>
            </w:r>
            <w:r>
              <w:rPr>
                <w:rFonts w:hint="eastAsia" w:ascii="宋体" w:hAnsi="宋体" w:cs="宋体"/>
                <w:b/>
                <w:bCs/>
                <w:color w:val="auto"/>
                <w:sz w:val="24"/>
                <w:highlight w:val="none"/>
              </w:rPr>
              <w:t>☑</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（一）采用银行转账方式：</w:t>
            </w:r>
          </w:p>
          <w:p w14:paraId="0F79FCDE">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德宏州公安局特巡警支队维稳处突装备采购项目</w:t>
            </w:r>
          </w:p>
          <w:p w14:paraId="2E792B62">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保证金金额：</w:t>
            </w:r>
            <w:r>
              <w:rPr>
                <w:rFonts w:hint="eastAsia" w:ascii="宋体" w:hAnsi="宋体" w:cs="宋体"/>
                <w:color w:val="auto"/>
                <w:sz w:val="24"/>
                <w:highlight w:val="none"/>
                <w:lang w:eastAsia="zh-CN"/>
              </w:rPr>
              <w:t>叁仟伍佰元整（¥3500.00）</w:t>
            </w:r>
          </w:p>
          <w:p w14:paraId="64EB60B0">
            <w:pPr>
              <w:spacing w:line="360" w:lineRule="auto"/>
              <w:jc w:val="left"/>
              <w:rPr>
                <w:rFonts w:ascii="宋体" w:hAnsi="宋体" w:cs="宋体"/>
                <w:color w:val="auto"/>
                <w:sz w:val="24"/>
                <w:highlight w:val="none"/>
              </w:rPr>
            </w:pPr>
            <w:r>
              <w:rPr>
                <w:rFonts w:hint="eastAsia" w:ascii="宋体" w:hAnsi="宋体" w:cs="宋体"/>
                <w:color w:val="auto"/>
                <w:sz w:val="24"/>
                <w:highlight w:val="none"/>
              </w:rPr>
              <w:t>户名：云南立友工程咨询有限公司</w:t>
            </w:r>
          </w:p>
          <w:p w14:paraId="7A02C58C">
            <w:pP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账号：54000 19595 659012    </w:t>
            </w:r>
          </w:p>
          <w:p w14:paraId="6FC04652">
            <w:pPr>
              <w:spacing w:line="360" w:lineRule="auto"/>
              <w:jc w:val="left"/>
              <w:rPr>
                <w:rFonts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lang w:val="en-US" w:eastAsia="zh-CN"/>
              </w:rPr>
              <w:t>德宏农村商业银行芒市支行</w:t>
            </w:r>
            <w:r>
              <w:rPr>
                <w:rFonts w:hint="eastAsia" w:ascii="宋体" w:hAnsi="宋体" w:cs="宋体"/>
                <w:color w:val="auto"/>
                <w:sz w:val="24"/>
                <w:highlight w:val="none"/>
              </w:rPr>
              <w:t xml:space="preserve"> </w:t>
            </w:r>
          </w:p>
          <w:p w14:paraId="361A4119">
            <w:pPr>
              <w:spacing w:line="360" w:lineRule="auto"/>
              <w:jc w:val="left"/>
              <w:rPr>
                <w:rFonts w:ascii="宋体" w:hAnsi="宋体" w:cs="宋体"/>
                <w:color w:val="auto"/>
                <w:sz w:val="24"/>
                <w:highlight w:val="none"/>
              </w:rPr>
            </w:pPr>
            <w:r>
              <w:rPr>
                <w:rFonts w:hint="eastAsia" w:ascii="宋体" w:hAnsi="宋体" w:cs="宋体"/>
                <w:color w:val="auto"/>
                <w:sz w:val="24"/>
                <w:highlight w:val="none"/>
              </w:rPr>
              <w:t>财务室联系电话：0692-2273788</w:t>
            </w:r>
          </w:p>
          <w:p w14:paraId="20DCFFD2">
            <w:pPr>
              <w:spacing w:line="360" w:lineRule="auto"/>
              <w:jc w:val="left"/>
              <w:rPr>
                <w:rFonts w:ascii="宋体" w:hAnsi="宋体" w:cs="宋体"/>
                <w:color w:val="auto"/>
                <w:sz w:val="24"/>
                <w:highlight w:val="none"/>
              </w:rPr>
            </w:pPr>
            <w:r>
              <w:rPr>
                <w:rFonts w:hint="eastAsia" w:ascii="宋体" w:hAnsi="宋体" w:cs="宋体"/>
                <w:color w:val="auto"/>
                <w:sz w:val="24"/>
                <w:highlight w:val="none"/>
              </w:rPr>
              <w:t>办理程序：</w:t>
            </w:r>
          </w:p>
          <w:p w14:paraId="30AC0334">
            <w:pPr>
              <w:spacing w:line="360" w:lineRule="auto"/>
              <w:jc w:val="left"/>
              <w:rPr>
                <w:rFonts w:ascii="宋体" w:hAnsi="宋体" w:cs="宋体"/>
                <w:color w:val="auto"/>
                <w:sz w:val="24"/>
                <w:highlight w:val="none"/>
              </w:rPr>
            </w:pPr>
            <w:r>
              <w:rPr>
                <w:rFonts w:hint="eastAsia" w:ascii="宋体" w:hAnsi="宋体" w:cs="宋体"/>
                <w:color w:val="auto"/>
                <w:sz w:val="24"/>
                <w:highlight w:val="none"/>
              </w:rPr>
              <w:t>于提交投标文件截止时间前（建议提交投标文件截止时间前</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个工作日）从供应商的账户汇入，并保证开标时必须到户，转账时需注明项目名称</w:t>
            </w:r>
            <w:r>
              <w:rPr>
                <w:rFonts w:hint="eastAsia" w:ascii="宋体" w:hAnsi="宋体" w:cs="宋体"/>
                <w:color w:val="auto"/>
                <w:sz w:val="24"/>
                <w:highlight w:val="none"/>
                <w:lang w:val="en-US" w:eastAsia="zh-CN"/>
              </w:rPr>
              <w:t>或招标编号</w:t>
            </w:r>
            <w:r>
              <w:rPr>
                <w:rFonts w:hint="eastAsia" w:ascii="宋体" w:hAnsi="宋体" w:cs="宋体"/>
                <w:color w:val="auto"/>
                <w:sz w:val="24"/>
                <w:highlight w:val="none"/>
              </w:rPr>
              <w:t>。</w:t>
            </w:r>
          </w:p>
          <w:p w14:paraId="1ECED84B">
            <w:pPr>
              <w:spacing w:line="360" w:lineRule="auto"/>
              <w:jc w:val="left"/>
              <w:rPr>
                <w:rFonts w:ascii="宋体" w:hAnsi="宋体" w:cs="宋体"/>
                <w:b/>
                <w:bCs/>
                <w:color w:val="auto"/>
                <w:sz w:val="24"/>
                <w:highlight w:val="none"/>
              </w:rPr>
            </w:pPr>
            <w:r>
              <w:rPr>
                <w:color w:val="auto"/>
                <w:highlight w:val="none"/>
              </w:rPr>
              <w:fldChar w:fldCharType="begin"/>
            </w:r>
            <w:r>
              <w:rPr>
                <w:color w:val="auto"/>
                <w:highlight w:val="none"/>
              </w:rPr>
              <w:instrText xml:space="preserve"> AUTOTEXT  input535 \* MERGEFORMAT </w:instrText>
            </w:r>
            <w:r>
              <w:rPr>
                <w:color w:val="auto"/>
                <w:highlight w:val="none"/>
              </w:rPr>
              <w:fldChar w:fldCharType="separate"/>
            </w:r>
            <w:r>
              <w:rPr>
                <w:rFonts w:hint="eastAsia" w:ascii="宋体" w:hAnsi="宋体" w:cs="宋体"/>
                <w:b/>
                <w:bCs/>
                <w:color w:val="auto"/>
                <w:sz w:val="24"/>
                <w:highlight w:val="none"/>
              </w:rPr>
              <w:t>☑</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（二）采用银行保函方式：</w:t>
            </w:r>
          </w:p>
          <w:p w14:paraId="19B569E5">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德宏州公安局特巡警支队维稳处突装备采购项目</w:t>
            </w:r>
          </w:p>
          <w:p w14:paraId="0BBECB73">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保证金金额：</w:t>
            </w:r>
            <w:r>
              <w:rPr>
                <w:rFonts w:hint="eastAsia" w:ascii="宋体" w:hAnsi="宋体" w:cs="宋体"/>
                <w:color w:val="auto"/>
                <w:sz w:val="24"/>
                <w:highlight w:val="none"/>
                <w:lang w:eastAsia="zh-CN"/>
              </w:rPr>
              <w:t>叁仟伍佰元整（¥3500.00）</w:t>
            </w:r>
          </w:p>
          <w:p w14:paraId="114F1E49">
            <w:pPr>
              <w:spacing w:line="360" w:lineRule="auto"/>
              <w:jc w:val="left"/>
              <w:rPr>
                <w:rFonts w:ascii="宋体" w:hAnsi="宋体" w:cs="宋体"/>
                <w:color w:val="auto"/>
                <w:sz w:val="24"/>
                <w:highlight w:val="none"/>
              </w:rPr>
            </w:pPr>
            <w:r>
              <w:rPr>
                <w:rFonts w:hint="eastAsia" w:ascii="宋体" w:hAnsi="宋体" w:cs="宋体"/>
                <w:color w:val="auto"/>
                <w:sz w:val="24"/>
                <w:highlight w:val="none"/>
              </w:rPr>
              <w:t>办理程序：</w:t>
            </w:r>
          </w:p>
          <w:p w14:paraId="5D47A880">
            <w:pPr>
              <w:spacing w:line="360" w:lineRule="auto"/>
              <w:jc w:val="left"/>
              <w:rPr>
                <w:rFonts w:ascii="宋体" w:hAnsi="宋体" w:cs="宋体"/>
                <w:color w:val="auto"/>
                <w:sz w:val="24"/>
                <w:highlight w:val="none"/>
              </w:rPr>
            </w:pPr>
            <w:r>
              <w:rPr>
                <w:rFonts w:hint="eastAsia" w:ascii="宋体" w:hAnsi="宋体" w:cs="宋体"/>
                <w:color w:val="auto"/>
                <w:sz w:val="24"/>
                <w:highlight w:val="none"/>
              </w:rPr>
              <w:t>潜在供应商银行保函必须在规定的提交投标文件截止时间前</w:t>
            </w:r>
            <w:r>
              <w:rPr>
                <w:rFonts w:hint="eastAsia" w:ascii="宋体" w:hAnsi="宋体" w:cs="宋体"/>
                <w:color w:val="auto"/>
                <w:sz w:val="24"/>
                <w:highlight w:val="none"/>
                <w:lang w:eastAsia="zh-CN"/>
              </w:rPr>
              <w:t>提交</w:t>
            </w:r>
            <w:r>
              <w:rPr>
                <w:rFonts w:hint="eastAsia" w:ascii="宋体" w:hAnsi="宋体" w:cs="宋体"/>
                <w:color w:val="auto"/>
                <w:sz w:val="24"/>
                <w:highlight w:val="none"/>
              </w:rPr>
              <w:t>至银行。</w:t>
            </w:r>
          </w:p>
          <w:p w14:paraId="766B4A7E">
            <w:pPr>
              <w:spacing w:line="360" w:lineRule="auto"/>
              <w:jc w:val="left"/>
              <w:rPr>
                <w:rFonts w:ascii="宋体" w:hAnsi="宋体" w:cs="宋体"/>
                <w:color w:val="auto"/>
                <w:sz w:val="24"/>
                <w:highlight w:val="none"/>
              </w:rPr>
            </w:pPr>
            <w:r>
              <w:rPr>
                <w:color w:val="auto"/>
                <w:highlight w:val="none"/>
              </w:rPr>
              <w:fldChar w:fldCharType="begin"/>
            </w:r>
            <w:r>
              <w:rPr>
                <w:color w:val="auto"/>
                <w:highlight w:val="none"/>
              </w:rPr>
              <w:instrText xml:space="preserve"> AUTOTEXT  input536 \* MERGEFORMAT </w:instrText>
            </w:r>
            <w:r>
              <w:rPr>
                <w:color w:val="auto"/>
                <w:highlight w:val="none"/>
              </w:rPr>
              <w:fldChar w:fldCharType="separate"/>
            </w:r>
            <w:r>
              <w:rPr>
                <w:rFonts w:hint="eastAsia" w:ascii="宋体" w:hAnsi="宋体" w:cs="宋体"/>
                <w:b/>
                <w:bCs/>
                <w:color w:val="auto"/>
                <w:sz w:val="24"/>
                <w:highlight w:val="none"/>
              </w:rPr>
              <w:t>☑</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（三）采用投标保证保险方式</w:t>
            </w:r>
            <w:r>
              <w:rPr>
                <w:rFonts w:hint="eastAsia" w:ascii="宋体" w:hAnsi="宋体" w:cs="宋体"/>
                <w:color w:val="auto"/>
                <w:sz w:val="24"/>
                <w:highlight w:val="none"/>
              </w:rPr>
              <w:t>：</w:t>
            </w:r>
          </w:p>
          <w:p w14:paraId="4C8E0FFD">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德宏州公安局特巡警支队维稳处突装备采购项目</w:t>
            </w:r>
          </w:p>
          <w:p w14:paraId="70F9187F">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保证金金额：</w:t>
            </w:r>
            <w:r>
              <w:rPr>
                <w:rFonts w:hint="eastAsia" w:ascii="宋体" w:hAnsi="宋体" w:cs="宋体"/>
                <w:color w:val="auto"/>
                <w:sz w:val="24"/>
                <w:highlight w:val="none"/>
                <w:lang w:eastAsia="zh-CN"/>
              </w:rPr>
              <w:t>叁仟伍佰元整（¥3500.00）</w:t>
            </w:r>
          </w:p>
          <w:p w14:paraId="7883EC64">
            <w:pPr>
              <w:spacing w:line="360" w:lineRule="auto"/>
              <w:jc w:val="left"/>
              <w:rPr>
                <w:rFonts w:ascii="宋体" w:hAnsi="宋体" w:cs="宋体"/>
                <w:color w:val="auto"/>
                <w:sz w:val="24"/>
                <w:highlight w:val="none"/>
              </w:rPr>
            </w:pPr>
            <w:r>
              <w:rPr>
                <w:rFonts w:hint="eastAsia" w:ascii="宋体" w:hAnsi="宋体" w:cs="宋体"/>
                <w:color w:val="auto"/>
                <w:sz w:val="24"/>
                <w:highlight w:val="none"/>
              </w:rPr>
              <w:t>办理程序：投标保证保险的投保人应当在项目投标前与保险公司签订投标保证保险合同。</w:t>
            </w:r>
          </w:p>
          <w:p w14:paraId="29B52073">
            <w:pPr>
              <w:spacing w:line="360" w:lineRule="auto"/>
              <w:jc w:val="left"/>
              <w:rPr>
                <w:rFonts w:ascii="宋体" w:hAnsi="宋体" w:cs="宋体"/>
                <w:color w:val="auto"/>
                <w:sz w:val="24"/>
                <w:highlight w:val="none"/>
              </w:rPr>
            </w:pPr>
            <w:r>
              <w:rPr>
                <w:rFonts w:hint="eastAsia" w:ascii="宋体" w:hAnsi="宋体" w:cs="宋体"/>
                <w:color w:val="auto"/>
                <w:sz w:val="24"/>
                <w:highlight w:val="none"/>
              </w:rPr>
              <w:t>注：</w:t>
            </w:r>
          </w:p>
          <w:p w14:paraId="6AE6F716">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.保证金到账时间以保证金专用账户实际到账时间为准，未在提交投标文件截止时间前到账的保证金无效；</w:t>
            </w:r>
          </w:p>
          <w:p w14:paraId="1765A303">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.拒绝私人账户汇款及银行存现。</w:t>
            </w:r>
          </w:p>
          <w:p w14:paraId="6214EC17">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.请潜在供应商在跨行转账时考虑以下因素：按照人民银行相关规定，跨行转账在工作日下午</w:t>
            </w:r>
            <w:r>
              <w:rPr>
                <w:rFonts w:hint="eastAsia" w:ascii="宋体" w:hAnsi="宋体" w:cs="宋体"/>
                <w:color w:val="auto"/>
                <w:sz w:val="24"/>
                <w:highlight w:val="none"/>
                <w:lang w:eastAsia="zh-CN"/>
              </w:rPr>
              <w:t>四点半</w:t>
            </w:r>
            <w:r>
              <w:rPr>
                <w:rFonts w:hint="eastAsia" w:ascii="宋体" w:hAnsi="宋体" w:cs="宋体"/>
                <w:color w:val="auto"/>
                <w:sz w:val="24"/>
                <w:highlight w:val="none"/>
              </w:rPr>
              <w:t>前办理手续，可以保证实时跨行到账。</w:t>
            </w:r>
          </w:p>
        </w:tc>
      </w:tr>
      <w:tr w14:paraId="75A75D1A">
        <w:tblPrEx>
          <w:tblCellMar>
            <w:top w:w="0" w:type="dxa"/>
            <w:left w:w="0" w:type="dxa"/>
            <w:bottom w:w="0" w:type="dxa"/>
            <w:right w:w="0" w:type="dxa"/>
          </w:tblCellMar>
        </w:tblPrEx>
        <w:trPr>
          <w:trHeight w:val="680"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CFC208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3.5.1</w:t>
            </w:r>
          </w:p>
        </w:tc>
        <w:tc>
          <w:tcPr>
            <w:tcW w:w="1638" w:type="dxa"/>
            <w:tcBorders>
              <w:top w:val="single" w:color="auto" w:sz="8" w:space="0"/>
              <w:left w:val="nil"/>
              <w:bottom w:val="single" w:color="auto" w:sz="8" w:space="0"/>
              <w:right w:val="single" w:color="auto" w:sz="8" w:space="0"/>
            </w:tcBorders>
            <w:vAlign w:val="center"/>
          </w:tcPr>
          <w:p w14:paraId="31001C6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资格审查方式</w:t>
            </w:r>
          </w:p>
        </w:tc>
        <w:tc>
          <w:tcPr>
            <w:tcW w:w="7196" w:type="dxa"/>
            <w:tcBorders>
              <w:top w:val="single" w:color="auto" w:sz="8" w:space="0"/>
              <w:left w:val="nil"/>
              <w:bottom w:val="single" w:color="auto" w:sz="8" w:space="0"/>
              <w:right w:val="single" w:color="auto" w:sz="8" w:space="0"/>
            </w:tcBorders>
            <w:vAlign w:val="center"/>
          </w:tcPr>
          <w:p w14:paraId="15A36023">
            <w:pPr>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本项目采用资格后审</w:t>
            </w:r>
          </w:p>
        </w:tc>
      </w:tr>
      <w:tr w14:paraId="35CCD8E0">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30C08C1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3.6.1</w:t>
            </w:r>
          </w:p>
        </w:tc>
        <w:tc>
          <w:tcPr>
            <w:tcW w:w="1638" w:type="dxa"/>
            <w:tcBorders>
              <w:top w:val="single" w:color="auto" w:sz="8" w:space="0"/>
              <w:left w:val="nil"/>
              <w:bottom w:val="single" w:color="auto" w:sz="8" w:space="0"/>
              <w:right w:val="single" w:color="auto" w:sz="8" w:space="0"/>
            </w:tcBorders>
            <w:vAlign w:val="center"/>
          </w:tcPr>
          <w:p w14:paraId="1D8CDF6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是否允许</w:t>
            </w:r>
            <w:r>
              <w:rPr>
                <w:rFonts w:hint="eastAsia" w:ascii="宋体" w:hAnsi="宋体" w:cs="宋体"/>
                <w:color w:val="auto"/>
                <w:sz w:val="24"/>
                <w:highlight w:val="none"/>
                <w:lang w:eastAsia="zh-CN"/>
              </w:rPr>
              <w:t>提交</w:t>
            </w:r>
            <w:r>
              <w:rPr>
                <w:rFonts w:hint="eastAsia" w:ascii="宋体" w:hAnsi="宋体" w:cs="宋体"/>
                <w:color w:val="auto"/>
                <w:sz w:val="24"/>
                <w:highlight w:val="none"/>
              </w:rPr>
              <w:t>备选投标方案</w:t>
            </w:r>
          </w:p>
        </w:tc>
        <w:tc>
          <w:tcPr>
            <w:tcW w:w="7196" w:type="dxa"/>
            <w:tcBorders>
              <w:top w:val="single" w:color="auto" w:sz="8" w:space="0"/>
              <w:left w:val="nil"/>
              <w:bottom w:val="single" w:color="auto" w:sz="8" w:space="0"/>
              <w:right w:val="single" w:color="auto" w:sz="8" w:space="0"/>
            </w:tcBorders>
            <w:vAlign w:val="center"/>
          </w:tcPr>
          <w:p w14:paraId="5A6BCAF3">
            <w:pPr>
              <w:spacing w:line="360" w:lineRule="auto"/>
              <w:jc w:val="left"/>
              <w:rPr>
                <w:rFonts w:ascii="宋体" w:hAnsi="宋体" w:cs="宋体"/>
                <w:color w:val="auto"/>
                <w:sz w:val="24"/>
                <w:highlight w:val="none"/>
              </w:rPr>
            </w:pPr>
            <w:r>
              <w:rPr>
                <w:rFonts w:hint="eastAsia" w:ascii="宋体" w:hAnsi="宋体" w:cs="宋体"/>
                <w:color w:val="auto"/>
                <w:sz w:val="24"/>
                <w:highlight w:val="none"/>
              </w:rPr>
              <w:t>☑不允许</w:t>
            </w:r>
          </w:p>
          <w:p w14:paraId="76218B12">
            <w:pPr>
              <w:spacing w:line="360" w:lineRule="auto"/>
              <w:jc w:val="left"/>
              <w:rPr>
                <w:rFonts w:ascii="宋体" w:hAnsi="宋体" w:cs="宋体"/>
                <w:color w:val="auto"/>
                <w:sz w:val="24"/>
                <w:highlight w:val="none"/>
              </w:rPr>
            </w:pPr>
            <w:r>
              <w:rPr>
                <w:rFonts w:hint="eastAsia" w:ascii="宋体" w:hAnsi="宋体" w:cs="宋体"/>
                <w:color w:val="auto"/>
                <w:sz w:val="24"/>
                <w:highlight w:val="none"/>
              </w:rPr>
              <w:t>□允许</w:t>
            </w:r>
          </w:p>
        </w:tc>
      </w:tr>
      <w:tr w14:paraId="7935794C">
        <w:tblPrEx>
          <w:tblCellMar>
            <w:top w:w="0" w:type="dxa"/>
            <w:left w:w="0" w:type="dxa"/>
            <w:bottom w:w="0" w:type="dxa"/>
            <w:right w:w="0" w:type="dxa"/>
          </w:tblCellMar>
        </w:tblPrEx>
        <w:trPr>
          <w:trHeight w:val="85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8D80D6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3.7.4</w:t>
            </w:r>
          </w:p>
        </w:tc>
        <w:tc>
          <w:tcPr>
            <w:tcW w:w="1638" w:type="dxa"/>
            <w:tcBorders>
              <w:top w:val="single" w:color="auto" w:sz="8" w:space="0"/>
              <w:left w:val="nil"/>
              <w:bottom w:val="single" w:color="auto" w:sz="8" w:space="0"/>
              <w:right w:val="single" w:color="auto" w:sz="8" w:space="0"/>
            </w:tcBorders>
            <w:vAlign w:val="center"/>
          </w:tcPr>
          <w:p w14:paraId="5DE00EE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电子投标文件</w:t>
            </w:r>
          </w:p>
          <w:p w14:paraId="6105D1C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编制</w:t>
            </w:r>
          </w:p>
        </w:tc>
        <w:tc>
          <w:tcPr>
            <w:tcW w:w="7196" w:type="dxa"/>
            <w:tcBorders>
              <w:top w:val="single" w:color="auto" w:sz="8" w:space="0"/>
              <w:left w:val="nil"/>
              <w:bottom w:val="single" w:color="auto" w:sz="8" w:space="0"/>
              <w:right w:val="single" w:color="auto" w:sz="8" w:space="0"/>
            </w:tcBorders>
            <w:vAlign w:val="center"/>
          </w:tcPr>
          <w:p w14:paraId="3CCE1548">
            <w:pPr>
              <w:spacing w:line="360" w:lineRule="auto"/>
              <w:jc w:val="left"/>
              <w:rPr>
                <w:rFonts w:ascii="宋体" w:hAnsi="宋体" w:cs="宋体"/>
                <w:color w:val="auto"/>
                <w:sz w:val="24"/>
                <w:highlight w:val="none"/>
              </w:rPr>
            </w:pPr>
            <w:r>
              <w:rPr>
                <w:rFonts w:ascii="宋体" w:hAnsi="宋体" w:cs="宋体"/>
                <w:color w:val="auto"/>
                <w:sz w:val="24"/>
                <w:highlight w:val="none"/>
              </w:rPr>
              <w:t>供应商应安装“政采云投标客户端”，须按照采购文件和政采云平台的要求编制投标文件。</w:t>
            </w:r>
          </w:p>
        </w:tc>
      </w:tr>
      <w:tr w14:paraId="5F225445">
        <w:tblPrEx>
          <w:tblCellMar>
            <w:top w:w="0" w:type="dxa"/>
            <w:left w:w="0" w:type="dxa"/>
            <w:bottom w:w="0" w:type="dxa"/>
            <w:right w:w="0" w:type="dxa"/>
          </w:tblCellMar>
        </w:tblPrEx>
        <w:trPr>
          <w:trHeight w:val="170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CFAA9A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4.1.1</w:t>
            </w:r>
          </w:p>
        </w:tc>
        <w:tc>
          <w:tcPr>
            <w:tcW w:w="1638" w:type="dxa"/>
            <w:tcBorders>
              <w:top w:val="single" w:color="auto" w:sz="8" w:space="0"/>
              <w:left w:val="nil"/>
              <w:bottom w:val="single" w:color="auto" w:sz="8" w:space="0"/>
              <w:right w:val="single" w:color="auto" w:sz="8" w:space="0"/>
            </w:tcBorders>
            <w:vAlign w:val="center"/>
          </w:tcPr>
          <w:p w14:paraId="4A750D6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投标文件的加密</w:t>
            </w:r>
          </w:p>
        </w:tc>
        <w:tc>
          <w:tcPr>
            <w:tcW w:w="7196" w:type="dxa"/>
            <w:tcBorders>
              <w:top w:val="single" w:color="auto" w:sz="8" w:space="0"/>
              <w:left w:val="nil"/>
              <w:bottom w:val="single" w:color="auto" w:sz="8" w:space="0"/>
              <w:right w:val="single" w:color="auto" w:sz="8" w:space="0"/>
            </w:tcBorders>
            <w:vAlign w:val="center"/>
          </w:tcPr>
          <w:p w14:paraId="3BEEE927">
            <w:pPr>
              <w:spacing w:line="360" w:lineRule="auto"/>
              <w:jc w:val="left"/>
              <w:rPr>
                <w:rFonts w:ascii="宋体" w:hAnsi="宋体" w:cs="宋体"/>
                <w:color w:val="auto"/>
                <w:sz w:val="24"/>
                <w:highlight w:val="none"/>
              </w:rPr>
            </w:pPr>
            <w:r>
              <w:rPr>
                <w:rFonts w:hint="eastAsia" w:ascii="宋体" w:hAnsi="宋体" w:cs="宋体"/>
                <w:color w:val="auto"/>
                <w:sz w:val="24"/>
                <w:highlight w:val="none"/>
              </w:rPr>
              <w:t>（1）投标人进行电子交易应安装</w:t>
            </w:r>
            <w:r>
              <w:rPr>
                <w:rFonts w:ascii="宋体" w:hAnsi="宋体" w:cs="宋体"/>
                <w:color w:val="auto"/>
                <w:sz w:val="24"/>
                <w:highlight w:val="none"/>
              </w:rPr>
              <w:t>“政采云投标客户端”</w:t>
            </w:r>
            <w:r>
              <w:rPr>
                <w:rFonts w:hint="eastAsia" w:ascii="宋体" w:hAnsi="宋体" w:cs="宋体"/>
                <w:color w:val="auto"/>
                <w:sz w:val="24"/>
                <w:highlight w:val="none"/>
              </w:rPr>
              <w:t>，并按照采购文件和政采云平台的要求编制并加密投标文件。投标人未按规定加密的投标文件，电子交易平台将拒收并提示。</w:t>
            </w:r>
          </w:p>
          <w:p w14:paraId="44353A00">
            <w:pPr>
              <w:spacing w:line="360" w:lineRule="auto"/>
              <w:jc w:val="left"/>
              <w:rPr>
                <w:rFonts w:ascii="宋体" w:hAnsi="宋体" w:cs="宋体"/>
                <w:color w:val="auto"/>
                <w:sz w:val="24"/>
                <w:highlight w:val="none"/>
              </w:rPr>
            </w:pPr>
            <w:r>
              <w:rPr>
                <w:rFonts w:hint="eastAsia" w:ascii="宋体" w:hAnsi="宋体" w:cs="宋体"/>
                <w:color w:val="auto"/>
                <w:sz w:val="24"/>
                <w:highlight w:val="none"/>
              </w:rPr>
              <w:t>（2）使用</w:t>
            </w:r>
            <w:r>
              <w:rPr>
                <w:rFonts w:ascii="宋体" w:hAnsi="宋体" w:cs="宋体"/>
                <w:color w:val="auto"/>
                <w:sz w:val="24"/>
                <w:highlight w:val="none"/>
              </w:rPr>
              <w:t>“政采云投标客户端”</w:t>
            </w:r>
            <w:r>
              <w:rPr>
                <w:rFonts w:hint="eastAsia" w:ascii="宋体" w:hAnsi="宋体" w:cs="宋体"/>
                <w:color w:val="auto"/>
                <w:sz w:val="24"/>
                <w:highlight w:val="none"/>
              </w:rPr>
              <w:t>需要提前申领CA数字证书。</w:t>
            </w:r>
          </w:p>
          <w:p w14:paraId="426149EF">
            <w:pPr>
              <w:spacing w:line="360" w:lineRule="auto"/>
              <w:jc w:val="left"/>
              <w:rPr>
                <w:rFonts w:ascii="宋体" w:hAnsi="宋体" w:cs="宋体"/>
                <w:color w:val="auto"/>
                <w:sz w:val="24"/>
                <w:highlight w:val="none"/>
              </w:rPr>
            </w:pPr>
            <w:r>
              <w:rPr>
                <w:rFonts w:hint="eastAsia" w:ascii="宋体" w:hAnsi="宋体" w:cs="宋体"/>
                <w:color w:val="auto"/>
                <w:sz w:val="24"/>
                <w:highlight w:val="none"/>
              </w:rPr>
              <w:t>（3）为确保网上操作合法、有效和安全，投标人应当在投标文件提交截止时间前完成在“政府采购云平台”的身份认证，确保在电子交易过程中能够对相关数据电文进行加密和使用电子签名。</w:t>
            </w:r>
          </w:p>
        </w:tc>
      </w:tr>
      <w:tr w14:paraId="2ADA0D9A">
        <w:tblPrEx>
          <w:tblCellMar>
            <w:top w:w="0" w:type="dxa"/>
            <w:left w:w="0" w:type="dxa"/>
            <w:bottom w:w="0" w:type="dxa"/>
            <w:right w:w="0" w:type="dxa"/>
          </w:tblCellMar>
        </w:tblPrEx>
        <w:trPr>
          <w:trHeight w:val="56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546986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4.2.1</w:t>
            </w:r>
          </w:p>
        </w:tc>
        <w:tc>
          <w:tcPr>
            <w:tcW w:w="1638" w:type="dxa"/>
            <w:tcBorders>
              <w:top w:val="single" w:color="auto" w:sz="8" w:space="0"/>
              <w:left w:val="nil"/>
              <w:bottom w:val="single" w:color="auto" w:sz="8" w:space="0"/>
              <w:right w:val="single" w:color="auto" w:sz="8" w:space="0"/>
            </w:tcBorders>
            <w:vAlign w:val="center"/>
          </w:tcPr>
          <w:p w14:paraId="480F7B8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lang w:val="en-US" w:eastAsia="zh-CN"/>
              </w:rPr>
              <w:t>开启解密</w:t>
            </w:r>
            <w:r>
              <w:rPr>
                <w:rFonts w:hint="eastAsia" w:ascii="宋体" w:hAnsi="宋体" w:cs="宋体"/>
                <w:b/>
                <w:bCs/>
                <w:color w:val="auto"/>
                <w:sz w:val="24"/>
                <w:highlight w:val="none"/>
              </w:rPr>
              <w:t>时间</w:t>
            </w:r>
          </w:p>
        </w:tc>
        <w:tc>
          <w:tcPr>
            <w:tcW w:w="7196" w:type="dxa"/>
            <w:tcBorders>
              <w:top w:val="single" w:color="auto" w:sz="8" w:space="0"/>
              <w:left w:val="nil"/>
              <w:bottom w:val="single" w:color="auto" w:sz="8" w:space="0"/>
              <w:right w:val="single" w:color="auto" w:sz="8" w:space="0"/>
            </w:tcBorders>
            <w:vAlign w:val="center"/>
          </w:tcPr>
          <w:p w14:paraId="20888F8C">
            <w:pPr>
              <w:spacing w:line="360" w:lineRule="auto"/>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2025年7月15日09时00分</w:t>
            </w:r>
          </w:p>
        </w:tc>
      </w:tr>
      <w:tr w14:paraId="72BC76C7">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A88E26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4.2.2</w:t>
            </w:r>
          </w:p>
        </w:tc>
        <w:tc>
          <w:tcPr>
            <w:tcW w:w="1638" w:type="dxa"/>
            <w:tcBorders>
              <w:top w:val="single" w:color="auto" w:sz="8" w:space="0"/>
              <w:left w:val="nil"/>
              <w:bottom w:val="single" w:color="auto" w:sz="8" w:space="0"/>
              <w:right w:val="single" w:color="auto" w:sz="8" w:space="0"/>
            </w:tcBorders>
            <w:vAlign w:val="center"/>
          </w:tcPr>
          <w:p w14:paraId="7EB3EA1C">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投标文件</w:t>
            </w:r>
            <w:r>
              <w:rPr>
                <w:rFonts w:hint="eastAsia" w:ascii="宋体" w:hAnsi="宋体" w:cs="宋体"/>
                <w:color w:val="auto"/>
                <w:sz w:val="24"/>
                <w:highlight w:val="none"/>
                <w:lang w:eastAsia="zh-CN"/>
              </w:rPr>
              <w:t>提交</w:t>
            </w:r>
          </w:p>
        </w:tc>
        <w:tc>
          <w:tcPr>
            <w:tcW w:w="7196" w:type="dxa"/>
            <w:tcBorders>
              <w:top w:val="single" w:color="auto" w:sz="8" w:space="0"/>
              <w:left w:val="nil"/>
              <w:bottom w:val="single" w:color="auto" w:sz="8" w:space="0"/>
              <w:right w:val="single" w:color="auto" w:sz="8" w:space="0"/>
            </w:tcBorders>
            <w:vAlign w:val="center"/>
          </w:tcPr>
          <w:p w14:paraId="37793EFE">
            <w:pPr>
              <w:wordWrap w:val="0"/>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（1）投标文件</w:t>
            </w:r>
            <w:r>
              <w:rPr>
                <w:rFonts w:hint="eastAsia" w:ascii="宋体" w:hAnsi="宋体" w:cs="宋体"/>
                <w:b/>
                <w:bCs/>
                <w:color w:val="auto"/>
                <w:sz w:val="24"/>
                <w:highlight w:val="none"/>
                <w:lang w:eastAsia="zh-CN"/>
              </w:rPr>
              <w:t>提交</w:t>
            </w:r>
            <w:r>
              <w:rPr>
                <w:rFonts w:hint="eastAsia" w:ascii="宋体" w:hAnsi="宋体" w:cs="宋体"/>
                <w:b/>
                <w:bCs/>
                <w:color w:val="auto"/>
                <w:sz w:val="24"/>
                <w:highlight w:val="none"/>
              </w:rPr>
              <w:t>截止时间：</w:t>
            </w:r>
            <w:r>
              <w:rPr>
                <w:rFonts w:hint="eastAsia" w:ascii="宋体" w:hAnsi="宋体" w:cs="宋体"/>
                <w:color w:val="auto"/>
                <w:sz w:val="24"/>
                <w:highlight w:val="none"/>
              </w:rPr>
              <w:t>同</w:t>
            </w:r>
            <w:r>
              <w:rPr>
                <w:rFonts w:hint="eastAsia" w:ascii="宋体" w:hAnsi="宋体" w:cs="宋体"/>
                <w:b w:val="0"/>
                <w:bCs w:val="0"/>
                <w:color w:val="auto"/>
                <w:sz w:val="24"/>
                <w:highlight w:val="none"/>
                <w:lang w:val="en-US" w:eastAsia="zh-CN"/>
              </w:rPr>
              <w:t>开启解密</w:t>
            </w:r>
            <w:r>
              <w:rPr>
                <w:rFonts w:hint="eastAsia" w:ascii="宋体" w:hAnsi="宋体" w:cs="宋体"/>
                <w:b w:val="0"/>
                <w:bCs w:val="0"/>
                <w:color w:val="auto"/>
                <w:sz w:val="24"/>
                <w:highlight w:val="none"/>
              </w:rPr>
              <w:t>时间</w:t>
            </w:r>
            <w:r>
              <w:rPr>
                <w:rFonts w:hint="eastAsia" w:ascii="宋体" w:hAnsi="宋体" w:cs="宋体"/>
                <w:color w:val="auto"/>
                <w:sz w:val="24"/>
                <w:highlight w:val="none"/>
              </w:rPr>
              <w:t>；</w:t>
            </w:r>
          </w:p>
          <w:p w14:paraId="20581DC1">
            <w:pPr>
              <w:wordWrap w:val="0"/>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（2）投标文件</w:t>
            </w:r>
            <w:r>
              <w:rPr>
                <w:rFonts w:hint="eastAsia" w:ascii="宋体" w:hAnsi="宋体" w:cs="宋体"/>
                <w:b/>
                <w:bCs/>
                <w:color w:val="auto"/>
                <w:sz w:val="24"/>
                <w:highlight w:val="none"/>
                <w:lang w:eastAsia="zh-CN"/>
              </w:rPr>
              <w:t>提交</w:t>
            </w:r>
            <w:r>
              <w:rPr>
                <w:rFonts w:hint="eastAsia" w:ascii="宋体" w:hAnsi="宋体" w:cs="宋体"/>
                <w:b/>
                <w:bCs/>
                <w:color w:val="auto"/>
                <w:sz w:val="24"/>
                <w:highlight w:val="none"/>
              </w:rPr>
              <w:t>方式：</w:t>
            </w:r>
            <w:r>
              <w:rPr>
                <w:rFonts w:hint="eastAsia" w:ascii="宋体" w:hAnsi="宋体" w:cs="宋体"/>
                <w:color w:val="auto"/>
                <w:sz w:val="24"/>
                <w:highlight w:val="none"/>
              </w:rPr>
              <w:t>上传至“政府采购云平台（https://www.zcygov.cn/）”</w:t>
            </w:r>
          </w:p>
        </w:tc>
      </w:tr>
      <w:tr w14:paraId="189EF0B8">
        <w:tblPrEx>
          <w:tblCellMar>
            <w:top w:w="0" w:type="dxa"/>
            <w:left w:w="0" w:type="dxa"/>
            <w:bottom w:w="0" w:type="dxa"/>
            <w:right w:w="0" w:type="dxa"/>
          </w:tblCellMar>
        </w:tblPrEx>
        <w:trPr>
          <w:trHeight w:val="90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FD94A6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4.2.3</w:t>
            </w:r>
          </w:p>
        </w:tc>
        <w:tc>
          <w:tcPr>
            <w:tcW w:w="1638" w:type="dxa"/>
            <w:tcBorders>
              <w:top w:val="single" w:color="auto" w:sz="8" w:space="0"/>
              <w:left w:val="nil"/>
              <w:bottom w:val="single" w:color="auto" w:sz="8" w:space="0"/>
              <w:right w:val="single" w:color="auto" w:sz="8" w:space="0"/>
            </w:tcBorders>
            <w:vAlign w:val="center"/>
          </w:tcPr>
          <w:p w14:paraId="151CFA5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投标文件是否</w:t>
            </w:r>
          </w:p>
          <w:p w14:paraId="6F8C981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退还</w:t>
            </w:r>
          </w:p>
        </w:tc>
        <w:tc>
          <w:tcPr>
            <w:tcW w:w="7196" w:type="dxa"/>
            <w:tcBorders>
              <w:top w:val="single" w:color="auto" w:sz="8" w:space="0"/>
              <w:left w:val="nil"/>
              <w:bottom w:val="single" w:color="auto" w:sz="8" w:space="0"/>
              <w:right w:val="single" w:color="auto" w:sz="8" w:space="0"/>
            </w:tcBorders>
            <w:vAlign w:val="center"/>
          </w:tcPr>
          <w:p w14:paraId="2827E096">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投标文件退还：☑否</w:t>
            </w:r>
          </w:p>
          <w:p w14:paraId="4E283478">
            <w:pPr>
              <w:spacing w:line="360" w:lineRule="auto"/>
              <w:ind w:firstLine="1680" w:firstLineChars="700"/>
              <w:jc w:val="left"/>
              <w:rPr>
                <w:rFonts w:ascii="宋体" w:hAnsi="宋体" w:cs="宋体"/>
                <w:color w:val="auto"/>
                <w:sz w:val="24"/>
                <w:highlight w:val="none"/>
              </w:rPr>
            </w:pPr>
            <w:r>
              <w:rPr>
                <w:rFonts w:hint="eastAsia" w:ascii="宋体" w:hAnsi="宋体" w:cs="宋体"/>
                <w:color w:val="auto"/>
                <w:sz w:val="24"/>
                <w:highlight w:val="none"/>
              </w:rPr>
              <w:t>□是</w:t>
            </w:r>
          </w:p>
          <w:p w14:paraId="180EA20E">
            <w:pPr>
              <w:spacing w:line="360" w:lineRule="auto"/>
              <w:jc w:val="left"/>
              <w:rPr>
                <w:rFonts w:ascii="宋体" w:hAnsi="宋体" w:cs="宋体"/>
                <w:color w:val="auto"/>
                <w:sz w:val="24"/>
                <w:highlight w:val="none"/>
              </w:rPr>
            </w:pPr>
            <w:r>
              <w:rPr>
                <w:rFonts w:hint="eastAsia" w:ascii="宋体" w:hAnsi="宋体" w:cs="宋体"/>
                <w:color w:val="auto"/>
                <w:sz w:val="24"/>
                <w:highlight w:val="none"/>
              </w:rPr>
              <w:t>退还时间：/</w:t>
            </w:r>
          </w:p>
        </w:tc>
      </w:tr>
      <w:tr w14:paraId="1C4ADF02">
        <w:tblPrEx>
          <w:tblCellMar>
            <w:top w:w="0" w:type="dxa"/>
            <w:left w:w="0" w:type="dxa"/>
            <w:bottom w:w="0" w:type="dxa"/>
            <w:right w:w="0" w:type="dxa"/>
          </w:tblCellMar>
        </w:tblPrEx>
        <w:trPr>
          <w:trHeight w:val="90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1516902">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4.2.4</w:t>
            </w:r>
          </w:p>
        </w:tc>
        <w:tc>
          <w:tcPr>
            <w:tcW w:w="1638" w:type="dxa"/>
            <w:tcBorders>
              <w:top w:val="single" w:color="auto" w:sz="8" w:space="0"/>
              <w:left w:val="nil"/>
              <w:bottom w:val="single" w:color="auto" w:sz="8" w:space="0"/>
              <w:right w:val="single" w:color="auto" w:sz="8" w:space="0"/>
            </w:tcBorders>
            <w:vAlign w:val="center"/>
          </w:tcPr>
          <w:p w14:paraId="518CBABC">
            <w:pPr>
              <w:spacing w:line="360" w:lineRule="auto"/>
              <w:jc w:val="center"/>
              <w:rPr>
                <w:rFonts w:hint="eastAsia" w:ascii="宋体" w:hAnsi="宋体" w:cs="宋体"/>
                <w:color w:val="auto"/>
                <w:sz w:val="24"/>
                <w:highlight w:val="none"/>
              </w:rPr>
            </w:pPr>
            <w:r>
              <w:rPr>
                <w:rFonts w:hint="eastAsia" w:ascii="宋体" w:hAnsi="宋体" w:eastAsia="宋体" w:cs="宋体"/>
                <w:color w:val="auto"/>
                <w:sz w:val="24"/>
                <w:highlight w:val="none"/>
              </w:rPr>
              <w:t>投标样品</w:t>
            </w:r>
            <w:r>
              <w:rPr>
                <w:rFonts w:hint="eastAsia" w:ascii="宋体" w:hAnsi="宋体" w:eastAsia="宋体" w:cs="宋体"/>
                <w:color w:val="auto"/>
                <w:sz w:val="24"/>
                <w:highlight w:val="none"/>
                <w:lang w:val="en-US" w:eastAsia="zh-CN"/>
              </w:rPr>
              <w:t>提</w:t>
            </w:r>
            <w:r>
              <w:rPr>
                <w:rFonts w:hint="eastAsia" w:ascii="宋体" w:hAnsi="宋体" w:eastAsia="宋体" w:cs="宋体"/>
                <w:color w:val="auto"/>
                <w:sz w:val="24"/>
                <w:highlight w:val="none"/>
              </w:rPr>
              <w:t>交截止时间和地点</w:t>
            </w:r>
          </w:p>
        </w:tc>
        <w:tc>
          <w:tcPr>
            <w:tcW w:w="7196" w:type="dxa"/>
            <w:tcBorders>
              <w:top w:val="single" w:color="auto" w:sz="8" w:space="0"/>
              <w:left w:val="nil"/>
              <w:bottom w:val="single" w:color="auto" w:sz="8" w:space="0"/>
              <w:right w:val="single" w:color="auto" w:sz="8" w:space="0"/>
            </w:tcBorders>
            <w:vAlign w:val="center"/>
          </w:tcPr>
          <w:p w14:paraId="5F77C118">
            <w:pPr>
              <w:spacing w:line="360" w:lineRule="auto"/>
              <w:jc w:val="left"/>
              <w:rPr>
                <w:rFonts w:hint="default"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样品提交截止时间：</w:t>
            </w:r>
            <w:r>
              <w:rPr>
                <w:rFonts w:hint="eastAsia" w:ascii="宋体" w:hAnsi="宋体" w:cs="宋体"/>
                <w:color w:val="auto"/>
                <w:sz w:val="24"/>
                <w:highlight w:val="none"/>
              </w:rPr>
              <w:t>同</w:t>
            </w:r>
            <w:r>
              <w:rPr>
                <w:rFonts w:hint="eastAsia" w:ascii="宋体" w:hAnsi="宋体" w:cs="宋体"/>
                <w:b w:val="0"/>
                <w:bCs w:val="0"/>
                <w:color w:val="auto"/>
                <w:sz w:val="24"/>
                <w:highlight w:val="none"/>
                <w:lang w:val="en-US" w:eastAsia="zh-CN"/>
              </w:rPr>
              <w:t>开启解密</w:t>
            </w:r>
            <w:r>
              <w:rPr>
                <w:rFonts w:hint="eastAsia" w:ascii="宋体" w:hAnsi="宋体" w:cs="宋体"/>
                <w:b w:val="0"/>
                <w:bCs w:val="0"/>
                <w:color w:val="auto"/>
                <w:sz w:val="24"/>
                <w:highlight w:val="none"/>
              </w:rPr>
              <w:t>时间</w:t>
            </w:r>
            <w:r>
              <w:rPr>
                <w:rFonts w:hint="eastAsia" w:ascii="宋体" w:hAnsi="宋体" w:cs="宋体"/>
                <w:color w:val="auto"/>
                <w:sz w:val="24"/>
                <w:highlight w:val="none"/>
                <w:lang w:val="en-US" w:eastAsia="zh-CN"/>
              </w:rPr>
              <w:t>；</w:t>
            </w:r>
          </w:p>
          <w:p w14:paraId="7E80292D">
            <w:pPr>
              <w:spacing w:line="360" w:lineRule="auto"/>
              <w:jc w:val="left"/>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样品提交地点：</w:t>
            </w:r>
            <w:r>
              <w:rPr>
                <w:rFonts w:hint="eastAsia" w:ascii="宋体" w:hAnsi="宋体" w:cs="宋体"/>
                <w:color w:val="auto"/>
                <w:sz w:val="24"/>
                <w:highlight w:val="none"/>
                <w:lang w:val="en-US" w:eastAsia="zh-CN"/>
              </w:rPr>
              <w:t>云南立友工程咨询有限公司二楼会议室（云南省德宏州芒市榕树北路5号）；</w:t>
            </w:r>
          </w:p>
          <w:p w14:paraId="6FE5C6FF">
            <w:pPr>
              <w:spacing w:line="360" w:lineRule="auto"/>
              <w:jc w:val="left"/>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提交方式：</w:t>
            </w:r>
            <w:r>
              <w:rPr>
                <w:rFonts w:hint="eastAsia" w:ascii="宋体" w:hAnsi="宋体" w:cs="宋体"/>
                <w:color w:val="auto"/>
                <w:sz w:val="24"/>
                <w:highlight w:val="none"/>
                <w:lang w:val="en-US" w:eastAsia="zh-CN"/>
              </w:rPr>
              <w:t>投标人的样品需在提交投标文件截止时间前在云南立友工程咨询有限公司二楼会议室（云南省德宏州芒市榕树北路5号）摆放完好；</w:t>
            </w:r>
          </w:p>
          <w:p w14:paraId="46D4F2FC">
            <w:pPr>
              <w:spacing w:line="360" w:lineRule="auto"/>
              <w:jc w:val="left"/>
              <w:rPr>
                <w:rFonts w:hint="eastAsia" w:eastAsia="宋体"/>
                <w:color w:val="auto"/>
                <w:highlight w:val="none"/>
                <w:lang w:val="en-US" w:eastAsia="zh-CN"/>
              </w:rPr>
            </w:pPr>
            <w:r>
              <w:rPr>
                <w:rFonts w:hint="eastAsia" w:ascii="宋体" w:hAnsi="宋体" w:cs="宋体"/>
                <w:b/>
                <w:bCs/>
                <w:color w:val="auto"/>
                <w:kern w:val="2"/>
                <w:sz w:val="24"/>
                <w:szCs w:val="24"/>
                <w:highlight w:val="none"/>
              </w:rPr>
              <w:t>样品密封和标记</w:t>
            </w:r>
            <w:r>
              <w:rPr>
                <w:rFonts w:hint="eastAsia" w:ascii="宋体" w:hAnsi="宋体" w:cs="宋体"/>
                <w:b/>
                <w:bCs/>
                <w:color w:val="auto"/>
                <w:kern w:val="2"/>
                <w:sz w:val="24"/>
                <w:szCs w:val="24"/>
                <w:highlight w:val="none"/>
                <w:lang w:eastAsia="zh-CN"/>
              </w:rPr>
              <w:t>：</w:t>
            </w:r>
            <w:r>
              <w:rPr>
                <w:rFonts w:hint="eastAsia" w:ascii="宋体" w:hAnsi="宋体" w:cs="宋体"/>
                <w:color w:val="auto"/>
                <w:kern w:val="2"/>
                <w:sz w:val="24"/>
                <w:szCs w:val="24"/>
                <w:highlight w:val="none"/>
                <w:lang w:eastAsia="zh-CN"/>
              </w:rPr>
              <w:t>样品应密封完好，外包装上需注明项目名称、</w:t>
            </w:r>
            <w:r>
              <w:rPr>
                <w:rFonts w:hint="eastAsia" w:ascii="宋体" w:hAnsi="宋体" w:cs="宋体"/>
                <w:color w:val="auto"/>
                <w:kern w:val="2"/>
                <w:sz w:val="24"/>
                <w:szCs w:val="24"/>
                <w:highlight w:val="none"/>
                <w:lang w:val="en-US" w:eastAsia="zh-CN"/>
              </w:rPr>
              <w:t>招标</w:t>
            </w:r>
            <w:r>
              <w:rPr>
                <w:rFonts w:hint="eastAsia" w:ascii="宋体" w:hAnsi="宋体" w:cs="宋体"/>
                <w:color w:val="auto"/>
                <w:kern w:val="2"/>
                <w:sz w:val="24"/>
                <w:szCs w:val="24"/>
                <w:highlight w:val="none"/>
                <w:lang w:eastAsia="zh-CN"/>
              </w:rPr>
              <w:t>编号、产品名称、单位名称。</w:t>
            </w:r>
            <w:r>
              <w:rPr>
                <w:rFonts w:hint="eastAsia" w:ascii="宋体" w:hAnsi="宋体" w:cs="宋体"/>
                <w:color w:val="auto"/>
                <w:kern w:val="2"/>
                <w:sz w:val="24"/>
                <w:szCs w:val="24"/>
                <w:highlight w:val="none"/>
                <w:lang w:val="en-US" w:eastAsia="zh-CN"/>
              </w:rPr>
              <w:t>开标时，由采购代理公司进行现场编号。</w:t>
            </w:r>
          </w:p>
        </w:tc>
      </w:tr>
      <w:tr w14:paraId="703266AD">
        <w:tblPrEx>
          <w:tblCellMar>
            <w:top w:w="0" w:type="dxa"/>
            <w:left w:w="0" w:type="dxa"/>
            <w:bottom w:w="0" w:type="dxa"/>
            <w:right w:w="0" w:type="dxa"/>
          </w:tblCellMar>
        </w:tblPrEx>
        <w:trPr>
          <w:trHeight w:val="52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7CCCAF35">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4.2.5</w:t>
            </w:r>
          </w:p>
        </w:tc>
        <w:tc>
          <w:tcPr>
            <w:tcW w:w="1638" w:type="dxa"/>
            <w:tcBorders>
              <w:top w:val="single" w:color="auto" w:sz="8" w:space="0"/>
              <w:left w:val="nil"/>
              <w:bottom w:val="single" w:color="auto" w:sz="8" w:space="0"/>
              <w:right w:val="single" w:color="auto" w:sz="8" w:space="0"/>
            </w:tcBorders>
            <w:vAlign w:val="center"/>
          </w:tcPr>
          <w:p w14:paraId="744C308D">
            <w:pPr>
              <w:spacing w:line="360" w:lineRule="auto"/>
              <w:jc w:val="center"/>
              <w:rPr>
                <w:rFonts w:hint="eastAsia" w:ascii="宋体" w:hAnsi="宋体" w:cs="宋体"/>
                <w:color w:val="auto"/>
                <w:sz w:val="24"/>
                <w:highlight w:val="none"/>
              </w:rPr>
            </w:pPr>
            <w:r>
              <w:rPr>
                <w:rFonts w:hint="eastAsia" w:ascii="宋体" w:hAnsi="宋体" w:cs="宋体"/>
                <w:color w:val="auto"/>
                <w:kern w:val="2"/>
                <w:sz w:val="24"/>
                <w:szCs w:val="24"/>
                <w:highlight w:val="none"/>
              </w:rPr>
              <w:t>样品是否退还</w:t>
            </w:r>
          </w:p>
        </w:tc>
        <w:tc>
          <w:tcPr>
            <w:tcW w:w="7196" w:type="dxa"/>
            <w:tcBorders>
              <w:top w:val="single" w:color="auto" w:sz="8" w:space="0"/>
              <w:left w:val="nil"/>
              <w:bottom w:val="single" w:color="auto" w:sz="8" w:space="0"/>
              <w:right w:val="single" w:color="auto" w:sz="8" w:space="0"/>
            </w:tcBorders>
            <w:vAlign w:val="center"/>
          </w:tcPr>
          <w:p w14:paraId="2E6F56DA">
            <w:pPr>
              <w:spacing w:line="360" w:lineRule="auto"/>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样品退还：□否</w:t>
            </w:r>
          </w:p>
          <w:p w14:paraId="5F80CB68">
            <w:pPr>
              <w:spacing w:line="360" w:lineRule="auto"/>
              <w:ind w:firstLine="1200" w:firstLineChars="0"/>
              <w:rPr>
                <w:rFonts w:hint="eastAsia" w:ascii="宋体" w:hAnsi="宋体" w:cs="宋体"/>
                <w:color w:val="auto"/>
                <w:sz w:val="24"/>
                <w:highlight w:val="none"/>
              </w:rPr>
            </w:pPr>
            <w:r>
              <w:rPr>
                <w:rFonts w:hint="eastAsia" w:ascii="宋体" w:hAnsi="宋体" w:cs="宋体"/>
                <w:color w:val="auto"/>
                <w:kern w:val="2"/>
                <w:sz w:val="24"/>
                <w:szCs w:val="24"/>
                <w:highlight w:val="none"/>
              </w:rPr>
              <w:t>☑是，退还要求：</w:t>
            </w:r>
            <w:r>
              <w:rPr>
                <w:rFonts w:hint="eastAsia" w:ascii="宋体" w:hAnsi="宋体" w:cs="宋体"/>
                <w:color w:val="auto"/>
                <w:kern w:val="2"/>
                <w:sz w:val="24"/>
                <w:szCs w:val="24"/>
                <w:highlight w:val="none"/>
                <w:lang w:eastAsia="zh-CN"/>
              </w:rPr>
              <w:t>样品将作为投标文件的有效附件，中标人样品作为验收时的依据，</w:t>
            </w:r>
            <w:r>
              <w:rPr>
                <w:rFonts w:hint="eastAsia" w:ascii="宋体" w:hAnsi="宋体" w:cs="宋体"/>
                <w:color w:val="auto"/>
                <w:kern w:val="2"/>
                <w:sz w:val="24"/>
                <w:szCs w:val="24"/>
                <w:highlight w:val="none"/>
                <w:lang w:val="en-US" w:eastAsia="zh-CN"/>
              </w:rPr>
              <w:t>除中标人的样品在采购货物全部验收合格后退还外（中标人的样品在评审结束后由采购人统一保存）</w:t>
            </w:r>
            <w:r>
              <w:rPr>
                <w:rFonts w:hint="eastAsia" w:ascii="宋体" w:hAnsi="宋体" w:cs="宋体"/>
                <w:color w:val="auto"/>
                <w:kern w:val="2"/>
                <w:sz w:val="24"/>
                <w:szCs w:val="24"/>
                <w:highlight w:val="none"/>
                <w:lang w:eastAsia="zh-CN"/>
              </w:rPr>
              <w:t>，未中标人样品于评审结束后退还。若投标人所提供的样品在评审过程中受破坏，投标人需自行承担样品破坏经济损失</w:t>
            </w:r>
            <w:r>
              <w:rPr>
                <w:rFonts w:hint="eastAsia" w:ascii="宋体" w:hAnsi="宋体" w:cs="宋体"/>
                <w:color w:val="auto"/>
                <w:sz w:val="24"/>
                <w:szCs w:val="24"/>
                <w:highlight w:val="none"/>
              </w:rPr>
              <w:t>。</w:t>
            </w:r>
          </w:p>
        </w:tc>
      </w:tr>
      <w:tr w14:paraId="18F9B4F5">
        <w:tblPrEx>
          <w:tblCellMar>
            <w:top w:w="0" w:type="dxa"/>
            <w:left w:w="0" w:type="dxa"/>
            <w:bottom w:w="0" w:type="dxa"/>
            <w:right w:w="0" w:type="dxa"/>
          </w:tblCellMar>
        </w:tblPrEx>
        <w:trPr>
          <w:trHeight w:val="1576"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836D7D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5.1</w:t>
            </w:r>
          </w:p>
        </w:tc>
        <w:tc>
          <w:tcPr>
            <w:tcW w:w="1638" w:type="dxa"/>
            <w:tcBorders>
              <w:top w:val="single" w:color="auto" w:sz="8" w:space="0"/>
              <w:left w:val="nil"/>
              <w:bottom w:val="single" w:color="auto" w:sz="8" w:space="0"/>
              <w:right w:val="single" w:color="auto" w:sz="8" w:space="0"/>
            </w:tcBorders>
            <w:vAlign w:val="center"/>
          </w:tcPr>
          <w:p w14:paraId="6EFDDBF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开标时间</w:t>
            </w:r>
          </w:p>
          <w:p w14:paraId="24CD132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和地点</w:t>
            </w:r>
          </w:p>
        </w:tc>
        <w:tc>
          <w:tcPr>
            <w:tcW w:w="7196" w:type="dxa"/>
            <w:tcBorders>
              <w:top w:val="single" w:color="auto" w:sz="8" w:space="0"/>
              <w:left w:val="nil"/>
              <w:bottom w:val="single" w:color="auto" w:sz="8" w:space="0"/>
              <w:right w:val="single" w:color="auto" w:sz="8" w:space="0"/>
            </w:tcBorders>
            <w:vAlign w:val="center"/>
          </w:tcPr>
          <w:p w14:paraId="643C7A2D">
            <w:pPr>
              <w:spacing w:line="360" w:lineRule="auto"/>
              <w:jc w:val="left"/>
              <w:rPr>
                <w:rFonts w:ascii="宋体" w:hAnsi="宋体" w:cs="宋体"/>
                <w:color w:val="auto"/>
                <w:sz w:val="24"/>
                <w:highlight w:val="none"/>
              </w:rPr>
            </w:pPr>
            <w:r>
              <w:rPr>
                <w:rFonts w:hint="eastAsia" w:ascii="宋体" w:hAnsi="宋体" w:cs="宋体"/>
                <w:color w:val="auto"/>
                <w:sz w:val="24"/>
                <w:highlight w:val="none"/>
              </w:rPr>
              <w:t>（1）开标时间：同</w:t>
            </w:r>
            <w:r>
              <w:rPr>
                <w:rFonts w:hint="eastAsia" w:ascii="宋体" w:hAnsi="宋体" w:cs="宋体"/>
                <w:b w:val="0"/>
                <w:bCs w:val="0"/>
                <w:color w:val="auto"/>
                <w:sz w:val="24"/>
                <w:highlight w:val="none"/>
                <w:lang w:val="en-US" w:eastAsia="zh-CN"/>
              </w:rPr>
              <w:t>开启解密</w:t>
            </w:r>
            <w:r>
              <w:rPr>
                <w:rFonts w:hint="eastAsia" w:ascii="宋体" w:hAnsi="宋体" w:cs="宋体"/>
                <w:b w:val="0"/>
                <w:bCs w:val="0"/>
                <w:color w:val="auto"/>
                <w:sz w:val="24"/>
                <w:highlight w:val="none"/>
              </w:rPr>
              <w:t>时间</w:t>
            </w:r>
          </w:p>
          <w:p w14:paraId="55738725">
            <w:pPr>
              <w:spacing w:line="360" w:lineRule="auto"/>
              <w:jc w:val="left"/>
              <w:rPr>
                <w:rFonts w:ascii="宋体" w:hAnsi="宋体" w:cs="宋体"/>
                <w:color w:val="auto"/>
                <w:sz w:val="24"/>
                <w:highlight w:val="none"/>
              </w:rPr>
            </w:pPr>
            <w:r>
              <w:rPr>
                <w:rFonts w:hint="eastAsia" w:ascii="宋体" w:hAnsi="宋体" w:cs="宋体"/>
                <w:color w:val="auto"/>
                <w:sz w:val="24"/>
                <w:highlight w:val="none"/>
              </w:rPr>
              <w:t>（2）开标地点：政府采购云平台（https://www.zcygov.cn/）</w:t>
            </w:r>
          </w:p>
          <w:p w14:paraId="53991A5B">
            <w:pPr>
              <w:spacing w:line="360" w:lineRule="auto"/>
              <w:jc w:val="left"/>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注：供应商须在政采云平台进行远程解密电子版</w:t>
            </w:r>
            <w:r>
              <w:rPr>
                <w:rFonts w:hint="eastAsia" w:ascii="宋体" w:hAnsi="宋体" w:cs="宋体"/>
                <w:b/>
                <w:bCs/>
                <w:color w:val="auto"/>
                <w:sz w:val="24"/>
                <w:highlight w:val="none"/>
                <w:lang w:eastAsia="zh-CN"/>
              </w:rPr>
              <w:t>投标文件。</w:t>
            </w:r>
          </w:p>
        </w:tc>
      </w:tr>
      <w:tr w14:paraId="0AEF23F2">
        <w:tblPrEx>
          <w:tblCellMar>
            <w:top w:w="0" w:type="dxa"/>
            <w:left w:w="0" w:type="dxa"/>
            <w:bottom w:w="0" w:type="dxa"/>
            <w:right w:w="0" w:type="dxa"/>
          </w:tblCellMar>
        </w:tblPrEx>
        <w:trPr>
          <w:trHeight w:val="4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CD08CE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5.2</w:t>
            </w:r>
          </w:p>
        </w:tc>
        <w:tc>
          <w:tcPr>
            <w:tcW w:w="1638" w:type="dxa"/>
            <w:tcBorders>
              <w:top w:val="single" w:color="auto" w:sz="8" w:space="0"/>
              <w:left w:val="nil"/>
              <w:bottom w:val="single" w:color="auto" w:sz="8" w:space="0"/>
              <w:right w:val="single" w:color="auto" w:sz="8" w:space="0"/>
            </w:tcBorders>
            <w:vAlign w:val="center"/>
          </w:tcPr>
          <w:p w14:paraId="655929D8">
            <w:pPr>
              <w:spacing w:line="360" w:lineRule="auto"/>
              <w:jc w:val="center"/>
              <w:rPr>
                <w:rFonts w:ascii="宋体" w:hAnsi="宋体" w:cs="宋体"/>
                <w:color w:val="auto"/>
                <w:sz w:val="24"/>
                <w:highlight w:val="none"/>
              </w:rPr>
            </w:pP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文件解密</w:t>
            </w:r>
            <w:r>
              <w:rPr>
                <w:rFonts w:hint="eastAsia" w:ascii="宋体" w:hAnsi="宋体" w:cs="宋体"/>
                <w:color w:val="auto"/>
                <w:sz w:val="24"/>
                <w:highlight w:val="none"/>
                <w:lang w:val="en-US" w:eastAsia="zh-CN"/>
              </w:rPr>
              <w:t>与开启</w:t>
            </w:r>
          </w:p>
        </w:tc>
        <w:tc>
          <w:tcPr>
            <w:tcW w:w="7196" w:type="dxa"/>
            <w:tcBorders>
              <w:top w:val="single" w:color="auto" w:sz="8" w:space="0"/>
              <w:left w:val="nil"/>
              <w:bottom w:val="single" w:color="auto" w:sz="8" w:space="0"/>
              <w:right w:val="single" w:color="auto" w:sz="8" w:space="0"/>
            </w:tcBorders>
            <w:vAlign w:val="center"/>
          </w:tcPr>
          <w:p w14:paraId="14980C07">
            <w:pPr>
              <w:spacing w:line="360" w:lineRule="auto"/>
              <w:jc w:val="left"/>
              <w:rPr>
                <w:rFonts w:ascii="宋体" w:hAnsi="宋体" w:cs="宋体"/>
                <w:color w:val="auto"/>
                <w:sz w:val="24"/>
                <w:highlight w:val="none"/>
              </w:rPr>
            </w:pPr>
            <w:r>
              <w:rPr>
                <w:rFonts w:hint="eastAsia" w:ascii="宋体" w:hAnsi="宋体" w:cs="宋体"/>
                <w:color w:val="auto"/>
                <w:sz w:val="24"/>
                <w:highlight w:val="none"/>
              </w:rPr>
              <w:t>（1）采购代理机构依托电子交易平台发起开始解密指令，供应商须使用加密时所用的CA锁按平台提示和</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文件的规定登录到“政采云”平台电子开标大厅签到，并在发起解密指令之时起</w:t>
            </w:r>
            <w:r>
              <w:rPr>
                <w:rFonts w:hint="eastAsia" w:ascii="宋体" w:hAnsi="宋体" w:cs="宋体"/>
                <w:b/>
                <w:bCs/>
                <w:color w:val="auto"/>
                <w:sz w:val="24"/>
                <w:highlight w:val="none"/>
              </w:rPr>
              <w:t>30分钟</w:t>
            </w:r>
            <w:r>
              <w:rPr>
                <w:rFonts w:hint="eastAsia" w:ascii="宋体" w:hAnsi="宋体" w:cs="宋体"/>
                <w:color w:val="auto"/>
                <w:sz w:val="24"/>
                <w:highlight w:val="none"/>
              </w:rPr>
              <w:t>内完成对电子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文件在线解密。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因供应商原因造成投标文件未解密的，视为撤销其投标文件。</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）解密完成后系统自动导入有效的电子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val="en-US" w:eastAsia="zh-CN"/>
              </w:rPr>
              <w:t>开启</w:t>
            </w:r>
            <w:r>
              <w:rPr>
                <w:rFonts w:hint="eastAsia" w:ascii="宋体" w:hAnsi="宋体" w:cs="宋体"/>
                <w:color w:val="auto"/>
                <w:sz w:val="24"/>
                <w:highlight w:val="none"/>
              </w:rPr>
              <w:t>并记录在案。</w:t>
            </w:r>
          </w:p>
        </w:tc>
      </w:tr>
      <w:tr w14:paraId="171F1DCD">
        <w:tblPrEx>
          <w:tblCellMar>
            <w:top w:w="0" w:type="dxa"/>
            <w:left w:w="0" w:type="dxa"/>
            <w:bottom w:w="0" w:type="dxa"/>
            <w:right w:w="0" w:type="dxa"/>
          </w:tblCellMar>
        </w:tblPrEx>
        <w:trPr>
          <w:trHeight w:val="51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54277DD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6.1.1</w:t>
            </w:r>
          </w:p>
        </w:tc>
        <w:tc>
          <w:tcPr>
            <w:tcW w:w="1638" w:type="dxa"/>
            <w:tcBorders>
              <w:top w:val="single" w:color="auto" w:sz="8" w:space="0"/>
              <w:left w:val="nil"/>
              <w:bottom w:val="single" w:color="auto" w:sz="8" w:space="0"/>
              <w:right w:val="single" w:color="auto" w:sz="8" w:space="0"/>
            </w:tcBorders>
            <w:vAlign w:val="center"/>
          </w:tcPr>
          <w:p w14:paraId="073F22B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评标委员会的组建</w:t>
            </w:r>
          </w:p>
        </w:tc>
        <w:tc>
          <w:tcPr>
            <w:tcW w:w="7196" w:type="dxa"/>
            <w:tcBorders>
              <w:top w:val="single" w:color="auto" w:sz="8" w:space="0"/>
              <w:left w:val="nil"/>
              <w:bottom w:val="single" w:color="auto" w:sz="8" w:space="0"/>
              <w:right w:val="single" w:color="auto" w:sz="8" w:space="0"/>
            </w:tcBorders>
            <w:vAlign w:val="center"/>
          </w:tcPr>
          <w:p w14:paraId="144D1AC1">
            <w:pPr>
              <w:spacing w:line="360" w:lineRule="auto"/>
              <w:jc w:val="left"/>
              <w:rPr>
                <w:rFonts w:ascii="宋体" w:hAnsi="宋体" w:cs="宋体"/>
                <w:color w:val="auto"/>
                <w:sz w:val="24"/>
                <w:highlight w:val="none"/>
              </w:rPr>
            </w:pPr>
            <w:r>
              <w:rPr>
                <w:rFonts w:hint="eastAsia" w:ascii="宋体" w:hAnsi="宋体" w:cs="宋体"/>
                <w:color w:val="auto"/>
                <w:sz w:val="24"/>
                <w:highlight w:val="none"/>
              </w:rPr>
              <w:t>评标委员会人数：5人。</w:t>
            </w:r>
          </w:p>
          <w:p w14:paraId="6FC958D7">
            <w:pPr>
              <w:spacing w:line="360" w:lineRule="auto"/>
              <w:jc w:val="left"/>
              <w:rPr>
                <w:rFonts w:ascii="宋体" w:hAnsi="宋体" w:cs="宋体"/>
                <w:color w:val="auto"/>
                <w:sz w:val="24"/>
                <w:highlight w:val="none"/>
              </w:rPr>
            </w:pPr>
            <w:r>
              <w:rPr>
                <w:rFonts w:hint="eastAsia" w:ascii="宋体" w:hAnsi="宋体" w:cs="宋体"/>
                <w:color w:val="auto"/>
                <w:sz w:val="24"/>
                <w:highlight w:val="none"/>
              </w:rPr>
              <w:t>评标专家确定方式：在《云南省政府采购评审专家库》中随机抽取4人，采购人代表1人。</w:t>
            </w:r>
          </w:p>
          <w:p w14:paraId="13B56C48">
            <w:pPr>
              <w:spacing w:line="360" w:lineRule="auto"/>
              <w:jc w:val="left"/>
              <w:rPr>
                <w:rFonts w:ascii="宋体" w:hAnsi="宋体" w:cs="宋体"/>
                <w:color w:val="auto"/>
                <w:sz w:val="24"/>
                <w:highlight w:val="none"/>
              </w:rPr>
            </w:pPr>
            <w:r>
              <w:rPr>
                <w:rFonts w:hint="eastAsia" w:ascii="宋体" w:hAnsi="宋体" w:cs="宋体"/>
                <w:color w:val="auto"/>
                <w:sz w:val="24"/>
                <w:highlight w:val="none"/>
              </w:rPr>
              <w:t>注：特殊情况经审批后确定。</w:t>
            </w:r>
          </w:p>
        </w:tc>
      </w:tr>
      <w:tr w14:paraId="11DBFBA0">
        <w:tblPrEx>
          <w:tblCellMar>
            <w:top w:w="0" w:type="dxa"/>
            <w:left w:w="0" w:type="dxa"/>
            <w:bottom w:w="0" w:type="dxa"/>
            <w:right w:w="0" w:type="dxa"/>
          </w:tblCellMar>
        </w:tblPrEx>
        <w:trPr>
          <w:trHeight w:val="124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5B7A73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6.3.2</w:t>
            </w:r>
          </w:p>
        </w:tc>
        <w:tc>
          <w:tcPr>
            <w:tcW w:w="1638" w:type="dxa"/>
            <w:tcBorders>
              <w:top w:val="single" w:color="auto" w:sz="8" w:space="0"/>
              <w:left w:val="nil"/>
              <w:bottom w:val="single" w:color="auto" w:sz="8" w:space="0"/>
              <w:right w:val="single" w:color="auto" w:sz="8" w:space="0"/>
            </w:tcBorders>
            <w:vAlign w:val="center"/>
          </w:tcPr>
          <w:p w14:paraId="2D106D7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评标委员会推荐中标候选人的人数</w:t>
            </w:r>
          </w:p>
        </w:tc>
        <w:tc>
          <w:tcPr>
            <w:tcW w:w="7196" w:type="dxa"/>
            <w:tcBorders>
              <w:top w:val="single" w:color="auto" w:sz="8" w:space="0"/>
              <w:left w:val="nil"/>
              <w:bottom w:val="single" w:color="auto" w:sz="8" w:space="0"/>
              <w:right w:val="single" w:color="auto" w:sz="8" w:space="0"/>
            </w:tcBorders>
            <w:vAlign w:val="center"/>
          </w:tcPr>
          <w:p w14:paraId="51B9CB97">
            <w:pPr>
              <w:spacing w:line="360" w:lineRule="auto"/>
              <w:jc w:val="left"/>
              <w:rPr>
                <w:rFonts w:ascii="宋体" w:hAnsi="宋体" w:cs="宋体"/>
                <w:color w:val="auto"/>
                <w:sz w:val="24"/>
                <w:highlight w:val="none"/>
              </w:rPr>
            </w:pPr>
            <w:r>
              <w:rPr>
                <w:rFonts w:hint="eastAsia" w:ascii="宋体" w:hAnsi="宋体" w:cs="宋体"/>
                <w:color w:val="auto"/>
                <w:sz w:val="24"/>
                <w:highlight w:val="none"/>
              </w:rPr>
              <w:t>评标委员会推荐的中标候选人的人数：3名。</w:t>
            </w:r>
          </w:p>
        </w:tc>
      </w:tr>
      <w:tr w14:paraId="74A19BB7">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364C2C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7.1</w:t>
            </w:r>
          </w:p>
        </w:tc>
        <w:tc>
          <w:tcPr>
            <w:tcW w:w="1638" w:type="dxa"/>
            <w:tcBorders>
              <w:top w:val="single" w:color="auto" w:sz="8" w:space="0"/>
              <w:left w:val="nil"/>
              <w:bottom w:val="single" w:color="auto" w:sz="8" w:space="0"/>
              <w:right w:val="single" w:color="auto" w:sz="8" w:space="0"/>
            </w:tcBorders>
            <w:vAlign w:val="center"/>
          </w:tcPr>
          <w:p w14:paraId="6971F6F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是否授权评标委员会确定中标人</w:t>
            </w:r>
          </w:p>
        </w:tc>
        <w:tc>
          <w:tcPr>
            <w:tcW w:w="7196" w:type="dxa"/>
            <w:tcBorders>
              <w:top w:val="single" w:color="auto" w:sz="8" w:space="0"/>
              <w:left w:val="nil"/>
              <w:bottom w:val="single" w:color="auto" w:sz="8" w:space="0"/>
              <w:right w:val="single" w:color="auto" w:sz="8" w:space="0"/>
            </w:tcBorders>
            <w:vAlign w:val="center"/>
          </w:tcPr>
          <w:p w14:paraId="03F24CC8">
            <w:pPr>
              <w:spacing w:line="360" w:lineRule="auto"/>
              <w:jc w:val="left"/>
              <w:rPr>
                <w:rFonts w:ascii="宋体" w:hAnsi="宋体" w:cs="宋体"/>
                <w:color w:val="auto"/>
                <w:sz w:val="24"/>
                <w:highlight w:val="none"/>
              </w:rPr>
            </w:pPr>
            <w:r>
              <w:rPr>
                <w:rFonts w:hint="eastAsia" w:ascii="宋体" w:hAnsi="宋体" w:cs="宋体"/>
                <w:color w:val="auto"/>
                <w:sz w:val="24"/>
                <w:highlight w:val="none"/>
              </w:rPr>
              <w:t>□是</w:t>
            </w:r>
          </w:p>
          <w:p w14:paraId="59D12401">
            <w:pPr>
              <w:spacing w:line="360" w:lineRule="auto"/>
              <w:jc w:val="left"/>
              <w:rPr>
                <w:rFonts w:ascii="宋体" w:hAnsi="宋体" w:cs="宋体"/>
                <w:color w:val="auto"/>
                <w:sz w:val="24"/>
                <w:highlight w:val="none"/>
              </w:rPr>
            </w:pPr>
            <w:r>
              <w:rPr>
                <w:rFonts w:hint="eastAsia" w:ascii="宋体" w:hAnsi="宋体" w:cs="宋体"/>
                <w:color w:val="auto"/>
                <w:sz w:val="24"/>
                <w:highlight w:val="none"/>
              </w:rPr>
              <w:t>☑否，评标委员会依据本招标文件规定的评标标准和方法，对按最终得分从高到低的顺序推荐出3名中标候选人。采购人依据评标委员会推荐的中标候选人排序确定第一中标候选人为本项目的中标人。</w:t>
            </w:r>
          </w:p>
        </w:tc>
      </w:tr>
      <w:tr w14:paraId="625331E4">
        <w:tblPrEx>
          <w:tblCellMar>
            <w:top w:w="0" w:type="dxa"/>
            <w:left w:w="0" w:type="dxa"/>
            <w:bottom w:w="0" w:type="dxa"/>
            <w:right w:w="0" w:type="dxa"/>
          </w:tblCellMar>
        </w:tblPrEx>
        <w:trPr>
          <w:trHeight w:val="90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9BBC17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7.2</w:t>
            </w:r>
          </w:p>
        </w:tc>
        <w:tc>
          <w:tcPr>
            <w:tcW w:w="1638" w:type="dxa"/>
            <w:tcBorders>
              <w:top w:val="single" w:color="auto" w:sz="8" w:space="0"/>
              <w:left w:val="nil"/>
              <w:bottom w:val="single" w:color="auto" w:sz="8" w:space="0"/>
              <w:right w:val="single" w:color="auto" w:sz="8" w:space="0"/>
            </w:tcBorders>
            <w:vAlign w:val="center"/>
          </w:tcPr>
          <w:p w14:paraId="71B6BE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中标公告媒介及期限</w:t>
            </w:r>
          </w:p>
        </w:tc>
        <w:tc>
          <w:tcPr>
            <w:tcW w:w="7196" w:type="dxa"/>
            <w:tcBorders>
              <w:top w:val="single" w:color="auto" w:sz="8" w:space="0"/>
              <w:left w:val="nil"/>
              <w:bottom w:val="single" w:color="auto" w:sz="8" w:space="0"/>
              <w:right w:val="single" w:color="auto" w:sz="8" w:space="0"/>
            </w:tcBorders>
            <w:vAlign w:val="center"/>
          </w:tcPr>
          <w:p w14:paraId="5402B854">
            <w:pPr>
              <w:spacing w:line="360" w:lineRule="auto"/>
              <w:jc w:val="left"/>
              <w:rPr>
                <w:rFonts w:ascii="宋体" w:hAnsi="宋体" w:cs="宋体"/>
                <w:color w:val="auto"/>
                <w:sz w:val="24"/>
                <w:highlight w:val="none"/>
              </w:rPr>
            </w:pPr>
            <w:r>
              <w:rPr>
                <w:rFonts w:hint="eastAsia" w:ascii="宋体" w:hAnsi="宋体" w:cs="宋体"/>
                <w:color w:val="auto"/>
                <w:sz w:val="24"/>
                <w:highlight w:val="none"/>
              </w:rPr>
              <w:t>公告媒介：同发布招标公告的媒介</w:t>
            </w:r>
          </w:p>
          <w:p w14:paraId="65FE0E9B">
            <w:pPr>
              <w:spacing w:line="360" w:lineRule="auto"/>
              <w:jc w:val="left"/>
              <w:rPr>
                <w:rFonts w:ascii="宋体" w:hAnsi="宋体" w:cs="宋体"/>
                <w:color w:val="auto"/>
                <w:sz w:val="24"/>
                <w:highlight w:val="none"/>
              </w:rPr>
            </w:pPr>
            <w:r>
              <w:rPr>
                <w:rFonts w:hint="eastAsia" w:ascii="宋体" w:hAnsi="宋体" w:cs="宋体"/>
                <w:color w:val="auto"/>
                <w:sz w:val="24"/>
                <w:highlight w:val="none"/>
              </w:rPr>
              <w:t>公告期限：1个工作日</w:t>
            </w:r>
          </w:p>
        </w:tc>
      </w:tr>
      <w:tr w14:paraId="5F859E00">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0BF8BA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7.4.1</w:t>
            </w:r>
          </w:p>
        </w:tc>
        <w:tc>
          <w:tcPr>
            <w:tcW w:w="1638" w:type="dxa"/>
            <w:tcBorders>
              <w:top w:val="single" w:color="auto" w:sz="8" w:space="0"/>
              <w:left w:val="nil"/>
              <w:bottom w:val="single" w:color="auto" w:sz="8" w:space="0"/>
              <w:right w:val="single" w:color="auto" w:sz="8" w:space="0"/>
            </w:tcBorders>
            <w:vAlign w:val="center"/>
          </w:tcPr>
          <w:p w14:paraId="156975C8">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履约保证金</w:t>
            </w:r>
          </w:p>
        </w:tc>
        <w:tc>
          <w:tcPr>
            <w:tcW w:w="7196" w:type="dxa"/>
            <w:tcBorders>
              <w:top w:val="single" w:color="auto" w:sz="8" w:space="0"/>
              <w:left w:val="nil"/>
              <w:bottom w:val="single" w:color="auto" w:sz="8" w:space="0"/>
              <w:right w:val="single" w:color="auto" w:sz="8" w:space="0"/>
            </w:tcBorders>
            <w:vAlign w:val="center"/>
          </w:tcPr>
          <w:p w14:paraId="0F63136A">
            <w:pPr>
              <w:pStyle w:val="6"/>
              <w:topLinePunct/>
              <w:spacing w:line="360" w:lineRule="auto"/>
              <w:rPr>
                <w:rFonts w:hAnsi="宋体" w:cs="宋体"/>
                <w:color w:val="auto"/>
                <w:highlight w:val="none"/>
              </w:rPr>
            </w:pPr>
            <w:r>
              <w:rPr>
                <w:rFonts w:hint="eastAsia" w:hAnsi="宋体" w:cs="宋体"/>
                <w:color w:val="auto"/>
                <w:highlight w:val="none"/>
              </w:rPr>
              <w:t>是否要求中标人提交履约保证金：</w:t>
            </w:r>
          </w:p>
          <w:p w14:paraId="217FC54E">
            <w:pPr>
              <w:pStyle w:val="6"/>
              <w:topLinePunct/>
              <w:spacing w:line="360" w:lineRule="auto"/>
              <w:rPr>
                <w:rFonts w:hAnsi="宋体" w:cs="宋体"/>
                <w:color w:val="auto"/>
                <w:highlight w:val="none"/>
              </w:rPr>
            </w:pPr>
            <w:r>
              <w:rPr>
                <w:rFonts w:hint="eastAsia" w:hAnsi="宋体" w:cs="宋体"/>
                <w:color w:val="auto"/>
                <w:highlight w:val="none"/>
              </w:rPr>
              <w:t>□要求，</w:t>
            </w:r>
          </w:p>
          <w:p w14:paraId="35175EEE">
            <w:pPr>
              <w:pStyle w:val="6"/>
              <w:topLinePunct/>
              <w:spacing w:line="360" w:lineRule="auto"/>
              <w:rPr>
                <w:rFonts w:hAnsi="宋体" w:cs="宋体"/>
                <w:color w:val="auto"/>
                <w:highlight w:val="none"/>
              </w:rPr>
            </w:pPr>
            <w:r>
              <w:rPr>
                <w:rFonts w:hint="eastAsia" w:hAnsi="宋体" w:cs="宋体"/>
                <w:color w:val="auto"/>
                <w:highlight w:val="none"/>
              </w:rPr>
              <w:t>履约担保的金额：/</w:t>
            </w:r>
          </w:p>
          <w:p w14:paraId="102E940E">
            <w:pPr>
              <w:pStyle w:val="6"/>
              <w:topLinePunct/>
              <w:spacing w:line="360" w:lineRule="auto"/>
              <w:rPr>
                <w:rFonts w:hAnsi="宋体" w:cs="宋体"/>
                <w:color w:val="auto"/>
                <w:highlight w:val="none"/>
              </w:rPr>
            </w:pPr>
            <w:r>
              <w:rPr>
                <w:rFonts w:hint="eastAsia" w:hAnsi="宋体" w:cs="宋体"/>
                <w:color w:val="auto"/>
                <w:kern w:val="0"/>
                <w:highlight w:val="none"/>
              </w:rPr>
              <w:t>☑不要求</w:t>
            </w:r>
          </w:p>
        </w:tc>
      </w:tr>
      <w:tr w14:paraId="63399D75">
        <w:tblPrEx>
          <w:tblCellMar>
            <w:top w:w="0" w:type="dxa"/>
            <w:left w:w="0" w:type="dxa"/>
            <w:bottom w:w="0" w:type="dxa"/>
            <w:right w:w="0" w:type="dxa"/>
          </w:tblCellMar>
        </w:tblPrEx>
        <w:trPr>
          <w:trHeight w:val="291"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7571C3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1638" w:type="dxa"/>
            <w:tcBorders>
              <w:top w:val="single" w:color="auto" w:sz="8" w:space="0"/>
              <w:left w:val="nil"/>
              <w:bottom w:val="single" w:color="auto" w:sz="8" w:space="0"/>
              <w:right w:val="single" w:color="auto" w:sz="8" w:space="0"/>
            </w:tcBorders>
            <w:vAlign w:val="center"/>
          </w:tcPr>
          <w:p w14:paraId="5640E75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询问与答复</w:t>
            </w:r>
          </w:p>
        </w:tc>
        <w:tc>
          <w:tcPr>
            <w:tcW w:w="7196" w:type="dxa"/>
            <w:tcBorders>
              <w:top w:val="single" w:color="auto" w:sz="8" w:space="0"/>
              <w:left w:val="nil"/>
              <w:bottom w:val="single" w:color="auto" w:sz="8" w:space="0"/>
              <w:right w:val="single" w:color="auto" w:sz="8" w:space="0"/>
            </w:tcBorders>
            <w:vAlign w:val="center"/>
          </w:tcPr>
          <w:p w14:paraId="445ACF8D">
            <w:pPr>
              <w:spacing w:line="360" w:lineRule="auto"/>
              <w:jc w:val="left"/>
              <w:rPr>
                <w:rFonts w:ascii="宋体" w:hAnsi="宋体" w:cs="宋体"/>
                <w:color w:val="auto"/>
                <w:sz w:val="24"/>
                <w:highlight w:val="none"/>
              </w:rPr>
            </w:pPr>
            <w:r>
              <w:rPr>
                <w:rFonts w:hint="eastAsia" w:ascii="宋体" w:hAnsi="宋体" w:cs="宋体"/>
                <w:color w:val="auto"/>
                <w:sz w:val="24"/>
                <w:highlight w:val="none"/>
              </w:rPr>
              <w:t>凡对本次招标采购活动事项有疑问的，可以向采购代理机构提出询问，采购代理机构将及时作出答复，但答复的内容不得涉及商业秘密。</w:t>
            </w:r>
          </w:p>
        </w:tc>
      </w:tr>
      <w:tr w14:paraId="712A4541">
        <w:tblPrEx>
          <w:tblCellMar>
            <w:top w:w="0" w:type="dxa"/>
            <w:left w:w="0" w:type="dxa"/>
            <w:bottom w:w="0" w:type="dxa"/>
            <w:right w:w="0" w:type="dxa"/>
          </w:tblCellMar>
        </w:tblPrEx>
        <w:trPr>
          <w:trHeight w:val="175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20ED8B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10.1</w:t>
            </w:r>
          </w:p>
          <w:p w14:paraId="51AB1A7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10.2</w:t>
            </w:r>
          </w:p>
        </w:tc>
        <w:tc>
          <w:tcPr>
            <w:tcW w:w="1638" w:type="dxa"/>
            <w:tcBorders>
              <w:top w:val="single" w:color="auto" w:sz="8" w:space="0"/>
              <w:left w:val="nil"/>
              <w:bottom w:val="single" w:color="auto" w:sz="8" w:space="0"/>
              <w:right w:val="single" w:color="auto" w:sz="8" w:space="0"/>
            </w:tcBorders>
            <w:vAlign w:val="center"/>
          </w:tcPr>
          <w:p w14:paraId="4384847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对招标文件中的内容、采购过程及中标结果的质疑及回复</w:t>
            </w:r>
          </w:p>
        </w:tc>
        <w:tc>
          <w:tcPr>
            <w:tcW w:w="7196" w:type="dxa"/>
            <w:tcBorders>
              <w:top w:val="single" w:color="auto" w:sz="8" w:space="0"/>
              <w:left w:val="nil"/>
              <w:bottom w:val="single" w:color="auto" w:sz="8" w:space="0"/>
              <w:right w:val="single" w:color="auto" w:sz="8" w:space="0"/>
            </w:tcBorders>
            <w:vAlign w:val="center"/>
          </w:tcPr>
          <w:p w14:paraId="7E8F977E">
            <w:pPr>
              <w:spacing w:line="360" w:lineRule="auto"/>
              <w:jc w:val="left"/>
              <w:rPr>
                <w:rFonts w:ascii="宋体" w:hAnsi="宋体" w:cs="宋体"/>
                <w:color w:val="auto"/>
                <w:sz w:val="24"/>
                <w:highlight w:val="none"/>
              </w:rPr>
            </w:pPr>
            <w:r>
              <w:rPr>
                <w:rFonts w:hint="eastAsia" w:ascii="宋体" w:hAnsi="宋体" w:cs="宋体"/>
                <w:color w:val="auto"/>
                <w:sz w:val="24"/>
                <w:highlight w:val="none"/>
              </w:rPr>
              <w:t>详见总则10.1条“质疑接收”及10.2条“质疑回复”</w:t>
            </w:r>
          </w:p>
        </w:tc>
      </w:tr>
      <w:tr w14:paraId="382D84CE">
        <w:tblPrEx>
          <w:tblCellMar>
            <w:top w:w="0" w:type="dxa"/>
            <w:left w:w="0" w:type="dxa"/>
            <w:bottom w:w="0" w:type="dxa"/>
            <w:right w:w="0" w:type="dxa"/>
          </w:tblCellMar>
        </w:tblPrEx>
        <w:trPr>
          <w:trHeight w:val="39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C6CC39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1638" w:type="dxa"/>
            <w:tcBorders>
              <w:top w:val="single" w:color="auto" w:sz="8" w:space="0"/>
              <w:left w:val="nil"/>
              <w:bottom w:val="single" w:color="auto" w:sz="8" w:space="0"/>
              <w:right w:val="single" w:color="auto" w:sz="8" w:space="0"/>
            </w:tcBorders>
            <w:vAlign w:val="center"/>
          </w:tcPr>
          <w:p w14:paraId="2082DC2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投诉</w:t>
            </w:r>
          </w:p>
        </w:tc>
        <w:tc>
          <w:tcPr>
            <w:tcW w:w="7196" w:type="dxa"/>
            <w:tcBorders>
              <w:top w:val="single" w:color="auto" w:sz="8" w:space="0"/>
              <w:left w:val="nil"/>
              <w:bottom w:val="single" w:color="auto" w:sz="8" w:space="0"/>
              <w:right w:val="single" w:color="auto" w:sz="8" w:space="0"/>
            </w:tcBorders>
            <w:vAlign w:val="center"/>
          </w:tcPr>
          <w:p w14:paraId="35DF08E5">
            <w:pPr>
              <w:spacing w:line="360" w:lineRule="auto"/>
              <w:jc w:val="left"/>
              <w:rPr>
                <w:rFonts w:ascii="宋体" w:hAnsi="宋体" w:cs="宋体"/>
                <w:color w:val="auto"/>
                <w:sz w:val="24"/>
                <w:highlight w:val="none"/>
              </w:rPr>
            </w:pPr>
            <w:r>
              <w:rPr>
                <w:rFonts w:hint="eastAsia" w:ascii="宋体" w:hAnsi="宋体" w:cs="宋体"/>
                <w:color w:val="auto"/>
                <w:sz w:val="24"/>
                <w:highlight w:val="none"/>
              </w:rPr>
              <w:t>详见总则11条“投诉”</w:t>
            </w:r>
          </w:p>
        </w:tc>
      </w:tr>
      <w:tr w14:paraId="5358B798">
        <w:tblPrEx>
          <w:tblCellMar>
            <w:top w:w="0" w:type="dxa"/>
            <w:left w:w="0" w:type="dxa"/>
            <w:bottom w:w="0" w:type="dxa"/>
            <w:right w:w="0" w:type="dxa"/>
          </w:tblCellMar>
        </w:tblPrEx>
        <w:trPr>
          <w:trHeight w:val="397"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21F104C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8834" w:type="dxa"/>
            <w:gridSpan w:val="2"/>
            <w:tcBorders>
              <w:top w:val="single" w:color="auto" w:sz="8" w:space="0"/>
              <w:left w:val="nil"/>
              <w:bottom w:val="single" w:color="auto" w:sz="8" w:space="0"/>
              <w:right w:val="single" w:color="auto" w:sz="8" w:space="0"/>
            </w:tcBorders>
            <w:vAlign w:val="center"/>
          </w:tcPr>
          <w:p w14:paraId="5400CBD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需要补充的其他内容</w:t>
            </w:r>
          </w:p>
        </w:tc>
      </w:tr>
      <w:tr w14:paraId="6CD8D5EE">
        <w:tblPrEx>
          <w:tblCellMar>
            <w:top w:w="0" w:type="dxa"/>
            <w:left w:w="0" w:type="dxa"/>
            <w:bottom w:w="0" w:type="dxa"/>
            <w:right w:w="0" w:type="dxa"/>
          </w:tblCellMar>
        </w:tblPrEx>
        <w:trPr>
          <w:trHeight w:val="96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1F26C9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12.1</w:t>
            </w:r>
          </w:p>
        </w:tc>
        <w:tc>
          <w:tcPr>
            <w:tcW w:w="1638" w:type="dxa"/>
            <w:tcBorders>
              <w:top w:val="single" w:color="auto" w:sz="8" w:space="0"/>
              <w:left w:val="nil"/>
              <w:bottom w:val="single" w:color="auto" w:sz="8" w:space="0"/>
              <w:right w:val="single" w:color="auto" w:sz="8" w:space="0"/>
            </w:tcBorders>
            <w:vAlign w:val="center"/>
          </w:tcPr>
          <w:p w14:paraId="27138B0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评标方法</w:t>
            </w:r>
          </w:p>
        </w:tc>
        <w:tc>
          <w:tcPr>
            <w:tcW w:w="7196" w:type="dxa"/>
            <w:tcBorders>
              <w:top w:val="single" w:color="auto" w:sz="8" w:space="0"/>
              <w:left w:val="nil"/>
              <w:bottom w:val="single" w:color="auto" w:sz="8" w:space="0"/>
              <w:right w:val="single" w:color="auto" w:sz="8" w:space="0"/>
            </w:tcBorders>
            <w:vAlign w:val="center"/>
          </w:tcPr>
          <w:p w14:paraId="324C9031">
            <w:pPr>
              <w:spacing w:line="360" w:lineRule="auto"/>
              <w:jc w:val="left"/>
              <w:rPr>
                <w:rFonts w:ascii="宋体" w:hAnsi="宋体" w:cs="宋体"/>
                <w:color w:val="auto"/>
                <w:sz w:val="24"/>
                <w:highlight w:val="none"/>
              </w:rPr>
            </w:pPr>
            <w:r>
              <w:rPr>
                <w:rFonts w:hint="eastAsia" w:ascii="宋体" w:hAnsi="宋体" w:cs="宋体"/>
                <w:color w:val="auto"/>
                <w:sz w:val="24"/>
                <w:highlight w:val="none"/>
              </w:rPr>
              <w:t>☑综合评分法</w:t>
            </w:r>
          </w:p>
          <w:p w14:paraId="27F20BF6">
            <w:pPr>
              <w:spacing w:line="360" w:lineRule="auto"/>
              <w:jc w:val="left"/>
              <w:rPr>
                <w:rFonts w:ascii="宋体" w:hAnsi="宋体" w:cs="宋体"/>
                <w:color w:val="auto"/>
                <w:sz w:val="24"/>
                <w:highlight w:val="none"/>
              </w:rPr>
            </w:pPr>
            <w:r>
              <w:rPr>
                <w:rFonts w:hint="eastAsia" w:ascii="宋体" w:hAnsi="宋体" w:cs="宋体"/>
                <w:color w:val="auto"/>
                <w:sz w:val="24"/>
                <w:highlight w:val="none"/>
              </w:rPr>
              <w:t>□最低评标价法</w:t>
            </w:r>
          </w:p>
        </w:tc>
      </w:tr>
      <w:tr w14:paraId="26D4490A">
        <w:tblPrEx>
          <w:tblCellMar>
            <w:top w:w="0" w:type="dxa"/>
            <w:left w:w="0" w:type="dxa"/>
            <w:bottom w:w="0" w:type="dxa"/>
            <w:right w:w="0" w:type="dxa"/>
          </w:tblCellMar>
        </w:tblPrEx>
        <w:trPr>
          <w:trHeight w:val="479"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83D170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12.2</w:t>
            </w:r>
          </w:p>
        </w:tc>
        <w:tc>
          <w:tcPr>
            <w:tcW w:w="1638" w:type="dxa"/>
            <w:tcBorders>
              <w:top w:val="single" w:color="auto" w:sz="8" w:space="0"/>
              <w:left w:val="nil"/>
              <w:bottom w:val="single" w:color="auto" w:sz="8" w:space="0"/>
              <w:right w:val="single" w:color="auto" w:sz="8" w:space="0"/>
            </w:tcBorders>
            <w:vAlign w:val="center"/>
          </w:tcPr>
          <w:p w14:paraId="31B200E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追加合同金额</w:t>
            </w:r>
          </w:p>
        </w:tc>
        <w:tc>
          <w:tcPr>
            <w:tcW w:w="7196" w:type="dxa"/>
            <w:tcBorders>
              <w:top w:val="single" w:color="auto" w:sz="8" w:space="0"/>
              <w:left w:val="nil"/>
              <w:bottom w:val="single" w:color="auto" w:sz="8" w:space="0"/>
              <w:right w:val="single" w:color="auto" w:sz="8" w:space="0"/>
            </w:tcBorders>
            <w:vAlign w:val="center"/>
          </w:tcPr>
          <w:p w14:paraId="5BDE5C75">
            <w:pPr>
              <w:spacing w:line="360" w:lineRule="auto"/>
              <w:jc w:val="left"/>
              <w:rPr>
                <w:rFonts w:ascii="宋体" w:hAnsi="宋体" w:cs="宋体"/>
                <w:color w:val="auto"/>
                <w:sz w:val="24"/>
                <w:highlight w:val="none"/>
              </w:rPr>
            </w:pPr>
            <w:r>
              <w:rPr>
                <w:rFonts w:hint="eastAsia" w:ascii="宋体" w:hAnsi="宋体" w:cs="宋体"/>
                <w:color w:val="auto"/>
                <w:sz w:val="24"/>
                <w:highlight w:val="none"/>
              </w:rPr>
              <w:t>政府采购合同履行中，采购人需追加与合同标的相同的</w:t>
            </w:r>
            <w:r>
              <w:rPr>
                <w:rFonts w:hint="eastAsia" w:ascii="宋体" w:hAnsi="宋体" w:cs="宋体"/>
                <w:color w:val="auto"/>
                <w:sz w:val="24"/>
                <w:highlight w:val="none"/>
                <w:lang w:val="en-US" w:eastAsia="zh-CN"/>
              </w:rPr>
              <w:t>货物</w:t>
            </w:r>
            <w:r>
              <w:rPr>
                <w:rFonts w:hint="eastAsia" w:ascii="宋体" w:hAnsi="宋体" w:cs="宋体"/>
                <w:color w:val="auto"/>
                <w:sz w:val="24"/>
                <w:highlight w:val="none"/>
              </w:rPr>
              <w:t>的，在不改变合同其他条款的前提下，可以与中标投标人签订补充合同，但所有补充合同的采购金额变更不得超过原合同采购金额的10%，其中金额增加需办理合同追加手续。</w:t>
            </w:r>
          </w:p>
        </w:tc>
      </w:tr>
      <w:tr w14:paraId="04370C92">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0075A1A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12.3</w:t>
            </w:r>
          </w:p>
        </w:tc>
        <w:tc>
          <w:tcPr>
            <w:tcW w:w="1638" w:type="dxa"/>
            <w:tcBorders>
              <w:top w:val="single" w:color="auto" w:sz="8" w:space="0"/>
              <w:left w:val="nil"/>
              <w:bottom w:val="single" w:color="auto" w:sz="8" w:space="0"/>
              <w:right w:val="single" w:color="auto" w:sz="8" w:space="0"/>
            </w:tcBorders>
            <w:vAlign w:val="center"/>
          </w:tcPr>
          <w:p w14:paraId="22C6DFC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信用查询具体要求</w:t>
            </w:r>
          </w:p>
        </w:tc>
        <w:tc>
          <w:tcPr>
            <w:tcW w:w="7196" w:type="dxa"/>
            <w:tcBorders>
              <w:top w:val="single" w:color="auto" w:sz="8" w:space="0"/>
              <w:left w:val="nil"/>
              <w:bottom w:val="single" w:color="auto" w:sz="8" w:space="0"/>
              <w:right w:val="single" w:color="auto" w:sz="8" w:space="0"/>
            </w:tcBorders>
            <w:vAlign w:val="center"/>
          </w:tcPr>
          <w:p w14:paraId="54FC553E">
            <w:pPr>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本项目将执行在政府采购活动中查询及使用信用记录的规定，具体要求为：</w:t>
            </w:r>
          </w:p>
          <w:p w14:paraId="2D40A3C0">
            <w:pPr>
              <w:spacing w:line="360" w:lineRule="auto"/>
              <w:jc w:val="left"/>
              <w:rPr>
                <w:rFonts w:ascii="宋体" w:hAnsi="宋体" w:cs="宋体"/>
                <w:color w:val="auto"/>
                <w:sz w:val="24"/>
                <w:highlight w:val="none"/>
              </w:rPr>
            </w:pPr>
            <w:r>
              <w:rPr>
                <w:rFonts w:hint="eastAsia" w:ascii="宋体" w:hAnsi="宋体" w:cs="宋体"/>
                <w:color w:val="auto"/>
                <w:sz w:val="24"/>
                <w:highlight w:val="none"/>
              </w:rPr>
              <w:t>（1）①投标人应在信用中国（www.creditchina.gov.cn）中未被列入失信被执行人；②投标人应在信用中国（www.creditchina.gov.cn）中未被列入重大税收违法失信主体；③投标人应在中国政府采购网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中未被列入政府采购严重违法失信行为记录名单（被禁止在一定期限内参加政府采购活动但期限届满的除外）；</w:t>
            </w:r>
          </w:p>
          <w:p w14:paraId="4B5064A1">
            <w:pPr>
              <w:spacing w:line="360" w:lineRule="auto"/>
              <w:jc w:val="left"/>
              <w:rPr>
                <w:rFonts w:ascii="宋体" w:hAnsi="宋体" w:cs="宋体"/>
                <w:color w:val="auto"/>
                <w:sz w:val="24"/>
                <w:highlight w:val="none"/>
              </w:rPr>
            </w:pPr>
            <w:r>
              <w:rPr>
                <w:rFonts w:hint="eastAsia" w:ascii="宋体" w:hAnsi="宋体" w:cs="宋体"/>
                <w:color w:val="auto"/>
                <w:sz w:val="24"/>
                <w:highlight w:val="none"/>
              </w:rPr>
              <w:t>（2）信用信息查询的截止时点：提交投标文件截止时间；</w:t>
            </w:r>
          </w:p>
          <w:p w14:paraId="35D5AC7A">
            <w:pPr>
              <w:spacing w:line="360" w:lineRule="auto"/>
              <w:jc w:val="left"/>
              <w:rPr>
                <w:rFonts w:ascii="宋体" w:hAnsi="宋体" w:cs="宋体"/>
                <w:color w:val="auto"/>
                <w:sz w:val="24"/>
                <w:highlight w:val="none"/>
              </w:rPr>
            </w:pPr>
            <w:r>
              <w:rPr>
                <w:rFonts w:hint="eastAsia" w:ascii="宋体" w:hAnsi="宋体" w:cs="宋体"/>
                <w:color w:val="auto"/>
                <w:sz w:val="24"/>
                <w:highlight w:val="none"/>
              </w:rPr>
              <w:t>（3）信用信息查询渠道：“信用中国”、“中国政府采购网”；</w:t>
            </w:r>
          </w:p>
          <w:p w14:paraId="54EFED1C">
            <w:pPr>
              <w:spacing w:line="360" w:lineRule="auto"/>
              <w:jc w:val="left"/>
              <w:rPr>
                <w:rFonts w:ascii="宋体" w:hAnsi="宋体" w:cs="宋体"/>
                <w:color w:val="auto"/>
                <w:sz w:val="24"/>
                <w:highlight w:val="none"/>
              </w:rPr>
            </w:pPr>
            <w:r>
              <w:rPr>
                <w:rFonts w:hint="eastAsia" w:ascii="宋体" w:hAnsi="宋体" w:cs="宋体"/>
                <w:color w:val="auto"/>
                <w:sz w:val="24"/>
                <w:highlight w:val="none"/>
              </w:rPr>
              <w:t>（4）信用信息查询记录和证据留存具体方式：采购人、采购代理机构将经查询存在不良信用记录的潜在投标人查询结果证明材料作为查询记录和证据，与其他招标文件一并保存；</w:t>
            </w:r>
          </w:p>
          <w:p w14:paraId="61A53BEC">
            <w:pPr>
              <w:spacing w:line="360" w:lineRule="auto"/>
              <w:jc w:val="left"/>
              <w:rPr>
                <w:rFonts w:ascii="宋体" w:hAnsi="宋体" w:cs="宋体"/>
                <w:color w:val="auto"/>
                <w:sz w:val="24"/>
                <w:highlight w:val="none"/>
              </w:rPr>
            </w:pPr>
            <w:r>
              <w:rPr>
                <w:rFonts w:hint="eastAsia" w:ascii="宋体" w:hAnsi="宋体" w:cs="宋体"/>
                <w:color w:val="auto"/>
                <w:sz w:val="24"/>
                <w:highlight w:val="none"/>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6F0AFDB0">
            <w:pPr>
              <w:spacing w:line="360" w:lineRule="auto"/>
              <w:jc w:val="left"/>
              <w:rPr>
                <w:rFonts w:ascii="宋体" w:hAnsi="宋体" w:cs="宋体"/>
                <w:color w:val="auto"/>
                <w:sz w:val="24"/>
                <w:highlight w:val="none"/>
              </w:rPr>
            </w:pPr>
            <w:r>
              <w:rPr>
                <w:rFonts w:hint="eastAsia" w:ascii="宋体" w:hAnsi="宋体" w:cs="宋体"/>
                <w:color w:val="auto"/>
                <w:sz w:val="24"/>
                <w:highlight w:val="none"/>
              </w:rPr>
              <w:t>（6）采购人、采购代理机构通过“信用中国”、“中国政府采购网”等渠道查询相关主体信用记录，若投标人存在被列入失信被执行人、重大税收违法失信主体、政府采购严重违法失信行为记录名单，则投标无效。</w:t>
            </w:r>
          </w:p>
        </w:tc>
      </w:tr>
      <w:tr w14:paraId="14F3257E">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131A938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12.4</w:t>
            </w:r>
          </w:p>
        </w:tc>
        <w:tc>
          <w:tcPr>
            <w:tcW w:w="1638" w:type="dxa"/>
            <w:tcBorders>
              <w:top w:val="single" w:color="auto" w:sz="8" w:space="0"/>
              <w:left w:val="nil"/>
              <w:bottom w:val="single" w:color="auto" w:sz="8" w:space="0"/>
              <w:right w:val="single" w:color="auto" w:sz="8" w:space="0"/>
            </w:tcBorders>
            <w:vAlign w:val="center"/>
          </w:tcPr>
          <w:p w14:paraId="21EEA6A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w:t>
            </w:r>
          </w:p>
        </w:tc>
        <w:tc>
          <w:tcPr>
            <w:tcW w:w="7196" w:type="dxa"/>
            <w:tcBorders>
              <w:top w:val="single" w:color="auto" w:sz="8" w:space="0"/>
              <w:left w:val="nil"/>
              <w:bottom w:val="single" w:color="auto" w:sz="8" w:space="0"/>
              <w:right w:val="single" w:color="auto" w:sz="8" w:space="0"/>
            </w:tcBorders>
            <w:vAlign w:val="center"/>
          </w:tcPr>
          <w:p w14:paraId="4E4D35CB">
            <w:pPr>
              <w:spacing w:line="360" w:lineRule="auto"/>
              <w:jc w:val="left"/>
              <w:rPr>
                <w:rFonts w:ascii="宋体" w:hAnsi="宋体" w:cs="宋体"/>
                <w:color w:val="auto"/>
                <w:sz w:val="24"/>
                <w:highlight w:val="none"/>
              </w:rPr>
            </w:pPr>
            <w:r>
              <w:rPr>
                <w:rFonts w:hint="eastAsia" w:ascii="宋体" w:hAnsi="宋体" w:cs="宋体"/>
                <w:color w:val="auto"/>
                <w:sz w:val="24"/>
                <w:highlight w:val="none"/>
              </w:rPr>
              <w:t>标的：</w:t>
            </w:r>
            <w:r>
              <w:rPr>
                <w:rFonts w:hint="eastAsia" w:ascii="宋体" w:hAnsi="宋体" w:cs="宋体"/>
                <w:color w:val="auto"/>
                <w:sz w:val="24"/>
                <w:highlight w:val="none"/>
                <w:lang w:eastAsia="zh-CN"/>
              </w:rPr>
              <w:t>德宏州公安局特巡警支队维稳处突装备采购项目</w:t>
            </w:r>
            <w:r>
              <w:rPr>
                <w:rFonts w:hint="eastAsia" w:ascii="宋体" w:hAnsi="宋体" w:cs="宋体"/>
                <w:color w:val="auto"/>
                <w:sz w:val="24"/>
                <w:highlight w:val="none"/>
              </w:rPr>
              <w:t>；</w:t>
            </w:r>
          </w:p>
          <w:p w14:paraId="2B1234D1">
            <w:pPr>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所属行业：工业</w:t>
            </w:r>
            <w:r>
              <w:rPr>
                <w:rFonts w:hint="eastAsia" w:ascii="宋体" w:hAnsi="宋体" w:cs="宋体"/>
                <w:color w:val="auto"/>
                <w:sz w:val="24"/>
                <w:highlight w:val="none"/>
              </w:rPr>
              <w:t>（包括采矿业，制造业，电力、热力、燃气及水生产和供应业）</w:t>
            </w:r>
          </w:p>
          <w:p w14:paraId="0770109D">
            <w:pPr>
              <w:spacing w:line="360" w:lineRule="auto"/>
              <w:jc w:val="left"/>
              <w:rPr>
                <w:rFonts w:ascii="宋体" w:hAnsi="宋体" w:cs="宋体"/>
                <w:b/>
                <w:bCs/>
                <w:color w:val="auto"/>
                <w:sz w:val="24"/>
                <w:highlight w:val="none"/>
              </w:rPr>
            </w:pPr>
            <w:r>
              <w:rPr>
                <w:rFonts w:hint="eastAsia" w:ascii="宋体" w:hAnsi="宋体" w:cs="宋体"/>
                <w:color w:val="auto"/>
                <w:sz w:val="24"/>
                <w:highlight w:val="none"/>
              </w:rPr>
              <w:t>划分标准：符合国家统计局关于印发《统计上大中小微型企业划分办法（2017）》的通知（国统字〔2017〕213号）</w:t>
            </w:r>
            <w:r>
              <w:rPr>
                <w:rFonts w:hint="eastAsia" w:ascii="宋体" w:hAnsi="宋体" w:cs="宋体"/>
                <w:b/>
                <w:bCs/>
                <w:color w:val="auto"/>
                <w:sz w:val="24"/>
                <w:highlight w:val="none"/>
              </w:rPr>
              <w:t>工业</w:t>
            </w:r>
            <w:r>
              <w:rPr>
                <w:rFonts w:hint="eastAsia" w:ascii="宋体" w:hAnsi="宋体" w:cs="宋体"/>
                <w:color w:val="auto"/>
                <w:sz w:val="24"/>
                <w:highlight w:val="none"/>
              </w:rPr>
              <w:t>行业划分标准。</w:t>
            </w:r>
          </w:p>
        </w:tc>
      </w:tr>
      <w:tr w14:paraId="1E73DA45">
        <w:tblPrEx>
          <w:tblCellMar>
            <w:top w:w="0" w:type="dxa"/>
            <w:left w:w="0" w:type="dxa"/>
            <w:bottom w:w="0" w:type="dxa"/>
            <w:right w:w="0" w:type="dxa"/>
          </w:tblCellMar>
        </w:tblPrEx>
        <w:trPr>
          <w:trHeight w:val="334"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4A0EA43B">
            <w:pPr>
              <w:pStyle w:val="39"/>
              <w:spacing w:line="360" w:lineRule="auto"/>
              <w:jc w:val="center"/>
              <w:rPr>
                <w:rFonts w:hAnsi="宋体" w:cs="宋体"/>
                <w:color w:val="auto"/>
                <w:sz w:val="24"/>
                <w:szCs w:val="24"/>
                <w:highlight w:val="none"/>
              </w:rPr>
            </w:pPr>
            <w:r>
              <w:rPr>
                <w:rFonts w:hint="eastAsia" w:hAnsi="宋体" w:cs="宋体"/>
                <w:color w:val="auto"/>
                <w:sz w:val="24"/>
                <w:szCs w:val="24"/>
                <w:highlight w:val="none"/>
              </w:rPr>
              <w:t>12.5</w:t>
            </w:r>
          </w:p>
        </w:tc>
        <w:tc>
          <w:tcPr>
            <w:tcW w:w="1638" w:type="dxa"/>
            <w:tcBorders>
              <w:top w:val="single" w:color="auto" w:sz="8" w:space="0"/>
              <w:left w:val="nil"/>
              <w:bottom w:val="single" w:color="auto" w:sz="8" w:space="0"/>
              <w:right w:val="single" w:color="auto" w:sz="8" w:space="0"/>
            </w:tcBorders>
            <w:vAlign w:val="center"/>
          </w:tcPr>
          <w:p w14:paraId="0FA72E73">
            <w:pPr>
              <w:pStyle w:val="39"/>
              <w:spacing w:line="360" w:lineRule="auto"/>
              <w:jc w:val="center"/>
              <w:rPr>
                <w:rFonts w:hAnsi="宋体" w:cs="宋体"/>
                <w:color w:val="auto"/>
                <w:sz w:val="24"/>
                <w:szCs w:val="24"/>
                <w:highlight w:val="none"/>
              </w:rPr>
            </w:pPr>
            <w:r>
              <w:rPr>
                <w:rFonts w:hint="eastAsia" w:hAnsi="宋体" w:cs="宋体"/>
                <w:color w:val="auto"/>
                <w:sz w:val="24"/>
                <w:szCs w:val="24"/>
                <w:highlight w:val="none"/>
              </w:rPr>
              <w:t>评审中价格扣除及优先采购</w:t>
            </w:r>
          </w:p>
          <w:p w14:paraId="2A8898CB">
            <w:pPr>
              <w:pStyle w:val="39"/>
              <w:spacing w:line="360" w:lineRule="auto"/>
              <w:jc w:val="center"/>
              <w:rPr>
                <w:rFonts w:hAnsi="宋体" w:cs="宋体"/>
                <w:color w:val="auto"/>
                <w:sz w:val="24"/>
                <w:szCs w:val="24"/>
                <w:highlight w:val="none"/>
              </w:rPr>
            </w:pPr>
          </w:p>
        </w:tc>
        <w:tc>
          <w:tcPr>
            <w:tcW w:w="7196" w:type="dxa"/>
            <w:tcBorders>
              <w:top w:val="single" w:color="auto" w:sz="8" w:space="0"/>
              <w:left w:val="nil"/>
              <w:bottom w:val="single" w:color="auto" w:sz="8" w:space="0"/>
              <w:right w:val="single" w:color="auto" w:sz="8" w:space="0"/>
            </w:tcBorders>
            <w:vAlign w:val="center"/>
          </w:tcPr>
          <w:p w14:paraId="7CC67921">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（1）根据《政府采购促进中小企业发展管理办法》（财库</w:t>
            </w:r>
            <w:r>
              <w:rPr>
                <w:rFonts w:hint="eastAsia" w:hAnsi="宋体" w:cs="宋体"/>
                <w:color w:val="auto"/>
                <w:sz w:val="24"/>
                <w:szCs w:val="24"/>
                <w:highlight w:val="none"/>
                <w:lang w:eastAsia="zh-CN"/>
              </w:rPr>
              <w:t>〔2020〕46号</w:t>
            </w:r>
            <w:r>
              <w:rPr>
                <w:rFonts w:hint="eastAsia" w:hAnsi="宋体" w:cs="宋体"/>
                <w:color w:val="auto"/>
                <w:sz w:val="24"/>
                <w:szCs w:val="24"/>
                <w:highlight w:val="none"/>
              </w:rPr>
              <w:t>）、《关于进一步加大政府采购支持中小企业力度的通知》（财库〔2022〕19号）规定，本次采购项目，对小型和微型企业产品的价格给予10%的扣除，是否为小微企业投标人提供《中小企业声明函》；</w:t>
            </w:r>
          </w:p>
          <w:p w14:paraId="67448A41">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（2）按照《财政部司法部关于政府采购支持监狱企业发展有关问题的通知》（财库</w:t>
            </w:r>
            <w:r>
              <w:rPr>
                <w:rFonts w:hint="eastAsia" w:hAnsi="宋体" w:cs="宋体"/>
                <w:color w:val="auto"/>
                <w:sz w:val="24"/>
                <w:szCs w:val="24"/>
                <w:highlight w:val="none"/>
                <w:lang w:eastAsia="zh-CN"/>
              </w:rPr>
              <w:t>〔2014〕68号</w:t>
            </w:r>
            <w:r>
              <w:rPr>
                <w:rFonts w:hint="eastAsia" w:hAnsi="宋体" w:cs="宋体"/>
                <w:color w:val="auto"/>
                <w:sz w:val="24"/>
                <w:szCs w:val="24"/>
                <w:highlight w:val="none"/>
              </w:rPr>
              <w:t xml:space="preserve">）文件规定，在政府采购活动中，监狱企业视同小型、微型企业，享受评审中价格扣除的政府采购政策； </w:t>
            </w:r>
          </w:p>
          <w:p w14:paraId="13690DCC">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 </w:t>
            </w:r>
          </w:p>
          <w:p w14:paraId="7A2758BB">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（4）评审价格=投标报价-（投标报价×扣除比例）；</w:t>
            </w:r>
          </w:p>
          <w:p w14:paraId="5BE8603B">
            <w:pPr>
              <w:pStyle w:val="39"/>
              <w:spacing w:line="360" w:lineRule="auto"/>
              <w:jc w:val="left"/>
              <w:rPr>
                <w:rFonts w:hAnsi="宋体" w:cs="宋体"/>
                <w:b/>
                <w:bCs/>
                <w:color w:val="auto"/>
                <w:sz w:val="24"/>
                <w:szCs w:val="24"/>
                <w:highlight w:val="none"/>
              </w:rPr>
            </w:pPr>
            <w:r>
              <w:rPr>
                <w:rFonts w:hint="eastAsia" w:hAnsi="宋体" w:cs="宋体"/>
                <w:b/>
                <w:bCs/>
                <w:color w:val="auto"/>
                <w:sz w:val="24"/>
                <w:szCs w:val="24"/>
                <w:highlight w:val="none"/>
              </w:rPr>
              <w:t>注：评审价格仅为评审计算依据，不作为最终的中标价格。</w:t>
            </w:r>
          </w:p>
          <w:p w14:paraId="66B218FA">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（5）按财库</w:t>
            </w:r>
            <w:r>
              <w:rPr>
                <w:rFonts w:hint="eastAsia" w:hAnsi="宋体" w:cs="宋体"/>
                <w:color w:val="auto"/>
                <w:sz w:val="24"/>
                <w:szCs w:val="24"/>
                <w:highlight w:val="none"/>
                <w:lang w:eastAsia="zh-CN"/>
              </w:rPr>
              <w:t>〔2019〕9号</w:t>
            </w:r>
            <w:r>
              <w:rPr>
                <w:rFonts w:hint="eastAsia" w:hAnsi="宋体" w:cs="宋体"/>
                <w:color w:val="auto"/>
                <w:sz w:val="24"/>
                <w:szCs w:val="24"/>
                <w:highlight w:val="none"/>
              </w:rPr>
              <w:t>文及财库</w:t>
            </w:r>
            <w:r>
              <w:rPr>
                <w:rFonts w:hint="eastAsia" w:hAnsi="宋体" w:cs="宋体"/>
                <w:color w:val="auto"/>
                <w:sz w:val="24"/>
                <w:szCs w:val="24"/>
                <w:highlight w:val="none"/>
                <w:lang w:eastAsia="zh-CN"/>
              </w:rPr>
              <w:t>〔2019〕18号</w:t>
            </w:r>
            <w:r>
              <w:rPr>
                <w:rFonts w:hint="eastAsia" w:hAnsi="宋体" w:cs="宋体"/>
                <w:color w:val="auto"/>
                <w:sz w:val="24"/>
                <w:szCs w:val="24"/>
                <w:highlight w:val="none"/>
              </w:rPr>
              <w:t>通知，采购的产品属于环境标志产品政府采购品目清单时，在技术、服务等指标同等条件下，应当优先采购或强制采购。投标人投标产品是否为环境标志产品，由投标人提供国家确定的认证机构出具的、处于有效期之内的环境标志产品认证证书。</w:t>
            </w:r>
          </w:p>
          <w:p w14:paraId="45753696">
            <w:pPr>
              <w:pStyle w:val="39"/>
              <w:spacing w:line="360" w:lineRule="auto"/>
              <w:jc w:val="left"/>
              <w:rPr>
                <w:rFonts w:hAnsi="宋体" w:cs="宋体"/>
                <w:color w:val="auto"/>
                <w:sz w:val="24"/>
                <w:szCs w:val="24"/>
                <w:highlight w:val="none"/>
              </w:rPr>
            </w:pPr>
            <w:r>
              <w:rPr>
                <w:rFonts w:hint="eastAsia" w:hAnsi="宋体" w:cs="宋体"/>
                <w:color w:val="auto"/>
                <w:sz w:val="24"/>
                <w:szCs w:val="24"/>
                <w:highlight w:val="none"/>
              </w:rPr>
              <w:t>（6）按财库</w:t>
            </w:r>
            <w:r>
              <w:rPr>
                <w:rFonts w:hint="eastAsia" w:hAnsi="宋体" w:cs="宋体"/>
                <w:color w:val="auto"/>
                <w:sz w:val="24"/>
                <w:szCs w:val="24"/>
                <w:highlight w:val="none"/>
                <w:lang w:eastAsia="zh-CN"/>
              </w:rPr>
              <w:t>〔2019〕9号</w:t>
            </w:r>
            <w:r>
              <w:rPr>
                <w:rFonts w:hint="eastAsia" w:hAnsi="宋体" w:cs="宋体"/>
                <w:color w:val="auto"/>
                <w:sz w:val="24"/>
                <w:szCs w:val="24"/>
                <w:highlight w:val="none"/>
              </w:rPr>
              <w:t>文及财库</w:t>
            </w:r>
            <w:r>
              <w:rPr>
                <w:rFonts w:hint="eastAsia" w:hAnsi="宋体" w:cs="宋体"/>
                <w:color w:val="auto"/>
                <w:sz w:val="24"/>
                <w:szCs w:val="24"/>
                <w:highlight w:val="none"/>
                <w:lang w:eastAsia="zh-CN"/>
              </w:rPr>
              <w:t>〔2019〕19号</w:t>
            </w:r>
            <w:r>
              <w:rPr>
                <w:rFonts w:hint="eastAsia" w:hAnsi="宋体" w:cs="宋体"/>
                <w:color w:val="auto"/>
                <w:sz w:val="24"/>
                <w:szCs w:val="24"/>
                <w:highlight w:val="none"/>
              </w:rPr>
              <w:t>通知，采购的产品属于节能产品政府采购品目清单时，在技术、服务等指标同等条件下，应当优先采购或强制采购。投标人投标产品是否为节能产品，由投标人提供国家确定的认证机构出具的、处于有效期之内的节能产品认证证书。</w:t>
            </w:r>
          </w:p>
        </w:tc>
      </w:tr>
      <w:tr w14:paraId="6E4A7190">
        <w:tblPrEx>
          <w:tblCellMar>
            <w:top w:w="0" w:type="dxa"/>
            <w:left w:w="0" w:type="dxa"/>
            <w:bottom w:w="0" w:type="dxa"/>
            <w:right w:w="0" w:type="dxa"/>
          </w:tblCellMar>
        </w:tblPrEx>
        <w:trPr>
          <w:trHeight w:val="358" w:hRule="atLeast"/>
          <w:jc w:val="center"/>
        </w:trPr>
        <w:tc>
          <w:tcPr>
            <w:tcW w:w="990" w:type="dxa"/>
            <w:tcBorders>
              <w:top w:val="single" w:color="auto" w:sz="8" w:space="0"/>
              <w:left w:val="single" w:color="auto" w:sz="8" w:space="0"/>
              <w:bottom w:val="single" w:color="auto" w:sz="8" w:space="0"/>
              <w:right w:val="single" w:color="auto" w:sz="8" w:space="0"/>
            </w:tcBorders>
            <w:vAlign w:val="center"/>
          </w:tcPr>
          <w:p w14:paraId="6514247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1638" w:type="dxa"/>
            <w:tcBorders>
              <w:top w:val="single" w:color="auto" w:sz="8" w:space="0"/>
              <w:left w:val="nil"/>
              <w:bottom w:val="single" w:color="auto" w:sz="8" w:space="0"/>
              <w:right w:val="single" w:color="auto" w:sz="8" w:space="0"/>
            </w:tcBorders>
            <w:vAlign w:val="center"/>
          </w:tcPr>
          <w:p w14:paraId="082B199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政府采购政策</w:t>
            </w:r>
          </w:p>
        </w:tc>
        <w:tc>
          <w:tcPr>
            <w:tcW w:w="7196" w:type="dxa"/>
            <w:tcBorders>
              <w:top w:val="single" w:color="auto" w:sz="8" w:space="0"/>
              <w:left w:val="nil"/>
              <w:bottom w:val="single" w:color="auto" w:sz="8" w:space="0"/>
              <w:right w:val="single" w:color="auto" w:sz="8" w:space="0"/>
            </w:tcBorders>
            <w:vAlign w:val="center"/>
          </w:tcPr>
          <w:p w14:paraId="090C5E13">
            <w:pPr>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cs="宋体"/>
                <w:color w:val="auto"/>
                <w:sz w:val="24"/>
                <w:highlight w:val="none"/>
                <w:lang w:eastAsia="zh-CN"/>
              </w:rPr>
              <w:t>（</w:t>
            </w:r>
            <w:r>
              <w:rPr>
                <w:rFonts w:hint="eastAsia" w:ascii="宋体" w:hAnsi="宋体" w:cs="宋体"/>
                <w:color w:val="auto"/>
                <w:sz w:val="24"/>
                <w:highlight w:val="none"/>
              </w:rPr>
              <w:t>财库〔2014〕68号</w:t>
            </w:r>
            <w:r>
              <w:rPr>
                <w:rFonts w:hint="eastAsia" w:ascii="宋体" w:hAnsi="宋体" w:cs="宋体"/>
                <w:color w:val="auto"/>
                <w:sz w:val="24"/>
                <w:highlight w:val="none"/>
                <w:lang w:eastAsia="zh-CN"/>
              </w:rPr>
              <w:t>）</w:t>
            </w:r>
            <w:r>
              <w:rPr>
                <w:rFonts w:hint="eastAsia" w:ascii="宋体" w:hAnsi="宋体" w:cs="宋体"/>
                <w:color w:val="auto"/>
                <w:sz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tc>
      </w:tr>
    </w:tbl>
    <w:p w14:paraId="05A4E1A5">
      <w:pPr>
        <w:pStyle w:val="22"/>
        <w:rPr>
          <w:color w:val="auto"/>
          <w:highlight w:val="none"/>
        </w:rPr>
        <w:sectPr>
          <w:pgSz w:w="11906" w:h="16838"/>
          <w:pgMar w:top="1440" w:right="1080" w:bottom="1440" w:left="1080" w:header="851" w:footer="992" w:gutter="0"/>
          <w:pgNumType w:fmt="decimal"/>
          <w:cols w:space="425" w:num="1"/>
          <w:docGrid w:type="lines" w:linePitch="312" w:charSpace="0"/>
        </w:sectPr>
      </w:pPr>
    </w:p>
    <w:p w14:paraId="510E3F9E">
      <w:pPr>
        <w:pStyle w:val="4"/>
        <w:numPr>
          <w:ilvl w:val="2"/>
          <w:numId w:val="0"/>
        </w:numPr>
        <w:tabs>
          <w:tab w:val="clear" w:pos="900"/>
        </w:tabs>
        <w:rPr>
          <w:rFonts w:eastAsia="Times New Roman"/>
          <w:color w:val="auto"/>
          <w:highlight w:val="none"/>
        </w:rPr>
      </w:pPr>
      <w:r>
        <w:rPr>
          <w:rFonts w:hint="eastAsia" w:eastAsia="Times New Roman"/>
          <w:color w:val="auto"/>
          <w:highlight w:val="none"/>
        </w:rPr>
        <w:t>1. 总则</w:t>
      </w:r>
    </w:p>
    <w:p w14:paraId="02791E7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51" w:name="_Toc31335"/>
      <w:bookmarkEnd w:id="51"/>
      <w:bookmarkStart w:id="52" w:name="_Toc700"/>
      <w:r>
        <w:rPr>
          <w:rFonts w:hint="eastAsia" w:asciiTheme="minorEastAsia" w:hAnsiTheme="minorEastAsia" w:eastAsiaTheme="minorEastAsia" w:cstheme="minorEastAsia"/>
          <w:color w:val="auto"/>
          <w:szCs w:val="28"/>
          <w:highlight w:val="none"/>
        </w:rPr>
        <w:t>1.1 项目概况</w:t>
      </w:r>
      <w:bookmarkEnd w:id="52"/>
    </w:p>
    <w:p w14:paraId="4FDD786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根据《中华人民共和国政府采购法》、《中华人民共和国政府采购法实施条例》、《政府采购货物和服务招标投标管理办法》（财政部令第87号）等有关法律、法规和规章的规定，本招标项目已具备招标条件，现对本项目进行招标。</w:t>
      </w:r>
    </w:p>
    <w:p w14:paraId="236D39D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 采购人：见投标人须知前附表。</w:t>
      </w:r>
    </w:p>
    <w:p w14:paraId="75A91ED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 采购代理机构：见投标人须知前附表。</w:t>
      </w:r>
    </w:p>
    <w:p w14:paraId="37E9DED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 采购</w:t>
      </w:r>
      <w:r>
        <w:rPr>
          <w:rFonts w:hint="eastAsia" w:ascii="宋体" w:hAnsi="宋体" w:cs="宋体"/>
          <w:color w:val="auto"/>
          <w:sz w:val="24"/>
          <w:highlight w:val="none"/>
        </w:rPr>
        <w:t>项目名称</w:t>
      </w:r>
      <w:r>
        <w:rPr>
          <w:rFonts w:hint="eastAsia" w:asciiTheme="minorEastAsia" w:hAnsiTheme="minorEastAsia" w:eastAsiaTheme="minorEastAsia" w:cstheme="minorEastAsia"/>
          <w:color w:val="auto"/>
          <w:sz w:val="24"/>
          <w:highlight w:val="none"/>
        </w:rPr>
        <w:t>：见投标人须知前附表。</w:t>
      </w:r>
    </w:p>
    <w:p w14:paraId="044B559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53" w:name="_Toc27395"/>
      <w:bookmarkEnd w:id="53"/>
      <w:bookmarkStart w:id="54" w:name="_Toc28747"/>
      <w:r>
        <w:rPr>
          <w:rFonts w:hint="eastAsia" w:asciiTheme="minorEastAsia" w:hAnsiTheme="minorEastAsia" w:eastAsiaTheme="minorEastAsia" w:cstheme="minorEastAsia"/>
          <w:color w:val="auto"/>
          <w:szCs w:val="28"/>
          <w:highlight w:val="none"/>
        </w:rPr>
        <w:t>1.2 招标项目的资金情况</w:t>
      </w:r>
      <w:bookmarkEnd w:id="54"/>
    </w:p>
    <w:p w14:paraId="09C31C1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1.2.1 资金来源及落实情况：见投标人须知前附表。</w:t>
      </w:r>
    </w:p>
    <w:p w14:paraId="4BB9F92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1.2.2 预算金额：见投标人须知前附表。</w:t>
      </w:r>
    </w:p>
    <w:p w14:paraId="75F87952">
      <w:pPr>
        <w:pStyle w:val="4"/>
        <w:numPr>
          <w:ilvl w:val="2"/>
          <w:numId w:val="0"/>
        </w:numPr>
        <w:tabs>
          <w:tab w:val="clear" w:pos="900"/>
        </w:tabs>
        <w:spacing w:before="0"/>
        <w:rPr>
          <w:rFonts w:hint="eastAsia" w:asciiTheme="minorEastAsia" w:hAnsiTheme="minorEastAsia" w:eastAsiaTheme="minorEastAsia" w:cstheme="minorEastAsia"/>
          <w:color w:val="auto"/>
          <w:szCs w:val="28"/>
          <w:highlight w:val="none"/>
          <w:lang w:eastAsia="zh-CN"/>
        </w:rPr>
      </w:pPr>
      <w:bookmarkStart w:id="55" w:name="_Toc16064"/>
      <w:bookmarkEnd w:id="55"/>
      <w:bookmarkStart w:id="56" w:name="_Toc16202"/>
      <w:bookmarkEnd w:id="56"/>
      <w:bookmarkStart w:id="57" w:name="_Toc17694"/>
      <w:bookmarkEnd w:id="57"/>
      <w:bookmarkStart w:id="58" w:name="_Toc246996178"/>
      <w:bookmarkStart w:id="59" w:name="_Toc482706203"/>
      <w:bookmarkStart w:id="60" w:name="_Toc152045532"/>
      <w:bookmarkStart w:id="61" w:name="_Toc33640250"/>
      <w:bookmarkStart w:id="62" w:name="_Toc179632549"/>
      <w:bookmarkStart w:id="63" w:name="_Toc246996921"/>
      <w:bookmarkStart w:id="64" w:name="_Toc152042308"/>
      <w:bookmarkStart w:id="65" w:name="_Toc247085692"/>
      <w:bookmarkStart w:id="66" w:name="_Toc144974500"/>
      <w:bookmarkStart w:id="67" w:name="_Toc10611"/>
      <w:r>
        <w:rPr>
          <w:rFonts w:hint="eastAsia" w:asciiTheme="minorEastAsia" w:hAnsiTheme="minorEastAsia" w:eastAsiaTheme="minorEastAsia" w:cstheme="minorEastAsia"/>
          <w:color w:val="auto"/>
          <w:szCs w:val="28"/>
          <w:highlight w:val="none"/>
        </w:rPr>
        <w:t>1.3 采购内容、合同履行期限、质量要求</w:t>
      </w:r>
      <w:bookmarkEnd w:id="58"/>
      <w:bookmarkEnd w:id="59"/>
      <w:bookmarkEnd w:id="60"/>
      <w:bookmarkEnd w:id="61"/>
      <w:bookmarkEnd w:id="62"/>
      <w:bookmarkEnd w:id="63"/>
      <w:bookmarkEnd w:id="64"/>
      <w:bookmarkEnd w:id="65"/>
      <w:bookmarkEnd w:id="66"/>
      <w:r>
        <w:rPr>
          <w:rFonts w:hint="eastAsia" w:asciiTheme="minorEastAsia" w:hAnsiTheme="minorEastAsia" w:eastAsiaTheme="minorEastAsia" w:cstheme="minorEastAsia"/>
          <w:color w:val="auto"/>
          <w:szCs w:val="28"/>
          <w:highlight w:val="none"/>
        </w:rPr>
        <w:t>、</w:t>
      </w:r>
      <w:r>
        <w:rPr>
          <w:rFonts w:hint="eastAsia" w:asciiTheme="minorEastAsia" w:hAnsiTheme="minorEastAsia" w:eastAsiaTheme="minorEastAsia" w:cstheme="minorEastAsia"/>
          <w:color w:val="auto"/>
          <w:szCs w:val="28"/>
          <w:highlight w:val="none"/>
          <w:lang w:eastAsia="zh-CN"/>
        </w:rPr>
        <w:t>供货地点</w:t>
      </w:r>
    </w:p>
    <w:p w14:paraId="44CC201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 本次采购内容：见投标人须知前附表。</w:t>
      </w:r>
    </w:p>
    <w:p w14:paraId="1DFA664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 本招标项目的合同履行期限：见投标人须知前附表。</w:t>
      </w:r>
    </w:p>
    <w:p w14:paraId="1C47C64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 本招标项目的质量要求：见投标人须知前附表。</w:t>
      </w:r>
    </w:p>
    <w:p w14:paraId="56D2DD1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 本招标项目的</w:t>
      </w:r>
      <w:r>
        <w:rPr>
          <w:rFonts w:hint="eastAsia" w:asciiTheme="minorEastAsia" w:hAnsiTheme="minorEastAsia" w:eastAsiaTheme="minorEastAsia" w:cstheme="minorEastAsia"/>
          <w:color w:val="auto"/>
          <w:sz w:val="24"/>
          <w:highlight w:val="none"/>
          <w:lang w:eastAsia="zh-CN"/>
        </w:rPr>
        <w:t>供货地点</w:t>
      </w:r>
      <w:r>
        <w:rPr>
          <w:rFonts w:hint="eastAsia" w:asciiTheme="minorEastAsia" w:hAnsiTheme="minorEastAsia" w:eastAsiaTheme="minorEastAsia" w:cstheme="minorEastAsia"/>
          <w:color w:val="auto"/>
          <w:sz w:val="24"/>
          <w:highlight w:val="none"/>
        </w:rPr>
        <w:t>：见投标人须知前附表。</w:t>
      </w:r>
    </w:p>
    <w:p w14:paraId="3BC328F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1.4 投标人资格要求</w:t>
      </w:r>
      <w:bookmarkEnd w:id="67"/>
    </w:p>
    <w:p w14:paraId="2F66FC6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1.4.1 投标人应具备承担本项目的资格条件。</w:t>
      </w:r>
    </w:p>
    <w:p w14:paraId="4E4C4BF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1.4.2 投标人须知前附表规定接受联合体投标的，联合体除应符合本章第1.4.1 项；</w:t>
      </w:r>
    </w:p>
    <w:p w14:paraId="4A1AC5C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68" w:name="_Toc27960"/>
      <w:bookmarkEnd w:id="68"/>
      <w:bookmarkStart w:id="69" w:name="_Toc18144"/>
      <w:r>
        <w:rPr>
          <w:rFonts w:hint="eastAsia" w:asciiTheme="minorEastAsia" w:hAnsiTheme="minorEastAsia" w:eastAsiaTheme="minorEastAsia" w:cstheme="minorEastAsia"/>
          <w:color w:val="auto"/>
          <w:szCs w:val="28"/>
          <w:highlight w:val="none"/>
        </w:rPr>
        <w:t>1.5 费用承担</w:t>
      </w:r>
      <w:bookmarkEnd w:id="69"/>
    </w:p>
    <w:p w14:paraId="721CCFE9">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投标人准备和参加投标活动发生的费用自理。</w:t>
      </w:r>
    </w:p>
    <w:p w14:paraId="01A88E0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0" w:name="_Toc6230"/>
      <w:bookmarkEnd w:id="70"/>
      <w:bookmarkStart w:id="71" w:name="_Toc16680"/>
      <w:r>
        <w:rPr>
          <w:rFonts w:hint="eastAsia" w:asciiTheme="minorEastAsia" w:hAnsiTheme="minorEastAsia" w:eastAsiaTheme="minorEastAsia" w:cstheme="minorEastAsia"/>
          <w:color w:val="auto"/>
          <w:szCs w:val="28"/>
          <w:highlight w:val="none"/>
        </w:rPr>
        <w:t>1.6 保密</w:t>
      </w:r>
      <w:bookmarkEnd w:id="71"/>
    </w:p>
    <w:p w14:paraId="3F39B191">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参与招标投标活动的各方应对招标文件和投标文件中的商业和技术等秘密保密，则应承担相应的法律责任。</w:t>
      </w:r>
    </w:p>
    <w:p w14:paraId="35DC124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2" w:name="_Toc31781"/>
      <w:bookmarkEnd w:id="72"/>
      <w:bookmarkStart w:id="73" w:name="_Toc787"/>
      <w:r>
        <w:rPr>
          <w:rFonts w:hint="eastAsia" w:asciiTheme="minorEastAsia" w:hAnsiTheme="minorEastAsia" w:eastAsiaTheme="minorEastAsia" w:cstheme="minorEastAsia"/>
          <w:color w:val="auto"/>
          <w:szCs w:val="28"/>
          <w:highlight w:val="none"/>
        </w:rPr>
        <w:t>1.7 语言文字</w:t>
      </w:r>
      <w:bookmarkEnd w:id="73"/>
    </w:p>
    <w:p w14:paraId="515FB5C9">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招标投标文件使用的语言文字为中文。专用术语使用外文的，应附有中文注释。</w:t>
      </w:r>
    </w:p>
    <w:p w14:paraId="18F797C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4" w:name="_Toc29423"/>
      <w:bookmarkEnd w:id="74"/>
      <w:bookmarkStart w:id="75" w:name="_Toc29116"/>
      <w:r>
        <w:rPr>
          <w:rFonts w:hint="eastAsia" w:asciiTheme="minorEastAsia" w:hAnsiTheme="minorEastAsia" w:eastAsiaTheme="minorEastAsia" w:cstheme="minorEastAsia"/>
          <w:color w:val="auto"/>
          <w:szCs w:val="28"/>
          <w:highlight w:val="none"/>
        </w:rPr>
        <w:t>1.8 计量单位</w:t>
      </w:r>
      <w:bookmarkEnd w:id="75"/>
    </w:p>
    <w:p w14:paraId="37B31182">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所有计量均采用中华人民共和国法定计量单位。</w:t>
      </w:r>
    </w:p>
    <w:p w14:paraId="5B05724A">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76" w:name="_Toc296602429"/>
      <w:bookmarkEnd w:id="76"/>
      <w:bookmarkStart w:id="77" w:name="_Toc247592876"/>
      <w:bookmarkEnd w:id="77"/>
      <w:bookmarkStart w:id="78" w:name="_Toc144974507"/>
      <w:bookmarkEnd w:id="78"/>
      <w:bookmarkStart w:id="79" w:name="_Toc152045539"/>
      <w:bookmarkEnd w:id="79"/>
      <w:bookmarkStart w:id="80" w:name="_Toc152042315"/>
      <w:bookmarkEnd w:id="80"/>
      <w:bookmarkStart w:id="81" w:name="_Toc247513962"/>
      <w:bookmarkEnd w:id="81"/>
      <w:bookmarkStart w:id="82" w:name="_Toc29812"/>
      <w:bookmarkEnd w:id="82"/>
      <w:bookmarkStart w:id="83" w:name="_Toc247527563"/>
      <w:bookmarkEnd w:id="83"/>
      <w:bookmarkStart w:id="84" w:name="_Toc29408"/>
      <w:r>
        <w:rPr>
          <w:rFonts w:hint="eastAsia" w:asciiTheme="minorEastAsia" w:hAnsiTheme="minorEastAsia" w:eastAsiaTheme="minorEastAsia" w:cstheme="minorEastAsia"/>
          <w:color w:val="auto"/>
          <w:szCs w:val="28"/>
          <w:highlight w:val="none"/>
        </w:rPr>
        <w:t>1.9 现场</w:t>
      </w:r>
      <w:bookmarkEnd w:id="84"/>
      <w:r>
        <w:rPr>
          <w:rFonts w:hint="eastAsia" w:asciiTheme="minorEastAsia" w:hAnsiTheme="minorEastAsia" w:eastAsiaTheme="minorEastAsia" w:cstheme="minorEastAsia"/>
          <w:color w:val="auto"/>
          <w:szCs w:val="28"/>
          <w:highlight w:val="none"/>
        </w:rPr>
        <w:t>考察</w:t>
      </w:r>
    </w:p>
    <w:p w14:paraId="5B320FC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1.9.1 投标人须知前附表规定组织现场考察的，采购人按投标人须知前附表规定的时间、地点组织投标人考察项目现场。</w:t>
      </w:r>
    </w:p>
    <w:p w14:paraId="4C3FE25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1.9.2 投标人考察现场发生的费用自理。</w:t>
      </w:r>
    </w:p>
    <w:p w14:paraId="58E9D35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1.9.3 除采购人的原因外，投标人自行负责在考察现场中所发生的人员伤亡和财产损失。</w:t>
      </w:r>
    </w:p>
    <w:p w14:paraId="3E093AF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1.9.4 采购人在考察现场中介绍的项目场地和相关的周边环境情况，供投标人在编制投标文件时参考，采购人不对投标人据此作出的判断和决策负责。</w:t>
      </w:r>
    </w:p>
    <w:p w14:paraId="204A1F5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85" w:name="_Toc31848"/>
      <w:bookmarkEnd w:id="85"/>
      <w:bookmarkStart w:id="86" w:name="_Toc587"/>
      <w:bookmarkEnd w:id="86"/>
      <w:r>
        <w:rPr>
          <w:rFonts w:hint="eastAsia" w:asciiTheme="minorEastAsia" w:hAnsiTheme="minorEastAsia" w:eastAsiaTheme="minorEastAsia" w:cstheme="minorEastAsia"/>
          <w:color w:val="auto"/>
          <w:szCs w:val="28"/>
          <w:highlight w:val="none"/>
        </w:rPr>
        <w:t>1.10 投标预备会</w:t>
      </w:r>
    </w:p>
    <w:p w14:paraId="3CB2666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1.10.1 投标人须知前附表规定召开投标预备会的，采购人按投标人须知前附表规定的时间和地点召开投标预备会，澄清投标人提出的问题。</w:t>
      </w:r>
    </w:p>
    <w:p w14:paraId="0FA268C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1.10.2 投标人应按投标人须知前附表规定的时间和形式将提出的问题送达采购人，以便招标人在会议期间澄清。</w:t>
      </w:r>
    </w:p>
    <w:p w14:paraId="5F24DBF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1.10.3 投标预备会后，采购人将对投标人所提问题的澄清，以投标人须知前附表规定的形式通知所有购买招标文件的投标人。该澄清内容为招标文件的组成部分。</w:t>
      </w:r>
    </w:p>
    <w:p w14:paraId="738AB49E">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1.11 分包</w:t>
      </w:r>
    </w:p>
    <w:p w14:paraId="55E103C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1.11.1 投标人拟在中标后将中标项目的非主体、非关键性设计工作进行分包的，应符合投标人须知前附表规定的分包内容、分包金额和资质要求等限制性条件，除投标人须知前附表规 定的非主体、非关键性设计工作外，其他工作不得分包。</w:t>
      </w:r>
    </w:p>
    <w:p w14:paraId="673B50F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1.11.2 中标人不得向他人转让中标项目，接受分包的人不得再次分包。中标人应当就分包项目向采购人负责，接受分包的人就分包项目承担连带责任。</w:t>
      </w:r>
    </w:p>
    <w:p w14:paraId="6E1B860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1.12 响应和偏差</w:t>
      </w:r>
    </w:p>
    <w:p w14:paraId="7E9FF38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1.12.1 投标文件应当对招标文件的实质性要求和条件作出满足性或更有利于采购人的响应，否则，投标人的投标将被否决。实质性要求和条件见投标人须知前附表。</w:t>
      </w:r>
    </w:p>
    <w:p w14:paraId="71CC49C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1.12.2 投标人应根据招标文件的要求提供投标设计方案等内容以对招标文件作出响应。</w:t>
      </w:r>
    </w:p>
    <w:p w14:paraId="23C9A05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1.12.3 投标人须知前附表允许投标文件偏离招标文件某些要求的，偏差应当符合招标文件规定的偏差范围和幅度。</w:t>
      </w:r>
    </w:p>
    <w:p w14:paraId="0E6586C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87" w:name="_Toc32012"/>
      <w:bookmarkEnd w:id="87"/>
      <w:bookmarkStart w:id="88" w:name="_Toc31795"/>
      <w:bookmarkEnd w:id="88"/>
      <w:bookmarkStart w:id="89" w:name="_Toc31733"/>
      <w:bookmarkStart w:id="90" w:name="_Toc29767"/>
      <w:r>
        <w:rPr>
          <w:rFonts w:hint="eastAsia" w:asciiTheme="minorEastAsia" w:hAnsiTheme="minorEastAsia" w:eastAsiaTheme="minorEastAsia" w:cstheme="minorEastAsia"/>
          <w:color w:val="auto"/>
          <w:szCs w:val="28"/>
          <w:highlight w:val="none"/>
        </w:rPr>
        <w:t>2. 招标文件</w:t>
      </w:r>
      <w:bookmarkEnd w:id="89"/>
      <w:bookmarkEnd w:id="90"/>
    </w:p>
    <w:p w14:paraId="3FCD47E0">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91" w:name="_Toc21536"/>
      <w:bookmarkEnd w:id="91"/>
      <w:bookmarkStart w:id="92" w:name="_Toc16596"/>
      <w:r>
        <w:rPr>
          <w:rFonts w:hint="eastAsia" w:asciiTheme="minorEastAsia" w:hAnsiTheme="minorEastAsia" w:eastAsiaTheme="minorEastAsia" w:cstheme="minorEastAsia"/>
          <w:color w:val="auto"/>
          <w:szCs w:val="28"/>
          <w:highlight w:val="none"/>
        </w:rPr>
        <w:t>2.1 招标文件的组成</w:t>
      </w:r>
      <w:bookmarkEnd w:id="92"/>
    </w:p>
    <w:p w14:paraId="4CDFF5A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本招标文件包括：</w:t>
      </w:r>
    </w:p>
    <w:p w14:paraId="0574ADF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（1）招标公告；</w:t>
      </w:r>
    </w:p>
    <w:p w14:paraId="1958D35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（2）投标人须知；</w:t>
      </w:r>
    </w:p>
    <w:p w14:paraId="226549E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（3）评标办法；</w:t>
      </w:r>
    </w:p>
    <w:p w14:paraId="0234A81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（4）合同条款；</w:t>
      </w:r>
    </w:p>
    <w:p w14:paraId="5308B36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（5）采购需求；</w:t>
      </w:r>
    </w:p>
    <w:p w14:paraId="44EFF47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（6）投标文件格式；</w:t>
      </w:r>
    </w:p>
    <w:p w14:paraId="138F0A2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根据本章第2.2款和第2.3款对招标文件所</w:t>
      </w:r>
      <w:r>
        <w:rPr>
          <w:rFonts w:hint="eastAsia" w:asciiTheme="minorEastAsia" w:hAnsiTheme="minorEastAsia" w:eastAsiaTheme="minorEastAsia" w:cstheme="minorEastAsia"/>
          <w:color w:val="auto"/>
          <w:sz w:val="24"/>
          <w:highlight w:val="none"/>
          <w:lang w:eastAsia="zh-CN"/>
        </w:rPr>
        <w:t>做</w:t>
      </w:r>
      <w:r>
        <w:rPr>
          <w:rFonts w:hint="eastAsia" w:asciiTheme="minorEastAsia" w:hAnsiTheme="minorEastAsia" w:eastAsiaTheme="minorEastAsia" w:cstheme="minorEastAsia"/>
          <w:color w:val="auto"/>
          <w:sz w:val="24"/>
          <w:highlight w:val="none"/>
        </w:rPr>
        <w:t>的澄清、修改，构成招标文件的组成部分。</w:t>
      </w:r>
    </w:p>
    <w:p w14:paraId="7D2FB168">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93" w:name="_Toc23003"/>
      <w:bookmarkEnd w:id="93"/>
      <w:bookmarkStart w:id="94" w:name="_Toc13591"/>
      <w:r>
        <w:rPr>
          <w:rFonts w:hint="eastAsia" w:asciiTheme="minorEastAsia" w:hAnsiTheme="minorEastAsia" w:eastAsiaTheme="minorEastAsia" w:cstheme="minorEastAsia"/>
          <w:color w:val="auto"/>
          <w:szCs w:val="28"/>
          <w:highlight w:val="none"/>
        </w:rPr>
        <w:t>2.2投标人提疑</w:t>
      </w:r>
    </w:p>
    <w:p w14:paraId="39702620">
      <w:pPr>
        <w:pStyle w:val="7"/>
        <w:wordWrap w:val="0"/>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投标人应仔细阅读和检查招标文件的全部内容。如发现缺页或附件不全，应及时向采购人提出，以便补齐。如有疑问，应在投标人须知前附表规定的时间前</w:t>
      </w:r>
      <w:r>
        <w:rPr>
          <w:rFonts w:hint="eastAsia" w:ascii="宋体" w:hAnsi="宋体" w:cs="宋体"/>
          <w:color w:val="auto"/>
          <w:sz w:val="24"/>
          <w:highlight w:val="none"/>
        </w:rPr>
        <w:t>登录“政府采购云平台（https://www.zcygov.cn/）”线上提出</w:t>
      </w:r>
      <w:r>
        <w:rPr>
          <w:rFonts w:hint="eastAsia" w:asciiTheme="minorEastAsia" w:hAnsiTheme="minorEastAsia" w:eastAsiaTheme="minorEastAsia" w:cstheme="minorEastAsia"/>
          <w:color w:val="auto"/>
          <w:sz w:val="24"/>
          <w:highlight w:val="none"/>
        </w:rPr>
        <w:t>，要求采购人对招标文件予以澄清。</w:t>
      </w:r>
      <w:r>
        <w:rPr>
          <w:rFonts w:hint="eastAsia" w:ascii="宋体" w:hAnsi="宋体" w:cs="宋体"/>
          <w:color w:val="auto"/>
          <w:sz w:val="24"/>
          <w:highlight w:val="none"/>
          <w:lang w:val="en-US" w:eastAsia="zh-CN"/>
        </w:rPr>
        <w:t>（注：政府采购云平台尚未开通地域，投标人联系代理机构采用邮件方式提出）</w:t>
      </w:r>
    </w:p>
    <w:p w14:paraId="292CF155">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2.3 招标文件的澄清或修改</w:t>
      </w:r>
    </w:p>
    <w:bookmarkEnd w:id="94"/>
    <w:p w14:paraId="14E2232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2.3.1采购人或者采购代理机构可以对已发出的招标文件进行必要的澄清或者修改，但不得改变采购标的和资格条件。</w:t>
      </w:r>
    </w:p>
    <w:p w14:paraId="193C08E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2.3.2招标文件的修改</w:t>
      </w:r>
    </w:p>
    <w:p w14:paraId="0A3398D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（1）采购人对采购文件中内容做出变更，将同时发布补遗文件进行说明。</w:t>
      </w:r>
    </w:p>
    <w:p w14:paraId="091FE20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澄清或者修改的内容可能影响投标文件编制的，采购人或者采购代理机构应当在投标截止时间至少15日前，不足15日的，采购人或者采购代理机构应当顺延提交投标文件的截止时间。在公告发布媒介上发布澄清公告，所有获取招标文件的潜在投标人自行查看，不再另行通知，因各投标人未及时上网看到更正公告或者下载补充（变更）通知的后果由投标人自行承担。</w:t>
      </w:r>
    </w:p>
    <w:p w14:paraId="3928B584">
      <w:pPr>
        <w:spacing w:line="360" w:lineRule="auto"/>
        <w:rPr>
          <w:rFonts w:asciiTheme="minorEastAsia" w:hAnsiTheme="minorEastAsia" w:eastAsiaTheme="minorEastAsia" w:cstheme="minorEastAsia"/>
          <w:b/>
          <w:color w:val="auto"/>
          <w:kern w:val="0"/>
          <w:sz w:val="28"/>
          <w:szCs w:val="28"/>
          <w:highlight w:val="none"/>
        </w:rPr>
      </w:pPr>
      <w:bookmarkStart w:id="95" w:name="_Toc17621"/>
      <w:bookmarkEnd w:id="95"/>
      <w:bookmarkStart w:id="96" w:name="_Toc16663"/>
      <w:bookmarkEnd w:id="96"/>
      <w:bookmarkStart w:id="97" w:name="_Toc24916"/>
      <w:bookmarkEnd w:id="97"/>
      <w:bookmarkStart w:id="98" w:name="_Toc29741"/>
      <w:bookmarkEnd w:id="98"/>
      <w:bookmarkStart w:id="99" w:name="_Toc24768"/>
      <w:bookmarkStart w:id="100" w:name="_Toc13853"/>
      <w:r>
        <w:rPr>
          <w:rFonts w:hint="eastAsia" w:asciiTheme="minorEastAsia" w:hAnsiTheme="minorEastAsia" w:eastAsiaTheme="minorEastAsia" w:cstheme="minorEastAsia"/>
          <w:b/>
          <w:color w:val="auto"/>
          <w:kern w:val="0"/>
          <w:sz w:val="28"/>
          <w:szCs w:val="28"/>
          <w:highlight w:val="none"/>
        </w:rPr>
        <w:t>3. 投标文件</w:t>
      </w:r>
      <w:bookmarkEnd w:id="99"/>
      <w:bookmarkEnd w:id="100"/>
    </w:p>
    <w:p w14:paraId="79DEA611">
      <w:pPr>
        <w:pStyle w:val="7"/>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详见本招标文件“第六章 投标文件格式”。</w:t>
      </w:r>
    </w:p>
    <w:p w14:paraId="0C875AA8">
      <w:pPr>
        <w:spacing w:line="360" w:lineRule="auto"/>
        <w:rPr>
          <w:rFonts w:asciiTheme="minorEastAsia" w:hAnsiTheme="minorEastAsia" w:eastAsiaTheme="minorEastAsia" w:cstheme="minorEastAsia"/>
          <w:b/>
          <w:color w:val="auto"/>
          <w:kern w:val="0"/>
          <w:sz w:val="28"/>
          <w:szCs w:val="28"/>
          <w:highlight w:val="none"/>
        </w:rPr>
      </w:pPr>
      <w:bookmarkStart w:id="101" w:name="_Toc21369"/>
      <w:r>
        <w:rPr>
          <w:rFonts w:hint="eastAsia" w:asciiTheme="minorEastAsia" w:hAnsiTheme="minorEastAsia" w:eastAsiaTheme="minorEastAsia" w:cstheme="minorEastAsia"/>
          <w:b/>
          <w:color w:val="auto"/>
          <w:kern w:val="0"/>
          <w:sz w:val="28"/>
          <w:szCs w:val="28"/>
          <w:highlight w:val="none"/>
        </w:rPr>
        <w:t>3.2 投标报价</w:t>
      </w:r>
      <w:bookmarkEnd w:id="101"/>
    </w:p>
    <w:p w14:paraId="297D89A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3.2.1 投标人应按“第六章投标文件格式”的要求进行报价。</w:t>
      </w:r>
    </w:p>
    <w:p w14:paraId="29952E4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3.2.2 投标人应充分了解该项目的总体情况以及影响投标报价的其他要素。</w:t>
      </w:r>
    </w:p>
    <w:p w14:paraId="459016A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 投标人的投标报价不得超过最高投标限价，若采购人还设有单价最高投标限价的，投标人的投标单价报价还应当不得超过单价最高投标限价，最高投标限价在投标人须知前附表中</w:t>
      </w:r>
      <w:r>
        <w:rPr>
          <w:rFonts w:hint="eastAsia" w:asciiTheme="minorEastAsia" w:hAnsiTheme="minorEastAsia" w:eastAsiaTheme="minorEastAsia" w:cstheme="minorEastAsia"/>
          <w:color w:val="auto"/>
          <w:sz w:val="24"/>
          <w:highlight w:val="none"/>
          <w:lang w:val="en-US" w:eastAsia="zh-CN"/>
        </w:rPr>
        <w:t>已</w:t>
      </w:r>
      <w:r>
        <w:rPr>
          <w:rFonts w:hint="eastAsia" w:asciiTheme="minorEastAsia" w:hAnsiTheme="minorEastAsia" w:eastAsiaTheme="minorEastAsia" w:cstheme="minorEastAsia"/>
          <w:color w:val="auto"/>
          <w:sz w:val="24"/>
          <w:highlight w:val="none"/>
        </w:rPr>
        <w:t>载明。</w:t>
      </w:r>
    </w:p>
    <w:p w14:paraId="05C471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3.2.4 投标报价的其他要求见投标人须知前附表。</w:t>
      </w:r>
    </w:p>
    <w:p w14:paraId="500601FE">
      <w:pPr>
        <w:spacing w:line="360" w:lineRule="auto"/>
        <w:rPr>
          <w:rFonts w:asciiTheme="minorEastAsia" w:hAnsiTheme="minorEastAsia" w:eastAsiaTheme="minorEastAsia" w:cstheme="minorEastAsia"/>
          <w:b/>
          <w:color w:val="auto"/>
          <w:kern w:val="0"/>
          <w:sz w:val="28"/>
          <w:szCs w:val="28"/>
          <w:highlight w:val="none"/>
        </w:rPr>
      </w:pPr>
      <w:bookmarkStart w:id="102" w:name="_Toc14190"/>
      <w:r>
        <w:rPr>
          <w:rFonts w:hint="eastAsia" w:asciiTheme="minorEastAsia" w:hAnsiTheme="minorEastAsia" w:eastAsiaTheme="minorEastAsia" w:cstheme="minorEastAsia"/>
          <w:b/>
          <w:color w:val="auto"/>
          <w:kern w:val="0"/>
          <w:sz w:val="28"/>
          <w:szCs w:val="28"/>
          <w:highlight w:val="none"/>
        </w:rPr>
        <w:t>3.3 投标有效期</w:t>
      </w:r>
      <w:bookmarkEnd w:id="102"/>
    </w:p>
    <w:p w14:paraId="05DAE25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3.3.1投标有效期见投标人须知前附表。</w:t>
      </w:r>
    </w:p>
    <w:p w14:paraId="7C1B050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3.3.2在投标有效期内，投标人撤销或修改其投标文件的，应承担招标文件和法律规定的责任。</w:t>
      </w:r>
    </w:p>
    <w:p w14:paraId="04DD719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6B948E90">
      <w:pPr>
        <w:spacing w:line="360" w:lineRule="auto"/>
        <w:rPr>
          <w:rFonts w:asciiTheme="minorEastAsia" w:hAnsiTheme="minorEastAsia" w:eastAsiaTheme="minorEastAsia" w:cstheme="minorEastAsia"/>
          <w:b/>
          <w:color w:val="auto"/>
          <w:kern w:val="0"/>
          <w:sz w:val="28"/>
          <w:szCs w:val="28"/>
          <w:highlight w:val="none"/>
        </w:rPr>
      </w:pPr>
      <w:bookmarkStart w:id="103" w:name="_Toc1543"/>
      <w:bookmarkEnd w:id="103"/>
      <w:bookmarkStart w:id="104" w:name="_Toc23125"/>
      <w:r>
        <w:rPr>
          <w:rFonts w:hint="eastAsia" w:asciiTheme="minorEastAsia" w:hAnsiTheme="minorEastAsia" w:eastAsiaTheme="minorEastAsia" w:cstheme="minorEastAsia"/>
          <w:b/>
          <w:color w:val="auto"/>
          <w:kern w:val="0"/>
          <w:sz w:val="28"/>
          <w:szCs w:val="28"/>
          <w:highlight w:val="none"/>
        </w:rPr>
        <w:t>3.4 投标保证金</w:t>
      </w:r>
      <w:bookmarkEnd w:id="104"/>
    </w:p>
    <w:p w14:paraId="43018C0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3.4.1投标人在</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投标文件的同时，应按投标人须知前附表规定的金额、形式和第六章“投标文件格式”规定的投标保证金格式</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投标保证金，并作为其投标文件的组成部分。联合体投标的，其投标保证金可以由牵头人</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w:t>
      </w:r>
    </w:p>
    <w:p w14:paraId="4073989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3.4.2 投标人不按本章第3.4.1 项要求提交投标保证金的，其投标将被视为无效投标。</w:t>
      </w:r>
    </w:p>
    <w:p w14:paraId="5030310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3.4.3 采购人或者采购代理机构应当自成交通知书发出之日起5个工作日内退还未中标人的投标保证金，自采购合同签订之日起5个工作日内退还中标人的投标保证金。</w:t>
      </w:r>
    </w:p>
    <w:p w14:paraId="1BE3F33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3.4.4 有下列情形之一的，投标保证金将不予退还：</w:t>
      </w:r>
    </w:p>
    <w:p w14:paraId="276A2EF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（1）投标人在投标有效期内撤销投标文件；</w:t>
      </w:r>
    </w:p>
    <w:p w14:paraId="0A5F6D4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（2）中标人在收到成交通知书后，无正当理由不与采购人订立合同，在签订合同时向采购人提出附加条件，或者不按照招标文件要求提交履约保证金；</w:t>
      </w:r>
    </w:p>
    <w:p w14:paraId="0529BB3D">
      <w:pPr>
        <w:spacing w:line="360" w:lineRule="auto"/>
        <w:ind w:firstLine="480" w:firstLineChars="200"/>
        <w:rPr>
          <w:rFonts w:asciiTheme="minorEastAsia" w:hAnsiTheme="minorEastAsia" w:eastAsiaTheme="minorEastAsia" w:cstheme="minorEastAsia"/>
          <w:color w:val="auto"/>
          <w:sz w:val="24"/>
          <w:highlight w:val="none"/>
        </w:rPr>
      </w:pPr>
      <w:bookmarkStart w:id="105" w:name="_Toc32408"/>
      <w:bookmarkEnd w:id="105"/>
      <w:bookmarkStart w:id="106" w:name="_Toc4859"/>
      <w:r>
        <w:rPr>
          <w:rFonts w:hint="eastAsia" w:asciiTheme="minorEastAsia" w:hAnsiTheme="minorEastAsia" w:eastAsiaTheme="minorEastAsia" w:cstheme="minorEastAsia"/>
          <w:color w:val="auto"/>
          <w:sz w:val="24"/>
          <w:highlight w:val="none"/>
        </w:rPr>
        <w:t>（3）中标人中标未按招标文件的规定支付招标代理费的；</w:t>
      </w:r>
    </w:p>
    <w:p w14:paraId="1225740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（4）其他法律法规要求不予退还投标保证金的情形。</w:t>
      </w:r>
    </w:p>
    <w:p w14:paraId="2D8F14A4">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3.5资格审查资料</w:t>
      </w:r>
    </w:p>
    <w:p w14:paraId="404B8290">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3.5.1资格审查方式：详见投标须知前附表</w:t>
      </w:r>
      <w:r>
        <w:rPr>
          <w:rFonts w:hint="eastAsia" w:asciiTheme="minorEastAsia" w:hAnsiTheme="minorEastAsia" w:eastAsiaTheme="minorEastAsia" w:cstheme="minorEastAsia"/>
          <w:color w:val="auto"/>
          <w:sz w:val="24"/>
          <w:highlight w:val="none"/>
          <w:lang w:eastAsia="zh-CN"/>
        </w:rPr>
        <w:t>。</w:t>
      </w:r>
    </w:p>
    <w:p w14:paraId="1577FB5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3.5.2除投标人须知前附表另有规定外，投标人应按“第六章 投标文件格式”规定提供资格审查资料，以证明其满足投标须知前附表1.4.1规定的资格要求。</w:t>
      </w:r>
    </w:p>
    <w:p w14:paraId="53889F9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3.5.3投标人须知前附表规定接受联合体投标的，投标须知前附表1.4.1项规定的资格要求包括联合体各方相关情况。</w:t>
      </w:r>
    </w:p>
    <w:bookmarkEnd w:id="106"/>
    <w:p w14:paraId="23ED9579">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3.6备选投标方案</w:t>
      </w:r>
    </w:p>
    <w:p w14:paraId="26F6038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3.6.1 除投标人须知前附表规定允许外，投标人不得</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备选投标方案，否则其投标将被否决。</w:t>
      </w:r>
    </w:p>
    <w:p w14:paraId="11711DD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3.6.2 允许投标人</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备选投标方案的，只有中标人所</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的备选投标方案方可予以考虑。 评标委员会认为中标人的备选投标方案优于其按照招标文件要求编制的投标方案的，采购人可以接受该备选投标方案。</w:t>
      </w:r>
    </w:p>
    <w:p w14:paraId="0A7D7E2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3.6.3 投标人提供两个或两个以上投标报价，或者在投标文件中提供一个报价，但同时提供两个或两个以上设计方案的，视为提供备选方案。</w:t>
      </w:r>
    </w:p>
    <w:p w14:paraId="16AD258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07" w:name="_Toc7149"/>
      <w:bookmarkStart w:id="108" w:name="_Toc18302"/>
      <w:r>
        <w:rPr>
          <w:rFonts w:hint="eastAsia" w:asciiTheme="minorEastAsia" w:hAnsiTheme="minorEastAsia" w:eastAsiaTheme="minorEastAsia" w:cstheme="minorEastAsia"/>
          <w:color w:val="auto"/>
          <w:szCs w:val="28"/>
          <w:highlight w:val="none"/>
        </w:rPr>
        <w:t>3.7投标文件的编制</w:t>
      </w:r>
    </w:p>
    <w:p w14:paraId="52758F0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3.7.1 投标文件应按“第六章投标文件格式”进行编写。</w:t>
      </w:r>
    </w:p>
    <w:p w14:paraId="53C5129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3.7.2 投标文件应当对招标文件投标人须知前附表1.12.3规定的不允许偏离的实质性要求和条件作出响应。</w:t>
      </w:r>
    </w:p>
    <w:p w14:paraId="156E9E7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3.7.3供应商应安装“政采云投标客户端”，须按照采购文件和政采云平台的要求编制投标文件。</w:t>
      </w:r>
    </w:p>
    <w:p w14:paraId="43BD8EB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3.7.4电子投标文件编制</w:t>
      </w:r>
      <w:r>
        <w:rPr>
          <w:rFonts w:hint="eastAsia" w:ascii="宋体" w:hAnsi="宋体" w:cs="宋体"/>
          <w:color w:val="auto"/>
          <w:sz w:val="24"/>
          <w:highlight w:val="none"/>
        </w:rPr>
        <w:t>：</w:t>
      </w:r>
      <w:r>
        <w:rPr>
          <w:rFonts w:hint="eastAsia" w:asciiTheme="minorEastAsia" w:hAnsiTheme="minorEastAsia" w:eastAsiaTheme="minorEastAsia" w:cstheme="minorEastAsia"/>
          <w:color w:val="auto"/>
          <w:sz w:val="24"/>
          <w:highlight w:val="none"/>
        </w:rPr>
        <w:t>见投标人须知前附表。</w:t>
      </w:r>
    </w:p>
    <w:p w14:paraId="62495496">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4. 投标</w:t>
      </w:r>
      <w:bookmarkEnd w:id="107"/>
      <w:bookmarkEnd w:id="108"/>
    </w:p>
    <w:p w14:paraId="692412C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09" w:name="_Toc1523"/>
      <w:bookmarkEnd w:id="109"/>
      <w:bookmarkStart w:id="110" w:name="_Toc25497"/>
      <w:r>
        <w:rPr>
          <w:rFonts w:hint="eastAsia" w:asciiTheme="minorEastAsia" w:hAnsiTheme="minorEastAsia" w:eastAsiaTheme="minorEastAsia" w:cstheme="minorEastAsia"/>
          <w:color w:val="auto"/>
          <w:szCs w:val="28"/>
          <w:highlight w:val="none"/>
        </w:rPr>
        <w:t xml:space="preserve">4.1 </w:t>
      </w:r>
      <w:bookmarkEnd w:id="110"/>
      <w:r>
        <w:rPr>
          <w:rFonts w:hint="eastAsia" w:asciiTheme="minorEastAsia" w:hAnsiTheme="minorEastAsia" w:eastAsiaTheme="minorEastAsia" w:cstheme="minorEastAsia"/>
          <w:color w:val="auto"/>
          <w:szCs w:val="28"/>
          <w:highlight w:val="none"/>
        </w:rPr>
        <w:t>投标文件的加密</w:t>
      </w:r>
    </w:p>
    <w:p w14:paraId="73AEC5FB">
      <w:pPr>
        <w:spacing w:line="360" w:lineRule="auto"/>
        <w:ind w:firstLine="480" w:firstLineChars="200"/>
        <w:rPr>
          <w:rFonts w:hint="eastAsia" w:asciiTheme="minorEastAsia" w:hAnsiTheme="minorEastAsia" w:eastAsiaTheme="minorEastAsia" w:cstheme="minorEastAsia"/>
          <w:color w:val="auto"/>
          <w:sz w:val="24"/>
          <w:highlight w:val="none"/>
        </w:rPr>
      </w:pPr>
      <w:bookmarkStart w:id="111" w:name="_Toc27596"/>
      <w:bookmarkEnd w:id="111"/>
      <w:r>
        <w:rPr>
          <w:rFonts w:hint="eastAsia" w:asciiTheme="minorEastAsia" w:hAnsiTheme="minorEastAsia" w:eastAsiaTheme="minorEastAsia" w:cstheme="minorEastAsia"/>
          <w:color w:val="auto"/>
          <w:sz w:val="24"/>
          <w:highlight w:val="none"/>
        </w:rPr>
        <w:t>4.1.1网上</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的投标文件需要对投标文件进行加密</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详见</w:t>
      </w:r>
      <w:r>
        <w:rPr>
          <w:rFonts w:hint="eastAsia" w:asciiTheme="minorEastAsia" w:hAnsiTheme="minorEastAsia" w:eastAsiaTheme="minorEastAsia" w:cstheme="minorEastAsia"/>
          <w:color w:val="auto"/>
          <w:sz w:val="24"/>
          <w:highlight w:val="none"/>
        </w:rPr>
        <w:t>投标人须知前附表。</w:t>
      </w:r>
    </w:p>
    <w:p w14:paraId="693C729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4.1.2未按本章第4.1.1项要求</w:t>
      </w:r>
      <w:r>
        <w:rPr>
          <w:rFonts w:hint="eastAsia" w:asciiTheme="minorEastAsia" w:hAnsiTheme="minorEastAsia" w:eastAsiaTheme="minorEastAsia" w:cstheme="minorEastAsia"/>
          <w:color w:val="auto"/>
          <w:sz w:val="24"/>
          <w:highlight w:val="none"/>
          <w:lang w:val="en-US" w:eastAsia="zh-CN"/>
        </w:rPr>
        <w:t>加密</w:t>
      </w:r>
      <w:r>
        <w:rPr>
          <w:rFonts w:hint="eastAsia" w:asciiTheme="minorEastAsia" w:hAnsiTheme="minorEastAsia" w:eastAsiaTheme="minorEastAsia" w:cstheme="minorEastAsia"/>
          <w:color w:val="auto"/>
          <w:sz w:val="24"/>
          <w:highlight w:val="none"/>
        </w:rPr>
        <w:t>的投标文件，</w:t>
      </w:r>
      <w:r>
        <w:rPr>
          <w:rFonts w:hint="eastAsia" w:asciiTheme="minorEastAsia" w:hAnsiTheme="minorEastAsia" w:eastAsiaTheme="minorEastAsia" w:cstheme="minorEastAsia"/>
          <w:color w:val="auto"/>
          <w:sz w:val="24"/>
          <w:highlight w:val="none"/>
          <w:lang w:eastAsia="zh-CN"/>
        </w:rPr>
        <w:t>采购人</w:t>
      </w:r>
      <w:r>
        <w:rPr>
          <w:rFonts w:hint="eastAsia" w:asciiTheme="minorEastAsia" w:hAnsiTheme="minorEastAsia" w:eastAsiaTheme="minorEastAsia" w:cstheme="minorEastAsia"/>
          <w:color w:val="auto"/>
          <w:sz w:val="24"/>
          <w:highlight w:val="none"/>
        </w:rPr>
        <w:t>不予受理。</w:t>
      </w:r>
    </w:p>
    <w:p w14:paraId="6579BD23">
      <w:pPr>
        <w:pStyle w:val="4"/>
        <w:numPr>
          <w:ilvl w:val="2"/>
          <w:numId w:val="0"/>
        </w:numPr>
        <w:tabs>
          <w:tab w:val="clear" w:pos="900"/>
        </w:tabs>
        <w:spacing w:before="0"/>
        <w:rPr>
          <w:rFonts w:hint="eastAsia" w:asciiTheme="minorEastAsia" w:hAnsiTheme="minorEastAsia" w:eastAsiaTheme="minorEastAsia" w:cstheme="minorEastAsia"/>
          <w:color w:val="auto"/>
          <w:szCs w:val="28"/>
          <w:highlight w:val="none"/>
          <w:lang w:eastAsia="zh-CN"/>
        </w:rPr>
      </w:pPr>
      <w:bookmarkStart w:id="112" w:name="_Toc20611"/>
      <w:bookmarkEnd w:id="112"/>
      <w:bookmarkStart w:id="113" w:name="_Toc9134"/>
      <w:r>
        <w:rPr>
          <w:rFonts w:hint="eastAsia" w:asciiTheme="minorEastAsia" w:hAnsiTheme="minorEastAsia" w:eastAsiaTheme="minorEastAsia" w:cstheme="minorEastAsia"/>
          <w:color w:val="auto"/>
          <w:szCs w:val="28"/>
          <w:highlight w:val="none"/>
        </w:rPr>
        <w:t>4.2 投标文件</w:t>
      </w:r>
      <w:r>
        <w:rPr>
          <w:rFonts w:hint="eastAsia" w:asciiTheme="minorEastAsia" w:hAnsiTheme="minorEastAsia" w:eastAsiaTheme="minorEastAsia" w:cstheme="minorEastAsia"/>
          <w:color w:val="auto"/>
          <w:szCs w:val="28"/>
          <w:highlight w:val="none"/>
          <w:lang w:eastAsia="zh-CN"/>
        </w:rPr>
        <w:t>、</w:t>
      </w:r>
      <w:r>
        <w:rPr>
          <w:rFonts w:hint="eastAsia" w:asciiTheme="minorEastAsia" w:hAnsiTheme="minorEastAsia" w:eastAsiaTheme="minorEastAsia" w:cstheme="minorEastAsia"/>
          <w:color w:val="auto"/>
          <w:szCs w:val="28"/>
          <w:highlight w:val="none"/>
          <w:lang w:val="en-US" w:eastAsia="zh-CN"/>
        </w:rPr>
        <w:t>样品</w:t>
      </w:r>
      <w:r>
        <w:rPr>
          <w:rFonts w:hint="eastAsia" w:asciiTheme="minorEastAsia" w:hAnsiTheme="minorEastAsia" w:eastAsiaTheme="minorEastAsia" w:cstheme="minorEastAsia"/>
          <w:color w:val="auto"/>
          <w:szCs w:val="28"/>
          <w:highlight w:val="none"/>
        </w:rPr>
        <w:t>的</w:t>
      </w:r>
      <w:bookmarkEnd w:id="113"/>
      <w:r>
        <w:rPr>
          <w:rFonts w:hint="eastAsia" w:asciiTheme="minorEastAsia" w:hAnsiTheme="minorEastAsia" w:eastAsiaTheme="minorEastAsia" w:cstheme="minorEastAsia"/>
          <w:color w:val="auto"/>
          <w:szCs w:val="28"/>
          <w:highlight w:val="none"/>
          <w:lang w:eastAsia="zh-CN"/>
        </w:rPr>
        <w:t>提交</w:t>
      </w:r>
    </w:p>
    <w:p w14:paraId="094D8A9C">
      <w:pPr>
        <w:spacing w:line="360" w:lineRule="auto"/>
        <w:ind w:firstLine="480" w:firstLineChars="200"/>
        <w:rPr>
          <w:rFonts w:asciiTheme="minorEastAsia" w:hAnsiTheme="minorEastAsia" w:eastAsiaTheme="minorEastAsia" w:cstheme="minorEastAsia"/>
          <w:color w:val="auto"/>
          <w:sz w:val="24"/>
          <w:highlight w:val="none"/>
        </w:rPr>
      </w:pPr>
      <w:bookmarkStart w:id="114" w:name="_Toc21133"/>
      <w:bookmarkEnd w:id="114"/>
      <w:r>
        <w:rPr>
          <w:rFonts w:hint="eastAsia" w:asciiTheme="minorEastAsia" w:hAnsiTheme="minorEastAsia" w:eastAsiaTheme="minorEastAsia" w:cstheme="minorEastAsia"/>
          <w:color w:val="auto"/>
          <w:sz w:val="24"/>
          <w:highlight w:val="none"/>
        </w:rPr>
        <w:t>4.2.1 投标人应在投标人须知前附表规定的</w:t>
      </w:r>
      <w:r>
        <w:rPr>
          <w:rFonts w:hint="eastAsia" w:asciiTheme="minorEastAsia" w:hAnsiTheme="minorEastAsia" w:eastAsiaTheme="minorEastAsia" w:cstheme="minorEastAsia"/>
          <w:color w:val="auto"/>
          <w:sz w:val="24"/>
          <w:highlight w:val="none"/>
          <w:lang w:val="en-US" w:eastAsia="zh-CN"/>
        </w:rPr>
        <w:t>开启解密</w:t>
      </w:r>
      <w:r>
        <w:rPr>
          <w:rFonts w:hint="eastAsia" w:asciiTheme="minorEastAsia" w:hAnsiTheme="minorEastAsia" w:eastAsiaTheme="minorEastAsia" w:cstheme="minorEastAsia"/>
          <w:color w:val="auto"/>
          <w:sz w:val="24"/>
          <w:highlight w:val="none"/>
        </w:rPr>
        <w:t>时间前上传投标文件。</w:t>
      </w:r>
    </w:p>
    <w:p w14:paraId="79A12B4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4.2.2 投标文件</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：见投标人须知前附表。</w:t>
      </w:r>
    </w:p>
    <w:p w14:paraId="1648F82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4.2.3 除投标人须知前附表另有规定外，投标人所</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的投标文件不予退还。</w:t>
      </w:r>
    </w:p>
    <w:p w14:paraId="5FD05180">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4.2.4</w:t>
      </w:r>
      <w:r>
        <w:rPr>
          <w:rFonts w:hint="eastAsia" w:ascii="宋体" w:hAnsi="宋体" w:eastAsia="宋体" w:cs="宋体"/>
          <w:color w:val="auto"/>
          <w:sz w:val="24"/>
          <w:highlight w:val="none"/>
        </w:rPr>
        <w:t>投标样品</w:t>
      </w:r>
      <w:r>
        <w:rPr>
          <w:rFonts w:hint="eastAsia" w:ascii="宋体" w:hAnsi="宋体" w:eastAsia="宋体" w:cs="宋体"/>
          <w:color w:val="auto"/>
          <w:sz w:val="24"/>
          <w:highlight w:val="none"/>
          <w:lang w:val="en-US" w:eastAsia="zh-CN"/>
        </w:rPr>
        <w:t>提</w:t>
      </w:r>
      <w:r>
        <w:rPr>
          <w:rFonts w:hint="eastAsia" w:ascii="宋体" w:hAnsi="宋体" w:eastAsia="宋体" w:cs="宋体"/>
          <w:color w:val="auto"/>
          <w:sz w:val="24"/>
          <w:highlight w:val="none"/>
        </w:rPr>
        <w:t>交截止时间和地点</w:t>
      </w:r>
      <w:r>
        <w:rPr>
          <w:rFonts w:hint="eastAsia" w:asciiTheme="minorEastAsia" w:hAnsiTheme="minorEastAsia" w:eastAsiaTheme="minorEastAsia" w:cstheme="minorEastAsia"/>
          <w:color w:val="auto"/>
          <w:sz w:val="24"/>
          <w:highlight w:val="none"/>
        </w:rPr>
        <w:t>：见投标人须知前附表</w:t>
      </w:r>
      <w:r>
        <w:rPr>
          <w:rFonts w:hint="eastAsia" w:asciiTheme="minorEastAsia" w:hAnsiTheme="minorEastAsia" w:eastAsiaTheme="minorEastAsia" w:cstheme="minorEastAsia"/>
          <w:color w:val="auto"/>
          <w:sz w:val="24"/>
          <w:highlight w:val="none"/>
          <w:lang w:eastAsia="zh-CN"/>
        </w:rPr>
        <w:t>。</w:t>
      </w:r>
    </w:p>
    <w:p w14:paraId="093591B4">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4.2.5</w:t>
      </w:r>
      <w:r>
        <w:rPr>
          <w:rFonts w:hint="eastAsia" w:ascii="宋体" w:hAnsi="宋体" w:cs="宋体"/>
          <w:color w:val="auto"/>
          <w:kern w:val="2"/>
          <w:sz w:val="24"/>
          <w:szCs w:val="24"/>
          <w:highlight w:val="none"/>
        </w:rPr>
        <w:t>样品是否退还</w:t>
      </w:r>
      <w:r>
        <w:rPr>
          <w:rFonts w:hint="eastAsia" w:asciiTheme="minorEastAsia" w:hAnsiTheme="minorEastAsia" w:eastAsiaTheme="minorEastAsia" w:cstheme="minorEastAsia"/>
          <w:color w:val="auto"/>
          <w:sz w:val="24"/>
          <w:highlight w:val="none"/>
        </w:rPr>
        <w:t>：见投标人须知前附表</w:t>
      </w:r>
      <w:r>
        <w:rPr>
          <w:rFonts w:hint="eastAsia" w:asciiTheme="minorEastAsia" w:hAnsiTheme="minorEastAsia" w:eastAsiaTheme="minorEastAsia" w:cstheme="minorEastAsia"/>
          <w:color w:val="auto"/>
          <w:sz w:val="24"/>
          <w:highlight w:val="none"/>
          <w:lang w:eastAsia="zh-CN"/>
        </w:rPr>
        <w:t>。</w:t>
      </w:r>
    </w:p>
    <w:p w14:paraId="269504D3">
      <w:pPr>
        <w:spacing w:line="360" w:lineRule="auto"/>
        <w:ind w:firstLine="480" w:firstLineChars="200"/>
        <w:rPr>
          <w:rFonts w:hint="eastAsia" w:eastAsia="宋体"/>
          <w:color w:val="auto"/>
          <w:highlight w:val="none"/>
          <w:lang w:val="en-US" w:eastAsia="zh-CN"/>
        </w:rPr>
      </w:pPr>
      <w:r>
        <w:rPr>
          <w:rFonts w:hint="eastAsia" w:asciiTheme="minorEastAsia" w:hAnsiTheme="minorEastAsia" w:eastAsiaTheme="minorEastAsia" w:cstheme="minorEastAsia"/>
          <w:color w:val="auto"/>
          <w:sz w:val="24"/>
          <w:highlight w:val="none"/>
          <w:lang w:val="en-US" w:eastAsia="zh-CN"/>
        </w:rPr>
        <w:t>4.2.6</w:t>
      </w:r>
      <w:r>
        <w:rPr>
          <w:rFonts w:hint="eastAsia" w:ascii="宋体" w:hAnsi="宋体" w:cs="宋体"/>
          <w:color w:val="auto"/>
          <w:sz w:val="24"/>
          <w:szCs w:val="24"/>
          <w:highlight w:val="none"/>
        </w:rPr>
        <w:t>采购人或者采购代理机构收到投标样品后，应当如实记载投标样品的送达时间和密封情况，签收保存，并向投标人出具签收回执</w:t>
      </w:r>
      <w:r>
        <w:rPr>
          <w:rFonts w:hint="eastAsia" w:ascii="宋体" w:hAnsi="宋体" w:cs="宋体"/>
          <w:color w:val="auto"/>
          <w:sz w:val="24"/>
          <w:szCs w:val="24"/>
          <w:highlight w:val="none"/>
          <w:lang w:eastAsia="zh-CN"/>
        </w:rPr>
        <w:t>。</w:t>
      </w:r>
    </w:p>
    <w:p w14:paraId="44C370E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 xml:space="preserve"> 逾期提交投标文件的或者不按照投标文件要求加密的，视为撤回投标文件，采购人不予受理。</w:t>
      </w:r>
    </w:p>
    <w:p w14:paraId="1FC907CA">
      <w:pPr>
        <w:spacing w:line="360" w:lineRule="auto"/>
        <w:ind w:firstLine="480" w:firstLineChars="200"/>
        <w:rPr>
          <w:rFonts w:hint="eastAsia" w:eastAsia="宋体" w:asciiTheme="minorEastAsia" w:hAnsi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4.2.8</w:t>
      </w:r>
      <w:r>
        <w:rPr>
          <w:rFonts w:hint="eastAsia" w:ascii="宋体" w:hAnsi="宋体" w:cs="宋体"/>
          <w:color w:val="auto"/>
          <w:sz w:val="24"/>
          <w:highlight w:val="none"/>
        </w:rPr>
        <w:t>逾期送达的、未送达指定地点的或者不按照招标文件要求密封的投标样品，采购人、采购代理机构将予以拒收</w:t>
      </w:r>
      <w:r>
        <w:rPr>
          <w:rFonts w:hint="eastAsia" w:ascii="宋体" w:hAnsi="宋体" w:cs="宋体"/>
          <w:color w:val="auto"/>
          <w:sz w:val="24"/>
          <w:highlight w:val="none"/>
          <w:lang w:eastAsia="zh-CN"/>
        </w:rPr>
        <w:t>。</w:t>
      </w:r>
    </w:p>
    <w:p w14:paraId="0C522CA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15" w:name="_Toc8975"/>
      <w:bookmarkEnd w:id="115"/>
      <w:bookmarkStart w:id="116" w:name="_Toc5071"/>
      <w:r>
        <w:rPr>
          <w:rFonts w:hint="eastAsia" w:asciiTheme="minorEastAsia" w:hAnsiTheme="minorEastAsia" w:eastAsiaTheme="minorEastAsia" w:cstheme="minorEastAsia"/>
          <w:color w:val="auto"/>
          <w:szCs w:val="28"/>
          <w:highlight w:val="none"/>
        </w:rPr>
        <w:t>4.3 投标文件的修改与撤回</w:t>
      </w:r>
      <w:bookmarkEnd w:id="116"/>
    </w:p>
    <w:p w14:paraId="5DDECB8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4.3.1 在本章第4.2.1项规定的</w:t>
      </w:r>
      <w:r>
        <w:rPr>
          <w:rFonts w:hint="eastAsia" w:asciiTheme="minorEastAsia" w:hAnsiTheme="minorEastAsia" w:eastAsiaTheme="minorEastAsia" w:cstheme="minorEastAsia"/>
          <w:color w:val="auto"/>
          <w:sz w:val="24"/>
          <w:highlight w:val="none"/>
          <w:lang w:val="en-US" w:eastAsia="zh-CN"/>
        </w:rPr>
        <w:t>开启解密</w:t>
      </w:r>
      <w:r>
        <w:rPr>
          <w:rFonts w:hint="eastAsia" w:asciiTheme="minorEastAsia" w:hAnsiTheme="minorEastAsia" w:eastAsiaTheme="minorEastAsia" w:cstheme="minorEastAsia"/>
          <w:color w:val="auto"/>
          <w:sz w:val="24"/>
          <w:highlight w:val="none"/>
        </w:rPr>
        <w:t>时间前，投标人可以修改或撤回已</w:t>
      </w:r>
      <w:r>
        <w:rPr>
          <w:rFonts w:hint="eastAsia" w:asciiTheme="minorEastAsia" w:hAnsiTheme="minorEastAsia" w:eastAsiaTheme="minorEastAsia" w:cstheme="minorEastAsia"/>
          <w:color w:val="auto"/>
          <w:sz w:val="24"/>
          <w:highlight w:val="none"/>
          <w:lang w:eastAsia="zh-CN"/>
        </w:rPr>
        <w:t>提交</w:t>
      </w:r>
      <w:r>
        <w:rPr>
          <w:rFonts w:hint="eastAsia" w:asciiTheme="minorEastAsia" w:hAnsiTheme="minorEastAsia" w:eastAsiaTheme="minorEastAsia" w:cstheme="minorEastAsia"/>
          <w:color w:val="auto"/>
          <w:sz w:val="24"/>
          <w:highlight w:val="none"/>
        </w:rPr>
        <w:t>的投标文件，无须以书面形式通知采购人。</w:t>
      </w:r>
    </w:p>
    <w:p w14:paraId="2BB3D9B8">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17" w:name="_Toc14362"/>
      <w:bookmarkEnd w:id="117"/>
      <w:bookmarkStart w:id="118" w:name="_Toc9271"/>
      <w:bookmarkEnd w:id="118"/>
      <w:bookmarkStart w:id="119" w:name="_Toc20324"/>
      <w:bookmarkStart w:id="120" w:name="_Toc27234"/>
      <w:r>
        <w:rPr>
          <w:rFonts w:hint="eastAsia" w:asciiTheme="minorEastAsia" w:hAnsiTheme="minorEastAsia" w:eastAsiaTheme="minorEastAsia" w:cstheme="minorEastAsia"/>
          <w:color w:val="auto"/>
          <w:szCs w:val="28"/>
          <w:highlight w:val="none"/>
        </w:rPr>
        <w:t>5. 开标</w:t>
      </w:r>
      <w:bookmarkEnd w:id="119"/>
      <w:bookmarkEnd w:id="120"/>
    </w:p>
    <w:p w14:paraId="331F8E3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1" w:name="_Toc1527"/>
      <w:bookmarkEnd w:id="121"/>
      <w:bookmarkStart w:id="122" w:name="_Toc9143"/>
      <w:r>
        <w:rPr>
          <w:rFonts w:hint="eastAsia" w:asciiTheme="minorEastAsia" w:hAnsiTheme="minorEastAsia" w:eastAsiaTheme="minorEastAsia" w:cstheme="minorEastAsia"/>
          <w:color w:val="auto"/>
          <w:szCs w:val="28"/>
          <w:highlight w:val="none"/>
        </w:rPr>
        <w:t>5.1 开标时间和地点</w:t>
      </w:r>
      <w:bookmarkEnd w:id="122"/>
    </w:p>
    <w:p w14:paraId="5E695DD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采购人在本章第4.2.1款规定的</w:t>
      </w:r>
      <w:r>
        <w:rPr>
          <w:rFonts w:hint="eastAsia" w:asciiTheme="minorEastAsia" w:hAnsiTheme="minorEastAsia" w:eastAsiaTheme="minorEastAsia" w:cstheme="minorEastAsia"/>
          <w:color w:val="auto"/>
          <w:sz w:val="24"/>
          <w:highlight w:val="none"/>
          <w:lang w:val="en-US" w:eastAsia="zh-CN"/>
        </w:rPr>
        <w:t>开</w:t>
      </w:r>
      <w:r>
        <w:rPr>
          <w:rFonts w:hint="eastAsia" w:ascii="宋体" w:hAnsi="宋体" w:cs="宋体"/>
          <w:b w:val="0"/>
          <w:bCs w:val="0"/>
          <w:color w:val="auto"/>
          <w:sz w:val="24"/>
          <w:highlight w:val="none"/>
          <w:lang w:val="en-US" w:eastAsia="zh-CN"/>
        </w:rPr>
        <w:t>启解密</w:t>
      </w:r>
      <w:r>
        <w:rPr>
          <w:rFonts w:hint="eastAsia" w:ascii="宋体" w:hAnsi="宋体" w:cs="宋体"/>
          <w:b w:val="0"/>
          <w:bCs w:val="0"/>
          <w:color w:val="auto"/>
          <w:sz w:val="24"/>
          <w:highlight w:val="none"/>
        </w:rPr>
        <w:t>时间</w:t>
      </w:r>
      <w:r>
        <w:rPr>
          <w:rFonts w:hint="eastAsia" w:asciiTheme="minorEastAsia" w:hAnsiTheme="minorEastAsia" w:eastAsiaTheme="minorEastAsia" w:cstheme="minorEastAsia"/>
          <w:color w:val="auto"/>
          <w:sz w:val="24"/>
          <w:highlight w:val="none"/>
        </w:rPr>
        <w:t>（开标时间）和投标人须知前附表规定的地点公开开标。</w:t>
      </w:r>
    </w:p>
    <w:p w14:paraId="2C92B49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3" w:name="_Toc21332"/>
      <w:bookmarkEnd w:id="123"/>
      <w:bookmarkStart w:id="124" w:name="_Toc27792"/>
      <w:bookmarkEnd w:id="124"/>
      <w:bookmarkStart w:id="125" w:name="_Toc24636"/>
      <w:r>
        <w:rPr>
          <w:rFonts w:hint="eastAsia" w:asciiTheme="minorEastAsia" w:hAnsiTheme="minorEastAsia" w:eastAsiaTheme="minorEastAsia" w:cstheme="minorEastAsia"/>
          <w:color w:val="auto"/>
          <w:szCs w:val="28"/>
          <w:highlight w:val="none"/>
        </w:rPr>
        <w:t xml:space="preserve">5.2 </w:t>
      </w:r>
      <w:bookmarkEnd w:id="125"/>
      <w:r>
        <w:rPr>
          <w:rFonts w:hint="eastAsia" w:asciiTheme="minorEastAsia" w:hAnsiTheme="minorEastAsia" w:eastAsiaTheme="minorEastAsia" w:cstheme="minorEastAsia"/>
          <w:color w:val="auto"/>
          <w:szCs w:val="28"/>
          <w:highlight w:val="none"/>
          <w:lang w:val="en-US" w:eastAsia="zh-CN"/>
        </w:rPr>
        <w:t>投标</w:t>
      </w:r>
      <w:r>
        <w:rPr>
          <w:rFonts w:hint="eastAsia" w:asciiTheme="minorEastAsia" w:hAnsiTheme="minorEastAsia" w:eastAsiaTheme="minorEastAsia" w:cstheme="minorEastAsia"/>
          <w:color w:val="auto"/>
          <w:szCs w:val="28"/>
          <w:highlight w:val="none"/>
        </w:rPr>
        <w:t>文件解密</w:t>
      </w:r>
      <w:r>
        <w:rPr>
          <w:rFonts w:hint="eastAsia" w:asciiTheme="minorEastAsia" w:hAnsiTheme="minorEastAsia" w:eastAsiaTheme="minorEastAsia" w:cstheme="minorEastAsia"/>
          <w:color w:val="auto"/>
          <w:szCs w:val="28"/>
          <w:highlight w:val="none"/>
          <w:lang w:val="en-US" w:eastAsia="zh-CN"/>
        </w:rPr>
        <w:t>与开启</w:t>
      </w:r>
    </w:p>
    <w:p w14:paraId="7D1B747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5.1.1主持人按下列程序进行开标：</w:t>
      </w:r>
    </w:p>
    <w:p w14:paraId="54ABC83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eastAsia="zh-CN"/>
        </w:rPr>
        <w:t>采购代理机构依托电子交易平台发起开始解密指令，投标人须使用加密时所用的CA锁按平台提示和招标文件的规定登录到“政采云”平台电子开标大厅签到，并在发起解密指令之时起</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lang w:eastAsia="zh-CN"/>
        </w:rPr>
        <w:t>0分钟内完成对电子投标文件在线解密</w:t>
      </w:r>
      <w:r>
        <w:rPr>
          <w:rFonts w:hint="eastAsia" w:asciiTheme="minorEastAsia" w:hAnsiTheme="minorEastAsia" w:eastAsiaTheme="minorEastAsia" w:cstheme="minorEastAsia"/>
          <w:color w:val="auto"/>
          <w:sz w:val="24"/>
          <w:highlight w:val="none"/>
        </w:rPr>
        <w:t>；</w:t>
      </w:r>
    </w:p>
    <w:p w14:paraId="764A493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eastAsia="zh-CN"/>
        </w:rPr>
        <w:t>）</w:t>
      </w:r>
      <w:r>
        <w:rPr>
          <w:rFonts w:hint="eastAsia" w:ascii="宋体" w:hAnsi="宋体" w:cs="宋体"/>
          <w:color w:val="auto"/>
          <w:sz w:val="24"/>
          <w:highlight w:val="none"/>
          <w:lang w:val="en-US" w:eastAsia="zh-CN"/>
        </w:rPr>
        <w:t>因供应商原因造成投标文件未解密的，视为撤销其投标文件</w:t>
      </w:r>
      <w:r>
        <w:rPr>
          <w:rFonts w:hint="eastAsia" w:asciiTheme="minorEastAsia" w:hAnsiTheme="minorEastAsia" w:eastAsiaTheme="minorEastAsia" w:cstheme="minorEastAsia"/>
          <w:color w:val="auto"/>
          <w:sz w:val="24"/>
          <w:highlight w:val="none"/>
        </w:rPr>
        <w:t>；</w:t>
      </w:r>
    </w:p>
    <w:p w14:paraId="6F18F9AD">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w:t>
      </w:r>
      <w:r>
        <w:rPr>
          <w:rFonts w:hint="eastAsia" w:ascii="宋体" w:hAnsi="宋体" w:cs="宋体"/>
          <w:color w:val="auto"/>
          <w:sz w:val="24"/>
          <w:highlight w:val="none"/>
        </w:rPr>
        <w:t>解密完成后系统自动导入有效的电子</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val="en-US" w:eastAsia="zh-CN"/>
        </w:rPr>
        <w:t>开启</w:t>
      </w:r>
      <w:r>
        <w:rPr>
          <w:rFonts w:hint="eastAsia" w:ascii="宋体" w:hAnsi="宋体" w:cs="宋体"/>
          <w:color w:val="auto"/>
          <w:sz w:val="24"/>
          <w:highlight w:val="none"/>
        </w:rPr>
        <w:t>并记录在案</w:t>
      </w:r>
      <w:r>
        <w:rPr>
          <w:rFonts w:hint="eastAsia" w:asciiTheme="minorEastAsia" w:hAnsiTheme="minorEastAsia" w:eastAsiaTheme="minorEastAsia" w:cstheme="minorEastAsia"/>
          <w:color w:val="auto"/>
          <w:sz w:val="24"/>
          <w:highlight w:val="none"/>
          <w:lang w:eastAsia="zh-CN"/>
        </w:rPr>
        <w:t>。</w:t>
      </w:r>
    </w:p>
    <w:p w14:paraId="09D4974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5.2.2该项目采用网上开标的方式，投标人选择网上远程解密</w:t>
      </w:r>
      <w:r>
        <w:rPr>
          <w:rFonts w:hint="eastAsia" w:asciiTheme="minorEastAsia" w:hAnsiTheme="minorEastAsia" w:eastAsiaTheme="minorEastAsia" w:cstheme="minorEastAsia"/>
          <w:color w:val="auto"/>
          <w:sz w:val="24"/>
          <w:highlight w:val="none"/>
          <w:lang w:val="en-US" w:eastAsia="zh-CN"/>
        </w:rPr>
        <w:t>方式</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无需到现场参加开标会及解密投标文件</w:t>
      </w:r>
      <w:r>
        <w:rPr>
          <w:rFonts w:hint="eastAsia" w:asciiTheme="minorEastAsia" w:hAnsiTheme="minorEastAsia" w:eastAsiaTheme="minorEastAsia" w:cstheme="minorEastAsia"/>
          <w:color w:val="auto"/>
          <w:sz w:val="24"/>
          <w:highlight w:val="none"/>
        </w:rPr>
        <w:t>。</w:t>
      </w:r>
    </w:p>
    <w:p w14:paraId="670E298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6" w:name="_Toc27216"/>
      <w:bookmarkEnd w:id="126"/>
      <w:bookmarkStart w:id="127" w:name="_Toc22860"/>
      <w:r>
        <w:rPr>
          <w:rFonts w:hint="eastAsia" w:asciiTheme="minorEastAsia" w:hAnsiTheme="minorEastAsia" w:eastAsiaTheme="minorEastAsia" w:cstheme="minorEastAsia"/>
          <w:color w:val="auto"/>
          <w:szCs w:val="28"/>
          <w:highlight w:val="none"/>
        </w:rPr>
        <w:t>5.3 开标</w:t>
      </w:r>
      <w:bookmarkEnd w:id="127"/>
      <w:r>
        <w:rPr>
          <w:rFonts w:hint="eastAsia" w:asciiTheme="minorEastAsia" w:hAnsiTheme="minorEastAsia" w:eastAsiaTheme="minorEastAsia" w:cstheme="minorEastAsia"/>
          <w:color w:val="auto"/>
          <w:szCs w:val="28"/>
          <w:highlight w:val="none"/>
        </w:rPr>
        <w:t>异议</w:t>
      </w:r>
    </w:p>
    <w:p w14:paraId="5DA2B1C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开标过程应当由采购人或者采购代理机构负责记录，由参加开标的各投标人代表和相关工作人员签字确认后随采购文件一并存档。</w:t>
      </w:r>
    </w:p>
    <w:p w14:paraId="0E4DFBF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代表对开标过程和开标记录有异议，以及认为采购人、采购代理机构相关工作人员有需要回避的情形的，应当场提出询问或者回避申请。采购人、采购代理机构对投标人代表提出的询问或者回避申请应当及时处理。</w:t>
      </w:r>
    </w:p>
    <w:p w14:paraId="2D049E7E">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28" w:name="_Toc27754"/>
      <w:bookmarkEnd w:id="128"/>
      <w:bookmarkStart w:id="129" w:name="_Toc11518"/>
      <w:bookmarkEnd w:id="129"/>
      <w:bookmarkStart w:id="130" w:name="_Toc25563"/>
      <w:bookmarkEnd w:id="130"/>
      <w:bookmarkStart w:id="131" w:name="_Toc28237"/>
      <w:bookmarkEnd w:id="131"/>
      <w:bookmarkStart w:id="132" w:name="_Toc26040"/>
      <w:bookmarkEnd w:id="132"/>
      <w:bookmarkStart w:id="133" w:name="_Toc3756"/>
      <w:bookmarkStart w:id="134" w:name="_Toc11677"/>
      <w:bookmarkStart w:id="135" w:name="_Toc29087"/>
      <w:r>
        <w:rPr>
          <w:rFonts w:hint="eastAsia" w:asciiTheme="minorEastAsia" w:hAnsiTheme="minorEastAsia" w:eastAsiaTheme="minorEastAsia" w:cstheme="minorEastAsia"/>
          <w:color w:val="auto"/>
          <w:szCs w:val="28"/>
          <w:highlight w:val="none"/>
        </w:rPr>
        <w:t>6. 评标</w:t>
      </w:r>
      <w:bookmarkEnd w:id="133"/>
      <w:bookmarkEnd w:id="134"/>
      <w:bookmarkEnd w:id="135"/>
    </w:p>
    <w:p w14:paraId="532A6B0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36" w:name="_Toc11207"/>
      <w:bookmarkEnd w:id="136"/>
      <w:bookmarkStart w:id="137" w:name="_Toc4770"/>
      <w:r>
        <w:rPr>
          <w:rFonts w:hint="eastAsia" w:asciiTheme="minorEastAsia" w:hAnsiTheme="minorEastAsia" w:eastAsiaTheme="minorEastAsia" w:cstheme="minorEastAsia"/>
          <w:color w:val="auto"/>
          <w:szCs w:val="28"/>
          <w:highlight w:val="none"/>
        </w:rPr>
        <w:t>6.1 评标委员会</w:t>
      </w:r>
      <w:bookmarkEnd w:id="137"/>
    </w:p>
    <w:p w14:paraId="5546D51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6.1.1 评标由采购人依法组建的评标委员会负责。评标委员会由采购人代表以及有关技术、经济等方面的专家组成。评标委员会成员人数以及技术、经济等方面专家的确定方式见投标人须知前附表。</w:t>
      </w:r>
    </w:p>
    <w:p w14:paraId="64CCC28A">
      <w:pPr>
        <w:pStyle w:val="7"/>
        <w:ind w:firstLine="480" w:firstLineChars="200"/>
        <w:rPr>
          <w:rFonts w:asciiTheme="minorEastAsia" w:hAnsiTheme="minorEastAsia" w:eastAsiaTheme="minorEastAsia" w:cstheme="minorEastAsia"/>
          <w:color w:val="auto"/>
          <w:sz w:val="24"/>
          <w:highlight w:val="none"/>
        </w:rPr>
      </w:pPr>
      <w:bookmarkStart w:id="138" w:name="_Toc6336"/>
      <w:r>
        <w:rPr>
          <w:rFonts w:hint="eastAsia" w:asciiTheme="minorEastAsia" w:hAnsiTheme="minorEastAsia" w:eastAsiaTheme="minorEastAsia" w:cstheme="minorEastAsia"/>
          <w:color w:val="auto"/>
          <w:sz w:val="24"/>
          <w:highlight w:val="none"/>
        </w:rPr>
        <w:t>6.1.2 评标委员会成员有下列情形之一的，应当回避：</w:t>
      </w:r>
    </w:p>
    <w:p w14:paraId="116E05B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（1）投标人或投标人主要负责人的近亲属；</w:t>
      </w:r>
    </w:p>
    <w:p w14:paraId="2717AC3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（2）项目主管部门或者行政监督部门的人员；</w:t>
      </w:r>
    </w:p>
    <w:p w14:paraId="3F72324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（3）与投标人有经济利益关系，可能影响对投标公正评审的；</w:t>
      </w:r>
    </w:p>
    <w:p w14:paraId="2090EBD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（4）曾因在招标、评标以及其他与招标投标有关活动中从事违法行为而受过行政处罚或刑事处罚的；</w:t>
      </w:r>
    </w:p>
    <w:p w14:paraId="174B79F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（5）与投标人有其他利害关系。</w:t>
      </w:r>
    </w:p>
    <w:p w14:paraId="04F532F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23CFF65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6.2 评标原则</w:t>
      </w:r>
      <w:bookmarkEnd w:id="138"/>
    </w:p>
    <w:p w14:paraId="5D63CFA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评标活动遵循公平、公正、科学和择优的原则。</w:t>
      </w:r>
    </w:p>
    <w:p w14:paraId="19FE4F95">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39" w:name="_Toc10442"/>
      <w:bookmarkEnd w:id="139"/>
      <w:bookmarkStart w:id="140" w:name="_Toc5282"/>
      <w:r>
        <w:rPr>
          <w:rFonts w:hint="eastAsia" w:asciiTheme="minorEastAsia" w:hAnsiTheme="minorEastAsia" w:eastAsiaTheme="minorEastAsia" w:cstheme="minorEastAsia"/>
          <w:color w:val="auto"/>
          <w:szCs w:val="28"/>
          <w:highlight w:val="none"/>
        </w:rPr>
        <w:t>6.3 评标</w:t>
      </w:r>
      <w:bookmarkEnd w:id="140"/>
    </w:p>
    <w:p w14:paraId="4F4C528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6.3.1 评标委员会按照“第三章评标办法”规定的方法、评审因素、标准和程序对投标文件进行评审。“第三章评标办法”没有规定的方法、评审因素和标准，不作为评标依据。</w:t>
      </w:r>
    </w:p>
    <w:p w14:paraId="44F63079">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6.3.2 评标完成后，评标委员会应当向采购人提交书面评标报告和中标候选人名单。评标委员会推荐中标候选人的人数见投标人须知前附表。</w:t>
      </w:r>
    </w:p>
    <w:p w14:paraId="6EC35696">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1" w:name="_Toc30483"/>
      <w:bookmarkEnd w:id="141"/>
      <w:bookmarkStart w:id="142" w:name="_Toc6003"/>
      <w:bookmarkEnd w:id="142"/>
      <w:bookmarkStart w:id="143" w:name="_Toc28955"/>
      <w:bookmarkStart w:id="144" w:name="_Toc22840"/>
      <w:r>
        <w:rPr>
          <w:rFonts w:hint="eastAsia" w:asciiTheme="minorEastAsia" w:hAnsiTheme="minorEastAsia" w:eastAsiaTheme="minorEastAsia" w:cstheme="minorEastAsia"/>
          <w:color w:val="auto"/>
          <w:szCs w:val="28"/>
          <w:highlight w:val="none"/>
        </w:rPr>
        <w:t>7. 中标和合同</w:t>
      </w:r>
      <w:bookmarkEnd w:id="143"/>
      <w:bookmarkEnd w:id="144"/>
    </w:p>
    <w:p w14:paraId="4513F635">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5" w:name="_Toc18219"/>
      <w:bookmarkEnd w:id="145"/>
      <w:bookmarkStart w:id="146" w:name="_Toc31217"/>
      <w:r>
        <w:rPr>
          <w:rFonts w:hint="eastAsia" w:asciiTheme="minorEastAsia" w:hAnsiTheme="minorEastAsia" w:eastAsiaTheme="minorEastAsia" w:cstheme="minorEastAsia"/>
          <w:color w:val="auto"/>
          <w:szCs w:val="28"/>
          <w:highlight w:val="none"/>
        </w:rPr>
        <w:t>7.1 定标</w:t>
      </w:r>
      <w:bookmarkEnd w:id="146"/>
    </w:p>
    <w:p w14:paraId="0002352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按照投标人须知前附表的规定，采购人或采购人授权的评标委员会依法确定中标人。</w:t>
      </w:r>
    </w:p>
    <w:p w14:paraId="7CD697C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7" w:name="_Toc18811"/>
      <w:bookmarkEnd w:id="147"/>
      <w:bookmarkStart w:id="148" w:name="_Toc18115"/>
      <w:r>
        <w:rPr>
          <w:rFonts w:hint="eastAsia" w:asciiTheme="minorEastAsia" w:hAnsiTheme="minorEastAsia" w:eastAsiaTheme="minorEastAsia" w:cstheme="minorEastAsia"/>
          <w:color w:val="auto"/>
          <w:szCs w:val="28"/>
          <w:highlight w:val="none"/>
        </w:rPr>
        <w:t>7.2中标公告</w:t>
      </w:r>
      <w:bookmarkEnd w:id="148"/>
    </w:p>
    <w:p w14:paraId="44BC3CA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采购人或者采购代理机构应当自中标人确定之日起2个工作日内，按照投标人须知前附表规定的媒介和期限公告中标结果，招标文件应当随中标结果同时公告。</w:t>
      </w:r>
    </w:p>
    <w:p w14:paraId="5624F77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中标公告期限详见投标人须知前附表。</w:t>
      </w:r>
    </w:p>
    <w:p w14:paraId="34144F21">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49" w:name="_Toc8411"/>
      <w:bookmarkEnd w:id="149"/>
      <w:bookmarkStart w:id="150" w:name="_Toc16495"/>
      <w:bookmarkEnd w:id="150"/>
      <w:bookmarkStart w:id="151" w:name="_Toc3833"/>
      <w:r>
        <w:rPr>
          <w:rFonts w:hint="eastAsia" w:asciiTheme="minorEastAsia" w:hAnsiTheme="minorEastAsia" w:eastAsiaTheme="minorEastAsia" w:cstheme="minorEastAsia"/>
          <w:color w:val="auto"/>
          <w:szCs w:val="28"/>
          <w:highlight w:val="none"/>
        </w:rPr>
        <w:t>7.3中标通知</w:t>
      </w:r>
      <w:bookmarkEnd w:id="151"/>
    </w:p>
    <w:p w14:paraId="4F9E6AD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在本章第3.3款规定的投标有效期内，在公告中标结果的同时，采购人或者采购代理机构应当向中标人发出</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通知书。</w:t>
      </w:r>
    </w:p>
    <w:p w14:paraId="32B0513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2" w:name="_Toc13042"/>
      <w:bookmarkEnd w:id="152"/>
      <w:bookmarkStart w:id="153" w:name="_Toc7193"/>
      <w:r>
        <w:rPr>
          <w:rFonts w:hint="eastAsia" w:asciiTheme="minorEastAsia" w:hAnsiTheme="minorEastAsia" w:eastAsiaTheme="minorEastAsia" w:cstheme="minorEastAsia"/>
          <w:color w:val="auto"/>
          <w:szCs w:val="28"/>
          <w:highlight w:val="none"/>
        </w:rPr>
        <w:t>7.4 履约</w:t>
      </w:r>
      <w:bookmarkEnd w:id="153"/>
      <w:r>
        <w:rPr>
          <w:rFonts w:hint="eastAsia" w:asciiTheme="minorEastAsia" w:hAnsiTheme="minorEastAsia" w:eastAsiaTheme="minorEastAsia" w:cstheme="minorEastAsia"/>
          <w:color w:val="auto"/>
          <w:szCs w:val="28"/>
          <w:highlight w:val="none"/>
        </w:rPr>
        <w:t>担保（本项目不要求）</w:t>
      </w:r>
    </w:p>
    <w:p w14:paraId="1F019EF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7.4.1  在签订合同前，中标人应按投标人须知前附表规定的形式、金额和招标文件“第四章合同条款及格式”规定的或者事先经过采购人书面认可的履约保证金格式向采购人提交履约保证金。履约保证金不得超过中标合同金额的10%。联合体中标的，其履约保证金以联合体各方或者联合体中牵头人的名义提交。</w:t>
      </w:r>
    </w:p>
    <w:p w14:paraId="7848246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7.4.2 中标人不能按本章第 7.4.1 项要求提交履约保证金的，视为放弃中标，其投标保证金不予退还，给采购人造成的损失超过投标保证金数额的，中标人还应当对超过部分予以赔偿。</w:t>
      </w:r>
    </w:p>
    <w:p w14:paraId="36966CE3">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4" w:name="_Toc6413"/>
      <w:bookmarkEnd w:id="154"/>
      <w:bookmarkStart w:id="155" w:name="_Toc18519"/>
      <w:r>
        <w:rPr>
          <w:rFonts w:hint="eastAsia" w:asciiTheme="minorEastAsia" w:hAnsiTheme="minorEastAsia" w:eastAsiaTheme="minorEastAsia" w:cstheme="minorEastAsia"/>
          <w:color w:val="auto"/>
          <w:szCs w:val="28"/>
          <w:highlight w:val="none"/>
        </w:rPr>
        <w:t>7.5 签订合同</w:t>
      </w:r>
      <w:bookmarkEnd w:id="155"/>
    </w:p>
    <w:p w14:paraId="3227B69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7.5.1 采购人应当自成交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FCBD6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7.5.2 成交通知书发出后，采购人不得违法改变中标结果，中标人无正当理由不得放弃中标。</w:t>
      </w:r>
    </w:p>
    <w:p w14:paraId="6C7E74F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7.5.3联合体中标的，联合体各方应当共同与采购人签订合同，就中标项目向采购人承担连带责任。</w:t>
      </w:r>
    </w:p>
    <w:p w14:paraId="3FCB3242">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8.重新招标</w:t>
      </w:r>
    </w:p>
    <w:p w14:paraId="3D8C13F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有下列情形之一的依法必须招标的项目， 采购人将重新招标</w:t>
      </w:r>
      <w:r>
        <w:rPr>
          <w:rFonts w:hint="eastAsia" w:asciiTheme="minorEastAsia" w:hAnsiTheme="minorEastAsia" w:eastAsiaTheme="minorEastAsia" w:cstheme="minorEastAsia"/>
          <w:color w:val="auto"/>
          <w:sz w:val="24"/>
          <w:highlight w:val="none"/>
          <w:lang w:eastAsia="zh-CN"/>
        </w:rPr>
        <w:t>：</w:t>
      </w:r>
    </w:p>
    <w:p w14:paraId="47A9F88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（1）经评标委员会评审后否决所有投标的</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 xml:space="preserve"> </w:t>
      </w:r>
    </w:p>
    <w:p w14:paraId="16F069A1">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（2）国家相关法律法规规定的其他重新招标情形。</w:t>
      </w:r>
    </w:p>
    <w:p w14:paraId="555BFD9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（3）公开招标数额标准以上的采购项目，投标截止后投标人不足3家或者通过资格审查或符合性审查的投标人不足3家的，除采购任务取消情形外，按照以下方式处理：</w:t>
      </w:r>
    </w:p>
    <w:p w14:paraId="4FF6786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（一）招标文件存在不合理条款或者招标程序不符合规定的，采购人、采购代理机构改正后依法重新招标；</w:t>
      </w:r>
    </w:p>
    <w:p w14:paraId="48279F9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（二）招标文件没有不合理条款、招标程序符合规定，需要采用其他采购方式采购的，采购人应当依法报财政部门批准。</w:t>
      </w:r>
    </w:p>
    <w:p w14:paraId="61613166">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6" w:name="_Toc20692"/>
      <w:bookmarkEnd w:id="156"/>
      <w:bookmarkStart w:id="157" w:name="_Toc11854"/>
      <w:bookmarkEnd w:id="157"/>
      <w:bookmarkStart w:id="158" w:name="_Toc31137"/>
      <w:bookmarkEnd w:id="158"/>
      <w:r>
        <w:rPr>
          <w:rFonts w:hint="eastAsia" w:asciiTheme="minorEastAsia" w:hAnsiTheme="minorEastAsia" w:eastAsiaTheme="minorEastAsia" w:cstheme="minorEastAsia"/>
          <w:color w:val="auto"/>
          <w:szCs w:val="28"/>
          <w:highlight w:val="none"/>
        </w:rPr>
        <w:t>9.纪律和监督</w:t>
      </w:r>
    </w:p>
    <w:p w14:paraId="7368DB6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9.1 对采购人的纪律要求</w:t>
      </w:r>
    </w:p>
    <w:p w14:paraId="7492E6D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采购人不得泄露招标投标活动中应当保密的情况和资料，不得与投标人串通损害国家利益、社会公共利益或者他人合法权益。</w:t>
      </w:r>
    </w:p>
    <w:p w14:paraId="0CF6CDB2">
      <w:pPr>
        <w:pStyle w:val="4"/>
        <w:numPr>
          <w:ilvl w:val="2"/>
          <w:numId w:val="0"/>
        </w:numPr>
        <w:tabs>
          <w:tab w:val="clear" w:pos="900"/>
        </w:tabs>
        <w:spacing w:before="0"/>
        <w:rPr>
          <w:rFonts w:asciiTheme="minorEastAsia" w:hAnsiTheme="minorEastAsia" w:eastAsiaTheme="minorEastAsia" w:cstheme="minorEastAsia"/>
          <w:color w:val="auto"/>
          <w:kern w:val="2"/>
          <w:szCs w:val="28"/>
          <w:highlight w:val="none"/>
        </w:rPr>
      </w:pPr>
      <w:r>
        <w:rPr>
          <w:rFonts w:hint="eastAsia" w:asciiTheme="minorEastAsia" w:hAnsiTheme="minorEastAsia" w:eastAsiaTheme="minorEastAsia" w:cstheme="minorEastAsia"/>
          <w:color w:val="auto"/>
          <w:szCs w:val="28"/>
          <w:highlight w:val="none"/>
        </w:rPr>
        <w:t>9.2 对投标人的纪律要求</w:t>
      </w:r>
    </w:p>
    <w:p w14:paraId="366CB439">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A95BFD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59" w:name="_bookmark74"/>
      <w:bookmarkEnd w:id="159"/>
      <w:r>
        <w:rPr>
          <w:rFonts w:hint="eastAsia" w:asciiTheme="minorEastAsia" w:hAnsiTheme="minorEastAsia" w:eastAsiaTheme="minorEastAsia" w:cstheme="minorEastAsia"/>
          <w:color w:val="auto"/>
          <w:szCs w:val="28"/>
          <w:highlight w:val="none"/>
        </w:rPr>
        <w:t>9.3 对评标委员会成员的纪律要求</w:t>
      </w:r>
    </w:p>
    <w:p w14:paraId="61C12027">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3A6EFB1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政府采购评审专家应当遵守评审工作纪律，不得泄露评审文件、评审情况和评审中获悉的商业秘密。</w:t>
      </w:r>
    </w:p>
    <w:p w14:paraId="197EB43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竞争性谈判小组或者询价小组在评审过程中发现投标人有行贿、提供虚假材料或者串通等违法行为的，应当及时向财政部门报告。政府采购评审专家在评审过程中受到非法干预的，应当及时向财政、监察等部门举报。</w:t>
      </w:r>
    </w:p>
    <w:p w14:paraId="7B6B1C9E">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9.4 对与评标活动有关的工作人员的纪律要求</w:t>
      </w:r>
    </w:p>
    <w:p w14:paraId="04B434D4">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9A06677">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60" w:name="_Toc5396"/>
      <w:bookmarkStart w:id="161" w:name="_Toc23291"/>
      <w:r>
        <w:rPr>
          <w:rFonts w:hint="eastAsia" w:asciiTheme="minorEastAsia" w:hAnsiTheme="minorEastAsia" w:eastAsiaTheme="minorEastAsia" w:cstheme="minorEastAsia"/>
          <w:color w:val="auto"/>
          <w:szCs w:val="28"/>
          <w:highlight w:val="none"/>
        </w:rPr>
        <w:t>10.质疑接收、回复</w:t>
      </w:r>
      <w:bookmarkEnd w:id="160"/>
      <w:bookmarkEnd w:id="161"/>
      <w:r>
        <w:rPr>
          <w:rFonts w:hint="eastAsia" w:asciiTheme="minorEastAsia" w:hAnsiTheme="minorEastAsia" w:eastAsiaTheme="minorEastAsia" w:cstheme="minorEastAsia"/>
          <w:color w:val="auto"/>
          <w:szCs w:val="28"/>
          <w:highlight w:val="none"/>
        </w:rPr>
        <w:t>询问与答复</w:t>
      </w:r>
    </w:p>
    <w:p w14:paraId="195A63E0">
      <w:pPr>
        <w:pStyle w:val="7"/>
        <w:ind w:left="10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凡对本次招标采购活动事项有疑问的，可以向采购代理机构提出询问，采购代理机构将及时作出答复，但答复的内容不得涉及商业秘密。</w:t>
      </w:r>
    </w:p>
    <w:p w14:paraId="280E046D">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10.1质疑接收</w:t>
      </w:r>
    </w:p>
    <w:p w14:paraId="5CB4E6E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10.1.1 投标人认为招标文件、招标过程和中标结果使自己的权益受到损害的，</w:t>
      </w:r>
      <w:r>
        <w:rPr>
          <w:rFonts w:hint="eastAsia" w:asciiTheme="minorEastAsia" w:hAnsiTheme="minorEastAsia" w:eastAsiaTheme="minorEastAsia" w:cstheme="minorEastAsia"/>
          <w:color w:val="auto"/>
          <w:spacing w:val="12"/>
          <w:sz w:val="24"/>
          <w:highlight w:val="none"/>
        </w:rPr>
        <w:t>可以在知道或者应知其权益受到损害之日起7个工作日内，</w:t>
      </w:r>
      <w:r>
        <w:rPr>
          <w:rFonts w:hint="eastAsia" w:asciiTheme="minorEastAsia" w:hAnsiTheme="minorEastAsia" w:eastAsiaTheme="minorEastAsia" w:cstheme="minorEastAsia"/>
          <w:color w:val="auto"/>
          <w:sz w:val="24"/>
          <w:highlight w:val="none"/>
        </w:rPr>
        <w:t>根据《中华人民共和国政府采购法》、《中华人民共和国政府采购法实施条例》和《政府采购质疑和投诉办法》的有关规定，依法通过“政府采购云平台（https://www.zcygov.cn/）”向采购人或其委托的采购代理机构提出质疑。</w:t>
      </w:r>
      <w:r>
        <w:rPr>
          <w:rFonts w:hint="eastAsia" w:ascii="宋体" w:hAnsi="宋体" w:cs="宋体"/>
          <w:color w:val="auto"/>
          <w:sz w:val="24"/>
          <w:highlight w:val="none"/>
          <w:lang w:val="en-US" w:eastAsia="zh-CN"/>
        </w:rPr>
        <w:t>（注：政府采购云平台尚未开通地域，投标人联系代理机构采用邮件方式提出）</w:t>
      </w:r>
    </w:p>
    <w:p w14:paraId="54157AC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10.1.2 质疑投标人应按照财政部制定的《政府采购质疑函范本》格式和《政府采购质疑和投诉办法》的要求，在法定质疑期内通过“政府采购云平台（https://www.zcygov.cn/）”向采购人、采购代理机构提出质疑，针对同一采购程序环节的质疑应一次性提出。</w:t>
      </w:r>
    </w:p>
    <w:p w14:paraId="7D68B72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超出法定质疑期的、重复提出的、分次提出的或内容、形式不符合《政府采购质疑和投诉办法》的，质疑投标人将依法承担不利后果。</w:t>
      </w:r>
    </w:p>
    <w:p w14:paraId="55F17E52">
      <w:pPr>
        <w:spacing w:line="360" w:lineRule="auto"/>
        <w:ind w:firstLine="482" w:firstLineChars="200"/>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提出质疑的投标人（以下简称质疑投标人）应当是参与所质疑项目采购活动的投标人。</w:t>
      </w:r>
    </w:p>
    <w:p w14:paraId="01B33EE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潜在投标人已依法获取其可质疑的采购文件的，可以对该文件提出质疑。对采购文件提出质疑的，应当在获取采购文件或者采购文件公告期限届满之日起7个工作日内提出。</w:t>
      </w:r>
    </w:p>
    <w:p w14:paraId="57324BD1">
      <w:pPr>
        <w:pStyle w:val="30"/>
        <w:ind w:firstLine="528"/>
        <w:rPr>
          <w:rFonts w:asciiTheme="minorEastAsia" w:hAnsiTheme="minorEastAsia" w:cstheme="minorEastAsia"/>
          <w:color w:val="auto"/>
          <w:szCs w:val="24"/>
          <w:highlight w:val="none"/>
        </w:rPr>
      </w:pPr>
      <w:r>
        <w:rPr>
          <w:rFonts w:hint="eastAsia" w:asciiTheme="minorEastAsia" w:hAnsiTheme="minorEastAsia" w:cstheme="minorEastAsia"/>
          <w:color w:val="auto"/>
          <w:szCs w:val="24"/>
          <w:highlight w:val="none"/>
        </w:rPr>
        <w:t>10.1.3 投标人提出质疑应当提交质疑函和必要的证明材料。质疑函应当包括下列内容：</w:t>
      </w:r>
    </w:p>
    <w:p w14:paraId="7C17FD6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（一）投标人的姓名或者名称、地址、邮编、联系人及联系电话；</w:t>
      </w:r>
    </w:p>
    <w:p w14:paraId="3D59209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（二）质疑项目的名称、编号；</w:t>
      </w:r>
    </w:p>
    <w:p w14:paraId="2187E09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（三）具体、明确的质疑事项和与质疑事项相关的请求；</w:t>
      </w:r>
    </w:p>
    <w:p w14:paraId="20D1048B">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（四）事实依据；</w:t>
      </w:r>
    </w:p>
    <w:p w14:paraId="0ED1B9A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（五）必要的法律依据；</w:t>
      </w:r>
    </w:p>
    <w:p w14:paraId="61CDA26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（六）提出质疑的日期。</w:t>
      </w:r>
    </w:p>
    <w:p w14:paraId="6C45DE6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投标人为自然人的，应当由本人签字；投标人为法人或者其他组织的，应当由法定代表人、主要负责人，或者其授权代表签字或者盖章，并加盖公章。</w:t>
      </w:r>
    </w:p>
    <w:p w14:paraId="0EC348EC">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10.2质疑回复</w:t>
      </w:r>
    </w:p>
    <w:p w14:paraId="2A17C83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采购人、采购代理机构不得拒收质疑投标人在法定质疑期内发出的质疑函，应当在收到质疑函后7个工作日内作出答复，并通过“政府采购云平台（https://www.zcygov.cn/）”回复质疑人和所有潜在投标人。</w:t>
      </w:r>
      <w:r>
        <w:rPr>
          <w:rFonts w:hint="eastAsia" w:ascii="宋体" w:hAnsi="宋体" w:cs="宋体"/>
          <w:color w:val="auto"/>
          <w:sz w:val="24"/>
          <w:highlight w:val="none"/>
          <w:lang w:val="en-US" w:eastAsia="zh-CN"/>
        </w:rPr>
        <w:t>（注：政府采购云平台尚未开通地域，代理机构采用邮件或邮寄方式回复）</w:t>
      </w:r>
    </w:p>
    <w:p w14:paraId="4862F26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投标人对评审过程、中标或者成交结果提出质疑的，采购人、采购代理机构可以组织原评标委员会协助答复质疑。</w:t>
      </w:r>
    </w:p>
    <w:p w14:paraId="0A274AE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质疑答复应当包括下列内容：</w:t>
      </w:r>
    </w:p>
    <w:p w14:paraId="75137CD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（一）质疑投标人的姓名或者名称；</w:t>
      </w:r>
    </w:p>
    <w:p w14:paraId="223358C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（二）收到质疑函的日期、质疑项目名称及编号；</w:t>
      </w:r>
    </w:p>
    <w:p w14:paraId="460820C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（三）质疑事项、质疑答复的具体内容、事实依据和法律依据；</w:t>
      </w:r>
    </w:p>
    <w:p w14:paraId="56C36C6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（四）告知质疑投标人依法投诉的权利；</w:t>
      </w:r>
    </w:p>
    <w:p w14:paraId="74ED1A7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（五）质疑答复人名称；</w:t>
      </w:r>
    </w:p>
    <w:p w14:paraId="47474B9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（六）答复质疑的日期。</w:t>
      </w:r>
    </w:p>
    <w:p w14:paraId="02FC627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质疑答复的内容不得涉及商业秘密。</w:t>
      </w:r>
    </w:p>
    <w:p w14:paraId="2BEF085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采购人、采购代理机构认为投标人质疑不成立，或者成立但未对中标、成交结果构成影响的，继续开展采购活动；认为投标人质疑成立且影响或者可能影响中标、成交结果的，按照下列情况处理：</w:t>
      </w:r>
    </w:p>
    <w:p w14:paraId="2FFD587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（一）对采购文件提出的质疑，依法通过澄清或者修改可以继续开展采购活动的，澄清或者修改采购文件后继续开展采购活动；否则应当修改采购文件后重新开展采购活动。</w:t>
      </w:r>
    </w:p>
    <w:p w14:paraId="0F30AB1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对采购过程、中标或者成交结果提出的质疑，合格投标人符合法定数量时，可以从合格的中标或者成交候选人中另行确定中标、成交投标人的，应当依法另行确定中标、成交投标人；否则应当重新开展采购活动。</w:t>
      </w:r>
    </w:p>
    <w:p w14:paraId="4124AC6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质疑答复导致中标、成交结果改变的，采购人或者采购代理机构应当将有关情况书面报告本级财政部门。</w:t>
      </w:r>
    </w:p>
    <w:p w14:paraId="7419BCEF">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11.投诉</w:t>
      </w:r>
    </w:p>
    <w:p w14:paraId="2BB50A7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投标人或者其他利害关系人认为采购投标活动不符合法律、行政法规规定的，应当在知道或者应当知道其权益受到侵害之日起十日内向有关行政监督部门提出书面投诉，其他利害关系人是指投标人以外的，与采购项目或者采购活动有直接和间接利益关系的法人、其他组织和个人。</w:t>
      </w:r>
    </w:p>
    <w:p w14:paraId="531F687D">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11.2就本章11条规定事项投诉的，应当先向采购人提出质疑，质疑答复期间不计算在前款规定的期限内。</w:t>
      </w:r>
    </w:p>
    <w:p w14:paraId="071DFF7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11.3投诉人投诉时，应当提交投诉书。投诉书应当包括下列内容：</w:t>
      </w:r>
    </w:p>
    <w:p w14:paraId="5B66735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投诉人的名称、地址及有效联系方式；</w:t>
      </w:r>
    </w:p>
    <w:p w14:paraId="5BA3F82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被投诉人的名称、地址及有效联系方式；</w:t>
      </w:r>
    </w:p>
    <w:p w14:paraId="75902C4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投诉事项的基本事实；</w:t>
      </w:r>
    </w:p>
    <w:p w14:paraId="1627A14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相关请求及主张；</w:t>
      </w:r>
    </w:p>
    <w:p w14:paraId="3377D828">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（五）有效线索和相关证明材料。</w:t>
      </w:r>
    </w:p>
    <w:p w14:paraId="7309B26E">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6008C0E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11.4投诉人不得以投诉为名排挤竞争对手，不得进行虚假、恶意投诉，阻碍采购投标活动的正常进行。</w:t>
      </w:r>
    </w:p>
    <w:p w14:paraId="5D60E68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11.5投诉人可以直接投诉，也可以委托代理人办理投诉事务。代理人办理投诉事务时，应将授权委托书连同投诉书一并提交给行政监督部门。授权委托书应当明确有关委托代理权限和事项。</w:t>
      </w:r>
    </w:p>
    <w:p w14:paraId="6875B472">
      <w:pPr>
        <w:pStyle w:val="7"/>
        <w:ind w:firstLine="480" w:firstLineChars="200"/>
        <w:rPr>
          <w:rFonts w:asciiTheme="minorEastAsia" w:hAnsiTheme="minorEastAsia" w:eastAsiaTheme="minorEastAsia" w:cstheme="minorEastAsia"/>
          <w:color w:val="auto"/>
          <w:sz w:val="24"/>
          <w:highlight w:val="none"/>
        </w:rPr>
      </w:pPr>
      <w:bookmarkStart w:id="162" w:name="_Toc20594"/>
      <w:r>
        <w:rPr>
          <w:rFonts w:hint="eastAsia" w:asciiTheme="minorEastAsia" w:hAnsiTheme="minorEastAsia" w:eastAsiaTheme="minorEastAsia" w:cstheme="minorEastAsia"/>
          <w:color w:val="auto"/>
          <w:sz w:val="24"/>
          <w:highlight w:val="none"/>
        </w:rPr>
        <w:t>11.6有下列情形之一的投诉，不予受理；</w:t>
      </w:r>
    </w:p>
    <w:p w14:paraId="3BBEDD94">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（一）投诉人不是所投诉采购投标活动的参与者，或者与投诉项目无任何利害关系；</w:t>
      </w:r>
    </w:p>
    <w:p w14:paraId="708EB8EC">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（二）投诉事项不具体，且未提供有效线索，难以查证的；</w:t>
      </w:r>
    </w:p>
    <w:p w14:paraId="57F2702C">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（三）投诉书未署具投诉人真实姓名、签字和有效联系方式的；以法人名义投诉的，投诉书未经法定代表人签字并加盖公章的；</w:t>
      </w:r>
    </w:p>
    <w:p w14:paraId="0977B6A6">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（四）超过投诉时效的；</w:t>
      </w:r>
    </w:p>
    <w:p w14:paraId="1465D56E">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（五）已经作出处理决定，并且投诉人没有提出新的证据；</w:t>
      </w:r>
    </w:p>
    <w:p w14:paraId="1534A352">
      <w:pPr>
        <w:pStyle w:val="30"/>
        <w:ind w:firstLine="480"/>
        <w:rPr>
          <w:rFonts w:asciiTheme="minorEastAsia" w:hAnsiTheme="minorEastAsia" w:cstheme="minorEastAsia"/>
          <w:color w:val="auto"/>
          <w:spacing w:val="0"/>
          <w:szCs w:val="24"/>
          <w:highlight w:val="none"/>
        </w:rPr>
      </w:pPr>
      <w:r>
        <w:rPr>
          <w:rFonts w:hint="eastAsia" w:asciiTheme="minorEastAsia" w:hAnsiTheme="minorEastAsia" w:cstheme="minorEastAsia"/>
          <w:color w:val="auto"/>
          <w:spacing w:val="0"/>
          <w:szCs w:val="24"/>
          <w:highlight w:val="none"/>
        </w:rPr>
        <w:t>（六）投诉事项已进入行政复议或者行政诉讼程序的。</w:t>
      </w:r>
    </w:p>
    <w:p w14:paraId="47A5DE8E">
      <w:pPr>
        <w:pStyle w:val="30"/>
        <w:ind w:firstLine="480"/>
        <w:rPr>
          <w:rFonts w:asciiTheme="minorEastAsia" w:hAnsiTheme="minorEastAsia" w:cstheme="minorEastAsia"/>
          <w:color w:val="auto"/>
          <w:szCs w:val="24"/>
          <w:highlight w:val="none"/>
        </w:rPr>
      </w:pPr>
      <w:r>
        <w:rPr>
          <w:rFonts w:hint="eastAsia" w:asciiTheme="minorEastAsia" w:hAnsiTheme="minorEastAsia" w:cstheme="minorEastAsia"/>
          <w:color w:val="auto"/>
          <w:spacing w:val="0"/>
          <w:szCs w:val="24"/>
          <w:highlight w:val="none"/>
        </w:rPr>
        <w:t>11.7未尽事宜，按国家现行有关法律法规、中华人民共和国财政部令第94号--《政府采购质疑和投诉办法》的规定执行</w:t>
      </w:r>
      <w:r>
        <w:rPr>
          <w:rFonts w:hint="eastAsia" w:asciiTheme="minorEastAsia" w:hAnsiTheme="minorEastAsia" w:cstheme="minorEastAsia"/>
          <w:color w:val="auto"/>
          <w:szCs w:val="24"/>
          <w:highlight w:val="none"/>
        </w:rPr>
        <w:t>。</w:t>
      </w:r>
    </w:p>
    <w:bookmarkEnd w:id="162"/>
    <w:p w14:paraId="3D473C39">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bookmarkStart w:id="163" w:name="_Toc11291"/>
      <w:bookmarkEnd w:id="163"/>
      <w:bookmarkStart w:id="164" w:name="_Toc18697"/>
      <w:bookmarkEnd w:id="164"/>
      <w:bookmarkStart w:id="165" w:name="_Toc3960"/>
      <w:bookmarkEnd w:id="165"/>
      <w:bookmarkStart w:id="166" w:name="_Toc11354"/>
      <w:bookmarkEnd w:id="166"/>
      <w:bookmarkStart w:id="167" w:name="_Toc19873"/>
      <w:bookmarkEnd w:id="167"/>
      <w:bookmarkStart w:id="168" w:name="_Toc26816"/>
      <w:bookmarkStart w:id="169" w:name="_Toc22793"/>
      <w:bookmarkStart w:id="170" w:name="_Toc14857"/>
      <w:r>
        <w:rPr>
          <w:rFonts w:hint="eastAsia" w:asciiTheme="minorEastAsia" w:hAnsiTheme="minorEastAsia" w:eastAsiaTheme="minorEastAsia" w:cstheme="minorEastAsia"/>
          <w:color w:val="auto"/>
          <w:szCs w:val="28"/>
          <w:highlight w:val="none"/>
        </w:rPr>
        <w:t>12.需要补充的其他内容</w:t>
      </w:r>
      <w:bookmarkEnd w:id="168"/>
      <w:bookmarkEnd w:id="169"/>
      <w:bookmarkEnd w:id="170"/>
    </w:p>
    <w:p w14:paraId="237909C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需要补充的其他内容：见投标人须知前附表；</w:t>
      </w:r>
    </w:p>
    <w:p w14:paraId="1041E3F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在领取</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通知书的同时，由中标人向采购代理机构支付</w:t>
      </w:r>
      <w:r>
        <w:rPr>
          <w:rFonts w:hint="eastAsia" w:asciiTheme="minorEastAsia" w:hAnsiTheme="minorEastAsia" w:eastAsiaTheme="minorEastAsia" w:cstheme="minorEastAsia"/>
          <w:color w:val="auto"/>
          <w:sz w:val="24"/>
          <w:highlight w:val="none"/>
          <w:lang w:eastAsia="zh-CN"/>
        </w:rPr>
        <w:t>中标服务费</w:t>
      </w:r>
      <w:r>
        <w:rPr>
          <w:rFonts w:hint="eastAsia" w:asciiTheme="minorEastAsia" w:hAnsiTheme="minorEastAsia" w:eastAsiaTheme="minorEastAsia" w:cstheme="minorEastAsia"/>
          <w:color w:val="auto"/>
          <w:sz w:val="24"/>
          <w:highlight w:val="none"/>
        </w:rPr>
        <w:t>；</w:t>
      </w:r>
    </w:p>
    <w:p w14:paraId="18948EF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中标人与采购人签订合同后，将合同扫描件报采购代理机构备案。</w:t>
      </w:r>
    </w:p>
    <w:p w14:paraId="77A508A9">
      <w:pPr>
        <w:pStyle w:val="4"/>
        <w:numPr>
          <w:ilvl w:val="2"/>
          <w:numId w:val="0"/>
        </w:numPr>
        <w:tabs>
          <w:tab w:val="clear" w:pos="900"/>
        </w:tabs>
        <w:spacing w:before="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13.政府采购政策</w:t>
      </w:r>
    </w:p>
    <w:p w14:paraId="37354CC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13.1关于中小企业</w:t>
      </w:r>
    </w:p>
    <w:p w14:paraId="7F32860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13.1.1根据《关于印发&lt;政府采购促进中小企业发展管理办法&gt;的通知》（财库〔2020〕46 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2A0757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13.1.2在政府采购活动中，投标人提供的货物、工程或者服务符合下列情形的，享受中小企业扶持政策：</w:t>
      </w:r>
    </w:p>
    <w:p w14:paraId="3BC8560D">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（一）在货物采购项目中，货物由中小企业制造，即货物由中小企业生产且使用该中小企业商号或者注册商标；</w:t>
      </w:r>
    </w:p>
    <w:p w14:paraId="20BAEE9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（二）在工程采购项目中，工程由中小企业承建，即工程施工单位为中小企业；</w:t>
      </w:r>
    </w:p>
    <w:p w14:paraId="49749E4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（三）在服务采购项目中，服务由中小企业承接，即提供服务的人员为中小企业依照《中华人民共和国劳动合同法》订立劳动合同的从业人员。</w:t>
      </w:r>
    </w:p>
    <w:p w14:paraId="35542EB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在货物采购项目中，投标人提供的货物既有中小企业制造货物，也有大型企业制造货物的，不享受本办法规定的中小企业扶持政策。</w:t>
      </w:r>
    </w:p>
    <w:p w14:paraId="1CBB616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以联合体形式参加政府采购活动，联合体各方均为中小企业的，联合体视同中小企业。其中，联合体各方均为小微企业的，联合体视同小微企业。</w:t>
      </w:r>
    </w:p>
    <w:p w14:paraId="1F3E5B2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13.1.3依据《政府采购促进中小企业发展管理办法》（财库〔2020〕46号）及《关于进一步加大政府采购支持中小企业力度的通知》（财库〔2022〕19号）规定享受扶持政策获得政府采购合同的，小微企业不得将合同分包给大中型企业，中型企业不得将合同分包给大型企业。</w:t>
      </w:r>
    </w:p>
    <w:p w14:paraId="06D4559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13.1.4中小企业参加政府采购活动，应当出具本办法规定的《中小企业声明函》（后附），否则不得享受相关中小企业扶持政策。</w:t>
      </w:r>
    </w:p>
    <w:p w14:paraId="2EA8924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13.1.5本项目针对小微企业报价给予10%的扣除，用扣除后的价格参与评审。残疾人福利性单位属于小型、微型企业、监狱企业的，不重复享受政策。</w:t>
      </w:r>
    </w:p>
    <w:p w14:paraId="4235364A">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13.2关于残疾人福利性单位：</w:t>
      </w:r>
    </w:p>
    <w:p w14:paraId="44FE44E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13.2.1根据《关于促进残疾人就业政府采购政策的通知》（财库〔2017〕141号）的规定，享受政府采购支持政策的残疾人福利性单位应当同时满足以下条件：</w:t>
      </w:r>
    </w:p>
    <w:p w14:paraId="46D810A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（一）安置的残疾人占本单位在职职工人数的比例不低于25%（含25%），并且安置的残疾人人数不少于10人（含10人）；</w:t>
      </w:r>
    </w:p>
    <w:p w14:paraId="0C092DF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（二）依法与安置的每位残疾人签订了一年以上（含一年）的劳动合同或服务协议；</w:t>
      </w:r>
    </w:p>
    <w:p w14:paraId="48B0D50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（三）为安置的每位残疾人按月足额缴纳了基本养老保险、基本医疗保险、失业保险、工伤保险和生育保险等社会保险费；</w:t>
      </w:r>
    </w:p>
    <w:p w14:paraId="2716ACF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（四）通过银行等金融机构向安置的每位残疾人，按月支付了不低于单位所在区县适用的经省级人民政府批准的月最低工资标准的工资；</w:t>
      </w:r>
    </w:p>
    <w:p w14:paraId="3ACF8077">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（五）提供本单位制造的货物、承担的工程或者服务（以下简称产品），或者提供其他残疾人福利性单位制造的货物（不包括使用非残疾人福利性单位注册商标的货物）。</w:t>
      </w:r>
    </w:p>
    <w:p w14:paraId="7619660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D7917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13.2.2符合条件的残疾人福利性单位在参加政府采购活动时，应当按《三部门联合发布关于促进残疾人就业政府采购政策的通知》（财库〔2017〕141号）提供规定的《残疾人福利性单位声明函》，并对声明的真实性负责。</w:t>
      </w:r>
    </w:p>
    <w:p w14:paraId="7DA15B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13.2.3本项目针对残疾人福利性单位产品的价格给予10%的扣除，</w:t>
      </w:r>
      <w:bookmarkStart w:id="171" w:name="_Hlk92451014"/>
      <w:r>
        <w:rPr>
          <w:rFonts w:hint="eastAsia" w:asciiTheme="minorEastAsia" w:hAnsiTheme="minorEastAsia" w:eastAsiaTheme="minorEastAsia" w:cstheme="minorEastAsia"/>
          <w:color w:val="auto"/>
          <w:sz w:val="24"/>
          <w:highlight w:val="none"/>
        </w:rPr>
        <w:t>用扣除后的价格参与评审。残疾人福利性单位属于小型、微型企业、监狱企业的，不重复享受政策。</w:t>
      </w:r>
      <w:bookmarkEnd w:id="171"/>
    </w:p>
    <w:p w14:paraId="28100670">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13.3关于监狱企业：</w:t>
      </w:r>
    </w:p>
    <w:p w14:paraId="3132C69B">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13.3.1 依照&lt;财政部、司法部关于政府采购支持监狱企业发展有关问题的通知&gt;（财库〔2014〕68号）之规定，监狱企业应当符合以下条件：</w:t>
      </w:r>
    </w:p>
    <w:p w14:paraId="46582F74">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C2FBEF">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13.3.3 监狱企业参加政府采购活动时，视同小型、微型企业，应当提供由省级以上监狱管理局、戒毒管理局（含新疆生产建设兵团）出具的属于监狱企业的证明文件。</w:t>
      </w:r>
    </w:p>
    <w:p w14:paraId="6CCA3B7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13.3.4在政府采购活动中，监狱企业视同小型、微型企业，享受预留份额、评审中价格扣除等政府采购促进中小企业发展的政府采购政策。</w:t>
      </w:r>
    </w:p>
    <w:p w14:paraId="78E0621C">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13.4关于节能产品及环境标志产品。</w:t>
      </w:r>
    </w:p>
    <w:p w14:paraId="35D053E6">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节能产品是指列入财政部和发展改革委公布的《关于印发节能产品政府采购品目清单的通知》（财库〔2019〕19 号）《节能产品政府采购品目清单》中的产品，其中已标注的政府强制采购产品。</w:t>
      </w:r>
    </w:p>
    <w:p w14:paraId="2F904FA2">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环境标志产品是指列入财政部和生态环境部公布的《关于印发环境标志产品政府采购品目清单的通知》（财库〔2019〕18 号）《环境标志产品政府采购品目清单》中的产品。</w:t>
      </w:r>
    </w:p>
    <w:p w14:paraId="436FFCC3">
      <w:pPr>
        <w:pStyle w:val="7"/>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052BD38">
      <w:pPr>
        <w:pStyle w:val="7"/>
        <w:ind w:firstLine="480" w:firstLineChars="200"/>
        <w:rPr>
          <w:rFonts w:ascii="宋体" w:hAnsi="宋体" w:cs="宋体"/>
          <w:color w:val="auto"/>
          <w:szCs w:val="21"/>
          <w:highlight w:val="none"/>
        </w:r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投标人应在投标文件中提供所投标产品国家确定的认证机构出具的、处于有效期之内的节能产品、环境标志产品认证证书，否则不予认可。</w:t>
      </w:r>
    </w:p>
    <w:p w14:paraId="3F4DF219">
      <w:pPr>
        <w:spacing w:line="520" w:lineRule="exact"/>
        <w:ind w:firstLine="480" w:firstLineChars="200"/>
        <w:rPr>
          <w:rFonts w:asciiTheme="minorEastAsia" w:hAnsiTheme="minorEastAsia" w:eastAsiaTheme="minorEastAsia" w:cstheme="minorEastAsia"/>
          <w:color w:val="auto"/>
          <w:sz w:val="24"/>
          <w:highlight w:val="none"/>
        </w:rPr>
        <w:sectPr>
          <w:pgSz w:w="11906" w:h="16838"/>
          <w:pgMar w:top="1440" w:right="1080" w:bottom="1440" w:left="1080" w:header="851" w:footer="992" w:gutter="0"/>
          <w:pgNumType w:fmt="decimal"/>
          <w:cols w:space="425" w:num="1"/>
          <w:docGrid w:type="lines" w:linePitch="312" w:charSpace="0"/>
        </w:sectPr>
      </w:pPr>
      <w:r>
        <w:rPr>
          <w:rFonts w:hint="eastAsia" w:asciiTheme="minorEastAsia" w:hAnsiTheme="minorEastAsia" w:eastAsiaTheme="minorEastAsia" w:cstheme="minorEastAsia"/>
          <w:color w:val="auto"/>
          <w:sz w:val="24"/>
          <w:highlight w:val="none"/>
        </w:rPr>
        <w:t>13.4.</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《节能产品政府采购品目清单》及《环境标志产品政府采购品目清单》可通过中国政府采购网（http://www.ccgp.gov.cn/ ）查阅、下载。认证机构名录如若以现行最新规定为准。</w:t>
      </w:r>
    </w:p>
    <w:bookmarkEnd w:id="1"/>
    <w:bookmarkEnd w:id="2"/>
    <w:p w14:paraId="649EF308">
      <w:pPr>
        <w:pStyle w:val="2"/>
        <w:spacing w:before="0" w:after="0" w:line="360" w:lineRule="auto"/>
        <w:ind w:firstLine="442" w:firstLineChars="100"/>
        <w:jc w:val="center"/>
        <w:rPr>
          <w:rFonts w:ascii="宋体" w:hAnsi="宋体" w:cs="宋体"/>
          <w:color w:val="auto"/>
          <w:highlight w:val="none"/>
        </w:rPr>
      </w:pPr>
      <w:bookmarkStart w:id="172" w:name="_Toc13757"/>
      <w:bookmarkEnd w:id="172"/>
      <w:bookmarkStart w:id="173" w:name="_bookmark75"/>
      <w:bookmarkEnd w:id="173"/>
      <w:bookmarkStart w:id="174" w:name="_Toc1490"/>
      <w:bookmarkEnd w:id="174"/>
      <w:bookmarkStart w:id="175" w:name="_Toc2432"/>
      <w:bookmarkEnd w:id="175"/>
      <w:bookmarkStart w:id="176" w:name="_bookmark73"/>
      <w:bookmarkEnd w:id="176"/>
      <w:bookmarkStart w:id="177" w:name="_Toc12995"/>
      <w:bookmarkEnd w:id="177"/>
      <w:bookmarkStart w:id="178" w:name="_Toc7645"/>
      <w:r>
        <w:rPr>
          <w:rFonts w:hint="eastAsia" w:ascii="宋体" w:hAnsi="宋体" w:cs="宋体"/>
          <w:color w:val="auto"/>
          <w:highlight w:val="none"/>
        </w:rPr>
        <w:t>第三章 评标办法</w:t>
      </w:r>
      <w:bookmarkEnd w:id="178"/>
    </w:p>
    <w:p w14:paraId="01E2DAB7">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根据《中华人民共和国政府采购法》、第87号令《政府采购货物和服务招标投标管理办法》、财政部（财库</w:t>
      </w:r>
      <w:r>
        <w:rPr>
          <w:rFonts w:hint="eastAsia" w:asciiTheme="minorEastAsia" w:hAnsiTheme="minorEastAsia" w:cstheme="minorEastAsia"/>
          <w:color w:val="auto"/>
          <w:sz w:val="24"/>
          <w:szCs w:val="24"/>
          <w:highlight w:val="none"/>
          <w:lang w:eastAsia="zh-CN"/>
        </w:rPr>
        <w:t>〔2012〕69号</w:t>
      </w:r>
      <w:r>
        <w:rPr>
          <w:rFonts w:hint="eastAsia" w:asciiTheme="minorEastAsia" w:hAnsiTheme="minorEastAsia" w:cstheme="minorEastAsia"/>
          <w:color w:val="auto"/>
          <w:sz w:val="24"/>
          <w:szCs w:val="24"/>
          <w:highlight w:val="none"/>
        </w:rPr>
        <w:t>）《财政部关于进一步规范政府采购评审工作有关问题的通知》、国务院（国务院第658号）《中华人民共和国政府采购法实施条例》等法律、法规。</w:t>
      </w:r>
    </w:p>
    <w:p w14:paraId="01BCB493">
      <w:pPr>
        <w:pStyle w:val="22"/>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一、评标原则</w:t>
      </w:r>
    </w:p>
    <w:p w14:paraId="4606A5DA">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1.坚持“公平、公正、科学、择优”的原则，本着实事求是的精神，不带有任何主观意愿和偏见，认真负责地做好评标工作，公平、公正地对待每一个投标人。</w:t>
      </w:r>
    </w:p>
    <w:p w14:paraId="3CC48936">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2.全面分析，综合评审。</w:t>
      </w:r>
    </w:p>
    <w:p w14:paraId="23D162D1">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3.评标只对投标人的投标文件进行评审，投标文件以外的资料、信息不作为评标的依据。</w:t>
      </w:r>
    </w:p>
    <w:p w14:paraId="57FC5D5C">
      <w:pPr>
        <w:pStyle w:val="22"/>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二、评标机构</w:t>
      </w:r>
    </w:p>
    <w:p w14:paraId="30E51832">
      <w:pPr>
        <w:pStyle w:val="22"/>
        <w:spacing w:after="0" w:line="360" w:lineRule="auto"/>
        <w:ind w:left="0" w:leftChars="0" w:firstLine="480"/>
        <w:jc w:val="left"/>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cstheme="minorEastAsia"/>
          <w:color w:val="auto"/>
          <w:sz w:val="24"/>
          <w:szCs w:val="24"/>
          <w:highlight w:val="none"/>
        </w:rPr>
        <w:t>评标机构为评标委员会，评标委员会的组成见“第二章 投标人须知</w:t>
      </w:r>
      <w:r>
        <w:rPr>
          <w:rFonts w:hint="eastAsia" w:asciiTheme="minorEastAsia" w:hAnsiTheme="minorEastAsia" w:cstheme="minorEastAsia"/>
          <w:color w:val="auto"/>
          <w:sz w:val="24"/>
          <w:szCs w:val="24"/>
          <w:highlight w:val="none"/>
          <w:lang w:val="en-US" w:eastAsia="zh-CN"/>
        </w:rPr>
        <w:t>-</w:t>
      </w:r>
      <w:r>
        <w:rPr>
          <w:rFonts w:hint="eastAsia" w:asciiTheme="minorEastAsia" w:hAnsiTheme="minorEastAsia" w:cstheme="minorEastAsia"/>
          <w:color w:val="auto"/>
          <w:sz w:val="24"/>
          <w:szCs w:val="24"/>
          <w:highlight w:val="none"/>
        </w:rPr>
        <w:t>投标人须知前附表 6.1.1”</w:t>
      </w:r>
      <w:r>
        <w:rPr>
          <w:rFonts w:hint="eastAsia" w:asciiTheme="minorEastAsia" w:hAnsiTheme="minorEastAsia" w:cstheme="minorEastAsia"/>
          <w:color w:val="auto"/>
          <w:sz w:val="24"/>
          <w:szCs w:val="24"/>
          <w:highlight w:val="none"/>
          <w:lang w:eastAsia="zh-CN"/>
        </w:rPr>
        <w:t>。</w:t>
      </w:r>
    </w:p>
    <w:p w14:paraId="7CC2B7D4">
      <w:pPr>
        <w:pStyle w:val="22"/>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 xml:space="preserve">三、评标委员会职责 </w:t>
      </w:r>
    </w:p>
    <w:p w14:paraId="319C7CC5">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评标委员会负责具体评标事务，并独立履行下列职责： </w:t>
      </w:r>
    </w:p>
    <w:p w14:paraId="56C27D99">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一</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 xml:space="preserve">审查、评价投标文件是否符合招标文件的商务、技术等实质性要求。 </w:t>
      </w:r>
    </w:p>
    <w:p w14:paraId="755D67DF">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二</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 xml:space="preserve">要求投标人对投标文件有关事项作出澄清或者说明。 </w:t>
      </w:r>
    </w:p>
    <w:p w14:paraId="4D180E9F">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三</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对投标文件进行比较和评价。</w:t>
      </w:r>
    </w:p>
    <w:p w14:paraId="2065A675">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四</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 xml:space="preserve">确定中标候选人名单，以及根据采购人委托直接确定中标人。 </w:t>
      </w:r>
    </w:p>
    <w:p w14:paraId="0EAFB0ED">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五</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向采购人、采购代理机构或者有关部门报告评标中发现的违法行为。</w:t>
      </w:r>
    </w:p>
    <w:p w14:paraId="39555366">
      <w:pPr>
        <w:pStyle w:val="22"/>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四、评标纪律</w:t>
      </w:r>
    </w:p>
    <w:p w14:paraId="57CB256D">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1.对评标过程要严格保密，不得向投标人或与该过程无关的</w:t>
      </w:r>
      <w:r>
        <w:rPr>
          <w:rFonts w:hint="eastAsia" w:asciiTheme="minorEastAsia" w:hAnsiTheme="minorEastAsia" w:cstheme="minorEastAsia"/>
          <w:color w:val="auto"/>
          <w:sz w:val="24"/>
          <w:szCs w:val="24"/>
          <w:highlight w:val="none"/>
          <w:lang w:eastAsia="zh-CN"/>
        </w:rPr>
        <w:t>其他人员</w:t>
      </w:r>
      <w:r>
        <w:rPr>
          <w:rFonts w:hint="eastAsia" w:asciiTheme="minorEastAsia" w:hAnsiTheme="minorEastAsia" w:cstheme="minorEastAsia"/>
          <w:color w:val="auto"/>
          <w:sz w:val="24"/>
          <w:szCs w:val="24"/>
          <w:highlight w:val="none"/>
        </w:rPr>
        <w:t>泄露；</w:t>
      </w:r>
    </w:p>
    <w:p w14:paraId="14D99654">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2.任何属于投标文件审查、澄清、评价和比较的资料，不得向投标人或与该过程无关的</w:t>
      </w:r>
      <w:r>
        <w:rPr>
          <w:rFonts w:hint="eastAsia" w:asciiTheme="minorEastAsia" w:hAnsiTheme="minorEastAsia" w:cstheme="minorEastAsia"/>
          <w:color w:val="auto"/>
          <w:sz w:val="24"/>
          <w:szCs w:val="24"/>
          <w:highlight w:val="none"/>
          <w:lang w:eastAsia="zh-CN"/>
        </w:rPr>
        <w:t>其他人员</w:t>
      </w:r>
      <w:r>
        <w:rPr>
          <w:rFonts w:hint="eastAsia" w:asciiTheme="minorEastAsia" w:hAnsiTheme="minorEastAsia" w:cstheme="minorEastAsia"/>
          <w:color w:val="auto"/>
          <w:sz w:val="24"/>
          <w:szCs w:val="24"/>
          <w:highlight w:val="none"/>
        </w:rPr>
        <w:t>泄露；</w:t>
      </w:r>
    </w:p>
    <w:p w14:paraId="3C9D1DC4">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3.所有资料（包括招标文件、投标文件、评标表格及各种文字记录）在评标结束后均应分别整理、存档备查，任何人不得复制和保留，不得向外泄露；</w:t>
      </w:r>
    </w:p>
    <w:p w14:paraId="2BCB0946">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4.评标期间，评标人员不得外出，确需外出时应事先请假；</w:t>
      </w:r>
    </w:p>
    <w:p w14:paraId="69BE3E96">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5.评标期间，所有与会人员均不得私自以任何方式和投标人进行联系，需询问、澄清的问题由评标委员会统一组织办理；</w:t>
      </w:r>
    </w:p>
    <w:p w14:paraId="25A3992C">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6.评标结束后，与会人员不得向外界透露评标人员的评标意见，如因此造成的后果由责任者承担。</w:t>
      </w:r>
    </w:p>
    <w:p w14:paraId="7830A781">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7.根据《政府采购货物和服务招标投标管理办法》</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财政部令第 87 号</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规定，评标委员会及其成员不得有下列行为，否则其评审意见无效：</w:t>
      </w:r>
    </w:p>
    <w:p w14:paraId="10A166F6">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（1）确定参与评标至评标结束前私自接触投标人；</w:t>
      </w:r>
    </w:p>
    <w:p w14:paraId="234CC565">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（2）接受投标人提出的与投标文件不一致的澄清或者说明，本办法第五十一条规定的情形除外；</w:t>
      </w:r>
    </w:p>
    <w:p w14:paraId="2ADC4846">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（3）违反评标纪律发表倾向性意见或者征询采购人的倾向性意见；</w:t>
      </w:r>
    </w:p>
    <w:p w14:paraId="75988FDC">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（4）对需要专业判断的主观评审因素协商评分；</w:t>
      </w:r>
    </w:p>
    <w:p w14:paraId="19329CB6">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（5）在评标过程中擅离职守，影响评标程序正常进行的；</w:t>
      </w:r>
    </w:p>
    <w:p w14:paraId="6552405C">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（6）记录、复制或者带走任何评标资料；</w:t>
      </w:r>
    </w:p>
    <w:p w14:paraId="33654C11">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（7）其他不遵守评标纪律的行为。</w:t>
      </w:r>
    </w:p>
    <w:p w14:paraId="04A17B65">
      <w:pPr>
        <w:pStyle w:val="22"/>
        <w:spacing w:after="0" w:line="360" w:lineRule="auto"/>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五、评标程序</w:t>
      </w:r>
    </w:p>
    <w:p w14:paraId="72CD7AB3">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本次招标所采用的评标方法为《政府采购货物和服务招标投标管理办法》</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财政部令第87号</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第五十五条规定的“综合评分法”，即：投标文件满足招标文件全部实质性要求，且按照评审因素的量化指标评审得分最高的投标人为中标候选人的评标方法。</w:t>
      </w:r>
    </w:p>
    <w:p w14:paraId="52F1628A">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评标按：资格审查→符合性审查→商务技术评审→</w:t>
      </w:r>
      <w:r>
        <w:rPr>
          <w:rFonts w:hint="eastAsia" w:asciiTheme="minorEastAsia" w:hAnsiTheme="minorEastAsia" w:cstheme="minorEastAsia"/>
          <w:color w:val="auto"/>
          <w:sz w:val="24"/>
          <w:szCs w:val="24"/>
          <w:highlight w:val="none"/>
          <w:lang w:val="en-US" w:eastAsia="zh-CN"/>
        </w:rPr>
        <w:t>报价评审→</w:t>
      </w:r>
      <w:r>
        <w:rPr>
          <w:rFonts w:hint="eastAsia" w:asciiTheme="minorEastAsia" w:hAnsiTheme="minorEastAsia" w:cstheme="minorEastAsia"/>
          <w:color w:val="auto"/>
          <w:sz w:val="24"/>
          <w:szCs w:val="24"/>
          <w:highlight w:val="none"/>
        </w:rPr>
        <w:t>统计评标结果→编写评标报告的程序进行。</w:t>
      </w:r>
    </w:p>
    <w:p w14:paraId="417BEE24">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（一）资格审查</w:t>
      </w:r>
    </w:p>
    <w:p w14:paraId="0EBEC48E">
      <w:pPr>
        <w:pStyle w:val="22"/>
        <w:spacing w:after="0" w:line="360" w:lineRule="auto"/>
        <w:ind w:left="0" w:leftChars="0" w:firstLine="480"/>
        <w:jc w:val="left"/>
        <w:rPr>
          <w:rFonts w:asciiTheme="minorEastAsia" w:hAnsiTheme="minorEastAsia" w:cstheme="minorEastAsia"/>
          <w:b/>
          <w:bCs/>
          <w:color w:val="auto"/>
          <w:sz w:val="24"/>
          <w:szCs w:val="24"/>
          <w:highlight w:val="none"/>
        </w:rPr>
      </w:pPr>
      <w:r>
        <w:rPr>
          <w:rFonts w:hint="eastAsia" w:asciiTheme="minorEastAsia" w:hAnsiTheme="minorEastAsia" w:cstheme="minorEastAsia"/>
          <w:color w:val="auto"/>
          <w:sz w:val="24"/>
          <w:szCs w:val="24"/>
          <w:highlight w:val="none"/>
        </w:rPr>
        <w:t>开标会结束后，采购人</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和/或</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rPr>
        <w:t>采购代理机构依据法律法规和招标文件的规定对投标人的资格进行审查，以确定投标人是否具备投标资格。只有通过资格审查的投标文件才能进入评标。</w:t>
      </w:r>
    </w:p>
    <w:p w14:paraId="4ED6E4AF">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不符合下列情形之一的投标文件不能通过资格审查： </w:t>
      </w:r>
    </w:p>
    <w:tbl>
      <w:tblPr>
        <w:tblStyle w:val="24"/>
        <w:tblW w:w="0" w:type="auto"/>
        <w:tblInd w:w="11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299"/>
        <w:gridCol w:w="5641"/>
      </w:tblGrid>
      <w:tr w14:paraId="0EDDE9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4DB1C87D">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299" w:type="dxa"/>
            <w:tcBorders>
              <w:tl2br w:val="nil"/>
              <w:tr2bl w:val="nil"/>
            </w:tcBorders>
            <w:noWrap/>
            <w:vAlign w:val="center"/>
          </w:tcPr>
          <w:p w14:paraId="7CB8A8F6">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评审因素</w:t>
            </w:r>
          </w:p>
        </w:tc>
        <w:tc>
          <w:tcPr>
            <w:tcW w:w="5641" w:type="dxa"/>
            <w:tcBorders>
              <w:tl2br w:val="nil"/>
              <w:tr2bl w:val="nil"/>
            </w:tcBorders>
            <w:noWrap/>
            <w:vAlign w:val="center"/>
          </w:tcPr>
          <w:p w14:paraId="4263CFEE">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资格评审标准</w:t>
            </w:r>
          </w:p>
        </w:tc>
      </w:tr>
      <w:tr w14:paraId="3B601B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79E68CC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299" w:type="dxa"/>
            <w:tcBorders>
              <w:tl2br w:val="nil"/>
              <w:tr2bl w:val="nil"/>
            </w:tcBorders>
            <w:noWrap/>
            <w:vAlign w:val="center"/>
          </w:tcPr>
          <w:p w14:paraId="57B4F14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具有独立承担民事责任的</w:t>
            </w:r>
          </w:p>
          <w:p w14:paraId="6129A73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能力</w:t>
            </w:r>
          </w:p>
        </w:tc>
        <w:tc>
          <w:tcPr>
            <w:tcW w:w="5641" w:type="dxa"/>
            <w:tcBorders>
              <w:tl2br w:val="nil"/>
              <w:tr2bl w:val="nil"/>
            </w:tcBorders>
            <w:noWrap/>
            <w:vAlign w:val="center"/>
          </w:tcPr>
          <w:p w14:paraId="188D040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提供自然人有效身份证明或法人或者其他组织有效的营业执照等证明文件。</w:t>
            </w:r>
          </w:p>
        </w:tc>
      </w:tr>
      <w:tr w14:paraId="15789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079021C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3299" w:type="dxa"/>
            <w:tcBorders>
              <w:tl2br w:val="nil"/>
              <w:tr2bl w:val="nil"/>
            </w:tcBorders>
            <w:noWrap/>
            <w:vAlign w:val="center"/>
          </w:tcPr>
          <w:p w14:paraId="7E5AB207">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具有良好的商业信誉</w:t>
            </w:r>
          </w:p>
        </w:tc>
        <w:tc>
          <w:tcPr>
            <w:tcW w:w="5641" w:type="dxa"/>
            <w:tcBorders>
              <w:tl2br w:val="nil"/>
              <w:tr2bl w:val="nil"/>
            </w:tcBorders>
            <w:noWrap/>
            <w:vAlign w:val="center"/>
          </w:tcPr>
          <w:p w14:paraId="4F09DE8E">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①供应商应在信用中国（www.creditchina.gov.cn）中未被列入失信被执行人；②供应商应在信用中国（www.creditchina.gov.cn）中未被列入重大税收违法失信主体；③供应商应在中国政府采购网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中未被列入政府采购严重违法失信行为记录名单（备注：</w:t>
            </w:r>
            <w:r>
              <w:rPr>
                <w:rFonts w:hint="eastAsia" w:ascii="宋体" w:hAnsi="宋体" w:cs="宋体"/>
                <w:color w:val="auto"/>
                <w:sz w:val="24"/>
                <w:highlight w:val="none"/>
                <w:lang w:eastAsia="zh-CN"/>
              </w:rPr>
              <w:t>以上网站均由采购人或采购代理机构在资格审查时查询</w:t>
            </w:r>
            <w:r>
              <w:rPr>
                <w:rFonts w:hint="eastAsia" w:ascii="宋体" w:hAnsi="宋体" w:cs="宋体"/>
                <w:color w:val="auto"/>
                <w:sz w:val="24"/>
                <w:highlight w:val="none"/>
              </w:rPr>
              <w:t>，若供应商有失信行为，视为不满足资格要求）。</w:t>
            </w:r>
          </w:p>
        </w:tc>
      </w:tr>
      <w:tr w14:paraId="037E8E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3716E2B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3299" w:type="dxa"/>
            <w:tcBorders>
              <w:tl2br w:val="nil"/>
              <w:tr2bl w:val="nil"/>
            </w:tcBorders>
            <w:noWrap/>
            <w:vAlign w:val="center"/>
          </w:tcPr>
          <w:p w14:paraId="089ACA7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健全的财务会计制度</w:t>
            </w:r>
          </w:p>
        </w:tc>
        <w:tc>
          <w:tcPr>
            <w:tcW w:w="5641" w:type="dxa"/>
            <w:tcBorders>
              <w:tl2br w:val="nil"/>
              <w:tr2bl w:val="nil"/>
            </w:tcBorders>
            <w:noWrap/>
            <w:vAlign w:val="center"/>
          </w:tcPr>
          <w:p w14:paraId="5838DDF9">
            <w:pPr>
              <w:widowControl/>
              <w:spacing w:line="360" w:lineRule="auto"/>
              <w:rPr>
                <w:rFonts w:ascii="宋体" w:hAnsi="宋体" w:cs="宋体"/>
                <w:color w:val="auto"/>
                <w:sz w:val="24"/>
                <w:highlight w:val="none"/>
              </w:rPr>
            </w:pPr>
            <w:r>
              <w:rPr>
                <w:rFonts w:hint="eastAsia" w:ascii="宋体" w:hAnsi="宋体" w:cs="宋体"/>
                <w:color w:val="auto"/>
                <w:sz w:val="24"/>
                <w:highlight w:val="none"/>
              </w:rPr>
              <w:t>健全的财务会计制度（内容可为以下</w:t>
            </w:r>
            <w:r>
              <w:rPr>
                <w:rFonts w:hint="eastAsia" w:ascii="宋体" w:hAnsi="宋体" w:cs="宋体"/>
                <w:color w:val="auto"/>
                <w:sz w:val="24"/>
                <w:highlight w:val="none"/>
                <w:lang w:eastAsia="zh-CN"/>
              </w:rPr>
              <w:t>二者之一</w:t>
            </w:r>
            <w:r>
              <w:rPr>
                <w:rFonts w:hint="eastAsia" w:ascii="宋体" w:hAnsi="宋体" w:cs="宋体"/>
                <w:color w:val="auto"/>
                <w:sz w:val="24"/>
                <w:highlight w:val="none"/>
              </w:rPr>
              <w:t>）：①</w:t>
            </w:r>
            <w:r>
              <w:rPr>
                <w:rFonts w:hint="eastAsia" w:ascii="宋体" w:hAnsi="宋体" w:cs="宋体"/>
                <w:color w:val="auto"/>
                <w:sz w:val="24"/>
                <w:highlight w:val="none"/>
                <w:lang w:eastAsia="zh-CN"/>
              </w:rPr>
              <w:t>提供2022年至今任意年度经</w:t>
            </w:r>
            <w:r>
              <w:rPr>
                <w:rFonts w:hint="eastAsia" w:ascii="宋体" w:hAnsi="宋体" w:cs="宋体"/>
                <w:color w:val="auto"/>
                <w:sz w:val="24"/>
                <w:highlight w:val="none"/>
              </w:rPr>
              <w:t>第三方审计机构审计的财务状况报告（包括资产负债表、利润表、现金流量表），成立不满1年的供应商提供自成立至今的财务报表</w:t>
            </w:r>
            <w:r>
              <w:rPr>
                <w:rFonts w:hint="eastAsia" w:ascii="宋体" w:hAnsi="宋体" w:cs="宋体"/>
                <w:color w:val="auto"/>
                <w:sz w:val="24"/>
                <w:highlight w:val="none"/>
                <w:lang w:eastAsia="zh-CN"/>
              </w:rPr>
              <w:t>（</w:t>
            </w:r>
            <w:r>
              <w:rPr>
                <w:rFonts w:hint="eastAsia" w:ascii="宋体" w:hAnsi="宋体" w:cs="宋体"/>
                <w:color w:val="auto"/>
                <w:sz w:val="24"/>
                <w:highlight w:val="none"/>
              </w:rPr>
              <w:t>包括资产负债表、利润表、现金流量表</w:t>
            </w:r>
            <w:r>
              <w:rPr>
                <w:rFonts w:hint="eastAsia" w:ascii="宋体" w:hAnsi="宋体" w:cs="宋体"/>
                <w:color w:val="auto"/>
                <w:sz w:val="24"/>
                <w:highlight w:val="none"/>
                <w:lang w:eastAsia="zh-CN"/>
              </w:rPr>
              <w:t>）</w:t>
            </w:r>
            <w:r>
              <w:rPr>
                <w:rFonts w:hint="eastAsia" w:ascii="宋体" w:hAnsi="宋体" w:cs="宋体"/>
                <w:color w:val="auto"/>
                <w:sz w:val="24"/>
                <w:highlight w:val="none"/>
              </w:rPr>
              <w:t>；②</w:t>
            </w:r>
            <w:r>
              <w:rPr>
                <w:rFonts w:hint="eastAsia" w:ascii="宋体" w:hAnsi="宋体" w:cs="宋体"/>
                <w:color w:val="auto"/>
                <w:sz w:val="24"/>
                <w:highlight w:val="none"/>
                <w:lang w:eastAsia="zh-CN"/>
              </w:rPr>
              <w:t>提供银行出具的资信证明</w:t>
            </w:r>
            <w:r>
              <w:rPr>
                <w:rFonts w:hint="eastAsia" w:ascii="宋体" w:hAnsi="宋体" w:cs="宋体"/>
                <w:color w:val="auto"/>
                <w:sz w:val="24"/>
                <w:highlight w:val="none"/>
              </w:rPr>
              <w:t>。</w:t>
            </w:r>
          </w:p>
        </w:tc>
      </w:tr>
      <w:tr w14:paraId="65D5F8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7BF949A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3299" w:type="dxa"/>
            <w:tcBorders>
              <w:tl2br w:val="nil"/>
              <w:tr2bl w:val="nil"/>
            </w:tcBorders>
            <w:noWrap/>
            <w:vAlign w:val="center"/>
          </w:tcPr>
          <w:p w14:paraId="790AA05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具有履行合同所必需的设备和专业技术能力</w:t>
            </w:r>
          </w:p>
        </w:tc>
        <w:tc>
          <w:tcPr>
            <w:tcW w:w="5641" w:type="dxa"/>
            <w:tcBorders>
              <w:tl2br w:val="nil"/>
              <w:tr2bl w:val="nil"/>
            </w:tcBorders>
            <w:noWrap/>
            <w:vAlign w:val="center"/>
          </w:tcPr>
          <w:p w14:paraId="5929765F">
            <w:pPr>
              <w:widowControl/>
              <w:spacing w:line="360" w:lineRule="auto"/>
              <w:rPr>
                <w:rFonts w:ascii="宋体" w:hAnsi="宋体" w:cs="宋体"/>
                <w:color w:val="auto"/>
                <w:sz w:val="24"/>
                <w:highlight w:val="none"/>
              </w:rPr>
            </w:pPr>
            <w:r>
              <w:rPr>
                <w:rFonts w:hint="eastAsia" w:ascii="宋体" w:hAnsi="宋体" w:cs="宋体"/>
                <w:color w:val="auto"/>
                <w:sz w:val="24"/>
                <w:highlight w:val="none"/>
              </w:rPr>
              <w:t>提供相关证明材料或书面声明。</w:t>
            </w:r>
          </w:p>
        </w:tc>
      </w:tr>
      <w:tr w14:paraId="48E91F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092CF91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3299" w:type="dxa"/>
            <w:tcBorders>
              <w:tl2br w:val="nil"/>
              <w:tr2bl w:val="nil"/>
            </w:tcBorders>
            <w:noWrap/>
            <w:vAlign w:val="center"/>
          </w:tcPr>
          <w:p w14:paraId="5205409A">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具有依法缴纳税收和社会保障资金的良好记录</w:t>
            </w:r>
          </w:p>
        </w:tc>
        <w:tc>
          <w:tcPr>
            <w:tcW w:w="5641" w:type="dxa"/>
            <w:tcBorders>
              <w:tl2br w:val="nil"/>
              <w:tr2bl w:val="nil"/>
            </w:tcBorders>
            <w:noWrap/>
            <w:vAlign w:val="center"/>
          </w:tcPr>
          <w:p w14:paraId="74A50B5E">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提供2024年1月至今任意1个月</w:t>
            </w:r>
            <w:r>
              <w:rPr>
                <w:rFonts w:hint="eastAsia" w:ascii="宋体" w:hAnsi="宋体" w:cs="宋体"/>
                <w:color w:val="auto"/>
                <w:sz w:val="24"/>
                <w:highlight w:val="none"/>
              </w:rPr>
              <w:t>依法缴纳税收和缴纳社会保障资金的证明（成立未满1年的提供成立以来的税收和社会保障资金缴纳凭证或相关情况说明；依法免税或不需要缴纳社会保障资金的投标人，应提供相应文件证明其依法免税或不需要缴纳社会保障资金）。</w:t>
            </w:r>
          </w:p>
        </w:tc>
      </w:tr>
      <w:tr w14:paraId="72DFCB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17905D9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3299" w:type="dxa"/>
            <w:tcBorders>
              <w:tl2br w:val="nil"/>
              <w:tr2bl w:val="nil"/>
            </w:tcBorders>
            <w:noWrap/>
            <w:vAlign w:val="center"/>
          </w:tcPr>
          <w:p w14:paraId="483B173B">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无重大违法记录声明</w:t>
            </w:r>
          </w:p>
        </w:tc>
        <w:tc>
          <w:tcPr>
            <w:tcW w:w="5641" w:type="dxa"/>
            <w:tcBorders>
              <w:tl2br w:val="nil"/>
              <w:tr2bl w:val="nil"/>
            </w:tcBorders>
            <w:noWrap/>
            <w:vAlign w:val="center"/>
          </w:tcPr>
          <w:p w14:paraId="0F3C987B">
            <w:pPr>
              <w:widowControl/>
              <w:spacing w:line="360" w:lineRule="auto"/>
              <w:rPr>
                <w:rFonts w:ascii="宋体" w:hAnsi="宋体" w:cs="宋体"/>
                <w:color w:val="auto"/>
                <w:sz w:val="24"/>
                <w:highlight w:val="none"/>
              </w:rPr>
            </w:pPr>
            <w:r>
              <w:rPr>
                <w:rFonts w:hint="eastAsia" w:ascii="宋体" w:hAnsi="宋体" w:cs="宋体"/>
                <w:color w:val="auto"/>
                <w:sz w:val="24"/>
                <w:highlight w:val="none"/>
              </w:rPr>
              <w:t>提供参加本次政府采购活动前三年内在经营活动中没有重大违法记录的书面声明。</w:t>
            </w:r>
          </w:p>
        </w:tc>
      </w:tr>
      <w:tr w14:paraId="3D341E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6AA9F7B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3299" w:type="dxa"/>
            <w:tcBorders>
              <w:tl2br w:val="nil"/>
              <w:tr2bl w:val="nil"/>
            </w:tcBorders>
            <w:noWrap/>
            <w:vAlign w:val="center"/>
          </w:tcPr>
          <w:p w14:paraId="2F94B78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法律、行政法规规定的其他条件</w:t>
            </w:r>
          </w:p>
        </w:tc>
        <w:tc>
          <w:tcPr>
            <w:tcW w:w="5641" w:type="dxa"/>
            <w:tcBorders>
              <w:tl2br w:val="nil"/>
              <w:tr2bl w:val="nil"/>
            </w:tcBorders>
            <w:noWrap/>
            <w:vAlign w:val="center"/>
          </w:tcPr>
          <w:p w14:paraId="64050F46">
            <w:pPr>
              <w:widowControl/>
              <w:spacing w:line="360" w:lineRule="auto"/>
              <w:rPr>
                <w:rFonts w:ascii="宋体" w:hAnsi="宋体" w:cs="宋体"/>
                <w:color w:val="auto"/>
                <w:sz w:val="24"/>
                <w:highlight w:val="none"/>
              </w:rPr>
            </w:pPr>
            <w:r>
              <w:rPr>
                <w:rFonts w:hint="eastAsia" w:ascii="宋体" w:hAnsi="宋体" w:cs="宋体"/>
                <w:color w:val="auto"/>
                <w:sz w:val="24"/>
                <w:highlight w:val="none"/>
              </w:rPr>
              <w:t>单位负责人为同一人或者存在直接控股、管理关系的不同供应商，不得参加同一合同项下的政府采购活动。</w:t>
            </w:r>
          </w:p>
        </w:tc>
      </w:tr>
      <w:tr w14:paraId="426814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ign w:val="center"/>
          </w:tcPr>
          <w:p w14:paraId="5EE3B1F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3299" w:type="dxa"/>
            <w:tcBorders>
              <w:tl2br w:val="nil"/>
              <w:tr2bl w:val="nil"/>
            </w:tcBorders>
            <w:noWrap/>
            <w:vAlign w:val="center"/>
          </w:tcPr>
          <w:p w14:paraId="08E4EC99">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特定资格要求</w:t>
            </w:r>
          </w:p>
        </w:tc>
        <w:tc>
          <w:tcPr>
            <w:tcW w:w="5641" w:type="dxa"/>
            <w:tcBorders>
              <w:tl2br w:val="nil"/>
              <w:tr2bl w:val="nil"/>
            </w:tcBorders>
            <w:noWrap/>
            <w:vAlign w:val="center"/>
          </w:tcPr>
          <w:p w14:paraId="03D9DBB1">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无。</w:t>
            </w:r>
          </w:p>
        </w:tc>
      </w:tr>
    </w:tbl>
    <w:p w14:paraId="14F15868">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（二）符合性审查</w:t>
      </w:r>
    </w:p>
    <w:p w14:paraId="6A408C6D">
      <w:pPr>
        <w:pStyle w:val="22"/>
        <w:spacing w:after="0" w:line="360" w:lineRule="auto"/>
        <w:ind w:left="0" w:leftChars="0" w:firstLine="48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评标委员会依据符合性评审标准对符合资格的投标人的投标文件进行符合性审查，有一项不符合评审标准的，评标委员会应当否决其投标。</w:t>
      </w:r>
    </w:p>
    <w:tbl>
      <w:tblPr>
        <w:tblStyle w:val="24"/>
        <w:tblW w:w="0" w:type="auto"/>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3146"/>
        <w:gridCol w:w="5535"/>
      </w:tblGrid>
      <w:tr w14:paraId="4176C4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5AFC040B">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146" w:type="dxa"/>
            <w:tcBorders>
              <w:tl2br w:val="nil"/>
              <w:tr2bl w:val="nil"/>
            </w:tcBorders>
            <w:noWrap/>
            <w:vAlign w:val="center"/>
          </w:tcPr>
          <w:p w14:paraId="4F1D7D0C">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评审因素</w:t>
            </w:r>
          </w:p>
        </w:tc>
        <w:tc>
          <w:tcPr>
            <w:tcW w:w="5535" w:type="dxa"/>
            <w:tcBorders>
              <w:tl2br w:val="nil"/>
              <w:tr2bl w:val="nil"/>
            </w:tcBorders>
            <w:noWrap/>
            <w:vAlign w:val="center"/>
          </w:tcPr>
          <w:p w14:paraId="1D80254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符合性评审标准</w:t>
            </w:r>
          </w:p>
        </w:tc>
      </w:tr>
      <w:tr w14:paraId="2B9DBD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3C683AA">
            <w:pPr>
              <w:adjustRightInd w:val="0"/>
              <w:snapToGrid w:val="0"/>
              <w:spacing w:line="360" w:lineRule="auto"/>
              <w:jc w:val="center"/>
              <w:rPr>
                <w:rFonts w:ascii="宋体" w:hAnsi="宋体" w:cs="宋体"/>
                <w:b/>
                <w:bCs/>
                <w:color w:val="auto"/>
                <w:sz w:val="24"/>
                <w:highlight w:val="none"/>
              </w:rPr>
            </w:pPr>
            <w:r>
              <w:rPr>
                <w:rFonts w:hint="eastAsia" w:ascii="宋体" w:hAnsi="宋体" w:cs="宋体"/>
                <w:color w:val="auto"/>
                <w:sz w:val="24"/>
                <w:highlight w:val="none"/>
              </w:rPr>
              <w:t>1</w:t>
            </w:r>
          </w:p>
        </w:tc>
        <w:tc>
          <w:tcPr>
            <w:tcW w:w="3146" w:type="dxa"/>
            <w:tcBorders>
              <w:tl2br w:val="nil"/>
              <w:tr2bl w:val="nil"/>
            </w:tcBorders>
            <w:noWrap/>
            <w:vAlign w:val="center"/>
          </w:tcPr>
          <w:p w14:paraId="0DC86020">
            <w:pPr>
              <w:spacing w:line="360" w:lineRule="auto"/>
              <w:jc w:val="center"/>
              <w:rPr>
                <w:rFonts w:ascii="宋体" w:hAnsi="宋体" w:cs="宋体"/>
                <w:b/>
                <w:bCs/>
                <w:color w:val="auto"/>
                <w:sz w:val="24"/>
                <w:highlight w:val="none"/>
              </w:rPr>
            </w:pPr>
            <w:r>
              <w:rPr>
                <w:rFonts w:hint="eastAsia" w:ascii="宋体" w:hAnsi="宋体" w:cs="宋体"/>
                <w:color w:val="auto"/>
                <w:sz w:val="24"/>
                <w:highlight w:val="none"/>
              </w:rPr>
              <w:t>投标人名称</w:t>
            </w:r>
          </w:p>
        </w:tc>
        <w:tc>
          <w:tcPr>
            <w:tcW w:w="5535" w:type="dxa"/>
            <w:tcBorders>
              <w:tl2br w:val="nil"/>
              <w:tr2bl w:val="nil"/>
            </w:tcBorders>
            <w:noWrap/>
            <w:vAlign w:val="center"/>
          </w:tcPr>
          <w:p w14:paraId="0F1DDA16">
            <w:pPr>
              <w:spacing w:line="360" w:lineRule="auto"/>
              <w:jc w:val="left"/>
              <w:rPr>
                <w:rFonts w:ascii="宋体" w:hAnsi="宋体" w:cs="宋体"/>
                <w:b/>
                <w:bCs/>
                <w:color w:val="auto"/>
                <w:sz w:val="24"/>
                <w:highlight w:val="none"/>
              </w:rPr>
            </w:pPr>
            <w:r>
              <w:rPr>
                <w:rFonts w:hint="eastAsia" w:ascii="宋体" w:hAnsi="宋体" w:cs="宋体"/>
                <w:color w:val="auto"/>
                <w:sz w:val="24"/>
                <w:highlight w:val="none"/>
              </w:rPr>
              <w:t>与“独立承担民事责任的能力”证明材料名称一致</w:t>
            </w:r>
          </w:p>
        </w:tc>
      </w:tr>
      <w:tr w14:paraId="02C4EE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CC2CD4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3146" w:type="dxa"/>
            <w:tcBorders>
              <w:tl2br w:val="nil"/>
              <w:tr2bl w:val="nil"/>
            </w:tcBorders>
            <w:noWrap/>
            <w:vAlign w:val="center"/>
          </w:tcPr>
          <w:p w14:paraId="31D0D0AB">
            <w:pPr>
              <w:autoSpaceDE w:val="0"/>
              <w:autoSpaceDN w:val="0"/>
              <w:adjustRightInd w:val="0"/>
              <w:spacing w:before="43" w:line="360" w:lineRule="auto"/>
              <w:ind w:right="-20"/>
              <w:jc w:val="center"/>
              <w:rPr>
                <w:rFonts w:ascii="宋体" w:hAnsi="宋体" w:cs="宋体"/>
                <w:color w:val="auto"/>
                <w:sz w:val="24"/>
                <w:highlight w:val="none"/>
              </w:rPr>
            </w:pPr>
            <w:r>
              <w:rPr>
                <w:rFonts w:hint="eastAsia" w:ascii="宋体" w:hAnsi="宋体" w:cs="宋体"/>
                <w:color w:val="auto"/>
                <w:kern w:val="0"/>
                <w:sz w:val="24"/>
                <w:highlight w:val="none"/>
              </w:rPr>
              <w:t>投标保证金</w:t>
            </w:r>
          </w:p>
        </w:tc>
        <w:tc>
          <w:tcPr>
            <w:tcW w:w="5535" w:type="dxa"/>
            <w:tcBorders>
              <w:tl2br w:val="nil"/>
              <w:tr2bl w:val="nil"/>
            </w:tcBorders>
            <w:noWrap/>
            <w:vAlign w:val="center"/>
          </w:tcPr>
          <w:p w14:paraId="5F21A5B3">
            <w:pPr>
              <w:spacing w:line="360" w:lineRule="auto"/>
              <w:jc w:val="left"/>
              <w:rPr>
                <w:rFonts w:ascii="宋体" w:hAnsi="宋体" w:cs="宋体"/>
                <w:color w:val="auto"/>
                <w:sz w:val="24"/>
                <w:highlight w:val="none"/>
              </w:rPr>
            </w:pPr>
            <w:r>
              <w:rPr>
                <w:rFonts w:hint="eastAsia" w:ascii="宋体" w:hAnsi="宋体" w:cs="宋体"/>
                <w:color w:val="auto"/>
                <w:sz w:val="24"/>
                <w:highlight w:val="none"/>
              </w:rPr>
              <w:t>按照招标文件第二章“投标人须知前附表”第3.4.1项规定提交投标保证金</w:t>
            </w:r>
          </w:p>
        </w:tc>
      </w:tr>
      <w:tr w14:paraId="60BD1F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50823E7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3146" w:type="dxa"/>
            <w:tcBorders>
              <w:tl2br w:val="nil"/>
              <w:tr2bl w:val="nil"/>
            </w:tcBorders>
            <w:noWrap/>
            <w:vAlign w:val="center"/>
          </w:tcPr>
          <w:p w14:paraId="009F3ACF">
            <w:pPr>
              <w:tabs>
                <w:tab w:val="center" w:pos="4153"/>
                <w:tab w:val="right" w:pos="8306"/>
              </w:tabs>
              <w:snapToGrid w:val="0"/>
              <w:spacing w:beforeLines="20"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投标文件的电子签章</w:t>
            </w:r>
          </w:p>
        </w:tc>
        <w:tc>
          <w:tcPr>
            <w:tcW w:w="5535" w:type="dxa"/>
            <w:tcBorders>
              <w:tl2br w:val="nil"/>
              <w:tr2bl w:val="nil"/>
            </w:tcBorders>
            <w:noWrap/>
            <w:vAlign w:val="center"/>
          </w:tcPr>
          <w:p w14:paraId="33A4015C">
            <w:pPr>
              <w:spacing w:line="360" w:lineRule="auto"/>
              <w:jc w:val="left"/>
              <w:rPr>
                <w:rFonts w:ascii="宋体" w:hAnsi="宋体" w:cs="宋体"/>
                <w:color w:val="auto"/>
                <w:sz w:val="24"/>
                <w:highlight w:val="none"/>
              </w:rPr>
            </w:pPr>
            <w:r>
              <w:rPr>
                <w:rFonts w:hint="eastAsia" w:ascii="宋体" w:hAnsi="宋体" w:cs="宋体"/>
                <w:color w:val="auto"/>
                <w:sz w:val="24"/>
                <w:highlight w:val="none"/>
              </w:rPr>
              <w:t>按招标文件</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要求签署、盖章</w:t>
            </w:r>
          </w:p>
        </w:tc>
      </w:tr>
      <w:tr w14:paraId="3CE0A9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07F5A7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3146" w:type="dxa"/>
            <w:tcBorders>
              <w:tl2br w:val="nil"/>
              <w:tr2bl w:val="nil"/>
            </w:tcBorders>
            <w:noWrap/>
            <w:vAlign w:val="center"/>
          </w:tcPr>
          <w:p w14:paraId="21806CC6">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投标文件的完整性</w:t>
            </w:r>
          </w:p>
        </w:tc>
        <w:tc>
          <w:tcPr>
            <w:tcW w:w="5535" w:type="dxa"/>
            <w:tcBorders>
              <w:tl2br w:val="nil"/>
              <w:tr2bl w:val="nil"/>
            </w:tcBorders>
            <w:noWrap/>
            <w:vAlign w:val="center"/>
          </w:tcPr>
          <w:p w14:paraId="0F8D401D">
            <w:pPr>
              <w:spacing w:line="360" w:lineRule="auto"/>
              <w:jc w:val="left"/>
              <w:rPr>
                <w:rFonts w:ascii="宋体" w:hAnsi="宋体" w:cs="宋体"/>
                <w:color w:val="auto"/>
                <w:sz w:val="24"/>
                <w:highlight w:val="none"/>
              </w:rPr>
            </w:pPr>
            <w:r>
              <w:rPr>
                <w:rFonts w:ascii="宋体" w:hAnsi="宋体" w:cs="宋体"/>
                <w:color w:val="auto"/>
                <w:sz w:val="24"/>
                <w:highlight w:val="none"/>
              </w:rPr>
              <w:t>投标文件内容符合招标文件要求</w:t>
            </w:r>
          </w:p>
        </w:tc>
      </w:tr>
      <w:tr w14:paraId="102FFF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696E83B">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3146" w:type="dxa"/>
            <w:tcBorders>
              <w:tl2br w:val="nil"/>
              <w:tr2bl w:val="nil"/>
            </w:tcBorders>
            <w:noWrap/>
            <w:vAlign w:val="center"/>
          </w:tcPr>
          <w:p w14:paraId="2F47BEA6">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报价唯一</w:t>
            </w:r>
          </w:p>
        </w:tc>
        <w:tc>
          <w:tcPr>
            <w:tcW w:w="5535" w:type="dxa"/>
            <w:tcBorders>
              <w:tl2br w:val="nil"/>
              <w:tr2bl w:val="nil"/>
            </w:tcBorders>
            <w:noWrap/>
            <w:vAlign w:val="center"/>
          </w:tcPr>
          <w:p w14:paraId="0D662ECB">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lang w:eastAsia="zh-CN"/>
              </w:rPr>
              <w:t>提交</w:t>
            </w:r>
            <w:r>
              <w:rPr>
                <w:rFonts w:hint="eastAsia" w:ascii="宋体" w:hAnsi="宋体" w:cs="宋体"/>
                <w:color w:val="auto"/>
                <w:sz w:val="24"/>
                <w:highlight w:val="none"/>
              </w:rPr>
              <w:t>两份或多份内容不同的投标文件，或在一份投标文件中对同一招标项目报有两个或多个报价，且未声明哪一个有效</w:t>
            </w:r>
          </w:p>
        </w:tc>
      </w:tr>
      <w:tr w14:paraId="596336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54ADB319">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3146" w:type="dxa"/>
            <w:tcBorders>
              <w:tl2br w:val="nil"/>
              <w:tr2bl w:val="nil"/>
            </w:tcBorders>
            <w:noWrap/>
            <w:vAlign w:val="center"/>
          </w:tcPr>
          <w:p w14:paraId="4D80EAAC">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5535" w:type="dxa"/>
            <w:tcBorders>
              <w:tl2br w:val="nil"/>
              <w:tr2bl w:val="nil"/>
            </w:tcBorders>
            <w:noWrap/>
            <w:vAlign w:val="center"/>
          </w:tcPr>
          <w:p w14:paraId="6987BE43">
            <w:pPr>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 3.2.3项</w:t>
            </w:r>
            <w:r>
              <w:rPr>
                <w:rFonts w:hint="eastAsia" w:ascii="宋体" w:hAnsi="宋体" w:cs="宋体"/>
                <w:color w:val="auto"/>
                <w:sz w:val="24"/>
                <w:highlight w:val="none"/>
                <w:lang w:eastAsia="zh-CN"/>
              </w:rPr>
              <w:t>、</w:t>
            </w:r>
            <w:r>
              <w:rPr>
                <w:rFonts w:hint="eastAsia" w:ascii="宋体" w:hAnsi="宋体" w:cs="宋体"/>
                <w:color w:val="auto"/>
                <w:sz w:val="24"/>
                <w:highlight w:val="none"/>
              </w:rPr>
              <w:t>第 3.2.4 款规定</w:t>
            </w:r>
          </w:p>
        </w:tc>
      </w:tr>
      <w:tr w14:paraId="7FCEA7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3B20447">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3146" w:type="dxa"/>
            <w:tcBorders>
              <w:tl2br w:val="nil"/>
              <w:tr2bl w:val="nil"/>
            </w:tcBorders>
            <w:noWrap/>
            <w:vAlign w:val="center"/>
          </w:tcPr>
          <w:p w14:paraId="07FA1CB5">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采购内容  </w:t>
            </w:r>
          </w:p>
        </w:tc>
        <w:tc>
          <w:tcPr>
            <w:tcW w:w="5535" w:type="dxa"/>
            <w:tcBorders>
              <w:tl2br w:val="nil"/>
              <w:tr2bl w:val="nil"/>
            </w:tcBorders>
            <w:noWrap/>
            <w:vAlign w:val="center"/>
          </w:tcPr>
          <w:p w14:paraId="168CBFE6">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符合第二章“投标人须知前附表”第1.3.1项规定</w:t>
            </w:r>
          </w:p>
        </w:tc>
      </w:tr>
      <w:tr w14:paraId="1D1981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4EA5489">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3146" w:type="dxa"/>
            <w:tcBorders>
              <w:tl2br w:val="nil"/>
              <w:tr2bl w:val="nil"/>
            </w:tcBorders>
            <w:noWrap/>
            <w:vAlign w:val="center"/>
          </w:tcPr>
          <w:p w14:paraId="777032D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合同履行期限</w:t>
            </w:r>
          </w:p>
        </w:tc>
        <w:tc>
          <w:tcPr>
            <w:tcW w:w="5535" w:type="dxa"/>
            <w:tcBorders>
              <w:tl2br w:val="nil"/>
              <w:tr2bl w:val="nil"/>
            </w:tcBorders>
            <w:noWrap/>
            <w:vAlign w:val="center"/>
          </w:tcPr>
          <w:p w14:paraId="747737DB">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符合第二章“投标人须知前附表”第1.3.2项规定</w:t>
            </w:r>
          </w:p>
        </w:tc>
      </w:tr>
      <w:tr w14:paraId="75C9FD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BFE4920">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3146" w:type="dxa"/>
            <w:tcBorders>
              <w:tl2br w:val="nil"/>
              <w:tr2bl w:val="nil"/>
            </w:tcBorders>
            <w:noWrap/>
            <w:vAlign w:val="center"/>
          </w:tcPr>
          <w:p w14:paraId="398942F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质量要求</w:t>
            </w:r>
          </w:p>
        </w:tc>
        <w:tc>
          <w:tcPr>
            <w:tcW w:w="5535" w:type="dxa"/>
            <w:tcBorders>
              <w:tl2br w:val="nil"/>
              <w:tr2bl w:val="nil"/>
            </w:tcBorders>
            <w:noWrap/>
            <w:vAlign w:val="center"/>
          </w:tcPr>
          <w:p w14:paraId="7912633A">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符合第二章“投标人须知前附表”第1.3.3项规定</w:t>
            </w:r>
          </w:p>
        </w:tc>
      </w:tr>
      <w:tr w14:paraId="5E52ED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1C3E743">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3146" w:type="dxa"/>
            <w:tcBorders>
              <w:tl2br w:val="nil"/>
              <w:tr2bl w:val="nil"/>
            </w:tcBorders>
            <w:noWrap/>
            <w:vAlign w:val="center"/>
          </w:tcPr>
          <w:p w14:paraId="2C4D51C8">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供货地点</w:t>
            </w:r>
          </w:p>
        </w:tc>
        <w:tc>
          <w:tcPr>
            <w:tcW w:w="5535" w:type="dxa"/>
            <w:tcBorders>
              <w:tl2br w:val="nil"/>
              <w:tr2bl w:val="nil"/>
            </w:tcBorders>
            <w:noWrap/>
            <w:vAlign w:val="center"/>
          </w:tcPr>
          <w:p w14:paraId="06CDA25D">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符合第二章“投标人须知前附表”第1.3.4项规定</w:t>
            </w:r>
          </w:p>
        </w:tc>
      </w:tr>
      <w:tr w14:paraId="5ADA6D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28F25EAD">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3146" w:type="dxa"/>
            <w:tcBorders>
              <w:tl2br w:val="nil"/>
              <w:tr2bl w:val="nil"/>
            </w:tcBorders>
            <w:noWrap/>
            <w:vAlign w:val="center"/>
          </w:tcPr>
          <w:p w14:paraId="0A8F59C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5535" w:type="dxa"/>
            <w:tcBorders>
              <w:tl2br w:val="nil"/>
              <w:tr2bl w:val="nil"/>
            </w:tcBorders>
            <w:noWrap/>
            <w:vAlign w:val="center"/>
          </w:tcPr>
          <w:p w14:paraId="53413DB8">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投标有效期应当不少于招标文件中载明的投标有效期                        </w:t>
            </w:r>
          </w:p>
        </w:tc>
      </w:tr>
      <w:tr w14:paraId="443FB2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671CF3A3">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3146" w:type="dxa"/>
            <w:tcBorders>
              <w:tl2br w:val="nil"/>
              <w:tr2bl w:val="nil"/>
            </w:tcBorders>
            <w:noWrap/>
            <w:vAlign w:val="center"/>
          </w:tcPr>
          <w:p w14:paraId="134FF229">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实质性条件</w:t>
            </w:r>
          </w:p>
        </w:tc>
        <w:tc>
          <w:tcPr>
            <w:tcW w:w="5535" w:type="dxa"/>
            <w:tcBorders>
              <w:tl2br w:val="nil"/>
              <w:tr2bl w:val="nil"/>
            </w:tcBorders>
            <w:noWrap/>
            <w:vAlign w:val="center"/>
          </w:tcPr>
          <w:p w14:paraId="07EEDB9F">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投标文件均实质性响应招标文件要求。</w:t>
            </w:r>
          </w:p>
        </w:tc>
      </w:tr>
      <w:tr w14:paraId="707063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l2br w:val="nil"/>
              <w:tr2bl w:val="nil"/>
            </w:tcBorders>
            <w:noWrap/>
            <w:vAlign w:val="center"/>
          </w:tcPr>
          <w:p w14:paraId="01F8448A">
            <w:pPr>
              <w:adjustRightInd w:val="0"/>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3146" w:type="dxa"/>
            <w:tcBorders>
              <w:tl2br w:val="nil"/>
              <w:tr2bl w:val="nil"/>
            </w:tcBorders>
            <w:noWrap/>
            <w:vAlign w:val="center"/>
          </w:tcPr>
          <w:p w14:paraId="3281A33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其他要求</w:t>
            </w:r>
          </w:p>
        </w:tc>
        <w:tc>
          <w:tcPr>
            <w:tcW w:w="5535" w:type="dxa"/>
            <w:tcBorders>
              <w:tl2br w:val="nil"/>
              <w:tr2bl w:val="nil"/>
            </w:tcBorders>
            <w:noWrap/>
            <w:vAlign w:val="center"/>
          </w:tcPr>
          <w:p w14:paraId="78016D00">
            <w:pPr>
              <w:spacing w:line="360" w:lineRule="auto"/>
              <w:jc w:val="left"/>
              <w:rPr>
                <w:rFonts w:ascii="宋体" w:hAnsi="宋体" w:cs="宋体"/>
                <w:color w:val="auto"/>
                <w:sz w:val="24"/>
                <w:highlight w:val="none"/>
              </w:rPr>
            </w:pPr>
            <w:r>
              <w:rPr>
                <w:rFonts w:hint="eastAsia" w:ascii="宋体" w:hAnsi="宋体" w:cs="宋体"/>
                <w:color w:val="auto"/>
                <w:sz w:val="24"/>
                <w:highlight w:val="none"/>
              </w:rPr>
              <w:t>（1）投标文件未含有采购人不能接受的附加条件；</w:t>
            </w:r>
          </w:p>
          <w:p w14:paraId="0EF08408">
            <w:pPr>
              <w:spacing w:line="360" w:lineRule="auto"/>
              <w:jc w:val="left"/>
              <w:rPr>
                <w:rFonts w:ascii="宋体" w:hAnsi="宋体" w:cs="宋体"/>
                <w:color w:val="auto"/>
                <w:sz w:val="24"/>
                <w:highlight w:val="none"/>
              </w:rPr>
            </w:pPr>
            <w:r>
              <w:rPr>
                <w:rFonts w:hint="eastAsia" w:ascii="宋体" w:hAnsi="宋体" w:cs="宋体"/>
                <w:color w:val="auto"/>
                <w:sz w:val="24"/>
                <w:highlight w:val="none"/>
              </w:rPr>
              <w:t>（2）无串通投标或弄虚作假或其他违法行为；</w:t>
            </w:r>
          </w:p>
          <w:p w14:paraId="7F798DCD">
            <w:pPr>
              <w:spacing w:line="360" w:lineRule="auto"/>
              <w:jc w:val="left"/>
              <w:rPr>
                <w:rFonts w:ascii="宋体" w:hAnsi="宋体" w:cs="宋体"/>
                <w:color w:val="auto"/>
                <w:sz w:val="24"/>
                <w:highlight w:val="none"/>
              </w:rPr>
            </w:pPr>
            <w:r>
              <w:rPr>
                <w:rFonts w:hint="eastAsia" w:ascii="宋体" w:hAnsi="宋体" w:cs="宋体"/>
                <w:color w:val="auto"/>
                <w:sz w:val="24"/>
                <w:highlight w:val="none"/>
              </w:rPr>
              <w:t>（3）按评标委员会要求澄清、说明或补正的。</w:t>
            </w:r>
            <w:r>
              <w:rPr>
                <w:rFonts w:hint="eastAsia" w:ascii="宋体" w:hAnsi="宋体" w:cs="宋体"/>
                <w:color w:val="auto"/>
                <w:sz w:val="24"/>
                <w:highlight w:val="none"/>
                <w:lang w:val="en-US" w:eastAsia="zh-CN"/>
              </w:rPr>
              <w:t>投标人的澄清、说明或者补正未超出采购文件的范围或者改变投标文件的实质性内容</w:t>
            </w:r>
            <w:r>
              <w:rPr>
                <w:rFonts w:hint="eastAsia" w:ascii="宋体" w:hAnsi="宋体" w:cs="宋体"/>
                <w:color w:val="auto"/>
                <w:sz w:val="24"/>
                <w:highlight w:val="none"/>
              </w:rPr>
              <w:t>。</w:t>
            </w:r>
          </w:p>
        </w:tc>
      </w:tr>
    </w:tbl>
    <w:p w14:paraId="4786F0FE">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（三）投标文件的澄清说明</w:t>
      </w:r>
    </w:p>
    <w:p w14:paraId="36D72065">
      <w:pPr>
        <w:pStyle w:val="22"/>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1.投标文件内容澄清</w:t>
      </w:r>
      <w:r>
        <w:rPr>
          <w:rFonts w:hint="eastAsia" w:ascii="宋体" w:hAnsi="宋体" w:cs="宋体"/>
          <w:b/>
          <w:bCs/>
          <w:color w:val="auto"/>
          <w:sz w:val="24"/>
          <w:szCs w:val="28"/>
          <w:highlight w:val="none"/>
        </w:rPr>
        <w:t>和补正</w:t>
      </w:r>
    </w:p>
    <w:p w14:paraId="14F7E5D3">
      <w:pPr>
        <w:pStyle w:val="22"/>
        <w:keepNext w:val="0"/>
        <w:keepLines w:val="0"/>
        <w:pageBreakBefore w:val="0"/>
        <w:widowControl w:val="0"/>
        <w:kinsoku/>
        <w:wordWrap w:val="0"/>
        <w:overflowPunct/>
        <w:topLinePunct w:val="0"/>
        <w:autoSpaceDE/>
        <w:autoSpaceDN/>
        <w:bidi w:val="0"/>
        <w:adjustRightInd/>
        <w:snapToGrid/>
        <w:spacing w:after="0" w:line="520" w:lineRule="exact"/>
        <w:ind w:left="0" w:leftChars="0" w:firstLine="480"/>
        <w:jc w:val="left"/>
        <w:textAlignment w:val="auto"/>
        <w:rPr>
          <w:rFonts w:ascii="宋体" w:hAnsi="宋体" w:cs="宋体"/>
          <w:color w:val="auto"/>
          <w:sz w:val="24"/>
          <w:szCs w:val="28"/>
          <w:highlight w:val="none"/>
        </w:rPr>
      </w:pPr>
      <w:r>
        <w:rPr>
          <w:rFonts w:ascii="宋体" w:hAnsi="宋体" w:cs="宋体"/>
          <w:color w:val="auto"/>
          <w:sz w:val="24"/>
          <w:szCs w:val="28"/>
          <w:highlight w:val="none"/>
        </w:rPr>
        <w:t>对于投标文件中含义不明确、同类问题表述不一致或者有明显文字和计算错误的内容，评标委员会应当以</w:t>
      </w:r>
      <w:r>
        <w:rPr>
          <w:rFonts w:hint="eastAsia" w:ascii="宋体" w:hAnsi="宋体" w:cs="宋体"/>
          <w:color w:val="auto"/>
          <w:sz w:val="24"/>
          <w:szCs w:val="28"/>
          <w:highlight w:val="none"/>
        </w:rPr>
        <w:t>通过“政府采购云平台（https://www.zcygov.cn/）”</w:t>
      </w:r>
      <w:r>
        <w:rPr>
          <w:rFonts w:ascii="宋体" w:hAnsi="宋体" w:cs="宋体"/>
          <w:color w:val="auto"/>
          <w:sz w:val="24"/>
          <w:szCs w:val="28"/>
          <w:highlight w:val="none"/>
        </w:rPr>
        <w:t>要求投标人作出必要的澄清、说明或者补正。投标人的澄清、说明或者补正应当</w:t>
      </w:r>
      <w:r>
        <w:rPr>
          <w:rFonts w:hint="eastAsia" w:ascii="宋体" w:hAnsi="宋体" w:cs="宋体"/>
          <w:color w:val="auto"/>
          <w:sz w:val="24"/>
          <w:szCs w:val="28"/>
          <w:highlight w:val="none"/>
        </w:rPr>
        <w:t>提交至</w:t>
      </w:r>
      <w:r>
        <w:rPr>
          <w:rFonts w:ascii="宋体" w:hAnsi="宋体" w:cs="宋体"/>
          <w:color w:val="auto"/>
          <w:sz w:val="24"/>
          <w:szCs w:val="28"/>
          <w:highlight w:val="none"/>
        </w:rPr>
        <w:t xml:space="preserve">“政府采购云平台（https://www.zcygov.cn/）”。投标人的澄清、说明或者补正不得超出投标文件的范围或者改变投标文件的实质性内容。 </w:t>
      </w:r>
    </w:p>
    <w:p w14:paraId="58AE3DE7">
      <w:pPr>
        <w:pStyle w:val="22"/>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2.报价不一致情形澄清 </w:t>
      </w:r>
    </w:p>
    <w:p w14:paraId="69F3DB8D">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 xml:space="preserve">投标文件报价出现前后不一致的，除招标文件另有规定外，按照下列规定修正： </w:t>
      </w:r>
    </w:p>
    <w:p w14:paraId="53714692">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1</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投标文件中《开标一览表》内容与投标文件中相应内容不一致的，以《开标一览表》为准；</w:t>
      </w:r>
    </w:p>
    <w:p w14:paraId="3CC777C2">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2</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大写金额和小写金额不一致的，以大写金额为准； </w:t>
      </w:r>
    </w:p>
    <w:p w14:paraId="475165B4">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3</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单价金额小数点或者百分比有明显错位的，以开标一览表的总价为准，并修改单价； </w:t>
      </w:r>
    </w:p>
    <w:p w14:paraId="62F2B70E">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4</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总价金额与按单价汇总金额不一致的，以单价金额计算结果为准。 </w:t>
      </w:r>
    </w:p>
    <w:p w14:paraId="1F0A452E">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同时出现两种以上不一致的，按照前款规定的顺序修正。修正后的报价按照</w:t>
      </w:r>
      <w:r>
        <w:rPr>
          <w:rFonts w:hint="eastAsia" w:ascii="宋体" w:hAnsi="宋体" w:cs="宋体"/>
          <w:color w:val="auto"/>
          <w:sz w:val="24"/>
          <w:szCs w:val="28"/>
          <w:highlight w:val="none"/>
        </w:rPr>
        <w:t>“投标人的澄清、说明或者补正应当提交至“政府采购云平台（https://www.zcygov.cn/）”。投标人的澄清、说明或者补正不得超出投标文件的范围或者改变投标文件的实质性内容。”</w:t>
      </w:r>
      <w:r>
        <w:rPr>
          <w:rFonts w:ascii="宋体" w:hAnsi="宋体" w:cs="宋体"/>
          <w:color w:val="auto"/>
          <w:sz w:val="24"/>
          <w:szCs w:val="28"/>
          <w:highlight w:val="none"/>
        </w:rPr>
        <w:t>的规定经投标人确认后产生约束力，投标人不确认的，其投标无效。</w:t>
      </w:r>
    </w:p>
    <w:p w14:paraId="1415DBA4">
      <w:pPr>
        <w:pStyle w:val="22"/>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3.报价过低情形澄清 </w:t>
      </w:r>
    </w:p>
    <w:p w14:paraId="51FB7F6B">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评标委员会认为投标人的报价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总价或单价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明显低于其他通过符合性审查投标人的报价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总价或单价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，有可能影响产品质量或者不能诚信履约的，应当要求其在合理的时间内</w:t>
      </w:r>
      <w:r>
        <w:rPr>
          <w:rFonts w:hint="eastAsia" w:ascii="宋体" w:hAnsi="宋体" w:cs="宋体"/>
          <w:color w:val="auto"/>
          <w:sz w:val="24"/>
          <w:szCs w:val="28"/>
          <w:highlight w:val="none"/>
        </w:rPr>
        <w:t>通过</w:t>
      </w:r>
      <w:r>
        <w:rPr>
          <w:rFonts w:ascii="宋体" w:hAnsi="宋体" w:cs="宋体"/>
          <w:color w:val="auto"/>
          <w:sz w:val="24"/>
          <w:szCs w:val="28"/>
          <w:highlight w:val="none"/>
        </w:rPr>
        <w:t>“政府采购云平台（https://www.zcygov.cn/）”提供书面说明，必要时提交相关证明材料；投标人不能证明其报价合理性的，评标委员会应当将其作为无效投标处理。</w:t>
      </w:r>
    </w:p>
    <w:p w14:paraId="35D4E6E9">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 xml:space="preserve">（四）技术评估、综合比较与评价 </w:t>
      </w:r>
    </w:p>
    <w:p w14:paraId="6547CC1D">
      <w:pPr>
        <w:pStyle w:val="22"/>
        <w:spacing w:after="0" w:line="520" w:lineRule="exact"/>
        <w:ind w:left="0" w:leftChars="0" w:firstLine="0" w:firstLineChars="0"/>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1.同品牌产品不同投标人的处理方式 </w:t>
      </w:r>
    </w:p>
    <w:p w14:paraId="76CEC008">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77562A2">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非单一产品采购项目，采购人应当根据采购项目技术构成、产品价格比重等合理确定核心产品，并在招标文件中载明。多家投标人提供的核心产品品牌相同的，按前两款规定处理。</w:t>
      </w:r>
    </w:p>
    <w:p w14:paraId="4BF68A16">
      <w:pPr>
        <w:pStyle w:val="22"/>
        <w:spacing w:after="0" w:line="520" w:lineRule="exact"/>
        <w:ind w:left="0" w:leftChars="0" w:firstLine="482"/>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本采购项目核心产品为：无人机诱捕单兵。</w:t>
      </w:r>
    </w:p>
    <w:p w14:paraId="7D9ACF33">
      <w:pPr>
        <w:pStyle w:val="22"/>
        <w:spacing w:after="0" w:line="520" w:lineRule="exact"/>
        <w:ind w:left="0" w:leftChars="0" w:firstLine="0" w:firstLineChars="0"/>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2.小型和微型企业价格评分优惠政策</w:t>
      </w:r>
    </w:p>
    <w:p w14:paraId="76F64A0F">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根据《政府采购促进中小企业发展管理办法》（财库〔2020〕46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、关于进一步加大政府采购支持中小企业力度的通知（财库〔2022〕19 号）的规定，对符合国家统计局《统计上大中小微型企业划分办法（2017）》规定条件</w:t>
      </w:r>
      <w:r>
        <w:rPr>
          <w:rFonts w:ascii="宋体" w:hAnsi="宋体" w:cs="宋体"/>
          <w:b/>
          <w:bCs/>
          <w:color w:val="auto"/>
          <w:sz w:val="24"/>
          <w:szCs w:val="28"/>
          <w:highlight w:val="none"/>
        </w:rPr>
        <w:t>工业</w:t>
      </w:r>
      <w:r>
        <w:rPr>
          <w:rFonts w:ascii="宋体" w:hAnsi="宋体" w:cs="宋体"/>
          <w:color w:val="auto"/>
          <w:sz w:val="24"/>
          <w:szCs w:val="28"/>
          <w:highlight w:val="none"/>
        </w:rPr>
        <w:t>行业的小微企业报价给予</w:t>
      </w:r>
      <w:r>
        <w:rPr>
          <w:rFonts w:ascii="宋体" w:hAnsi="宋体" w:cs="宋体"/>
          <w:b/>
          <w:bCs/>
          <w:color w:val="auto"/>
          <w:sz w:val="24"/>
          <w:szCs w:val="28"/>
          <w:highlight w:val="none"/>
        </w:rPr>
        <w:t>10%</w:t>
      </w:r>
      <w:r>
        <w:rPr>
          <w:rFonts w:ascii="宋体" w:hAnsi="宋体" w:cs="宋体"/>
          <w:color w:val="auto"/>
          <w:sz w:val="24"/>
          <w:szCs w:val="28"/>
          <w:highlight w:val="none"/>
        </w:rPr>
        <w:t>的扣除，用扣除后的价格参加评审。 请投标人根据《政府采购促进中小企业发展管理办法》（财库〔2020〕46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的规定，提供《中小企业声明函》，未提供的小微企业不享受价格评审优惠政策。投标人对《中小企业声明函》的真实性负责，如有虚假，采购人将向监管部门反映，投标人依法承担相应责任。 其他未尽事宜，按照《政府采购促进中小企业发展管理办法》（财库〔2020〕46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规定执行。</w:t>
      </w:r>
    </w:p>
    <w:p w14:paraId="3D0CE711">
      <w:pPr>
        <w:pStyle w:val="22"/>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3.监狱企业评分优惠政策 </w:t>
      </w:r>
    </w:p>
    <w:p w14:paraId="33FB4BCA">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根据《关于政府采购支持监狱企业发展有关问题的通知》</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财库</w:t>
      </w:r>
      <w:r>
        <w:rPr>
          <w:rFonts w:hint="eastAsia" w:ascii="宋体" w:hAnsi="宋体" w:cs="宋体"/>
          <w:color w:val="auto"/>
          <w:sz w:val="24"/>
          <w:szCs w:val="28"/>
          <w:highlight w:val="none"/>
          <w:lang w:eastAsia="zh-CN"/>
        </w:rPr>
        <w:t>〔2014〕68号）</w:t>
      </w:r>
      <w:r>
        <w:rPr>
          <w:rFonts w:ascii="宋体" w:hAnsi="宋体" w:cs="宋体"/>
          <w:color w:val="auto"/>
          <w:sz w:val="24"/>
          <w:szCs w:val="28"/>
          <w:highlight w:val="none"/>
        </w:rPr>
        <w:t>的规定，监狱企业优惠政策，监狱企业参与本项目投标时，提供由省级以上监狱管理局、戒毒管理局</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含新疆生产建设兵团</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出具的属于监狱企业的证明文件的，视同小型、微型企业享受价格扣除等优惠政策。</w:t>
      </w:r>
    </w:p>
    <w:p w14:paraId="4E27898F">
      <w:pPr>
        <w:pStyle w:val="22"/>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4.残疾人福利性单位优惠政策 </w:t>
      </w:r>
    </w:p>
    <w:p w14:paraId="46118DBB">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根据《关于促进残疾人就业政府采购政策的通知》</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财库</w:t>
      </w:r>
      <w:r>
        <w:rPr>
          <w:rFonts w:hint="eastAsia" w:ascii="宋体" w:hAnsi="宋体" w:cs="宋体"/>
          <w:color w:val="auto"/>
          <w:sz w:val="24"/>
          <w:szCs w:val="28"/>
          <w:highlight w:val="none"/>
          <w:lang w:eastAsia="zh-CN"/>
        </w:rPr>
        <w:t>〔2017〕</w:t>
      </w:r>
      <w:r>
        <w:rPr>
          <w:rFonts w:ascii="宋体" w:hAnsi="宋体" w:cs="宋体"/>
          <w:color w:val="auto"/>
          <w:sz w:val="24"/>
          <w:szCs w:val="28"/>
          <w:highlight w:val="none"/>
        </w:rPr>
        <w:t>141 号</w:t>
      </w:r>
      <w:r>
        <w:rPr>
          <w:rFonts w:hint="eastAsia" w:ascii="宋体" w:hAnsi="宋体" w:cs="宋体"/>
          <w:color w:val="auto"/>
          <w:sz w:val="24"/>
          <w:szCs w:val="28"/>
          <w:highlight w:val="none"/>
          <w:lang w:eastAsia="zh-CN"/>
        </w:rPr>
        <w:t>）</w:t>
      </w:r>
      <w:r>
        <w:rPr>
          <w:rFonts w:ascii="宋体" w:hAnsi="宋体" w:cs="宋体"/>
          <w:color w:val="auto"/>
          <w:sz w:val="24"/>
          <w:szCs w:val="28"/>
          <w:highlight w:val="none"/>
        </w:rPr>
        <w:t xml:space="preserve">的规定，残疾人福利性单位优惠政策，残疾人福利性单位参与本项目投标时，提供《残疾人福利性单位声明函》并对声明的真实性负责，视同小型、微型企业享受价格扣除等优惠政策。投标人对《残疾人福利性单位声明函》的真实性负责，如有虚假，自行承担相应责任。 </w:t>
      </w:r>
    </w:p>
    <w:p w14:paraId="466EE9D3">
      <w:pPr>
        <w:pStyle w:val="22"/>
        <w:spacing w:after="0" w:line="520" w:lineRule="exact"/>
        <w:ind w:left="0" w:leftChars="0" w:firstLine="0" w:firstLineChars="0"/>
        <w:jc w:val="left"/>
        <w:rPr>
          <w:rFonts w:ascii="宋体" w:hAnsi="宋体" w:cs="宋体"/>
          <w:b/>
          <w:bCs/>
          <w:color w:val="auto"/>
          <w:sz w:val="24"/>
          <w:szCs w:val="28"/>
          <w:highlight w:val="none"/>
        </w:rPr>
      </w:pPr>
      <w:r>
        <w:rPr>
          <w:rFonts w:ascii="宋体" w:hAnsi="宋体" w:cs="宋体"/>
          <w:b/>
          <w:bCs/>
          <w:color w:val="auto"/>
          <w:sz w:val="24"/>
          <w:szCs w:val="28"/>
          <w:highlight w:val="none"/>
        </w:rPr>
        <w:t xml:space="preserve">5.节能产品及环境标志产品的优惠政策 </w:t>
      </w:r>
    </w:p>
    <w:p w14:paraId="09E7B0C9">
      <w:pPr>
        <w:pStyle w:val="22"/>
        <w:spacing w:after="0" w:line="520" w:lineRule="exact"/>
        <w:ind w:left="0" w:leftChars="0" w:firstLine="480"/>
        <w:jc w:val="left"/>
        <w:rPr>
          <w:rFonts w:ascii="宋体" w:hAnsi="宋体" w:cs="宋体"/>
          <w:color w:val="auto"/>
          <w:sz w:val="24"/>
          <w:szCs w:val="28"/>
          <w:highlight w:val="none"/>
        </w:rPr>
      </w:pPr>
      <w:r>
        <w:rPr>
          <w:rFonts w:ascii="宋体" w:hAnsi="宋体" w:cs="宋体"/>
          <w:color w:val="auto"/>
          <w:sz w:val="24"/>
          <w:szCs w:val="28"/>
          <w:highlight w:val="none"/>
        </w:rPr>
        <w:t>按照“财政部 发展改革委 生态环境部 市场监管总局 关于调整优化节能产品、环境标志产品政府采购执行机制的通知”财库〔2019〕9 号的规定执行。</w:t>
      </w:r>
    </w:p>
    <w:p w14:paraId="67812F6A">
      <w:pPr>
        <w:pStyle w:val="22"/>
        <w:spacing w:after="0" w:line="520" w:lineRule="exact"/>
        <w:ind w:left="0" w:leftChars="0" w:firstLine="0" w:firstLineChars="0"/>
        <w:jc w:val="left"/>
        <w:rPr>
          <w:rFonts w:ascii="宋体" w:hAnsi="宋体" w:cs="宋体"/>
          <w:b/>
          <w:bCs/>
          <w:color w:val="auto"/>
          <w:sz w:val="24"/>
          <w:szCs w:val="28"/>
          <w:highlight w:val="none"/>
        </w:rPr>
      </w:pPr>
      <w:r>
        <w:rPr>
          <w:rFonts w:hint="eastAsia" w:ascii="宋体" w:hAnsi="宋体" w:cs="宋体"/>
          <w:b/>
          <w:bCs/>
          <w:color w:val="auto"/>
          <w:sz w:val="24"/>
          <w:szCs w:val="28"/>
          <w:highlight w:val="none"/>
        </w:rPr>
        <w:t>6.综合评分法</w:t>
      </w:r>
    </w:p>
    <w:p w14:paraId="5D7DFF58">
      <w:pPr>
        <w:autoSpaceDE w:val="0"/>
        <w:autoSpaceDN w:val="0"/>
        <w:adjustRightInd w:val="0"/>
        <w:spacing w:line="520" w:lineRule="exact"/>
        <w:ind w:firstLine="480" w:firstLineChars="200"/>
        <w:jc w:val="left"/>
        <w:rPr>
          <w:rFonts w:ascii="宋体" w:hAnsi="宋体" w:cs="宋体"/>
          <w:color w:val="auto"/>
          <w:kern w:val="0"/>
          <w:sz w:val="24"/>
          <w:szCs w:val="32"/>
          <w:highlight w:val="none"/>
        </w:rPr>
      </w:pPr>
      <w:r>
        <w:rPr>
          <w:rFonts w:hint="eastAsia" w:ascii="宋体" w:hAnsi="宋体" w:cs="宋体"/>
          <w:color w:val="auto"/>
          <w:kern w:val="0"/>
          <w:sz w:val="24"/>
          <w:szCs w:val="32"/>
          <w:highlight w:val="none"/>
        </w:rPr>
        <w:t>①评标委员会对通过符合性评审的投标文件进行评审和比较。</w:t>
      </w:r>
    </w:p>
    <w:p w14:paraId="077BDE2B">
      <w:pPr>
        <w:autoSpaceDE w:val="0"/>
        <w:autoSpaceDN w:val="0"/>
        <w:adjustRightInd w:val="0"/>
        <w:spacing w:line="520" w:lineRule="exact"/>
        <w:ind w:firstLine="480" w:firstLineChars="200"/>
        <w:jc w:val="left"/>
        <w:rPr>
          <w:rFonts w:ascii="宋体" w:hAnsi="宋体" w:cs="宋体"/>
          <w:color w:val="auto"/>
          <w:kern w:val="0"/>
          <w:sz w:val="24"/>
          <w:szCs w:val="32"/>
          <w:highlight w:val="none"/>
        </w:rPr>
      </w:pPr>
      <w:r>
        <w:rPr>
          <w:rFonts w:hint="eastAsia" w:ascii="宋体" w:hAnsi="宋体" w:cs="宋体"/>
          <w:color w:val="auto"/>
          <w:kern w:val="0"/>
          <w:sz w:val="24"/>
          <w:szCs w:val="32"/>
          <w:highlight w:val="none"/>
        </w:rPr>
        <w:t>②在评审期间，投标人不得干扰和阻碍评标工作，投标方不得向评委询问评审情况，任何影响和干扰评标工作的行为都可能导致被取消本次评标的资格，并承担相应的法律责任。</w:t>
      </w:r>
    </w:p>
    <w:p w14:paraId="118AE448">
      <w:pPr>
        <w:autoSpaceDE w:val="0"/>
        <w:autoSpaceDN w:val="0"/>
        <w:adjustRightInd w:val="0"/>
        <w:spacing w:line="520" w:lineRule="exact"/>
        <w:ind w:firstLine="480" w:firstLineChars="200"/>
        <w:jc w:val="left"/>
        <w:rPr>
          <w:rFonts w:ascii="宋体" w:hAnsi="宋体" w:cs="宋体"/>
          <w:color w:val="auto"/>
          <w:sz w:val="24"/>
          <w:szCs w:val="32"/>
          <w:highlight w:val="none"/>
        </w:rPr>
      </w:pPr>
      <w:r>
        <w:rPr>
          <w:rFonts w:hint="eastAsia" w:ascii="宋体" w:hAnsi="宋体" w:cs="宋体"/>
          <w:color w:val="auto"/>
          <w:kern w:val="0"/>
          <w:sz w:val="24"/>
          <w:szCs w:val="32"/>
          <w:highlight w:val="none"/>
        </w:rPr>
        <w:t>③在评审过程中</w:t>
      </w:r>
      <w:r>
        <w:rPr>
          <w:rFonts w:hint="eastAsia" w:ascii="宋体" w:hAnsi="宋体" w:cs="宋体"/>
          <w:color w:val="auto"/>
          <w:sz w:val="24"/>
          <w:szCs w:val="32"/>
          <w:highlight w:val="none"/>
        </w:rPr>
        <w:t>，评委不得与投标方私下交换意见，从招标工作开始，直到授予投标方合同止，评委不得向投标方或其他无关的人员透露任何内容。否则，评委应承担法律、法规责任。</w:t>
      </w:r>
    </w:p>
    <w:p w14:paraId="6F635E29">
      <w:pPr>
        <w:autoSpaceDE w:val="0"/>
        <w:autoSpaceDN w:val="0"/>
        <w:adjustRightInd w:val="0"/>
        <w:spacing w:afterLines="50" w:line="520" w:lineRule="exact"/>
        <w:ind w:firstLine="480" w:firstLineChars="200"/>
        <w:jc w:val="left"/>
        <w:rPr>
          <w:rFonts w:ascii="宋体" w:hAnsi="宋体" w:cs="宋体"/>
          <w:color w:val="auto"/>
          <w:kern w:val="0"/>
          <w:sz w:val="24"/>
          <w:szCs w:val="32"/>
          <w:highlight w:val="none"/>
        </w:rPr>
      </w:pPr>
      <w:r>
        <w:rPr>
          <w:rFonts w:hint="eastAsia" w:ascii="宋体" w:hAnsi="宋体" w:cs="宋体"/>
          <w:color w:val="auto"/>
          <w:sz w:val="24"/>
          <w:szCs w:val="32"/>
          <w:highlight w:val="none"/>
        </w:rPr>
        <w:t>④评标方法及评分标准：</w:t>
      </w:r>
      <w:r>
        <w:rPr>
          <w:rFonts w:hint="eastAsia" w:ascii="宋体" w:hAnsi="宋体" w:cs="宋体"/>
          <w:color w:val="auto"/>
          <w:kern w:val="0"/>
          <w:sz w:val="24"/>
          <w:szCs w:val="32"/>
          <w:highlight w:val="none"/>
        </w:rPr>
        <w:t>评标采取综合评分方法进行（百分制）。</w:t>
      </w:r>
    </w:p>
    <w:tbl>
      <w:tblPr>
        <w:tblStyle w:val="24"/>
        <w:tblW w:w="9752"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3214"/>
        <w:gridCol w:w="2456"/>
        <w:gridCol w:w="3075"/>
      </w:tblGrid>
      <w:tr w14:paraId="55E321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40963DB9">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214" w:type="dxa"/>
            <w:tcBorders>
              <w:tl2br w:val="nil"/>
              <w:tr2bl w:val="nil"/>
            </w:tcBorders>
            <w:noWrap/>
            <w:vAlign w:val="center"/>
          </w:tcPr>
          <w:p w14:paraId="4599ED8D">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评分因素</w:t>
            </w:r>
          </w:p>
        </w:tc>
        <w:tc>
          <w:tcPr>
            <w:tcW w:w="2456" w:type="dxa"/>
            <w:tcBorders>
              <w:tl2br w:val="nil"/>
              <w:tr2bl w:val="nil"/>
            </w:tcBorders>
            <w:noWrap/>
            <w:vAlign w:val="center"/>
          </w:tcPr>
          <w:p w14:paraId="5386FDD6">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权重</w:t>
            </w:r>
          </w:p>
        </w:tc>
        <w:tc>
          <w:tcPr>
            <w:tcW w:w="3075" w:type="dxa"/>
            <w:tcBorders>
              <w:tl2br w:val="nil"/>
              <w:tr2bl w:val="nil"/>
            </w:tcBorders>
            <w:noWrap/>
            <w:vAlign w:val="center"/>
          </w:tcPr>
          <w:p w14:paraId="44F29CFA">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分值分配</w:t>
            </w:r>
          </w:p>
        </w:tc>
      </w:tr>
      <w:tr w14:paraId="38EFEB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438169CF">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F1</w:t>
            </w:r>
          </w:p>
        </w:tc>
        <w:tc>
          <w:tcPr>
            <w:tcW w:w="3214" w:type="dxa"/>
            <w:tcBorders>
              <w:tl2br w:val="nil"/>
              <w:tr2bl w:val="nil"/>
            </w:tcBorders>
            <w:noWrap/>
            <w:vAlign w:val="center"/>
          </w:tcPr>
          <w:p w14:paraId="34420014">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投标报价部分</w:t>
            </w:r>
          </w:p>
        </w:tc>
        <w:tc>
          <w:tcPr>
            <w:tcW w:w="2456" w:type="dxa"/>
            <w:tcBorders>
              <w:tl2br w:val="nil"/>
              <w:tr2bl w:val="nil"/>
            </w:tcBorders>
            <w:noWrap/>
            <w:vAlign w:val="center"/>
          </w:tcPr>
          <w:p w14:paraId="06C8C9AC">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0.30</w:t>
            </w:r>
          </w:p>
        </w:tc>
        <w:tc>
          <w:tcPr>
            <w:tcW w:w="3075" w:type="dxa"/>
            <w:tcBorders>
              <w:tl2br w:val="nil"/>
              <w:tr2bl w:val="nil"/>
            </w:tcBorders>
            <w:noWrap/>
            <w:vAlign w:val="center"/>
          </w:tcPr>
          <w:p w14:paraId="4E7E9E5C">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30分</w:t>
            </w:r>
          </w:p>
        </w:tc>
      </w:tr>
      <w:tr w14:paraId="6B38D2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dxa"/>
            <w:tcBorders>
              <w:tl2br w:val="nil"/>
              <w:tr2bl w:val="nil"/>
            </w:tcBorders>
            <w:noWrap/>
            <w:vAlign w:val="center"/>
          </w:tcPr>
          <w:p w14:paraId="425A3621">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F2</w:t>
            </w:r>
          </w:p>
        </w:tc>
        <w:tc>
          <w:tcPr>
            <w:tcW w:w="3214" w:type="dxa"/>
            <w:tcBorders>
              <w:tl2br w:val="nil"/>
              <w:tr2bl w:val="nil"/>
            </w:tcBorders>
            <w:noWrap/>
            <w:vAlign w:val="center"/>
          </w:tcPr>
          <w:p w14:paraId="263F3A46">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商务技术部分</w:t>
            </w:r>
          </w:p>
        </w:tc>
        <w:tc>
          <w:tcPr>
            <w:tcW w:w="2456" w:type="dxa"/>
            <w:tcBorders>
              <w:tl2br w:val="nil"/>
              <w:tr2bl w:val="nil"/>
            </w:tcBorders>
            <w:noWrap/>
            <w:vAlign w:val="center"/>
          </w:tcPr>
          <w:p w14:paraId="2885608A">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0.70</w:t>
            </w:r>
          </w:p>
        </w:tc>
        <w:tc>
          <w:tcPr>
            <w:tcW w:w="3075" w:type="dxa"/>
            <w:tcBorders>
              <w:tl2br w:val="nil"/>
              <w:tr2bl w:val="nil"/>
            </w:tcBorders>
            <w:noWrap/>
            <w:vAlign w:val="center"/>
          </w:tcPr>
          <w:p w14:paraId="660CD281">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70分</w:t>
            </w:r>
          </w:p>
        </w:tc>
      </w:tr>
      <w:tr w14:paraId="3164E5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21" w:type="dxa"/>
            <w:gridSpan w:val="2"/>
            <w:tcBorders>
              <w:tl2br w:val="nil"/>
              <w:tr2bl w:val="nil"/>
            </w:tcBorders>
            <w:noWrap/>
            <w:vAlign w:val="center"/>
          </w:tcPr>
          <w:p w14:paraId="64EFD97A">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合计</w:t>
            </w:r>
          </w:p>
        </w:tc>
        <w:tc>
          <w:tcPr>
            <w:tcW w:w="2456" w:type="dxa"/>
            <w:tcBorders>
              <w:tl2br w:val="nil"/>
              <w:tr2bl w:val="nil"/>
            </w:tcBorders>
            <w:noWrap/>
            <w:vAlign w:val="center"/>
          </w:tcPr>
          <w:p w14:paraId="30BF2DBD">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w:t>
            </w:r>
          </w:p>
        </w:tc>
        <w:tc>
          <w:tcPr>
            <w:tcW w:w="3075" w:type="dxa"/>
            <w:tcBorders>
              <w:tl2br w:val="nil"/>
              <w:tr2bl w:val="nil"/>
            </w:tcBorders>
            <w:noWrap/>
            <w:vAlign w:val="center"/>
          </w:tcPr>
          <w:p w14:paraId="3C48EA04">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100分</w:t>
            </w:r>
          </w:p>
        </w:tc>
      </w:tr>
    </w:tbl>
    <w:p w14:paraId="403AAC8E">
      <w:pPr>
        <w:autoSpaceDE w:val="0"/>
        <w:autoSpaceDN w:val="0"/>
        <w:adjustRightInd w:val="0"/>
        <w:spacing w:beforeLines="50" w:afterLines="50" w:line="520" w:lineRule="exact"/>
        <w:jc w:val="left"/>
        <w:rPr>
          <w:rFonts w:hint="eastAsia" w:ascii="宋体" w:hAnsi="宋体" w:cs="宋体"/>
          <w:b/>
          <w:bCs/>
          <w:color w:val="auto"/>
          <w:kern w:val="0"/>
          <w:sz w:val="24"/>
          <w:szCs w:val="32"/>
          <w:highlight w:val="none"/>
        </w:rPr>
      </w:pPr>
      <w:r>
        <w:rPr>
          <w:rFonts w:hint="eastAsia" w:ascii="宋体" w:hAnsi="宋体" w:cs="宋体"/>
          <w:b/>
          <w:bCs/>
          <w:color w:val="auto"/>
          <w:kern w:val="0"/>
          <w:sz w:val="24"/>
          <w:szCs w:val="32"/>
          <w:highlight w:val="none"/>
        </w:rPr>
        <w:t>⑤评分标准如下：</w:t>
      </w:r>
    </w:p>
    <w:tbl>
      <w:tblPr>
        <w:tblStyle w:val="24"/>
        <w:tblpPr w:leftFromText="180" w:rightFromText="180" w:vertAnchor="text" w:horzAnchor="page" w:tblpX="1187" w:tblpY="617"/>
        <w:tblOverlap w:val="never"/>
        <w:tblW w:w="9716"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180"/>
        <w:gridCol w:w="948"/>
        <w:gridCol w:w="818"/>
        <w:gridCol w:w="5904"/>
      </w:tblGrid>
      <w:tr w14:paraId="41DC60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66" w:type="dxa"/>
            <w:tcBorders>
              <w:tl2br w:val="nil"/>
              <w:tr2bl w:val="nil"/>
            </w:tcBorders>
            <w:noWrap/>
            <w:vAlign w:val="center"/>
          </w:tcPr>
          <w:p w14:paraId="614A520B">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180" w:type="dxa"/>
            <w:tcBorders>
              <w:tl2br w:val="nil"/>
              <w:tr2bl w:val="nil"/>
            </w:tcBorders>
            <w:noWrap/>
            <w:vAlign w:val="center"/>
          </w:tcPr>
          <w:p w14:paraId="20680326">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评分因素</w:t>
            </w:r>
          </w:p>
        </w:tc>
        <w:tc>
          <w:tcPr>
            <w:tcW w:w="1766" w:type="dxa"/>
            <w:gridSpan w:val="2"/>
            <w:tcBorders>
              <w:tl2br w:val="nil"/>
              <w:tr2bl w:val="nil"/>
            </w:tcBorders>
            <w:noWrap/>
            <w:vAlign w:val="center"/>
          </w:tcPr>
          <w:p w14:paraId="42E38536">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分值</w:t>
            </w:r>
          </w:p>
        </w:tc>
        <w:tc>
          <w:tcPr>
            <w:tcW w:w="5904" w:type="dxa"/>
            <w:tcBorders>
              <w:tl2br w:val="nil"/>
              <w:tr2bl w:val="nil"/>
            </w:tcBorders>
            <w:noWrap/>
            <w:vAlign w:val="center"/>
          </w:tcPr>
          <w:p w14:paraId="29712D3D">
            <w:pPr>
              <w:autoSpaceDE w:val="0"/>
              <w:autoSpaceDN w:val="0"/>
              <w:adjustRightInd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评审标准</w:t>
            </w:r>
          </w:p>
        </w:tc>
      </w:tr>
      <w:tr w14:paraId="3B9A43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tcBorders>
              <w:tl2br w:val="nil"/>
              <w:tr2bl w:val="nil"/>
            </w:tcBorders>
            <w:noWrap/>
            <w:vAlign w:val="center"/>
          </w:tcPr>
          <w:p w14:paraId="600D1C28">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F1</w:t>
            </w:r>
          </w:p>
        </w:tc>
        <w:tc>
          <w:tcPr>
            <w:tcW w:w="1180" w:type="dxa"/>
            <w:tcBorders>
              <w:tl2br w:val="nil"/>
              <w:tr2bl w:val="nil"/>
            </w:tcBorders>
            <w:noWrap/>
            <w:vAlign w:val="center"/>
          </w:tcPr>
          <w:p w14:paraId="5C36F641">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投标报价部分</w:t>
            </w:r>
          </w:p>
        </w:tc>
        <w:tc>
          <w:tcPr>
            <w:tcW w:w="1766" w:type="dxa"/>
            <w:gridSpan w:val="2"/>
            <w:tcBorders>
              <w:tl2br w:val="nil"/>
              <w:tr2bl w:val="nil"/>
            </w:tcBorders>
            <w:noWrap/>
            <w:vAlign w:val="center"/>
          </w:tcPr>
          <w:p w14:paraId="337268E8">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30分</w:t>
            </w:r>
          </w:p>
        </w:tc>
        <w:tc>
          <w:tcPr>
            <w:tcW w:w="5904" w:type="dxa"/>
            <w:tcBorders>
              <w:tl2br w:val="nil"/>
              <w:tr2bl w:val="nil"/>
            </w:tcBorders>
            <w:noWrap/>
            <w:vAlign w:val="center"/>
          </w:tcPr>
          <w:p w14:paraId="190FF74E">
            <w:pPr>
              <w:autoSpaceDE w:val="0"/>
              <w:autoSpaceDN w:val="0"/>
              <w:adjustRightInd w:val="0"/>
              <w:spacing w:line="360" w:lineRule="auto"/>
              <w:rPr>
                <w:rFonts w:ascii="宋体" w:hAnsi="宋体" w:cs="宋体"/>
                <w:b/>
                <w:bCs/>
                <w:color w:val="auto"/>
                <w:sz w:val="24"/>
                <w:highlight w:val="none"/>
              </w:rPr>
            </w:pPr>
            <w:r>
              <w:rPr>
                <w:rFonts w:hint="eastAsia"/>
                <w:b/>
                <w:bCs/>
                <w:color w:val="auto"/>
                <w:sz w:val="24"/>
                <w:highlight w:val="none"/>
              </w:rPr>
              <w:t>①</w:t>
            </w:r>
            <w:r>
              <w:rPr>
                <w:rFonts w:hint="eastAsia" w:ascii="宋体" w:hAnsi="宋体" w:cs="宋体"/>
                <w:b/>
                <w:bCs/>
                <w:color w:val="auto"/>
                <w:sz w:val="24"/>
                <w:highlight w:val="none"/>
              </w:rPr>
              <w:t>投标报价得分＝（评标基准价/投标报价）×投标报价分值；</w:t>
            </w:r>
          </w:p>
          <w:p w14:paraId="6E05429E">
            <w:pPr>
              <w:autoSpaceDE w:val="0"/>
              <w:autoSpaceDN w:val="0"/>
              <w:adjustRightInd w:val="0"/>
              <w:spacing w:line="360" w:lineRule="auto"/>
              <w:rPr>
                <w:rFonts w:ascii="宋体" w:hAnsi="宋体" w:cs="宋体"/>
                <w:color w:val="auto"/>
                <w:sz w:val="24"/>
                <w:highlight w:val="none"/>
              </w:rPr>
            </w:pPr>
            <w:r>
              <w:rPr>
                <w:rFonts w:hint="eastAsia" w:ascii="宋体" w:hAnsi="宋体" w:cs="宋体"/>
                <w:b/>
                <w:bCs/>
                <w:color w:val="auto"/>
                <w:sz w:val="24"/>
                <w:highlight w:val="none"/>
              </w:rPr>
              <w:t>②评标基准价</w:t>
            </w:r>
            <w:r>
              <w:rPr>
                <w:rFonts w:hint="eastAsia" w:ascii="宋体" w:hAnsi="宋体" w:cs="宋体"/>
                <w:color w:val="auto"/>
                <w:sz w:val="24"/>
                <w:highlight w:val="none"/>
              </w:rPr>
              <w:t>＝满足招标文件要求且投标价格最低的投标报价为评标基准价。</w:t>
            </w:r>
          </w:p>
          <w:p w14:paraId="5D788ABA">
            <w:pPr>
              <w:autoSpaceDE w:val="0"/>
              <w:autoSpaceDN w:val="0"/>
              <w:adjustRightInd w:val="0"/>
              <w:spacing w:line="360" w:lineRule="auto"/>
              <w:ind w:firstLine="480" w:firstLineChars="200"/>
              <w:rPr>
                <w:color w:val="auto"/>
                <w:sz w:val="24"/>
                <w:highlight w:val="none"/>
              </w:rPr>
            </w:pPr>
            <w:r>
              <w:rPr>
                <w:rFonts w:hint="eastAsia"/>
                <w:color w:val="auto"/>
                <w:sz w:val="24"/>
                <w:highlight w:val="none"/>
              </w:rPr>
              <w:t>注：根据国家统计局关于印发《统计上大中小微型企业划分办法（2017）》的通知（国统字〔2017〕213号）、政府采购促进中小企业发展管理办法（财库﹝2020﹞46 号）及《财政部关于进一步加大政府采购支持中小企业力度的通知》（财库﹝2022﹞19 号）的规定，对符合条件的小型和微型企业，在投标报价评分时给予10%的价格扣除，须提供中小企业声明函，用扣除后的价格参与投标报价评分。监狱企业、残疾人福利性单位视同小型、微型企业，若监狱企业、残疾人福利性单位属于小型、微型企业的，不重复享受政策。</w:t>
            </w:r>
          </w:p>
          <w:p w14:paraId="66E5BD5D">
            <w:pPr>
              <w:autoSpaceDE w:val="0"/>
              <w:autoSpaceDN w:val="0"/>
              <w:adjustRightInd w:val="0"/>
              <w:spacing w:line="360" w:lineRule="auto"/>
              <w:rPr>
                <w:color w:val="auto"/>
                <w:sz w:val="24"/>
                <w:highlight w:val="none"/>
              </w:rPr>
            </w:pPr>
            <w:r>
              <w:rPr>
                <w:rFonts w:hint="eastAsia"/>
                <w:color w:val="auto"/>
                <w:sz w:val="24"/>
                <w:highlight w:val="none"/>
              </w:rPr>
              <w:t xml:space="preserve">根据《政府采购促进中小企业发展管理办法》财库〔2020〕46号第四条第一款规定，在政府采购活动中，投标人提供的货物、工程或者服务符合下列情形的，享受本办法规定的中小企业扶持政策： </w:t>
            </w:r>
          </w:p>
          <w:p w14:paraId="76B78E38">
            <w:pPr>
              <w:autoSpaceDE w:val="0"/>
              <w:autoSpaceDN w:val="0"/>
              <w:adjustRightInd w:val="0"/>
              <w:spacing w:line="360" w:lineRule="auto"/>
              <w:rPr>
                <w:color w:val="auto"/>
                <w:sz w:val="24"/>
                <w:highlight w:val="none"/>
              </w:rPr>
            </w:pPr>
            <w:r>
              <w:rPr>
                <w:rFonts w:hint="eastAsia"/>
                <w:b/>
                <w:bCs/>
                <w:color w:val="auto"/>
                <w:sz w:val="24"/>
                <w:highlight w:val="none"/>
              </w:rPr>
              <w:t>③在货物采购项目中，货物由中小企业制造</w:t>
            </w:r>
            <w:r>
              <w:rPr>
                <w:rFonts w:hint="eastAsia"/>
                <w:color w:val="auto"/>
                <w:sz w:val="24"/>
                <w:highlight w:val="none"/>
              </w:rPr>
              <w:t>，即货物由中小企业生产且使用该中小企业商号或者注册商标。</w:t>
            </w:r>
          </w:p>
          <w:p w14:paraId="00C63D27">
            <w:pPr>
              <w:autoSpaceDE w:val="0"/>
              <w:autoSpaceDN w:val="0"/>
              <w:adjustRightInd w:val="0"/>
              <w:spacing w:line="360" w:lineRule="auto"/>
              <w:rPr>
                <w:rFonts w:ascii="宋体" w:hAnsi="宋体" w:cs="宋体"/>
                <w:color w:val="auto"/>
                <w:sz w:val="24"/>
                <w:highlight w:val="none"/>
              </w:rPr>
            </w:pPr>
            <w:r>
              <w:rPr>
                <w:rFonts w:hint="eastAsia"/>
                <w:b/>
                <w:bCs/>
                <w:color w:val="auto"/>
                <w:sz w:val="24"/>
                <w:highlight w:val="none"/>
              </w:rPr>
              <w:t>在货物采购项目中，投标人提供的货物既有中小企业制造货物，也有大型企业制造货物的，不享受本办法规定的中小企业扶持政策。</w:t>
            </w:r>
          </w:p>
        </w:tc>
      </w:tr>
      <w:tr w14:paraId="6C2745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restart"/>
            <w:tcBorders>
              <w:tl2br w:val="nil"/>
              <w:tr2bl w:val="nil"/>
            </w:tcBorders>
            <w:noWrap/>
            <w:vAlign w:val="center"/>
          </w:tcPr>
          <w:p w14:paraId="2155440C">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F2</w:t>
            </w:r>
          </w:p>
        </w:tc>
        <w:tc>
          <w:tcPr>
            <w:tcW w:w="1180" w:type="dxa"/>
            <w:vMerge w:val="restart"/>
            <w:tcBorders>
              <w:tl2br w:val="nil"/>
              <w:tr2bl w:val="nil"/>
            </w:tcBorders>
            <w:noWrap/>
            <w:vAlign w:val="center"/>
          </w:tcPr>
          <w:p w14:paraId="0D2DBF0B">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商务技术部分</w:t>
            </w:r>
          </w:p>
        </w:tc>
        <w:tc>
          <w:tcPr>
            <w:tcW w:w="948" w:type="dxa"/>
            <w:tcBorders>
              <w:tl2br w:val="nil"/>
              <w:tr2bl w:val="nil"/>
            </w:tcBorders>
            <w:noWrap/>
            <w:vAlign w:val="center"/>
          </w:tcPr>
          <w:p w14:paraId="3BA4DBCE">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技术参数评审</w:t>
            </w:r>
          </w:p>
        </w:tc>
        <w:tc>
          <w:tcPr>
            <w:tcW w:w="818" w:type="dxa"/>
            <w:tcBorders>
              <w:tl2br w:val="nil"/>
              <w:tr2bl w:val="nil"/>
            </w:tcBorders>
            <w:noWrap/>
            <w:vAlign w:val="center"/>
          </w:tcPr>
          <w:p w14:paraId="0193CE39">
            <w:pPr>
              <w:autoSpaceDE w:val="0"/>
              <w:autoSpaceDN w:val="0"/>
              <w:adjustRightInd w:val="0"/>
              <w:spacing w:line="360" w:lineRule="auto"/>
              <w:jc w:val="center"/>
              <w:rPr>
                <w:rFonts w:ascii="宋体" w:hAnsi="宋体" w:cs="宋体"/>
                <w:color w:val="auto"/>
                <w:sz w:val="24"/>
                <w:highlight w:val="none"/>
              </w:rPr>
            </w:pPr>
            <w:r>
              <w:rPr>
                <w:rFonts w:hint="eastAsia" w:ascii="宋体" w:hAnsi="宋体" w:cs="宋体"/>
                <w:color w:val="auto"/>
                <w:sz w:val="24"/>
                <w:highlight w:val="none"/>
                <w:lang w:val="en-US" w:eastAsia="zh-CN"/>
              </w:rPr>
              <w:t>27</w:t>
            </w:r>
            <w:r>
              <w:rPr>
                <w:rFonts w:hint="eastAsia" w:ascii="宋体" w:hAnsi="宋体" w:cs="宋体"/>
                <w:color w:val="auto"/>
                <w:sz w:val="24"/>
                <w:highlight w:val="none"/>
              </w:rPr>
              <w:t>分</w:t>
            </w:r>
          </w:p>
        </w:tc>
        <w:tc>
          <w:tcPr>
            <w:tcW w:w="5904" w:type="dxa"/>
            <w:tcBorders>
              <w:tl2br w:val="nil"/>
              <w:tr2bl w:val="nil"/>
            </w:tcBorders>
            <w:noWrap/>
            <w:vAlign w:val="center"/>
          </w:tcPr>
          <w:p w14:paraId="5B98E2F2">
            <w:pPr>
              <w:autoSpaceDE w:val="0"/>
              <w:autoSpaceDN w:val="0"/>
              <w:adjustRightInd w:val="0"/>
              <w:spacing w:line="360" w:lineRule="auto"/>
              <w:jc w:val="both"/>
              <w:rPr>
                <w:rFonts w:hint="eastAsia"/>
                <w:color w:val="auto"/>
                <w:sz w:val="24"/>
                <w:szCs w:val="24"/>
                <w:highlight w:val="none"/>
                <w:lang w:val="en-US" w:eastAsia="zh-CN"/>
              </w:rPr>
            </w:pPr>
            <w:r>
              <w:rPr>
                <w:rFonts w:hint="eastAsia"/>
                <w:color w:val="auto"/>
                <w:sz w:val="24"/>
                <w:szCs w:val="24"/>
                <w:highlight w:val="none"/>
                <w:lang w:val="en-US" w:eastAsia="zh-CN"/>
              </w:rPr>
              <w:t>投标人所提供的货物技术参数、规格对招标文件要求性能参数指标响应的程度（满分27分）</w:t>
            </w:r>
          </w:p>
          <w:p w14:paraId="5711DAF2">
            <w:pPr>
              <w:autoSpaceDE w:val="0"/>
              <w:autoSpaceDN w:val="0"/>
              <w:adjustRightInd w:val="0"/>
              <w:spacing w:line="360" w:lineRule="auto"/>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根据招标文件第五章采购需求中的技术参数：</w:t>
            </w:r>
          </w:p>
          <w:p w14:paraId="4AFFA8DA">
            <w:pPr>
              <w:autoSpaceDE w:val="0"/>
              <w:autoSpaceDN w:val="0"/>
              <w:adjustRightInd w:val="0"/>
              <w:spacing w:line="360" w:lineRule="auto"/>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①</w:t>
            </w:r>
            <w:r>
              <w:rPr>
                <w:rFonts w:hint="eastAsia" w:ascii="Times New Roman" w:hAnsi="Times New Roman" w:eastAsia="宋体" w:cs="Times New Roman"/>
                <w:color w:val="auto"/>
                <w:sz w:val="24"/>
                <w:szCs w:val="24"/>
                <w:highlight w:val="none"/>
                <w:lang w:val="en-US" w:eastAsia="zh-CN"/>
              </w:rPr>
              <w:t>标注（“★”）的条款为重要技术条款</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负偏离一条扣</w:t>
            </w:r>
            <w:r>
              <w:rPr>
                <w:rFonts w:hint="eastAsia" w:cs="Times New Roman"/>
                <w:color w:val="auto"/>
                <w:sz w:val="24"/>
                <w:szCs w:val="24"/>
                <w:highlight w:val="none"/>
                <w:u w:val="single"/>
                <w:lang w:val="en-US" w:eastAsia="zh-CN"/>
              </w:rPr>
              <w:t>0.3</w:t>
            </w:r>
            <w:r>
              <w:rPr>
                <w:rFonts w:hint="eastAsia" w:ascii="Times New Roman" w:hAnsi="Times New Roman" w:eastAsia="宋体" w:cs="Times New Roman"/>
                <w:color w:val="auto"/>
                <w:sz w:val="24"/>
                <w:szCs w:val="24"/>
                <w:highlight w:val="none"/>
                <w:lang w:val="en-US" w:eastAsia="zh-CN"/>
              </w:rPr>
              <w:t>分，分数扣完为止；</w:t>
            </w:r>
          </w:p>
          <w:p w14:paraId="6C036F25">
            <w:pPr>
              <w:autoSpaceDE w:val="0"/>
              <w:autoSpaceDN w:val="0"/>
              <w:adjustRightInd w:val="0"/>
              <w:spacing w:line="360" w:lineRule="auto"/>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②</w:t>
            </w:r>
            <w:r>
              <w:rPr>
                <w:rFonts w:hint="eastAsia" w:ascii="Times New Roman" w:hAnsi="Times New Roman" w:eastAsia="宋体" w:cs="Times New Roman"/>
                <w:color w:val="auto"/>
                <w:sz w:val="24"/>
                <w:szCs w:val="24"/>
                <w:highlight w:val="none"/>
                <w:lang w:val="en-US" w:eastAsia="zh-CN"/>
              </w:rPr>
              <w:t>未标注（“★”）的条款为一般技术条款</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负偏离一条扣</w:t>
            </w:r>
            <w:r>
              <w:rPr>
                <w:rFonts w:hint="eastAsia" w:cs="Times New Roman"/>
                <w:color w:val="auto"/>
                <w:sz w:val="24"/>
                <w:szCs w:val="24"/>
                <w:highlight w:val="none"/>
                <w:u w:val="single"/>
                <w:lang w:val="en-US" w:eastAsia="zh-CN"/>
              </w:rPr>
              <w:t>0.1</w:t>
            </w:r>
            <w:r>
              <w:rPr>
                <w:rFonts w:hint="eastAsia" w:ascii="Times New Roman" w:hAnsi="Times New Roman" w:eastAsia="宋体" w:cs="Times New Roman"/>
                <w:color w:val="auto"/>
                <w:sz w:val="24"/>
                <w:szCs w:val="24"/>
                <w:highlight w:val="none"/>
                <w:lang w:val="en-US" w:eastAsia="zh-CN"/>
              </w:rPr>
              <w:t>分，分数扣完为止</w:t>
            </w:r>
            <w:r>
              <w:rPr>
                <w:rFonts w:hint="eastAsia" w:cs="Times New Roman"/>
                <w:color w:val="auto"/>
                <w:sz w:val="24"/>
                <w:szCs w:val="24"/>
                <w:highlight w:val="none"/>
                <w:lang w:val="en-US" w:eastAsia="zh-CN"/>
              </w:rPr>
              <w:t>；</w:t>
            </w:r>
          </w:p>
          <w:p w14:paraId="19B625F0">
            <w:pPr>
              <w:autoSpaceDE w:val="0"/>
              <w:autoSpaceDN w:val="0"/>
              <w:adjustRightInd w:val="0"/>
              <w:spacing w:line="360" w:lineRule="auto"/>
              <w:jc w:val="both"/>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（本项目</w:t>
            </w:r>
            <w:r>
              <w:rPr>
                <w:rFonts w:hint="eastAsia" w:cs="Times New Roman"/>
                <w:b/>
                <w:bCs/>
                <w:color w:val="auto"/>
                <w:sz w:val="24"/>
                <w:szCs w:val="24"/>
                <w:highlight w:val="none"/>
                <w:lang w:val="en-US" w:eastAsia="zh-CN"/>
              </w:rPr>
              <w:t>共计210条参数</w:t>
            </w:r>
            <w:r>
              <w:rPr>
                <w:rFonts w:hint="eastAsia"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其中</w:t>
            </w:r>
            <w:r>
              <w:rPr>
                <w:rFonts w:hint="eastAsia" w:ascii="Times New Roman" w:hAnsi="Times New Roman" w:eastAsia="宋体" w:cs="Times New Roman"/>
                <w:b/>
                <w:bCs/>
                <w:color w:val="auto"/>
                <w:sz w:val="24"/>
                <w:szCs w:val="24"/>
                <w:highlight w:val="none"/>
                <w:lang w:val="en-US" w:eastAsia="zh-CN"/>
              </w:rPr>
              <w:t>★号条款共</w:t>
            </w:r>
            <w:r>
              <w:rPr>
                <w:rFonts w:hint="eastAsia" w:cs="Times New Roman"/>
                <w:b/>
                <w:bCs/>
                <w:color w:val="auto"/>
                <w:sz w:val="24"/>
                <w:szCs w:val="24"/>
                <w:highlight w:val="none"/>
                <w:u w:val="single"/>
                <w:lang w:val="en-US" w:eastAsia="zh-CN"/>
              </w:rPr>
              <w:t xml:space="preserve"> 30 </w:t>
            </w:r>
            <w:r>
              <w:rPr>
                <w:rFonts w:hint="eastAsia" w:ascii="Times New Roman" w:hAnsi="Times New Roman" w:eastAsia="宋体" w:cs="Times New Roman"/>
                <w:b/>
                <w:bCs/>
                <w:color w:val="auto"/>
                <w:sz w:val="24"/>
                <w:szCs w:val="24"/>
                <w:highlight w:val="none"/>
                <w:lang w:val="en-US" w:eastAsia="zh-CN"/>
              </w:rPr>
              <w:t>条；非★</w:t>
            </w:r>
            <w:r>
              <w:rPr>
                <w:rFonts w:hint="eastAsia" w:cs="Times New Roman"/>
                <w:b/>
                <w:bCs/>
                <w:color w:val="auto"/>
                <w:sz w:val="24"/>
                <w:szCs w:val="24"/>
                <w:highlight w:val="none"/>
                <w:lang w:val="en-US" w:eastAsia="zh-CN"/>
              </w:rPr>
              <w:t>号</w:t>
            </w:r>
            <w:r>
              <w:rPr>
                <w:rFonts w:hint="eastAsia" w:ascii="Times New Roman" w:hAnsi="Times New Roman" w:eastAsia="宋体" w:cs="Times New Roman"/>
                <w:b/>
                <w:bCs/>
                <w:color w:val="auto"/>
                <w:sz w:val="24"/>
                <w:szCs w:val="24"/>
                <w:highlight w:val="none"/>
                <w:lang w:val="en-US" w:eastAsia="zh-CN"/>
              </w:rPr>
              <w:t>条款共</w:t>
            </w:r>
            <w:r>
              <w:rPr>
                <w:rFonts w:hint="eastAsia" w:cs="Times New Roman"/>
                <w:b/>
                <w:bCs/>
                <w:color w:val="auto"/>
                <w:sz w:val="24"/>
                <w:szCs w:val="24"/>
                <w:highlight w:val="none"/>
                <w:u w:val="single"/>
                <w:lang w:val="en-US" w:eastAsia="zh-CN"/>
              </w:rPr>
              <w:t xml:space="preserve"> 180 </w:t>
            </w:r>
            <w:r>
              <w:rPr>
                <w:rFonts w:hint="eastAsia" w:ascii="Times New Roman" w:hAnsi="Times New Roman" w:eastAsia="宋体" w:cs="Times New Roman"/>
                <w:b/>
                <w:bCs/>
                <w:color w:val="auto"/>
                <w:sz w:val="24"/>
                <w:szCs w:val="24"/>
                <w:highlight w:val="none"/>
                <w:lang w:val="en-US" w:eastAsia="zh-CN"/>
              </w:rPr>
              <w:t>条）</w:t>
            </w:r>
          </w:p>
          <w:p w14:paraId="333375C6">
            <w:pPr>
              <w:autoSpaceDE w:val="0"/>
              <w:autoSpaceDN w:val="0"/>
              <w:adjustRightInd w:val="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注：投标人除如实填写技术规格偏离表外，技术参数注明需提供证明材料类型的需按要求提供相应类型的证明材料，未注明证明材料类型的投标人可提供技术支持资料</w:t>
            </w:r>
            <w:r>
              <w:rPr>
                <w:rFonts w:hint="eastAsia" w:ascii="Times New Roman" w:hAnsi="Times New Roman" w:eastAsia="宋体" w:cs="Times New Roman"/>
                <w:b/>
                <w:bCs/>
                <w:color w:val="auto"/>
                <w:sz w:val="24"/>
                <w:szCs w:val="24"/>
                <w:highlight w:val="none"/>
                <w:lang w:val="en-US" w:eastAsia="zh-CN"/>
              </w:rPr>
              <w:t>（技术支持资料包括但不限于：检验报告或产品彩页或白皮书或说明书或其他技术证明材料以证明其产品的技术指标参数和具体配置情况的真实性，投标人也可根据制造厂商官方网站资料以证明提供的产品的技术指标参数和具体配置情况的真实性，凡不符合上述要求的，视为无效技术支持资料）</w:t>
            </w:r>
            <w:r>
              <w:rPr>
                <w:rFonts w:hint="eastAsia" w:ascii="Times New Roman" w:hAnsi="Times New Roman" w:eastAsia="宋体" w:cs="Times New Roman"/>
                <w:color w:val="auto"/>
                <w:sz w:val="24"/>
                <w:szCs w:val="24"/>
                <w:highlight w:val="none"/>
                <w:lang w:val="en-US" w:eastAsia="zh-CN"/>
              </w:rPr>
              <w:t>。</w:t>
            </w:r>
          </w:p>
          <w:p w14:paraId="16DBF9D0">
            <w:pPr>
              <w:autoSpaceDE w:val="0"/>
              <w:autoSpaceDN w:val="0"/>
              <w:adjustRightInd w:val="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rPr>
              <w:t>若投标文件中技术支持资料参数与技术条款偏离表应答不符或无支持资料应答，而投标人又未在投标文件中作出说明和解释的，评标委员会在评审时可以视为不响应该条技术条款的规定。</w:t>
            </w:r>
          </w:p>
        </w:tc>
      </w:tr>
      <w:tr w14:paraId="2529D2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580868FA">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3B4FA489">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13E6351D">
            <w:pPr>
              <w:autoSpaceDE w:val="0"/>
              <w:autoSpaceDN w:val="0"/>
              <w:adjustRightInd w:val="0"/>
              <w:spacing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olor w:val="auto"/>
                <w:sz w:val="24"/>
                <w:szCs w:val="24"/>
                <w:highlight w:val="none"/>
                <w:lang w:val="en-US" w:eastAsia="zh-CN"/>
              </w:rPr>
              <w:t>项目</w:t>
            </w:r>
            <w:r>
              <w:rPr>
                <w:color w:val="auto"/>
                <w:sz w:val="24"/>
                <w:szCs w:val="24"/>
                <w:highlight w:val="none"/>
              </w:rPr>
              <w:t>实施方案</w:t>
            </w:r>
          </w:p>
        </w:tc>
        <w:tc>
          <w:tcPr>
            <w:tcW w:w="818" w:type="dxa"/>
            <w:tcBorders>
              <w:tl2br w:val="nil"/>
              <w:tr2bl w:val="nil"/>
            </w:tcBorders>
            <w:shd w:val="clear" w:color="auto" w:fill="auto"/>
            <w:noWrap/>
            <w:vAlign w:val="center"/>
          </w:tcPr>
          <w:p w14:paraId="3D5571A5">
            <w:pPr>
              <w:autoSpaceDE w:val="0"/>
              <w:autoSpaceDN w:val="0"/>
              <w:adjustRightInd w:val="0"/>
              <w:spacing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s="Times New Roman"/>
                <w:b w:val="0"/>
                <w:bCs w:val="0"/>
                <w:color w:val="auto"/>
                <w:sz w:val="24"/>
                <w:szCs w:val="24"/>
                <w:highlight w:val="none"/>
                <w:lang w:val="en-US" w:eastAsia="zh-CN"/>
              </w:rPr>
              <w:t>20</w:t>
            </w:r>
            <w:r>
              <w:rPr>
                <w:rFonts w:hint="eastAsia" w:ascii="Times New Roman" w:hAnsi="Times New Roman" w:eastAsia="宋体" w:cs="Times New Roman"/>
                <w:b w:val="0"/>
                <w:bCs w:val="0"/>
                <w:color w:val="auto"/>
                <w:sz w:val="24"/>
                <w:szCs w:val="24"/>
                <w:highlight w:val="none"/>
                <w:lang w:val="en-US" w:eastAsia="zh-CN"/>
              </w:rPr>
              <w:t>分</w:t>
            </w:r>
          </w:p>
        </w:tc>
        <w:tc>
          <w:tcPr>
            <w:tcW w:w="5904" w:type="dxa"/>
            <w:tcBorders>
              <w:tl2br w:val="nil"/>
              <w:tr2bl w:val="nil"/>
            </w:tcBorders>
            <w:shd w:val="clear" w:color="auto" w:fill="auto"/>
            <w:noWrap/>
            <w:vAlign w:val="center"/>
          </w:tcPr>
          <w:p w14:paraId="39BCD25E">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包括但不限于：（1）交货方案、进度计划及保障措施；（2）产品质量承诺及保障措施；（3）人员配置及职责分工；（4）验收及退换整改情形的应对等。</w:t>
            </w:r>
          </w:p>
          <w:p w14:paraId="2F9B65B5">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以上四项，每项5分。</w:t>
            </w:r>
          </w:p>
          <w:p w14:paraId="2A1D4D3E">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内容完整、表述清楚、针对本项目的背景、现状完全贴合项目需求的得满分20分，方案中每有一项内容要素存在缺失的扣5分，方案内容要素中每存在一处缺陷的扣1分，单项内容要素扣减分值不超过5分，扣完为止。</w:t>
            </w:r>
          </w:p>
          <w:p w14:paraId="76969FCC">
            <w:pPr>
              <w:autoSpaceDE w:val="0"/>
              <w:autoSpaceDN w:val="0"/>
              <w:adjustRightInd w:val="0"/>
              <w:spacing w:line="360" w:lineRule="auto"/>
              <w:jc w:val="left"/>
              <w:rPr>
                <w:rFonts w:ascii="Times New Roman" w:hAnsi="Times New Roman" w:eastAsia="宋体" w:cs="Times New Roman"/>
                <w:color w:val="auto"/>
                <w:kern w:val="2"/>
                <w:sz w:val="24"/>
                <w:szCs w:val="24"/>
                <w:highlight w:val="none"/>
                <w:lang w:val="en-US" w:eastAsia="zh-CN" w:bidi="ar-SA"/>
              </w:rPr>
            </w:pPr>
            <w:r>
              <w:rPr>
                <w:rFonts w:hint="eastAsia"/>
                <w:b w:val="0"/>
                <w:bCs w:val="0"/>
                <w:color w:val="auto"/>
                <w:sz w:val="24"/>
                <w:szCs w:val="24"/>
                <w:highlight w:val="none"/>
                <w:lang w:val="en-US" w:eastAsia="zh-CN"/>
              </w:rPr>
              <w:t>注：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b w:val="0"/>
                <w:bCs w:val="0"/>
                <w:color w:val="auto"/>
                <w:sz w:val="24"/>
                <w:szCs w:val="24"/>
                <w:highlight w:val="none"/>
              </w:rPr>
              <w:t>。</w:t>
            </w:r>
          </w:p>
        </w:tc>
      </w:tr>
      <w:tr w14:paraId="31A87B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6" w:type="dxa"/>
            <w:vMerge w:val="continue"/>
            <w:tcBorders>
              <w:tl2br w:val="nil"/>
              <w:tr2bl w:val="nil"/>
            </w:tcBorders>
            <w:noWrap/>
            <w:vAlign w:val="center"/>
          </w:tcPr>
          <w:p w14:paraId="7E649596">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743FDA1E">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45870E24">
            <w:pPr>
              <w:autoSpaceDE w:val="0"/>
              <w:autoSpaceDN w:val="0"/>
              <w:adjustRightInd w:val="0"/>
              <w:spacing w:line="360" w:lineRule="auto"/>
              <w:jc w:val="center"/>
              <w:rPr>
                <w:rFonts w:ascii="Times New Roman" w:hAnsi="Times New Roman" w:eastAsia="宋体" w:cs="Times New Roman"/>
                <w:color w:val="auto"/>
                <w:kern w:val="2"/>
                <w:sz w:val="24"/>
                <w:szCs w:val="24"/>
                <w:highlight w:val="none"/>
                <w:lang w:val="en-US" w:eastAsia="zh-CN" w:bidi="ar-SA"/>
              </w:rPr>
            </w:pPr>
            <w:r>
              <w:rPr>
                <w:rFonts w:hint="eastAsia"/>
                <w:color w:val="auto"/>
                <w:kern w:val="2"/>
                <w:sz w:val="24"/>
                <w:szCs w:val="24"/>
                <w:highlight w:val="none"/>
                <w:lang w:val="en-US" w:eastAsia="zh-CN" w:bidi="ar-SA"/>
              </w:rPr>
              <w:t>培训方案及保障措施</w:t>
            </w:r>
          </w:p>
        </w:tc>
        <w:tc>
          <w:tcPr>
            <w:tcW w:w="818" w:type="dxa"/>
            <w:tcBorders>
              <w:tl2br w:val="nil"/>
              <w:tr2bl w:val="nil"/>
            </w:tcBorders>
            <w:shd w:val="clear" w:color="auto" w:fill="auto"/>
            <w:noWrap/>
            <w:vAlign w:val="center"/>
          </w:tcPr>
          <w:p w14:paraId="71D79F33">
            <w:pPr>
              <w:autoSpaceDE w:val="0"/>
              <w:autoSpaceDN w:val="0"/>
              <w:adjustRightInd w:val="0"/>
              <w:spacing w:line="360" w:lineRule="auto"/>
              <w:jc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6分</w:t>
            </w:r>
          </w:p>
        </w:tc>
        <w:tc>
          <w:tcPr>
            <w:tcW w:w="5904" w:type="dxa"/>
            <w:tcBorders>
              <w:tl2br w:val="nil"/>
              <w:tr2bl w:val="nil"/>
            </w:tcBorders>
            <w:shd w:val="clear" w:color="auto" w:fill="auto"/>
            <w:noWrap/>
            <w:vAlign w:val="center"/>
          </w:tcPr>
          <w:p w14:paraId="281D9DFD">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包括但不限于：（1）培训大纲与计划；（2）培训深度、保障措施</w:t>
            </w:r>
            <w:r>
              <w:rPr>
                <w:rFonts w:hint="eastAsia" w:cs="Times New Roman"/>
                <w:b/>
                <w:bCs/>
                <w:color w:val="auto"/>
                <w:sz w:val="24"/>
                <w:szCs w:val="24"/>
                <w:highlight w:val="none"/>
                <w:lang w:val="en-US" w:eastAsia="zh-CN"/>
              </w:rPr>
              <w:t>；（3）根据培训方案内容实际履行的承诺</w:t>
            </w:r>
            <w:r>
              <w:rPr>
                <w:rFonts w:hint="eastAsia" w:ascii="Times New Roman" w:hAnsi="Times New Roman" w:eastAsia="宋体" w:cs="Times New Roman"/>
                <w:b/>
                <w:bCs/>
                <w:color w:val="auto"/>
                <w:sz w:val="24"/>
                <w:szCs w:val="24"/>
                <w:highlight w:val="none"/>
                <w:lang w:val="en-US" w:eastAsia="zh-CN"/>
              </w:rPr>
              <w:t>等。</w:t>
            </w:r>
          </w:p>
          <w:p w14:paraId="422E630E">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以上三项，每项2分。</w:t>
            </w:r>
          </w:p>
          <w:p w14:paraId="7C09CDFE">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三项内容完整、表述清楚、针对本项目的背景、现状完全贴合项目需求的得满分6分，方案中每有一项内容要素存在缺失的扣2分，方案内容要素中每存在一处缺陷的扣1分，单项内容要素扣减分值不超过2分，扣完为止。</w:t>
            </w:r>
          </w:p>
          <w:p w14:paraId="389B916A">
            <w:pPr>
              <w:autoSpaceDE w:val="0"/>
              <w:autoSpaceDN w:val="0"/>
              <w:adjustRightInd w:val="0"/>
              <w:spacing w:line="360" w:lineRule="auto"/>
              <w:jc w:val="both"/>
              <w:rPr>
                <w:rFonts w:hint="eastAsia" w:ascii="宋体" w:hAnsi="宋体" w:eastAsia="宋体" w:cs="宋体"/>
                <w:color w:val="auto"/>
                <w:kern w:val="2"/>
                <w:sz w:val="24"/>
                <w:szCs w:val="24"/>
                <w:highlight w:val="none"/>
                <w:lang w:val="en-US" w:eastAsia="zh-CN" w:bidi="ar-SA"/>
              </w:rPr>
            </w:pPr>
            <w:r>
              <w:rPr>
                <w:rFonts w:hint="eastAsia"/>
                <w:b/>
                <w:bCs/>
                <w:color w:val="auto"/>
                <w:sz w:val="24"/>
                <w:szCs w:val="24"/>
                <w:highlight w:val="none"/>
                <w:lang w:val="en-US" w:eastAsia="zh-CN"/>
              </w:rPr>
              <w:t>注：</w:t>
            </w:r>
            <w:r>
              <w:rPr>
                <w:rFonts w:hint="eastAsia"/>
                <w:color w:val="auto"/>
                <w:sz w:val="24"/>
                <w:szCs w:val="24"/>
                <w:highlight w:val="none"/>
                <w:lang w:val="en-US" w:eastAsia="zh-CN"/>
              </w:rPr>
              <w:t>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color w:val="auto"/>
                <w:sz w:val="24"/>
                <w:szCs w:val="24"/>
                <w:highlight w:val="none"/>
              </w:rPr>
              <w:t>。</w:t>
            </w:r>
          </w:p>
        </w:tc>
      </w:tr>
      <w:tr w14:paraId="2DC1AD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66" w:type="dxa"/>
            <w:vMerge w:val="continue"/>
            <w:tcBorders>
              <w:tl2br w:val="nil"/>
              <w:tr2bl w:val="nil"/>
            </w:tcBorders>
            <w:noWrap/>
            <w:vAlign w:val="center"/>
          </w:tcPr>
          <w:p w14:paraId="7F026445">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3819BE22">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09EEE73B">
            <w:pPr>
              <w:spacing w:line="32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售后服务方案</w:t>
            </w:r>
          </w:p>
        </w:tc>
        <w:tc>
          <w:tcPr>
            <w:tcW w:w="818" w:type="dxa"/>
            <w:tcBorders>
              <w:tl2br w:val="nil"/>
              <w:tr2bl w:val="nil"/>
            </w:tcBorders>
            <w:shd w:val="clear" w:color="auto" w:fill="auto"/>
            <w:noWrap/>
            <w:vAlign w:val="center"/>
          </w:tcPr>
          <w:p w14:paraId="7D6367E8">
            <w:pPr>
              <w:spacing w:line="320" w:lineRule="exact"/>
              <w:jc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color w:val="auto"/>
                <w:kern w:val="2"/>
                <w:sz w:val="24"/>
                <w:szCs w:val="24"/>
                <w:highlight w:val="none"/>
                <w:lang w:val="en-US" w:eastAsia="zh-CN" w:bidi="ar-SA"/>
              </w:rPr>
              <w:t>12</w:t>
            </w:r>
            <w:r>
              <w:rPr>
                <w:rFonts w:hint="eastAsia" w:ascii="宋体" w:hAnsi="宋体" w:eastAsia="宋体" w:cs="宋体"/>
                <w:color w:val="auto"/>
                <w:kern w:val="2"/>
                <w:sz w:val="24"/>
                <w:szCs w:val="24"/>
                <w:highlight w:val="none"/>
                <w:lang w:val="en-US" w:eastAsia="zh-CN" w:bidi="ar-SA"/>
              </w:rPr>
              <w:t>分</w:t>
            </w:r>
          </w:p>
        </w:tc>
        <w:tc>
          <w:tcPr>
            <w:tcW w:w="5904" w:type="dxa"/>
            <w:tcBorders>
              <w:tl2br w:val="nil"/>
              <w:tr2bl w:val="nil"/>
            </w:tcBorders>
            <w:shd w:val="clear" w:color="auto" w:fill="auto"/>
            <w:noWrap/>
            <w:vAlign w:val="center"/>
          </w:tcPr>
          <w:p w14:paraId="48BA3A00">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包括但不限于：（1）售后服务工作内容与保障措施；</w:t>
            </w:r>
          </w:p>
          <w:p w14:paraId="44F01048">
            <w:pPr>
              <w:autoSpaceDE w:val="0"/>
              <w:autoSpaceDN w:val="0"/>
              <w:adjustRightInd w:val="0"/>
              <w:spacing w:line="360" w:lineRule="auto"/>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（2）售后技术支持及证明材料；（3）应急保障措施；（4）售后服务响应承诺等</w:t>
            </w:r>
            <w:r>
              <w:rPr>
                <w:rFonts w:hint="eastAsia" w:cs="Times New Roman"/>
                <w:b/>
                <w:bCs/>
                <w:color w:val="auto"/>
                <w:sz w:val="24"/>
                <w:szCs w:val="24"/>
                <w:highlight w:val="none"/>
                <w:lang w:val="en-US" w:eastAsia="zh-CN"/>
              </w:rPr>
              <w:t>。</w:t>
            </w:r>
          </w:p>
          <w:p w14:paraId="07F31298">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以上四项，每项3分。</w:t>
            </w:r>
          </w:p>
          <w:p w14:paraId="66400059">
            <w:pPr>
              <w:autoSpaceDE w:val="0"/>
              <w:autoSpaceDN w:val="0"/>
              <w:adjustRightInd w:val="0"/>
              <w:spacing w:line="36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以上四项内容完整、表述清楚、针对本项目的背景、现状完全贴合项目需求的得满分12分，方案中每有一项内容要素存在缺失的扣3分，方案内容要素中每存在一处缺陷的扣1分，单项内容要素扣减分值不超过3分，扣完为止。</w:t>
            </w:r>
          </w:p>
          <w:p w14:paraId="2B9BA45A">
            <w:pPr>
              <w:autoSpaceDE w:val="0"/>
              <w:autoSpaceDN w:val="0"/>
              <w:adjustRightInd w:val="0"/>
              <w:spacing w:line="360" w:lineRule="auto"/>
              <w:jc w:val="both"/>
              <w:rPr>
                <w:rFonts w:hint="eastAsia" w:ascii="宋体" w:hAnsi="宋体" w:eastAsia="宋体" w:cs="宋体"/>
                <w:color w:val="auto"/>
                <w:kern w:val="2"/>
                <w:sz w:val="24"/>
                <w:szCs w:val="24"/>
                <w:highlight w:val="none"/>
                <w:lang w:val="en-US" w:eastAsia="zh-CN" w:bidi="ar-SA"/>
              </w:rPr>
            </w:pPr>
            <w:r>
              <w:rPr>
                <w:rFonts w:hint="eastAsia"/>
                <w:b/>
                <w:bCs/>
                <w:color w:val="auto"/>
                <w:sz w:val="24"/>
                <w:szCs w:val="24"/>
                <w:highlight w:val="none"/>
                <w:lang w:val="en-US" w:eastAsia="zh-CN"/>
              </w:rPr>
              <w:t>注：</w:t>
            </w:r>
            <w:r>
              <w:rPr>
                <w:rFonts w:hint="eastAsia"/>
                <w:color w:val="auto"/>
                <w:sz w:val="24"/>
                <w:szCs w:val="24"/>
                <w:highlight w:val="none"/>
                <w:lang w:val="en-US" w:eastAsia="zh-CN"/>
              </w:rPr>
              <w:t>以上涉及到的描述缺陷是指：内容生搬硬造、阐述存在逻辑错误、承诺内容不满足采购需求、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color w:val="auto"/>
                <w:sz w:val="24"/>
                <w:szCs w:val="24"/>
                <w:highlight w:val="none"/>
              </w:rPr>
              <w:t>。</w:t>
            </w:r>
          </w:p>
        </w:tc>
      </w:tr>
      <w:tr w14:paraId="4980C4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66" w:type="dxa"/>
            <w:vMerge w:val="continue"/>
            <w:tcBorders>
              <w:tl2br w:val="nil"/>
              <w:tr2bl w:val="nil"/>
            </w:tcBorders>
            <w:noWrap/>
            <w:vAlign w:val="center"/>
          </w:tcPr>
          <w:p w14:paraId="0278DCF6">
            <w:pPr>
              <w:autoSpaceDE w:val="0"/>
              <w:autoSpaceDN w:val="0"/>
              <w:adjustRightInd w:val="0"/>
              <w:spacing w:line="360" w:lineRule="auto"/>
              <w:jc w:val="center"/>
              <w:rPr>
                <w:rFonts w:ascii="宋体" w:hAnsi="宋体" w:cs="宋体"/>
                <w:color w:val="auto"/>
                <w:sz w:val="24"/>
                <w:highlight w:val="none"/>
              </w:rPr>
            </w:pPr>
          </w:p>
        </w:tc>
        <w:tc>
          <w:tcPr>
            <w:tcW w:w="1180" w:type="dxa"/>
            <w:vMerge w:val="continue"/>
            <w:tcBorders>
              <w:tl2br w:val="nil"/>
              <w:tr2bl w:val="nil"/>
            </w:tcBorders>
            <w:noWrap/>
            <w:vAlign w:val="center"/>
          </w:tcPr>
          <w:p w14:paraId="0A6D7E29">
            <w:pPr>
              <w:autoSpaceDE w:val="0"/>
              <w:autoSpaceDN w:val="0"/>
              <w:adjustRightInd w:val="0"/>
              <w:spacing w:line="360" w:lineRule="auto"/>
              <w:jc w:val="center"/>
              <w:rPr>
                <w:rFonts w:ascii="宋体" w:hAnsi="宋体" w:cs="宋体"/>
                <w:color w:val="auto"/>
                <w:sz w:val="24"/>
                <w:highlight w:val="none"/>
              </w:rPr>
            </w:pPr>
          </w:p>
        </w:tc>
        <w:tc>
          <w:tcPr>
            <w:tcW w:w="948" w:type="dxa"/>
            <w:tcBorders>
              <w:tl2br w:val="nil"/>
              <w:tr2bl w:val="nil"/>
            </w:tcBorders>
            <w:shd w:val="clear" w:color="auto" w:fill="auto"/>
            <w:noWrap/>
            <w:vAlign w:val="center"/>
          </w:tcPr>
          <w:p w14:paraId="24692BF5">
            <w:pPr>
              <w:spacing w:line="32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样品评审</w:t>
            </w:r>
          </w:p>
        </w:tc>
        <w:tc>
          <w:tcPr>
            <w:tcW w:w="818" w:type="dxa"/>
            <w:tcBorders>
              <w:tl2br w:val="nil"/>
              <w:tr2bl w:val="nil"/>
            </w:tcBorders>
            <w:shd w:val="clear" w:color="auto" w:fill="auto"/>
            <w:noWrap/>
            <w:vAlign w:val="center"/>
          </w:tcPr>
          <w:p w14:paraId="49BC32CC">
            <w:pPr>
              <w:spacing w:line="320" w:lineRule="exact"/>
              <w:jc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5分</w:t>
            </w:r>
          </w:p>
        </w:tc>
        <w:tc>
          <w:tcPr>
            <w:tcW w:w="5904" w:type="dxa"/>
            <w:tcBorders>
              <w:tl2br w:val="nil"/>
              <w:tr2bl w:val="nil"/>
            </w:tcBorders>
            <w:shd w:val="clear" w:color="auto" w:fill="auto"/>
            <w:noWrap/>
            <w:vAlign w:val="center"/>
          </w:tcPr>
          <w:p w14:paraId="3E2E63AD">
            <w:pPr>
              <w:autoSpaceDE w:val="0"/>
              <w:autoSpaceDN w:val="0"/>
              <w:adjustRightInd w:val="0"/>
              <w:spacing w:line="360" w:lineRule="auto"/>
              <w:jc w:val="both"/>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评审样品：快反装备包</w:t>
            </w:r>
          </w:p>
          <w:p w14:paraId="77120C8E">
            <w:pPr>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（1）投标样品材质</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性能</w:t>
            </w:r>
            <w:r>
              <w:rPr>
                <w:rFonts w:hint="default" w:ascii="宋体" w:hAnsi="宋体" w:eastAsia="宋体" w:cs="宋体"/>
                <w:b w:val="0"/>
                <w:bCs w:val="0"/>
                <w:color w:val="auto"/>
                <w:sz w:val="24"/>
                <w:szCs w:val="24"/>
                <w:highlight w:val="none"/>
                <w:lang w:val="en-US" w:eastAsia="zh-CN"/>
              </w:rPr>
              <w:t>要求、质量</w:t>
            </w:r>
            <w:r>
              <w:rPr>
                <w:rFonts w:hint="eastAsia" w:ascii="宋体" w:hAnsi="宋体" w:eastAsia="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安全性能、设计</w:t>
            </w:r>
            <w:r>
              <w:rPr>
                <w:rFonts w:hint="eastAsia" w:ascii="宋体" w:hAnsi="宋体" w:eastAsia="宋体" w:cs="宋体"/>
                <w:b w:val="0"/>
                <w:bCs w:val="0"/>
                <w:color w:val="auto"/>
                <w:sz w:val="24"/>
                <w:szCs w:val="24"/>
                <w:highlight w:val="none"/>
                <w:lang w:val="en-US" w:eastAsia="zh-CN"/>
              </w:rPr>
              <w:t>理念完全</w:t>
            </w:r>
            <w:r>
              <w:rPr>
                <w:rFonts w:hint="default" w:ascii="宋体" w:hAnsi="宋体" w:eastAsia="宋体" w:cs="宋体"/>
                <w:b w:val="0"/>
                <w:bCs w:val="0"/>
                <w:color w:val="auto"/>
                <w:sz w:val="24"/>
                <w:szCs w:val="24"/>
                <w:highlight w:val="none"/>
                <w:lang w:val="en-US" w:eastAsia="zh-CN"/>
              </w:rPr>
              <w:t>满足</w:t>
            </w:r>
            <w:r>
              <w:rPr>
                <w:rFonts w:hint="eastAsia" w:ascii="宋体" w:hAnsi="宋体" w:eastAsia="宋体" w:cs="宋体"/>
                <w:b w:val="0"/>
                <w:bCs w:val="0"/>
                <w:color w:val="auto"/>
                <w:sz w:val="24"/>
                <w:szCs w:val="24"/>
                <w:highlight w:val="none"/>
                <w:lang w:val="en-US" w:eastAsia="zh-CN"/>
              </w:rPr>
              <w:t>采购</w:t>
            </w:r>
            <w:r>
              <w:rPr>
                <w:rFonts w:hint="default" w:ascii="宋体" w:hAnsi="宋体" w:eastAsia="宋体" w:cs="宋体"/>
                <w:b w:val="0"/>
                <w:bCs w:val="0"/>
                <w:color w:val="auto"/>
                <w:sz w:val="24"/>
                <w:szCs w:val="24"/>
                <w:highlight w:val="none"/>
                <w:lang w:val="en-US" w:eastAsia="zh-CN"/>
              </w:rPr>
              <w:t>文件要求的，得</w:t>
            </w:r>
            <w:r>
              <w:rPr>
                <w:rFonts w:hint="eastAsia" w:ascii="宋体" w:hAnsi="宋体" w:eastAsia="宋体" w:cs="宋体"/>
                <w:b w:val="0"/>
                <w:bCs w:val="0"/>
                <w:color w:val="auto"/>
                <w:sz w:val="24"/>
                <w:szCs w:val="24"/>
                <w:highlight w:val="none"/>
                <w:lang w:val="en-US" w:eastAsia="zh-CN"/>
              </w:rPr>
              <w:t>5</w:t>
            </w:r>
            <w:r>
              <w:rPr>
                <w:rFonts w:hint="default" w:ascii="宋体" w:hAnsi="宋体" w:eastAsia="宋体" w:cs="宋体"/>
                <w:b w:val="0"/>
                <w:bCs w:val="0"/>
                <w:color w:val="auto"/>
                <w:sz w:val="24"/>
                <w:szCs w:val="24"/>
                <w:highlight w:val="none"/>
                <w:lang w:val="en-US" w:eastAsia="zh-CN"/>
              </w:rPr>
              <w:t>分。</w:t>
            </w:r>
          </w:p>
          <w:p w14:paraId="2DFD4C77">
            <w:pPr>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（2）投标样品材质</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性能</w:t>
            </w:r>
            <w:r>
              <w:rPr>
                <w:rFonts w:hint="default" w:ascii="宋体" w:hAnsi="宋体" w:eastAsia="宋体" w:cs="宋体"/>
                <w:b w:val="0"/>
                <w:bCs w:val="0"/>
                <w:color w:val="auto"/>
                <w:sz w:val="24"/>
                <w:szCs w:val="24"/>
                <w:highlight w:val="none"/>
                <w:lang w:val="en-US" w:eastAsia="zh-CN"/>
              </w:rPr>
              <w:t>要求、质量</w:t>
            </w:r>
            <w:r>
              <w:rPr>
                <w:rFonts w:hint="eastAsia" w:ascii="宋体" w:hAnsi="宋体" w:eastAsia="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安全性能、设计</w:t>
            </w:r>
            <w:r>
              <w:rPr>
                <w:rFonts w:hint="eastAsia" w:ascii="宋体" w:hAnsi="宋体" w:eastAsia="宋体" w:cs="宋体"/>
                <w:b w:val="0"/>
                <w:bCs w:val="0"/>
                <w:color w:val="auto"/>
                <w:sz w:val="24"/>
                <w:szCs w:val="24"/>
                <w:highlight w:val="none"/>
                <w:lang w:val="en-US" w:eastAsia="zh-CN"/>
              </w:rPr>
              <w:t>理念</w:t>
            </w:r>
            <w:r>
              <w:rPr>
                <w:rFonts w:hint="eastAsia" w:ascii="宋体" w:hAnsi="宋体" w:cs="宋体"/>
                <w:b w:val="0"/>
                <w:bCs w:val="0"/>
                <w:color w:val="auto"/>
                <w:sz w:val="24"/>
                <w:szCs w:val="24"/>
                <w:highlight w:val="none"/>
                <w:lang w:val="en-US" w:eastAsia="zh-CN"/>
              </w:rPr>
              <w:t>部分</w:t>
            </w:r>
            <w:r>
              <w:rPr>
                <w:rFonts w:hint="default" w:ascii="宋体" w:hAnsi="宋体" w:eastAsia="宋体" w:cs="宋体"/>
                <w:b w:val="0"/>
                <w:bCs w:val="0"/>
                <w:color w:val="auto"/>
                <w:sz w:val="24"/>
                <w:szCs w:val="24"/>
                <w:highlight w:val="none"/>
                <w:lang w:val="en-US" w:eastAsia="zh-CN"/>
              </w:rPr>
              <w:t>满足</w:t>
            </w:r>
            <w:r>
              <w:rPr>
                <w:rFonts w:hint="eastAsia" w:ascii="宋体" w:hAnsi="宋体" w:eastAsia="宋体" w:cs="宋体"/>
                <w:b w:val="0"/>
                <w:bCs w:val="0"/>
                <w:color w:val="auto"/>
                <w:sz w:val="24"/>
                <w:szCs w:val="24"/>
                <w:highlight w:val="none"/>
                <w:lang w:val="en-US" w:eastAsia="zh-CN"/>
              </w:rPr>
              <w:t>采购</w:t>
            </w:r>
            <w:r>
              <w:rPr>
                <w:rFonts w:hint="default" w:ascii="宋体" w:hAnsi="宋体" w:eastAsia="宋体" w:cs="宋体"/>
                <w:b w:val="0"/>
                <w:bCs w:val="0"/>
                <w:color w:val="auto"/>
                <w:sz w:val="24"/>
                <w:szCs w:val="24"/>
                <w:highlight w:val="none"/>
                <w:lang w:val="en-US" w:eastAsia="zh-CN"/>
              </w:rPr>
              <w:t>文件</w:t>
            </w:r>
            <w:r>
              <w:rPr>
                <w:rFonts w:hint="eastAsia" w:ascii="宋体" w:hAnsi="宋体" w:eastAsia="宋体" w:cs="宋体"/>
                <w:b w:val="0"/>
                <w:bCs w:val="0"/>
                <w:color w:val="auto"/>
                <w:sz w:val="24"/>
                <w:szCs w:val="24"/>
                <w:highlight w:val="none"/>
                <w:lang w:val="en-US" w:eastAsia="zh-CN"/>
              </w:rPr>
              <w:t>要求</w:t>
            </w:r>
            <w:r>
              <w:rPr>
                <w:rFonts w:hint="default" w:ascii="宋体" w:hAnsi="宋体" w:eastAsia="宋体" w:cs="宋体"/>
                <w:b w:val="0"/>
                <w:bCs w:val="0"/>
                <w:color w:val="auto"/>
                <w:sz w:val="24"/>
                <w:szCs w:val="24"/>
                <w:highlight w:val="none"/>
                <w:lang w:val="en-US" w:eastAsia="zh-CN"/>
              </w:rPr>
              <w:t>的，得</w:t>
            </w:r>
            <w:r>
              <w:rPr>
                <w:rFonts w:hint="eastAsia" w:ascii="宋体" w:hAnsi="宋体" w:cs="宋体"/>
                <w:b w:val="0"/>
                <w:bCs w:val="0"/>
                <w:color w:val="auto"/>
                <w:sz w:val="24"/>
                <w:szCs w:val="24"/>
                <w:highlight w:val="none"/>
                <w:lang w:val="en-US" w:eastAsia="zh-CN"/>
              </w:rPr>
              <w:t>3</w:t>
            </w:r>
            <w:r>
              <w:rPr>
                <w:rFonts w:hint="default" w:ascii="宋体" w:hAnsi="宋体" w:eastAsia="宋体" w:cs="宋体"/>
                <w:b w:val="0"/>
                <w:bCs w:val="0"/>
                <w:color w:val="auto"/>
                <w:sz w:val="24"/>
                <w:szCs w:val="24"/>
                <w:highlight w:val="none"/>
                <w:lang w:val="en-US" w:eastAsia="zh-CN"/>
              </w:rPr>
              <w:t>分。</w:t>
            </w:r>
          </w:p>
          <w:p w14:paraId="2F590751">
            <w:pPr>
              <w:spacing w:line="360" w:lineRule="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rPr>
              <w:t>（3）投标样品材质</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性能</w:t>
            </w:r>
            <w:r>
              <w:rPr>
                <w:rFonts w:hint="default" w:ascii="宋体" w:hAnsi="宋体" w:eastAsia="宋体" w:cs="宋体"/>
                <w:b w:val="0"/>
                <w:bCs w:val="0"/>
                <w:color w:val="auto"/>
                <w:sz w:val="24"/>
                <w:szCs w:val="24"/>
                <w:highlight w:val="none"/>
                <w:lang w:val="en-US" w:eastAsia="zh-CN"/>
              </w:rPr>
              <w:t>要求、质量</w:t>
            </w:r>
            <w:r>
              <w:rPr>
                <w:rFonts w:hint="eastAsia" w:ascii="宋体" w:hAnsi="宋体" w:eastAsia="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安全性能、设计</w:t>
            </w:r>
            <w:r>
              <w:rPr>
                <w:rFonts w:hint="eastAsia" w:ascii="宋体" w:hAnsi="宋体" w:eastAsia="宋体" w:cs="宋体"/>
                <w:b w:val="0"/>
                <w:bCs w:val="0"/>
                <w:color w:val="auto"/>
                <w:sz w:val="24"/>
                <w:szCs w:val="24"/>
                <w:highlight w:val="none"/>
                <w:lang w:val="en-US" w:eastAsia="zh-CN"/>
              </w:rPr>
              <w:t>理念</w:t>
            </w:r>
            <w:r>
              <w:rPr>
                <w:rFonts w:hint="default" w:ascii="宋体" w:hAnsi="宋体" w:eastAsia="宋体" w:cs="宋体"/>
                <w:b w:val="0"/>
                <w:bCs w:val="0"/>
                <w:color w:val="auto"/>
                <w:sz w:val="24"/>
                <w:szCs w:val="24"/>
                <w:highlight w:val="none"/>
                <w:lang w:val="en-US" w:eastAsia="zh-CN"/>
              </w:rPr>
              <w:t>不能满足</w:t>
            </w:r>
            <w:r>
              <w:rPr>
                <w:rFonts w:hint="eastAsia" w:ascii="宋体" w:hAnsi="宋体" w:eastAsia="宋体" w:cs="宋体"/>
                <w:b w:val="0"/>
                <w:bCs w:val="0"/>
                <w:color w:val="auto"/>
                <w:sz w:val="24"/>
                <w:szCs w:val="24"/>
                <w:highlight w:val="none"/>
                <w:lang w:val="en-US" w:eastAsia="zh-CN"/>
              </w:rPr>
              <w:t>采购</w:t>
            </w:r>
            <w:r>
              <w:rPr>
                <w:rFonts w:hint="default" w:ascii="宋体" w:hAnsi="宋体" w:eastAsia="宋体" w:cs="宋体"/>
                <w:b w:val="0"/>
                <w:bCs w:val="0"/>
                <w:color w:val="auto"/>
                <w:sz w:val="24"/>
                <w:szCs w:val="24"/>
                <w:highlight w:val="none"/>
                <w:lang w:val="en-US" w:eastAsia="zh-CN"/>
              </w:rPr>
              <w:t>文件要求的，得</w:t>
            </w:r>
            <w:r>
              <w:rPr>
                <w:rFonts w:hint="eastAsia" w:ascii="宋体" w:hAnsi="宋体" w:cs="宋体"/>
                <w:b w:val="0"/>
                <w:bCs w:val="0"/>
                <w:color w:val="auto"/>
                <w:sz w:val="24"/>
                <w:szCs w:val="24"/>
                <w:highlight w:val="none"/>
                <w:lang w:val="en-US" w:eastAsia="zh-CN"/>
              </w:rPr>
              <w:t>1</w:t>
            </w:r>
            <w:r>
              <w:rPr>
                <w:rFonts w:hint="default" w:ascii="宋体" w:hAnsi="宋体" w:eastAsia="宋体" w:cs="宋体"/>
                <w:b w:val="0"/>
                <w:bCs w:val="0"/>
                <w:color w:val="auto"/>
                <w:sz w:val="24"/>
                <w:szCs w:val="24"/>
                <w:highlight w:val="none"/>
                <w:lang w:val="en-US" w:eastAsia="zh-CN"/>
              </w:rPr>
              <w:t>分。</w:t>
            </w:r>
          </w:p>
        </w:tc>
      </w:tr>
      <w:tr w14:paraId="680BD8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716" w:type="dxa"/>
            <w:gridSpan w:val="5"/>
            <w:tcBorders>
              <w:tl2br w:val="nil"/>
              <w:tr2bl w:val="nil"/>
            </w:tcBorders>
            <w:noWrap/>
            <w:vAlign w:val="center"/>
          </w:tcPr>
          <w:p w14:paraId="0C98F397">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其中：</w:t>
            </w:r>
          </w:p>
          <w:p w14:paraId="3E38D84D">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完整：方案必须完整，对招标文件中的各项要求有详细描述；</w:t>
            </w:r>
          </w:p>
          <w:p w14:paraId="7AF596F7">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合理：方案提出的方法和标准应该符合本项目特点；</w:t>
            </w:r>
          </w:p>
          <w:p w14:paraId="6FCC3321">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可行：方案提出的目标及内容在所要求的服务范围内实际可操作；</w:t>
            </w:r>
          </w:p>
          <w:p w14:paraId="22E52004">
            <w:pPr>
              <w:autoSpaceDE w:val="0"/>
              <w:autoSpaceDN w:val="0"/>
              <w:adjustRightInd w:val="0"/>
              <w:spacing w:line="360" w:lineRule="auto"/>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操作性：是指针对本项目具备可实施的特性；</w:t>
            </w:r>
          </w:p>
          <w:p w14:paraId="5B606015">
            <w:pPr>
              <w:autoSpaceDE w:val="0"/>
              <w:autoSpaceDN w:val="0"/>
              <w:adjustRightInd w:val="0"/>
              <w:spacing w:line="360" w:lineRule="auto"/>
              <w:jc w:val="both"/>
              <w:rPr>
                <w:rFonts w:hint="eastAsia"/>
                <w:b/>
                <w:bCs/>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针对性：</w:t>
            </w:r>
            <w:r>
              <w:rPr>
                <w:rFonts w:hint="eastAsia" w:ascii="宋体" w:hAnsi="宋体" w:cs="宋体"/>
                <w:b w:val="0"/>
                <w:bCs w:val="0"/>
                <w:color w:val="auto"/>
                <w:sz w:val="24"/>
                <w:szCs w:val="24"/>
                <w:highlight w:val="none"/>
                <w:vertAlign w:val="baseline"/>
                <w:lang w:val="en-US" w:eastAsia="zh-CN"/>
              </w:rPr>
              <w:t>是</w:t>
            </w:r>
            <w:r>
              <w:rPr>
                <w:rFonts w:hint="eastAsia" w:ascii="宋体" w:hAnsi="宋体" w:eastAsia="宋体" w:cs="宋体"/>
                <w:b w:val="0"/>
                <w:bCs w:val="0"/>
                <w:color w:val="auto"/>
                <w:sz w:val="24"/>
                <w:szCs w:val="24"/>
                <w:highlight w:val="none"/>
                <w:vertAlign w:val="baseline"/>
                <w:lang w:val="en-US" w:eastAsia="zh-CN"/>
              </w:rPr>
              <w:t>指方案提出的方法完全适用于本项目。</w:t>
            </w:r>
          </w:p>
        </w:tc>
      </w:tr>
    </w:tbl>
    <w:p w14:paraId="39EF41D6">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（五）统计评标结果</w:t>
      </w:r>
    </w:p>
    <w:p w14:paraId="4A10538D">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xml:space="preserve">1.评委应首先对各投标人投标文件进行评审，写出书面意见并按招标文件规定分值评分，各分档评分中间不得用插入法评分。 </w:t>
      </w:r>
    </w:p>
    <w:p w14:paraId="3193D8A8">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xml:space="preserve">2.除投标价格得分外，其余部分由各评委自主评分并签字确认。 </w:t>
      </w:r>
    </w:p>
    <w:p w14:paraId="245EE14E">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3.统分原则：计算评委打分的算术平均值为投标人的该项评分因素的得分，投标报价得分除外</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保留小数点后两位</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 xml:space="preserve">。 </w:t>
      </w:r>
    </w:p>
    <w:p w14:paraId="2EF54A6F">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xml:space="preserve">4.得分汇总：各项评分因素得分的总和即为投标人最后得分。 </w:t>
      </w:r>
    </w:p>
    <w:p w14:paraId="7110DDC8">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5.经评标委员会认定评分畸高、畸低的，评标委员会应当当场修改评标结果，并在评标报告中记载。</w:t>
      </w:r>
    </w:p>
    <w:p w14:paraId="7848C552">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（六）编写评标报告</w:t>
      </w:r>
    </w:p>
    <w:p w14:paraId="1BBE60CE">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9217B83">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政采云系统根据</w:t>
      </w:r>
      <w:r>
        <w:rPr>
          <w:rFonts w:hint="eastAsia" w:ascii="宋体" w:hAnsi="宋体" w:cs="宋体"/>
          <w:color w:val="auto"/>
          <w:sz w:val="24"/>
          <w:szCs w:val="28"/>
          <w:highlight w:val="none"/>
        </w:rPr>
        <w:t>评标委员会评标记录和评标结果</w:t>
      </w:r>
      <w:r>
        <w:rPr>
          <w:rFonts w:hint="eastAsia" w:ascii="宋体" w:hAnsi="宋体" w:cs="宋体"/>
          <w:color w:val="auto"/>
          <w:sz w:val="24"/>
          <w:szCs w:val="28"/>
          <w:highlight w:val="none"/>
          <w:lang w:val="en-US" w:eastAsia="zh-CN"/>
        </w:rPr>
        <w:t>自动生成</w:t>
      </w:r>
      <w:r>
        <w:rPr>
          <w:rFonts w:hint="eastAsia" w:ascii="宋体" w:hAnsi="宋体" w:cs="宋体"/>
          <w:color w:val="auto"/>
          <w:sz w:val="24"/>
          <w:szCs w:val="28"/>
          <w:highlight w:val="none"/>
        </w:rPr>
        <w:t>评标报告。评标报告应当包括以下内容：</w:t>
      </w:r>
    </w:p>
    <w:p w14:paraId="499532B6">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一</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招标公告刊登的媒体名称、开标日期和地点；</w:t>
      </w:r>
    </w:p>
    <w:p w14:paraId="0859278F">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二</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投标人名单和评标委员会成员名单；</w:t>
      </w:r>
    </w:p>
    <w:p w14:paraId="7D419D05">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三</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评标方法和标准；</w:t>
      </w:r>
    </w:p>
    <w:p w14:paraId="0028C049">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四</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开标记录和评标情况及说明，包括无效投标人名单及原因；</w:t>
      </w:r>
    </w:p>
    <w:p w14:paraId="04015230">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五</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评标结果，确定的中标候选人名单或者经采购人委托直接确定的中标人；</w:t>
      </w:r>
    </w:p>
    <w:p w14:paraId="0C11E52B">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六</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其他需要说明的情况，包括评标过程中投标人根据评标委员会要求进行的澄清、说明或者补正，评标委员会成员的更换等。</w:t>
      </w:r>
    </w:p>
    <w:p w14:paraId="7CAFF944">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　评标委员会成员对需要共同认定的事项存在争议的，应当按照少数服从多数的原则作出结论。持不同意见的评标委员会成员应当在评标报告上签署不同意见及理由，否则视为同意评标报告。</w:t>
      </w:r>
    </w:p>
    <w:p w14:paraId="484732D2">
      <w:pPr>
        <w:pStyle w:val="22"/>
        <w:spacing w:beforeLines="100" w:afterLines="50"/>
        <w:ind w:left="0" w:leftChars="0" w:firstLine="0" w:firstLineChars="0"/>
        <w:jc w:val="left"/>
        <w:rPr>
          <w:rFonts w:asciiTheme="minorEastAsia" w:hAnsi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rPr>
        <w:t>六、下列情形之一的，视为投标人串通投标，其投标无效：</w:t>
      </w:r>
    </w:p>
    <w:p w14:paraId="40948117">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1.不同投标人的投标文件由同一单位或者个人编制；</w:t>
      </w:r>
    </w:p>
    <w:p w14:paraId="3E969BC5">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2.不同投标人委托同一单位或者个人办理投标事宜；</w:t>
      </w:r>
    </w:p>
    <w:p w14:paraId="6F2102EE">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3.不同投标人的投标文件载明的项目管理成员或者联系人员为同一人；</w:t>
      </w:r>
    </w:p>
    <w:p w14:paraId="196409BE">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4.不同投标人的投标文件异常一致或者投标报价呈规律性差异；</w:t>
      </w:r>
    </w:p>
    <w:p w14:paraId="4EEE05CC">
      <w:pPr>
        <w:pStyle w:val="22"/>
        <w:spacing w:after="0" w:line="520" w:lineRule="exact"/>
        <w:ind w:left="0" w:leftChars="0" w:firstLine="480"/>
        <w:jc w:val="left"/>
        <w:rPr>
          <w:rFonts w:ascii="宋体" w:hAnsi="宋体" w:cs="宋体"/>
          <w:color w:val="auto"/>
          <w:sz w:val="24"/>
          <w:szCs w:val="28"/>
          <w:highlight w:val="none"/>
        </w:rPr>
      </w:pPr>
      <w:r>
        <w:rPr>
          <w:rFonts w:hint="eastAsia" w:ascii="宋体" w:hAnsi="宋体" w:cs="宋体"/>
          <w:color w:val="auto"/>
          <w:sz w:val="24"/>
          <w:szCs w:val="28"/>
          <w:highlight w:val="none"/>
        </w:rPr>
        <w:t>5.不同投标人的投标文件相互混装；</w:t>
      </w:r>
    </w:p>
    <w:p w14:paraId="459E6DEF">
      <w:pPr>
        <w:pStyle w:val="22"/>
        <w:spacing w:after="0" w:line="520" w:lineRule="exact"/>
        <w:ind w:left="0" w:leftChars="0" w:firstLine="480"/>
        <w:jc w:val="left"/>
        <w:rPr>
          <w:rFonts w:ascii="宋体" w:hAnsi="宋体" w:cs="宋体"/>
          <w:color w:val="auto"/>
          <w:sz w:val="24"/>
          <w:szCs w:val="28"/>
          <w:highlight w:val="none"/>
        </w:rPr>
        <w:sectPr>
          <w:footerReference r:id="rId8" w:type="first"/>
          <w:headerReference r:id="rId6" w:type="default"/>
          <w:footerReference r:id="rId7" w:type="default"/>
          <w:pgSz w:w="11905" w:h="16840"/>
          <w:pgMar w:top="1440" w:right="1083" w:bottom="1440" w:left="1083" w:header="851" w:footer="1191" w:gutter="0"/>
          <w:pgNumType w:fmt="decimal"/>
          <w:cols w:space="0" w:num="1"/>
          <w:titlePg/>
          <w:docGrid w:linePitch="312" w:charSpace="0"/>
        </w:sectPr>
      </w:pPr>
      <w:r>
        <w:rPr>
          <w:rFonts w:hint="eastAsia" w:ascii="宋体" w:hAnsi="宋体" w:cs="宋体"/>
          <w:color w:val="auto"/>
          <w:sz w:val="24"/>
          <w:szCs w:val="28"/>
          <w:highlight w:val="none"/>
        </w:rPr>
        <w:t>6.不同投标人的投标保证金从同一单位或者个人的账户转出。</w:t>
      </w:r>
    </w:p>
    <w:p w14:paraId="5BA8B4AD">
      <w:pPr>
        <w:spacing w:afterLines="100"/>
        <w:jc w:val="center"/>
        <w:rPr>
          <w:rFonts w:ascii="宋体" w:cs="宋体"/>
          <w:b/>
          <w:color w:val="auto"/>
          <w:sz w:val="44"/>
          <w:szCs w:val="44"/>
          <w:highlight w:val="none"/>
        </w:rPr>
      </w:pPr>
      <w:r>
        <w:rPr>
          <w:rFonts w:hint="eastAsia" w:ascii="宋体" w:cs="宋体"/>
          <w:b/>
          <w:color w:val="auto"/>
          <w:sz w:val="44"/>
          <w:szCs w:val="44"/>
          <w:highlight w:val="none"/>
        </w:rPr>
        <w:t>第四章 合同条款及合同书样式</w:t>
      </w:r>
    </w:p>
    <w:p w14:paraId="72E82E4D">
      <w:pPr>
        <w:jc w:val="center"/>
        <w:rPr>
          <w:rStyle w:val="27"/>
          <w:rFonts w:ascii="宋体" w:hAnsi="宋体" w:cs="宋体"/>
          <w:b/>
          <w:bCs/>
          <w:color w:val="auto"/>
          <w:sz w:val="36"/>
          <w:szCs w:val="36"/>
          <w:highlight w:val="none"/>
        </w:rPr>
      </w:pPr>
      <w:r>
        <w:rPr>
          <w:rFonts w:hint="eastAsia" w:ascii="仿宋" w:hAnsi="仿宋" w:eastAsia="仿宋" w:cs="仿宋"/>
          <w:b/>
          <w:bCs/>
          <w:color w:val="auto"/>
          <w:sz w:val="24"/>
          <w:highlight w:val="none"/>
        </w:rPr>
        <w:t>（注：此合同格式仅供参考，最终以合同洽谈时签订为准）</w:t>
      </w:r>
    </w:p>
    <w:p w14:paraId="4161B2AD">
      <w:pPr>
        <w:autoSpaceDE w:val="0"/>
        <w:autoSpaceDN w:val="0"/>
        <w:adjustRightInd w:val="0"/>
        <w:spacing w:line="300" w:lineRule="auto"/>
        <w:ind w:right="-72"/>
        <w:rPr>
          <w:rFonts w:ascii="宋体" w:hAnsi="宋体" w:cs="宋体"/>
          <w:color w:val="auto"/>
          <w:kern w:val="0"/>
          <w:sz w:val="24"/>
          <w:highlight w:val="none"/>
        </w:rPr>
      </w:pPr>
    </w:p>
    <w:p w14:paraId="50A54085">
      <w:pPr>
        <w:autoSpaceDE w:val="0"/>
        <w:autoSpaceDN w:val="0"/>
        <w:adjustRightInd w:val="0"/>
        <w:spacing w:line="300" w:lineRule="auto"/>
        <w:ind w:right="-72"/>
        <w:rPr>
          <w:rFonts w:ascii="宋体" w:hAnsi="宋体" w:cs="宋体"/>
          <w:color w:val="auto"/>
          <w:kern w:val="0"/>
          <w:sz w:val="24"/>
          <w:highlight w:val="none"/>
        </w:rPr>
      </w:pPr>
      <w:r>
        <w:rPr>
          <w:rFonts w:hint="eastAsia" w:ascii="宋体" w:hAnsi="宋体" w:cs="宋体"/>
          <w:color w:val="auto"/>
          <w:kern w:val="0"/>
          <w:sz w:val="24"/>
          <w:highlight w:val="none"/>
        </w:rPr>
        <w:t>合同编号：               合同自编号：           招标编号：</w:t>
      </w:r>
    </w:p>
    <w:p w14:paraId="1C4E7D2E">
      <w:pPr>
        <w:widowControl/>
        <w:tabs>
          <w:tab w:val="left" w:pos="1155"/>
          <w:tab w:val="left" w:pos="2865"/>
          <w:tab w:val="left" w:pos="5307"/>
          <w:tab w:val="left" w:pos="5595"/>
          <w:tab w:val="left" w:pos="6620"/>
          <w:tab w:val="left" w:pos="7940"/>
        </w:tabs>
        <w:jc w:val="left"/>
        <w:rPr>
          <w:rFonts w:ascii="宋体" w:hAnsi="宋体" w:cs="Arial"/>
          <w:b/>
          <w:color w:val="auto"/>
          <w:kern w:val="0"/>
          <w:szCs w:val="21"/>
          <w:highlight w:val="none"/>
        </w:rPr>
      </w:pPr>
    </w:p>
    <w:p w14:paraId="3F0D3C0D">
      <w:pPr>
        <w:pStyle w:val="29"/>
        <w:rPr>
          <w:color w:val="auto"/>
          <w:highlight w:val="none"/>
        </w:rPr>
      </w:pPr>
      <w:r>
        <w:rPr>
          <w:rFonts w:hint="eastAsia" w:hAnsi="宋体" w:cs="Arial"/>
          <w:b/>
          <w:color w:val="auto"/>
          <w:sz w:val="21"/>
          <w:szCs w:val="21"/>
          <w:highlight w:val="none"/>
        </w:rPr>
        <w:t>本合同须加盖甲乙双方骑缝章有效</w:t>
      </w:r>
    </w:p>
    <w:p w14:paraId="11DB3E72">
      <w:pPr>
        <w:widowControl/>
        <w:tabs>
          <w:tab w:val="left" w:pos="1155"/>
          <w:tab w:val="left" w:pos="2865"/>
          <w:tab w:val="left" w:pos="5307"/>
          <w:tab w:val="left" w:pos="5595"/>
          <w:tab w:val="left" w:pos="6620"/>
          <w:tab w:val="left" w:pos="7940"/>
        </w:tabs>
        <w:jc w:val="center"/>
        <w:rPr>
          <w:rFonts w:ascii="宋体" w:hAnsi="宋体" w:cs="Arial"/>
          <w:b/>
          <w:color w:val="auto"/>
          <w:kern w:val="0"/>
          <w:sz w:val="52"/>
          <w:szCs w:val="52"/>
          <w:highlight w:val="none"/>
        </w:rPr>
      </w:pPr>
      <w:r>
        <w:rPr>
          <w:rFonts w:hint="eastAsia" w:ascii="宋体" w:hAnsi="宋体" w:cs="Arial"/>
          <w:b/>
          <w:color w:val="auto"/>
          <w:kern w:val="0"/>
          <w:sz w:val="52"/>
          <w:szCs w:val="52"/>
          <w:highlight w:val="none"/>
        </w:rPr>
        <w:t>云南省政府采购</w:t>
      </w:r>
    </w:p>
    <w:p w14:paraId="5CE08AEA">
      <w:pPr>
        <w:widowControl/>
        <w:spacing w:line="600" w:lineRule="exact"/>
        <w:jc w:val="center"/>
        <w:rPr>
          <w:rFonts w:ascii="宋体" w:hAnsi="宋体" w:cs="Arial"/>
          <w:b/>
          <w:color w:val="auto"/>
          <w:kern w:val="0"/>
          <w:sz w:val="32"/>
          <w:szCs w:val="32"/>
          <w:highlight w:val="none"/>
        </w:rPr>
      </w:pPr>
      <w:r>
        <w:rPr>
          <w:rFonts w:hint="eastAsia" w:ascii="宋体" w:hAnsi="宋体" w:cs="Arial"/>
          <w:b/>
          <w:color w:val="auto"/>
          <w:kern w:val="0"/>
          <w:sz w:val="32"/>
          <w:szCs w:val="32"/>
          <w:highlight w:val="none"/>
          <w:lang w:eastAsia="zh-CN"/>
        </w:rPr>
        <w:t>（</w:t>
      </w:r>
      <w:r>
        <w:rPr>
          <w:rFonts w:hint="eastAsia" w:ascii="宋体" w:hAnsi="宋体" w:cs="Arial"/>
          <w:b/>
          <w:color w:val="auto"/>
          <w:kern w:val="0"/>
          <w:sz w:val="32"/>
          <w:szCs w:val="32"/>
          <w:highlight w:val="none"/>
        </w:rPr>
        <w:t>委托采购</w:t>
      </w:r>
      <w:r>
        <w:rPr>
          <w:rFonts w:hint="eastAsia" w:ascii="宋体" w:hAnsi="宋体" w:cs="Arial"/>
          <w:b/>
          <w:color w:val="auto"/>
          <w:kern w:val="0"/>
          <w:sz w:val="32"/>
          <w:szCs w:val="32"/>
          <w:highlight w:val="none"/>
          <w:lang w:eastAsia="zh-CN"/>
        </w:rPr>
        <w:t>）</w:t>
      </w:r>
    </w:p>
    <w:p w14:paraId="1F85F107">
      <w:pPr>
        <w:widowControl/>
        <w:spacing w:after="240"/>
        <w:jc w:val="center"/>
        <w:rPr>
          <w:rFonts w:ascii="宋体" w:hAnsi="宋体" w:cs="Arial"/>
          <w:color w:val="auto"/>
          <w:kern w:val="0"/>
          <w:sz w:val="24"/>
          <w:highlight w:val="none"/>
        </w:rPr>
      </w:pPr>
    </w:p>
    <w:p w14:paraId="78AA42DF">
      <w:pPr>
        <w:widowControl/>
        <w:spacing w:after="240"/>
        <w:jc w:val="center"/>
        <w:rPr>
          <w:rFonts w:ascii="宋体" w:hAnsi="宋体" w:cs="Arial"/>
          <w:color w:val="auto"/>
          <w:kern w:val="0"/>
          <w:sz w:val="84"/>
          <w:szCs w:val="84"/>
          <w:highlight w:val="none"/>
        </w:rPr>
      </w:pPr>
      <w:r>
        <w:rPr>
          <w:rFonts w:hint="eastAsia" w:ascii="宋体" w:hAnsi="宋体" w:cs="Arial"/>
          <w:color w:val="auto"/>
          <w:kern w:val="0"/>
          <w:sz w:val="24"/>
          <w:highlight w:val="none"/>
        </w:rPr>
        <w:t>（此合同模板仅供参考，具体内容</w:t>
      </w:r>
      <w:r>
        <w:rPr>
          <w:rFonts w:hint="eastAsia" w:ascii="宋体" w:hAnsi="宋体" w:cs="Arial"/>
          <w:color w:val="auto"/>
          <w:kern w:val="0"/>
          <w:sz w:val="24"/>
          <w:highlight w:val="none"/>
          <w:lang w:eastAsia="zh-CN"/>
        </w:rPr>
        <w:t>以</w:t>
      </w:r>
      <w:r>
        <w:rPr>
          <w:rFonts w:hint="eastAsia" w:ascii="宋体" w:hAnsi="宋体" w:cs="Arial"/>
          <w:color w:val="auto"/>
          <w:kern w:val="0"/>
          <w:sz w:val="24"/>
          <w:highlight w:val="none"/>
        </w:rPr>
        <w:t>实际签订合同为准）</w:t>
      </w:r>
    </w:p>
    <w:p w14:paraId="60CAD0F5">
      <w:pPr>
        <w:widowControl/>
        <w:jc w:val="center"/>
        <w:rPr>
          <w:rFonts w:ascii="宋体" w:hAnsi="宋体" w:cs="Arial"/>
          <w:b/>
          <w:color w:val="auto"/>
          <w:kern w:val="0"/>
          <w:sz w:val="84"/>
          <w:szCs w:val="84"/>
          <w:highlight w:val="none"/>
        </w:rPr>
      </w:pPr>
    </w:p>
    <w:p w14:paraId="7FE885D2">
      <w:pPr>
        <w:widowControl/>
        <w:jc w:val="center"/>
        <w:rPr>
          <w:rFonts w:ascii="宋体" w:hAnsi="宋体" w:cs="Arial"/>
          <w:b/>
          <w:color w:val="auto"/>
          <w:kern w:val="0"/>
          <w:sz w:val="84"/>
          <w:szCs w:val="84"/>
          <w:highlight w:val="none"/>
        </w:rPr>
      </w:pPr>
      <w:r>
        <w:rPr>
          <w:rFonts w:hint="eastAsia" w:ascii="宋体" w:hAnsi="宋体" w:cs="Arial"/>
          <w:b/>
          <w:color w:val="auto"/>
          <w:kern w:val="0"/>
          <w:sz w:val="84"/>
          <w:szCs w:val="84"/>
          <w:highlight w:val="none"/>
        </w:rPr>
        <w:t>合</w:t>
      </w:r>
    </w:p>
    <w:p w14:paraId="34622D4A">
      <w:pPr>
        <w:widowControl/>
        <w:jc w:val="center"/>
        <w:rPr>
          <w:rFonts w:ascii="宋体" w:hAnsi="宋体" w:cs="Arial"/>
          <w:b/>
          <w:color w:val="auto"/>
          <w:kern w:val="0"/>
          <w:sz w:val="84"/>
          <w:szCs w:val="84"/>
          <w:highlight w:val="none"/>
        </w:rPr>
      </w:pPr>
      <w:r>
        <w:rPr>
          <w:rFonts w:hint="eastAsia" w:ascii="宋体" w:hAnsi="宋体" w:cs="Arial"/>
          <w:b/>
          <w:color w:val="auto"/>
          <w:kern w:val="0"/>
          <w:sz w:val="84"/>
          <w:szCs w:val="84"/>
          <w:highlight w:val="none"/>
        </w:rPr>
        <w:t>同</w:t>
      </w:r>
    </w:p>
    <w:p w14:paraId="79288B48">
      <w:pPr>
        <w:widowControl/>
        <w:jc w:val="center"/>
        <w:rPr>
          <w:rFonts w:ascii="宋体" w:hAnsi="宋体" w:cs="Arial"/>
          <w:b/>
          <w:bCs/>
          <w:color w:val="auto"/>
          <w:kern w:val="0"/>
          <w:sz w:val="28"/>
          <w:szCs w:val="28"/>
          <w:highlight w:val="none"/>
        </w:rPr>
      </w:pPr>
      <w:r>
        <w:rPr>
          <w:rFonts w:hint="eastAsia" w:ascii="宋体" w:hAnsi="宋体" w:cs="Arial"/>
          <w:b/>
          <w:color w:val="auto"/>
          <w:kern w:val="0"/>
          <w:sz w:val="84"/>
          <w:szCs w:val="84"/>
          <w:highlight w:val="none"/>
        </w:rPr>
        <w:t>书</w:t>
      </w:r>
    </w:p>
    <w:p w14:paraId="3514368E">
      <w:pPr>
        <w:widowControl/>
        <w:spacing w:line="900" w:lineRule="exact"/>
        <w:ind w:firstLine="2530" w:firstLineChars="900"/>
        <w:rPr>
          <w:rFonts w:ascii="宋体" w:hAnsi="宋体" w:cs="Arial"/>
          <w:b/>
          <w:bCs/>
          <w:color w:val="auto"/>
          <w:kern w:val="0"/>
          <w:sz w:val="28"/>
          <w:szCs w:val="28"/>
          <w:highlight w:val="none"/>
        </w:rPr>
      </w:pPr>
    </w:p>
    <w:p w14:paraId="36EEDDE4">
      <w:pPr>
        <w:widowControl/>
        <w:spacing w:line="900" w:lineRule="exact"/>
        <w:ind w:firstLine="2530" w:firstLineChars="900"/>
        <w:rPr>
          <w:rFonts w:ascii="宋体" w:hAnsi="宋体" w:cs="Arial"/>
          <w:color w:val="auto"/>
          <w:kern w:val="0"/>
          <w:sz w:val="28"/>
          <w:szCs w:val="28"/>
          <w:highlight w:val="none"/>
        </w:rPr>
      </w:pPr>
      <w:r>
        <w:rPr>
          <w:rFonts w:hint="eastAsia" w:ascii="宋体" w:hAnsi="宋体" w:cs="Arial"/>
          <w:b/>
          <w:bCs/>
          <w:color w:val="auto"/>
          <w:kern w:val="0"/>
          <w:sz w:val="28"/>
          <w:szCs w:val="28"/>
          <w:highlight w:val="none"/>
        </w:rPr>
        <w:t>签订地点</w:t>
      </w:r>
      <w:r>
        <w:rPr>
          <w:rFonts w:hint="eastAsia" w:ascii="宋体" w:hAnsi="宋体" w:cs="Arial"/>
          <w:b/>
          <w:bCs/>
          <w:color w:val="auto"/>
          <w:kern w:val="0"/>
          <w:sz w:val="28"/>
          <w:szCs w:val="28"/>
          <w:highlight w:val="none"/>
          <w:lang w:eastAsia="zh-CN"/>
        </w:rPr>
        <w:t>：</w:t>
      </w:r>
      <w:r>
        <w:rPr>
          <w:rFonts w:hint="eastAsia" w:ascii="宋体" w:hAnsi="宋体" w:cs="Arial"/>
          <w:b/>
          <w:bCs/>
          <w:color w:val="auto"/>
          <w:kern w:val="0"/>
          <w:sz w:val="28"/>
          <w:szCs w:val="28"/>
          <w:highlight w:val="none"/>
        </w:rPr>
        <w:t xml:space="preserve">          </w:t>
      </w:r>
    </w:p>
    <w:p w14:paraId="0004E3B5">
      <w:pPr>
        <w:widowControl/>
        <w:spacing w:line="900" w:lineRule="exact"/>
        <w:ind w:firstLine="2249" w:firstLineChars="800"/>
        <w:rPr>
          <w:rFonts w:ascii="宋体" w:hAnsi="宋体" w:cs="Arial"/>
          <w:b/>
          <w:bCs/>
          <w:color w:val="auto"/>
          <w:kern w:val="0"/>
          <w:sz w:val="28"/>
          <w:szCs w:val="28"/>
          <w:highlight w:val="none"/>
        </w:rPr>
      </w:pPr>
      <w:r>
        <w:rPr>
          <w:rFonts w:hint="eastAsia" w:ascii="宋体" w:hAnsi="宋体" w:cs="Arial"/>
          <w:b/>
          <w:bCs/>
          <w:color w:val="auto"/>
          <w:kern w:val="0"/>
          <w:sz w:val="28"/>
          <w:szCs w:val="28"/>
          <w:highlight w:val="none"/>
        </w:rPr>
        <w:t>云南省财政厅　制</w:t>
      </w:r>
    </w:p>
    <w:p w14:paraId="759702D5">
      <w:pPr>
        <w:spacing w:line="500" w:lineRule="exact"/>
        <w:ind w:firstLine="480" w:firstLineChars="200"/>
        <w:rPr>
          <w:rFonts w:ascii="宋体" w:hAnsi="宋体" w:cs="宋体"/>
          <w:color w:val="auto"/>
          <w:sz w:val="24"/>
          <w:highlight w:val="none"/>
        </w:rPr>
      </w:pPr>
    </w:p>
    <w:p w14:paraId="27E77044">
      <w:pPr>
        <w:spacing w:line="500" w:lineRule="exact"/>
        <w:ind w:firstLine="241" w:firstLineChars="100"/>
        <w:rPr>
          <w:rFonts w:ascii="宋体" w:hAnsi="宋体" w:cs="宋体"/>
          <w:b/>
          <w:color w:val="auto"/>
          <w:sz w:val="24"/>
          <w:highlight w:val="none"/>
        </w:rPr>
        <w:sectPr>
          <w:pgSz w:w="11905" w:h="16840"/>
          <w:pgMar w:top="1701" w:right="1440" w:bottom="1701" w:left="1440" w:header="851" w:footer="1191" w:gutter="0"/>
          <w:pgNumType w:fmt="decimal"/>
          <w:cols w:space="0" w:num="1"/>
          <w:titlePg/>
          <w:docGrid w:linePitch="312" w:charSpace="0"/>
        </w:sectPr>
      </w:pPr>
    </w:p>
    <w:p w14:paraId="7B8052E8">
      <w:pPr>
        <w:spacing w:line="360" w:lineRule="auto"/>
        <w:ind w:firstLine="241" w:firstLineChars="100"/>
        <w:rPr>
          <w:rFonts w:ascii="宋体" w:hAnsi="宋体" w:cs="宋体"/>
          <w:b/>
          <w:color w:val="auto"/>
          <w:sz w:val="24"/>
          <w:highlight w:val="none"/>
          <w:u w:val="single"/>
        </w:rPr>
      </w:pPr>
      <w:r>
        <w:rPr>
          <w:rFonts w:hint="eastAsia" w:ascii="宋体" w:hAnsi="宋体" w:cs="宋体"/>
          <w:b/>
          <w:color w:val="auto"/>
          <w:sz w:val="24"/>
          <w:highlight w:val="none"/>
        </w:rPr>
        <w:t>甲方：</w:t>
      </w:r>
    </w:p>
    <w:p w14:paraId="5265E716">
      <w:pPr>
        <w:spacing w:line="360" w:lineRule="auto"/>
        <w:ind w:firstLine="482" w:firstLineChars="200"/>
        <w:rPr>
          <w:rFonts w:ascii="宋体" w:hAnsi="宋体" w:cs="宋体"/>
          <w:b/>
          <w:color w:val="auto"/>
          <w:sz w:val="24"/>
          <w:highlight w:val="none"/>
        </w:rPr>
      </w:pPr>
    </w:p>
    <w:p w14:paraId="01BD99A0">
      <w:pPr>
        <w:spacing w:line="360" w:lineRule="auto"/>
        <w:ind w:firstLine="241" w:firstLineChars="100"/>
        <w:rPr>
          <w:rFonts w:ascii="宋体" w:hAnsi="宋体" w:cs="宋体"/>
          <w:color w:val="auto"/>
          <w:sz w:val="24"/>
          <w:highlight w:val="none"/>
        </w:rPr>
      </w:pPr>
      <w:bookmarkStart w:id="179" w:name="_Toc19301"/>
      <w:bookmarkStart w:id="180" w:name="_Toc27007"/>
      <w:bookmarkStart w:id="181" w:name="_Toc30665"/>
      <w:r>
        <w:rPr>
          <w:rFonts w:hint="eastAsia" w:ascii="宋体" w:hAnsi="宋体" w:cs="宋体"/>
          <w:b/>
          <w:color w:val="auto"/>
          <w:sz w:val="24"/>
          <w:highlight w:val="none"/>
        </w:rPr>
        <w:t>乙方：</w:t>
      </w:r>
      <w:bookmarkEnd w:id="179"/>
      <w:bookmarkEnd w:id="180"/>
      <w:bookmarkEnd w:id="181"/>
    </w:p>
    <w:p w14:paraId="312A6656">
      <w:pPr>
        <w:pStyle w:val="29"/>
        <w:spacing w:line="360" w:lineRule="auto"/>
        <w:ind w:firstLine="480" w:firstLineChars="200"/>
        <w:rPr>
          <w:rFonts w:hAnsi="宋体"/>
          <w:color w:val="auto"/>
          <w:highlight w:val="none"/>
        </w:rPr>
      </w:pPr>
    </w:p>
    <w:p w14:paraId="2B2056A6">
      <w:pPr>
        <w:pStyle w:val="29"/>
        <w:spacing w:line="500" w:lineRule="exact"/>
        <w:ind w:firstLine="480" w:firstLineChars="200"/>
        <w:rPr>
          <w:rFonts w:hAnsi="宋体"/>
          <w:color w:val="auto"/>
          <w:highlight w:val="none"/>
        </w:rPr>
      </w:pPr>
      <w:r>
        <w:rPr>
          <w:rFonts w:hint="eastAsia" w:hAnsi="宋体"/>
          <w:color w:val="auto"/>
          <w:highlight w:val="none"/>
        </w:rPr>
        <w:t>根据招标编号：公开招标结果，甲、乙双方在平等、互利、友好的基础上，经过共同协商</w:t>
      </w:r>
      <w:r>
        <w:rPr>
          <w:rFonts w:hint="eastAsia" w:hAnsi="宋体"/>
          <w:color w:val="auto"/>
          <w:highlight w:val="none"/>
          <w:lang w:eastAsia="zh-CN"/>
        </w:rPr>
        <w:t>，</w:t>
      </w:r>
      <w:r>
        <w:rPr>
          <w:rFonts w:hint="eastAsia" w:hAnsi="宋体"/>
          <w:color w:val="auto"/>
          <w:highlight w:val="none"/>
        </w:rPr>
        <w:t>甲方和乙方签订合同如下：</w:t>
      </w:r>
    </w:p>
    <w:p w14:paraId="10DE5969">
      <w:pPr>
        <w:pStyle w:val="29"/>
        <w:spacing w:beforeLines="50" w:line="500" w:lineRule="exact"/>
        <w:ind w:firstLine="482" w:firstLineChars="200"/>
        <w:rPr>
          <w:rFonts w:hint="eastAsia" w:hAnsi="宋体" w:eastAsia="宋体"/>
          <w:b/>
          <w:color w:val="auto"/>
          <w:highlight w:val="none"/>
          <w:lang w:eastAsia="zh-CN"/>
        </w:rPr>
      </w:pPr>
      <w:r>
        <w:rPr>
          <w:rFonts w:hint="eastAsia" w:hAnsi="宋体"/>
          <w:b/>
          <w:color w:val="auto"/>
          <w:highlight w:val="none"/>
        </w:rPr>
        <w:t>1.合同文件</w:t>
      </w:r>
    </w:p>
    <w:p w14:paraId="585629AF">
      <w:pPr>
        <w:pStyle w:val="29"/>
        <w:spacing w:beforeLines="50" w:line="500" w:lineRule="exact"/>
        <w:ind w:firstLine="480" w:firstLineChars="200"/>
        <w:rPr>
          <w:rFonts w:hAnsi="宋体"/>
          <w:color w:val="auto"/>
          <w:highlight w:val="none"/>
        </w:rPr>
      </w:pPr>
      <w:r>
        <w:rPr>
          <w:rFonts w:hint="eastAsia" w:hAnsi="宋体"/>
          <w:color w:val="auto"/>
          <w:highlight w:val="none"/>
        </w:rPr>
        <w:t>本合同包含下列文件</w:t>
      </w:r>
    </w:p>
    <w:p w14:paraId="41A439FE">
      <w:pPr>
        <w:pStyle w:val="29"/>
        <w:spacing w:line="500" w:lineRule="exact"/>
        <w:ind w:firstLine="480" w:firstLineChars="200"/>
        <w:rPr>
          <w:rFonts w:hAnsi="宋体"/>
          <w:color w:val="auto"/>
          <w:highlight w:val="none"/>
        </w:rPr>
      </w:pPr>
      <w:r>
        <w:rPr>
          <w:rFonts w:hint="eastAsia" w:hAnsi="宋体"/>
          <w:color w:val="auto"/>
          <w:highlight w:val="none"/>
        </w:rPr>
        <w:t>1.1 本合同</w:t>
      </w:r>
    </w:p>
    <w:p w14:paraId="1632931E">
      <w:pPr>
        <w:pStyle w:val="29"/>
        <w:spacing w:line="500" w:lineRule="exact"/>
        <w:ind w:firstLine="480" w:firstLineChars="200"/>
        <w:rPr>
          <w:rFonts w:hAnsi="宋体"/>
          <w:color w:val="auto"/>
          <w:highlight w:val="none"/>
        </w:rPr>
      </w:pPr>
      <w:r>
        <w:rPr>
          <w:rFonts w:hint="eastAsia" w:hAnsi="宋体"/>
          <w:color w:val="auto"/>
          <w:highlight w:val="none"/>
        </w:rPr>
        <w:t>1.2 投标文件</w:t>
      </w:r>
    </w:p>
    <w:p w14:paraId="7313E718">
      <w:pPr>
        <w:pStyle w:val="29"/>
        <w:spacing w:beforeLines="50" w:line="500" w:lineRule="exact"/>
        <w:ind w:firstLine="482" w:firstLineChars="200"/>
        <w:rPr>
          <w:rFonts w:hAnsi="宋体"/>
          <w:b/>
          <w:color w:val="auto"/>
          <w:highlight w:val="none"/>
        </w:rPr>
      </w:pPr>
      <w:r>
        <w:rPr>
          <w:rFonts w:hint="eastAsia" w:hAnsi="宋体"/>
          <w:b/>
          <w:color w:val="auto"/>
          <w:highlight w:val="none"/>
        </w:rPr>
        <w:t>2.合同标的及价格</w:t>
      </w:r>
    </w:p>
    <w:p w14:paraId="09DDBB46">
      <w:pPr>
        <w:spacing w:line="5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2.1采购清单</w:t>
      </w:r>
    </w:p>
    <w:tbl>
      <w:tblPr>
        <w:tblStyle w:val="23"/>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410"/>
        <w:gridCol w:w="3195"/>
        <w:gridCol w:w="765"/>
        <w:gridCol w:w="810"/>
        <w:gridCol w:w="780"/>
        <w:gridCol w:w="787"/>
      </w:tblGrid>
      <w:tr w14:paraId="38AA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320" w:type="dxa"/>
            <w:vAlign w:val="center"/>
          </w:tcPr>
          <w:p w14:paraId="17890E2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名称</w:t>
            </w:r>
          </w:p>
        </w:tc>
        <w:tc>
          <w:tcPr>
            <w:tcW w:w="1410" w:type="dxa"/>
            <w:vAlign w:val="center"/>
          </w:tcPr>
          <w:p w14:paraId="4F2797C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品牌/厂家</w:t>
            </w:r>
          </w:p>
        </w:tc>
        <w:tc>
          <w:tcPr>
            <w:tcW w:w="3195" w:type="dxa"/>
            <w:vAlign w:val="center"/>
          </w:tcPr>
          <w:p w14:paraId="0E0B02E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项目特征规格、技术参数、性能要求</w:t>
            </w:r>
          </w:p>
        </w:tc>
        <w:tc>
          <w:tcPr>
            <w:tcW w:w="765" w:type="dxa"/>
            <w:vAlign w:val="center"/>
          </w:tcPr>
          <w:p w14:paraId="264CA7E9">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数量</w:t>
            </w:r>
          </w:p>
        </w:tc>
        <w:tc>
          <w:tcPr>
            <w:tcW w:w="810" w:type="dxa"/>
            <w:vAlign w:val="center"/>
          </w:tcPr>
          <w:p w14:paraId="606D4A6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单位</w:t>
            </w:r>
          </w:p>
        </w:tc>
        <w:tc>
          <w:tcPr>
            <w:tcW w:w="780" w:type="dxa"/>
            <w:vAlign w:val="center"/>
          </w:tcPr>
          <w:p w14:paraId="1AE6B3C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单价</w:t>
            </w:r>
          </w:p>
        </w:tc>
        <w:tc>
          <w:tcPr>
            <w:tcW w:w="787" w:type="dxa"/>
            <w:vAlign w:val="center"/>
          </w:tcPr>
          <w:p w14:paraId="01D13A6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合价</w:t>
            </w:r>
          </w:p>
        </w:tc>
      </w:tr>
      <w:tr w14:paraId="55B8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320" w:type="dxa"/>
            <w:vAlign w:val="center"/>
          </w:tcPr>
          <w:p w14:paraId="4F4F303D">
            <w:pPr>
              <w:spacing w:line="500" w:lineRule="exact"/>
              <w:jc w:val="center"/>
              <w:rPr>
                <w:rFonts w:ascii="宋体" w:hAnsi="宋体" w:cs="宋体"/>
                <w:color w:val="auto"/>
                <w:sz w:val="24"/>
                <w:highlight w:val="none"/>
              </w:rPr>
            </w:pPr>
          </w:p>
        </w:tc>
        <w:tc>
          <w:tcPr>
            <w:tcW w:w="1410" w:type="dxa"/>
            <w:vAlign w:val="center"/>
          </w:tcPr>
          <w:p w14:paraId="6AE32768">
            <w:pPr>
              <w:spacing w:line="500" w:lineRule="exact"/>
              <w:jc w:val="center"/>
              <w:rPr>
                <w:rFonts w:ascii="宋体" w:hAnsi="宋体" w:cs="宋体"/>
                <w:color w:val="auto"/>
                <w:sz w:val="24"/>
                <w:highlight w:val="none"/>
              </w:rPr>
            </w:pPr>
          </w:p>
        </w:tc>
        <w:tc>
          <w:tcPr>
            <w:tcW w:w="3195" w:type="dxa"/>
            <w:vAlign w:val="center"/>
          </w:tcPr>
          <w:p w14:paraId="3511CE20">
            <w:pPr>
              <w:spacing w:line="500" w:lineRule="exact"/>
              <w:jc w:val="center"/>
              <w:rPr>
                <w:rFonts w:ascii="宋体" w:hAnsi="宋体" w:cs="宋体"/>
                <w:color w:val="auto"/>
                <w:sz w:val="24"/>
                <w:highlight w:val="none"/>
              </w:rPr>
            </w:pPr>
          </w:p>
        </w:tc>
        <w:tc>
          <w:tcPr>
            <w:tcW w:w="765" w:type="dxa"/>
            <w:vAlign w:val="center"/>
          </w:tcPr>
          <w:p w14:paraId="5D0F1A47">
            <w:pPr>
              <w:spacing w:line="500" w:lineRule="exact"/>
              <w:jc w:val="center"/>
              <w:rPr>
                <w:rFonts w:ascii="宋体" w:hAnsi="宋体" w:cs="宋体"/>
                <w:color w:val="auto"/>
                <w:sz w:val="24"/>
                <w:highlight w:val="none"/>
              </w:rPr>
            </w:pPr>
          </w:p>
        </w:tc>
        <w:tc>
          <w:tcPr>
            <w:tcW w:w="810" w:type="dxa"/>
            <w:vAlign w:val="center"/>
          </w:tcPr>
          <w:p w14:paraId="704C1A66">
            <w:pPr>
              <w:spacing w:line="500" w:lineRule="exact"/>
              <w:jc w:val="center"/>
              <w:rPr>
                <w:rFonts w:ascii="宋体" w:hAnsi="宋体" w:cs="宋体"/>
                <w:color w:val="auto"/>
                <w:sz w:val="24"/>
                <w:highlight w:val="none"/>
              </w:rPr>
            </w:pPr>
          </w:p>
        </w:tc>
        <w:tc>
          <w:tcPr>
            <w:tcW w:w="780" w:type="dxa"/>
          </w:tcPr>
          <w:p w14:paraId="4FAF777A">
            <w:pPr>
              <w:spacing w:line="500" w:lineRule="exact"/>
              <w:rPr>
                <w:rFonts w:ascii="宋体" w:hAnsi="宋体" w:cs="宋体"/>
                <w:color w:val="auto"/>
                <w:sz w:val="24"/>
                <w:highlight w:val="none"/>
              </w:rPr>
            </w:pPr>
          </w:p>
        </w:tc>
        <w:tc>
          <w:tcPr>
            <w:tcW w:w="787" w:type="dxa"/>
          </w:tcPr>
          <w:p w14:paraId="43E00115">
            <w:pPr>
              <w:spacing w:line="500" w:lineRule="exact"/>
              <w:rPr>
                <w:rFonts w:ascii="宋体" w:hAnsi="宋体" w:cs="宋体"/>
                <w:color w:val="auto"/>
                <w:sz w:val="24"/>
                <w:highlight w:val="none"/>
              </w:rPr>
            </w:pPr>
          </w:p>
        </w:tc>
      </w:tr>
      <w:tr w14:paraId="40CA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vAlign w:val="center"/>
          </w:tcPr>
          <w:p w14:paraId="0079BDCE">
            <w:pPr>
              <w:spacing w:line="500" w:lineRule="exact"/>
              <w:jc w:val="center"/>
              <w:rPr>
                <w:rFonts w:ascii="宋体" w:hAnsi="宋体" w:cs="宋体"/>
                <w:color w:val="auto"/>
                <w:sz w:val="24"/>
                <w:highlight w:val="none"/>
              </w:rPr>
            </w:pPr>
          </w:p>
        </w:tc>
        <w:tc>
          <w:tcPr>
            <w:tcW w:w="1410" w:type="dxa"/>
            <w:vAlign w:val="center"/>
          </w:tcPr>
          <w:p w14:paraId="650CB180">
            <w:pPr>
              <w:spacing w:line="500" w:lineRule="exact"/>
              <w:jc w:val="center"/>
              <w:rPr>
                <w:rFonts w:ascii="宋体" w:hAnsi="宋体" w:cs="宋体"/>
                <w:color w:val="auto"/>
                <w:sz w:val="24"/>
                <w:highlight w:val="none"/>
              </w:rPr>
            </w:pPr>
          </w:p>
        </w:tc>
        <w:tc>
          <w:tcPr>
            <w:tcW w:w="3195" w:type="dxa"/>
            <w:vAlign w:val="center"/>
          </w:tcPr>
          <w:p w14:paraId="5C5DE3E4">
            <w:pPr>
              <w:spacing w:line="500" w:lineRule="exact"/>
              <w:jc w:val="center"/>
              <w:rPr>
                <w:rFonts w:ascii="宋体" w:hAnsi="宋体" w:cs="宋体"/>
                <w:color w:val="auto"/>
                <w:sz w:val="24"/>
                <w:highlight w:val="none"/>
              </w:rPr>
            </w:pPr>
          </w:p>
        </w:tc>
        <w:tc>
          <w:tcPr>
            <w:tcW w:w="765" w:type="dxa"/>
            <w:vAlign w:val="center"/>
          </w:tcPr>
          <w:p w14:paraId="2FABA0D4">
            <w:pPr>
              <w:spacing w:line="500" w:lineRule="exact"/>
              <w:jc w:val="center"/>
              <w:rPr>
                <w:rFonts w:ascii="宋体" w:hAnsi="宋体" w:cs="宋体"/>
                <w:color w:val="auto"/>
                <w:sz w:val="24"/>
                <w:highlight w:val="none"/>
              </w:rPr>
            </w:pPr>
          </w:p>
        </w:tc>
        <w:tc>
          <w:tcPr>
            <w:tcW w:w="810" w:type="dxa"/>
            <w:vAlign w:val="center"/>
          </w:tcPr>
          <w:p w14:paraId="767C7DE6">
            <w:pPr>
              <w:spacing w:line="500" w:lineRule="exact"/>
              <w:jc w:val="center"/>
              <w:rPr>
                <w:rFonts w:ascii="宋体" w:hAnsi="宋体" w:cs="宋体"/>
                <w:color w:val="auto"/>
                <w:sz w:val="24"/>
                <w:highlight w:val="none"/>
              </w:rPr>
            </w:pPr>
          </w:p>
        </w:tc>
        <w:tc>
          <w:tcPr>
            <w:tcW w:w="780" w:type="dxa"/>
          </w:tcPr>
          <w:p w14:paraId="7AC7BE2F">
            <w:pPr>
              <w:spacing w:line="500" w:lineRule="exact"/>
              <w:rPr>
                <w:rFonts w:ascii="宋体" w:hAnsi="宋体" w:cs="宋体"/>
                <w:color w:val="auto"/>
                <w:sz w:val="24"/>
                <w:highlight w:val="none"/>
              </w:rPr>
            </w:pPr>
          </w:p>
        </w:tc>
        <w:tc>
          <w:tcPr>
            <w:tcW w:w="787" w:type="dxa"/>
          </w:tcPr>
          <w:p w14:paraId="19C7B201">
            <w:pPr>
              <w:spacing w:line="500" w:lineRule="exact"/>
              <w:rPr>
                <w:rFonts w:ascii="宋体" w:hAnsi="宋体" w:cs="宋体"/>
                <w:color w:val="auto"/>
                <w:sz w:val="24"/>
                <w:highlight w:val="none"/>
              </w:rPr>
            </w:pPr>
          </w:p>
        </w:tc>
      </w:tr>
      <w:tr w14:paraId="3C56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0" w:type="dxa"/>
            <w:vAlign w:val="center"/>
          </w:tcPr>
          <w:p w14:paraId="2624053D">
            <w:pPr>
              <w:spacing w:line="500" w:lineRule="exact"/>
              <w:jc w:val="center"/>
              <w:rPr>
                <w:rFonts w:ascii="宋体" w:hAnsi="宋体" w:cs="宋体"/>
                <w:color w:val="auto"/>
                <w:sz w:val="24"/>
                <w:highlight w:val="none"/>
              </w:rPr>
            </w:pPr>
          </w:p>
        </w:tc>
        <w:tc>
          <w:tcPr>
            <w:tcW w:w="1410" w:type="dxa"/>
            <w:vAlign w:val="center"/>
          </w:tcPr>
          <w:p w14:paraId="4D921BD9">
            <w:pPr>
              <w:spacing w:line="500" w:lineRule="exact"/>
              <w:jc w:val="center"/>
              <w:rPr>
                <w:rFonts w:ascii="宋体" w:hAnsi="宋体" w:cs="宋体"/>
                <w:color w:val="auto"/>
                <w:sz w:val="24"/>
                <w:highlight w:val="none"/>
              </w:rPr>
            </w:pPr>
          </w:p>
        </w:tc>
        <w:tc>
          <w:tcPr>
            <w:tcW w:w="3195" w:type="dxa"/>
            <w:vAlign w:val="center"/>
          </w:tcPr>
          <w:p w14:paraId="0EE03EE5">
            <w:pPr>
              <w:spacing w:line="500" w:lineRule="exact"/>
              <w:jc w:val="center"/>
              <w:rPr>
                <w:rFonts w:ascii="宋体" w:hAnsi="宋体" w:cs="宋体"/>
                <w:color w:val="auto"/>
                <w:sz w:val="24"/>
                <w:highlight w:val="none"/>
              </w:rPr>
            </w:pPr>
          </w:p>
        </w:tc>
        <w:tc>
          <w:tcPr>
            <w:tcW w:w="765" w:type="dxa"/>
            <w:vAlign w:val="center"/>
          </w:tcPr>
          <w:p w14:paraId="4AB6B5AE">
            <w:pPr>
              <w:spacing w:line="500" w:lineRule="exact"/>
              <w:jc w:val="center"/>
              <w:rPr>
                <w:rFonts w:ascii="宋体" w:hAnsi="宋体" w:cs="宋体"/>
                <w:color w:val="auto"/>
                <w:sz w:val="24"/>
                <w:highlight w:val="none"/>
              </w:rPr>
            </w:pPr>
          </w:p>
        </w:tc>
        <w:tc>
          <w:tcPr>
            <w:tcW w:w="810" w:type="dxa"/>
            <w:vAlign w:val="center"/>
          </w:tcPr>
          <w:p w14:paraId="4CE9E896">
            <w:pPr>
              <w:spacing w:line="500" w:lineRule="exact"/>
              <w:jc w:val="center"/>
              <w:rPr>
                <w:rFonts w:ascii="宋体" w:hAnsi="宋体" w:cs="宋体"/>
                <w:color w:val="auto"/>
                <w:sz w:val="24"/>
                <w:highlight w:val="none"/>
              </w:rPr>
            </w:pPr>
          </w:p>
        </w:tc>
        <w:tc>
          <w:tcPr>
            <w:tcW w:w="780" w:type="dxa"/>
          </w:tcPr>
          <w:p w14:paraId="7060FB59">
            <w:pPr>
              <w:spacing w:line="500" w:lineRule="exact"/>
              <w:rPr>
                <w:rFonts w:ascii="宋体" w:hAnsi="宋体" w:cs="宋体"/>
                <w:color w:val="auto"/>
                <w:sz w:val="24"/>
                <w:highlight w:val="none"/>
              </w:rPr>
            </w:pPr>
          </w:p>
        </w:tc>
        <w:tc>
          <w:tcPr>
            <w:tcW w:w="787" w:type="dxa"/>
          </w:tcPr>
          <w:p w14:paraId="76922884">
            <w:pPr>
              <w:spacing w:line="500" w:lineRule="exact"/>
              <w:rPr>
                <w:rFonts w:ascii="宋体" w:hAnsi="宋体" w:cs="宋体"/>
                <w:color w:val="auto"/>
                <w:sz w:val="24"/>
                <w:highlight w:val="none"/>
              </w:rPr>
            </w:pPr>
          </w:p>
        </w:tc>
      </w:tr>
    </w:tbl>
    <w:p w14:paraId="7A3A66CA">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hint="eastAsia" w:ascii="宋体" w:hAnsi="宋体" w:cs="宋体"/>
          <w:bCs/>
          <w:color w:val="auto"/>
          <w:sz w:val="24"/>
          <w:highlight w:val="none"/>
        </w:rPr>
        <w:t xml:space="preserve"> 本合同</w:t>
      </w:r>
      <w:r>
        <w:rPr>
          <w:rFonts w:hint="eastAsia" w:ascii="宋体" w:hAnsi="宋体" w:cs="宋体"/>
          <w:bCs/>
          <w:color w:val="auto"/>
          <w:sz w:val="24"/>
          <w:highlight w:val="none"/>
          <w:lang w:val="en-US" w:eastAsia="zh-CN"/>
        </w:rPr>
        <w:t>货物</w:t>
      </w:r>
      <w:r>
        <w:rPr>
          <w:rFonts w:hint="eastAsia" w:ascii="宋体" w:hAnsi="宋体" w:cs="宋体"/>
          <w:bCs/>
          <w:color w:val="auto"/>
          <w:sz w:val="24"/>
          <w:highlight w:val="none"/>
        </w:rPr>
        <w:t>总价为人民币</w:t>
      </w:r>
      <w:r>
        <w:rPr>
          <w:rFonts w:hint="eastAsia" w:ascii="宋体" w:hAnsi="宋体" w:cs="宋体"/>
          <w:bCs/>
          <w:color w:val="auto"/>
          <w:sz w:val="24"/>
          <w:highlight w:val="none"/>
          <w:lang w:eastAsia="zh-CN"/>
        </w:rPr>
        <w:t>：</w:t>
      </w:r>
      <w:r>
        <w:rPr>
          <w:rFonts w:hint="eastAsia" w:ascii="宋体" w:hAnsi="宋体" w:cs="宋体"/>
          <w:color w:val="auto"/>
          <w:sz w:val="24"/>
          <w:highlight w:val="none"/>
        </w:rPr>
        <w:t>¥（大写人民币）</w:t>
      </w:r>
    </w:p>
    <w:p w14:paraId="47EE57FE">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上述合同总价包括：</w:t>
      </w:r>
      <w:r>
        <w:rPr>
          <w:rFonts w:hint="eastAsia" w:ascii="宋体" w:hAnsi="宋体" w:cs="宋体"/>
          <w:color w:val="auto"/>
          <w:sz w:val="24"/>
          <w:highlight w:val="none"/>
          <w:lang w:val="zh-CN"/>
        </w:rPr>
        <w:t>包括：货物成本价格、利润、运输、验收、质保、保险、税收、</w:t>
      </w:r>
      <w:r>
        <w:rPr>
          <w:rFonts w:hint="eastAsia" w:ascii="宋体" w:hAnsi="宋体" w:cs="宋体"/>
          <w:color w:val="auto"/>
          <w:sz w:val="24"/>
          <w:highlight w:val="none"/>
          <w:lang w:val="zh-CN" w:eastAsia="zh-CN"/>
        </w:rPr>
        <w:t>培训、</w:t>
      </w:r>
      <w:r>
        <w:rPr>
          <w:rFonts w:hint="eastAsia" w:ascii="宋体" w:hAnsi="宋体" w:cs="宋体"/>
          <w:color w:val="auto"/>
          <w:sz w:val="24"/>
          <w:highlight w:val="none"/>
          <w:lang w:val="zh-CN"/>
        </w:rPr>
        <w:t>后续服务等本项目所涉及的一切费用</w:t>
      </w:r>
      <w:r>
        <w:rPr>
          <w:rFonts w:hint="eastAsia" w:ascii="宋体" w:hAnsi="宋体" w:cs="宋体"/>
          <w:color w:val="auto"/>
          <w:sz w:val="24"/>
          <w:highlight w:val="none"/>
        </w:rPr>
        <w:t>。</w:t>
      </w:r>
    </w:p>
    <w:p w14:paraId="5E99F751">
      <w:pPr>
        <w:spacing w:line="500" w:lineRule="exact"/>
        <w:ind w:firstLine="482" w:firstLineChars="200"/>
        <w:rPr>
          <w:rFonts w:ascii="宋体" w:hAnsi="宋体" w:cs="宋体"/>
          <w:color w:val="auto"/>
          <w:sz w:val="24"/>
          <w:highlight w:val="none"/>
        </w:rPr>
      </w:pPr>
      <w:r>
        <w:rPr>
          <w:rFonts w:hint="eastAsia" w:ascii="宋体" w:hAnsi="宋体" w:cs="宋体"/>
          <w:b/>
          <w:color w:val="auto"/>
          <w:kern w:val="0"/>
          <w:sz w:val="24"/>
          <w:highlight w:val="none"/>
        </w:rPr>
        <w:t xml:space="preserve">3.付款方式   </w:t>
      </w:r>
    </w:p>
    <w:p w14:paraId="2772F46A">
      <w:pPr>
        <w:spacing w:line="500" w:lineRule="exact"/>
        <w:ind w:firstLine="480" w:firstLineChars="20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                  </w:t>
      </w:r>
    </w:p>
    <w:p w14:paraId="329FA33E">
      <w:pPr>
        <w:spacing w:line="500" w:lineRule="exact"/>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4. 交货、运输</w:t>
      </w:r>
    </w:p>
    <w:p w14:paraId="610CB366">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4.1交货日期：本合同“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”的制造、运输由乙方负责，上述工作须在合同生效后</w:t>
      </w:r>
      <w:r>
        <w:rPr>
          <w:rFonts w:hint="eastAsia" w:ascii="宋体" w:hAnsi="宋体" w:cs="宋体"/>
          <w:color w:val="auto"/>
          <w:sz w:val="24"/>
          <w:highlight w:val="none"/>
          <w:u w:val="single"/>
          <w:lang w:val="en-US" w:eastAsia="zh-CN"/>
        </w:rPr>
        <w:t xml:space="preserve"> 30 </w:t>
      </w:r>
      <w:r>
        <w:rPr>
          <w:rFonts w:hint="eastAsia" w:ascii="宋体" w:hAnsi="宋体" w:cs="宋体"/>
          <w:color w:val="auto"/>
          <w:sz w:val="24"/>
          <w:highlight w:val="none"/>
        </w:rPr>
        <w:t>天完成。</w:t>
      </w:r>
    </w:p>
    <w:p w14:paraId="32157585">
      <w:pPr>
        <w:spacing w:line="50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4.2交货地点：</w:t>
      </w:r>
    </w:p>
    <w:p w14:paraId="44D4A73E">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4.3乙方根据装卸及搬运不同货物特点及不同要求，每一包装上应标明惯用的标志及图示，显著标明“小心轻放”、“此端向上”、“防潮”等字样或图案。每箱货应当有一份详细的装箱单，装箱单中同时标明净重和毛重。乙方应对不充分或不适当包装造成的货物损坏或灭失承担责任。对于箱内和捆内的散装部件，乙方均应系加标签并注明部件名称以及该部件在装配图上的位号和零件号。对于备件和工具，除注明上述内容外，尚需注明“备件”或“工具”字样。</w:t>
      </w:r>
    </w:p>
    <w:p w14:paraId="6E453014">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4.4</w:t>
      </w:r>
      <w:r>
        <w:rPr>
          <w:rFonts w:hint="eastAsia" w:ascii="宋体" w:hAnsi="宋体" w:cs="宋体"/>
          <w:color w:val="auto"/>
          <w:kern w:val="0"/>
          <w:sz w:val="24"/>
          <w:highlight w:val="none"/>
        </w:rPr>
        <w:t xml:space="preserve"> 乙方应在不迟于每批货物备妥待运前日通知甲方如下内容：</w:t>
      </w:r>
    </w:p>
    <w:p w14:paraId="3B078FF2">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4.4.1 合同号；</w:t>
      </w:r>
    </w:p>
    <w:p w14:paraId="3BFE2D59">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4.4.2 货物备妥待运日；</w:t>
      </w:r>
    </w:p>
    <w:p w14:paraId="11B35FDE">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4.4.3 货物总体积；</w:t>
      </w:r>
    </w:p>
    <w:p w14:paraId="77F632C5">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4.4.4 货物总毛重/总包数；</w:t>
      </w:r>
    </w:p>
    <w:p w14:paraId="5FACD7A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4.4.5 发运站名称；</w:t>
      </w:r>
    </w:p>
    <w:p w14:paraId="46ACCC4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4.4. 6 发运货物的详细清单，包括合同号、分项号、合同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的名称、规格、型号、数量、单价/总价、单位重量、单件体积/总体积，每件货物的外包装尺寸（长×宽×高）、总件数和发运站；</w:t>
      </w:r>
    </w:p>
    <w:p w14:paraId="69B57990">
      <w:pPr>
        <w:spacing w:line="50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4.4.7 有关合同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在储存和运输中特殊注意事项的说明。</w:t>
      </w:r>
    </w:p>
    <w:p w14:paraId="6B06D5F1">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4.5</w:t>
      </w:r>
      <w:r>
        <w:rPr>
          <w:rFonts w:hint="eastAsia" w:ascii="宋体" w:hAnsi="宋体" w:cs="宋体"/>
          <w:color w:val="auto"/>
          <w:kern w:val="0"/>
          <w:sz w:val="24"/>
          <w:highlight w:val="none"/>
        </w:rPr>
        <w:t xml:space="preserve">   在每批货物的交货清单中都应附有下列单据：</w:t>
      </w:r>
    </w:p>
    <w:p w14:paraId="682270B4">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4.5.1 装箱明细单一式壹份；</w:t>
      </w:r>
    </w:p>
    <w:p w14:paraId="1D36116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4.5.2 质量合格证一式壹份；</w:t>
      </w:r>
    </w:p>
    <w:p w14:paraId="43D39DE9">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4.5.3 相关</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的技术资料壹份；</w:t>
      </w:r>
    </w:p>
    <w:p w14:paraId="36B8010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4.5.4 需要组装的部件及机器的系统装配图一式壹份</w:t>
      </w:r>
    </w:p>
    <w:p w14:paraId="52A07774">
      <w:pPr>
        <w:autoSpaceDE w:val="0"/>
        <w:autoSpaceDN w:val="0"/>
        <w:adjustRightInd w:val="0"/>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4.6 </w:t>
      </w:r>
      <w:r>
        <w:rPr>
          <w:rFonts w:hint="eastAsia" w:ascii="宋体" w:hAnsi="宋体" w:cs="宋体"/>
          <w:color w:val="auto"/>
          <w:kern w:val="0"/>
          <w:sz w:val="24"/>
          <w:highlight w:val="none"/>
        </w:rPr>
        <w:t>凡由于对货物包装不当或采取防护措施不充分致使货物损坏或丢失时，乙方均应按合同的规定负责修理、更换或赔偿。如果因乙方在包装和唛头标记方面发生的错误造成货物的误运，乙方应承担由此发生的额外费用。</w:t>
      </w:r>
    </w:p>
    <w:p w14:paraId="12C15F3C">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5.验收</w:t>
      </w:r>
    </w:p>
    <w:p w14:paraId="573A527D">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5.1甲方按照本合同约定的产品质量、规格、材料、数量及国家、行业的相关标准对乙方提供的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进行验收。乙方应将所有资料、备件备品备齐，并保证</w:t>
      </w:r>
      <w:r>
        <w:rPr>
          <w:rFonts w:hint="eastAsia" w:ascii="宋体" w:hAnsi="宋体" w:cs="宋体"/>
          <w:bCs/>
          <w:color w:val="auto"/>
          <w:sz w:val="24"/>
          <w:highlight w:val="none"/>
          <w:lang w:eastAsia="zh-CN"/>
        </w:rPr>
        <w:t>货物</w:t>
      </w:r>
      <w:r>
        <w:rPr>
          <w:rFonts w:hint="eastAsia" w:ascii="宋体" w:hAnsi="宋体" w:cs="宋体"/>
          <w:bCs/>
          <w:color w:val="auto"/>
          <w:sz w:val="24"/>
          <w:highlight w:val="none"/>
        </w:rPr>
        <w:t>性能和技术参数达到合同要求。</w:t>
      </w:r>
    </w:p>
    <w:p w14:paraId="28959CC1">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5.2乙方保证上述所有验收项目一次性通过验收。反之，每增加一次验收程序，乙方向甲方支付元的违约金，如果经过</w:t>
      </w:r>
      <w:r>
        <w:rPr>
          <w:rFonts w:hint="eastAsia" w:ascii="宋体" w:hAnsi="宋体" w:cs="宋体"/>
          <w:color w:val="auto"/>
          <w:sz w:val="24"/>
          <w:highlight w:val="none"/>
          <w:u w:val="single"/>
        </w:rPr>
        <w:t>3</w:t>
      </w:r>
      <w:r>
        <w:rPr>
          <w:rFonts w:hint="eastAsia" w:ascii="宋体" w:hAnsi="宋体" w:cs="宋体"/>
          <w:color w:val="auto"/>
          <w:sz w:val="24"/>
          <w:highlight w:val="none"/>
        </w:rPr>
        <w:t>次验收程序，合同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仍不能通过验收，甲方有权拒绝接收</w:t>
      </w:r>
      <w:r>
        <w:rPr>
          <w:rFonts w:hint="eastAsia" w:ascii="宋体" w:hAnsi="宋体" w:cs="宋体"/>
          <w:color w:val="auto"/>
          <w:sz w:val="24"/>
          <w:highlight w:val="none"/>
          <w:lang w:eastAsia="zh-CN"/>
        </w:rPr>
        <w:t>货物</w:t>
      </w:r>
      <w:r>
        <w:rPr>
          <w:rFonts w:hint="eastAsia" w:ascii="宋体" w:hAnsi="宋体" w:cs="宋体"/>
          <w:color w:val="auto"/>
          <w:sz w:val="24"/>
          <w:highlight w:val="none"/>
        </w:rPr>
        <w:t>并解除合同，乙方应在解除合同之日起</w:t>
      </w:r>
      <w:r>
        <w:rPr>
          <w:rFonts w:hint="eastAsia" w:ascii="宋体" w:hAnsi="宋体" w:cs="宋体"/>
          <w:color w:val="auto"/>
          <w:sz w:val="24"/>
          <w:highlight w:val="none"/>
          <w:u w:val="single"/>
        </w:rPr>
        <w:t>3</w:t>
      </w:r>
      <w:r>
        <w:rPr>
          <w:rFonts w:hint="eastAsia" w:ascii="宋体" w:hAnsi="宋体" w:cs="宋体"/>
          <w:color w:val="auto"/>
          <w:sz w:val="24"/>
          <w:highlight w:val="none"/>
        </w:rPr>
        <w:t>日内，返还甲方已付货款，并承担甲方由此造成的损失。</w:t>
      </w:r>
    </w:p>
    <w:p w14:paraId="7FA138EB">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5.3 双方以样品验收的，乙方应提前日将甲方订购的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样品封存，并将样品交甲方保管。</w:t>
      </w:r>
    </w:p>
    <w:p w14:paraId="1C32D93D">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5.4由乙方</w:t>
      </w:r>
      <w:r>
        <w:rPr>
          <w:rFonts w:hint="eastAsia" w:ascii="宋体" w:hAnsi="宋体" w:cs="宋体"/>
          <w:b/>
          <w:color w:val="auto"/>
          <w:sz w:val="24"/>
          <w:highlight w:val="none"/>
          <w:lang w:eastAsia="zh-CN"/>
        </w:rPr>
        <w:t>货物</w:t>
      </w:r>
      <w:r>
        <w:rPr>
          <w:rFonts w:hint="eastAsia" w:ascii="宋体" w:hAnsi="宋体" w:cs="宋体"/>
          <w:b/>
          <w:color w:val="auto"/>
          <w:sz w:val="24"/>
          <w:highlight w:val="none"/>
        </w:rPr>
        <w:t>验收不合格所产生的费用由乙方承担，且交货期不顺延。</w:t>
      </w:r>
    </w:p>
    <w:p w14:paraId="0B02BF2F">
      <w:pPr>
        <w:spacing w:line="500" w:lineRule="exact"/>
        <w:ind w:firstLine="482" w:firstLineChars="200"/>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6.所有权和风险的转移</w:t>
      </w:r>
    </w:p>
    <w:p w14:paraId="2F98F658">
      <w:pPr>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在验收合格后，</w:t>
      </w:r>
      <w:r>
        <w:rPr>
          <w:rFonts w:hint="eastAsia" w:ascii="宋体" w:hAnsi="宋体" w:cs="宋体"/>
          <w:color w:val="auto"/>
          <w:sz w:val="24"/>
          <w:highlight w:val="none"/>
          <w:lang w:eastAsia="zh-CN"/>
        </w:rPr>
        <w:t>货物</w:t>
      </w:r>
      <w:r>
        <w:rPr>
          <w:rFonts w:hint="eastAsia" w:ascii="宋体" w:hAnsi="宋体" w:cs="宋体"/>
          <w:color w:val="auto"/>
          <w:sz w:val="24"/>
          <w:highlight w:val="none"/>
        </w:rPr>
        <w:t>交付给甲方时，该</w:t>
      </w:r>
      <w:r>
        <w:rPr>
          <w:rFonts w:hint="eastAsia" w:ascii="宋体" w:hAnsi="宋体" w:cs="宋体"/>
          <w:color w:val="auto"/>
          <w:sz w:val="24"/>
          <w:highlight w:val="none"/>
          <w:lang w:eastAsia="zh-CN"/>
        </w:rPr>
        <w:t>货物</w:t>
      </w:r>
      <w:r>
        <w:rPr>
          <w:rFonts w:hint="eastAsia" w:ascii="宋体" w:hAnsi="宋体" w:cs="宋体"/>
          <w:color w:val="auto"/>
          <w:sz w:val="24"/>
          <w:highlight w:val="none"/>
        </w:rPr>
        <w:t>硬件的所有权、风险从乙方转移到甲方，甲方获得该</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的所有权。</w:t>
      </w:r>
    </w:p>
    <w:p w14:paraId="799A7229">
      <w:pPr>
        <w:spacing w:line="5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eastAsia="zh-CN"/>
        </w:rPr>
        <w:t>货物</w:t>
      </w:r>
      <w:r>
        <w:rPr>
          <w:rFonts w:hint="eastAsia" w:ascii="宋体" w:hAnsi="宋体" w:cs="宋体"/>
          <w:b/>
          <w:bCs/>
          <w:color w:val="auto"/>
          <w:sz w:val="24"/>
          <w:highlight w:val="none"/>
        </w:rPr>
        <w:t>保证、保修及售后服务</w:t>
      </w:r>
    </w:p>
    <w:p w14:paraId="76D50BB5">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w:t>
      </w:r>
      <w:r>
        <w:rPr>
          <w:rFonts w:hint="eastAsia" w:ascii="宋体" w:hAnsi="宋体" w:cs="宋体"/>
          <w:color w:val="auto"/>
          <w:sz w:val="24"/>
          <w:highlight w:val="none"/>
          <w:lang w:eastAsia="zh-CN"/>
        </w:rPr>
        <w:t>货物</w:t>
      </w:r>
      <w:r>
        <w:rPr>
          <w:rFonts w:hint="eastAsia" w:ascii="宋体" w:hAnsi="宋体" w:cs="宋体"/>
          <w:color w:val="auto"/>
          <w:sz w:val="24"/>
          <w:highlight w:val="none"/>
        </w:rPr>
        <w:t>保证</w:t>
      </w:r>
    </w:p>
    <w:p w14:paraId="66E39A71">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7.1.1 乙方对其出售的产品享有完整的所有权，保证不被第三人追索和占有。若因乙方权利瑕疵所产生的一切后果及给甲方造成的损失，由乙方承担。乙方须自付费用为甲方取得继续使用该产品的权利。    </w:t>
      </w:r>
    </w:p>
    <w:p w14:paraId="26961B00">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7.1.2 乙方保证其供应的本合同的“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”的技术水平达到国家同类</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的技术指标，提供的所有</w:t>
      </w:r>
      <w:r>
        <w:rPr>
          <w:rFonts w:hint="eastAsia" w:ascii="宋体" w:hAnsi="宋体" w:cs="宋体"/>
          <w:color w:val="auto"/>
          <w:sz w:val="24"/>
          <w:highlight w:val="none"/>
          <w:lang w:eastAsia="zh-CN"/>
        </w:rPr>
        <w:t>货物</w:t>
      </w:r>
      <w:r>
        <w:rPr>
          <w:rFonts w:hint="eastAsia" w:ascii="宋体" w:hAnsi="宋体" w:cs="宋体"/>
          <w:color w:val="auto"/>
          <w:sz w:val="24"/>
          <w:highlight w:val="none"/>
        </w:rPr>
        <w:t>及元器件是全新的并按最佳方案设计和制造。</w:t>
      </w:r>
      <w:r>
        <w:rPr>
          <w:rFonts w:hint="eastAsia" w:ascii="宋体" w:hAnsi="宋体" w:cs="宋体"/>
          <w:color w:val="auto"/>
          <w:sz w:val="24"/>
          <w:highlight w:val="none"/>
          <w:lang w:eastAsia="zh-CN"/>
        </w:rPr>
        <w:t>货物</w:t>
      </w:r>
      <w:r>
        <w:rPr>
          <w:rFonts w:hint="eastAsia" w:ascii="宋体" w:hAnsi="宋体" w:cs="宋体"/>
          <w:color w:val="auto"/>
          <w:sz w:val="24"/>
          <w:highlight w:val="none"/>
        </w:rPr>
        <w:t xml:space="preserve">和材料的选型均符合工艺、安全运行操作以及长期使用的要求，并符合本合同附件的规定的各项运行指标及国家、行业有关的技术标准。     </w:t>
      </w:r>
    </w:p>
    <w:p w14:paraId="5DDAF49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7.1.3 </w:t>
      </w:r>
      <w:r>
        <w:rPr>
          <w:rFonts w:hint="eastAsia" w:ascii="宋体" w:hAnsi="宋体" w:cs="宋体"/>
          <w:color w:val="auto"/>
          <w:sz w:val="24"/>
          <w:highlight w:val="none"/>
          <w:lang w:eastAsia="zh-CN"/>
        </w:rPr>
        <w:t>货物</w:t>
      </w:r>
      <w:r>
        <w:rPr>
          <w:rFonts w:hint="eastAsia" w:ascii="宋体" w:hAnsi="宋体" w:cs="宋体"/>
          <w:color w:val="auto"/>
          <w:sz w:val="24"/>
          <w:highlight w:val="none"/>
        </w:rPr>
        <w:t>在验收和保修期内运行性能和质量达不到</w:t>
      </w:r>
      <w:r>
        <w:rPr>
          <w:rFonts w:hint="eastAsia" w:ascii="宋体" w:hAnsi="宋体" w:cs="宋体"/>
          <w:color w:val="auto"/>
          <w:sz w:val="24"/>
          <w:highlight w:val="none"/>
          <w:lang w:eastAsia="zh-CN"/>
        </w:rPr>
        <w:t>货物</w:t>
      </w:r>
      <w:r>
        <w:rPr>
          <w:rFonts w:hint="eastAsia" w:ascii="宋体" w:hAnsi="宋体" w:cs="宋体"/>
          <w:color w:val="auto"/>
          <w:sz w:val="24"/>
          <w:highlight w:val="none"/>
        </w:rPr>
        <w:t>技术规范要求，乙方无条件满足甲方要求。更换</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的一切费用由乙方负责，且交货期不顺延。</w:t>
      </w:r>
    </w:p>
    <w:p w14:paraId="26D0D2D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7.1.4 乙方对本合同“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”的保修期为月，自“</w:t>
      </w:r>
      <w:r>
        <w:rPr>
          <w:rFonts w:hint="eastAsia" w:ascii="宋体" w:hAnsi="宋体" w:cs="宋体"/>
          <w:color w:val="auto"/>
          <w:sz w:val="24"/>
          <w:highlight w:val="none"/>
          <w:lang w:eastAsia="zh-CN"/>
        </w:rPr>
        <w:t>货物</w:t>
      </w:r>
      <w:r>
        <w:rPr>
          <w:rFonts w:hint="eastAsia" w:ascii="宋体" w:hAnsi="宋体" w:cs="宋体"/>
          <w:color w:val="auto"/>
          <w:sz w:val="24"/>
          <w:highlight w:val="none"/>
        </w:rPr>
        <w:t>”验收合格之日起计算。</w:t>
      </w:r>
    </w:p>
    <w:p w14:paraId="5F05F665">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7.1.5  在</w:t>
      </w:r>
      <w:r>
        <w:rPr>
          <w:rFonts w:hint="eastAsia" w:ascii="宋体" w:hAnsi="宋体" w:cs="宋体"/>
          <w:color w:val="auto"/>
          <w:sz w:val="24"/>
          <w:highlight w:val="none"/>
          <w:lang w:eastAsia="zh-CN"/>
        </w:rPr>
        <w:t>货物</w:t>
      </w:r>
      <w:r>
        <w:rPr>
          <w:rFonts w:hint="eastAsia" w:ascii="宋体" w:hAnsi="宋体" w:cs="宋体"/>
          <w:color w:val="auto"/>
          <w:sz w:val="24"/>
          <w:highlight w:val="none"/>
        </w:rPr>
        <w:t>保修期内如</w:t>
      </w:r>
      <w:r>
        <w:rPr>
          <w:rFonts w:hint="eastAsia" w:ascii="宋体" w:hAnsi="宋体" w:cs="宋体"/>
          <w:color w:val="auto"/>
          <w:sz w:val="24"/>
          <w:highlight w:val="none"/>
          <w:lang w:eastAsia="zh-CN"/>
        </w:rPr>
        <w:t>货物</w:t>
      </w:r>
      <w:r>
        <w:rPr>
          <w:rFonts w:hint="eastAsia" w:ascii="宋体" w:hAnsi="宋体" w:cs="宋体"/>
          <w:color w:val="auto"/>
          <w:sz w:val="24"/>
          <w:highlight w:val="none"/>
        </w:rPr>
        <w:t>出现故障、乙方应立即对甲方的故障器件进行修理、更换，并应自收到甲方报修通知的</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天内完成更换、修理及返件工作。新更换和补充修复部件保修期经甲方验收后重新开始计算。若由于乙方的迟延造成甲方不能正常工作或致使返修的故障</w:t>
      </w:r>
      <w:r>
        <w:rPr>
          <w:rFonts w:hint="eastAsia" w:ascii="宋体" w:hAnsi="宋体" w:cs="宋体"/>
          <w:color w:val="auto"/>
          <w:sz w:val="24"/>
          <w:highlight w:val="none"/>
          <w:lang w:eastAsia="zh-CN"/>
        </w:rPr>
        <w:t>货物</w:t>
      </w:r>
      <w:r>
        <w:rPr>
          <w:rFonts w:hint="eastAsia" w:ascii="宋体" w:hAnsi="宋体" w:cs="宋体"/>
          <w:color w:val="auto"/>
          <w:sz w:val="24"/>
          <w:highlight w:val="none"/>
        </w:rPr>
        <w:t>超过保修期，则由此产生的修理费用及甲方损失由乙方负责。</w:t>
      </w:r>
    </w:p>
    <w:p w14:paraId="5334432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7.1.6 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”使用期间内，乙方应向甲方持续提供维护支持、技术支持和备件支持。乙方向甲方提供的备件价格不得高于当时同种型号的市场价格。</w:t>
      </w:r>
    </w:p>
    <w:p w14:paraId="4E655FAB">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8.</w:t>
      </w:r>
      <w:r>
        <w:rPr>
          <w:rFonts w:hint="eastAsia" w:ascii="宋体" w:hAnsi="宋体" w:cs="宋体"/>
          <w:color w:val="auto"/>
          <w:sz w:val="24"/>
          <w:highlight w:val="none"/>
        </w:rPr>
        <w:t>索赔</w:t>
      </w:r>
    </w:p>
    <w:p w14:paraId="06A461B9">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8.1</w:t>
      </w:r>
      <w:r>
        <w:rPr>
          <w:rFonts w:hint="eastAsia" w:ascii="宋体" w:hAnsi="宋体" w:cs="宋体"/>
          <w:color w:val="auto"/>
          <w:kern w:val="0"/>
          <w:sz w:val="24"/>
          <w:highlight w:val="none"/>
        </w:rPr>
        <w:t>如果</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在制造、验收和保证期内乙方未能履行其在本合同项下所承担的义务，甲方有权寻求本条款规定的任意或全部救济方式。</w:t>
      </w:r>
    </w:p>
    <w:p w14:paraId="1ED4399C">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8.2在本合同“</w:t>
      </w:r>
      <w:r>
        <w:rPr>
          <w:rFonts w:hint="eastAsia" w:ascii="宋体" w:hAnsi="宋体" w:cs="宋体"/>
          <w:color w:val="auto"/>
          <w:sz w:val="24"/>
          <w:highlight w:val="none"/>
          <w:lang w:eastAsia="zh-CN"/>
        </w:rPr>
        <w:t>货物</w:t>
      </w:r>
      <w:r>
        <w:rPr>
          <w:rFonts w:hint="eastAsia" w:ascii="宋体" w:hAnsi="宋体" w:cs="宋体"/>
          <w:color w:val="auto"/>
          <w:sz w:val="24"/>
          <w:highlight w:val="none"/>
        </w:rPr>
        <w:t>”使用期内，如发现乙方提供的“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”有缺陷或不符合合同规定时，甲方有权凭有关管理部门的检验证书或验收文件向乙方提出索赔。乙方应立即无偿换货或退货，并负担由此产生的费用和损失。乙方对整体</w:t>
      </w:r>
      <w:r>
        <w:rPr>
          <w:rFonts w:hint="eastAsia" w:ascii="宋体" w:hAnsi="宋体" w:cs="宋体"/>
          <w:color w:val="auto"/>
          <w:sz w:val="24"/>
          <w:highlight w:val="none"/>
          <w:lang w:eastAsia="zh-CN"/>
        </w:rPr>
        <w:t>货物</w:t>
      </w:r>
      <w:r>
        <w:rPr>
          <w:rFonts w:hint="eastAsia" w:ascii="宋体" w:hAnsi="宋体" w:cs="宋体"/>
          <w:color w:val="auto"/>
          <w:sz w:val="24"/>
          <w:highlight w:val="none"/>
        </w:rPr>
        <w:t>及配件的更换期限或退款期限不迟于收到甲方通知后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日。如乙方</w:t>
      </w:r>
      <w:r>
        <w:rPr>
          <w:rFonts w:hint="eastAsia" w:ascii="宋体" w:hAnsi="宋体" w:cs="宋体"/>
          <w:color w:val="auto"/>
          <w:kern w:val="0"/>
          <w:sz w:val="24"/>
          <w:highlight w:val="none"/>
        </w:rPr>
        <w:t>不能按期派遣人员到工作现场，甲方有权自行消除缺陷或不符合合同之处，由此产生的一切费用均由乙方承担。</w:t>
      </w:r>
    </w:p>
    <w:p w14:paraId="5BEC27D7">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 xml:space="preserve">8.3 </w:t>
      </w:r>
      <w:r>
        <w:rPr>
          <w:rFonts w:hint="eastAsia" w:ascii="宋体" w:hAnsi="宋体" w:cs="宋体"/>
          <w:color w:val="auto"/>
          <w:kern w:val="0"/>
          <w:sz w:val="24"/>
          <w:highlight w:val="none"/>
        </w:rPr>
        <w:t>由乙方自付费用以新</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替换有缺陷的合同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，同时乙方应在重新起算的保证期内对替换后的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作出质量保证。乙方应自负风险和费用将替换后的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或补供的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运抵工作现场。</w:t>
      </w:r>
    </w:p>
    <w:p w14:paraId="1F5DE98B">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8.4 乙方按质量低劣的程度、甲方受损害的程度及损失的数额对合同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进行降价。</w:t>
      </w:r>
    </w:p>
    <w:p w14:paraId="2AF6CC8D">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8.5 乙方赔偿由乙方违约引起的甲方所受损失。</w:t>
      </w:r>
    </w:p>
    <w:p w14:paraId="7F173E56">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8.6 乙方应在收到甲方索赔要求后</w:t>
      </w:r>
      <w:r>
        <w:rPr>
          <w:rFonts w:hint="eastAsia" w:ascii="宋体" w:hAnsi="宋体" w:cs="宋体"/>
          <w:color w:val="auto"/>
          <w:sz w:val="24"/>
          <w:highlight w:val="none"/>
          <w:u w:val="single"/>
          <w:lang w:val="en-US" w:eastAsia="zh-CN"/>
        </w:rPr>
        <w:t xml:space="preserve">  </w:t>
      </w:r>
      <w:r>
        <w:rPr>
          <w:rFonts w:hint="eastAsia" w:ascii="宋体" w:hAnsi="宋体" w:cs="宋体"/>
          <w:color w:val="auto"/>
          <w:kern w:val="0"/>
          <w:sz w:val="24"/>
          <w:highlight w:val="none"/>
        </w:rPr>
        <w:t>日内作出回复。乙方应在甲方发出索赔通知后</w:t>
      </w:r>
      <w:r>
        <w:rPr>
          <w:rFonts w:hint="eastAsia" w:ascii="宋体" w:hAnsi="宋体" w:cs="宋体"/>
          <w:color w:val="auto"/>
          <w:sz w:val="24"/>
          <w:highlight w:val="none"/>
          <w:u w:val="single"/>
          <w:lang w:val="en-US" w:eastAsia="zh-CN"/>
        </w:rPr>
        <w:t xml:space="preserve">  </w:t>
      </w:r>
      <w:r>
        <w:rPr>
          <w:rFonts w:hint="eastAsia" w:ascii="宋体" w:hAnsi="宋体" w:cs="宋体"/>
          <w:color w:val="auto"/>
          <w:kern w:val="0"/>
          <w:sz w:val="24"/>
          <w:highlight w:val="none"/>
        </w:rPr>
        <w:t>日内，按照甲方同意的方法解决索赔事宜。</w:t>
      </w:r>
    </w:p>
    <w:p w14:paraId="48D3FAE1">
      <w:pPr>
        <w:autoSpaceDE w:val="0"/>
        <w:autoSpaceDN w:val="0"/>
        <w:adjustRightInd w:val="0"/>
        <w:spacing w:line="500" w:lineRule="exact"/>
        <w:ind w:firstLine="480" w:firstLineChars="200"/>
        <w:jc w:val="left"/>
        <w:rPr>
          <w:rFonts w:ascii="宋体" w:hAnsi="宋体" w:cs="宋体"/>
          <w:b/>
          <w:color w:val="auto"/>
          <w:sz w:val="24"/>
          <w:highlight w:val="none"/>
        </w:rPr>
      </w:pPr>
      <w:r>
        <w:rPr>
          <w:rFonts w:hint="eastAsia" w:ascii="宋体" w:hAnsi="宋体" w:cs="宋体"/>
          <w:color w:val="auto"/>
          <w:kern w:val="0"/>
          <w:sz w:val="24"/>
          <w:highlight w:val="none"/>
        </w:rPr>
        <w:t>8.7 如果乙方在收到甲方索赔要求后</w:t>
      </w:r>
      <w:r>
        <w:rPr>
          <w:rFonts w:hint="eastAsia" w:ascii="宋体" w:hAnsi="宋体" w:cs="宋体"/>
          <w:color w:val="auto"/>
          <w:sz w:val="24"/>
          <w:highlight w:val="none"/>
          <w:u w:val="single"/>
          <w:lang w:val="en-US" w:eastAsia="zh-CN"/>
        </w:rPr>
        <w:t xml:space="preserve">  </w:t>
      </w:r>
      <w:r>
        <w:rPr>
          <w:rFonts w:hint="eastAsia" w:ascii="宋体" w:hAnsi="宋体" w:cs="宋体"/>
          <w:color w:val="auto"/>
          <w:kern w:val="0"/>
          <w:sz w:val="24"/>
          <w:highlight w:val="none"/>
        </w:rPr>
        <w:t>日内未能作出回复，该索赔要求将被视为已被乙方接受。如乙方未能在甲方发出索赔通知后</w:t>
      </w:r>
      <w:r>
        <w:rPr>
          <w:rFonts w:hint="eastAsia" w:ascii="宋体" w:hAnsi="宋体" w:cs="宋体"/>
          <w:color w:val="auto"/>
          <w:sz w:val="24"/>
          <w:highlight w:val="none"/>
          <w:u w:val="single"/>
          <w:lang w:val="en-US" w:eastAsia="zh-CN"/>
        </w:rPr>
        <w:t xml:space="preserve">  </w:t>
      </w:r>
      <w:r>
        <w:rPr>
          <w:rFonts w:hint="eastAsia" w:ascii="宋体" w:hAnsi="宋体" w:cs="宋体"/>
          <w:color w:val="auto"/>
          <w:kern w:val="0"/>
          <w:sz w:val="24"/>
          <w:highlight w:val="none"/>
        </w:rPr>
        <w:t>日内或甲方同意的延长期限内，按照甲方同意的上述规定的方法解决索赔事宜，甲方有权从乙方开具的履约保证金及</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保修金中扣回或要求乙方支付索赔金额。</w:t>
      </w:r>
      <w:bookmarkStart w:id="182" w:name="_Toc181673968"/>
    </w:p>
    <w:bookmarkEnd w:id="182"/>
    <w:p w14:paraId="05C1656E">
      <w:pPr>
        <w:spacing w:line="500" w:lineRule="exact"/>
        <w:ind w:firstLine="482" w:firstLineChars="200"/>
        <w:jc w:val="lef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9.不可抗力</w:t>
      </w:r>
    </w:p>
    <w:p w14:paraId="7D47B591">
      <w:pPr>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如部分或者全部因下列人力不可控制的原因而致使合同义务没有或延迟履行</w:t>
      </w:r>
      <w:r>
        <w:rPr>
          <w:rFonts w:hint="eastAsia" w:ascii="宋体" w:hAnsi="宋体" w:cs="宋体"/>
          <w:color w:val="auto"/>
          <w:sz w:val="24"/>
          <w:highlight w:val="none"/>
          <w:lang w:eastAsia="zh-CN"/>
        </w:rPr>
        <w:t>，</w:t>
      </w:r>
      <w:r>
        <w:rPr>
          <w:rFonts w:hint="eastAsia" w:ascii="宋体" w:hAnsi="宋体" w:cs="宋体"/>
          <w:color w:val="auto"/>
          <w:sz w:val="24"/>
          <w:highlight w:val="none"/>
        </w:rPr>
        <w:t>合同各方均不承担任何违约责任，包括且限于：战争、叛乱暴动、地震、洪水。在上述情况下，受不可抗力影响的一方应当及时将不可抗力的情况以书面方式通知本合同的另一方，并将预计的或者实际延迟期限以及有关细节通知另一方。如果不可抗力导致的延迟期限达到了天，而且合同双方未能就本合同的进一步执行和修改达成合同的话，任何一方在向另一方提前</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天发出书面通知之后，可以解除本合同。</w:t>
      </w:r>
    </w:p>
    <w:p w14:paraId="13AC1EC4">
      <w:pPr>
        <w:spacing w:line="5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10.违约责任</w:t>
      </w:r>
    </w:p>
    <w:p w14:paraId="74411638">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 xml:space="preserve">10.1 </w:t>
      </w:r>
      <w:r>
        <w:rPr>
          <w:rFonts w:hint="eastAsia" w:ascii="宋体" w:hAnsi="宋体" w:cs="宋体"/>
          <w:color w:val="auto"/>
          <w:kern w:val="0"/>
          <w:sz w:val="24"/>
          <w:highlight w:val="none"/>
        </w:rPr>
        <w:t>如果乙方有下述违约行为，在不妨碍甲方</w:t>
      </w:r>
      <w:r>
        <w:rPr>
          <w:rFonts w:hint="eastAsia" w:ascii="宋体" w:hAnsi="宋体" w:cs="宋体"/>
          <w:color w:val="auto"/>
          <w:kern w:val="0"/>
          <w:sz w:val="24"/>
          <w:highlight w:val="none"/>
          <w:lang w:eastAsia="zh-CN"/>
        </w:rPr>
        <w:t>其他</w:t>
      </w:r>
      <w:r>
        <w:rPr>
          <w:rFonts w:hint="eastAsia" w:ascii="宋体" w:hAnsi="宋体" w:cs="宋体"/>
          <w:color w:val="auto"/>
          <w:kern w:val="0"/>
          <w:sz w:val="24"/>
          <w:highlight w:val="none"/>
        </w:rPr>
        <w:t>救济手段的情况下，甲方可以向乙方发出书面违约通知，全部或部分地终止合同，并要求乙方</w:t>
      </w:r>
      <w:r>
        <w:rPr>
          <w:rFonts w:hint="eastAsia" w:ascii="宋体" w:hAnsi="宋体" w:cs="宋体"/>
          <w:color w:val="auto"/>
          <w:sz w:val="24"/>
          <w:highlight w:val="none"/>
        </w:rPr>
        <w:t>承担合同总金额的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r>
        <w:rPr>
          <w:rFonts w:hint="eastAsia" w:ascii="宋体" w:hAnsi="宋体" w:cs="宋体"/>
          <w:color w:val="auto"/>
          <w:kern w:val="0"/>
          <w:sz w:val="24"/>
          <w:highlight w:val="none"/>
        </w:rPr>
        <w:t>。</w:t>
      </w:r>
    </w:p>
    <w:p w14:paraId="79789825">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10.1.1 乙方在合同规定的交货期后日内仍未能交付合同</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 xml:space="preserve">； </w:t>
      </w:r>
    </w:p>
    <w:p w14:paraId="2032ECC4">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10.1.2 乙方未能使</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达到规定的最低技术性能和保证指标；</w:t>
      </w:r>
    </w:p>
    <w:p w14:paraId="40EB16F0">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10.1.3 乙方未能履行合同项下任何</w:t>
      </w:r>
      <w:r>
        <w:rPr>
          <w:rFonts w:hint="eastAsia" w:ascii="宋体" w:hAnsi="宋体" w:cs="宋体"/>
          <w:color w:val="auto"/>
          <w:kern w:val="0"/>
          <w:sz w:val="24"/>
          <w:highlight w:val="none"/>
          <w:lang w:eastAsia="zh-CN"/>
        </w:rPr>
        <w:t>其他</w:t>
      </w:r>
      <w:r>
        <w:rPr>
          <w:rFonts w:hint="eastAsia" w:ascii="宋体" w:hAnsi="宋体" w:cs="宋体"/>
          <w:color w:val="auto"/>
          <w:kern w:val="0"/>
          <w:sz w:val="24"/>
          <w:highlight w:val="none"/>
        </w:rPr>
        <w:t>义务，并且在收到甲方违约通知后日内仍未能对其违约行为作出补救。</w:t>
      </w:r>
    </w:p>
    <w:p w14:paraId="3EFAF861">
      <w:pPr>
        <w:spacing w:line="500" w:lineRule="exact"/>
        <w:ind w:firstLine="480" w:firstLineChars="200"/>
        <w:rPr>
          <w:rFonts w:ascii="宋体" w:hAnsi="宋体" w:cs="宋体"/>
          <w:color w:val="auto"/>
          <w:sz w:val="24"/>
          <w:highlight w:val="none"/>
        </w:rPr>
      </w:pPr>
      <w:r>
        <w:rPr>
          <w:rFonts w:hint="eastAsia" w:ascii="宋体" w:hAnsi="宋体" w:cs="宋体"/>
          <w:color w:val="auto"/>
          <w:kern w:val="0"/>
          <w:sz w:val="24"/>
          <w:highlight w:val="none"/>
        </w:rPr>
        <w:t xml:space="preserve">10.2  </w:t>
      </w:r>
      <w:r>
        <w:rPr>
          <w:rFonts w:hint="eastAsia" w:ascii="宋体" w:hAnsi="宋体" w:cs="宋体"/>
          <w:color w:val="auto"/>
          <w:sz w:val="24"/>
          <w:highlight w:val="none"/>
        </w:rPr>
        <w:t>由于乙方原因未能按期向甲方交付验收合格的“</w:t>
      </w:r>
      <w:r>
        <w:rPr>
          <w:rFonts w:hint="eastAsia" w:ascii="宋体" w:hAnsi="宋体" w:cs="宋体"/>
          <w:color w:val="auto"/>
          <w:sz w:val="24"/>
          <w:highlight w:val="none"/>
          <w:lang w:eastAsia="zh-CN"/>
        </w:rPr>
        <w:t>货物</w:t>
      </w:r>
      <w:r>
        <w:rPr>
          <w:rFonts w:hint="eastAsia" w:ascii="宋体" w:hAnsi="宋体" w:cs="宋体"/>
          <w:color w:val="auto"/>
          <w:sz w:val="24"/>
          <w:highlight w:val="none"/>
        </w:rPr>
        <w:t>”时，每逾1天，乙方向甲方支付合同金额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r>
        <w:rPr>
          <w:rFonts w:hint="eastAsia" w:ascii="宋体" w:hAnsi="宋体" w:cs="宋体"/>
          <w:color w:val="auto"/>
          <w:kern w:val="0"/>
          <w:sz w:val="24"/>
          <w:highlight w:val="none"/>
        </w:rPr>
        <w:t>如果逾期</w:t>
      </w:r>
      <w:r>
        <w:rPr>
          <w:rFonts w:hint="eastAsia" w:ascii="宋体" w:hAnsi="宋体" w:cs="宋体"/>
          <w:color w:val="auto"/>
          <w:sz w:val="24"/>
          <w:highlight w:val="none"/>
          <w:u w:val="single"/>
          <w:lang w:val="en-US" w:eastAsia="zh-CN"/>
        </w:rPr>
        <w:t xml:space="preserve">    </w:t>
      </w:r>
      <w:r>
        <w:rPr>
          <w:rFonts w:hint="eastAsia" w:ascii="宋体" w:hAnsi="宋体" w:cs="宋体"/>
          <w:color w:val="auto"/>
          <w:kern w:val="0"/>
          <w:sz w:val="24"/>
          <w:highlight w:val="none"/>
        </w:rPr>
        <w:t>天，乙方仍不能交付</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的，甲方有权解除合同，并要求乙方承担相应的违约责任</w:t>
      </w:r>
      <w:r>
        <w:rPr>
          <w:rFonts w:hint="eastAsia" w:ascii="宋体" w:hAnsi="宋体" w:cs="宋体"/>
          <w:color w:val="auto"/>
          <w:sz w:val="24"/>
          <w:highlight w:val="none"/>
        </w:rPr>
        <w:t>。</w:t>
      </w:r>
    </w:p>
    <w:p w14:paraId="3A56F80E">
      <w:pPr>
        <w:autoSpaceDE w:val="0"/>
        <w:autoSpaceDN w:val="0"/>
        <w:adjustRightInd w:val="0"/>
        <w:spacing w:line="50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10.3  在甲方全部或部分终止合同的情况下，甲方可以以适当的条件取得与未按合同规定交付的</w:t>
      </w:r>
      <w:r>
        <w:rPr>
          <w:rFonts w:hint="eastAsia" w:ascii="宋体" w:hAnsi="宋体" w:cs="宋体"/>
          <w:color w:val="auto"/>
          <w:kern w:val="0"/>
          <w:sz w:val="24"/>
          <w:highlight w:val="none"/>
          <w:lang w:eastAsia="zh-CN"/>
        </w:rPr>
        <w:t>货物</w:t>
      </w:r>
      <w:r>
        <w:rPr>
          <w:rFonts w:hint="eastAsia" w:ascii="宋体" w:hAnsi="宋体" w:cs="宋体"/>
          <w:color w:val="auto"/>
          <w:kern w:val="0"/>
          <w:sz w:val="24"/>
          <w:highlight w:val="none"/>
        </w:rPr>
        <w:t>和/或服务，乙方应承担甲方由此发生的额外费用。</w:t>
      </w:r>
    </w:p>
    <w:p w14:paraId="71D97AB1">
      <w:pPr>
        <w:spacing w:line="500" w:lineRule="exact"/>
        <w:ind w:firstLine="480" w:firstLineChars="200"/>
        <w:rPr>
          <w:rFonts w:ascii="宋体" w:hAnsi="宋体" w:cs="宋体"/>
          <w:color w:val="auto"/>
          <w:sz w:val="24"/>
          <w:highlight w:val="none"/>
        </w:rPr>
      </w:pPr>
      <w:r>
        <w:rPr>
          <w:rFonts w:hint="eastAsia" w:ascii="宋体" w:hAnsi="宋体" w:cs="宋体"/>
          <w:color w:val="auto"/>
          <w:kern w:val="0"/>
          <w:sz w:val="24"/>
          <w:highlight w:val="none"/>
        </w:rPr>
        <w:t>10.4</w:t>
      </w:r>
      <w:r>
        <w:rPr>
          <w:rFonts w:hint="eastAsia" w:ascii="宋体" w:hAnsi="宋体" w:cs="宋体"/>
          <w:color w:val="auto"/>
          <w:sz w:val="24"/>
          <w:highlight w:val="none"/>
        </w:rPr>
        <w:t>合同签订后，双方均不得无故更改或终止合同。若因一方原因而导致合同无法继续履行，违约方应赔偿因此而给守约方带来的损失，并承担合同金额的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14:paraId="777C7968">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11.</w:t>
      </w:r>
      <w:r>
        <w:rPr>
          <w:rFonts w:hint="eastAsia" w:ascii="宋体" w:hAnsi="宋体" w:cs="宋体"/>
          <w:color w:val="auto"/>
          <w:sz w:val="24"/>
          <w:highlight w:val="none"/>
        </w:rPr>
        <w:t>公开</w:t>
      </w:r>
    </w:p>
    <w:p w14:paraId="5DA25F3C">
      <w:pPr>
        <w:spacing w:line="500" w:lineRule="exact"/>
        <w:ind w:left="1" w:firstLine="480" w:firstLineChars="200"/>
        <w:rPr>
          <w:rFonts w:ascii="宋体" w:hAnsi="宋体" w:cs="宋体"/>
          <w:color w:val="auto"/>
          <w:sz w:val="24"/>
          <w:highlight w:val="none"/>
        </w:rPr>
      </w:pPr>
      <w:r>
        <w:rPr>
          <w:rFonts w:hint="eastAsia" w:ascii="宋体" w:hAnsi="宋体" w:cs="宋体"/>
          <w:color w:val="auto"/>
          <w:sz w:val="24"/>
          <w:highlight w:val="none"/>
        </w:rPr>
        <w:t>任何一方，如果没有得到另一方的书面同意，不得对外公布任何与本合同有关的消息。</w:t>
      </w:r>
    </w:p>
    <w:p w14:paraId="5C0882F5">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12.</w:t>
      </w:r>
      <w:r>
        <w:rPr>
          <w:rFonts w:hint="eastAsia" w:ascii="宋体" w:hAnsi="宋体" w:cs="宋体"/>
          <w:color w:val="auto"/>
          <w:sz w:val="24"/>
          <w:highlight w:val="none"/>
        </w:rPr>
        <w:t>适用法律</w:t>
      </w:r>
    </w:p>
    <w:p w14:paraId="18668867">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本合同的解释和执行适用中华人民共和国法律。</w:t>
      </w:r>
    </w:p>
    <w:p w14:paraId="7CECE4B6">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13.</w:t>
      </w:r>
      <w:r>
        <w:rPr>
          <w:rFonts w:hint="eastAsia" w:ascii="宋体" w:hAnsi="宋体" w:cs="宋体"/>
          <w:color w:val="auto"/>
          <w:sz w:val="24"/>
          <w:highlight w:val="none"/>
        </w:rPr>
        <w:t>转让</w:t>
      </w:r>
    </w:p>
    <w:p w14:paraId="2074C07A">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除非合同双方另有约定，任何一方都不得将本合同以及本合同项下的任何权利义务，直接或者间接地转让给任何第三方。</w:t>
      </w:r>
    </w:p>
    <w:p w14:paraId="13045907">
      <w:pPr>
        <w:spacing w:line="5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14.其他约定事项</w:t>
      </w:r>
    </w:p>
    <w:p w14:paraId="341BF6F5">
      <w:pPr>
        <w:spacing w:line="500" w:lineRule="exact"/>
        <w:ind w:left="2" w:firstLine="480" w:firstLineChars="200"/>
        <w:rPr>
          <w:rFonts w:ascii="宋体" w:hAnsi="宋体" w:cs="宋体"/>
          <w:color w:val="auto"/>
          <w:sz w:val="24"/>
          <w:highlight w:val="none"/>
        </w:rPr>
      </w:pPr>
      <w:r>
        <w:rPr>
          <w:rFonts w:hint="eastAsia" w:ascii="宋体" w:hAnsi="宋体" w:cs="宋体"/>
          <w:color w:val="auto"/>
          <w:sz w:val="24"/>
          <w:highlight w:val="none"/>
        </w:rPr>
        <w:t>14.1本合同在履行过程中如发生纠纷，双方应协商解决，协商不成，均可向</w:t>
      </w:r>
      <w:r>
        <w:rPr>
          <w:rFonts w:hint="eastAsia" w:ascii="宋体" w:hAnsi="宋体" w:cs="宋体"/>
          <w:color w:val="auto"/>
          <w:sz w:val="24"/>
          <w:highlight w:val="none"/>
          <w:lang w:val="en-US" w:eastAsia="zh-CN"/>
        </w:rPr>
        <w:t>项目当地</w:t>
      </w:r>
      <w:r>
        <w:rPr>
          <w:rFonts w:hint="eastAsia" w:ascii="宋体" w:hAnsi="宋体" w:cs="宋体"/>
          <w:color w:val="auto"/>
          <w:sz w:val="24"/>
          <w:highlight w:val="none"/>
        </w:rPr>
        <w:t>人民法院起诉。</w:t>
      </w:r>
    </w:p>
    <w:p w14:paraId="34D6ECF0">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14.2本合同双方签字盖章后正式生效。</w:t>
      </w:r>
    </w:p>
    <w:p w14:paraId="59DE666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14.3本合同一式</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份，甲方执</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份，乙方执</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份，均具有同等法律效力。</w:t>
      </w:r>
    </w:p>
    <w:p w14:paraId="0C92B38C">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14.4本合同未尽事宜，双方协商解决或另立合同，但不得与本合同抵触。</w:t>
      </w:r>
    </w:p>
    <w:p w14:paraId="5FB7E26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14.5本合同履行完后自动终止。</w:t>
      </w:r>
    </w:p>
    <w:p w14:paraId="31AEB769">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合同各方授权代表签字如下：</w:t>
      </w:r>
    </w:p>
    <w:p w14:paraId="3272B132">
      <w:pPr>
        <w:spacing w:line="480" w:lineRule="exact"/>
        <w:ind w:firstLine="240" w:firstLineChars="100"/>
        <w:rPr>
          <w:rFonts w:ascii="宋体" w:hAnsi="宋体" w:cs="宋体"/>
          <w:color w:val="auto"/>
          <w:sz w:val="24"/>
          <w:highlight w:val="none"/>
        </w:rPr>
      </w:pPr>
    </w:p>
    <w:p w14:paraId="7824A246">
      <w:pPr>
        <w:spacing w:line="480" w:lineRule="exact"/>
        <w:ind w:firstLine="240" w:firstLineChars="100"/>
        <w:rPr>
          <w:rFonts w:ascii="宋体" w:hAnsi="宋体" w:cs="宋体"/>
          <w:color w:val="auto"/>
          <w:sz w:val="24"/>
          <w:highlight w:val="none"/>
        </w:rPr>
      </w:pPr>
    </w:p>
    <w:p w14:paraId="2376C9FF">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甲方：                                     乙方： </w:t>
      </w:r>
    </w:p>
    <w:p w14:paraId="67B64D1B">
      <w:pPr>
        <w:spacing w:line="480" w:lineRule="exact"/>
        <w:ind w:firstLine="240" w:firstLineChars="100"/>
        <w:rPr>
          <w:rFonts w:ascii="宋体" w:hAnsi="宋体" w:cs="宋体"/>
          <w:color w:val="auto"/>
          <w:sz w:val="24"/>
          <w:highlight w:val="none"/>
        </w:rPr>
      </w:pPr>
    </w:p>
    <w:p w14:paraId="1A024CF3">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法定代表人签字：                           法定代表人签字：</w:t>
      </w:r>
    </w:p>
    <w:p w14:paraId="24E55737">
      <w:pPr>
        <w:spacing w:line="480" w:lineRule="exact"/>
        <w:ind w:firstLine="240" w:firstLineChars="100"/>
        <w:rPr>
          <w:rFonts w:ascii="宋体" w:hAnsi="宋体" w:cs="宋体"/>
          <w:color w:val="auto"/>
          <w:sz w:val="24"/>
          <w:highlight w:val="none"/>
        </w:rPr>
      </w:pPr>
    </w:p>
    <w:p w14:paraId="5A598F5B">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地址：                                     地址：</w:t>
      </w:r>
    </w:p>
    <w:p w14:paraId="5A3E46AC">
      <w:pPr>
        <w:spacing w:line="480" w:lineRule="exact"/>
        <w:ind w:firstLine="240" w:firstLineChars="100"/>
        <w:rPr>
          <w:rFonts w:ascii="宋体" w:hAnsi="宋体" w:cs="宋体"/>
          <w:color w:val="auto"/>
          <w:sz w:val="24"/>
          <w:highlight w:val="none"/>
        </w:rPr>
      </w:pPr>
    </w:p>
    <w:p w14:paraId="148F668A">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596F8D22">
      <w:pPr>
        <w:spacing w:line="480" w:lineRule="exact"/>
        <w:ind w:firstLine="240" w:firstLineChars="100"/>
        <w:rPr>
          <w:rFonts w:ascii="宋体" w:hAnsi="宋体" w:cs="宋体"/>
          <w:color w:val="auto"/>
          <w:sz w:val="24"/>
          <w:highlight w:val="none"/>
        </w:rPr>
      </w:pPr>
    </w:p>
    <w:p w14:paraId="34DFB8BA">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开户行：                                   开户行：</w:t>
      </w:r>
    </w:p>
    <w:p w14:paraId="3C28FCFC">
      <w:pPr>
        <w:spacing w:line="480" w:lineRule="exact"/>
        <w:ind w:firstLine="240" w:firstLineChars="100"/>
        <w:rPr>
          <w:rFonts w:ascii="宋体" w:hAnsi="宋体" w:cs="宋体"/>
          <w:color w:val="auto"/>
          <w:sz w:val="24"/>
          <w:highlight w:val="none"/>
        </w:rPr>
      </w:pPr>
    </w:p>
    <w:p w14:paraId="5DA7FC38">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账号：                                     账号：</w:t>
      </w:r>
    </w:p>
    <w:p w14:paraId="5FA3D977">
      <w:pPr>
        <w:spacing w:line="480" w:lineRule="exact"/>
        <w:ind w:firstLine="240" w:firstLineChars="100"/>
        <w:rPr>
          <w:rFonts w:ascii="宋体" w:hAnsi="宋体" w:cs="宋体"/>
          <w:color w:val="auto"/>
          <w:sz w:val="24"/>
          <w:highlight w:val="none"/>
        </w:rPr>
      </w:pPr>
    </w:p>
    <w:p w14:paraId="1F74F93A">
      <w:pPr>
        <w:spacing w:line="480" w:lineRule="exact"/>
        <w:ind w:firstLine="240" w:firstLineChars="100"/>
        <w:rPr>
          <w:rFonts w:ascii="宋体" w:hAnsi="宋体" w:cs="宋体"/>
          <w:color w:val="auto"/>
          <w:sz w:val="24"/>
          <w:highlight w:val="none"/>
        </w:rPr>
      </w:pPr>
      <w:r>
        <w:rPr>
          <w:rFonts w:hint="eastAsia" w:ascii="宋体" w:hAnsi="宋体" w:cs="宋体"/>
          <w:color w:val="auto"/>
          <w:sz w:val="24"/>
          <w:highlight w:val="none"/>
        </w:rPr>
        <w:t>邮政编码：                                 邮政编码：</w:t>
      </w:r>
    </w:p>
    <w:p w14:paraId="15D79457">
      <w:pPr>
        <w:spacing w:line="480" w:lineRule="exact"/>
        <w:ind w:firstLine="240" w:firstLineChars="100"/>
        <w:jc w:val="left"/>
        <w:outlineLvl w:val="0"/>
        <w:rPr>
          <w:rFonts w:ascii="宋体" w:hAnsi="宋体" w:cs="宋体"/>
          <w:color w:val="auto"/>
          <w:sz w:val="24"/>
          <w:highlight w:val="none"/>
        </w:rPr>
      </w:pPr>
      <w:bookmarkStart w:id="183" w:name="_Toc30039"/>
      <w:bookmarkStart w:id="184" w:name="_Toc9996"/>
    </w:p>
    <w:p w14:paraId="6CAAB0C1">
      <w:pPr>
        <w:spacing w:line="480" w:lineRule="exact"/>
        <w:ind w:firstLine="240" w:firstLineChars="100"/>
        <w:jc w:val="left"/>
        <w:outlineLvl w:val="0"/>
        <w:rPr>
          <w:rFonts w:ascii="宋体" w:hAnsi="宋体" w:cs="宋体"/>
          <w:color w:val="auto"/>
          <w:szCs w:val="21"/>
          <w:highlight w:val="none"/>
        </w:rPr>
      </w:pPr>
      <w:r>
        <w:rPr>
          <w:rFonts w:hint="eastAsia" w:ascii="宋体" w:hAnsi="宋体" w:cs="宋体"/>
          <w:color w:val="auto"/>
          <w:sz w:val="24"/>
          <w:highlight w:val="none"/>
        </w:rPr>
        <w:t>签订时间：                                 签订时间</w:t>
      </w:r>
      <w:bookmarkEnd w:id="183"/>
      <w:bookmarkEnd w:id="184"/>
      <w:r>
        <w:rPr>
          <w:rFonts w:hint="eastAsia" w:ascii="宋体" w:hAnsi="宋体" w:cs="宋体"/>
          <w:color w:val="auto"/>
          <w:sz w:val="24"/>
          <w:highlight w:val="none"/>
        </w:rPr>
        <w:t>：</w:t>
      </w:r>
    </w:p>
    <w:p w14:paraId="3AF0945B">
      <w:pPr>
        <w:spacing w:afterLines="100" w:line="900" w:lineRule="exact"/>
        <w:jc w:val="center"/>
        <w:rPr>
          <w:rFonts w:hint="eastAsia" w:ascii="宋体" w:cs="宋体"/>
          <w:b/>
          <w:color w:val="auto"/>
          <w:sz w:val="44"/>
          <w:szCs w:val="44"/>
          <w:highlight w:val="none"/>
        </w:rPr>
        <w:sectPr>
          <w:headerReference r:id="rId9" w:type="default"/>
          <w:footerReference r:id="rId10" w:type="default"/>
          <w:pgSz w:w="11906" w:h="16838"/>
          <w:pgMar w:top="1440" w:right="1080" w:bottom="1440" w:left="1080" w:header="851" w:footer="992" w:gutter="0"/>
          <w:pgNumType w:fmt="decimal"/>
          <w:cols w:space="425" w:num="1"/>
          <w:docGrid w:type="lines" w:linePitch="312" w:charSpace="0"/>
        </w:sectPr>
      </w:pPr>
    </w:p>
    <w:p w14:paraId="4C5E890F">
      <w:pPr>
        <w:spacing w:afterLines="100" w:line="900" w:lineRule="exact"/>
        <w:jc w:val="center"/>
        <w:rPr>
          <w:rFonts w:ascii="宋体" w:cs="宋体"/>
          <w:b/>
          <w:color w:val="auto"/>
          <w:sz w:val="44"/>
          <w:szCs w:val="44"/>
          <w:highlight w:val="none"/>
        </w:rPr>
      </w:pPr>
      <w:r>
        <w:rPr>
          <w:rFonts w:hint="eastAsia" w:ascii="宋体" w:cs="宋体"/>
          <w:b/>
          <w:color w:val="auto"/>
          <w:sz w:val="44"/>
          <w:szCs w:val="44"/>
          <w:highlight w:val="none"/>
        </w:rPr>
        <w:t>第五章</w:t>
      </w:r>
      <w:r>
        <w:rPr>
          <w:rFonts w:hint="eastAsia" w:ascii="宋体" w:cs="宋体"/>
          <w:b/>
          <w:color w:val="auto"/>
          <w:sz w:val="44"/>
          <w:szCs w:val="44"/>
          <w:highlight w:val="none"/>
          <w:lang w:val="en-US" w:eastAsia="zh-CN"/>
        </w:rPr>
        <w:t xml:space="preserve"> </w:t>
      </w:r>
      <w:r>
        <w:rPr>
          <w:rFonts w:hint="eastAsia" w:ascii="宋体" w:cs="宋体"/>
          <w:b/>
          <w:color w:val="auto"/>
          <w:sz w:val="44"/>
          <w:szCs w:val="44"/>
          <w:highlight w:val="none"/>
        </w:rPr>
        <w:t>采购需求</w:t>
      </w:r>
    </w:p>
    <w:p w14:paraId="3692F42D">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一、采购标的需实现的功能或者目标，以及为落实政府采购政策需满足的要求；</w:t>
      </w:r>
    </w:p>
    <w:p w14:paraId="680D094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1.采购标的需实现的功能或者目标：</w:t>
      </w:r>
      <w:r>
        <w:rPr>
          <w:rFonts w:hint="eastAsia" w:ascii="宋体" w:hAnsi="宋体" w:cs="宋体"/>
          <w:color w:val="auto"/>
          <w:sz w:val="24"/>
          <w:highlight w:val="none"/>
        </w:rPr>
        <w:t>德宏州公安局</w:t>
      </w:r>
      <w:r>
        <w:rPr>
          <w:rFonts w:hint="eastAsia" w:ascii="宋体" w:hAnsi="宋体" w:cs="宋体"/>
          <w:color w:val="auto"/>
          <w:sz w:val="24"/>
          <w:highlight w:val="none"/>
          <w:lang w:eastAsia="zh-CN"/>
        </w:rPr>
        <w:t>特巡警支队</w:t>
      </w:r>
      <w:r>
        <w:rPr>
          <w:rFonts w:hint="eastAsia" w:ascii="宋体" w:hAnsi="宋体" w:cs="宋体"/>
          <w:color w:val="auto"/>
          <w:sz w:val="24"/>
          <w:highlight w:val="none"/>
        </w:rPr>
        <w:t>采购</w:t>
      </w:r>
      <w:r>
        <w:rPr>
          <w:rFonts w:hint="eastAsia" w:ascii="宋体" w:hAnsi="宋体" w:cs="宋体"/>
          <w:color w:val="auto"/>
          <w:sz w:val="24"/>
          <w:highlight w:val="none"/>
          <w:lang w:eastAsia="zh-CN"/>
        </w:rPr>
        <w:t>“维稳处突装备”</w:t>
      </w:r>
      <w:r>
        <w:rPr>
          <w:rFonts w:hint="eastAsia" w:ascii="宋体" w:hAnsi="宋体" w:cs="宋体"/>
          <w:color w:val="auto"/>
          <w:sz w:val="24"/>
          <w:highlight w:val="none"/>
          <w:lang w:val="en-US" w:eastAsia="zh-CN"/>
        </w:rPr>
        <w:t>一批</w:t>
      </w:r>
      <w:r>
        <w:rPr>
          <w:rFonts w:hint="eastAsia" w:ascii="宋体" w:hAnsi="宋体" w:cs="宋体"/>
          <w:bCs/>
          <w:color w:val="auto"/>
          <w:sz w:val="24"/>
          <w:highlight w:val="none"/>
        </w:rPr>
        <w:t>。</w:t>
      </w:r>
    </w:p>
    <w:p w14:paraId="702A8B0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2.为落实政府采购政策需满足的要求</w:t>
      </w:r>
    </w:p>
    <w:p w14:paraId="7A7D5D87">
      <w:pPr>
        <w:pStyle w:val="22"/>
        <w:keepNext w:val="0"/>
        <w:keepLines w:val="0"/>
        <w:pageBreakBefore w:val="0"/>
        <w:kinsoku/>
        <w:wordWrap/>
        <w:overflowPunct/>
        <w:topLinePunct w:val="0"/>
        <w:autoSpaceDE/>
        <w:autoSpaceDN/>
        <w:bidi w:val="0"/>
        <w:adjustRightInd/>
        <w:snapToGrid/>
        <w:spacing w:after="0" w:line="480" w:lineRule="exact"/>
        <w:ind w:left="0" w:leftChars="0"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（1）本项目不属于专门面向中小企业采购的项目；</w:t>
      </w:r>
    </w:p>
    <w:p w14:paraId="4DE81AA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Cs/>
          <w:color w:val="auto"/>
          <w:sz w:val="24"/>
          <w:highlight w:val="none"/>
        </w:rPr>
      </w:pPr>
      <w:r>
        <w:rPr>
          <w:rFonts w:hint="eastAsia" w:ascii="宋体" w:hAnsi="宋体" w:cs="宋体"/>
          <w:color w:val="auto"/>
          <w:sz w:val="24"/>
          <w:highlight w:val="none"/>
        </w:rPr>
        <w:t>（2）</w:t>
      </w:r>
      <w:r>
        <w:rPr>
          <w:rFonts w:hint="eastAsia" w:ascii="宋体" w:hAnsi="宋体" w:eastAsia="宋体" w:cs="宋体"/>
          <w:color w:val="auto"/>
          <w:sz w:val="24"/>
          <w:szCs w:val="24"/>
          <w:highlight w:val="none"/>
        </w:rPr>
        <w:t>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r>
        <w:rPr>
          <w:rFonts w:hint="eastAsia" w:ascii="宋体" w:hAnsi="宋体" w:cs="宋体"/>
          <w:bCs/>
          <w:color w:val="auto"/>
          <w:sz w:val="24"/>
          <w:highlight w:val="none"/>
        </w:rPr>
        <w:t>。</w:t>
      </w:r>
    </w:p>
    <w:p w14:paraId="47E9C3AC">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二、采购标的需执行的国家相关标准、行业标准、地方标准或者其他标准、规范；</w:t>
      </w:r>
    </w:p>
    <w:p w14:paraId="1F66EFA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color w:val="auto"/>
          <w:highlight w:val="none"/>
        </w:rPr>
      </w:pPr>
      <w:r>
        <w:rPr>
          <w:rFonts w:hint="eastAsia" w:ascii="宋体" w:hAnsi="宋体" w:cs="宋体"/>
          <w:color w:val="auto"/>
          <w:sz w:val="24"/>
          <w:highlight w:val="none"/>
        </w:rPr>
        <w:t>依据《中华人民共和国政府采购法》、中华人民共和国财政部令第87号《政府采购货物和服务招标投标管理办法》、财库〔2019〕38号《财政部关于促进政府采购公平竞争优化营商环境的通知》等相关法律法规，根据德宏州公安局实际需求，编制采购标准，满足采购人使用需求。</w:t>
      </w:r>
    </w:p>
    <w:p w14:paraId="046C57F0">
      <w:pPr>
        <w:numPr>
          <w:ilvl w:val="0"/>
          <w:numId w:val="2"/>
        </w:num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采购标的需满足的质量、安全、技术规格、物理特性等要求；</w:t>
      </w:r>
    </w:p>
    <w:tbl>
      <w:tblPr>
        <w:tblStyle w:val="23"/>
        <w:tblW w:w="9647" w:type="dxa"/>
        <w:jc w:val="center"/>
        <w:tblLayout w:type="fixed"/>
        <w:tblCellMar>
          <w:top w:w="0" w:type="dxa"/>
          <w:left w:w="108" w:type="dxa"/>
          <w:bottom w:w="0" w:type="dxa"/>
          <w:right w:w="108" w:type="dxa"/>
        </w:tblCellMar>
      </w:tblPr>
      <w:tblGrid>
        <w:gridCol w:w="512"/>
        <w:gridCol w:w="1479"/>
        <w:gridCol w:w="3696"/>
        <w:gridCol w:w="750"/>
        <w:gridCol w:w="675"/>
        <w:gridCol w:w="1170"/>
        <w:gridCol w:w="1365"/>
      </w:tblGrid>
      <w:tr w14:paraId="1461D2E1">
        <w:tblPrEx>
          <w:tblCellMar>
            <w:top w:w="0" w:type="dxa"/>
            <w:left w:w="108" w:type="dxa"/>
            <w:bottom w:w="0" w:type="dxa"/>
            <w:right w:w="108" w:type="dxa"/>
          </w:tblCellMar>
        </w:tblPrEx>
        <w:trPr>
          <w:trHeight w:val="737"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2E5C1F20">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1479" w:type="dxa"/>
            <w:tcBorders>
              <w:top w:val="single" w:color="000000" w:sz="4" w:space="0"/>
              <w:left w:val="single" w:color="000000" w:sz="4" w:space="0"/>
              <w:bottom w:val="single" w:color="000000" w:sz="4" w:space="0"/>
              <w:right w:val="single" w:color="000000" w:sz="4" w:space="0"/>
            </w:tcBorders>
            <w:noWrap/>
            <w:vAlign w:val="center"/>
          </w:tcPr>
          <w:p w14:paraId="05AA0069">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产品名称</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3F96B162">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需求参数</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726C9AE">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数量</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F30BD4D">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计量</w:t>
            </w:r>
          </w:p>
          <w:p w14:paraId="5AD49580">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单位</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54BCA2F">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单价</w:t>
            </w:r>
            <w:r>
              <w:rPr>
                <w:rFonts w:hint="eastAsia" w:ascii="宋体" w:hAnsi="宋体" w:eastAsia="宋体" w:cs="宋体"/>
                <w:b/>
                <w:bCs/>
                <w:color w:val="auto"/>
                <w:kern w:val="0"/>
                <w:sz w:val="21"/>
                <w:szCs w:val="21"/>
                <w:highlight w:val="none"/>
              </w:rPr>
              <w:t>最高限价（元）</w:t>
            </w:r>
          </w:p>
        </w:tc>
        <w:tc>
          <w:tcPr>
            <w:tcW w:w="1365" w:type="dxa"/>
            <w:tcBorders>
              <w:top w:val="single" w:color="000000" w:sz="4" w:space="0"/>
              <w:left w:val="single" w:color="000000" w:sz="4" w:space="0"/>
              <w:bottom w:val="single" w:color="000000" w:sz="4" w:space="0"/>
              <w:right w:val="single" w:color="000000" w:sz="4" w:space="0"/>
            </w:tcBorders>
            <w:noWrap/>
            <w:vAlign w:val="center"/>
          </w:tcPr>
          <w:p w14:paraId="6881F8F0">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总价</w:t>
            </w:r>
            <w:r>
              <w:rPr>
                <w:rFonts w:hint="eastAsia" w:ascii="宋体" w:hAnsi="宋体" w:eastAsia="宋体" w:cs="宋体"/>
                <w:b/>
                <w:bCs/>
                <w:color w:val="auto"/>
                <w:kern w:val="0"/>
                <w:sz w:val="21"/>
                <w:szCs w:val="21"/>
                <w:highlight w:val="none"/>
              </w:rPr>
              <w:t>最高限价（元）</w:t>
            </w:r>
          </w:p>
        </w:tc>
      </w:tr>
      <w:tr w14:paraId="55A91C9F">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6A9DA9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3E993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破锁枪</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34F3B6F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1.专用于抽取锁芯而不破坏门的结构。操作简单迅速，可在2-3min之间破坏门锁芯打开防盗门，</w:t>
            </w:r>
          </w:p>
          <w:p w14:paraId="419614B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配 置：专用特种钻头螺丝，锁芯拔除器、锁芯切断器、换向扳手、专用电钻、电池、充电器、锁舌转动器、除锈润滑剂、定位器、辅助工具、可锁防水防尘工程塑料箱。</w:t>
            </w:r>
          </w:p>
          <w:p w14:paraId="167F05A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2.充电式电钻：</w:t>
            </w:r>
          </w:p>
          <w:p w14:paraId="037AF34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速度：一级齿轮：≥450转/分；二级齿轮：≥1400转/分；三级齿轮：≥1800转/分；</w:t>
            </w:r>
          </w:p>
          <w:p w14:paraId="46D8AFC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冲击：一级齿轮：≥7650转/分；二级齿轮:≥23800转/分；三级齿轮:≥30600转/分；</w:t>
            </w:r>
          </w:p>
          <w:p w14:paraId="15690E3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3.钢材/木材/混凝土最大钻孔能力分别：≥13mm/≥45mm/≥14mm；</w:t>
            </w:r>
          </w:p>
          <w:p w14:paraId="0B883F4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4.重量（不含电池组）：≤1.7千克。</w:t>
            </w:r>
          </w:p>
          <w:p w14:paraId="1735E466">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5.镍镉电池组：电压：14.4V±0.2V；容量：≥2.4安时；重量：≤0.7千克。</w:t>
            </w:r>
          </w:p>
          <w:p w14:paraId="4F96DAB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6.充电器：充电电池：14.4V±0.2V DC；电网电压：230V±20V AC，50Hz±5Hz。</w:t>
            </w:r>
          </w:p>
          <w:p w14:paraId="581E9C6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7.充电时间：≤60分钟。</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EA472">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B91B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支</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A7FDFB">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69867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r>
      <w:tr w14:paraId="789FE175">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50E42062">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43B9B">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射击计时表</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69A0A9E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1.功能: 记忆存储 /召回，可査看 10 个字符串和无限数量的镜头。自定义参数适用于单个或多个参数时间设置,具有可变延迟时间间隔和第一个百分之一秒设置。</w:t>
            </w:r>
          </w:p>
          <w:p w14:paraId="41B2B01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2.双向正向和反向回顾功能。</w:t>
            </w:r>
          </w:p>
          <w:p w14:paraId="3F939B4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3.固定 / 随机 /即时自定义延迟可用。</w:t>
            </w:r>
          </w:p>
          <w:p w14:paraId="320B311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4.镜头侦测麦克风，具有不少于8个预编程数字灵敏度设置，</w:t>
            </w:r>
          </w:p>
          <w:p w14:paraId="0AB30CF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5.超大声开始哔声超过 110 分贝</w:t>
            </w:r>
          </w:p>
          <w:p w14:paraId="453A0C6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6.带有低电量 LCD 指示灯的可充电电池。</w:t>
            </w:r>
          </w:p>
          <w:p w14:paraId="654C5B7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7.规格:（100 x47 x18.5）±2 (mm)</w:t>
            </w:r>
          </w:p>
          <w:p w14:paraId="72B924F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8.工作电池:≥1000MA                                                                                                                   </w:t>
            </w:r>
          </w:p>
          <w:p w14:paraId="23C34A4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9.使用时间：≥25小时</w:t>
            </w:r>
          </w:p>
          <w:p w14:paraId="6210FA0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10.待机时长:≥33天</w:t>
            </w:r>
          </w:p>
          <w:p w14:paraId="460D546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11.产品重量：≤80g</w:t>
            </w:r>
          </w:p>
          <w:p w14:paraId="5AAA39F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12.灵敏度:不小于0.01秒</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044B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62709">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5A0C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5D46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7500.00 </w:t>
            </w:r>
          </w:p>
        </w:tc>
      </w:tr>
      <w:tr w14:paraId="3995A4E5">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607E1180">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B69D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降噪通讯耳机</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11D2832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降噪模式：自适应智能降噪模式，侦听模式</w:t>
            </w:r>
          </w:p>
          <w:p w14:paraId="0B79A7B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拾音特性：全向</w:t>
            </w:r>
          </w:p>
          <w:p w14:paraId="17930A7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主动降噪阈值：≈85dB</w:t>
            </w:r>
          </w:p>
          <w:p w14:paraId="705F14B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阻抗特性：≥32Ω</w:t>
            </w:r>
          </w:p>
          <w:p w14:paraId="2E9D80D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频响特性：全频段</w:t>
            </w:r>
          </w:p>
          <w:p w14:paraId="34F2835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环境音音频声响：20-15000Hz</w:t>
            </w:r>
          </w:p>
          <w:p w14:paraId="7DD6C1D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降噪值：≥26dB</w:t>
            </w:r>
          </w:p>
          <w:p w14:paraId="2872A5B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灵敏度：-38dB（±3dB，各频率平均值）</w:t>
            </w:r>
          </w:p>
          <w:p w14:paraId="30C319A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电池类型：AAA 7号干电池*2</w:t>
            </w:r>
          </w:p>
          <w:p w14:paraId="334A9D8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防水等级：≥IP66</w:t>
            </w:r>
          </w:p>
          <w:p w14:paraId="7B58AAD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材质：ABS+尼龙</w:t>
            </w:r>
          </w:p>
          <w:p w14:paraId="0CB5C12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重量：≤389g</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30292">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15</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A8A62">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A233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4E9C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22500.00 </w:t>
            </w:r>
          </w:p>
        </w:tc>
      </w:tr>
      <w:tr w14:paraId="53C935D0">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18A4EAE3">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7A919">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内红点全息瞄准镜 </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748DC12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手枪红点瞄准镜适配于各种手枪，为射手提供更加精确的瞄标。该产品可快速双眼瞄准，瞄准精度高，大大提高射手的作战能力。同时手枪瞄准镜还可以并联在普通带倍率的白光镜上，方便对近距离目标瞄准射击。</w:t>
            </w:r>
          </w:p>
          <w:p w14:paraId="34C49F1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产品特点：不拆瞄准镜可更换电池，避免瞄准镜拆卸引起重新光轴校正；定制图标LED光源，红点、红圈、点圈三种瞄标图案；精密消光纹设计，无杂光，无鬼像；航空铝合金7075全切削加工，稳定性更好；硬质黑色氧化表面处理，无喷涂，耐用性更强；有主动查询电量功能，更加实时掌握电池电量。</w:t>
            </w:r>
          </w:p>
          <w:p w14:paraId="48F1961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3.光学性能：倍率：1X；视窗大小：（22.8mm×16mm）±3mm（有效最大尺寸）；瞄标形式：红点/红圈/点圈；红点大小：≤3MOA；视差大小：≤2MOA；</w:t>
            </w:r>
          </w:p>
          <w:p w14:paraId="786AC18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4.采用不可更换电池。</w:t>
            </w:r>
          </w:p>
          <w:p w14:paraId="014B71D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5.连续工作时间：≥10000小时（中等亮度）</w:t>
            </w:r>
          </w:p>
          <w:p w14:paraId="635267E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6.亮度设置：9档白天/2档夜视（可定制亮度级别）</w:t>
            </w:r>
          </w:p>
          <w:p w14:paraId="08C2D09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7.材料：航空铝材</w:t>
            </w:r>
          </w:p>
          <w:p w14:paraId="1DDB305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8.外形尺寸：≤50mm×35mm×30mm（不含接口）</w:t>
            </w:r>
          </w:p>
          <w:p w14:paraId="27573756">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9.重量：≤50g（不含接口）</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4CEE0">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414E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1CD8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2500.00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40EF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25000.00 </w:t>
            </w:r>
          </w:p>
        </w:tc>
      </w:tr>
      <w:tr w14:paraId="497DC358">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45EF7FF3">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D41B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验枪桶</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494F9C6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1.外观：表面为警用蓝，验枪桶的表面镀层均匀一致，无明显的焦斑、起泡、剥落、划痕等缺陷。</w:t>
            </w:r>
          </w:p>
          <w:p w14:paraId="4915040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2.结构：钢质验枪筒，由筒身、上盖和脚轮构成。</w:t>
            </w:r>
          </w:p>
          <w:p w14:paraId="1E86AA7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3.尺寸：内径：450mm±5mm；外径：500mm±5mm,总高≤700mm；壁厚：5mm±0.5mm；桶底厚：≥10mm；桶盖直径：50cm±5mm；拉环：100mm±5mm；把手宽度：15cm±5cm；轮子直径：7.5cm±1cm，不少于3个万向轮；总重量：≤52kg(不包含沙土)</w:t>
            </w:r>
          </w:p>
          <w:p w14:paraId="666A1F7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4.耐盐雾：湿度：（35±2）℃，盐溶液浓度（5±1）%，盐溶液PH值：6.5-7.2，沉降率：（1.0-2.0）ml/h*80cm2，试验时间16h，试验后验枪桶整体无锈蚀，应能正常使用。</w:t>
            </w:r>
          </w:p>
          <w:p w14:paraId="35EE010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5.防弹性能：桶内装上沙子（至沙土标志线），橡胶垫放在沙子上，依次使用54式7.62mm手枪、79式7.62mm轻型冲锋枪，向桶内单发射弹3发，射击实验后，弹头和弹片未穿透验枪桶桶底，未弹出验枪桶外。</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1094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51AE8">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F21E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2000.00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F17BE">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4000.00 </w:t>
            </w:r>
          </w:p>
        </w:tc>
      </w:tr>
      <w:tr w14:paraId="76128EC8">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062679AF">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B4774">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防毒面具(过滤罐)</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1F87D29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执行标准：GB 2890-2022《呼吸防护 自吸过滤式防毒面具》                                                                             1.一般要求：面罩边缘平滑，无明显棱角和毛刺，无影响气密性的缺陷。面罩与面部紧密贴合，无明显压痛感，面罩的固定系统应能根据佩戴者的需要调节。面罩观察眼窗视物真实。</w:t>
            </w:r>
          </w:p>
          <w:p w14:paraId="19946426">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2.高低温适应性：面罩按照顺序依次在 (70±3)℃，相对湿度小于 20%条件下放置(72±3) h；(70 ± 3 )℃,相对湿度 (95〜100) %条件下放置(72 ±3) h； (-30±3)℃条件 下放置(24±1) h后，应无明显变形，螺纹连接部分应能与过滤件很好地连接。</w:t>
            </w:r>
          </w:p>
          <w:p w14:paraId="61E6BFB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3.呼气阀气密性：呼气阀应有保护其不受损害的呼气阀盖，呼气阀应具有良好的动作性能。全面罩：当呼气阀减压 至-1180Pa时，全面罩呼气 阀于45s内负压值下降≤500Pa（312Pa、310Pa、311Pa、308Pa）o半面罩：当呼气阀减压 至-1180Pa时，半面罩呼气 阀恢复正常压的时间≥20s（全面罩不适用）o</w:t>
            </w:r>
          </w:p>
          <w:p w14:paraId="72816CF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4.吸气阻力：全面罩：≤40Pa（24Pa、27Pa、26Pa）；半面罩：≤20Pa（全面罩不适用）；</w:t>
            </w:r>
          </w:p>
          <w:p w14:paraId="2CFC8D4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5.呼气阀阻力：全面罩：≤100Pa（40Pa、39Pa、42Pa）；半面罩：≤50Pa（全面罩不适用）；</w:t>
            </w:r>
          </w:p>
          <w:p w14:paraId="2E20292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6.过滤件结合强度：全面罩：与过滤件接头经250N拉力，持续10s,无明显的破坏；半面罩：与过滤件接头经 50N拉力，持续10s,无明显的破坏。</w:t>
            </w:r>
          </w:p>
          <w:p w14:paraId="1F5E35C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7.头带强度：全面罩头带应能经受 150N的拉力，持续时间10s, 不发生破断；半面罩头带应能经受50N 的拉力，持续时间10s,不发生破断；</w:t>
            </w:r>
          </w:p>
          <w:p w14:paraId="36AB6ED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8.外观要求：过滤件外观应平滑，无毛刺，无影响致密性的缺陷。</w:t>
            </w:r>
          </w:p>
          <w:p w14:paraId="6EE78EE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9.质量：直接连接全面罩的过滤件≤500g，直接连接半面罩的过滤件≤300g；</w:t>
            </w:r>
          </w:p>
          <w:p w14:paraId="49DF348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10.致密性：罐型过滤件：过滤件浸没水中，距水面2cm,保持(15 ±2) kPa的加压，1min内不应产生气泡；盒型过滤件：应密封包装</w:t>
            </w:r>
          </w:p>
          <w:p w14:paraId="01B33B5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11、防护时间：≥29min；级别：2级；类型：B型，综合过滤件；测试介质：氢氰酸</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D38C2">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FC9D5">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10D2D">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320.00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18ED2">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6400.00 </w:t>
            </w:r>
          </w:p>
        </w:tc>
      </w:tr>
      <w:tr w14:paraId="4456D3C3">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3A7059F2">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89DA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轻型抛投锚钩器</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460AA57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1.符合 GB/T 27906-2011《救生抛投器》标准要求。</w:t>
            </w:r>
          </w:p>
          <w:p w14:paraId="603F19C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2.发射主机（含折叠枪托）：工作压力 ≥7.0MP ；发射主机重量≤3KG，配可折叠枪托。</w:t>
            </w:r>
          </w:p>
          <w:p w14:paraId="3030FBB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3.动力源标配普通压缩空气充气装置及便携式CO2气瓶充气装置CO2 气瓶容量≥45g。</w:t>
            </w:r>
          </w:p>
          <w:p w14:paraId="0C00D15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陆地救援弹及水用救援弹：陆地救援弹与水用救援弹由高强度工程塑料为主材，弹体颜色与发射主机均采用醒目、易于识别的橙色。固定尾翼内置铝合金骨架，固定尾翼确保弹头飞行姿态稳定，具备抗风性能。陆用救援弹、水用救援弹和自动充气救生圈可重复使用，救援弹入水 5 秒内自动充气成为救生圈，救生圈浮力 ≥8kg。</w:t>
            </w:r>
          </w:p>
          <w:p w14:paraId="629A98A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5.发射枪体与压缩气瓶导气管采用快接方式，配有压力表，可实时监控、调整发射体内的发射压力。</w:t>
            </w:r>
          </w:p>
          <w:p w14:paraId="0F59520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6.破断强度：牵引绳：断裂强度≥3000N;救援绳：断裂强度≥6800N;可折叠锚钩可承受能力≥400KG,锚钩抛绳6毫米高分子绳拉力 ≥12.31KN 。</w:t>
            </w:r>
          </w:p>
          <w:p w14:paraId="44350A0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7.抛射性能：救援绳或牵引绳 抛投距离≥180米，抛射偏差角≤1.73°；救援绳或水浮绳抛投距离为≥120米，偏差角≤1.60°；发射锚钩抛投距离≥80米，偏差角为≤3°。</w:t>
            </w:r>
          </w:p>
          <w:p w14:paraId="44DE200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8.配有可快速回收救援绳的装置。</w:t>
            </w:r>
          </w:p>
          <w:p w14:paraId="2E9A11E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9.整套救生抛投器包括：发射主机（含折叠枪托及收绳器）1套；45g CO2气瓶不少于8只；16克CO2压缩气瓶不少于4只；陆地救援弹及水用救援弹各不少于2套；训练抛射头不少于1个；水溶药片触发剂不少于4个，水用保护套不少于1个，救生绳包不少于1个，吹绳器不少于1个，减压充气器不少于1个，外接充气接头不少于1个，铝合金手提箱不少于1个。</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59D6E">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B5D85">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28897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13500.00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3C74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13500.00 </w:t>
            </w:r>
          </w:p>
        </w:tc>
      </w:tr>
      <w:tr w14:paraId="27EB7A9F">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439B1761">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26C8D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快反装备包</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6A833B9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配备：包含多功能战术背包、救生圈、多功能约束叉、轻型碳纤维防暴臂盾、可卷曲防刺服、警戒约束带、气溶胶灭火器、多功能警示灯、可重复使用约束带、破窗器</w:t>
            </w:r>
          </w:p>
          <w:p w14:paraId="19B281B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一、多功能战术背包参数</w:t>
            </w:r>
          </w:p>
          <w:p w14:paraId="2C250C4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1.尺寸：≥55cm*30cm*10cm。</w:t>
            </w:r>
          </w:p>
          <w:p w14:paraId="194D0F6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2.材料：500D尼龙。</w:t>
            </w:r>
          </w:p>
          <w:p w14:paraId="06B154E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3.重量：≤2.2kg。</w:t>
            </w:r>
          </w:p>
          <w:p w14:paraId="41000E2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功能：战术背包采用500D尼龙制作，有很好的耐磨和耐腐蚀性能，背包本体包括内层的表面固定连接有防潮层及加强层，具有很好的防水防潮性能，防撞缓冲性能。肩带及背部位置采用三明治式软垫设计，提高舒适性，以及透气性。背包外部，侧面及侧面仓袋增加魔术贴及MOLLE系统，可粘贴标识牌，可悬挂单警装备，以及其他户外防护装备。</w:t>
            </w:r>
          </w:p>
          <w:p w14:paraId="4124351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5.战术包MOLLE功能很强大，主包可DIY性很强，通过不同的组合搭配，能达到理想的携带效果而且很轻便。</w:t>
            </w:r>
          </w:p>
          <w:p w14:paraId="4986304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二、救生圈参数</w:t>
            </w:r>
          </w:p>
          <w:p w14:paraId="7D4A45C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1.颜色：橙色</w:t>
            </w:r>
          </w:p>
          <w:p w14:paraId="247CB46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2.质量：≤0.3kg</w:t>
            </w:r>
          </w:p>
          <w:p w14:paraId="43E8977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3.型状：长条形</w:t>
            </w:r>
          </w:p>
          <w:p w14:paraId="1902923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4.材料：TPU复合材料</w:t>
            </w:r>
          </w:p>
          <w:p w14:paraId="4EFBBAC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5.充气时间：≤5S</w:t>
            </w:r>
          </w:p>
          <w:p w14:paraId="076D5DC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6.浮力：≥74N</w:t>
            </w:r>
          </w:p>
          <w:p w14:paraId="564BDEF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7.承重：≥120kg</w:t>
            </w:r>
          </w:p>
          <w:p w14:paraId="409679A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三、多功能约束叉参数</w:t>
            </w:r>
          </w:p>
          <w:p w14:paraId="402D26D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多功能防暴叉是一种可快速拆装的约束装置，既能作为约束叉使用，又能拆卸叉头作为防暴长警棍或者短棍使用，同时还能与同类型长警棍或救援设备首尾相连，可无限延长，从而实现救援功能。实现一叉多用的目的。</w:t>
            </w:r>
          </w:p>
          <w:p w14:paraId="79DEEF8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2.产品由叉头与两节叉杆组合构成，叉杆为碳纤维构件，末端装有弧形插头，可通过触碰方式约束对象，多功能警用约束叉可快速拆卸组合为长警棍、短警棍、救援棍使用。</w:t>
            </w:r>
          </w:p>
          <w:p w14:paraId="353C1C4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3.警用约束叉的工作长度2005mm±5mm，警用约束叉的携行长度应小于或等于1300mm，为组合机构，其中叉头尺寸540mm±5mm、前叉杆752mm±5mm、后叉杆758mm±5mm。</w:t>
            </w:r>
          </w:p>
          <w:p w14:paraId="5444D73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4.警用约束叉的叉杆握持部位直径应在30mm〜35mm之间。</w:t>
            </w:r>
          </w:p>
          <w:p w14:paraId="39B557F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5.警用约束叉的叉头闭合缝隙应小于或等于1mm。</w:t>
            </w:r>
          </w:p>
          <w:p w14:paraId="0413979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6.警用约束叉的质量应小于或等于1.3kg。</w:t>
            </w:r>
          </w:p>
          <w:p w14:paraId="7A28D23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7.快速约束功能：通过触碰方式叉套被约束对象，当叉头触碰约束部位时，叉头应能迅速叉套并闭合。</w:t>
            </w:r>
          </w:p>
          <w:p w14:paraId="54ED4E2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8.自锁功能:警用约束叉叉头闭合后，叉头自内向外应不能自由开启。</w:t>
            </w:r>
          </w:p>
          <w:p w14:paraId="522DA57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9.状态转换时间:警用约束叉的携行状态与工作状态应能快速有效的转换，转换时间应小于或等于10s。</w:t>
            </w:r>
          </w:p>
          <w:p w14:paraId="4B6F495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10.警用约束叉在叉头闭合状态下，沿叉杆轴向承受800N的静拉力作用时，叉杆的连接部位、叉杆与叉头的连接部位及叉头部件等不应出现裂纹、断裂或拉脱，叉头横向开口尺寸应不大于20 mm。</w:t>
            </w:r>
          </w:p>
          <w:p w14:paraId="3B7B996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11.警用约束叉的叉头在闭合状态下，沿叉头开启、闭合方向承受500N的静拉力作用时，叉头部件、叉头与叉杆连接部件等不应出现裂纹、断裂或拉脱，叉头横向开口尺寸应不大于20mm</w:t>
            </w:r>
          </w:p>
          <w:p w14:paraId="6793CF2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12.警用约束叉叉杆的中点承受500N的横向力作用时，叉杆不应出现裂纹、断裂或拉脱。</w:t>
            </w:r>
          </w:p>
          <w:p w14:paraId="3888137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13.警用约束叉经过1500次开启、闭合循环后，应能正常使用。</w:t>
            </w:r>
          </w:p>
          <w:p w14:paraId="07556E5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14.约束叉叉杆连接装置可靠性:组合式约束叉的约束杆连接装置在正常连接、拆卸1000次后，应无卡、涩、滞现象，且能正常使用。</w:t>
            </w:r>
          </w:p>
          <w:p w14:paraId="2E2365F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需提供公安部产品质量检测中心出具的检测报告复印件。（其中“</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”参数技术参数需在该报告中体现予以佐证）</w:t>
            </w:r>
          </w:p>
          <w:p w14:paraId="37E9185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四、轻型碳纤维防暴臂盾参数</w:t>
            </w:r>
          </w:p>
          <w:p w14:paraId="58CFEDE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一般要求：防暴臂盾由盾体、握持装置、缓冲层和破窗装置组成。臂盾应佩戴灵活，便于握持、手感舒适，佩戴后手臂自由运动不受限制。防暴臂盾材料应无毒、对人体无自然伤害。</w:t>
            </w:r>
          </w:p>
          <w:p w14:paraId="69CF406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外观：臂盾表面应光滑，无可视的凹坑、气泡、毛刺、尖角、划伤、斑点、脱漆及起皮等缺陷。臂盾的握持装置应无毛刺、尖角等缺陷，便于握持、手感舒适。臂盾上外露金属结构件应经表面处理，无锈蚀现象。</w:t>
            </w:r>
          </w:p>
          <w:p w14:paraId="50CC9C1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材质：树脂增强碳纤维/芳纶纤维复合材料。</w:t>
            </w:r>
          </w:p>
          <w:p w14:paraId="2243BCA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标识：臂盾正面对应握持装置位置应有中文“警察”和英文“POLICE”字样,字样颜色为白色。</w:t>
            </w:r>
          </w:p>
          <w:p w14:paraId="3B30EF4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5</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尺寸要求：臂盾盾体厚度≤4mm，长度（不含破窗头）：500mm±20mm，投影宽度：280mm±20mm。</w:t>
            </w:r>
          </w:p>
          <w:p w14:paraId="2F435FA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6</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防护面积：≥0.14㎡</w:t>
            </w:r>
          </w:p>
          <w:p w14:paraId="0862642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7</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质量：≤1.2kg。</w:t>
            </w:r>
          </w:p>
          <w:p w14:paraId="31F4ABA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握把连接强度：握持装置的连接部件、握持装置与盾体的连接部件应能承受大于或等于500N的拉力。试验后，没有脱落、松动、脱扣或断裂现象。</w:t>
            </w:r>
          </w:p>
          <w:p w14:paraId="6B157D3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耐冲击强度：臂盾应能承受147J动能的冲击，冲击后受力点不应有穿洞或在受力点半径50mm之外出现贯穿性开裂。</w:t>
            </w:r>
          </w:p>
          <w:p w14:paraId="20A4BF6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耐穿刺性能：防暴臂盾应能承受147J动能的穿刺，穿刺后受力点不应有大于直径6mm的穿洞或在受力点半径20mm之外出现贯穿性开裂。</w:t>
            </w:r>
          </w:p>
          <w:p w14:paraId="44012AF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耐击打强度：臂盾应能承受线速度为18m/s±0.3m/s、能量为342J±13J的击打，击打后盾体不应破碎或出现长度大于50mm的贯穿性开裂，击打后盾体产生的最大凹陷深度应小于或等于20mm。</w:t>
            </w:r>
          </w:p>
          <w:p w14:paraId="2BC1D07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耐刀砍性能：臂盾的上边沿应能抵御线速度为8.5m/s士0.5m/s、能量为100J±5J的击砍，试验后刀砍痕迹深度应小于或等于30mm。</w:t>
            </w:r>
          </w:p>
          <w:p w14:paraId="74CE47F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阻燃性能：臂盾的盾体外表面续燃时间小于或等于10s。</w:t>
            </w:r>
          </w:p>
          <w:p w14:paraId="4FD44C5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温度适应性：高温：臂盾在环境温度55℃士2℃条件下，应符合耐击打强度要求；低温：臂盾在环境温度-30℃士2℃条件下，应符合耐击打强度要求。</w:t>
            </w:r>
          </w:p>
          <w:p w14:paraId="6CD198C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15</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抗钢珠冲击强度性能：臂盾盾体应能承受1g钢珠(直径6.0mm)以280m/s±10m/s速度冲击，冲击后盾体不应有穿透。</w:t>
            </w:r>
          </w:p>
          <w:p w14:paraId="60643BA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16</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破窗功能：臂盾前端有破窗头应能击破6mm 厚钢化玻璃。</w:t>
            </w:r>
          </w:p>
          <w:p w14:paraId="5C3F959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17</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防暴臂盾的握把应可折叠。</w:t>
            </w:r>
          </w:p>
          <w:p w14:paraId="38474987">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需提供公安部产品质量检测中心出具的检测报告复印件。（其中“</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”参数需在该报告中体现予以佐证）</w:t>
            </w:r>
          </w:p>
          <w:p w14:paraId="7F8C4FF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五、可卷曲防刺服参数</w:t>
            </w:r>
          </w:p>
          <w:p w14:paraId="474BBEB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1.执行标准：GA 68-2024《警用防刺服》；</w:t>
            </w:r>
          </w:p>
          <w:p w14:paraId="1234588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2.结构：由防刺服外套、防刺层、防刺层保护套组成，防刺等级为A类；采用锦丝搭扣带搭接，可调节肩、腰部尺寸，能快速卷曲收纳固定；</w:t>
            </w:r>
          </w:p>
          <w:p w14:paraId="4C545F5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3.防刺层结构：由多层薄金属片组成，金属片层数≥11层，单层厚度≥0.07mm；</w:t>
            </w:r>
          </w:p>
          <w:p w14:paraId="52286DC6">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4.防刺层保护套抗静水压：≥5级 ，抗静水压≥65kPa；</w:t>
            </w:r>
          </w:p>
          <w:p w14:paraId="2818A08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5.防护面积：≥0.252㎡；</w:t>
            </w:r>
          </w:p>
          <w:p w14:paraId="77449B6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6.质量：防刺服质量≤1.55 kg；防刺层（含防刺层保护套）前片质量：≤0.7kg;防刺层（含防刺层保护套）后片质量：≤0.7kg；</w:t>
            </w:r>
          </w:p>
          <w:p w14:paraId="541AC74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7.防刺层厚度≤1mm；防刺服（含外套、防刺层和防刺层保护套）厚度≤4mm；防刺层含防刺层保护套厚度≤1.23mm；</w:t>
            </w:r>
          </w:p>
          <w:p w14:paraId="5D8F491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8.防刺性能：应用D1刀具对防刺服以24J±0.5J撞击能量进行穿刺，在有效穿刺情况下防刺服不应出现穿透；</w:t>
            </w:r>
          </w:p>
          <w:p w14:paraId="16B2FF7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9.耐浸水性能：常温条件下，将防刺服浸入在0.5m深的自来水中静置 30 min，取出垂吊滴水5min后，然后进行防刺性能试验,试验应在 10 min 内完成，结果应符合防刺性能要求；</w:t>
            </w:r>
          </w:p>
          <w:p w14:paraId="0C96A1E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10.温度适应性：将防刺服放入温度为+55℃±2℃恒温箱内保持4h后，然后进行防刺性能试验,试验应在 10 min 内完成，结果应符合防刺性能要求；将防刺服放入温度为-20℃±2℃恒温箱内保持4h后，然后进行防刺性能试验,试验应在 10 min 内完成，结果应符合防刺性能要求；</w:t>
            </w:r>
          </w:p>
          <w:p w14:paraId="41B266E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11弯曲度：防刺服在外力作用下弯曲20mm时的作用力≤21N；</w:t>
            </w:r>
          </w:p>
          <w:p w14:paraId="4C6C461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12.防霰弹性能：常温状态下，使用霰弹枪和12号猎枪弹(装填直径1.75mm的10#弹丸)对防刺背心前胸和后背进行防弹性能试验，枪口距离样品15m，射击1发，防刺服(防护层保护区域)不应有穿透现象；</w:t>
            </w:r>
          </w:p>
          <w:p w14:paraId="06A8F13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13.抗柱状楔形体冲击性能：常温状态下，使用质量1.1g±0.02g的柱状楔形体以100m/s±10m/s的速度对防刺服的前片和后片进行冲击试验，各射击1发，防刺服(防护层保护区域)不应有穿透现象；</w:t>
            </w:r>
          </w:p>
          <w:p w14:paraId="24D3415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14.抗冲击强度性能：常温状态下，使用1g铅弹以200m/s±10m/s速度对防刺服的前片和后片进行试验，各射击1发，防刺服(防护层保护区域)不应有穿透现象；</w:t>
            </w:r>
          </w:p>
          <w:p w14:paraId="1C0F969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15.能量吸收性能：以100J的能量冲击防刺服，防刺服背面的压痕深度≤14.5mm；</w:t>
            </w:r>
          </w:p>
          <w:p w14:paraId="172A786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16.防刺服外套主面料性能要求：撕破强力：经向≥145N、纬向≥70N；耐摩擦色牢度：干摩≥4级、湿摩≥4级；耐酸汗渍色牢度：变色≥4级、沾色≥4级；耐碱汗渍色牢度：变色≥4级、沾色≥4级；耐洗色牢度：变色≥4级、沾色≥4级；耐光色牢度：＞5级；耐光、汗复合色牢度：酸性汗液≥4级、碱性汗液≥4级；</w:t>
            </w:r>
          </w:p>
          <w:p w14:paraId="54A88C9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17.防刺服魔术贴耐用扣合强度：≥7N/cm²；</w:t>
            </w:r>
          </w:p>
          <w:p w14:paraId="1D637C6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防刺服须经第三方保险机构承保，保险金额≥500万人民币，提供保险不低于500万的保险单复印件。</w:t>
            </w:r>
          </w:p>
          <w:p w14:paraId="220B1F91">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需提供公安部产品质量检测中心出具的检测合格的检测报告复印件（其中“</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”技术参数需在该报告中体现予以佐证）</w:t>
            </w:r>
          </w:p>
          <w:p w14:paraId="17866AC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六、警戒约束带参数</w:t>
            </w:r>
          </w:p>
          <w:p w14:paraId="3441806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尺寸：宽4.5±0.5㎝*长30±1m</w:t>
            </w:r>
          </w:p>
          <w:p w14:paraId="51B568C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材质：布基</w:t>
            </w:r>
          </w:p>
          <w:p w14:paraId="09A9313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七、气溶胶灭火器参数</w:t>
            </w:r>
          </w:p>
          <w:p w14:paraId="330AF7A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1.执行标准：XF 86-2009；</w:t>
            </w:r>
          </w:p>
          <w:p w14:paraId="76EB8F7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2.外观质量：外表面均色泽均匀，无明显流痕、龟裂、气泡、划痕和碰伤等缺陷。电镀件表面均无气泡、明显划痕和碰伤等缺陷。标志均端正、平服、不缺边少字，无明显皱褶和气泡等缺陷；</w:t>
            </w:r>
          </w:p>
          <w:p w14:paraId="11DB544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3.灭火级别：8B；</w:t>
            </w:r>
          </w:p>
          <w:p w14:paraId="71E2F53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4.有效喷射时间：≥15s；</w:t>
            </w:r>
          </w:p>
          <w:p w14:paraId="4F300E6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5.有效喷射距离：≥2.5m；</w:t>
            </w:r>
          </w:p>
          <w:p w14:paraId="56C120C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6.喷射滞后时间：≤1S；</w:t>
            </w:r>
          </w:p>
          <w:p w14:paraId="3C704B0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7.保险装置的解脱力：≤20N。</w:t>
            </w:r>
          </w:p>
          <w:p w14:paraId="21B7F29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八、肩灯参数</w:t>
            </w:r>
          </w:p>
          <w:p w14:paraId="5EE1FAC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1.警示灯外观表面应光滑，无明显的变形，不应用毛刺、起泡、腐蚀、划痕等缺陷;</w:t>
            </w:r>
          </w:p>
          <w:p w14:paraId="6E4312B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2.警示灯底部带有磁铁，可吸附在金属表面。</w:t>
            </w:r>
          </w:p>
          <w:p w14:paraId="487B799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3.组成：警示灯由红蓝 LED 发光单元、外壳、底部磁铁、内置可充电锂电池、开关、挂扣、TYPE-C充电接口、背夹、充电装置等组成。</w:t>
            </w:r>
          </w:p>
          <w:p w14:paraId="7F35CE3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4.尺寸:长度:69±1mm、宽度:7l±lmm；高度(不含背夹):24±1mm。</w:t>
            </w:r>
          </w:p>
          <w:p w14:paraId="7182E72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5.质量：总质量(含电池、背夹):75±2g。</w:t>
            </w:r>
          </w:p>
          <w:p w14:paraId="1CA7480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6.电量显示：警示灯具有电量显示功能，在关闭状态，短按开机键，由绿灯闪烁次数显示电量。</w:t>
            </w:r>
          </w:p>
          <w:p w14:paraId="30B0C72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7.频闪频率：红蓝 LED 在频闪状态下，频率为8±1Hz。</w:t>
            </w:r>
          </w:p>
          <w:p w14:paraId="4AF7023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8.连续工作时间：侧面15颗红蓝LED闪烁工作时间大于20h；正面5颗红蓝LED闪烁工作时间大于20h；正面侧面LE同时闪烁模式下，工作时间大于10h；LED 旋转模式下，工作时间大于12h。</w:t>
            </w:r>
          </w:p>
          <w:p w14:paraId="5D0F88E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9.最大发光强度：侧面红蓝 LED 闪烁最大发光强度≥1.5cd；正面红蓝LED闪烁最大发光强度≥2.5cd。</w:t>
            </w:r>
          </w:p>
          <w:p w14:paraId="681A977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10.抗跌落性能：自3m高度跌落水泥地面1次，试验后样品应能正常工作。</w:t>
            </w:r>
          </w:p>
          <w:p w14:paraId="2A1F499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九、可重复使用约束带参数</w:t>
            </w:r>
          </w:p>
          <w:p w14:paraId="438F743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1.由壳体和2条带锁牙的扎带组成，采用进口PA66高韧性尼龙材料注塑而成，适应气温-20℃到60℃的的执法环境。壳体上有对应的扎带插入孔以及钥匙孔。</w:t>
            </w:r>
          </w:p>
          <w:p w14:paraId="711E873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使用时，将嫌疑人双手分别套入两个扎带圈内拉动拉环即可实现自动锁紧。需要解锁时，将2018式单警手铐钥匙插入解锁孔内，当钥匙顶端从对向小孔露出2mm左右时，钥匙插入到位。此时，右侧孔往右旋转钥匙45°解除锁定，左侧孔往左旋转钥匙45°解除锁定。解锁时，拧动钥匙旋转45°角后，钥匙位置不变，另一只手向上提起扎带完成解锁过程。</w:t>
            </w:r>
          </w:p>
          <w:p w14:paraId="755C042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3.不小于80kg的动态承载拉力，配套金属加强环，可以实现130kg以上的动态承载拉力。</w:t>
            </w:r>
          </w:p>
          <w:p w14:paraId="4465516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4.长度：壳体尺寸（30*21）mm±3mm，扎带尺寸（400*12）mm±3mm。</w:t>
            </w:r>
          </w:p>
          <w:p w14:paraId="0C398FC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5.重量：≤25g。</w:t>
            </w:r>
          </w:p>
          <w:p w14:paraId="5A4803D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6.拉力：23℃ 时大于1100N；-30℃时大于1400N； 50℃ 时大于1100N。</w:t>
            </w:r>
          </w:p>
          <w:p w14:paraId="0737623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7.材质：优质塑料。</w:t>
            </w:r>
          </w:p>
          <w:p w14:paraId="26F4140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十、多功能破玻器参数</w:t>
            </w:r>
          </w:p>
          <w:p w14:paraId="011F361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1.多功能破玻器头部采用锥形钨钢能快速产生极大的压强使玻璃破碎，甄选高强度不锈钢刀片SK5合金钢材锻造工艺，关键时刻能快速割断安全带，U型开口防划伤手指无法伸入，醒目的荧光绿弱光状态易寻找。</w:t>
            </w:r>
          </w:p>
          <w:p w14:paraId="53CC9DE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2.材质成分：航空铝+塑胶</w:t>
            </w:r>
          </w:p>
          <w:p w14:paraId="6764EAE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3.直径：21mm±2mm</w:t>
            </w:r>
          </w:p>
          <w:p w14:paraId="7F39A68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4.总长：95.5mm±2mm</w:t>
            </w:r>
          </w:p>
          <w:p w14:paraId="009F7AF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5.重量：≤110克</w:t>
            </w:r>
          </w:p>
          <w:p w14:paraId="4410AE7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6.撞击柱子镶嵌合金粒硬度高，破窗能力强，使用弹射破窗，击发需要力量小，体积小，重量轻，方便随身携带，陆上水下，车窗是否贴膜，都能有效破窗。</w:t>
            </w:r>
          </w:p>
          <w:p w14:paraId="6D3B474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提供全套样品</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14699">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B184B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C88A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3800.00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8CA0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15200.00 </w:t>
            </w:r>
          </w:p>
        </w:tc>
      </w:tr>
      <w:tr w14:paraId="3EC59571">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4A289263">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753B0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移动存储器（100t无人机专用）</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399B5B1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1.产品材质：铝合金                                                           </w:t>
            </w:r>
          </w:p>
          <w:p w14:paraId="6163AA0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2.产品颜色：太空灰</w:t>
            </w:r>
          </w:p>
          <w:p w14:paraId="00B67F0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3.输出接口：USB3 0 Type-B</w:t>
            </w:r>
          </w:p>
          <w:p w14:paraId="4736B496">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4.传输速率：USB3.0 5Gbps</w:t>
            </w:r>
          </w:p>
          <w:p w14:paraId="33D1163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5.产品尺寸：≤259mm*146mm*196mm </w:t>
            </w:r>
          </w:p>
          <w:p w14:paraId="1C26D53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6.支持容量：不低于100T</w:t>
            </w:r>
          </w:p>
          <w:p w14:paraId="05756BE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7.安装方式：推拉式安装</w:t>
            </w:r>
          </w:p>
          <w:p w14:paraId="4AC1006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8.支持系统：Windows、MAcOS、Android</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125EB">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A00F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C609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23890.00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3A57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23890.00 </w:t>
            </w:r>
          </w:p>
        </w:tc>
      </w:tr>
      <w:tr w14:paraId="205C314D">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4AF0A02F">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7970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无人机诱捕单兵</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20352FC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1.冷启动初始化时间极短；</w:t>
            </w:r>
          </w:p>
          <w:p w14:paraId="5942F216">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2.覆盖导航频点多</w:t>
            </w:r>
          </w:p>
          <w:p w14:paraId="376ED9A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3.诱骗距离远</w:t>
            </w:r>
          </w:p>
          <w:p w14:paraId="150CBF5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4.支持24小时连续运行</w:t>
            </w:r>
          </w:p>
          <w:p w14:paraId="55E8839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5.可外接测向模块，支持定向驱离</w:t>
            </w:r>
          </w:p>
          <w:p w14:paraId="35558DF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6.支持网络通信(需定制）</w:t>
            </w:r>
          </w:p>
          <w:p w14:paraId="06B63C2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7.按键选择操作模式</w:t>
            </w:r>
          </w:p>
          <w:p w14:paraId="32BE2DE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8.支持 LED 状态接口</w:t>
            </w:r>
          </w:p>
          <w:p w14:paraId="13814CE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9.射频接口：N弯头*1       10.上电启动时间快，可以快速满足发 射要求</w:t>
            </w:r>
          </w:p>
          <w:p w14:paraId="770DDB6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11.具备对无人机的定向驱离操作（需外接测向模块）</w:t>
            </w:r>
          </w:p>
          <w:p w14:paraId="7E389CC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12.具备对无人机的禁飞区投射，迫使无人机自主迫降</w:t>
            </w:r>
          </w:p>
          <w:p w14:paraId="6E5E729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13.具备对无人机的导航干扰功能</w:t>
            </w:r>
          </w:p>
          <w:p w14:paraId="038B540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14.具备让无人机盘旋的功能</w:t>
            </w:r>
          </w:p>
          <w:p w14:paraId="6D92629E">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15.具备外接测向模块功能（串口）</w:t>
            </w:r>
          </w:p>
          <w:p w14:paraId="5F0DB5A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16.工作频段GPS、L1CA(1575.42MHz)、BDS B1I(1561.098MHz)、</w:t>
            </w:r>
          </w:p>
          <w:p w14:paraId="60DBE80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GLONASS G1(1602MHz)、GALILEO(1575.42MHz)、</w:t>
            </w:r>
          </w:p>
          <w:p w14:paraId="0CE072A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17.导航欺骗功能 无人机禁飞投射（迫降）、定向驱离</w:t>
            </w:r>
          </w:p>
          <w:p w14:paraId="0F2BA60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18.防御半径 ≥2km</w:t>
            </w:r>
          </w:p>
          <w:p w14:paraId="6026F85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19.诱骗介入时间 ≤10s</w:t>
            </w:r>
          </w:p>
          <w:p w14:paraId="33EC7A2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20.有效欺骗角度 水平：360° 垂直：±90°</w:t>
            </w:r>
          </w:p>
          <w:p w14:paraId="6673528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21.欺骗数量 无限架</w:t>
            </w:r>
          </w:p>
          <w:p w14:paraId="537E23D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22.信号发射功率≥18DbM</w:t>
            </w:r>
          </w:p>
          <w:p w14:paraId="62C82E1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23.持续发射时间 ≥24h</w:t>
            </w:r>
          </w:p>
          <w:p w14:paraId="710637F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24.功耗 ≤15w</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重量 ≤3㎏</w:t>
            </w:r>
          </w:p>
          <w:p w14:paraId="21AD13E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.外壳防护能力 IP65</w:t>
            </w:r>
          </w:p>
          <w:p w14:paraId="1EEBB4CA">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.工作范围 -40℃～+55℃</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3854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04164">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004E9">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180000.00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8D145">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180000.00 </w:t>
            </w:r>
          </w:p>
        </w:tc>
      </w:tr>
      <w:tr w14:paraId="6CAC0B74">
        <w:tblPrEx>
          <w:tblCellMar>
            <w:top w:w="0" w:type="dxa"/>
            <w:left w:w="108" w:type="dxa"/>
            <w:bottom w:w="0" w:type="dxa"/>
            <w:right w:w="108" w:type="dxa"/>
          </w:tblCellMar>
        </w:tblPrEx>
        <w:trPr>
          <w:trHeight w:val="240" w:hRule="atLeast"/>
          <w:jc w:val="center"/>
        </w:trPr>
        <w:tc>
          <w:tcPr>
            <w:tcW w:w="512" w:type="dxa"/>
            <w:tcBorders>
              <w:top w:val="single" w:color="000000" w:sz="4" w:space="0"/>
              <w:left w:val="single" w:color="000000" w:sz="4" w:space="0"/>
              <w:bottom w:val="single" w:color="000000" w:sz="4" w:space="0"/>
              <w:right w:val="single" w:color="000000" w:sz="4" w:space="0"/>
            </w:tcBorders>
            <w:noWrap/>
            <w:vAlign w:val="center"/>
          </w:tcPr>
          <w:p w14:paraId="2D76A33A">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14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2757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无人机系留电源设备</w:t>
            </w:r>
          </w:p>
        </w:tc>
        <w:tc>
          <w:tcPr>
            <w:tcW w:w="3696" w:type="dxa"/>
            <w:tcBorders>
              <w:top w:val="single" w:color="000000" w:sz="4" w:space="0"/>
              <w:left w:val="single" w:color="000000" w:sz="4" w:space="0"/>
              <w:bottom w:val="single" w:color="000000" w:sz="4" w:space="0"/>
              <w:right w:val="single" w:color="000000" w:sz="4" w:space="0"/>
            </w:tcBorders>
            <w:noWrap/>
            <w:vAlign w:val="center"/>
          </w:tcPr>
          <w:p w14:paraId="31E866BD">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系留箱额定输出电压应不低于790VDC，采用高压小电流方式可使得系留线缆更细更轻。</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184AFE98">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2.机载电源额定输出功率应不小于3000W，输出电压波动范围应不超过±1%，足功率、恒定稳压为无人机供电。</w:t>
            </w:r>
          </w:p>
          <w:p w14:paraId="22FB3B2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3.系留箱应无展开固定支架、收放导线杆、伸缩升降杆等额外操作，以实现快速部署作业。</w:t>
            </w:r>
          </w:p>
          <w:p w14:paraId="2FD5552E">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进行系留飞行作业，设备应能够跟随无人机起飞和降落进行自适应调整拉力而同步自动收放系留线缆，收放线过程中不应有任何开关、按键和旋钮等手动操作和控制。</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08279FD7">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进行系留飞行作业，在无人机自起飞至降落整个起降飞行作业过程中，不应有对设备进行任何近距离的手动操作，以提高飞行作业的专注度和安全性。</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6CCCB0DB">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6.设备在适配无人机进行系留飞行时，支持连续飞行时长应不小于24h。</w:t>
            </w:r>
          </w:p>
          <w:p w14:paraId="1C047E6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设备应能显示运行功率、出线长度、运行时长、总耗电量、设备温度、故障记录等数据，数据应能保存时长不小于1年，支持客户端数据查看和下载。</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17ACBEB3">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机载电源恒定稳压输出，适配无人机系留飞行时，与其并联的备用电池应无持续掉电量现象，可有效保护备用电池，同时确保其安全备份功能。</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12AB7700">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9.系留箱尺寸应不大于360×260×180mm，系留箱内部缠绕的系留线缆长度应不小于110m，以支持不低于100m的飞行高度。</w:t>
            </w:r>
          </w:p>
          <w:p w14:paraId="33C5566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10.系留箱重量应不大于8.5kg。</w:t>
            </w:r>
          </w:p>
          <w:p w14:paraId="16639D1D">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11.应配备双肩背包，以收纳系留箱、机载电源、附件以及文件资料等，可背负或手提。</w:t>
            </w:r>
          </w:p>
          <w:p w14:paraId="4FEE1B91">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照明灯组</w:t>
            </w:r>
            <w:r>
              <w:rPr>
                <w:rFonts w:hint="eastAsia" w:ascii="宋体" w:hAnsi="宋体" w:cs="宋体"/>
                <w:color w:val="auto"/>
                <w:kern w:val="2"/>
                <w:sz w:val="21"/>
                <w:szCs w:val="21"/>
                <w:highlight w:val="none"/>
                <w:lang w:val="en-US" w:eastAsia="zh-CN" w:bidi="ar-SA"/>
              </w:rPr>
              <w:t>：</w:t>
            </w:r>
          </w:p>
          <w:p w14:paraId="70506D05">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照明功率：≥1280W。</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161C335C">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2.光通量：≥160000lm。</w:t>
            </w:r>
          </w:p>
          <w:p w14:paraId="00909053">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3.灯组重量：≤800g，含连接器及线缆。</w:t>
            </w:r>
          </w:p>
          <w:p w14:paraId="53014F14">
            <w:pPr>
              <w:keepNext w:val="0"/>
              <w:keepLines w:val="0"/>
              <w:widowControl/>
              <w:suppressLineNumbers w:val="0"/>
              <w:jc w:val="left"/>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控制方式：遥控器远距离控制，可进行0～100%无级调光。</w:t>
            </w:r>
            <w:r>
              <w:rPr>
                <w:rFonts w:hint="eastAsia" w:ascii="宋体" w:hAnsi="宋体" w:eastAsia="宋体" w:cs="宋体"/>
                <w:b/>
                <w:bCs/>
                <w:color w:val="auto"/>
                <w:kern w:val="2"/>
                <w:sz w:val="21"/>
                <w:szCs w:val="21"/>
                <w:highlight w:val="none"/>
                <w:lang w:val="en-US" w:eastAsia="zh-CN" w:bidi="ar-SA"/>
              </w:rPr>
              <w:t>（标</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项的技术参数须在国家认可的第三方权威检测机构出具加盖CMA/CNAS的有效检测报告中佐证）</w:t>
            </w:r>
          </w:p>
          <w:p w14:paraId="5AFA9622">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静音汽油发电机</w:t>
            </w:r>
            <w:r>
              <w:rPr>
                <w:rFonts w:hint="eastAsia" w:ascii="宋体" w:hAnsi="宋体" w:cs="宋体"/>
                <w:color w:val="auto"/>
                <w:kern w:val="2"/>
                <w:sz w:val="21"/>
                <w:szCs w:val="21"/>
                <w:highlight w:val="none"/>
                <w:lang w:val="en-US" w:eastAsia="zh-CN" w:bidi="ar-SA"/>
              </w:rPr>
              <w:t>：</w:t>
            </w:r>
          </w:p>
          <w:p w14:paraId="1B055739">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1.启动方式：遥控/按键/手拉启动。</w:t>
            </w:r>
          </w:p>
          <w:p w14:paraId="1FAB0295">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额定输出功率：≥4.2kW。</w:t>
            </w:r>
          </w:p>
          <w:p w14:paraId="700AEBAF">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3.尺寸：≤575×340×540mm。</w:t>
            </w:r>
          </w:p>
          <w:p w14:paraId="2C352A74">
            <w:pPr>
              <w:keepNext w:val="0"/>
              <w:keepLines w:val="0"/>
              <w:widowControl/>
              <w:suppressLineNumbers w:val="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重量：≤28kg。                                                                                                                                                                    制造商需提供：1、国家级高新技术企业证书；2、照明灯组发明专利、外观专利；3、系留系统软件著作权</w:t>
            </w:r>
            <w:r>
              <w:rPr>
                <w:rFonts w:hint="eastAsia" w:ascii="宋体" w:hAnsi="宋体" w:cs="宋体"/>
                <w:color w:val="auto"/>
                <w:kern w:val="2"/>
                <w:sz w:val="21"/>
                <w:szCs w:val="21"/>
                <w:highlight w:val="none"/>
                <w:lang w:val="en-US" w:eastAsia="zh-CN" w:bidi="ar-SA"/>
              </w:rPr>
              <w:t>。</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4E211">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EA066">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c>
          <w:tcPr>
            <w:tcW w:w="11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D40E0">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63500.00 </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2E5A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63500.00 </w:t>
            </w:r>
          </w:p>
        </w:tc>
      </w:tr>
      <w:tr w14:paraId="7A465EFF">
        <w:tblPrEx>
          <w:tblCellMar>
            <w:top w:w="0" w:type="dxa"/>
            <w:left w:w="108" w:type="dxa"/>
            <w:bottom w:w="0" w:type="dxa"/>
            <w:right w:w="108" w:type="dxa"/>
          </w:tblCellMar>
        </w:tblPrEx>
        <w:trPr>
          <w:trHeight w:val="542" w:hRule="atLeast"/>
          <w:jc w:val="center"/>
        </w:trPr>
        <w:tc>
          <w:tcPr>
            <w:tcW w:w="8282" w:type="dxa"/>
            <w:gridSpan w:val="6"/>
            <w:tcBorders>
              <w:top w:val="single" w:color="000000" w:sz="4" w:space="0"/>
              <w:left w:val="single" w:color="000000" w:sz="4" w:space="0"/>
              <w:bottom w:val="single" w:color="000000" w:sz="4" w:space="0"/>
              <w:right w:val="single" w:color="000000" w:sz="4" w:space="0"/>
            </w:tcBorders>
            <w:noWrap/>
            <w:vAlign w:val="center"/>
          </w:tcPr>
          <w:p w14:paraId="0E7289BC">
            <w:pPr>
              <w:keepNext w:val="0"/>
              <w:keepLines w:val="0"/>
              <w:widowControl/>
              <w:suppressLineNumbers w:val="0"/>
              <w:jc w:val="center"/>
              <w:textAlignment w:val="center"/>
              <w:rPr>
                <w:rFonts w:hint="eastAsia" w:ascii="宋体" w:hAnsi="宋体" w:eastAsia="宋体" w:cs="宋体"/>
                <w:b/>
                <w:bCs/>
                <w:i w:val="0"/>
                <w:iCs w:val="0"/>
                <w:color w:val="auto"/>
                <w:kern w:val="2"/>
                <w:sz w:val="21"/>
                <w:szCs w:val="21"/>
                <w:highlight w:val="none"/>
                <w:u w:val="none"/>
                <w:lang w:val="en-US" w:eastAsia="zh-CN" w:bidi="ar-SA"/>
              </w:rPr>
            </w:pPr>
            <w:r>
              <w:rPr>
                <w:rFonts w:hint="eastAsia" w:ascii="宋体" w:hAnsi="宋体" w:eastAsia="宋体" w:cs="宋体"/>
                <w:b/>
                <w:bCs/>
                <w:color w:val="auto"/>
                <w:kern w:val="0"/>
                <w:sz w:val="21"/>
                <w:szCs w:val="21"/>
                <w:highlight w:val="none"/>
              </w:rPr>
              <w:t>合计</w:t>
            </w:r>
          </w:p>
        </w:tc>
        <w:tc>
          <w:tcPr>
            <w:tcW w:w="1365" w:type="dxa"/>
            <w:tcBorders>
              <w:top w:val="single" w:color="000000" w:sz="4" w:space="0"/>
              <w:left w:val="single" w:color="000000" w:sz="4" w:space="0"/>
              <w:bottom w:val="single" w:color="000000" w:sz="4" w:space="0"/>
              <w:right w:val="single" w:color="000000" w:sz="4" w:space="0"/>
            </w:tcBorders>
            <w:noWrap/>
            <w:vAlign w:val="center"/>
          </w:tcPr>
          <w:p w14:paraId="6998B9EA">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sz w:val="21"/>
                <w:szCs w:val="21"/>
                <w:highlight w:val="none"/>
                <w:lang w:eastAsia="zh-CN"/>
              </w:rPr>
              <w:t>368990.00</w:t>
            </w:r>
          </w:p>
        </w:tc>
      </w:tr>
    </w:tbl>
    <w:p w14:paraId="7506B10C">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四、采购标的的数量、采购项目交付或者实施的时间和地点；</w:t>
      </w:r>
    </w:p>
    <w:p w14:paraId="3DDFFF87">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shd w:val="clear" w:color="auto" w:fill="FFFFFF"/>
          <w:lang w:val="zh-CN"/>
        </w:rPr>
      </w:pPr>
      <w:r>
        <w:rPr>
          <w:rFonts w:hint="eastAsia"/>
          <w:color w:val="auto"/>
          <w:highlight w:val="none"/>
          <w:shd w:val="clear" w:color="auto" w:fill="FFFFFF"/>
          <w:lang w:val="zh-CN"/>
        </w:rPr>
        <w:t>采购标的的数量：</w:t>
      </w:r>
      <w:r>
        <w:rPr>
          <w:rFonts w:hint="eastAsia"/>
          <w:color w:val="auto"/>
          <w:highlight w:val="none"/>
          <w:shd w:val="clear" w:color="auto" w:fill="FFFFFF"/>
        </w:rPr>
        <w:t>详见</w:t>
      </w:r>
      <w:r>
        <w:rPr>
          <w:rFonts w:hint="eastAsia"/>
          <w:color w:val="auto"/>
          <w:highlight w:val="none"/>
          <w:shd w:val="clear" w:color="auto" w:fill="FFFFFF"/>
          <w:lang w:val="zh-CN"/>
        </w:rPr>
        <w:t>技术规格</w:t>
      </w:r>
      <w:r>
        <w:rPr>
          <w:rFonts w:hint="eastAsia"/>
          <w:color w:val="auto"/>
          <w:highlight w:val="none"/>
          <w:shd w:val="clear" w:color="auto" w:fill="FFFFFF"/>
          <w:lang w:val="en-US" w:eastAsia="zh-CN"/>
        </w:rPr>
        <w:t>清单</w:t>
      </w:r>
      <w:r>
        <w:rPr>
          <w:rFonts w:hint="eastAsia"/>
          <w:color w:val="auto"/>
          <w:highlight w:val="none"/>
          <w:shd w:val="clear" w:color="auto" w:fill="FFFFFF"/>
          <w:lang w:val="zh-CN"/>
        </w:rPr>
        <w:t>。</w:t>
      </w:r>
    </w:p>
    <w:p w14:paraId="3EF220ED">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eastAsia="宋体"/>
          <w:color w:val="auto"/>
          <w:highlight w:val="none"/>
          <w:shd w:val="clear" w:color="auto" w:fill="FFFFFF"/>
          <w:lang w:val="en-US" w:eastAsia="zh-CN"/>
        </w:rPr>
      </w:pPr>
      <w:r>
        <w:rPr>
          <w:rFonts w:hint="eastAsia"/>
          <w:color w:val="auto"/>
          <w:highlight w:val="none"/>
          <w:shd w:val="clear" w:color="auto" w:fill="FFFFFF"/>
          <w:lang w:val="en-US" w:eastAsia="zh-CN"/>
        </w:rPr>
        <w:t>实施时间：合同签订后。</w:t>
      </w:r>
    </w:p>
    <w:p w14:paraId="6D7DF4B2">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rPr>
      </w:pPr>
      <w:r>
        <w:rPr>
          <w:rFonts w:hint="eastAsia"/>
          <w:color w:val="auto"/>
          <w:highlight w:val="none"/>
          <w:shd w:val="clear" w:color="auto" w:fill="FFFFFF"/>
          <w:lang w:val="en-US" w:eastAsia="zh-CN"/>
        </w:rPr>
        <w:t>供货</w:t>
      </w:r>
      <w:r>
        <w:rPr>
          <w:rFonts w:hint="eastAsia"/>
          <w:color w:val="auto"/>
          <w:highlight w:val="none"/>
          <w:shd w:val="clear" w:color="auto" w:fill="FFFFFF"/>
          <w:lang w:val="zh-CN"/>
        </w:rPr>
        <w:t>地点：</w:t>
      </w:r>
      <w:r>
        <w:rPr>
          <w:rFonts w:hint="eastAsia" w:ascii="宋体" w:hAnsi="宋体" w:cs="宋体"/>
          <w:color w:val="auto"/>
          <w:sz w:val="24"/>
          <w:highlight w:val="none"/>
          <w:lang w:eastAsia="zh-CN"/>
        </w:rPr>
        <w:t>德宏州公安局特巡警支队</w:t>
      </w:r>
      <w:r>
        <w:rPr>
          <w:rFonts w:hint="eastAsia"/>
          <w:color w:val="auto"/>
          <w:highlight w:val="none"/>
          <w:shd w:val="clear" w:color="auto" w:fill="FFFFFF"/>
          <w:lang w:val="zh-CN"/>
        </w:rPr>
        <w:t>。</w:t>
      </w:r>
    </w:p>
    <w:p w14:paraId="42870214">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五、采购标的需满足的服务标准、期限、效率等要求；</w:t>
      </w:r>
    </w:p>
    <w:p w14:paraId="255C85B9">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质量要求：</w:t>
      </w:r>
      <w:r>
        <w:rPr>
          <w:rFonts w:hint="eastAsia" w:ascii="宋体" w:hAnsi="宋体" w:cs="宋体"/>
          <w:color w:val="auto"/>
          <w:sz w:val="24"/>
          <w:highlight w:val="none"/>
          <w:lang w:eastAsia="zh-CN"/>
        </w:rPr>
        <w:t>产品符合现行国家相关规定及行业标准，符合采购人需求并一次性验收合格</w:t>
      </w:r>
      <w:r>
        <w:rPr>
          <w:rFonts w:hint="eastAsia" w:ascii="宋体" w:hAnsi="宋体" w:cs="宋体"/>
          <w:color w:val="auto"/>
          <w:sz w:val="24"/>
          <w:highlight w:val="none"/>
        </w:rPr>
        <w:t>。</w:t>
      </w:r>
    </w:p>
    <w:p w14:paraId="0B98DCDD">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shd w:val="clear" w:color="auto" w:fill="FFFFFF"/>
        </w:rPr>
      </w:pPr>
      <w:r>
        <w:rPr>
          <w:rFonts w:hint="eastAsia"/>
          <w:color w:val="auto"/>
          <w:highlight w:val="none"/>
          <w:shd w:val="clear" w:color="auto" w:fill="FFFFFF"/>
          <w:lang w:val="zh-CN"/>
        </w:rPr>
        <w:t>合同履行期限：</w:t>
      </w:r>
      <w:r>
        <w:rPr>
          <w:rFonts w:hint="eastAsia" w:cs="宋体"/>
          <w:bCs w:val="0"/>
          <w:color w:val="auto"/>
          <w:szCs w:val="24"/>
          <w:highlight w:val="none"/>
          <w:lang w:eastAsia="zh-CN"/>
        </w:rPr>
        <w:t>自合同签订之日起30日历天内完成供货并通过验收</w:t>
      </w:r>
      <w:r>
        <w:rPr>
          <w:rFonts w:hint="eastAsia"/>
          <w:color w:val="auto"/>
          <w:highlight w:val="none"/>
          <w:shd w:val="clear" w:color="auto" w:fill="FFFFFF"/>
          <w:lang w:val="zh-CN"/>
        </w:rPr>
        <w:t>。</w:t>
      </w:r>
    </w:p>
    <w:p w14:paraId="67439658">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六、采购标的的验收标准；</w:t>
      </w:r>
    </w:p>
    <w:p w14:paraId="3F13D1C8">
      <w:pPr>
        <w:pStyle w:val="7"/>
        <w:keepNext w:val="0"/>
        <w:keepLines w:val="0"/>
        <w:pageBreakBefore w:val="0"/>
        <w:kinsoku/>
        <w:wordWrap/>
        <w:overflowPunct/>
        <w:topLinePunct w:val="0"/>
        <w:autoSpaceDE/>
        <w:autoSpaceDN/>
        <w:bidi w:val="0"/>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验收标准：按国家有关规定以及采购人招标文件的质量要求和技术指标、中标人的投标文件及承诺与本合同约定标准进行验收；双方如对质量要求和技术指标的约定标准有相互抵触或异议的事项，由采购人在招标文件与投标文件中按质量要求和技术指标比较优胜的原则确定该项的约定标准进行验收； </w:t>
      </w:r>
    </w:p>
    <w:p w14:paraId="0B4C89D9">
      <w:pPr>
        <w:pStyle w:val="66"/>
        <w:keepNext w:val="0"/>
        <w:keepLines w:val="0"/>
        <w:pageBreakBefore w:val="0"/>
        <w:kinsoku/>
        <w:wordWrap/>
        <w:overflowPunct/>
        <w:topLinePunct w:val="0"/>
        <w:autoSpaceDE/>
        <w:autoSpaceDN/>
        <w:bidi w:val="0"/>
        <w:snapToGrid/>
        <w:spacing w:line="480" w:lineRule="exact"/>
        <w:ind w:firstLine="480" w:firstLineChars="200"/>
        <w:textAlignment w:val="auto"/>
        <w:rPr>
          <w:color w:val="auto"/>
          <w:highlight w:val="none"/>
          <w:shd w:val="clear" w:color="auto" w:fill="FFFFFF"/>
          <w:lang w:val="zh-CN"/>
        </w:rPr>
      </w:pPr>
      <w:r>
        <w:rPr>
          <w:rFonts w:hint="eastAsia" w:cs="宋体"/>
          <w:bCs w:val="0"/>
          <w:color w:val="auto"/>
          <w:szCs w:val="24"/>
          <w:highlight w:val="none"/>
          <w:lang w:val="en-US" w:eastAsia="zh-CN"/>
        </w:rPr>
        <w:t>2</w:t>
      </w:r>
      <w:r>
        <w:rPr>
          <w:rFonts w:hint="eastAsia" w:cs="宋体"/>
          <w:bCs w:val="0"/>
          <w:color w:val="auto"/>
          <w:szCs w:val="24"/>
          <w:highlight w:val="none"/>
        </w:rPr>
        <w:t>.验收时如发现所交付的货物有短装、次品、损坏或其它不符合标准及本合同规定之情形者，采购人将做出详尽的现场记录，或由双方签署备忘录，此现场记录或备忘录可用作补充、缺失和更换损坏部件的有效证据，由此产生的时间延误与有关费用由中标人承担</w:t>
      </w:r>
      <w:r>
        <w:rPr>
          <w:rFonts w:hint="eastAsia"/>
          <w:color w:val="auto"/>
          <w:highlight w:val="none"/>
          <w:shd w:val="clear" w:color="auto" w:fill="FFFFFF"/>
          <w:lang w:val="zh-CN"/>
        </w:rPr>
        <w:t>。</w:t>
      </w:r>
    </w:p>
    <w:p w14:paraId="42E5E013">
      <w:pPr>
        <w:keepNext w:val="0"/>
        <w:keepLines w:val="0"/>
        <w:pageBreakBefore w:val="0"/>
        <w:kinsoku/>
        <w:wordWrap/>
        <w:overflowPunct/>
        <w:topLinePunct w:val="0"/>
        <w:autoSpaceDE/>
        <w:autoSpaceDN/>
        <w:bidi w:val="0"/>
        <w:snapToGrid/>
        <w:spacing w:line="480" w:lineRule="exact"/>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七、采购标的的其他技术、服务等要求。</w:t>
      </w:r>
    </w:p>
    <w:p w14:paraId="4047741C">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1.质保期要求：</w:t>
      </w:r>
      <w:r>
        <w:rPr>
          <w:rFonts w:hint="eastAsia" w:ascii="宋体" w:hAnsi="宋体" w:cs="宋体"/>
          <w:color w:val="auto"/>
          <w:sz w:val="24"/>
          <w:highlight w:val="none"/>
          <w:lang w:val="en-US" w:eastAsia="zh-CN"/>
        </w:rPr>
        <w:t>≥3年</w:t>
      </w:r>
      <w:r>
        <w:rPr>
          <w:rFonts w:hint="eastAsia" w:ascii="宋体" w:hAnsi="宋体" w:cs="宋体"/>
          <w:color w:val="auto"/>
          <w:sz w:val="24"/>
          <w:highlight w:val="none"/>
        </w:rPr>
        <w:t xml:space="preserve">。 </w:t>
      </w:r>
    </w:p>
    <w:p w14:paraId="352964B5">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ascii="宋体" w:hAnsi="宋体" w:cs="宋体"/>
          <w:color w:val="auto"/>
          <w:sz w:val="24"/>
          <w:highlight w:val="none"/>
        </w:rPr>
        <w:t>电话咨询</w:t>
      </w:r>
      <w:r>
        <w:rPr>
          <w:rFonts w:hint="eastAsia" w:ascii="宋体" w:hAnsi="宋体" w:cs="宋体"/>
          <w:color w:val="auto"/>
          <w:sz w:val="24"/>
          <w:highlight w:val="none"/>
        </w:rPr>
        <w:t>：供应商</w:t>
      </w:r>
      <w:r>
        <w:rPr>
          <w:rFonts w:ascii="宋体" w:hAnsi="宋体" w:cs="宋体"/>
          <w:color w:val="auto"/>
          <w:sz w:val="24"/>
          <w:highlight w:val="none"/>
        </w:rPr>
        <w:t>应当为用户提供技术援助电话，解答用户在使用中遇到的问题，及时为用户提出解决问题的建议。</w:t>
      </w:r>
    </w:p>
    <w:p w14:paraId="7223BC30">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ascii="宋体" w:hAnsi="宋体" w:cs="宋体"/>
          <w:color w:val="auto"/>
          <w:sz w:val="24"/>
          <w:highlight w:val="none"/>
        </w:rPr>
        <w:t>现场响应</w:t>
      </w:r>
      <w:r>
        <w:rPr>
          <w:rFonts w:hint="eastAsia" w:ascii="宋体" w:hAnsi="宋体" w:cs="宋体"/>
          <w:color w:val="auto"/>
          <w:sz w:val="24"/>
          <w:highlight w:val="none"/>
        </w:rPr>
        <w:t>：</w:t>
      </w:r>
      <w:r>
        <w:rPr>
          <w:rFonts w:ascii="宋体" w:hAnsi="宋体" w:cs="宋体"/>
          <w:color w:val="auto"/>
          <w:sz w:val="24"/>
          <w:highlight w:val="none"/>
        </w:rPr>
        <w:t>用户遇到使用及技术问题，电话咨询不能解决的，</w:t>
      </w:r>
      <w:r>
        <w:rPr>
          <w:rFonts w:hint="eastAsia" w:ascii="宋体" w:hAnsi="宋体" w:cs="宋体"/>
          <w:color w:val="auto"/>
          <w:sz w:val="24"/>
          <w:highlight w:val="none"/>
        </w:rPr>
        <w:t>供应商</w:t>
      </w:r>
      <w:r>
        <w:rPr>
          <w:rFonts w:ascii="宋体" w:hAnsi="宋体" w:cs="宋体"/>
          <w:color w:val="auto"/>
          <w:sz w:val="24"/>
          <w:highlight w:val="none"/>
        </w:rPr>
        <w:t>应采取相应措施</w:t>
      </w:r>
      <w:r>
        <w:rPr>
          <w:rFonts w:hint="eastAsia" w:ascii="宋体" w:hAnsi="宋体" w:cs="宋体"/>
          <w:color w:val="auto"/>
          <w:sz w:val="24"/>
          <w:highlight w:val="none"/>
        </w:rPr>
        <w:t>，2小时内给予响应，并在24小时内解决问题。</w:t>
      </w:r>
    </w:p>
    <w:p w14:paraId="3EECAA59">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.产品使用培训：供货</w:t>
      </w:r>
      <w:r>
        <w:rPr>
          <w:rFonts w:hint="eastAsia" w:ascii="宋体" w:hAnsi="宋体" w:cs="宋体"/>
          <w:bCs/>
          <w:color w:val="auto"/>
          <w:sz w:val="24"/>
          <w:highlight w:val="none"/>
          <w:lang w:val="en-US" w:eastAsia="zh-CN"/>
        </w:rPr>
        <w:t>验收通过</w:t>
      </w:r>
      <w:r>
        <w:rPr>
          <w:rFonts w:hint="eastAsia" w:ascii="宋体" w:hAnsi="宋体" w:eastAsia="宋体" w:cs="宋体"/>
          <w:bCs/>
          <w:color w:val="auto"/>
          <w:sz w:val="24"/>
          <w:highlight w:val="none"/>
          <w:lang w:val="en-US" w:eastAsia="zh-CN"/>
        </w:rPr>
        <w:t>后，供应商应及时开展使用培训，发生的一切费用由供应商自行承担。</w:t>
      </w:r>
    </w:p>
    <w:p w14:paraId="10F9658C">
      <w:pPr>
        <w:keepNext w:val="0"/>
        <w:keepLines w:val="0"/>
        <w:pageBreakBefore w:val="0"/>
        <w:kinsoku/>
        <w:wordWrap/>
        <w:overflowPunct/>
        <w:topLinePunct w:val="0"/>
        <w:autoSpaceDE/>
        <w:autoSpaceDN/>
        <w:bidi w:val="0"/>
        <w:snapToGrid/>
        <w:spacing w:line="48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.付款方式：</w:t>
      </w:r>
      <w:r>
        <w:rPr>
          <w:rFonts w:hint="eastAsia" w:ascii="宋体" w:hAnsi="宋体" w:eastAsia="宋体" w:cs="宋体"/>
          <w:color w:val="auto"/>
          <w:sz w:val="24"/>
          <w:highlight w:val="none"/>
        </w:rPr>
        <w:t>产品验收合格后</w:t>
      </w:r>
      <w:r>
        <w:rPr>
          <w:rFonts w:hint="eastAsia" w:ascii="宋体" w:hAnsi="宋体" w:eastAsia="宋体" w:cs="宋体"/>
          <w:color w:val="auto"/>
          <w:sz w:val="24"/>
          <w:highlight w:val="none"/>
          <w:lang w:val="en-US" w:eastAsia="zh-CN"/>
        </w:rPr>
        <w:t>根据财政资金拨付情况</w:t>
      </w:r>
      <w:r>
        <w:rPr>
          <w:rFonts w:hint="eastAsia" w:ascii="宋体" w:hAnsi="宋体" w:eastAsia="宋体" w:cs="宋体"/>
          <w:color w:val="auto"/>
          <w:sz w:val="24"/>
          <w:highlight w:val="none"/>
        </w:rPr>
        <w:t>一次性支付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采购人付款前，中标人应向采购人开具合法有效的等额正规发票）</w:t>
      </w:r>
      <w:r>
        <w:rPr>
          <w:rFonts w:hint="eastAsia" w:ascii="宋体" w:hAnsi="宋体" w:cs="宋体"/>
          <w:color w:val="auto"/>
          <w:sz w:val="24"/>
          <w:highlight w:val="none"/>
        </w:rPr>
        <w:t>。</w:t>
      </w:r>
    </w:p>
    <w:p w14:paraId="17043675">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6.因采购人身份原因，中标人在履行合同期间，应对本项目所获取的一切信息进行保密。</w:t>
      </w:r>
    </w:p>
    <w:p w14:paraId="0A9D8DFF">
      <w:pPr>
        <w:keepNext w:val="0"/>
        <w:keepLines w:val="0"/>
        <w:pageBreakBefore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.本项目需提交的样品：“快反装备包”1套。</w:t>
      </w:r>
    </w:p>
    <w:p w14:paraId="6088D085">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宋体" w:hAnsi="宋体" w:eastAsia="宋体" w:cs="宋体"/>
          <w:color w:val="auto"/>
          <w:sz w:val="24"/>
          <w:highlight w:val="none"/>
          <w:lang w:val="en-US" w:eastAsia="zh-CN"/>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color w:val="auto"/>
          <w:sz w:val="24"/>
          <w:highlight w:val="none"/>
          <w:lang w:val="en-US" w:eastAsia="zh-CN"/>
        </w:rPr>
        <w:t>投标人的样品需在提交投标文件截止时间前在云南立友工程咨询有限公司二楼会议室（云南省德宏州芒市榕树北路5号）摆放完好，样品应密封完好，外包装上需注明项目名称、招标编号、产品名称、单位名称。开标时，由采购代理公司进行现场编号，样品将作为投标文件的有效附件，中标人样品作为验收时的依据，除中标人的样品在采购货物全部验收合格后退还外（中标人的样品在评审结束后由采购人统一保存），未中标人样品于评审结束后退还。若投标人所提供的样品在评审过程中受破坏，投标人需自行承担样品破坏经济损失。</w:t>
      </w:r>
    </w:p>
    <w:p w14:paraId="7286D95F">
      <w:pPr>
        <w:keepNext/>
        <w:keepLines/>
        <w:spacing w:afterLines="100" w:line="360" w:lineRule="auto"/>
        <w:jc w:val="center"/>
        <w:outlineLvl w:val="0"/>
        <w:rPr>
          <w:rFonts w:ascii="宋体" w:hAnsi="宋体" w:cs="宋体"/>
          <w:b/>
          <w:bCs/>
          <w:color w:val="auto"/>
          <w:kern w:val="44"/>
          <w:sz w:val="44"/>
          <w:szCs w:val="44"/>
          <w:highlight w:val="none"/>
        </w:rPr>
      </w:pPr>
      <w:r>
        <w:rPr>
          <w:rFonts w:hint="eastAsia" w:ascii="宋体" w:hAnsi="宋体" w:cs="宋体"/>
          <w:b/>
          <w:bCs/>
          <w:color w:val="auto"/>
          <w:kern w:val="44"/>
          <w:sz w:val="44"/>
          <w:szCs w:val="44"/>
          <w:highlight w:val="none"/>
        </w:rPr>
        <w:t>第六章</w:t>
      </w:r>
      <w:r>
        <w:rPr>
          <w:rFonts w:hint="eastAsia" w:ascii="宋体" w:hAnsi="宋体" w:cs="宋体"/>
          <w:b/>
          <w:bCs/>
          <w:color w:val="auto"/>
          <w:kern w:val="44"/>
          <w:sz w:val="44"/>
          <w:szCs w:val="44"/>
          <w:highlight w:val="none"/>
          <w:lang w:val="en-US" w:eastAsia="zh-CN"/>
        </w:rPr>
        <w:t xml:space="preserve"> </w:t>
      </w:r>
      <w:r>
        <w:rPr>
          <w:rFonts w:hint="eastAsia" w:ascii="宋体" w:hAnsi="宋体" w:cs="宋体"/>
          <w:b/>
          <w:bCs/>
          <w:color w:val="auto"/>
          <w:kern w:val="44"/>
          <w:sz w:val="44"/>
          <w:szCs w:val="44"/>
          <w:highlight w:val="none"/>
        </w:rPr>
        <w:t>投标文件格式</w:t>
      </w:r>
    </w:p>
    <w:p w14:paraId="5B847FEF">
      <w:pPr>
        <w:rPr>
          <w:rFonts w:ascii="宋体" w:hAnsi="宋体"/>
          <w:color w:val="auto"/>
          <w:highlight w:val="none"/>
        </w:rPr>
      </w:pPr>
    </w:p>
    <w:p w14:paraId="6419BB80">
      <w:pPr>
        <w:spacing w:line="360" w:lineRule="auto"/>
        <w:jc w:val="center"/>
        <w:rPr>
          <w:b/>
          <w:bCs/>
          <w:color w:val="auto"/>
          <w:sz w:val="44"/>
          <w:szCs w:val="44"/>
          <w:highlight w:val="none"/>
          <w:u w:val="single"/>
        </w:rPr>
      </w:pPr>
    </w:p>
    <w:p w14:paraId="7E9878FA">
      <w:pPr>
        <w:spacing w:line="360" w:lineRule="auto"/>
        <w:jc w:val="center"/>
        <w:rPr>
          <w:rFonts w:ascii="宋体" w:hAnsi="宋体" w:cs="宋体"/>
          <w:b/>
          <w:bCs/>
          <w:color w:val="auto"/>
          <w:sz w:val="32"/>
          <w:szCs w:val="32"/>
          <w:highlight w:val="none"/>
          <w:u w:val="single"/>
        </w:rPr>
      </w:pPr>
      <w:r>
        <w:rPr>
          <w:rFonts w:hint="eastAsia"/>
          <w:b/>
          <w:bCs/>
          <w:color w:val="auto"/>
          <w:sz w:val="44"/>
          <w:szCs w:val="44"/>
          <w:highlight w:val="none"/>
          <w:u w:val="single"/>
        </w:rPr>
        <w:t>（项目名称）</w:t>
      </w:r>
    </w:p>
    <w:p w14:paraId="4B42B1E4">
      <w:pPr>
        <w:spacing w:line="480" w:lineRule="auto"/>
        <w:jc w:val="center"/>
        <w:rPr>
          <w:rFonts w:ascii="宋体" w:hAnsi="宋体"/>
          <w:b/>
          <w:bCs/>
          <w:color w:val="auto"/>
          <w:sz w:val="48"/>
          <w:szCs w:val="48"/>
          <w:highlight w:val="none"/>
        </w:rPr>
      </w:pPr>
    </w:p>
    <w:p w14:paraId="6A55C151">
      <w:pPr>
        <w:spacing w:line="480" w:lineRule="auto"/>
        <w:rPr>
          <w:rFonts w:ascii="宋体" w:hAnsi="宋体"/>
          <w:b/>
          <w:bCs/>
          <w:color w:val="auto"/>
          <w:sz w:val="44"/>
          <w:szCs w:val="44"/>
          <w:highlight w:val="none"/>
        </w:rPr>
      </w:pPr>
    </w:p>
    <w:p w14:paraId="2DF64EC4">
      <w:pPr>
        <w:spacing w:line="480" w:lineRule="auto"/>
        <w:rPr>
          <w:rFonts w:ascii="宋体" w:hAnsi="宋体"/>
          <w:b/>
          <w:bCs/>
          <w:color w:val="auto"/>
          <w:sz w:val="44"/>
          <w:szCs w:val="44"/>
          <w:highlight w:val="none"/>
        </w:rPr>
      </w:pPr>
    </w:p>
    <w:p w14:paraId="3B227B8A">
      <w:pPr>
        <w:spacing w:line="480" w:lineRule="auto"/>
        <w:rPr>
          <w:rFonts w:ascii="宋体" w:hAnsi="宋体"/>
          <w:b/>
          <w:bCs/>
          <w:color w:val="auto"/>
          <w:sz w:val="44"/>
          <w:szCs w:val="44"/>
          <w:highlight w:val="none"/>
        </w:rPr>
      </w:pPr>
    </w:p>
    <w:p w14:paraId="7F6813EF">
      <w:pPr>
        <w:spacing w:line="480" w:lineRule="auto"/>
        <w:jc w:val="center"/>
        <w:rPr>
          <w:rFonts w:ascii="宋体" w:hAnsi="宋体"/>
          <w:color w:val="auto"/>
          <w:sz w:val="28"/>
          <w:szCs w:val="28"/>
          <w:highlight w:val="none"/>
        </w:rPr>
      </w:pPr>
      <w:r>
        <w:rPr>
          <w:rFonts w:hint="eastAsia" w:ascii="宋体" w:hAnsi="宋体"/>
          <w:b/>
          <w:bCs/>
          <w:color w:val="auto"/>
          <w:sz w:val="52"/>
          <w:szCs w:val="52"/>
          <w:highlight w:val="none"/>
        </w:rPr>
        <w:t>投标文件</w:t>
      </w:r>
      <w:bookmarkStart w:id="185" w:name="_Toc3896297"/>
      <w:bookmarkEnd w:id="185"/>
    </w:p>
    <w:p w14:paraId="691A7EE5">
      <w:pPr>
        <w:pStyle w:val="22"/>
        <w:spacing w:beforeLines="50"/>
        <w:ind w:left="0" w:leftChars="0" w:firstLine="0" w:firstLineChars="0"/>
        <w:jc w:val="center"/>
        <w:rPr>
          <w:rFonts w:hint="eastAsia" w:ascii="宋体" w:hAnsi="宋体" w:eastAsia="宋体" w:cs="宋体"/>
          <w:color w:val="auto"/>
          <w:sz w:val="32"/>
          <w:highlight w:val="none"/>
          <w:lang w:eastAsia="zh-CN"/>
        </w:rPr>
      </w:pPr>
      <w:r>
        <w:rPr>
          <w:rFonts w:hint="eastAsia" w:ascii="宋体" w:hAnsi="宋体" w:eastAsia="宋体" w:cs="宋体"/>
          <w:color w:val="auto"/>
          <w:sz w:val="28"/>
          <w:szCs w:val="28"/>
          <w:highlight w:val="none"/>
        </w:rPr>
        <w:t>招标编号：</w:t>
      </w:r>
      <w:r>
        <w:rPr>
          <w:rFonts w:hint="eastAsia" w:ascii="宋体" w:hAnsi="宋体" w:eastAsia="宋体" w:cs="宋体"/>
          <w:color w:val="auto"/>
          <w:sz w:val="28"/>
          <w:szCs w:val="28"/>
          <w:highlight w:val="none"/>
          <w:lang w:eastAsia="zh-CN"/>
        </w:rPr>
        <w:t>YNLYZB-2025-97</w:t>
      </w:r>
    </w:p>
    <w:p w14:paraId="45227495">
      <w:pPr>
        <w:pStyle w:val="30"/>
        <w:ind w:firstLine="528"/>
        <w:rPr>
          <w:color w:val="auto"/>
          <w:highlight w:val="none"/>
        </w:rPr>
      </w:pPr>
    </w:p>
    <w:p w14:paraId="2974291C">
      <w:pPr>
        <w:pStyle w:val="30"/>
        <w:ind w:firstLine="528"/>
        <w:rPr>
          <w:color w:val="auto"/>
          <w:highlight w:val="none"/>
        </w:rPr>
      </w:pPr>
    </w:p>
    <w:p w14:paraId="542C42EB">
      <w:pPr>
        <w:pStyle w:val="30"/>
        <w:ind w:firstLine="528"/>
        <w:rPr>
          <w:color w:val="auto"/>
          <w:highlight w:val="none"/>
        </w:rPr>
      </w:pPr>
    </w:p>
    <w:p w14:paraId="28E6A84D">
      <w:pPr>
        <w:pStyle w:val="30"/>
        <w:ind w:firstLine="528"/>
        <w:rPr>
          <w:color w:val="auto"/>
          <w:highlight w:val="none"/>
        </w:rPr>
      </w:pPr>
    </w:p>
    <w:p w14:paraId="7DCA9AB7">
      <w:pPr>
        <w:spacing w:line="480" w:lineRule="auto"/>
        <w:ind w:firstLine="1205" w:firstLineChars="500"/>
        <w:rPr>
          <w:rFonts w:ascii="宋体" w:hAnsi="宋体"/>
          <w:b/>
          <w:bCs/>
          <w:color w:val="auto"/>
          <w:sz w:val="24"/>
          <w:highlight w:val="none"/>
        </w:rPr>
      </w:pPr>
    </w:p>
    <w:p w14:paraId="5F40DB16">
      <w:pPr>
        <w:pStyle w:val="9"/>
        <w:rPr>
          <w:rFonts w:hAnsi="宋体"/>
          <w:b/>
          <w:bCs/>
          <w:color w:val="auto"/>
          <w:sz w:val="24"/>
          <w:szCs w:val="24"/>
          <w:highlight w:val="none"/>
        </w:rPr>
      </w:pPr>
    </w:p>
    <w:p w14:paraId="44113838">
      <w:pPr>
        <w:rPr>
          <w:color w:val="auto"/>
          <w:highlight w:val="none"/>
        </w:rPr>
      </w:pPr>
    </w:p>
    <w:p w14:paraId="4235FE3D">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投标人：（加盖电子公章）</w:t>
      </w:r>
    </w:p>
    <w:p w14:paraId="24EE51AF">
      <w:pPr>
        <w:spacing w:line="360" w:lineRule="auto"/>
        <w:rPr>
          <w:rFonts w:ascii="宋体" w:hAnsi="宋体" w:cs="宋体"/>
          <w:b/>
          <w:bCs/>
          <w:color w:val="auto"/>
          <w:sz w:val="24"/>
          <w:highlight w:val="none"/>
        </w:rPr>
      </w:pPr>
    </w:p>
    <w:p w14:paraId="42BBBD49">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法定代表人或其委托代理人：（签字或电子签名或电子签章）</w:t>
      </w:r>
    </w:p>
    <w:p w14:paraId="66F7938D">
      <w:pPr>
        <w:spacing w:line="360" w:lineRule="auto"/>
        <w:rPr>
          <w:rFonts w:ascii="宋体" w:hAnsi="宋体" w:cs="宋体"/>
          <w:b/>
          <w:bCs/>
          <w:color w:val="auto"/>
          <w:sz w:val="24"/>
          <w:highlight w:val="none"/>
        </w:rPr>
      </w:pPr>
    </w:p>
    <w:p w14:paraId="3167218E">
      <w:pPr>
        <w:pStyle w:val="22"/>
        <w:ind w:left="0" w:leftChars="0" w:firstLine="0" w:firstLineChars="0"/>
        <w:jc w:val="center"/>
        <w:rPr>
          <w:color w:val="auto"/>
          <w:sz w:val="24"/>
          <w:szCs w:val="28"/>
          <w:highlight w:val="none"/>
        </w:rPr>
      </w:pPr>
      <w:r>
        <w:rPr>
          <w:rFonts w:hint="eastAsia" w:ascii="宋体" w:hAnsi="宋体" w:cs="宋体"/>
          <w:b/>
          <w:bCs/>
          <w:color w:val="auto"/>
          <w:sz w:val="24"/>
          <w:highlight w:val="none"/>
        </w:rPr>
        <w:t>日期：</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日</w:t>
      </w:r>
    </w:p>
    <w:p w14:paraId="79CFB600">
      <w:pPr>
        <w:spacing w:line="360" w:lineRule="auto"/>
        <w:rPr>
          <w:rFonts w:ascii="宋体" w:hAnsi="宋体" w:cs="宋体"/>
          <w:color w:val="auto"/>
          <w:highlight w:val="none"/>
        </w:rPr>
        <w:sectPr>
          <w:pgSz w:w="11906" w:h="16838"/>
          <w:pgMar w:top="1440" w:right="1080" w:bottom="1440" w:left="1080" w:header="851" w:footer="992" w:gutter="0"/>
          <w:pgNumType w:fmt="decimal"/>
          <w:cols w:space="425" w:num="1"/>
          <w:docGrid w:type="lines" w:linePitch="312" w:charSpace="0"/>
        </w:sectPr>
      </w:pPr>
    </w:p>
    <w:p w14:paraId="2CF25983">
      <w:pPr>
        <w:jc w:val="center"/>
        <w:rPr>
          <w:rFonts w:ascii="宋体" w:hAnsi="宋体" w:cs="宋体"/>
          <w:b/>
          <w:color w:val="auto"/>
          <w:sz w:val="44"/>
          <w:szCs w:val="44"/>
          <w:highlight w:val="none"/>
        </w:rPr>
      </w:pPr>
    </w:p>
    <w:p w14:paraId="0560A125">
      <w:pPr>
        <w:jc w:val="center"/>
        <w:rPr>
          <w:rFonts w:ascii="宋体" w:hAnsi="宋体" w:cs="宋体"/>
          <w:b/>
          <w:color w:val="auto"/>
          <w:sz w:val="44"/>
          <w:szCs w:val="44"/>
          <w:highlight w:val="none"/>
        </w:rPr>
      </w:pPr>
    </w:p>
    <w:p w14:paraId="6B376F3B">
      <w:pPr>
        <w:jc w:val="center"/>
        <w:rPr>
          <w:rFonts w:ascii="宋体" w:hAnsi="宋体" w:cs="宋体"/>
          <w:b/>
          <w:color w:val="auto"/>
          <w:sz w:val="44"/>
          <w:szCs w:val="44"/>
          <w:highlight w:val="none"/>
        </w:rPr>
      </w:pPr>
    </w:p>
    <w:p w14:paraId="59596222">
      <w:pPr>
        <w:jc w:val="center"/>
        <w:rPr>
          <w:rFonts w:ascii="宋体" w:hAnsi="宋体" w:cs="宋体"/>
          <w:b/>
          <w:color w:val="auto"/>
          <w:sz w:val="44"/>
          <w:szCs w:val="44"/>
          <w:highlight w:val="none"/>
        </w:rPr>
      </w:pPr>
    </w:p>
    <w:p w14:paraId="2C2BD20B">
      <w:pPr>
        <w:jc w:val="center"/>
        <w:rPr>
          <w:rFonts w:ascii="宋体" w:hAnsi="宋体" w:cs="宋体"/>
          <w:b/>
          <w:color w:val="auto"/>
          <w:sz w:val="44"/>
          <w:szCs w:val="44"/>
          <w:highlight w:val="none"/>
        </w:rPr>
      </w:pPr>
    </w:p>
    <w:p w14:paraId="4579DBB0">
      <w:pPr>
        <w:jc w:val="center"/>
        <w:rPr>
          <w:rFonts w:ascii="宋体" w:hAnsi="宋体" w:cs="宋体"/>
          <w:b/>
          <w:color w:val="auto"/>
          <w:sz w:val="44"/>
          <w:szCs w:val="44"/>
          <w:highlight w:val="none"/>
        </w:rPr>
      </w:pPr>
    </w:p>
    <w:p w14:paraId="44F394AC">
      <w:pPr>
        <w:pStyle w:val="30"/>
        <w:ind w:firstLine="528"/>
        <w:rPr>
          <w:color w:val="auto"/>
          <w:highlight w:val="none"/>
        </w:rPr>
      </w:pPr>
    </w:p>
    <w:p w14:paraId="2EE43472">
      <w:pPr>
        <w:keepNext/>
        <w:keepLines/>
        <w:autoSpaceDE w:val="0"/>
        <w:autoSpaceDN w:val="0"/>
        <w:adjustRightInd w:val="0"/>
        <w:snapToGrid w:val="0"/>
        <w:spacing w:line="360" w:lineRule="auto"/>
        <w:jc w:val="center"/>
        <w:outlineLvl w:val="3"/>
        <w:rPr>
          <w:rFonts w:ascii="宋体" w:hAnsi="宋体" w:cs="宋体"/>
          <w:b/>
          <w:color w:val="auto"/>
          <w:sz w:val="44"/>
          <w:szCs w:val="44"/>
          <w:highlight w:val="none"/>
        </w:rPr>
      </w:pPr>
    </w:p>
    <w:p w14:paraId="191B603E">
      <w:pPr>
        <w:keepNext/>
        <w:keepLines/>
        <w:autoSpaceDE w:val="0"/>
        <w:autoSpaceDN w:val="0"/>
        <w:adjustRightInd w:val="0"/>
        <w:snapToGrid w:val="0"/>
        <w:spacing w:line="360" w:lineRule="auto"/>
        <w:jc w:val="center"/>
        <w:outlineLvl w:val="3"/>
        <w:rPr>
          <w:rFonts w:ascii="宋体" w:hAnsi="宋体" w:cs="宋体"/>
          <w:b/>
          <w:color w:val="auto"/>
          <w:sz w:val="44"/>
          <w:szCs w:val="44"/>
          <w:highlight w:val="none"/>
        </w:rPr>
      </w:pPr>
      <w:r>
        <w:rPr>
          <w:rFonts w:hint="eastAsia" w:ascii="宋体" w:hAnsi="宋体" w:cs="宋体"/>
          <w:b/>
          <w:color w:val="auto"/>
          <w:sz w:val="44"/>
          <w:szCs w:val="44"/>
          <w:highlight w:val="none"/>
        </w:rPr>
        <w:t xml:space="preserve">第一部分  </w:t>
      </w:r>
      <w:bookmarkStart w:id="186" w:name="_Toc26907"/>
      <w:r>
        <w:rPr>
          <w:rFonts w:hint="eastAsia" w:ascii="宋体" w:hAnsi="宋体" w:cs="宋体"/>
          <w:b/>
          <w:color w:val="auto"/>
          <w:sz w:val="44"/>
          <w:szCs w:val="44"/>
          <w:highlight w:val="none"/>
        </w:rPr>
        <w:t>资格</w:t>
      </w:r>
      <w:bookmarkEnd w:id="186"/>
      <w:r>
        <w:rPr>
          <w:rFonts w:hint="eastAsia" w:ascii="宋体" w:hAnsi="宋体" w:cs="宋体"/>
          <w:b/>
          <w:color w:val="auto"/>
          <w:sz w:val="44"/>
          <w:szCs w:val="44"/>
          <w:highlight w:val="none"/>
        </w:rPr>
        <w:t>文件格式</w:t>
      </w:r>
    </w:p>
    <w:p w14:paraId="511AC3B8">
      <w:pPr>
        <w:keepNext/>
        <w:keepLines/>
        <w:autoSpaceDE w:val="0"/>
        <w:autoSpaceDN w:val="0"/>
        <w:adjustRightInd w:val="0"/>
        <w:snapToGrid w:val="0"/>
        <w:spacing w:line="360" w:lineRule="auto"/>
        <w:jc w:val="center"/>
        <w:outlineLvl w:val="3"/>
        <w:rPr>
          <w:rFonts w:ascii="宋体" w:hAnsi="宋体" w:cs="宋体"/>
          <w:b/>
          <w:color w:val="auto"/>
          <w:sz w:val="36"/>
          <w:szCs w:val="36"/>
          <w:highlight w:val="none"/>
        </w:rPr>
        <w:sectPr>
          <w:pgSz w:w="11906" w:h="16838"/>
          <w:pgMar w:top="1440" w:right="1080" w:bottom="1440" w:left="1080" w:header="851" w:footer="992" w:gutter="0"/>
          <w:pgNumType w:fmt="decimal"/>
          <w:cols w:space="720" w:num="1"/>
          <w:docGrid w:type="lines" w:linePitch="312" w:charSpace="0"/>
        </w:sectPr>
      </w:pPr>
    </w:p>
    <w:p w14:paraId="73845D1D">
      <w:pPr>
        <w:jc w:val="center"/>
        <w:rPr>
          <w:rFonts w:ascii="宋体" w:hAnsi="宋体"/>
          <w:b/>
          <w:bCs/>
          <w:color w:val="auto"/>
          <w:sz w:val="30"/>
          <w:szCs w:val="30"/>
          <w:highlight w:val="none"/>
        </w:rPr>
      </w:pPr>
      <w:r>
        <w:rPr>
          <w:rFonts w:hint="eastAsia" w:ascii="宋体" w:hAnsi="宋体"/>
          <w:b/>
          <w:bCs/>
          <w:color w:val="auto"/>
          <w:sz w:val="30"/>
          <w:szCs w:val="30"/>
          <w:highlight w:val="none"/>
        </w:rPr>
        <w:t>一、具有独立承担民事责任的能力</w:t>
      </w:r>
    </w:p>
    <w:p w14:paraId="3D7FDA10">
      <w:pPr>
        <w:jc w:val="center"/>
        <w:rPr>
          <w:rFonts w:ascii="宋体" w:hAnsi="宋体"/>
          <w:b/>
          <w:bCs/>
          <w:color w:val="auto"/>
          <w:sz w:val="28"/>
          <w:szCs w:val="28"/>
          <w:highlight w:val="none"/>
        </w:rPr>
      </w:pPr>
      <w:r>
        <w:rPr>
          <w:rFonts w:hint="eastAsia" w:ascii="宋体" w:hAnsi="宋体"/>
          <w:b/>
          <w:bCs/>
          <w:color w:val="auto"/>
          <w:sz w:val="28"/>
          <w:szCs w:val="28"/>
          <w:highlight w:val="none"/>
        </w:rPr>
        <w:t>投标人基本情况表</w:t>
      </w:r>
    </w:p>
    <w:tbl>
      <w:tblPr>
        <w:tblStyle w:val="23"/>
        <w:tblW w:w="9520"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462"/>
        <w:gridCol w:w="1164"/>
        <w:gridCol w:w="2182"/>
        <w:gridCol w:w="1507"/>
        <w:gridCol w:w="2205"/>
      </w:tblGrid>
      <w:tr w14:paraId="189032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462" w:type="dxa"/>
            <w:tcBorders>
              <w:top w:val="single" w:color="auto" w:sz="18" w:space="0"/>
              <w:left w:val="single" w:color="auto" w:sz="18" w:space="0"/>
              <w:bottom w:val="single" w:color="auto" w:sz="6" w:space="0"/>
              <w:right w:val="single" w:color="auto" w:sz="6" w:space="0"/>
            </w:tcBorders>
            <w:noWrap/>
            <w:vAlign w:val="center"/>
          </w:tcPr>
          <w:p w14:paraId="3F6BFEF2">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投标人名称</w:t>
            </w:r>
          </w:p>
        </w:tc>
        <w:tc>
          <w:tcPr>
            <w:tcW w:w="7058" w:type="dxa"/>
            <w:gridSpan w:val="4"/>
            <w:tcBorders>
              <w:top w:val="single" w:color="auto" w:sz="18" w:space="0"/>
              <w:left w:val="single" w:color="auto" w:sz="6" w:space="0"/>
              <w:bottom w:val="single" w:color="auto" w:sz="6" w:space="0"/>
              <w:right w:val="single" w:color="auto" w:sz="18" w:space="0"/>
            </w:tcBorders>
            <w:noWrap/>
            <w:vAlign w:val="center"/>
          </w:tcPr>
          <w:p w14:paraId="4C11EF1C">
            <w:pPr>
              <w:spacing w:line="500" w:lineRule="exact"/>
              <w:jc w:val="center"/>
              <w:rPr>
                <w:rFonts w:ascii="宋体" w:hAnsi="宋体" w:cs="宋体"/>
                <w:color w:val="auto"/>
                <w:sz w:val="24"/>
                <w:highlight w:val="none"/>
              </w:rPr>
            </w:pPr>
          </w:p>
        </w:tc>
      </w:tr>
      <w:tr w14:paraId="3DBC4C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4B6095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注册地址</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257CE399">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500957DE">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邮政编码</w:t>
            </w:r>
          </w:p>
        </w:tc>
        <w:tc>
          <w:tcPr>
            <w:tcW w:w="2205" w:type="dxa"/>
            <w:tcBorders>
              <w:top w:val="single" w:color="auto" w:sz="6" w:space="0"/>
              <w:left w:val="single" w:color="auto" w:sz="6" w:space="0"/>
              <w:bottom w:val="single" w:color="auto" w:sz="6" w:space="0"/>
              <w:right w:val="single" w:color="auto" w:sz="18" w:space="0"/>
            </w:tcBorders>
            <w:noWrap/>
            <w:vAlign w:val="center"/>
          </w:tcPr>
          <w:p w14:paraId="033AE2D4">
            <w:pPr>
              <w:spacing w:line="500" w:lineRule="exact"/>
              <w:jc w:val="center"/>
              <w:rPr>
                <w:rFonts w:ascii="宋体" w:hAnsi="宋体" w:cs="宋体"/>
                <w:color w:val="auto"/>
                <w:sz w:val="24"/>
                <w:highlight w:val="none"/>
              </w:rPr>
            </w:pPr>
          </w:p>
        </w:tc>
      </w:tr>
      <w:tr w14:paraId="74A0420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2462" w:type="dxa"/>
            <w:vMerge w:val="restart"/>
            <w:tcBorders>
              <w:top w:val="single" w:color="auto" w:sz="6" w:space="0"/>
              <w:left w:val="single" w:color="auto" w:sz="18" w:space="0"/>
              <w:bottom w:val="single" w:color="auto" w:sz="6" w:space="0"/>
              <w:right w:val="single" w:color="auto" w:sz="6" w:space="0"/>
            </w:tcBorders>
            <w:noWrap/>
            <w:vAlign w:val="center"/>
          </w:tcPr>
          <w:p w14:paraId="611ED19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联系方式</w:t>
            </w:r>
          </w:p>
        </w:tc>
        <w:tc>
          <w:tcPr>
            <w:tcW w:w="1164" w:type="dxa"/>
            <w:tcBorders>
              <w:top w:val="single" w:color="auto" w:sz="6" w:space="0"/>
              <w:left w:val="single" w:color="auto" w:sz="6" w:space="0"/>
              <w:bottom w:val="single" w:color="auto" w:sz="6" w:space="0"/>
              <w:right w:val="single" w:color="auto" w:sz="6" w:space="0"/>
            </w:tcBorders>
            <w:noWrap/>
            <w:vAlign w:val="center"/>
          </w:tcPr>
          <w:p w14:paraId="1DAD92D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联系人</w:t>
            </w:r>
          </w:p>
        </w:tc>
        <w:tc>
          <w:tcPr>
            <w:tcW w:w="2182" w:type="dxa"/>
            <w:tcBorders>
              <w:top w:val="single" w:color="auto" w:sz="6" w:space="0"/>
              <w:left w:val="single" w:color="auto" w:sz="6" w:space="0"/>
              <w:bottom w:val="single" w:color="auto" w:sz="6" w:space="0"/>
              <w:right w:val="single" w:color="auto" w:sz="6" w:space="0"/>
            </w:tcBorders>
            <w:noWrap/>
            <w:vAlign w:val="center"/>
          </w:tcPr>
          <w:p w14:paraId="6121D6B7">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1B211CB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电话</w:t>
            </w:r>
          </w:p>
        </w:tc>
        <w:tc>
          <w:tcPr>
            <w:tcW w:w="2205" w:type="dxa"/>
            <w:tcBorders>
              <w:top w:val="single" w:color="auto" w:sz="6" w:space="0"/>
              <w:left w:val="single" w:color="auto" w:sz="6" w:space="0"/>
              <w:bottom w:val="single" w:color="auto" w:sz="6" w:space="0"/>
              <w:right w:val="single" w:color="auto" w:sz="18" w:space="0"/>
            </w:tcBorders>
            <w:noWrap/>
            <w:vAlign w:val="center"/>
          </w:tcPr>
          <w:p w14:paraId="1F83CC6F">
            <w:pPr>
              <w:spacing w:line="500" w:lineRule="exact"/>
              <w:jc w:val="center"/>
              <w:rPr>
                <w:rFonts w:ascii="宋体" w:hAnsi="宋体" w:cs="宋体"/>
                <w:color w:val="auto"/>
                <w:sz w:val="24"/>
                <w:highlight w:val="none"/>
              </w:rPr>
            </w:pPr>
          </w:p>
        </w:tc>
      </w:tr>
      <w:tr w14:paraId="28B14D9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7" w:hRule="atLeast"/>
          <w:jc w:val="center"/>
        </w:trPr>
        <w:tc>
          <w:tcPr>
            <w:tcW w:w="2462" w:type="dxa"/>
            <w:vMerge w:val="continue"/>
            <w:tcBorders>
              <w:top w:val="single" w:color="auto" w:sz="6" w:space="0"/>
              <w:left w:val="single" w:color="auto" w:sz="18" w:space="0"/>
              <w:bottom w:val="single" w:color="auto" w:sz="6" w:space="0"/>
              <w:right w:val="single" w:color="auto" w:sz="6" w:space="0"/>
            </w:tcBorders>
            <w:noWrap/>
            <w:vAlign w:val="center"/>
          </w:tcPr>
          <w:p w14:paraId="459CDAA3">
            <w:pPr>
              <w:widowControl/>
              <w:jc w:val="center"/>
              <w:rPr>
                <w:rFonts w:ascii="宋体" w:hAnsi="宋体" w:cs="宋体"/>
                <w:color w:val="auto"/>
                <w:sz w:val="24"/>
                <w:highlight w:val="none"/>
              </w:rPr>
            </w:pPr>
          </w:p>
        </w:tc>
        <w:tc>
          <w:tcPr>
            <w:tcW w:w="1164" w:type="dxa"/>
            <w:tcBorders>
              <w:top w:val="single" w:color="auto" w:sz="6" w:space="0"/>
              <w:left w:val="single" w:color="auto" w:sz="6" w:space="0"/>
              <w:bottom w:val="single" w:color="auto" w:sz="6" w:space="0"/>
              <w:right w:val="single" w:color="auto" w:sz="6" w:space="0"/>
            </w:tcBorders>
            <w:noWrap/>
            <w:vAlign w:val="center"/>
          </w:tcPr>
          <w:p w14:paraId="2C2FB3F0">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传真</w:t>
            </w:r>
          </w:p>
        </w:tc>
        <w:tc>
          <w:tcPr>
            <w:tcW w:w="2182" w:type="dxa"/>
            <w:tcBorders>
              <w:top w:val="single" w:color="auto" w:sz="6" w:space="0"/>
              <w:left w:val="single" w:color="auto" w:sz="6" w:space="0"/>
              <w:bottom w:val="single" w:color="auto" w:sz="6" w:space="0"/>
              <w:right w:val="single" w:color="auto" w:sz="6" w:space="0"/>
            </w:tcBorders>
            <w:noWrap/>
            <w:vAlign w:val="center"/>
          </w:tcPr>
          <w:p w14:paraId="7FAE1F21">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839B9E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电子邮件</w:t>
            </w:r>
          </w:p>
        </w:tc>
        <w:tc>
          <w:tcPr>
            <w:tcW w:w="2205" w:type="dxa"/>
            <w:tcBorders>
              <w:top w:val="single" w:color="auto" w:sz="6" w:space="0"/>
              <w:left w:val="single" w:color="auto" w:sz="6" w:space="0"/>
              <w:bottom w:val="single" w:color="auto" w:sz="6" w:space="0"/>
              <w:right w:val="single" w:color="auto" w:sz="18" w:space="0"/>
            </w:tcBorders>
            <w:noWrap/>
            <w:vAlign w:val="center"/>
          </w:tcPr>
          <w:p w14:paraId="5928240E">
            <w:pPr>
              <w:spacing w:line="500" w:lineRule="exact"/>
              <w:jc w:val="center"/>
              <w:rPr>
                <w:rFonts w:ascii="宋体" w:hAnsi="宋体" w:cs="宋体"/>
                <w:color w:val="auto"/>
                <w:sz w:val="24"/>
                <w:highlight w:val="none"/>
              </w:rPr>
            </w:pPr>
          </w:p>
        </w:tc>
      </w:tr>
      <w:tr w14:paraId="33B4B5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59C9BE1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法定代表人</w:t>
            </w:r>
          </w:p>
        </w:tc>
        <w:tc>
          <w:tcPr>
            <w:tcW w:w="1164" w:type="dxa"/>
            <w:tcBorders>
              <w:top w:val="single" w:color="auto" w:sz="6" w:space="0"/>
              <w:left w:val="single" w:color="auto" w:sz="6" w:space="0"/>
              <w:bottom w:val="single" w:color="auto" w:sz="6" w:space="0"/>
              <w:right w:val="single" w:color="auto" w:sz="6" w:space="0"/>
            </w:tcBorders>
            <w:noWrap/>
            <w:vAlign w:val="center"/>
          </w:tcPr>
          <w:p w14:paraId="44299C9A">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姓名</w:t>
            </w:r>
          </w:p>
        </w:tc>
        <w:tc>
          <w:tcPr>
            <w:tcW w:w="2182" w:type="dxa"/>
            <w:tcBorders>
              <w:top w:val="single" w:color="auto" w:sz="6" w:space="0"/>
              <w:left w:val="single" w:color="auto" w:sz="6" w:space="0"/>
              <w:bottom w:val="single" w:color="auto" w:sz="6" w:space="0"/>
              <w:right w:val="single" w:color="auto" w:sz="6" w:space="0"/>
            </w:tcBorders>
            <w:noWrap/>
            <w:vAlign w:val="center"/>
          </w:tcPr>
          <w:p w14:paraId="502C235A">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2799A4C8">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电话</w:t>
            </w:r>
          </w:p>
        </w:tc>
        <w:tc>
          <w:tcPr>
            <w:tcW w:w="2205" w:type="dxa"/>
            <w:tcBorders>
              <w:top w:val="single" w:color="auto" w:sz="6" w:space="0"/>
              <w:left w:val="single" w:color="auto" w:sz="6" w:space="0"/>
              <w:bottom w:val="single" w:color="auto" w:sz="6" w:space="0"/>
              <w:right w:val="single" w:color="auto" w:sz="18" w:space="0"/>
            </w:tcBorders>
            <w:noWrap/>
            <w:vAlign w:val="center"/>
          </w:tcPr>
          <w:p w14:paraId="633D00D7">
            <w:pPr>
              <w:spacing w:line="500" w:lineRule="exact"/>
              <w:jc w:val="center"/>
              <w:rPr>
                <w:rFonts w:ascii="宋体" w:hAnsi="宋体" w:cs="宋体"/>
                <w:color w:val="auto"/>
                <w:sz w:val="24"/>
                <w:highlight w:val="none"/>
              </w:rPr>
            </w:pPr>
          </w:p>
        </w:tc>
      </w:tr>
      <w:tr w14:paraId="7E3C56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065388FF">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统一社会信用代码</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5A2552A2">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2EE72AC">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成立时间</w:t>
            </w:r>
          </w:p>
        </w:tc>
        <w:tc>
          <w:tcPr>
            <w:tcW w:w="2205" w:type="dxa"/>
            <w:tcBorders>
              <w:top w:val="single" w:color="auto" w:sz="6" w:space="0"/>
              <w:left w:val="single" w:color="auto" w:sz="6" w:space="0"/>
              <w:bottom w:val="single" w:color="auto" w:sz="6" w:space="0"/>
              <w:right w:val="single" w:color="auto" w:sz="18" w:space="0"/>
            </w:tcBorders>
            <w:noWrap/>
            <w:vAlign w:val="center"/>
          </w:tcPr>
          <w:p w14:paraId="3B3C78A7">
            <w:pPr>
              <w:spacing w:line="500" w:lineRule="exact"/>
              <w:jc w:val="center"/>
              <w:rPr>
                <w:rFonts w:ascii="宋体" w:hAnsi="宋体" w:cs="宋体"/>
                <w:color w:val="auto"/>
                <w:sz w:val="24"/>
                <w:highlight w:val="none"/>
              </w:rPr>
            </w:pPr>
          </w:p>
        </w:tc>
      </w:tr>
      <w:tr w14:paraId="0EBC2F5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13DE16B1">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开户银行</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140521DC">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67B62603">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注册资金</w:t>
            </w:r>
          </w:p>
        </w:tc>
        <w:tc>
          <w:tcPr>
            <w:tcW w:w="2205" w:type="dxa"/>
            <w:tcBorders>
              <w:top w:val="single" w:color="auto" w:sz="6" w:space="0"/>
              <w:left w:val="single" w:color="auto" w:sz="6" w:space="0"/>
              <w:bottom w:val="single" w:color="auto" w:sz="6" w:space="0"/>
              <w:right w:val="single" w:color="auto" w:sz="18" w:space="0"/>
            </w:tcBorders>
            <w:noWrap/>
            <w:vAlign w:val="center"/>
          </w:tcPr>
          <w:p w14:paraId="3C86CCBB">
            <w:pPr>
              <w:spacing w:line="500" w:lineRule="exact"/>
              <w:jc w:val="center"/>
              <w:rPr>
                <w:rFonts w:ascii="宋体" w:hAnsi="宋体" w:cs="宋体"/>
                <w:color w:val="auto"/>
                <w:sz w:val="24"/>
                <w:highlight w:val="none"/>
              </w:rPr>
            </w:pPr>
          </w:p>
        </w:tc>
      </w:tr>
      <w:tr w14:paraId="6229A0A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9D9BB77">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银行账号</w:t>
            </w:r>
          </w:p>
        </w:tc>
        <w:tc>
          <w:tcPr>
            <w:tcW w:w="3346" w:type="dxa"/>
            <w:gridSpan w:val="2"/>
            <w:tcBorders>
              <w:top w:val="single" w:color="auto" w:sz="6" w:space="0"/>
              <w:left w:val="single" w:color="auto" w:sz="6" w:space="0"/>
              <w:bottom w:val="single" w:color="auto" w:sz="6" w:space="0"/>
              <w:right w:val="single" w:color="auto" w:sz="6" w:space="0"/>
            </w:tcBorders>
            <w:noWrap/>
            <w:vAlign w:val="center"/>
          </w:tcPr>
          <w:p w14:paraId="27CBD859">
            <w:pPr>
              <w:spacing w:line="500" w:lineRule="exact"/>
              <w:jc w:val="center"/>
              <w:rPr>
                <w:rFonts w:ascii="宋体" w:hAnsi="宋体" w:cs="宋体"/>
                <w:color w:val="auto"/>
                <w:sz w:val="24"/>
                <w:highlight w:val="none"/>
              </w:rPr>
            </w:pPr>
          </w:p>
        </w:tc>
        <w:tc>
          <w:tcPr>
            <w:tcW w:w="1507" w:type="dxa"/>
            <w:tcBorders>
              <w:top w:val="single" w:color="auto" w:sz="6" w:space="0"/>
              <w:left w:val="single" w:color="auto" w:sz="6" w:space="0"/>
              <w:bottom w:val="single" w:color="auto" w:sz="6" w:space="0"/>
              <w:right w:val="single" w:color="auto" w:sz="6" w:space="0"/>
            </w:tcBorders>
            <w:noWrap/>
            <w:vAlign w:val="center"/>
          </w:tcPr>
          <w:p w14:paraId="70CF8294">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员工总数</w:t>
            </w:r>
          </w:p>
        </w:tc>
        <w:tc>
          <w:tcPr>
            <w:tcW w:w="2205" w:type="dxa"/>
            <w:tcBorders>
              <w:top w:val="single" w:color="auto" w:sz="6" w:space="0"/>
              <w:left w:val="single" w:color="auto" w:sz="6" w:space="0"/>
              <w:bottom w:val="single" w:color="auto" w:sz="6" w:space="0"/>
              <w:right w:val="single" w:color="auto" w:sz="18" w:space="0"/>
            </w:tcBorders>
            <w:noWrap/>
            <w:vAlign w:val="center"/>
          </w:tcPr>
          <w:p w14:paraId="137C66FC">
            <w:pPr>
              <w:spacing w:line="500" w:lineRule="exact"/>
              <w:jc w:val="center"/>
              <w:rPr>
                <w:rFonts w:ascii="宋体" w:hAnsi="宋体" w:cs="宋体"/>
                <w:color w:val="auto"/>
                <w:sz w:val="24"/>
                <w:highlight w:val="none"/>
              </w:rPr>
            </w:pPr>
          </w:p>
        </w:tc>
      </w:tr>
      <w:tr w14:paraId="14EC53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0C2C5F75">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企业资质等级（如有）</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1CCABEFE">
            <w:pPr>
              <w:spacing w:line="500" w:lineRule="exact"/>
              <w:jc w:val="center"/>
              <w:rPr>
                <w:rFonts w:ascii="宋体" w:hAnsi="宋体" w:cs="宋体"/>
                <w:color w:val="auto"/>
                <w:sz w:val="24"/>
                <w:highlight w:val="none"/>
              </w:rPr>
            </w:pPr>
          </w:p>
        </w:tc>
      </w:tr>
      <w:tr w14:paraId="17E3C76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78F18DC6">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经营范围</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7DD413CE">
            <w:pPr>
              <w:spacing w:line="500" w:lineRule="exact"/>
              <w:jc w:val="center"/>
              <w:rPr>
                <w:rFonts w:ascii="宋体" w:hAnsi="宋体" w:cs="宋体"/>
                <w:color w:val="auto"/>
                <w:sz w:val="24"/>
                <w:highlight w:val="none"/>
              </w:rPr>
            </w:pPr>
          </w:p>
        </w:tc>
      </w:tr>
      <w:tr w14:paraId="3F14A26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2462" w:type="dxa"/>
            <w:tcBorders>
              <w:top w:val="single" w:color="auto" w:sz="6" w:space="0"/>
              <w:left w:val="single" w:color="auto" w:sz="18" w:space="0"/>
              <w:bottom w:val="single" w:color="auto" w:sz="6" w:space="0"/>
              <w:right w:val="single" w:color="auto" w:sz="6" w:space="0"/>
            </w:tcBorders>
            <w:noWrap/>
            <w:vAlign w:val="center"/>
          </w:tcPr>
          <w:p w14:paraId="1C7CDA0B">
            <w:pPr>
              <w:spacing w:line="500" w:lineRule="exact"/>
              <w:jc w:val="left"/>
              <w:rPr>
                <w:rFonts w:ascii="宋体" w:hAnsi="宋体" w:cs="宋体"/>
                <w:color w:val="auto"/>
                <w:sz w:val="24"/>
                <w:highlight w:val="none"/>
              </w:rPr>
            </w:pPr>
            <w:r>
              <w:rPr>
                <w:rFonts w:hint="eastAsia" w:ascii="宋体" w:hAnsi="宋体" w:cs="宋体"/>
                <w:color w:val="auto"/>
                <w:sz w:val="24"/>
                <w:highlight w:val="none"/>
              </w:rPr>
              <w:t>资产构成情况及关联企业情况【包括但不限于与投标人法定代表人（单位负责人）为同一个人或存在控股、管理关系的不同单位】</w:t>
            </w:r>
          </w:p>
        </w:tc>
        <w:tc>
          <w:tcPr>
            <w:tcW w:w="7058" w:type="dxa"/>
            <w:gridSpan w:val="4"/>
            <w:tcBorders>
              <w:top w:val="single" w:color="auto" w:sz="6" w:space="0"/>
              <w:left w:val="single" w:color="auto" w:sz="6" w:space="0"/>
              <w:bottom w:val="single" w:color="auto" w:sz="6" w:space="0"/>
              <w:right w:val="single" w:color="auto" w:sz="18" w:space="0"/>
            </w:tcBorders>
            <w:noWrap/>
            <w:vAlign w:val="center"/>
          </w:tcPr>
          <w:p w14:paraId="79481BB6">
            <w:pPr>
              <w:spacing w:line="500" w:lineRule="exact"/>
              <w:jc w:val="center"/>
              <w:rPr>
                <w:rFonts w:ascii="宋体" w:hAnsi="宋体" w:cs="宋体"/>
                <w:color w:val="auto"/>
                <w:sz w:val="24"/>
                <w:highlight w:val="none"/>
              </w:rPr>
            </w:pPr>
          </w:p>
        </w:tc>
      </w:tr>
      <w:tr w14:paraId="413E89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2462" w:type="dxa"/>
            <w:tcBorders>
              <w:top w:val="single" w:color="auto" w:sz="6" w:space="0"/>
              <w:left w:val="single" w:color="auto" w:sz="18" w:space="0"/>
              <w:bottom w:val="single" w:color="auto" w:sz="18" w:space="0"/>
              <w:right w:val="single" w:color="auto" w:sz="6" w:space="0"/>
            </w:tcBorders>
            <w:noWrap/>
          </w:tcPr>
          <w:p w14:paraId="6A2C0FEB">
            <w:pPr>
              <w:spacing w:line="500" w:lineRule="exact"/>
              <w:jc w:val="center"/>
              <w:rPr>
                <w:rFonts w:ascii="宋体" w:hAnsi="宋体" w:cs="宋体"/>
                <w:color w:val="auto"/>
                <w:sz w:val="24"/>
                <w:highlight w:val="none"/>
              </w:rPr>
            </w:pPr>
            <w:r>
              <w:rPr>
                <w:rFonts w:hint="eastAsia" w:ascii="宋体" w:hAnsi="宋体" w:cs="宋体"/>
                <w:color w:val="auto"/>
                <w:sz w:val="24"/>
                <w:highlight w:val="none"/>
              </w:rPr>
              <w:t>备注</w:t>
            </w:r>
          </w:p>
        </w:tc>
        <w:tc>
          <w:tcPr>
            <w:tcW w:w="7058" w:type="dxa"/>
            <w:gridSpan w:val="4"/>
            <w:tcBorders>
              <w:top w:val="single" w:color="auto" w:sz="6" w:space="0"/>
              <w:left w:val="single" w:color="auto" w:sz="6" w:space="0"/>
              <w:bottom w:val="single" w:color="auto" w:sz="18" w:space="0"/>
              <w:right w:val="single" w:color="auto" w:sz="18" w:space="0"/>
            </w:tcBorders>
            <w:noWrap/>
          </w:tcPr>
          <w:p w14:paraId="767571F1">
            <w:pPr>
              <w:spacing w:line="500" w:lineRule="exact"/>
              <w:jc w:val="center"/>
              <w:rPr>
                <w:rFonts w:ascii="宋体" w:hAnsi="宋体" w:cs="宋体"/>
                <w:color w:val="auto"/>
                <w:sz w:val="24"/>
                <w:highlight w:val="none"/>
              </w:rPr>
            </w:pPr>
          </w:p>
        </w:tc>
      </w:tr>
    </w:tbl>
    <w:p w14:paraId="5A9DBC9F">
      <w:pPr>
        <w:spacing w:line="200" w:lineRule="exact"/>
        <w:jc w:val="center"/>
        <w:rPr>
          <w:rFonts w:ascii="宋体" w:hAnsi="宋体" w:cs="宋体"/>
          <w:color w:val="auto"/>
          <w:szCs w:val="21"/>
          <w:highlight w:val="none"/>
        </w:rPr>
      </w:pPr>
    </w:p>
    <w:p w14:paraId="1B1462E2">
      <w:pPr>
        <w:pStyle w:val="22"/>
        <w:ind w:left="0" w:leftChars="0" w:firstLine="0" w:firstLineChars="0"/>
        <w:jc w:val="left"/>
        <w:rPr>
          <w:b/>
          <w:bCs/>
          <w:color w:val="auto"/>
          <w:sz w:val="24"/>
          <w:szCs w:val="24"/>
          <w:highlight w:val="none"/>
        </w:rPr>
      </w:pPr>
      <w:r>
        <w:rPr>
          <w:rFonts w:hint="eastAsia" w:ascii="宋体" w:hAnsi="宋体" w:cs="宋体"/>
          <w:b/>
          <w:bCs/>
          <w:color w:val="auto"/>
          <w:sz w:val="24"/>
          <w:szCs w:val="24"/>
          <w:highlight w:val="none"/>
        </w:rPr>
        <w:t>注：</w:t>
      </w:r>
      <w:r>
        <w:rPr>
          <w:rFonts w:hint="eastAsia" w:ascii="宋体" w:hAnsi="宋体" w:eastAsia="宋体" w:cs="宋体"/>
          <w:b/>
          <w:bCs/>
          <w:color w:val="auto"/>
          <w:sz w:val="24"/>
          <w:szCs w:val="24"/>
          <w:highlight w:val="none"/>
        </w:rPr>
        <w:t>附自然人有效身份证明或法人或者其他组织有效的营业执照等证明文件的扫描件。</w:t>
      </w:r>
    </w:p>
    <w:p w14:paraId="74973430">
      <w:pPr>
        <w:spacing w:line="360" w:lineRule="auto"/>
        <w:jc w:val="center"/>
        <w:rPr>
          <w:rFonts w:ascii="宋体" w:hAnsi="宋体" w:cs="宋体"/>
          <w:b/>
          <w:color w:val="auto"/>
          <w:kern w:val="0"/>
          <w:sz w:val="28"/>
          <w:szCs w:val="28"/>
          <w:highlight w:val="none"/>
          <w:lang w:val="zh-CN"/>
        </w:rPr>
        <w:sectPr>
          <w:pgSz w:w="11906" w:h="16838"/>
          <w:pgMar w:top="1440" w:right="1080" w:bottom="1440" w:left="1080" w:header="851" w:footer="992" w:gutter="0"/>
          <w:pgNumType w:fmt="decimal"/>
          <w:cols w:space="720" w:num="1"/>
          <w:docGrid w:type="lines" w:linePitch="312" w:charSpace="0"/>
        </w:sectPr>
      </w:pPr>
    </w:p>
    <w:p w14:paraId="1454FE07">
      <w:pPr>
        <w:spacing w:line="360" w:lineRule="auto"/>
        <w:jc w:val="center"/>
        <w:rPr>
          <w:rFonts w:ascii="宋体" w:hAnsi="宋体" w:cs="宋体"/>
          <w:b/>
          <w:color w:val="auto"/>
          <w:kern w:val="0"/>
          <w:sz w:val="30"/>
          <w:szCs w:val="30"/>
          <w:highlight w:val="none"/>
          <w:lang w:val="zh-CN"/>
        </w:rPr>
      </w:pPr>
      <w:r>
        <w:rPr>
          <w:rFonts w:hint="eastAsia" w:ascii="宋体" w:hAnsi="宋体" w:cs="宋体"/>
          <w:b/>
          <w:color w:val="auto"/>
          <w:kern w:val="0"/>
          <w:sz w:val="30"/>
          <w:szCs w:val="30"/>
          <w:highlight w:val="none"/>
        </w:rPr>
        <w:t>二、</w:t>
      </w:r>
      <w:r>
        <w:rPr>
          <w:rFonts w:hint="eastAsia" w:ascii="宋体" w:hAnsi="宋体" w:cs="宋体"/>
          <w:b/>
          <w:color w:val="auto"/>
          <w:kern w:val="0"/>
          <w:sz w:val="30"/>
          <w:szCs w:val="30"/>
          <w:highlight w:val="none"/>
          <w:lang w:val="zh-CN"/>
        </w:rPr>
        <w:t>具有良好的商业信誉和健全的财务会计制度</w:t>
      </w:r>
    </w:p>
    <w:p w14:paraId="7B787AFA">
      <w:pPr>
        <w:pStyle w:val="18"/>
        <w:widowControl/>
        <w:wordWrap w:val="0"/>
        <w:spacing w:line="460" w:lineRule="exact"/>
        <w:ind w:right="-181" w:firstLine="480" w:firstLineChars="200"/>
        <w:rPr>
          <w:rFonts w:ascii="宋体" w:hAnsi="宋体" w:cs="宋体"/>
          <w:color w:val="auto"/>
          <w:kern w:val="2"/>
          <w:highlight w:val="none"/>
        </w:rPr>
      </w:pPr>
      <w:r>
        <w:rPr>
          <w:rFonts w:hint="eastAsia" w:ascii="宋体" w:hAnsi="宋体" w:cs="宋体"/>
          <w:color w:val="auto"/>
          <w:kern w:val="2"/>
          <w:highlight w:val="none"/>
        </w:rPr>
        <w:t>1.</w:t>
      </w:r>
      <w:r>
        <w:rPr>
          <w:rFonts w:hint="eastAsia" w:ascii="宋体" w:hAnsi="宋体" w:cs="宋体"/>
          <w:color w:val="auto"/>
          <w:highlight w:val="none"/>
        </w:rPr>
        <w:t>①供应商应在信用中国（www.creditchina.gov.cn）中未被列入失信被执行人；②供应商应在信用中国（www.creditchina.gov.cn）中未被列入重大税收违法失信主体；③供应商应在中国政府采购网</w:t>
      </w:r>
      <w:r>
        <w:rPr>
          <w:rFonts w:hint="eastAsia" w:ascii="宋体" w:hAnsi="宋体" w:cs="宋体"/>
          <w:color w:val="auto"/>
          <w:highlight w:val="none"/>
          <w:lang w:eastAsia="zh-CN"/>
        </w:rPr>
        <w:t>（</w:t>
      </w:r>
      <w:r>
        <w:rPr>
          <w:rFonts w:hint="eastAsia" w:ascii="宋体" w:hAnsi="宋体" w:cs="宋体"/>
          <w:color w:val="auto"/>
          <w:highlight w:val="none"/>
        </w:rPr>
        <w:t>www.ccgp.gov.cn</w:t>
      </w:r>
      <w:r>
        <w:rPr>
          <w:rFonts w:hint="eastAsia" w:ascii="宋体" w:hAnsi="宋体" w:cs="宋体"/>
          <w:color w:val="auto"/>
          <w:highlight w:val="none"/>
          <w:lang w:eastAsia="zh-CN"/>
        </w:rPr>
        <w:t>）</w:t>
      </w:r>
      <w:r>
        <w:rPr>
          <w:rFonts w:hint="eastAsia" w:ascii="宋体" w:hAnsi="宋体" w:cs="宋体"/>
          <w:color w:val="auto"/>
          <w:highlight w:val="none"/>
        </w:rPr>
        <w:t>中未被列入政府采购严重违法失信行为记录名单</w:t>
      </w:r>
      <w:r>
        <w:rPr>
          <w:rFonts w:hint="eastAsia" w:ascii="宋体" w:hAnsi="宋体" w:cs="宋体"/>
          <w:color w:val="auto"/>
          <w:kern w:val="2"/>
          <w:highlight w:val="none"/>
        </w:rPr>
        <w:t>。</w:t>
      </w:r>
    </w:p>
    <w:p w14:paraId="4CCD37CE">
      <w:pPr>
        <w:pStyle w:val="18"/>
        <w:widowControl/>
        <w:wordWrap w:val="0"/>
        <w:spacing w:line="460" w:lineRule="exact"/>
        <w:ind w:right="-181" w:firstLine="480" w:firstLineChars="200"/>
        <w:rPr>
          <w:rFonts w:ascii="宋体" w:hAnsi="宋体" w:cs="宋体"/>
          <w:color w:val="auto"/>
          <w:highlight w:val="none"/>
        </w:rPr>
      </w:pPr>
      <w:r>
        <w:rPr>
          <w:rFonts w:hint="eastAsia" w:ascii="宋体" w:hAnsi="宋体" w:cs="宋体"/>
          <w:color w:val="auto"/>
          <w:highlight w:val="none"/>
        </w:rPr>
        <w:t>（备注：</w:t>
      </w:r>
      <w:r>
        <w:rPr>
          <w:rFonts w:hint="eastAsia" w:ascii="宋体" w:hAnsi="宋体" w:cs="宋体"/>
          <w:color w:val="auto"/>
          <w:highlight w:val="none"/>
          <w:lang w:eastAsia="zh-CN"/>
        </w:rPr>
        <w:t>以上网站均由采购人或采购代理机构在资格审查时查询</w:t>
      </w:r>
      <w:r>
        <w:rPr>
          <w:rFonts w:hint="eastAsia" w:ascii="宋体" w:hAnsi="宋体" w:cs="宋体"/>
          <w:color w:val="auto"/>
          <w:highlight w:val="none"/>
        </w:rPr>
        <w:t>，若供应商有失信行为，视为不满足资格要求）；</w:t>
      </w:r>
    </w:p>
    <w:p w14:paraId="47B78E20">
      <w:pPr>
        <w:pStyle w:val="18"/>
        <w:widowControl/>
        <w:wordWrap w:val="0"/>
        <w:spacing w:line="460" w:lineRule="exact"/>
        <w:ind w:right="-181" w:firstLine="480" w:firstLineChars="200"/>
        <w:rPr>
          <w:rFonts w:hint="eastAsia" w:ascii="宋体" w:hAnsi="宋体" w:cs="宋体"/>
          <w:color w:val="auto"/>
          <w:kern w:val="2"/>
          <w:highlight w:val="none"/>
        </w:rPr>
      </w:pPr>
      <w:r>
        <w:rPr>
          <w:rFonts w:hint="eastAsia" w:ascii="宋体" w:hAnsi="宋体" w:cs="宋体"/>
          <w:color w:val="auto"/>
          <w:kern w:val="2"/>
          <w:highlight w:val="none"/>
        </w:rPr>
        <w:t>2.</w:t>
      </w:r>
      <w:r>
        <w:rPr>
          <w:rFonts w:hint="eastAsia" w:ascii="宋体" w:hAnsi="宋体" w:cs="宋体"/>
          <w:color w:val="auto"/>
          <w:highlight w:val="none"/>
        </w:rPr>
        <w:t>健全的财务会计制度（内容可为以下</w:t>
      </w:r>
      <w:r>
        <w:rPr>
          <w:rFonts w:hint="eastAsia" w:ascii="宋体" w:hAnsi="宋体" w:cs="宋体"/>
          <w:color w:val="auto"/>
          <w:highlight w:val="none"/>
          <w:lang w:eastAsia="zh-CN"/>
        </w:rPr>
        <w:t>二者之一</w:t>
      </w:r>
      <w:r>
        <w:rPr>
          <w:rFonts w:hint="eastAsia" w:ascii="宋体" w:hAnsi="宋体" w:cs="宋体"/>
          <w:color w:val="auto"/>
          <w:highlight w:val="none"/>
        </w:rPr>
        <w:t>）：①</w:t>
      </w:r>
      <w:r>
        <w:rPr>
          <w:rFonts w:hint="eastAsia" w:ascii="宋体" w:hAnsi="宋体" w:cs="宋体"/>
          <w:color w:val="auto"/>
          <w:highlight w:val="none"/>
          <w:lang w:eastAsia="zh-CN"/>
        </w:rPr>
        <w:t>提供2022年至今任意年度经</w:t>
      </w:r>
      <w:r>
        <w:rPr>
          <w:rFonts w:hint="eastAsia" w:ascii="宋体" w:hAnsi="宋体" w:cs="宋体"/>
          <w:color w:val="auto"/>
          <w:highlight w:val="none"/>
        </w:rPr>
        <w:t>第三方审计机构审计的财务状况报告（包括资产负债表、利润表、现金流量表），成立不满1年的供应商提供自成立至今的财务报表</w:t>
      </w:r>
      <w:r>
        <w:rPr>
          <w:rFonts w:hint="eastAsia" w:ascii="宋体" w:hAnsi="宋体" w:cs="宋体"/>
          <w:color w:val="auto"/>
          <w:highlight w:val="none"/>
          <w:lang w:eastAsia="zh-CN"/>
        </w:rPr>
        <w:t>（</w:t>
      </w:r>
      <w:r>
        <w:rPr>
          <w:rFonts w:hint="eastAsia" w:ascii="宋体" w:hAnsi="宋体" w:cs="宋体"/>
          <w:color w:val="auto"/>
          <w:highlight w:val="none"/>
        </w:rPr>
        <w:t>包括资产负债表、利润表、现金流量表</w:t>
      </w:r>
      <w:r>
        <w:rPr>
          <w:rFonts w:hint="eastAsia" w:ascii="宋体" w:hAnsi="宋体" w:cs="宋体"/>
          <w:color w:val="auto"/>
          <w:highlight w:val="none"/>
          <w:lang w:eastAsia="zh-CN"/>
        </w:rPr>
        <w:t>）</w:t>
      </w:r>
      <w:r>
        <w:rPr>
          <w:rFonts w:hint="eastAsia" w:ascii="宋体" w:hAnsi="宋体" w:cs="宋体"/>
          <w:color w:val="auto"/>
          <w:highlight w:val="none"/>
        </w:rPr>
        <w:t>；②</w:t>
      </w:r>
      <w:r>
        <w:rPr>
          <w:rFonts w:hint="eastAsia" w:ascii="宋体" w:hAnsi="宋体" w:cs="宋体"/>
          <w:color w:val="auto"/>
          <w:highlight w:val="none"/>
          <w:lang w:eastAsia="zh-CN"/>
        </w:rPr>
        <w:t>提供银行出具的资信证明</w:t>
      </w:r>
      <w:r>
        <w:rPr>
          <w:rFonts w:hint="eastAsia" w:ascii="宋体" w:hAnsi="宋体" w:cs="宋体"/>
          <w:color w:val="auto"/>
          <w:kern w:val="2"/>
          <w:highlight w:val="none"/>
        </w:rPr>
        <w:t>。</w:t>
      </w:r>
    </w:p>
    <w:p w14:paraId="2B9EB887">
      <w:pPr>
        <w:pStyle w:val="18"/>
        <w:widowControl/>
        <w:wordWrap w:val="0"/>
        <w:spacing w:line="460" w:lineRule="exact"/>
        <w:ind w:right="-181" w:firstLine="482" w:firstLineChars="200"/>
        <w:rPr>
          <w:color w:val="auto"/>
          <w:highlight w:val="none"/>
          <w:lang w:val="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bCs/>
          <w:color w:val="auto"/>
          <w:kern w:val="2"/>
          <w:highlight w:val="none"/>
          <w:lang w:val="en-US" w:eastAsia="zh-CN"/>
        </w:rPr>
        <w:t>注：附相关证明材料扫描件。</w:t>
      </w:r>
    </w:p>
    <w:p w14:paraId="46F897EF">
      <w:pPr>
        <w:pStyle w:val="22"/>
        <w:ind w:left="0" w:leftChars="0" w:firstLine="0" w:firstLineChars="0"/>
        <w:jc w:val="center"/>
        <w:rPr>
          <w:rFonts w:ascii="宋体" w:hAnsi="宋体" w:eastAsia="宋体" w:cs="宋体"/>
          <w:color w:val="auto"/>
          <w:sz w:val="30"/>
          <w:szCs w:val="30"/>
          <w:highlight w:val="none"/>
        </w:rPr>
      </w:pPr>
      <w:r>
        <w:rPr>
          <w:rFonts w:hint="eastAsia" w:ascii="宋体" w:hAnsi="宋体" w:eastAsia="宋体" w:cs="宋体"/>
          <w:b/>
          <w:color w:val="auto"/>
          <w:kern w:val="0"/>
          <w:sz w:val="30"/>
          <w:szCs w:val="30"/>
          <w:highlight w:val="none"/>
        </w:rPr>
        <w:t>三、</w:t>
      </w:r>
      <w:r>
        <w:rPr>
          <w:rFonts w:hint="eastAsia" w:ascii="宋体" w:hAnsi="宋体" w:eastAsia="宋体" w:cs="宋体"/>
          <w:b/>
          <w:bCs/>
          <w:color w:val="auto"/>
          <w:sz w:val="30"/>
          <w:szCs w:val="30"/>
          <w:highlight w:val="none"/>
        </w:rPr>
        <w:t>具有履行合同所必需的设备和专业技术能力</w:t>
      </w:r>
    </w:p>
    <w:p w14:paraId="33A22A95">
      <w:pPr>
        <w:pStyle w:val="22"/>
        <w:ind w:left="0" w:leftChars="0" w:firstLine="0" w:firstLineChars="0"/>
        <w:jc w:val="center"/>
        <w:rPr>
          <w:rFonts w:cs="宋体"/>
          <w:color w:val="auto"/>
          <w:sz w:val="24"/>
          <w:szCs w:val="24"/>
          <w:highlight w:val="none"/>
        </w:rPr>
      </w:pPr>
      <w:r>
        <w:rPr>
          <w:rFonts w:hint="eastAsia" w:eastAsia="宋体" w:cs="宋体"/>
          <w:color w:val="auto"/>
          <w:sz w:val="24"/>
          <w:szCs w:val="24"/>
          <w:highlight w:val="none"/>
        </w:rPr>
        <w:t>提供具备履行合同所必需的</w:t>
      </w:r>
      <w:r>
        <w:rPr>
          <w:rFonts w:hint="eastAsia" w:eastAsia="宋体" w:cs="宋体"/>
          <w:b/>
          <w:bCs/>
          <w:color w:val="auto"/>
          <w:sz w:val="24"/>
          <w:szCs w:val="24"/>
          <w:highlight w:val="none"/>
        </w:rPr>
        <w:t>设备和专业技术能力</w:t>
      </w:r>
      <w:r>
        <w:rPr>
          <w:rFonts w:hint="eastAsia" w:eastAsia="宋体" w:cs="宋体"/>
          <w:color w:val="auto"/>
          <w:sz w:val="24"/>
          <w:szCs w:val="24"/>
          <w:highlight w:val="none"/>
        </w:rPr>
        <w:t>的</w:t>
      </w:r>
      <w:r>
        <w:rPr>
          <w:rFonts w:hint="eastAsia" w:cs="宋体"/>
          <w:color w:val="auto"/>
          <w:sz w:val="24"/>
          <w:szCs w:val="24"/>
          <w:highlight w:val="none"/>
        </w:rPr>
        <w:t>证明材料或书面声明</w:t>
      </w:r>
    </w:p>
    <w:p w14:paraId="35623B10">
      <w:pPr>
        <w:pStyle w:val="22"/>
        <w:ind w:left="0" w:leftChars="0" w:firstLine="0" w:firstLineChars="0"/>
        <w:rPr>
          <w:rFonts w:eastAsia="宋体" w:cs="宋体"/>
          <w:color w:val="auto"/>
          <w:szCs w:val="21"/>
          <w:highlight w:val="none"/>
        </w:rPr>
      </w:pPr>
    </w:p>
    <w:p w14:paraId="2AF9D55B">
      <w:pPr>
        <w:ind w:firstLine="466" w:firstLineChars="200"/>
        <w:jc w:val="center"/>
        <w:rPr>
          <w:rFonts w:ascii="宋体" w:hAnsi="宋体" w:eastAsia="宋体" w:cs="宋体"/>
          <w:b/>
          <w:color w:val="auto"/>
          <w:kern w:val="0"/>
          <w:sz w:val="28"/>
          <w:szCs w:val="28"/>
          <w:highlight w:val="none"/>
          <w:lang w:val="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b/>
          <w:bCs/>
          <w:color w:val="auto"/>
          <w:spacing w:val="-4"/>
          <w:kern w:val="0"/>
          <w:sz w:val="24"/>
          <w:highlight w:val="none"/>
          <w:lang w:eastAsia="zh-CN"/>
        </w:rPr>
        <w:t>（</w:t>
      </w:r>
      <w:r>
        <w:rPr>
          <w:rFonts w:hint="eastAsia" w:ascii="宋体" w:hAnsi="宋体"/>
          <w:b/>
          <w:bCs/>
          <w:color w:val="auto"/>
          <w:spacing w:val="-4"/>
          <w:kern w:val="0"/>
          <w:sz w:val="24"/>
          <w:highlight w:val="none"/>
        </w:rPr>
        <w:t>格式自拟</w:t>
      </w:r>
      <w:r>
        <w:rPr>
          <w:rFonts w:hint="eastAsia" w:ascii="宋体" w:hAnsi="宋体"/>
          <w:b/>
          <w:bCs/>
          <w:color w:val="auto"/>
          <w:spacing w:val="-4"/>
          <w:kern w:val="0"/>
          <w:sz w:val="24"/>
          <w:highlight w:val="none"/>
          <w:lang w:eastAsia="zh-CN"/>
        </w:rPr>
        <w:t>）</w:t>
      </w:r>
    </w:p>
    <w:p w14:paraId="137AD55C">
      <w:pPr>
        <w:pStyle w:val="22"/>
        <w:ind w:left="0" w:leftChars="0" w:firstLine="0" w:firstLineChars="0"/>
        <w:jc w:val="center"/>
        <w:rPr>
          <w:rFonts w:ascii="宋体" w:hAnsi="宋体" w:eastAsia="宋体" w:cs="宋体"/>
          <w:b/>
          <w:bCs/>
          <w:color w:val="auto"/>
          <w:sz w:val="30"/>
          <w:szCs w:val="30"/>
          <w:highlight w:val="none"/>
        </w:rPr>
      </w:pPr>
      <w:r>
        <w:rPr>
          <w:rFonts w:hint="eastAsia" w:ascii="宋体" w:hAnsi="宋体" w:eastAsia="宋体" w:cs="宋体"/>
          <w:b/>
          <w:color w:val="auto"/>
          <w:kern w:val="0"/>
          <w:sz w:val="30"/>
          <w:szCs w:val="30"/>
          <w:highlight w:val="none"/>
        </w:rPr>
        <w:t>四、</w:t>
      </w:r>
      <w:r>
        <w:rPr>
          <w:rFonts w:hint="eastAsia" w:ascii="宋体" w:hAnsi="宋体" w:eastAsia="宋体" w:cs="宋体"/>
          <w:b/>
          <w:bCs/>
          <w:color w:val="auto"/>
          <w:sz w:val="30"/>
          <w:szCs w:val="30"/>
          <w:highlight w:val="none"/>
        </w:rPr>
        <w:t>具有依法缴纳税收和缴纳社会保障资金的良好记录</w:t>
      </w:r>
    </w:p>
    <w:p w14:paraId="54DB7B1C">
      <w:pPr>
        <w:pStyle w:val="22"/>
        <w:spacing w:line="4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提供2024年1月至今任意1个月</w:t>
      </w:r>
      <w:r>
        <w:rPr>
          <w:rFonts w:hint="eastAsia" w:ascii="宋体" w:hAnsi="宋体" w:eastAsia="宋体" w:cs="宋体"/>
          <w:color w:val="auto"/>
          <w:sz w:val="24"/>
          <w:szCs w:val="24"/>
          <w:highlight w:val="none"/>
        </w:rPr>
        <w:t>依法</w:t>
      </w:r>
      <w:r>
        <w:rPr>
          <w:rFonts w:hint="eastAsia" w:ascii="宋体" w:hAnsi="宋体" w:eastAsia="宋体" w:cs="宋体"/>
          <w:b/>
          <w:bCs/>
          <w:color w:val="auto"/>
          <w:sz w:val="24"/>
          <w:szCs w:val="24"/>
          <w:highlight w:val="none"/>
        </w:rPr>
        <w:t>缴纳税收</w:t>
      </w:r>
      <w:r>
        <w:rPr>
          <w:rFonts w:hint="eastAsia" w:ascii="宋体" w:hAnsi="宋体" w:eastAsia="宋体" w:cs="宋体"/>
          <w:color w:val="auto"/>
          <w:sz w:val="24"/>
          <w:szCs w:val="24"/>
          <w:highlight w:val="none"/>
        </w:rPr>
        <w:t>和</w:t>
      </w:r>
      <w:r>
        <w:rPr>
          <w:rFonts w:hint="eastAsia" w:ascii="宋体" w:hAnsi="宋体" w:eastAsia="宋体" w:cs="宋体"/>
          <w:b/>
          <w:bCs/>
          <w:color w:val="auto"/>
          <w:sz w:val="24"/>
          <w:szCs w:val="24"/>
          <w:highlight w:val="none"/>
        </w:rPr>
        <w:t>缴纳社会保障资金</w:t>
      </w:r>
      <w:r>
        <w:rPr>
          <w:rFonts w:hint="eastAsia" w:ascii="宋体" w:hAnsi="宋体" w:eastAsia="宋体" w:cs="宋体"/>
          <w:color w:val="auto"/>
          <w:sz w:val="24"/>
          <w:szCs w:val="24"/>
          <w:highlight w:val="none"/>
        </w:rPr>
        <w:t>的证明（成立未满1年的提供成立以来的税收和社会保障资金缴纳凭证或相关情况说明；依法免税或不需要缴纳社会保障资金的投标人，应提供相应文件证明其依法免税或不需要缴纳社会保障资金）</w:t>
      </w:r>
      <w:r>
        <w:rPr>
          <w:rFonts w:hint="eastAsia" w:ascii="宋体" w:hAnsi="宋体" w:cs="宋体"/>
          <w:color w:val="auto"/>
          <w:sz w:val="24"/>
          <w:szCs w:val="24"/>
          <w:highlight w:val="none"/>
        </w:rPr>
        <w:t>。</w:t>
      </w:r>
    </w:p>
    <w:p w14:paraId="0F83861E">
      <w:pPr>
        <w:pStyle w:val="22"/>
        <w:ind w:left="0" w:leftChars="0" w:firstLine="0" w:firstLineChars="0"/>
        <w:jc w:val="center"/>
        <w:rPr>
          <w:rFonts w:ascii="宋体" w:hAnsi="宋体" w:eastAsia="宋体" w:cs="宋体"/>
          <w:b/>
          <w:color w:val="auto"/>
          <w:kern w:val="0"/>
          <w:sz w:val="28"/>
          <w:szCs w:val="28"/>
          <w:highlight w:val="none"/>
          <w:lang w:val="zh-CN"/>
        </w:rPr>
      </w:pPr>
    </w:p>
    <w:p w14:paraId="48A5ECDC">
      <w:pPr>
        <w:pStyle w:val="22"/>
        <w:ind w:left="0" w:leftChars="0" w:firstLine="0" w:firstLineChars="0"/>
        <w:jc w:val="center"/>
        <w:rPr>
          <w:rFonts w:ascii="宋体" w:hAnsi="宋体" w:eastAsia="宋体" w:cs="宋体"/>
          <w:b/>
          <w:color w:val="auto"/>
          <w:kern w:val="0"/>
          <w:sz w:val="28"/>
          <w:szCs w:val="28"/>
          <w:highlight w:val="none"/>
          <w:lang w:val="zh-CN"/>
        </w:rPr>
      </w:pPr>
    </w:p>
    <w:p w14:paraId="58E93393">
      <w:pPr>
        <w:pStyle w:val="22"/>
        <w:ind w:left="0" w:leftChars="0" w:firstLine="0" w:firstLineChars="0"/>
        <w:jc w:val="center"/>
        <w:rPr>
          <w:rFonts w:ascii="宋体" w:hAnsi="宋体" w:eastAsia="宋体" w:cs="宋体"/>
          <w:b/>
          <w:color w:val="auto"/>
          <w:kern w:val="0"/>
          <w:sz w:val="28"/>
          <w:szCs w:val="28"/>
          <w:highlight w:val="none"/>
          <w:lang w:val="zh-CN"/>
        </w:rPr>
      </w:pPr>
    </w:p>
    <w:p w14:paraId="16B9EC1B">
      <w:pPr>
        <w:pStyle w:val="22"/>
        <w:ind w:left="0" w:leftChars="0" w:firstLine="0" w:firstLineChars="0"/>
        <w:jc w:val="center"/>
        <w:rPr>
          <w:rFonts w:ascii="宋体" w:hAnsi="宋体" w:eastAsia="宋体" w:cs="宋体"/>
          <w:b/>
          <w:color w:val="auto"/>
          <w:kern w:val="0"/>
          <w:sz w:val="28"/>
          <w:szCs w:val="28"/>
          <w:highlight w:val="none"/>
          <w:lang w:val="zh-CN"/>
        </w:rPr>
      </w:pPr>
    </w:p>
    <w:p w14:paraId="57FFD5EC">
      <w:pPr>
        <w:pStyle w:val="22"/>
        <w:ind w:left="0" w:leftChars="0" w:firstLine="0" w:firstLineChars="0"/>
        <w:jc w:val="center"/>
        <w:rPr>
          <w:rFonts w:ascii="宋体" w:hAnsi="宋体" w:eastAsia="宋体" w:cs="宋体"/>
          <w:b/>
          <w:color w:val="auto"/>
          <w:kern w:val="0"/>
          <w:sz w:val="28"/>
          <w:szCs w:val="28"/>
          <w:highlight w:val="none"/>
          <w:lang w:val="zh-CN"/>
        </w:rPr>
      </w:pPr>
    </w:p>
    <w:p w14:paraId="21429780">
      <w:pPr>
        <w:pStyle w:val="22"/>
        <w:ind w:left="0" w:leftChars="0" w:firstLine="0" w:firstLineChars="0"/>
        <w:jc w:val="center"/>
        <w:rPr>
          <w:rFonts w:ascii="宋体" w:hAnsi="宋体" w:eastAsia="宋体" w:cs="宋体"/>
          <w:b/>
          <w:color w:val="auto"/>
          <w:kern w:val="0"/>
          <w:sz w:val="28"/>
          <w:szCs w:val="28"/>
          <w:highlight w:val="none"/>
          <w:lang w:val="zh-CN"/>
        </w:rPr>
      </w:pPr>
    </w:p>
    <w:p w14:paraId="7ED3727D">
      <w:pPr>
        <w:pStyle w:val="22"/>
        <w:ind w:left="0" w:leftChars="0" w:firstLine="0" w:firstLineChars="0"/>
        <w:jc w:val="center"/>
        <w:rPr>
          <w:rFonts w:ascii="宋体" w:hAnsi="宋体" w:eastAsia="宋体" w:cs="宋体"/>
          <w:b/>
          <w:color w:val="auto"/>
          <w:kern w:val="0"/>
          <w:sz w:val="28"/>
          <w:szCs w:val="28"/>
          <w:highlight w:val="none"/>
          <w:lang w:val="zh-CN"/>
        </w:rPr>
      </w:pPr>
    </w:p>
    <w:p w14:paraId="65D761CA">
      <w:pPr>
        <w:pStyle w:val="22"/>
        <w:ind w:left="0" w:leftChars="0" w:firstLine="0" w:firstLineChars="0"/>
        <w:jc w:val="center"/>
        <w:rPr>
          <w:rFonts w:ascii="宋体" w:hAnsi="宋体" w:eastAsia="宋体" w:cs="宋体"/>
          <w:b/>
          <w:color w:val="auto"/>
          <w:kern w:val="0"/>
          <w:sz w:val="28"/>
          <w:szCs w:val="28"/>
          <w:highlight w:val="none"/>
          <w:lang w:val="zh-CN"/>
        </w:rPr>
      </w:pPr>
    </w:p>
    <w:p w14:paraId="65C80801">
      <w:pPr>
        <w:pStyle w:val="22"/>
        <w:ind w:left="0" w:leftChars="0" w:firstLine="0" w:firstLineChars="0"/>
        <w:jc w:val="center"/>
        <w:rPr>
          <w:rFonts w:ascii="宋体" w:hAnsi="宋体" w:eastAsia="宋体" w:cs="宋体"/>
          <w:b/>
          <w:color w:val="auto"/>
          <w:kern w:val="0"/>
          <w:sz w:val="28"/>
          <w:szCs w:val="28"/>
          <w:highlight w:val="none"/>
          <w:lang w:val="zh-CN"/>
        </w:rPr>
      </w:pPr>
    </w:p>
    <w:p w14:paraId="13998100">
      <w:pPr>
        <w:pStyle w:val="22"/>
        <w:ind w:left="0" w:leftChars="0" w:firstLine="0" w:firstLineChars="0"/>
        <w:jc w:val="center"/>
        <w:rPr>
          <w:rFonts w:ascii="宋体" w:hAnsi="宋体" w:eastAsia="宋体" w:cs="宋体"/>
          <w:b/>
          <w:color w:val="auto"/>
          <w:kern w:val="0"/>
          <w:sz w:val="28"/>
          <w:szCs w:val="28"/>
          <w:highlight w:val="none"/>
          <w:lang w:val="zh-CN"/>
        </w:rPr>
      </w:pPr>
    </w:p>
    <w:p w14:paraId="1AADA6C6">
      <w:pPr>
        <w:pStyle w:val="22"/>
        <w:ind w:left="0" w:leftChars="0" w:firstLine="0" w:firstLineChars="0"/>
        <w:jc w:val="center"/>
        <w:rPr>
          <w:rFonts w:ascii="宋体" w:hAnsi="宋体" w:eastAsia="宋体" w:cs="宋体"/>
          <w:b/>
          <w:color w:val="auto"/>
          <w:kern w:val="0"/>
          <w:sz w:val="28"/>
          <w:szCs w:val="28"/>
          <w:highlight w:val="none"/>
          <w:lang w:val="zh-CN"/>
        </w:rPr>
      </w:pPr>
    </w:p>
    <w:p w14:paraId="16CAECAF">
      <w:pPr>
        <w:pStyle w:val="22"/>
        <w:ind w:left="0" w:leftChars="0" w:firstLine="0" w:firstLineChars="0"/>
        <w:jc w:val="center"/>
        <w:rPr>
          <w:rFonts w:ascii="宋体" w:hAnsi="宋体" w:eastAsia="宋体" w:cs="宋体"/>
          <w:b/>
          <w:color w:val="auto"/>
          <w:kern w:val="0"/>
          <w:sz w:val="28"/>
          <w:szCs w:val="28"/>
          <w:highlight w:val="none"/>
          <w:lang w:val="zh-CN"/>
        </w:rPr>
      </w:pPr>
    </w:p>
    <w:p w14:paraId="6FE2022D">
      <w:pPr>
        <w:pStyle w:val="22"/>
        <w:ind w:left="0" w:leftChars="0" w:firstLine="0" w:firstLineChars="0"/>
        <w:jc w:val="center"/>
        <w:rPr>
          <w:rFonts w:ascii="宋体" w:hAnsi="宋体" w:eastAsia="宋体" w:cs="宋体"/>
          <w:b/>
          <w:color w:val="auto"/>
          <w:kern w:val="0"/>
          <w:sz w:val="28"/>
          <w:szCs w:val="28"/>
          <w:highlight w:val="none"/>
          <w:lang w:val="zh-CN"/>
        </w:rPr>
      </w:pPr>
    </w:p>
    <w:p w14:paraId="32D2B009">
      <w:pPr>
        <w:pStyle w:val="22"/>
        <w:ind w:left="0" w:leftChars="0" w:firstLine="0" w:firstLineChars="0"/>
        <w:jc w:val="center"/>
        <w:rPr>
          <w:rFonts w:ascii="宋体" w:hAnsi="宋体" w:eastAsia="宋体" w:cs="宋体"/>
          <w:b/>
          <w:color w:val="auto"/>
          <w:kern w:val="0"/>
          <w:sz w:val="28"/>
          <w:szCs w:val="28"/>
          <w:highlight w:val="none"/>
          <w:lang w:val="zh-CN"/>
        </w:rPr>
      </w:pPr>
    </w:p>
    <w:p w14:paraId="7EFB0003">
      <w:pPr>
        <w:pStyle w:val="22"/>
        <w:ind w:left="0" w:leftChars="0" w:firstLine="0" w:firstLineChars="0"/>
        <w:jc w:val="center"/>
        <w:rPr>
          <w:rFonts w:ascii="宋体" w:hAnsi="宋体" w:eastAsia="宋体" w:cs="宋体"/>
          <w:b/>
          <w:color w:val="auto"/>
          <w:kern w:val="0"/>
          <w:sz w:val="28"/>
          <w:szCs w:val="28"/>
          <w:highlight w:val="none"/>
          <w:lang w:val="zh-CN"/>
        </w:rPr>
      </w:pPr>
    </w:p>
    <w:p w14:paraId="13D2E089">
      <w:pPr>
        <w:pStyle w:val="22"/>
        <w:ind w:left="0" w:leftChars="0" w:firstLine="0" w:firstLineChars="0"/>
        <w:jc w:val="center"/>
        <w:rPr>
          <w:rFonts w:ascii="宋体" w:hAnsi="宋体" w:eastAsia="宋体" w:cs="宋体"/>
          <w:b/>
          <w:bCs/>
          <w:color w:val="auto"/>
          <w:sz w:val="30"/>
          <w:szCs w:val="30"/>
          <w:highlight w:val="none"/>
        </w:rPr>
      </w:pPr>
      <w:r>
        <w:rPr>
          <w:rFonts w:hint="eastAsia" w:ascii="宋体" w:hAnsi="宋体" w:eastAsia="宋体" w:cs="宋体"/>
          <w:b/>
          <w:color w:val="auto"/>
          <w:kern w:val="0"/>
          <w:sz w:val="30"/>
          <w:szCs w:val="30"/>
          <w:highlight w:val="none"/>
        </w:rPr>
        <w:t>五、</w:t>
      </w:r>
      <w:r>
        <w:rPr>
          <w:rFonts w:hint="eastAsia" w:ascii="宋体" w:hAnsi="宋体" w:eastAsia="宋体" w:cs="宋体"/>
          <w:b/>
          <w:bCs/>
          <w:color w:val="auto"/>
          <w:sz w:val="30"/>
          <w:szCs w:val="30"/>
          <w:highlight w:val="none"/>
        </w:rPr>
        <w:t>无重大违法记录声明</w:t>
      </w:r>
    </w:p>
    <w:p w14:paraId="7A95E193">
      <w:pPr>
        <w:tabs>
          <w:tab w:val="left" w:pos="5580"/>
        </w:tabs>
        <w:spacing w:before="120"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  </w:t>
      </w:r>
    </w:p>
    <w:p w14:paraId="3C51140A">
      <w:pPr>
        <w:tabs>
          <w:tab w:val="left" w:pos="5580"/>
        </w:tabs>
        <w:spacing w:before="12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我公司郑重承诺在参加本项目政府采购活动前三年内，在经营活动中无重大违法记录。公司未受到行政处罚或责令停业、吊销许可证（或执照）；未处于财产被接管、冻结、破产状况。</w:t>
      </w:r>
    </w:p>
    <w:p w14:paraId="58BA03DE">
      <w:pPr>
        <w:tabs>
          <w:tab w:val="left" w:pos="5580"/>
        </w:tabs>
        <w:spacing w:before="12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特此声明。</w:t>
      </w:r>
    </w:p>
    <w:p w14:paraId="2B6798F0">
      <w:pPr>
        <w:spacing w:line="360" w:lineRule="auto"/>
        <w:ind w:firstLine="1050" w:firstLineChars="500"/>
        <w:rPr>
          <w:rFonts w:ascii="宋体" w:hAnsi="宋体" w:cs="宋体"/>
          <w:color w:val="auto"/>
          <w:szCs w:val="21"/>
          <w:highlight w:val="none"/>
        </w:rPr>
      </w:pPr>
    </w:p>
    <w:p w14:paraId="219BADBC">
      <w:pPr>
        <w:spacing w:line="360" w:lineRule="auto"/>
        <w:ind w:firstLine="1054" w:firstLineChars="500"/>
        <w:rPr>
          <w:rFonts w:ascii="宋体" w:hAnsi="宋体" w:cs="宋体"/>
          <w:b/>
          <w:bCs/>
          <w:color w:val="auto"/>
          <w:szCs w:val="21"/>
          <w:highlight w:val="none"/>
        </w:rPr>
      </w:pPr>
    </w:p>
    <w:p w14:paraId="2DBBF978">
      <w:pPr>
        <w:spacing w:line="360" w:lineRule="auto"/>
        <w:rPr>
          <w:rFonts w:ascii="宋体" w:hAnsi="宋体" w:cs="宋体"/>
          <w:b/>
          <w:bCs/>
          <w:color w:val="auto"/>
          <w:szCs w:val="21"/>
          <w:highlight w:val="none"/>
        </w:rPr>
      </w:pPr>
    </w:p>
    <w:p w14:paraId="167EBDE4">
      <w:pPr>
        <w:spacing w:line="360" w:lineRule="auto"/>
        <w:ind w:firstLine="1050" w:firstLineChars="500"/>
        <w:rPr>
          <w:rFonts w:ascii="宋体" w:hAnsi="宋体" w:cs="宋体"/>
          <w:color w:val="auto"/>
          <w:szCs w:val="21"/>
          <w:highlight w:val="none"/>
        </w:rPr>
      </w:pPr>
    </w:p>
    <w:p w14:paraId="65EEAA7D">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66068FA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613AD4E">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rPr>
        <w:t>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（签字或电子签名或电子签章）</w:t>
      </w:r>
    </w:p>
    <w:p w14:paraId="1D2FA37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C73CC16">
      <w:pPr>
        <w:spacing w:line="360" w:lineRule="auto"/>
        <w:ind w:firstLine="3840" w:firstLineChars="1600"/>
        <w:rPr>
          <w:rFonts w:hint="eastAsia" w:ascii="宋体" w:hAnsi="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77CA440E">
      <w:pPr>
        <w:pStyle w:val="22"/>
        <w:ind w:left="0" w:leftChars="0" w:firstLine="0" w:firstLineChars="0"/>
        <w:jc w:val="center"/>
        <w:rPr>
          <w:rFonts w:ascii="宋体" w:hAnsi="宋体" w:eastAsia="宋体" w:cs="宋体"/>
          <w:b/>
          <w:bCs/>
          <w:color w:val="auto"/>
          <w:sz w:val="28"/>
          <w:szCs w:val="28"/>
          <w:highlight w:val="none"/>
        </w:rPr>
      </w:pPr>
      <w:r>
        <w:rPr>
          <w:rFonts w:hint="eastAsia" w:ascii="宋体" w:hAnsi="宋体" w:eastAsia="宋体" w:cs="宋体"/>
          <w:b/>
          <w:color w:val="auto"/>
          <w:kern w:val="0"/>
          <w:sz w:val="28"/>
          <w:szCs w:val="28"/>
          <w:highlight w:val="none"/>
        </w:rPr>
        <w:t>六、</w:t>
      </w:r>
      <w:r>
        <w:rPr>
          <w:rFonts w:hint="eastAsia" w:ascii="宋体" w:hAnsi="宋体" w:eastAsia="宋体" w:cs="宋体"/>
          <w:b/>
          <w:bCs/>
          <w:color w:val="auto"/>
          <w:sz w:val="28"/>
          <w:szCs w:val="28"/>
          <w:highlight w:val="none"/>
        </w:rPr>
        <w:t>法律、行政法规规定的其他条件</w:t>
      </w:r>
    </w:p>
    <w:p w14:paraId="6CC9E388">
      <w:pPr>
        <w:pStyle w:val="31"/>
        <w:rPr>
          <w:color w:val="auto"/>
          <w:highlight w:val="none"/>
        </w:rPr>
      </w:pPr>
    </w:p>
    <w:p w14:paraId="5707DCEC">
      <w:pPr>
        <w:spacing w:line="360" w:lineRule="auto"/>
        <w:ind w:firstLine="480" w:firstLineChars="200"/>
        <w:jc w:val="left"/>
        <w:rPr>
          <w:rFonts w:ascii="宋体" w:hAnsi="宋体" w:cs="宋体"/>
          <w:b/>
          <w:bCs/>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b/>
          <w:bCs/>
          <w:color w:val="auto"/>
          <w:sz w:val="24"/>
          <w:highlight w:val="none"/>
        </w:rPr>
        <w:t>（自行承诺，内容自拟）</w:t>
      </w:r>
    </w:p>
    <w:p w14:paraId="617867ED">
      <w:pPr>
        <w:jc w:val="center"/>
        <w:rPr>
          <w:rFonts w:ascii="宋体" w:hAnsi="宋体" w:cs="宋体"/>
          <w:b/>
          <w:color w:val="auto"/>
          <w:sz w:val="44"/>
          <w:szCs w:val="44"/>
          <w:highlight w:val="none"/>
        </w:rPr>
      </w:pPr>
    </w:p>
    <w:p w14:paraId="31B99D8A">
      <w:pPr>
        <w:jc w:val="center"/>
        <w:rPr>
          <w:rFonts w:ascii="宋体" w:hAnsi="宋体" w:cs="宋体"/>
          <w:b/>
          <w:color w:val="auto"/>
          <w:sz w:val="44"/>
          <w:szCs w:val="44"/>
          <w:highlight w:val="none"/>
        </w:rPr>
      </w:pPr>
    </w:p>
    <w:p w14:paraId="23EDA35E">
      <w:pPr>
        <w:jc w:val="center"/>
        <w:rPr>
          <w:rFonts w:ascii="宋体" w:hAnsi="宋体" w:cs="宋体"/>
          <w:b/>
          <w:color w:val="auto"/>
          <w:sz w:val="44"/>
          <w:szCs w:val="44"/>
          <w:highlight w:val="none"/>
        </w:rPr>
      </w:pPr>
    </w:p>
    <w:p w14:paraId="5F422560">
      <w:pPr>
        <w:jc w:val="center"/>
        <w:rPr>
          <w:rFonts w:ascii="宋体" w:hAnsi="宋体" w:cs="宋体"/>
          <w:b/>
          <w:color w:val="auto"/>
          <w:sz w:val="44"/>
          <w:szCs w:val="44"/>
          <w:highlight w:val="none"/>
        </w:rPr>
      </w:pPr>
    </w:p>
    <w:p w14:paraId="69E7F9DC">
      <w:pPr>
        <w:pStyle w:val="30"/>
        <w:ind w:firstLine="528"/>
        <w:rPr>
          <w:color w:val="auto"/>
          <w:highlight w:val="none"/>
        </w:rPr>
      </w:pPr>
    </w:p>
    <w:p w14:paraId="120D01D6">
      <w:pPr>
        <w:jc w:val="center"/>
        <w:rPr>
          <w:rFonts w:ascii="宋体" w:hAnsi="宋体" w:cs="宋体"/>
          <w:b/>
          <w:color w:val="auto"/>
          <w:sz w:val="44"/>
          <w:szCs w:val="44"/>
          <w:highlight w:val="none"/>
        </w:rPr>
      </w:pPr>
    </w:p>
    <w:p w14:paraId="2406FFA8">
      <w:pPr>
        <w:jc w:val="center"/>
        <w:rPr>
          <w:rFonts w:ascii="宋体" w:hAnsi="宋体" w:cs="宋体"/>
          <w:b/>
          <w:color w:val="auto"/>
          <w:sz w:val="44"/>
          <w:szCs w:val="44"/>
          <w:highlight w:val="none"/>
        </w:rPr>
      </w:pPr>
    </w:p>
    <w:p w14:paraId="2955CE6A">
      <w:pPr>
        <w:keepNext/>
        <w:keepLines/>
        <w:autoSpaceDE w:val="0"/>
        <w:autoSpaceDN w:val="0"/>
        <w:adjustRightInd w:val="0"/>
        <w:snapToGrid w:val="0"/>
        <w:spacing w:line="360" w:lineRule="auto"/>
        <w:jc w:val="center"/>
        <w:outlineLvl w:val="3"/>
        <w:rPr>
          <w:rFonts w:ascii="宋体" w:hAnsi="宋体" w:cs="宋体"/>
          <w:b/>
          <w:color w:val="auto"/>
          <w:sz w:val="44"/>
          <w:szCs w:val="44"/>
          <w:highlight w:val="none"/>
        </w:rPr>
      </w:pPr>
    </w:p>
    <w:p w14:paraId="2EB8165D">
      <w:pPr>
        <w:jc w:val="center"/>
        <w:rPr>
          <w:rFonts w:ascii="宋体" w:hAnsi="宋体" w:cs="宋体"/>
          <w:b/>
          <w:bCs/>
          <w:color w:val="auto"/>
          <w:kern w:val="0"/>
          <w:sz w:val="28"/>
          <w:szCs w:val="28"/>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44"/>
          <w:szCs w:val="44"/>
          <w:highlight w:val="none"/>
        </w:rPr>
        <w:t>第二部分  报价文件格式</w:t>
      </w:r>
    </w:p>
    <w:p w14:paraId="603191BC">
      <w:pPr>
        <w:pStyle w:val="47"/>
        <w:spacing w:before="0" w:afterLines="50" w:line="360" w:lineRule="auto"/>
        <w:ind w:left="0" w:right="23"/>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一、投标报价一览表</w:t>
      </w:r>
    </w:p>
    <w:p w14:paraId="3633249A">
      <w:pPr>
        <w:spacing w:after="78"/>
        <w:rPr>
          <w:rFonts w:ascii="宋体" w:hAnsi="宋体" w:cs="宋体"/>
          <w:color w:val="auto"/>
          <w:sz w:val="24"/>
          <w:highlight w:val="none"/>
          <w:u w:val="single"/>
        </w:rPr>
      </w:pPr>
      <w:r>
        <w:rPr>
          <w:rFonts w:hint="eastAsia" w:ascii="宋体" w:hAnsi="宋体" w:cs="宋体"/>
          <w:color w:val="auto"/>
          <w:sz w:val="24"/>
          <w:highlight w:val="none"/>
        </w:rPr>
        <w:t>项目名称：</w:t>
      </w:r>
    </w:p>
    <w:p w14:paraId="04B143D7">
      <w:pPr>
        <w:spacing w:after="78"/>
        <w:rPr>
          <w:rFonts w:ascii="宋体" w:hAnsi="宋体" w:cs="宋体"/>
          <w:color w:val="auto"/>
          <w:sz w:val="24"/>
          <w:highlight w:val="none"/>
        </w:rPr>
      </w:pPr>
      <w:r>
        <w:rPr>
          <w:rFonts w:hint="eastAsia" w:ascii="宋体" w:hAnsi="宋体" w:cs="宋体"/>
          <w:color w:val="auto"/>
          <w:sz w:val="24"/>
          <w:highlight w:val="none"/>
        </w:rPr>
        <w:t xml:space="preserve">招标编号：                                   </w:t>
      </w:r>
    </w:p>
    <w:tbl>
      <w:tblPr>
        <w:tblStyle w:val="23"/>
        <w:tblW w:w="8916"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2"/>
        <w:gridCol w:w="5604"/>
      </w:tblGrid>
      <w:tr w14:paraId="4CCD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3312" w:type="dxa"/>
            <w:noWrap/>
            <w:vAlign w:val="center"/>
          </w:tcPr>
          <w:p w14:paraId="6576EADC">
            <w:pPr>
              <w:spacing w:after="78"/>
              <w:jc w:val="center"/>
              <w:rPr>
                <w:rFonts w:ascii="宋体" w:hAnsi="宋体" w:cs="宋体"/>
                <w:color w:val="auto"/>
                <w:sz w:val="24"/>
                <w:highlight w:val="none"/>
              </w:rPr>
            </w:pPr>
            <w:r>
              <w:rPr>
                <w:rFonts w:hint="eastAsia" w:ascii="宋体" w:hAnsi="宋体" w:cs="宋体"/>
                <w:color w:val="auto"/>
                <w:sz w:val="24"/>
                <w:highlight w:val="none"/>
              </w:rPr>
              <w:t>投标报价（总价）</w:t>
            </w:r>
          </w:p>
        </w:tc>
        <w:tc>
          <w:tcPr>
            <w:tcW w:w="5604" w:type="dxa"/>
            <w:noWrap/>
            <w:vAlign w:val="center"/>
          </w:tcPr>
          <w:p w14:paraId="5132D354">
            <w:pPr>
              <w:spacing w:after="78"/>
              <w:rPr>
                <w:rFonts w:ascii="宋体" w:hAnsi="宋体" w:cs="宋体"/>
                <w:color w:val="auto"/>
                <w:sz w:val="24"/>
                <w:highlight w:val="none"/>
              </w:rPr>
            </w:pPr>
            <w:r>
              <w:rPr>
                <w:rFonts w:hint="eastAsia" w:ascii="宋体" w:hAnsi="宋体" w:cs="宋体"/>
                <w:color w:val="auto"/>
                <w:sz w:val="24"/>
                <w:highlight w:val="none"/>
              </w:rPr>
              <w:t>大写：            .</w:t>
            </w:r>
          </w:p>
          <w:p w14:paraId="69C56BDE">
            <w:pPr>
              <w:spacing w:after="78"/>
              <w:rPr>
                <w:rFonts w:ascii="宋体" w:hAnsi="宋体" w:cs="宋体"/>
                <w:color w:val="auto"/>
                <w:sz w:val="24"/>
                <w:highlight w:val="none"/>
              </w:rPr>
            </w:pPr>
            <w:r>
              <w:rPr>
                <w:rFonts w:hint="eastAsia" w:ascii="宋体" w:hAnsi="宋体" w:cs="宋体"/>
                <w:color w:val="auto"/>
                <w:sz w:val="24"/>
                <w:highlight w:val="none"/>
              </w:rPr>
              <w:t>小写：            .</w:t>
            </w:r>
          </w:p>
        </w:tc>
      </w:tr>
      <w:tr w14:paraId="165F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699B4D97">
            <w:pPr>
              <w:spacing w:after="78"/>
              <w:jc w:val="center"/>
              <w:rPr>
                <w:rFonts w:ascii="宋体" w:hAnsi="宋体" w:cs="宋体"/>
                <w:color w:val="auto"/>
                <w:sz w:val="24"/>
                <w:highlight w:val="none"/>
              </w:rPr>
            </w:pPr>
            <w:r>
              <w:rPr>
                <w:rFonts w:hint="eastAsia" w:ascii="宋体" w:hAnsi="宋体" w:cs="宋体"/>
                <w:color w:val="auto"/>
                <w:sz w:val="24"/>
                <w:highlight w:val="none"/>
              </w:rPr>
              <w:t>合同履行期限</w:t>
            </w:r>
          </w:p>
        </w:tc>
        <w:tc>
          <w:tcPr>
            <w:tcW w:w="5604" w:type="dxa"/>
            <w:noWrap/>
            <w:vAlign w:val="center"/>
          </w:tcPr>
          <w:p w14:paraId="6971D856">
            <w:pPr>
              <w:spacing w:after="78"/>
              <w:rPr>
                <w:rFonts w:ascii="宋体" w:hAnsi="宋体" w:cs="宋体"/>
                <w:color w:val="auto"/>
                <w:sz w:val="24"/>
                <w:highlight w:val="none"/>
              </w:rPr>
            </w:pPr>
          </w:p>
        </w:tc>
      </w:tr>
      <w:tr w14:paraId="1F76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5F590852">
            <w:pPr>
              <w:spacing w:after="78"/>
              <w:jc w:val="center"/>
              <w:rPr>
                <w:rFonts w:ascii="宋体" w:hAnsi="宋体" w:cs="宋体"/>
                <w:color w:val="auto"/>
                <w:sz w:val="24"/>
                <w:highlight w:val="none"/>
              </w:rPr>
            </w:pPr>
            <w:r>
              <w:rPr>
                <w:rFonts w:hint="eastAsia" w:cs="宋体"/>
                <w:color w:val="auto"/>
                <w:sz w:val="24"/>
                <w:highlight w:val="none"/>
              </w:rPr>
              <w:t>质量要求</w:t>
            </w:r>
          </w:p>
        </w:tc>
        <w:tc>
          <w:tcPr>
            <w:tcW w:w="5604" w:type="dxa"/>
            <w:noWrap/>
            <w:vAlign w:val="center"/>
          </w:tcPr>
          <w:p w14:paraId="107ADBE8">
            <w:pPr>
              <w:spacing w:after="78"/>
              <w:rPr>
                <w:rFonts w:ascii="宋体" w:hAnsi="宋体" w:cs="宋体"/>
                <w:color w:val="auto"/>
                <w:sz w:val="24"/>
                <w:highlight w:val="none"/>
              </w:rPr>
            </w:pPr>
          </w:p>
        </w:tc>
      </w:tr>
      <w:tr w14:paraId="4B4B1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358F2688">
            <w:pPr>
              <w:spacing w:after="78"/>
              <w:jc w:val="center"/>
              <w:rPr>
                <w:rFonts w:ascii="宋体" w:hAnsi="宋体" w:cs="宋体"/>
                <w:color w:val="auto"/>
                <w:sz w:val="24"/>
                <w:highlight w:val="none"/>
              </w:rPr>
            </w:pPr>
            <w:r>
              <w:rPr>
                <w:rFonts w:hint="eastAsia" w:ascii="宋体" w:hAnsi="宋体" w:cs="宋体"/>
                <w:color w:val="auto"/>
                <w:sz w:val="24"/>
                <w:highlight w:val="none"/>
              </w:rPr>
              <w:t>投标保证金</w:t>
            </w:r>
          </w:p>
        </w:tc>
        <w:tc>
          <w:tcPr>
            <w:tcW w:w="5604" w:type="dxa"/>
            <w:noWrap/>
            <w:vAlign w:val="center"/>
          </w:tcPr>
          <w:p w14:paraId="10B78B1E">
            <w:pPr>
              <w:spacing w:after="78"/>
              <w:rPr>
                <w:rFonts w:ascii="宋体" w:hAnsi="宋体" w:cs="宋体"/>
                <w:color w:val="auto"/>
                <w:sz w:val="24"/>
                <w:highlight w:val="none"/>
              </w:rPr>
            </w:pPr>
          </w:p>
        </w:tc>
      </w:tr>
      <w:tr w14:paraId="511A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3312" w:type="dxa"/>
            <w:noWrap/>
            <w:vAlign w:val="center"/>
          </w:tcPr>
          <w:p w14:paraId="72C2328B">
            <w:pPr>
              <w:spacing w:after="78"/>
              <w:jc w:val="center"/>
              <w:rPr>
                <w:rFonts w:ascii="宋体" w:hAnsi="宋体" w:cs="宋体"/>
                <w:color w:val="auto"/>
                <w:sz w:val="24"/>
                <w:highlight w:val="none"/>
              </w:rPr>
            </w:pPr>
            <w:r>
              <w:rPr>
                <w:rFonts w:hint="eastAsia" w:ascii="宋体" w:hAnsi="宋体" w:cs="宋体"/>
                <w:color w:val="auto"/>
                <w:sz w:val="24"/>
                <w:highlight w:val="none"/>
              </w:rPr>
              <w:t>备注</w:t>
            </w:r>
          </w:p>
        </w:tc>
        <w:tc>
          <w:tcPr>
            <w:tcW w:w="5604" w:type="dxa"/>
            <w:noWrap/>
            <w:vAlign w:val="center"/>
          </w:tcPr>
          <w:p w14:paraId="635E51F7">
            <w:pPr>
              <w:spacing w:after="78"/>
              <w:rPr>
                <w:rFonts w:ascii="宋体" w:hAnsi="宋体" w:cs="宋体"/>
                <w:color w:val="auto"/>
                <w:sz w:val="24"/>
                <w:highlight w:val="none"/>
              </w:rPr>
            </w:pPr>
          </w:p>
        </w:tc>
      </w:tr>
    </w:tbl>
    <w:p w14:paraId="7D771A28">
      <w:pPr>
        <w:spacing w:line="44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1.投标报价为全包价，以人民币为结算单位，包括本项目所有产品、货物成本价格（含利润）、</w:t>
      </w:r>
      <w:r>
        <w:rPr>
          <w:rFonts w:hint="eastAsia" w:ascii="宋体" w:hAnsi="宋体" w:cs="宋体"/>
          <w:color w:val="auto"/>
          <w:sz w:val="24"/>
          <w:highlight w:val="none"/>
          <w:lang w:val="zh-CN"/>
        </w:rPr>
        <w:t>运输装卸</w:t>
      </w:r>
      <w:r>
        <w:rPr>
          <w:rFonts w:hint="eastAsia" w:ascii="宋体" w:hAnsi="宋体" w:cs="宋体"/>
          <w:color w:val="auto"/>
          <w:sz w:val="24"/>
          <w:highlight w:val="none"/>
        </w:rPr>
        <w:t>、</w:t>
      </w:r>
      <w:r>
        <w:rPr>
          <w:rFonts w:hint="eastAsia" w:ascii="宋体" w:hAnsi="宋体" w:cs="宋体"/>
          <w:color w:val="auto"/>
          <w:sz w:val="24"/>
          <w:highlight w:val="none"/>
          <w:lang w:val="zh-CN"/>
        </w:rPr>
        <w:t>验收、质保、</w:t>
      </w:r>
      <w:r>
        <w:rPr>
          <w:rFonts w:hint="eastAsia" w:ascii="宋体" w:hAnsi="宋体" w:cs="宋体"/>
          <w:color w:val="auto"/>
          <w:sz w:val="24"/>
          <w:highlight w:val="none"/>
        </w:rPr>
        <w:t>保险、税收、</w:t>
      </w:r>
      <w:r>
        <w:rPr>
          <w:rFonts w:hint="eastAsia" w:ascii="宋体" w:hAnsi="宋体" w:cs="宋体"/>
          <w:color w:val="auto"/>
          <w:sz w:val="24"/>
          <w:highlight w:val="none"/>
          <w:lang w:val="en-US" w:eastAsia="zh-CN"/>
        </w:rPr>
        <w:t>培训、</w:t>
      </w:r>
      <w:r>
        <w:rPr>
          <w:rFonts w:hint="eastAsia" w:ascii="宋体" w:hAnsi="宋体" w:cs="宋体"/>
          <w:color w:val="auto"/>
          <w:sz w:val="24"/>
          <w:highlight w:val="none"/>
        </w:rPr>
        <w:t>后续服务、</w:t>
      </w:r>
      <w:r>
        <w:rPr>
          <w:rFonts w:hint="eastAsia" w:ascii="宋体" w:hAnsi="宋体" w:cs="宋体"/>
          <w:color w:val="auto"/>
          <w:sz w:val="24"/>
          <w:highlight w:val="none"/>
          <w:lang w:eastAsia="zh-CN"/>
        </w:rPr>
        <w:t>中标服务费</w:t>
      </w:r>
      <w:r>
        <w:rPr>
          <w:rFonts w:hint="eastAsia" w:ascii="宋体" w:hAnsi="宋体" w:cs="宋体"/>
          <w:color w:val="auto"/>
          <w:sz w:val="24"/>
          <w:highlight w:val="none"/>
        </w:rPr>
        <w:t>等本项目所涉及的一切费用。（报价包含投标人须知前附表3.2.3和3.2.4条所含内容）</w:t>
      </w:r>
    </w:p>
    <w:p w14:paraId="35D569A5">
      <w:pPr>
        <w:spacing w:line="440" w:lineRule="exact"/>
        <w:ind w:firstLine="960" w:firstLineChars="400"/>
        <w:rPr>
          <w:rFonts w:ascii="宋体" w:hAnsi="宋体" w:cs="宋体"/>
          <w:color w:val="auto"/>
          <w:sz w:val="24"/>
          <w:highlight w:val="none"/>
        </w:rPr>
      </w:pPr>
      <w:r>
        <w:rPr>
          <w:rFonts w:hint="eastAsia" w:ascii="宋体" w:hAnsi="宋体" w:cs="宋体"/>
          <w:color w:val="auto"/>
          <w:sz w:val="24"/>
          <w:highlight w:val="none"/>
        </w:rPr>
        <w:t>2.投标报价超过最高限价作无效标书处理。</w:t>
      </w:r>
    </w:p>
    <w:p w14:paraId="5BCB4FD2">
      <w:pPr>
        <w:pStyle w:val="47"/>
        <w:spacing w:before="0" w:after="0" w:line="460" w:lineRule="exact"/>
        <w:ind w:left="0" w:right="23"/>
        <w:jc w:val="both"/>
        <w:rPr>
          <w:rFonts w:ascii="宋体" w:hAnsi="宋体" w:cs="宋体"/>
          <w:color w:val="auto"/>
          <w:highlight w:val="none"/>
        </w:rPr>
      </w:pPr>
    </w:p>
    <w:p w14:paraId="0AAF293E">
      <w:pPr>
        <w:pStyle w:val="47"/>
        <w:spacing w:before="0" w:after="0" w:line="460" w:lineRule="exact"/>
        <w:ind w:left="0" w:right="23"/>
        <w:jc w:val="both"/>
        <w:rPr>
          <w:rFonts w:ascii="宋体" w:hAnsi="宋体" w:cs="宋体"/>
          <w:color w:val="auto"/>
          <w:highlight w:val="none"/>
        </w:rPr>
      </w:pPr>
    </w:p>
    <w:p w14:paraId="5FCFB1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4099A69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法定代表人或授权代理人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（签字或电子签名或电子签章）</w:t>
      </w:r>
    </w:p>
    <w:p w14:paraId="13FCA1F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53513CA1">
      <w:pPr>
        <w:pStyle w:val="47"/>
        <w:spacing w:before="0" w:after="0" w:line="460" w:lineRule="exact"/>
        <w:ind w:left="0" w:right="23"/>
        <w:jc w:val="both"/>
        <w:rPr>
          <w:rFonts w:ascii="宋体" w:hAnsi="宋体" w:cs="宋体"/>
          <w:color w:val="auto"/>
          <w:highlight w:val="none"/>
        </w:rPr>
      </w:pPr>
    </w:p>
    <w:p w14:paraId="01256D87">
      <w:pPr>
        <w:spacing w:line="500" w:lineRule="exact"/>
        <w:jc w:val="center"/>
        <w:rPr>
          <w:rFonts w:ascii="宋体" w:hAnsi="宋体" w:cs="宋体"/>
          <w:b/>
          <w:bCs/>
          <w:color w:val="auto"/>
          <w:kern w:val="0"/>
          <w:sz w:val="28"/>
          <w:szCs w:val="28"/>
          <w:highlight w:val="none"/>
        </w:rPr>
        <w:sectPr>
          <w:pgSz w:w="11906" w:h="16838"/>
          <w:pgMar w:top="1440" w:right="1080" w:bottom="1440" w:left="1080" w:header="851" w:footer="992" w:gutter="0"/>
          <w:pgNumType w:fmt="decimal"/>
          <w:cols w:space="720" w:num="1"/>
          <w:docGrid w:type="lines" w:linePitch="312" w:charSpace="0"/>
        </w:sectPr>
      </w:pPr>
    </w:p>
    <w:p w14:paraId="0BE00C74">
      <w:pPr>
        <w:spacing w:line="500" w:lineRule="exact"/>
        <w:jc w:val="center"/>
        <w:rPr>
          <w:b/>
          <w:bCs/>
          <w:color w:val="auto"/>
          <w:sz w:val="30"/>
          <w:szCs w:val="30"/>
          <w:highlight w:val="none"/>
        </w:rPr>
      </w:pPr>
      <w:r>
        <w:rPr>
          <w:rFonts w:hint="eastAsia" w:ascii="宋体" w:hAnsi="宋体" w:cs="宋体"/>
          <w:b/>
          <w:bCs/>
          <w:color w:val="auto"/>
          <w:kern w:val="0"/>
          <w:sz w:val="30"/>
          <w:szCs w:val="30"/>
          <w:highlight w:val="none"/>
        </w:rPr>
        <w:t>二、报价明细表</w:t>
      </w:r>
    </w:p>
    <w:tbl>
      <w:tblPr>
        <w:tblStyle w:val="23"/>
        <w:tblpPr w:leftFromText="180" w:rightFromText="180" w:vertAnchor="text" w:horzAnchor="margin" w:tblpXSpec="center" w:tblpY="154"/>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264"/>
        <w:gridCol w:w="955"/>
        <w:gridCol w:w="815"/>
        <w:gridCol w:w="1369"/>
        <w:gridCol w:w="775"/>
        <w:gridCol w:w="959"/>
        <w:gridCol w:w="772"/>
        <w:gridCol w:w="799"/>
        <w:gridCol w:w="786"/>
      </w:tblGrid>
      <w:tr w14:paraId="7749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02" w:type="dxa"/>
            <w:noWrap/>
            <w:vAlign w:val="center"/>
          </w:tcPr>
          <w:p w14:paraId="4884532C">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序号</w:t>
            </w:r>
          </w:p>
        </w:tc>
        <w:tc>
          <w:tcPr>
            <w:tcW w:w="1264" w:type="dxa"/>
            <w:noWrap/>
            <w:vAlign w:val="center"/>
          </w:tcPr>
          <w:p w14:paraId="4CE71977">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lang w:val="en-US" w:eastAsia="zh-CN"/>
              </w:rPr>
              <w:t>货物</w:t>
            </w:r>
            <w:r>
              <w:rPr>
                <w:rFonts w:hint="eastAsia" w:ascii="宋体" w:hAnsi="宋体"/>
                <w:b/>
                <w:bCs/>
                <w:color w:val="auto"/>
                <w:spacing w:val="-4"/>
                <w:kern w:val="24"/>
                <w:sz w:val="24"/>
                <w:highlight w:val="none"/>
              </w:rPr>
              <w:t>名称</w:t>
            </w:r>
          </w:p>
        </w:tc>
        <w:tc>
          <w:tcPr>
            <w:tcW w:w="955" w:type="dxa"/>
            <w:noWrap/>
            <w:vAlign w:val="center"/>
          </w:tcPr>
          <w:p w14:paraId="1FF70190">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厂家</w:t>
            </w:r>
          </w:p>
        </w:tc>
        <w:tc>
          <w:tcPr>
            <w:tcW w:w="815" w:type="dxa"/>
            <w:noWrap/>
            <w:vAlign w:val="center"/>
          </w:tcPr>
          <w:p w14:paraId="4BF3023A">
            <w:pPr>
              <w:spacing w:line="38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品牌</w:t>
            </w:r>
          </w:p>
        </w:tc>
        <w:tc>
          <w:tcPr>
            <w:tcW w:w="1369" w:type="dxa"/>
            <w:noWrap/>
            <w:vAlign w:val="center"/>
          </w:tcPr>
          <w:p w14:paraId="213894DF">
            <w:pPr>
              <w:spacing w:line="38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型号/规格</w:t>
            </w:r>
          </w:p>
        </w:tc>
        <w:tc>
          <w:tcPr>
            <w:tcW w:w="775" w:type="dxa"/>
            <w:noWrap/>
            <w:vAlign w:val="center"/>
          </w:tcPr>
          <w:p w14:paraId="673A07C5">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数量</w:t>
            </w:r>
          </w:p>
        </w:tc>
        <w:tc>
          <w:tcPr>
            <w:tcW w:w="959" w:type="dxa"/>
            <w:noWrap/>
            <w:vAlign w:val="center"/>
          </w:tcPr>
          <w:p w14:paraId="03652CA3">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单位</w:t>
            </w:r>
          </w:p>
        </w:tc>
        <w:tc>
          <w:tcPr>
            <w:tcW w:w="772" w:type="dxa"/>
            <w:noWrap/>
            <w:vAlign w:val="center"/>
          </w:tcPr>
          <w:p w14:paraId="1293E0CE">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单价</w:t>
            </w:r>
          </w:p>
        </w:tc>
        <w:tc>
          <w:tcPr>
            <w:tcW w:w="799" w:type="dxa"/>
            <w:noWrap/>
            <w:vAlign w:val="center"/>
          </w:tcPr>
          <w:p w14:paraId="42D54670">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合价</w:t>
            </w:r>
          </w:p>
        </w:tc>
        <w:tc>
          <w:tcPr>
            <w:tcW w:w="786" w:type="dxa"/>
            <w:noWrap/>
            <w:vAlign w:val="center"/>
          </w:tcPr>
          <w:p w14:paraId="200BDF40">
            <w:pPr>
              <w:spacing w:line="380" w:lineRule="exact"/>
              <w:jc w:val="center"/>
              <w:rPr>
                <w:rFonts w:ascii="宋体" w:hAnsi="宋体"/>
                <w:b/>
                <w:bCs/>
                <w:color w:val="auto"/>
                <w:spacing w:val="-4"/>
                <w:kern w:val="24"/>
                <w:sz w:val="24"/>
                <w:highlight w:val="none"/>
              </w:rPr>
            </w:pPr>
            <w:r>
              <w:rPr>
                <w:rFonts w:hint="eastAsia" w:ascii="宋体" w:hAnsi="宋体"/>
                <w:b/>
                <w:bCs/>
                <w:color w:val="auto"/>
                <w:spacing w:val="-4"/>
                <w:kern w:val="24"/>
                <w:sz w:val="24"/>
                <w:highlight w:val="none"/>
              </w:rPr>
              <w:t>备注</w:t>
            </w:r>
          </w:p>
        </w:tc>
      </w:tr>
      <w:tr w14:paraId="114C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557AFB0D">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264" w:type="dxa"/>
            <w:noWrap/>
            <w:vAlign w:val="center"/>
          </w:tcPr>
          <w:p w14:paraId="621D7CF7">
            <w:pPr>
              <w:spacing w:line="380" w:lineRule="exact"/>
              <w:jc w:val="center"/>
              <w:rPr>
                <w:rFonts w:ascii="宋体" w:hAnsi="宋体" w:cs="宋体"/>
                <w:color w:val="auto"/>
                <w:kern w:val="0"/>
                <w:sz w:val="24"/>
                <w:highlight w:val="none"/>
              </w:rPr>
            </w:pPr>
          </w:p>
        </w:tc>
        <w:tc>
          <w:tcPr>
            <w:tcW w:w="955" w:type="dxa"/>
            <w:noWrap/>
            <w:vAlign w:val="center"/>
          </w:tcPr>
          <w:p w14:paraId="23F032E5">
            <w:pPr>
              <w:spacing w:line="380" w:lineRule="exact"/>
              <w:jc w:val="center"/>
              <w:rPr>
                <w:rFonts w:ascii="宋体" w:hAnsi="宋体"/>
                <w:color w:val="auto"/>
                <w:spacing w:val="-4"/>
                <w:kern w:val="24"/>
                <w:sz w:val="24"/>
                <w:highlight w:val="none"/>
              </w:rPr>
            </w:pPr>
          </w:p>
        </w:tc>
        <w:tc>
          <w:tcPr>
            <w:tcW w:w="815" w:type="dxa"/>
            <w:noWrap/>
            <w:vAlign w:val="center"/>
          </w:tcPr>
          <w:p w14:paraId="1C89C950">
            <w:pPr>
              <w:spacing w:line="380" w:lineRule="exact"/>
              <w:jc w:val="center"/>
              <w:rPr>
                <w:rFonts w:ascii="宋体" w:hAnsi="宋体"/>
                <w:color w:val="auto"/>
                <w:spacing w:val="-4"/>
                <w:kern w:val="24"/>
                <w:sz w:val="24"/>
                <w:highlight w:val="none"/>
              </w:rPr>
            </w:pPr>
          </w:p>
        </w:tc>
        <w:tc>
          <w:tcPr>
            <w:tcW w:w="1369" w:type="dxa"/>
            <w:noWrap/>
            <w:vAlign w:val="center"/>
          </w:tcPr>
          <w:p w14:paraId="45AF1FFA">
            <w:pPr>
              <w:spacing w:line="380" w:lineRule="exact"/>
              <w:jc w:val="center"/>
              <w:rPr>
                <w:rFonts w:ascii="宋体" w:hAnsi="宋体"/>
                <w:color w:val="auto"/>
                <w:spacing w:val="-4"/>
                <w:kern w:val="24"/>
                <w:sz w:val="24"/>
                <w:highlight w:val="none"/>
              </w:rPr>
            </w:pPr>
          </w:p>
        </w:tc>
        <w:tc>
          <w:tcPr>
            <w:tcW w:w="775" w:type="dxa"/>
            <w:noWrap/>
            <w:vAlign w:val="center"/>
          </w:tcPr>
          <w:p w14:paraId="14624FEC">
            <w:pPr>
              <w:spacing w:line="380" w:lineRule="exact"/>
              <w:jc w:val="center"/>
              <w:rPr>
                <w:rFonts w:ascii="宋体" w:hAnsi="宋体"/>
                <w:color w:val="auto"/>
                <w:spacing w:val="-4"/>
                <w:kern w:val="24"/>
                <w:sz w:val="24"/>
                <w:highlight w:val="none"/>
              </w:rPr>
            </w:pPr>
          </w:p>
        </w:tc>
        <w:tc>
          <w:tcPr>
            <w:tcW w:w="959" w:type="dxa"/>
            <w:noWrap/>
            <w:vAlign w:val="center"/>
          </w:tcPr>
          <w:p w14:paraId="7603B58B">
            <w:pPr>
              <w:spacing w:line="380" w:lineRule="exact"/>
              <w:jc w:val="center"/>
              <w:rPr>
                <w:rFonts w:ascii="宋体" w:hAnsi="宋体"/>
                <w:color w:val="auto"/>
                <w:spacing w:val="-4"/>
                <w:kern w:val="24"/>
                <w:sz w:val="24"/>
                <w:highlight w:val="none"/>
              </w:rPr>
            </w:pPr>
          </w:p>
        </w:tc>
        <w:tc>
          <w:tcPr>
            <w:tcW w:w="772" w:type="dxa"/>
            <w:noWrap/>
            <w:vAlign w:val="center"/>
          </w:tcPr>
          <w:p w14:paraId="5107BBF5">
            <w:pPr>
              <w:spacing w:line="380" w:lineRule="exact"/>
              <w:jc w:val="center"/>
              <w:rPr>
                <w:rFonts w:ascii="宋体" w:hAnsi="宋体"/>
                <w:color w:val="auto"/>
                <w:spacing w:val="-4"/>
                <w:kern w:val="24"/>
                <w:sz w:val="24"/>
                <w:highlight w:val="none"/>
              </w:rPr>
            </w:pPr>
          </w:p>
        </w:tc>
        <w:tc>
          <w:tcPr>
            <w:tcW w:w="799" w:type="dxa"/>
            <w:noWrap/>
            <w:vAlign w:val="center"/>
          </w:tcPr>
          <w:p w14:paraId="71C6E9DC">
            <w:pPr>
              <w:spacing w:line="380" w:lineRule="exact"/>
              <w:jc w:val="center"/>
              <w:rPr>
                <w:rFonts w:ascii="宋体" w:hAnsi="宋体"/>
                <w:color w:val="auto"/>
                <w:spacing w:val="-4"/>
                <w:kern w:val="24"/>
                <w:sz w:val="24"/>
                <w:highlight w:val="none"/>
              </w:rPr>
            </w:pPr>
          </w:p>
        </w:tc>
        <w:tc>
          <w:tcPr>
            <w:tcW w:w="786" w:type="dxa"/>
            <w:noWrap/>
            <w:vAlign w:val="center"/>
          </w:tcPr>
          <w:p w14:paraId="24C9DB84">
            <w:pPr>
              <w:spacing w:line="380" w:lineRule="exact"/>
              <w:jc w:val="center"/>
              <w:rPr>
                <w:rFonts w:ascii="宋体" w:hAnsi="宋体"/>
                <w:color w:val="auto"/>
                <w:spacing w:val="-4"/>
                <w:kern w:val="24"/>
                <w:sz w:val="24"/>
                <w:highlight w:val="none"/>
              </w:rPr>
            </w:pPr>
          </w:p>
        </w:tc>
      </w:tr>
      <w:tr w14:paraId="4296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051A32ED">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264" w:type="dxa"/>
            <w:noWrap/>
            <w:vAlign w:val="center"/>
          </w:tcPr>
          <w:p w14:paraId="650AE7E6">
            <w:pPr>
              <w:spacing w:line="380" w:lineRule="exact"/>
              <w:jc w:val="center"/>
              <w:rPr>
                <w:rFonts w:ascii="宋体" w:hAnsi="宋体" w:cs="宋体"/>
                <w:color w:val="auto"/>
                <w:kern w:val="0"/>
                <w:sz w:val="24"/>
                <w:highlight w:val="none"/>
              </w:rPr>
            </w:pPr>
          </w:p>
        </w:tc>
        <w:tc>
          <w:tcPr>
            <w:tcW w:w="955" w:type="dxa"/>
            <w:noWrap/>
            <w:vAlign w:val="center"/>
          </w:tcPr>
          <w:p w14:paraId="468427EB">
            <w:pPr>
              <w:spacing w:line="380" w:lineRule="exact"/>
              <w:jc w:val="center"/>
              <w:rPr>
                <w:rFonts w:ascii="宋体" w:hAnsi="宋体"/>
                <w:color w:val="auto"/>
                <w:spacing w:val="-4"/>
                <w:kern w:val="24"/>
                <w:sz w:val="24"/>
                <w:highlight w:val="none"/>
              </w:rPr>
            </w:pPr>
          </w:p>
        </w:tc>
        <w:tc>
          <w:tcPr>
            <w:tcW w:w="815" w:type="dxa"/>
            <w:noWrap/>
            <w:vAlign w:val="center"/>
          </w:tcPr>
          <w:p w14:paraId="61930EC1">
            <w:pPr>
              <w:spacing w:line="380" w:lineRule="exact"/>
              <w:jc w:val="center"/>
              <w:rPr>
                <w:rFonts w:ascii="宋体" w:hAnsi="宋体"/>
                <w:color w:val="auto"/>
                <w:spacing w:val="-4"/>
                <w:kern w:val="24"/>
                <w:sz w:val="24"/>
                <w:highlight w:val="none"/>
              </w:rPr>
            </w:pPr>
          </w:p>
        </w:tc>
        <w:tc>
          <w:tcPr>
            <w:tcW w:w="1369" w:type="dxa"/>
            <w:noWrap/>
            <w:vAlign w:val="center"/>
          </w:tcPr>
          <w:p w14:paraId="12D8293F">
            <w:pPr>
              <w:spacing w:line="380" w:lineRule="exact"/>
              <w:jc w:val="center"/>
              <w:rPr>
                <w:rFonts w:ascii="宋体" w:hAnsi="宋体"/>
                <w:color w:val="auto"/>
                <w:spacing w:val="-4"/>
                <w:kern w:val="24"/>
                <w:sz w:val="24"/>
                <w:highlight w:val="none"/>
              </w:rPr>
            </w:pPr>
          </w:p>
        </w:tc>
        <w:tc>
          <w:tcPr>
            <w:tcW w:w="775" w:type="dxa"/>
            <w:noWrap/>
            <w:vAlign w:val="center"/>
          </w:tcPr>
          <w:p w14:paraId="1258309C">
            <w:pPr>
              <w:spacing w:line="380" w:lineRule="exact"/>
              <w:jc w:val="center"/>
              <w:rPr>
                <w:rFonts w:ascii="宋体" w:hAnsi="宋体"/>
                <w:color w:val="auto"/>
                <w:spacing w:val="-4"/>
                <w:kern w:val="24"/>
                <w:sz w:val="24"/>
                <w:highlight w:val="none"/>
              </w:rPr>
            </w:pPr>
          </w:p>
        </w:tc>
        <w:tc>
          <w:tcPr>
            <w:tcW w:w="959" w:type="dxa"/>
            <w:noWrap/>
            <w:vAlign w:val="center"/>
          </w:tcPr>
          <w:p w14:paraId="5D73130A">
            <w:pPr>
              <w:spacing w:line="380" w:lineRule="exact"/>
              <w:jc w:val="center"/>
              <w:rPr>
                <w:rFonts w:ascii="宋体" w:hAnsi="宋体"/>
                <w:color w:val="auto"/>
                <w:spacing w:val="-4"/>
                <w:kern w:val="24"/>
                <w:sz w:val="24"/>
                <w:highlight w:val="none"/>
              </w:rPr>
            </w:pPr>
          </w:p>
        </w:tc>
        <w:tc>
          <w:tcPr>
            <w:tcW w:w="772" w:type="dxa"/>
            <w:noWrap/>
            <w:vAlign w:val="center"/>
          </w:tcPr>
          <w:p w14:paraId="45723A35">
            <w:pPr>
              <w:spacing w:line="380" w:lineRule="exact"/>
              <w:jc w:val="center"/>
              <w:rPr>
                <w:rFonts w:ascii="宋体" w:hAnsi="宋体"/>
                <w:color w:val="auto"/>
                <w:spacing w:val="-4"/>
                <w:kern w:val="24"/>
                <w:sz w:val="24"/>
                <w:highlight w:val="none"/>
              </w:rPr>
            </w:pPr>
          </w:p>
        </w:tc>
        <w:tc>
          <w:tcPr>
            <w:tcW w:w="799" w:type="dxa"/>
            <w:noWrap/>
            <w:vAlign w:val="center"/>
          </w:tcPr>
          <w:p w14:paraId="568D07E7">
            <w:pPr>
              <w:spacing w:line="380" w:lineRule="exact"/>
              <w:jc w:val="center"/>
              <w:rPr>
                <w:rFonts w:ascii="宋体" w:hAnsi="宋体"/>
                <w:color w:val="auto"/>
                <w:spacing w:val="-4"/>
                <w:kern w:val="24"/>
                <w:sz w:val="24"/>
                <w:highlight w:val="none"/>
              </w:rPr>
            </w:pPr>
          </w:p>
        </w:tc>
        <w:tc>
          <w:tcPr>
            <w:tcW w:w="786" w:type="dxa"/>
            <w:noWrap/>
            <w:vAlign w:val="center"/>
          </w:tcPr>
          <w:p w14:paraId="2D4D902E">
            <w:pPr>
              <w:spacing w:line="380" w:lineRule="exact"/>
              <w:jc w:val="center"/>
              <w:rPr>
                <w:rFonts w:ascii="宋体" w:hAnsi="宋体"/>
                <w:color w:val="auto"/>
                <w:spacing w:val="-4"/>
                <w:kern w:val="24"/>
                <w:sz w:val="24"/>
                <w:highlight w:val="none"/>
              </w:rPr>
            </w:pPr>
          </w:p>
        </w:tc>
      </w:tr>
      <w:tr w14:paraId="7E275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76008EAD">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264" w:type="dxa"/>
            <w:noWrap/>
            <w:vAlign w:val="center"/>
          </w:tcPr>
          <w:p w14:paraId="5B308911">
            <w:pPr>
              <w:spacing w:line="380" w:lineRule="exact"/>
              <w:jc w:val="center"/>
              <w:rPr>
                <w:rFonts w:ascii="宋体" w:hAnsi="宋体" w:cs="宋体"/>
                <w:color w:val="auto"/>
                <w:kern w:val="0"/>
                <w:sz w:val="24"/>
                <w:highlight w:val="none"/>
              </w:rPr>
            </w:pPr>
          </w:p>
        </w:tc>
        <w:tc>
          <w:tcPr>
            <w:tcW w:w="955" w:type="dxa"/>
            <w:noWrap/>
            <w:vAlign w:val="center"/>
          </w:tcPr>
          <w:p w14:paraId="69B4DEE9">
            <w:pPr>
              <w:spacing w:line="380" w:lineRule="exact"/>
              <w:jc w:val="center"/>
              <w:rPr>
                <w:rFonts w:ascii="宋体" w:hAnsi="宋体"/>
                <w:color w:val="auto"/>
                <w:spacing w:val="-4"/>
                <w:kern w:val="24"/>
                <w:sz w:val="24"/>
                <w:highlight w:val="none"/>
              </w:rPr>
            </w:pPr>
          </w:p>
        </w:tc>
        <w:tc>
          <w:tcPr>
            <w:tcW w:w="815" w:type="dxa"/>
            <w:noWrap/>
            <w:vAlign w:val="center"/>
          </w:tcPr>
          <w:p w14:paraId="5C2C727F">
            <w:pPr>
              <w:spacing w:line="380" w:lineRule="exact"/>
              <w:jc w:val="center"/>
              <w:rPr>
                <w:rFonts w:ascii="宋体" w:hAnsi="宋体"/>
                <w:color w:val="auto"/>
                <w:spacing w:val="-4"/>
                <w:kern w:val="24"/>
                <w:sz w:val="24"/>
                <w:highlight w:val="none"/>
              </w:rPr>
            </w:pPr>
          </w:p>
        </w:tc>
        <w:tc>
          <w:tcPr>
            <w:tcW w:w="1369" w:type="dxa"/>
            <w:noWrap/>
            <w:vAlign w:val="center"/>
          </w:tcPr>
          <w:p w14:paraId="1B0B163D">
            <w:pPr>
              <w:spacing w:line="380" w:lineRule="exact"/>
              <w:jc w:val="center"/>
              <w:rPr>
                <w:rFonts w:ascii="宋体" w:hAnsi="宋体"/>
                <w:color w:val="auto"/>
                <w:spacing w:val="-4"/>
                <w:kern w:val="24"/>
                <w:sz w:val="24"/>
                <w:highlight w:val="none"/>
              </w:rPr>
            </w:pPr>
          </w:p>
        </w:tc>
        <w:tc>
          <w:tcPr>
            <w:tcW w:w="775" w:type="dxa"/>
            <w:noWrap/>
            <w:vAlign w:val="center"/>
          </w:tcPr>
          <w:p w14:paraId="44D34C49">
            <w:pPr>
              <w:spacing w:line="380" w:lineRule="exact"/>
              <w:jc w:val="center"/>
              <w:rPr>
                <w:rFonts w:ascii="宋体" w:hAnsi="宋体"/>
                <w:color w:val="auto"/>
                <w:spacing w:val="-4"/>
                <w:kern w:val="24"/>
                <w:sz w:val="24"/>
                <w:highlight w:val="none"/>
              </w:rPr>
            </w:pPr>
          </w:p>
        </w:tc>
        <w:tc>
          <w:tcPr>
            <w:tcW w:w="959" w:type="dxa"/>
            <w:noWrap/>
            <w:vAlign w:val="center"/>
          </w:tcPr>
          <w:p w14:paraId="66ACADB9">
            <w:pPr>
              <w:spacing w:line="380" w:lineRule="exact"/>
              <w:jc w:val="center"/>
              <w:rPr>
                <w:rFonts w:ascii="宋体" w:hAnsi="宋体"/>
                <w:color w:val="auto"/>
                <w:spacing w:val="-4"/>
                <w:kern w:val="24"/>
                <w:sz w:val="24"/>
                <w:highlight w:val="none"/>
              </w:rPr>
            </w:pPr>
          </w:p>
        </w:tc>
        <w:tc>
          <w:tcPr>
            <w:tcW w:w="772" w:type="dxa"/>
            <w:noWrap/>
            <w:vAlign w:val="center"/>
          </w:tcPr>
          <w:p w14:paraId="517362EB">
            <w:pPr>
              <w:spacing w:line="380" w:lineRule="exact"/>
              <w:jc w:val="center"/>
              <w:rPr>
                <w:rFonts w:ascii="宋体" w:hAnsi="宋体"/>
                <w:color w:val="auto"/>
                <w:spacing w:val="-4"/>
                <w:kern w:val="24"/>
                <w:sz w:val="24"/>
                <w:highlight w:val="none"/>
              </w:rPr>
            </w:pPr>
          </w:p>
        </w:tc>
        <w:tc>
          <w:tcPr>
            <w:tcW w:w="799" w:type="dxa"/>
            <w:noWrap/>
            <w:vAlign w:val="center"/>
          </w:tcPr>
          <w:p w14:paraId="58B39E80">
            <w:pPr>
              <w:spacing w:line="380" w:lineRule="exact"/>
              <w:jc w:val="center"/>
              <w:rPr>
                <w:rFonts w:ascii="宋体" w:hAnsi="宋体"/>
                <w:color w:val="auto"/>
                <w:spacing w:val="-4"/>
                <w:kern w:val="24"/>
                <w:sz w:val="24"/>
                <w:highlight w:val="none"/>
              </w:rPr>
            </w:pPr>
          </w:p>
        </w:tc>
        <w:tc>
          <w:tcPr>
            <w:tcW w:w="786" w:type="dxa"/>
            <w:noWrap/>
            <w:vAlign w:val="center"/>
          </w:tcPr>
          <w:p w14:paraId="2CF4F0FC">
            <w:pPr>
              <w:spacing w:line="380" w:lineRule="exact"/>
              <w:jc w:val="center"/>
              <w:rPr>
                <w:rFonts w:ascii="宋体" w:hAnsi="宋体"/>
                <w:color w:val="auto"/>
                <w:spacing w:val="-4"/>
                <w:kern w:val="24"/>
                <w:sz w:val="24"/>
                <w:highlight w:val="none"/>
              </w:rPr>
            </w:pPr>
          </w:p>
        </w:tc>
      </w:tr>
      <w:tr w14:paraId="01EC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02" w:type="dxa"/>
            <w:noWrap/>
            <w:vAlign w:val="center"/>
          </w:tcPr>
          <w:p w14:paraId="735D7A29">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264" w:type="dxa"/>
            <w:noWrap/>
            <w:vAlign w:val="center"/>
          </w:tcPr>
          <w:p w14:paraId="29B62DBA">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955" w:type="dxa"/>
            <w:noWrap/>
            <w:vAlign w:val="center"/>
          </w:tcPr>
          <w:p w14:paraId="72E104FF">
            <w:pPr>
              <w:spacing w:line="380" w:lineRule="exact"/>
              <w:jc w:val="center"/>
              <w:rPr>
                <w:rFonts w:ascii="宋体" w:hAnsi="宋体"/>
                <w:color w:val="auto"/>
                <w:spacing w:val="-4"/>
                <w:kern w:val="24"/>
                <w:sz w:val="24"/>
                <w:highlight w:val="none"/>
              </w:rPr>
            </w:pPr>
          </w:p>
        </w:tc>
        <w:tc>
          <w:tcPr>
            <w:tcW w:w="815" w:type="dxa"/>
            <w:noWrap/>
            <w:vAlign w:val="center"/>
          </w:tcPr>
          <w:p w14:paraId="15216771">
            <w:pPr>
              <w:spacing w:line="380" w:lineRule="exact"/>
              <w:jc w:val="center"/>
              <w:rPr>
                <w:rFonts w:ascii="宋体" w:hAnsi="宋体"/>
                <w:color w:val="auto"/>
                <w:spacing w:val="-4"/>
                <w:kern w:val="24"/>
                <w:sz w:val="24"/>
                <w:highlight w:val="none"/>
              </w:rPr>
            </w:pPr>
          </w:p>
        </w:tc>
        <w:tc>
          <w:tcPr>
            <w:tcW w:w="1369" w:type="dxa"/>
            <w:noWrap/>
            <w:vAlign w:val="center"/>
          </w:tcPr>
          <w:p w14:paraId="2830E9A4">
            <w:pPr>
              <w:spacing w:line="380" w:lineRule="exact"/>
              <w:jc w:val="center"/>
              <w:rPr>
                <w:rFonts w:ascii="宋体" w:hAnsi="宋体"/>
                <w:color w:val="auto"/>
                <w:spacing w:val="-4"/>
                <w:kern w:val="24"/>
                <w:sz w:val="24"/>
                <w:highlight w:val="none"/>
              </w:rPr>
            </w:pPr>
          </w:p>
        </w:tc>
        <w:tc>
          <w:tcPr>
            <w:tcW w:w="775" w:type="dxa"/>
            <w:noWrap/>
            <w:vAlign w:val="center"/>
          </w:tcPr>
          <w:p w14:paraId="2F1810A2">
            <w:pPr>
              <w:spacing w:line="380" w:lineRule="exact"/>
              <w:jc w:val="center"/>
              <w:rPr>
                <w:rFonts w:ascii="宋体" w:hAnsi="宋体"/>
                <w:color w:val="auto"/>
                <w:spacing w:val="-4"/>
                <w:kern w:val="24"/>
                <w:sz w:val="24"/>
                <w:highlight w:val="none"/>
              </w:rPr>
            </w:pPr>
          </w:p>
        </w:tc>
        <w:tc>
          <w:tcPr>
            <w:tcW w:w="959" w:type="dxa"/>
            <w:noWrap/>
            <w:vAlign w:val="center"/>
          </w:tcPr>
          <w:p w14:paraId="619B825D">
            <w:pPr>
              <w:spacing w:line="380" w:lineRule="exact"/>
              <w:jc w:val="center"/>
              <w:rPr>
                <w:rFonts w:ascii="宋体" w:hAnsi="宋体"/>
                <w:color w:val="auto"/>
                <w:spacing w:val="-4"/>
                <w:kern w:val="24"/>
                <w:sz w:val="24"/>
                <w:highlight w:val="none"/>
              </w:rPr>
            </w:pPr>
          </w:p>
        </w:tc>
        <w:tc>
          <w:tcPr>
            <w:tcW w:w="772" w:type="dxa"/>
            <w:noWrap/>
            <w:vAlign w:val="center"/>
          </w:tcPr>
          <w:p w14:paraId="636E2DFE">
            <w:pPr>
              <w:spacing w:line="380" w:lineRule="exact"/>
              <w:jc w:val="center"/>
              <w:rPr>
                <w:rFonts w:ascii="宋体" w:hAnsi="宋体"/>
                <w:color w:val="auto"/>
                <w:spacing w:val="-4"/>
                <w:kern w:val="24"/>
                <w:sz w:val="24"/>
                <w:highlight w:val="none"/>
              </w:rPr>
            </w:pPr>
          </w:p>
        </w:tc>
        <w:tc>
          <w:tcPr>
            <w:tcW w:w="799" w:type="dxa"/>
            <w:noWrap/>
            <w:vAlign w:val="center"/>
          </w:tcPr>
          <w:p w14:paraId="5BC74B67">
            <w:pPr>
              <w:spacing w:line="380" w:lineRule="exact"/>
              <w:jc w:val="center"/>
              <w:rPr>
                <w:rFonts w:ascii="宋体" w:hAnsi="宋体"/>
                <w:color w:val="auto"/>
                <w:spacing w:val="-4"/>
                <w:kern w:val="24"/>
                <w:sz w:val="24"/>
                <w:highlight w:val="none"/>
              </w:rPr>
            </w:pPr>
          </w:p>
        </w:tc>
        <w:tc>
          <w:tcPr>
            <w:tcW w:w="786" w:type="dxa"/>
            <w:noWrap/>
            <w:vAlign w:val="center"/>
          </w:tcPr>
          <w:p w14:paraId="3762C548">
            <w:pPr>
              <w:spacing w:line="380" w:lineRule="exact"/>
              <w:jc w:val="center"/>
              <w:rPr>
                <w:rFonts w:ascii="宋体" w:hAnsi="宋体"/>
                <w:color w:val="auto"/>
                <w:spacing w:val="-4"/>
                <w:kern w:val="24"/>
                <w:sz w:val="24"/>
                <w:highlight w:val="none"/>
              </w:rPr>
            </w:pPr>
          </w:p>
        </w:tc>
      </w:tr>
      <w:tr w14:paraId="0A0E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866" w:type="dxa"/>
            <w:gridSpan w:val="2"/>
            <w:noWrap/>
            <w:vAlign w:val="center"/>
          </w:tcPr>
          <w:p w14:paraId="4E925ACA">
            <w:pPr>
              <w:spacing w:line="38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7230" w:type="dxa"/>
            <w:gridSpan w:val="8"/>
            <w:noWrap/>
            <w:vAlign w:val="center"/>
          </w:tcPr>
          <w:p w14:paraId="77F5A69D">
            <w:pPr>
              <w:spacing w:line="380" w:lineRule="exact"/>
              <w:jc w:val="left"/>
              <w:rPr>
                <w:rFonts w:ascii="宋体" w:hAnsi="宋体"/>
                <w:color w:val="auto"/>
                <w:spacing w:val="-4"/>
                <w:kern w:val="24"/>
                <w:sz w:val="24"/>
                <w:highlight w:val="none"/>
              </w:rPr>
            </w:pPr>
            <w:r>
              <w:rPr>
                <w:rFonts w:hint="eastAsia" w:ascii="宋体" w:hAnsi="宋体"/>
                <w:color w:val="auto"/>
                <w:spacing w:val="-4"/>
                <w:kern w:val="24"/>
                <w:sz w:val="24"/>
                <w:highlight w:val="none"/>
              </w:rPr>
              <w:t>小写：                    大写：</w:t>
            </w:r>
          </w:p>
        </w:tc>
      </w:tr>
    </w:tbl>
    <w:p w14:paraId="43A98C22">
      <w:pPr>
        <w:spacing w:line="500" w:lineRule="exact"/>
        <w:rPr>
          <w:color w:val="auto"/>
          <w:sz w:val="24"/>
          <w:highlight w:val="none"/>
        </w:rPr>
      </w:pPr>
    </w:p>
    <w:p w14:paraId="266C6821">
      <w:pPr>
        <w:pStyle w:val="28"/>
        <w:rPr>
          <w:color w:val="auto"/>
          <w:highlight w:val="none"/>
        </w:rPr>
      </w:pPr>
    </w:p>
    <w:p w14:paraId="57D6CE50">
      <w:pPr>
        <w:tabs>
          <w:tab w:val="left" w:pos="13000"/>
        </w:tabs>
        <w:autoSpaceDE w:val="0"/>
        <w:autoSpaceDN w:val="0"/>
        <w:adjustRightInd w:val="0"/>
        <w:spacing w:line="460" w:lineRule="exact"/>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注：</w:t>
      </w:r>
      <w:r>
        <w:rPr>
          <w:rFonts w:hint="eastAsia" w:ascii="宋体" w:hAnsi="宋体" w:eastAsia="宋体" w:cs="宋体"/>
          <w:color w:val="auto"/>
          <w:sz w:val="24"/>
          <w:highlight w:val="none"/>
          <w:lang w:val="zh-CN"/>
        </w:rPr>
        <w:t>1.本表可根据实际需要增加行栏；若有无需填写项，则在空格内填写“/”。</w:t>
      </w:r>
    </w:p>
    <w:p w14:paraId="23AE1328">
      <w:pPr>
        <w:tabs>
          <w:tab w:val="left" w:pos="13000"/>
        </w:tabs>
        <w:autoSpaceDE w:val="0"/>
        <w:autoSpaceDN w:val="0"/>
        <w:adjustRightInd w:val="0"/>
        <w:spacing w:line="4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2.</w:t>
      </w: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lang w:val="zh-CN"/>
        </w:rPr>
        <w:t>需包含第五章采购需求中所有货物内容。</w:t>
      </w:r>
    </w:p>
    <w:p w14:paraId="5DB8F83C">
      <w:pPr>
        <w:tabs>
          <w:tab w:val="left" w:pos="13000"/>
        </w:tabs>
        <w:autoSpaceDE w:val="0"/>
        <w:autoSpaceDN w:val="0"/>
        <w:adjustRightInd w:val="0"/>
        <w:spacing w:line="46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3.本项目设有单价最高限价，单价最高限价详见第一章招标公告。</w:t>
      </w:r>
    </w:p>
    <w:p w14:paraId="7C1DD822">
      <w:pPr>
        <w:pStyle w:val="22"/>
        <w:rPr>
          <w:color w:val="auto"/>
          <w:highlight w:val="none"/>
        </w:rPr>
      </w:pPr>
    </w:p>
    <w:p w14:paraId="54EF4D53">
      <w:pPr>
        <w:pStyle w:val="22"/>
        <w:rPr>
          <w:color w:val="auto"/>
          <w:highlight w:val="none"/>
        </w:rPr>
      </w:pPr>
    </w:p>
    <w:p w14:paraId="4B0733D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68CFAC0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法定代表人或授权代理人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（签字或电子签名或电子签章）</w:t>
      </w:r>
    </w:p>
    <w:p w14:paraId="59E3CA2D">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firstLine="480" w:firstLineChars="200"/>
        <w:jc w:val="both"/>
        <w:textAlignment w:val="auto"/>
        <w:outlineLvl w:val="9"/>
        <w:rPr>
          <w:rFonts w:hint="eastAsia" w:ascii="宋体" w:hAnsi="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rPr>
        <w:t>日期：</w:t>
      </w:r>
      <w:r>
        <w:rPr>
          <w:rFonts w:ascii="宋体" w:hAnsi="宋体" w:eastAsia="宋体"/>
          <w:color w:val="auto"/>
          <w:sz w:val="24"/>
          <w:szCs w:val="32"/>
          <w:highlight w:val="none"/>
          <w:u w:val="single"/>
        </w:rPr>
        <w:t xml:space="preserve">  </w:t>
      </w:r>
      <w:r>
        <w:rPr>
          <w:rFonts w:hint="eastAsia" w:ascii="宋体" w:hAnsi="宋体"/>
          <w:color w:val="auto"/>
          <w:sz w:val="24"/>
          <w:szCs w:val="32"/>
          <w:highlight w:val="none"/>
          <w:u w:val="single"/>
          <w:lang w:val="en-US" w:eastAsia="zh-CN"/>
        </w:rPr>
        <w:t xml:space="preserve"> </w:t>
      </w:r>
      <w:r>
        <w:rPr>
          <w:rFonts w:ascii="宋体" w:hAnsi="宋体" w:eastAsia="宋体"/>
          <w:color w:val="auto"/>
          <w:sz w:val="24"/>
          <w:szCs w:val="32"/>
          <w:highlight w:val="none"/>
          <w:u w:val="single"/>
        </w:rPr>
        <w:t xml:space="preserve">     </w:t>
      </w:r>
      <w:r>
        <w:rPr>
          <w:rFonts w:hint="eastAsia" w:ascii="宋体" w:hAnsi="宋体" w:cs="宋体"/>
          <w:color w:val="auto"/>
          <w:sz w:val="24"/>
          <w:szCs w:val="24"/>
          <w:highlight w:val="none"/>
        </w:rPr>
        <w:t>年</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月</w:t>
      </w:r>
      <w:r>
        <w:rPr>
          <w:rFonts w:ascii="宋体" w:hAnsi="宋体" w:eastAsia="宋体"/>
          <w:b/>
          <w:color w:val="auto"/>
          <w:sz w:val="24"/>
          <w:szCs w:val="32"/>
          <w:highlight w:val="none"/>
          <w:u w:val="single"/>
        </w:rPr>
        <w:t xml:space="preserve">     </w:t>
      </w:r>
      <w:r>
        <w:rPr>
          <w:rFonts w:hint="eastAsia" w:ascii="宋体" w:hAnsi="宋体" w:cs="宋体"/>
          <w:color w:val="auto"/>
          <w:sz w:val="24"/>
          <w:szCs w:val="24"/>
          <w:highlight w:val="none"/>
        </w:rPr>
        <w:t>日</w:t>
      </w:r>
    </w:p>
    <w:p w14:paraId="1BE852C5">
      <w:pPr>
        <w:pStyle w:val="47"/>
        <w:spacing w:before="0" w:after="0" w:line="460" w:lineRule="exact"/>
        <w:ind w:left="0" w:right="23"/>
        <w:jc w:val="center"/>
        <w:rPr>
          <w:rFonts w:hint="eastAsia" w:ascii="宋体" w:hAnsi="宋体" w:cs="宋体"/>
          <w:b/>
          <w:color w:val="auto"/>
          <w:sz w:val="44"/>
          <w:szCs w:val="44"/>
          <w:highlight w:val="none"/>
        </w:rPr>
      </w:pPr>
    </w:p>
    <w:p w14:paraId="44F89F80">
      <w:pPr>
        <w:pStyle w:val="47"/>
        <w:spacing w:before="0" w:after="0" w:line="460" w:lineRule="exact"/>
        <w:ind w:left="0" w:right="23"/>
        <w:jc w:val="center"/>
        <w:rPr>
          <w:rFonts w:hint="eastAsia" w:ascii="宋体" w:hAnsi="宋体" w:cs="宋体"/>
          <w:b/>
          <w:color w:val="auto"/>
          <w:sz w:val="44"/>
          <w:szCs w:val="44"/>
          <w:highlight w:val="none"/>
        </w:rPr>
      </w:pPr>
    </w:p>
    <w:p w14:paraId="1A2BBF63">
      <w:pPr>
        <w:pStyle w:val="47"/>
        <w:spacing w:before="0" w:after="0" w:line="460" w:lineRule="exact"/>
        <w:ind w:left="0" w:right="23"/>
        <w:jc w:val="center"/>
        <w:rPr>
          <w:rFonts w:hint="eastAsia" w:ascii="宋体" w:hAnsi="宋体" w:cs="宋体"/>
          <w:b/>
          <w:color w:val="auto"/>
          <w:sz w:val="44"/>
          <w:szCs w:val="44"/>
          <w:highlight w:val="none"/>
        </w:rPr>
      </w:pPr>
    </w:p>
    <w:p w14:paraId="2FDDDE22">
      <w:pPr>
        <w:pStyle w:val="47"/>
        <w:spacing w:before="0" w:after="0" w:line="460" w:lineRule="exact"/>
        <w:ind w:left="0" w:right="23"/>
        <w:jc w:val="center"/>
        <w:rPr>
          <w:rFonts w:hint="eastAsia" w:ascii="宋体" w:hAnsi="宋体" w:cs="宋体"/>
          <w:b/>
          <w:color w:val="auto"/>
          <w:sz w:val="44"/>
          <w:szCs w:val="44"/>
          <w:highlight w:val="none"/>
        </w:rPr>
      </w:pPr>
    </w:p>
    <w:p w14:paraId="4F8F4A16">
      <w:pPr>
        <w:pStyle w:val="47"/>
        <w:spacing w:before="0" w:after="0" w:line="460" w:lineRule="exact"/>
        <w:ind w:left="0" w:right="23"/>
        <w:jc w:val="center"/>
        <w:rPr>
          <w:rFonts w:hint="eastAsia" w:ascii="宋体" w:hAnsi="宋体" w:cs="宋体"/>
          <w:b/>
          <w:color w:val="auto"/>
          <w:sz w:val="44"/>
          <w:szCs w:val="44"/>
          <w:highlight w:val="none"/>
        </w:rPr>
      </w:pPr>
    </w:p>
    <w:p w14:paraId="3BE8488D">
      <w:pPr>
        <w:pStyle w:val="47"/>
        <w:spacing w:before="0" w:after="0" w:line="460" w:lineRule="exact"/>
        <w:ind w:left="0" w:right="23"/>
        <w:jc w:val="center"/>
        <w:rPr>
          <w:rFonts w:hint="eastAsia" w:ascii="宋体" w:hAnsi="宋体" w:cs="宋体"/>
          <w:b/>
          <w:color w:val="auto"/>
          <w:sz w:val="44"/>
          <w:szCs w:val="44"/>
          <w:highlight w:val="none"/>
        </w:rPr>
      </w:pPr>
    </w:p>
    <w:p w14:paraId="59A499FC">
      <w:pPr>
        <w:pStyle w:val="47"/>
        <w:spacing w:before="0" w:after="0" w:line="460" w:lineRule="exact"/>
        <w:ind w:left="0" w:right="23"/>
        <w:jc w:val="center"/>
        <w:rPr>
          <w:rFonts w:hint="eastAsia" w:ascii="宋体" w:hAnsi="宋体" w:cs="宋体"/>
          <w:b/>
          <w:color w:val="auto"/>
          <w:sz w:val="44"/>
          <w:szCs w:val="44"/>
          <w:highlight w:val="none"/>
        </w:rPr>
      </w:pPr>
    </w:p>
    <w:p w14:paraId="3654AD2D">
      <w:pPr>
        <w:pStyle w:val="47"/>
        <w:spacing w:before="0" w:after="0" w:line="460" w:lineRule="exact"/>
        <w:ind w:left="0" w:right="23"/>
        <w:jc w:val="center"/>
        <w:rPr>
          <w:rFonts w:hint="eastAsia" w:ascii="宋体" w:hAnsi="宋体" w:cs="宋体"/>
          <w:b/>
          <w:color w:val="auto"/>
          <w:sz w:val="44"/>
          <w:szCs w:val="44"/>
          <w:highlight w:val="none"/>
        </w:rPr>
      </w:pPr>
    </w:p>
    <w:p w14:paraId="3C97B2D9">
      <w:pPr>
        <w:pStyle w:val="47"/>
        <w:spacing w:before="0" w:after="0" w:line="460" w:lineRule="exact"/>
        <w:ind w:left="0" w:right="23"/>
        <w:jc w:val="center"/>
        <w:rPr>
          <w:rFonts w:hint="eastAsia" w:ascii="宋体" w:hAnsi="宋体" w:cs="宋体"/>
          <w:b/>
          <w:color w:val="auto"/>
          <w:sz w:val="44"/>
          <w:szCs w:val="44"/>
          <w:highlight w:val="none"/>
        </w:rPr>
      </w:pPr>
    </w:p>
    <w:p w14:paraId="567F6701">
      <w:pPr>
        <w:pStyle w:val="47"/>
        <w:spacing w:before="0" w:after="0" w:line="460" w:lineRule="exact"/>
        <w:ind w:left="0" w:right="23"/>
        <w:jc w:val="center"/>
        <w:rPr>
          <w:rFonts w:hint="eastAsia" w:ascii="宋体" w:hAnsi="宋体" w:cs="宋体"/>
          <w:b/>
          <w:color w:val="auto"/>
          <w:sz w:val="44"/>
          <w:szCs w:val="44"/>
          <w:highlight w:val="none"/>
        </w:rPr>
      </w:pPr>
    </w:p>
    <w:p w14:paraId="23460253">
      <w:pPr>
        <w:pStyle w:val="47"/>
        <w:spacing w:before="0" w:after="0" w:line="460" w:lineRule="exact"/>
        <w:ind w:left="0" w:right="23"/>
        <w:jc w:val="center"/>
        <w:rPr>
          <w:rFonts w:hint="eastAsia" w:ascii="宋体" w:hAnsi="宋体" w:cs="宋体"/>
          <w:b/>
          <w:color w:val="auto"/>
          <w:sz w:val="44"/>
          <w:szCs w:val="44"/>
          <w:highlight w:val="none"/>
        </w:rPr>
      </w:pPr>
    </w:p>
    <w:p w14:paraId="71FBC267">
      <w:pPr>
        <w:pStyle w:val="47"/>
        <w:spacing w:before="0" w:after="0" w:line="460" w:lineRule="exact"/>
        <w:ind w:left="0" w:right="23"/>
        <w:jc w:val="center"/>
        <w:rPr>
          <w:rFonts w:hint="eastAsia" w:ascii="宋体" w:hAnsi="宋体" w:cs="宋体"/>
          <w:b/>
          <w:color w:val="auto"/>
          <w:sz w:val="44"/>
          <w:szCs w:val="44"/>
          <w:highlight w:val="none"/>
        </w:rPr>
      </w:pPr>
    </w:p>
    <w:p w14:paraId="271BD725">
      <w:pPr>
        <w:pStyle w:val="47"/>
        <w:spacing w:before="0" w:after="0" w:line="460" w:lineRule="exact"/>
        <w:ind w:left="0" w:right="23"/>
        <w:jc w:val="center"/>
        <w:rPr>
          <w:rFonts w:ascii="宋体" w:hAnsi="宋体" w:cs="宋体"/>
          <w:color w:val="auto"/>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44"/>
          <w:szCs w:val="44"/>
          <w:highlight w:val="none"/>
        </w:rPr>
        <w:t>第三部分  商务技术文件格式</w:t>
      </w:r>
    </w:p>
    <w:p w14:paraId="520161D5">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一</w:t>
      </w:r>
      <w:r>
        <w:rPr>
          <w:rFonts w:hint="eastAsia" w:ascii="宋体" w:hAnsi="宋体" w:cs="宋体"/>
          <w:b/>
          <w:bCs/>
          <w:color w:val="auto"/>
          <w:kern w:val="0"/>
          <w:sz w:val="30"/>
          <w:szCs w:val="30"/>
          <w:highlight w:val="none"/>
        </w:rPr>
        <w:t>、投标函</w:t>
      </w:r>
    </w:p>
    <w:p w14:paraId="360A1F06">
      <w:pPr>
        <w:spacing w:line="460" w:lineRule="exact"/>
        <w:ind w:firstLine="480" w:firstLineChars="200"/>
        <w:rPr>
          <w:rFonts w:ascii="宋体" w:hAnsi="宋体" w:cs="宋体"/>
          <w:color w:val="auto"/>
          <w:sz w:val="24"/>
          <w:highlight w:val="none"/>
        </w:rPr>
      </w:pPr>
    </w:p>
    <w:p w14:paraId="216833A7">
      <w:pPr>
        <w:spacing w:line="460" w:lineRule="exact"/>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p>
    <w:p w14:paraId="38E24CDE">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根据贵方的招标项目</w:t>
      </w:r>
      <w:r>
        <w:rPr>
          <w:rFonts w:hint="eastAsia" w:ascii="宋体" w:hAnsi="宋体" w:cs="宋体"/>
          <w:color w:val="auto"/>
          <w:sz w:val="24"/>
          <w:highlight w:val="none"/>
          <w:u w:val="single"/>
        </w:rPr>
        <w:t>（项目名称）（招标编号）</w:t>
      </w:r>
      <w:r>
        <w:rPr>
          <w:rFonts w:hint="eastAsia" w:ascii="宋体" w:hAnsi="宋体" w:cs="宋体"/>
          <w:color w:val="auto"/>
          <w:sz w:val="24"/>
          <w:highlight w:val="none"/>
        </w:rPr>
        <w:t>的招标文件，经详细研究，决定参加该招标项目的投标，并提交相应投标文件。</w:t>
      </w:r>
    </w:p>
    <w:p w14:paraId="4281E40A">
      <w:pPr>
        <w:autoSpaceDE w:val="0"/>
        <w:autoSpaceDN w:val="0"/>
        <w:adjustRightInd w:val="0"/>
        <w:spacing w:line="460" w:lineRule="exact"/>
        <w:ind w:right="246" w:firstLine="480" w:firstLineChars="200"/>
        <w:rPr>
          <w:rFonts w:ascii="宋体" w:hAnsi="宋体" w:cs="宋体"/>
          <w:color w:val="auto"/>
          <w:kern w:val="0"/>
          <w:sz w:val="24"/>
          <w:highlight w:val="none"/>
        </w:rPr>
      </w:pPr>
      <w:r>
        <w:rPr>
          <w:rFonts w:hint="eastAsia" w:ascii="宋体" w:hAnsi="宋体" w:cs="宋体"/>
          <w:color w:val="auto"/>
          <w:sz w:val="24"/>
          <w:highlight w:val="none"/>
        </w:rPr>
        <w:t>据此函，我方愿意缴纳投标会议保证金人民币</w:t>
      </w:r>
      <w:r>
        <w:rPr>
          <w:rFonts w:hint="eastAsia" w:ascii="宋体" w:hAnsi="宋体" w:cs="宋体"/>
          <w:color w:val="auto"/>
          <w:sz w:val="24"/>
          <w:highlight w:val="none"/>
          <w:u w:val="single"/>
        </w:rPr>
        <w:t xml:space="preserve">  （小写）（大写）  </w:t>
      </w:r>
      <w:r>
        <w:rPr>
          <w:rFonts w:hint="eastAsia" w:ascii="宋体" w:hAnsi="宋体" w:cs="宋体"/>
          <w:color w:val="auto"/>
          <w:sz w:val="24"/>
          <w:highlight w:val="none"/>
        </w:rPr>
        <w:t>元，作为本次投标的保证，并承诺如下</w:t>
      </w:r>
      <w:r>
        <w:rPr>
          <w:rFonts w:hint="eastAsia" w:ascii="宋体" w:hAnsi="宋体" w:cs="宋体"/>
          <w:color w:val="auto"/>
          <w:kern w:val="0"/>
          <w:sz w:val="24"/>
          <w:highlight w:val="none"/>
        </w:rPr>
        <w:t>：</w:t>
      </w:r>
    </w:p>
    <w:p w14:paraId="27179CA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1.按招标文件的要求，我方愿意按招标文件的要求提供报价，并以最优惠的价格参加本次招标项目的投标（详见投标报价一览表）。   </w:t>
      </w:r>
    </w:p>
    <w:p w14:paraId="13CA137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2.投标有效期为</w:t>
      </w:r>
      <w:r>
        <w:rPr>
          <w:rFonts w:hint="eastAsia" w:ascii="宋体" w:hAnsi="宋体" w:cs="宋体"/>
          <w:color w:val="auto"/>
          <w:sz w:val="24"/>
          <w:highlight w:val="none"/>
          <w:lang w:eastAsia="zh-CN"/>
        </w:rPr>
        <w:t>提交</w:t>
      </w:r>
      <w:r>
        <w:rPr>
          <w:rFonts w:hint="eastAsia" w:ascii="宋体" w:hAnsi="宋体" w:cs="宋体"/>
          <w:color w:val="auto"/>
          <w:sz w:val="24"/>
          <w:highlight w:val="none"/>
        </w:rPr>
        <w:t>投标文件</w:t>
      </w:r>
      <w:r>
        <w:rPr>
          <w:rFonts w:hint="eastAsia" w:ascii="宋体" w:hAnsi="宋体" w:cs="宋体"/>
          <w:color w:val="auto"/>
          <w:sz w:val="24"/>
          <w:highlight w:val="none"/>
          <w:lang w:val="en-US" w:eastAsia="zh-CN"/>
        </w:rPr>
        <w:t>截止</w:t>
      </w:r>
      <w:r>
        <w:rPr>
          <w:rFonts w:hint="eastAsia" w:ascii="宋体" w:hAnsi="宋体" w:cs="宋体"/>
          <w:color w:val="auto"/>
          <w:sz w:val="24"/>
          <w:highlight w:val="none"/>
        </w:rPr>
        <w:t>之日起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日历</w:t>
      </w:r>
      <w:r>
        <w:rPr>
          <w:rFonts w:hint="eastAsia" w:ascii="宋体" w:hAnsi="宋体" w:cs="宋体"/>
          <w:color w:val="auto"/>
          <w:sz w:val="24"/>
          <w:highlight w:val="none"/>
        </w:rPr>
        <w:t>天，中标人投标有效期延至合同验收之日。</w:t>
      </w:r>
    </w:p>
    <w:p w14:paraId="3975BB42">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3.我方已经详细地阅读了全部招标文件及其附件，包括澄清及参考文件</w:t>
      </w:r>
      <w:r>
        <w:rPr>
          <w:rFonts w:hint="eastAsia" w:ascii="宋体" w:hAnsi="宋体" w:cs="宋体"/>
          <w:color w:val="auto"/>
          <w:sz w:val="24"/>
          <w:highlight w:val="none"/>
          <w:lang w:eastAsia="zh-CN"/>
        </w:rPr>
        <w:t>（</w:t>
      </w:r>
      <w:r>
        <w:rPr>
          <w:rFonts w:hint="eastAsia" w:ascii="宋体" w:hAnsi="宋体" w:cs="宋体"/>
          <w:color w:val="auto"/>
          <w:sz w:val="24"/>
          <w:highlight w:val="none"/>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。我方已完全清晰理解招标文件的要求，不存在任何含糊不清和误解之处，同意放弃对这些文件所提出的异议和质疑的权利。</w:t>
      </w:r>
    </w:p>
    <w:p w14:paraId="18FF9E83">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4.如果在开标后规定的投标有效期内撤回投标，我们的投标保证金可不予退还。</w:t>
      </w:r>
    </w:p>
    <w:p w14:paraId="0E09134F">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5.我方已毫无保留地向贵方提供一切所需的证明材料。</w:t>
      </w:r>
    </w:p>
    <w:p w14:paraId="00AD08AF">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6.我方承诺在本次投标文件中提供的一切文件，无论是复印件还是扫描件均为真实和准确的，绝无任何虚假、伪造和夸大的成分，否则，愿承担相应的后果和法律责任。</w:t>
      </w:r>
    </w:p>
    <w:p w14:paraId="0453B32C">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7.我方完全服从和尊重评委会所作的评定结果，同时清楚理解到报价最低并非意味着必定获得中标资格。</w:t>
      </w:r>
    </w:p>
    <w:p w14:paraId="16EA80C1">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8.一旦我方中标，我们将根据招标文件及其有效补充文件的规定，严格按照相关法律法规履行自己的责任和义务。 </w:t>
      </w:r>
    </w:p>
    <w:p w14:paraId="41CC9321">
      <w:pPr>
        <w:spacing w:line="460" w:lineRule="exact"/>
        <w:rPr>
          <w:rFonts w:ascii="宋体" w:hAnsi="宋体" w:cs="宋体"/>
          <w:color w:val="auto"/>
          <w:sz w:val="24"/>
          <w:highlight w:val="none"/>
        </w:rPr>
      </w:pPr>
    </w:p>
    <w:p w14:paraId="711EAE4A">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投标人（加盖电子公章）：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86EE7EE">
      <w:pPr>
        <w:pStyle w:val="7"/>
        <w:ind w:firstLine="480" w:firstLineChars="200"/>
        <w:rPr>
          <w:rFonts w:hint="eastAsia"/>
          <w:color w:val="auto"/>
          <w:highlight w:val="none"/>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szCs w:val="24"/>
          <w:highlight w:val="none"/>
        </w:rPr>
        <w:t>签字或电子签名或电子签章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2C1B027">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CA8511A">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E85A6C3">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p>
    <w:p w14:paraId="37C19C99">
      <w:pPr>
        <w:spacing w:line="500" w:lineRule="exact"/>
        <w:ind w:firstLine="420" w:firstLineChars="200"/>
        <w:jc w:val="center"/>
        <w:rPr>
          <w:rFonts w:ascii="宋体" w:hAnsi="宋体" w:cs="宋体"/>
          <w:color w:val="auto"/>
          <w:szCs w:val="21"/>
          <w:highlight w:val="none"/>
          <w:u w:val="single"/>
        </w:rPr>
        <w:sectPr>
          <w:pgSz w:w="11906" w:h="16838"/>
          <w:pgMar w:top="1440" w:right="1080" w:bottom="1440" w:left="1080" w:header="851" w:footer="992" w:gutter="0"/>
          <w:pgNumType w:fmt="decimal"/>
          <w:cols w:space="720" w:num="1"/>
          <w:docGrid w:type="lines" w:linePitch="312" w:charSpace="0"/>
        </w:sectPr>
      </w:pPr>
    </w:p>
    <w:p w14:paraId="1595D875">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二</w:t>
      </w:r>
      <w:r>
        <w:rPr>
          <w:rFonts w:hint="eastAsia" w:ascii="宋体" w:hAnsi="宋体" w:cs="宋体"/>
          <w:b/>
          <w:bCs/>
          <w:color w:val="auto"/>
          <w:kern w:val="0"/>
          <w:sz w:val="30"/>
          <w:szCs w:val="30"/>
          <w:highlight w:val="none"/>
        </w:rPr>
        <w:t>、法定代表人资格证明书及授权委托书</w:t>
      </w:r>
    </w:p>
    <w:p w14:paraId="24C245E4">
      <w:pPr>
        <w:spacing w:line="460" w:lineRule="exact"/>
        <w:ind w:firstLine="482" w:firstLineChars="200"/>
        <w:jc w:val="center"/>
        <w:rPr>
          <w:rFonts w:ascii="宋体" w:hAnsi="宋体"/>
          <w:b/>
          <w:color w:val="auto"/>
          <w:sz w:val="24"/>
          <w:highlight w:val="none"/>
        </w:rPr>
      </w:pPr>
    </w:p>
    <w:p w14:paraId="6195D54C">
      <w:pPr>
        <w:spacing w:line="460" w:lineRule="exact"/>
        <w:ind w:firstLine="562" w:firstLineChars="200"/>
        <w:jc w:val="center"/>
        <w:rPr>
          <w:rFonts w:ascii="宋体" w:hAnsi="宋体"/>
          <w:b/>
          <w:color w:val="auto"/>
          <w:sz w:val="28"/>
          <w:szCs w:val="28"/>
          <w:highlight w:val="none"/>
        </w:rPr>
      </w:pPr>
      <w:r>
        <w:rPr>
          <w:rFonts w:hint="eastAsia" w:ascii="宋体" w:hAnsi="宋体"/>
          <w:b/>
          <w:color w:val="auto"/>
          <w:sz w:val="28"/>
          <w:szCs w:val="28"/>
          <w:highlight w:val="none"/>
        </w:rPr>
        <w:t>（一）法定代表人资格证明书</w:t>
      </w:r>
    </w:p>
    <w:p w14:paraId="64067991">
      <w:pPr>
        <w:spacing w:line="460" w:lineRule="exact"/>
        <w:rPr>
          <w:rFonts w:ascii="宋体" w:hAnsi="宋体"/>
          <w:color w:val="auto"/>
          <w:sz w:val="24"/>
          <w:highlight w:val="none"/>
        </w:rPr>
      </w:pPr>
    </w:p>
    <w:p w14:paraId="771DE2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投标人名称：</w:t>
      </w:r>
      <w:r>
        <w:rPr>
          <w:rFonts w:hint="eastAsia" w:ascii="宋体" w:hAnsi="宋体"/>
          <w:color w:val="auto"/>
          <w:sz w:val="24"/>
          <w:szCs w:val="24"/>
          <w:highlight w:val="none"/>
          <w:u w:val="single"/>
        </w:rPr>
        <w:t xml:space="preserve">                                                        </w:t>
      </w:r>
    </w:p>
    <w:p w14:paraId="6374CC7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0CF5D4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softHyphen/>
      </w:r>
      <w:r>
        <w:rPr>
          <w:rFonts w:hint="eastAsia" w:ascii="宋体" w:hAnsi="宋体"/>
          <w:color w:val="auto"/>
          <w:sz w:val="24"/>
          <w:szCs w:val="24"/>
          <w:highlight w:val="none"/>
          <w:u w:val="single"/>
        </w:rPr>
        <w:softHyphen/>
      </w:r>
      <w:r>
        <w:rPr>
          <w:rFonts w:hint="eastAsia" w:ascii="宋体" w:hAnsi="宋体"/>
          <w:color w:val="auto"/>
          <w:sz w:val="24"/>
          <w:szCs w:val="24"/>
          <w:highlight w:val="none"/>
          <w:u w:val="single"/>
        </w:rPr>
        <w:t xml:space="preserve">                                                              </w:t>
      </w:r>
    </w:p>
    <w:p w14:paraId="0D721DC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56CDEF1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5B929B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2914E9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（投标人）的法定代表人。</w:t>
      </w:r>
    </w:p>
    <w:p w14:paraId="26F5B8F3">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ascii="宋体" w:hAnsi="宋体"/>
          <w:color w:val="auto"/>
          <w:sz w:val="24"/>
          <w:szCs w:val="24"/>
          <w:highlight w:val="none"/>
        </w:rPr>
      </w:pPr>
    </w:p>
    <w:p w14:paraId="54ADAAED">
      <w:pPr>
        <w:keepNext w:val="0"/>
        <w:keepLines w:val="0"/>
        <w:pageBreakBefore w:val="0"/>
        <w:widowControl w:val="0"/>
        <w:kinsoku/>
        <w:wordWrap/>
        <w:overflowPunct/>
        <w:topLinePunct w:val="0"/>
        <w:autoSpaceDE/>
        <w:autoSpaceDN/>
        <w:bidi w:val="0"/>
        <w:adjustRightInd/>
        <w:snapToGrid/>
        <w:spacing w:line="460" w:lineRule="exact"/>
        <w:ind w:firstLine="1440" w:firstLineChars="600"/>
        <w:textAlignment w:val="auto"/>
        <w:outlineLvl w:val="9"/>
        <w:rPr>
          <w:rFonts w:ascii="宋体" w:hAnsi="宋体"/>
          <w:color w:val="auto"/>
          <w:sz w:val="24"/>
          <w:szCs w:val="24"/>
          <w:highlight w:val="none"/>
        </w:rPr>
      </w:pPr>
      <w:r>
        <w:rPr>
          <w:rFonts w:hint="eastAsia" w:ascii="宋体" w:hAnsi="宋体"/>
          <w:color w:val="auto"/>
          <w:sz w:val="24"/>
          <w:szCs w:val="24"/>
          <w:highlight w:val="none"/>
        </w:rPr>
        <w:t>特此证明</w:t>
      </w:r>
    </w:p>
    <w:p w14:paraId="6D6B6360">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ascii="宋体" w:hAnsi="宋体"/>
          <w:color w:val="auto"/>
          <w:sz w:val="24"/>
          <w:szCs w:val="24"/>
          <w:highlight w:val="none"/>
        </w:rPr>
      </w:pPr>
    </w:p>
    <w:p w14:paraId="2B8FCDB9">
      <w:pPr>
        <w:keepNext w:val="0"/>
        <w:keepLines w:val="0"/>
        <w:pageBreakBefore w:val="0"/>
        <w:widowControl w:val="0"/>
        <w:kinsoku/>
        <w:wordWrap/>
        <w:overflowPunct/>
        <w:topLinePunct w:val="0"/>
        <w:autoSpaceDE/>
        <w:autoSpaceDN/>
        <w:bidi w:val="0"/>
        <w:adjustRightInd/>
        <w:snapToGrid/>
        <w:spacing w:line="460" w:lineRule="exact"/>
        <w:ind w:firstLine="4320" w:firstLineChars="1800"/>
        <w:textAlignment w:val="auto"/>
        <w:outlineLvl w:val="9"/>
        <w:rPr>
          <w:rFonts w:ascii="宋体" w:hAnsi="宋体"/>
          <w:color w:val="auto"/>
          <w:sz w:val="24"/>
          <w:szCs w:val="24"/>
          <w:highlight w:val="none"/>
        </w:rPr>
      </w:pPr>
      <w:r>
        <w:rPr>
          <w:rFonts w:hint="eastAsia" w:ascii="宋体" w:hAnsi="宋体"/>
          <w:color w:val="auto"/>
          <w:sz w:val="24"/>
          <w:szCs w:val="24"/>
          <w:highlight w:val="none"/>
        </w:rPr>
        <w:t>投标人（加盖电子公章）：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w:t>
      </w:r>
    </w:p>
    <w:p w14:paraId="350C3A3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ascii="宋体" w:hAnsi="宋体"/>
          <w:color w:val="auto"/>
          <w:sz w:val="24"/>
          <w:szCs w:val="24"/>
          <w:highlight w:val="none"/>
        </w:rPr>
      </w:pPr>
    </w:p>
    <w:p w14:paraId="1DD0BF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color w:val="auto"/>
          <w:sz w:val="24"/>
          <w:szCs w:val="24"/>
          <w:highlight w:val="none"/>
        </w:rPr>
        <w:t>日</w:t>
      </w:r>
    </w:p>
    <w:p w14:paraId="30403AB8">
      <w:pPr>
        <w:pStyle w:val="22"/>
        <w:ind w:firstLine="480"/>
        <w:rPr>
          <w:color w:val="auto"/>
          <w:sz w:val="24"/>
          <w:szCs w:val="24"/>
          <w:highlight w:val="none"/>
        </w:rPr>
      </w:pPr>
    </w:p>
    <w:p w14:paraId="1E455550">
      <w:pPr>
        <w:spacing w:line="480" w:lineRule="auto"/>
        <w:rPr>
          <w:rFonts w:ascii="宋体" w:hAnsi="宋体"/>
          <w:b/>
          <w:color w:val="auto"/>
          <w:sz w:val="24"/>
          <w:highlight w:val="none"/>
        </w:rPr>
      </w:pPr>
      <w:r>
        <w:rPr>
          <w:rFonts w:hint="eastAsia" w:ascii="宋体" w:hAnsi="宋体"/>
          <w:b/>
          <w:color w:val="auto"/>
          <w:sz w:val="24"/>
          <w:highlight w:val="none"/>
        </w:rPr>
        <w:t>附：法定代表人身份证扫描件或复印件</w:t>
      </w:r>
    </w:p>
    <w:tbl>
      <w:tblPr>
        <w:tblStyle w:val="23"/>
        <w:tblW w:w="9720" w:type="dxa"/>
        <w:tblInd w:w="-209"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720"/>
      </w:tblGrid>
      <w:tr w14:paraId="0CFB93AE">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701" w:hRule="atLeast"/>
        </w:trPr>
        <w:tc>
          <w:tcPr>
            <w:tcW w:w="9720" w:type="dxa"/>
            <w:noWrap/>
            <w:vAlign w:val="center"/>
          </w:tcPr>
          <w:p w14:paraId="4BE1DA44">
            <w:pPr>
              <w:pStyle w:val="18"/>
              <w:spacing w:line="480" w:lineRule="auto"/>
              <w:jc w:val="center"/>
              <w:rPr>
                <w:rFonts w:ascii="宋体" w:hAnsi="宋体"/>
                <w:color w:val="auto"/>
                <w:highlight w:val="none"/>
              </w:rPr>
            </w:pPr>
            <w:r>
              <w:rPr>
                <w:rFonts w:hint="eastAsia" w:ascii="宋体" w:hAnsi="宋体"/>
                <w:color w:val="auto"/>
                <w:highlight w:val="none"/>
              </w:rPr>
              <w:t>法定代表人身份证扫描件（正、反面）</w:t>
            </w:r>
          </w:p>
        </w:tc>
      </w:tr>
    </w:tbl>
    <w:p w14:paraId="433572AA">
      <w:pPr>
        <w:spacing w:line="500" w:lineRule="exact"/>
        <w:ind w:firstLine="422" w:firstLineChars="200"/>
        <w:jc w:val="center"/>
        <w:rPr>
          <w:rFonts w:ascii="宋体" w:hAnsi="宋体"/>
          <w:b/>
          <w:color w:val="auto"/>
          <w:szCs w:val="21"/>
          <w:highlight w:val="none"/>
        </w:rPr>
        <w:sectPr>
          <w:pgSz w:w="11906" w:h="16838"/>
          <w:pgMar w:top="1440" w:right="1080" w:bottom="1440" w:left="1080" w:header="851" w:footer="992" w:gutter="0"/>
          <w:pgNumType w:fmt="decimal"/>
          <w:cols w:space="720" w:num="1"/>
          <w:docGrid w:type="lines" w:linePitch="312" w:charSpace="0"/>
        </w:sectPr>
      </w:pPr>
    </w:p>
    <w:p w14:paraId="5685BB06">
      <w:pPr>
        <w:spacing w:afterLines="100" w:line="500" w:lineRule="exact"/>
        <w:jc w:val="center"/>
        <w:rPr>
          <w:rFonts w:ascii="宋体" w:hAnsi="宋体" w:cs="宋体"/>
          <w:b/>
          <w:color w:val="auto"/>
          <w:sz w:val="28"/>
          <w:szCs w:val="28"/>
          <w:highlight w:val="none"/>
        </w:rPr>
      </w:pPr>
      <w:r>
        <w:rPr>
          <w:rFonts w:hint="eastAsia" w:ascii="宋体" w:hAnsi="宋体" w:cs="宋体"/>
          <w:b/>
          <w:bCs/>
          <w:color w:val="auto"/>
          <w:kern w:val="0"/>
          <w:sz w:val="28"/>
          <w:szCs w:val="28"/>
          <w:highlight w:val="none"/>
        </w:rPr>
        <w:t>（二）授权委托书</w:t>
      </w:r>
    </w:p>
    <w:p w14:paraId="5717E7C6">
      <w:pPr>
        <w:spacing w:line="460" w:lineRule="exact"/>
        <w:ind w:firstLine="480" w:firstLineChars="200"/>
        <w:rPr>
          <w:rFonts w:ascii="宋体" w:hAnsi="宋体" w:cs="宋体"/>
          <w:b/>
          <w:bCs/>
          <w:color w:val="auto"/>
          <w:sz w:val="24"/>
          <w:highlight w:val="none"/>
          <w:u w:val="single"/>
        </w:rPr>
      </w:pPr>
      <w:r>
        <w:rPr>
          <w:rFonts w:hint="eastAsia" w:ascii="宋体" w:hAnsi="宋体" w:cs="宋体"/>
          <w:color w:val="auto"/>
          <w:sz w:val="24"/>
          <w:highlight w:val="none"/>
        </w:rPr>
        <w:t>本授权委托书声明我</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姓名</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系</w:t>
      </w:r>
      <w:r>
        <w:rPr>
          <w:rFonts w:hint="eastAsia" w:ascii="宋体" w:hAnsi="宋体" w:cs="宋体"/>
          <w:color w:val="auto"/>
          <w:sz w:val="24"/>
          <w:highlight w:val="none"/>
          <w:u w:val="single"/>
        </w:rPr>
        <w:t>(投标人名称)</w:t>
      </w:r>
      <w:r>
        <w:rPr>
          <w:rFonts w:hint="eastAsia" w:ascii="宋体" w:hAnsi="宋体" w:cs="宋体"/>
          <w:color w:val="auto"/>
          <w:sz w:val="24"/>
          <w:highlight w:val="none"/>
        </w:rPr>
        <w:t>的法定代表人，现授权委托我单位</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为我公司代理人。代理人</w:t>
      </w:r>
      <w:r>
        <w:rPr>
          <w:rFonts w:hint="eastAsia" w:ascii="宋体" w:hAnsi="宋体" w:cs="宋体"/>
          <w:color w:val="auto"/>
          <w:sz w:val="24"/>
          <w:highlight w:val="none"/>
          <w:lang w:val="en-US" w:eastAsia="zh-CN"/>
        </w:rPr>
        <w:t>根据授权，以我方名义签署、澄清、说明、补正、递交、撤回、修改</w:t>
      </w:r>
      <w:r>
        <w:rPr>
          <w:rFonts w:hint="eastAsia" w:ascii="宋体" w:hAnsi="宋体" w:cs="宋体"/>
          <w:color w:val="auto"/>
          <w:sz w:val="24"/>
          <w:highlight w:val="none"/>
          <w:u w:val="single"/>
        </w:rPr>
        <w:t>（项目名称）（招标编号）</w:t>
      </w:r>
      <w:r>
        <w:rPr>
          <w:rFonts w:hint="eastAsia" w:ascii="宋体" w:hAnsi="宋体" w:cs="宋体"/>
          <w:color w:val="auto"/>
          <w:sz w:val="24"/>
          <w:highlight w:val="none"/>
          <w:lang w:eastAsia="zh-CN"/>
        </w:rPr>
        <w:t>的</w:t>
      </w:r>
      <w:r>
        <w:rPr>
          <w:rFonts w:hint="eastAsia" w:ascii="宋体" w:hAnsi="宋体" w:cs="宋体"/>
          <w:color w:val="auto"/>
          <w:sz w:val="24"/>
          <w:highlight w:val="none"/>
          <w:lang w:val="en-US" w:eastAsia="zh-CN"/>
        </w:rPr>
        <w:t>投标文件，以及</w:t>
      </w:r>
      <w:r>
        <w:rPr>
          <w:rFonts w:hint="eastAsia" w:ascii="宋体" w:hAnsi="宋体" w:cs="宋体"/>
          <w:color w:val="auto"/>
          <w:sz w:val="24"/>
          <w:highlight w:val="none"/>
        </w:rPr>
        <w:t>在开标、评标过程中所签署的一切文件和处理与之有关的一切事务，我均予以承认。</w:t>
      </w:r>
    </w:p>
    <w:p w14:paraId="643E40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年龄：</w:t>
      </w:r>
      <w:r>
        <w:rPr>
          <w:rFonts w:hint="eastAsia" w:ascii="宋体" w:hAnsi="宋体" w:eastAsia="宋体" w:cs="宋体"/>
          <w:color w:val="auto"/>
          <w:sz w:val="24"/>
          <w:szCs w:val="24"/>
          <w:highlight w:val="none"/>
          <w:u w:val="single"/>
        </w:rPr>
        <w:t xml:space="preserve">          </w:t>
      </w:r>
    </w:p>
    <w:p w14:paraId="7DF1F0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部  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p>
    <w:p w14:paraId="415D636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zh-CN"/>
        </w:rPr>
        <w:t>委托期限</w:t>
      </w:r>
      <w:r>
        <w:rPr>
          <w:rFonts w:hint="eastAsia" w:ascii="宋体" w:hAnsi="宋体" w:cs="宋体"/>
          <w:color w:val="auto"/>
          <w:sz w:val="24"/>
          <w:szCs w:val="24"/>
          <w:highlight w:val="none"/>
        </w:rPr>
        <w:t>：自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zh-CN"/>
        </w:rPr>
        <w:t>。</w:t>
      </w:r>
    </w:p>
    <w:p w14:paraId="04F1EF6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代理人无转委权。特此委托。</w:t>
      </w:r>
    </w:p>
    <w:p w14:paraId="6E5090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p>
    <w:p w14:paraId="51BB41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投标人（加盖电子公章）：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2C285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rPr>
        <w:t>签字或电子签名或电子签章</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6866EC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授权代理人（</w:t>
      </w:r>
      <w:r>
        <w:rPr>
          <w:rFonts w:hint="eastAsia" w:ascii="宋体" w:hAnsi="宋体" w:cs="宋体"/>
          <w:color w:val="auto"/>
          <w:sz w:val="24"/>
          <w:szCs w:val="24"/>
          <w:highlight w:val="none"/>
          <w:lang w:val="en-US" w:eastAsia="zh-CN"/>
        </w:rPr>
        <w:t>签字</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p>
    <w:p w14:paraId="1AED8BE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u w:val="single"/>
          <w:lang w:val="en-US" w:eastAsia="zh-CN"/>
        </w:rPr>
        <w:t xml:space="preserve">                                             </w:t>
      </w:r>
    </w:p>
    <w:p w14:paraId="71C21B3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44EC5D6">
      <w:pPr>
        <w:spacing w:line="460" w:lineRule="exact"/>
        <w:ind w:firstLine="3840" w:firstLineChars="1600"/>
        <w:rPr>
          <w:rFonts w:ascii="宋体" w:hAnsi="宋体" w:cs="宋体"/>
          <w:color w:val="auto"/>
          <w:sz w:val="24"/>
          <w:highlight w:val="none"/>
        </w:rPr>
      </w:pPr>
    </w:p>
    <w:p w14:paraId="023179FA">
      <w:pPr>
        <w:pStyle w:val="22"/>
        <w:ind w:firstLine="480"/>
        <w:rPr>
          <w:color w:val="auto"/>
          <w:sz w:val="24"/>
          <w:szCs w:val="24"/>
          <w:highlight w:val="none"/>
        </w:rPr>
      </w:pPr>
    </w:p>
    <w:p w14:paraId="7F998766">
      <w:pPr>
        <w:rPr>
          <w:rFonts w:ascii="宋体" w:hAnsi="宋体"/>
          <w:b/>
          <w:bCs/>
          <w:color w:val="auto"/>
          <w:sz w:val="24"/>
          <w:highlight w:val="none"/>
        </w:rPr>
      </w:pPr>
      <w:r>
        <w:rPr>
          <w:rFonts w:hint="eastAsia" w:ascii="宋体" w:hAnsi="宋体"/>
          <w:b/>
          <w:bCs/>
          <w:color w:val="auto"/>
          <w:sz w:val="24"/>
          <w:highlight w:val="none"/>
        </w:rPr>
        <w:t>附：授权代理人身份证扫描件或复印件</w:t>
      </w:r>
    </w:p>
    <w:tbl>
      <w:tblPr>
        <w:tblStyle w:val="23"/>
        <w:tblW w:w="9936"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9936"/>
      </w:tblGrid>
      <w:tr w14:paraId="3FAC0811">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805" w:hRule="atLeast"/>
          <w:jc w:val="center"/>
        </w:trPr>
        <w:tc>
          <w:tcPr>
            <w:tcW w:w="9936" w:type="dxa"/>
            <w:noWrap/>
            <w:vAlign w:val="center"/>
          </w:tcPr>
          <w:p w14:paraId="07A5E1D7">
            <w:pPr>
              <w:pStyle w:val="18"/>
              <w:spacing w:line="360" w:lineRule="exact"/>
              <w:jc w:val="center"/>
              <w:rPr>
                <w:rFonts w:ascii="宋体" w:hAnsi="宋体"/>
                <w:color w:val="auto"/>
                <w:highlight w:val="none"/>
              </w:rPr>
            </w:pPr>
            <w:r>
              <w:rPr>
                <w:rFonts w:hint="eastAsia" w:ascii="宋体" w:hAnsi="宋体"/>
                <w:color w:val="auto"/>
                <w:highlight w:val="none"/>
              </w:rPr>
              <w:t>授权代理人身份证扫描件（正、反面）</w:t>
            </w:r>
          </w:p>
        </w:tc>
      </w:tr>
    </w:tbl>
    <w:p w14:paraId="54DCE8F2">
      <w:pPr>
        <w:spacing w:line="460" w:lineRule="exact"/>
        <w:ind w:firstLine="540" w:firstLineChars="224"/>
        <w:jc w:val="left"/>
        <w:rPr>
          <w:rFonts w:ascii="宋体" w:hAnsi="宋体" w:cs="宋体"/>
          <w:b/>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color w:val="auto"/>
          <w:sz w:val="24"/>
          <w:highlight w:val="none"/>
        </w:rPr>
        <w:t>注：如投标人由法定代表人亲自签署投标文件并参与相关活动，则不需要办理授权。如由被授权的代理人签署上述文件，则必须按本格式规定填报并提交授权书，否则被授权的代理人将不被认可。</w:t>
      </w:r>
    </w:p>
    <w:p w14:paraId="1A176EB1">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三</w:t>
      </w:r>
      <w:r>
        <w:rPr>
          <w:rFonts w:hint="eastAsia" w:ascii="宋体" w:hAnsi="宋体" w:cs="宋体"/>
          <w:b/>
          <w:bCs/>
          <w:color w:val="auto"/>
          <w:kern w:val="0"/>
          <w:sz w:val="30"/>
          <w:szCs w:val="30"/>
          <w:highlight w:val="none"/>
        </w:rPr>
        <w:t>、投标保证金缴纳凭证</w:t>
      </w:r>
    </w:p>
    <w:p w14:paraId="7ACBC932">
      <w:pPr>
        <w:pStyle w:val="9"/>
        <w:rPr>
          <w:color w:val="auto"/>
          <w:highlight w:val="none"/>
        </w:rPr>
      </w:pPr>
    </w:p>
    <w:p w14:paraId="40C0E135">
      <w:pPr>
        <w:spacing w:line="46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p>
    <w:p w14:paraId="749B63AA">
      <w:pPr>
        <w:spacing w:line="460" w:lineRule="exact"/>
        <w:rPr>
          <w:rFonts w:ascii="宋体" w:hAnsi="宋体" w:cs="宋体"/>
          <w:color w:val="auto"/>
          <w:sz w:val="24"/>
          <w:highlight w:val="none"/>
        </w:rPr>
      </w:pPr>
      <w:r>
        <w:rPr>
          <w:rFonts w:hint="eastAsia" w:ascii="宋体" w:hAnsi="宋体" w:cs="宋体"/>
          <w:color w:val="auto"/>
          <w:sz w:val="24"/>
          <w:highlight w:val="none"/>
          <w:u w:val="single"/>
        </w:rPr>
        <w:t>（投标人全称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参加贵方组织的</w:t>
      </w:r>
      <w:r>
        <w:rPr>
          <w:rFonts w:hint="eastAsia" w:ascii="宋体" w:hAnsi="宋体" w:cs="宋体"/>
          <w:color w:val="auto"/>
          <w:sz w:val="24"/>
          <w:highlight w:val="none"/>
          <w:u w:val="single"/>
        </w:rPr>
        <w:t xml:space="preserve"> （项目名称）（招标编号） </w:t>
      </w:r>
      <w:r>
        <w:rPr>
          <w:rFonts w:hint="eastAsia" w:ascii="宋体" w:hAnsi="宋体" w:cs="宋体"/>
          <w:color w:val="auto"/>
          <w:sz w:val="24"/>
          <w:highlight w:val="none"/>
        </w:rPr>
        <w:t>项目的采购活动。按招标文件的规定，已通过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形式</w:t>
      </w:r>
      <w:r>
        <w:rPr>
          <w:rFonts w:hint="eastAsia" w:ascii="宋体" w:hAnsi="宋体" w:cs="宋体"/>
          <w:color w:val="auto"/>
          <w:sz w:val="24"/>
          <w:highlight w:val="none"/>
          <w:lang w:eastAsia="zh-CN"/>
        </w:rPr>
        <w:t>缴纳</w:t>
      </w:r>
      <w:r>
        <w:rPr>
          <w:rFonts w:hint="eastAsia" w:ascii="宋体" w:hAnsi="宋体" w:cs="宋体"/>
          <w:color w:val="auto"/>
          <w:sz w:val="24"/>
          <w:highlight w:val="none"/>
        </w:rPr>
        <w:t>人民币</w:t>
      </w:r>
      <w:r>
        <w:rPr>
          <w:rFonts w:hint="eastAsia" w:ascii="宋体" w:hAnsi="宋体" w:cs="宋体"/>
          <w:color w:val="auto"/>
          <w:sz w:val="24"/>
          <w:highlight w:val="none"/>
          <w:u w:val="single"/>
        </w:rPr>
        <w:t xml:space="preserve"> （小写）（大写） </w:t>
      </w:r>
      <w:r>
        <w:rPr>
          <w:rFonts w:hint="eastAsia" w:ascii="宋体" w:hAnsi="宋体" w:cs="宋体"/>
          <w:color w:val="auto"/>
          <w:sz w:val="24"/>
          <w:highlight w:val="none"/>
        </w:rPr>
        <w:t>元的投标保证金。</w:t>
      </w:r>
    </w:p>
    <w:p w14:paraId="25D46EA0">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p>
    <w:p w14:paraId="6F770AD9">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投标人开户银行：</w:t>
      </w:r>
      <w:r>
        <w:rPr>
          <w:rFonts w:hint="eastAsia" w:ascii="宋体" w:hAnsi="宋体" w:eastAsia="宋体" w:cs="宋体"/>
          <w:color w:val="auto"/>
          <w:sz w:val="24"/>
          <w:szCs w:val="24"/>
          <w:highlight w:val="none"/>
          <w:u w:val="single"/>
        </w:rPr>
        <w:t xml:space="preserve">                          </w:t>
      </w:r>
    </w:p>
    <w:p w14:paraId="075C4137">
      <w:pPr>
        <w:keepNext w:val="0"/>
        <w:keepLines w:val="0"/>
        <w:pageBreakBefore w:val="0"/>
        <w:widowControl w:val="0"/>
        <w:kinsoku/>
        <w:wordWrap/>
        <w:overflowPunct/>
        <w:topLinePunct w:val="0"/>
        <w:bidi w:val="0"/>
        <w:snapToGrid/>
        <w:spacing w:line="460" w:lineRule="exact"/>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投标人银行账号：</w:t>
      </w:r>
      <w:r>
        <w:rPr>
          <w:rFonts w:hint="eastAsia" w:ascii="宋体" w:hAnsi="宋体" w:eastAsia="宋体" w:cs="宋体"/>
          <w:color w:val="auto"/>
          <w:sz w:val="24"/>
          <w:szCs w:val="24"/>
          <w:highlight w:val="none"/>
          <w:u w:val="single"/>
        </w:rPr>
        <w:t xml:space="preserve">                          </w:t>
      </w:r>
    </w:p>
    <w:p w14:paraId="18F8E6BC">
      <w:pPr>
        <w:keepNext w:val="0"/>
        <w:keepLines w:val="0"/>
        <w:pageBreakBefore w:val="0"/>
        <w:widowControl w:val="0"/>
        <w:kinsoku/>
        <w:wordWrap/>
        <w:overflowPunct/>
        <w:topLinePunct w:val="0"/>
        <w:bidi w:val="0"/>
        <w:snapToGrid/>
        <w:spacing w:line="460" w:lineRule="exact"/>
        <w:textAlignment w:val="auto"/>
        <w:outlineLvl w:val="9"/>
        <w:rPr>
          <w:rFonts w:hint="eastAsia" w:ascii="宋体" w:hAnsi="宋体" w:eastAsia="宋体" w:cs="宋体"/>
          <w:color w:val="auto"/>
          <w:sz w:val="24"/>
          <w:szCs w:val="24"/>
          <w:highlight w:val="none"/>
        </w:rPr>
      </w:pPr>
    </w:p>
    <w:p w14:paraId="32DBF2B6">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投标人（加盖电子公章）：</w:t>
      </w:r>
      <w:r>
        <w:rPr>
          <w:rFonts w:hint="eastAsia" w:ascii="宋体" w:hAnsi="宋体" w:eastAsia="宋体" w:cs="宋体"/>
          <w:color w:val="auto"/>
          <w:sz w:val="24"/>
          <w:szCs w:val="24"/>
          <w:highlight w:val="none"/>
          <w:u w:val="single"/>
        </w:rPr>
        <w:t xml:space="preserve">                   </w:t>
      </w:r>
    </w:p>
    <w:p w14:paraId="06ABA056">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法定代表人或授权代理人（</w:t>
      </w:r>
      <w:r>
        <w:rPr>
          <w:rFonts w:hint="eastAsia" w:ascii="宋体" w:hAnsi="宋体" w:cs="宋体"/>
          <w:color w:val="auto"/>
          <w:sz w:val="24"/>
          <w:szCs w:val="24"/>
          <w:highlight w:val="none"/>
        </w:rPr>
        <w:t>签字或电子签名或电子签章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77766A3">
      <w:pPr>
        <w:keepNext w:val="0"/>
        <w:keepLines w:val="0"/>
        <w:pageBreakBefore w:val="0"/>
        <w:widowControl w:val="0"/>
        <w:kinsoku/>
        <w:wordWrap/>
        <w:overflowPunct/>
        <w:topLinePunct w:val="0"/>
        <w:bidi w:val="0"/>
        <w:adjustRightInd w:val="0"/>
        <w:snapToGrid/>
        <w:spacing w:line="460" w:lineRule="exact"/>
        <w:ind w:firstLine="960" w:firstLineChars="4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BD44824">
      <w:pPr>
        <w:spacing w:line="460" w:lineRule="exact"/>
        <w:rPr>
          <w:rFonts w:ascii="宋体" w:hAnsi="宋体" w:cs="宋体"/>
          <w:color w:val="auto"/>
          <w:sz w:val="24"/>
          <w:highlight w:val="none"/>
        </w:rPr>
      </w:pPr>
    </w:p>
    <w:p w14:paraId="683D713B">
      <w:pPr>
        <w:pStyle w:val="22"/>
        <w:spacing w:line="460" w:lineRule="exact"/>
        <w:ind w:firstLine="480"/>
        <w:rPr>
          <w:rFonts w:ascii="宋体" w:hAnsi="宋体" w:eastAsia="宋体" w:cs="宋体"/>
          <w:color w:val="auto"/>
          <w:sz w:val="24"/>
          <w:szCs w:val="24"/>
          <w:highlight w:val="none"/>
        </w:rPr>
      </w:pPr>
    </w:p>
    <w:p w14:paraId="63FC869C">
      <w:pPr>
        <w:pStyle w:val="5"/>
        <w:ind w:firstLine="0" w:firstLineChars="0"/>
        <w:jc w:val="both"/>
        <w:rPr>
          <w:rFonts w:ascii="宋体" w:hAnsi="宋体" w:cs="宋体"/>
          <w:b w:val="0"/>
          <w:bCs w:val="0"/>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b w:val="0"/>
          <w:bCs w:val="0"/>
          <w:color w:val="auto"/>
          <w:sz w:val="24"/>
          <w:highlight w:val="none"/>
          <w:lang w:val="en-US" w:eastAsia="zh-CN"/>
        </w:rPr>
        <w:t>注</w:t>
      </w:r>
      <w:r>
        <w:rPr>
          <w:rFonts w:hint="eastAsia" w:ascii="宋体" w:hAnsi="宋体" w:cs="宋体"/>
          <w:b w:val="0"/>
          <w:bCs w:val="0"/>
          <w:color w:val="auto"/>
          <w:sz w:val="24"/>
          <w:highlight w:val="none"/>
        </w:rPr>
        <w:t>：附投标保证金缴纳凭证的彩色扫描件或彩色复印件或彩色打印件。</w:t>
      </w:r>
    </w:p>
    <w:p w14:paraId="43F7F0A6">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四</w:t>
      </w:r>
      <w:r>
        <w:rPr>
          <w:rFonts w:hint="eastAsia" w:ascii="宋体" w:hAnsi="宋体" w:cs="宋体"/>
          <w:b/>
          <w:bCs/>
          <w:color w:val="auto"/>
          <w:kern w:val="0"/>
          <w:sz w:val="30"/>
          <w:szCs w:val="30"/>
          <w:highlight w:val="none"/>
        </w:rPr>
        <w:t>、投标承诺书</w:t>
      </w:r>
    </w:p>
    <w:p w14:paraId="59B6B3A4">
      <w:pPr>
        <w:pStyle w:val="5"/>
        <w:ind w:firstLine="0" w:firstLineChars="0"/>
        <w:jc w:val="center"/>
        <w:rPr>
          <w:rFonts w:ascii="宋体" w:hAnsi="宋体" w:cs="宋体"/>
          <w:b/>
          <w:bCs/>
          <w:color w:val="auto"/>
          <w:sz w:val="24"/>
          <w:highlight w:val="none"/>
        </w:rPr>
      </w:pPr>
    </w:p>
    <w:p w14:paraId="01761153">
      <w:pPr>
        <w:spacing w:line="500" w:lineRule="exact"/>
        <w:rPr>
          <w:color w:val="auto"/>
          <w:sz w:val="24"/>
          <w:highlight w:val="none"/>
          <w:u w:val="single"/>
        </w:rPr>
      </w:pPr>
      <w:r>
        <w:rPr>
          <w:rFonts w:hint="eastAsia"/>
          <w:color w:val="auto"/>
          <w:sz w:val="24"/>
          <w:highlight w:val="none"/>
        </w:rPr>
        <w:t>致：</w:t>
      </w:r>
      <w:r>
        <w:rPr>
          <w:rFonts w:hint="eastAsia" w:asciiTheme="minorEastAsia" w:hAnsiTheme="minorEastAsia" w:eastAsiaTheme="minorEastAsia" w:cstheme="minorEastAsia"/>
          <w:color w:val="auto"/>
          <w:sz w:val="24"/>
          <w:highlight w:val="none"/>
          <w:u w:val="single"/>
        </w:rPr>
        <w:t xml:space="preserve">       （采购人名称）       </w:t>
      </w:r>
    </w:p>
    <w:p w14:paraId="2297CBDC">
      <w:pPr>
        <w:spacing w:line="48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我方认真阅读了</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的招标文件，我方知道在采购活动中必须按照法律法规和招标文件的规定参与投标，如违反将会导致</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无效、保证金不能退还和其他违法后果。在此，我方郑重承诺，我方遵守政府采购法律法规的规定，愿意接受招标文件的所有条款规定参与上述项目的投标，不围标，不串通投标，提供的所有投标资料真实有效，采购人有权对提供的投标资料进行查询，一旦查出有弄虚作假或故意隐瞒行为，将取消投标资格，已经中标的中标无效，并承担一切法律责任和经济损失。</w:t>
      </w:r>
    </w:p>
    <w:p w14:paraId="3F2323AC">
      <w:pPr>
        <w:spacing w:line="480" w:lineRule="auto"/>
        <w:jc w:val="left"/>
        <w:rPr>
          <w:rFonts w:ascii="宋体" w:hAnsi="宋体" w:cs="宋体"/>
          <w:color w:val="auto"/>
          <w:sz w:val="24"/>
          <w:highlight w:val="none"/>
        </w:rPr>
      </w:pPr>
      <w:r>
        <w:rPr>
          <w:rFonts w:hint="eastAsia" w:ascii="宋体" w:hAnsi="宋体" w:cs="宋体"/>
          <w:color w:val="auto"/>
          <w:sz w:val="24"/>
          <w:highlight w:val="none"/>
        </w:rPr>
        <w:t xml:space="preserve">     特此承诺！</w:t>
      </w:r>
    </w:p>
    <w:p w14:paraId="27DA275D">
      <w:pPr>
        <w:spacing w:line="480" w:lineRule="auto"/>
        <w:rPr>
          <w:rFonts w:ascii="宋体" w:hAnsi="宋体" w:cs="宋体"/>
          <w:color w:val="auto"/>
          <w:sz w:val="24"/>
          <w:highlight w:val="none"/>
        </w:rPr>
      </w:pPr>
    </w:p>
    <w:p w14:paraId="073D28EC">
      <w:pPr>
        <w:pStyle w:val="22"/>
        <w:ind w:firstLine="480"/>
        <w:rPr>
          <w:color w:val="auto"/>
          <w:sz w:val="24"/>
          <w:szCs w:val="24"/>
          <w:highlight w:val="none"/>
        </w:rPr>
      </w:pPr>
    </w:p>
    <w:p w14:paraId="00D61812">
      <w:pPr>
        <w:snapToGrid w:val="0"/>
        <w:spacing w:line="480" w:lineRule="auto"/>
        <w:jc w:val="right"/>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56C8EF18">
      <w:pPr>
        <w:snapToGrid w:val="0"/>
        <w:spacing w:line="48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法定代表人或其委托代理人：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（签字或电子签名或电子签章）</w:t>
      </w:r>
    </w:p>
    <w:p w14:paraId="172CE8E2">
      <w:pPr>
        <w:spacing w:line="360" w:lineRule="auto"/>
        <w:jc w:val="center"/>
        <w:outlineLvl w:val="1"/>
        <w:rPr>
          <w:rFonts w:hint="eastAsia" w:ascii="宋体" w:hAnsi="宋体" w:cs="宋体"/>
          <w:b w:val="0"/>
          <w:bCs/>
          <w:color w:val="auto"/>
          <w:kern w:val="0"/>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b w:val="0"/>
          <w:bCs/>
          <w:color w:val="auto"/>
          <w:kern w:val="0"/>
          <w:sz w:val="24"/>
          <w:szCs w:val="24"/>
          <w:highlight w:val="none"/>
        </w:rPr>
        <w:t>年____月____日</w:t>
      </w:r>
    </w:p>
    <w:p w14:paraId="3FD328E7">
      <w:pPr>
        <w:pStyle w:val="5"/>
        <w:ind w:firstLine="0" w:firstLineChars="0"/>
        <w:jc w:val="center"/>
        <w:rPr>
          <w:rFonts w:ascii="宋体" w:hAnsi="宋体" w:cs="宋体"/>
          <w:b/>
          <w:bCs/>
          <w:color w:val="auto"/>
          <w:kern w:val="0"/>
          <w:sz w:val="28"/>
          <w:szCs w:val="28"/>
          <w:highlight w:val="none"/>
        </w:rPr>
      </w:pPr>
      <w:r>
        <w:rPr>
          <w:rFonts w:hint="eastAsia" w:ascii="宋体" w:hAnsi="宋体" w:cs="宋体"/>
          <w:b/>
          <w:bCs/>
          <w:color w:val="auto"/>
          <w:kern w:val="0"/>
          <w:sz w:val="30"/>
          <w:szCs w:val="30"/>
          <w:highlight w:val="none"/>
          <w:lang w:val="en-US" w:eastAsia="zh-CN"/>
        </w:rPr>
        <w:t>五</w:t>
      </w:r>
      <w:r>
        <w:rPr>
          <w:rFonts w:hint="eastAsia" w:ascii="宋体" w:hAnsi="宋体" w:cs="宋体"/>
          <w:b/>
          <w:bCs/>
          <w:color w:val="auto"/>
          <w:kern w:val="0"/>
          <w:sz w:val="30"/>
          <w:szCs w:val="30"/>
          <w:highlight w:val="none"/>
        </w:rPr>
        <w:t>、廉洁承诺书</w:t>
      </w:r>
    </w:p>
    <w:p w14:paraId="0A5D3539">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致（采购人名称）：</w:t>
      </w:r>
      <w:r>
        <w:rPr>
          <w:rFonts w:hint="eastAsia" w:ascii="宋体" w:hAnsi="宋体" w:eastAsia="宋体" w:cs="宋体"/>
          <w:color w:val="auto"/>
          <w:sz w:val="24"/>
          <w:szCs w:val="24"/>
          <w:highlight w:val="none"/>
          <w:u w:val="single"/>
        </w:rPr>
        <w:t xml:space="preserve">              </w:t>
      </w:r>
    </w:p>
    <w:p w14:paraId="565382B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本公司为更好</w:t>
      </w:r>
      <w:r>
        <w:rPr>
          <w:rFonts w:hint="eastAsia" w:ascii="宋体" w:hAnsi="宋体" w:cs="宋体"/>
          <w:color w:val="auto"/>
          <w:sz w:val="24"/>
          <w:highlight w:val="none"/>
          <w:lang w:eastAsia="zh-CN"/>
        </w:rPr>
        <w:t>地</w:t>
      </w:r>
      <w:r>
        <w:rPr>
          <w:rFonts w:hint="eastAsia" w:ascii="宋体" w:hAnsi="宋体" w:cs="宋体"/>
          <w:color w:val="auto"/>
          <w:sz w:val="24"/>
          <w:highlight w:val="none"/>
        </w:rPr>
        <w:t>提供优质服务，有效地预防违法、违规、违纪行为的发生，全面落实公开、公平、公正原则，本公司郑重作出廉洁承诺。</w:t>
      </w:r>
    </w:p>
    <w:p w14:paraId="3B2AAB72">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1.在采购代理过程中不利用行贿、欺骗、弄虚作假等不正当手段进行投标。</w:t>
      </w:r>
    </w:p>
    <w:p w14:paraId="2A5A0EF7">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2.严格按照国家法律、法规及行业规章履行自己的职责，不与任何第三方串通进行 虚假采购、陪标、围标、串标等活动；与采购人进行的各项业务始终将严格按照中华人民共和国现行的法律、法规、规章的规定，履行自己的职责。</w:t>
      </w:r>
    </w:p>
    <w:p w14:paraId="58D9E722">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3.不向贵单位领导、办事人员及其亲属进行回扣、礼金、有价证券、贵重物品及其 他任何行贿行为，包括未来利益。</w:t>
      </w:r>
    </w:p>
    <w:p w14:paraId="22C10FA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4.严格按照《中华人民共和国招标投标法》、《中华人民共和国政府采购法》等相 关法律、法规约束、规范</w:t>
      </w:r>
      <w:r>
        <w:rPr>
          <w:rFonts w:hint="eastAsia" w:ascii="宋体" w:hAnsi="宋体" w:cs="宋体"/>
          <w:color w:val="auto"/>
          <w:sz w:val="24"/>
          <w:highlight w:val="none"/>
          <w:lang w:eastAsia="zh-CN"/>
        </w:rPr>
        <w:t>自己</w:t>
      </w:r>
      <w:r>
        <w:rPr>
          <w:rFonts w:hint="eastAsia" w:ascii="宋体" w:hAnsi="宋体" w:cs="宋体"/>
          <w:color w:val="auto"/>
          <w:sz w:val="24"/>
          <w:highlight w:val="none"/>
        </w:rPr>
        <w:t>行为。</w:t>
      </w:r>
    </w:p>
    <w:p w14:paraId="59D67331">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5.在履行自己职责时，与各关系人之间，严格按照国家相关法律法规规定规范本公 司人员的行为。</w:t>
      </w:r>
    </w:p>
    <w:p w14:paraId="38865C58">
      <w:pPr>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本公司若有违反上述任何承诺条款</w:t>
      </w:r>
      <w:r>
        <w:rPr>
          <w:rFonts w:hint="eastAsia" w:ascii="宋体" w:hAnsi="宋体" w:cs="宋体"/>
          <w:color w:val="auto"/>
          <w:sz w:val="24"/>
          <w:highlight w:val="none"/>
          <w:lang w:eastAsia="zh-CN"/>
        </w:rPr>
        <w:t>（</w:t>
      </w:r>
      <w:r>
        <w:rPr>
          <w:rFonts w:hint="eastAsia" w:ascii="宋体" w:hAnsi="宋体" w:cs="宋体"/>
          <w:color w:val="auto"/>
          <w:sz w:val="24"/>
          <w:highlight w:val="none"/>
        </w:rPr>
        <w:t>情形</w:t>
      </w:r>
      <w:r>
        <w:rPr>
          <w:rFonts w:hint="eastAsia" w:ascii="宋体" w:hAnsi="宋体" w:cs="宋体"/>
          <w:color w:val="auto"/>
          <w:sz w:val="24"/>
          <w:highlight w:val="none"/>
          <w:lang w:eastAsia="zh-CN"/>
        </w:rPr>
        <w:t>）</w:t>
      </w:r>
      <w:r>
        <w:rPr>
          <w:rFonts w:hint="eastAsia" w:ascii="宋体" w:hAnsi="宋体" w:cs="宋体"/>
          <w:color w:val="auto"/>
          <w:sz w:val="24"/>
          <w:highlight w:val="none"/>
        </w:rPr>
        <w:t>之一，经查证属实后，完全愿意接受党纪 政纪部门、政府主管部门、行业组织等依法依规进行的任何处罚与处分，并承担采购人 或相关部门在网络上公开我公司“不诚信或不廉洁”信息所造成的一切后果；若构成违 约，向采购人承担全部违约责任；若造成财产损失，承担全部赔偿责任；若触犯刑律， 承担刑事责任。</w:t>
      </w:r>
    </w:p>
    <w:p w14:paraId="5D3C5054">
      <w:pPr>
        <w:spacing w:line="301" w:lineRule="auto"/>
        <w:rPr>
          <w:rFonts w:ascii="Arial"/>
          <w:color w:val="auto"/>
          <w:highlight w:val="none"/>
        </w:rPr>
      </w:pPr>
    </w:p>
    <w:p w14:paraId="605DF5DE">
      <w:pPr>
        <w:spacing w:line="302" w:lineRule="auto"/>
        <w:rPr>
          <w:rFonts w:ascii="Arial"/>
          <w:color w:val="auto"/>
          <w:highlight w:val="none"/>
        </w:rPr>
      </w:pPr>
    </w:p>
    <w:p w14:paraId="778DF74F">
      <w:pPr>
        <w:spacing w:line="302" w:lineRule="auto"/>
        <w:rPr>
          <w:rFonts w:ascii="Arial"/>
          <w:color w:val="auto"/>
          <w:highlight w:val="none"/>
        </w:rPr>
      </w:pPr>
    </w:p>
    <w:p w14:paraId="1106609C">
      <w:pPr>
        <w:snapToGrid w:val="0"/>
        <w:spacing w:line="480" w:lineRule="auto"/>
        <w:jc w:val="right"/>
        <w:rPr>
          <w:rFonts w:ascii="宋体" w:hAnsi="宋体" w:cs="宋体"/>
          <w:color w:val="auto"/>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（加盖电子公章）</w:t>
      </w:r>
    </w:p>
    <w:p w14:paraId="36A7A48A">
      <w:pPr>
        <w:snapToGrid w:val="0"/>
        <w:spacing w:line="48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（签字或电子签名或电子签章）</w:t>
      </w:r>
    </w:p>
    <w:p w14:paraId="1A345E85">
      <w:pPr>
        <w:spacing w:line="460" w:lineRule="exact"/>
        <w:ind w:firstLine="480" w:firstLineChars="200"/>
        <w:rPr>
          <w:rFonts w:hint="eastAsia" w:ascii="宋体" w:hAnsi="宋体" w:eastAsia="宋体" w:cs="宋体"/>
          <w:color w:val="auto"/>
          <w:sz w:val="24"/>
          <w:szCs w:val="24"/>
          <w:highlight w:val="none"/>
        </w:rPr>
      </w:pPr>
    </w:p>
    <w:p w14:paraId="5CA89D61">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firstLine="480" w:firstLineChars="200"/>
        <w:jc w:val="both"/>
        <w:textAlignment w:val="auto"/>
        <w:outlineLvl w:val="9"/>
        <w:rPr>
          <w:rFonts w:hint="eastAsia" w:ascii="宋体" w:hAnsi="宋体" w:cs="宋体"/>
          <w:color w:val="auto"/>
          <w:sz w:val="24"/>
          <w:szCs w:val="24"/>
          <w:highlight w:val="none"/>
          <w:lang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w:t>
      </w:r>
      <w:r>
        <w:rPr>
          <w:rFonts w:hint="eastAsia" w:ascii="宋体" w:hAnsi="宋体" w:cs="宋体"/>
          <w:color w:val="auto"/>
          <w:sz w:val="24"/>
          <w:szCs w:val="24"/>
          <w:highlight w:val="none"/>
          <w:lang w:eastAsia="zh-CN"/>
        </w:rPr>
        <w:t>日</w:t>
      </w:r>
    </w:p>
    <w:p w14:paraId="14C7583E">
      <w:pPr>
        <w:keepNext/>
        <w:keepLines/>
        <w:widowControl/>
        <w:autoSpaceDE w:val="0"/>
        <w:spacing w:line="360" w:lineRule="auto"/>
        <w:jc w:val="center"/>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六</w:t>
      </w:r>
      <w:r>
        <w:rPr>
          <w:rFonts w:hint="eastAsia" w:ascii="宋体" w:hAnsi="宋体" w:cs="宋体"/>
          <w:b/>
          <w:color w:val="auto"/>
          <w:sz w:val="30"/>
          <w:szCs w:val="30"/>
          <w:highlight w:val="none"/>
        </w:rPr>
        <w:t>、政府采购优惠政策及其他资料</w:t>
      </w:r>
    </w:p>
    <w:p w14:paraId="15D3FB86">
      <w:pPr>
        <w:keepNext/>
        <w:keepLines/>
        <w:widowControl/>
        <w:autoSpaceDE w:val="0"/>
        <w:spacing w:beforeLines="50"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（一）《中小企业声明函》（货物）</w:t>
      </w:r>
    </w:p>
    <w:p w14:paraId="610B2487">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本公司（联合体</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郑重声明，根据《政府采购促进中小企业发展管理办法》</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财库</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 xml:space="preserve"> 2020 </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46号</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的规定，本公司</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联合体</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参加</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单位名称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的</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项目名称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采购活动，提供的货物全部由符合政策要求的中小企业制造。相关企业</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含联合体中的中小企业、签订分包意向协议的中小企业</w:t>
      </w:r>
      <w:r>
        <w:rPr>
          <w:rFonts w:hint="eastAsia" w:ascii="宋体" w:hAnsi="宋体" w:cs="Arial Narrow"/>
          <w:color w:val="auto"/>
          <w:sz w:val="24"/>
          <w:highlight w:val="none"/>
          <w:shd w:val="clear" w:color="auto" w:fill="FFFFFF"/>
          <w:lang w:eastAsia="zh-CN"/>
        </w:rPr>
        <w:t>）</w:t>
      </w:r>
      <w:r>
        <w:rPr>
          <w:rFonts w:hint="eastAsia" w:ascii="宋体" w:hAnsi="宋体" w:cs="Arial Narrow"/>
          <w:color w:val="auto"/>
          <w:sz w:val="24"/>
          <w:highlight w:val="none"/>
          <w:shd w:val="clear" w:color="auto" w:fill="FFFFFF"/>
        </w:rPr>
        <w:t>的具体情况如下</w:t>
      </w:r>
      <w:r>
        <w:rPr>
          <w:rFonts w:hint="eastAsia" w:ascii="宋体" w:hAnsi="宋体" w:cs="Arial Narrow"/>
          <w:color w:val="auto"/>
          <w:sz w:val="24"/>
          <w:highlight w:val="none"/>
          <w:shd w:val="clear" w:color="auto" w:fill="FFFFFF"/>
          <w:lang w:eastAsia="zh-CN"/>
        </w:rPr>
        <w:t>：</w:t>
      </w:r>
    </w:p>
    <w:p w14:paraId="627DA135">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1.</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标的名称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，属于</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招标文件中明确的所属行业</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行业；制造商为</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企业名称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，从业人员人，营业收入为万元，资产总额为万元，属于</w:t>
      </w:r>
      <w:r>
        <w:rPr>
          <w:rFonts w:hint="eastAsia" w:ascii="宋体" w:hAnsi="宋体" w:cs="Arial Narrow"/>
          <w:color w:val="auto"/>
          <w:sz w:val="24"/>
          <w:highlight w:val="none"/>
          <w:u w:val="single"/>
          <w:shd w:val="clear" w:color="auto" w:fill="FFFFFF"/>
        </w:rPr>
        <w:t xml:space="preserve">   （中型企业、小型企业、微型企业）   </w:t>
      </w:r>
      <w:r>
        <w:rPr>
          <w:rFonts w:hint="eastAsia" w:ascii="宋体" w:hAnsi="宋体" w:cs="Arial Narrow"/>
          <w:color w:val="auto"/>
          <w:sz w:val="24"/>
          <w:highlight w:val="none"/>
          <w:shd w:val="clear" w:color="auto" w:fill="FFFFFF"/>
        </w:rPr>
        <w:t>；</w:t>
      </w:r>
    </w:p>
    <w:p w14:paraId="12158F82">
      <w:pPr>
        <w:spacing w:line="36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2.</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标的名称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，属于</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招标文件中明确的所属行业</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行业；制造商为</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企业名称</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，从业人员人，营业收入为万元，资产总额为万元，属于</w:t>
      </w:r>
      <w:r>
        <w:rPr>
          <w:rFonts w:hint="eastAsia" w:ascii="宋体" w:hAnsi="宋体" w:cs="Arial Narrow"/>
          <w:color w:val="auto"/>
          <w:sz w:val="24"/>
          <w:highlight w:val="none"/>
          <w:u w:val="single"/>
          <w:shd w:val="clear" w:color="auto" w:fill="FFFFFF"/>
        </w:rPr>
        <w:t xml:space="preserve">   （中型企业、小型企业、微型企业</w:t>
      </w:r>
      <w:r>
        <w:rPr>
          <w:rFonts w:hint="eastAsia" w:ascii="宋体" w:hAnsi="宋体" w:cs="Arial Narrow"/>
          <w:color w:val="auto"/>
          <w:sz w:val="24"/>
          <w:highlight w:val="none"/>
          <w:u w:val="single"/>
          <w:shd w:val="clear" w:color="auto" w:fill="FFFFFF"/>
          <w:lang w:eastAsia="zh-CN"/>
        </w:rPr>
        <w:t>）</w:t>
      </w:r>
      <w:r>
        <w:rPr>
          <w:rFonts w:hint="eastAsia" w:ascii="宋体" w:hAnsi="宋体" w:cs="Arial Narrow"/>
          <w:color w:val="auto"/>
          <w:sz w:val="24"/>
          <w:highlight w:val="none"/>
          <w:u w:val="single"/>
          <w:shd w:val="clear" w:color="auto" w:fill="FFFFFF"/>
        </w:rPr>
        <w:t xml:space="preserve">   </w:t>
      </w:r>
      <w:r>
        <w:rPr>
          <w:rFonts w:hint="eastAsia" w:ascii="宋体" w:hAnsi="宋体" w:cs="Arial Narrow"/>
          <w:color w:val="auto"/>
          <w:sz w:val="24"/>
          <w:highlight w:val="none"/>
          <w:shd w:val="clear" w:color="auto" w:fill="FFFFFF"/>
        </w:rPr>
        <w:t>；</w:t>
      </w:r>
    </w:p>
    <w:p w14:paraId="43E05B1B">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lang w:eastAsia="zh-CN"/>
        </w:rPr>
        <w:t>……</w:t>
      </w:r>
    </w:p>
    <w:p w14:paraId="2ADE70B0">
      <w:pPr>
        <w:spacing w:line="480" w:lineRule="auto"/>
        <w:ind w:firstLine="480" w:firstLineChars="200"/>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以上企业，不属于大企业的分支机构，不存在控股股东为大企业的情形，也不存在与大企业的负责人为同一人的情形。</w:t>
      </w:r>
    </w:p>
    <w:p w14:paraId="7452FFB8">
      <w:pPr>
        <w:spacing w:line="360" w:lineRule="auto"/>
        <w:ind w:firstLine="480" w:firstLineChars="200"/>
        <w:rPr>
          <w:rFonts w:ascii="宋体" w:hAnsi="宋体"/>
          <w:color w:val="auto"/>
          <w:sz w:val="24"/>
          <w:highlight w:val="none"/>
        </w:rPr>
      </w:pPr>
      <w:r>
        <w:rPr>
          <w:rFonts w:hint="eastAsia" w:ascii="宋体" w:hAnsi="宋体" w:cs="Arial Narrow"/>
          <w:color w:val="auto"/>
          <w:sz w:val="24"/>
          <w:highlight w:val="none"/>
          <w:shd w:val="clear" w:color="auto" w:fill="FFFFFF"/>
        </w:rPr>
        <w:t>本企业对上述声明内容的真实性负责。如有虚假，将依法承担相应责任。</w:t>
      </w:r>
    </w:p>
    <w:p w14:paraId="6B45F8A7">
      <w:pPr>
        <w:pStyle w:val="29"/>
        <w:spacing w:before="120" w:line="360" w:lineRule="auto"/>
        <w:ind w:firstLine="6600" w:firstLineChars="2750"/>
        <w:rPr>
          <w:rFonts w:hAnsi="宋体" w:cs="Verdana"/>
          <w:color w:val="auto"/>
          <w:kern w:val="2"/>
          <w:highlight w:val="none"/>
        </w:rPr>
      </w:pPr>
    </w:p>
    <w:p w14:paraId="31A3A933">
      <w:pPr>
        <w:pStyle w:val="29"/>
        <w:keepNext w:val="0"/>
        <w:keepLines w:val="0"/>
        <w:pageBreakBefore w:val="0"/>
        <w:widowControl w:val="0"/>
        <w:kinsoku/>
        <w:wordWrap/>
        <w:overflowPunct/>
        <w:topLinePunct w:val="0"/>
        <w:bidi w:val="0"/>
        <w:snapToGrid/>
        <w:spacing w:before="120" w:line="560" w:lineRule="exact"/>
        <w:ind w:firstLine="4320" w:firstLineChars="18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企业名称（加盖电子公章）：</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p>
    <w:p w14:paraId="2AC21D2A">
      <w:pPr>
        <w:keepNext w:val="0"/>
        <w:keepLines w:val="0"/>
        <w:pageBreakBefore w:val="0"/>
        <w:widowControl w:val="0"/>
        <w:kinsoku/>
        <w:wordWrap/>
        <w:overflowPunct/>
        <w:topLinePunct w:val="0"/>
        <w:bidi w:val="0"/>
        <w:snapToGrid/>
        <w:spacing w:line="560" w:lineRule="exact"/>
        <w:ind w:right="960" w:firstLine="5040" w:firstLineChars="2100"/>
        <w:jc w:val="both"/>
        <w:textAlignment w:val="auto"/>
        <w:rPr>
          <w:rFonts w:hint="eastAsia" w:ascii="宋体" w:hAnsi="宋体" w:eastAsia="宋体" w:cs="Arial Narrow"/>
          <w:color w:val="auto"/>
          <w:sz w:val="24"/>
          <w:szCs w:val="24"/>
          <w:highlight w:val="none"/>
        </w:rPr>
      </w:pPr>
      <w:r>
        <w:rPr>
          <w:rFonts w:hint="eastAsia" w:ascii="宋体" w:hAnsi="宋体" w:eastAsia="宋体" w:cs="Arial Narrow"/>
          <w:color w:val="auto"/>
          <w:sz w:val="24"/>
          <w:szCs w:val="24"/>
          <w:highlight w:val="none"/>
        </w:rPr>
        <w:t>日期</w:t>
      </w:r>
      <w:r>
        <w:rPr>
          <w:rFonts w:ascii="宋体" w:hAnsi="宋体" w:eastAsia="宋体" w:cs="Arial Narrow"/>
          <w:color w:val="auto"/>
          <w:sz w:val="24"/>
          <w:szCs w:val="24"/>
          <w:highlight w:val="none"/>
        </w:rPr>
        <w:t>：</w:t>
      </w:r>
      <w:r>
        <w:rPr>
          <w:rFonts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s="Arial Narrow"/>
          <w:color w:val="auto"/>
          <w:sz w:val="24"/>
          <w:szCs w:val="24"/>
          <w:highlight w:val="none"/>
        </w:rPr>
        <w:t>年</w:t>
      </w:r>
      <w:r>
        <w:rPr>
          <w:rFonts w:ascii="宋体" w:hAnsi="宋体" w:eastAsia="宋体"/>
          <w:b/>
          <w:color w:val="auto"/>
          <w:sz w:val="24"/>
          <w:szCs w:val="24"/>
          <w:highlight w:val="none"/>
          <w:u w:val="single"/>
        </w:rPr>
        <w:t xml:space="preserve">     </w:t>
      </w:r>
      <w:r>
        <w:rPr>
          <w:rFonts w:hint="eastAsia" w:ascii="宋体" w:hAnsi="宋体" w:eastAsia="宋体" w:cs="Arial Narrow"/>
          <w:color w:val="auto"/>
          <w:sz w:val="24"/>
          <w:szCs w:val="24"/>
          <w:highlight w:val="none"/>
        </w:rPr>
        <w:t>月</w:t>
      </w:r>
      <w:r>
        <w:rPr>
          <w:rFonts w:ascii="宋体" w:hAnsi="宋体" w:eastAsia="宋体"/>
          <w:b/>
          <w:color w:val="auto"/>
          <w:sz w:val="24"/>
          <w:szCs w:val="24"/>
          <w:highlight w:val="none"/>
          <w:u w:val="single"/>
        </w:rPr>
        <w:t xml:space="preserve">     </w:t>
      </w:r>
      <w:r>
        <w:rPr>
          <w:rFonts w:hint="eastAsia" w:ascii="宋体" w:hAnsi="宋体" w:eastAsia="宋体" w:cs="Arial Narrow"/>
          <w:color w:val="auto"/>
          <w:sz w:val="24"/>
          <w:szCs w:val="24"/>
          <w:highlight w:val="none"/>
        </w:rPr>
        <w:t>日</w:t>
      </w:r>
    </w:p>
    <w:p w14:paraId="3F490466">
      <w:pPr>
        <w:pStyle w:val="9"/>
        <w:rPr>
          <w:color w:val="auto"/>
          <w:highlight w:val="none"/>
        </w:rPr>
      </w:pPr>
    </w:p>
    <w:p w14:paraId="1F1FA21D">
      <w:pPr>
        <w:spacing w:line="480" w:lineRule="auto"/>
        <w:rPr>
          <w:rFonts w:ascii="宋体" w:hAnsi="宋体" w:cs="Arial Narrow"/>
          <w:color w:val="auto"/>
          <w:sz w:val="24"/>
          <w:highlight w:val="none"/>
          <w:shd w:val="clear" w:color="auto" w:fill="FFFFFF"/>
        </w:rPr>
      </w:pPr>
      <w:r>
        <w:rPr>
          <w:rFonts w:hint="eastAsia" w:ascii="宋体" w:hAnsi="宋体" w:cs="Arial Narrow"/>
          <w:color w:val="auto"/>
          <w:sz w:val="24"/>
          <w:highlight w:val="none"/>
          <w:shd w:val="clear" w:color="auto" w:fill="FFFFFF"/>
        </w:rPr>
        <w:t>从业人员、营业收入、资产总额填报上一年度数据，无上一年度数据的新成立企业可不填报。</w:t>
      </w:r>
    </w:p>
    <w:p w14:paraId="3635A6BC">
      <w:pPr>
        <w:spacing w:line="360" w:lineRule="auto"/>
        <w:ind w:firstLine="482" w:firstLineChars="200"/>
        <w:jc w:val="center"/>
        <w:rPr>
          <w:rFonts w:ascii="宋体" w:hAnsi="宋体"/>
          <w:b/>
          <w:color w:val="auto"/>
          <w:highlight w:val="none"/>
        </w:rPr>
      </w:pPr>
      <w:r>
        <w:rPr>
          <w:rFonts w:hint="eastAsia" w:ascii="宋体" w:hAnsi="宋体" w:cs="Arial Narrow"/>
          <w:b/>
          <w:bCs/>
          <w:color w:val="auto"/>
          <w:sz w:val="24"/>
          <w:highlight w:val="none"/>
          <w:shd w:val="clear" w:color="auto" w:fill="FFFFFF"/>
        </w:rPr>
        <w:t>注：非小、微企业可不填报。</w:t>
      </w:r>
      <w:r>
        <w:rPr>
          <w:rFonts w:ascii="宋体" w:hAnsi="宋体"/>
          <w:b/>
          <w:color w:val="auto"/>
          <w:highlight w:val="none"/>
        </w:rPr>
        <w:br w:type="page"/>
      </w:r>
    </w:p>
    <w:p w14:paraId="4A2D3C16">
      <w:pPr>
        <w:rPr>
          <w:rFonts w:ascii="宋体" w:hAnsi="宋体" w:cs="宋体"/>
          <w:b/>
          <w:bCs/>
          <w:color w:val="auto"/>
          <w:kern w:val="0"/>
          <w:sz w:val="24"/>
          <w:highlight w:val="none"/>
        </w:rPr>
        <w:sectPr>
          <w:headerReference r:id="rId11" w:type="default"/>
          <w:footerReference r:id="rId12" w:type="default"/>
          <w:pgSz w:w="11906" w:h="16838"/>
          <w:pgMar w:top="1440" w:right="1134" w:bottom="1418" w:left="1134" w:header="851" w:footer="936" w:gutter="0"/>
          <w:pgNumType w:fmt="decimal"/>
          <w:cols w:space="720" w:num="1"/>
          <w:docGrid w:linePitch="312" w:charSpace="0"/>
        </w:sectPr>
      </w:pPr>
    </w:p>
    <w:p w14:paraId="1956EAD8">
      <w:pPr>
        <w:keepNext/>
        <w:keepLines/>
        <w:widowControl/>
        <w:autoSpaceDE w:val="0"/>
        <w:spacing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（二）残疾人福利性单位声明函（若有）</w:t>
      </w:r>
    </w:p>
    <w:p w14:paraId="571B2D1D">
      <w:pPr>
        <w:spacing w:line="588" w:lineRule="exact"/>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pacing w:val="6"/>
          <w:sz w:val="24"/>
          <w:highlight w:val="none"/>
          <w:lang w:eastAsia="zh-CN"/>
        </w:rPr>
        <w:t>〔2017〕141号</w:t>
      </w:r>
      <w:r>
        <w:rPr>
          <w:rFonts w:hint="eastAsia" w:ascii="宋体" w:hAnsi="宋体"/>
          <w:color w:val="auto"/>
          <w:spacing w:val="6"/>
          <w:sz w:val="24"/>
          <w:highlight w:val="none"/>
        </w:rPr>
        <w:t>）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3C88467">
      <w:pPr>
        <w:spacing w:line="588" w:lineRule="exact"/>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14:paraId="23652CB3">
      <w:pPr>
        <w:spacing w:line="588" w:lineRule="exact"/>
        <w:ind w:firstLine="504" w:firstLineChars="200"/>
        <w:rPr>
          <w:rFonts w:ascii="宋体" w:hAnsi="宋体"/>
          <w:color w:val="auto"/>
          <w:spacing w:val="6"/>
          <w:sz w:val="24"/>
          <w:highlight w:val="none"/>
        </w:rPr>
      </w:pPr>
    </w:p>
    <w:p w14:paraId="377A820B">
      <w:pPr>
        <w:spacing w:line="588" w:lineRule="exact"/>
        <w:ind w:firstLine="504" w:firstLineChars="200"/>
        <w:rPr>
          <w:rFonts w:ascii="宋体" w:hAnsi="宋体"/>
          <w:color w:val="auto"/>
          <w:spacing w:val="6"/>
          <w:sz w:val="24"/>
          <w:highlight w:val="none"/>
        </w:rPr>
      </w:pPr>
    </w:p>
    <w:p w14:paraId="58FF4D1B">
      <w:pPr>
        <w:spacing w:line="360" w:lineRule="auto"/>
        <w:ind w:firstLine="4320" w:firstLineChars="1800"/>
        <w:rPr>
          <w:rFonts w:ascii="宋体" w:hAnsi="宋体" w:eastAsia="宋体"/>
          <w:b w:val="0"/>
          <w:bCs/>
          <w:color w:val="auto"/>
          <w:sz w:val="24"/>
          <w:szCs w:val="24"/>
          <w:highlight w:val="none"/>
          <w:u w:val="single"/>
        </w:rPr>
      </w:pPr>
      <w:r>
        <w:rPr>
          <w:rFonts w:hint="eastAsia" w:ascii="宋体" w:hAnsi="宋体" w:eastAsia="宋体"/>
          <w:b w:val="0"/>
          <w:bCs/>
          <w:color w:val="auto"/>
          <w:sz w:val="24"/>
          <w:szCs w:val="24"/>
          <w:highlight w:val="none"/>
        </w:rPr>
        <w:t>单位名称（加盖电子公章）</w:t>
      </w:r>
      <w:r>
        <w:rPr>
          <w:rFonts w:ascii="宋体" w:hAnsi="宋体" w:eastAsia="宋体"/>
          <w:b w:val="0"/>
          <w:bCs/>
          <w:color w:val="auto"/>
          <w:sz w:val="24"/>
          <w:szCs w:val="24"/>
          <w:highlight w:val="none"/>
        </w:rPr>
        <w:t>：</w:t>
      </w:r>
      <w:r>
        <w:rPr>
          <w:rFonts w:hint="eastAsia"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u w:val="single"/>
        </w:rPr>
        <w:t xml:space="preserve">       </w:t>
      </w:r>
      <w:r>
        <w:rPr>
          <w:rFonts w:hint="eastAsia" w:ascii="宋体" w:hAnsi="宋体" w:eastAsia="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rPr>
        <w:t xml:space="preserve">    </w:t>
      </w:r>
    </w:p>
    <w:p w14:paraId="7C90954C">
      <w:pPr>
        <w:spacing w:line="360" w:lineRule="auto"/>
        <w:ind w:firstLine="480" w:firstLineChars="200"/>
        <w:rPr>
          <w:rFonts w:ascii="宋体" w:hAnsi="宋体" w:eastAsia="宋体"/>
          <w:b w:val="0"/>
          <w:bCs/>
          <w:color w:val="auto"/>
          <w:sz w:val="24"/>
          <w:szCs w:val="24"/>
          <w:highlight w:val="none"/>
        </w:rPr>
      </w:pPr>
    </w:p>
    <w:p w14:paraId="56E21BB0">
      <w:pPr>
        <w:spacing w:line="360" w:lineRule="auto"/>
        <w:jc w:val="right"/>
        <w:rPr>
          <w:rFonts w:ascii="宋体" w:hAnsi="宋体" w:eastAsia="宋体"/>
          <w:b w:val="0"/>
          <w:bCs/>
          <w:color w:val="auto"/>
          <w:sz w:val="24"/>
          <w:szCs w:val="24"/>
          <w:highlight w:val="none"/>
        </w:rPr>
      </w:pPr>
      <w:r>
        <w:rPr>
          <w:rFonts w:ascii="宋体" w:hAnsi="宋体" w:eastAsia="宋体"/>
          <w:b w:val="0"/>
          <w:bCs/>
          <w:color w:val="auto"/>
          <w:sz w:val="24"/>
          <w:szCs w:val="24"/>
          <w:highlight w:val="none"/>
        </w:rPr>
        <w:t>日</w:t>
      </w:r>
      <w:r>
        <w:rPr>
          <w:rFonts w:hint="eastAsia" w:ascii="宋体" w:hAnsi="宋体" w:eastAsia="宋体"/>
          <w:b w:val="0"/>
          <w:bCs/>
          <w:color w:val="auto"/>
          <w:sz w:val="24"/>
          <w:szCs w:val="24"/>
          <w:highlight w:val="none"/>
        </w:rPr>
        <w:t xml:space="preserve">  </w:t>
      </w:r>
      <w:r>
        <w:rPr>
          <w:rFonts w:ascii="宋体" w:hAnsi="宋体" w:eastAsia="宋体"/>
          <w:b w:val="0"/>
          <w:bCs/>
          <w:color w:val="auto"/>
          <w:sz w:val="24"/>
          <w:szCs w:val="24"/>
          <w:highlight w:val="none"/>
        </w:rPr>
        <w:t>期：</w:t>
      </w:r>
      <w:r>
        <w:rPr>
          <w:rFonts w:ascii="宋体" w:hAnsi="宋体" w:eastAsia="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年</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月</w:t>
      </w:r>
      <w:r>
        <w:rPr>
          <w:rFonts w:ascii="宋体" w:hAnsi="宋体" w:eastAsia="宋体"/>
          <w:b w:val="0"/>
          <w:bCs/>
          <w:color w:val="auto"/>
          <w:sz w:val="24"/>
          <w:szCs w:val="24"/>
          <w:highlight w:val="none"/>
          <w:u w:val="single"/>
        </w:rPr>
        <w:t xml:space="preserve">     </w:t>
      </w:r>
      <w:r>
        <w:rPr>
          <w:rFonts w:ascii="宋体" w:hAnsi="宋体" w:eastAsia="宋体"/>
          <w:b w:val="0"/>
          <w:bCs/>
          <w:color w:val="auto"/>
          <w:sz w:val="24"/>
          <w:szCs w:val="24"/>
          <w:highlight w:val="none"/>
        </w:rPr>
        <w:t>日</w:t>
      </w:r>
    </w:p>
    <w:p w14:paraId="0176B90C">
      <w:pPr>
        <w:spacing w:line="360" w:lineRule="auto"/>
        <w:ind w:firstLine="480" w:firstLineChars="200"/>
        <w:rPr>
          <w:rFonts w:ascii="宋体" w:hAnsi="宋体"/>
          <w:color w:val="auto"/>
          <w:sz w:val="24"/>
          <w:highlight w:val="none"/>
        </w:rPr>
      </w:pPr>
    </w:p>
    <w:p w14:paraId="7F4C587A">
      <w:pPr>
        <w:spacing w:line="360" w:lineRule="auto"/>
        <w:ind w:firstLine="480" w:firstLineChars="200"/>
        <w:rPr>
          <w:rFonts w:ascii="宋体" w:hAnsi="宋体"/>
          <w:color w:val="auto"/>
          <w:sz w:val="24"/>
          <w:highlight w:val="none"/>
        </w:rPr>
      </w:pPr>
    </w:p>
    <w:p w14:paraId="3BFBDF20">
      <w:pPr>
        <w:pStyle w:val="5"/>
        <w:spacing w:line="360" w:lineRule="auto"/>
        <w:ind w:firstLine="482"/>
        <w:rPr>
          <w:rFonts w:ascii="宋体" w:hAnsi="宋体"/>
          <w:b/>
          <w:color w:val="auto"/>
          <w:sz w:val="24"/>
          <w:highlight w:val="none"/>
        </w:rPr>
      </w:pPr>
      <w:r>
        <w:rPr>
          <w:rFonts w:hint="eastAsia" w:ascii="宋体" w:hAnsi="宋体"/>
          <w:b/>
          <w:color w:val="auto"/>
          <w:sz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D70F4D8">
      <w:pPr>
        <w:keepNext/>
        <w:keepLines/>
        <w:widowControl/>
        <w:autoSpaceDE w:val="0"/>
        <w:spacing w:line="360" w:lineRule="auto"/>
        <w:jc w:val="center"/>
        <w:outlineLvl w:val="2"/>
        <w:rPr>
          <w:rFonts w:ascii="宋体" w:hAnsi="宋体" w:cs="宋体"/>
          <w:b/>
          <w:bCs/>
          <w:color w:val="auto"/>
          <w:sz w:val="28"/>
          <w:szCs w:val="28"/>
          <w:highlight w:val="none"/>
        </w:rPr>
        <w:sectPr>
          <w:pgSz w:w="11906" w:h="16838"/>
          <w:pgMar w:top="1440" w:right="1134" w:bottom="1418" w:left="1134" w:header="851" w:footer="936" w:gutter="0"/>
          <w:pgNumType w:fmt="decimal"/>
          <w:cols w:space="720" w:num="1"/>
          <w:docGrid w:linePitch="312" w:charSpace="0"/>
        </w:sectPr>
      </w:pPr>
    </w:p>
    <w:p w14:paraId="2E7AAF58">
      <w:pPr>
        <w:keepNext/>
        <w:keepLines/>
        <w:widowControl/>
        <w:autoSpaceDE w:val="0"/>
        <w:spacing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（三）监狱企业证明材料（若有）</w:t>
      </w:r>
    </w:p>
    <w:p w14:paraId="2DA38CDE">
      <w:pPr>
        <w:jc w:val="center"/>
        <w:rPr>
          <w:rFonts w:ascii="宋体" w:hAnsi="宋体" w:cs="Arial Narrow"/>
          <w:color w:val="auto"/>
          <w:highlight w:val="none"/>
          <w:shd w:val="clear" w:color="auto" w:fill="FFFFFF"/>
        </w:rPr>
      </w:pPr>
    </w:p>
    <w:p w14:paraId="3B9AE2E2">
      <w:pPr>
        <w:jc w:val="center"/>
        <w:rPr>
          <w:rFonts w:ascii="宋体" w:hAnsi="宋体"/>
          <w:color w:val="auto"/>
          <w:sz w:val="24"/>
          <w:highlight w:val="none"/>
        </w:rPr>
      </w:pPr>
      <w:r>
        <w:rPr>
          <w:rFonts w:hint="eastAsia" w:ascii="宋体" w:hAnsi="宋体" w:cs="Arial Narrow"/>
          <w:color w:val="auto"/>
          <w:sz w:val="24"/>
          <w:highlight w:val="none"/>
          <w:shd w:val="clear" w:color="auto" w:fill="FFFFFF"/>
        </w:rPr>
        <w:t>附监狱企业证明材料扫描件</w:t>
      </w:r>
    </w:p>
    <w:p w14:paraId="4071D395">
      <w:pPr>
        <w:spacing w:line="560" w:lineRule="exact"/>
        <w:ind w:firstLine="640" w:firstLineChars="200"/>
        <w:rPr>
          <w:rFonts w:ascii="宋体" w:hAnsi="宋体"/>
          <w:color w:val="auto"/>
          <w:sz w:val="32"/>
          <w:highlight w:val="none"/>
        </w:rPr>
        <w:sectPr>
          <w:pgSz w:w="11906" w:h="16838"/>
          <w:pgMar w:top="1440" w:right="1134" w:bottom="1418" w:left="1134" w:header="851" w:footer="936" w:gutter="0"/>
          <w:pgNumType w:fmt="decimal"/>
          <w:cols w:space="720" w:num="1"/>
          <w:docGrid w:linePitch="312" w:charSpace="0"/>
        </w:sectPr>
      </w:pPr>
      <w:r>
        <w:rPr>
          <w:rFonts w:ascii="宋体" w:hAnsi="宋体"/>
          <w:color w:val="auto"/>
          <w:sz w:val="32"/>
          <w:highlight w:val="none"/>
        </w:rPr>
        <w:br w:type="page"/>
      </w:r>
    </w:p>
    <w:p w14:paraId="2FFE148E">
      <w:pPr>
        <w:jc w:val="center"/>
        <w:rPr>
          <w:rFonts w:ascii="宋体" w:hAnsi="宋体"/>
          <w:b/>
          <w:bCs/>
          <w:color w:val="auto"/>
          <w:sz w:val="28"/>
          <w:szCs w:val="28"/>
          <w:highlight w:val="none"/>
        </w:rPr>
      </w:pPr>
      <w:r>
        <w:rPr>
          <w:rFonts w:hint="eastAsia" w:ascii="宋体" w:hAnsi="宋体"/>
          <w:b/>
          <w:bCs/>
          <w:color w:val="auto"/>
          <w:sz w:val="28"/>
          <w:szCs w:val="28"/>
          <w:highlight w:val="none"/>
        </w:rPr>
        <w:t>（四）节能环保产品清单</w:t>
      </w:r>
      <w:r>
        <w:rPr>
          <w:rFonts w:hint="eastAsia" w:ascii="宋体" w:hAnsi="宋体"/>
          <w:b/>
          <w:bCs/>
          <w:color w:val="auto"/>
          <w:sz w:val="28"/>
          <w:szCs w:val="28"/>
          <w:highlight w:val="none"/>
          <w:lang w:eastAsia="zh-CN"/>
        </w:rPr>
        <w:t>（</w:t>
      </w:r>
      <w:r>
        <w:rPr>
          <w:rFonts w:hint="eastAsia" w:ascii="宋体" w:hAnsi="宋体"/>
          <w:b/>
          <w:bCs/>
          <w:color w:val="auto"/>
          <w:sz w:val="28"/>
          <w:szCs w:val="28"/>
          <w:highlight w:val="none"/>
          <w:lang w:val="en-US" w:eastAsia="zh-CN"/>
        </w:rPr>
        <w:t>若有</w:t>
      </w:r>
      <w:r>
        <w:rPr>
          <w:rFonts w:hint="eastAsia" w:ascii="宋体" w:hAnsi="宋体"/>
          <w:b/>
          <w:bCs/>
          <w:color w:val="auto"/>
          <w:sz w:val="28"/>
          <w:szCs w:val="28"/>
          <w:highlight w:val="none"/>
          <w:lang w:eastAsia="zh-CN"/>
        </w:rPr>
        <w:t>）</w:t>
      </w:r>
    </w:p>
    <w:p w14:paraId="7AD6B5B7">
      <w:pPr>
        <w:jc w:val="center"/>
        <w:rPr>
          <w:rFonts w:ascii="宋体" w:hAnsi="宋体"/>
          <w:b/>
          <w:bCs/>
          <w:color w:val="auto"/>
          <w:sz w:val="28"/>
          <w:szCs w:val="28"/>
          <w:highlight w:val="none"/>
        </w:rPr>
      </w:pPr>
    </w:p>
    <w:tbl>
      <w:tblPr>
        <w:tblStyle w:val="23"/>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3119"/>
        <w:gridCol w:w="2551"/>
        <w:gridCol w:w="2678"/>
      </w:tblGrid>
      <w:tr w14:paraId="5089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03440CF8">
            <w:pPr>
              <w:pStyle w:val="5"/>
              <w:ind w:firstLine="0" w:firstLineChars="0"/>
              <w:jc w:val="center"/>
              <w:rPr>
                <w:rFonts w:ascii="宋体" w:hAnsi="宋体"/>
                <w:b/>
                <w:color w:val="auto"/>
                <w:highlight w:val="none"/>
              </w:rPr>
            </w:pPr>
            <w:r>
              <w:rPr>
                <w:rFonts w:ascii="宋体" w:hAnsi="宋体"/>
                <w:b/>
                <w:color w:val="auto"/>
                <w:highlight w:val="none"/>
              </w:rPr>
              <w:t>序号</w:t>
            </w:r>
          </w:p>
        </w:tc>
        <w:tc>
          <w:tcPr>
            <w:tcW w:w="3119" w:type="dxa"/>
            <w:noWrap/>
            <w:vAlign w:val="center"/>
          </w:tcPr>
          <w:p w14:paraId="1595C38C">
            <w:pPr>
              <w:pStyle w:val="5"/>
              <w:ind w:firstLine="0" w:firstLineChars="0"/>
              <w:jc w:val="center"/>
              <w:rPr>
                <w:rFonts w:ascii="宋体" w:hAnsi="宋体"/>
                <w:b/>
                <w:color w:val="auto"/>
                <w:highlight w:val="none"/>
              </w:rPr>
            </w:pPr>
            <w:r>
              <w:rPr>
                <w:rFonts w:ascii="宋体" w:hAnsi="宋体"/>
                <w:b/>
                <w:color w:val="auto"/>
                <w:highlight w:val="none"/>
              </w:rPr>
              <w:t>货物名称</w:t>
            </w:r>
          </w:p>
        </w:tc>
        <w:tc>
          <w:tcPr>
            <w:tcW w:w="2551" w:type="dxa"/>
            <w:noWrap/>
            <w:vAlign w:val="center"/>
          </w:tcPr>
          <w:p w14:paraId="30A76FAD">
            <w:pPr>
              <w:pStyle w:val="5"/>
              <w:ind w:firstLine="0" w:firstLineChars="0"/>
              <w:jc w:val="center"/>
              <w:rPr>
                <w:rFonts w:ascii="宋体" w:hAnsi="宋体"/>
                <w:b/>
                <w:color w:val="auto"/>
                <w:highlight w:val="none"/>
              </w:rPr>
            </w:pPr>
            <w:r>
              <w:rPr>
                <w:rFonts w:hint="eastAsia" w:ascii="宋体" w:hAnsi="宋体"/>
                <w:b/>
                <w:color w:val="auto"/>
                <w:highlight w:val="none"/>
              </w:rPr>
              <w:t>依据标准</w:t>
            </w:r>
          </w:p>
        </w:tc>
        <w:tc>
          <w:tcPr>
            <w:tcW w:w="2678" w:type="dxa"/>
            <w:noWrap/>
            <w:vAlign w:val="center"/>
          </w:tcPr>
          <w:p w14:paraId="35A9095C">
            <w:pPr>
              <w:pStyle w:val="5"/>
              <w:ind w:firstLine="0" w:firstLineChars="0"/>
              <w:jc w:val="center"/>
              <w:rPr>
                <w:rFonts w:ascii="宋体" w:hAnsi="宋体"/>
                <w:b/>
                <w:color w:val="auto"/>
                <w:highlight w:val="none"/>
              </w:rPr>
            </w:pPr>
            <w:r>
              <w:rPr>
                <w:rFonts w:hint="eastAsia" w:ascii="宋体" w:hAnsi="宋体"/>
                <w:b/>
                <w:color w:val="auto"/>
                <w:highlight w:val="none"/>
              </w:rPr>
              <w:t>备注</w:t>
            </w:r>
          </w:p>
        </w:tc>
      </w:tr>
      <w:tr w14:paraId="025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2F76DC18">
            <w:pPr>
              <w:pStyle w:val="5"/>
              <w:ind w:firstLine="0" w:firstLineChars="0"/>
              <w:jc w:val="center"/>
              <w:rPr>
                <w:rFonts w:ascii="宋体" w:hAnsi="宋体"/>
                <w:b/>
                <w:color w:val="auto"/>
                <w:highlight w:val="none"/>
              </w:rPr>
            </w:pPr>
            <w:r>
              <w:rPr>
                <w:rFonts w:hint="eastAsia" w:ascii="宋体" w:hAnsi="宋体"/>
                <w:b/>
                <w:color w:val="auto"/>
                <w:highlight w:val="none"/>
              </w:rPr>
              <w:t>1</w:t>
            </w:r>
          </w:p>
        </w:tc>
        <w:tc>
          <w:tcPr>
            <w:tcW w:w="3119" w:type="dxa"/>
            <w:noWrap/>
            <w:vAlign w:val="center"/>
          </w:tcPr>
          <w:p w14:paraId="7EE679BE">
            <w:pPr>
              <w:pStyle w:val="5"/>
              <w:ind w:firstLine="0" w:firstLineChars="0"/>
              <w:jc w:val="center"/>
              <w:rPr>
                <w:rFonts w:ascii="宋体" w:hAnsi="宋体"/>
                <w:b/>
                <w:color w:val="auto"/>
                <w:highlight w:val="none"/>
              </w:rPr>
            </w:pPr>
          </w:p>
        </w:tc>
        <w:tc>
          <w:tcPr>
            <w:tcW w:w="2551" w:type="dxa"/>
            <w:noWrap/>
            <w:vAlign w:val="center"/>
          </w:tcPr>
          <w:p w14:paraId="4E376E51">
            <w:pPr>
              <w:pStyle w:val="5"/>
              <w:ind w:firstLine="0" w:firstLineChars="0"/>
              <w:jc w:val="center"/>
              <w:rPr>
                <w:rFonts w:ascii="宋体" w:hAnsi="宋体"/>
                <w:b/>
                <w:color w:val="auto"/>
                <w:highlight w:val="none"/>
              </w:rPr>
            </w:pPr>
          </w:p>
        </w:tc>
        <w:tc>
          <w:tcPr>
            <w:tcW w:w="2678" w:type="dxa"/>
            <w:noWrap/>
            <w:vAlign w:val="center"/>
          </w:tcPr>
          <w:p w14:paraId="7DD2DAB6">
            <w:pPr>
              <w:pStyle w:val="5"/>
              <w:ind w:firstLine="0" w:firstLineChars="0"/>
              <w:jc w:val="center"/>
              <w:rPr>
                <w:rFonts w:ascii="宋体" w:hAnsi="宋体"/>
                <w:b/>
                <w:color w:val="auto"/>
                <w:highlight w:val="none"/>
              </w:rPr>
            </w:pPr>
          </w:p>
        </w:tc>
      </w:tr>
      <w:tr w14:paraId="4397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1ED69E5E">
            <w:pPr>
              <w:pStyle w:val="5"/>
              <w:ind w:firstLine="0" w:firstLineChars="0"/>
              <w:jc w:val="center"/>
              <w:rPr>
                <w:rFonts w:ascii="宋体" w:hAnsi="宋体"/>
                <w:b/>
                <w:color w:val="auto"/>
                <w:highlight w:val="none"/>
              </w:rPr>
            </w:pPr>
            <w:r>
              <w:rPr>
                <w:rFonts w:hint="eastAsia" w:ascii="宋体" w:hAnsi="宋体"/>
                <w:b/>
                <w:color w:val="auto"/>
                <w:highlight w:val="none"/>
              </w:rPr>
              <w:t>2</w:t>
            </w:r>
          </w:p>
        </w:tc>
        <w:tc>
          <w:tcPr>
            <w:tcW w:w="3119" w:type="dxa"/>
            <w:noWrap/>
            <w:vAlign w:val="center"/>
          </w:tcPr>
          <w:p w14:paraId="2C1D2556">
            <w:pPr>
              <w:pStyle w:val="5"/>
              <w:ind w:firstLine="0" w:firstLineChars="0"/>
              <w:jc w:val="center"/>
              <w:rPr>
                <w:rFonts w:ascii="宋体" w:hAnsi="宋体"/>
                <w:b/>
                <w:color w:val="auto"/>
                <w:highlight w:val="none"/>
              </w:rPr>
            </w:pPr>
          </w:p>
        </w:tc>
        <w:tc>
          <w:tcPr>
            <w:tcW w:w="2551" w:type="dxa"/>
            <w:noWrap/>
            <w:vAlign w:val="center"/>
          </w:tcPr>
          <w:p w14:paraId="263CB9C7">
            <w:pPr>
              <w:pStyle w:val="5"/>
              <w:ind w:firstLine="0" w:firstLineChars="0"/>
              <w:jc w:val="center"/>
              <w:rPr>
                <w:rFonts w:ascii="宋体" w:hAnsi="宋体"/>
                <w:b/>
                <w:color w:val="auto"/>
                <w:highlight w:val="none"/>
              </w:rPr>
            </w:pPr>
          </w:p>
        </w:tc>
        <w:tc>
          <w:tcPr>
            <w:tcW w:w="2678" w:type="dxa"/>
            <w:noWrap/>
            <w:vAlign w:val="center"/>
          </w:tcPr>
          <w:p w14:paraId="22C852FB">
            <w:pPr>
              <w:pStyle w:val="5"/>
              <w:ind w:firstLine="0" w:firstLineChars="0"/>
              <w:jc w:val="center"/>
              <w:rPr>
                <w:rFonts w:ascii="宋体" w:hAnsi="宋体"/>
                <w:b/>
                <w:color w:val="auto"/>
                <w:highlight w:val="none"/>
              </w:rPr>
            </w:pPr>
          </w:p>
        </w:tc>
      </w:tr>
      <w:tr w14:paraId="45562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7F97760B">
            <w:pPr>
              <w:pStyle w:val="5"/>
              <w:ind w:firstLine="0" w:firstLineChars="0"/>
              <w:jc w:val="center"/>
              <w:rPr>
                <w:rFonts w:ascii="宋体" w:hAnsi="宋体"/>
                <w:b/>
                <w:color w:val="auto"/>
                <w:highlight w:val="none"/>
              </w:rPr>
            </w:pPr>
            <w:r>
              <w:rPr>
                <w:rFonts w:hint="eastAsia" w:ascii="宋体" w:hAnsi="宋体"/>
                <w:b/>
                <w:color w:val="auto"/>
                <w:highlight w:val="none"/>
              </w:rPr>
              <w:t>3</w:t>
            </w:r>
          </w:p>
        </w:tc>
        <w:tc>
          <w:tcPr>
            <w:tcW w:w="3119" w:type="dxa"/>
            <w:noWrap/>
            <w:vAlign w:val="center"/>
          </w:tcPr>
          <w:p w14:paraId="5A88B977">
            <w:pPr>
              <w:pStyle w:val="5"/>
              <w:ind w:firstLine="0" w:firstLineChars="0"/>
              <w:jc w:val="center"/>
              <w:rPr>
                <w:rFonts w:ascii="宋体" w:hAnsi="宋体"/>
                <w:b/>
                <w:color w:val="auto"/>
                <w:highlight w:val="none"/>
              </w:rPr>
            </w:pPr>
          </w:p>
        </w:tc>
        <w:tc>
          <w:tcPr>
            <w:tcW w:w="2551" w:type="dxa"/>
            <w:noWrap/>
            <w:vAlign w:val="center"/>
          </w:tcPr>
          <w:p w14:paraId="47733B68">
            <w:pPr>
              <w:pStyle w:val="5"/>
              <w:ind w:firstLine="0" w:firstLineChars="0"/>
              <w:jc w:val="center"/>
              <w:rPr>
                <w:rFonts w:ascii="宋体" w:hAnsi="宋体"/>
                <w:b/>
                <w:color w:val="auto"/>
                <w:highlight w:val="none"/>
              </w:rPr>
            </w:pPr>
          </w:p>
        </w:tc>
        <w:tc>
          <w:tcPr>
            <w:tcW w:w="2678" w:type="dxa"/>
            <w:noWrap/>
            <w:vAlign w:val="center"/>
          </w:tcPr>
          <w:p w14:paraId="4A01EC87">
            <w:pPr>
              <w:pStyle w:val="5"/>
              <w:ind w:firstLine="0" w:firstLineChars="0"/>
              <w:jc w:val="center"/>
              <w:rPr>
                <w:rFonts w:ascii="宋体" w:hAnsi="宋体"/>
                <w:b/>
                <w:color w:val="auto"/>
                <w:highlight w:val="none"/>
              </w:rPr>
            </w:pPr>
          </w:p>
        </w:tc>
      </w:tr>
      <w:tr w14:paraId="572A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75839E53">
            <w:pPr>
              <w:pStyle w:val="5"/>
              <w:ind w:firstLine="0" w:firstLineChars="0"/>
              <w:jc w:val="center"/>
              <w:rPr>
                <w:rFonts w:ascii="宋体" w:hAnsi="宋体"/>
                <w:b/>
                <w:color w:val="auto"/>
                <w:highlight w:val="none"/>
              </w:rPr>
            </w:pPr>
            <w:r>
              <w:rPr>
                <w:rFonts w:ascii="宋体" w:hAnsi="宋体"/>
                <w:b/>
                <w:color w:val="auto"/>
                <w:highlight w:val="none"/>
              </w:rPr>
              <w:t>…</w:t>
            </w:r>
          </w:p>
        </w:tc>
        <w:tc>
          <w:tcPr>
            <w:tcW w:w="3119" w:type="dxa"/>
            <w:noWrap/>
            <w:vAlign w:val="center"/>
          </w:tcPr>
          <w:p w14:paraId="6E3F24A6">
            <w:pPr>
              <w:pStyle w:val="5"/>
              <w:ind w:firstLine="0" w:firstLineChars="0"/>
              <w:jc w:val="center"/>
              <w:rPr>
                <w:rFonts w:ascii="宋体" w:hAnsi="宋体"/>
                <w:b/>
                <w:color w:val="auto"/>
                <w:highlight w:val="none"/>
              </w:rPr>
            </w:pPr>
          </w:p>
        </w:tc>
        <w:tc>
          <w:tcPr>
            <w:tcW w:w="2551" w:type="dxa"/>
            <w:noWrap/>
            <w:vAlign w:val="center"/>
          </w:tcPr>
          <w:p w14:paraId="7012EC60">
            <w:pPr>
              <w:pStyle w:val="5"/>
              <w:ind w:firstLine="0" w:firstLineChars="0"/>
              <w:jc w:val="center"/>
              <w:rPr>
                <w:rFonts w:ascii="宋体" w:hAnsi="宋体"/>
                <w:b/>
                <w:color w:val="auto"/>
                <w:highlight w:val="none"/>
              </w:rPr>
            </w:pPr>
          </w:p>
        </w:tc>
        <w:tc>
          <w:tcPr>
            <w:tcW w:w="2678" w:type="dxa"/>
            <w:noWrap/>
            <w:vAlign w:val="center"/>
          </w:tcPr>
          <w:p w14:paraId="79606F37">
            <w:pPr>
              <w:pStyle w:val="5"/>
              <w:ind w:firstLine="0" w:firstLineChars="0"/>
              <w:jc w:val="center"/>
              <w:rPr>
                <w:rFonts w:ascii="宋体" w:hAnsi="宋体"/>
                <w:b/>
                <w:color w:val="auto"/>
                <w:highlight w:val="none"/>
              </w:rPr>
            </w:pPr>
          </w:p>
        </w:tc>
      </w:tr>
      <w:tr w14:paraId="359A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ign w:val="center"/>
          </w:tcPr>
          <w:p w14:paraId="748516AE">
            <w:pPr>
              <w:pStyle w:val="5"/>
              <w:ind w:firstLine="0" w:firstLineChars="0"/>
              <w:jc w:val="center"/>
              <w:rPr>
                <w:rFonts w:ascii="宋体" w:hAnsi="宋体"/>
                <w:b/>
                <w:color w:val="auto"/>
                <w:highlight w:val="none"/>
              </w:rPr>
            </w:pPr>
            <w:r>
              <w:rPr>
                <w:rFonts w:ascii="宋体" w:hAnsi="宋体"/>
                <w:b/>
                <w:color w:val="auto"/>
                <w:highlight w:val="none"/>
              </w:rPr>
              <w:t>…</w:t>
            </w:r>
          </w:p>
        </w:tc>
        <w:tc>
          <w:tcPr>
            <w:tcW w:w="3119" w:type="dxa"/>
            <w:noWrap/>
            <w:vAlign w:val="center"/>
          </w:tcPr>
          <w:p w14:paraId="28EC6A15">
            <w:pPr>
              <w:pStyle w:val="5"/>
              <w:ind w:firstLine="0" w:firstLineChars="0"/>
              <w:jc w:val="center"/>
              <w:rPr>
                <w:rFonts w:ascii="宋体" w:hAnsi="宋体"/>
                <w:b/>
                <w:color w:val="auto"/>
                <w:highlight w:val="none"/>
              </w:rPr>
            </w:pPr>
          </w:p>
        </w:tc>
        <w:tc>
          <w:tcPr>
            <w:tcW w:w="2551" w:type="dxa"/>
            <w:noWrap/>
            <w:vAlign w:val="center"/>
          </w:tcPr>
          <w:p w14:paraId="679AD983">
            <w:pPr>
              <w:pStyle w:val="5"/>
              <w:ind w:firstLine="0" w:firstLineChars="0"/>
              <w:jc w:val="center"/>
              <w:rPr>
                <w:rFonts w:ascii="宋体" w:hAnsi="宋体"/>
                <w:b/>
                <w:color w:val="auto"/>
                <w:highlight w:val="none"/>
              </w:rPr>
            </w:pPr>
          </w:p>
        </w:tc>
        <w:tc>
          <w:tcPr>
            <w:tcW w:w="2678" w:type="dxa"/>
            <w:noWrap/>
            <w:vAlign w:val="center"/>
          </w:tcPr>
          <w:p w14:paraId="27E4D714">
            <w:pPr>
              <w:pStyle w:val="5"/>
              <w:ind w:firstLine="0" w:firstLineChars="0"/>
              <w:jc w:val="center"/>
              <w:rPr>
                <w:rFonts w:ascii="宋体" w:hAnsi="宋体"/>
                <w:b/>
                <w:color w:val="auto"/>
                <w:highlight w:val="none"/>
              </w:rPr>
            </w:pPr>
          </w:p>
        </w:tc>
      </w:tr>
    </w:tbl>
    <w:p w14:paraId="29B42637">
      <w:pPr>
        <w:pStyle w:val="5"/>
        <w:ind w:firstLine="480"/>
        <w:rPr>
          <w:rFonts w:ascii="宋体" w:hAnsi="宋体"/>
          <w:color w:val="auto"/>
          <w:sz w:val="24"/>
          <w:highlight w:val="none"/>
        </w:rPr>
      </w:pPr>
    </w:p>
    <w:p w14:paraId="75531766">
      <w:pPr>
        <w:pStyle w:val="5"/>
        <w:ind w:firstLine="480"/>
        <w:rPr>
          <w:rFonts w:ascii="宋体" w:hAnsi="宋体"/>
          <w:color w:val="auto"/>
          <w:sz w:val="24"/>
          <w:highlight w:val="none"/>
        </w:rPr>
      </w:pPr>
      <w:r>
        <w:rPr>
          <w:rFonts w:ascii="宋体" w:hAnsi="宋体"/>
          <w:color w:val="auto"/>
          <w:sz w:val="24"/>
          <w:highlight w:val="none"/>
        </w:rPr>
        <w:t>注</w:t>
      </w:r>
      <w:r>
        <w:rPr>
          <w:rFonts w:hint="eastAsia" w:ascii="宋体" w:hAnsi="宋体"/>
          <w:color w:val="auto"/>
          <w:sz w:val="24"/>
          <w:highlight w:val="none"/>
        </w:rPr>
        <w:t>：</w:t>
      </w:r>
    </w:p>
    <w:p w14:paraId="04A3B340">
      <w:pPr>
        <w:pStyle w:val="5"/>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本表不填写不构成废标条款</w:t>
      </w:r>
      <w:r>
        <w:rPr>
          <w:rFonts w:hint="eastAsia" w:ascii="宋体" w:hAnsi="宋体"/>
          <w:color w:val="auto"/>
          <w:sz w:val="24"/>
          <w:highlight w:val="none"/>
        </w:rPr>
        <w:t>。</w:t>
      </w:r>
    </w:p>
    <w:p w14:paraId="4C6C0C03">
      <w:pPr>
        <w:pStyle w:val="5"/>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、节能、环保产品认证证书附后。</w:t>
      </w:r>
    </w:p>
    <w:p w14:paraId="3225308A">
      <w:pPr>
        <w:spacing w:line="400" w:lineRule="atLeast"/>
        <w:ind w:firstLine="360" w:firstLineChars="150"/>
        <w:rPr>
          <w:rFonts w:ascii="宋体" w:hAnsi="宋体"/>
          <w:color w:val="auto"/>
          <w:sz w:val="24"/>
          <w:highlight w:val="none"/>
        </w:rPr>
      </w:pPr>
    </w:p>
    <w:p w14:paraId="6A1E3DAD">
      <w:pPr>
        <w:spacing w:line="400" w:lineRule="atLeast"/>
        <w:ind w:firstLine="360" w:firstLineChars="150"/>
        <w:rPr>
          <w:rFonts w:ascii="宋体" w:hAnsi="宋体"/>
          <w:color w:val="auto"/>
          <w:sz w:val="24"/>
          <w:highlight w:val="none"/>
        </w:rPr>
      </w:pPr>
    </w:p>
    <w:p w14:paraId="36041CE9">
      <w:pPr>
        <w:spacing w:before="60" w:after="60" w:line="48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（加盖电子公章）：</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p>
    <w:p w14:paraId="3C7123F0">
      <w:pPr>
        <w:spacing w:before="60" w:after="60" w:line="48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法定代表人或委托代理人（</w:t>
      </w:r>
      <w:r>
        <w:rPr>
          <w:rFonts w:hint="eastAsia" w:ascii="宋体" w:hAnsi="宋体" w:cs="宋体"/>
          <w:color w:val="auto"/>
          <w:sz w:val="24"/>
          <w:szCs w:val="24"/>
          <w:highlight w:val="none"/>
        </w:rPr>
        <w:t>签字或电子签名或电子签章</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p>
    <w:p w14:paraId="7C174289">
      <w:pPr>
        <w:pStyle w:val="7"/>
        <w:rPr>
          <w:color w:val="auto"/>
          <w:sz w:val="24"/>
          <w:szCs w:val="24"/>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63E4C060">
      <w:pPr>
        <w:jc w:val="center"/>
        <w:rPr>
          <w:rFonts w:ascii="宋体" w:hAnsi="宋体"/>
          <w:b/>
          <w:bCs/>
          <w:color w:val="auto"/>
          <w:sz w:val="28"/>
          <w:szCs w:val="28"/>
          <w:highlight w:val="none"/>
        </w:rPr>
        <w:sectPr>
          <w:pgSz w:w="11906" w:h="16838"/>
          <w:pgMar w:top="1440" w:right="1134" w:bottom="1418" w:left="1134" w:header="851" w:footer="936" w:gutter="0"/>
          <w:pgNumType w:fmt="decimal"/>
          <w:cols w:space="720" w:num="1"/>
          <w:docGrid w:linePitch="312" w:charSpace="0"/>
        </w:sectPr>
      </w:pPr>
    </w:p>
    <w:p w14:paraId="7F96511C">
      <w:pPr>
        <w:keepNext/>
        <w:keepLines/>
        <w:widowControl/>
        <w:autoSpaceDE w:val="0"/>
        <w:spacing w:line="360" w:lineRule="auto"/>
        <w:jc w:val="center"/>
        <w:outlineLvl w:val="2"/>
        <w:rPr>
          <w:rFonts w:ascii="宋体" w:hAnsi="宋体" w:cs="宋体"/>
          <w:b/>
          <w:color w:val="auto"/>
          <w:sz w:val="30"/>
          <w:szCs w:val="30"/>
          <w:highlight w:val="none"/>
        </w:rPr>
      </w:pP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五</w:t>
      </w: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rPr>
        <w:t>投标人认为需要提交的其他资料</w:t>
      </w:r>
    </w:p>
    <w:p w14:paraId="1CF78BFE">
      <w:pPr>
        <w:pStyle w:val="31"/>
        <w:ind w:firstLine="210" w:firstLineChars="100"/>
        <w:jc w:val="center"/>
        <w:rPr>
          <w:color w:val="auto"/>
          <w:highlight w:val="none"/>
        </w:rPr>
      </w:pPr>
    </w:p>
    <w:p w14:paraId="3A9ED246">
      <w:pPr>
        <w:pStyle w:val="47"/>
        <w:spacing w:before="0" w:after="0" w:line="460" w:lineRule="exact"/>
        <w:ind w:left="0" w:right="23" w:firstLine="480" w:firstLineChars="200"/>
        <w:jc w:val="both"/>
        <w:rPr>
          <w:rFonts w:ascii="宋体" w:hAnsi="宋体" w:cs="宋体"/>
          <w:color w:val="auto"/>
          <w:highlight w:val="none"/>
        </w:rPr>
        <w:sectPr>
          <w:pgSz w:w="11906" w:h="16838"/>
          <w:pgMar w:top="1440" w:right="1080" w:bottom="1440" w:left="1080" w:header="851" w:footer="992" w:gutter="0"/>
          <w:pgNumType w:fmt="decimal"/>
          <w:cols w:space="720" w:num="1"/>
          <w:docGrid w:type="lines" w:linePitch="312" w:charSpace="0"/>
        </w:sectPr>
      </w:pPr>
    </w:p>
    <w:p w14:paraId="62B3E6DA">
      <w:pPr>
        <w:spacing w:line="500" w:lineRule="exact"/>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lang w:val="en-US" w:eastAsia="zh-CN"/>
        </w:rPr>
        <w:t>七</w:t>
      </w:r>
      <w:r>
        <w:rPr>
          <w:rFonts w:hint="eastAsia" w:ascii="宋体" w:hAnsi="宋体" w:cs="宋体"/>
          <w:b/>
          <w:bCs/>
          <w:color w:val="auto"/>
          <w:kern w:val="0"/>
          <w:sz w:val="30"/>
          <w:szCs w:val="30"/>
          <w:highlight w:val="none"/>
        </w:rPr>
        <w:t>、投标货物技术参数偏离表</w:t>
      </w:r>
    </w:p>
    <w:p w14:paraId="1FC96D9B">
      <w:pPr>
        <w:pStyle w:val="9"/>
        <w:rPr>
          <w:color w:val="auto"/>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14"/>
        <w:gridCol w:w="2905"/>
        <w:gridCol w:w="2869"/>
        <w:gridCol w:w="1241"/>
      </w:tblGrid>
      <w:tr w14:paraId="1508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7" w:type="dxa"/>
            <w:noWrap/>
          </w:tcPr>
          <w:p w14:paraId="4FE8AC4D">
            <w:pPr>
              <w:autoSpaceDE w:val="0"/>
              <w:autoSpaceDN w:val="0"/>
              <w:spacing w:line="500" w:lineRule="exact"/>
              <w:jc w:val="center"/>
              <w:rPr>
                <w:b/>
                <w:bCs/>
                <w:color w:val="auto"/>
                <w:sz w:val="24"/>
                <w:highlight w:val="none"/>
              </w:rPr>
            </w:pPr>
            <w:r>
              <w:rPr>
                <w:rFonts w:hint="eastAsia"/>
                <w:b/>
                <w:bCs/>
                <w:color w:val="auto"/>
                <w:sz w:val="24"/>
                <w:highlight w:val="none"/>
              </w:rPr>
              <w:t>序号</w:t>
            </w:r>
          </w:p>
        </w:tc>
        <w:tc>
          <w:tcPr>
            <w:tcW w:w="1314" w:type="dxa"/>
            <w:noWrap/>
          </w:tcPr>
          <w:p w14:paraId="42CD65C3">
            <w:pPr>
              <w:autoSpaceDE w:val="0"/>
              <w:autoSpaceDN w:val="0"/>
              <w:spacing w:line="500" w:lineRule="exact"/>
              <w:jc w:val="center"/>
              <w:rPr>
                <w:b/>
                <w:bCs/>
                <w:color w:val="auto"/>
                <w:sz w:val="24"/>
                <w:highlight w:val="none"/>
              </w:rPr>
            </w:pPr>
            <w:r>
              <w:rPr>
                <w:b/>
                <w:bCs/>
                <w:color w:val="auto"/>
                <w:sz w:val="24"/>
                <w:highlight w:val="none"/>
              </w:rPr>
              <w:t>名称</w:t>
            </w:r>
          </w:p>
        </w:tc>
        <w:tc>
          <w:tcPr>
            <w:tcW w:w="2905" w:type="dxa"/>
            <w:noWrap/>
          </w:tcPr>
          <w:p w14:paraId="679C51F2">
            <w:pPr>
              <w:autoSpaceDE w:val="0"/>
              <w:autoSpaceDN w:val="0"/>
              <w:spacing w:line="500" w:lineRule="exact"/>
              <w:jc w:val="center"/>
              <w:rPr>
                <w:b/>
                <w:bCs/>
                <w:color w:val="auto"/>
                <w:sz w:val="24"/>
                <w:highlight w:val="none"/>
              </w:rPr>
            </w:pPr>
            <w:r>
              <w:rPr>
                <w:b/>
                <w:bCs/>
                <w:color w:val="auto"/>
                <w:sz w:val="24"/>
                <w:highlight w:val="none"/>
              </w:rPr>
              <w:t>招标文件技术参数</w:t>
            </w:r>
          </w:p>
        </w:tc>
        <w:tc>
          <w:tcPr>
            <w:tcW w:w="2869" w:type="dxa"/>
            <w:noWrap/>
          </w:tcPr>
          <w:p w14:paraId="4F944F59">
            <w:pPr>
              <w:autoSpaceDE w:val="0"/>
              <w:autoSpaceDN w:val="0"/>
              <w:spacing w:line="500" w:lineRule="exact"/>
              <w:jc w:val="center"/>
              <w:rPr>
                <w:b/>
                <w:bCs/>
                <w:color w:val="auto"/>
                <w:sz w:val="24"/>
                <w:highlight w:val="none"/>
              </w:rPr>
            </w:pPr>
            <w:r>
              <w:rPr>
                <w:b/>
                <w:bCs/>
                <w:color w:val="auto"/>
                <w:sz w:val="24"/>
                <w:highlight w:val="none"/>
              </w:rPr>
              <w:t>投标文件技术参数</w:t>
            </w:r>
          </w:p>
        </w:tc>
        <w:tc>
          <w:tcPr>
            <w:tcW w:w="1241" w:type="dxa"/>
            <w:noWrap/>
          </w:tcPr>
          <w:p w14:paraId="31699BA1">
            <w:pPr>
              <w:autoSpaceDE w:val="0"/>
              <w:autoSpaceDN w:val="0"/>
              <w:spacing w:line="500" w:lineRule="exact"/>
              <w:jc w:val="center"/>
              <w:rPr>
                <w:b/>
                <w:bCs/>
                <w:color w:val="auto"/>
                <w:sz w:val="24"/>
                <w:highlight w:val="none"/>
              </w:rPr>
            </w:pPr>
            <w:r>
              <w:rPr>
                <w:b/>
                <w:bCs/>
                <w:color w:val="auto"/>
                <w:sz w:val="24"/>
                <w:highlight w:val="none"/>
              </w:rPr>
              <w:t>偏离说明</w:t>
            </w:r>
          </w:p>
        </w:tc>
      </w:tr>
      <w:tr w14:paraId="5EAD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10DF1C94">
            <w:pPr>
              <w:autoSpaceDE w:val="0"/>
              <w:autoSpaceDN w:val="0"/>
              <w:spacing w:line="500" w:lineRule="exact"/>
              <w:jc w:val="center"/>
              <w:rPr>
                <w:b/>
                <w:color w:val="auto"/>
                <w:sz w:val="24"/>
                <w:highlight w:val="none"/>
              </w:rPr>
            </w:pPr>
          </w:p>
        </w:tc>
        <w:tc>
          <w:tcPr>
            <w:tcW w:w="1314" w:type="dxa"/>
            <w:noWrap/>
          </w:tcPr>
          <w:p w14:paraId="2B74CA07">
            <w:pPr>
              <w:autoSpaceDE w:val="0"/>
              <w:autoSpaceDN w:val="0"/>
              <w:spacing w:line="500" w:lineRule="exact"/>
              <w:rPr>
                <w:b/>
                <w:color w:val="auto"/>
                <w:sz w:val="24"/>
                <w:highlight w:val="none"/>
              </w:rPr>
            </w:pPr>
          </w:p>
        </w:tc>
        <w:tc>
          <w:tcPr>
            <w:tcW w:w="2905" w:type="dxa"/>
            <w:noWrap/>
          </w:tcPr>
          <w:p w14:paraId="5D2E670E">
            <w:pPr>
              <w:autoSpaceDE w:val="0"/>
              <w:autoSpaceDN w:val="0"/>
              <w:spacing w:line="500" w:lineRule="exact"/>
              <w:rPr>
                <w:b/>
                <w:color w:val="auto"/>
                <w:sz w:val="24"/>
                <w:highlight w:val="none"/>
              </w:rPr>
            </w:pPr>
          </w:p>
        </w:tc>
        <w:tc>
          <w:tcPr>
            <w:tcW w:w="2869" w:type="dxa"/>
            <w:noWrap/>
          </w:tcPr>
          <w:p w14:paraId="7E984BF0">
            <w:pPr>
              <w:autoSpaceDE w:val="0"/>
              <w:autoSpaceDN w:val="0"/>
              <w:spacing w:line="500" w:lineRule="exact"/>
              <w:rPr>
                <w:b/>
                <w:color w:val="auto"/>
                <w:sz w:val="24"/>
                <w:highlight w:val="none"/>
              </w:rPr>
            </w:pPr>
          </w:p>
        </w:tc>
        <w:tc>
          <w:tcPr>
            <w:tcW w:w="1241" w:type="dxa"/>
            <w:noWrap/>
          </w:tcPr>
          <w:p w14:paraId="686E3552">
            <w:pPr>
              <w:autoSpaceDE w:val="0"/>
              <w:autoSpaceDN w:val="0"/>
              <w:spacing w:line="500" w:lineRule="exact"/>
              <w:rPr>
                <w:b/>
                <w:color w:val="auto"/>
                <w:sz w:val="24"/>
                <w:highlight w:val="none"/>
              </w:rPr>
            </w:pPr>
          </w:p>
        </w:tc>
      </w:tr>
      <w:tr w14:paraId="5582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66264CD3">
            <w:pPr>
              <w:autoSpaceDE w:val="0"/>
              <w:autoSpaceDN w:val="0"/>
              <w:spacing w:line="500" w:lineRule="exact"/>
              <w:jc w:val="center"/>
              <w:rPr>
                <w:b/>
                <w:color w:val="auto"/>
                <w:sz w:val="24"/>
                <w:highlight w:val="none"/>
              </w:rPr>
            </w:pPr>
          </w:p>
        </w:tc>
        <w:tc>
          <w:tcPr>
            <w:tcW w:w="1314" w:type="dxa"/>
            <w:noWrap/>
          </w:tcPr>
          <w:p w14:paraId="3A0484BF">
            <w:pPr>
              <w:autoSpaceDE w:val="0"/>
              <w:autoSpaceDN w:val="0"/>
              <w:spacing w:line="500" w:lineRule="exact"/>
              <w:rPr>
                <w:b/>
                <w:color w:val="auto"/>
                <w:sz w:val="24"/>
                <w:highlight w:val="none"/>
              </w:rPr>
            </w:pPr>
          </w:p>
        </w:tc>
        <w:tc>
          <w:tcPr>
            <w:tcW w:w="2905" w:type="dxa"/>
            <w:noWrap/>
          </w:tcPr>
          <w:p w14:paraId="5AAC840D">
            <w:pPr>
              <w:autoSpaceDE w:val="0"/>
              <w:autoSpaceDN w:val="0"/>
              <w:spacing w:line="500" w:lineRule="exact"/>
              <w:rPr>
                <w:b/>
                <w:color w:val="auto"/>
                <w:sz w:val="24"/>
                <w:highlight w:val="none"/>
              </w:rPr>
            </w:pPr>
          </w:p>
        </w:tc>
        <w:tc>
          <w:tcPr>
            <w:tcW w:w="2869" w:type="dxa"/>
            <w:noWrap/>
          </w:tcPr>
          <w:p w14:paraId="51CE277A">
            <w:pPr>
              <w:autoSpaceDE w:val="0"/>
              <w:autoSpaceDN w:val="0"/>
              <w:spacing w:line="500" w:lineRule="exact"/>
              <w:rPr>
                <w:b/>
                <w:color w:val="auto"/>
                <w:sz w:val="24"/>
                <w:highlight w:val="none"/>
              </w:rPr>
            </w:pPr>
          </w:p>
        </w:tc>
        <w:tc>
          <w:tcPr>
            <w:tcW w:w="1241" w:type="dxa"/>
            <w:noWrap/>
          </w:tcPr>
          <w:p w14:paraId="265924E5">
            <w:pPr>
              <w:autoSpaceDE w:val="0"/>
              <w:autoSpaceDN w:val="0"/>
              <w:spacing w:line="500" w:lineRule="exact"/>
              <w:rPr>
                <w:b/>
                <w:color w:val="auto"/>
                <w:sz w:val="24"/>
                <w:highlight w:val="none"/>
              </w:rPr>
            </w:pPr>
          </w:p>
        </w:tc>
      </w:tr>
      <w:tr w14:paraId="5BA9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66E41E7F">
            <w:pPr>
              <w:autoSpaceDE w:val="0"/>
              <w:autoSpaceDN w:val="0"/>
              <w:spacing w:line="500" w:lineRule="exact"/>
              <w:jc w:val="center"/>
              <w:rPr>
                <w:b/>
                <w:color w:val="auto"/>
                <w:sz w:val="24"/>
                <w:highlight w:val="none"/>
              </w:rPr>
            </w:pPr>
          </w:p>
        </w:tc>
        <w:tc>
          <w:tcPr>
            <w:tcW w:w="1314" w:type="dxa"/>
            <w:noWrap/>
          </w:tcPr>
          <w:p w14:paraId="4C8BD29F">
            <w:pPr>
              <w:autoSpaceDE w:val="0"/>
              <w:autoSpaceDN w:val="0"/>
              <w:spacing w:line="500" w:lineRule="exact"/>
              <w:rPr>
                <w:b/>
                <w:color w:val="auto"/>
                <w:sz w:val="24"/>
                <w:highlight w:val="none"/>
              </w:rPr>
            </w:pPr>
          </w:p>
        </w:tc>
        <w:tc>
          <w:tcPr>
            <w:tcW w:w="2905" w:type="dxa"/>
            <w:noWrap/>
          </w:tcPr>
          <w:p w14:paraId="5D0B36A1">
            <w:pPr>
              <w:autoSpaceDE w:val="0"/>
              <w:autoSpaceDN w:val="0"/>
              <w:spacing w:line="500" w:lineRule="exact"/>
              <w:rPr>
                <w:b/>
                <w:color w:val="auto"/>
                <w:sz w:val="24"/>
                <w:highlight w:val="none"/>
              </w:rPr>
            </w:pPr>
          </w:p>
        </w:tc>
        <w:tc>
          <w:tcPr>
            <w:tcW w:w="2869" w:type="dxa"/>
            <w:noWrap/>
          </w:tcPr>
          <w:p w14:paraId="073D34F6">
            <w:pPr>
              <w:autoSpaceDE w:val="0"/>
              <w:autoSpaceDN w:val="0"/>
              <w:spacing w:line="500" w:lineRule="exact"/>
              <w:rPr>
                <w:b/>
                <w:color w:val="auto"/>
                <w:sz w:val="24"/>
                <w:highlight w:val="none"/>
              </w:rPr>
            </w:pPr>
          </w:p>
        </w:tc>
        <w:tc>
          <w:tcPr>
            <w:tcW w:w="1241" w:type="dxa"/>
            <w:noWrap/>
          </w:tcPr>
          <w:p w14:paraId="256ED92A">
            <w:pPr>
              <w:autoSpaceDE w:val="0"/>
              <w:autoSpaceDN w:val="0"/>
              <w:spacing w:line="500" w:lineRule="exact"/>
              <w:rPr>
                <w:b/>
                <w:color w:val="auto"/>
                <w:sz w:val="24"/>
                <w:highlight w:val="none"/>
              </w:rPr>
            </w:pPr>
          </w:p>
        </w:tc>
      </w:tr>
      <w:tr w14:paraId="2BE8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noWrap/>
            <w:vAlign w:val="center"/>
          </w:tcPr>
          <w:p w14:paraId="16D8468A">
            <w:pPr>
              <w:autoSpaceDE w:val="0"/>
              <w:autoSpaceDN w:val="0"/>
              <w:spacing w:line="500" w:lineRule="exact"/>
              <w:jc w:val="center"/>
              <w:rPr>
                <w:b/>
                <w:bCs/>
                <w:color w:val="auto"/>
                <w:sz w:val="24"/>
                <w:highlight w:val="none"/>
              </w:rPr>
            </w:pPr>
          </w:p>
        </w:tc>
        <w:tc>
          <w:tcPr>
            <w:tcW w:w="1314" w:type="dxa"/>
            <w:noWrap/>
          </w:tcPr>
          <w:p w14:paraId="6BAB93CD">
            <w:pPr>
              <w:autoSpaceDE w:val="0"/>
              <w:autoSpaceDN w:val="0"/>
              <w:spacing w:line="500" w:lineRule="exact"/>
              <w:jc w:val="center"/>
              <w:rPr>
                <w:b/>
                <w:bCs/>
                <w:color w:val="auto"/>
                <w:sz w:val="24"/>
                <w:highlight w:val="none"/>
              </w:rPr>
            </w:pPr>
          </w:p>
        </w:tc>
        <w:tc>
          <w:tcPr>
            <w:tcW w:w="2905" w:type="dxa"/>
            <w:noWrap/>
          </w:tcPr>
          <w:p w14:paraId="15A332B5">
            <w:pPr>
              <w:autoSpaceDE w:val="0"/>
              <w:autoSpaceDN w:val="0"/>
              <w:spacing w:line="500" w:lineRule="exact"/>
              <w:rPr>
                <w:b/>
                <w:color w:val="auto"/>
                <w:sz w:val="24"/>
                <w:highlight w:val="none"/>
              </w:rPr>
            </w:pPr>
          </w:p>
        </w:tc>
        <w:tc>
          <w:tcPr>
            <w:tcW w:w="2869" w:type="dxa"/>
            <w:noWrap/>
          </w:tcPr>
          <w:p w14:paraId="6C2DF426">
            <w:pPr>
              <w:autoSpaceDE w:val="0"/>
              <w:autoSpaceDN w:val="0"/>
              <w:spacing w:line="500" w:lineRule="exact"/>
              <w:rPr>
                <w:b/>
                <w:color w:val="auto"/>
                <w:sz w:val="24"/>
                <w:highlight w:val="none"/>
              </w:rPr>
            </w:pPr>
          </w:p>
        </w:tc>
        <w:tc>
          <w:tcPr>
            <w:tcW w:w="1241" w:type="dxa"/>
            <w:noWrap/>
          </w:tcPr>
          <w:p w14:paraId="134705B6">
            <w:pPr>
              <w:autoSpaceDE w:val="0"/>
              <w:autoSpaceDN w:val="0"/>
              <w:spacing w:line="500" w:lineRule="exact"/>
              <w:rPr>
                <w:b/>
                <w:color w:val="auto"/>
                <w:sz w:val="24"/>
                <w:highlight w:val="none"/>
              </w:rPr>
            </w:pPr>
          </w:p>
        </w:tc>
      </w:tr>
    </w:tbl>
    <w:p w14:paraId="07C9219A">
      <w:pPr>
        <w:autoSpaceDE w:val="0"/>
        <w:autoSpaceDN w:val="0"/>
        <w:spacing w:line="500" w:lineRule="exact"/>
        <w:rPr>
          <w:rFonts w:ascii="宋体" w:hAnsi="宋体" w:cs="宋体"/>
          <w:color w:val="auto"/>
          <w:sz w:val="24"/>
          <w:highlight w:val="none"/>
        </w:rPr>
      </w:pPr>
    </w:p>
    <w:p w14:paraId="14353E07">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注：</w:t>
      </w:r>
    </w:p>
    <w:p w14:paraId="7B4B1EDA">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1.投标人必须对应招标文件第五章采购需求中的</w:t>
      </w:r>
      <w:r>
        <w:rPr>
          <w:rFonts w:hint="eastAsia" w:ascii="宋体" w:hAnsi="宋体" w:cs="宋体"/>
          <w:color w:val="auto"/>
          <w:sz w:val="24"/>
          <w:highlight w:val="none"/>
          <w:lang w:val="en-US" w:eastAsia="zh-CN"/>
        </w:rPr>
        <w:t>全部货物</w:t>
      </w:r>
      <w:r>
        <w:rPr>
          <w:rFonts w:hint="eastAsia" w:ascii="宋体" w:hAnsi="宋体" w:cs="宋体"/>
          <w:color w:val="auto"/>
          <w:sz w:val="24"/>
          <w:highlight w:val="none"/>
        </w:rPr>
        <w:t>参数内容逐条响应。</w:t>
      </w:r>
    </w:p>
    <w:p w14:paraId="42FC0848">
      <w:pPr>
        <w:autoSpaceDE w:val="0"/>
        <w:autoSpaceDN w:val="0"/>
        <w:spacing w:line="460" w:lineRule="exact"/>
        <w:rPr>
          <w:rFonts w:ascii="宋体" w:hAnsi="宋体" w:cs="宋体"/>
          <w:color w:val="auto"/>
          <w:sz w:val="24"/>
          <w:highlight w:val="none"/>
        </w:rPr>
      </w:pPr>
      <w:r>
        <w:rPr>
          <w:rFonts w:hint="eastAsia" w:ascii="宋体" w:hAnsi="宋体" w:cs="宋体"/>
          <w:bCs/>
          <w:color w:val="auto"/>
          <w:sz w:val="24"/>
          <w:highlight w:val="none"/>
        </w:rPr>
        <w:t>2.投标人应按投标货物实际数据填写</w:t>
      </w:r>
      <w:r>
        <w:rPr>
          <w:rFonts w:hint="eastAsia" w:ascii="宋体" w:hAnsi="宋体" w:cs="宋体"/>
          <w:color w:val="auto"/>
          <w:sz w:val="24"/>
          <w:highlight w:val="none"/>
        </w:rPr>
        <w:t>实际参数</w:t>
      </w:r>
      <w:r>
        <w:rPr>
          <w:rFonts w:hint="eastAsia" w:ascii="宋体" w:hAnsi="宋体" w:cs="宋体"/>
          <w:bCs/>
          <w:color w:val="auto"/>
          <w:sz w:val="24"/>
          <w:highlight w:val="none"/>
        </w:rPr>
        <w:t>。</w:t>
      </w:r>
    </w:p>
    <w:p w14:paraId="48384EA5">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3.投标人响应采购需求应具体、明确；含糊不清、不确切的，按照不完全响应或者完全不响应处理。</w:t>
      </w:r>
    </w:p>
    <w:p w14:paraId="672E7C14">
      <w:pPr>
        <w:autoSpaceDE w:val="0"/>
        <w:autoSpaceDN w:val="0"/>
        <w:spacing w:line="460" w:lineRule="exact"/>
        <w:rPr>
          <w:rFonts w:ascii="宋体" w:hAnsi="宋体" w:cs="宋体"/>
          <w:color w:val="auto"/>
          <w:sz w:val="24"/>
          <w:highlight w:val="none"/>
        </w:rPr>
      </w:pPr>
      <w:r>
        <w:rPr>
          <w:rFonts w:hint="eastAsia" w:ascii="宋体" w:hAnsi="宋体" w:cs="宋体"/>
          <w:color w:val="auto"/>
          <w:sz w:val="24"/>
          <w:highlight w:val="none"/>
        </w:rPr>
        <w:t>4.本表可根据实际需求自行增减行数，但内容不得擅自修改。</w:t>
      </w:r>
    </w:p>
    <w:p w14:paraId="6AC73F6E">
      <w:pPr>
        <w:autoSpaceDE w:val="0"/>
        <w:autoSpaceDN w:val="0"/>
        <w:spacing w:line="460" w:lineRule="exact"/>
        <w:rPr>
          <w:rFonts w:ascii="宋体" w:hAnsi="宋体" w:cs="宋体"/>
          <w:bCs/>
          <w:color w:val="auto"/>
          <w:sz w:val="24"/>
          <w:highlight w:val="none"/>
        </w:rPr>
      </w:pPr>
      <w:r>
        <w:rPr>
          <w:rFonts w:hint="eastAsia" w:ascii="宋体" w:hAnsi="宋体" w:cs="宋体"/>
          <w:bCs/>
          <w:color w:val="auto"/>
          <w:sz w:val="24"/>
          <w:highlight w:val="none"/>
        </w:rPr>
        <w:t>5.后附相关证明材料。</w:t>
      </w:r>
    </w:p>
    <w:p w14:paraId="4FEDA03A">
      <w:pPr>
        <w:spacing w:line="460" w:lineRule="exact"/>
        <w:rPr>
          <w:color w:val="auto"/>
          <w:sz w:val="24"/>
          <w:highlight w:val="none"/>
        </w:rPr>
      </w:pPr>
    </w:p>
    <w:p w14:paraId="40C40212">
      <w:pPr>
        <w:spacing w:line="560" w:lineRule="exact"/>
        <w:ind w:firstLine="480" w:firstLineChars="200"/>
        <w:rPr>
          <w:rFonts w:ascii="宋体"/>
          <w:color w:val="auto"/>
          <w:sz w:val="24"/>
          <w:highlight w:val="none"/>
        </w:rPr>
      </w:pPr>
      <w:r>
        <w:rPr>
          <w:rFonts w:hint="eastAsia" w:ascii="宋体" w:hAnsi="宋体" w:cs="宋体"/>
          <w:color w:val="auto"/>
          <w:sz w:val="24"/>
          <w:highlight w:val="none"/>
        </w:rPr>
        <w:t>投标人（加盖电子公章）：</w:t>
      </w:r>
      <w:r>
        <w:rPr>
          <w:rFonts w:hint="eastAsia" w:ascii="宋体" w:hAnsi="宋体" w:cs="宋体"/>
          <w:color w:val="auto"/>
          <w:sz w:val="24"/>
          <w:highlight w:val="none"/>
          <w:u w:val="single"/>
        </w:rPr>
        <w:t>　　　　　　　　　　　　</w:t>
      </w:r>
    </w:p>
    <w:p w14:paraId="4B374797">
      <w:pPr>
        <w:spacing w:line="560" w:lineRule="exact"/>
        <w:ind w:firstLine="480" w:firstLineChars="200"/>
        <w:rPr>
          <w:rFonts w:ascii="宋体"/>
          <w:color w:val="auto"/>
          <w:sz w:val="24"/>
          <w:highlight w:val="none"/>
        </w:rPr>
      </w:pPr>
      <w:r>
        <w:rPr>
          <w:rFonts w:hint="eastAsia" w:ascii="宋体" w:hAnsi="宋体" w:cs="宋体"/>
          <w:color w:val="auto"/>
          <w:sz w:val="24"/>
          <w:highlight w:val="none"/>
        </w:rPr>
        <w:t>法定代表人或其委托代理人（</w:t>
      </w:r>
      <w:r>
        <w:rPr>
          <w:rFonts w:hint="eastAsia" w:ascii="宋体" w:hAnsi="宋体" w:cs="宋体"/>
          <w:color w:val="auto"/>
          <w:sz w:val="24"/>
          <w:szCs w:val="24"/>
          <w:highlight w:val="none"/>
        </w:rPr>
        <w:t>签字或电子签名或电子签章</w:t>
      </w:r>
      <w:r>
        <w:rPr>
          <w:rFonts w:hint="eastAsia" w:ascii="宋体" w:hAnsi="宋体" w:cs="宋体"/>
          <w:color w:val="auto"/>
          <w:sz w:val="24"/>
          <w:highlight w:val="none"/>
        </w:rPr>
        <w:t>）：</w:t>
      </w:r>
      <w:r>
        <w:rPr>
          <w:rFonts w:hint="eastAsia" w:ascii="宋体" w:hAnsi="宋体" w:cs="宋体"/>
          <w:color w:val="auto"/>
          <w:sz w:val="24"/>
          <w:highlight w:val="none"/>
          <w:u w:val="single"/>
        </w:rPr>
        <w:t>　　　　　　　　　　</w:t>
      </w:r>
    </w:p>
    <w:p w14:paraId="2443D38D">
      <w:pPr>
        <w:adjustRightInd w:val="0"/>
        <w:spacing w:line="560" w:lineRule="exact"/>
        <w:ind w:firstLine="480" w:firstLineChars="200"/>
        <w:rPr>
          <w:rFonts w:ascii="宋体" w:hAnsi="宋体" w:cs="宋体"/>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cs="宋体"/>
          <w:color w:val="auto"/>
          <w:sz w:val="24"/>
          <w:highlight w:val="none"/>
        </w:rPr>
        <w:t>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p w14:paraId="4BC4DEF3">
      <w:pPr>
        <w:keepNext/>
        <w:keepLines/>
        <w:widowControl/>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八</w:t>
      </w:r>
      <w:r>
        <w:rPr>
          <w:rFonts w:hint="eastAsia" w:ascii="宋体" w:hAnsi="宋体" w:cs="宋体"/>
          <w:b/>
          <w:color w:val="auto"/>
          <w:sz w:val="30"/>
          <w:szCs w:val="30"/>
          <w:highlight w:val="none"/>
        </w:rPr>
        <w:t>、</w:t>
      </w:r>
      <w:r>
        <w:rPr>
          <w:rFonts w:hint="eastAsia" w:ascii="宋体" w:hAnsi="宋体" w:cs="宋体"/>
          <w:b/>
          <w:color w:val="auto"/>
          <w:sz w:val="30"/>
          <w:szCs w:val="30"/>
          <w:highlight w:val="none"/>
          <w:lang w:val="en-US" w:eastAsia="zh-CN"/>
        </w:rPr>
        <w:t>项目</w:t>
      </w:r>
      <w:r>
        <w:rPr>
          <w:rFonts w:hint="eastAsia" w:ascii="宋体" w:hAnsi="宋体" w:cs="宋体"/>
          <w:b/>
          <w:color w:val="auto"/>
          <w:sz w:val="30"/>
          <w:szCs w:val="30"/>
          <w:highlight w:val="none"/>
        </w:rPr>
        <w:t>实施方案</w:t>
      </w:r>
    </w:p>
    <w:p w14:paraId="0C2EA52A">
      <w:pPr>
        <w:pStyle w:val="47"/>
        <w:spacing w:before="0" w:after="0" w:line="460" w:lineRule="exact"/>
        <w:ind w:left="0" w:right="23" w:firstLine="480" w:firstLineChars="200"/>
        <w:jc w:val="left"/>
        <w:rPr>
          <w:rFonts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6460E974">
      <w:pPr>
        <w:keepNext/>
        <w:keepLines/>
        <w:widowControl/>
        <w:autoSpaceDE w:val="0"/>
        <w:spacing w:line="360" w:lineRule="auto"/>
        <w:jc w:val="left"/>
        <w:outlineLvl w:val="2"/>
        <w:rPr>
          <w:rFonts w:ascii="宋体" w:hAnsi="宋体" w:cs="宋体"/>
          <w:b/>
          <w:color w:val="auto"/>
          <w:sz w:val="30"/>
          <w:szCs w:val="30"/>
          <w:highlight w:val="none"/>
        </w:rPr>
      </w:pPr>
    </w:p>
    <w:p w14:paraId="6B1AB223">
      <w:pPr>
        <w:keepNext/>
        <w:keepLines/>
        <w:widowControl/>
        <w:numPr>
          <w:ilvl w:val="0"/>
          <w:numId w:val="0"/>
        </w:numPr>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九、培训方案及保障措施</w:t>
      </w:r>
    </w:p>
    <w:p w14:paraId="57CC7F98">
      <w:pPr>
        <w:pStyle w:val="47"/>
        <w:spacing w:before="0" w:after="0" w:line="460" w:lineRule="exact"/>
        <w:ind w:left="0" w:right="23" w:firstLine="480" w:firstLineChars="200"/>
        <w:jc w:val="left"/>
        <w:rPr>
          <w:rFonts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2255C90F">
      <w:pPr>
        <w:keepNext/>
        <w:keepLines/>
        <w:widowControl/>
        <w:autoSpaceDE w:val="0"/>
        <w:spacing w:line="360" w:lineRule="auto"/>
        <w:jc w:val="left"/>
        <w:outlineLvl w:val="2"/>
        <w:rPr>
          <w:rFonts w:ascii="宋体" w:hAnsi="宋体" w:cs="宋体"/>
          <w:b/>
          <w:color w:val="auto"/>
          <w:sz w:val="30"/>
          <w:szCs w:val="30"/>
          <w:highlight w:val="none"/>
        </w:rPr>
      </w:pPr>
    </w:p>
    <w:p w14:paraId="57803418">
      <w:pPr>
        <w:keepNext/>
        <w:keepLines/>
        <w:widowControl/>
        <w:numPr>
          <w:ilvl w:val="0"/>
          <w:numId w:val="0"/>
        </w:numPr>
        <w:autoSpaceDE w:val="0"/>
        <w:spacing w:line="360" w:lineRule="auto"/>
        <w:jc w:val="left"/>
        <w:outlineLvl w:val="2"/>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十、售后服务方案</w:t>
      </w:r>
    </w:p>
    <w:p w14:paraId="4EED9BFD">
      <w:pPr>
        <w:pStyle w:val="47"/>
        <w:spacing w:before="0" w:after="0" w:line="460" w:lineRule="exact"/>
        <w:ind w:left="0" w:right="23" w:firstLine="480" w:firstLineChars="200"/>
        <w:jc w:val="left"/>
        <w:rPr>
          <w:rFonts w:hint="eastAsia" w:ascii="宋体" w:hAnsi="宋体" w:cs="宋体"/>
          <w:color w:val="auto"/>
          <w:highlight w:val="none"/>
        </w:rPr>
      </w:pPr>
      <w:r>
        <w:rPr>
          <w:rFonts w:hint="eastAsia" w:ascii="宋体" w:hAnsi="宋体" w:cs="宋体"/>
          <w:color w:val="auto"/>
          <w:highlight w:val="none"/>
        </w:rPr>
        <w:t>注：以上内容投标人根据评标办法结合自身实际情况编写，格式自拟。</w:t>
      </w:r>
    </w:p>
    <w:p w14:paraId="34E8C08C">
      <w:pPr>
        <w:keepNext/>
        <w:keepLines/>
        <w:widowControl/>
        <w:numPr>
          <w:ilvl w:val="0"/>
          <w:numId w:val="0"/>
        </w:numPr>
        <w:autoSpaceDE w:val="0"/>
        <w:spacing w:line="360" w:lineRule="auto"/>
        <w:jc w:val="left"/>
        <w:outlineLvl w:val="2"/>
        <w:rPr>
          <w:rFonts w:hint="eastAsia" w:ascii="宋体" w:hAnsi="宋体" w:eastAsia="宋体" w:cs="宋体"/>
          <w:b/>
          <w:color w:val="auto"/>
          <w:sz w:val="30"/>
          <w:szCs w:val="30"/>
          <w:highlight w:val="none"/>
          <w:lang w:val="en-US" w:eastAsia="zh-CN"/>
        </w:rPr>
      </w:pPr>
    </w:p>
    <w:p w14:paraId="007CD241">
      <w:pPr>
        <w:keepNext/>
        <w:keepLines/>
        <w:widowControl/>
        <w:numPr>
          <w:ilvl w:val="0"/>
          <w:numId w:val="0"/>
        </w:numPr>
        <w:autoSpaceDE w:val="0"/>
        <w:spacing w:line="360" w:lineRule="auto"/>
        <w:jc w:val="left"/>
        <w:outlineLvl w:val="2"/>
        <w:rPr>
          <w:rFonts w:hint="eastAsia"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十一、</w:t>
      </w:r>
      <w:r>
        <w:rPr>
          <w:rFonts w:hint="eastAsia" w:ascii="宋体" w:hAnsi="宋体" w:eastAsia="宋体" w:cs="宋体"/>
          <w:b/>
          <w:color w:val="auto"/>
          <w:sz w:val="30"/>
          <w:szCs w:val="30"/>
          <w:highlight w:val="none"/>
          <w:lang w:val="en-US" w:eastAsia="zh-CN"/>
        </w:rPr>
        <w:t>样品（快反装备包）</w:t>
      </w:r>
    </w:p>
    <w:p w14:paraId="245EDE0A">
      <w:pPr>
        <w:pStyle w:val="47"/>
        <w:spacing w:before="0" w:after="0" w:line="460" w:lineRule="exact"/>
        <w:ind w:left="0" w:right="23"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投标人的样品需在提交投标文件截止时间</w:t>
      </w:r>
      <w:r>
        <w:rPr>
          <w:rFonts w:hint="eastAsia" w:ascii="宋体" w:hAnsi="宋体" w:eastAsia="宋体" w:cs="宋体"/>
          <w:color w:val="auto"/>
          <w:highlight w:val="none"/>
          <w:lang w:val="en-US" w:eastAsia="zh-CN"/>
        </w:rPr>
        <w:t>前</w:t>
      </w:r>
      <w:r>
        <w:rPr>
          <w:rFonts w:hint="eastAsia" w:ascii="宋体" w:hAnsi="宋体" w:eastAsia="宋体" w:cs="宋体"/>
          <w:color w:val="auto"/>
          <w:highlight w:val="none"/>
          <w:lang w:eastAsia="zh-CN"/>
        </w:rPr>
        <w:t>在云南立友工程咨询有限公司二楼会议室（云南省德宏州芒市榕树北路5号）摆放完好，样品应密封完好，外包装上需注明项目名称、</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lang w:eastAsia="zh-CN"/>
        </w:rPr>
        <w:t>编号、产品名称、单位名称。</w:t>
      </w:r>
      <w:r>
        <w:rPr>
          <w:rFonts w:hint="eastAsia" w:ascii="宋体" w:hAnsi="宋体" w:eastAsia="宋体" w:cs="宋体"/>
          <w:color w:val="auto"/>
          <w:highlight w:val="none"/>
          <w:lang w:val="en-US" w:eastAsia="zh-CN"/>
        </w:rPr>
        <w:t>开标时，由采购代理公司进行现场编号，</w:t>
      </w:r>
      <w:r>
        <w:rPr>
          <w:rFonts w:hint="eastAsia" w:ascii="宋体" w:hAnsi="宋体" w:eastAsia="宋体" w:cs="宋体"/>
          <w:color w:val="auto"/>
          <w:highlight w:val="none"/>
          <w:lang w:eastAsia="zh-CN"/>
        </w:rPr>
        <w:t>样品将作为投标文件的有效附件，中标人样品作为验收时的依据，</w:t>
      </w:r>
      <w:r>
        <w:rPr>
          <w:rFonts w:hint="eastAsia" w:ascii="宋体" w:hAnsi="宋体" w:eastAsia="宋体" w:cs="宋体"/>
          <w:color w:val="auto"/>
          <w:highlight w:val="none"/>
          <w:lang w:val="en-US" w:eastAsia="zh-CN"/>
        </w:rPr>
        <w:t>除中标人的样品在采购货物全部验收合格后退还外（中标人的样品在评审结束后由采购人统一保存）</w:t>
      </w:r>
      <w:r>
        <w:rPr>
          <w:rFonts w:hint="eastAsia" w:ascii="宋体" w:hAnsi="宋体" w:eastAsia="宋体" w:cs="宋体"/>
          <w:color w:val="auto"/>
          <w:highlight w:val="none"/>
          <w:lang w:eastAsia="zh-CN"/>
        </w:rPr>
        <w:t>，未中标人样品于评审结束后退还。若投标人所提供的样品在评审过程中受破坏，投标人需自行承担样品破坏经济损失。</w:t>
      </w:r>
    </w:p>
    <w:p w14:paraId="78A9404C">
      <w:pPr>
        <w:pStyle w:val="31"/>
        <w:ind w:firstLine="210" w:firstLineChars="100"/>
        <w:jc w:val="center"/>
        <w:rPr>
          <w:color w:val="auto"/>
          <w:highlight w:val="none"/>
        </w:rPr>
      </w:pPr>
    </w:p>
    <w:sectPr>
      <w:headerReference r:id="rId13" w:type="default"/>
      <w:footerReference r:id="rId14" w:type="default"/>
      <w:pgSz w:w="11906" w:h="16838"/>
      <w:pgMar w:top="1440" w:right="1134" w:bottom="1418" w:left="1134" w:header="851" w:footer="936"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4EFEEBC-A0AE-4F95-81C3-FAF19EE81BB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2" w:fontKey="{009D4FBE-0BF7-4D00-A9C4-C271E8E57051}"/>
  </w:font>
  <w:font w:name="华文楷体">
    <w:altName w:val="宋体"/>
    <w:panose1 w:val="02010600040101010101"/>
    <w:charset w:val="86"/>
    <w:family w:val="auto"/>
    <w:pitch w:val="default"/>
    <w:sig w:usb0="00000000" w:usb1="00000000" w:usb2="00000000" w:usb3="00000000" w:csb0="0004009F" w:csb1="DFD70000"/>
  </w:font>
  <w:font w:name="MS Sans Serif">
    <w:altName w:val="Arial"/>
    <w:panose1 w:val="020B0500000000000000"/>
    <w:charset w:val="00"/>
    <w:family w:val="swiss"/>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FCB9F81-F321-41F0-B6EC-59D52D130041}"/>
  </w:font>
  <w:font w:name="仿宋_GB2312">
    <w:altName w:val="仿宋"/>
    <w:panose1 w:val="00000000000000000000"/>
    <w:charset w:val="86"/>
    <w:family w:val="modern"/>
    <w:pitch w:val="default"/>
    <w:sig w:usb0="00000000" w:usb1="00000000" w:usb2="00000000" w:usb3="00000000" w:csb0="00040000" w:csb1="00000000"/>
  </w:font>
  <w:font w:name="Arial Narrow">
    <w:panose1 w:val="020B0606020202030204"/>
    <w:charset w:val="00"/>
    <w:family w:val="swiss"/>
    <w:pitch w:val="default"/>
    <w:sig w:usb0="00000287" w:usb1="00000800" w:usb2="00000000" w:usb3="00000000" w:csb0="2000009F" w:csb1="DFD70000"/>
    <w:embedRegular r:id="rId4" w:fontKey="{C8CA3D80-2090-4230-92E5-B1C32CEA2E65}"/>
  </w:font>
  <w:font w:name="Verdana">
    <w:panose1 w:val="020B0604030504040204"/>
    <w:charset w:val="00"/>
    <w:family w:val="swiss"/>
    <w:pitch w:val="default"/>
    <w:sig w:usb0="A00006FF" w:usb1="4000205B" w:usb2="00000010" w:usb3="00000000" w:csb0="2000019F" w:csb1="00000000"/>
    <w:embedRegular r:id="rId5" w:fontKey="{F04ADD59-03E0-4DC3-AF02-D3731F87563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56023">
    <w:pPr>
      <w:pStyle w:val="12"/>
      <w:jc w:val="center"/>
    </w:pPr>
  </w:p>
  <w:p w14:paraId="691DE775">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0D61D">
    <w:pPr>
      <w:pStyle w:val="12"/>
      <w:jc w:val="center"/>
    </w:pPr>
    <w:r>
      <w:rPr>
        <w:sz w:val="18"/>
      </w:rPr>
      <w:pict>
        <v:shape id="_x0000_s1041" o:spid="_x0000_s104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A3D7AE2">
                <w:pPr>
                  <w:pStyle w:val="12"/>
                </w:pPr>
                <w:r>
                  <w:fldChar w:fldCharType="begin"/>
                </w:r>
                <w:r>
                  <w:instrText xml:space="preserve"> PAGE  \* MERGEFORMAT </w:instrText>
                </w:r>
                <w:r>
                  <w:fldChar w:fldCharType="separate"/>
                </w:r>
                <w:r>
                  <w:t>1</w:t>
                </w:r>
                <w:r>
                  <w:fldChar w:fldCharType="end"/>
                </w:r>
              </w:p>
            </w:txbxContent>
          </v:textbox>
        </v:shape>
      </w:pict>
    </w:r>
  </w:p>
  <w:p w14:paraId="0CEC481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D5D5A">
    <w:pPr>
      <w:pStyle w:val="12"/>
    </w:pPr>
    <w:r>
      <w:rPr>
        <w:sz w:val="18"/>
      </w:rPr>
      <w:pict>
        <v:shape id="_x0000_s1042" o:spid="_x0000_s104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813F83E">
                <w:pPr>
                  <w:pStyle w:val="12"/>
                </w:pPr>
                <w:r>
                  <w:fldChar w:fldCharType="begin"/>
                </w:r>
                <w:r>
                  <w:instrText xml:space="preserve"> PAGE  \* MERGEFORMAT </w:instrText>
                </w:r>
                <w:r>
                  <w:fldChar w:fldCharType="separate"/>
                </w:r>
                <w:r>
                  <w:t>32</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910E4">
    <w:pPr>
      <w:pStyle w:val="12"/>
      <w:tabs>
        <w:tab w:val="left" w:pos="2743"/>
        <w:tab w:val="clear" w:pos="4153"/>
      </w:tabs>
    </w:pPr>
    <w:r>
      <w:rPr>
        <w:sz w:val="18"/>
      </w:rPr>
      <w:pict>
        <v:shape id="_x0000_s1043" o:spid="_x0000_s1043"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628FE6E0">
                <w:pPr>
                  <w:pStyle w:val="12"/>
                </w:pPr>
                <w:r>
                  <w:fldChar w:fldCharType="begin"/>
                </w:r>
                <w:r>
                  <w:instrText xml:space="preserve"> PAGE  \* MERGEFORMAT </w:instrText>
                </w:r>
                <w:r>
                  <w:fldChar w:fldCharType="separate"/>
                </w:r>
                <w:r>
                  <w:t>31</w:t>
                </w:r>
                <w:r>
                  <w:fldChar w:fldCharType="end"/>
                </w:r>
              </w:p>
            </w:txbxContent>
          </v:textbox>
        </v:shape>
      </w:pict>
    </w:r>
    <w:r>
      <w:rPr>
        <w:rFonts w:hint="eastAsia"/>
      </w:rPr>
      <w:tab/>
    </w:r>
  </w:p>
  <w:p w14:paraId="4D40684B">
    <w:pPr>
      <w:pStyle w:val="12"/>
      <w:tabs>
        <w:tab w:val="left" w:pos="2743"/>
        <w:tab w:val="clear" w:pos="4153"/>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028D3">
    <w:pPr>
      <w:pStyle w:val="12"/>
      <w:tabs>
        <w:tab w:val="center" w:pos="4512"/>
        <w:tab w:val="clear" w:pos="4153"/>
      </w:tabs>
    </w:pPr>
    <w:r>
      <w:rPr>
        <w:sz w:val="18"/>
      </w:rPr>
      <w:pict>
        <v:shape id="_x0000_s1044" o:spid="_x0000_s1044"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31ACDE6">
                <w:pPr>
                  <w:pStyle w:val="12"/>
                </w:pPr>
                <w:r>
                  <w:fldChar w:fldCharType="begin"/>
                </w:r>
                <w:r>
                  <w:instrText xml:space="preserve"> PAGE  \* MERGEFORMAT </w:instrText>
                </w:r>
                <w:r>
                  <w:fldChar w:fldCharType="separate"/>
                </w:r>
                <w:r>
                  <w:t>44</w:t>
                </w:r>
                <w:r>
                  <w:fldChar w:fldCharType="end"/>
                </w:r>
              </w:p>
            </w:txbxContent>
          </v:textbox>
        </v:shape>
      </w:pict>
    </w:r>
    <w:r>
      <w:rPr>
        <w:rFonts w:hint="eastAsia"/>
      </w:rPr>
      <w:tab/>
    </w:r>
  </w:p>
  <w:p w14:paraId="14C507EB">
    <w:pPr>
      <w:pStyle w:val="12"/>
      <w:tabs>
        <w:tab w:val="center" w:pos="4512"/>
        <w:tab w:val="clear" w:pos="415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902FF">
    <w:pPr>
      <w:pStyle w:val="12"/>
      <w:tabs>
        <w:tab w:val="left" w:pos="689"/>
        <w:tab w:val="center" w:pos="5103"/>
      </w:tabs>
    </w:pPr>
    <w:r>
      <w:rPr>
        <w:sz w:val="18"/>
      </w:rPr>
      <w:pict>
        <v:shape id="_x0000_s1045" o:spid="_x0000_s1045"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76EEBA7E">
                <w:pPr>
                  <w:pStyle w:val="12"/>
                </w:pPr>
                <w:r>
                  <w:fldChar w:fldCharType="begin"/>
                </w:r>
                <w:r>
                  <w:instrText xml:space="preserve"> PAGE  \* MERGEFORMAT </w:instrText>
                </w:r>
                <w:r>
                  <w:fldChar w:fldCharType="separate"/>
                </w:r>
                <w:r>
                  <w:t>85</w:t>
                </w:r>
                <w:r>
                  <w:fldChar w:fldCharType="end"/>
                </w:r>
              </w:p>
            </w:txbxContent>
          </v:textbox>
        </v:shape>
      </w:pict>
    </w:r>
    <w:r>
      <w:rPr>
        <w:rFonts w:hint="eastAsia"/>
      </w:rPr>
      <w:tab/>
    </w:r>
    <w:r>
      <w:rPr>
        <w:sz w:val="21"/>
      </w:rPr>
      <w:pict>
        <v:shape id="_x0000_s1029" o:spid="_x0000_s1029" o:spt="202" type="#_x0000_t202" style="position:absolute;left:0pt;margin-left:243.6pt;margin-top:-11.45pt;height:144pt;width:144pt;mso-position-horizontal-relative:margin;mso-wrap-style:none;z-index:251660288;mso-width-relative:page;mso-height-relative:page;" filled="f" stroked="f" coordsize="21600,21600" o:gfxdata="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wp+gHcAAAACwEAAA8AAAAAAAAAAQAg&#10;AAAAIgAAAGRycy9kb3ducmV2LnhtbFBLAQIUABQAAAAIAIdO4kAjgFfJ0QEAAKUDAAAOAAAAAAAA&#10;AAEAIAAAACsBAABkcnMvZTJvRG9jLnhtbFBLBQYAAAAABgAGAFkBAABuBQAAAAA=&#10;">
          <v:path/>
          <v:fill on="f" focussize="0,0"/>
          <v:stroke on="f" weight="1.25pt" joinstyle="miter"/>
          <v:imagedata o:title=""/>
          <o:lock v:ext="edit"/>
          <v:textbox inset="0mm,0mm,0mm,0mm" style="mso-fit-shape-to-text:t;">
            <w:txbxContent>
              <w:p w14:paraId="545CE121">
                <w:pPr>
                  <w:snapToGrid w:val="0"/>
                  <w:rPr>
                    <w:sz w:val="18"/>
                  </w:rPr>
                </w:pP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BE67D">
    <w:pPr>
      <w:pStyle w:val="12"/>
      <w:tabs>
        <w:tab w:val="left" w:pos="689"/>
        <w:tab w:val="center" w:pos="5103"/>
      </w:tabs>
    </w:pPr>
    <w:r>
      <w:rPr>
        <w:sz w:val="18"/>
      </w:rPr>
      <w:pict>
        <v:shape id="_x0000_s1046" o:spid="_x0000_s1046"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062D18C9">
                <w:pPr>
                  <w:pStyle w:val="12"/>
                </w:pPr>
                <w:r>
                  <w:fldChar w:fldCharType="begin"/>
                </w:r>
                <w:r>
                  <w:instrText xml:space="preserve"> PAGE  \* MERGEFORMAT </w:instrText>
                </w:r>
                <w:r>
                  <w:fldChar w:fldCharType="separate"/>
                </w:r>
                <w:r>
                  <w:t>91</w:t>
                </w:r>
                <w:r>
                  <w:fldChar w:fldCharType="end"/>
                </w:r>
              </w:p>
            </w:txbxContent>
          </v:textbox>
        </v:shape>
      </w:pict>
    </w:r>
    <w:r>
      <w:rPr>
        <w:rFonts w:hint="eastAsia"/>
      </w:rPr>
      <w:tab/>
    </w:r>
    <w:r>
      <w:rPr>
        <w:sz w:val="21"/>
      </w:rPr>
      <w:pict>
        <v:shape id="_x0000_s1027" o:spid="_x0000_s1027" o:spt="202" type="#_x0000_t202" style="position:absolute;left:0pt;margin-left:243.6pt;margin-top:-11.45pt;height:144pt;width:144pt;mso-position-horizontal-relative:margin;mso-wrap-style:none;z-index:251659264;mso-width-relative:page;mso-height-relative:page;" filled="f" stroked="f" coordsize="21600,21600" o:gfxdata="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MKfoB3AAAAAsBAAAPAAAAAAAAAAEA&#10;IAAAACIAAABkcnMvZG93bnJldi54bWxQSwECFAAUAAAACACHTuJA3F9X4tIBAACjAwAADgAAAAAA&#10;AAABACAAAAArAQAAZHJzL2Uyb0RvYy54bWxQSwUGAAAAAAYABgBZAQAAbwUAAAAA&#10;">
          <v:path/>
          <v:fill on="f" focussize="0,0"/>
          <v:stroke on="f" weight="1.25pt" joinstyle="miter"/>
          <v:imagedata o:title=""/>
          <o:lock v:ext="edit"/>
          <v:textbox inset="0mm,0mm,0mm,0mm" style="mso-fit-shape-to-text:t;">
            <w:txbxContent>
              <w:p w14:paraId="76BE0A30">
                <w:pPr>
                  <w:snapToGrid w:val="0"/>
                  <w:rPr>
                    <w:sz w:val="18"/>
                  </w:rPr>
                </w:pP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C5E2">
    <w:pPr>
      <w:pStyle w:val="14"/>
      <w:pBdr>
        <w:bottom w:val="none" w:color="auto" w:sz="0" w:space="1"/>
      </w:pBdr>
      <w:ind w:left="1800" w:hanging="1800" w:hangingChars="10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589D3">
    <w:pPr>
      <w:pStyle w:val="14"/>
      <w:pBdr>
        <w:bottom w:val="none" w:color="auto" w:sz="0" w:space="1"/>
      </w:pBdr>
      <w:tabs>
        <w:tab w:val="left" w:pos="3919"/>
        <w:tab w:val="clear" w:pos="4153"/>
      </w:tabs>
      <w:ind w:left="1440" w:hanging="1440" w:hangingChars="80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4588E">
    <w:pPr>
      <w:pStyle w:val="7"/>
      <w:spacing w:line="14" w:lineRule="auto"/>
      <w:rPr>
        <w:sz w:val="20"/>
      </w:rPr>
    </w:pPr>
    <w:r>
      <w:pict>
        <v:shape id="_x0000_s1032" o:spid="_x0000_s1032" o:spt="202" type="#_x0000_t202" style="position:absolute;left:0pt;margin-left:395.8pt;margin-top:42.9pt;height:12pt;width:167.25pt;mso-position-horizontal-relative:page;mso-position-vertical-relative:page;z-index:-251655168;mso-width-relative:page;mso-height-relative:page;" filled="f" stroked="f" coordsize="21600,21600" o:gfxdata="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EDDQF2QAAAAsBAAAPAAAAAAAAAAEAIAAAACIAAABkcnMvZG93&#10;bnJldi54bWxQSwECFAAUAAAACACHTuJAGoG4z8YBAACJAwAADgAAAAAAAAABACAAAAAoAQAAZHJz&#10;L2Uyb0RvYy54bWxQSwUGAAAAAAYABgBZAQAAYAUAAAAA&#10;">
          <v:path/>
          <v:fill on="f" focussize="0,0"/>
          <v:stroke on="f" joinstyle="miter"/>
          <v:imagedata o:title=""/>
          <o:lock v:ext="edit"/>
          <v:textbox inset="0mm,0mm,0mm,0mm">
            <w:txbxContent>
              <w:p w14:paraId="1E70E269"/>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4113C">
    <w:pPr>
      <w:pStyle w:val="14"/>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F42F5">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A7A41C"/>
    <w:multiLevelType w:val="singleLevel"/>
    <w:tmpl w:val="B1A7A41C"/>
    <w:lvl w:ilvl="0" w:tentative="0">
      <w:start w:val="3"/>
      <w:numFmt w:val="chineseCounting"/>
      <w:suff w:val="nothing"/>
      <w:lvlText w:val="%1、"/>
      <w:lvlJc w:val="left"/>
      <w:rPr>
        <w:rFonts w:hint="eastAsia"/>
      </w:rPr>
    </w:lvl>
  </w:abstractNum>
  <w:abstractNum w:abstractNumId="1">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NjOWIzOWZlMjZhNjM1YzE1NWUzYmJjMzc0NzZhNDIifQ=="/>
  </w:docVars>
  <w:rsids>
    <w:rsidRoot w:val="0C3E167A"/>
    <w:rsid w:val="000303E6"/>
    <w:rsid w:val="000315B3"/>
    <w:rsid w:val="001E714F"/>
    <w:rsid w:val="0020643C"/>
    <w:rsid w:val="00263964"/>
    <w:rsid w:val="002640FC"/>
    <w:rsid w:val="002729FC"/>
    <w:rsid w:val="00294ABE"/>
    <w:rsid w:val="00296DB2"/>
    <w:rsid w:val="00393DCC"/>
    <w:rsid w:val="003E1921"/>
    <w:rsid w:val="004079EA"/>
    <w:rsid w:val="00443933"/>
    <w:rsid w:val="00542CBF"/>
    <w:rsid w:val="00571A7C"/>
    <w:rsid w:val="00620C6E"/>
    <w:rsid w:val="00625C39"/>
    <w:rsid w:val="00631834"/>
    <w:rsid w:val="006C1802"/>
    <w:rsid w:val="006F27E3"/>
    <w:rsid w:val="006F5FC6"/>
    <w:rsid w:val="00701438"/>
    <w:rsid w:val="007251C5"/>
    <w:rsid w:val="00773CF4"/>
    <w:rsid w:val="00862BE0"/>
    <w:rsid w:val="0086444A"/>
    <w:rsid w:val="008E477B"/>
    <w:rsid w:val="00982B9C"/>
    <w:rsid w:val="009C3A38"/>
    <w:rsid w:val="00A20A3A"/>
    <w:rsid w:val="00AB06F7"/>
    <w:rsid w:val="00AC1CB3"/>
    <w:rsid w:val="00AD3871"/>
    <w:rsid w:val="00B92929"/>
    <w:rsid w:val="00B94BF7"/>
    <w:rsid w:val="00BE6A27"/>
    <w:rsid w:val="00C778A8"/>
    <w:rsid w:val="00C81B3A"/>
    <w:rsid w:val="00CF5546"/>
    <w:rsid w:val="00D01DAD"/>
    <w:rsid w:val="00DA1050"/>
    <w:rsid w:val="00E070AE"/>
    <w:rsid w:val="00E31AAE"/>
    <w:rsid w:val="00E335D4"/>
    <w:rsid w:val="00E404DF"/>
    <w:rsid w:val="00E80ED8"/>
    <w:rsid w:val="00EA3AEA"/>
    <w:rsid w:val="00EB6FF4"/>
    <w:rsid w:val="00F22233"/>
    <w:rsid w:val="00F509ED"/>
    <w:rsid w:val="00F54758"/>
    <w:rsid w:val="00FB6B95"/>
    <w:rsid w:val="010553AD"/>
    <w:rsid w:val="01233006"/>
    <w:rsid w:val="013F5EAF"/>
    <w:rsid w:val="0168325F"/>
    <w:rsid w:val="016D09BD"/>
    <w:rsid w:val="01705095"/>
    <w:rsid w:val="0175065C"/>
    <w:rsid w:val="018822A2"/>
    <w:rsid w:val="01A249C3"/>
    <w:rsid w:val="01AF40FF"/>
    <w:rsid w:val="01CE4A86"/>
    <w:rsid w:val="021B0167"/>
    <w:rsid w:val="0231564A"/>
    <w:rsid w:val="0240054F"/>
    <w:rsid w:val="02465780"/>
    <w:rsid w:val="02C01DAB"/>
    <w:rsid w:val="02CB3E2E"/>
    <w:rsid w:val="02E64D17"/>
    <w:rsid w:val="031746F6"/>
    <w:rsid w:val="03362F71"/>
    <w:rsid w:val="033B6D29"/>
    <w:rsid w:val="03724295"/>
    <w:rsid w:val="037474BD"/>
    <w:rsid w:val="03782B71"/>
    <w:rsid w:val="03970F53"/>
    <w:rsid w:val="03DB41BC"/>
    <w:rsid w:val="03FD6B35"/>
    <w:rsid w:val="041E1B9D"/>
    <w:rsid w:val="042100A8"/>
    <w:rsid w:val="04402823"/>
    <w:rsid w:val="04781A8C"/>
    <w:rsid w:val="04A016C1"/>
    <w:rsid w:val="04BD1B14"/>
    <w:rsid w:val="04C446F4"/>
    <w:rsid w:val="04D003FD"/>
    <w:rsid w:val="056B7F0A"/>
    <w:rsid w:val="057F64F0"/>
    <w:rsid w:val="05C6566C"/>
    <w:rsid w:val="05D0358C"/>
    <w:rsid w:val="05DF7CA0"/>
    <w:rsid w:val="05E9769E"/>
    <w:rsid w:val="061E3494"/>
    <w:rsid w:val="065A72EE"/>
    <w:rsid w:val="06612296"/>
    <w:rsid w:val="06685DA0"/>
    <w:rsid w:val="066A198F"/>
    <w:rsid w:val="0676789C"/>
    <w:rsid w:val="067B77A4"/>
    <w:rsid w:val="06874187"/>
    <w:rsid w:val="06A0516B"/>
    <w:rsid w:val="06E0398C"/>
    <w:rsid w:val="06E5439E"/>
    <w:rsid w:val="06EB58B1"/>
    <w:rsid w:val="07252124"/>
    <w:rsid w:val="07A52ADE"/>
    <w:rsid w:val="07B6021E"/>
    <w:rsid w:val="07EB7653"/>
    <w:rsid w:val="08061E83"/>
    <w:rsid w:val="080F36B8"/>
    <w:rsid w:val="08147FF9"/>
    <w:rsid w:val="081506F6"/>
    <w:rsid w:val="083D65C1"/>
    <w:rsid w:val="0863632A"/>
    <w:rsid w:val="08C46ADC"/>
    <w:rsid w:val="08D75D34"/>
    <w:rsid w:val="09000221"/>
    <w:rsid w:val="097E7AC3"/>
    <w:rsid w:val="09A116D3"/>
    <w:rsid w:val="09B11E56"/>
    <w:rsid w:val="09B60682"/>
    <w:rsid w:val="0A136187"/>
    <w:rsid w:val="0A251543"/>
    <w:rsid w:val="0A2D76F3"/>
    <w:rsid w:val="0A4B2A37"/>
    <w:rsid w:val="0A613FA4"/>
    <w:rsid w:val="0A7F7F97"/>
    <w:rsid w:val="0A821B52"/>
    <w:rsid w:val="0A887251"/>
    <w:rsid w:val="0A8E4BBF"/>
    <w:rsid w:val="0AA5071B"/>
    <w:rsid w:val="0ACD78AC"/>
    <w:rsid w:val="0AE8247C"/>
    <w:rsid w:val="0AF91E03"/>
    <w:rsid w:val="0B5F56D3"/>
    <w:rsid w:val="0B673A26"/>
    <w:rsid w:val="0B6D5F91"/>
    <w:rsid w:val="0B943584"/>
    <w:rsid w:val="0BA162E0"/>
    <w:rsid w:val="0BB14D3B"/>
    <w:rsid w:val="0BC23691"/>
    <w:rsid w:val="0BC635C5"/>
    <w:rsid w:val="0BEA11A6"/>
    <w:rsid w:val="0C28643E"/>
    <w:rsid w:val="0C3E167A"/>
    <w:rsid w:val="0C3F5BB7"/>
    <w:rsid w:val="0C5E17B9"/>
    <w:rsid w:val="0C9F2C2C"/>
    <w:rsid w:val="0CD12600"/>
    <w:rsid w:val="0CF521B4"/>
    <w:rsid w:val="0D2110D1"/>
    <w:rsid w:val="0D817F26"/>
    <w:rsid w:val="0DE32BA7"/>
    <w:rsid w:val="0E0020DD"/>
    <w:rsid w:val="0E241828"/>
    <w:rsid w:val="0E336FD4"/>
    <w:rsid w:val="0E5B41AF"/>
    <w:rsid w:val="0EC823B8"/>
    <w:rsid w:val="0ED22D01"/>
    <w:rsid w:val="0EE355B1"/>
    <w:rsid w:val="0EFE7EC3"/>
    <w:rsid w:val="0F166DEA"/>
    <w:rsid w:val="0F7408C1"/>
    <w:rsid w:val="0F827239"/>
    <w:rsid w:val="0F995D79"/>
    <w:rsid w:val="0F9968A7"/>
    <w:rsid w:val="0FA04CB8"/>
    <w:rsid w:val="0FBF2F03"/>
    <w:rsid w:val="0FCA3A6A"/>
    <w:rsid w:val="0FD2165C"/>
    <w:rsid w:val="10292C00"/>
    <w:rsid w:val="104B0478"/>
    <w:rsid w:val="109468A2"/>
    <w:rsid w:val="10F71AE0"/>
    <w:rsid w:val="10F863AD"/>
    <w:rsid w:val="11590E22"/>
    <w:rsid w:val="11797C42"/>
    <w:rsid w:val="11AC6FFE"/>
    <w:rsid w:val="121D1E44"/>
    <w:rsid w:val="123D3151"/>
    <w:rsid w:val="125460D5"/>
    <w:rsid w:val="12837EF9"/>
    <w:rsid w:val="12975EC2"/>
    <w:rsid w:val="129C545E"/>
    <w:rsid w:val="12E3308D"/>
    <w:rsid w:val="12F55F78"/>
    <w:rsid w:val="12FE53C0"/>
    <w:rsid w:val="134D4C41"/>
    <w:rsid w:val="13A11678"/>
    <w:rsid w:val="13A55415"/>
    <w:rsid w:val="13A860F4"/>
    <w:rsid w:val="13B443BA"/>
    <w:rsid w:val="13C7475D"/>
    <w:rsid w:val="13E14E20"/>
    <w:rsid w:val="13F26E36"/>
    <w:rsid w:val="14172F4F"/>
    <w:rsid w:val="14201348"/>
    <w:rsid w:val="14237C5F"/>
    <w:rsid w:val="143C16AE"/>
    <w:rsid w:val="146A4573"/>
    <w:rsid w:val="147B1B90"/>
    <w:rsid w:val="149C44BF"/>
    <w:rsid w:val="14A10AFD"/>
    <w:rsid w:val="14B21D18"/>
    <w:rsid w:val="14B436BD"/>
    <w:rsid w:val="14B95E54"/>
    <w:rsid w:val="15074412"/>
    <w:rsid w:val="15140E04"/>
    <w:rsid w:val="15462BF7"/>
    <w:rsid w:val="157D2500"/>
    <w:rsid w:val="15987023"/>
    <w:rsid w:val="15DF2871"/>
    <w:rsid w:val="160A6091"/>
    <w:rsid w:val="162714B9"/>
    <w:rsid w:val="16392BB7"/>
    <w:rsid w:val="16426A34"/>
    <w:rsid w:val="166531D2"/>
    <w:rsid w:val="167C4FCD"/>
    <w:rsid w:val="168626AD"/>
    <w:rsid w:val="169F77B7"/>
    <w:rsid w:val="16AC0FE9"/>
    <w:rsid w:val="16C704C1"/>
    <w:rsid w:val="16D01FC5"/>
    <w:rsid w:val="16D56EC7"/>
    <w:rsid w:val="17013C5E"/>
    <w:rsid w:val="17171557"/>
    <w:rsid w:val="17207916"/>
    <w:rsid w:val="173C0FBE"/>
    <w:rsid w:val="17462095"/>
    <w:rsid w:val="174D17C6"/>
    <w:rsid w:val="17A87CF6"/>
    <w:rsid w:val="17C63785"/>
    <w:rsid w:val="18075A07"/>
    <w:rsid w:val="1809752B"/>
    <w:rsid w:val="18114F58"/>
    <w:rsid w:val="18253800"/>
    <w:rsid w:val="186C7681"/>
    <w:rsid w:val="18703EB9"/>
    <w:rsid w:val="18C202B4"/>
    <w:rsid w:val="18C839A0"/>
    <w:rsid w:val="18D76003"/>
    <w:rsid w:val="18D94428"/>
    <w:rsid w:val="193A302C"/>
    <w:rsid w:val="19467ED2"/>
    <w:rsid w:val="19795D80"/>
    <w:rsid w:val="19914308"/>
    <w:rsid w:val="19C4060A"/>
    <w:rsid w:val="19EE216E"/>
    <w:rsid w:val="1A075887"/>
    <w:rsid w:val="1A282A73"/>
    <w:rsid w:val="1A2C5585"/>
    <w:rsid w:val="1A3B7FA8"/>
    <w:rsid w:val="1A5D3F3E"/>
    <w:rsid w:val="1A79678C"/>
    <w:rsid w:val="1A8064B7"/>
    <w:rsid w:val="1A832C70"/>
    <w:rsid w:val="1A961CB9"/>
    <w:rsid w:val="1AAD10A9"/>
    <w:rsid w:val="1AD41EBE"/>
    <w:rsid w:val="1AEF3142"/>
    <w:rsid w:val="1B287251"/>
    <w:rsid w:val="1B7355D3"/>
    <w:rsid w:val="1BA03399"/>
    <w:rsid w:val="1BC021BE"/>
    <w:rsid w:val="1C5178F7"/>
    <w:rsid w:val="1C5C1E03"/>
    <w:rsid w:val="1C737230"/>
    <w:rsid w:val="1C99267F"/>
    <w:rsid w:val="1CDC5AB0"/>
    <w:rsid w:val="1CFB19FF"/>
    <w:rsid w:val="1D1179E4"/>
    <w:rsid w:val="1D300C7D"/>
    <w:rsid w:val="1DB2643E"/>
    <w:rsid w:val="1DD01BF6"/>
    <w:rsid w:val="1DEA4D95"/>
    <w:rsid w:val="1E194298"/>
    <w:rsid w:val="1E2B1699"/>
    <w:rsid w:val="1E333E88"/>
    <w:rsid w:val="1E3D6D25"/>
    <w:rsid w:val="1E701F5C"/>
    <w:rsid w:val="1E814BE0"/>
    <w:rsid w:val="1E8425B6"/>
    <w:rsid w:val="1E9811D0"/>
    <w:rsid w:val="1EB5185B"/>
    <w:rsid w:val="1ECB3E5D"/>
    <w:rsid w:val="1ED7600C"/>
    <w:rsid w:val="1EF33CC8"/>
    <w:rsid w:val="1F0F5C89"/>
    <w:rsid w:val="1F3C3BFD"/>
    <w:rsid w:val="1F604DC2"/>
    <w:rsid w:val="1F653DEA"/>
    <w:rsid w:val="1F7604F4"/>
    <w:rsid w:val="1FA00D66"/>
    <w:rsid w:val="200C4881"/>
    <w:rsid w:val="20381B66"/>
    <w:rsid w:val="206826E3"/>
    <w:rsid w:val="206E478F"/>
    <w:rsid w:val="208D0729"/>
    <w:rsid w:val="208F03B0"/>
    <w:rsid w:val="20943022"/>
    <w:rsid w:val="20BA17FA"/>
    <w:rsid w:val="20C045AC"/>
    <w:rsid w:val="2104192E"/>
    <w:rsid w:val="21103286"/>
    <w:rsid w:val="21331AEE"/>
    <w:rsid w:val="21380A48"/>
    <w:rsid w:val="21434EDB"/>
    <w:rsid w:val="21461EAD"/>
    <w:rsid w:val="214A44A8"/>
    <w:rsid w:val="21781177"/>
    <w:rsid w:val="21DC13D3"/>
    <w:rsid w:val="21DE339D"/>
    <w:rsid w:val="21FF5FB4"/>
    <w:rsid w:val="222535A8"/>
    <w:rsid w:val="22A2024B"/>
    <w:rsid w:val="22A42520"/>
    <w:rsid w:val="22B10282"/>
    <w:rsid w:val="22BE5497"/>
    <w:rsid w:val="22C0006C"/>
    <w:rsid w:val="22DD1D18"/>
    <w:rsid w:val="231E77CA"/>
    <w:rsid w:val="23246F67"/>
    <w:rsid w:val="232B0693"/>
    <w:rsid w:val="234C38D6"/>
    <w:rsid w:val="234D6367"/>
    <w:rsid w:val="2382220B"/>
    <w:rsid w:val="23B4531E"/>
    <w:rsid w:val="23FE795E"/>
    <w:rsid w:val="241D7484"/>
    <w:rsid w:val="243A6FFC"/>
    <w:rsid w:val="24CB028B"/>
    <w:rsid w:val="24DE5462"/>
    <w:rsid w:val="250F1AC0"/>
    <w:rsid w:val="254268D2"/>
    <w:rsid w:val="254D4E3B"/>
    <w:rsid w:val="25830C89"/>
    <w:rsid w:val="25925F3D"/>
    <w:rsid w:val="25A36C3A"/>
    <w:rsid w:val="25AE492E"/>
    <w:rsid w:val="25C2563A"/>
    <w:rsid w:val="25DE50D3"/>
    <w:rsid w:val="25E57984"/>
    <w:rsid w:val="264C077C"/>
    <w:rsid w:val="268F4C66"/>
    <w:rsid w:val="268F77F5"/>
    <w:rsid w:val="26934677"/>
    <w:rsid w:val="26C03072"/>
    <w:rsid w:val="273D6320"/>
    <w:rsid w:val="274B539B"/>
    <w:rsid w:val="277327DA"/>
    <w:rsid w:val="277C1ABD"/>
    <w:rsid w:val="27A8581B"/>
    <w:rsid w:val="27AD0247"/>
    <w:rsid w:val="27B65BE3"/>
    <w:rsid w:val="28040C42"/>
    <w:rsid w:val="28081174"/>
    <w:rsid w:val="2859375C"/>
    <w:rsid w:val="289C6C12"/>
    <w:rsid w:val="28CF68A6"/>
    <w:rsid w:val="28DA50C0"/>
    <w:rsid w:val="28EE5DF3"/>
    <w:rsid w:val="28F2135F"/>
    <w:rsid w:val="291122AA"/>
    <w:rsid w:val="29325D7D"/>
    <w:rsid w:val="29427B46"/>
    <w:rsid w:val="294571B9"/>
    <w:rsid w:val="29641B32"/>
    <w:rsid w:val="29687FF7"/>
    <w:rsid w:val="29A14F6D"/>
    <w:rsid w:val="29B05DC0"/>
    <w:rsid w:val="29B2414D"/>
    <w:rsid w:val="29DB79B4"/>
    <w:rsid w:val="29F15C38"/>
    <w:rsid w:val="29F50DB9"/>
    <w:rsid w:val="2AAD6D63"/>
    <w:rsid w:val="2ACF6763"/>
    <w:rsid w:val="2AF54394"/>
    <w:rsid w:val="2B183050"/>
    <w:rsid w:val="2B1F770C"/>
    <w:rsid w:val="2B4029D3"/>
    <w:rsid w:val="2B41057E"/>
    <w:rsid w:val="2B7D4FD5"/>
    <w:rsid w:val="2B8C5C18"/>
    <w:rsid w:val="2B991AEC"/>
    <w:rsid w:val="2B992173"/>
    <w:rsid w:val="2BA14C47"/>
    <w:rsid w:val="2BB71CB6"/>
    <w:rsid w:val="2BDF21EC"/>
    <w:rsid w:val="2C294F7E"/>
    <w:rsid w:val="2C2B0122"/>
    <w:rsid w:val="2C334120"/>
    <w:rsid w:val="2C7A3CC3"/>
    <w:rsid w:val="2CAA48B6"/>
    <w:rsid w:val="2CB904B4"/>
    <w:rsid w:val="2CCA25DB"/>
    <w:rsid w:val="2CF27831"/>
    <w:rsid w:val="2CF972B8"/>
    <w:rsid w:val="2D3C4E47"/>
    <w:rsid w:val="2D484CC7"/>
    <w:rsid w:val="2D5F069D"/>
    <w:rsid w:val="2D675FF9"/>
    <w:rsid w:val="2D6942E8"/>
    <w:rsid w:val="2D6D7A98"/>
    <w:rsid w:val="2D715CB9"/>
    <w:rsid w:val="2DA54D10"/>
    <w:rsid w:val="2DF94386"/>
    <w:rsid w:val="2DFB239F"/>
    <w:rsid w:val="2E19019F"/>
    <w:rsid w:val="2E2533B4"/>
    <w:rsid w:val="2E352C39"/>
    <w:rsid w:val="2E6D65FE"/>
    <w:rsid w:val="2E8F64C3"/>
    <w:rsid w:val="2E921785"/>
    <w:rsid w:val="2ECD6A72"/>
    <w:rsid w:val="2EF57510"/>
    <w:rsid w:val="2F0B52E7"/>
    <w:rsid w:val="2F3341F2"/>
    <w:rsid w:val="2F357FC4"/>
    <w:rsid w:val="2F3D2CB6"/>
    <w:rsid w:val="2F4D56BE"/>
    <w:rsid w:val="2F6E32C4"/>
    <w:rsid w:val="2F8174EE"/>
    <w:rsid w:val="2F9507A1"/>
    <w:rsid w:val="2FA94288"/>
    <w:rsid w:val="2FBF7A81"/>
    <w:rsid w:val="2FC2764D"/>
    <w:rsid w:val="2FC329B1"/>
    <w:rsid w:val="2FD43F33"/>
    <w:rsid w:val="2FEF47B4"/>
    <w:rsid w:val="30064402"/>
    <w:rsid w:val="300C557A"/>
    <w:rsid w:val="30267856"/>
    <w:rsid w:val="3031475A"/>
    <w:rsid w:val="30612C6E"/>
    <w:rsid w:val="30655562"/>
    <w:rsid w:val="306F295D"/>
    <w:rsid w:val="309057EE"/>
    <w:rsid w:val="30956CBB"/>
    <w:rsid w:val="30BF2F99"/>
    <w:rsid w:val="310405F2"/>
    <w:rsid w:val="31045716"/>
    <w:rsid w:val="312F7D0F"/>
    <w:rsid w:val="31554BAF"/>
    <w:rsid w:val="3163322A"/>
    <w:rsid w:val="31E97129"/>
    <w:rsid w:val="31ED3E5D"/>
    <w:rsid w:val="31F70944"/>
    <w:rsid w:val="322707A5"/>
    <w:rsid w:val="325821AA"/>
    <w:rsid w:val="327C4C95"/>
    <w:rsid w:val="32846E67"/>
    <w:rsid w:val="32FC6528"/>
    <w:rsid w:val="33220CEE"/>
    <w:rsid w:val="332C67C7"/>
    <w:rsid w:val="33955886"/>
    <w:rsid w:val="33A246AE"/>
    <w:rsid w:val="33BA709B"/>
    <w:rsid w:val="33D27210"/>
    <w:rsid w:val="33D434AE"/>
    <w:rsid w:val="33ED7CFA"/>
    <w:rsid w:val="34110124"/>
    <w:rsid w:val="342766C3"/>
    <w:rsid w:val="34296C14"/>
    <w:rsid w:val="34751FD4"/>
    <w:rsid w:val="34A65ECA"/>
    <w:rsid w:val="34C37A55"/>
    <w:rsid w:val="34D631A4"/>
    <w:rsid w:val="34E73DDC"/>
    <w:rsid w:val="34FF2796"/>
    <w:rsid w:val="352B5B2D"/>
    <w:rsid w:val="354A3D2E"/>
    <w:rsid w:val="355A4229"/>
    <w:rsid w:val="357376F1"/>
    <w:rsid w:val="35783E0F"/>
    <w:rsid w:val="359F37C3"/>
    <w:rsid w:val="35A940DE"/>
    <w:rsid w:val="35B33634"/>
    <w:rsid w:val="36306479"/>
    <w:rsid w:val="364B6B64"/>
    <w:rsid w:val="36697488"/>
    <w:rsid w:val="36E0506A"/>
    <w:rsid w:val="36E779CD"/>
    <w:rsid w:val="36FB00F6"/>
    <w:rsid w:val="370146DA"/>
    <w:rsid w:val="370F5020"/>
    <w:rsid w:val="37315EBE"/>
    <w:rsid w:val="373D5CA8"/>
    <w:rsid w:val="37622F03"/>
    <w:rsid w:val="3769770F"/>
    <w:rsid w:val="377E17AE"/>
    <w:rsid w:val="37AB554F"/>
    <w:rsid w:val="37C624B2"/>
    <w:rsid w:val="37D576C4"/>
    <w:rsid w:val="380B7EA3"/>
    <w:rsid w:val="38156829"/>
    <w:rsid w:val="381D39B4"/>
    <w:rsid w:val="383616C8"/>
    <w:rsid w:val="38401B10"/>
    <w:rsid w:val="38510CC5"/>
    <w:rsid w:val="38703F75"/>
    <w:rsid w:val="38771E31"/>
    <w:rsid w:val="38803F03"/>
    <w:rsid w:val="389A3789"/>
    <w:rsid w:val="38CB2931"/>
    <w:rsid w:val="38CC3AF8"/>
    <w:rsid w:val="38F87303"/>
    <w:rsid w:val="38FC614B"/>
    <w:rsid w:val="390C4A3A"/>
    <w:rsid w:val="392F5000"/>
    <w:rsid w:val="394B4DF2"/>
    <w:rsid w:val="39880D99"/>
    <w:rsid w:val="39A00712"/>
    <w:rsid w:val="39C55C29"/>
    <w:rsid w:val="3A217919"/>
    <w:rsid w:val="3A2A2305"/>
    <w:rsid w:val="3A331A08"/>
    <w:rsid w:val="3A4A092B"/>
    <w:rsid w:val="3A4B3262"/>
    <w:rsid w:val="3A4E1D0E"/>
    <w:rsid w:val="3A627A97"/>
    <w:rsid w:val="3AA2375D"/>
    <w:rsid w:val="3AA37F42"/>
    <w:rsid w:val="3AC21210"/>
    <w:rsid w:val="3ACC73B7"/>
    <w:rsid w:val="3ADB091E"/>
    <w:rsid w:val="3B3A2CB7"/>
    <w:rsid w:val="3B3F2CA7"/>
    <w:rsid w:val="3B7B277E"/>
    <w:rsid w:val="3B871330"/>
    <w:rsid w:val="3BBB558B"/>
    <w:rsid w:val="3BC80B39"/>
    <w:rsid w:val="3C7C2D5B"/>
    <w:rsid w:val="3CA51396"/>
    <w:rsid w:val="3CF03B2D"/>
    <w:rsid w:val="3D066899"/>
    <w:rsid w:val="3DA1374C"/>
    <w:rsid w:val="3DC878BD"/>
    <w:rsid w:val="3DD20E23"/>
    <w:rsid w:val="3DD36B7B"/>
    <w:rsid w:val="3E2C7997"/>
    <w:rsid w:val="3E45504C"/>
    <w:rsid w:val="3E61043C"/>
    <w:rsid w:val="3E694D43"/>
    <w:rsid w:val="3EB963A5"/>
    <w:rsid w:val="3ECA46D1"/>
    <w:rsid w:val="3EE651E8"/>
    <w:rsid w:val="3F016D70"/>
    <w:rsid w:val="3F1F4A85"/>
    <w:rsid w:val="3F2B0CDF"/>
    <w:rsid w:val="3F3A501A"/>
    <w:rsid w:val="3F6539A3"/>
    <w:rsid w:val="3F780536"/>
    <w:rsid w:val="3FC6325B"/>
    <w:rsid w:val="3FE575B3"/>
    <w:rsid w:val="4003500E"/>
    <w:rsid w:val="40247426"/>
    <w:rsid w:val="40384A7B"/>
    <w:rsid w:val="4054738B"/>
    <w:rsid w:val="406827B9"/>
    <w:rsid w:val="4082168B"/>
    <w:rsid w:val="40C31C84"/>
    <w:rsid w:val="40F17640"/>
    <w:rsid w:val="40F57964"/>
    <w:rsid w:val="410D17F2"/>
    <w:rsid w:val="4118432E"/>
    <w:rsid w:val="411952E3"/>
    <w:rsid w:val="4125226D"/>
    <w:rsid w:val="41290D30"/>
    <w:rsid w:val="415C7EC8"/>
    <w:rsid w:val="415E35BD"/>
    <w:rsid w:val="417F3345"/>
    <w:rsid w:val="418F600A"/>
    <w:rsid w:val="419754E8"/>
    <w:rsid w:val="419C26DE"/>
    <w:rsid w:val="41A00CE9"/>
    <w:rsid w:val="41D81893"/>
    <w:rsid w:val="41EC6FC4"/>
    <w:rsid w:val="420C49CA"/>
    <w:rsid w:val="42222905"/>
    <w:rsid w:val="42373953"/>
    <w:rsid w:val="42450CF1"/>
    <w:rsid w:val="42554FFD"/>
    <w:rsid w:val="428E139A"/>
    <w:rsid w:val="42C87CCF"/>
    <w:rsid w:val="42CB3072"/>
    <w:rsid w:val="42CB65B7"/>
    <w:rsid w:val="42E33C29"/>
    <w:rsid w:val="42E47ECD"/>
    <w:rsid w:val="42E961EB"/>
    <w:rsid w:val="42F07DA6"/>
    <w:rsid w:val="42F53119"/>
    <w:rsid w:val="42FF09A2"/>
    <w:rsid w:val="430809D3"/>
    <w:rsid w:val="430D56E1"/>
    <w:rsid w:val="437C2D76"/>
    <w:rsid w:val="439B5259"/>
    <w:rsid w:val="43AA0EDA"/>
    <w:rsid w:val="43B36F6B"/>
    <w:rsid w:val="43BC0983"/>
    <w:rsid w:val="441B3AC8"/>
    <w:rsid w:val="441B3E9F"/>
    <w:rsid w:val="44296A03"/>
    <w:rsid w:val="444462EB"/>
    <w:rsid w:val="44814344"/>
    <w:rsid w:val="449C15C3"/>
    <w:rsid w:val="44A517E9"/>
    <w:rsid w:val="44DA759D"/>
    <w:rsid w:val="44F10233"/>
    <w:rsid w:val="44F61E0C"/>
    <w:rsid w:val="44FA3F82"/>
    <w:rsid w:val="451E3FAA"/>
    <w:rsid w:val="452334C7"/>
    <w:rsid w:val="452C0D9A"/>
    <w:rsid w:val="45551418"/>
    <w:rsid w:val="456F5EC4"/>
    <w:rsid w:val="45777E59"/>
    <w:rsid w:val="457849BD"/>
    <w:rsid w:val="458A0FC3"/>
    <w:rsid w:val="458F46CB"/>
    <w:rsid w:val="45C9326C"/>
    <w:rsid w:val="45DC1C00"/>
    <w:rsid w:val="45E458B8"/>
    <w:rsid w:val="460A6A09"/>
    <w:rsid w:val="466133AD"/>
    <w:rsid w:val="46E55753"/>
    <w:rsid w:val="46E83D20"/>
    <w:rsid w:val="46F6606A"/>
    <w:rsid w:val="470D0570"/>
    <w:rsid w:val="47173738"/>
    <w:rsid w:val="471D14BA"/>
    <w:rsid w:val="471E3D23"/>
    <w:rsid w:val="47B73822"/>
    <w:rsid w:val="47CD4D16"/>
    <w:rsid w:val="47F043DD"/>
    <w:rsid w:val="48253830"/>
    <w:rsid w:val="485E04E5"/>
    <w:rsid w:val="487600BD"/>
    <w:rsid w:val="4893018E"/>
    <w:rsid w:val="48B44E62"/>
    <w:rsid w:val="48BA22AD"/>
    <w:rsid w:val="48FD57E6"/>
    <w:rsid w:val="490E6CFE"/>
    <w:rsid w:val="49164744"/>
    <w:rsid w:val="4923344E"/>
    <w:rsid w:val="492723AF"/>
    <w:rsid w:val="49652E3E"/>
    <w:rsid w:val="497017A3"/>
    <w:rsid w:val="49780F96"/>
    <w:rsid w:val="49B31E56"/>
    <w:rsid w:val="49E30116"/>
    <w:rsid w:val="4A216B47"/>
    <w:rsid w:val="4A735973"/>
    <w:rsid w:val="4AA40F60"/>
    <w:rsid w:val="4B1631F6"/>
    <w:rsid w:val="4B230539"/>
    <w:rsid w:val="4B460AE7"/>
    <w:rsid w:val="4B9C0A98"/>
    <w:rsid w:val="4BA72F9D"/>
    <w:rsid w:val="4BAD74F9"/>
    <w:rsid w:val="4BC23195"/>
    <w:rsid w:val="4BC80D37"/>
    <w:rsid w:val="4BE50DF7"/>
    <w:rsid w:val="4BE530C7"/>
    <w:rsid w:val="4C2C74AF"/>
    <w:rsid w:val="4C651E78"/>
    <w:rsid w:val="4C6850EC"/>
    <w:rsid w:val="4C7379C1"/>
    <w:rsid w:val="4C9D7F05"/>
    <w:rsid w:val="4CAA1C19"/>
    <w:rsid w:val="4CAF55D3"/>
    <w:rsid w:val="4CB507AC"/>
    <w:rsid w:val="4CB66A54"/>
    <w:rsid w:val="4CBD4AE5"/>
    <w:rsid w:val="4D4664F3"/>
    <w:rsid w:val="4D663C4E"/>
    <w:rsid w:val="4DBE1A1B"/>
    <w:rsid w:val="4DD11D7A"/>
    <w:rsid w:val="4DEE4A39"/>
    <w:rsid w:val="4E094161"/>
    <w:rsid w:val="4E5440AE"/>
    <w:rsid w:val="4E79012D"/>
    <w:rsid w:val="4ECE71C0"/>
    <w:rsid w:val="4ED7337C"/>
    <w:rsid w:val="4F0B290B"/>
    <w:rsid w:val="4F6700F2"/>
    <w:rsid w:val="4FAC727E"/>
    <w:rsid w:val="4FB21A9B"/>
    <w:rsid w:val="4FC06238"/>
    <w:rsid w:val="4FC9340D"/>
    <w:rsid w:val="4FD86DCF"/>
    <w:rsid w:val="4FE11136"/>
    <w:rsid w:val="4FE340AE"/>
    <w:rsid w:val="501A7B2B"/>
    <w:rsid w:val="502C515D"/>
    <w:rsid w:val="503B4195"/>
    <w:rsid w:val="504B75A0"/>
    <w:rsid w:val="50534099"/>
    <w:rsid w:val="50810A2B"/>
    <w:rsid w:val="50AC1E5D"/>
    <w:rsid w:val="50BF6BA4"/>
    <w:rsid w:val="50E6147C"/>
    <w:rsid w:val="51056772"/>
    <w:rsid w:val="51082A39"/>
    <w:rsid w:val="51471974"/>
    <w:rsid w:val="5156161E"/>
    <w:rsid w:val="51714609"/>
    <w:rsid w:val="5180210D"/>
    <w:rsid w:val="51AB3125"/>
    <w:rsid w:val="51B64C72"/>
    <w:rsid w:val="52431D60"/>
    <w:rsid w:val="52A44E02"/>
    <w:rsid w:val="52B4385B"/>
    <w:rsid w:val="52CB5F77"/>
    <w:rsid w:val="52CD0741"/>
    <w:rsid w:val="52EA5C89"/>
    <w:rsid w:val="52F105F2"/>
    <w:rsid w:val="532A5D9E"/>
    <w:rsid w:val="53604C2D"/>
    <w:rsid w:val="53690E1E"/>
    <w:rsid w:val="536D19A8"/>
    <w:rsid w:val="537F5564"/>
    <w:rsid w:val="53C366A5"/>
    <w:rsid w:val="53CD0DF1"/>
    <w:rsid w:val="54134879"/>
    <w:rsid w:val="54160D2E"/>
    <w:rsid w:val="545555BC"/>
    <w:rsid w:val="545A0B3C"/>
    <w:rsid w:val="54970228"/>
    <w:rsid w:val="54AA6F8B"/>
    <w:rsid w:val="54BD719C"/>
    <w:rsid w:val="54FE2E33"/>
    <w:rsid w:val="550C7444"/>
    <w:rsid w:val="552A0324"/>
    <w:rsid w:val="552A5644"/>
    <w:rsid w:val="552B713D"/>
    <w:rsid w:val="559612BE"/>
    <w:rsid w:val="55AE3E55"/>
    <w:rsid w:val="560721BC"/>
    <w:rsid w:val="56280B45"/>
    <w:rsid w:val="562B4A40"/>
    <w:rsid w:val="5656174A"/>
    <w:rsid w:val="56982791"/>
    <w:rsid w:val="569F4BDB"/>
    <w:rsid w:val="5743439F"/>
    <w:rsid w:val="574D3BFE"/>
    <w:rsid w:val="57531672"/>
    <w:rsid w:val="575C5B37"/>
    <w:rsid w:val="57647E28"/>
    <w:rsid w:val="577F2AA1"/>
    <w:rsid w:val="578E0EE5"/>
    <w:rsid w:val="57A75A04"/>
    <w:rsid w:val="57B44841"/>
    <w:rsid w:val="57E8101B"/>
    <w:rsid w:val="57F509BF"/>
    <w:rsid w:val="58117322"/>
    <w:rsid w:val="5819350C"/>
    <w:rsid w:val="585E184A"/>
    <w:rsid w:val="587020E4"/>
    <w:rsid w:val="5880260C"/>
    <w:rsid w:val="589D5573"/>
    <w:rsid w:val="58BC1F54"/>
    <w:rsid w:val="58C3123D"/>
    <w:rsid w:val="58C448E4"/>
    <w:rsid w:val="58D91BE3"/>
    <w:rsid w:val="59047EE0"/>
    <w:rsid w:val="590576DC"/>
    <w:rsid w:val="590D41FF"/>
    <w:rsid w:val="59177B7A"/>
    <w:rsid w:val="59904D1D"/>
    <w:rsid w:val="59AB0E97"/>
    <w:rsid w:val="59C5394B"/>
    <w:rsid w:val="59F33DBC"/>
    <w:rsid w:val="5A0058B7"/>
    <w:rsid w:val="5A2B0AC7"/>
    <w:rsid w:val="5A4667AC"/>
    <w:rsid w:val="5A6D4AD5"/>
    <w:rsid w:val="5AA5177E"/>
    <w:rsid w:val="5B0F6D3E"/>
    <w:rsid w:val="5B133E22"/>
    <w:rsid w:val="5B1A68EC"/>
    <w:rsid w:val="5B223F3D"/>
    <w:rsid w:val="5B9F2496"/>
    <w:rsid w:val="5BBF2BB2"/>
    <w:rsid w:val="5BE9580E"/>
    <w:rsid w:val="5C0E3AB7"/>
    <w:rsid w:val="5C186ED1"/>
    <w:rsid w:val="5C1A2E1D"/>
    <w:rsid w:val="5C205D85"/>
    <w:rsid w:val="5C2A29F5"/>
    <w:rsid w:val="5C6F7777"/>
    <w:rsid w:val="5C8B408D"/>
    <w:rsid w:val="5C9F73C2"/>
    <w:rsid w:val="5CA0595A"/>
    <w:rsid w:val="5CA77128"/>
    <w:rsid w:val="5CAE3F35"/>
    <w:rsid w:val="5CAF0AD9"/>
    <w:rsid w:val="5CBA2B74"/>
    <w:rsid w:val="5CDD4EE8"/>
    <w:rsid w:val="5CEA3032"/>
    <w:rsid w:val="5D015A24"/>
    <w:rsid w:val="5D0E70DE"/>
    <w:rsid w:val="5D3C742B"/>
    <w:rsid w:val="5D5F6439"/>
    <w:rsid w:val="5D7664A2"/>
    <w:rsid w:val="5D7F2AAE"/>
    <w:rsid w:val="5D866E36"/>
    <w:rsid w:val="5D90589D"/>
    <w:rsid w:val="5DDB32CA"/>
    <w:rsid w:val="5DE76E43"/>
    <w:rsid w:val="5DEE5685"/>
    <w:rsid w:val="5DF43FF9"/>
    <w:rsid w:val="5E1936AA"/>
    <w:rsid w:val="5E3F5AA9"/>
    <w:rsid w:val="5E8A0A27"/>
    <w:rsid w:val="5EDA66BF"/>
    <w:rsid w:val="5EE23683"/>
    <w:rsid w:val="5F007FE9"/>
    <w:rsid w:val="5F2E4693"/>
    <w:rsid w:val="5F3B790E"/>
    <w:rsid w:val="5F5165BF"/>
    <w:rsid w:val="5F5544E9"/>
    <w:rsid w:val="5F9B6878"/>
    <w:rsid w:val="5FD17AC2"/>
    <w:rsid w:val="5FF31531"/>
    <w:rsid w:val="5FF7485C"/>
    <w:rsid w:val="5FFC19E9"/>
    <w:rsid w:val="600E5F6A"/>
    <w:rsid w:val="602D75C5"/>
    <w:rsid w:val="607F75F1"/>
    <w:rsid w:val="608A6848"/>
    <w:rsid w:val="609A1C45"/>
    <w:rsid w:val="60AF6879"/>
    <w:rsid w:val="60B40A33"/>
    <w:rsid w:val="61101CCB"/>
    <w:rsid w:val="615709F5"/>
    <w:rsid w:val="615D2AE6"/>
    <w:rsid w:val="61806608"/>
    <w:rsid w:val="618D3FF8"/>
    <w:rsid w:val="61C96A7B"/>
    <w:rsid w:val="61DC00F0"/>
    <w:rsid w:val="61ED3C40"/>
    <w:rsid w:val="620705C1"/>
    <w:rsid w:val="62097B17"/>
    <w:rsid w:val="620C7BF2"/>
    <w:rsid w:val="623A646C"/>
    <w:rsid w:val="628A1755"/>
    <w:rsid w:val="62905443"/>
    <w:rsid w:val="629A29B4"/>
    <w:rsid w:val="62BC5FD6"/>
    <w:rsid w:val="62C57F8B"/>
    <w:rsid w:val="62D058DB"/>
    <w:rsid w:val="62D360A9"/>
    <w:rsid w:val="62D83358"/>
    <w:rsid w:val="62E606CC"/>
    <w:rsid w:val="631D18BC"/>
    <w:rsid w:val="63390619"/>
    <w:rsid w:val="637D1344"/>
    <w:rsid w:val="63AB23D8"/>
    <w:rsid w:val="63D8386C"/>
    <w:rsid w:val="63E9713C"/>
    <w:rsid w:val="64056E42"/>
    <w:rsid w:val="641F161E"/>
    <w:rsid w:val="64397EB9"/>
    <w:rsid w:val="64667A1D"/>
    <w:rsid w:val="647633D1"/>
    <w:rsid w:val="649900F6"/>
    <w:rsid w:val="64AD1FBD"/>
    <w:rsid w:val="64BE1A92"/>
    <w:rsid w:val="64D92F75"/>
    <w:rsid w:val="64E02555"/>
    <w:rsid w:val="64F657DB"/>
    <w:rsid w:val="650E5959"/>
    <w:rsid w:val="651E5075"/>
    <w:rsid w:val="65247BAC"/>
    <w:rsid w:val="65285EB9"/>
    <w:rsid w:val="65992ACE"/>
    <w:rsid w:val="65B24706"/>
    <w:rsid w:val="65CF421A"/>
    <w:rsid w:val="669E6224"/>
    <w:rsid w:val="66A37F78"/>
    <w:rsid w:val="66E04C4E"/>
    <w:rsid w:val="675661AE"/>
    <w:rsid w:val="67D51F35"/>
    <w:rsid w:val="67FA63ED"/>
    <w:rsid w:val="683E062D"/>
    <w:rsid w:val="685655A6"/>
    <w:rsid w:val="68581BAD"/>
    <w:rsid w:val="68810433"/>
    <w:rsid w:val="688D0659"/>
    <w:rsid w:val="688D7E0D"/>
    <w:rsid w:val="689202CC"/>
    <w:rsid w:val="68DB3760"/>
    <w:rsid w:val="68E63A01"/>
    <w:rsid w:val="68EF049E"/>
    <w:rsid w:val="692803C3"/>
    <w:rsid w:val="692E6E3C"/>
    <w:rsid w:val="69427AF8"/>
    <w:rsid w:val="699867A0"/>
    <w:rsid w:val="69FE3518"/>
    <w:rsid w:val="6A0543C1"/>
    <w:rsid w:val="6A284048"/>
    <w:rsid w:val="6A414821"/>
    <w:rsid w:val="6A481A73"/>
    <w:rsid w:val="6A665904"/>
    <w:rsid w:val="6AAE31DE"/>
    <w:rsid w:val="6AC33697"/>
    <w:rsid w:val="6AEE4B93"/>
    <w:rsid w:val="6B1001A3"/>
    <w:rsid w:val="6B326078"/>
    <w:rsid w:val="6B3B559F"/>
    <w:rsid w:val="6B3E7FD6"/>
    <w:rsid w:val="6B586CAF"/>
    <w:rsid w:val="6B597167"/>
    <w:rsid w:val="6B790EB9"/>
    <w:rsid w:val="6B7B2FD8"/>
    <w:rsid w:val="6B9D6AAA"/>
    <w:rsid w:val="6BD74EC9"/>
    <w:rsid w:val="6C575B38"/>
    <w:rsid w:val="6C655226"/>
    <w:rsid w:val="6C755A73"/>
    <w:rsid w:val="6C847C6A"/>
    <w:rsid w:val="6CB86BD0"/>
    <w:rsid w:val="6CBD5694"/>
    <w:rsid w:val="6CCE7534"/>
    <w:rsid w:val="6D177A6A"/>
    <w:rsid w:val="6D197BC5"/>
    <w:rsid w:val="6D2C6024"/>
    <w:rsid w:val="6D6264DA"/>
    <w:rsid w:val="6D840DA7"/>
    <w:rsid w:val="6D8A4356"/>
    <w:rsid w:val="6DBE2A89"/>
    <w:rsid w:val="6DC82033"/>
    <w:rsid w:val="6DD21A39"/>
    <w:rsid w:val="6DD46C7A"/>
    <w:rsid w:val="6DDF1625"/>
    <w:rsid w:val="6DE31096"/>
    <w:rsid w:val="6DED0D1E"/>
    <w:rsid w:val="6E036A38"/>
    <w:rsid w:val="6E113CCF"/>
    <w:rsid w:val="6E121C95"/>
    <w:rsid w:val="6E160D96"/>
    <w:rsid w:val="6E1D2506"/>
    <w:rsid w:val="6E260E83"/>
    <w:rsid w:val="6E345B1F"/>
    <w:rsid w:val="6E6C09B6"/>
    <w:rsid w:val="6EA20C89"/>
    <w:rsid w:val="6EAB5982"/>
    <w:rsid w:val="6EF379C8"/>
    <w:rsid w:val="6F40253B"/>
    <w:rsid w:val="6F416BF8"/>
    <w:rsid w:val="6F457A72"/>
    <w:rsid w:val="6F6E519E"/>
    <w:rsid w:val="6F831F50"/>
    <w:rsid w:val="6F915F14"/>
    <w:rsid w:val="6F941DD7"/>
    <w:rsid w:val="6F963B26"/>
    <w:rsid w:val="70071D76"/>
    <w:rsid w:val="702754DC"/>
    <w:rsid w:val="70336AEB"/>
    <w:rsid w:val="70562C94"/>
    <w:rsid w:val="70686334"/>
    <w:rsid w:val="706B0386"/>
    <w:rsid w:val="70825E08"/>
    <w:rsid w:val="7094120F"/>
    <w:rsid w:val="709541F4"/>
    <w:rsid w:val="70CB097C"/>
    <w:rsid w:val="70D31C0C"/>
    <w:rsid w:val="70F73985"/>
    <w:rsid w:val="71044528"/>
    <w:rsid w:val="716B764B"/>
    <w:rsid w:val="719B0D15"/>
    <w:rsid w:val="71D35BBA"/>
    <w:rsid w:val="71FD3537"/>
    <w:rsid w:val="724C4F1A"/>
    <w:rsid w:val="72872262"/>
    <w:rsid w:val="72A7312D"/>
    <w:rsid w:val="72C32DEC"/>
    <w:rsid w:val="7309711B"/>
    <w:rsid w:val="733758C8"/>
    <w:rsid w:val="73695804"/>
    <w:rsid w:val="737133D2"/>
    <w:rsid w:val="73AA4CD1"/>
    <w:rsid w:val="73AD263E"/>
    <w:rsid w:val="73DF2B50"/>
    <w:rsid w:val="73EA2F44"/>
    <w:rsid w:val="73EF6FCB"/>
    <w:rsid w:val="73F8082D"/>
    <w:rsid w:val="746D6EA6"/>
    <w:rsid w:val="74901273"/>
    <w:rsid w:val="74A120DC"/>
    <w:rsid w:val="74CE7988"/>
    <w:rsid w:val="7519412F"/>
    <w:rsid w:val="75245A20"/>
    <w:rsid w:val="75264D66"/>
    <w:rsid w:val="752F002D"/>
    <w:rsid w:val="756578D8"/>
    <w:rsid w:val="75B571A3"/>
    <w:rsid w:val="75E33518"/>
    <w:rsid w:val="75F31736"/>
    <w:rsid w:val="760D4907"/>
    <w:rsid w:val="76171B4F"/>
    <w:rsid w:val="76465F91"/>
    <w:rsid w:val="767508E2"/>
    <w:rsid w:val="7678399B"/>
    <w:rsid w:val="767D395F"/>
    <w:rsid w:val="76AF2584"/>
    <w:rsid w:val="76FC183B"/>
    <w:rsid w:val="771F4ADD"/>
    <w:rsid w:val="772067E2"/>
    <w:rsid w:val="772E7150"/>
    <w:rsid w:val="774714D4"/>
    <w:rsid w:val="774B2CA1"/>
    <w:rsid w:val="77710400"/>
    <w:rsid w:val="7775456C"/>
    <w:rsid w:val="777637DB"/>
    <w:rsid w:val="777A32E1"/>
    <w:rsid w:val="778A5C5E"/>
    <w:rsid w:val="77B55997"/>
    <w:rsid w:val="77CC6F80"/>
    <w:rsid w:val="77D9214F"/>
    <w:rsid w:val="78081F57"/>
    <w:rsid w:val="781147F5"/>
    <w:rsid w:val="78202BD2"/>
    <w:rsid w:val="78244B98"/>
    <w:rsid w:val="78473CF3"/>
    <w:rsid w:val="784B0ED7"/>
    <w:rsid w:val="78566524"/>
    <w:rsid w:val="785A4958"/>
    <w:rsid w:val="78A810E3"/>
    <w:rsid w:val="78B137A9"/>
    <w:rsid w:val="78B816AD"/>
    <w:rsid w:val="794C4820"/>
    <w:rsid w:val="796B3756"/>
    <w:rsid w:val="7A645F2D"/>
    <w:rsid w:val="7A776F80"/>
    <w:rsid w:val="7A7831A2"/>
    <w:rsid w:val="7A880D40"/>
    <w:rsid w:val="7AA16DD5"/>
    <w:rsid w:val="7AAF3E21"/>
    <w:rsid w:val="7AD1790C"/>
    <w:rsid w:val="7B0870EC"/>
    <w:rsid w:val="7B1A15C8"/>
    <w:rsid w:val="7B3F5294"/>
    <w:rsid w:val="7B694B69"/>
    <w:rsid w:val="7B803CF3"/>
    <w:rsid w:val="7B9F14B1"/>
    <w:rsid w:val="7BBD27C5"/>
    <w:rsid w:val="7BDD3112"/>
    <w:rsid w:val="7BEC586E"/>
    <w:rsid w:val="7C2C7801"/>
    <w:rsid w:val="7C2E374F"/>
    <w:rsid w:val="7C38782F"/>
    <w:rsid w:val="7C604753"/>
    <w:rsid w:val="7C92193E"/>
    <w:rsid w:val="7CB768FB"/>
    <w:rsid w:val="7CD5482B"/>
    <w:rsid w:val="7CFC1380"/>
    <w:rsid w:val="7CFE093F"/>
    <w:rsid w:val="7D1F3C7C"/>
    <w:rsid w:val="7D6525D2"/>
    <w:rsid w:val="7D672CA3"/>
    <w:rsid w:val="7D732219"/>
    <w:rsid w:val="7D73351F"/>
    <w:rsid w:val="7D843D8E"/>
    <w:rsid w:val="7D8865BE"/>
    <w:rsid w:val="7D966001"/>
    <w:rsid w:val="7D9A3472"/>
    <w:rsid w:val="7DFB0936"/>
    <w:rsid w:val="7E186464"/>
    <w:rsid w:val="7E1E3B76"/>
    <w:rsid w:val="7E2625E2"/>
    <w:rsid w:val="7E3B705D"/>
    <w:rsid w:val="7E960C89"/>
    <w:rsid w:val="7EAB6553"/>
    <w:rsid w:val="7EEC10D5"/>
    <w:rsid w:val="7EFE143D"/>
    <w:rsid w:val="7F28157E"/>
    <w:rsid w:val="7F8A5DC0"/>
    <w:rsid w:val="7F8D0F80"/>
    <w:rsid w:val="7FC83C85"/>
    <w:rsid w:val="7FF901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autoRedefine/>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3"/>
    <w:next w:val="1"/>
    <w:link w:val="56"/>
    <w:autoRedefine/>
    <w:qFormat/>
    <w:uiPriority w:val="0"/>
    <w:pPr>
      <w:numPr>
        <w:ilvl w:val="2"/>
      </w:numPr>
      <w:tabs>
        <w:tab w:val="left" w:pos="900"/>
      </w:tabs>
      <w:outlineLvl w:val="2"/>
    </w:p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autoRedefine/>
    <w:unhideWhenUsed/>
    <w:qFormat/>
    <w:uiPriority w:val="99"/>
    <w:pPr>
      <w:ind w:firstLine="420" w:firstLineChars="200"/>
    </w:pPr>
  </w:style>
  <w:style w:type="paragraph" w:styleId="6">
    <w:name w:val="Body Text 3"/>
    <w:basedOn w:val="1"/>
    <w:autoRedefine/>
    <w:unhideWhenUsed/>
    <w:qFormat/>
    <w:uiPriority w:val="99"/>
    <w:rPr>
      <w:rFonts w:ascii="宋体" w:hAnsi="Calibri"/>
      <w:sz w:val="24"/>
    </w:rPr>
  </w:style>
  <w:style w:type="paragraph" w:styleId="7">
    <w:name w:val="Body Text"/>
    <w:basedOn w:val="1"/>
    <w:next w:val="1"/>
    <w:autoRedefine/>
    <w:qFormat/>
    <w:uiPriority w:val="0"/>
    <w:pPr>
      <w:spacing w:line="360" w:lineRule="auto"/>
    </w:pPr>
  </w:style>
  <w:style w:type="paragraph" w:styleId="8">
    <w:name w:val="Body Text Indent"/>
    <w:basedOn w:val="1"/>
    <w:autoRedefine/>
    <w:qFormat/>
    <w:uiPriority w:val="0"/>
    <w:pPr>
      <w:spacing w:after="120"/>
      <w:ind w:left="420" w:leftChars="200"/>
    </w:pPr>
    <w:rPr>
      <w:rFonts w:asciiTheme="minorHAnsi" w:hAnsiTheme="minorHAnsi" w:eastAsiaTheme="minorEastAsia" w:cstheme="minorBidi"/>
      <w:szCs w:val="22"/>
    </w:rPr>
  </w:style>
  <w:style w:type="paragraph" w:styleId="9">
    <w:name w:val="Plain Text"/>
    <w:basedOn w:val="1"/>
    <w:autoRedefine/>
    <w:qFormat/>
    <w:uiPriority w:val="0"/>
    <w:rPr>
      <w:rFonts w:ascii="宋体"/>
      <w:szCs w:val="20"/>
    </w:rPr>
  </w:style>
  <w:style w:type="paragraph" w:styleId="10">
    <w:name w:val="Date"/>
    <w:basedOn w:val="1"/>
    <w:next w:val="1"/>
    <w:link w:val="46"/>
    <w:autoRedefine/>
    <w:qFormat/>
    <w:uiPriority w:val="0"/>
    <w:pPr>
      <w:ind w:left="100" w:leftChars="2500"/>
    </w:pPr>
  </w:style>
  <w:style w:type="paragraph" w:styleId="11">
    <w:name w:val="Balloon Text"/>
    <w:basedOn w:val="1"/>
    <w:link w:val="43"/>
    <w:autoRedefine/>
    <w:qFormat/>
    <w:uiPriority w:val="0"/>
    <w:rPr>
      <w:sz w:val="18"/>
      <w:szCs w:val="18"/>
    </w:rPr>
  </w:style>
  <w:style w:type="paragraph" w:styleId="12">
    <w:name w:val="footer"/>
    <w:basedOn w:val="1"/>
    <w:link w:val="44"/>
    <w:autoRedefine/>
    <w:qFormat/>
    <w:uiPriority w:val="99"/>
    <w:pPr>
      <w:tabs>
        <w:tab w:val="center" w:pos="4153"/>
        <w:tab w:val="right" w:pos="8306"/>
      </w:tabs>
      <w:snapToGrid w:val="0"/>
      <w:jc w:val="left"/>
    </w:pPr>
    <w:rPr>
      <w:rFonts w:ascii="宋体"/>
      <w:sz w:val="18"/>
      <w:szCs w:val="20"/>
    </w:rPr>
  </w:style>
  <w:style w:type="paragraph" w:styleId="13">
    <w:name w:val="envelope return"/>
    <w:basedOn w:val="1"/>
    <w:autoRedefine/>
    <w:qFormat/>
    <w:uiPriority w:val="0"/>
    <w:pPr>
      <w:snapToGrid w:val="0"/>
    </w:pPr>
    <w:rPr>
      <w:rFonts w:ascii="Arial" w:hAnsi="Arial"/>
    </w:rPr>
  </w:style>
  <w:style w:type="paragraph" w:styleId="14">
    <w:name w:val="header"/>
    <w:basedOn w:val="1"/>
    <w:next w:val="1"/>
    <w:link w:val="45"/>
    <w:autoRedefine/>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39"/>
    <w:pPr>
      <w:spacing w:before="120" w:after="120"/>
      <w:jc w:val="left"/>
    </w:pPr>
    <w:rPr>
      <w:rFonts w:ascii="Calibri" w:hAnsi="Calibri"/>
      <w:b/>
      <w:bCs/>
      <w:caps/>
      <w:sz w:val="24"/>
    </w:rPr>
  </w:style>
  <w:style w:type="paragraph" w:styleId="16">
    <w:name w:val="toc 2"/>
    <w:basedOn w:val="1"/>
    <w:next w:val="1"/>
    <w:autoRedefine/>
    <w:qFormat/>
    <w:uiPriority w:val="0"/>
    <w:pPr>
      <w:ind w:left="420"/>
    </w:pPr>
  </w:style>
  <w:style w:type="paragraph" w:styleId="17">
    <w:name w:val="Body Text 2"/>
    <w:basedOn w:val="1"/>
    <w:autoRedefine/>
    <w:qFormat/>
    <w:uiPriority w:val="0"/>
    <w:pPr>
      <w:spacing w:after="120" w:line="480" w:lineRule="auto"/>
    </w:pPr>
  </w:style>
  <w:style w:type="paragraph" w:styleId="18">
    <w:name w:val="Normal (Web)"/>
    <w:basedOn w:val="1"/>
    <w:autoRedefine/>
    <w:qFormat/>
    <w:uiPriority w:val="0"/>
    <w:pPr>
      <w:spacing w:beforeAutospacing="1" w:afterAutospacing="1"/>
      <w:jc w:val="left"/>
    </w:pPr>
    <w:rPr>
      <w:kern w:val="0"/>
      <w:sz w:val="24"/>
    </w:rPr>
  </w:style>
  <w:style w:type="paragraph" w:styleId="19">
    <w:name w:val="Title"/>
    <w:basedOn w:val="1"/>
    <w:next w:val="1"/>
    <w:autoRedefine/>
    <w:qFormat/>
    <w:uiPriority w:val="0"/>
    <w:pPr>
      <w:spacing w:before="240" w:after="60"/>
      <w:jc w:val="center"/>
      <w:outlineLvl w:val="0"/>
    </w:pPr>
    <w:rPr>
      <w:rFonts w:ascii="Cambria" w:hAnsi="Cambria"/>
      <w:b/>
      <w:bCs/>
      <w:szCs w:val="32"/>
    </w:rPr>
  </w:style>
  <w:style w:type="paragraph" w:styleId="20">
    <w:name w:val="Body Text First Indent"/>
    <w:basedOn w:val="7"/>
    <w:next w:val="21"/>
    <w:autoRedefine/>
    <w:unhideWhenUsed/>
    <w:qFormat/>
    <w:uiPriority w:val="0"/>
    <w:pPr>
      <w:ind w:firstLine="420" w:firstLineChars="100"/>
    </w:pPr>
  </w:style>
  <w:style w:type="paragraph" w:customStyle="1" w:styleId="21">
    <w:name w:val="段落正文"/>
    <w:basedOn w:val="1"/>
    <w:autoRedefine/>
    <w:qFormat/>
    <w:uiPriority w:val="0"/>
    <w:pPr>
      <w:spacing w:line="360" w:lineRule="auto"/>
      <w:ind w:firstLine="480" w:firstLineChars="200"/>
    </w:pPr>
    <w:rPr>
      <w:rFonts w:ascii="微软雅黑" w:hAnsi="微软雅黑"/>
      <w:kern w:val="0"/>
      <w:sz w:val="24"/>
      <w:szCs w:val="20"/>
    </w:rPr>
  </w:style>
  <w:style w:type="paragraph" w:styleId="22">
    <w:name w:val="Body Text First Indent 2"/>
    <w:basedOn w:val="8"/>
    <w:next w:val="1"/>
    <w:autoRedefine/>
    <w:qFormat/>
    <w:uiPriority w:val="0"/>
    <w:pPr>
      <w:ind w:firstLine="420" w:firstLineChars="200"/>
    </w:pPr>
  </w:style>
  <w:style w:type="table" w:styleId="24">
    <w:name w:val="Table Grid"/>
    <w:basedOn w:val="23"/>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autoRedefine/>
    <w:qFormat/>
    <w:uiPriority w:val="0"/>
  </w:style>
  <w:style w:type="character" w:styleId="27">
    <w:name w:val="Hyperlink"/>
    <w:basedOn w:val="25"/>
    <w:autoRedefine/>
    <w:qFormat/>
    <w:uiPriority w:val="99"/>
    <w:rPr>
      <w:color w:val="666666"/>
      <w:u w:val="none"/>
    </w:rPr>
  </w:style>
  <w:style w:type="paragraph" w:customStyle="1" w:styleId="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0">
    <w:name w:val="正文首行缩进 21"/>
    <w:basedOn w:val="8"/>
    <w:autoRedefine/>
    <w:qFormat/>
    <w:uiPriority w:val="0"/>
    <w:pPr>
      <w:overflowPunct w:val="0"/>
      <w:autoSpaceDE w:val="0"/>
      <w:autoSpaceDN w:val="0"/>
      <w:adjustRightInd w:val="0"/>
      <w:spacing w:line="360" w:lineRule="auto"/>
      <w:ind w:left="0" w:leftChars="0" w:firstLine="420" w:firstLineChars="200"/>
      <w:textAlignment w:val="baseline"/>
    </w:pPr>
    <w:rPr>
      <w:rFonts w:ascii="宋体" w:hAnsi="MS Sans Serif"/>
      <w:spacing w:val="12"/>
      <w:sz w:val="24"/>
    </w:rPr>
  </w:style>
  <w:style w:type="paragraph" w:customStyle="1" w:styleId="31">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2">
    <w:name w:val="正文文本缩进1"/>
    <w:basedOn w:val="1"/>
    <w:autoRedefine/>
    <w:qFormat/>
    <w:uiPriority w:val="0"/>
    <w:pPr>
      <w:ind w:left="420" w:leftChars="200"/>
    </w:pPr>
  </w:style>
  <w:style w:type="paragraph" w:customStyle="1" w:styleId="33">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TOC 标题2"/>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2E75B5" w:themeColor="accent1" w:themeShade="BF"/>
      <w:kern w:val="0"/>
      <w:sz w:val="28"/>
      <w:szCs w:val="28"/>
    </w:rPr>
  </w:style>
  <w:style w:type="paragraph" w:customStyle="1" w:styleId="35">
    <w:name w:val="_Style 17"/>
    <w:basedOn w:val="1"/>
    <w:next w:val="1"/>
    <w:autoRedefine/>
    <w:qFormat/>
    <w:uiPriority w:val="0"/>
    <w:pPr>
      <w:pBdr>
        <w:bottom w:val="single" w:color="auto" w:sz="6" w:space="1"/>
      </w:pBdr>
      <w:jc w:val="center"/>
    </w:pPr>
    <w:rPr>
      <w:rFonts w:ascii="Arial"/>
      <w:vanish/>
      <w:sz w:val="16"/>
    </w:rPr>
  </w:style>
  <w:style w:type="paragraph" w:customStyle="1" w:styleId="36">
    <w:name w:val="_Style 18"/>
    <w:basedOn w:val="1"/>
    <w:next w:val="1"/>
    <w:autoRedefine/>
    <w:qFormat/>
    <w:uiPriority w:val="0"/>
    <w:pPr>
      <w:pBdr>
        <w:top w:val="single" w:color="auto" w:sz="6" w:space="1"/>
      </w:pBdr>
      <w:jc w:val="center"/>
    </w:pPr>
    <w:rPr>
      <w:rFonts w:ascii="Arial"/>
      <w:vanish/>
      <w:sz w:val="16"/>
    </w:rPr>
  </w:style>
  <w:style w:type="paragraph" w:customStyle="1" w:styleId="37">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38">
    <w:name w:val="_Style 2"/>
    <w:basedOn w:val="1"/>
    <w:autoRedefine/>
    <w:qFormat/>
    <w:uiPriority w:val="0"/>
  </w:style>
  <w:style w:type="paragraph" w:customStyle="1" w:styleId="39">
    <w:name w:val="纯文本1"/>
    <w:basedOn w:val="1"/>
    <w:autoRedefine/>
    <w:qFormat/>
    <w:uiPriority w:val="0"/>
    <w:rPr>
      <w:rFonts w:ascii="宋体" w:hAnsi="Courier New"/>
      <w:szCs w:val="22"/>
    </w:rPr>
  </w:style>
  <w:style w:type="character" w:customStyle="1" w:styleId="40">
    <w:name w:val="标题 1 Char"/>
    <w:link w:val="2"/>
    <w:autoRedefine/>
    <w:qFormat/>
    <w:uiPriority w:val="0"/>
    <w:rPr>
      <w:b/>
      <w:bCs/>
      <w:kern w:val="44"/>
      <w:sz w:val="44"/>
      <w:szCs w:val="44"/>
    </w:rPr>
  </w:style>
  <w:style w:type="paragraph" w:customStyle="1" w:styleId="41">
    <w:name w:val="txt14"/>
    <w:basedOn w:val="1"/>
    <w:autoRedefine/>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42">
    <w:name w:val="Table Paragraph"/>
    <w:basedOn w:val="1"/>
    <w:autoRedefine/>
    <w:qFormat/>
    <w:uiPriority w:val="99"/>
    <w:pPr>
      <w:jc w:val="left"/>
    </w:pPr>
    <w:rPr>
      <w:kern w:val="0"/>
      <w:sz w:val="22"/>
      <w:lang w:eastAsia="en-US"/>
    </w:rPr>
  </w:style>
  <w:style w:type="character" w:customStyle="1" w:styleId="43">
    <w:name w:val="批注框文本 Char"/>
    <w:basedOn w:val="25"/>
    <w:link w:val="11"/>
    <w:autoRedefine/>
    <w:qFormat/>
    <w:uiPriority w:val="0"/>
    <w:rPr>
      <w:rFonts w:ascii="Times New Roman" w:hAnsi="Times New Roman"/>
      <w:kern w:val="2"/>
      <w:sz w:val="18"/>
      <w:szCs w:val="18"/>
    </w:rPr>
  </w:style>
  <w:style w:type="character" w:customStyle="1" w:styleId="44">
    <w:name w:val="页脚 Char"/>
    <w:basedOn w:val="25"/>
    <w:link w:val="12"/>
    <w:autoRedefine/>
    <w:qFormat/>
    <w:uiPriority w:val="99"/>
    <w:rPr>
      <w:rFonts w:ascii="宋体" w:hAnsi="Times New Roman"/>
      <w:kern w:val="2"/>
      <w:sz w:val="18"/>
    </w:rPr>
  </w:style>
  <w:style w:type="character" w:customStyle="1" w:styleId="45">
    <w:name w:val="页眉 Char"/>
    <w:basedOn w:val="25"/>
    <w:link w:val="14"/>
    <w:autoRedefine/>
    <w:qFormat/>
    <w:uiPriority w:val="99"/>
    <w:rPr>
      <w:rFonts w:ascii="Times New Roman" w:hAnsi="Times New Roman"/>
      <w:kern w:val="2"/>
      <w:sz w:val="18"/>
      <w:szCs w:val="18"/>
    </w:rPr>
  </w:style>
  <w:style w:type="character" w:customStyle="1" w:styleId="46">
    <w:name w:val="日期 Char"/>
    <w:basedOn w:val="25"/>
    <w:link w:val="10"/>
    <w:autoRedefine/>
    <w:qFormat/>
    <w:uiPriority w:val="0"/>
    <w:rPr>
      <w:rFonts w:ascii="Times New Roman" w:hAnsi="Times New Roman"/>
      <w:kern w:val="2"/>
      <w:sz w:val="21"/>
      <w:szCs w:val="24"/>
    </w:rPr>
  </w:style>
  <w:style w:type="paragraph" w:customStyle="1" w:styleId="47">
    <w:name w:val="Blockquote"/>
    <w:basedOn w:val="1"/>
    <w:autoRedefine/>
    <w:qFormat/>
    <w:uiPriority w:val="0"/>
    <w:pPr>
      <w:autoSpaceDE w:val="0"/>
      <w:autoSpaceDN w:val="0"/>
      <w:adjustRightInd w:val="0"/>
      <w:spacing w:before="100" w:after="100"/>
      <w:ind w:left="360" w:right="360"/>
      <w:jc w:val="left"/>
    </w:pPr>
    <w:rPr>
      <w:kern w:val="0"/>
      <w:position w:val="-6"/>
      <w:sz w:val="24"/>
    </w:rPr>
  </w:style>
  <w:style w:type="paragraph" w:customStyle="1" w:styleId="48">
    <w:name w:val="p2"/>
    <w:basedOn w:val="1"/>
    <w:autoRedefine/>
    <w:qFormat/>
    <w:uiPriority w:val="99"/>
    <w:pPr>
      <w:widowControl/>
      <w:spacing w:line="480" w:lineRule="auto"/>
      <w:ind w:firstLine="420"/>
      <w:jc w:val="left"/>
    </w:pPr>
    <w:rPr>
      <w:rFonts w:ascii="宋体" w:hAnsi="宋体" w:cs="宋体"/>
      <w:kern w:val="0"/>
      <w:szCs w:val="21"/>
    </w:rPr>
  </w:style>
  <w:style w:type="paragraph" w:customStyle="1" w:styleId="49">
    <w:name w:val="（标题二）"/>
    <w:basedOn w:val="3"/>
    <w:next w:val="1"/>
    <w:autoRedefine/>
    <w:qFormat/>
    <w:uiPriority w:val="0"/>
    <w:pPr>
      <w:spacing w:before="100" w:beforeAutospacing="1" w:after="100" w:afterAutospacing="1" w:line="410" w:lineRule="auto"/>
      <w:ind w:left="1680" w:hanging="420"/>
    </w:pPr>
    <w:rPr>
      <w:rFonts w:cs="Arial"/>
      <w:b w:val="0"/>
      <w:sz w:val="36"/>
      <w:szCs w:val="36"/>
    </w:rPr>
  </w:style>
  <w:style w:type="paragraph" w:customStyle="1" w:styleId="50">
    <w:name w:val="正文 New New New New New New New New New New New New New New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Other|1"/>
    <w:basedOn w:val="1"/>
    <w:autoRedefine/>
    <w:qFormat/>
    <w:uiPriority w:val="0"/>
    <w:pPr>
      <w:spacing w:line="480" w:lineRule="auto"/>
      <w:ind w:firstLine="400"/>
    </w:pPr>
    <w:rPr>
      <w:rFonts w:ascii="宋体" w:hAnsi="宋体" w:cs="宋体"/>
      <w:sz w:val="19"/>
      <w:szCs w:val="19"/>
      <w:lang w:val="zh-TW" w:eastAsia="zh-TW" w:bidi="zh-TW"/>
    </w:rPr>
  </w:style>
  <w:style w:type="paragraph" w:customStyle="1" w:styleId="52">
    <w:name w:val="p0"/>
    <w:basedOn w:val="1"/>
    <w:autoRedefine/>
    <w:qFormat/>
    <w:uiPriority w:val="99"/>
    <w:pPr>
      <w:widowControl/>
    </w:pPr>
    <w:rPr>
      <w:kern w:val="0"/>
    </w:rPr>
  </w:style>
  <w:style w:type="paragraph" w:styleId="53">
    <w:name w:val="List Paragraph"/>
    <w:basedOn w:val="1"/>
    <w:autoRedefine/>
    <w:qFormat/>
    <w:uiPriority w:val="34"/>
    <w:pPr>
      <w:ind w:firstLine="420" w:firstLineChars="200"/>
    </w:pPr>
  </w:style>
  <w:style w:type="paragraph" w:customStyle="1" w:styleId="54">
    <w:name w:val="NormalIndent"/>
    <w:basedOn w:val="1"/>
    <w:next w:val="1"/>
    <w:autoRedefine/>
    <w:qFormat/>
    <w:uiPriority w:val="0"/>
    <w:pPr>
      <w:spacing w:line="360" w:lineRule="auto"/>
      <w:ind w:firstLine="420" w:firstLineChars="200"/>
    </w:pPr>
    <w:rPr>
      <w:sz w:val="24"/>
    </w:rPr>
  </w:style>
  <w:style w:type="paragraph" w:customStyle="1" w:styleId="55">
    <w:name w:val="样式 正文Alt+ctrl+Z + 首行缩进:  2 字符9"/>
    <w:basedOn w:val="1"/>
    <w:autoRedefine/>
    <w:qFormat/>
    <w:uiPriority w:val="0"/>
    <w:pPr>
      <w:spacing w:afterLines="50" w:line="360" w:lineRule="auto"/>
      <w:ind w:firstLine="200" w:firstLineChars="200"/>
    </w:pPr>
    <w:rPr>
      <w:rFonts w:cs="宋体"/>
      <w:sz w:val="24"/>
      <w:szCs w:val="20"/>
    </w:rPr>
  </w:style>
  <w:style w:type="character" w:customStyle="1" w:styleId="56">
    <w:name w:val="标题 3 Char"/>
    <w:basedOn w:val="25"/>
    <w:link w:val="4"/>
    <w:autoRedefine/>
    <w:qFormat/>
    <w:uiPriority w:val="0"/>
    <w:rPr>
      <w:rFonts w:eastAsia="黑体"/>
      <w:b/>
      <w:kern w:val="0"/>
      <w:sz w:val="28"/>
      <w:szCs w:val="20"/>
    </w:rPr>
  </w:style>
  <w:style w:type="paragraph" w:customStyle="1" w:styleId="57">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Body Text Indent 21"/>
    <w:basedOn w:val="1"/>
    <w:autoRedefine/>
    <w:qFormat/>
    <w:uiPriority w:val="0"/>
    <w:pPr>
      <w:spacing w:line="60" w:lineRule="auto"/>
      <w:ind w:firstLine="128" w:firstLineChars="128"/>
    </w:pPr>
    <w:rPr>
      <w:rFonts w:ascii="仿宋_GB2312" w:eastAsia="仿宋_GB2312"/>
      <w:kern w:val="0"/>
      <w:sz w:val="24"/>
    </w:rPr>
  </w:style>
  <w:style w:type="character" w:customStyle="1" w:styleId="59">
    <w:name w:val="font11"/>
    <w:basedOn w:val="25"/>
    <w:autoRedefine/>
    <w:qFormat/>
    <w:uiPriority w:val="0"/>
    <w:rPr>
      <w:rFonts w:hint="default" w:ascii="Times New Roman" w:hAnsi="Times New Roman" w:cs="Times New Roman"/>
      <w:color w:val="000000"/>
      <w:sz w:val="28"/>
      <w:szCs w:val="28"/>
      <w:u w:val="none"/>
    </w:rPr>
  </w:style>
  <w:style w:type="character" w:customStyle="1" w:styleId="60">
    <w:name w:val="font01"/>
    <w:basedOn w:val="25"/>
    <w:autoRedefine/>
    <w:qFormat/>
    <w:uiPriority w:val="0"/>
    <w:rPr>
      <w:rFonts w:hint="eastAsia" w:ascii="宋体" w:hAnsi="宋体" w:eastAsia="宋体" w:cs="宋体"/>
      <w:color w:val="000000"/>
      <w:sz w:val="28"/>
      <w:szCs w:val="28"/>
      <w:u w:val="none"/>
    </w:rPr>
  </w:style>
  <w:style w:type="character" w:customStyle="1" w:styleId="61">
    <w:name w:val="font41"/>
    <w:basedOn w:val="25"/>
    <w:autoRedefine/>
    <w:qFormat/>
    <w:uiPriority w:val="0"/>
    <w:rPr>
      <w:rFonts w:hint="eastAsia" w:ascii="宋体" w:hAnsi="宋体" w:eastAsia="宋体" w:cs="宋体"/>
      <w:color w:val="000000"/>
      <w:sz w:val="22"/>
      <w:szCs w:val="22"/>
      <w:u w:val="none"/>
    </w:rPr>
  </w:style>
  <w:style w:type="character" w:customStyle="1" w:styleId="62">
    <w:name w:val="font31"/>
    <w:basedOn w:val="25"/>
    <w:autoRedefine/>
    <w:qFormat/>
    <w:uiPriority w:val="0"/>
    <w:rPr>
      <w:rFonts w:hint="eastAsia" w:ascii="宋体" w:hAnsi="宋体" w:eastAsia="宋体" w:cs="宋体"/>
      <w:b/>
      <w:bCs/>
      <w:color w:val="000000"/>
      <w:sz w:val="20"/>
      <w:szCs w:val="20"/>
      <w:u w:val="none"/>
    </w:rPr>
  </w:style>
  <w:style w:type="character" w:customStyle="1" w:styleId="63">
    <w:name w:val="font21"/>
    <w:basedOn w:val="25"/>
    <w:autoRedefine/>
    <w:qFormat/>
    <w:uiPriority w:val="0"/>
    <w:rPr>
      <w:rFonts w:hint="eastAsia" w:ascii="宋体" w:hAnsi="宋体" w:eastAsia="宋体" w:cs="宋体"/>
      <w:color w:val="000000"/>
      <w:sz w:val="18"/>
      <w:szCs w:val="18"/>
      <w:u w:val="none"/>
    </w:rPr>
  </w:style>
  <w:style w:type="paragraph" w:customStyle="1" w:styleId="64">
    <w:name w:val="style4"/>
    <w:basedOn w:val="31"/>
    <w:next w:val="65"/>
    <w:autoRedefine/>
    <w:qFormat/>
    <w:uiPriority w:val="0"/>
    <w:pPr>
      <w:spacing w:before="100" w:beforeAutospacing="1" w:after="100" w:afterAutospacing="1"/>
      <w:jc w:val="left"/>
    </w:pPr>
    <w:rPr>
      <w:rFonts w:ascii="宋体" w:hAnsi="宋体" w:cs="宋体"/>
      <w:kern w:val="0"/>
      <w:sz w:val="18"/>
      <w:szCs w:val="18"/>
    </w:rPr>
  </w:style>
  <w:style w:type="paragraph" w:customStyle="1" w:styleId="65">
    <w:name w:val="2"/>
    <w:basedOn w:val="1"/>
    <w:next w:val="1"/>
    <w:autoRedefine/>
    <w:qFormat/>
    <w:uiPriority w:val="0"/>
    <w:pPr>
      <w:spacing w:line="360" w:lineRule="auto"/>
    </w:pPr>
    <w:rPr>
      <w:rFonts w:eastAsia="仿宋_GB2312"/>
      <w:sz w:val="28"/>
      <w:szCs w:val="28"/>
    </w:rPr>
  </w:style>
  <w:style w:type="paragraph" w:customStyle="1" w:styleId="66">
    <w:name w:val="_Style 33"/>
    <w:basedOn w:val="1"/>
    <w:next w:val="7"/>
    <w:autoRedefine/>
    <w:qFormat/>
    <w:uiPriority w:val="0"/>
    <w:pPr>
      <w:adjustRightInd w:val="0"/>
      <w:spacing w:line="440" w:lineRule="exact"/>
    </w:pPr>
    <w:rPr>
      <w:rFonts w:ascii="宋体" w:hAnsi="宋体"/>
      <w:bCs/>
      <w:color w:val="000000"/>
      <w:sz w:val="24"/>
      <w:szCs w:val="20"/>
    </w:rPr>
  </w:style>
  <w:style w:type="character" w:customStyle="1" w:styleId="67">
    <w:name w:val="font51"/>
    <w:basedOn w:val="25"/>
    <w:qFormat/>
    <w:uiPriority w:val="0"/>
    <w:rPr>
      <w:rFonts w:ascii="Calibri" w:hAnsi="Calibri" w:cs="Calibri"/>
      <w:color w:val="000000"/>
      <w:sz w:val="20"/>
      <w:szCs w:val="20"/>
      <w:u w:val="none"/>
    </w:rPr>
  </w:style>
  <w:style w:type="character" w:customStyle="1" w:styleId="68">
    <w:name w:val="font61"/>
    <w:basedOn w:val="25"/>
    <w:qFormat/>
    <w:uiPriority w:val="0"/>
    <w:rPr>
      <w:rFonts w:ascii="微软雅黑" w:hAnsi="微软雅黑" w:eastAsia="微软雅黑" w:cs="微软雅黑"/>
      <w:color w:val="000000"/>
      <w:sz w:val="20"/>
      <w:szCs w:val="20"/>
      <w:u w:val="none"/>
    </w:rPr>
  </w:style>
  <w:style w:type="paragraph" w:customStyle="1" w:styleId="69">
    <w:name w:val="列出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41" textRotate="1"/>
    <customShpInfo spid="_x0000_s1042" textRotate="1"/>
    <customShpInfo spid="_x0000_s1043" textRotate="1"/>
    <customShpInfo spid="_x0000_s1032"/>
    <customShpInfo spid="_x0000_s1044" textRotate="1"/>
    <customShpInfo spid="_x0000_s1045" textRotate="1"/>
    <customShpInfo spid="_x0000_s1029"/>
    <customShpInfo spid="_x0000_s1046" textRotate="1"/>
    <customShpInfo spid="_x0000_s1027"/>
    <customShpInfo spid="_x0000_s205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5D3D36-FA44-4D50-A3CD-091567A4332F}">
  <ds:schemaRefs/>
</ds:datastoreItem>
</file>

<file path=docProps/app.xml><?xml version="1.0" encoding="utf-8"?>
<Properties xmlns="http://schemas.openxmlformats.org/officeDocument/2006/extended-properties" xmlns:vt="http://schemas.openxmlformats.org/officeDocument/2006/docPropsVTypes">
  <Template>Normal</Template>
  <Pages>93</Pages>
  <Words>21953</Words>
  <Characters>24612</Characters>
  <Lines>460</Lines>
  <Paragraphs>129</Paragraphs>
  <TotalTime>0</TotalTime>
  <ScaleCrop>false</ScaleCrop>
  <LinksUpToDate>false</LinksUpToDate>
  <CharactersWithSpaces>24822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2020-07-11T03:32:00Z</dcterms:created>
  <dc:creator>Administrator</dc:creator>
  <cp:lastModifiedBy>Administrator</cp:lastModifiedBy>
  <cp:lastPrinted>2024-09-09T10:43:00Z</cp:lastPrinted>
  <dcterms:modified xsi:type="dcterms:W3CDTF">2025-06-24T10:43:13Z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B6C1C272EC1040E3BFFE6C0633940638_13</vt:lpwstr>
  </property>
  <property fmtid="{D5CDD505-2E9C-101B-9397-08002B2CF9AE}" pid="4" name="KSOTemplateDocerSaveRecord">
    <vt:lpwstr>eyJoZGlkIjoiNjI1ZjM0NmYwYjY2OWQyMDRjYzdmZjM1YmE5YjUxZGQiLCJ1c2VySWQiOiI5NDM0NzQ1ODUifQ==</vt:lpwstr>
  </property>
</Properties>
</file>