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32EF5C3">
      <w:pPr>
        <w:pStyle w:val="23"/>
        <w:rPr>
          <w:rFonts w:hint="eastAsia" w:ascii="仿宋" w:hAnsi="仿宋" w:eastAsia="仿宋" w:cs="仿宋"/>
          <w:b w:val="0"/>
          <w:color w:val="auto"/>
          <w:sz w:val="24"/>
          <w:szCs w:val="24"/>
          <w:highlight w:val="none"/>
        </w:rPr>
      </w:pPr>
      <w:bookmarkStart w:id="0" w:name="_Toc204749313"/>
      <w:bookmarkStart w:id="1" w:name="_Toc277776482"/>
      <w:bookmarkStart w:id="2" w:name="_Toc277776504"/>
    </w:p>
    <w:p w14:paraId="0B970645">
      <w:pPr>
        <w:pStyle w:val="112"/>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瑞丽市国土空间详细规划弄莫湖片区编制项目</w:t>
      </w:r>
    </w:p>
    <w:p w14:paraId="3BD84308">
      <w:pPr>
        <w:rPr>
          <w:rFonts w:hint="eastAsia" w:ascii="宋体" w:hAnsi="宋体" w:cs="宋体"/>
          <w:color w:val="auto"/>
          <w:highlight w:val="none"/>
        </w:rPr>
      </w:pPr>
    </w:p>
    <w:p w14:paraId="72906C0F">
      <w:pPr>
        <w:pStyle w:val="112"/>
        <w:rPr>
          <w:rFonts w:hint="eastAsia" w:ascii="宋体" w:hAnsi="宋体" w:cs="宋体"/>
          <w:color w:val="auto"/>
          <w:sz w:val="28"/>
          <w:szCs w:val="28"/>
          <w:highlight w:val="none"/>
        </w:rPr>
      </w:pPr>
    </w:p>
    <w:p w14:paraId="298E79B5">
      <w:pPr>
        <w:pStyle w:val="112"/>
        <w:rPr>
          <w:rFonts w:hint="eastAsia" w:ascii="宋体" w:hAnsi="宋体" w:cs="宋体"/>
          <w:color w:val="auto"/>
          <w:sz w:val="28"/>
          <w:szCs w:val="28"/>
          <w:highlight w:val="none"/>
        </w:rPr>
      </w:pPr>
    </w:p>
    <w:p w14:paraId="59DFCAC7">
      <w:pPr>
        <w:pStyle w:val="112"/>
        <w:rPr>
          <w:rFonts w:hint="eastAsia" w:ascii="宋体" w:hAnsi="宋体" w:cs="宋体"/>
          <w:color w:val="auto"/>
          <w:sz w:val="28"/>
          <w:szCs w:val="28"/>
          <w:highlight w:val="none"/>
        </w:rPr>
      </w:pPr>
    </w:p>
    <w:p w14:paraId="79730CB5">
      <w:pPr>
        <w:pStyle w:val="112"/>
        <w:rPr>
          <w:rFonts w:hint="eastAsia" w:ascii="宋体" w:hAnsi="宋体" w:cs="宋体"/>
          <w:color w:val="auto"/>
          <w:sz w:val="28"/>
          <w:szCs w:val="28"/>
          <w:highlight w:val="none"/>
        </w:rPr>
      </w:pPr>
    </w:p>
    <w:p w14:paraId="4DBB627B">
      <w:pPr>
        <w:rPr>
          <w:rFonts w:hint="eastAsia" w:ascii="宋体" w:hAnsi="宋体" w:cs="宋体"/>
          <w:color w:val="auto"/>
          <w:highlight w:val="none"/>
        </w:rPr>
      </w:pPr>
    </w:p>
    <w:p w14:paraId="28BDE3B9">
      <w:pPr>
        <w:snapToGrid w:val="0"/>
        <w:jc w:val="center"/>
        <w:outlineLvl w:val="0"/>
        <w:rPr>
          <w:rFonts w:hint="eastAsia" w:ascii="宋体" w:hAnsi="宋体" w:cs="宋体"/>
          <w:color w:val="auto"/>
          <w:sz w:val="72"/>
          <w:szCs w:val="72"/>
          <w:highlight w:val="none"/>
        </w:rPr>
      </w:pPr>
      <w:bookmarkStart w:id="3" w:name="_Toc17481"/>
      <w:r>
        <w:rPr>
          <w:rFonts w:hint="eastAsia" w:ascii="宋体" w:hAnsi="宋体" w:cs="宋体"/>
          <w:b/>
          <w:color w:val="auto"/>
          <w:spacing w:val="20"/>
          <w:sz w:val="72"/>
          <w:szCs w:val="72"/>
          <w:highlight w:val="none"/>
        </w:rPr>
        <w:t>采购文件</w:t>
      </w:r>
      <w:bookmarkEnd w:id="3"/>
    </w:p>
    <w:p w14:paraId="17D5FE49">
      <w:pPr>
        <w:pStyle w:val="33"/>
        <w:spacing w:before="156" w:beforeLines="50"/>
        <w:ind w:left="0" w:leftChars="0" w:firstLine="0" w:firstLineChars="0"/>
        <w:jc w:val="center"/>
        <w:rPr>
          <w:rFonts w:hint="eastAsia" w:ascii="宋体" w:hAnsi="宋体" w:cs="宋体"/>
          <w:b/>
          <w:bCs/>
          <w:color w:val="auto"/>
          <w:sz w:val="32"/>
          <w:highlight w:val="none"/>
        </w:rPr>
      </w:pPr>
      <w:r>
        <w:rPr>
          <w:rFonts w:hint="eastAsia" w:ascii="宋体" w:hAnsi="宋体" w:cs="宋体"/>
          <w:b/>
          <w:bCs/>
          <w:color w:val="auto"/>
          <w:sz w:val="28"/>
          <w:szCs w:val="28"/>
          <w:highlight w:val="none"/>
        </w:rPr>
        <w:t>项目编号：DHZC2025-G3-00494-YNMY-0022</w:t>
      </w:r>
    </w:p>
    <w:p w14:paraId="0788F457">
      <w:pPr>
        <w:snapToGrid w:val="0"/>
        <w:spacing w:line="360" w:lineRule="auto"/>
        <w:ind w:right="560"/>
        <w:rPr>
          <w:rFonts w:hint="eastAsia" w:ascii="宋体" w:hAnsi="宋体" w:cs="宋体"/>
          <w:color w:val="auto"/>
          <w:highlight w:val="none"/>
        </w:rPr>
      </w:pPr>
      <w:r>
        <w:rPr>
          <w:rFonts w:hint="eastAsia" w:ascii="宋体" w:hAnsi="宋体" w:cs="宋体"/>
          <w:color w:val="auto"/>
          <w:sz w:val="28"/>
          <w:szCs w:val="28"/>
          <w:highlight w:val="none"/>
        </w:rPr>
        <w:t xml:space="preserve">  </w:t>
      </w:r>
    </w:p>
    <w:p w14:paraId="2C125B77">
      <w:pPr>
        <w:rPr>
          <w:rFonts w:hint="eastAsia" w:ascii="宋体" w:hAnsi="宋体" w:cs="宋体"/>
          <w:color w:val="auto"/>
          <w:highlight w:val="none"/>
        </w:rPr>
      </w:pPr>
    </w:p>
    <w:p w14:paraId="574B9E00">
      <w:pPr>
        <w:pStyle w:val="15"/>
        <w:rPr>
          <w:rFonts w:hint="eastAsia" w:hAnsi="宋体" w:cs="宋体"/>
          <w:color w:val="auto"/>
          <w:highlight w:val="none"/>
        </w:rPr>
      </w:pPr>
    </w:p>
    <w:p w14:paraId="0AF94191">
      <w:pPr>
        <w:pStyle w:val="15"/>
        <w:ind w:firstLine="0" w:firstLineChars="0"/>
        <w:rPr>
          <w:rFonts w:hint="eastAsia" w:hAnsi="宋体" w:cs="宋体"/>
          <w:color w:val="auto"/>
          <w:highlight w:val="none"/>
        </w:rPr>
      </w:pPr>
    </w:p>
    <w:p w14:paraId="175509CE">
      <w:pPr>
        <w:pStyle w:val="33"/>
        <w:spacing w:before="624" w:beforeLines="200" w:after="0" w:line="600" w:lineRule="exact"/>
        <w:ind w:firstLine="1205" w:firstLineChars="400"/>
        <w:rPr>
          <w:rFonts w:hint="eastAsia" w:ascii="宋体" w:hAnsi="宋体" w:cs="宋体"/>
          <w:b/>
          <w:color w:val="auto"/>
          <w:sz w:val="30"/>
          <w:szCs w:val="30"/>
          <w:highlight w:val="none"/>
        </w:rPr>
      </w:pPr>
      <w:bookmarkStart w:id="4" w:name="_Toc8107_WPSOffice_Type1"/>
      <w:r>
        <w:rPr>
          <w:rFonts w:hint="eastAsia" w:ascii="宋体" w:hAnsi="宋体" w:cs="宋体"/>
          <w:b/>
          <w:color w:val="auto"/>
          <w:sz w:val="30"/>
          <w:szCs w:val="30"/>
          <w:highlight w:val="none"/>
        </w:rPr>
        <w:t xml:space="preserve">采购人：瑞丽市自然资源局          </w:t>
      </w:r>
    </w:p>
    <w:p w14:paraId="3465EB2B">
      <w:pPr>
        <w:pStyle w:val="33"/>
        <w:spacing w:before="624" w:beforeLines="200" w:after="0" w:line="6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采购代理机构：云南沐禹工程咨询有限公司</w:t>
      </w:r>
    </w:p>
    <w:p w14:paraId="44FBA777">
      <w:pPr>
        <w:pStyle w:val="32"/>
        <w:ind w:firstLine="0" w:firstLineChars="0"/>
        <w:jc w:val="center"/>
        <w:rPr>
          <w:rFonts w:hint="eastAsia" w:ascii="宋体" w:hAnsi="宋体" w:cs="宋体"/>
          <w:color w:val="auto"/>
          <w:highlight w:val="none"/>
        </w:rPr>
      </w:pPr>
    </w:p>
    <w:p w14:paraId="055447B7">
      <w:pPr>
        <w:pStyle w:val="32"/>
        <w:ind w:firstLine="0" w:firstLineChars="0"/>
        <w:jc w:val="center"/>
        <w:rPr>
          <w:rFonts w:hint="eastAsia" w:ascii="宋体" w:hAnsi="宋体" w:eastAsia="宋体" w:cs="宋体"/>
          <w:b/>
          <w:bCs/>
          <w:color w:val="auto"/>
          <w:highlight w:val="none"/>
        </w:rPr>
        <w:sectPr>
          <w:headerReference r:id="rId3" w:type="default"/>
          <w:footerReference r:id="rId4" w:type="default"/>
          <w:pgSz w:w="11906" w:h="16838"/>
          <w:pgMar w:top="1440" w:right="1080" w:bottom="1440" w:left="1080" w:header="851" w:footer="992" w:gutter="0"/>
          <w:pgNumType w:start="1"/>
          <w:cols w:space="720" w:num="1"/>
          <w:titlePg/>
          <w:docGrid w:type="lines" w:linePitch="312" w:charSpace="0"/>
        </w:sectPr>
      </w:pPr>
      <w:r>
        <w:rPr>
          <w:rFonts w:hint="eastAsia" w:ascii="宋体" w:hAnsi="宋体" w:eastAsia="宋体" w:cs="宋体"/>
          <w:b/>
          <w:bCs/>
          <w:color w:val="auto"/>
          <w:highlight w:val="none"/>
        </w:rPr>
        <w:t>二0二五年七月</w:t>
      </w:r>
    </w:p>
    <w:bookmarkEnd w:id="4"/>
    <w:sdt>
      <w:sdtPr>
        <w:rPr>
          <w:rFonts w:ascii="宋体" w:hAnsi="宋体"/>
          <w:b/>
          <w:bCs/>
          <w:color w:val="auto"/>
          <w:sz w:val="32"/>
          <w:szCs w:val="32"/>
          <w:highlight w:val="none"/>
        </w:rPr>
        <w:id w:val="147467444"/>
        <w:docPartObj>
          <w:docPartGallery w:val="Table of Contents"/>
          <w:docPartUnique/>
        </w:docPartObj>
      </w:sdtPr>
      <w:sdtEndPr>
        <w:rPr>
          <w:rFonts w:hint="eastAsia" w:ascii="Times New Roman" w:hAnsi="Times New Roman"/>
          <w:b/>
          <w:bCs/>
          <w:color w:val="auto"/>
          <w:sz w:val="21"/>
          <w:szCs w:val="32"/>
          <w:highlight w:val="none"/>
        </w:rPr>
      </w:sdtEndPr>
      <w:sdtContent>
        <w:p w14:paraId="0D4FF5E6">
          <w:pPr>
            <w:jc w:val="center"/>
            <w:rPr>
              <w:rFonts w:hint="eastAsia" w:ascii="宋体" w:hAnsi="宋体"/>
              <w:b/>
              <w:bCs/>
              <w:color w:val="auto"/>
              <w:sz w:val="32"/>
              <w:szCs w:val="32"/>
              <w:highlight w:val="none"/>
            </w:rPr>
          </w:pPr>
        </w:p>
        <w:p w14:paraId="4F9937CB">
          <w:pPr>
            <w:jc w:val="center"/>
            <w:rPr>
              <w:b/>
              <w:bCs/>
              <w:color w:val="auto"/>
              <w:sz w:val="32"/>
              <w:szCs w:val="32"/>
              <w:highlight w:val="none"/>
            </w:rPr>
          </w:pPr>
          <w:r>
            <w:rPr>
              <w:rFonts w:ascii="宋体" w:hAnsi="宋体"/>
              <w:b/>
              <w:bCs/>
              <w:color w:val="auto"/>
              <w:sz w:val="32"/>
              <w:szCs w:val="32"/>
              <w:highlight w:val="none"/>
            </w:rPr>
            <w:t>目</w:t>
          </w:r>
          <w:r>
            <w:rPr>
              <w:rFonts w:hint="eastAsia" w:ascii="宋体" w:hAnsi="宋体"/>
              <w:b/>
              <w:bCs/>
              <w:color w:val="auto"/>
              <w:sz w:val="32"/>
              <w:szCs w:val="32"/>
              <w:highlight w:val="none"/>
            </w:rPr>
            <w:t xml:space="preserve">  </w:t>
          </w:r>
          <w:r>
            <w:rPr>
              <w:rFonts w:ascii="宋体" w:hAnsi="宋体"/>
              <w:b/>
              <w:bCs/>
              <w:color w:val="auto"/>
              <w:sz w:val="32"/>
              <w:szCs w:val="32"/>
              <w:highlight w:val="none"/>
            </w:rPr>
            <w:t>录</w:t>
          </w:r>
        </w:p>
        <w:p w14:paraId="43FE4C46">
          <w:pPr>
            <w:pStyle w:val="23"/>
            <w:tabs>
              <w:tab w:val="right" w:leader="dot" w:pos="9280"/>
              <w:tab w:val="clear" w:pos="8280"/>
            </w:tabs>
            <w:spacing w:line="480" w:lineRule="auto"/>
            <w:rPr>
              <w:rFonts w:hint="eastAsia" w:ascii="仿宋" w:hAnsi="仿宋" w:eastAsia="仿宋" w:cs="仿宋"/>
              <w:color w:val="auto"/>
              <w:sz w:val="32"/>
              <w:szCs w:val="32"/>
              <w:highlight w:val="none"/>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TOC \o "1-1" \h \u </w:instrText>
          </w:r>
          <w:r>
            <w:rPr>
              <w:rFonts w:hint="eastAsia" w:ascii="仿宋" w:hAnsi="仿宋" w:eastAsia="仿宋" w:cs="仿宋"/>
              <w:color w:val="auto"/>
              <w:sz w:val="30"/>
              <w:szCs w:val="30"/>
              <w:highlight w:val="none"/>
            </w:rPr>
            <w:fldChar w:fldCharType="separate"/>
          </w:r>
          <w:r>
            <w:rPr>
              <w:color w:val="auto"/>
              <w:highlight w:val="none"/>
            </w:rPr>
            <w:fldChar w:fldCharType="begin"/>
          </w:r>
          <w:r>
            <w:rPr>
              <w:color w:val="auto"/>
              <w:highlight w:val="none"/>
            </w:rPr>
            <w:instrText xml:space="preserve"> HYPERLINK \l "_Toc20086" </w:instrText>
          </w:r>
          <w:r>
            <w:rPr>
              <w:color w:val="auto"/>
              <w:highlight w:val="none"/>
            </w:rPr>
            <w:fldChar w:fldCharType="separate"/>
          </w:r>
          <w:r>
            <w:rPr>
              <w:rFonts w:hint="eastAsia" w:ascii="仿宋" w:hAnsi="仿宋" w:eastAsia="仿宋" w:cs="仿宋"/>
              <w:bCs/>
              <w:color w:val="auto"/>
              <w:sz w:val="32"/>
              <w:szCs w:val="32"/>
              <w:highlight w:val="none"/>
            </w:rPr>
            <w:t>第一章  招标公告</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_Toc20086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2</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0DC0F7FE">
          <w:pPr>
            <w:pStyle w:val="23"/>
            <w:tabs>
              <w:tab w:val="right" w:leader="dot" w:pos="9280"/>
              <w:tab w:val="clear" w:pos="8280"/>
            </w:tabs>
            <w:spacing w:line="480" w:lineRule="auto"/>
            <w:rPr>
              <w:rFonts w:hint="eastAsia"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"_Toc24929" </w:instrText>
          </w:r>
          <w:r>
            <w:rPr>
              <w:color w:val="auto"/>
              <w:highlight w:val="none"/>
            </w:rPr>
            <w:fldChar w:fldCharType="separate"/>
          </w:r>
          <w:r>
            <w:rPr>
              <w:rFonts w:hint="eastAsia" w:ascii="仿宋" w:hAnsi="仿宋" w:eastAsia="仿宋" w:cs="仿宋"/>
              <w:bCs/>
              <w:color w:val="auto"/>
              <w:sz w:val="32"/>
              <w:szCs w:val="32"/>
              <w:highlight w:val="none"/>
            </w:rPr>
            <w:t>第二章  供应商须知</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_Toc24929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7</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3EF68797">
          <w:pPr>
            <w:pStyle w:val="23"/>
            <w:tabs>
              <w:tab w:val="right" w:leader="dot" w:pos="9280"/>
              <w:tab w:val="clear" w:pos="8280"/>
            </w:tabs>
            <w:spacing w:line="480" w:lineRule="auto"/>
            <w:rPr>
              <w:rFonts w:hint="eastAsia"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"_Toc28316" </w:instrText>
          </w:r>
          <w:r>
            <w:rPr>
              <w:color w:val="auto"/>
              <w:highlight w:val="none"/>
            </w:rPr>
            <w:fldChar w:fldCharType="separate"/>
          </w:r>
          <w:r>
            <w:rPr>
              <w:rFonts w:hint="eastAsia" w:ascii="仿宋" w:hAnsi="仿宋" w:eastAsia="仿宋" w:cs="仿宋"/>
              <w:color w:val="auto"/>
              <w:sz w:val="32"/>
              <w:szCs w:val="32"/>
              <w:highlight w:val="none"/>
            </w:rPr>
            <w:t>第三章  采购需求</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_Toc28316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27</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12BC8E2A">
          <w:pPr>
            <w:pStyle w:val="23"/>
            <w:tabs>
              <w:tab w:val="right" w:leader="dot" w:pos="9280"/>
              <w:tab w:val="clear" w:pos="8280"/>
            </w:tabs>
            <w:spacing w:line="480" w:lineRule="auto"/>
            <w:rPr>
              <w:rFonts w:hint="eastAsia"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"_Toc14707" </w:instrText>
          </w:r>
          <w:r>
            <w:rPr>
              <w:color w:val="auto"/>
              <w:highlight w:val="none"/>
            </w:rPr>
            <w:fldChar w:fldCharType="separate"/>
          </w:r>
          <w:r>
            <w:rPr>
              <w:rFonts w:hint="eastAsia" w:ascii="仿宋" w:hAnsi="仿宋" w:eastAsia="仿宋" w:cs="仿宋"/>
              <w:bCs/>
              <w:color w:val="auto"/>
              <w:sz w:val="32"/>
              <w:szCs w:val="32"/>
              <w:highlight w:val="none"/>
            </w:rPr>
            <w:t>第四章  评标办法（综合评分法）</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_Toc14707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31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66A6A0B8">
          <w:pPr>
            <w:pStyle w:val="23"/>
            <w:tabs>
              <w:tab w:val="right" w:leader="dot" w:pos="9280"/>
              <w:tab w:val="clear" w:pos="8280"/>
            </w:tabs>
            <w:spacing w:line="480" w:lineRule="auto"/>
            <w:rPr>
              <w:rFonts w:hint="eastAsia"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"_Toc29356" </w:instrText>
          </w:r>
          <w:r>
            <w:rPr>
              <w:color w:val="auto"/>
              <w:highlight w:val="none"/>
            </w:rPr>
            <w:fldChar w:fldCharType="separate"/>
          </w:r>
          <w:r>
            <w:rPr>
              <w:rFonts w:hint="eastAsia" w:ascii="仿宋" w:hAnsi="仿宋" w:eastAsia="仿宋" w:cs="仿宋"/>
              <w:bCs/>
              <w:color w:val="auto"/>
              <w:sz w:val="32"/>
              <w:szCs w:val="32"/>
              <w:highlight w:val="none"/>
            </w:rPr>
            <w:t>第五章 合同条款及合同书样式</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_Toc29356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38</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2170AD47">
          <w:pPr>
            <w:pStyle w:val="23"/>
            <w:tabs>
              <w:tab w:val="right" w:leader="dot" w:pos="9280"/>
              <w:tab w:val="clear" w:pos="8280"/>
            </w:tabs>
            <w:spacing w:line="480" w:lineRule="auto"/>
            <w:rPr>
              <w:rFonts w:hint="eastAsia"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"_Toc13476" </w:instrText>
          </w:r>
          <w:r>
            <w:rPr>
              <w:color w:val="auto"/>
              <w:highlight w:val="none"/>
            </w:rPr>
            <w:fldChar w:fldCharType="separate"/>
          </w:r>
          <w:r>
            <w:rPr>
              <w:rFonts w:hint="eastAsia" w:ascii="仿宋" w:hAnsi="仿宋" w:eastAsia="仿宋" w:cs="仿宋"/>
              <w:bCs/>
              <w:color w:val="auto"/>
              <w:sz w:val="32"/>
              <w:szCs w:val="32"/>
              <w:highlight w:val="none"/>
            </w:rPr>
            <w:t>第六章  投标文件格式</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_Toc13476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44</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7AB44EFC">
          <w:pPr>
            <w:pStyle w:val="23"/>
            <w:tabs>
              <w:tab w:val="right" w:leader="dot" w:pos="9280"/>
              <w:tab w:val="clear" w:pos="8280"/>
            </w:tabs>
            <w:rPr>
              <w:color w:val="auto"/>
              <w:highlight w:val="none"/>
            </w:rPr>
          </w:pPr>
        </w:p>
        <w:p w14:paraId="724723B6">
          <w:pPr>
            <w:rPr>
              <w:color w:val="auto"/>
              <w:highlight w:val="none"/>
            </w:rPr>
          </w:pPr>
          <w:r>
            <w:rPr>
              <w:rFonts w:hint="eastAsia" w:ascii="仿宋" w:hAnsi="仿宋" w:eastAsia="仿宋" w:cs="仿宋"/>
              <w:color w:val="auto"/>
              <w:szCs w:val="30"/>
              <w:highlight w:val="none"/>
            </w:rPr>
            <w:fldChar w:fldCharType="end"/>
          </w:r>
        </w:p>
      </w:sdtContent>
    </w:sdt>
    <w:p w14:paraId="2E31FB39">
      <w:pPr>
        <w:wordWrap w:val="0"/>
        <w:snapToGrid w:val="0"/>
        <w:spacing w:line="480" w:lineRule="auto"/>
        <w:jc w:val="left"/>
        <w:rPr>
          <w:rFonts w:hint="eastAsia" w:ascii="仿宋" w:hAnsi="仿宋" w:eastAsia="仿宋" w:cs="仿宋"/>
          <w:bCs/>
          <w:caps/>
          <w:color w:val="auto"/>
          <w:sz w:val="32"/>
          <w:szCs w:val="32"/>
          <w:highlight w:val="none"/>
        </w:rPr>
      </w:pPr>
    </w:p>
    <w:p w14:paraId="4E7F8828">
      <w:pPr>
        <w:wordWrap w:val="0"/>
        <w:snapToGrid w:val="0"/>
        <w:spacing w:line="360" w:lineRule="auto"/>
        <w:jc w:val="distribute"/>
        <w:rPr>
          <w:rFonts w:hint="eastAsia" w:ascii="仿宋" w:hAnsi="仿宋" w:eastAsia="仿宋" w:cs="仿宋"/>
          <w:bCs/>
          <w:caps/>
          <w:color w:val="auto"/>
          <w:szCs w:val="21"/>
          <w:highlight w:val="none"/>
        </w:rPr>
      </w:pPr>
    </w:p>
    <w:p w14:paraId="0D974731">
      <w:pPr>
        <w:wordWrap w:val="0"/>
        <w:snapToGrid w:val="0"/>
        <w:spacing w:line="360" w:lineRule="auto"/>
        <w:jc w:val="distribute"/>
        <w:rPr>
          <w:rFonts w:hint="eastAsia" w:ascii="仿宋" w:hAnsi="仿宋" w:eastAsia="仿宋" w:cs="仿宋"/>
          <w:bCs/>
          <w:caps/>
          <w:color w:val="auto"/>
          <w:szCs w:val="21"/>
          <w:highlight w:val="none"/>
        </w:rPr>
      </w:pPr>
    </w:p>
    <w:p w14:paraId="7F92E269">
      <w:pPr>
        <w:wordWrap w:val="0"/>
        <w:snapToGrid w:val="0"/>
        <w:spacing w:line="360" w:lineRule="auto"/>
        <w:jc w:val="distribute"/>
        <w:rPr>
          <w:rFonts w:hint="eastAsia" w:ascii="仿宋" w:hAnsi="仿宋" w:eastAsia="仿宋" w:cs="仿宋"/>
          <w:bCs/>
          <w:caps/>
          <w:color w:val="auto"/>
          <w:szCs w:val="21"/>
          <w:highlight w:val="none"/>
        </w:rPr>
      </w:pPr>
    </w:p>
    <w:p w14:paraId="4104DE84">
      <w:pPr>
        <w:wordWrap w:val="0"/>
        <w:snapToGrid w:val="0"/>
        <w:spacing w:line="360" w:lineRule="auto"/>
        <w:jc w:val="distribute"/>
        <w:rPr>
          <w:rFonts w:hint="eastAsia" w:ascii="仿宋" w:hAnsi="仿宋" w:eastAsia="仿宋" w:cs="仿宋"/>
          <w:bCs/>
          <w:caps/>
          <w:color w:val="auto"/>
          <w:szCs w:val="21"/>
          <w:highlight w:val="none"/>
        </w:rPr>
      </w:pPr>
    </w:p>
    <w:p w14:paraId="72D937E8">
      <w:pPr>
        <w:tabs>
          <w:tab w:val="left" w:pos="3274"/>
        </w:tabs>
        <w:jc w:val="left"/>
        <w:rPr>
          <w:rFonts w:hint="eastAsia" w:ascii="仿宋" w:hAnsi="仿宋" w:eastAsia="仿宋" w:cs="仿宋"/>
          <w:color w:val="auto"/>
          <w:highlight w:val="none"/>
        </w:rPr>
        <w:sectPr>
          <w:headerReference r:id="rId5" w:type="default"/>
          <w:footerReference r:id="rId6" w:type="default"/>
          <w:pgSz w:w="11922" w:h="16838"/>
          <w:pgMar w:top="1298" w:right="1321" w:bottom="958" w:left="1321" w:header="850" w:footer="765" w:gutter="0"/>
          <w:pgNumType w:start="1"/>
          <w:cols w:space="0" w:num="1"/>
          <w:docGrid w:linePitch="312" w:charSpace="0"/>
        </w:sectPr>
      </w:pPr>
    </w:p>
    <w:p w14:paraId="1242A3D7">
      <w:pPr>
        <w:spacing w:line="360" w:lineRule="auto"/>
        <w:jc w:val="center"/>
        <w:outlineLvl w:val="0"/>
        <w:rPr>
          <w:rFonts w:hint="eastAsia" w:ascii="仿宋" w:hAnsi="仿宋" w:eastAsia="仿宋" w:cs="仿宋"/>
          <w:b/>
          <w:bCs/>
          <w:caps/>
          <w:color w:val="auto"/>
          <w:sz w:val="36"/>
          <w:szCs w:val="36"/>
          <w:highlight w:val="none"/>
        </w:rPr>
      </w:pPr>
      <w:bookmarkStart w:id="5" w:name="_Toc20086"/>
      <w:bookmarkStart w:id="6" w:name="_Toc427678297"/>
      <w:r>
        <w:rPr>
          <w:rFonts w:hint="eastAsia" w:ascii="仿宋" w:hAnsi="仿宋" w:eastAsia="仿宋" w:cs="仿宋"/>
          <w:b/>
          <w:bCs/>
          <w:caps/>
          <w:color w:val="auto"/>
          <w:sz w:val="36"/>
          <w:szCs w:val="36"/>
          <w:highlight w:val="none"/>
        </w:rPr>
        <w:t>第一章  招标公告</w:t>
      </w:r>
      <w:bookmarkEnd w:id="0"/>
      <w:bookmarkEnd w:id="1"/>
      <w:bookmarkEnd w:id="5"/>
      <w:bookmarkEnd w:id="6"/>
    </w:p>
    <w:p w14:paraId="21941998">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szCs w:val="24"/>
          <w:highlight w:val="none"/>
        </w:rPr>
      </w:pPr>
      <w:bookmarkStart w:id="7" w:name="_Toc9497710"/>
      <w:bookmarkEnd w:id="7"/>
      <w:bookmarkStart w:id="8" w:name="_Toc427678298"/>
      <w:bookmarkStart w:id="9" w:name="_Toc277776488"/>
      <w:bookmarkStart w:id="10" w:name="_Toc204749319"/>
      <w:r>
        <w:rPr>
          <w:rFonts w:hint="eastAsia" w:ascii="仿宋" w:hAnsi="仿宋" w:eastAsia="仿宋" w:cs="仿宋"/>
          <w:color w:val="auto"/>
          <w:sz w:val="24"/>
          <w:szCs w:val="24"/>
          <w:highlight w:val="none"/>
          <w:u w:val="single"/>
          <w:lang w:eastAsia="zh-CN"/>
        </w:rPr>
        <w:t>瑞丽市国土空间详细规划弄莫湖片区编制项目</w:t>
      </w:r>
      <w:r>
        <w:rPr>
          <w:rFonts w:hint="eastAsia" w:ascii="仿宋" w:hAnsi="仿宋" w:eastAsia="仿宋" w:cs="仿宋"/>
          <w:color w:val="auto"/>
          <w:sz w:val="24"/>
          <w:szCs w:val="24"/>
          <w:highlight w:val="none"/>
        </w:rPr>
        <w:t>的潜在供应商应进入政采云平台（https://www.zcygov.cn/）获取（下载）采购文件，并于</w:t>
      </w:r>
      <w:r>
        <w:rPr>
          <w:rFonts w:hint="eastAsia" w:ascii="仿宋" w:hAnsi="仿宋" w:eastAsia="仿宋" w:cs="仿宋"/>
          <w:color w:val="auto"/>
          <w:sz w:val="24"/>
          <w:szCs w:val="24"/>
          <w:highlight w:val="none"/>
          <w:u w:val="single"/>
        </w:rPr>
        <w:t>2025年</w:t>
      </w:r>
      <w:r>
        <w:rPr>
          <w:rFonts w:hint="eastAsia" w:ascii="仿宋" w:hAnsi="仿宋" w:eastAsia="仿宋" w:cs="仿宋"/>
          <w:color w:val="auto"/>
          <w:sz w:val="24"/>
          <w:szCs w:val="24"/>
          <w:highlight w:val="none"/>
          <w:u w:val="single"/>
          <w:lang w:val="en-US" w:eastAsia="zh-CN"/>
        </w:rPr>
        <w:t>8</w:t>
      </w:r>
      <w:r>
        <w:rPr>
          <w:rFonts w:hint="eastAsia" w:ascii="仿宋" w:hAnsi="仿宋" w:eastAsia="仿宋" w:cs="仿宋"/>
          <w:color w:val="auto"/>
          <w:sz w:val="24"/>
          <w:szCs w:val="24"/>
          <w:highlight w:val="none"/>
          <w:u w:val="single"/>
        </w:rPr>
        <w:t xml:space="preserve">月 </w:t>
      </w:r>
      <w:r>
        <w:rPr>
          <w:rFonts w:hint="eastAsia" w:ascii="仿宋" w:hAnsi="仿宋" w:eastAsia="仿宋" w:cs="仿宋"/>
          <w:color w:val="auto"/>
          <w:sz w:val="24"/>
          <w:szCs w:val="24"/>
          <w:highlight w:val="none"/>
          <w:u w:val="single"/>
          <w:lang w:val="en-US" w:eastAsia="zh-CN"/>
        </w:rPr>
        <w:t>8</w:t>
      </w:r>
      <w:r>
        <w:rPr>
          <w:rFonts w:hint="eastAsia" w:ascii="仿宋" w:hAnsi="仿宋" w:eastAsia="仿宋" w:cs="仿宋"/>
          <w:color w:val="auto"/>
          <w:sz w:val="24"/>
          <w:szCs w:val="24"/>
          <w:highlight w:val="none"/>
          <w:u w:val="single"/>
        </w:rPr>
        <w:t xml:space="preserve"> 日09：00</w:t>
      </w:r>
      <w:r>
        <w:rPr>
          <w:rFonts w:hint="eastAsia" w:ascii="仿宋" w:hAnsi="仿宋" w:eastAsia="仿宋" w:cs="仿宋"/>
          <w:color w:val="auto"/>
          <w:sz w:val="24"/>
          <w:szCs w:val="24"/>
          <w:highlight w:val="none"/>
        </w:rPr>
        <w:t>（北京时间）前提交投标文件。</w:t>
      </w:r>
    </w:p>
    <w:p w14:paraId="49A68F52">
      <w:pPr>
        <w:pStyle w:val="4"/>
        <w:spacing w:before="0" w:after="0" w:line="360" w:lineRule="auto"/>
        <w:rPr>
          <w:rFonts w:hint="eastAsia" w:ascii="仿宋" w:hAnsi="仿宋" w:eastAsia="仿宋" w:cs="仿宋"/>
          <w:bCs/>
          <w:color w:val="auto"/>
          <w:sz w:val="24"/>
          <w:szCs w:val="24"/>
          <w:highlight w:val="none"/>
        </w:rPr>
      </w:pPr>
      <w:bookmarkStart w:id="11" w:name="_Toc35393798"/>
      <w:bookmarkStart w:id="12" w:name="_Toc28359089"/>
      <w:bookmarkStart w:id="13" w:name="_Toc28359012"/>
      <w:bookmarkStart w:id="14" w:name="_Toc35393629"/>
      <w:r>
        <w:rPr>
          <w:rFonts w:hint="eastAsia" w:ascii="仿宋" w:hAnsi="仿宋" w:eastAsia="仿宋" w:cs="仿宋"/>
          <w:bCs/>
          <w:color w:val="auto"/>
          <w:sz w:val="24"/>
          <w:szCs w:val="24"/>
          <w:highlight w:val="none"/>
        </w:rPr>
        <w:t>一、项目基本情况</w:t>
      </w:r>
      <w:bookmarkEnd w:id="11"/>
      <w:bookmarkEnd w:id="12"/>
      <w:bookmarkEnd w:id="13"/>
      <w:bookmarkEnd w:id="14"/>
    </w:p>
    <w:p w14:paraId="15D511F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1.项目名称：</w:t>
      </w:r>
      <w:r>
        <w:rPr>
          <w:rFonts w:hint="eastAsia" w:ascii="仿宋" w:hAnsi="仿宋" w:eastAsia="仿宋" w:cs="仿宋"/>
          <w:color w:val="auto"/>
          <w:sz w:val="24"/>
          <w:szCs w:val="24"/>
          <w:highlight w:val="none"/>
          <w:lang w:eastAsia="zh-CN"/>
        </w:rPr>
        <w:t>瑞丽市国土空间详细规划弄莫湖片区编制项目</w:t>
      </w:r>
      <w:r>
        <w:rPr>
          <w:rFonts w:hint="eastAsia" w:ascii="仿宋" w:hAnsi="仿宋" w:eastAsia="仿宋" w:cs="仿宋"/>
          <w:color w:val="auto"/>
          <w:sz w:val="24"/>
          <w:szCs w:val="24"/>
          <w:highlight w:val="none"/>
        </w:rPr>
        <w:t>；</w:t>
      </w:r>
    </w:p>
    <w:p w14:paraId="2A1FB82E">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2.项目编号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DHZC2025-G3-00494-YNMY-0022；</w:t>
      </w:r>
    </w:p>
    <w:p w14:paraId="1DE98911">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3.采购方式：公开招标； </w:t>
      </w:r>
    </w:p>
    <w:p w14:paraId="233C082D">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4.预算金额：</w:t>
      </w:r>
      <w:r>
        <w:rPr>
          <w:rFonts w:hint="eastAsia" w:ascii="仿宋" w:hAnsi="仿宋" w:eastAsia="仿宋" w:cs="仿宋"/>
          <w:color w:val="auto"/>
          <w:sz w:val="24"/>
          <w:szCs w:val="24"/>
          <w:highlight w:val="none"/>
          <w:lang w:eastAsia="zh-CN"/>
        </w:rPr>
        <w:t>220万</w:t>
      </w:r>
      <w:r>
        <w:rPr>
          <w:rFonts w:hint="eastAsia" w:ascii="仿宋" w:hAnsi="仿宋" w:eastAsia="仿宋" w:cs="仿宋"/>
          <w:color w:val="auto"/>
          <w:sz w:val="24"/>
          <w:szCs w:val="24"/>
          <w:highlight w:val="none"/>
        </w:rPr>
        <w:t>元；</w:t>
      </w:r>
    </w:p>
    <w:p w14:paraId="51126643">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5.最高限价：</w:t>
      </w:r>
      <w:r>
        <w:rPr>
          <w:rFonts w:hint="eastAsia" w:ascii="仿宋" w:hAnsi="仿宋" w:eastAsia="仿宋" w:cs="仿宋"/>
          <w:color w:val="auto"/>
          <w:sz w:val="24"/>
          <w:szCs w:val="24"/>
          <w:highlight w:val="none"/>
          <w:lang w:eastAsia="zh-CN"/>
        </w:rPr>
        <w:t>220万</w:t>
      </w:r>
      <w:r>
        <w:rPr>
          <w:rFonts w:hint="eastAsia" w:ascii="仿宋" w:hAnsi="仿宋" w:eastAsia="仿宋" w:cs="仿宋"/>
          <w:color w:val="auto"/>
          <w:sz w:val="24"/>
          <w:szCs w:val="24"/>
          <w:highlight w:val="none"/>
        </w:rPr>
        <w:t>元；</w:t>
      </w:r>
    </w:p>
    <w:p w14:paraId="49E9EFDB">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6.采购需求：</w:t>
      </w:r>
    </w:p>
    <w:p w14:paraId="4AE2D24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瑞丽市国土空间详细规划弄莫湖片区编制项目，包括2个详规单元（弄莫湖片区单元号：</w:t>
      </w:r>
      <w:r>
        <w:rPr>
          <w:rFonts w:ascii="仿宋" w:hAnsi="仿宋" w:eastAsia="仿宋" w:cs="仿宋"/>
          <w:color w:val="auto"/>
          <w:sz w:val="24"/>
          <w:szCs w:val="24"/>
          <w:highlight w:val="none"/>
        </w:rPr>
        <w:t>533102101010011</w:t>
      </w:r>
      <w:r>
        <w:rPr>
          <w:rFonts w:hint="eastAsia" w:ascii="仿宋" w:hAnsi="仿宋" w:eastAsia="仿宋" w:cs="仿宋"/>
          <w:color w:val="auto"/>
          <w:sz w:val="24"/>
          <w:szCs w:val="24"/>
          <w:highlight w:val="none"/>
        </w:rPr>
        <w:t>，运动中心片区单元号：</w:t>
      </w:r>
      <w:r>
        <w:rPr>
          <w:rFonts w:ascii="仿宋" w:hAnsi="仿宋" w:eastAsia="仿宋" w:cs="仿宋"/>
          <w:color w:val="auto"/>
          <w:sz w:val="24"/>
          <w:szCs w:val="24"/>
          <w:highlight w:val="none"/>
        </w:rPr>
        <w:t>533102101010012</w:t>
      </w:r>
      <w:r>
        <w:rPr>
          <w:rFonts w:hint="eastAsia" w:ascii="仿宋" w:hAnsi="仿宋" w:eastAsia="仿宋" w:cs="仿宋"/>
          <w:color w:val="auto"/>
          <w:sz w:val="24"/>
          <w:szCs w:val="24"/>
          <w:highlight w:val="none"/>
        </w:rPr>
        <w:t>），规划范围为东至弄莫路，南至大等贺村小组，西至广允村小组，北至南桑村，规划面积12.81平方公里。包括：①原控制性详细规划评估。②开展详细规划编制工作，根据《云南省国土空间详细规划编制导则》,按照“编到地块、管到单元”的编制总体要求，完成单元、地块两个层次的编制内容。③按照《云南省国土空间详细规划数据库标准（试行）》完成数据入库工作。④详细规划批复后的3年调整、动态维护和技术勘误工作。</w:t>
      </w:r>
    </w:p>
    <w:p w14:paraId="7AA92A0E">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具体采购内容详见采购文件第三章采购需求。</w:t>
      </w:r>
    </w:p>
    <w:p w14:paraId="6A9F3036">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7.服务期限：90日历天；</w:t>
      </w:r>
    </w:p>
    <w:p w14:paraId="780973CF">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8.质量标准：符合国家及省相关规范、规程及标准的要求，满足采购人要求，并通过规划审查、审批及备案；</w:t>
      </w:r>
    </w:p>
    <w:p w14:paraId="1DACD77E">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9.服务地点：采购人指定地点；</w:t>
      </w:r>
    </w:p>
    <w:p w14:paraId="0AD3CA07">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10.本项目</w:t>
      </w:r>
      <w:r>
        <w:rPr>
          <w:rFonts w:hint="eastAsia" w:ascii="仿宋" w:hAnsi="仿宋" w:eastAsia="仿宋" w:cs="仿宋"/>
          <w:b/>
          <w:bCs/>
          <w:color w:val="auto"/>
          <w:sz w:val="24"/>
          <w:szCs w:val="24"/>
          <w:highlight w:val="none"/>
        </w:rPr>
        <w:t>不接受</w:t>
      </w:r>
      <w:r>
        <w:rPr>
          <w:rFonts w:hint="eastAsia" w:ascii="仿宋" w:hAnsi="仿宋" w:eastAsia="仿宋" w:cs="仿宋"/>
          <w:color w:val="auto"/>
          <w:sz w:val="24"/>
          <w:szCs w:val="24"/>
          <w:highlight w:val="none"/>
        </w:rPr>
        <w:t>联合体投标。</w:t>
      </w:r>
    </w:p>
    <w:p w14:paraId="79FA2C6E">
      <w:pPr>
        <w:pStyle w:val="4"/>
        <w:spacing w:before="0" w:after="0" w:line="360" w:lineRule="auto"/>
        <w:rPr>
          <w:rFonts w:hint="eastAsia" w:ascii="仿宋" w:hAnsi="仿宋" w:eastAsia="仿宋" w:cs="仿宋"/>
          <w:bCs/>
          <w:color w:val="auto"/>
          <w:sz w:val="24"/>
          <w:szCs w:val="24"/>
          <w:highlight w:val="none"/>
        </w:rPr>
      </w:pPr>
      <w:bookmarkStart w:id="15" w:name="_Toc35393630"/>
      <w:bookmarkStart w:id="16" w:name="_Toc28359090"/>
      <w:bookmarkStart w:id="17" w:name="_Toc35393799"/>
      <w:bookmarkStart w:id="18" w:name="_Toc28359013"/>
      <w:r>
        <w:rPr>
          <w:rFonts w:hint="eastAsia" w:ascii="仿宋" w:hAnsi="仿宋" w:eastAsia="仿宋" w:cs="仿宋"/>
          <w:bCs/>
          <w:color w:val="auto"/>
          <w:sz w:val="24"/>
          <w:szCs w:val="24"/>
          <w:highlight w:val="none"/>
        </w:rPr>
        <w:t>二、供应商资格要求：</w:t>
      </w:r>
      <w:bookmarkEnd w:id="15"/>
      <w:bookmarkEnd w:id="16"/>
      <w:bookmarkEnd w:id="17"/>
      <w:bookmarkEnd w:id="18"/>
    </w:p>
    <w:p w14:paraId="0D877984">
      <w:pPr>
        <w:adjustRightInd w:val="0"/>
        <w:snapToGrid w:val="0"/>
        <w:spacing w:line="360" w:lineRule="auto"/>
        <w:ind w:firstLine="241" w:firstLineChars="100"/>
        <w:rPr>
          <w:rFonts w:hint="eastAsia" w:ascii="仿宋" w:hAnsi="仿宋" w:eastAsia="仿宋" w:cs="仿宋"/>
          <w:b/>
          <w:bCs/>
          <w:color w:val="auto"/>
          <w:sz w:val="24"/>
          <w:szCs w:val="24"/>
          <w:highlight w:val="none"/>
        </w:rPr>
      </w:pPr>
      <w:bookmarkStart w:id="19" w:name="_Toc28359091"/>
      <w:bookmarkStart w:id="20" w:name="_Toc28359014"/>
      <w:r>
        <w:rPr>
          <w:rFonts w:hint="eastAsia" w:ascii="仿宋" w:hAnsi="仿宋" w:eastAsia="仿宋" w:cs="仿宋"/>
          <w:b/>
          <w:bCs/>
          <w:color w:val="auto"/>
          <w:sz w:val="24"/>
          <w:szCs w:val="24"/>
          <w:highlight w:val="none"/>
        </w:rPr>
        <w:t>（一）基本资格要求：</w:t>
      </w:r>
    </w:p>
    <w:p w14:paraId="214D72AE">
      <w:pPr>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1.符合《中华人民共和国政府采购法》第二十二条的规定：</w:t>
      </w:r>
    </w:p>
    <w:p w14:paraId="333539C1">
      <w:pPr>
        <w:spacing w:line="360" w:lineRule="auto"/>
        <w:ind w:firstLine="243" w:firstLineChars="100"/>
        <w:rPr>
          <w:rFonts w:hint="eastAsia" w:ascii="仿宋" w:hAnsi="仿宋" w:eastAsia="仿宋" w:cs="仿宋"/>
          <w:color w:val="auto"/>
          <w:kern w:val="0"/>
          <w:sz w:val="24"/>
          <w:szCs w:val="24"/>
          <w:highlight w:val="none"/>
          <w:lang w:val="zh-CN"/>
        </w:rPr>
      </w:pPr>
      <w:bookmarkStart w:id="21" w:name="_Toc35393631"/>
      <w:bookmarkStart w:id="22" w:name="_Toc35393800"/>
      <w:r>
        <w:rPr>
          <w:rFonts w:hint="eastAsia" w:ascii="仿宋" w:hAnsi="仿宋" w:eastAsia="仿宋" w:cs="仿宋"/>
          <w:b/>
          <w:bCs/>
          <w:color w:val="auto"/>
          <w:spacing w:val="1"/>
          <w:sz w:val="24"/>
          <w:szCs w:val="24"/>
          <w:highlight w:val="none"/>
        </w:rPr>
        <w:t>（1）具有独立承担民事责任的能力：</w:t>
      </w:r>
      <w:r>
        <w:rPr>
          <w:rFonts w:hint="eastAsia" w:ascii="仿宋" w:hAnsi="仿宋" w:eastAsia="仿宋" w:cs="仿宋"/>
          <w:color w:val="auto"/>
          <w:spacing w:val="1"/>
          <w:sz w:val="24"/>
          <w:szCs w:val="24"/>
          <w:highlight w:val="none"/>
        </w:rPr>
        <w:t>提供自然人有效身份证明或法人或者其他组织有效的营业执照等证明文件；</w:t>
      </w:r>
    </w:p>
    <w:p w14:paraId="1BF571F7">
      <w:pPr>
        <w:spacing w:line="360" w:lineRule="auto"/>
        <w:ind w:firstLine="243" w:firstLineChars="100"/>
        <w:rPr>
          <w:rFonts w:hint="eastAsia" w:ascii="仿宋" w:hAnsi="仿宋" w:eastAsia="仿宋" w:cs="仿宋"/>
          <w:caps/>
          <w:color w:val="auto"/>
          <w:sz w:val="24"/>
          <w:szCs w:val="24"/>
          <w:highlight w:val="none"/>
        </w:rPr>
      </w:pPr>
      <w:r>
        <w:rPr>
          <w:rFonts w:hint="eastAsia" w:ascii="仿宋" w:hAnsi="仿宋" w:eastAsia="仿宋" w:cs="仿宋"/>
          <w:b/>
          <w:bCs/>
          <w:color w:val="auto"/>
          <w:spacing w:val="1"/>
          <w:sz w:val="24"/>
          <w:szCs w:val="24"/>
          <w:highlight w:val="none"/>
        </w:rPr>
        <w:t>（2）具有良好的商业信誉和健全的财务会计制度：</w:t>
      </w:r>
      <w:r>
        <w:rPr>
          <w:rFonts w:hint="eastAsia" w:ascii="仿宋" w:hAnsi="仿宋" w:eastAsia="仿宋" w:cs="仿宋"/>
          <w:color w:val="auto"/>
          <w:spacing w:val="1"/>
          <w:sz w:val="24"/>
          <w:szCs w:val="24"/>
          <w:highlight w:val="none"/>
        </w:rPr>
        <w:t>具有良好的商业信誉和健全的财务会计制度，提供2024年经会计师事务所或审计机构审计的财务报表及审计报告（包括资产负债表、损益表（利润表）和现金流量表），若</w:t>
      </w:r>
      <w:r>
        <w:rPr>
          <w:rFonts w:hint="eastAsia" w:ascii="仿宋" w:hAnsi="仿宋" w:eastAsia="仿宋" w:cs="仿宋"/>
          <w:color w:val="auto"/>
          <w:sz w:val="24"/>
          <w:szCs w:val="24"/>
          <w:highlight w:val="none"/>
        </w:rPr>
        <w:t>供应商成立不足一年的，</w:t>
      </w:r>
      <w:r>
        <w:rPr>
          <w:rFonts w:hint="eastAsia" w:ascii="仿宋" w:hAnsi="仿宋" w:eastAsia="仿宋" w:cs="仿宋"/>
          <w:caps/>
          <w:color w:val="auto"/>
          <w:sz w:val="24"/>
          <w:szCs w:val="24"/>
          <w:highlight w:val="none"/>
        </w:rPr>
        <w:t>提供自投标文件提交截止时间前三个月内基本开户银行出具的资信证明或资金存款证明；</w:t>
      </w:r>
    </w:p>
    <w:p w14:paraId="3221C3D5">
      <w:pPr>
        <w:pStyle w:val="3"/>
        <w:ind w:firstLine="241" w:firstLineChars="100"/>
        <w:rPr>
          <w:rFonts w:hint="eastAsia" w:ascii="仿宋" w:hAnsi="仿宋" w:eastAsia="仿宋" w:cs="仿宋"/>
          <w:b w:val="0"/>
          <w:bCs/>
          <w:caps/>
          <w:color w:val="auto"/>
          <w:sz w:val="24"/>
          <w:szCs w:val="24"/>
          <w:highlight w:val="none"/>
        </w:rPr>
      </w:pPr>
      <w:r>
        <w:rPr>
          <w:rFonts w:hint="eastAsia" w:ascii="仿宋" w:hAnsi="仿宋" w:eastAsia="仿宋" w:cs="仿宋"/>
          <w:bCs/>
          <w:color w:val="auto"/>
          <w:sz w:val="24"/>
          <w:szCs w:val="24"/>
          <w:highlight w:val="none"/>
        </w:rPr>
        <w:t>（3）具有履行合同所必需的设备和专业技术能力：</w:t>
      </w:r>
      <w:r>
        <w:rPr>
          <w:rFonts w:hint="eastAsia" w:ascii="仿宋" w:hAnsi="仿宋" w:eastAsia="仿宋" w:cs="仿宋"/>
          <w:b w:val="0"/>
          <w:bCs/>
          <w:color w:val="auto"/>
          <w:sz w:val="24"/>
          <w:szCs w:val="24"/>
          <w:highlight w:val="none"/>
        </w:rPr>
        <w:t>提供供应商具有履行合同所必需的设备和专业技术能力证明材料或书面声明；</w:t>
      </w:r>
    </w:p>
    <w:p w14:paraId="54629792">
      <w:pPr>
        <w:pStyle w:val="3"/>
        <w:ind w:firstLine="241" w:firstLineChars="1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（4）有依法缴纳税收和社会保障资金的良好记录：</w:t>
      </w:r>
    </w:p>
    <w:p w14:paraId="655DAA08">
      <w:pPr>
        <w:spacing w:line="360" w:lineRule="auto"/>
        <w:ind w:firstLine="486" w:firstLineChars="200"/>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①税收要求：</w:t>
      </w:r>
      <w:r>
        <w:rPr>
          <w:rFonts w:hint="eastAsia" w:ascii="仿宋" w:hAnsi="仿宋" w:eastAsia="仿宋" w:cs="仿宋"/>
          <w:color w:val="auto"/>
          <w:sz w:val="24"/>
          <w:szCs w:val="24"/>
          <w:highlight w:val="none"/>
        </w:rPr>
        <w:t>提供供应商缴税所属时间在2024年7月至本项目截至投标（响应）文件递交时间前任意1个月的税务局税收通用缴款书或银行电子缴税（费）凭证或税务局出具纳税情况的相关证明，依法免税的，应提供依法免税的相关证明文件；供应商成立不足一年的，无需提供;</w:t>
      </w:r>
    </w:p>
    <w:p w14:paraId="5550E79F">
      <w:pPr>
        <w:spacing w:line="360" w:lineRule="auto"/>
        <w:ind w:firstLine="486" w:firstLineChars="200"/>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②社保要求：</w:t>
      </w:r>
      <w:r>
        <w:rPr>
          <w:rFonts w:hint="eastAsia" w:ascii="仿宋" w:hAnsi="仿宋" w:eastAsia="仿宋" w:cs="仿宋"/>
          <w:color w:val="auto"/>
          <w:sz w:val="24"/>
          <w:szCs w:val="24"/>
          <w:highlight w:val="none"/>
        </w:rPr>
        <w:t>提供供应商缴费所属时间在2024年7月至本项目截至投标（响应）文件递交时间前任意1个月的社会保险费缴款书或银行电子缴税（费）凭证或社保管理部门出具的有效的缴款证明，依法免缴的，应提供依法免缴的相关证明文件；供应商成立不足一年的，无需提供;</w:t>
      </w:r>
    </w:p>
    <w:p w14:paraId="1BD29C20">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（5）参加政府采购活动前三年内，在经营活动中没有重大违法记录：</w:t>
      </w:r>
      <w:r>
        <w:rPr>
          <w:rFonts w:hint="eastAsia" w:ascii="仿宋" w:hAnsi="仿宋" w:eastAsia="仿宋" w:cs="仿宋"/>
          <w:color w:val="auto"/>
          <w:sz w:val="24"/>
          <w:szCs w:val="24"/>
          <w:highlight w:val="none"/>
        </w:rPr>
        <w:t>供应商参与本次政府采购活动前三年内，在经营活动中没有重大违法记录（重大违法记录是指响应人因违法经营受到刑事处罚或者责令停产停业、吊销许可证或者执照、较大数额罚款等行政处罚）的书面声明；</w:t>
      </w:r>
    </w:p>
    <w:p w14:paraId="79BC3789">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（6）法律、行政法规规定的其他条件：</w:t>
      </w:r>
    </w:p>
    <w:p w14:paraId="44AB80A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①单位负责人为同一人或者存在直接控股、管理关系的不同供应商，不得参加同一合同项下的政府采购活动；</w:t>
      </w:r>
    </w:p>
    <w:p w14:paraId="0273402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②为采购项目提供整体设计、规范编制或者项目管理、监理、检测等服务的供应商，不得再参加该采购项目的其他采购活动；</w:t>
      </w:r>
    </w:p>
    <w:p w14:paraId="1A7064C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③法律、行政法规规定的其他条件。</w:t>
      </w:r>
    </w:p>
    <w:p w14:paraId="64D69C2E">
      <w:pPr>
        <w:pStyle w:val="3"/>
        <w:ind w:firstLine="482"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2.截至投标（响应）文件递交时间，未被“信用中国”（www.creditchina.gov.cn）、中国政府采购网（www.ccgp.gov.cn）列入失信被执行人、重大税收违法案件当事人名单、政府采购严重违法失信行为记录名单：</w:t>
      </w:r>
    </w:p>
    <w:p w14:paraId="18326D8D">
      <w:pPr>
        <w:pStyle w:val="3"/>
        <w:ind w:firstLine="480" w:firstLineChars="200"/>
        <w:rPr>
          <w:rFonts w:hint="eastAsia" w:ascii="仿宋" w:hAnsi="仿宋" w:eastAsia="仿宋" w:cs="仿宋"/>
          <w:color w:val="auto"/>
          <w:sz w:val="24"/>
          <w:szCs w:val="24"/>
          <w:highlight w:val="none"/>
        </w:rPr>
      </w:pPr>
      <w:r>
        <w:rPr>
          <w:rFonts w:hint="eastAsia" w:ascii="仿宋" w:hAnsi="仿宋" w:eastAsia="仿宋" w:cs="仿宋"/>
          <w:b w:val="0"/>
          <w:color w:val="auto"/>
          <w:kern w:val="2"/>
          <w:sz w:val="24"/>
          <w:szCs w:val="24"/>
          <w:highlight w:val="none"/>
        </w:rPr>
        <w:t>①在“信用中国”（www.creditchina.gov.cn）中未被列入：失信被执行人、重大税收违法案件当事人名单（重大税收违法失信主体）、政府采购严重违法失信行为记录名单。②在中国政府采购网（www.ccgp.gov.cn）中未被列入：政府采购严重违法失信行为记录名单。</w:t>
      </w:r>
      <w:r>
        <w:rPr>
          <w:rFonts w:hint="eastAsia" w:ascii="仿宋" w:hAnsi="仿宋" w:eastAsia="仿宋" w:cs="仿宋"/>
          <w:bCs/>
          <w:color w:val="auto"/>
          <w:kern w:val="2"/>
          <w:sz w:val="24"/>
          <w:szCs w:val="24"/>
          <w:highlight w:val="none"/>
        </w:rPr>
        <w:t>（注：以上网站查询均由采购人或采购代理机构在资格评审时查询，投标人无须提供，若供应商有不良信誉，视为不满足资格要求。）</w:t>
      </w:r>
    </w:p>
    <w:p w14:paraId="61A16FB8">
      <w:pPr>
        <w:spacing w:line="360" w:lineRule="auto"/>
        <w:ind w:firstLine="241" w:firstLineChars="1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（二）落实政府采购政策需满足的资格要求：</w:t>
      </w:r>
    </w:p>
    <w:p w14:paraId="0947DA36">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本项目非专门面向中小型企业采购</w:t>
      </w:r>
      <w:r>
        <w:rPr>
          <w:rFonts w:hint="eastAsia" w:ascii="仿宋" w:hAnsi="仿宋" w:eastAsia="仿宋" w:cs="仿宋"/>
          <w:color w:val="auto"/>
          <w:sz w:val="24"/>
          <w:szCs w:val="24"/>
          <w:highlight w:val="none"/>
        </w:rPr>
        <w:t>；根据《关于进一步加大政府采购支持中小企业力度的通知》（财库〔2022〕19号），对符合采购文件要求的小型和微型企业给予价格扣除10%，用扣除后的价格参与评审；监狱企业及残疾人福利性单位视同小微企业。</w:t>
      </w:r>
    </w:p>
    <w:p w14:paraId="248B0077">
      <w:pPr>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（三）本项目的特定资格要求：</w:t>
      </w:r>
      <w:bookmarkEnd w:id="19"/>
      <w:bookmarkEnd w:id="20"/>
      <w:bookmarkEnd w:id="21"/>
      <w:bookmarkEnd w:id="22"/>
      <w:bookmarkStart w:id="23" w:name="_Toc35393792"/>
      <w:bookmarkStart w:id="24" w:name="_Toc35393623"/>
    </w:p>
    <w:p w14:paraId="039DAD9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（1）资质要求：供应商须具备有效的城乡规划（国土空间规划）编制乙级及以上资质；</w:t>
      </w:r>
    </w:p>
    <w:p w14:paraId="531899C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（2）拟派项目负责人资格要求：应具有注册城乡规划师证书，具有规划专业高级及以上技术职称，且高职及以上职称履职不低于3年。</w:t>
      </w:r>
    </w:p>
    <w:p w14:paraId="71D10631">
      <w:pPr>
        <w:spacing w:line="360" w:lineRule="auto"/>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三、获取采购文件</w:t>
      </w:r>
      <w:bookmarkEnd w:id="23"/>
      <w:bookmarkEnd w:id="24"/>
    </w:p>
    <w:p w14:paraId="7AE772E5">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1.时间：2025年 </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 xml:space="preserve"> 日06:00至2025年 </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日23：59；</w:t>
      </w:r>
    </w:p>
    <w:p w14:paraId="1C2FA704">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2.地点：政采云平台线上获取；</w:t>
      </w:r>
    </w:p>
    <w:p w14:paraId="6B27069D">
      <w:pPr>
        <w:wordWrap w:val="0"/>
        <w:spacing w:line="360" w:lineRule="auto"/>
        <w:ind w:firstLine="240" w:firstLineChars="100"/>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3.方式：（1）有意参加投标的供应商</w:t>
      </w:r>
      <w:r>
        <w:rPr>
          <w:rFonts w:hint="eastAsia" w:ascii="仿宋" w:hAnsi="仿宋" w:eastAsia="仿宋" w:cs="仿宋"/>
          <w:color w:val="auto"/>
          <w:spacing w:val="1"/>
          <w:sz w:val="24"/>
          <w:szCs w:val="24"/>
          <w:highlight w:val="none"/>
        </w:rPr>
        <w:t>须注册政采云平台账号并登录办理数字证书（CA），</w:t>
      </w:r>
      <w:r>
        <w:rPr>
          <w:rFonts w:hint="eastAsia" w:ascii="仿宋" w:hAnsi="仿宋" w:eastAsia="仿宋" w:cs="仿宋"/>
          <w:color w:val="auto"/>
          <w:spacing w:val="1"/>
          <w:sz w:val="24"/>
          <w:szCs w:val="24"/>
          <w:highlight w:val="none"/>
          <w:lang w:val="zh-CN"/>
        </w:rPr>
        <w:t>支持云南</w:t>
      </w:r>
      <w:r>
        <w:rPr>
          <w:rFonts w:hint="eastAsia" w:ascii="仿宋" w:hAnsi="仿宋" w:eastAsia="仿宋" w:cs="仿宋"/>
          <w:color w:val="auto"/>
          <w:spacing w:val="1"/>
          <w:sz w:val="24"/>
          <w:szCs w:val="24"/>
          <w:highlight w:val="none"/>
        </w:rPr>
        <w:t>CA</w:t>
      </w:r>
      <w:r>
        <w:rPr>
          <w:rFonts w:hint="eastAsia" w:ascii="仿宋" w:hAnsi="仿宋" w:eastAsia="仿宋" w:cs="仿宋"/>
          <w:color w:val="auto"/>
          <w:spacing w:val="1"/>
          <w:sz w:val="24"/>
          <w:szCs w:val="24"/>
          <w:highlight w:val="none"/>
          <w:lang w:val="zh-CN"/>
        </w:rPr>
        <w:t>、云南壹证通</w:t>
      </w:r>
      <w:r>
        <w:rPr>
          <w:rFonts w:hint="eastAsia" w:ascii="仿宋" w:hAnsi="仿宋" w:eastAsia="仿宋" w:cs="仿宋"/>
          <w:color w:val="auto"/>
          <w:spacing w:val="1"/>
          <w:sz w:val="24"/>
          <w:szCs w:val="24"/>
          <w:highlight w:val="none"/>
        </w:rPr>
        <w:t>CA，</w:t>
      </w:r>
      <w:r>
        <w:rPr>
          <w:rFonts w:hint="eastAsia" w:ascii="仿宋" w:hAnsi="仿宋" w:eastAsia="仿宋" w:cs="仿宋"/>
          <w:color w:val="auto"/>
          <w:spacing w:val="1"/>
          <w:sz w:val="24"/>
          <w:szCs w:val="24"/>
          <w:highlight w:val="none"/>
          <w:lang w:val="zh-CN"/>
        </w:rPr>
        <w:t>云南</w:t>
      </w:r>
      <w:r>
        <w:rPr>
          <w:rFonts w:hint="eastAsia" w:ascii="仿宋" w:hAnsi="仿宋" w:eastAsia="仿宋" w:cs="仿宋"/>
          <w:color w:val="auto"/>
          <w:spacing w:val="1"/>
          <w:sz w:val="24"/>
          <w:szCs w:val="24"/>
          <w:highlight w:val="none"/>
        </w:rPr>
        <w:t>CA</w:t>
      </w:r>
      <w:r>
        <w:rPr>
          <w:rFonts w:hint="eastAsia" w:ascii="仿宋" w:hAnsi="仿宋" w:eastAsia="仿宋" w:cs="仿宋"/>
          <w:color w:val="auto"/>
          <w:spacing w:val="1"/>
          <w:sz w:val="24"/>
          <w:szCs w:val="24"/>
          <w:highlight w:val="none"/>
          <w:lang w:val="zh-CN"/>
        </w:rPr>
        <w:t>申领链接</w:t>
      </w:r>
      <w:r>
        <w:rPr>
          <w:rFonts w:hint="eastAsia" w:ascii="仿宋" w:hAnsi="仿宋" w:eastAsia="仿宋" w:cs="仿宋"/>
          <w:color w:val="auto"/>
          <w:spacing w:val="1"/>
          <w:sz w:val="24"/>
          <w:szCs w:val="24"/>
          <w:highlight w:val="none"/>
        </w:rPr>
        <w:t>：https://cap.yunnanca.net/login，</w:t>
      </w:r>
      <w:r>
        <w:rPr>
          <w:rFonts w:hint="eastAsia" w:ascii="仿宋" w:hAnsi="仿宋" w:eastAsia="仿宋" w:cs="仿宋"/>
          <w:color w:val="auto"/>
          <w:spacing w:val="1"/>
          <w:sz w:val="24"/>
          <w:szCs w:val="24"/>
          <w:highlight w:val="none"/>
          <w:lang w:val="zh-CN"/>
        </w:rPr>
        <w:t>请供应商自行注册办理</w:t>
      </w:r>
      <w:r>
        <w:rPr>
          <w:rFonts w:hint="eastAsia" w:ascii="仿宋" w:hAnsi="仿宋" w:eastAsia="仿宋" w:cs="仿宋"/>
          <w:color w:val="auto"/>
          <w:spacing w:val="1"/>
          <w:sz w:val="24"/>
          <w:szCs w:val="24"/>
          <w:highlight w:val="none"/>
        </w:rPr>
        <w:t>，</w:t>
      </w:r>
      <w:r>
        <w:rPr>
          <w:rFonts w:hint="eastAsia" w:ascii="仿宋" w:hAnsi="仿宋" w:eastAsia="仿宋" w:cs="仿宋"/>
          <w:color w:val="auto"/>
          <w:spacing w:val="1"/>
          <w:sz w:val="24"/>
          <w:szCs w:val="24"/>
          <w:highlight w:val="none"/>
          <w:lang w:val="zh-CN"/>
        </w:rPr>
        <w:t>云南</w:t>
      </w:r>
      <w:r>
        <w:rPr>
          <w:rFonts w:hint="eastAsia" w:ascii="仿宋" w:hAnsi="仿宋" w:eastAsia="仿宋" w:cs="仿宋"/>
          <w:color w:val="auto"/>
          <w:spacing w:val="1"/>
          <w:sz w:val="24"/>
          <w:szCs w:val="24"/>
          <w:highlight w:val="none"/>
        </w:rPr>
        <w:t>CA</w:t>
      </w:r>
      <w:r>
        <w:rPr>
          <w:rFonts w:hint="eastAsia" w:ascii="仿宋" w:hAnsi="仿宋" w:eastAsia="仿宋" w:cs="仿宋"/>
          <w:color w:val="auto"/>
          <w:spacing w:val="1"/>
          <w:sz w:val="24"/>
          <w:szCs w:val="24"/>
          <w:highlight w:val="none"/>
          <w:lang w:val="zh-CN"/>
        </w:rPr>
        <w:t>客服热线</w:t>
      </w:r>
      <w:r>
        <w:rPr>
          <w:rFonts w:hint="eastAsia" w:ascii="仿宋" w:hAnsi="仿宋" w:eastAsia="仿宋" w:cs="仿宋"/>
          <w:color w:val="auto"/>
          <w:spacing w:val="1"/>
          <w:sz w:val="24"/>
          <w:szCs w:val="24"/>
          <w:highlight w:val="none"/>
        </w:rPr>
        <w:t>400-6727-666，紧急联系方式：15288315056；</w:t>
      </w:r>
      <w:r>
        <w:rPr>
          <w:rFonts w:hint="eastAsia" w:ascii="仿宋" w:hAnsi="仿宋" w:eastAsia="仿宋" w:cs="仿宋"/>
          <w:color w:val="auto"/>
          <w:spacing w:val="1"/>
          <w:sz w:val="24"/>
          <w:szCs w:val="24"/>
          <w:highlight w:val="none"/>
          <w:lang w:val="zh-CN"/>
        </w:rPr>
        <w:t>云南壹证通</w:t>
      </w:r>
      <w:r>
        <w:rPr>
          <w:rFonts w:hint="eastAsia" w:ascii="仿宋" w:hAnsi="仿宋" w:eastAsia="仿宋" w:cs="仿宋"/>
          <w:color w:val="auto"/>
          <w:spacing w:val="1"/>
          <w:sz w:val="24"/>
          <w:szCs w:val="24"/>
          <w:highlight w:val="none"/>
        </w:rPr>
        <w:t>CA</w:t>
      </w:r>
      <w:r>
        <w:rPr>
          <w:rFonts w:hint="eastAsia" w:ascii="仿宋" w:hAnsi="仿宋" w:eastAsia="仿宋" w:cs="仿宋"/>
          <w:color w:val="auto"/>
          <w:spacing w:val="1"/>
          <w:sz w:val="24"/>
          <w:szCs w:val="24"/>
          <w:highlight w:val="none"/>
          <w:lang w:val="zh-CN"/>
        </w:rPr>
        <w:t>申领链接</w:t>
      </w:r>
      <w:r>
        <w:rPr>
          <w:rFonts w:hint="eastAsia" w:ascii="仿宋" w:hAnsi="仿宋" w:eastAsia="仿宋" w:cs="仿宋"/>
          <w:color w:val="auto"/>
          <w:spacing w:val="1"/>
          <w:sz w:val="24"/>
          <w:szCs w:val="24"/>
          <w:highlight w:val="none"/>
        </w:rPr>
        <w:t>：http://yzt.ynsmartcert.cn/</w:t>
      </w:r>
      <w:r>
        <w:rPr>
          <w:rFonts w:hint="eastAsia" w:ascii="仿宋" w:hAnsi="仿宋" w:eastAsia="仿宋" w:cs="仿宋"/>
          <w:color w:val="auto"/>
          <w:spacing w:val="1"/>
          <w:sz w:val="24"/>
          <w:szCs w:val="24"/>
          <w:highlight w:val="none"/>
          <w:lang w:val="zh-CN"/>
        </w:rPr>
        <w:t>登录名</w:t>
      </w:r>
      <w:r>
        <w:rPr>
          <w:rFonts w:hint="eastAsia" w:ascii="仿宋" w:hAnsi="仿宋" w:eastAsia="仿宋" w:cs="仿宋"/>
          <w:color w:val="auto"/>
          <w:spacing w:val="1"/>
          <w:sz w:val="24"/>
          <w:szCs w:val="24"/>
          <w:highlight w:val="none"/>
        </w:rPr>
        <w:t>bszb（</w:t>
      </w:r>
      <w:r>
        <w:rPr>
          <w:rFonts w:hint="eastAsia" w:ascii="仿宋" w:hAnsi="仿宋" w:eastAsia="仿宋" w:cs="仿宋"/>
          <w:color w:val="auto"/>
          <w:spacing w:val="1"/>
          <w:sz w:val="24"/>
          <w:szCs w:val="24"/>
          <w:highlight w:val="none"/>
          <w:lang w:val="zh-CN"/>
        </w:rPr>
        <w:t>凭此登录名可直接登录</w:t>
      </w:r>
      <w:r>
        <w:rPr>
          <w:rFonts w:hint="eastAsia" w:ascii="仿宋" w:hAnsi="仿宋" w:eastAsia="仿宋" w:cs="仿宋"/>
          <w:color w:val="auto"/>
          <w:spacing w:val="1"/>
          <w:sz w:val="24"/>
          <w:szCs w:val="24"/>
          <w:highlight w:val="none"/>
        </w:rPr>
        <w:t>）,</w:t>
      </w:r>
      <w:r>
        <w:rPr>
          <w:rFonts w:hint="eastAsia" w:ascii="仿宋" w:hAnsi="仿宋" w:eastAsia="仿宋" w:cs="仿宋"/>
          <w:color w:val="auto"/>
          <w:spacing w:val="1"/>
          <w:sz w:val="24"/>
          <w:szCs w:val="24"/>
          <w:highlight w:val="none"/>
          <w:lang w:val="zh-CN"/>
        </w:rPr>
        <w:t>云南壹证通</w:t>
      </w:r>
      <w:r>
        <w:rPr>
          <w:rFonts w:hint="eastAsia" w:ascii="仿宋" w:hAnsi="仿宋" w:eastAsia="仿宋" w:cs="仿宋"/>
          <w:color w:val="auto"/>
          <w:spacing w:val="1"/>
          <w:sz w:val="24"/>
          <w:szCs w:val="24"/>
          <w:highlight w:val="none"/>
        </w:rPr>
        <w:t>CA</w:t>
      </w:r>
      <w:r>
        <w:rPr>
          <w:rFonts w:hint="eastAsia" w:ascii="仿宋" w:hAnsi="仿宋" w:eastAsia="仿宋" w:cs="仿宋"/>
          <w:color w:val="auto"/>
          <w:spacing w:val="1"/>
          <w:sz w:val="24"/>
          <w:szCs w:val="24"/>
          <w:highlight w:val="none"/>
          <w:lang w:val="zh-CN"/>
        </w:rPr>
        <w:t>客服热线</w:t>
      </w:r>
      <w:r>
        <w:rPr>
          <w:rFonts w:hint="eastAsia" w:ascii="仿宋" w:hAnsi="仿宋" w:eastAsia="仿宋" w:cs="仿宋"/>
          <w:color w:val="auto"/>
          <w:spacing w:val="1"/>
          <w:sz w:val="24"/>
          <w:szCs w:val="24"/>
          <w:highlight w:val="none"/>
        </w:rPr>
        <w:t>：0871-67276028，壹证通CA紧急联系方式：19988166369</w:t>
      </w:r>
      <w:r>
        <w:rPr>
          <w:rFonts w:hint="eastAsia" w:ascii="仿宋" w:hAnsi="仿宋" w:eastAsia="仿宋" w:cs="仿宋"/>
          <w:color w:val="auto"/>
          <w:spacing w:val="1"/>
          <w:sz w:val="24"/>
          <w:szCs w:val="24"/>
          <w:highlight w:val="none"/>
          <w:lang w:val="zh-CN"/>
        </w:rPr>
        <w:t>。</w:t>
      </w:r>
    </w:p>
    <w:p w14:paraId="53359DC9">
      <w:pPr>
        <w:wordWrap w:val="0"/>
        <w:spacing w:line="360" w:lineRule="auto"/>
        <w:ind w:firstLine="484" w:firstLineChars="200"/>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（2）数字证书（CA）申领完成后进入政采云平台，企业账号与数字证书（CA）进行绑定，凭企业数字证书（CA）进行项目报名及免费下载采购文件。</w:t>
      </w:r>
    </w:p>
    <w:p w14:paraId="4AF2FF76">
      <w:pPr>
        <w:wordWrap w:val="0"/>
        <w:spacing w:line="360" w:lineRule="auto"/>
        <w:ind w:firstLine="484" w:firstLineChars="200"/>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（3）如有问题可拨打政采云客户服务热线95763进行咨询。</w:t>
      </w:r>
    </w:p>
    <w:p w14:paraId="673F2ABB">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4.售价：0元/份。</w:t>
      </w:r>
    </w:p>
    <w:p w14:paraId="7D57321B">
      <w:pPr>
        <w:spacing w:line="360" w:lineRule="auto"/>
        <w:jc w:val="left"/>
        <w:rPr>
          <w:rFonts w:hint="eastAsia" w:ascii="仿宋" w:hAnsi="仿宋" w:eastAsia="仿宋" w:cs="仿宋"/>
          <w:b/>
          <w:color w:val="auto"/>
          <w:sz w:val="24"/>
          <w:szCs w:val="24"/>
          <w:highlight w:val="none"/>
        </w:rPr>
      </w:pPr>
      <w:bookmarkStart w:id="25" w:name="_Toc28359082"/>
      <w:bookmarkStart w:id="26" w:name="_Toc28359005"/>
      <w:bookmarkStart w:id="27" w:name="_Toc35393624"/>
      <w:bookmarkStart w:id="28" w:name="_Toc35393793"/>
      <w:r>
        <w:rPr>
          <w:rFonts w:hint="eastAsia" w:ascii="仿宋" w:hAnsi="仿宋" w:eastAsia="仿宋" w:cs="仿宋"/>
          <w:b/>
          <w:color w:val="auto"/>
          <w:sz w:val="24"/>
          <w:szCs w:val="24"/>
          <w:highlight w:val="none"/>
        </w:rPr>
        <w:t>四、</w:t>
      </w:r>
      <w:bookmarkEnd w:id="25"/>
      <w:bookmarkEnd w:id="26"/>
      <w:bookmarkEnd w:id="27"/>
      <w:bookmarkEnd w:id="28"/>
      <w:r>
        <w:rPr>
          <w:rFonts w:hint="eastAsia" w:ascii="仿宋" w:hAnsi="仿宋" w:eastAsia="仿宋" w:cs="仿宋"/>
          <w:b/>
          <w:bCs/>
          <w:color w:val="auto"/>
          <w:sz w:val="24"/>
          <w:szCs w:val="24"/>
          <w:highlight w:val="none"/>
        </w:rPr>
        <w:t>提交投标文件截止时间、开标时间和地点</w:t>
      </w:r>
    </w:p>
    <w:p w14:paraId="152A1E69">
      <w:pPr>
        <w:widowControl/>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rPr>
        <w:t>递交投标文件</w:t>
      </w:r>
      <w:r>
        <w:rPr>
          <w:rFonts w:hint="eastAsia" w:ascii="仿宋" w:hAnsi="仿宋" w:eastAsia="仿宋" w:cs="仿宋"/>
          <w:color w:val="auto"/>
          <w:kern w:val="0"/>
          <w:sz w:val="24"/>
          <w:szCs w:val="24"/>
          <w:highlight w:val="none"/>
        </w:rPr>
        <w:t>截止</w:t>
      </w:r>
      <w:r>
        <w:rPr>
          <w:rFonts w:hint="eastAsia" w:ascii="仿宋" w:hAnsi="仿宋" w:eastAsia="仿宋" w:cs="仿宋"/>
          <w:color w:val="auto"/>
          <w:sz w:val="24"/>
          <w:szCs w:val="24"/>
          <w:highlight w:val="none"/>
        </w:rPr>
        <w:t xml:space="preserve">时间：2025年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日09：00；</w:t>
      </w:r>
    </w:p>
    <w:p w14:paraId="0BDD6B81">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2.开标时间：2025年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日09：00；</w:t>
      </w:r>
    </w:p>
    <w:p w14:paraId="4871E0AC">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3.开标地点：云南沐禹工程咨询有限公司瑞丽开标室；           </w:t>
      </w:r>
    </w:p>
    <w:p w14:paraId="53C4F1C9">
      <w:pPr>
        <w:spacing w:line="360" w:lineRule="auto"/>
        <w:jc w:val="left"/>
        <w:rPr>
          <w:rFonts w:hint="eastAsia" w:ascii="仿宋" w:hAnsi="仿宋" w:eastAsia="仿宋" w:cs="仿宋"/>
          <w:color w:val="auto"/>
          <w:sz w:val="24"/>
          <w:szCs w:val="24"/>
          <w:highlight w:val="none"/>
        </w:rPr>
      </w:pPr>
      <w:bookmarkStart w:id="29" w:name="_Toc35393803"/>
      <w:bookmarkStart w:id="30" w:name="_Toc28359094"/>
      <w:bookmarkStart w:id="31" w:name="_Toc28359017"/>
      <w:bookmarkStart w:id="32" w:name="_Toc35393634"/>
      <w:r>
        <w:rPr>
          <w:rFonts w:hint="eastAsia" w:ascii="仿宋" w:hAnsi="仿宋" w:eastAsia="仿宋" w:cs="仿宋"/>
          <w:b/>
          <w:bCs/>
          <w:color w:val="auto"/>
          <w:sz w:val="24"/>
          <w:szCs w:val="24"/>
          <w:highlight w:val="none"/>
        </w:rPr>
        <w:t>注：</w:t>
      </w:r>
      <w:r>
        <w:rPr>
          <w:rFonts w:hint="eastAsia" w:ascii="仿宋" w:hAnsi="仿宋" w:eastAsia="仿宋" w:cs="仿宋"/>
          <w:color w:val="auto"/>
          <w:sz w:val="24"/>
          <w:szCs w:val="24"/>
          <w:highlight w:val="none"/>
        </w:rPr>
        <w:t>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457C9AEA">
      <w:pP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五、公告期限</w:t>
      </w:r>
      <w:bookmarkEnd w:id="29"/>
      <w:bookmarkEnd w:id="30"/>
      <w:bookmarkEnd w:id="31"/>
      <w:bookmarkEnd w:id="32"/>
    </w:p>
    <w:p w14:paraId="584FD641">
      <w:pPr>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自本公告发布之日起5个工作日。</w:t>
      </w:r>
    </w:p>
    <w:p w14:paraId="09DB4DE3">
      <w:pPr>
        <w:spacing w:line="360" w:lineRule="auto"/>
        <w:jc w:val="left"/>
        <w:rPr>
          <w:rFonts w:hint="eastAsia" w:ascii="仿宋" w:hAnsi="仿宋" w:eastAsia="仿宋" w:cs="仿宋"/>
          <w:b/>
          <w:color w:val="auto"/>
          <w:kern w:val="0"/>
          <w:sz w:val="24"/>
          <w:szCs w:val="24"/>
          <w:highlight w:val="none"/>
        </w:rPr>
      </w:pPr>
      <w:bookmarkStart w:id="33" w:name="_Toc35393795"/>
      <w:bookmarkStart w:id="34" w:name="_Toc35393626"/>
      <w:r>
        <w:rPr>
          <w:rFonts w:hint="eastAsia" w:ascii="仿宋" w:hAnsi="仿宋" w:eastAsia="仿宋" w:cs="仿宋"/>
          <w:b/>
          <w:color w:val="auto"/>
          <w:kern w:val="0"/>
          <w:sz w:val="24"/>
          <w:szCs w:val="24"/>
          <w:highlight w:val="none"/>
        </w:rPr>
        <w:t>六、其他补充事宜</w:t>
      </w:r>
      <w:bookmarkEnd w:id="33"/>
      <w:bookmarkEnd w:id="34"/>
    </w:p>
    <w:p w14:paraId="3D47C1E0">
      <w:pPr>
        <w:spacing w:line="360" w:lineRule="auto"/>
        <w:ind w:left="239" w:leftChars="114"/>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1.开标方式：网上开标；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2.是否需要缴纳投标保证金：是；</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3.保证金金额：10000.00元（壹万元整）；</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4.保证金缴纳方式：银行转账或银行保函或保证保险；</w:t>
      </w:r>
    </w:p>
    <w:p w14:paraId="04E58200">
      <w:pPr>
        <w:spacing w:line="360" w:lineRule="auto"/>
        <w:ind w:left="239" w:leftChars="114"/>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5.保证金缴纳截止时间：2025年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日09：00前（北京时间）；</w:t>
      </w:r>
    </w:p>
    <w:p w14:paraId="73B8E262">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6.其他：</w:t>
      </w:r>
    </w:p>
    <w:p w14:paraId="16D1C623">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（1）本次招标公告在云南省政府采购网（http://www.ccgp.gov.cn/）上发布，公告内容和时间以云南省政府采购网发布的信息为准；</w:t>
      </w:r>
    </w:p>
    <w:p w14:paraId="08AADC00">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（2）本项目实行网上投标，采用电子投标文件；</w:t>
      </w:r>
    </w:p>
    <w:p w14:paraId="1DC690B8">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（3）各供应商应在开标前应确保成为政采云平台供应商，并完成CA数字证书申领。因未注册入库、未办理CA数字证书等原因造成无法投标或投标失败等后果由供应商自行承担；</w:t>
      </w:r>
    </w:p>
    <w:p w14:paraId="65AA9678">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5C5B5933">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pacing w:val="1"/>
          <w:sz w:val="24"/>
          <w:szCs w:val="24"/>
          <w:highlight w:val="none"/>
        </w:rPr>
        <w:t>招标代理服务费根据《政府采购代理机构管理暂行办法》的通知，财库【2018】2号文规定，由中标人向采购代理机构支付。招标代理服务费依据《云南省建设工程招标代理服务收费指导意见（试行）》云建招协〔2023〕51号规定按服务类收费标准下浮22%计算收取，招标代理服务费以中标金额为收费的计算基数</w:t>
      </w:r>
      <w:r>
        <w:rPr>
          <w:rFonts w:hint="eastAsia" w:ascii="仿宋" w:hAnsi="仿宋" w:eastAsia="仿宋" w:cs="仿宋"/>
          <w:color w:val="auto"/>
          <w:sz w:val="24"/>
          <w:szCs w:val="24"/>
          <w:highlight w:val="none"/>
        </w:rPr>
        <w:t>。</w:t>
      </w:r>
    </w:p>
    <w:p w14:paraId="3779F10A">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7.监督部门电话</w:t>
      </w:r>
    </w:p>
    <w:p w14:paraId="5C20DB9B">
      <w:pPr>
        <w:spacing w:line="360" w:lineRule="auto"/>
        <w:ind w:firstLine="242" w:firstLineChars="100"/>
        <w:jc w:val="left"/>
        <w:rPr>
          <w:rFonts w:hint="eastAsia" w:ascii="仿宋" w:hAnsi="仿宋" w:eastAsia="仿宋" w:cs="仿宋"/>
          <w:color w:val="auto"/>
          <w:spacing w:val="1"/>
          <w:sz w:val="24"/>
          <w:szCs w:val="24"/>
          <w:highlight w:val="none"/>
        </w:rPr>
      </w:pPr>
      <w:bookmarkStart w:id="35" w:name="_Toc35393627"/>
      <w:bookmarkStart w:id="36" w:name="_Toc28359008"/>
      <w:bookmarkStart w:id="37" w:name="_Toc28359085"/>
      <w:bookmarkStart w:id="38" w:name="_Toc35393796"/>
      <w:r>
        <w:rPr>
          <w:rFonts w:hint="eastAsia" w:ascii="仿宋" w:hAnsi="仿宋" w:eastAsia="仿宋" w:cs="仿宋"/>
          <w:color w:val="auto"/>
          <w:spacing w:val="1"/>
          <w:sz w:val="24"/>
          <w:szCs w:val="24"/>
          <w:highlight w:val="none"/>
        </w:rPr>
        <w:t>纪检监督部门：0692-12388</w:t>
      </w:r>
    </w:p>
    <w:p w14:paraId="7395B461">
      <w:pPr>
        <w:spacing w:line="360" w:lineRule="auto"/>
        <w:ind w:firstLine="242" w:firstLineChars="100"/>
        <w:jc w:val="lef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瑞丽市财政局：0692-4129739</w:t>
      </w:r>
    </w:p>
    <w:p w14:paraId="5135DCBB">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七、对本次采购提出询问，请按以下方式联系</w:t>
      </w:r>
      <w:bookmarkEnd w:id="35"/>
      <w:bookmarkEnd w:id="36"/>
      <w:bookmarkEnd w:id="37"/>
      <w:bookmarkEnd w:id="38"/>
    </w:p>
    <w:p w14:paraId="1A61D691">
      <w:pPr>
        <w:spacing w:line="360" w:lineRule="auto"/>
        <w:ind w:firstLine="240" w:firstLineChars="100"/>
        <w:rPr>
          <w:rFonts w:hint="eastAsia" w:ascii="仿宋" w:hAnsi="仿宋" w:eastAsia="仿宋" w:cs="仿宋"/>
          <w:color w:val="auto"/>
          <w:sz w:val="24"/>
          <w:szCs w:val="24"/>
          <w:highlight w:val="none"/>
        </w:rPr>
      </w:pPr>
      <w:bookmarkStart w:id="39" w:name="_Toc35393808"/>
      <w:r>
        <w:rPr>
          <w:rFonts w:hint="eastAsia" w:ascii="仿宋" w:hAnsi="仿宋" w:eastAsia="仿宋" w:cs="仿宋"/>
          <w:color w:val="auto"/>
          <w:sz w:val="24"/>
          <w:szCs w:val="24"/>
          <w:highlight w:val="none"/>
        </w:rPr>
        <w:t>1.采购人信息</w:t>
      </w:r>
    </w:p>
    <w:p w14:paraId="367129F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名称：瑞丽市自然资源局</w:t>
      </w:r>
    </w:p>
    <w:p w14:paraId="2E64499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地址：瑞丽市新建路2号             </w:t>
      </w:r>
    </w:p>
    <w:p w14:paraId="586803A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话：0692-4125676 </w:t>
      </w:r>
    </w:p>
    <w:p w14:paraId="29617A7C">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统一社会信用代码：11533102015271612X </w:t>
      </w:r>
    </w:p>
    <w:p w14:paraId="1BA4A5D7">
      <w:pPr>
        <w:pStyle w:val="13"/>
        <w:rPr>
          <w:color w:val="auto"/>
          <w:highlight w:val="none"/>
        </w:rPr>
      </w:pPr>
    </w:p>
    <w:p w14:paraId="167AE4D4">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03A9439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名称：云南沐禹工程咨询有限公司 </w:t>
      </w:r>
    </w:p>
    <w:p w14:paraId="0F923E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地址：瑞丽市姐岗路76-11号6-1室</w:t>
      </w:r>
    </w:p>
    <w:p w14:paraId="788168D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联系方式：0692-4104077</w:t>
      </w:r>
    </w:p>
    <w:p w14:paraId="179EE1EF">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统一社会信用代码：91533103MA6PALTD33 </w:t>
      </w:r>
    </w:p>
    <w:p w14:paraId="454E56BB">
      <w:pPr>
        <w:pStyle w:val="3"/>
        <w:rPr>
          <w:color w:val="auto"/>
          <w:highlight w:val="none"/>
        </w:rPr>
      </w:pPr>
    </w:p>
    <w:p w14:paraId="696213A8">
      <w:pPr>
        <w:spacing w:line="360" w:lineRule="auto"/>
        <w:ind w:firstLine="210" w:firstLineChars="100"/>
        <w:rPr>
          <w:rFonts w:hint="eastAsia"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"NULL" </w:instrText>
      </w:r>
      <w:r>
        <w:rPr>
          <w:color w:val="auto"/>
          <w:highlight w:val="none"/>
        </w:rPr>
        <w:fldChar w:fldCharType="separate"/>
      </w:r>
      <w:bookmarkEnd w:id="39"/>
      <w:r>
        <w:rPr>
          <w:color w:val="auto"/>
          <w:highlight w:val="none"/>
        </w:rPr>
        <w:fldChar w:fldCharType="end"/>
      </w:r>
      <w:bookmarkStart w:id="40" w:name="_Toc28359098"/>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 </w:instrText>
      </w:r>
      <w:r>
        <w:rPr>
          <w:rFonts w:hint="eastAsia" w:ascii="仿宋" w:hAnsi="仿宋" w:eastAsia="仿宋" w:cs="仿宋"/>
          <w:color w:val="auto"/>
          <w:sz w:val="24"/>
          <w:szCs w:val="24"/>
          <w:highlight w:val="none"/>
        </w:rPr>
        <w:fldChar w:fldCharType="separate"/>
      </w:r>
      <w:bookmarkEnd w:id="40"/>
      <w:r>
        <w:rPr>
          <w:rFonts w:hint="eastAsia" w:ascii="仿宋" w:hAnsi="仿宋" w:eastAsia="仿宋" w:cs="仿宋"/>
          <w:color w:val="auto"/>
          <w:sz w:val="24"/>
          <w:szCs w:val="24"/>
          <w:highlight w:val="none"/>
        </w:rPr>
        <w:fldChar w:fldCharType="end"/>
      </w:r>
      <w:bookmarkStart w:id="41" w:name="_Toc28359021"/>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 </w:instrText>
      </w:r>
      <w:r>
        <w:rPr>
          <w:rFonts w:hint="eastAsia" w:ascii="仿宋" w:hAnsi="仿宋" w:eastAsia="仿宋" w:cs="仿宋"/>
          <w:color w:val="auto"/>
          <w:sz w:val="24"/>
          <w:szCs w:val="24"/>
          <w:highlight w:val="none"/>
        </w:rPr>
        <w:fldChar w:fldCharType="separate"/>
      </w:r>
      <w:bookmarkEnd w:id="41"/>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3.项目联系方式</w:t>
      </w:r>
    </w:p>
    <w:p w14:paraId="7298F80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项目联系人：罗吉(采购人)、蒋建超（代理机构）</w:t>
      </w:r>
    </w:p>
    <w:p w14:paraId="7171441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 13888535096、13170696608</w:t>
      </w:r>
    </w:p>
    <w:p w14:paraId="214E353F">
      <w:pPr>
        <w:rPr>
          <w:rFonts w:hint="eastAsia" w:ascii="仿宋" w:hAnsi="仿宋" w:eastAsia="仿宋" w:cs="仿宋"/>
          <w:b/>
          <w:bCs/>
          <w:caps/>
          <w:color w:val="auto"/>
          <w:sz w:val="32"/>
          <w:szCs w:val="32"/>
          <w:highlight w:val="none"/>
        </w:rPr>
      </w:pPr>
      <w:r>
        <w:rPr>
          <w:rFonts w:hint="eastAsia" w:ascii="仿宋" w:hAnsi="仿宋" w:eastAsia="仿宋" w:cs="仿宋"/>
          <w:b/>
          <w:bCs/>
          <w:caps/>
          <w:color w:val="auto"/>
          <w:sz w:val="32"/>
          <w:szCs w:val="32"/>
          <w:highlight w:val="none"/>
        </w:rPr>
        <w:br w:type="page"/>
      </w:r>
    </w:p>
    <w:p w14:paraId="505D7459">
      <w:pPr>
        <w:spacing w:line="360" w:lineRule="auto"/>
        <w:jc w:val="center"/>
        <w:outlineLvl w:val="0"/>
        <w:rPr>
          <w:rFonts w:hint="eastAsia" w:ascii="仿宋" w:hAnsi="仿宋" w:eastAsia="仿宋" w:cs="仿宋"/>
          <w:b/>
          <w:bCs/>
          <w:caps/>
          <w:color w:val="auto"/>
          <w:sz w:val="36"/>
          <w:szCs w:val="36"/>
          <w:highlight w:val="none"/>
        </w:rPr>
      </w:pPr>
      <w:bookmarkStart w:id="42" w:name="_Toc24929"/>
      <w:r>
        <w:rPr>
          <w:rFonts w:hint="eastAsia" w:ascii="仿宋" w:hAnsi="仿宋" w:eastAsia="仿宋" w:cs="仿宋"/>
          <w:b/>
          <w:bCs/>
          <w:caps/>
          <w:color w:val="auto"/>
          <w:sz w:val="36"/>
          <w:szCs w:val="36"/>
          <w:highlight w:val="none"/>
        </w:rPr>
        <w:t>第二章  供应商须知</w:t>
      </w:r>
      <w:bookmarkEnd w:id="8"/>
      <w:bookmarkEnd w:id="9"/>
      <w:bookmarkEnd w:id="10"/>
      <w:bookmarkEnd w:id="42"/>
    </w:p>
    <w:p w14:paraId="2C455898">
      <w:pPr>
        <w:pStyle w:val="4"/>
        <w:spacing w:before="0" w:after="0" w:line="360" w:lineRule="auto"/>
        <w:jc w:val="center"/>
        <w:rPr>
          <w:rFonts w:hint="eastAsia" w:ascii="仿宋" w:hAnsi="仿宋" w:eastAsia="仿宋" w:cs="仿宋"/>
          <w:color w:val="auto"/>
          <w:sz w:val="30"/>
          <w:szCs w:val="30"/>
          <w:highlight w:val="none"/>
        </w:rPr>
      </w:pPr>
      <w:bookmarkStart w:id="43" w:name="_Toc486885395"/>
      <w:bookmarkStart w:id="44" w:name="_Toc27959"/>
      <w:bookmarkStart w:id="45" w:name="_Toc393354829"/>
      <w:r>
        <w:rPr>
          <w:rFonts w:hint="eastAsia" w:ascii="仿宋" w:hAnsi="仿宋" w:eastAsia="仿宋" w:cs="仿宋"/>
          <w:color w:val="auto"/>
          <w:sz w:val="30"/>
          <w:szCs w:val="30"/>
          <w:highlight w:val="none"/>
        </w:rPr>
        <w:t>供应商须知前附表</w:t>
      </w:r>
      <w:bookmarkEnd w:id="43"/>
      <w:bookmarkEnd w:id="44"/>
      <w:bookmarkEnd w:id="45"/>
    </w:p>
    <w:tbl>
      <w:tblPr>
        <w:tblStyle w:val="34"/>
        <w:tblW w:w="10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727"/>
        <w:gridCol w:w="7184"/>
      </w:tblGrid>
      <w:tr w14:paraId="6C5D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88" w:type="dxa"/>
            <w:vAlign w:val="center"/>
          </w:tcPr>
          <w:p w14:paraId="7B648606">
            <w:pPr>
              <w:pStyle w:val="2"/>
              <w:spacing w:line="360" w:lineRule="auto"/>
              <w:jc w:val="center"/>
              <w:rPr>
                <w:rFonts w:hint="eastAsia" w:ascii="仿宋" w:hAnsi="仿宋" w:eastAsia="仿宋" w:cs="仿宋"/>
                <w:b/>
                <w:color w:val="auto"/>
                <w:sz w:val="24"/>
                <w:szCs w:val="24"/>
                <w:highlight w:val="none"/>
              </w:rPr>
            </w:pPr>
            <w:bookmarkStart w:id="46" w:name="_Toc16738"/>
            <w:bookmarkStart w:id="47" w:name="_Toc19039"/>
            <w:bookmarkStart w:id="48" w:name="_Toc427678316"/>
            <w:bookmarkStart w:id="49" w:name="_Toc427678424"/>
            <w:bookmarkStart w:id="50" w:name="_Toc204749332"/>
            <w:bookmarkStart w:id="51" w:name="_Toc277776501"/>
            <w:r>
              <w:rPr>
                <w:rFonts w:hint="eastAsia" w:ascii="仿宋" w:hAnsi="仿宋" w:eastAsia="仿宋" w:cs="仿宋"/>
                <w:b/>
                <w:color w:val="auto"/>
                <w:sz w:val="24"/>
                <w:szCs w:val="24"/>
                <w:highlight w:val="none"/>
              </w:rPr>
              <w:t>条款号</w:t>
            </w:r>
          </w:p>
        </w:tc>
        <w:tc>
          <w:tcPr>
            <w:tcW w:w="1727" w:type="dxa"/>
            <w:vAlign w:val="center"/>
          </w:tcPr>
          <w:p w14:paraId="5A7686F8">
            <w:pPr>
              <w:pStyle w:val="2"/>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 款 名 称</w:t>
            </w:r>
          </w:p>
        </w:tc>
        <w:tc>
          <w:tcPr>
            <w:tcW w:w="7184" w:type="dxa"/>
            <w:vAlign w:val="center"/>
          </w:tcPr>
          <w:p w14:paraId="1024BC6D">
            <w:pPr>
              <w:pStyle w:val="2"/>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 列 内 容</w:t>
            </w:r>
          </w:p>
        </w:tc>
      </w:tr>
      <w:tr w14:paraId="518EE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188" w:type="dxa"/>
            <w:vAlign w:val="center"/>
          </w:tcPr>
          <w:p w14:paraId="54D49D3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1727" w:type="dxa"/>
            <w:vAlign w:val="center"/>
          </w:tcPr>
          <w:p w14:paraId="7BA049BA">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采购人</w:t>
            </w:r>
          </w:p>
        </w:tc>
        <w:tc>
          <w:tcPr>
            <w:tcW w:w="7184" w:type="dxa"/>
            <w:vAlign w:val="center"/>
          </w:tcPr>
          <w:p w14:paraId="4F396359">
            <w:pPr>
              <w:pStyle w:val="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名称：瑞丽市自然资源局</w:t>
            </w:r>
          </w:p>
          <w:p w14:paraId="67A5340E">
            <w:pPr>
              <w:pStyle w:val="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地址：瑞丽市新建路2号             </w:t>
            </w:r>
          </w:p>
          <w:p w14:paraId="47CAFE69">
            <w:pPr>
              <w:pStyle w:val="13"/>
              <w:rPr>
                <w:rFonts w:hint="eastAsia" w:ascii="仿宋" w:hAnsi="仿宋" w:eastAsia="仿宋" w:cs="仿宋"/>
                <w:color w:val="auto"/>
                <w:highlight w:val="none"/>
              </w:rPr>
            </w:pPr>
            <w:r>
              <w:rPr>
                <w:rFonts w:hint="eastAsia" w:ascii="仿宋" w:hAnsi="仿宋" w:eastAsia="仿宋" w:cs="仿宋"/>
                <w:color w:val="auto"/>
                <w:sz w:val="24"/>
                <w:szCs w:val="24"/>
                <w:highlight w:val="none"/>
              </w:rPr>
              <w:t>电 话：罗吉 0692-4125676</w:t>
            </w:r>
          </w:p>
        </w:tc>
      </w:tr>
      <w:tr w14:paraId="49F8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88" w:type="dxa"/>
            <w:vAlign w:val="center"/>
          </w:tcPr>
          <w:p w14:paraId="738B4255">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1727" w:type="dxa"/>
            <w:vAlign w:val="center"/>
          </w:tcPr>
          <w:p w14:paraId="407CB116">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7184" w:type="dxa"/>
            <w:vAlign w:val="center"/>
          </w:tcPr>
          <w:p w14:paraId="0AA27CBA">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名称：云南沐禹工程咨询有限公司 </w:t>
            </w:r>
          </w:p>
          <w:p w14:paraId="169795FC">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地址：瑞丽市姐岗路76-11号6-1室</w:t>
            </w:r>
          </w:p>
          <w:p w14:paraId="506190AE">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联系方式：蒋建超 13170696608</w:t>
            </w:r>
          </w:p>
        </w:tc>
      </w:tr>
      <w:tr w14:paraId="1648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188" w:type="dxa"/>
            <w:vAlign w:val="center"/>
          </w:tcPr>
          <w:p w14:paraId="5336CE4D">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1727" w:type="dxa"/>
            <w:vAlign w:val="center"/>
          </w:tcPr>
          <w:p w14:paraId="78952FD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7184" w:type="dxa"/>
            <w:vAlign w:val="center"/>
          </w:tcPr>
          <w:p w14:paraId="0E596370">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瑞丽市国土空间详细规划弄莫湖片区编制项目</w:t>
            </w:r>
          </w:p>
        </w:tc>
      </w:tr>
      <w:tr w14:paraId="0F4A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188" w:type="dxa"/>
            <w:vAlign w:val="center"/>
          </w:tcPr>
          <w:p w14:paraId="760F1190">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1727" w:type="dxa"/>
            <w:vAlign w:val="center"/>
          </w:tcPr>
          <w:p w14:paraId="3B21B753">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资金落实情况</w:t>
            </w:r>
          </w:p>
        </w:tc>
        <w:tc>
          <w:tcPr>
            <w:tcW w:w="7184" w:type="dxa"/>
            <w:vAlign w:val="center"/>
          </w:tcPr>
          <w:p w14:paraId="1782C84A">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已落实。</w:t>
            </w:r>
          </w:p>
        </w:tc>
      </w:tr>
      <w:tr w14:paraId="1F2D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188" w:type="dxa"/>
            <w:vAlign w:val="center"/>
          </w:tcPr>
          <w:p w14:paraId="3A8CF17E">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1727" w:type="dxa"/>
            <w:vAlign w:val="center"/>
          </w:tcPr>
          <w:p w14:paraId="4C194D7B">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tc>
        <w:tc>
          <w:tcPr>
            <w:tcW w:w="7184" w:type="dxa"/>
            <w:vAlign w:val="center"/>
          </w:tcPr>
          <w:p w14:paraId="717A3E1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瑞丽市国土空间详细规划弄莫湖片区编制项目，包括2个详规单元（弄莫湖片区单元号：</w:t>
            </w:r>
            <w:r>
              <w:rPr>
                <w:rFonts w:ascii="仿宋" w:hAnsi="仿宋" w:eastAsia="仿宋" w:cs="仿宋"/>
                <w:color w:val="auto"/>
                <w:sz w:val="24"/>
                <w:szCs w:val="24"/>
                <w:highlight w:val="none"/>
              </w:rPr>
              <w:t>533102101010011</w:t>
            </w:r>
            <w:r>
              <w:rPr>
                <w:rFonts w:hint="eastAsia" w:ascii="仿宋" w:hAnsi="仿宋" w:eastAsia="仿宋" w:cs="仿宋"/>
                <w:color w:val="auto"/>
                <w:sz w:val="24"/>
                <w:szCs w:val="24"/>
                <w:highlight w:val="none"/>
              </w:rPr>
              <w:t>，运动中心片区单元号：</w:t>
            </w:r>
            <w:r>
              <w:rPr>
                <w:rFonts w:ascii="仿宋" w:hAnsi="仿宋" w:eastAsia="仿宋" w:cs="仿宋"/>
                <w:color w:val="auto"/>
                <w:sz w:val="24"/>
                <w:szCs w:val="24"/>
                <w:highlight w:val="none"/>
              </w:rPr>
              <w:t>533102101010012</w:t>
            </w:r>
            <w:r>
              <w:rPr>
                <w:rFonts w:hint="eastAsia" w:ascii="仿宋" w:hAnsi="仿宋" w:eastAsia="仿宋" w:cs="仿宋"/>
                <w:color w:val="auto"/>
                <w:sz w:val="24"/>
                <w:szCs w:val="24"/>
                <w:highlight w:val="none"/>
              </w:rPr>
              <w:t>），规划范围为东至弄莫路，南至大等贺村小组，西至广允村小组，北至南桑村，规划面积12.81平方公里。包括：①原控制性详细规划评估。②开展详细规划编制工作，根据《云南省国土空间详细规划编制导则》,按照“编到地块、管到单元”的编制总体要求，完成单元、地块两个层次的编制内容。③按照《云南省国土空间详细规划数据库标准（试行）》完成数据入库工作。④详细规划批复后的3年调整、动态维护和技术勘误工作。</w:t>
            </w:r>
          </w:p>
          <w:p w14:paraId="2A3407AB">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具体采购内容详见采购文件第三章采购需求。</w:t>
            </w:r>
          </w:p>
        </w:tc>
      </w:tr>
      <w:tr w14:paraId="5C6A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188" w:type="dxa"/>
            <w:vAlign w:val="center"/>
          </w:tcPr>
          <w:p w14:paraId="362687DD">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1727" w:type="dxa"/>
            <w:vAlign w:val="center"/>
          </w:tcPr>
          <w:p w14:paraId="7F36EF90">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服务期限</w:t>
            </w:r>
          </w:p>
        </w:tc>
        <w:tc>
          <w:tcPr>
            <w:tcW w:w="7184" w:type="dxa"/>
            <w:vAlign w:val="center"/>
          </w:tcPr>
          <w:p w14:paraId="7991760C">
            <w:pPr>
              <w:pStyle w:val="5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90日历天。</w:t>
            </w:r>
          </w:p>
        </w:tc>
      </w:tr>
      <w:tr w14:paraId="7821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188" w:type="dxa"/>
            <w:vAlign w:val="center"/>
          </w:tcPr>
          <w:p w14:paraId="03466641">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1727" w:type="dxa"/>
            <w:vAlign w:val="center"/>
          </w:tcPr>
          <w:p w14:paraId="3ECD7247">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服务地点</w:t>
            </w:r>
          </w:p>
        </w:tc>
        <w:tc>
          <w:tcPr>
            <w:tcW w:w="7184" w:type="dxa"/>
            <w:vAlign w:val="center"/>
          </w:tcPr>
          <w:p w14:paraId="6AA5DD24">
            <w:pPr>
              <w:pStyle w:val="5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采购人指定地点。</w:t>
            </w:r>
          </w:p>
        </w:tc>
      </w:tr>
      <w:tr w14:paraId="49BB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7" w:hRule="atLeast"/>
          <w:jc w:val="center"/>
        </w:trPr>
        <w:tc>
          <w:tcPr>
            <w:tcW w:w="1188" w:type="dxa"/>
            <w:vAlign w:val="center"/>
          </w:tcPr>
          <w:p w14:paraId="3EE894AC">
            <w:pPr>
              <w:pStyle w:val="2"/>
              <w:spacing w:line="360" w:lineRule="auto"/>
              <w:jc w:val="center"/>
              <w:rPr>
                <w:rFonts w:hint="eastAsia" w:ascii="仿宋" w:hAnsi="仿宋" w:eastAsia="仿宋" w:cs="仿宋"/>
                <w:color w:val="auto"/>
                <w:sz w:val="24"/>
                <w:szCs w:val="24"/>
                <w:highlight w:val="none"/>
              </w:rPr>
            </w:pPr>
          </w:p>
          <w:p w14:paraId="7B9C71CF">
            <w:pPr>
              <w:pStyle w:val="2"/>
              <w:spacing w:line="360" w:lineRule="auto"/>
              <w:jc w:val="center"/>
              <w:rPr>
                <w:rFonts w:hint="eastAsia" w:ascii="仿宋" w:hAnsi="仿宋" w:eastAsia="仿宋" w:cs="仿宋"/>
                <w:color w:val="auto"/>
                <w:sz w:val="24"/>
                <w:szCs w:val="24"/>
                <w:highlight w:val="none"/>
              </w:rPr>
            </w:pPr>
          </w:p>
          <w:p w14:paraId="3BC6FE8C">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1727" w:type="dxa"/>
            <w:vAlign w:val="center"/>
          </w:tcPr>
          <w:p w14:paraId="5C200D82">
            <w:pPr>
              <w:pStyle w:val="2"/>
              <w:spacing w:line="360" w:lineRule="auto"/>
              <w:jc w:val="center"/>
              <w:rPr>
                <w:rFonts w:hint="eastAsia" w:ascii="仿宋" w:hAnsi="仿宋" w:eastAsia="仿宋" w:cs="仿宋"/>
                <w:color w:val="auto"/>
                <w:sz w:val="24"/>
                <w:szCs w:val="24"/>
                <w:highlight w:val="none"/>
              </w:rPr>
            </w:pPr>
          </w:p>
          <w:p w14:paraId="54B32D76">
            <w:pPr>
              <w:pStyle w:val="2"/>
              <w:spacing w:line="360" w:lineRule="auto"/>
              <w:jc w:val="center"/>
              <w:rPr>
                <w:rFonts w:hint="eastAsia" w:ascii="仿宋" w:hAnsi="仿宋" w:eastAsia="仿宋" w:cs="仿宋"/>
                <w:color w:val="auto"/>
                <w:sz w:val="24"/>
                <w:szCs w:val="24"/>
                <w:highlight w:val="none"/>
              </w:rPr>
            </w:pPr>
          </w:p>
          <w:p w14:paraId="78E3DDA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供应商资格</w:t>
            </w:r>
          </w:p>
          <w:p w14:paraId="58BB756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w:t>
            </w:r>
          </w:p>
        </w:tc>
        <w:tc>
          <w:tcPr>
            <w:tcW w:w="7184" w:type="dxa"/>
            <w:vAlign w:val="center"/>
          </w:tcPr>
          <w:p w14:paraId="2A940EE5">
            <w:pPr>
              <w:adjustRightInd w:val="0"/>
              <w:snapToGrid w:val="0"/>
              <w:spacing w:line="360" w:lineRule="auto"/>
              <w:ind w:firstLine="241" w:firstLineChars="1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（一）基本资格要求：</w:t>
            </w:r>
          </w:p>
          <w:p w14:paraId="0D0C2130">
            <w:pPr>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1.符合《中华人民共和国政府采购法》第二十二条的规定：</w:t>
            </w:r>
          </w:p>
          <w:p w14:paraId="2561F88B">
            <w:pPr>
              <w:spacing w:line="360" w:lineRule="auto"/>
              <w:ind w:firstLine="243" w:firstLineChars="100"/>
              <w:rPr>
                <w:rFonts w:hint="eastAsia" w:ascii="仿宋" w:hAnsi="仿宋" w:eastAsia="仿宋" w:cs="仿宋"/>
                <w:color w:val="auto"/>
                <w:kern w:val="0"/>
                <w:sz w:val="24"/>
                <w:szCs w:val="24"/>
                <w:highlight w:val="none"/>
                <w:lang w:val="zh-CN"/>
              </w:rPr>
            </w:pPr>
            <w:r>
              <w:rPr>
                <w:rFonts w:hint="eastAsia" w:ascii="仿宋" w:hAnsi="仿宋" w:eastAsia="仿宋" w:cs="仿宋"/>
                <w:b/>
                <w:bCs/>
                <w:color w:val="auto"/>
                <w:spacing w:val="1"/>
                <w:sz w:val="24"/>
                <w:szCs w:val="24"/>
                <w:highlight w:val="none"/>
              </w:rPr>
              <w:t>（1）具有独立承担民事责任的能力：</w:t>
            </w:r>
            <w:r>
              <w:rPr>
                <w:rFonts w:hint="eastAsia" w:ascii="仿宋" w:hAnsi="仿宋" w:eastAsia="仿宋" w:cs="仿宋"/>
                <w:color w:val="auto"/>
                <w:spacing w:val="1"/>
                <w:sz w:val="24"/>
                <w:szCs w:val="24"/>
                <w:highlight w:val="none"/>
              </w:rPr>
              <w:t>提供自然人有效身份证明或法人或者其他组织有效的营业执照等证明文件；</w:t>
            </w:r>
          </w:p>
          <w:p w14:paraId="3A88B8A0">
            <w:pPr>
              <w:spacing w:line="360" w:lineRule="auto"/>
              <w:ind w:firstLine="243" w:firstLineChars="100"/>
              <w:rPr>
                <w:rFonts w:hint="eastAsia" w:ascii="仿宋" w:hAnsi="仿宋" w:eastAsia="仿宋" w:cs="仿宋"/>
                <w:caps/>
                <w:color w:val="auto"/>
                <w:sz w:val="24"/>
                <w:szCs w:val="24"/>
                <w:highlight w:val="none"/>
              </w:rPr>
            </w:pPr>
            <w:r>
              <w:rPr>
                <w:rFonts w:hint="eastAsia" w:ascii="仿宋" w:hAnsi="仿宋" w:eastAsia="仿宋" w:cs="仿宋"/>
                <w:b/>
                <w:bCs/>
                <w:color w:val="auto"/>
                <w:spacing w:val="1"/>
                <w:sz w:val="24"/>
                <w:szCs w:val="24"/>
                <w:highlight w:val="none"/>
              </w:rPr>
              <w:t>（2）具有良好的商业信誉和健全的财务会计制度：</w:t>
            </w:r>
            <w:r>
              <w:rPr>
                <w:rFonts w:hint="eastAsia" w:ascii="仿宋" w:hAnsi="仿宋" w:eastAsia="仿宋" w:cs="仿宋"/>
                <w:color w:val="auto"/>
                <w:spacing w:val="1"/>
                <w:sz w:val="24"/>
                <w:szCs w:val="24"/>
                <w:highlight w:val="none"/>
              </w:rPr>
              <w:t>具有良好的商业信誉和健全的财务会计制度，提供2024年经会计师事务所或审计机构审计的财务报表及审计报告（包括资产负债表、损益表（利润表）和现金流量表），若</w:t>
            </w:r>
            <w:r>
              <w:rPr>
                <w:rFonts w:hint="eastAsia" w:ascii="仿宋" w:hAnsi="仿宋" w:eastAsia="仿宋" w:cs="仿宋"/>
                <w:color w:val="auto"/>
                <w:sz w:val="24"/>
                <w:szCs w:val="24"/>
                <w:highlight w:val="none"/>
              </w:rPr>
              <w:t>供应商成立不足一年的，</w:t>
            </w:r>
            <w:r>
              <w:rPr>
                <w:rFonts w:hint="eastAsia" w:ascii="仿宋" w:hAnsi="仿宋" w:eastAsia="仿宋" w:cs="仿宋"/>
                <w:caps/>
                <w:color w:val="auto"/>
                <w:sz w:val="24"/>
                <w:szCs w:val="24"/>
                <w:highlight w:val="none"/>
              </w:rPr>
              <w:t>提供自投标文件提交截止时间前三个月内基本开户银行出具的资信证明或资金存款证明；</w:t>
            </w:r>
          </w:p>
          <w:p w14:paraId="2A1F9A95">
            <w:pPr>
              <w:pStyle w:val="3"/>
              <w:ind w:firstLine="241" w:firstLineChars="100"/>
              <w:rPr>
                <w:rFonts w:hint="eastAsia" w:ascii="仿宋" w:hAnsi="仿宋" w:eastAsia="仿宋" w:cs="仿宋"/>
                <w:b w:val="0"/>
                <w:bCs/>
                <w:caps/>
                <w:color w:val="auto"/>
                <w:sz w:val="24"/>
                <w:szCs w:val="24"/>
                <w:highlight w:val="none"/>
              </w:rPr>
            </w:pPr>
            <w:r>
              <w:rPr>
                <w:rFonts w:hint="eastAsia" w:ascii="仿宋" w:hAnsi="仿宋" w:eastAsia="仿宋" w:cs="仿宋"/>
                <w:bCs/>
                <w:color w:val="auto"/>
                <w:sz w:val="24"/>
                <w:szCs w:val="24"/>
                <w:highlight w:val="none"/>
              </w:rPr>
              <w:t>（3）具有履行合同所必需的设备和专业技术能力：</w:t>
            </w:r>
            <w:r>
              <w:rPr>
                <w:rFonts w:hint="eastAsia" w:ascii="仿宋" w:hAnsi="仿宋" w:eastAsia="仿宋" w:cs="仿宋"/>
                <w:b w:val="0"/>
                <w:bCs/>
                <w:color w:val="auto"/>
                <w:sz w:val="24"/>
                <w:szCs w:val="24"/>
                <w:highlight w:val="none"/>
              </w:rPr>
              <w:t>提供供应商具有履行合同所必需的设备和专业技术能力证明材料或书面声明；</w:t>
            </w:r>
          </w:p>
          <w:p w14:paraId="197A1269">
            <w:pPr>
              <w:pStyle w:val="3"/>
              <w:ind w:firstLine="241" w:firstLineChars="1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（4）有依法缴纳税收和社会保障资金的良好记录：</w:t>
            </w:r>
          </w:p>
          <w:p w14:paraId="7B20F62C">
            <w:pPr>
              <w:spacing w:line="360" w:lineRule="auto"/>
              <w:ind w:firstLine="486" w:firstLineChars="200"/>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①税收要求：</w:t>
            </w:r>
            <w:r>
              <w:rPr>
                <w:rFonts w:hint="eastAsia" w:ascii="仿宋" w:hAnsi="仿宋" w:eastAsia="仿宋" w:cs="仿宋"/>
                <w:color w:val="auto"/>
                <w:sz w:val="24"/>
                <w:szCs w:val="24"/>
                <w:highlight w:val="none"/>
              </w:rPr>
              <w:t>提供供应商缴税所属时间在2024年7月至本项目截至投标（响应）文件递交时间前任意1个月的税务局税收通用缴款书或银行电子缴税（费）凭证或税务局出具纳税情况的相关证明，依法免税的，应提供依法免税的相关证明文件；供应商成立不足一年的，无需提供;</w:t>
            </w:r>
          </w:p>
          <w:p w14:paraId="3A90E062">
            <w:pPr>
              <w:spacing w:line="360" w:lineRule="auto"/>
              <w:ind w:firstLine="486" w:firstLineChars="200"/>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②社保要求：</w:t>
            </w:r>
            <w:r>
              <w:rPr>
                <w:rFonts w:hint="eastAsia" w:ascii="仿宋" w:hAnsi="仿宋" w:eastAsia="仿宋" w:cs="仿宋"/>
                <w:color w:val="auto"/>
                <w:sz w:val="24"/>
                <w:szCs w:val="24"/>
                <w:highlight w:val="none"/>
              </w:rPr>
              <w:t>提供供应商缴费所属时间在2024年7月至本项目截至投标（响应）文件递交时间前任意1个月的社会保险费缴款书或银行电子缴税（费）凭证或社保管理部门出具的有效的缴款证明，依法免缴的，应提供依法免缴的相关证明文件；供应商成立不足一年的，无需提供;</w:t>
            </w:r>
          </w:p>
          <w:p w14:paraId="62FCE6BE">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（5）参加政府采购活动前三年内，在经营活动中没有重大违法记录：</w:t>
            </w:r>
            <w:r>
              <w:rPr>
                <w:rFonts w:hint="eastAsia" w:ascii="仿宋" w:hAnsi="仿宋" w:eastAsia="仿宋" w:cs="仿宋"/>
                <w:color w:val="auto"/>
                <w:sz w:val="24"/>
                <w:szCs w:val="24"/>
                <w:highlight w:val="none"/>
              </w:rPr>
              <w:t>供应商参与本次政府采购活动前三年内，在经营活动中没有重大违法记录（重大违法记录是指响应人因违法经营受到刑事处罚或者责令停产停业、吊销许可证或者执照、较大数额罚款等行政处罚）的书面声明；</w:t>
            </w:r>
          </w:p>
          <w:p w14:paraId="1B2CEA62">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（6）法律、行政法规规定的其他条件：</w:t>
            </w:r>
          </w:p>
          <w:p w14:paraId="25285F8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①单位负责人为同一人或者存在直接控股、管理关系的不同供应商，不得参加同一合同项下的政府采购活动；</w:t>
            </w:r>
          </w:p>
          <w:p w14:paraId="18E5CB8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②为采购项目提供整体设计、规范编制或者项目管理、监理、检测等服务的供应商，不得再参加该采购项目的其他采购活动；</w:t>
            </w:r>
          </w:p>
          <w:p w14:paraId="42BD11A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③法律、行政法规规定的其他条件。</w:t>
            </w:r>
          </w:p>
          <w:p w14:paraId="6A5BA5FC">
            <w:pPr>
              <w:pStyle w:val="3"/>
              <w:ind w:firstLine="482"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2.截至投标（响应）文件递交时间，未被“信用中国”（www.creditchina.gov.cn）、中国政府采购网（www.ccgp.gov.cn）列入失信被执行人、重大税收违法案件当事人名单、政府采购严重违法失信行为记录名单：</w:t>
            </w:r>
          </w:p>
          <w:p w14:paraId="58FB9EB8">
            <w:pPr>
              <w:pStyle w:val="3"/>
              <w:ind w:firstLine="480" w:firstLineChars="200"/>
              <w:rPr>
                <w:rFonts w:hint="eastAsia" w:ascii="仿宋" w:hAnsi="仿宋" w:eastAsia="仿宋" w:cs="仿宋"/>
                <w:color w:val="auto"/>
                <w:sz w:val="24"/>
                <w:szCs w:val="24"/>
                <w:highlight w:val="none"/>
              </w:rPr>
            </w:pPr>
            <w:r>
              <w:rPr>
                <w:rFonts w:hint="eastAsia" w:ascii="仿宋" w:hAnsi="仿宋" w:eastAsia="仿宋" w:cs="仿宋"/>
                <w:b w:val="0"/>
                <w:color w:val="auto"/>
                <w:kern w:val="2"/>
                <w:sz w:val="24"/>
                <w:szCs w:val="24"/>
                <w:highlight w:val="none"/>
              </w:rPr>
              <w:t>①在“信用中国”（www.creditchina.gov.cn）中未被列入：失信被执行人、重大税收违法案件当事人名单（重大税收违法失信主体）、政府采购严重违法失信行为记录名单。②在中国政府采购网（www.ccgp.gov.cn）中未被列入：政府采购严重违法失信行为记录名单。</w:t>
            </w:r>
            <w:r>
              <w:rPr>
                <w:rFonts w:hint="eastAsia" w:ascii="仿宋" w:hAnsi="仿宋" w:eastAsia="仿宋" w:cs="仿宋"/>
                <w:bCs/>
                <w:color w:val="auto"/>
                <w:kern w:val="2"/>
                <w:sz w:val="24"/>
                <w:szCs w:val="24"/>
                <w:highlight w:val="none"/>
              </w:rPr>
              <w:t>（注：以上网站查询均由采购人或采购代理机构在资格评审时查询，投标人无须提供，若供应商有不良信誉，视为不满足资格要求。）</w:t>
            </w:r>
          </w:p>
          <w:p w14:paraId="4804E172">
            <w:pPr>
              <w:spacing w:line="360" w:lineRule="auto"/>
              <w:ind w:firstLine="241" w:firstLineChars="1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（二）落实政府采购政策需满足的资格要求：</w:t>
            </w:r>
          </w:p>
          <w:p w14:paraId="7E499BC4">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本项目非专门面向中小型企业采购</w:t>
            </w:r>
            <w:r>
              <w:rPr>
                <w:rFonts w:hint="eastAsia" w:ascii="仿宋" w:hAnsi="仿宋" w:eastAsia="仿宋" w:cs="仿宋"/>
                <w:color w:val="auto"/>
                <w:sz w:val="24"/>
                <w:szCs w:val="24"/>
                <w:highlight w:val="none"/>
              </w:rPr>
              <w:t>；根据《关于进一步加大政府采购支持中小企业力度的通知》（财库〔2022〕19号），对符合采购文件要求的小型和微型企业给予价格扣除10%，用扣除后的价格参与评审；监狱企业及残疾人福利性单位视同小微企业。</w:t>
            </w:r>
          </w:p>
          <w:p w14:paraId="68E9A7BC">
            <w:pPr>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（三）本项目的特定资格要求：</w:t>
            </w:r>
          </w:p>
          <w:p w14:paraId="66D4C91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（1）资质要求：供应商须具备有效的城乡规划（国土空间规划）编制乙级及以上资质；</w:t>
            </w:r>
          </w:p>
          <w:p w14:paraId="0C34340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（2）拟派项目负责人资格要求：应具有注册城乡规划师证书，具有规划专业高级及以上技术职称，且高职及以上职称履职不低于3年。</w:t>
            </w:r>
          </w:p>
        </w:tc>
      </w:tr>
      <w:tr w14:paraId="4BA3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vAlign w:val="center"/>
          </w:tcPr>
          <w:p w14:paraId="45F54A2B">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1.9.2</w:t>
            </w:r>
          </w:p>
        </w:tc>
        <w:tc>
          <w:tcPr>
            <w:tcW w:w="1727" w:type="dxa"/>
            <w:vAlign w:val="center"/>
          </w:tcPr>
          <w:p w14:paraId="6E2B375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供应商提出问题的截止时间</w:t>
            </w:r>
          </w:p>
        </w:tc>
        <w:tc>
          <w:tcPr>
            <w:tcW w:w="7184" w:type="dxa"/>
            <w:vAlign w:val="center"/>
          </w:tcPr>
          <w:p w14:paraId="0AF74879">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在投标截止时间10日前，所有获取了采购文件的潜在供应商凭企业数字证书（CA）登录“政采云”平台 （http：//www.zcygov.cn/），通过网络在线方式进行提问或以书面形式向采购代理机构提出。</w:t>
            </w:r>
          </w:p>
        </w:tc>
      </w:tr>
      <w:tr w14:paraId="2D3F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6C2A6969">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1.9.3</w:t>
            </w:r>
          </w:p>
        </w:tc>
        <w:tc>
          <w:tcPr>
            <w:tcW w:w="1727" w:type="dxa"/>
            <w:vAlign w:val="center"/>
          </w:tcPr>
          <w:p w14:paraId="321AC686">
            <w:pPr>
              <w:autoSpaceDE w:val="0"/>
              <w:autoSpaceDN w:val="0"/>
              <w:snapToGrid w:val="0"/>
              <w:spacing w:line="360" w:lineRule="auto"/>
              <w:jc w:val="center"/>
              <w:textAlignment w:val="bottom"/>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采购文件澄清截止时间</w:t>
            </w:r>
          </w:p>
        </w:tc>
        <w:tc>
          <w:tcPr>
            <w:tcW w:w="7184" w:type="dxa"/>
            <w:vAlign w:val="center"/>
          </w:tcPr>
          <w:p w14:paraId="483ED361">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投标截止时间至少15日前，由采购人以补遗书方式按程序报有关主管部门备案后，</w:t>
            </w:r>
            <w:r>
              <w:rPr>
                <w:rFonts w:hint="eastAsia" w:ascii="仿宋" w:hAnsi="仿宋" w:eastAsia="仿宋" w:cs="仿宋"/>
                <w:color w:val="auto"/>
                <w:sz w:val="24"/>
                <w:szCs w:val="24"/>
                <w:highlight w:val="none"/>
              </w:rPr>
              <w:t>提交</w:t>
            </w:r>
            <w:r>
              <w:rPr>
                <w:rFonts w:hint="eastAsia" w:ascii="仿宋" w:hAnsi="仿宋" w:eastAsia="仿宋" w:cs="仿宋"/>
                <w:color w:val="auto"/>
                <w:sz w:val="24"/>
                <w:highlight w:val="none"/>
              </w:rPr>
              <w:t>“政采云”平台</w:t>
            </w:r>
            <w:r>
              <w:rPr>
                <w:rFonts w:hint="eastAsia" w:ascii="仿宋" w:hAnsi="仿宋" w:eastAsia="仿宋" w:cs="仿宋"/>
                <w:color w:val="auto"/>
                <w:sz w:val="24"/>
                <w:szCs w:val="24"/>
                <w:highlight w:val="none"/>
              </w:rPr>
              <w:t>统一通过网络向潜在供应商发布，且供应商不须回函确认，所有获取了采购文件的潜在供应商凭企业数字证书（CA）登录“政采云”平台 （http：//www.zcygov.cn/）查看澄清内容。</w:t>
            </w:r>
          </w:p>
        </w:tc>
      </w:tr>
      <w:tr w14:paraId="1029E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0AAA6BA4">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1.9.4</w:t>
            </w:r>
          </w:p>
        </w:tc>
        <w:tc>
          <w:tcPr>
            <w:tcW w:w="1727" w:type="dxa"/>
            <w:vAlign w:val="center"/>
          </w:tcPr>
          <w:p w14:paraId="46F03976">
            <w:pPr>
              <w:autoSpaceDE w:val="0"/>
              <w:autoSpaceDN w:val="0"/>
              <w:snapToGrid w:val="0"/>
              <w:spacing w:line="360" w:lineRule="auto"/>
              <w:jc w:val="center"/>
              <w:textAlignment w:val="bottom"/>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采购文件修改截止时间</w:t>
            </w:r>
          </w:p>
        </w:tc>
        <w:tc>
          <w:tcPr>
            <w:tcW w:w="7184" w:type="dxa"/>
            <w:vAlign w:val="center"/>
          </w:tcPr>
          <w:p w14:paraId="08D93744">
            <w:pPr>
              <w:autoSpaceDE w:val="0"/>
              <w:autoSpaceDN w:val="0"/>
              <w:adjustRightInd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投标截止时间至少15日前，由采购人以补遗书方式按程序报有关主管部门备案后，</w:t>
            </w:r>
            <w:r>
              <w:rPr>
                <w:rFonts w:hint="eastAsia" w:ascii="仿宋" w:hAnsi="仿宋" w:eastAsia="仿宋" w:cs="仿宋"/>
                <w:color w:val="auto"/>
                <w:sz w:val="24"/>
                <w:szCs w:val="24"/>
                <w:highlight w:val="none"/>
              </w:rPr>
              <w:t>提交</w:t>
            </w:r>
            <w:r>
              <w:rPr>
                <w:rFonts w:hint="eastAsia" w:ascii="仿宋" w:hAnsi="仿宋" w:eastAsia="仿宋" w:cs="仿宋"/>
                <w:color w:val="auto"/>
                <w:sz w:val="24"/>
                <w:highlight w:val="none"/>
              </w:rPr>
              <w:t>“政采云”平台</w:t>
            </w:r>
            <w:r>
              <w:rPr>
                <w:rFonts w:hint="eastAsia" w:ascii="仿宋" w:hAnsi="仿宋" w:eastAsia="仿宋" w:cs="仿宋"/>
                <w:color w:val="auto"/>
                <w:sz w:val="24"/>
                <w:szCs w:val="24"/>
                <w:highlight w:val="none"/>
              </w:rPr>
              <w:t>统一通过网络向潜在供应商发布，且供应商不须回函确认，所有获取了采购文件的潜在供应商凭企业数字证书（CA）登录“政采云”平台 （http：//www.zcygov.cn/）查看澄清内容。</w:t>
            </w:r>
          </w:p>
        </w:tc>
      </w:tr>
      <w:tr w14:paraId="2B76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188" w:type="dxa"/>
            <w:vAlign w:val="center"/>
          </w:tcPr>
          <w:p w14:paraId="32580E6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1727" w:type="dxa"/>
            <w:vAlign w:val="center"/>
          </w:tcPr>
          <w:p w14:paraId="772CE6B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w:t>
            </w:r>
          </w:p>
        </w:tc>
        <w:tc>
          <w:tcPr>
            <w:tcW w:w="7184" w:type="dxa"/>
            <w:vAlign w:val="center"/>
          </w:tcPr>
          <w:p w14:paraId="109B28B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2025年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日09：00。</w:t>
            </w:r>
          </w:p>
        </w:tc>
      </w:tr>
      <w:tr w14:paraId="3328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7D407181">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p>
        </w:tc>
        <w:tc>
          <w:tcPr>
            <w:tcW w:w="1727" w:type="dxa"/>
            <w:vAlign w:val="center"/>
          </w:tcPr>
          <w:p w14:paraId="2C4F6AC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供应商确认收到采购文件澄清的时间</w:t>
            </w:r>
          </w:p>
        </w:tc>
        <w:tc>
          <w:tcPr>
            <w:tcW w:w="7184" w:type="dxa"/>
            <w:vAlign w:val="center"/>
          </w:tcPr>
          <w:p w14:paraId="7DBF68E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供应商自行登录“政采云”平台 （http：//www.zcygov.cn/）获取澄清，无须回复确认已收到该澄清。</w:t>
            </w:r>
          </w:p>
        </w:tc>
      </w:tr>
      <w:tr w14:paraId="127C6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188" w:type="dxa"/>
            <w:vAlign w:val="center"/>
          </w:tcPr>
          <w:p w14:paraId="45352F7E">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p>
        </w:tc>
        <w:tc>
          <w:tcPr>
            <w:tcW w:w="1727" w:type="dxa"/>
            <w:vAlign w:val="center"/>
          </w:tcPr>
          <w:p w14:paraId="246BDC5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供应商确认收到采购文件修改的时间</w:t>
            </w:r>
          </w:p>
        </w:tc>
        <w:tc>
          <w:tcPr>
            <w:tcW w:w="7184" w:type="dxa"/>
            <w:vAlign w:val="center"/>
          </w:tcPr>
          <w:p w14:paraId="58F0370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供应商自行登录“政采云”平台 （http：//www.zcygov.cn/）收取修改内容，无须回复确认已收到该修改。</w:t>
            </w:r>
          </w:p>
        </w:tc>
      </w:tr>
      <w:tr w14:paraId="373F3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188" w:type="dxa"/>
            <w:vAlign w:val="center"/>
          </w:tcPr>
          <w:p w14:paraId="48A741C6">
            <w:pPr>
              <w:pStyle w:val="33"/>
              <w:spacing w:line="420" w:lineRule="exact"/>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w:t>
            </w:r>
          </w:p>
        </w:tc>
        <w:tc>
          <w:tcPr>
            <w:tcW w:w="1727" w:type="dxa"/>
            <w:vAlign w:val="center"/>
          </w:tcPr>
          <w:p w14:paraId="53931C66">
            <w:pPr>
              <w:pStyle w:val="33"/>
              <w:spacing w:line="420" w:lineRule="exact"/>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投标限价</w:t>
            </w:r>
          </w:p>
        </w:tc>
        <w:tc>
          <w:tcPr>
            <w:tcW w:w="7184" w:type="dxa"/>
            <w:vAlign w:val="center"/>
          </w:tcPr>
          <w:p w14:paraId="4DB55C3B">
            <w:pPr>
              <w:pStyle w:val="33"/>
              <w:spacing w:line="420" w:lineRule="exact"/>
              <w:ind w:left="0" w:lef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p w14:paraId="41A021D8">
            <w:pPr>
              <w:pStyle w:val="33"/>
              <w:spacing w:line="420" w:lineRule="exact"/>
              <w:ind w:left="0" w:lef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☑有，最高限价：</w:t>
            </w:r>
            <w:r>
              <w:rPr>
                <w:rFonts w:hint="eastAsia" w:ascii="仿宋" w:hAnsi="仿宋" w:eastAsia="仿宋" w:cs="仿宋"/>
                <w:b/>
                <w:bCs/>
                <w:color w:val="auto"/>
                <w:sz w:val="24"/>
                <w:szCs w:val="24"/>
                <w:highlight w:val="none"/>
                <w:lang w:eastAsia="zh-CN"/>
              </w:rPr>
              <w:t>220万</w:t>
            </w:r>
            <w:r>
              <w:rPr>
                <w:rFonts w:hint="eastAsia" w:ascii="仿宋" w:hAnsi="仿宋" w:eastAsia="仿宋" w:cs="仿宋"/>
                <w:b/>
                <w:bCs/>
                <w:color w:val="auto"/>
                <w:sz w:val="24"/>
                <w:szCs w:val="24"/>
                <w:highlight w:val="none"/>
              </w:rPr>
              <w:t>元。</w:t>
            </w:r>
          </w:p>
        </w:tc>
      </w:tr>
      <w:tr w14:paraId="41E8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188" w:type="dxa"/>
            <w:vAlign w:val="center"/>
          </w:tcPr>
          <w:p w14:paraId="0E29722B">
            <w:pPr>
              <w:pStyle w:val="33"/>
              <w:spacing w:line="420" w:lineRule="exact"/>
              <w:ind w:left="0" w:leftChars="0" w:firstLine="0" w:firstLineChars="0"/>
              <w:jc w:val="center"/>
              <w:rPr>
                <w:rFonts w:hint="eastAsia" w:ascii="仿宋" w:hAnsi="仿宋" w:eastAsia="仿宋" w:cs="仿宋"/>
                <w:color w:val="auto"/>
                <w:sz w:val="24"/>
                <w:szCs w:val="24"/>
                <w:highlight w:val="none"/>
              </w:rPr>
            </w:pPr>
            <w:r>
              <w:rPr>
                <w:rFonts w:hint="eastAsia" w:ascii="宋体" w:hAnsi="宋体" w:cs="宋体"/>
                <w:color w:val="auto"/>
                <w:highlight w:val="none"/>
              </w:rPr>
              <w:t>3.2.4</w:t>
            </w:r>
          </w:p>
        </w:tc>
        <w:tc>
          <w:tcPr>
            <w:tcW w:w="1727" w:type="dxa"/>
            <w:vAlign w:val="center"/>
          </w:tcPr>
          <w:p w14:paraId="670D9A5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投标报价的</w:t>
            </w:r>
          </w:p>
          <w:p w14:paraId="0FE6B05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w:t>
            </w:r>
          </w:p>
        </w:tc>
        <w:tc>
          <w:tcPr>
            <w:tcW w:w="7184" w:type="dxa"/>
            <w:vAlign w:val="center"/>
          </w:tcPr>
          <w:p w14:paraId="2008681B">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投标人结合自身实力填报价格。投标报价为全包价（</w:t>
            </w:r>
            <w:r>
              <w:rPr>
                <w:rFonts w:hint="eastAsia" w:ascii="仿宋" w:hAnsi="仿宋" w:eastAsia="仿宋" w:cs="仿宋"/>
                <w:color w:val="auto"/>
                <w:sz w:val="24"/>
                <w:szCs w:val="24"/>
                <w:highlight w:val="none"/>
                <w:lang w:eastAsia="zh-CN"/>
              </w:rPr>
              <w:t>含专家评审费、听证费、代理费、征求意见会等完成本招标项目所需的全部费用</w:t>
            </w:r>
            <w:r>
              <w:rPr>
                <w:rFonts w:hint="eastAsia" w:ascii="仿宋" w:hAnsi="仿宋" w:eastAsia="仿宋" w:cs="仿宋"/>
                <w:color w:val="auto"/>
                <w:sz w:val="24"/>
                <w:szCs w:val="24"/>
                <w:highlight w:val="none"/>
              </w:rPr>
              <w:t>），以人民币为结算单位，采购人将不再另行支付其他费用。</w:t>
            </w:r>
          </w:p>
          <w:p w14:paraId="7D8E8D80">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详细规划批复后的3年调整、动态维护和技术勘误工作的费用已经包含在此次投标报价中，采购人不在另行支付。</w:t>
            </w:r>
          </w:p>
          <w:p w14:paraId="60D76275">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投标报价超过预算价（或最高限价）作无效标书处理。</w:t>
            </w:r>
          </w:p>
        </w:tc>
      </w:tr>
      <w:tr w14:paraId="1FF1B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2292C8B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1727" w:type="dxa"/>
            <w:vAlign w:val="center"/>
          </w:tcPr>
          <w:p w14:paraId="742B5DC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7184" w:type="dxa"/>
            <w:vAlign w:val="center"/>
          </w:tcPr>
          <w:p w14:paraId="3EBAD10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投标截止之日起90日历天。</w:t>
            </w:r>
          </w:p>
        </w:tc>
      </w:tr>
      <w:tr w14:paraId="5C548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vAlign w:val="center"/>
          </w:tcPr>
          <w:p w14:paraId="1661E0AA">
            <w:pPr>
              <w:pStyle w:val="2"/>
              <w:spacing w:line="360" w:lineRule="auto"/>
              <w:jc w:val="center"/>
              <w:rPr>
                <w:rFonts w:hint="eastAsia" w:ascii="仿宋" w:hAnsi="仿宋" w:eastAsia="仿宋" w:cs="仿宋"/>
                <w:color w:val="auto"/>
                <w:sz w:val="24"/>
                <w:szCs w:val="24"/>
                <w:highlight w:val="none"/>
              </w:rPr>
            </w:pPr>
          </w:p>
          <w:p w14:paraId="43F4867D">
            <w:pPr>
              <w:pStyle w:val="2"/>
              <w:spacing w:line="360" w:lineRule="auto"/>
              <w:jc w:val="center"/>
              <w:rPr>
                <w:rFonts w:hint="eastAsia" w:ascii="仿宋" w:hAnsi="仿宋" w:eastAsia="仿宋" w:cs="仿宋"/>
                <w:color w:val="auto"/>
                <w:sz w:val="24"/>
                <w:szCs w:val="24"/>
                <w:highlight w:val="none"/>
              </w:rPr>
            </w:pPr>
          </w:p>
          <w:p w14:paraId="16D8541C">
            <w:pPr>
              <w:pStyle w:val="2"/>
              <w:spacing w:line="360" w:lineRule="auto"/>
              <w:jc w:val="center"/>
              <w:rPr>
                <w:rFonts w:hint="eastAsia" w:ascii="仿宋" w:hAnsi="仿宋" w:eastAsia="仿宋" w:cs="仿宋"/>
                <w:color w:val="auto"/>
                <w:sz w:val="24"/>
                <w:szCs w:val="24"/>
                <w:highlight w:val="none"/>
              </w:rPr>
            </w:pPr>
          </w:p>
          <w:p w14:paraId="041F82D4">
            <w:pPr>
              <w:pStyle w:val="2"/>
              <w:spacing w:line="360" w:lineRule="auto"/>
              <w:jc w:val="center"/>
              <w:rPr>
                <w:rFonts w:hint="eastAsia" w:ascii="仿宋" w:hAnsi="仿宋" w:eastAsia="仿宋" w:cs="仿宋"/>
                <w:color w:val="auto"/>
                <w:sz w:val="24"/>
                <w:szCs w:val="24"/>
                <w:highlight w:val="none"/>
              </w:rPr>
            </w:pPr>
          </w:p>
          <w:p w14:paraId="47EAAB86">
            <w:pPr>
              <w:pStyle w:val="2"/>
              <w:spacing w:line="360" w:lineRule="auto"/>
              <w:jc w:val="center"/>
              <w:rPr>
                <w:rFonts w:hint="eastAsia" w:ascii="仿宋" w:hAnsi="仿宋" w:eastAsia="仿宋" w:cs="仿宋"/>
                <w:color w:val="auto"/>
                <w:sz w:val="24"/>
                <w:szCs w:val="24"/>
                <w:highlight w:val="none"/>
              </w:rPr>
            </w:pPr>
          </w:p>
          <w:p w14:paraId="10C3097A">
            <w:pPr>
              <w:pStyle w:val="2"/>
              <w:spacing w:line="360" w:lineRule="auto"/>
              <w:ind w:firstLine="480" w:firstLineChars="200"/>
              <w:rPr>
                <w:rFonts w:hint="eastAsia" w:ascii="仿宋" w:hAnsi="仿宋" w:eastAsia="仿宋" w:cs="仿宋"/>
                <w:color w:val="auto"/>
                <w:sz w:val="24"/>
                <w:szCs w:val="24"/>
                <w:highlight w:val="none"/>
              </w:rPr>
            </w:pPr>
          </w:p>
          <w:p w14:paraId="254F3FF9">
            <w:pPr>
              <w:pStyle w:val="2"/>
              <w:spacing w:line="360" w:lineRule="auto"/>
              <w:ind w:firstLine="480" w:firstLineChars="200"/>
              <w:rPr>
                <w:rFonts w:hint="eastAsia" w:ascii="仿宋" w:hAnsi="仿宋" w:eastAsia="仿宋" w:cs="仿宋"/>
                <w:color w:val="auto"/>
                <w:sz w:val="24"/>
                <w:szCs w:val="24"/>
                <w:highlight w:val="none"/>
              </w:rPr>
            </w:pPr>
          </w:p>
          <w:p w14:paraId="6C560534">
            <w:pPr>
              <w:pStyle w:val="2"/>
              <w:spacing w:line="360" w:lineRule="auto"/>
              <w:ind w:firstLine="480" w:firstLineChars="200"/>
              <w:rPr>
                <w:rFonts w:hint="eastAsia" w:ascii="仿宋" w:hAnsi="仿宋" w:eastAsia="仿宋" w:cs="仿宋"/>
                <w:color w:val="auto"/>
                <w:sz w:val="24"/>
                <w:szCs w:val="24"/>
                <w:highlight w:val="none"/>
              </w:rPr>
            </w:pPr>
          </w:p>
          <w:p w14:paraId="3B127C40">
            <w:pPr>
              <w:pStyle w:val="2"/>
              <w:spacing w:line="360" w:lineRule="auto"/>
              <w:ind w:firstLine="480" w:firstLineChars="200"/>
              <w:rPr>
                <w:rFonts w:hint="eastAsia" w:ascii="仿宋" w:hAnsi="仿宋" w:eastAsia="仿宋" w:cs="仿宋"/>
                <w:color w:val="auto"/>
                <w:sz w:val="24"/>
                <w:szCs w:val="24"/>
                <w:highlight w:val="none"/>
              </w:rPr>
            </w:pPr>
          </w:p>
          <w:p w14:paraId="4F356D81">
            <w:pPr>
              <w:pStyle w:val="2"/>
              <w:spacing w:line="360" w:lineRule="auto"/>
              <w:ind w:firstLine="480" w:firstLineChars="200"/>
              <w:rPr>
                <w:rFonts w:hint="eastAsia" w:ascii="仿宋" w:hAnsi="仿宋" w:eastAsia="仿宋" w:cs="仿宋"/>
                <w:color w:val="auto"/>
                <w:sz w:val="24"/>
                <w:szCs w:val="24"/>
                <w:highlight w:val="none"/>
              </w:rPr>
            </w:pPr>
          </w:p>
          <w:p w14:paraId="4FB6C7ED">
            <w:pPr>
              <w:pStyle w:val="2"/>
              <w:spacing w:line="360" w:lineRule="auto"/>
              <w:ind w:firstLine="480" w:firstLineChars="200"/>
              <w:rPr>
                <w:rFonts w:hint="eastAsia" w:ascii="仿宋" w:hAnsi="仿宋" w:eastAsia="仿宋" w:cs="仿宋"/>
                <w:color w:val="auto"/>
                <w:sz w:val="24"/>
                <w:szCs w:val="24"/>
                <w:highlight w:val="none"/>
              </w:rPr>
            </w:pPr>
          </w:p>
          <w:p w14:paraId="3220B5AD">
            <w:pPr>
              <w:pStyle w:val="2"/>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1727" w:type="dxa"/>
            <w:vAlign w:val="center"/>
          </w:tcPr>
          <w:p w14:paraId="2BE67AE0">
            <w:pPr>
              <w:pStyle w:val="2"/>
              <w:spacing w:line="360" w:lineRule="auto"/>
              <w:jc w:val="center"/>
              <w:rPr>
                <w:rFonts w:hint="eastAsia" w:ascii="仿宋" w:hAnsi="仿宋" w:eastAsia="仿宋" w:cs="仿宋"/>
                <w:color w:val="auto"/>
                <w:sz w:val="24"/>
                <w:szCs w:val="24"/>
                <w:highlight w:val="none"/>
              </w:rPr>
            </w:pPr>
          </w:p>
          <w:p w14:paraId="4404B2B9">
            <w:pPr>
              <w:pStyle w:val="2"/>
              <w:spacing w:line="360" w:lineRule="auto"/>
              <w:jc w:val="center"/>
              <w:rPr>
                <w:rFonts w:hint="eastAsia" w:ascii="仿宋" w:hAnsi="仿宋" w:eastAsia="仿宋" w:cs="仿宋"/>
                <w:color w:val="auto"/>
                <w:sz w:val="24"/>
                <w:szCs w:val="24"/>
                <w:highlight w:val="none"/>
              </w:rPr>
            </w:pPr>
          </w:p>
          <w:p w14:paraId="03494AC3">
            <w:pPr>
              <w:pStyle w:val="2"/>
              <w:spacing w:line="360" w:lineRule="auto"/>
              <w:jc w:val="center"/>
              <w:rPr>
                <w:rFonts w:hint="eastAsia" w:ascii="仿宋" w:hAnsi="仿宋" w:eastAsia="仿宋" w:cs="仿宋"/>
                <w:color w:val="auto"/>
                <w:sz w:val="24"/>
                <w:szCs w:val="24"/>
                <w:highlight w:val="none"/>
              </w:rPr>
            </w:pPr>
          </w:p>
          <w:p w14:paraId="2DC5CF5E">
            <w:pPr>
              <w:pStyle w:val="2"/>
              <w:spacing w:line="360" w:lineRule="auto"/>
              <w:jc w:val="center"/>
              <w:rPr>
                <w:rFonts w:hint="eastAsia" w:ascii="仿宋" w:hAnsi="仿宋" w:eastAsia="仿宋" w:cs="仿宋"/>
                <w:color w:val="auto"/>
                <w:sz w:val="24"/>
                <w:szCs w:val="24"/>
                <w:highlight w:val="none"/>
              </w:rPr>
            </w:pPr>
          </w:p>
          <w:p w14:paraId="18B1094B">
            <w:pPr>
              <w:pStyle w:val="2"/>
              <w:spacing w:line="360" w:lineRule="auto"/>
              <w:jc w:val="center"/>
              <w:rPr>
                <w:rFonts w:hint="eastAsia" w:ascii="仿宋" w:hAnsi="仿宋" w:eastAsia="仿宋" w:cs="仿宋"/>
                <w:color w:val="auto"/>
                <w:sz w:val="24"/>
                <w:szCs w:val="24"/>
                <w:highlight w:val="none"/>
              </w:rPr>
            </w:pPr>
          </w:p>
          <w:p w14:paraId="5ABE38F1">
            <w:pPr>
              <w:pStyle w:val="2"/>
              <w:spacing w:line="360" w:lineRule="auto"/>
              <w:jc w:val="center"/>
              <w:rPr>
                <w:rFonts w:hint="eastAsia" w:ascii="仿宋" w:hAnsi="仿宋" w:eastAsia="仿宋" w:cs="仿宋"/>
                <w:color w:val="auto"/>
                <w:sz w:val="24"/>
                <w:szCs w:val="24"/>
                <w:highlight w:val="none"/>
              </w:rPr>
            </w:pPr>
          </w:p>
          <w:p w14:paraId="4E9B6651">
            <w:pPr>
              <w:pStyle w:val="2"/>
              <w:spacing w:line="360" w:lineRule="auto"/>
              <w:jc w:val="center"/>
              <w:rPr>
                <w:rFonts w:hint="eastAsia" w:ascii="仿宋" w:hAnsi="仿宋" w:eastAsia="仿宋" w:cs="仿宋"/>
                <w:color w:val="auto"/>
                <w:sz w:val="24"/>
                <w:szCs w:val="24"/>
                <w:highlight w:val="none"/>
              </w:rPr>
            </w:pPr>
          </w:p>
          <w:p w14:paraId="3AB1196D">
            <w:pPr>
              <w:pStyle w:val="2"/>
              <w:spacing w:line="360" w:lineRule="auto"/>
              <w:jc w:val="center"/>
              <w:rPr>
                <w:rFonts w:hint="eastAsia" w:ascii="仿宋" w:hAnsi="仿宋" w:eastAsia="仿宋" w:cs="仿宋"/>
                <w:color w:val="auto"/>
                <w:sz w:val="24"/>
                <w:szCs w:val="24"/>
                <w:highlight w:val="none"/>
              </w:rPr>
            </w:pPr>
          </w:p>
          <w:p w14:paraId="372948EF">
            <w:pPr>
              <w:pStyle w:val="2"/>
              <w:spacing w:line="360" w:lineRule="auto"/>
              <w:jc w:val="center"/>
              <w:rPr>
                <w:rFonts w:hint="eastAsia" w:ascii="仿宋" w:hAnsi="仿宋" w:eastAsia="仿宋" w:cs="仿宋"/>
                <w:color w:val="auto"/>
                <w:sz w:val="24"/>
                <w:szCs w:val="24"/>
                <w:highlight w:val="none"/>
              </w:rPr>
            </w:pPr>
          </w:p>
          <w:p w14:paraId="45DFC69A">
            <w:pPr>
              <w:pStyle w:val="2"/>
              <w:spacing w:line="360" w:lineRule="auto"/>
              <w:jc w:val="center"/>
              <w:rPr>
                <w:rFonts w:hint="eastAsia" w:ascii="仿宋" w:hAnsi="仿宋" w:eastAsia="仿宋" w:cs="仿宋"/>
                <w:color w:val="auto"/>
                <w:sz w:val="24"/>
                <w:szCs w:val="24"/>
                <w:highlight w:val="none"/>
              </w:rPr>
            </w:pPr>
          </w:p>
          <w:p w14:paraId="34D2CA41">
            <w:pPr>
              <w:pStyle w:val="2"/>
              <w:spacing w:line="360" w:lineRule="auto"/>
              <w:jc w:val="center"/>
              <w:rPr>
                <w:rFonts w:hint="eastAsia" w:ascii="仿宋" w:hAnsi="仿宋" w:eastAsia="仿宋" w:cs="仿宋"/>
                <w:color w:val="auto"/>
                <w:sz w:val="24"/>
                <w:szCs w:val="24"/>
                <w:highlight w:val="none"/>
              </w:rPr>
            </w:pPr>
          </w:p>
          <w:p w14:paraId="15A5DDF5">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7184" w:type="dxa"/>
            <w:vAlign w:val="center"/>
          </w:tcPr>
          <w:p w14:paraId="1740B847">
            <w:pPr>
              <w:numPr>
                <w:ilvl w:val="0"/>
                <w:numId w:val="6"/>
              </w:numPr>
              <w:autoSpaceDE w:val="0"/>
              <w:autoSpaceDN w:val="0"/>
              <w:adjustRightInd w:val="0"/>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根据《云南省发展和改革委员会等部门关于鼓励减免政府投资项目投标保证金的通知》（云发改交易管理〔2023〕397号）规定，本项目收取投标保证金：</w:t>
            </w:r>
            <w:r>
              <w:rPr>
                <w:rFonts w:hint="eastAsia" w:ascii="仿宋" w:hAnsi="仿宋" w:eastAsia="仿宋" w:cs="仿宋"/>
                <w:color w:val="auto"/>
                <w:sz w:val="24"/>
                <w:szCs w:val="24"/>
                <w:highlight w:val="none"/>
              </w:rPr>
              <w:t>10000.00元（壹万元整）。</w:t>
            </w:r>
          </w:p>
          <w:p w14:paraId="28EA3F15">
            <w:pPr>
              <w:autoSpaceDE w:val="0"/>
              <w:autoSpaceDN w:val="0"/>
              <w:adjustRightInd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2、保证金递交截止时间：同投标截止时间。</w:t>
            </w:r>
          </w:p>
          <w:p w14:paraId="3D82C073">
            <w:pPr>
              <w:autoSpaceDE w:val="0"/>
              <w:autoSpaceDN w:val="0"/>
              <w:adjustRightInd w:val="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3、项目名称：</w:t>
            </w:r>
            <w:r>
              <w:rPr>
                <w:rFonts w:hint="eastAsia" w:ascii="仿宋" w:hAnsi="仿宋" w:eastAsia="仿宋" w:cs="仿宋"/>
                <w:color w:val="auto"/>
                <w:sz w:val="24"/>
                <w:szCs w:val="24"/>
                <w:highlight w:val="none"/>
                <w:lang w:eastAsia="zh-CN"/>
              </w:rPr>
              <w:t>瑞丽市国土空间详细规划弄莫湖片区编制项目</w:t>
            </w:r>
          </w:p>
          <w:p w14:paraId="5C1DE1FA">
            <w:pPr>
              <w:autoSpaceDE w:val="0"/>
              <w:autoSpaceDN w:val="0"/>
              <w:adjustRightInd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4、保证金交纳形式：可以采用银行转账、银行保函、保证保险任一方式。</w:t>
            </w:r>
          </w:p>
          <w:p w14:paraId="01732AB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①、银行转账：必须从供应商的基本账户汇出,在响应文件提交的截止时间前到达指定账户，同时要在单据内注明采购项目名称，相关信息以进账为准。</w:t>
            </w:r>
          </w:p>
          <w:p w14:paraId="3A3B2BE3">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银行账户：云南沐禹工程咨询有限公司</w:t>
            </w:r>
          </w:p>
          <w:p w14:paraId="0B0F892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统一社会信用代码：91533103MA6PALTD33</w:t>
            </w:r>
          </w:p>
          <w:p w14:paraId="6E0D2209">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开户行：中国农业银行芒市支行</w:t>
            </w:r>
          </w:p>
          <w:p w14:paraId="08DFAC0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账户号码：24139801040018249</w:t>
            </w:r>
          </w:p>
          <w:p w14:paraId="07D8677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开户行行号：103754013985</w:t>
            </w:r>
          </w:p>
          <w:p w14:paraId="1404D8B5">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地址：云南省德宏州芒市金孔雀大街69号商住楼6楼</w:t>
            </w:r>
          </w:p>
          <w:p w14:paraId="18FA40E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电话：0692-2288766</w:t>
            </w:r>
          </w:p>
          <w:p w14:paraId="539839F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②、银行保函：保函申请人必须是供应商，受益人必须是采购人，保证人必须是供应商基本账号的开户银行；银行保函必须正确填写受益人和申请人的全称，并与采购文件规定的名称相一致，以免造成投标无效。</w:t>
            </w:r>
          </w:p>
          <w:p w14:paraId="11F4184A">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保证保险：a.当供应商未能按照采购文件要求履行义务而导致采购人受到损失时，由保险公司按照保险合同对采购人的损失承担代偿责任。b.供应商在支付投标保证金保险费时，必须使用基本账号资金支付购买，未从基本账户转出支付保费造成经济纠纷的应由企业自行承担。c.在投标保证保险中，供应商为投保人，采购人为被保险人。</w:t>
            </w:r>
          </w:p>
        </w:tc>
      </w:tr>
      <w:tr w14:paraId="3DBC5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vAlign w:val="center"/>
          </w:tcPr>
          <w:p w14:paraId="331C5DF2">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3.4.3</w:t>
            </w:r>
          </w:p>
        </w:tc>
        <w:tc>
          <w:tcPr>
            <w:tcW w:w="1727" w:type="dxa"/>
            <w:vAlign w:val="center"/>
          </w:tcPr>
          <w:p w14:paraId="624CDD8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投标保证金的退还</w:t>
            </w:r>
          </w:p>
        </w:tc>
        <w:tc>
          <w:tcPr>
            <w:tcW w:w="7184" w:type="dxa"/>
            <w:vAlign w:val="center"/>
          </w:tcPr>
          <w:p w14:paraId="39DBBBB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投标保证金退还到供应商的基本账户（不计息）。</w:t>
            </w:r>
          </w:p>
        </w:tc>
      </w:tr>
      <w:tr w14:paraId="4C1F0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7D5CFC6D">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w:t>
            </w:r>
          </w:p>
        </w:tc>
        <w:tc>
          <w:tcPr>
            <w:tcW w:w="1727" w:type="dxa"/>
            <w:vAlign w:val="center"/>
          </w:tcPr>
          <w:p w14:paraId="734CDEE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资格审查资料</w:t>
            </w:r>
          </w:p>
        </w:tc>
        <w:tc>
          <w:tcPr>
            <w:tcW w:w="7184" w:type="dxa"/>
            <w:vAlign w:val="center"/>
          </w:tcPr>
          <w:p w14:paraId="670F2C3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按采购文件第一章《招标公告》“供应商资格要求”提供。</w:t>
            </w:r>
          </w:p>
        </w:tc>
      </w:tr>
      <w:tr w14:paraId="57C4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vAlign w:val="center"/>
          </w:tcPr>
          <w:p w14:paraId="5E6F749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3.5.2</w:t>
            </w:r>
          </w:p>
        </w:tc>
        <w:tc>
          <w:tcPr>
            <w:tcW w:w="1727" w:type="dxa"/>
            <w:vAlign w:val="center"/>
          </w:tcPr>
          <w:p w14:paraId="74D7BC8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资格审查方式</w:t>
            </w:r>
          </w:p>
        </w:tc>
        <w:tc>
          <w:tcPr>
            <w:tcW w:w="7184" w:type="dxa"/>
            <w:vAlign w:val="center"/>
          </w:tcPr>
          <w:p w14:paraId="1369AAA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本项目采用资格后审</w:t>
            </w:r>
          </w:p>
        </w:tc>
      </w:tr>
      <w:tr w14:paraId="32E1A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1D6FE121">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1727" w:type="dxa"/>
            <w:vAlign w:val="center"/>
          </w:tcPr>
          <w:p w14:paraId="681C7C6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投标文件格式</w:t>
            </w:r>
          </w:p>
        </w:tc>
        <w:tc>
          <w:tcPr>
            <w:tcW w:w="7184" w:type="dxa"/>
            <w:vAlign w:val="center"/>
          </w:tcPr>
          <w:p w14:paraId="27DCD428">
            <w:pPr>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（1）投标文件全部采用电子文档，供应商应安装客户端软件—“政采云电子交易客户端”，并按照采购文件和政采云电子交易平台的要求编制，编制后应进行电子签章、签名及加密；</w:t>
            </w:r>
          </w:p>
          <w:p w14:paraId="5DC3D57A">
            <w:pPr>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（2）如供应商提交的电子标书未按采购文件要求或开标时无法读取导入或解密，其投标文件将不予受理； </w:t>
            </w:r>
          </w:p>
          <w:p w14:paraId="3CE18615">
            <w:pPr>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（3）投标文件中提供的资料（扫描件），内容必须清晰可辨，若内容模糊，无法辨识，均视为未提供。</w:t>
            </w:r>
          </w:p>
        </w:tc>
      </w:tr>
      <w:tr w14:paraId="68E0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160AEECE">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3.6.4</w:t>
            </w:r>
          </w:p>
        </w:tc>
        <w:tc>
          <w:tcPr>
            <w:tcW w:w="1727" w:type="dxa"/>
            <w:vAlign w:val="center"/>
          </w:tcPr>
          <w:p w14:paraId="3C780B4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w:t>
            </w:r>
          </w:p>
          <w:p w14:paraId="6456B18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签署</w:t>
            </w:r>
          </w:p>
        </w:tc>
        <w:tc>
          <w:tcPr>
            <w:tcW w:w="7184" w:type="dxa"/>
            <w:vAlign w:val="center"/>
          </w:tcPr>
          <w:p w14:paraId="6CE6AF4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按照投标文件格式，采用单位电子公章及电子签名。投标文件格式需要加盖电子公章及电子签名的地方进行电子签章，其余部分须逐页加盖电子公章。</w:t>
            </w:r>
          </w:p>
        </w:tc>
      </w:tr>
      <w:tr w14:paraId="1EDF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188" w:type="dxa"/>
            <w:vAlign w:val="center"/>
          </w:tcPr>
          <w:p w14:paraId="04CCEEC6">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3.6.5</w:t>
            </w:r>
          </w:p>
        </w:tc>
        <w:tc>
          <w:tcPr>
            <w:tcW w:w="1727" w:type="dxa"/>
            <w:vAlign w:val="center"/>
          </w:tcPr>
          <w:p w14:paraId="44F0DB5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w:t>
            </w:r>
          </w:p>
          <w:p w14:paraId="671ADE3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w:t>
            </w:r>
          </w:p>
        </w:tc>
        <w:tc>
          <w:tcPr>
            <w:tcW w:w="7184" w:type="dxa"/>
            <w:vAlign w:val="center"/>
          </w:tcPr>
          <w:p w14:paraId="0CCC90E5">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电子投标文件应使用“政釆云”平台（</w:t>
            </w:r>
            <w:r>
              <w:rPr>
                <w:color w:val="auto"/>
                <w:highlight w:val="none"/>
              </w:rPr>
              <w:fldChar w:fldCharType="begin"/>
            </w:r>
            <w:r>
              <w:rPr>
                <w:color w:val="auto"/>
                <w:highlight w:val="none"/>
              </w:rPr>
              <w:instrText xml:space="preserve"> HYPERLINK "https://www" </w:instrText>
            </w:r>
            <w:r>
              <w:rPr>
                <w:color w:val="auto"/>
                <w:highlight w:val="none"/>
              </w:rPr>
              <w:fldChar w:fldCharType="separate"/>
            </w:r>
            <w:r>
              <w:rPr>
                <w:rFonts w:hint="eastAsia" w:ascii="仿宋" w:hAnsi="仿宋" w:eastAsia="仿宋" w:cs="仿宋"/>
                <w:color w:val="auto"/>
                <w:sz w:val="24"/>
                <w:szCs w:val="24"/>
                <w:highlight w:val="none"/>
              </w:rPr>
              <w:t>https://www</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zcygov. cn）中下载的政釆云电子投标客户端制作，并进行电子签章及加密后上传至政釆云平台，编制要求见《电子投标文件编制要求》。</w:t>
            </w:r>
          </w:p>
        </w:tc>
      </w:tr>
      <w:tr w14:paraId="39AA0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188" w:type="dxa"/>
            <w:vAlign w:val="center"/>
          </w:tcPr>
          <w:p w14:paraId="7B71D6C0">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w:t>
            </w:r>
          </w:p>
        </w:tc>
        <w:tc>
          <w:tcPr>
            <w:tcW w:w="1727" w:type="dxa"/>
            <w:vAlign w:val="center"/>
          </w:tcPr>
          <w:p w14:paraId="59488BE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投标文件的</w:t>
            </w:r>
          </w:p>
          <w:p w14:paraId="4F2BABA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密封</w:t>
            </w:r>
          </w:p>
        </w:tc>
        <w:tc>
          <w:tcPr>
            <w:tcW w:w="7184" w:type="dxa"/>
            <w:vAlign w:val="center"/>
          </w:tcPr>
          <w:p w14:paraId="596603BB">
            <w:pPr>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网上递交的投标文件需要进行加密。</w:t>
            </w:r>
          </w:p>
        </w:tc>
      </w:tr>
      <w:tr w14:paraId="3CBB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4C04B23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1727" w:type="dxa"/>
            <w:vAlign w:val="center"/>
          </w:tcPr>
          <w:p w14:paraId="6B35D95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w:t>
            </w:r>
          </w:p>
          <w:p w14:paraId="0BDFFE5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和地点</w:t>
            </w:r>
          </w:p>
        </w:tc>
        <w:tc>
          <w:tcPr>
            <w:tcW w:w="7184" w:type="dxa"/>
            <w:vAlign w:val="center"/>
          </w:tcPr>
          <w:p w14:paraId="2B2DA66D">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开标时间：同投标截止时间；</w:t>
            </w:r>
          </w:p>
          <w:p w14:paraId="11567460">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开标地点：云南沐禹工程咨询有限公司瑞丽开标室。</w:t>
            </w:r>
          </w:p>
        </w:tc>
      </w:tr>
      <w:tr w14:paraId="7DEE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8" w:hRule="atLeast"/>
          <w:jc w:val="center"/>
        </w:trPr>
        <w:tc>
          <w:tcPr>
            <w:tcW w:w="1188" w:type="dxa"/>
            <w:vAlign w:val="center"/>
          </w:tcPr>
          <w:p w14:paraId="74A0AD0A">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p>
        </w:tc>
        <w:tc>
          <w:tcPr>
            <w:tcW w:w="1727" w:type="dxa"/>
            <w:vAlign w:val="center"/>
          </w:tcPr>
          <w:p w14:paraId="531B464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开标程序</w:t>
            </w:r>
          </w:p>
        </w:tc>
        <w:tc>
          <w:tcPr>
            <w:tcW w:w="7184" w:type="dxa"/>
            <w:vAlign w:val="center"/>
          </w:tcPr>
          <w:p w14:paraId="5862FB9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(1)宣布开标纪律；</w:t>
            </w:r>
          </w:p>
          <w:p w14:paraId="685995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按照政釆云平台自动提取所有供应商的顺序当众开标，依次导入有效供应商的电子投标文件同时，由供应商对网上递交已加密的投标文件，解密完成后，公布供应商名称、投标保证金的递交情况、投标报价及其他内容，并记录在案。因供应商原因造成投标文件未解密的，视为撤销其投标文件；</w:t>
            </w:r>
          </w:p>
          <w:p w14:paraId="4FD7DF6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(3)供应商代表（如有）、采购人代表、监督人、记录人等有关人员在开标记录上签字确认；</w:t>
            </w:r>
          </w:p>
          <w:p w14:paraId="27A19C1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(4)开标结束。</w:t>
            </w:r>
          </w:p>
        </w:tc>
      </w:tr>
      <w:tr w14:paraId="1B156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3D26B1BF">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w:t>
            </w:r>
          </w:p>
        </w:tc>
        <w:tc>
          <w:tcPr>
            <w:tcW w:w="1727" w:type="dxa"/>
            <w:vAlign w:val="center"/>
          </w:tcPr>
          <w:p w14:paraId="107DBC57">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评标委员会的组建</w:t>
            </w:r>
          </w:p>
        </w:tc>
        <w:tc>
          <w:tcPr>
            <w:tcW w:w="7184" w:type="dxa"/>
            <w:vAlign w:val="center"/>
          </w:tcPr>
          <w:p w14:paraId="42AF01D0">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评标委员会人数：5人。</w:t>
            </w:r>
          </w:p>
          <w:p w14:paraId="4EE568D8">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评标专家确定方式：在云南省政府采购专家管理子系统中随机抽取4人，采购人代表1人。</w:t>
            </w:r>
          </w:p>
          <w:p w14:paraId="51F40FF8">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highlight w:val="none"/>
              </w:rPr>
              <w:t>注：特殊情况经审批后确定。</w:t>
            </w:r>
          </w:p>
        </w:tc>
      </w:tr>
      <w:tr w14:paraId="4CA8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2010910D">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w:t>
            </w:r>
          </w:p>
        </w:tc>
        <w:tc>
          <w:tcPr>
            <w:tcW w:w="1727" w:type="dxa"/>
            <w:vAlign w:val="center"/>
          </w:tcPr>
          <w:p w14:paraId="36996F8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评标办法</w:t>
            </w:r>
          </w:p>
        </w:tc>
        <w:tc>
          <w:tcPr>
            <w:tcW w:w="7184" w:type="dxa"/>
            <w:vAlign w:val="center"/>
          </w:tcPr>
          <w:p w14:paraId="37582C5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w:t>
            </w:r>
          </w:p>
        </w:tc>
      </w:tr>
      <w:tr w14:paraId="2E88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188" w:type="dxa"/>
            <w:vAlign w:val="center"/>
          </w:tcPr>
          <w:p w14:paraId="05E3203F">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1727" w:type="dxa"/>
            <w:vAlign w:val="center"/>
          </w:tcPr>
          <w:p w14:paraId="7558C1D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是否授权评标委员会确定中标人</w:t>
            </w:r>
          </w:p>
        </w:tc>
        <w:tc>
          <w:tcPr>
            <w:tcW w:w="7184" w:type="dxa"/>
            <w:vAlign w:val="center"/>
          </w:tcPr>
          <w:p w14:paraId="691039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否，评标委员 会推荐中标候选人的人数为：3（前三名）。</w:t>
            </w:r>
          </w:p>
        </w:tc>
      </w:tr>
      <w:tr w14:paraId="08994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3ED61286">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7.3</w:t>
            </w:r>
          </w:p>
        </w:tc>
        <w:tc>
          <w:tcPr>
            <w:tcW w:w="1727" w:type="dxa"/>
            <w:vAlign w:val="center"/>
          </w:tcPr>
          <w:p w14:paraId="35916F1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履约保证金</w:t>
            </w:r>
          </w:p>
        </w:tc>
        <w:tc>
          <w:tcPr>
            <w:tcW w:w="7184" w:type="dxa"/>
            <w:vAlign w:val="center"/>
          </w:tcPr>
          <w:p w14:paraId="275F2849">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highlight w:val="none"/>
              </w:rPr>
              <w:t>合同签订时约定。</w:t>
            </w:r>
          </w:p>
        </w:tc>
      </w:tr>
      <w:tr w14:paraId="569B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7A3C04A5">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8911" w:type="dxa"/>
            <w:gridSpan w:val="2"/>
            <w:vAlign w:val="center"/>
          </w:tcPr>
          <w:p w14:paraId="6B8B35C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r>
      <w:tr w14:paraId="47EAA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vAlign w:val="center"/>
          </w:tcPr>
          <w:p w14:paraId="1DD929B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p>
        </w:tc>
        <w:tc>
          <w:tcPr>
            <w:tcW w:w="1727" w:type="dxa"/>
            <w:vAlign w:val="center"/>
          </w:tcPr>
          <w:p w14:paraId="2F2248C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评标结果公示</w:t>
            </w:r>
          </w:p>
        </w:tc>
        <w:tc>
          <w:tcPr>
            <w:tcW w:w="7184" w:type="dxa"/>
            <w:vAlign w:val="center"/>
          </w:tcPr>
          <w:p w14:paraId="514E67A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在中标通知书发出前，采购人将中标人的情况在本招标项目招标公告发布的同一媒介上予以公示，中标公告期限为1个工作日。</w:t>
            </w:r>
          </w:p>
        </w:tc>
      </w:tr>
      <w:tr w14:paraId="55D0D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1188" w:type="dxa"/>
            <w:vAlign w:val="center"/>
          </w:tcPr>
          <w:p w14:paraId="106D43E4">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p>
        </w:tc>
        <w:tc>
          <w:tcPr>
            <w:tcW w:w="1727" w:type="dxa"/>
            <w:vAlign w:val="center"/>
          </w:tcPr>
          <w:p w14:paraId="4AD24AA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知识产权</w:t>
            </w:r>
          </w:p>
        </w:tc>
        <w:tc>
          <w:tcPr>
            <w:tcW w:w="7184" w:type="dxa"/>
            <w:vAlign w:val="center"/>
          </w:tcPr>
          <w:p w14:paraId="0086FE2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构成本采购文件各个组成部分的文件，未经采购人书面同意，供应商不得擅自复印和用于非本招标项目所需的其他目的。采购人全部或者部分使用未中标人投标文件中的技术成果或技术方案时，需征得其书面同意，并不得擅自复印或提供给第三人。</w:t>
            </w:r>
          </w:p>
        </w:tc>
      </w:tr>
      <w:tr w14:paraId="0D5E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1188" w:type="dxa"/>
            <w:vAlign w:val="center"/>
          </w:tcPr>
          <w:p w14:paraId="492C7FEA">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w:t>
            </w:r>
          </w:p>
        </w:tc>
        <w:tc>
          <w:tcPr>
            <w:tcW w:w="1727" w:type="dxa"/>
            <w:vAlign w:val="center"/>
          </w:tcPr>
          <w:p w14:paraId="4B34050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重新招标的其他情形</w:t>
            </w:r>
          </w:p>
        </w:tc>
        <w:tc>
          <w:tcPr>
            <w:tcW w:w="7184" w:type="dxa"/>
            <w:vAlign w:val="center"/>
          </w:tcPr>
          <w:p w14:paraId="25B0DEC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除供应商须知正文第8条规定的情形外，除非已经产生中标候选人，在投标有效期内同意延长投标有效期的供应商少于三个的，采购人应当依法重新招标。</w:t>
            </w:r>
          </w:p>
        </w:tc>
      </w:tr>
      <w:tr w14:paraId="3155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188" w:type="dxa"/>
            <w:vAlign w:val="center"/>
          </w:tcPr>
          <w:p w14:paraId="09B110EA">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w:t>
            </w:r>
          </w:p>
        </w:tc>
        <w:tc>
          <w:tcPr>
            <w:tcW w:w="1727" w:type="dxa"/>
            <w:vAlign w:val="center"/>
          </w:tcPr>
          <w:p w14:paraId="68E2A65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转包或分包</w:t>
            </w:r>
          </w:p>
        </w:tc>
        <w:tc>
          <w:tcPr>
            <w:tcW w:w="7184" w:type="dxa"/>
            <w:vAlign w:val="center"/>
          </w:tcPr>
          <w:p w14:paraId="5A134BF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不允许转包、分包。</w:t>
            </w:r>
          </w:p>
        </w:tc>
      </w:tr>
      <w:tr w14:paraId="644E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88" w:type="dxa"/>
            <w:vAlign w:val="center"/>
          </w:tcPr>
          <w:p w14:paraId="29C1924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w:t>
            </w:r>
          </w:p>
        </w:tc>
        <w:tc>
          <w:tcPr>
            <w:tcW w:w="1727" w:type="dxa"/>
            <w:vAlign w:val="center"/>
          </w:tcPr>
          <w:p w14:paraId="0215A5C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是否接受联合体投标。</w:t>
            </w:r>
          </w:p>
        </w:tc>
        <w:tc>
          <w:tcPr>
            <w:tcW w:w="7184" w:type="dxa"/>
            <w:vAlign w:val="center"/>
          </w:tcPr>
          <w:p w14:paraId="1384AF8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本项目不接受联合体投标。</w:t>
            </w:r>
          </w:p>
        </w:tc>
      </w:tr>
      <w:tr w14:paraId="3F0F1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188" w:type="dxa"/>
            <w:vAlign w:val="center"/>
          </w:tcPr>
          <w:p w14:paraId="42EB7A4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10.6</w:t>
            </w:r>
          </w:p>
        </w:tc>
        <w:tc>
          <w:tcPr>
            <w:tcW w:w="1727" w:type="dxa"/>
            <w:vAlign w:val="center"/>
          </w:tcPr>
          <w:p w14:paraId="5EBEE29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投标文件解密</w:t>
            </w:r>
          </w:p>
        </w:tc>
        <w:tc>
          <w:tcPr>
            <w:tcW w:w="7184" w:type="dxa"/>
            <w:vAlign w:val="center"/>
          </w:tcPr>
          <w:p w14:paraId="5C078ACD">
            <w:pPr>
              <w:numPr>
                <w:ilvl w:val="0"/>
                <w:numId w:val="7"/>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采购代理机构在电子交易平台发起开始解密指令，供应商须使用加密时所用的CA锁按平台提示和采购文件的规定登录到“政采云”平台电子开标大厅签到并在发起解密指令之时起</w:t>
            </w:r>
            <w:r>
              <w:rPr>
                <w:rFonts w:hint="eastAsia" w:ascii="仿宋" w:hAnsi="仿宋" w:eastAsia="仿宋" w:cs="仿宋"/>
                <w:b/>
                <w:bCs/>
                <w:color w:val="auto"/>
                <w:sz w:val="24"/>
                <w:szCs w:val="24"/>
                <w:highlight w:val="none"/>
              </w:rPr>
              <w:t>30分</w:t>
            </w:r>
            <w:r>
              <w:rPr>
                <w:rFonts w:hint="eastAsia" w:ascii="仿宋" w:hAnsi="仿宋" w:eastAsia="仿宋" w:cs="仿宋"/>
                <w:color w:val="auto"/>
                <w:sz w:val="24"/>
                <w:szCs w:val="24"/>
                <w:highlight w:val="none"/>
              </w:rPr>
              <w:t>钟内完成对电子投标文件在线解密。投标文件未按时解密的，视为无效响应。</w:t>
            </w:r>
          </w:p>
          <w:p w14:paraId="2864D36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2、发起解密指令之时起5分钟内供应商还未进行解密的，代理机构可通知供应商，供应商未预留联系方式或预留联系方式无效，导致代理机构无法联系到供应商进行解密的，视为撤回响应文件。</w:t>
            </w:r>
          </w:p>
        </w:tc>
      </w:tr>
      <w:tr w14:paraId="7328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188" w:type="dxa"/>
            <w:vAlign w:val="center"/>
          </w:tcPr>
          <w:p w14:paraId="41DAD850">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w:t>
            </w:r>
          </w:p>
        </w:tc>
        <w:tc>
          <w:tcPr>
            <w:tcW w:w="1727" w:type="dxa"/>
            <w:vAlign w:val="center"/>
          </w:tcPr>
          <w:p w14:paraId="03A9455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评标地点</w:t>
            </w:r>
          </w:p>
        </w:tc>
        <w:tc>
          <w:tcPr>
            <w:tcW w:w="7184" w:type="dxa"/>
            <w:vAlign w:val="center"/>
          </w:tcPr>
          <w:p w14:paraId="0FD4D62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云南沐禹工程咨询有限公司瑞丽评标室</w:t>
            </w:r>
          </w:p>
        </w:tc>
      </w:tr>
      <w:tr w14:paraId="1F1A5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188" w:type="dxa"/>
            <w:vAlign w:val="center"/>
          </w:tcPr>
          <w:p w14:paraId="645D2428">
            <w:pPr>
              <w:pStyle w:val="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w:t>
            </w:r>
          </w:p>
        </w:tc>
        <w:tc>
          <w:tcPr>
            <w:tcW w:w="1727" w:type="dxa"/>
            <w:vAlign w:val="center"/>
          </w:tcPr>
          <w:p w14:paraId="6440FB0E">
            <w:pPr>
              <w:spacing w:line="360" w:lineRule="auto"/>
              <w:rPr>
                <w:rFonts w:hint="eastAsia" w:ascii="仿宋" w:hAnsi="仿宋" w:eastAsia="仿宋"/>
                <w:color w:val="auto"/>
                <w:kern w:val="0"/>
                <w:sz w:val="24"/>
                <w:highlight w:val="none"/>
              </w:rPr>
            </w:pPr>
            <w:r>
              <w:rPr>
                <w:rFonts w:hint="eastAsia" w:ascii="仿宋" w:hAnsi="仿宋" w:eastAsia="仿宋" w:cs="仿宋"/>
                <w:color w:val="auto"/>
                <w:sz w:val="24"/>
                <w:szCs w:val="24"/>
                <w:highlight w:val="none"/>
              </w:rPr>
              <w:t>本项目采购主要标的行业</w:t>
            </w:r>
          </w:p>
        </w:tc>
        <w:tc>
          <w:tcPr>
            <w:tcW w:w="7184" w:type="dxa"/>
            <w:vAlign w:val="center"/>
          </w:tcPr>
          <w:p w14:paraId="2BEC30D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本项目采购主要标的行业为其他未列明行业，按照《关于印发中小企业划型标准规定的通知》(工信部联企业(2011)300号)确定。</w:t>
            </w:r>
          </w:p>
        </w:tc>
      </w:tr>
    </w:tbl>
    <w:p w14:paraId="50D67932">
      <w:pPr>
        <w:rPr>
          <w:rFonts w:hint="eastAsia" w:ascii="仿宋" w:hAnsi="仿宋" w:eastAsia="仿宋" w:cs="仿宋"/>
          <w:b/>
          <w:caps/>
          <w:color w:val="auto"/>
          <w:sz w:val="28"/>
          <w:szCs w:val="28"/>
          <w:highlight w:val="none"/>
        </w:rPr>
      </w:pPr>
      <w:r>
        <w:rPr>
          <w:rFonts w:hint="eastAsia" w:ascii="仿宋" w:hAnsi="仿宋" w:eastAsia="仿宋" w:cs="仿宋"/>
          <w:b/>
          <w:caps/>
          <w:color w:val="auto"/>
          <w:sz w:val="28"/>
          <w:szCs w:val="28"/>
          <w:highlight w:val="none"/>
        </w:rPr>
        <w:br w:type="page"/>
      </w:r>
    </w:p>
    <w:bookmarkEnd w:id="46"/>
    <w:bookmarkEnd w:id="47"/>
    <w:p w14:paraId="4EF46594">
      <w:pPr>
        <w:spacing w:line="360" w:lineRule="auto"/>
        <w:jc w:val="center"/>
        <w:rPr>
          <w:rFonts w:hint="eastAsia" w:ascii="仿宋" w:hAnsi="仿宋" w:eastAsia="仿宋" w:cs="仿宋"/>
          <w:b/>
          <w:bCs/>
          <w:color w:val="auto"/>
          <w:sz w:val="30"/>
          <w:szCs w:val="30"/>
          <w:highlight w:val="none"/>
        </w:rPr>
      </w:pPr>
      <w:bookmarkStart w:id="52" w:name="_Toc16194"/>
      <w:bookmarkEnd w:id="52"/>
      <w:r>
        <w:rPr>
          <w:rFonts w:hint="eastAsia" w:ascii="仿宋" w:hAnsi="仿宋" w:eastAsia="仿宋" w:cs="仿宋"/>
          <w:b/>
          <w:color w:val="auto"/>
          <w:sz w:val="28"/>
          <w:szCs w:val="28"/>
          <w:highlight w:val="none"/>
        </w:rPr>
        <w:t>供应商须知正文部分</w:t>
      </w:r>
    </w:p>
    <w:p w14:paraId="10E9C69F">
      <w:pPr>
        <w:spacing w:line="360" w:lineRule="auto"/>
        <w:rPr>
          <w:rFonts w:hint="eastAsia" w:ascii="仿宋" w:hAnsi="仿宋" w:eastAsia="仿宋" w:cs="仿宋"/>
          <w:b/>
          <w:bCs/>
          <w:color w:val="auto"/>
          <w:sz w:val="24"/>
          <w:szCs w:val="24"/>
          <w:highlight w:val="none"/>
        </w:rPr>
      </w:pPr>
      <w:bookmarkStart w:id="53" w:name="_Toc486885397"/>
      <w:r>
        <w:rPr>
          <w:rFonts w:hint="eastAsia" w:ascii="仿宋" w:hAnsi="仿宋" w:eastAsia="仿宋" w:cs="仿宋"/>
          <w:b/>
          <w:bCs/>
          <w:color w:val="auto"/>
          <w:sz w:val="24"/>
          <w:szCs w:val="24"/>
          <w:highlight w:val="none"/>
        </w:rPr>
        <w:t>1、总  则</w:t>
      </w:r>
      <w:bookmarkEnd w:id="53"/>
    </w:p>
    <w:p w14:paraId="73756BCB">
      <w:pPr>
        <w:pStyle w:val="2"/>
        <w:spacing w:line="360" w:lineRule="auto"/>
        <w:ind w:left="242" w:hanging="242" w:hangingChars="101"/>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1.1项目概括</w:t>
      </w:r>
    </w:p>
    <w:p w14:paraId="7AB54720">
      <w:pPr>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1.1.1</w:t>
      </w:r>
      <w:r>
        <w:rPr>
          <w:rFonts w:hint="eastAsia" w:ascii="仿宋" w:hAnsi="仿宋" w:eastAsia="仿宋" w:cs="仿宋"/>
          <w:color w:val="auto"/>
          <w:sz w:val="24"/>
          <w:szCs w:val="24"/>
          <w:highlight w:val="none"/>
        </w:rPr>
        <w:t>根据《中华人民共和国政府采购法》、《政府采购货物和服务招标投标管理办法》（财政部87号令）等有关法律、法规，本招标项目已具备招标条件，现对其进行招标。</w:t>
      </w:r>
    </w:p>
    <w:p w14:paraId="1776848C">
      <w:pPr>
        <w:pStyle w:val="2"/>
        <w:spacing w:line="360" w:lineRule="auto"/>
        <w:ind w:left="242" w:hanging="242" w:hangingChars="101"/>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1.1.2 采购人：</w:t>
      </w:r>
      <w:r>
        <w:rPr>
          <w:rFonts w:hint="eastAsia" w:ascii="仿宋" w:hAnsi="仿宋" w:eastAsia="仿宋" w:cs="仿宋"/>
          <w:color w:val="auto"/>
          <w:sz w:val="24"/>
          <w:szCs w:val="24"/>
          <w:highlight w:val="none"/>
        </w:rPr>
        <w:t>见供应商须知前附表。</w:t>
      </w:r>
    </w:p>
    <w:p w14:paraId="38C7B452">
      <w:pPr>
        <w:pStyle w:val="2"/>
        <w:spacing w:line="360" w:lineRule="auto"/>
        <w:ind w:left="242" w:hanging="242" w:hangingChars="101"/>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1.1.3采购代理机构：</w:t>
      </w:r>
      <w:r>
        <w:rPr>
          <w:rFonts w:hint="eastAsia" w:ascii="仿宋" w:hAnsi="仿宋" w:eastAsia="仿宋" w:cs="仿宋"/>
          <w:color w:val="auto"/>
          <w:sz w:val="24"/>
          <w:szCs w:val="24"/>
          <w:highlight w:val="none"/>
        </w:rPr>
        <w:t>见供应商须知前附表。</w:t>
      </w:r>
    </w:p>
    <w:p w14:paraId="605D6FE0">
      <w:pPr>
        <w:pStyle w:val="2"/>
        <w:spacing w:line="360" w:lineRule="auto"/>
        <w:ind w:left="242" w:hanging="242" w:hangingChars="101"/>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1.1.4</w:t>
      </w:r>
      <w:r>
        <w:rPr>
          <w:rFonts w:hint="eastAsia" w:ascii="仿宋" w:hAnsi="仿宋" w:eastAsia="仿宋" w:cs="仿宋"/>
          <w:color w:val="auto"/>
          <w:sz w:val="24"/>
          <w:szCs w:val="24"/>
          <w:highlight w:val="none"/>
        </w:rPr>
        <w:t>项目名称：见供应商须知前附表。</w:t>
      </w:r>
    </w:p>
    <w:p w14:paraId="7B99C627">
      <w:pPr>
        <w:pStyle w:val="2"/>
        <w:spacing w:line="360" w:lineRule="auto"/>
        <w:ind w:left="243" w:hanging="243" w:hangingChars="101"/>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1.2资金来源</w:t>
      </w:r>
    </w:p>
    <w:p w14:paraId="5553C7F1">
      <w:pPr>
        <w:pStyle w:val="2"/>
        <w:spacing w:line="360" w:lineRule="auto"/>
        <w:ind w:left="242" w:hanging="242" w:hangingChars="101"/>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1.2.1本招标项目的资金落实情况：见供应商须知前附表。</w:t>
      </w:r>
    </w:p>
    <w:p w14:paraId="0A2A5979">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1.3招标范围</w:t>
      </w:r>
    </w:p>
    <w:p w14:paraId="15B7202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1.3.1本项目招标范围：见供应商须知前附表。</w:t>
      </w:r>
    </w:p>
    <w:p w14:paraId="2D59E7B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1.3.2服务期限：见供应商须知前附表。</w:t>
      </w:r>
    </w:p>
    <w:p w14:paraId="6D1B2601">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 供应商资格要求</w:t>
      </w:r>
    </w:p>
    <w:p w14:paraId="458DDBF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详见采购文件第一章《招标公告》“二、供应商资格要求”。</w:t>
      </w:r>
    </w:p>
    <w:p w14:paraId="6E3D5AD7">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1.5费用承担</w:t>
      </w:r>
    </w:p>
    <w:p w14:paraId="42D2D37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1.5.1供应商准备和参加投标活动发生的费用自理。</w:t>
      </w:r>
    </w:p>
    <w:p w14:paraId="2D06F1F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1.5.2招标代理服务费详见招标公告</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 xml:space="preserve"> </w:t>
      </w:r>
      <w:r>
        <w:rPr>
          <w:rFonts w:hint="eastAsia" w:ascii="仿宋" w:hAnsi="仿宋" w:eastAsia="仿宋" w:cs="仿宋"/>
          <w:color w:val="auto"/>
          <w:sz w:val="24"/>
          <w:szCs w:val="24"/>
          <w:highlight w:val="none"/>
        </w:rPr>
        <w:t xml:space="preserve"> </w:t>
      </w:r>
    </w:p>
    <w:p w14:paraId="7E7D6EF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1.5.3其他费用按国家、省、市相关规定收取。</w:t>
      </w:r>
    </w:p>
    <w:p w14:paraId="2D17CD15">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1.6保密</w:t>
      </w:r>
    </w:p>
    <w:p w14:paraId="05236B2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参与招标投标活动的各方应对采购文件和投标文件中的商业和技术等秘密保密，违者应对由此造成的后果承担法律责任。</w:t>
      </w:r>
    </w:p>
    <w:p w14:paraId="3AD1BC49">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1.7语言文字</w:t>
      </w:r>
    </w:p>
    <w:p w14:paraId="1B311A8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除专用术语外，与招标投标有关的语言均使用中文。必要时专用术语应附有中文注释。</w:t>
      </w:r>
    </w:p>
    <w:p w14:paraId="45D491DA">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1.8计量单位</w:t>
      </w:r>
    </w:p>
    <w:p w14:paraId="06EC30F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所有计量均采用中华人民共和国法定计量单位。</w:t>
      </w:r>
    </w:p>
    <w:p w14:paraId="2E2016C1">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1.9投标预备会</w:t>
      </w:r>
    </w:p>
    <w:p w14:paraId="2015B07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1.9.1采购人不集中召开投标预备会，实行网上答疑。供应商若有疑问，需要采购人予以答疑，应以不署名的形式在“政采云”平台 （http：//www.zcygov.cn/）提出。</w:t>
      </w:r>
    </w:p>
    <w:p w14:paraId="7B1FDAE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1.9.2供应商提出问题的截止时间和方法：见供应商须知前附表。</w:t>
      </w:r>
    </w:p>
    <w:p w14:paraId="101EFF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1.9.3采购人澄清的时间和方法：见供应商须知前附表。</w:t>
      </w:r>
    </w:p>
    <w:p w14:paraId="104B3ABA">
      <w:pPr>
        <w:pStyle w:val="4"/>
        <w:spacing w:before="0" w:after="0" w:line="360" w:lineRule="auto"/>
        <w:jc w:val="left"/>
        <w:rPr>
          <w:rFonts w:hint="eastAsia" w:ascii="仿宋" w:hAnsi="仿宋" w:eastAsia="仿宋" w:cs="仿宋"/>
          <w:color w:val="auto"/>
          <w:sz w:val="24"/>
          <w:szCs w:val="24"/>
          <w:highlight w:val="none"/>
        </w:rPr>
      </w:pPr>
      <w:bookmarkStart w:id="54" w:name="_Toc393354831"/>
      <w:bookmarkStart w:id="55" w:name="_Toc486885398"/>
      <w:r>
        <w:rPr>
          <w:rFonts w:hint="eastAsia" w:ascii="仿宋" w:hAnsi="仿宋" w:eastAsia="仿宋" w:cs="仿宋"/>
          <w:color w:val="auto"/>
          <w:sz w:val="24"/>
          <w:szCs w:val="24"/>
          <w:highlight w:val="none"/>
        </w:rPr>
        <w:t>2、</w:t>
      </w:r>
      <w:bookmarkEnd w:id="54"/>
      <w:bookmarkEnd w:id="55"/>
      <w:r>
        <w:rPr>
          <w:rFonts w:hint="eastAsia" w:ascii="仿宋" w:hAnsi="仿宋" w:eastAsia="仿宋" w:cs="仿宋"/>
          <w:color w:val="auto"/>
          <w:sz w:val="24"/>
          <w:szCs w:val="24"/>
          <w:highlight w:val="none"/>
        </w:rPr>
        <w:t>采购文件</w:t>
      </w:r>
    </w:p>
    <w:p w14:paraId="311898D5">
      <w:pPr>
        <w:pStyle w:val="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2.1采购文件编制依据</w:t>
      </w:r>
    </w:p>
    <w:p w14:paraId="17AC041D">
      <w:pPr>
        <w:spacing w:line="360" w:lineRule="auto"/>
        <w:ind w:firstLine="480" w:firstLineChars="200"/>
        <w:rPr>
          <w:rFonts w:hint="eastAsia" w:ascii="仿宋" w:hAnsi="仿宋" w:eastAsia="仿宋" w:cs="仿宋"/>
          <w:b/>
          <w:bCs/>
          <w:color w:val="auto"/>
          <w:sz w:val="24"/>
          <w:szCs w:val="24"/>
          <w:highlight w:val="none"/>
        </w:rPr>
      </w:pPr>
      <w:bookmarkStart w:id="56" w:name="_Toc393354832"/>
      <w:r>
        <w:rPr>
          <w:rFonts w:hint="eastAsia" w:ascii="仿宋" w:hAnsi="仿宋" w:eastAsia="仿宋" w:cs="仿宋"/>
          <w:color w:val="auto"/>
          <w:sz w:val="24"/>
          <w:szCs w:val="24"/>
          <w:highlight w:val="none"/>
        </w:rPr>
        <w:t>本项目采购文件根据《中华人民共和国政府采购法》、《中华人民共和国政府采购法实施条例》、《政府采购货物和服务招标投标管理办法》（财政部令第87号）等有关法律、法规编制，解释权属于采购人、采购代理机构。</w:t>
      </w:r>
    </w:p>
    <w:p w14:paraId="3D26931E">
      <w:pPr>
        <w:pStyle w:val="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2.2</w:t>
      </w:r>
      <w:r>
        <w:rPr>
          <w:rFonts w:hint="eastAsia" w:ascii="仿宋" w:hAnsi="仿宋" w:eastAsia="仿宋" w:cs="仿宋"/>
          <w:b/>
          <w:bCs/>
          <w:color w:val="auto"/>
          <w:sz w:val="24"/>
          <w:szCs w:val="24"/>
          <w:highlight w:val="none"/>
        </w:rPr>
        <w:t>采购文件构成</w:t>
      </w:r>
    </w:p>
    <w:p w14:paraId="0BE6C3C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2.2.1采购文件包括：招标公告、供应商须知、合同书样式及主要条款、投标文件格式、采购项目要求及评标办法。</w:t>
      </w:r>
    </w:p>
    <w:p w14:paraId="2EF1C05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2.2.2根据本章第2.3和第2.4款对采购文件所作的澄清、修改，构成采购文件的组成部分。</w:t>
      </w:r>
    </w:p>
    <w:p w14:paraId="0B6CF75E">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2.3采购文件的澄清</w:t>
      </w:r>
    </w:p>
    <w:p w14:paraId="6E5A8D3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同1.9.2的时间要求。供应商应仔细阅读和检查采购文件的全部内容。如发现缺页或附件不全，应及时向采购人提出，以便补齐。如有疑问，应在供应商须知前附表规定的时间前以在线不署名提交方式登录“政采云”平台 （http：//www.zcygov.cn/），要求采购人对采购文件予以澄清。</w:t>
      </w:r>
    </w:p>
    <w:p w14:paraId="22E950E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2.3.2投标截止时间：见供应商须知前附表。</w:t>
      </w:r>
    </w:p>
    <w:p w14:paraId="6BD25FF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2.3.3招标澄清和补遗全部通过网络送达，请供应商在开标截止日前，务必查询网站信息，供应商自行登录“政采云”平台 （http：//www.zcygov.cn/）获取澄清，无须回复确认已收到该澄清。</w:t>
      </w:r>
    </w:p>
    <w:p w14:paraId="00B9B9EB">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2.4采购文件的修改</w:t>
      </w:r>
    </w:p>
    <w:p w14:paraId="701E1EA5">
      <w:pPr>
        <w:spacing w:line="360" w:lineRule="auto"/>
        <w:rPr>
          <w:rFonts w:hint="eastAsia" w:ascii="仿宋" w:hAnsi="仿宋" w:eastAsia="仿宋" w:cs="仿宋"/>
          <w:color w:val="auto"/>
          <w:sz w:val="24"/>
          <w:szCs w:val="24"/>
          <w:highlight w:val="none"/>
        </w:rPr>
      </w:pPr>
      <w:bookmarkStart w:id="57" w:name="_Toc486885399"/>
      <w:r>
        <w:rPr>
          <w:rFonts w:hint="eastAsia" w:ascii="仿宋" w:hAnsi="仿宋" w:eastAsia="仿宋" w:cs="仿宋"/>
          <w:color w:val="auto"/>
          <w:sz w:val="24"/>
          <w:szCs w:val="24"/>
          <w:highlight w:val="none"/>
        </w:rPr>
        <w:t>2.4.1在投标截止时间15天前，确需要变更采购文件内容的，采购人可主动或在解答供应商提出的澄清问题时对采购文件进行修改，并同时报主管部门备案。采购文件的修改将在“政采云”平台 （http：//www.zcygov.cn/）发布，采购文件的修改作为采购文件的组成部分，并具有约束力。</w:t>
      </w:r>
    </w:p>
    <w:p w14:paraId="4E8A9B9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2.4.2供应商自行登录“政采云”平台 （http：//www.zcygov.cn/）收取修改内容，无须回复确认已收到该修改。供应商应在截标时间前随时查看“政采云”平台 （http：//www.zcygov.cn/）中有关该采购文件的答疑、补遗内容。否则，由此引起的投标损失自负。</w:t>
      </w:r>
    </w:p>
    <w:p w14:paraId="367F308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2.4.3采购文件、采购文件澄清、采购文件修改文件内容均以网上发布的为准，当采购文件、采购文件澄清、采购文件修改文件内容相互矛盾时，以最后发出的为准。</w:t>
      </w:r>
    </w:p>
    <w:p w14:paraId="48760BAE">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3、投标文件</w:t>
      </w:r>
      <w:bookmarkEnd w:id="56"/>
      <w:bookmarkEnd w:id="57"/>
    </w:p>
    <w:p w14:paraId="73AADB1D">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3.1 投标文件的组成</w:t>
      </w:r>
    </w:p>
    <w:p w14:paraId="7CA4DD9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3.1.1供应商编写的投标文件应由资格审查部分、报价部分、商务技术部分构成，并按第六章《投标文件格式》要求填写。</w:t>
      </w:r>
    </w:p>
    <w:p w14:paraId="5BD700C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3.1.2投标文件全部采用电子文档。</w:t>
      </w:r>
    </w:p>
    <w:p w14:paraId="6246321A">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3.2报价部分</w:t>
      </w:r>
    </w:p>
    <w:p w14:paraId="39FCFECA">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3.2.1供应商应按投标文件的要求填写相应表格。</w:t>
      </w:r>
    </w:p>
    <w:p w14:paraId="39C76213">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3.2.2供应商在投标截止时间前修改投标函中的投标总报价，应同时修改"报价表"中的相应报价。</w:t>
      </w:r>
    </w:p>
    <w:p w14:paraId="310A52D0">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3.2.3投标报价应为人民币含税价，</w:t>
      </w:r>
      <w:r>
        <w:rPr>
          <w:rFonts w:hint="eastAsia" w:ascii="仿宋" w:hAnsi="仿宋" w:eastAsia="仿宋" w:cs="仿宋"/>
          <w:color w:val="auto"/>
          <w:sz w:val="24"/>
          <w:szCs w:val="24"/>
          <w:highlight w:val="none"/>
          <w:lang w:val="zh-CN"/>
        </w:rPr>
        <w:t>包含：为本项目提供的所有货物、服务、</w:t>
      </w:r>
      <w:r>
        <w:rPr>
          <w:rFonts w:hint="eastAsia" w:ascii="仿宋" w:hAnsi="仿宋" w:eastAsia="仿宋" w:cs="仿宋"/>
          <w:color w:val="auto"/>
          <w:sz w:val="24"/>
          <w:szCs w:val="24"/>
          <w:highlight w:val="none"/>
        </w:rPr>
        <w:t>税费等一切费用</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该报价应考虑市场风险、政策性风险、汇率风险等因素，并能保证供应商完成履行合同所需的全部工作，此价格在合同签订后将不作调整。</w:t>
      </w:r>
    </w:p>
    <w:p w14:paraId="7417BC38">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3.3投标有效期</w:t>
      </w:r>
    </w:p>
    <w:p w14:paraId="4D9C953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3.3.1在供应商须知前附表规定的投标有效期内，供应商不得要求撤销或修改其投标文件。</w:t>
      </w:r>
    </w:p>
    <w:p w14:paraId="0B148BE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2E474C7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3.3.3投标有效期为投标截止之日起90日历天，供应商必须在投标函中注明有效期为投标截止之日起90日历天，否则视为无效投标文件。</w:t>
      </w:r>
    </w:p>
    <w:p w14:paraId="004C881C">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3.4投标保证金</w:t>
      </w:r>
    </w:p>
    <w:p w14:paraId="130E53B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3.4.1供应商在递交投标文件的同时，应按供应商须知前附表的规定递交投标保证金。联合体投标的，其投标保证金由牵头人递交，并应符合供应商须知前附表的规定。</w:t>
      </w:r>
    </w:p>
    <w:p w14:paraId="27AE808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3.4.2供应商不按本章第3.4.1项要求提交投标保证金，其投标文件作废标处理。</w:t>
      </w:r>
    </w:p>
    <w:p w14:paraId="6C84A1B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3.4.3投标保证金退还到供应商的基本账户。</w:t>
      </w:r>
    </w:p>
    <w:p w14:paraId="373CFF7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3.4.4供应商在投标截止时间前撤回已提交的投标文件的，采购人或者采购代理机构应当自收到供应商书面撤回通知之日起5个工作日内，退还已收取的投标保证金（不计息），但因供应商自身原因导致无法及时退还的除外。</w:t>
      </w:r>
    </w:p>
    <w:p w14:paraId="3A222AC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采购人或者采购代理机构应当自中标通知书发出之日起5个工作日内退还未中标人的投标保证金（不计息），自采购合同签订之日起5个工作日内退还中标人的投标保证金或者转为中标人的履约保证金。</w:t>
      </w:r>
    </w:p>
    <w:p w14:paraId="4BCF5833">
      <w:pPr>
        <w:pStyle w:val="29"/>
        <w:widowControl w:val="0"/>
        <w:shd w:val="clear" w:color="auto" w:fill="FFFFFF"/>
        <w:spacing w:before="0" w:beforeAutospacing="0" w:after="0" w:afterAutospacing="0" w:line="360" w:lineRule="auto"/>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3.4.5 有下列情形之一的，投标保证金将不予退还：</w:t>
      </w:r>
    </w:p>
    <w:p w14:paraId="6C7782CD">
      <w:pPr>
        <w:pStyle w:val="29"/>
        <w:widowControl w:val="0"/>
        <w:shd w:val="clear" w:color="auto" w:fill="FFFFFF"/>
        <w:spacing w:before="0" w:beforeAutospacing="0" w:after="0" w:afterAutospacing="0" w:line="360" w:lineRule="auto"/>
        <w:ind w:firstLine="48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①开标后,投标方撤回其投标书的；</w:t>
      </w:r>
    </w:p>
    <w:p w14:paraId="3FE1F05A">
      <w:pPr>
        <w:pStyle w:val="29"/>
        <w:widowControl w:val="0"/>
        <w:shd w:val="clear" w:color="auto" w:fill="FFFFFF"/>
        <w:spacing w:before="0" w:beforeAutospacing="0" w:after="0" w:afterAutospacing="0" w:line="360" w:lineRule="auto"/>
        <w:ind w:firstLine="48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②中标通知书发出后，中标方不签定合同或放弃中标权的；</w:t>
      </w:r>
    </w:p>
    <w:p w14:paraId="59CE8C87">
      <w:pPr>
        <w:pStyle w:val="29"/>
        <w:widowControl w:val="0"/>
        <w:shd w:val="clear" w:color="auto" w:fill="FFFFFF"/>
        <w:spacing w:before="0" w:beforeAutospacing="0" w:after="0" w:afterAutospacing="0" w:line="360" w:lineRule="auto"/>
        <w:ind w:firstLine="48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③由于中标方的原因致使合同无法履行的；</w:t>
      </w:r>
    </w:p>
    <w:p w14:paraId="63F1FD18">
      <w:pPr>
        <w:pStyle w:val="29"/>
        <w:widowControl w:val="0"/>
        <w:shd w:val="clear" w:color="auto" w:fill="FFFFFF"/>
        <w:spacing w:before="0" w:beforeAutospacing="0" w:after="0" w:afterAutospacing="0" w:line="360" w:lineRule="auto"/>
        <w:ind w:firstLine="48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④投标方提供虚假资料的；</w:t>
      </w:r>
    </w:p>
    <w:p w14:paraId="55876AB1">
      <w:pPr>
        <w:pStyle w:val="29"/>
        <w:widowControl w:val="0"/>
        <w:shd w:val="clear" w:color="auto" w:fill="FFFFFF"/>
        <w:spacing w:before="0" w:beforeAutospacing="0" w:after="0" w:afterAutospacing="0" w:line="360" w:lineRule="auto"/>
        <w:ind w:firstLine="48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⑤投标方有围标、串标行为的；</w:t>
      </w:r>
    </w:p>
    <w:p w14:paraId="4714F47F">
      <w:pPr>
        <w:pStyle w:val="29"/>
        <w:widowControl w:val="0"/>
        <w:shd w:val="clear" w:color="auto" w:fill="FFFFFF"/>
        <w:spacing w:before="0" w:beforeAutospacing="0" w:after="0" w:afterAutospacing="0" w:line="360" w:lineRule="auto"/>
        <w:ind w:firstLine="48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⑥采购文件规定的其它情形。</w:t>
      </w:r>
    </w:p>
    <w:p w14:paraId="09F49112">
      <w:pPr>
        <w:pStyle w:val="29"/>
        <w:widowControl w:val="0"/>
        <w:shd w:val="clear" w:color="auto" w:fill="FFFFFF"/>
        <w:spacing w:before="0" w:beforeAutospacing="0" w:after="0" w:afterAutospacing="0" w:line="360" w:lineRule="auto"/>
        <w:rPr>
          <w:rFonts w:hint="eastAsia" w:ascii="仿宋" w:hAnsi="仿宋" w:eastAsia="仿宋" w:cs="仿宋"/>
          <w:b/>
          <w:color w:val="auto"/>
          <w:sz w:val="24"/>
          <w:szCs w:val="24"/>
          <w:highlight w:val="none"/>
        </w:rPr>
      </w:pPr>
      <w:r>
        <w:rPr>
          <w:rFonts w:hint="eastAsia" w:ascii="仿宋" w:hAnsi="仿宋" w:eastAsia="仿宋" w:cs="仿宋"/>
          <w:color w:val="auto"/>
          <w:kern w:val="2"/>
          <w:sz w:val="24"/>
          <w:szCs w:val="24"/>
          <w:highlight w:val="none"/>
        </w:rPr>
        <w:t>3.4.6供应商在招投标活动中被认定为围标、串通投标行为的将没收其投标保证金。</w:t>
      </w:r>
    </w:p>
    <w:p w14:paraId="066E065B">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3.5资格审查资料</w:t>
      </w:r>
    </w:p>
    <w:p w14:paraId="45F687F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详见采购文件第一章《招标公告》“二、供应商资格要求”。</w:t>
      </w:r>
    </w:p>
    <w:p w14:paraId="1DCB877F">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3.6投标文件的编制</w:t>
      </w:r>
    </w:p>
    <w:p w14:paraId="2419C86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3.6.1投标文件由</w:t>
      </w:r>
      <w:r>
        <w:rPr>
          <w:rFonts w:hint="eastAsia" w:ascii="仿宋" w:hAnsi="仿宋" w:eastAsia="仿宋" w:cs="仿宋"/>
          <w:color w:val="auto"/>
          <w:sz w:val="24"/>
          <w:szCs w:val="24"/>
          <w:highlight w:val="none"/>
        </w:rPr>
        <w:t>资格审查部分、报价部分、商务技术部分构成</w:t>
      </w:r>
      <w:r>
        <w:rPr>
          <w:rFonts w:hint="eastAsia" w:ascii="仿宋" w:hAnsi="仿宋" w:eastAsia="仿宋" w:cs="仿宋"/>
          <w:color w:val="auto"/>
          <w:sz w:val="24"/>
          <w:highlight w:val="none"/>
        </w:rPr>
        <w:t>组成。</w:t>
      </w:r>
    </w:p>
    <w:p w14:paraId="0C2A439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3.6.2投标文件应当对采购文件有关</w:t>
      </w:r>
      <w:r>
        <w:rPr>
          <w:rFonts w:hint="eastAsia" w:ascii="仿宋" w:hAnsi="仿宋" w:eastAsia="仿宋" w:cs="仿宋"/>
          <w:color w:val="auto"/>
          <w:sz w:val="24"/>
          <w:szCs w:val="24"/>
          <w:highlight w:val="none"/>
        </w:rPr>
        <w:t>服务期限</w:t>
      </w:r>
      <w:r>
        <w:rPr>
          <w:rFonts w:hint="eastAsia" w:ascii="仿宋" w:hAnsi="仿宋" w:eastAsia="仿宋" w:cs="仿宋"/>
          <w:color w:val="auto"/>
          <w:sz w:val="24"/>
          <w:highlight w:val="none"/>
        </w:rPr>
        <w:t>、投标有效期、质量要求、招标范围等实质性内容作出响应。</w:t>
      </w:r>
    </w:p>
    <w:p w14:paraId="4C70548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3.6.3投标文件的签署：见供应商须知前附表3.6.4。</w:t>
      </w:r>
    </w:p>
    <w:p w14:paraId="0C67498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3.6.4投标文件的提交：见供应商须知前附表3.6.5。</w:t>
      </w:r>
    </w:p>
    <w:p w14:paraId="717CD0BA">
      <w:pPr>
        <w:pStyle w:val="13"/>
        <w:rPr>
          <w:rFonts w:eastAsia="仿宋"/>
          <w:color w:val="auto"/>
          <w:highlight w:val="none"/>
        </w:rPr>
      </w:pPr>
      <w:r>
        <w:rPr>
          <w:rFonts w:hint="eastAsia" w:ascii="仿宋" w:hAnsi="仿宋" w:eastAsia="仿宋" w:cs="仿宋"/>
          <w:color w:val="auto"/>
          <w:sz w:val="24"/>
          <w:highlight w:val="none"/>
        </w:rPr>
        <w:t>3.6.5投标文件全部采用电子文档，供应商应安装客户端软件—“政采云电子交易客户端”，并按照采购文件和政采云电子交易平台的要求编制，编制后应进行电子签章、签名及加密。</w:t>
      </w:r>
    </w:p>
    <w:p w14:paraId="5C60661B">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4.投标</w:t>
      </w:r>
    </w:p>
    <w:p w14:paraId="793A016E">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4.1投标文件的密封</w:t>
      </w:r>
    </w:p>
    <w:p w14:paraId="4155E12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4.1.1网上递交的投标文件需要对投标文件进行加密。</w:t>
      </w:r>
    </w:p>
    <w:p w14:paraId="16AC843F">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4.1.2未按本章第4.1.1项，采购人不予受理。</w:t>
      </w:r>
    </w:p>
    <w:p w14:paraId="735A12E4">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4.2投标文件的递交</w:t>
      </w:r>
    </w:p>
    <w:p w14:paraId="6193A2E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4.2.1供应商应在本章第2.2.2项规定的投标截止时间前递交投标文件。</w:t>
      </w:r>
    </w:p>
    <w:p w14:paraId="77DD24F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4.2.2除供应商须知前附表另有规定外，供应商所递交的投标文件不予退还。</w:t>
      </w:r>
    </w:p>
    <w:p w14:paraId="79DF5E7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4.2.3逾期送达的或者未送达指定地点的投标文件，采购人不予受理。</w:t>
      </w:r>
    </w:p>
    <w:p w14:paraId="09389D95">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4.2.4供应商在提交投标文件截止时间前，首先应将电子投标文件上传到“政采云”平台 （http：//www.zcygov.cn/），如果供应商没有按规定网上递交电子投标文件，视为投标无效。</w:t>
      </w:r>
    </w:p>
    <w:p w14:paraId="5C020B35">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4.3投标文件的修改与撤回</w:t>
      </w:r>
    </w:p>
    <w:p w14:paraId="5574E54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4.3.1在本章第2.2.2项规定的投标截止时间前，供应商可以修改或撤回已在网上递交的投标文件，无须书面形式通知采购人。</w:t>
      </w:r>
    </w:p>
    <w:p w14:paraId="008D3D73">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4.3.2修改的投标文件应按照本章第3条、第4条规定进行编制和递交。</w:t>
      </w:r>
    </w:p>
    <w:p w14:paraId="457B1807">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5.开标</w:t>
      </w:r>
    </w:p>
    <w:p w14:paraId="1E55A7AD">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5.1开标时间和地点</w:t>
      </w:r>
    </w:p>
    <w:p w14:paraId="570E62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采购人在本章第2.2.2项规定的投标截止时间（开标时间）和供应商须知前附表规定的地点公开开标，并邀请所有供应商的法定代表人或其委托代理人准时参加。</w:t>
      </w:r>
    </w:p>
    <w:p w14:paraId="5DED5879">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5.2开标程序</w:t>
      </w:r>
    </w:p>
    <w:p w14:paraId="756805E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主持人按下列程序进行开标：</w:t>
      </w:r>
    </w:p>
    <w:p w14:paraId="32B84B7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(1)宣布开标纪律；</w:t>
      </w:r>
    </w:p>
    <w:p w14:paraId="6334AD9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(2)公布在投标截止时间前递交投标文件的供应商名称；</w:t>
      </w:r>
    </w:p>
    <w:p w14:paraId="76F42FA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按照政釆云平台自动提取所有供应商的顺序当众开标，依次导入有效供应商的电子投标文件同时，由供应商对网上递交已加密的投标文件，解密完成后，公布供应商名称、投标保证金的递交情况、投标报价及其他内容，并记录在案，因供应商原因造成投标文件未解密的，视为撤销其投标文件；</w:t>
      </w:r>
    </w:p>
    <w:p w14:paraId="10D5038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(4)供应商代表、采购人代表、监标人、记录人等有关人员在开标记录上签字确认；</w:t>
      </w:r>
    </w:p>
    <w:p w14:paraId="56F5B84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(5)开标结束。</w:t>
      </w:r>
    </w:p>
    <w:p w14:paraId="2BAC1C6B">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5.3投标文件不予受理情形</w:t>
      </w:r>
    </w:p>
    <w:p w14:paraId="04CB026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投标文件有下列情形之一的，采购人不予受理：</w:t>
      </w:r>
    </w:p>
    <w:p w14:paraId="7B28C2F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(1)没有对投标文件进行加密的；</w:t>
      </w:r>
    </w:p>
    <w:p w14:paraId="65CDA1B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(2)供应商提交的电子标书格式不符合3.6.1项要求的。</w:t>
      </w:r>
    </w:p>
    <w:p w14:paraId="1CC153FB">
      <w:pPr>
        <w:pStyle w:val="29"/>
        <w:shd w:val="clear" w:color="auto" w:fill="FFFFFF"/>
        <w:spacing w:before="0" w:beforeAutospacing="0" w:after="0" w:afterAutospacing="0" w:line="360" w:lineRule="auto"/>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5.4供应商存在下列情况之一的，投标无效:</w:t>
      </w:r>
    </w:p>
    <w:p w14:paraId="3FBF72A4">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(1)未按照采购文件的规定提交投标保证金的；</w:t>
      </w:r>
    </w:p>
    <w:p w14:paraId="2E9DC8BC">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(2)投标文件未按采购文件要求签署、盖章的；</w:t>
      </w:r>
    </w:p>
    <w:p w14:paraId="762A8EE3">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(3)不具备采购文件中规定的资格要求的；</w:t>
      </w:r>
    </w:p>
    <w:p w14:paraId="59B89C50">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(4)报价超过采购文件中规定的预算金额或者最高限价的；</w:t>
      </w:r>
    </w:p>
    <w:p w14:paraId="1A51A106">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(5)投标文件含有采购人不能接受的附加条件的；</w:t>
      </w:r>
    </w:p>
    <w:p w14:paraId="489B359A">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(6)法律、法规和采购文件规定的其他无效情形。</w:t>
      </w:r>
    </w:p>
    <w:p w14:paraId="0564274C">
      <w:pPr>
        <w:pStyle w:val="29"/>
        <w:shd w:val="clear" w:color="auto" w:fill="FFFFFF"/>
        <w:spacing w:before="0" w:beforeAutospacing="0" w:after="0" w:afterAutospacing="0" w:line="360" w:lineRule="auto"/>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5.5有下列情形之一的，视为供应商串通投标，其投标无效：</w:t>
      </w:r>
    </w:p>
    <w:p w14:paraId="6E44339F">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(1)不同供应商的投标文件由同一单位或者个人编制;</w:t>
      </w:r>
    </w:p>
    <w:p w14:paraId="497D50A0">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(2)不同供应商委托同一单位或者个人办理投标事宜;</w:t>
      </w:r>
    </w:p>
    <w:p w14:paraId="678AD952">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(3)不同供应商的投标文件载明的项目管理成员或者联系人员为同一人;</w:t>
      </w:r>
    </w:p>
    <w:p w14:paraId="54C01EC4">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(4)不同供应商的投标文件异常一致或者投标报价呈规律性差异;</w:t>
      </w:r>
    </w:p>
    <w:p w14:paraId="69692855">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(5)不同供应商的投标文件相互混装;</w:t>
      </w:r>
    </w:p>
    <w:p w14:paraId="023D2AA3">
      <w:pPr>
        <w:pStyle w:val="29"/>
        <w:shd w:val="clear" w:color="auto" w:fill="FFFFFF"/>
        <w:spacing w:before="0" w:beforeAutospacing="0" w:after="0" w:afterAutospacing="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(6)不同供应商的投标保证金从同一单位或者个人的账户转出。</w:t>
      </w:r>
    </w:p>
    <w:p w14:paraId="7F9955F3">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6.评标</w:t>
      </w:r>
    </w:p>
    <w:p w14:paraId="388347F6">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6.1评标委员会</w:t>
      </w:r>
    </w:p>
    <w:p w14:paraId="1F6C7C8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6.1.1评标由采购人依法组建的评标委员会负责。评标委员会成员人数的确定方式见供应商须知前附表。</w:t>
      </w:r>
    </w:p>
    <w:p w14:paraId="1FF186C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6.1.2评标委员会成员有下列情形之一的，应当回避：</w:t>
      </w:r>
    </w:p>
    <w:p w14:paraId="0FCB79C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(1)采购人或供应商的主要负责人的近亲属；</w:t>
      </w:r>
    </w:p>
    <w:p w14:paraId="0C0C5F3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(2)项目主管部门或者行政监督部门的人员；</w:t>
      </w:r>
    </w:p>
    <w:p w14:paraId="51ADFEE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(3)与供应商有经济利益关系，可能影响对投标公正评审的；</w:t>
      </w:r>
    </w:p>
    <w:p w14:paraId="1B198F2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(4)曾因在招标、评标以及其他与招标投标有关活动中从事违法行为而受过行政处罚或刑事处罚的。</w:t>
      </w:r>
    </w:p>
    <w:p w14:paraId="3E96C3AF">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6.2评标原则</w:t>
      </w:r>
    </w:p>
    <w:p w14:paraId="38DDE09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32FE271F">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6.3评标</w:t>
      </w:r>
    </w:p>
    <w:p w14:paraId="5B2FAC6C">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（1）评标委员会按照第四章“评标办法”规定的方法、评审因素、标准和程序对投标文件进行评审。第四章“评标办法”没有规定的方法、评审因素和标准，不作为评标依据。</w:t>
      </w:r>
    </w:p>
    <w:p w14:paraId="4EF6951C">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标委员会认为供应商的报价明显低于其他通过符合性审查供应商的报价，有可能影响产品质量(或服务)或者不能诚信履约的，应当要求其在评标现场合理的时间内提供书面说明，必要时提交相关证明材料；供应商不能证明其报价合理性的，评标委员会应当将其作为无效投标处理。</w:t>
      </w:r>
    </w:p>
    <w:p w14:paraId="64C31FE6">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7.合同授予</w:t>
      </w:r>
    </w:p>
    <w:p w14:paraId="2CAB9465">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7.1定标方式</w:t>
      </w:r>
    </w:p>
    <w:p w14:paraId="4D68B85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除供应商须知前附表规定评标委员会直接确定中标人外，采购人依据评标委员会推荐的中标候选人确定中标人，评标委员会推荐中标候选人的人数见供应商须知前附表。</w:t>
      </w:r>
    </w:p>
    <w:p w14:paraId="4575A12D">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7.2中标通知</w:t>
      </w:r>
    </w:p>
    <w:p w14:paraId="4CB5099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在本章第3.3款规定的投标有效期内，采购人以书面形式向中标人发出中标通知书，同时将中标结果通知未中标的供应商。</w:t>
      </w:r>
    </w:p>
    <w:p w14:paraId="583D1827">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7.3履约担保</w:t>
      </w:r>
    </w:p>
    <w:p w14:paraId="3AD4828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在签订合同前，中标人应按供应商须知前附表规定的金额、担保形式和采购文件第五章“合同条款及格式”规定的履约担保格式向采购人提交履约担保。联合体中标的，其履约担保由牵头人递交，并应符合供应商须知前附表规定的金额、担保形式和采购文件第五章“合同条款及格式”规定的履约担保格式要求。</w:t>
      </w:r>
    </w:p>
    <w:p w14:paraId="059F961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7.3.2中标人不能按本章第7.3.1项要求提交履约担保的，视为放弃中标，其投标保证金不予退还，给采购人造成的损失超过投标保证金数额的，中标人还应当对超过部分予以赔偿。</w:t>
      </w:r>
    </w:p>
    <w:p w14:paraId="564E84B1">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7.4签订合同</w:t>
      </w:r>
    </w:p>
    <w:p w14:paraId="1D454FF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7.4.1采购人和中标人应当自中标通知书发出之日起30天内，根据采购文件和中标人的投标文件订立书面合同。中标人无正当理由拒签合同的，采购人取消其中标资格，其投标保证金不予退还；给采购人造成的损失超过投标保证金数额的，中标人还应当对超过部分予以赔偿。</w:t>
      </w:r>
    </w:p>
    <w:p w14:paraId="0718C1FF">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7.4.2发出中标通知书后，采购人无正当理由拒签合同的，采购人向中标人退还投标保证金；给中标人造成损失的，还应当赔偿损失。</w:t>
      </w:r>
    </w:p>
    <w:p w14:paraId="5BD70743">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8.重新招标</w:t>
      </w:r>
    </w:p>
    <w:p w14:paraId="633E74F2">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有下列情形之一的，采购人将重新招标：</w:t>
      </w:r>
    </w:p>
    <w:p w14:paraId="6E195F6C">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(1)投标截止时间止，供应商少于3个的；</w:t>
      </w:r>
    </w:p>
    <w:p w14:paraId="5E6EA792">
      <w:pPr>
        <w:spacing w:line="360" w:lineRule="auto"/>
        <w:ind w:firstLine="240" w:firstLineChars="1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(2)经评标委员会评审后否决所有投标的。</w:t>
      </w:r>
    </w:p>
    <w:p w14:paraId="561F7743">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9.纪律和监督</w:t>
      </w:r>
    </w:p>
    <w:p w14:paraId="102F1C69">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9.1对采购人的纪律要求</w:t>
      </w:r>
    </w:p>
    <w:p w14:paraId="7A619E2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采购人不得泄漏招标投标活动中应当保密的情况和资料，不得与供应商串通损害国家利益、社会公共利益或者他人合法权益。</w:t>
      </w:r>
    </w:p>
    <w:p w14:paraId="0DFDB00A">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9.2对供应商的纪律要求</w:t>
      </w:r>
    </w:p>
    <w:p w14:paraId="58572FF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23D9249A">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9.3对评标委员会成员的纪律要求</w:t>
      </w:r>
    </w:p>
    <w:p w14:paraId="5C5DEF0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评标办法”没有规定的评审因素和标准进行评标。</w:t>
      </w:r>
    </w:p>
    <w:p w14:paraId="1AA8AE07">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9.4对与评标活动有关的工作人员的纪律要求</w:t>
      </w:r>
    </w:p>
    <w:p w14:paraId="5428F00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18CF9D6">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9.5投诉</w:t>
      </w:r>
    </w:p>
    <w:p w14:paraId="5859508C">
      <w:pPr>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供应商和其他利害关系人认为本次招标活动违反法律、法规和规章规定的，按相关法律法规执行。</w:t>
      </w:r>
    </w:p>
    <w:p w14:paraId="7573E179">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10.需要补充的其他内容</w:t>
      </w:r>
    </w:p>
    <w:p w14:paraId="799DDE4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需要补充的其他内容：见供应商须知前附表。</w:t>
      </w:r>
    </w:p>
    <w:p w14:paraId="38647B32">
      <w:pPr>
        <w:pStyle w:val="14"/>
        <w:spacing w:after="0" w:line="360" w:lineRule="auto"/>
        <w:ind w:left="0" w:left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11.小微企业及优先采购政策</w:t>
      </w:r>
    </w:p>
    <w:p w14:paraId="01D6F254">
      <w:pPr>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11.1中小企业</w:t>
      </w:r>
    </w:p>
    <w:p w14:paraId="2E1B26B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11.1.1根据《关于印发&lt;政府采购促进中小企业发展管理办法&gt;的通知》（财库〔2020〕46号）及《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2A99FD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在政府采购活动中，供应商提供的货物、工程或者服务符合下列情形的，享受中小企业扶持政策：</w:t>
      </w:r>
    </w:p>
    <w:p w14:paraId="2065C5A9">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7B5CB3F7">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2E710730">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（3）在服务采购项目中，服务由中小企业承接，即提供服务的人员为中小企业依照《中华人民共和国劳动合同法》订立劳动合同的从业人员。</w:t>
      </w:r>
    </w:p>
    <w:p w14:paraId="412D8B0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在货物采购项目中，供应商提供的货物既有中小企业制造货物，也有大型企业制造货物的，不享受中小企业扶持政策。</w:t>
      </w:r>
    </w:p>
    <w:p w14:paraId="0B3BC6D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以联合体形式参加政府采购活动，联合体各方均为中小企业的，联合体视同中小企业。其中，联合体各方均为小微企业的，联合体视同小微企业。</w:t>
      </w:r>
    </w:p>
    <w:p w14:paraId="0F48EA0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组成联合体或者接受分包合同的中小企业与联合体内其他企业、分包企业之间不得存在直接控股、管理关系。</w:t>
      </w:r>
    </w:p>
    <w:p w14:paraId="7B46A49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11.1.2中小企业参加政府采购活动，应当出具文件中规定的《中小企业声明函》，否则不得享受相关中小企业扶持政策。</w:t>
      </w:r>
    </w:p>
    <w:p w14:paraId="60245E50">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11.1.3依据规定享受扶持政策获得政府采购合同的，小微企业不得将合同分包给大中型企业，中型企业不得将合同分包给大型企业。</w:t>
      </w:r>
    </w:p>
    <w:p w14:paraId="6E4304D7">
      <w:pPr>
        <w:pStyle w:val="2"/>
        <w:tabs>
          <w:tab w:val="left" w:pos="2472"/>
        </w:tabs>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11.2监狱企业</w:t>
      </w:r>
    </w:p>
    <w:p w14:paraId="1C1DADE2">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9A481A8">
      <w:pPr>
        <w:pStyle w:val="2"/>
        <w:tabs>
          <w:tab w:val="left" w:pos="2472"/>
        </w:tabs>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11.3残疾人福利性单位</w:t>
      </w:r>
    </w:p>
    <w:p w14:paraId="770ED99A">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11.3.1根据《财政部 民政部 中国残疾人联合会关于促进残疾人就业政府采购政策的通知》（财库〔2017〕141号），享受政府采购支持政策的残疾人福利性单位应当同时满足以下条件：</w:t>
      </w:r>
    </w:p>
    <w:p w14:paraId="0FBEE568">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（1）安置的残疾人占本单位在职职工人数的比例不低于25%（含25%），并且安置的残疾人人数不少于10人（含10人）；</w:t>
      </w:r>
    </w:p>
    <w:p w14:paraId="29736F05">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（2）依法与安置的每位残疾人签订了一年以上（含一年）的劳动合同或服务协议；</w:t>
      </w:r>
    </w:p>
    <w:p w14:paraId="4C76DB0C">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（3）为安置的每位残疾人按月足额缴纳了基本养老保险、基本医疗保险、失业保险、工伤保险和生育保险等社会保险费；</w:t>
      </w:r>
    </w:p>
    <w:p w14:paraId="06BE3919">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（4）通过银行等金融机构向安置的每位残疾人，按月支付了不低于单位所在区县适用的经省级人民政府批准的月最低工资标准的工资；</w:t>
      </w:r>
    </w:p>
    <w:p w14:paraId="4AA13079">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24CD7B3C">
      <w:pPr>
        <w:pStyle w:val="2"/>
        <w:tabs>
          <w:tab w:val="left" w:pos="2472"/>
        </w:tabs>
        <w:snapToGrid w:val="0"/>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FD6823">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11.3.2符合条件的残疾人福利性单位在参加政府采购活动时，应当提供《残疾人福利性单位声明函》，并对声明的真实性负责。</w:t>
      </w:r>
    </w:p>
    <w:p w14:paraId="09910187">
      <w:pPr>
        <w:pStyle w:val="2"/>
        <w:tabs>
          <w:tab w:val="left" w:pos="2472"/>
        </w:tabs>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11.4节能、环境标志产品</w:t>
      </w:r>
    </w:p>
    <w:p w14:paraId="1AF4406F">
      <w:pPr>
        <w:pStyle w:val="2"/>
        <w:tabs>
          <w:tab w:val="left" w:pos="2472"/>
        </w:tabs>
        <w:snapToGrid w:val="0"/>
        <w:spacing w:line="360" w:lineRule="auto"/>
        <w:rPr>
          <w:rFonts w:hint="eastAsia" w:ascii="仿宋" w:hAnsi="仿宋" w:eastAsia="仿宋" w:cs="仿宋"/>
          <w:b/>
          <w:color w:val="auto"/>
          <w:sz w:val="24"/>
          <w:szCs w:val="24"/>
          <w:highlight w:val="none"/>
        </w:rPr>
      </w:pPr>
      <w:r>
        <w:rPr>
          <w:rFonts w:ascii="仿宋" w:hAnsi="仿宋" w:eastAsia="仿宋" w:cs="仿宋"/>
          <w:color w:val="auto"/>
          <w:sz w:val="24"/>
          <w:szCs w:val="24"/>
          <w:highlight w:val="none"/>
        </w:rPr>
        <w:t>按照</w:t>
      </w:r>
      <w:r>
        <w:rPr>
          <w:rFonts w:hint="eastAsia" w:ascii="仿宋" w:hAnsi="仿宋" w:eastAsia="仿宋" w:cs="仿宋"/>
          <w:color w:val="auto"/>
          <w:sz w:val="24"/>
          <w:szCs w:val="24"/>
          <w:highlight w:val="none"/>
        </w:rPr>
        <w:t>《财政部发展改革委生态环境部市场监管总局关于调整优化节能产品、环境标志产品政府采购执行机制的通知》（财库〔2019〕9 号）</w:t>
      </w:r>
      <w:r>
        <w:rPr>
          <w:rFonts w:ascii="仿宋" w:hAnsi="仿宋" w:eastAsia="仿宋" w:cs="仿宋"/>
          <w:color w:val="auto"/>
          <w:sz w:val="24"/>
          <w:szCs w:val="24"/>
          <w:highlight w:val="none"/>
        </w:rPr>
        <w:t>的规定执行。</w:t>
      </w:r>
    </w:p>
    <w:p w14:paraId="27589221">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11.4.1根据《财政部发展改革委生态环境部市场监管总局关于调整优化节能产品、环境标志产品政府采购执行机制的通知》（财库〔2019〕9 号），对政府采购节能产品、环境标志产品实施品目清单管理。 </w:t>
      </w:r>
    </w:p>
    <w:p w14:paraId="0BEAD17C">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11.4.2节能产品是指列入财政部和发展改革委公布的《关于印发节能产品政府采购品目清单的通知》（财库〔2019〕19 号）《节能产品政府采购品目清单》中的产品。 </w:t>
      </w:r>
    </w:p>
    <w:p w14:paraId="4A733F30">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11.4.3 环境标志产品是指列入财政部和生态环境部公布的《关于印发环境标志产品政府采购品目清单的通知》（财库〔2019〕18 号）《环境标志产品政府采购品目清单》中的产品。</w:t>
      </w:r>
    </w:p>
    <w:p w14:paraId="424BF6AB">
      <w:pPr>
        <w:pStyle w:val="2"/>
        <w:tabs>
          <w:tab w:val="left" w:pos="2472"/>
        </w:tabs>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 产品属于节能产品或环境标志产品的，供应商需在投标文件中提供产品经国家确定的参与实施政府采购节能产品认证机构或参与实施政府采购环境标志产品认证机构出具的、处于有效期之内的节能产品、环境标志产品认证证书（复印件加盖供应商公章）。在性能、技术、服务、价格等指标同等条件下采购人及采购代理机构将对获得证书的产品实施政府优先采购或强制采购。 </w:t>
      </w:r>
    </w:p>
    <w:p w14:paraId="7742DCFA">
      <w:pPr>
        <w:pStyle w:val="2"/>
        <w:tabs>
          <w:tab w:val="left" w:pos="2472"/>
        </w:tabs>
        <w:snapToGrid w:val="0"/>
        <w:spacing w:line="360" w:lineRule="auto"/>
        <w:rPr>
          <w:rFonts w:hint="eastAsia" w:ascii="仿宋" w:hAnsi="仿宋" w:eastAsia="仿宋" w:cs="仿宋"/>
          <w:caps/>
          <w:color w:val="auto"/>
          <w:sz w:val="32"/>
          <w:szCs w:val="32"/>
          <w:highlight w:val="none"/>
        </w:rPr>
      </w:pPr>
      <w:r>
        <w:rPr>
          <w:rFonts w:hint="eastAsia" w:ascii="仿宋" w:hAnsi="仿宋" w:eastAsia="仿宋" w:cs="仿宋"/>
          <w:color w:val="auto"/>
          <w:sz w:val="24"/>
          <w:szCs w:val="24"/>
          <w:highlight w:val="none"/>
        </w:rPr>
        <w:t>11.4.5 若供应商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供应商自行承担。</w:t>
      </w:r>
      <w:r>
        <w:rPr>
          <w:rFonts w:hint="eastAsia" w:ascii="仿宋" w:hAnsi="仿宋" w:eastAsia="仿宋" w:cs="仿宋"/>
          <w:caps/>
          <w:color w:val="auto"/>
          <w:sz w:val="32"/>
          <w:szCs w:val="32"/>
          <w:highlight w:val="none"/>
        </w:rPr>
        <w:br w:type="page"/>
      </w:r>
    </w:p>
    <w:p w14:paraId="5B24615F">
      <w:pPr>
        <w:spacing w:line="360" w:lineRule="auto"/>
        <w:outlineLvl w:val="0"/>
        <w:rPr>
          <w:rFonts w:hint="eastAsia" w:ascii="仿宋" w:hAnsi="仿宋" w:eastAsia="仿宋" w:cs="仿宋"/>
          <w:b/>
          <w:color w:val="auto"/>
          <w:sz w:val="28"/>
          <w:highlight w:val="none"/>
        </w:rPr>
      </w:pPr>
      <w:bookmarkStart w:id="58" w:name="_Toc21278"/>
      <w:bookmarkStart w:id="59" w:name="_Toc6534"/>
      <w:bookmarkStart w:id="60" w:name="_Toc23766"/>
      <w:r>
        <w:rPr>
          <w:rFonts w:hint="eastAsia" w:ascii="仿宋" w:hAnsi="仿宋" w:eastAsia="仿宋" w:cs="仿宋"/>
          <w:b/>
          <w:color w:val="auto"/>
          <w:sz w:val="28"/>
          <w:highlight w:val="none"/>
        </w:rPr>
        <w:t>附件一：问题澄清通知</w:t>
      </w:r>
      <w:bookmarkEnd w:id="58"/>
      <w:bookmarkEnd w:id="59"/>
    </w:p>
    <w:p w14:paraId="1DB871C6">
      <w:pPr>
        <w:spacing w:before="312" w:beforeLines="100" w:after="312" w:afterLines="10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问题澄清通知</w:t>
      </w:r>
    </w:p>
    <w:p w14:paraId="47F180DC">
      <w:pPr>
        <w:spacing w:line="360" w:lineRule="auto"/>
        <w:ind w:firstLine="6240" w:firstLineChars="2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p>
    <w:p w14:paraId="16E9602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_________________________（供应商）：</w:t>
      </w:r>
    </w:p>
    <w:p w14:paraId="121A5EA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招标的评标委员会，对你方的投标文件进行了仔细的审查，现需你方对本通知所附的问题以书面形式予以澄清、说明或者补正：</w:t>
      </w:r>
    </w:p>
    <w:p w14:paraId="18AF20F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p w14:paraId="1191535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p w14:paraId="0F370ABF">
      <w:pPr>
        <w:spacing w:line="360" w:lineRule="auto"/>
        <w:ind w:right="35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请将上述问题的澄清、说明或者补正于______年___月___日___时前密封递交至</w:t>
      </w:r>
      <w:r>
        <w:rPr>
          <w:rFonts w:hint="eastAsia" w:ascii="仿宋" w:hAnsi="仿宋" w:eastAsia="仿宋" w:cs="仿宋"/>
          <w:color w:val="auto"/>
          <w:sz w:val="24"/>
          <w:szCs w:val="24"/>
          <w:highlight w:val="none"/>
          <w:u w:val="single"/>
        </w:rPr>
        <w:t xml:space="preserve"> （详细地址）</w:t>
      </w:r>
      <w:r>
        <w:rPr>
          <w:rFonts w:hint="eastAsia" w:ascii="仿宋" w:hAnsi="仿宋" w:eastAsia="仿宋" w:cs="仿宋"/>
          <w:color w:val="auto"/>
          <w:sz w:val="24"/>
          <w:szCs w:val="24"/>
          <w:highlight w:val="none"/>
        </w:rPr>
        <w:t>或以扫描件发送至____________（邮箱号码）。采用扫描件发送方式的，应在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时前将原件递交至</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（详细地址）。</w:t>
      </w:r>
    </w:p>
    <w:p w14:paraId="4DA40891">
      <w:pPr>
        <w:spacing w:line="360" w:lineRule="auto"/>
        <w:ind w:firstLine="480" w:firstLineChars="200"/>
        <w:rPr>
          <w:rFonts w:hint="eastAsia" w:ascii="仿宋" w:hAnsi="仿宋" w:eastAsia="仿宋" w:cs="仿宋"/>
          <w:color w:val="auto"/>
          <w:sz w:val="24"/>
          <w:szCs w:val="24"/>
          <w:highlight w:val="none"/>
        </w:rPr>
      </w:pPr>
    </w:p>
    <w:p w14:paraId="28E991F2">
      <w:pPr>
        <w:spacing w:line="360" w:lineRule="auto"/>
        <w:rPr>
          <w:rFonts w:hint="eastAsia" w:ascii="仿宋" w:hAnsi="仿宋" w:eastAsia="仿宋" w:cs="仿宋"/>
          <w:color w:val="auto"/>
          <w:sz w:val="24"/>
          <w:szCs w:val="24"/>
          <w:highlight w:val="none"/>
        </w:rPr>
      </w:pPr>
    </w:p>
    <w:p w14:paraId="2390C0A4">
      <w:pPr>
        <w:spacing w:line="360" w:lineRule="auto"/>
        <w:ind w:right="35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评标委员会：</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033B1140">
      <w:pPr>
        <w:spacing w:line="360" w:lineRule="auto"/>
        <w:ind w:right="35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C11642C">
      <w:pPr>
        <w:spacing w:line="480" w:lineRule="exact"/>
        <w:ind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23CAE00">
      <w:pPr>
        <w:spacing w:line="360" w:lineRule="auto"/>
        <w:rPr>
          <w:rFonts w:hint="eastAsia" w:ascii="仿宋" w:hAnsi="仿宋" w:eastAsia="仿宋" w:cs="仿宋"/>
          <w:b/>
          <w:color w:val="auto"/>
          <w:sz w:val="28"/>
          <w:highlight w:val="none"/>
        </w:rPr>
      </w:pPr>
      <w:r>
        <w:rPr>
          <w:rFonts w:hint="eastAsia" w:ascii="仿宋" w:hAnsi="仿宋" w:eastAsia="仿宋" w:cs="仿宋"/>
          <w:color w:val="auto"/>
          <w:highlight w:val="none"/>
        </w:rPr>
        <w:br w:type="page"/>
      </w:r>
      <w:r>
        <w:rPr>
          <w:rFonts w:hint="eastAsia" w:ascii="仿宋" w:hAnsi="仿宋" w:eastAsia="仿宋" w:cs="仿宋"/>
          <w:b/>
          <w:color w:val="auto"/>
          <w:sz w:val="28"/>
          <w:highlight w:val="none"/>
        </w:rPr>
        <w:t>附件二：问题的澄清</w:t>
      </w:r>
    </w:p>
    <w:p w14:paraId="3CEC0172">
      <w:pPr>
        <w:spacing w:before="312" w:beforeLines="100" w:after="312" w:afterLines="10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问题的澄清、说明或补正</w:t>
      </w:r>
    </w:p>
    <w:p w14:paraId="450039A2">
      <w:pPr>
        <w:spacing w:line="360" w:lineRule="auto"/>
        <w:ind w:firstLine="6120" w:firstLineChars="25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p>
    <w:p w14:paraId="34AFDB7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_____________________（项目名称）______招标评标委员会：</w:t>
      </w:r>
    </w:p>
    <w:p w14:paraId="59830F0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问题澄清通知（编号：____________）已收悉，现澄清、说明或者补正如下：</w:t>
      </w:r>
    </w:p>
    <w:p w14:paraId="13E3DB6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1.____________________________________________________</w:t>
      </w:r>
    </w:p>
    <w:p w14:paraId="2765CFA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2.____________________________________________________</w:t>
      </w:r>
    </w:p>
    <w:p w14:paraId="07DCC2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3B22E5A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上述问题澄清、说明或补正，不改变我方投标文件的实质性内容，构成我方投标文件的组成部分。</w:t>
      </w:r>
    </w:p>
    <w:p w14:paraId="44D1826D">
      <w:pPr>
        <w:spacing w:line="360" w:lineRule="auto"/>
        <w:ind w:firstLine="480" w:firstLineChars="200"/>
        <w:rPr>
          <w:rFonts w:hint="eastAsia" w:ascii="仿宋" w:hAnsi="仿宋" w:eastAsia="仿宋" w:cs="仿宋"/>
          <w:color w:val="auto"/>
          <w:sz w:val="24"/>
          <w:szCs w:val="24"/>
          <w:highlight w:val="none"/>
        </w:rPr>
      </w:pPr>
    </w:p>
    <w:p w14:paraId="34855701">
      <w:pPr>
        <w:spacing w:line="360" w:lineRule="auto"/>
        <w:ind w:firstLine="480" w:firstLineChars="200"/>
        <w:rPr>
          <w:rFonts w:hint="eastAsia" w:ascii="仿宋" w:hAnsi="仿宋" w:eastAsia="仿宋" w:cs="仿宋"/>
          <w:color w:val="auto"/>
          <w:sz w:val="24"/>
          <w:szCs w:val="24"/>
          <w:highlight w:val="none"/>
        </w:rPr>
      </w:pPr>
    </w:p>
    <w:p w14:paraId="7A679F2C">
      <w:pPr>
        <w:spacing w:line="360" w:lineRule="auto"/>
        <w:ind w:firstLine="480" w:firstLineChars="200"/>
        <w:rPr>
          <w:rFonts w:hint="eastAsia" w:ascii="仿宋" w:hAnsi="仿宋" w:eastAsia="仿宋" w:cs="仿宋"/>
          <w:color w:val="auto"/>
          <w:sz w:val="24"/>
          <w:szCs w:val="24"/>
          <w:highlight w:val="none"/>
        </w:rPr>
      </w:pPr>
    </w:p>
    <w:p w14:paraId="745244B5">
      <w:pPr>
        <w:spacing w:line="360" w:lineRule="auto"/>
        <w:ind w:firstLine="480" w:firstLineChars="200"/>
        <w:rPr>
          <w:rFonts w:hint="eastAsia" w:ascii="仿宋" w:hAnsi="仿宋" w:eastAsia="仿宋" w:cs="仿宋"/>
          <w:color w:val="auto"/>
          <w:sz w:val="24"/>
          <w:szCs w:val="24"/>
          <w:highlight w:val="none"/>
        </w:rPr>
      </w:pPr>
    </w:p>
    <w:p w14:paraId="1322B8FC">
      <w:pPr>
        <w:spacing w:line="360" w:lineRule="auto"/>
        <w:ind w:firstLine="480" w:firstLineChars="200"/>
        <w:rPr>
          <w:rFonts w:hint="eastAsia" w:ascii="仿宋" w:hAnsi="仿宋" w:eastAsia="仿宋" w:cs="仿宋"/>
          <w:color w:val="auto"/>
          <w:sz w:val="24"/>
          <w:szCs w:val="24"/>
          <w:highlight w:val="none"/>
        </w:rPr>
      </w:pPr>
    </w:p>
    <w:p w14:paraId="361F5E4F">
      <w:pPr>
        <w:spacing w:line="360" w:lineRule="auto"/>
        <w:ind w:firstLine="480" w:firstLineChars="200"/>
        <w:rPr>
          <w:rFonts w:hint="eastAsia" w:ascii="仿宋" w:hAnsi="仿宋" w:eastAsia="仿宋" w:cs="仿宋"/>
          <w:color w:val="auto"/>
          <w:sz w:val="24"/>
          <w:szCs w:val="24"/>
          <w:highlight w:val="none"/>
        </w:rPr>
      </w:pPr>
    </w:p>
    <w:p w14:paraId="6C71D077">
      <w:pPr>
        <w:spacing w:line="360" w:lineRule="auto"/>
        <w:ind w:firstLine="480" w:firstLineChars="200"/>
        <w:rPr>
          <w:rFonts w:hint="eastAsia" w:ascii="仿宋" w:hAnsi="仿宋" w:eastAsia="仿宋" w:cs="仿宋"/>
          <w:color w:val="auto"/>
          <w:sz w:val="24"/>
          <w:szCs w:val="24"/>
          <w:highlight w:val="none"/>
        </w:rPr>
      </w:pPr>
    </w:p>
    <w:p w14:paraId="65576847">
      <w:pPr>
        <w:wordWrap w:val="0"/>
        <w:spacing w:line="360" w:lineRule="auto"/>
        <w:ind w:firstLine="480" w:firstLineChars="20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供应商：__________________________（盖单位章）</w:t>
      </w:r>
    </w:p>
    <w:p w14:paraId="65486028">
      <w:pPr>
        <w:spacing w:line="360" w:lineRule="auto"/>
        <w:ind w:right="420" w:firstLine="3840" w:firstLineChars="16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p>
    <w:p w14:paraId="249DBBBE">
      <w:pPr>
        <w:spacing w:line="360" w:lineRule="auto"/>
        <w:ind w:firstLine="5040" w:firstLineChars="2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_________年______月______日</w:t>
      </w:r>
    </w:p>
    <w:p w14:paraId="5238405D">
      <w:pPr>
        <w:spacing w:line="360" w:lineRule="auto"/>
        <w:rPr>
          <w:rFonts w:hint="eastAsia" w:ascii="仿宋" w:hAnsi="仿宋" w:eastAsia="仿宋" w:cs="仿宋"/>
          <w:b/>
          <w:color w:val="auto"/>
          <w:sz w:val="28"/>
          <w:highlight w:val="none"/>
        </w:rPr>
      </w:pPr>
    </w:p>
    <w:p w14:paraId="530A0F8B">
      <w:pPr>
        <w:spacing w:line="360" w:lineRule="auto"/>
        <w:jc w:val="left"/>
        <w:rPr>
          <w:rFonts w:hint="eastAsia" w:ascii="仿宋" w:hAnsi="仿宋" w:eastAsia="仿宋" w:cs="仿宋"/>
          <w:caps/>
          <w:color w:val="auto"/>
          <w:sz w:val="32"/>
          <w:szCs w:val="32"/>
          <w:highlight w:val="none"/>
        </w:rPr>
      </w:pPr>
      <w:r>
        <w:rPr>
          <w:rFonts w:hint="eastAsia" w:ascii="仿宋" w:hAnsi="仿宋" w:eastAsia="仿宋" w:cs="仿宋"/>
          <w:b/>
          <w:color w:val="auto"/>
          <w:sz w:val="28"/>
          <w:highlight w:val="none"/>
        </w:rPr>
        <w:br w:type="page"/>
      </w:r>
      <w:bookmarkEnd w:id="60"/>
    </w:p>
    <w:p w14:paraId="44032695">
      <w:pPr>
        <w:pStyle w:val="3"/>
        <w:snapToGrid w:val="0"/>
        <w:spacing w:before="0"/>
        <w:jc w:val="center"/>
        <w:rPr>
          <w:rFonts w:hint="eastAsia" w:ascii="仿宋" w:hAnsi="仿宋" w:eastAsia="仿宋" w:cs="仿宋"/>
          <w:color w:val="auto"/>
          <w:sz w:val="36"/>
          <w:szCs w:val="36"/>
          <w:highlight w:val="none"/>
        </w:rPr>
      </w:pPr>
      <w:bookmarkStart w:id="61" w:name="_Toc28316"/>
      <w:bookmarkStart w:id="62" w:name="_Toc13884"/>
      <w:bookmarkStart w:id="63" w:name="_Toc29207"/>
      <w:r>
        <w:rPr>
          <w:rFonts w:hint="eastAsia" w:ascii="仿宋" w:hAnsi="仿宋" w:eastAsia="仿宋" w:cs="仿宋"/>
          <w:caps/>
          <w:color w:val="auto"/>
          <w:sz w:val="36"/>
          <w:szCs w:val="36"/>
          <w:highlight w:val="none"/>
        </w:rPr>
        <w:t>第三章  采购需求</w:t>
      </w:r>
      <w:bookmarkEnd w:id="61"/>
      <w:bookmarkEnd w:id="62"/>
      <w:bookmarkEnd w:id="63"/>
    </w:p>
    <w:p w14:paraId="47EBE8DC">
      <w:pPr>
        <w:adjustRightInd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40512BBE">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各供应商必须对采购文件第三章《采购需求》中的技术、服务、产品要求作出全面、真实的反映，若投标文件中未对采购文件第三章《采购需求》中的技术、服务、产品要求作出全面、真实的反映，而供应商又未在投标文件中作出说明和解释的，评标委员会在评审时可以视为不响应该条技术、服务、产品要求。</w:t>
      </w:r>
    </w:p>
    <w:p w14:paraId="0508007A">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章各项技术、服务、产品要求如出现引用某一特定的专利技术、商标、名称、设计、原产地或供应者等情况，则仅起参考作用。供应商可选用实质上“相当于”或“优于”该参考技术、服务要求的产品（服务）投标。</w:t>
      </w:r>
    </w:p>
    <w:p w14:paraId="1F0703BE">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3.供应商应保证其提供的货物、工程或者服务在采购人使用期间不受第三方可能提出的侵犯其所有权、知识产权、商标权、专利权、著作权等相关权利的起诉。</w:t>
      </w:r>
      <w:bookmarkStart w:id="64" w:name="_Toc491307394"/>
      <w:bookmarkStart w:id="65" w:name="_Toc491307332"/>
    </w:p>
    <w:p w14:paraId="6B274512">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4.供应商应对在合同履行的过程中，涉及到采购人的工作信息等秘密内容进行保密。双方应共同对系统中涉及的技术情报和资料进行保密。</w:t>
      </w:r>
      <w:bookmarkEnd w:id="64"/>
      <w:bookmarkEnd w:id="65"/>
    </w:p>
    <w:p w14:paraId="5C91B474">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应商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5CC4BC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6.本文件的解释权属于采购人、采购代理机构。</w:t>
      </w:r>
    </w:p>
    <w:p w14:paraId="0273013C">
      <w:pPr>
        <w:pStyle w:val="13"/>
        <w:rPr>
          <w:rFonts w:hint="eastAsia" w:ascii="仿宋" w:hAnsi="仿宋" w:eastAsia="仿宋" w:cs="仿宋"/>
          <w:color w:val="auto"/>
          <w:sz w:val="24"/>
          <w:szCs w:val="24"/>
          <w:highlight w:val="none"/>
        </w:rPr>
      </w:pPr>
    </w:p>
    <w:p w14:paraId="1102FED7">
      <w:pPr>
        <w:rPr>
          <w:rFonts w:hint="eastAsia" w:ascii="仿宋" w:hAnsi="仿宋" w:eastAsia="仿宋" w:cs="仿宋"/>
          <w:color w:val="auto"/>
          <w:sz w:val="24"/>
          <w:szCs w:val="24"/>
          <w:highlight w:val="none"/>
        </w:rPr>
      </w:pPr>
    </w:p>
    <w:p w14:paraId="3AF73FBF">
      <w:pPr>
        <w:pStyle w:val="13"/>
        <w:rPr>
          <w:rFonts w:hint="eastAsia" w:ascii="仿宋" w:hAnsi="仿宋" w:eastAsia="仿宋" w:cs="仿宋"/>
          <w:color w:val="auto"/>
          <w:sz w:val="24"/>
          <w:szCs w:val="24"/>
          <w:highlight w:val="none"/>
        </w:rPr>
      </w:pPr>
    </w:p>
    <w:p w14:paraId="3A55515D">
      <w:pPr>
        <w:rPr>
          <w:rFonts w:hint="eastAsia" w:ascii="仿宋" w:hAnsi="仿宋" w:eastAsia="仿宋" w:cs="仿宋"/>
          <w:color w:val="auto"/>
          <w:sz w:val="24"/>
          <w:szCs w:val="24"/>
          <w:highlight w:val="none"/>
        </w:rPr>
      </w:pPr>
    </w:p>
    <w:p w14:paraId="761F217E">
      <w:pPr>
        <w:pStyle w:val="13"/>
        <w:rPr>
          <w:rFonts w:hint="eastAsia" w:ascii="仿宋" w:hAnsi="仿宋" w:eastAsia="仿宋" w:cs="仿宋"/>
          <w:color w:val="auto"/>
          <w:sz w:val="24"/>
          <w:szCs w:val="24"/>
          <w:highlight w:val="none"/>
        </w:rPr>
      </w:pPr>
    </w:p>
    <w:p w14:paraId="2354CE45">
      <w:pPr>
        <w:rPr>
          <w:rFonts w:hint="eastAsia" w:ascii="仿宋" w:hAnsi="仿宋" w:eastAsia="仿宋" w:cs="仿宋"/>
          <w:color w:val="auto"/>
          <w:sz w:val="24"/>
          <w:szCs w:val="24"/>
          <w:highlight w:val="none"/>
        </w:rPr>
      </w:pPr>
    </w:p>
    <w:p w14:paraId="0779EB56">
      <w:pPr>
        <w:pStyle w:val="13"/>
        <w:rPr>
          <w:rFonts w:hint="eastAsia" w:ascii="仿宋" w:hAnsi="仿宋" w:eastAsia="仿宋" w:cs="仿宋"/>
          <w:color w:val="auto"/>
          <w:sz w:val="24"/>
          <w:szCs w:val="24"/>
          <w:highlight w:val="none"/>
        </w:rPr>
      </w:pPr>
    </w:p>
    <w:p w14:paraId="6B45F38B">
      <w:pPr>
        <w:rPr>
          <w:rFonts w:hint="eastAsia" w:ascii="仿宋" w:hAnsi="仿宋" w:eastAsia="仿宋" w:cs="仿宋"/>
          <w:color w:val="auto"/>
          <w:sz w:val="24"/>
          <w:szCs w:val="24"/>
          <w:highlight w:val="none"/>
        </w:rPr>
      </w:pPr>
    </w:p>
    <w:p w14:paraId="759D0943">
      <w:pPr>
        <w:pStyle w:val="13"/>
        <w:rPr>
          <w:rFonts w:hint="eastAsia" w:ascii="仿宋" w:hAnsi="仿宋" w:eastAsia="仿宋" w:cs="仿宋"/>
          <w:color w:val="auto"/>
          <w:sz w:val="24"/>
          <w:szCs w:val="24"/>
          <w:highlight w:val="none"/>
        </w:rPr>
      </w:pPr>
    </w:p>
    <w:p w14:paraId="24795397">
      <w:pPr>
        <w:rPr>
          <w:rFonts w:hint="eastAsia" w:ascii="仿宋" w:hAnsi="仿宋" w:eastAsia="仿宋" w:cs="仿宋"/>
          <w:color w:val="auto"/>
          <w:sz w:val="24"/>
          <w:szCs w:val="24"/>
          <w:highlight w:val="none"/>
        </w:rPr>
      </w:pPr>
    </w:p>
    <w:p w14:paraId="5D889242">
      <w:pPr>
        <w:pStyle w:val="13"/>
        <w:rPr>
          <w:rFonts w:hint="eastAsia" w:ascii="仿宋" w:hAnsi="仿宋" w:eastAsia="仿宋" w:cs="仿宋"/>
          <w:color w:val="auto"/>
          <w:sz w:val="24"/>
          <w:szCs w:val="24"/>
          <w:highlight w:val="none"/>
        </w:rPr>
      </w:pPr>
    </w:p>
    <w:p w14:paraId="5B5FD5FA">
      <w:pPr>
        <w:rPr>
          <w:rFonts w:hint="eastAsia" w:ascii="仿宋" w:hAnsi="仿宋" w:eastAsia="仿宋" w:cs="仿宋"/>
          <w:b/>
          <w:bCs/>
          <w:color w:val="auto"/>
          <w:sz w:val="28"/>
          <w:szCs w:val="28"/>
          <w:highlight w:val="none"/>
        </w:rPr>
      </w:pPr>
      <w:bookmarkStart w:id="66" w:name="_Toc25867"/>
      <w:r>
        <w:rPr>
          <w:rFonts w:hint="eastAsia" w:ascii="仿宋" w:hAnsi="仿宋" w:eastAsia="仿宋" w:cs="仿宋"/>
          <w:b/>
          <w:bCs/>
          <w:color w:val="auto"/>
          <w:sz w:val="28"/>
          <w:szCs w:val="28"/>
          <w:highlight w:val="none"/>
        </w:rPr>
        <w:br w:type="page"/>
      </w:r>
    </w:p>
    <w:bookmarkEnd w:id="66"/>
    <w:p w14:paraId="06A0B629">
      <w:pPr>
        <w:spacing w:line="540" w:lineRule="exact"/>
        <w:jc w:val="left"/>
        <w:rPr>
          <w:rStyle w:val="118"/>
          <w:rFonts w:hint="eastAsia" w:ascii="仿宋" w:hAnsi="仿宋" w:eastAsia="仿宋" w:cs="仿宋"/>
          <w:b/>
          <w:bCs/>
          <w:color w:val="auto"/>
          <w:sz w:val="28"/>
          <w:szCs w:val="28"/>
          <w:highlight w:val="none"/>
          <w:lang w:val="zh-TW"/>
        </w:rPr>
      </w:pPr>
      <w:bookmarkStart w:id="67" w:name="_Toc10042"/>
      <w:r>
        <w:rPr>
          <w:rStyle w:val="118"/>
          <w:rFonts w:hint="eastAsia" w:ascii="仿宋" w:hAnsi="仿宋" w:eastAsia="仿宋" w:cs="仿宋"/>
          <w:b/>
          <w:bCs/>
          <w:color w:val="auto"/>
          <w:sz w:val="28"/>
          <w:szCs w:val="28"/>
          <w:highlight w:val="none"/>
          <w:lang w:val="zh-TW"/>
        </w:rPr>
        <w:t>一、项目概况</w:t>
      </w:r>
    </w:p>
    <w:p w14:paraId="1307FAC4">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1.项目名称：</w:t>
      </w:r>
      <w:r>
        <w:rPr>
          <w:rFonts w:hint="eastAsia" w:ascii="仿宋" w:hAnsi="仿宋" w:eastAsia="仿宋" w:cs="仿宋"/>
          <w:color w:val="auto"/>
          <w:sz w:val="24"/>
          <w:szCs w:val="24"/>
          <w:highlight w:val="none"/>
          <w:lang w:eastAsia="zh-CN"/>
        </w:rPr>
        <w:t>瑞丽市国土空间详细规划弄莫湖片区编制项目</w:t>
      </w:r>
      <w:r>
        <w:rPr>
          <w:rFonts w:hint="eastAsia" w:ascii="仿宋" w:hAnsi="仿宋" w:eastAsia="仿宋" w:cs="仿宋"/>
          <w:color w:val="auto"/>
          <w:sz w:val="24"/>
          <w:szCs w:val="24"/>
          <w:highlight w:val="none"/>
        </w:rPr>
        <w:t>；</w:t>
      </w:r>
    </w:p>
    <w:p w14:paraId="4E1D36F5">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2.项目编号：DHZC2025-G3-00494-YNMY-0022；</w:t>
      </w:r>
    </w:p>
    <w:p w14:paraId="6D0D9C4E">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3.采购方式：公开招标； </w:t>
      </w:r>
    </w:p>
    <w:p w14:paraId="2773EE32">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4.预算金额：</w:t>
      </w:r>
      <w:r>
        <w:rPr>
          <w:rFonts w:hint="eastAsia" w:ascii="仿宋" w:hAnsi="仿宋" w:eastAsia="仿宋" w:cs="仿宋"/>
          <w:color w:val="auto"/>
          <w:sz w:val="24"/>
          <w:szCs w:val="24"/>
          <w:highlight w:val="none"/>
          <w:lang w:eastAsia="zh-CN"/>
        </w:rPr>
        <w:t>220万</w:t>
      </w:r>
      <w:r>
        <w:rPr>
          <w:rFonts w:hint="eastAsia" w:ascii="仿宋" w:hAnsi="仿宋" w:eastAsia="仿宋" w:cs="仿宋"/>
          <w:color w:val="auto"/>
          <w:sz w:val="24"/>
          <w:szCs w:val="24"/>
          <w:highlight w:val="none"/>
        </w:rPr>
        <w:t>元；</w:t>
      </w:r>
    </w:p>
    <w:p w14:paraId="12C71D55">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5.最高限价：</w:t>
      </w:r>
      <w:r>
        <w:rPr>
          <w:rFonts w:hint="eastAsia" w:ascii="仿宋" w:hAnsi="仿宋" w:eastAsia="仿宋" w:cs="仿宋"/>
          <w:color w:val="auto"/>
          <w:sz w:val="24"/>
          <w:szCs w:val="24"/>
          <w:highlight w:val="none"/>
          <w:lang w:eastAsia="zh-CN"/>
        </w:rPr>
        <w:t>220万</w:t>
      </w:r>
      <w:r>
        <w:rPr>
          <w:rFonts w:hint="eastAsia" w:ascii="仿宋" w:hAnsi="仿宋" w:eastAsia="仿宋" w:cs="仿宋"/>
          <w:color w:val="auto"/>
          <w:sz w:val="24"/>
          <w:szCs w:val="24"/>
          <w:highlight w:val="none"/>
        </w:rPr>
        <w:t>元；</w:t>
      </w:r>
    </w:p>
    <w:p w14:paraId="4AAD9622">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6.采购需求：</w:t>
      </w:r>
    </w:p>
    <w:p w14:paraId="37234D3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瑞丽市国土空间详细规划弄莫湖片区编制项目，包括2个详规单元（弄莫湖片区单元号：</w:t>
      </w:r>
      <w:r>
        <w:rPr>
          <w:rFonts w:ascii="仿宋" w:hAnsi="仿宋" w:eastAsia="仿宋" w:cs="仿宋"/>
          <w:color w:val="auto"/>
          <w:sz w:val="24"/>
          <w:szCs w:val="24"/>
          <w:highlight w:val="none"/>
        </w:rPr>
        <w:t>533102101010011</w:t>
      </w:r>
      <w:r>
        <w:rPr>
          <w:rFonts w:hint="eastAsia" w:ascii="仿宋" w:hAnsi="仿宋" w:eastAsia="仿宋" w:cs="仿宋"/>
          <w:color w:val="auto"/>
          <w:sz w:val="24"/>
          <w:szCs w:val="24"/>
          <w:highlight w:val="none"/>
        </w:rPr>
        <w:t>，运动中心片区单元号：</w:t>
      </w:r>
      <w:r>
        <w:rPr>
          <w:rFonts w:ascii="仿宋" w:hAnsi="仿宋" w:eastAsia="仿宋" w:cs="仿宋"/>
          <w:color w:val="auto"/>
          <w:sz w:val="24"/>
          <w:szCs w:val="24"/>
          <w:highlight w:val="none"/>
        </w:rPr>
        <w:t>533102101010012</w:t>
      </w:r>
      <w:r>
        <w:rPr>
          <w:rFonts w:hint="eastAsia" w:ascii="仿宋" w:hAnsi="仿宋" w:eastAsia="仿宋" w:cs="仿宋"/>
          <w:color w:val="auto"/>
          <w:sz w:val="24"/>
          <w:szCs w:val="24"/>
          <w:highlight w:val="none"/>
        </w:rPr>
        <w:t>），规划范围为东至弄莫路，南至大等贺村小组，西至广允村小组，北至南桑村，规划面积12.81平方公里。包括：①原控制性详细规划评估。②开展详细规划编制工作，根据《云南省国土空间详细规划编制导则》,按照“编到地块、管到单元”的编制总体要求，完成单元、地块两个层次的编制内容。③按照《云南省</w:t>
      </w:r>
      <w:bookmarkStart w:id="133" w:name="_GoBack"/>
      <w:bookmarkEnd w:id="133"/>
      <w:r>
        <w:rPr>
          <w:rFonts w:hint="eastAsia" w:ascii="仿宋" w:hAnsi="仿宋" w:eastAsia="仿宋" w:cs="仿宋"/>
          <w:color w:val="auto"/>
          <w:sz w:val="24"/>
          <w:szCs w:val="24"/>
          <w:highlight w:val="none"/>
        </w:rPr>
        <w:t>国土空间详细规划数据库标准（试行）》完成数据入库工作。④详细规划批复后的3年调整、动态维护和技术勘误工作。</w:t>
      </w:r>
    </w:p>
    <w:p w14:paraId="41A61DC6">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具体采购内容详见采购文件第三章采购需求。</w:t>
      </w:r>
    </w:p>
    <w:p w14:paraId="4C15B5E7">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7.服务期限：90日历天；</w:t>
      </w:r>
    </w:p>
    <w:p w14:paraId="6D17A0AA">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8.质量标准：符合国家及省相关规范、规程及标准的要求，满足采购人要求，并通过规划审查、审批及备案；</w:t>
      </w:r>
    </w:p>
    <w:p w14:paraId="1A7D80DF">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9.服务地点：采购人指定地点；</w:t>
      </w:r>
    </w:p>
    <w:p w14:paraId="0F3792E1">
      <w:pPr>
        <w:spacing w:line="360" w:lineRule="auto"/>
        <w:ind w:firstLine="240" w:firstLineChars="100"/>
        <w:rPr>
          <w:rStyle w:val="118"/>
          <w:rFonts w:hint="eastAsia" w:ascii="仿宋" w:hAnsi="仿宋" w:eastAsia="仿宋" w:cs="仿宋"/>
          <w:b/>
          <w:bCs/>
          <w:color w:val="auto"/>
          <w:sz w:val="24"/>
          <w:szCs w:val="24"/>
          <w:highlight w:val="none"/>
          <w:lang w:val="zh-TW"/>
        </w:rPr>
      </w:pPr>
      <w:r>
        <w:rPr>
          <w:rFonts w:hint="eastAsia" w:ascii="仿宋" w:hAnsi="仿宋" w:eastAsia="仿宋" w:cs="仿宋"/>
          <w:color w:val="auto"/>
          <w:sz w:val="24"/>
          <w:szCs w:val="24"/>
          <w:highlight w:val="none"/>
        </w:rPr>
        <w:t>10.本项目</w:t>
      </w:r>
      <w:r>
        <w:rPr>
          <w:rFonts w:hint="eastAsia" w:ascii="仿宋" w:hAnsi="仿宋" w:eastAsia="仿宋" w:cs="仿宋"/>
          <w:b/>
          <w:bCs/>
          <w:color w:val="auto"/>
          <w:sz w:val="24"/>
          <w:szCs w:val="24"/>
          <w:highlight w:val="none"/>
        </w:rPr>
        <w:t>不接受</w:t>
      </w:r>
      <w:r>
        <w:rPr>
          <w:rFonts w:hint="eastAsia" w:ascii="仿宋" w:hAnsi="仿宋" w:eastAsia="仿宋" w:cs="仿宋"/>
          <w:color w:val="auto"/>
          <w:sz w:val="24"/>
          <w:szCs w:val="24"/>
          <w:highlight w:val="none"/>
        </w:rPr>
        <w:t>联合体投标。</w:t>
      </w:r>
    </w:p>
    <w:p w14:paraId="5F9F426C">
      <w:pPr>
        <w:spacing w:line="540" w:lineRule="exact"/>
        <w:rPr>
          <w:rStyle w:val="118"/>
          <w:rFonts w:hint="eastAsia" w:ascii="仿宋" w:hAnsi="仿宋" w:eastAsia="仿宋" w:cs="仿宋"/>
          <w:b/>
          <w:bCs/>
          <w:color w:val="auto"/>
          <w:sz w:val="28"/>
          <w:szCs w:val="28"/>
          <w:highlight w:val="none"/>
          <w:lang w:val="zh-TW" w:eastAsia="zh-TW"/>
        </w:rPr>
      </w:pPr>
      <w:r>
        <w:rPr>
          <w:rStyle w:val="118"/>
          <w:rFonts w:hint="eastAsia" w:ascii="仿宋" w:hAnsi="仿宋" w:eastAsia="仿宋" w:cs="仿宋"/>
          <w:b/>
          <w:bCs/>
          <w:color w:val="auto"/>
          <w:sz w:val="28"/>
          <w:szCs w:val="28"/>
          <w:highlight w:val="none"/>
          <w:lang w:val="zh-TW"/>
        </w:rPr>
        <w:t>二、</w:t>
      </w:r>
      <w:r>
        <w:rPr>
          <w:rStyle w:val="118"/>
          <w:rFonts w:hint="eastAsia" w:ascii="仿宋" w:hAnsi="仿宋" w:eastAsia="仿宋" w:cs="仿宋"/>
          <w:b/>
          <w:bCs/>
          <w:color w:val="auto"/>
          <w:sz w:val="28"/>
          <w:szCs w:val="28"/>
          <w:highlight w:val="none"/>
          <w:lang w:val="zh-TW" w:eastAsia="zh-TW"/>
        </w:rPr>
        <w:t>规划依据</w:t>
      </w:r>
    </w:p>
    <w:p w14:paraId="7BC419C6">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（一）《中华人民共和国土地管理法》（2019年）；</w:t>
      </w:r>
    </w:p>
    <w:p w14:paraId="2D1DBA64">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（二）《中华人民共和国城乡规划法》（2019年）；</w:t>
      </w:r>
    </w:p>
    <w:p w14:paraId="688452BC">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（三）《中华人民共和国土地管理法实施条例》（中华人民共和国国务院令第743号）；</w:t>
      </w:r>
    </w:p>
    <w:p w14:paraId="3766F048">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（四）《云南省土地管理条例》；</w:t>
      </w:r>
    </w:p>
    <w:p w14:paraId="031CC8E9">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（五）《云南省城乡规划条例》；</w:t>
      </w:r>
    </w:p>
    <w:p w14:paraId="02544274">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（六）《中共中央 国务院关于建立国土空间规划体系并监督实施的若干意见》（中发〔2019〕18号）；</w:t>
      </w:r>
    </w:p>
    <w:p w14:paraId="75860B45">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（七）《自然资源部关于全面开展国土空间规划工作的通知》（自然资发〔2019〕87号）；</w:t>
      </w:r>
    </w:p>
    <w:p w14:paraId="326B5092">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（八）《自然资源部关于加强国土空间详细规划工作的通知》（自然资发〔2023〕43号）；</w:t>
      </w:r>
    </w:p>
    <w:p w14:paraId="59FEC2A2">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（九）《中共云南省委云南省人民政府关于建立全省国土空间规划体系并监督实施的意见》（云发〔2020〕7号）；</w:t>
      </w:r>
    </w:p>
    <w:p w14:paraId="1D7DB9A3">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（十）《云南省国土空间详细规划编制导则（试行）》（云自然资空规〔2023〕402号）；</w:t>
      </w:r>
    </w:p>
    <w:p w14:paraId="7B47748F">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（十一）《云南省自然资源厅关于印发云南省国土空间详细规划数据库标准（试行）》（云自然资空规〔2024〕91号）；</w:t>
      </w:r>
    </w:p>
    <w:p w14:paraId="7F4F83B0">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（十二）《自然资源部关于印发&lt;国土空间调查、规划、用途管制用地用海分类指南&gt;的通知》（自然资发〔2023〕234号）；</w:t>
      </w:r>
    </w:p>
    <w:p w14:paraId="287BECF4">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（十三）《社区生活圈规划技术指南》（TD/T1062-2021）；</w:t>
      </w:r>
    </w:p>
    <w:p w14:paraId="353E036A">
      <w:pPr>
        <w:spacing w:line="540" w:lineRule="exact"/>
        <w:ind w:firstLine="480" w:firstLineChars="200"/>
        <w:rPr>
          <w:rStyle w:val="118"/>
          <w:rFonts w:hint="eastAsia" w:ascii="仿宋" w:hAnsi="仿宋" w:eastAsia="仿宋" w:cs="仿宋"/>
          <w:color w:val="auto"/>
          <w:sz w:val="24"/>
          <w:szCs w:val="24"/>
          <w:highlight w:val="none"/>
          <w:lang w:val="zh-TW"/>
        </w:rPr>
      </w:pPr>
      <w:r>
        <w:rPr>
          <w:rStyle w:val="118"/>
          <w:rFonts w:hint="eastAsia" w:ascii="仿宋" w:hAnsi="仿宋" w:eastAsia="仿宋" w:cs="仿宋"/>
          <w:color w:val="auto"/>
          <w:sz w:val="24"/>
          <w:szCs w:val="24"/>
          <w:highlight w:val="none"/>
          <w:lang w:val="zh-TW"/>
        </w:rPr>
        <w:t>（十四）《国土空间规划城市设计指南》（TD/T1065-2021）；</w:t>
      </w:r>
    </w:p>
    <w:p w14:paraId="2715CAE2">
      <w:pPr>
        <w:spacing w:line="540" w:lineRule="exact"/>
        <w:ind w:firstLine="480" w:firstLineChars="200"/>
        <w:rPr>
          <w:rStyle w:val="118"/>
          <w:rFonts w:hint="eastAsia" w:ascii="仿宋" w:hAnsi="仿宋" w:eastAsia="仿宋" w:cs="仿宋"/>
          <w:color w:val="auto"/>
          <w:sz w:val="24"/>
          <w:szCs w:val="24"/>
          <w:highlight w:val="none"/>
          <w:lang w:val="zh-TW" w:eastAsia="zh-TW"/>
        </w:rPr>
      </w:pPr>
      <w:r>
        <w:rPr>
          <w:rStyle w:val="118"/>
          <w:rFonts w:hint="eastAsia" w:ascii="仿宋" w:hAnsi="仿宋" w:eastAsia="仿宋" w:cs="仿宋"/>
          <w:color w:val="auto"/>
          <w:sz w:val="24"/>
          <w:szCs w:val="24"/>
          <w:highlight w:val="none"/>
          <w:lang w:val="zh-TW"/>
        </w:rPr>
        <w:t>（十五）</w:t>
      </w:r>
      <w:r>
        <w:rPr>
          <w:rStyle w:val="118"/>
          <w:rFonts w:hint="eastAsia" w:ascii="仿宋" w:hAnsi="仿宋" w:eastAsia="仿宋" w:cs="仿宋"/>
          <w:color w:val="auto"/>
          <w:sz w:val="24"/>
          <w:szCs w:val="24"/>
          <w:highlight w:val="none"/>
        </w:rPr>
        <w:t xml:space="preserve"> </w:t>
      </w:r>
      <w:r>
        <w:rPr>
          <w:rStyle w:val="118"/>
          <w:rFonts w:hint="eastAsia" w:ascii="仿宋" w:hAnsi="仿宋" w:eastAsia="仿宋" w:cs="仿宋"/>
          <w:color w:val="auto"/>
          <w:sz w:val="24"/>
          <w:szCs w:val="24"/>
          <w:highlight w:val="none"/>
          <w:lang w:val="zh-TW" w:eastAsia="zh-TW"/>
        </w:rPr>
        <w:t>国家及地方相关法律法规、部门规定、技术规范和其它相关规划及已审批项目。</w:t>
      </w:r>
    </w:p>
    <w:p w14:paraId="0A14FD9F">
      <w:pPr>
        <w:spacing w:line="540" w:lineRule="exact"/>
        <w:ind w:firstLine="480" w:firstLineChars="200"/>
        <w:rPr>
          <w:color w:val="auto"/>
          <w:highlight w:val="none"/>
          <w:lang w:val="zh-TW" w:eastAsia="zh-TW"/>
        </w:rPr>
      </w:pPr>
      <w:r>
        <w:rPr>
          <w:rStyle w:val="118"/>
          <w:rFonts w:hint="eastAsia" w:ascii="仿宋" w:hAnsi="仿宋" w:eastAsia="仿宋" w:cs="仿宋"/>
          <w:color w:val="auto"/>
          <w:sz w:val="24"/>
          <w:szCs w:val="24"/>
          <w:highlight w:val="none"/>
          <w:lang w:val="zh-TW" w:eastAsia="zh-TW"/>
        </w:rPr>
        <w:t>（注：在规划设计过程中，如果国家</w:t>
      </w:r>
      <w:r>
        <w:rPr>
          <w:rStyle w:val="118"/>
          <w:rFonts w:hint="eastAsia" w:ascii="仿宋" w:hAnsi="仿宋" w:eastAsia="仿宋" w:cs="仿宋"/>
          <w:color w:val="auto"/>
          <w:sz w:val="24"/>
          <w:szCs w:val="24"/>
          <w:highlight w:val="none"/>
          <w:lang w:val="zh-TW"/>
        </w:rPr>
        <w:t>、</w:t>
      </w:r>
      <w:r>
        <w:rPr>
          <w:rStyle w:val="118"/>
          <w:rFonts w:hint="eastAsia" w:ascii="仿宋" w:hAnsi="仿宋" w:eastAsia="仿宋" w:cs="仿宋"/>
          <w:color w:val="auto"/>
          <w:sz w:val="24"/>
          <w:szCs w:val="24"/>
          <w:highlight w:val="none"/>
        </w:rPr>
        <w:t>省市</w:t>
      </w:r>
      <w:r>
        <w:rPr>
          <w:rStyle w:val="118"/>
          <w:rFonts w:hint="eastAsia" w:ascii="仿宋" w:hAnsi="仿宋" w:eastAsia="仿宋" w:cs="仿宋"/>
          <w:color w:val="auto"/>
          <w:sz w:val="24"/>
          <w:szCs w:val="24"/>
          <w:highlight w:val="none"/>
          <w:lang w:val="zh-TW" w:eastAsia="zh-TW"/>
        </w:rPr>
        <w:t>有关部门</w:t>
      </w:r>
      <w:r>
        <w:rPr>
          <w:rStyle w:val="118"/>
          <w:rFonts w:hint="eastAsia" w:ascii="仿宋" w:hAnsi="仿宋" w:eastAsia="仿宋" w:cs="仿宋"/>
          <w:color w:val="auto"/>
          <w:sz w:val="24"/>
          <w:szCs w:val="24"/>
          <w:highlight w:val="none"/>
        </w:rPr>
        <w:t>发布</w:t>
      </w:r>
      <w:r>
        <w:rPr>
          <w:rStyle w:val="118"/>
          <w:rFonts w:hint="eastAsia" w:ascii="仿宋" w:hAnsi="仿宋" w:eastAsia="仿宋" w:cs="仿宋"/>
          <w:color w:val="auto"/>
          <w:sz w:val="24"/>
          <w:szCs w:val="24"/>
          <w:highlight w:val="none"/>
          <w:lang w:val="zh-TW" w:eastAsia="zh-TW"/>
        </w:rPr>
        <w:t>了新的技术标准</w:t>
      </w:r>
      <w:r>
        <w:rPr>
          <w:rStyle w:val="118"/>
          <w:rFonts w:hint="eastAsia" w:ascii="仿宋" w:hAnsi="仿宋" w:eastAsia="仿宋" w:cs="仿宋"/>
          <w:color w:val="auto"/>
          <w:sz w:val="24"/>
          <w:szCs w:val="24"/>
          <w:highlight w:val="none"/>
          <w:lang w:val="zh-TW"/>
        </w:rPr>
        <w:t>、</w:t>
      </w:r>
      <w:r>
        <w:rPr>
          <w:rStyle w:val="118"/>
          <w:rFonts w:hint="eastAsia" w:ascii="仿宋" w:hAnsi="仿宋" w:eastAsia="仿宋" w:cs="仿宋"/>
          <w:color w:val="auto"/>
          <w:sz w:val="24"/>
          <w:szCs w:val="24"/>
          <w:highlight w:val="none"/>
          <w:lang w:val="zh-TW" w:eastAsia="zh-TW"/>
        </w:rPr>
        <w:t>规范</w:t>
      </w:r>
      <w:r>
        <w:rPr>
          <w:rStyle w:val="118"/>
          <w:rFonts w:hint="eastAsia" w:ascii="仿宋" w:hAnsi="仿宋" w:eastAsia="仿宋" w:cs="仿宋"/>
          <w:color w:val="auto"/>
          <w:sz w:val="24"/>
          <w:szCs w:val="24"/>
          <w:highlight w:val="none"/>
        </w:rPr>
        <w:t>或现有依据发生变更的，</w:t>
      </w:r>
      <w:r>
        <w:rPr>
          <w:rStyle w:val="118"/>
          <w:rFonts w:hint="eastAsia" w:ascii="仿宋" w:hAnsi="仿宋" w:eastAsia="仿宋" w:cs="仿宋"/>
          <w:color w:val="auto"/>
          <w:sz w:val="24"/>
          <w:szCs w:val="24"/>
          <w:highlight w:val="none"/>
          <w:lang w:val="zh-TW" w:eastAsia="zh-TW"/>
        </w:rPr>
        <w:t>则规划设计人应</w:t>
      </w:r>
      <w:r>
        <w:rPr>
          <w:rStyle w:val="118"/>
          <w:rFonts w:hint="eastAsia" w:ascii="仿宋" w:hAnsi="仿宋" w:eastAsia="仿宋" w:cs="仿宋"/>
          <w:color w:val="auto"/>
          <w:sz w:val="24"/>
          <w:szCs w:val="24"/>
          <w:highlight w:val="none"/>
        </w:rPr>
        <w:t>依据最</w:t>
      </w:r>
      <w:r>
        <w:rPr>
          <w:rStyle w:val="118"/>
          <w:rFonts w:hint="eastAsia" w:ascii="仿宋" w:hAnsi="仿宋" w:eastAsia="仿宋" w:cs="仿宋"/>
          <w:color w:val="auto"/>
          <w:sz w:val="24"/>
          <w:szCs w:val="24"/>
          <w:highlight w:val="none"/>
          <w:lang w:val="zh-TW" w:eastAsia="zh-TW"/>
        </w:rPr>
        <w:t>新的标准</w:t>
      </w:r>
      <w:r>
        <w:rPr>
          <w:rStyle w:val="118"/>
          <w:rFonts w:hint="eastAsia" w:ascii="仿宋" w:hAnsi="仿宋" w:eastAsia="仿宋" w:cs="仿宋"/>
          <w:color w:val="auto"/>
          <w:sz w:val="24"/>
          <w:szCs w:val="24"/>
          <w:highlight w:val="none"/>
          <w:lang w:val="zh-TW"/>
        </w:rPr>
        <w:t>、</w:t>
      </w:r>
      <w:r>
        <w:rPr>
          <w:rStyle w:val="118"/>
          <w:rFonts w:hint="eastAsia" w:ascii="仿宋" w:hAnsi="仿宋" w:eastAsia="仿宋" w:cs="仿宋"/>
          <w:color w:val="auto"/>
          <w:sz w:val="24"/>
          <w:szCs w:val="24"/>
          <w:highlight w:val="none"/>
          <w:lang w:val="zh-TW" w:eastAsia="zh-TW"/>
        </w:rPr>
        <w:t>规范</w:t>
      </w:r>
      <w:r>
        <w:rPr>
          <w:rStyle w:val="118"/>
          <w:rFonts w:hint="eastAsia" w:ascii="仿宋" w:hAnsi="仿宋" w:eastAsia="仿宋" w:cs="仿宋"/>
          <w:color w:val="auto"/>
          <w:sz w:val="24"/>
          <w:szCs w:val="24"/>
          <w:highlight w:val="none"/>
        </w:rPr>
        <w:t>及上位规划</w:t>
      </w:r>
      <w:r>
        <w:rPr>
          <w:rStyle w:val="118"/>
          <w:rFonts w:hint="eastAsia" w:ascii="仿宋" w:hAnsi="仿宋" w:eastAsia="仿宋" w:cs="仿宋"/>
          <w:color w:val="auto"/>
          <w:sz w:val="24"/>
          <w:szCs w:val="24"/>
          <w:highlight w:val="none"/>
          <w:lang w:val="zh-TW" w:eastAsia="zh-TW"/>
        </w:rPr>
        <w:t>进行规划设计</w:t>
      </w:r>
      <w:r>
        <w:rPr>
          <w:rStyle w:val="118"/>
          <w:rFonts w:hint="eastAsia" w:ascii="仿宋" w:hAnsi="仿宋" w:eastAsia="仿宋" w:cs="仿宋"/>
          <w:color w:val="auto"/>
          <w:sz w:val="24"/>
          <w:szCs w:val="24"/>
          <w:highlight w:val="none"/>
          <w:lang w:val="zh-TW"/>
        </w:rPr>
        <w:t>。</w:t>
      </w:r>
      <w:r>
        <w:rPr>
          <w:rStyle w:val="118"/>
          <w:rFonts w:hint="eastAsia" w:ascii="仿宋" w:hAnsi="仿宋" w:eastAsia="仿宋" w:cs="仿宋"/>
          <w:color w:val="auto"/>
          <w:sz w:val="24"/>
          <w:szCs w:val="24"/>
          <w:highlight w:val="none"/>
          <w:lang w:val="zh-TW" w:eastAsia="zh-TW"/>
        </w:rPr>
        <w:t>）</w:t>
      </w:r>
    </w:p>
    <w:p w14:paraId="6252751B">
      <w:pPr>
        <w:spacing w:line="540" w:lineRule="exact"/>
        <w:rPr>
          <w:rStyle w:val="118"/>
          <w:rFonts w:hint="eastAsia" w:ascii="仿宋" w:hAnsi="仿宋" w:eastAsia="仿宋" w:cs="仿宋"/>
          <w:b/>
          <w:bCs/>
          <w:color w:val="auto"/>
          <w:sz w:val="28"/>
          <w:szCs w:val="28"/>
          <w:highlight w:val="none"/>
          <w:lang w:val="zh-TW" w:eastAsia="zh-TW"/>
        </w:rPr>
      </w:pPr>
      <w:r>
        <w:rPr>
          <w:rStyle w:val="118"/>
          <w:rFonts w:hint="eastAsia" w:ascii="仿宋" w:hAnsi="仿宋" w:eastAsia="仿宋" w:cs="仿宋"/>
          <w:b/>
          <w:bCs/>
          <w:color w:val="auto"/>
          <w:sz w:val="28"/>
          <w:szCs w:val="28"/>
          <w:highlight w:val="none"/>
          <w:lang w:val="zh-TW"/>
        </w:rPr>
        <w:t>三、</w:t>
      </w:r>
      <w:r>
        <w:rPr>
          <w:rStyle w:val="118"/>
          <w:rFonts w:hint="eastAsia" w:ascii="仿宋" w:hAnsi="仿宋" w:eastAsia="仿宋" w:cs="仿宋"/>
          <w:b/>
          <w:bCs/>
          <w:color w:val="auto"/>
          <w:sz w:val="28"/>
          <w:szCs w:val="28"/>
          <w:highlight w:val="none"/>
          <w:lang w:val="zh-TW" w:eastAsia="zh-TW"/>
        </w:rPr>
        <w:t>深度要求</w:t>
      </w:r>
    </w:p>
    <w:p w14:paraId="10637D6E">
      <w:pPr>
        <w:spacing w:line="540" w:lineRule="exact"/>
        <w:ind w:firstLine="480" w:firstLineChars="200"/>
        <w:rPr>
          <w:rStyle w:val="118"/>
          <w:rFonts w:hint="eastAsia" w:ascii="仿宋" w:hAnsi="仿宋" w:eastAsia="仿宋" w:cs="仿宋"/>
          <w:color w:val="auto"/>
          <w:sz w:val="24"/>
          <w:szCs w:val="24"/>
          <w:highlight w:val="none"/>
          <w:lang w:val="zh-TW" w:eastAsia="zh-TW"/>
        </w:rPr>
      </w:pPr>
      <w:r>
        <w:rPr>
          <w:rStyle w:val="118"/>
          <w:rFonts w:hint="eastAsia" w:ascii="仿宋" w:hAnsi="仿宋" w:eastAsia="仿宋" w:cs="仿宋"/>
          <w:color w:val="auto"/>
          <w:sz w:val="24"/>
          <w:szCs w:val="24"/>
          <w:highlight w:val="none"/>
        </w:rPr>
        <w:t>深度须达到</w:t>
      </w:r>
      <w:r>
        <w:rPr>
          <w:rStyle w:val="118"/>
          <w:rFonts w:hint="eastAsia" w:ascii="仿宋" w:hAnsi="仿宋" w:eastAsia="仿宋" w:cs="仿宋"/>
          <w:color w:val="auto"/>
          <w:sz w:val="24"/>
          <w:szCs w:val="24"/>
          <w:highlight w:val="none"/>
          <w:lang w:val="zh-TW"/>
        </w:rPr>
        <w:t>《云南省国土空间详细规划编制导则（试行）》、</w:t>
      </w:r>
      <w:r>
        <w:rPr>
          <w:rStyle w:val="118"/>
          <w:rFonts w:hint="eastAsia" w:ascii="仿宋" w:hAnsi="仿宋" w:eastAsia="仿宋" w:cs="仿宋"/>
          <w:color w:val="auto"/>
          <w:sz w:val="24"/>
          <w:szCs w:val="24"/>
          <w:highlight w:val="none"/>
        </w:rPr>
        <w:t>《云南省国土空间详细规划数据库标准（试行）》及国家、省、州、市相关规定和最新要求。</w:t>
      </w:r>
    </w:p>
    <w:p w14:paraId="53CF98A9">
      <w:pPr>
        <w:spacing w:line="540" w:lineRule="exact"/>
        <w:rPr>
          <w:rStyle w:val="118"/>
          <w:rFonts w:hint="eastAsia" w:ascii="仿宋" w:hAnsi="仿宋" w:eastAsia="仿宋" w:cs="仿宋"/>
          <w:b/>
          <w:bCs/>
          <w:color w:val="auto"/>
          <w:sz w:val="28"/>
          <w:szCs w:val="28"/>
          <w:highlight w:val="none"/>
        </w:rPr>
      </w:pPr>
      <w:r>
        <w:rPr>
          <w:rStyle w:val="118"/>
          <w:rFonts w:hint="eastAsia" w:ascii="仿宋" w:hAnsi="仿宋" w:eastAsia="仿宋" w:cs="仿宋"/>
          <w:b/>
          <w:bCs/>
          <w:color w:val="auto"/>
          <w:sz w:val="28"/>
          <w:szCs w:val="28"/>
          <w:highlight w:val="none"/>
          <w:lang w:val="zh-TW"/>
        </w:rPr>
        <w:t>四</w:t>
      </w:r>
      <w:r>
        <w:rPr>
          <w:rStyle w:val="118"/>
          <w:rFonts w:hint="eastAsia" w:ascii="仿宋" w:hAnsi="仿宋" w:eastAsia="仿宋" w:cs="仿宋"/>
          <w:b/>
          <w:bCs/>
          <w:color w:val="auto"/>
          <w:sz w:val="28"/>
          <w:szCs w:val="28"/>
          <w:highlight w:val="none"/>
          <w:lang w:val="zh-TW" w:eastAsia="zh-TW"/>
        </w:rPr>
        <w:t>、</w:t>
      </w:r>
      <w:r>
        <w:rPr>
          <w:rStyle w:val="118"/>
          <w:rFonts w:hint="eastAsia" w:ascii="仿宋" w:hAnsi="仿宋" w:eastAsia="仿宋" w:cs="仿宋"/>
          <w:b/>
          <w:bCs/>
          <w:color w:val="auto"/>
          <w:sz w:val="28"/>
          <w:szCs w:val="28"/>
          <w:highlight w:val="none"/>
        </w:rPr>
        <w:t>规划</w:t>
      </w:r>
      <w:r>
        <w:rPr>
          <w:rStyle w:val="118"/>
          <w:rFonts w:hint="eastAsia" w:ascii="仿宋" w:hAnsi="仿宋" w:eastAsia="仿宋" w:cs="仿宋"/>
          <w:b/>
          <w:bCs/>
          <w:color w:val="auto"/>
          <w:sz w:val="28"/>
          <w:szCs w:val="28"/>
          <w:highlight w:val="none"/>
          <w:lang w:val="zh-TW" w:eastAsia="zh-TW"/>
        </w:rPr>
        <w:t>成果</w:t>
      </w:r>
      <w:r>
        <w:rPr>
          <w:rStyle w:val="118"/>
          <w:rFonts w:hint="eastAsia" w:ascii="仿宋" w:hAnsi="仿宋" w:eastAsia="仿宋" w:cs="仿宋"/>
          <w:b/>
          <w:bCs/>
          <w:color w:val="auto"/>
          <w:sz w:val="28"/>
          <w:szCs w:val="28"/>
          <w:highlight w:val="none"/>
        </w:rPr>
        <w:t>要求</w:t>
      </w:r>
    </w:p>
    <w:p w14:paraId="5E2071F8">
      <w:pPr>
        <w:spacing w:line="540" w:lineRule="exact"/>
        <w:ind w:firstLine="480" w:firstLineChars="200"/>
        <w:rPr>
          <w:rStyle w:val="118"/>
          <w:rFonts w:hint="eastAsia" w:ascii="仿宋" w:hAnsi="仿宋" w:eastAsia="仿宋" w:cs="仿宋"/>
          <w:color w:val="auto"/>
          <w:sz w:val="24"/>
          <w:szCs w:val="24"/>
          <w:highlight w:val="none"/>
        </w:rPr>
      </w:pPr>
      <w:r>
        <w:rPr>
          <w:rStyle w:val="118"/>
          <w:rFonts w:hint="eastAsia" w:ascii="仿宋" w:hAnsi="仿宋" w:eastAsia="仿宋" w:cs="仿宋"/>
          <w:color w:val="auto"/>
          <w:sz w:val="24"/>
          <w:szCs w:val="24"/>
          <w:highlight w:val="none"/>
        </w:rPr>
        <w:t>详细规划成果包括法定文件、技术文件和数据库。成果须符合《云南省国土空间详细规划编制技术导则（试行）》、《云南省国土空间详细规划数据库标准（试行）》及国家、省、州、市相关规定和最新要求。</w:t>
      </w:r>
    </w:p>
    <w:p w14:paraId="1DC12A7C">
      <w:pPr>
        <w:spacing w:line="540" w:lineRule="exact"/>
        <w:ind w:firstLine="480" w:firstLineChars="200"/>
        <w:rPr>
          <w:rStyle w:val="118"/>
          <w:rFonts w:hint="eastAsia" w:ascii="仿宋" w:hAnsi="仿宋" w:eastAsia="仿宋" w:cs="仿宋"/>
          <w:color w:val="auto"/>
          <w:sz w:val="24"/>
          <w:szCs w:val="24"/>
          <w:highlight w:val="none"/>
          <w:lang w:val="zh-TW" w:eastAsia="zh-TW"/>
        </w:rPr>
      </w:pPr>
      <w:r>
        <w:rPr>
          <w:rStyle w:val="118"/>
          <w:rFonts w:hint="eastAsia" w:ascii="仿宋" w:hAnsi="仿宋" w:eastAsia="仿宋" w:cs="仿宋"/>
          <w:color w:val="auto"/>
          <w:sz w:val="24"/>
          <w:szCs w:val="24"/>
          <w:highlight w:val="none"/>
          <w:lang w:val="zh-TW" w:eastAsia="zh-TW"/>
        </w:rPr>
        <w:t>（</w:t>
      </w:r>
      <w:r>
        <w:rPr>
          <w:rStyle w:val="118"/>
          <w:rFonts w:hint="eastAsia" w:ascii="仿宋" w:hAnsi="仿宋" w:eastAsia="仿宋" w:cs="仿宋"/>
          <w:color w:val="auto"/>
          <w:sz w:val="24"/>
          <w:szCs w:val="24"/>
          <w:highlight w:val="none"/>
          <w:lang w:val="zh-TW"/>
        </w:rPr>
        <w:t>一</w:t>
      </w:r>
      <w:r>
        <w:rPr>
          <w:rStyle w:val="118"/>
          <w:rFonts w:hint="eastAsia" w:ascii="仿宋" w:hAnsi="仿宋" w:eastAsia="仿宋" w:cs="仿宋"/>
          <w:color w:val="auto"/>
          <w:sz w:val="24"/>
          <w:szCs w:val="24"/>
          <w:highlight w:val="none"/>
          <w:lang w:val="zh-TW" w:eastAsia="zh-TW"/>
        </w:rPr>
        <w:t>）纸质文件：</w:t>
      </w:r>
    </w:p>
    <w:p w14:paraId="1687A666">
      <w:pPr>
        <w:spacing w:line="540" w:lineRule="exact"/>
        <w:ind w:firstLine="480" w:firstLineChars="200"/>
        <w:rPr>
          <w:rStyle w:val="118"/>
          <w:rFonts w:hint="eastAsia" w:ascii="仿宋" w:hAnsi="仿宋" w:eastAsia="仿宋" w:cs="仿宋"/>
          <w:color w:val="auto"/>
          <w:sz w:val="24"/>
          <w:szCs w:val="24"/>
          <w:highlight w:val="none"/>
          <w:lang w:val="zh-TW" w:eastAsia="zh-TW"/>
        </w:rPr>
      </w:pPr>
      <w:r>
        <w:rPr>
          <w:rStyle w:val="118"/>
          <w:rFonts w:hint="eastAsia" w:ascii="仿宋" w:hAnsi="仿宋" w:eastAsia="仿宋" w:cs="仿宋"/>
          <w:color w:val="auto"/>
          <w:sz w:val="24"/>
          <w:szCs w:val="24"/>
          <w:highlight w:val="none"/>
          <w:lang w:val="zh-TW" w:eastAsia="zh-TW"/>
        </w:rPr>
        <w:t>纸质文件包括文本、说明书、图则</w:t>
      </w:r>
      <w:r>
        <w:rPr>
          <w:rStyle w:val="118"/>
          <w:rFonts w:hint="eastAsia" w:ascii="仿宋" w:hAnsi="仿宋" w:eastAsia="仿宋" w:cs="仿宋"/>
          <w:color w:val="auto"/>
          <w:sz w:val="24"/>
          <w:szCs w:val="24"/>
          <w:highlight w:val="none"/>
          <w:lang w:val="zh-TW"/>
        </w:rPr>
        <w:t>、</w:t>
      </w:r>
      <w:r>
        <w:rPr>
          <w:rStyle w:val="118"/>
          <w:rFonts w:hint="eastAsia" w:ascii="仿宋" w:hAnsi="仿宋" w:eastAsia="仿宋" w:cs="仿宋"/>
          <w:color w:val="auto"/>
          <w:sz w:val="24"/>
          <w:szCs w:val="24"/>
          <w:highlight w:val="none"/>
        </w:rPr>
        <w:t>技术图纸（含城市设计图件）、现状资料分析汇总、必要的研究报告、相关文件汇编等</w:t>
      </w:r>
      <w:r>
        <w:rPr>
          <w:rStyle w:val="118"/>
          <w:rFonts w:hint="eastAsia" w:ascii="仿宋" w:hAnsi="仿宋" w:eastAsia="仿宋" w:cs="仿宋"/>
          <w:color w:val="auto"/>
          <w:sz w:val="24"/>
          <w:szCs w:val="24"/>
          <w:highlight w:val="none"/>
          <w:lang w:val="zh-TW" w:eastAsia="zh-TW"/>
        </w:rPr>
        <w:t>。</w:t>
      </w:r>
    </w:p>
    <w:p w14:paraId="6D07583D">
      <w:pPr>
        <w:spacing w:line="540" w:lineRule="exact"/>
        <w:ind w:firstLine="480" w:firstLineChars="200"/>
        <w:rPr>
          <w:rStyle w:val="118"/>
          <w:rFonts w:hint="eastAsia" w:ascii="仿宋" w:hAnsi="仿宋" w:eastAsia="仿宋" w:cs="仿宋"/>
          <w:color w:val="auto"/>
          <w:sz w:val="24"/>
          <w:szCs w:val="24"/>
          <w:highlight w:val="none"/>
          <w:lang w:val="zh-TW" w:eastAsia="zh-TW"/>
        </w:rPr>
      </w:pPr>
      <w:r>
        <w:rPr>
          <w:rStyle w:val="118"/>
          <w:rFonts w:hint="eastAsia" w:ascii="仿宋" w:hAnsi="仿宋" w:eastAsia="仿宋" w:cs="仿宋"/>
          <w:color w:val="auto"/>
          <w:sz w:val="24"/>
          <w:szCs w:val="24"/>
          <w:highlight w:val="none"/>
          <w:lang w:val="zh-TW" w:eastAsia="zh-TW"/>
        </w:rPr>
        <w:t>（</w:t>
      </w:r>
      <w:r>
        <w:rPr>
          <w:rStyle w:val="118"/>
          <w:rFonts w:hint="eastAsia" w:ascii="仿宋" w:hAnsi="仿宋" w:eastAsia="仿宋" w:cs="仿宋"/>
          <w:color w:val="auto"/>
          <w:sz w:val="24"/>
          <w:szCs w:val="24"/>
          <w:highlight w:val="none"/>
          <w:lang w:eastAsia="zh-TW"/>
        </w:rPr>
        <w:t>二</w:t>
      </w:r>
      <w:r>
        <w:rPr>
          <w:rStyle w:val="118"/>
          <w:rFonts w:hint="eastAsia" w:ascii="仿宋" w:hAnsi="仿宋" w:eastAsia="仿宋" w:cs="仿宋"/>
          <w:color w:val="auto"/>
          <w:sz w:val="24"/>
          <w:szCs w:val="24"/>
          <w:highlight w:val="none"/>
          <w:lang w:val="zh-TW" w:eastAsia="zh-TW"/>
        </w:rPr>
        <w:t>）</w:t>
      </w:r>
      <w:r>
        <w:rPr>
          <w:rStyle w:val="118"/>
          <w:rFonts w:hint="eastAsia" w:ascii="仿宋" w:hAnsi="仿宋" w:eastAsia="仿宋" w:cs="仿宋"/>
          <w:color w:val="auto"/>
          <w:sz w:val="24"/>
          <w:szCs w:val="24"/>
          <w:highlight w:val="none"/>
          <w:lang w:eastAsia="zh-TW"/>
        </w:rPr>
        <w:t>电子</w:t>
      </w:r>
      <w:r>
        <w:rPr>
          <w:rStyle w:val="118"/>
          <w:rFonts w:hint="eastAsia" w:ascii="仿宋" w:hAnsi="仿宋" w:eastAsia="仿宋" w:cs="仿宋"/>
          <w:color w:val="auto"/>
          <w:sz w:val="24"/>
          <w:szCs w:val="24"/>
          <w:highlight w:val="none"/>
          <w:lang w:val="zh-TW" w:eastAsia="zh-TW"/>
        </w:rPr>
        <w:t>文件：</w:t>
      </w:r>
    </w:p>
    <w:p w14:paraId="4DD11D69">
      <w:pPr>
        <w:spacing w:line="540" w:lineRule="exact"/>
        <w:ind w:firstLine="480" w:firstLineChars="200"/>
        <w:rPr>
          <w:rStyle w:val="118"/>
          <w:rFonts w:hint="eastAsia" w:ascii="仿宋" w:hAnsi="仿宋" w:eastAsia="仿宋" w:cs="仿宋"/>
          <w:color w:val="auto"/>
          <w:sz w:val="24"/>
          <w:szCs w:val="24"/>
          <w:highlight w:val="none"/>
          <w:lang w:eastAsia="zh-TW"/>
        </w:rPr>
      </w:pPr>
      <w:r>
        <w:rPr>
          <w:rStyle w:val="118"/>
          <w:rFonts w:hint="eastAsia" w:ascii="仿宋" w:hAnsi="仿宋" w:eastAsia="仿宋" w:cs="仿宋"/>
          <w:color w:val="auto"/>
          <w:sz w:val="24"/>
          <w:szCs w:val="24"/>
          <w:highlight w:val="none"/>
          <w:lang w:val="zh-TW" w:eastAsia="zh-TW"/>
        </w:rPr>
        <w:t>图形文件采用AutoCAD</w:t>
      </w:r>
      <w:r>
        <w:rPr>
          <w:rStyle w:val="118"/>
          <w:rFonts w:hint="eastAsia" w:ascii="仿宋" w:hAnsi="仿宋" w:eastAsia="仿宋" w:cs="仿宋"/>
          <w:color w:val="auto"/>
          <w:sz w:val="24"/>
          <w:szCs w:val="24"/>
          <w:highlight w:val="none"/>
          <w:lang w:eastAsia="zh-TW"/>
        </w:rPr>
        <w:t>和GIS</w:t>
      </w:r>
      <w:r>
        <w:rPr>
          <w:rStyle w:val="118"/>
          <w:rFonts w:hint="eastAsia" w:ascii="仿宋" w:hAnsi="仿宋" w:eastAsia="仿宋" w:cs="仿宋"/>
          <w:color w:val="auto"/>
          <w:sz w:val="24"/>
          <w:szCs w:val="24"/>
          <w:highlight w:val="none"/>
          <w:lang w:val="zh-TW" w:eastAsia="zh-TW"/>
        </w:rPr>
        <w:t>格式文件，文本文件采用word格式文件。</w:t>
      </w:r>
    </w:p>
    <w:p w14:paraId="6A622BB8">
      <w:pPr>
        <w:spacing w:line="540" w:lineRule="exact"/>
        <w:ind w:firstLine="480" w:firstLineChars="200"/>
        <w:rPr>
          <w:rStyle w:val="118"/>
          <w:rFonts w:hint="eastAsia" w:ascii="仿宋" w:hAnsi="仿宋" w:eastAsia="仿宋" w:cs="仿宋"/>
          <w:color w:val="auto"/>
          <w:sz w:val="24"/>
          <w:szCs w:val="24"/>
          <w:highlight w:val="none"/>
          <w:lang w:eastAsia="zh-TW"/>
        </w:rPr>
      </w:pPr>
      <w:r>
        <w:rPr>
          <w:rStyle w:val="118"/>
          <w:rFonts w:hint="eastAsia" w:ascii="仿宋" w:hAnsi="仿宋" w:eastAsia="仿宋" w:cs="仿宋"/>
          <w:color w:val="auto"/>
          <w:sz w:val="24"/>
          <w:szCs w:val="24"/>
          <w:highlight w:val="none"/>
          <w:lang w:eastAsia="zh-TW"/>
        </w:rPr>
        <w:t>（三）数据库：</w:t>
      </w:r>
    </w:p>
    <w:p w14:paraId="5334253C">
      <w:pPr>
        <w:spacing w:line="540" w:lineRule="exact"/>
        <w:ind w:firstLine="480" w:firstLineChars="200"/>
        <w:rPr>
          <w:rStyle w:val="118"/>
          <w:rFonts w:hint="eastAsia" w:ascii="仿宋" w:hAnsi="仿宋" w:eastAsia="仿宋" w:cs="仿宋"/>
          <w:color w:val="auto"/>
          <w:sz w:val="24"/>
          <w:szCs w:val="24"/>
          <w:highlight w:val="none"/>
        </w:rPr>
      </w:pPr>
      <w:r>
        <w:rPr>
          <w:rStyle w:val="118"/>
          <w:rFonts w:hint="eastAsia" w:ascii="仿宋" w:hAnsi="仿宋" w:eastAsia="仿宋" w:cs="仿宋"/>
          <w:color w:val="auto"/>
          <w:sz w:val="24"/>
          <w:szCs w:val="24"/>
          <w:highlight w:val="none"/>
        </w:rPr>
        <w:t>详细规划数据库是国土空间规划“一张图”实施监督信息系统的重要组成部分，需在详细规划编制过程中同步建立规划成果数据库，并整合到国土空间基础信息平台，数据库</w:t>
      </w:r>
      <w:r>
        <w:rPr>
          <w:rStyle w:val="118"/>
          <w:rFonts w:hint="eastAsia" w:ascii="仿宋" w:hAnsi="仿宋" w:eastAsia="仿宋" w:cs="仿宋"/>
          <w:color w:val="auto"/>
          <w:sz w:val="24"/>
          <w:szCs w:val="24"/>
          <w:highlight w:val="none"/>
          <w:lang w:val="zh-TW"/>
        </w:rPr>
        <w:t>需满足国土空间详细规划</w:t>
      </w:r>
      <w:r>
        <w:rPr>
          <w:rStyle w:val="118"/>
          <w:rFonts w:hint="eastAsia" w:ascii="仿宋" w:hAnsi="仿宋" w:eastAsia="仿宋" w:cs="仿宋"/>
          <w:color w:val="auto"/>
          <w:sz w:val="24"/>
          <w:szCs w:val="24"/>
          <w:highlight w:val="none"/>
        </w:rPr>
        <w:t>最新</w:t>
      </w:r>
      <w:r>
        <w:rPr>
          <w:rStyle w:val="118"/>
          <w:rFonts w:hint="eastAsia" w:ascii="仿宋" w:hAnsi="仿宋" w:eastAsia="仿宋" w:cs="仿宋"/>
          <w:color w:val="auto"/>
          <w:sz w:val="24"/>
          <w:szCs w:val="24"/>
          <w:highlight w:val="none"/>
          <w:lang w:val="zh-TW"/>
        </w:rPr>
        <w:t>数据库入库要求</w:t>
      </w:r>
      <w:r>
        <w:rPr>
          <w:rStyle w:val="118"/>
          <w:rFonts w:hint="eastAsia" w:ascii="仿宋" w:hAnsi="仿宋" w:eastAsia="仿宋" w:cs="仿宋"/>
          <w:color w:val="auto"/>
          <w:sz w:val="24"/>
          <w:szCs w:val="24"/>
          <w:highlight w:val="none"/>
        </w:rPr>
        <w:t>并完成入库</w:t>
      </w:r>
      <w:r>
        <w:rPr>
          <w:rStyle w:val="118"/>
          <w:rFonts w:hint="eastAsia" w:ascii="仿宋" w:hAnsi="仿宋" w:eastAsia="仿宋" w:cs="仿宋"/>
          <w:color w:val="auto"/>
          <w:sz w:val="24"/>
          <w:szCs w:val="24"/>
          <w:highlight w:val="none"/>
          <w:lang w:val="zh-TW"/>
        </w:rPr>
        <w:t>。</w:t>
      </w:r>
    </w:p>
    <w:p w14:paraId="12853E26">
      <w:pPr>
        <w:spacing w:line="540" w:lineRule="exact"/>
        <w:rPr>
          <w:rStyle w:val="118"/>
          <w:rFonts w:hint="eastAsia" w:ascii="仿宋" w:hAnsi="仿宋" w:eastAsia="仿宋" w:cs="仿宋"/>
          <w:b/>
          <w:bCs/>
          <w:color w:val="auto"/>
          <w:sz w:val="28"/>
          <w:szCs w:val="28"/>
          <w:highlight w:val="none"/>
        </w:rPr>
      </w:pPr>
      <w:r>
        <w:rPr>
          <w:rStyle w:val="118"/>
          <w:rFonts w:hint="eastAsia" w:ascii="仿宋" w:hAnsi="仿宋" w:eastAsia="仿宋" w:cs="仿宋"/>
          <w:b/>
          <w:bCs/>
          <w:color w:val="auto"/>
          <w:sz w:val="28"/>
          <w:szCs w:val="28"/>
          <w:highlight w:val="none"/>
        </w:rPr>
        <w:t>五、其他</w:t>
      </w:r>
    </w:p>
    <w:p w14:paraId="1CADF8FF">
      <w:pPr>
        <w:spacing w:line="540" w:lineRule="exact"/>
        <w:ind w:firstLine="480" w:firstLineChars="200"/>
        <w:rPr>
          <w:rStyle w:val="118"/>
          <w:rFonts w:hint="eastAsia" w:ascii="仿宋" w:hAnsi="仿宋" w:eastAsia="仿宋" w:cs="仿宋"/>
          <w:color w:val="auto"/>
          <w:sz w:val="24"/>
          <w:szCs w:val="24"/>
          <w:highlight w:val="none"/>
        </w:rPr>
      </w:pPr>
      <w:r>
        <w:rPr>
          <w:rStyle w:val="118"/>
          <w:rFonts w:hint="eastAsia" w:ascii="仿宋" w:hAnsi="仿宋" w:eastAsia="仿宋" w:cs="仿宋"/>
          <w:color w:val="auto"/>
          <w:sz w:val="24"/>
          <w:szCs w:val="24"/>
          <w:highlight w:val="none"/>
        </w:rPr>
        <w:t>（一）中标供应商对本项目所涉及的图纸资料、业务数据、往来文件等资料有保密义务和责任，否则应承担相应的法律责任。</w:t>
      </w:r>
    </w:p>
    <w:p w14:paraId="59360329">
      <w:pPr>
        <w:spacing w:line="540" w:lineRule="exact"/>
        <w:ind w:firstLine="480" w:firstLineChars="200"/>
        <w:rPr>
          <w:rStyle w:val="118"/>
          <w:rFonts w:hint="eastAsia" w:ascii="仿宋" w:hAnsi="仿宋" w:eastAsia="仿宋" w:cs="仿宋"/>
          <w:color w:val="auto"/>
          <w:sz w:val="24"/>
          <w:szCs w:val="24"/>
          <w:highlight w:val="none"/>
        </w:rPr>
      </w:pPr>
      <w:r>
        <w:rPr>
          <w:rStyle w:val="118"/>
          <w:rFonts w:hint="eastAsia" w:ascii="仿宋" w:hAnsi="仿宋" w:eastAsia="仿宋" w:cs="仿宋"/>
          <w:color w:val="auto"/>
          <w:sz w:val="24"/>
          <w:szCs w:val="24"/>
          <w:highlight w:val="none"/>
        </w:rPr>
        <w:t>（二）付款方式：按其合同约定支付。</w:t>
      </w:r>
    </w:p>
    <w:p w14:paraId="08242266">
      <w:pPr>
        <w:spacing w:line="540" w:lineRule="exact"/>
        <w:ind w:firstLine="480" w:firstLineChars="200"/>
        <w:rPr>
          <w:rStyle w:val="118"/>
          <w:rFonts w:hint="eastAsia" w:ascii="仿宋" w:hAnsi="仿宋" w:eastAsia="仿宋" w:cs="仿宋"/>
          <w:color w:val="auto"/>
          <w:sz w:val="24"/>
          <w:szCs w:val="24"/>
          <w:highlight w:val="none"/>
        </w:rPr>
      </w:pPr>
      <w:r>
        <w:rPr>
          <w:rStyle w:val="118"/>
          <w:rFonts w:hint="eastAsia" w:ascii="仿宋" w:hAnsi="仿宋" w:eastAsia="仿宋" w:cs="仿宋"/>
          <w:color w:val="auto"/>
          <w:sz w:val="24"/>
          <w:szCs w:val="24"/>
          <w:highlight w:val="none"/>
        </w:rPr>
        <w:t>（三）人员服务要求：在服务过程中，中标供应商应派出合理人员组成工作小组，在采购人的委托下严格按照国家法律、法规、规章和政策实施相关工作。由于本项目实施难度、投入工作量预计较大，中标供应商必须配备沟通能力强、业务能力强的相关工作人员参与，确保工作的质量。项目负责人必须全程参与、跟踪、统筹工作，准确掌握项目进展情况。拟投入本项目人员配备符合本项目实际需求，是本单位的在职人员。</w:t>
      </w:r>
    </w:p>
    <w:p w14:paraId="6D48691C">
      <w:pPr>
        <w:spacing w:line="540" w:lineRule="exact"/>
        <w:ind w:firstLine="480" w:firstLineChars="200"/>
        <w:rPr>
          <w:rStyle w:val="118"/>
          <w:rFonts w:hint="eastAsia" w:ascii="仿宋" w:hAnsi="仿宋" w:eastAsia="仿宋" w:cs="仿宋"/>
          <w:color w:val="auto"/>
          <w:sz w:val="24"/>
          <w:szCs w:val="24"/>
          <w:highlight w:val="none"/>
        </w:rPr>
      </w:pPr>
      <w:r>
        <w:rPr>
          <w:rStyle w:val="118"/>
          <w:rFonts w:hint="eastAsia" w:ascii="仿宋" w:hAnsi="仿宋" w:eastAsia="仿宋" w:cs="仿宋"/>
          <w:color w:val="auto"/>
          <w:sz w:val="24"/>
          <w:szCs w:val="24"/>
          <w:highlight w:val="none"/>
        </w:rPr>
        <w:t>（四）其余未尽事宜根据采购方要求以及项目实际情况完成。</w:t>
      </w:r>
    </w:p>
    <w:p w14:paraId="0DF55102">
      <w:pPr>
        <w:spacing w:line="516" w:lineRule="exact"/>
        <w:ind w:firstLine="420" w:firstLineChars="200"/>
        <w:jc w:val="left"/>
        <w:rPr>
          <w:rFonts w:hint="eastAsia" w:ascii="宋体" w:hAnsi="宋体" w:cs="宋体"/>
          <w:color w:val="auto"/>
          <w:szCs w:val="21"/>
          <w:highlight w:val="none"/>
        </w:rPr>
        <w:sectPr>
          <w:pgSz w:w="11906" w:h="16838"/>
          <w:pgMar w:top="1440" w:right="1349" w:bottom="1440" w:left="1349" w:header="851" w:footer="992" w:gutter="0"/>
          <w:cols w:space="720" w:num="1"/>
          <w:docGrid w:type="lines" w:linePitch="312" w:charSpace="0"/>
        </w:sectPr>
      </w:pPr>
    </w:p>
    <w:p w14:paraId="17317AB1">
      <w:pPr>
        <w:rPr>
          <w:color w:val="auto"/>
          <w:highlight w:val="none"/>
        </w:rPr>
      </w:pPr>
    </w:p>
    <w:p w14:paraId="603C9E48">
      <w:pPr>
        <w:pStyle w:val="3"/>
        <w:wordWrap w:val="0"/>
        <w:snapToGrid w:val="0"/>
        <w:spacing w:before="0" w:line="240" w:lineRule="auto"/>
        <w:jc w:val="center"/>
        <w:rPr>
          <w:rFonts w:hint="eastAsia" w:ascii="仿宋" w:hAnsi="仿宋" w:eastAsia="仿宋" w:cs="仿宋"/>
          <w:bCs/>
          <w:caps/>
          <w:color w:val="auto"/>
          <w:sz w:val="32"/>
          <w:szCs w:val="32"/>
          <w:highlight w:val="none"/>
        </w:rPr>
      </w:pPr>
      <w:bookmarkStart w:id="68" w:name="_Toc14707"/>
      <w:r>
        <w:rPr>
          <w:rFonts w:hint="eastAsia" w:ascii="仿宋" w:hAnsi="仿宋" w:eastAsia="仿宋" w:cs="仿宋"/>
          <w:bCs/>
          <w:caps/>
          <w:color w:val="auto"/>
          <w:sz w:val="32"/>
          <w:szCs w:val="32"/>
          <w:highlight w:val="none"/>
        </w:rPr>
        <w:t>第四章  评标办法（综合评分法）</w:t>
      </w:r>
      <w:bookmarkEnd w:id="67"/>
      <w:bookmarkEnd w:id="68"/>
    </w:p>
    <w:p w14:paraId="10912306">
      <w:pPr>
        <w:pStyle w:val="4"/>
        <w:spacing w:after="0" w:line="240" w:lineRule="auto"/>
        <w:jc w:val="center"/>
        <w:rPr>
          <w:rFonts w:hint="eastAsia" w:ascii="仿宋" w:hAnsi="仿宋" w:eastAsia="仿宋" w:cs="仿宋"/>
          <w:color w:val="auto"/>
          <w:highlight w:val="none"/>
        </w:rPr>
      </w:pPr>
      <w:r>
        <w:rPr>
          <w:rFonts w:hint="eastAsia" w:ascii="仿宋" w:hAnsi="仿宋" w:eastAsia="仿宋" w:cs="仿宋"/>
          <w:bCs/>
          <w:color w:val="auto"/>
          <w:szCs w:val="32"/>
          <w:highlight w:val="none"/>
        </w:rPr>
        <w:t>评标方法前附表</w:t>
      </w:r>
    </w:p>
    <w:tbl>
      <w:tblPr>
        <w:tblStyle w:val="35"/>
        <w:tblpPr w:leftFromText="180" w:rightFromText="180" w:vertAnchor="text" w:horzAnchor="page" w:tblpX="1117" w:tblpY="478"/>
        <w:tblOverlap w:val="never"/>
        <w:tblW w:w="10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041"/>
        <w:gridCol w:w="2175"/>
        <w:gridCol w:w="6338"/>
      </w:tblGrid>
      <w:tr w14:paraId="4EFC0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96" w:type="dxa"/>
            <w:gridSpan w:val="2"/>
            <w:vAlign w:val="center"/>
          </w:tcPr>
          <w:p w14:paraId="2AF9621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条款号</w:t>
            </w:r>
          </w:p>
        </w:tc>
        <w:tc>
          <w:tcPr>
            <w:tcW w:w="2175" w:type="dxa"/>
            <w:vAlign w:val="center"/>
          </w:tcPr>
          <w:p w14:paraId="3C35D09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评审内容</w:t>
            </w:r>
          </w:p>
        </w:tc>
        <w:tc>
          <w:tcPr>
            <w:tcW w:w="6338" w:type="dxa"/>
            <w:vAlign w:val="center"/>
          </w:tcPr>
          <w:p w14:paraId="778F494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评审标准</w:t>
            </w:r>
          </w:p>
        </w:tc>
      </w:tr>
      <w:tr w14:paraId="667A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restart"/>
            <w:vAlign w:val="center"/>
          </w:tcPr>
          <w:p w14:paraId="36B6C4E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1041" w:type="dxa"/>
            <w:vMerge w:val="restart"/>
            <w:vAlign w:val="center"/>
          </w:tcPr>
          <w:p w14:paraId="1CACC59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资格审查标准</w:t>
            </w:r>
          </w:p>
        </w:tc>
        <w:tc>
          <w:tcPr>
            <w:tcW w:w="2175" w:type="dxa"/>
            <w:vAlign w:val="center"/>
          </w:tcPr>
          <w:p w14:paraId="2B25B68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具有独立承担民事责任的能力</w:t>
            </w:r>
          </w:p>
        </w:tc>
        <w:tc>
          <w:tcPr>
            <w:tcW w:w="6338" w:type="dxa"/>
            <w:vAlign w:val="center"/>
          </w:tcPr>
          <w:p w14:paraId="60D8567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提供自然人有效身份证明或法人或者其他组织有效的营业执照等证明文件</w:t>
            </w:r>
            <w:r>
              <w:rPr>
                <w:rFonts w:hint="eastAsia" w:ascii="仿宋" w:hAnsi="仿宋" w:eastAsia="仿宋" w:cs="仿宋"/>
                <w:color w:val="auto"/>
                <w:sz w:val="24"/>
                <w:szCs w:val="24"/>
                <w:highlight w:val="none"/>
              </w:rPr>
              <w:t>。</w:t>
            </w:r>
          </w:p>
        </w:tc>
      </w:tr>
      <w:tr w14:paraId="1F789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continue"/>
            <w:vAlign w:val="center"/>
          </w:tcPr>
          <w:p w14:paraId="7A69D462">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49059A54">
            <w:pPr>
              <w:spacing w:line="360" w:lineRule="auto"/>
              <w:jc w:val="center"/>
              <w:rPr>
                <w:rFonts w:hint="eastAsia" w:ascii="仿宋" w:hAnsi="仿宋" w:eastAsia="仿宋" w:cs="仿宋"/>
                <w:color w:val="auto"/>
                <w:sz w:val="24"/>
                <w:szCs w:val="24"/>
                <w:highlight w:val="none"/>
              </w:rPr>
            </w:pPr>
          </w:p>
        </w:tc>
        <w:tc>
          <w:tcPr>
            <w:tcW w:w="2175" w:type="dxa"/>
            <w:vAlign w:val="center"/>
          </w:tcPr>
          <w:p w14:paraId="76FE638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具有良好的商业信誉和健全的财务会计制度</w:t>
            </w:r>
          </w:p>
        </w:tc>
        <w:tc>
          <w:tcPr>
            <w:tcW w:w="6338" w:type="dxa"/>
            <w:vAlign w:val="center"/>
          </w:tcPr>
          <w:p w14:paraId="183E0CA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具有良好的商业信誉和健全的财务会计制度，提供2024年 经会计师事务所或审计机构审计的财务报表及审计报告（包括资产负债表、损益表（利润表）和现金流量表），若</w:t>
            </w:r>
            <w:r>
              <w:rPr>
                <w:rFonts w:hint="eastAsia" w:ascii="仿宋" w:hAnsi="仿宋" w:eastAsia="仿宋" w:cs="仿宋"/>
                <w:color w:val="auto"/>
                <w:sz w:val="24"/>
                <w:szCs w:val="24"/>
                <w:highlight w:val="none"/>
              </w:rPr>
              <w:t>供应商成立不足一年的，</w:t>
            </w:r>
            <w:r>
              <w:rPr>
                <w:rFonts w:hint="eastAsia" w:ascii="仿宋" w:hAnsi="仿宋" w:eastAsia="仿宋" w:cs="仿宋"/>
                <w:caps/>
                <w:color w:val="auto"/>
                <w:sz w:val="24"/>
                <w:szCs w:val="24"/>
                <w:highlight w:val="none"/>
              </w:rPr>
              <w:t>提供自投标文件提交截止时间前三个月内基本开户银行出具的资信证明或资金存款证明</w:t>
            </w:r>
            <w:r>
              <w:rPr>
                <w:rFonts w:hint="eastAsia" w:ascii="仿宋" w:hAnsi="仿宋" w:eastAsia="仿宋" w:cs="仿宋"/>
                <w:color w:val="auto"/>
                <w:sz w:val="24"/>
                <w:highlight w:val="none"/>
              </w:rPr>
              <w:t>。</w:t>
            </w:r>
          </w:p>
        </w:tc>
      </w:tr>
      <w:tr w14:paraId="0DB6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855" w:type="dxa"/>
            <w:vMerge w:val="continue"/>
            <w:vAlign w:val="center"/>
          </w:tcPr>
          <w:p w14:paraId="6FC8025C">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670F81AD">
            <w:pPr>
              <w:spacing w:line="360" w:lineRule="auto"/>
              <w:jc w:val="center"/>
              <w:rPr>
                <w:rFonts w:hint="eastAsia" w:ascii="仿宋" w:hAnsi="仿宋" w:eastAsia="仿宋" w:cs="仿宋"/>
                <w:color w:val="auto"/>
                <w:sz w:val="24"/>
                <w:szCs w:val="24"/>
                <w:highlight w:val="none"/>
              </w:rPr>
            </w:pPr>
          </w:p>
        </w:tc>
        <w:tc>
          <w:tcPr>
            <w:tcW w:w="2175" w:type="dxa"/>
            <w:vAlign w:val="center"/>
          </w:tcPr>
          <w:p w14:paraId="58EEA63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具有履行合同所必需的设备和专业技术能力</w:t>
            </w:r>
          </w:p>
        </w:tc>
        <w:tc>
          <w:tcPr>
            <w:tcW w:w="6338" w:type="dxa"/>
            <w:vAlign w:val="center"/>
          </w:tcPr>
          <w:p w14:paraId="566C2436">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提供供应商具有履行合同所必需的设备和专业技术能力证明材料或书面声明。</w:t>
            </w:r>
          </w:p>
        </w:tc>
      </w:tr>
      <w:tr w14:paraId="2AC2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3" w:hRule="atLeast"/>
        </w:trPr>
        <w:tc>
          <w:tcPr>
            <w:tcW w:w="855" w:type="dxa"/>
            <w:vMerge w:val="continue"/>
            <w:vAlign w:val="center"/>
          </w:tcPr>
          <w:p w14:paraId="1CEA94EF">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6E605BEE">
            <w:pPr>
              <w:spacing w:line="360" w:lineRule="auto"/>
              <w:jc w:val="center"/>
              <w:rPr>
                <w:rFonts w:hint="eastAsia" w:ascii="仿宋" w:hAnsi="仿宋" w:eastAsia="仿宋" w:cs="仿宋"/>
                <w:color w:val="auto"/>
                <w:sz w:val="24"/>
                <w:szCs w:val="24"/>
                <w:highlight w:val="none"/>
              </w:rPr>
            </w:pPr>
          </w:p>
        </w:tc>
        <w:tc>
          <w:tcPr>
            <w:tcW w:w="2175" w:type="dxa"/>
            <w:vAlign w:val="center"/>
          </w:tcPr>
          <w:p w14:paraId="01B3A1C4">
            <w:pPr>
              <w:pStyle w:val="2"/>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6338" w:type="dxa"/>
            <w:vAlign w:val="center"/>
          </w:tcPr>
          <w:p w14:paraId="635189AF">
            <w:pPr>
              <w:spacing w:line="360" w:lineRule="auto"/>
              <w:ind w:firstLine="486" w:firstLineChars="200"/>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①税收要求：</w:t>
            </w:r>
            <w:r>
              <w:rPr>
                <w:rFonts w:hint="eastAsia" w:ascii="仿宋" w:hAnsi="仿宋" w:eastAsia="仿宋" w:cs="仿宋"/>
                <w:color w:val="auto"/>
                <w:sz w:val="24"/>
                <w:szCs w:val="24"/>
                <w:highlight w:val="none"/>
              </w:rPr>
              <w:t>提供供应商缴税所属时间在2024年7月至本项目截至投标（响应）文件递交时间前任意1个月的税务局税收通用缴款书或银行电子缴税（费）凭证或税务局出具纳税情况的相关证明，依法免税的，应提供依法免税的相关证明文件；供应商成立不足一年的，无需提供;</w:t>
            </w:r>
          </w:p>
          <w:p w14:paraId="4A1BE23B">
            <w:pPr>
              <w:spacing w:line="360" w:lineRule="auto"/>
              <w:ind w:firstLine="486" w:firstLineChars="200"/>
              <w:rPr>
                <w:rFonts w:hint="eastAsia" w:ascii="仿宋" w:hAnsi="仿宋" w:eastAsia="仿宋" w:cs="仿宋"/>
                <w:bCs/>
                <w:color w:val="auto"/>
                <w:sz w:val="24"/>
                <w:szCs w:val="24"/>
                <w:highlight w:val="none"/>
              </w:rPr>
            </w:pPr>
            <w:r>
              <w:rPr>
                <w:rFonts w:hint="eastAsia" w:ascii="仿宋" w:hAnsi="仿宋" w:eastAsia="仿宋" w:cs="仿宋"/>
                <w:b/>
                <w:bCs/>
                <w:color w:val="auto"/>
                <w:spacing w:val="1"/>
                <w:sz w:val="24"/>
                <w:szCs w:val="24"/>
                <w:highlight w:val="none"/>
              </w:rPr>
              <w:t>②社保要求：</w:t>
            </w:r>
            <w:r>
              <w:rPr>
                <w:rFonts w:hint="eastAsia" w:ascii="仿宋" w:hAnsi="仿宋" w:eastAsia="仿宋" w:cs="仿宋"/>
                <w:color w:val="auto"/>
                <w:sz w:val="24"/>
                <w:szCs w:val="24"/>
                <w:highlight w:val="none"/>
              </w:rPr>
              <w:t>提供供应商缴费所属时间在2024年7月至本项目截至投标（响应）文件递交时间前任意1个月的社会保险费缴款书或银行电子缴税（费）凭证或社保管理部门出具的有效的缴款证明，依法免缴的，应提供依法免缴的相关证明文件；供应商成立不足一年的，无需提供。</w:t>
            </w:r>
          </w:p>
        </w:tc>
      </w:tr>
      <w:tr w14:paraId="3DB3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55" w:type="dxa"/>
            <w:vMerge w:val="continue"/>
            <w:vAlign w:val="center"/>
          </w:tcPr>
          <w:p w14:paraId="0F086214">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4FA74CAA">
            <w:pPr>
              <w:spacing w:line="360" w:lineRule="auto"/>
              <w:jc w:val="center"/>
              <w:rPr>
                <w:rFonts w:hint="eastAsia" w:ascii="仿宋" w:hAnsi="仿宋" w:eastAsia="仿宋" w:cs="仿宋"/>
                <w:color w:val="auto"/>
                <w:sz w:val="24"/>
                <w:szCs w:val="24"/>
                <w:highlight w:val="none"/>
              </w:rPr>
            </w:pPr>
          </w:p>
        </w:tc>
        <w:tc>
          <w:tcPr>
            <w:tcW w:w="2175" w:type="dxa"/>
            <w:vAlign w:val="center"/>
          </w:tcPr>
          <w:p w14:paraId="603506D3">
            <w:pPr>
              <w:pStyle w:val="2"/>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参加政府采购活动前三年内，在经营活动中没有重大违法记录</w:t>
            </w:r>
          </w:p>
        </w:tc>
        <w:tc>
          <w:tcPr>
            <w:tcW w:w="6338" w:type="dxa"/>
            <w:vAlign w:val="center"/>
          </w:tcPr>
          <w:p w14:paraId="6D53AA29">
            <w:pPr>
              <w:pStyle w:val="2"/>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供应商参与本次政府采购活动前三年内，在经营活动中没有重大违法记录（重大违法记录是指响应人因违法经营受到刑事处罚或者责令停产停业、吊销许可证或者执照、较大数额罚款等行政处罚）的书面声明</w:t>
            </w:r>
            <w:r>
              <w:rPr>
                <w:rFonts w:hint="eastAsia" w:ascii="仿宋" w:hAnsi="仿宋" w:eastAsia="仿宋" w:cs="仿宋"/>
                <w:bCs/>
                <w:color w:val="auto"/>
                <w:sz w:val="24"/>
                <w:szCs w:val="24"/>
                <w:highlight w:val="none"/>
              </w:rPr>
              <w:t>。</w:t>
            </w:r>
          </w:p>
        </w:tc>
      </w:tr>
      <w:tr w14:paraId="0CCB8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3" w:hRule="atLeast"/>
        </w:trPr>
        <w:tc>
          <w:tcPr>
            <w:tcW w:w="855" w:type="dxa"/>
            <w:vMerge w:val="continue"/>
            <w:vAlign w:val="center"/>
          </w:tcPr>
          <w:p w14:paraId="37E99086">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165A25DF">
            <w:pPr>
              <w:spacing w:line="360" w:lineRule="auto"/>
              <w:jc w:val="center"/>
              <w:rPr>
                <w:rFonts w:hint="eastAsia" w:ascii="仿宋" w:hAnsi="仿宋" w:eastAsia="仿宋" w:cs="仿宋"/>
                <w:color w:val="auto"/>
                <w:sz w:val="24"/>
                <w:szCs w:val="24"/>
                <w:highlight w:val="none"/>
              </w:rPr>
            </w:pPr>
          </w:p>
        </w:tc>
        <w:tc>
          <w:tcPr>
            <w:tcW w:w="2175" w:type="dxa"/>
            <w:vAlign w:val="center"/>
          </w:tcPr>
          <w:p w14:paraId="1B6B908A">
            <w:pPr>
              <w:pStyle w:val="2"/>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6338" w:type="dxa"/>
            <w:vAlign w:val="center"/>
          </w:tcPr>
          <w:p w14:paraId="0894BE46">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①单位负责人为同一人或者存在直接控股、管理关系的不同供应商，不得参加同一合同项下的政府采购活动；</w:t>
            </w:r>
          </w:p>
          <w:p w14:paraId="4D54497D">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②为采购项目提供整体设计、规范编制或者项目管理、监理、检测等服务的供应商，不得再参加该采购项目的其他采购活动；</w:t>
            </w:r>
          </w:p>
          <w:p w14:paraId="359413E2">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③法律、行政法规规定的其他条件。</w:t>
            </w:r>
          </w:p>
        </w:tc>
      </w:tr>
      <w:tr w14:paraId="6A47F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5" w:type="dxa"/>
            <w:vMerge w:val="continue"/>
            <w:vAlign w:val="center"/>
          </w:tcPr>
          <w:p w14:paraId="76DD406A">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20FD1D9E">
            <w:pPr>
              <w:spacing w:line="360" w:lineRule="auto"/>
              <w:jc w:val="center"/>
              <w:rPr>
                <w:rFonts w:hint="eastAsia" w:ascii="仿宋" w:hAnsi="仿宋" w:eastAsia="仿宋" w:cs="仿宋"/>
                <w:color w:val="auto"/>
                <w:sz w:val="24"/>
                <w:szCs w:val="24"/>
                <w:highlight w:val="none"/>
              </w:rPr>
            </w:pPr>
          </w:p>
        </w:tc>
        <w:tc>
          <w:tcPr>
            <w:tcW w:w="2175" w:type="dxa"/>
            <w:vAlign w:val="center"/>
          </w:tcPr>
          <w:p w14:paraId="2965FAA9">
            <w:pPr>
              <w:pStyle w:val="2"/>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截至投标（响应）文件递交时间，未被“信用中国”（www.creditchina.gov.cn）、中国政府采购网（www.ccgp.gov.cn）列入失信被执行人、重大税收违法案件当事人名单、政府采购严重违法失信行为记录名单</w:t>
            </w:r>
          </w:p>
        </w:tc>
        <w:tc>
          <w:tcPr>
            <w:tcW w:w="6338" w:type="dxa"/>
            <w:vAlign w:val="center"/>
          </w:tcPr>
          <w:p w14:paraId="484DEB1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在“信用中国”（www.creditchina.gov.cn）中未被列入：失信被执行人、重大税收违法案件当事人名单（重大税收违法失信主体）、政府采购严重违法失信行为记录名单。②在中国政府采购网（www.ccgp.gov.cn）中未被列入：政府采购严重违法失信行为记录名单。（注：以上网站查询均由采购人或采购代理机构在资格评审时查询，投标人无须提供，若供应商有不良信誉，视为不满足资格要求。）</w:t>
            </w:r>
          </w:p>
          <w:p w14:paraId="70403541">
            <w:pPr>
              <w:pStyle w:val="2"/>
              <w:spacing w:line="360" w:lineRule="auto"/>
              <w:rPr>
                <w:rFonts w:hint="eastAsia" w:ascii="仿宋" w:hAnsi="仿宋" w:eastAsia="仿宋" w:cs="仿宋"/>
                <w:bCs/>
                <w:color w:val="auto"/>
                <w:sz w:val="24"/>
                <w:szCs w:val="24"/>
                <w:highlight w:val="none"/>
              </w:rPr>
            </w:pPr>
          </w:p>
        </w:tc>
      </w:tr>
      <w:tr w14:paraId="34A0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0" w:hRule="atLeast"/>
        </w:trPr>
        <w:tc>
          <w:tcPr>
            <w:tcW w:w="855" w:type="dxa"/>
            <w:vMerge w:val="continue"/>
            <w:vAlign w:val="center"/>
          </w:tcPr>
          <w:p w14:paraId="665DD13A">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3830846C">
            <w:pPr>
              <w:spacing w:line="360" w:lineRule="auto"/>
              <w:jc w:val="center"/>
              <w:rPr>
                <w:rFonts w:hint="eastAsia" w:ascii="仿宋" w:hAnsi="仿宋" w:eastAsia="仿宋" w:cs="仿宋"/>
                <w:color w:val="auto"/>
                <w:sz w:val="24"/>
                <w:szCs w:val="24"/>
                <w:highlight w:val="none"/>
              </w:rPr>
            </w:pPr>
          </w:p>
        </w:tc>
        <w:tc>
          <w:tcPr>
            <w:tcW w:w="2175" w:type="dxa"/>
            <w:vAlign w:val="center"/>
          </w:tcPr>
          <w:p w14:paraId="385501B8">
            <w:pPr>
              <w:pStyle w:val="2"/>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落实政府采购政策需满足的资格要求</w:t>
            </w:r>
          </w:p>
        </w:tc>
        <w:tc>
          <w:tcPr>
            <w:tcW w:w="6338" w:type="dxa"/>
            <w:vAlign w:val="center"/>
          </w:tcPr>
          <w:p w14:paraId="302FCB8F">
            <w:pPr>
              <w:pStyle w:val="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非专门面向中小型企业采购；根据《关于进一步加大政府采购支持中小企业力度的通知》（财库〔2022〕19号），对符合采购文件要求的小型和微型企业给予价格扣除10%，用扣除后的价格参与评审；监狱企业及残疾人福利性单位视同小微企业。</w:t>
            </w:r>
          </w:p>
        </w:tc>
      </w:tr>
      <w:tr w14:paraId="40209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3" w:hRule="atLeast"/>
        </w:trPr>
        <w:tc>
          <w:tcPr>
            <w:tcW w:w="855" w:type="dxa"/>
            <w:vMerge w:val="continue"/>
            <w:vAlign w:val="center"/>
          </w:tcPr>
          <w:p w14:paraId="1CB1718C">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5E5DB916">
            <w:pPr>
              <w:spacing w:line="360" w:lineRule="auto"/>
              <w:jc w:val="center"/>
              <w:rPr>
                <w:rFonts w:hint="eastAsia" w:ascii="仿宋" w:hAnsi="仿宋" w:eastAsia="仿宋" w:cs="仿宋"/>
                <w:color w:val="auto"/>
                <w:sz w:val="24"/>
                <w:szCs w:val="24"/>
                <w:highlight w:val="none"/>
              </w:rPr>
            </w:pPr>
          </w:p>
        </w:tc>
        <w:tc>
          <w:tcPr>
            <w:tcW w:w="2175" w:type="dxa"/>
            <w:vAlign w:val="center"/>
          </w:tcPr>
          <w:p w14:paraId="4C9267CB">
            <w:pPr>
              <w:pStyle w:val="2"/>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本项目的特定资格要求</w:t>
            </w:r>
          </w:p>
        </w:tc>
        <w:tc>
          <w:tcPr>
            <w:tcW w:w="6338" w:type="dxa"/>
            <w:vAlign w:val="center"/>
          </w:tcPr>
          <w:p w14:paraId="27A4B8A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（1）资质要求：供应商须具备有效的城乡规划（国土空间规划）编制乙级及以上资质；</w:t>
            </w:r>
          </w:p>
          <w:p w14:paraId="754DAE32">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（2）拟派项目负责人资格要求：应具有注册城乡规划师证书，具有规划专业高级及以上技术职称，且高职及以上职称履职不低于3年。</w:t>
            </w:r>
          </w:p>
        </w:tc>
      </w:tr>
      <w:tr w14:paraId="6F319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vAlign w:val="center"/>
          </w:tcPr>
          <w:p w14:paraId="3E2DB48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p>
        </w:tc>
        <w:tc>
          <w:tcPr>
            <w:tcW w:w="1041" w:type="dxa"/>
            <w:vMerge w:val="restart"/>
            <w:vAlign w:val="center"/>
          </w:tcPr>
          <w:p w14:paraId="7A728EE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符合性审查标准</w:t>
            </w:r>
          </w:p>
        </w:tc>
        <w:tc>
          <w:tcPr>
            <w:tcW w:w="2175" w:type="dxa"/>
            <w:vAlign w:val="center"/>
          </w:tcPr>
          <w:p w14:paraId="17E03BA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投标报价表</w:t>
            </w:r>
          </w:p>
        </w:tc>
        <w:tc>
          <w:tcPr>
            <w:tcW w:w="6338" w:type="dxa"/>
            <w:vAlign w:val="center"/>
          </w:tcPr>
          <w:p w14:paraId="105D87D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符合第六章“投标文件格式”中报价部分规定的格式及内容。</w:t>
            </w:r>
          </w:p>
        </w:tc>
      </w:tr>
      <w:tr w14:paraId="0C54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855" w:type="dxa"/>
            <w:vMerge w:val="continue"/>
            <w:vAlign w:val="center"/>
          </w:tcPr>
          <w:p w14:paraId="5DA001B9">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5E6EF1B1">
            <w:pPr>
              <w:spacing w:line="360" w:lineRule="auto"/>
              <w:jc w:val="center"/>
              <w:rPr>
                <w:rFonts w:hint="eastAsia" w:ascii="仿宋" w:hAnsi="仿宋" w:eastAsia="仿宋" w:cs="仿宋"/>
                <w:color w:val="auto"/>
                <w:sz w:val="24"/>
                <w:szCs w:val="24"/>
                <w:highlight w:val="none"/>
              </w:rPr>
            </w:pPr>
          </w:p>
        </w:tc>
        <w:tc>
          <w:tcPr>
            <w:tcW w:w="2175" w:type="dxa"/>
            <w:vAlign w:val="center"/>
          </w:tcPr>
          <w:p w14:paraId="613B0B2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6338" w:type="dxa"/>
            <w:vAlign w:val="center"/>
          </w:tcPr>
          <w:p w14:paraId="3128FBE4">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未超过采购预算控制价及最高限价，未出现缺项、漏项，对所有内容作出完整唯一的投标报价。</w:t>
            </w:r>
          </w:p>
        </w:tc>
      </w:tr>
      <w:tr w14:paraId="4338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855" w:type="dxa"/>
            <w:vMerge w:val="continue"/>
            <w:vAlign w:val="center"/>
          </w:tcPr>
          <w:p w14:paraId="14CD9E9E">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2F4AC00F">
            <w:pPr>
              <w:spacing w:line="360" w:lineRule="auto"/>
              <w:jc w:val="center"/>
              <w:rPr>
                <w:rFonts w:hint="eastAsia" w:ascii="仿宋" w:hAnsi="仿宋" w:eastAsia="仿宋" w:cs="仿宋"/>
                <w:color w:val="auto"/>
                <w:sz w:val="24"/>
                <w:szCs w:val="24"/>
                <w:highlight w:val="none"/>
              </w:rPr>
            </w:pPr>
          </w:p>
        </w:tc>
        <w:tc>
          <w:tcPr>
            <w:tcW w:w="2175" w:type="dxa"/>
            <w:vAlign w:val="center"/>
          </w:tcPr>
          <w:p w14:paraId="61B6BCD0">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低于成本价</w:t>
            </w:r>
            <w:r>
              <w:rPr>
                <w:rFonts w:hint="eastAsia" w:ascii="仿宋" w:hAnsi="仿宋" w:eastAsia="仿宋" w:cs="仿宋"/>
                <w:color w:val="auto"/>
                <w:sz w:val="24"/>
                <w:highlight w:val="none"/>
              </w:rPr>
              <mc:AlternateContent>
                <mc:Choice Requires="wps">
                  <w:drawing>
                    <wp:anchor distT="0" distB="0" distL="114300" distR="114300" simplePos="0" relativeHeight="251665408" behindDoc="0" locked="0" layoutInCell="1" hidden="1" allowOverlap="1">
                      <wp:simplePos x="0" y="0"/>
                      <wp:positionH relativeFrom="column">
                        <wp:posOffset>-2861945</wp:posOffset>
                      </wp:positionH>
                      <wp:positionV relativeFrom="paragraph">
                        <wp:posOffset>-793750</wp:posOffset>
                      </wp:positionV>
                      <wp:extent cx="63500" cy="63500"/>
                      <wp:effectExtent l="0" t="0" r="0" b="0"/>
                      <wp:wrapNone/>
                      <wp:docPr id="12" name="KGD_Gobal1" descr="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"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" style="position:absolute;left:0pt;margin-left:-225.35pt;margin-top:-62.5pt;height:5pt;width:5pt;visibility:hidden;z-index:251665408;v-text-anchor:middle;mso-width-relative:page;mso-height-relative:page;" fillcolor="#4F81BD [3204]" filled="t" stroked="t" coordsize="21600,21600" o:gfxdata="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">
                      <v:fill on="t" focussize="0,0"/>
                      <v:stroke weight="2pt" color="#385D8A [3204]" joinstyle="round"/>
                      <v:imagedata o:title=""/>
                      <o:lock v:ext="edit" aspectratio="f"/>
                    </v:rect>
                  </w:pict>
                </mc:Fallback>
              </mc:AlternateContent>
            </w:r>
            <w:r>
              <w:rPr>
                <w:rFonts w:hint="eastAsia" w:ascii="仿宋" w:hAnsi="仿宋" w:eastAsia="仿宋" w:cs="仿宋"/>
                <w:color w:val="auto"/>
                <w:sz w:val="24"/>
                <w:szCs w:val="24"/>
                <w:highlight w:val="none"/>
                <w:lang w:val="zh-CN"/>
              </w:rPr>
              <w:t>的</w:t>
            </w:r>
          </w:p>
          <w:p w14:paraId="3A766EB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情形</w:t>
            </w:r>
          </w:p>
        </w:tc>
        <w:tc>
          <w:tcPr>
            <w:tcW w:w="6338" w:type="dxa"/>
            <w:vAlign w:val="center"/>
          </w:tcPr>
          <w:p w14:paraId="6C819B85">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评标委员会认为存在低于成本价投标的情况。</w:t>
            </w:r>
          </w:p>
        </w:tc>
      </w:tr>
      <w:tr w14:paraId="0034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5F88C9E4">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1DB62611">
            <w:pPr>
              <w:spacing w:line="360" w:lineRule="auto"/>
              <w:jc w:val="center"/>
              <w:rPr>
                <w:rFonts w:hint="eastAsia" w:ascii="仿宋" w:hAnsi="仿宋" w:eastAsia="仿宋" w:cs="仿宋"/>
                <w:color w:val="auto"/>
                <w:sz w:val="24"/>
                <w:szCs w:val="24"/>
                <w:highlight w:val="none"/>
              </w:rPr>
            </w:pPr>
          </w:p>
        </w:tc>
        <w:tc>
          <w:tcPr>
            <w:tcW w:w="2175" w:type="dxa"/>
            <w:vAlign w:val="center"/>
          </w:tcPr>
          <w:p w14:paraId="6FDF25C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投标函</w:t>
            </w:r>
          </w:p>
        </w:tc>
        <w:tc>
          <w:tcPr>
            <w:tcW w:w="6338" w:type="dxa"/>
            <w:vAlign w:val="center"/>
          </w:tcPr>
          <w:p w14:paraId="5EB927B2">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符合第六章“投标文件格式”中投标函规定的格式及内容。</w:t>
            </w:r>
          </w:p>
        </w:tc>
      </w:tr>
      <w:tr w14:paraId="7C3D6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855" w:type="dxa"/>
            <w:vMerge w:val="continue"/>
            <w:vAlign w:val="center"/>
          </w:tcPr>
          <w:p w14:paraId="02D4D928">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3A9B89DB">
            <w:pPr>
              <w:spacing w:line="360" w:lineRule="auto"/>
              <w:jc w:val="center"/>
              <w:rPr>
                <w:rFonts w:hint="eastAsia" w:ascii="仿宋" w:hAnsi="仿宋" w:eastAsia="仿宋" w:cs="仿宋"/>
                <w:color w:val="auto"/>
                <w:sz w:val="24"/>
                <w:szCs w:val="24"/>
                <w:highlight w:val="none"/>
              </w:rPr>
            </w:pPr>
          </w:p>
        </w:tc>
        <w:tc>
          <w:tcPr>
            <w:tcW w:w="2175" w:type="dxa"/>
            <w:vAlign w:val="center"/>
          </w:tcPr>
          <w:p w14:paraId="7C0472D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投标有效期</w:t>
            </w:r>
          </w:p>
        </w:tc>
        <w:tc>
          <w:tcPr>
            <w:tcW w:w="6338" w:type="dxa"/>
            <w:vAlign w:val="center"/>
          </w:tcPr>
          <w:p w14:paraId="51B7337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投标有效期须满足采购文件要求。</w:t>
            </w:r>
          </w:p>
        </w:tc>
      </w:tr>
      <w:tr w14:paraId="202E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855" w:type="dxa"/>
            <w:vMerge w:val="continue"/>
            <w:vAlign w:val="center"/>
          </w:tcPr>
          <w:p w14:paraId="5AC6861D">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0D13F80E">
            <w:pPr>
              <w:spacing w:line="360" w:lineRule="auto"/>
              <w:jc w:val="center"/>
              <w:rPr>
                <w:rFonts w:hint="eastAsia" w:ascii="仿宋" w:hAnsi="仿宋" w:eastAsia="仿宋" w:cs="仿宋"/>
                <w:color w:val="auto"/>
                <w:sz w:val="24"/>
                <w:szCs w:val="24"/>
                <w:highlight w:val="none"/>
              </w:rPr>
            </w:pPr>
          </w:p>
        </w:tc>
        <w:tc>
          <w:tcPr>
            <w:tcW w:w="2175" w:type="dxa"/>
            <w:vAlign w:val="center"/>
          </w:tcPr>
          <w:p w14:paraId="521FEBA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338" w:type="dxa"/>
            <w:vAlign w:val="center"/>
          </w:tcPr>
          <w:p w14:paraId="2DA14DB3">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  供应商须知前附表 ”第3.4项规定。</w:t>
            </w:r>
          </w:p>
        </w:tc>
      </w:tr>
      <w:tr w14:paraId="20E7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855" w:type="dxa"/>
            <w:vMerge w:val="continue"/>
            <w:vAlign w:val="center"/>
          </w:tcPr>
          <w:p w14:paraId="375EF5AD">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5103C450">
            <w:pPr>
              <w:spacing w:line="360" w:lineRule="auto"/>
              <w:jc w:val="center"/>
              <w:rPr>
                <w:rFonts w:hint="eastAsia" w:ascii="仿宋" w:hAnsi="仿宋" w:eastAsia="仿宋" w:cs="仿宋"/>
                <w:color w:val="auto"/>
                <w:sz w:val="24"/>
                <w:szCs w:val="24"/>
                <w:highlight w:val="none"/>
              </w:rPr>
            </w:pPr>
          </w:p>
        </w:tc>
        <w:tc>
          <w:tcPr>
            <w:tcW w:w="2175" w:type="dxa"/>
            <w:vAlign w:val="center"/>
          </w:tcPr>
          <w:p w14:paraId="188F226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投标文件格式</w:t>
            </w:r>
          </w:p>
        </w:tc>
        <w:tc>
          <w:tcPr>
            <w:tcW w:w="6338" w:type="dxa"/>
            <w:vAlign w:val="center"/>
          </w:tcPr>
          <w:p w14:paraId="4628A8F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符合第六章“投标文件格式”规定的内容及格式。</w:t>
            </w:r>
          </w:p>
        </w:tc>
      </w:tr>
      <w:tr w14:paraId="7409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6D7C49C7">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54275027">
            <w:pPr>
              <w:spacing w:line="360" w:lineRule="auto"/>
              <w:jc w:val="center"/>
              <w:rPr>
                <w:rFonts w:hint="eastAsia" w:ascii="仿宋" w:hAnsi="仿宋" w:eastAsia="仿宋" w:cs="仿宋"/>
                <w:color w:val="auto"/>
                <w:sz w:val="24"/>
                <w:szCs w:val="24"/>
                <w:highlight w:val="none"/>
              </w:rPr>
            </w:pPr>
          </w:p>
        </w:tc>
        <w:tc>
          <w:tcPr>
            <w:tcW w:w="2175" w:type="dxa"/>
            <w:vAlign w:val="center"/>
          </w:tcPr>
          <w:p w14:paraId="033AC190">
            <w:pPr>
              <w:pStyle w:val="14"/>
              <w:spacing w:after="0" w:line="500" w:lineRule="exact"/>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投标文件签署</w:t>
            </w:r>
          </w:p>
        </w:tc>
        <w:tc>
          <w:tcPr>
            <w:tcW w:w="6338" w:type="dxa"/>
          </w:tcPr>
          <w:p w14:paraId="0020592E">
            <w:pPr>
              <w:pStyle w:val="14"/>
              <w:spacing w:after="0" w:line="500" w:lineRule="exact"/>
              <w:ind w:left="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符合第二章“供应商须知  供应商须知前附表 ”第3.6.4项规定。</w:t>
            </w:r>
          </w:p>
        </w:tc>
      </w:tr>
      <w:tr w14:paraId="2813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39C0CB6C">
            <w:pPr>
              <w:spacing w:line="360" w:lineRule="auto"/>
              <w:jc w:val="center"/>
              <w:rPr>
                <w:rFonts w:hint="eastAsia" w:ascii="仿宋" w:hAnsi="仿宋" w:eastAsia="仿宋" w:cs="仿宋"/>
                <w:color w:val="auto"/>
                <w:sz w:val="24"/>
                <w:szCs w:val="24"/>
                <w:highlight w:val="none"/>
              </w:rPr>
            </w:pPr>
          </w:p>
        </w:tc>
        <w:tc>
          <w:tcPr>
            <w:tcW w:w="1041" w:type="dxa"/>
            <w:vMerge w:val="continue"/>
            <w:vAlign w:val="center"/>
          </w:tcPr>
          <w:p w14:paraId="3448B5F1">
            <w:pPr>
              <w:spacing w:line="360" w:lineRule="auto"/>
              <w:rPr>
                <w:rFonts w:hint="eastAsia" w:ascii="仿宋" w:hAnsi="仿宋" w:eastAsia="仿宋" w:cs="仿宋"/>
                <w:color w:val="auto"/>
                <w:sz w:val="24"/>
                <w:szCs w:val="24"/>
                <w:highlight w:val="none"/>
              </w:rPr>
            </w:pPr>
          </w:p>
        </w:tc>
        <w:tc>
          <w:tcPr>
            <w:tcW w:w="2175" w:type="dxa"/>
            <w:vAlign w:val="center"/>
          </w:tcPr>
          <w:p w14:paraId="6478B1DF">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其它实质性</w:t>
            </w:r>
          </w:p>
          <w:p w14:paraId="054C914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要求</w:t>
            </w:r>
          </w:p>
        </w:tc>
        <w:tc>
          <w:tcPr>
            <w:tcW w:w="6338" w:type="dxa"/>
            <w:vAlign w:val="center"/>
          </w:tcPr>
          <w:p w14:paraId="656D2AE6">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投标文件未出现其他不满足采购文件条款内容且未出现采购文件规定的其他投标无效情形。</w:t>
            </w:r>
          </w:p>
        </w:tc>
      </w:tr>
      <w:tr w14:paraId="3625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855" w:type="dxa"/>
            <w:vMerge w:val="restart"/>
            <w:vAlign w:val="center"/>
          </w:tcPr>
          <w:p w14:paraId="16E9E33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1041" w:type="dxa"/>
            <w:vMerge w:val="restart"/>
            <w:vAlign w:val="center"/>
          </w:tcPr>
          <w:p w14:paraId="25BF5CB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分值构成与评分标准</w:t>
            </w:r>
          </w:p>
        </w:tc>
        <w:tc>
          <w:tcPr>
            <w:tcW w:w="2175" w:type="dxa"/>
            <w:vAlign w:val="center"/>
          </w:tcPr>
          <w:p w14:paraId="3954FC93">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评标总得分计算公式</w:t>
            </w:r>
          </w:p>
        </w:tc>
        <w:tc>
          <w:tcPr>
            <w:tcW w:w="6338" w:type="dxa"/>
            <w:vAlign w:val="center"/>
          </w:tcPr>
          <w:p w14:paraId="0C6A654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供应商的评标总得分＝F1＋F2</w:t>
            </w:r>
          </w:p>
          <w:p w14:paraId="68BD02E7">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其中：F1为投标报价得分、F2为商务技术部分得分。</w:t>
            </w:r>
          </w:p>
        </w:tc>
      </w:tr>
      <w:tr w14:paraId="6F3C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trPr>
        <w:tc>
          <w:tcPr>
            <w:tcW w:w="855" w:type="dxa"/>
            <w:vMerge w:val="continue"/>
            <w:vAlign w:val="center"/>
          </w:tcPr>
          <w:p w14:paraId="4E1A9851">
            <w:pPr>
              <w:spacing w:line="360" w:lineRule="auto"/>
              <w:rPr>
                <w:rFonts w:hint="eastAsia" w:ascii="仿宋" w:hAnsi="仿宋" w:eastAsia="仿宋" w:cs="仿宋"/>
                <w:color w:val="auto"/>
                <w:sz w:val="24"/>
                <w:szCs w:val="24"/>
                <w:highlight w:val="none"/>
              </w:rPr>
            </w:pPr>
          </w:p>
        </w:tc>
        <w:tc>
          <w:tcPr>
            <w:tcW w:w="1041" w:type="dxa"/>
            <w:vMerge w:val="continue"/>
            <w:vAlign w:val="center"/>
          </w:tcPr>
          <w:p w14:paraId="6D524333">
            <w:pPr>
              <w:spacing w:line="360" w:lineRule="auto"/>
              <w:rPr>
                <w:rFonts w:hint="eastAsia" w:ascii="仿宋" w:hAnsi="仿宋" w:eastAsia="仿宋" w:cs="仿宋"/>
                <w:color w:val="auto"/>
                <w:sz w:val="24"/>
                <w:szCs w:val="24"/>
                <w:highlight w:val="none"/>
              </w:rPr>
            </w:pPr>
          </w:p>
        </w:tc>
        <w:tc>
          <w:tcPr>
            <w:tcW w:w="2175" w:type="dxa"/>
            <w:vAlign w:val="center"/>
          </w:tcPr>
          <w:p w14:paraId="07E8EB53">
            <w:pPr>
              <w:spacing w:line="360" w:lineRule="auto"/>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评分因素权重</w:t>
            </w:r>
          </w:p>
        </w:tc>
        <w:tc>
          <w:tcPr>
            <w:tcW w:w="6338" w:type="dxa"/>
            <w:vAlign w:val="center"/>
          </w:tcPr>
          <w:p w14:paraId="0D9882EE">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投标报价F1：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zh-CN"/>
              </w:rPr>
              <w:t>分</w:t>
            </w:r>
          </w:p>
          <w:p w14:paraId="2EE3ABA5">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商务技术</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zh-CN"/>
              </w:rPr>
              <w:t>F</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zh-CN"/>
              </w:rPr>
              <w:t>分</w:t>
            </w:r>
          </w:p>
        </w:tc>
      </w:tr>
      <w:tr w14:paraId="6D891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9" w:type="dxa"/>
            <w:gridSpan w:val="4"/>
            <w:vAlign w:val="center"/>
          </w:tcPr>
          <w:p w14:paraId="0419D18F">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投标报价得分F1（满分</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0分）</w:t>
            </w:r>
          </w:p>
        </w:tc>
      </w:tr>
      <w:tr w14:paraId="586E4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9" w:type="dxa"/>
            <w:gridSpan w:val="4"/>
            <w:vAlign w:val="center"/>
          </w:tcPr>
          <w:p w14:paraId="3F822BAE">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价格分采用低价优先法计算，即满足采购文件要求且投标价格最低的投标报价为评标基准价，其价格分为满分</w:t>
            </w:r>
            <w:r>
              <w:rPr>
                <w:rFonts w:hint="eastAsia" w:ascii="仿宋" w:hAnsi="仿宋" w:eastAsia="仿宋"/>
                <w:color w:val="auto"/>
                <w:kern w:val="0"/>
                <w:sz w:val="24"/>
                <w:highlight w:val="none"/>
                <w:lang w:val="en-US" w:eastAsia="zh-CN"/>
              </w:rPr>
              <w:t>1</w:t>
            </w:r>
            <w:r>
              <w:rPr>
                <w:rFonts w:hint="eastAsia" w:ascii="仿宋" w:hAnsi="仿宋" w:eastAsia="仿宋"/>
                <w:color w:val="auto"/>
                <w:kern w:val="0"/>
                <w:sz w:val="24"/>
                <w:highlight w:val="none"/>
              </w:rPr>
              <w:t>0分，其他有效投标人的价格分按照下列公式计算：</w:t>
            </w:r>
          </w:p>
          <w:p w14:paraId="7FD29ABB">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投标报价得分=(评标基准价／投标报价)×</w:t>
            </w:r>
            <w:r>
              <w:rPr>
                <w:rFonts w:hint="eastAsia" w:ascii="仿宋" w:hAnsi="仿宋" w:eastAsia="仿宋"/>
                <w:color w:val="auto"/>
                <w:kern w:val="0"/>
                <w:sz w:val="24"/>
                <w:highlight w:val="none"/>
                <w:lang w:val="en-US" w:eastAsia="zh-CN"/>
              </w:rPr>
              <w:t>1</w:t>
            </w:r>
            <w:r>
              <w:rPr>
                <w:rFonts w:hint="eastAsia" w:ascii="仿宋" w:hAnsi="仿宋" w:eastAsia="仿宋"/>
                <w:color w:val="auto"/>
                <w:kern w:val="0"/>
                <w:sz w:val="24"/>
                <w:highlight w:val="none"/>
              </w:rPr>
              <w:t>0；</w:t>
            </w:r>
          </w:p>
          <w:p w14:paraId="4D87070C">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投标人的投标报价若高于预算价（或</w:t>
            </w:r>
            <w:r>
              <w:rPr>
                <w:rFonts w:hint="eastAsia" w:ascii="仿宋" w:hAnsi="仿宋" w:eastAsia="仿宋" w:cs="仿宋"/>
                <w:color w:val="auto"/>
                <w:sz w:val="24"/>
                <w:szCs w:val="24"/>
                <w:highlight w:val="none"/>
              </w:rPr>
              <w:t>最高限价</w:t>
            </w:r>
            <w:r>
              <w:rPr>
                <w:rFonts w:hint="eastAsia" w:ascii="仿宋" w:hAnsi="仿宋" w:eastAsia="仿宋"/>
                <w:color w:val="auto"/>
                <w:kern w:val="0"/>
                <w:sz w:val="24"/>
                <w:highlight w:val="none"/>
              </w:rPr>
              <w:t>）的，该项得“0”分。</w:t>
            </w:r>
          </w:p>
          <w:p w14:paraId="50262ECD">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注：</w:t>
            </w:r>
          </w:p>
          <w:p w14:paraId="63DE4756">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1、因落实政府采购政策进行价格调整的，以调整后的价格计算评标基准价和投标报价；</w:t>
            </w:r>
          </w:p>
          <w:p w14:paraId="6163986A">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2、</w:t>
            </w:r>
            <w:r>
              <w:rPr>
                <w:rFonts w:hint="eastAsia" w:ascii="仿宋" w:hAnsi="仿宋" w:eastAsia="仿宋" w:cs="仿宋"/>
                <w:color w:val="auto"/>
                <w:sz w:val="24"/>
                <w:szCs w:val="24"/>
                <w:highlight w:val="none"/>
              </w:rPr>
              <w:t>符合采购文件要求的小型和微型企业，并</w:t>
            </w:r>
            <w:r>
              <w:rPr>
                <w:rFonts w:hint="eastAsia" w:ascii="仿宋" w:hAnsi="仿宋" w:eastAsia="仿宋"/>
                <w:color w:val="auto"/>
                <w:kern w:val="0"/>
                <w:sz w:val="24"/>
                <w:highlight w:val="none"/>
              </w:rPr>
              <w:t>提供证明材料，经评标委员会核实方可获得价格扣除，</w:t>
            </w:r>
          </w:p>
          <w:p w14:paraId="44DB031C">
            <w:pPr>
              <w:spacing w:line="365" w:lineRule="atLeast"/>
              <w:textAlignment w:val="bottom"/>
              <w:rPr>
                <w:rFonts w:hint="eastAsia" w:ascii="仿宋" w:hAnsi="仿宋" w:eastAsia="仿宋"/>
                <w:color w:val="auto"/>
                <w:kern w:val="0"/>
                <w:sz w:val="24"/>
                <w:highlight w:val="none"/>
              </w:rPr>
            </w:pPr>
            <w:r>
              <w:rPr>
                <w:rFonts w:hint="eastAsia" w:ascii="仿宋" w:hAnsi="仿宋" w:eastAsia="仿宋" w:cs="仿宋"/>
                <w:color w:val="auto"/>
                <w:sz w:val="24"/>
                <w:szCs w:val="24"/>
                <w:highlight w:val="none"/>
              </w:rPr>
              <w:t>用扣除后的价格参与评审，</w:t>
            </w:r>
            <w:r>
              <w:rPr>
                <w:rFonts w:hint="eastAsia" w:ascii="仿宋" w:hAnsi="仿宋" w:eastAsia="仿宋"/>
                <w:color w:val="auto"/>
                <w:kern w:val="0"/>
                <w:sz w:val="24"/>
                <w:highlight w:val="none"/>
              </w:rPr>
              <w:t>小型和微型企业的价格给予10%的扣除。</w:t>
            </w:r>
          </w:p>
          <w:p w14:paraId="21131287">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3、供应商提供残疾人福利性单位（或监狱企业）证明材料，经评标委员会核实后，残疾人福利性单位（或监狱企业）视同小型和微型企业，享受同等价格扣除；</w:t>
            </w:r>
          </w:p>
          <w:p w14:paraId="73BA9836">
            <w:pPr>
              <w:pStyle w:val="13"/>
              <w:rPr>
                <w:color w:val="auto"/>
                <w:highlight w:val="none"/>
                <w:lang w:val="zh-CN"/>
              </w:rPr>
            </w:pPr>
            <w:r>
              <w:rPr>
                <w:rFonts w:hint="eastAsia" w:ascii="仿宋" w:hAnsi="仿宋" w:eastAsia="仿宋"/>
                <w:color w:val="auto"/>
                <w:kern w:val="0"/>
                <w:sz w:val="24"/>
                <w:highlight w:val="none"/>
              </w:rPr>
              <w:t>4、投标人仅能获得一种政策的价格扣除，不重复享受。</w:t>
            </w:r>
          </w:p>
        </w:tc>
      </w:tr>
      <w:tr w14:paraId="4BB3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09" w:type="dxa"/>
            <w:gridSpan w:val="4"/>
            <w:vAlign w:val="center"/>
          </w:tcPr>
          <w:p w14:paraId="18CB5621">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商务技术部分得分F2（满分</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rPr>
              <w:t>0分）</w:t>
            </w:r>
          </w:p>
        </w:tc>
      </w:tr>
      <w:tr w14:paraId="216FA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896" w:type="dxa"/>
            <w:gridSpan w:val="2"/>
            <w:vAlign w:val="center"/>
          </w:tcPr>
          <w:p w14:paraId="4F387D41">
            <w:pPr>
              <w:spacing w:line="365" w:lineRule="atLeast"/>
              <w:textAlignment w:val="bottom"/>
              <w:rPr>
                <w:rFonts w:hint="eastAsia" w:ascii="仿宋" w:hAnsi="仿宋" w:eastAsia="仿宋" w:cs="仿宋"/>
                <w:color w:val="auto"/>
                <w:kern w:val="0"/>
                <w:sz w:val="24"/>
                <w:szCs w:val="24"/>
                <w:highlight w:val="none"/>
              </w:rPr>
            </w:pPr>
            <w:r>
              <w:rPr>
                <w:rFonts w:hint="eastAsia" w:ascii="仿宋" w:hAnsi="仿宋" w:eastAsia="仿宋"/>
                <w:color w:val="auto"/>
                <w:kern w:val="0"/>
                <w:sz w:val="24"/>
                <w:highlight w:val="none"/>
              </w:rPr>
              <w:t>对项目的认识、对实施任务、要求的理解（10分）</w:t>
            </w:r>
          </w:p>
        </w:tc>
        <w:tc>
          <w:tcPr>
            <w:tcW w:w="8513" w:type="dxa"/>
            <w:gridSpan w:val="2"/>
            <w:vAlign w:val="center"/>
          </w:tcPr>
          <w:p w14:paraId="452A11C3">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1、对项目背景及实施的意义理解准确、透彻，熟悉相关政策及规范要求；清晰掌握本次详细规划目标的，得10分；</w:t>
            </w:r>
          </w:p>
          <w:p w14:paraId="79F835EF">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2、对项目背景及实施的意义理解一般，掌握基本政策及规范要求；基本明确本次详细规划目标的，得6分；</w:t>
            </w:r>
          </w:p>
          <w:p w14:paraId="423A18B2">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3、对项目背景及实施的意义理解不够准确，对相关政策及规范把握不到位；对本次详细规划目标不明确的，得3分。</w:t>
            </w:r>
          </w:p>
          <w:p w14:paraId="49D23CB4">
            <w:pPr>
              <w:pStyle w:val="2"/>
              <w:rPr>
                <w:rFonts w:eastAsia="仿宋"/>
                <w:color w:val="auto"/>
                <w:highlight w:val="none"/>
              </w:rPr>
            </w:pPr>
            <w:r>
              <w:rPr>
                <w:rFonts w:hint="eastAsia" w:ascii="仿宋" w:hAnsi="仿宋" w:eastAsia="仿宋"/>
                <w:color w:val="auto"/>
                <w:kern w:val="0"/>
                <w:sz w:val="24"/>
                <w:highlight w:val="none"/>
              </w:rPr>
              <w:t>4、未提供此项的不得分。</w:t>
            </w:r>
          </w:p>
        </w:tc>
      </w:tr>
      <w:tr w14:paraId="5124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896" w:type="dxa"/>
            <w:gridSpan w:val="2"/>
            <w:vAlign w:val="center"/>
          </w:tcPr>
          <w:p w14:paraId="54B1EFC8">
            <w:pPr>
              <w:spacing w:line="365" w:lineRule="atLeast"/>
              <w:textAlignment w:val="bottom"/>
              <w:rPr>
                <w:rFonts w:hint="eastAsia" w:ascii="仿宋" w:hAnsi="仿宋" w:eastAsia="仿宋" w:cs="仿宋"/>
                <w:color w:val="auto"/>
                <w:kern w:val="0"/>
                <w:sz w:val="24"/>
                <w:szCs w:val="24"/>
                <w:highlight w:val="none"/>
              </w:rPr>
            </w:pPr>
            <w:r>
              <w:rPr>
                <w:rFonts w:hint="eastAsia" w:ascii="仿宋" w:hAnsi="仿宋" w:eastAsia="仿宋"/>
                <w:color w:val="auto"/>
                <w:kern w:val="0"/>
                <w:sz w:val="24"/>
                <w:highlight w:val="none"/>
              </w:rPr>
              <w:t>重点难点分析及合理化建议（15分）</w:t>
            </w:r>
          </w:p>
        </w:tc>
        <w:tc>
          <w:tcPr>
            <w:tcW w:w="8513" w:type="dxa"/>
            <w:gridSpan w:val="2"/>
            <w:vAlign w:val="center"/>
          </w:tcPr>
          <w:p w14:paraId="4948B741">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 xml:space="preserve">包括但不限于项目重点难点分析、合理化建议： </w:t>
            </w:r>
          </w:p>
          <w:p w14:paraId="05AB0C2A">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1、针对项目的重点、难点和关键点进行分析，对整个项目的重点难点把握准确到位，提出的建议科学、合理的，得15分；</w:t>
            </w:r>
          </w:p>
          <w:p w14:paraId="0DFE48AE">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2、针对项目的重点、难点和关键点进行分析，对整个项目的重点难点把握准确基本到位，提出的建议具有一定的合理性的，得9分；</w:t>
            </w:r>
          </w:p>
          <w:p w14:paraId="6F36EF22">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3、针对项目的重点、难点和关键点进行分析，对整个项目的重点难点把握不准确，提出的建议不合理的，得3分。</w:t>
            </w:r>
          </w:p>
          <w:p w14:paraId="2980E6D6">
            <w:pPr>
              <w:pStyle w:val="2"/>
              <w:rPr>
                <w:color w:val="auto"/>
                <w:highlight w:val="none"/>
              </w:rPr>
            </w:pPr>
            <w:r>
              <w:rPr>
                <w:rFonts w:hint="eastAsia" w:ascii="仿宋" w:hAnsi="仿宋" w:eastAsia="仿宋"/>
                <w:color w:val="auto"/>
                <w:kern w:val="0"/>
                <w:sz w:val="24"/>
                <w:highlight w:val="none"/>
              </w:rPr>
              <w:t>4、未提供此项的不得分。</w:t>
            </w:r>
          </w:p>
        </w:tc>
      </w:tr>
      <w:tr w14:paraId="6D01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896" w:type="dxa"/>
            <w:gridSpan w:val="2"/>
            <w:vAlign w:val="center"/>
          </w:tcPr>
          <w:p w14:paraId="7B934640">
            <w:pPr>
              <w:spacing w:line="365" w:lineRule="atLeast"/>
              <w:textAlignment w:val="bottom"/>
              <w:rPr>
                <w:rFonts w:hint="eastAsia" w:ascii="仿宋" w:hAnsi="仿宋" w:eastAsia="仿宋" w:cs="仿宋"/>
                <w:color w:val="auto"/>
                <w:kern w:val="0"/>
                <w:sz w:val="24"/>
                <w:szCs w:val="24"/>
                <w:highlight w:val="none"/>
                <w:lang w:val="zh-TW"/>
              </w:rPr>
            </w:pPr>
            <w:r>
              <w:rPr>
                <w:rFonts w:hint="eastAsia" w:ascii="仿宋" w:hAnsi="仿宋" w:eastAsia="仿宋"/>
                <w:color w:val="auto"/>
                <w:kern w:val="0"/>
                <w:sz w:val="24"/>
                <w:highlight w:val="none"/>
              </w:rPr>
              <w:t>项目规划的编制</w:t>
            </w:r>
            <w:r>
              <w:rPr>
                <w:rFonts w:hint="eastAsia" w:ascii="仿宋" w:hAnsi="仿宋" w:eastAsia="仿宋"/>
                <w:color w:val="auto"/>
                <w:kern w:val="0"/>
                <w:sz w:val="24"/>
                <w:highlight w:val="none"/>
              </w:rPr>
              <w:t>方案、路线和方法（</w:t>
            </w:r>
            <w:r>
              <w:rPr>
                <w:rFonts w:hint="eastAsia" w:ascii="仿宋" w:hAnsi="仿宋" w:eastAsia="仿宋"/>
                <w:color w:val="auto"/>
                <w:kern w:val="0"/>
                <w:sz w:val="24"/>
                <w:highlight w:val="none"/>
                <w:lang w:val="en-US" w:eastAsia="zh-CN"/>
              </w:rPr>
              <w:t>30</w:t>
            </w:r>
            <w:r>
              <w:rPr>
                <w:rFonts w:hint="eastAsia" w:ascii="仿宋" w:hAnsi="仿宋" w:eastAsia="仿宋"/>
                <w:color w:val="auto"/>
                <w:kern w:val="0"/>
                <w:sz w:val="24"/>
                <w:highlight w:val="none"/>
              </w:rPr>
              <w:t>分）</w:t>
            </w:r>
          </w:p>
        </w:tc>
        <w:tc>
          <w:tcPr>
            <w:tcW w:w="8513" w:type="dxa"/>
            <w:gridSpan w:val="2"/>
            <w:vAlign w:val="center"/>
          </w:tcPr>
          <w:p w14:paraId="5BFB0899">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1、规划的编制方案内容全面具体，对编制要求把握准确，对编制内容分析到位，能充分体现项目所在地特点；规划的编制路线和方法指导性、针对性强，工作程序、组织计划和措施操作性、现场实施性和针对性强且阐述完整、合理、可行；组织计划及措施详细、具体，具有可操作性，能充分满足项目需求的，得</w:t>
            </w:r>
            <w:r>
              <w:rPr>
                <w:rFonts w:hint="eastAsia" w:ascii="仿宋" w:hAnsi="仿宋" w:eastAsia="仿宋"/>
                <w:color w:val="auto"/>
                <w:kern w:val="0"/>
                <w:sz w:val="24"/>
                <w:highlight w:val="none"/>
                <w:lang w:val="en-US" w:eastAsia="zh-CN"/>
              </w:rPr>
              <w:t>3</w:t>
            </w:r>
            <w:r>
              <w:rPr>
                <w:rFonts w:hint="eastAsia" w:ascii="仿宋" w:hAnsi="仿宋" w:eastAsia="仿宋"/>
                <w:color w:val="auto"/>
                <w:kern w:val="0"/>
                <w:sz w:val="24"/>
                <w:highlight w:val="none"/>
              </w:rPr>
              <w:t>0分；</w:t>
            </w:r>
          </w:p>
          <w:p w14:paraId="4885BF75">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2、规划的编制方案内容全面，对编制要求把握较为准确，对编制内容分析到位，能充分体现项目所在地特点；规划的编制路线和方法指导性、针对性较强，工作程序、组织计划和措施操作性、现场实施性和针对性较强且阐述较为完整、合理、可行；组织计划及措施详细，有可操作性，能满足项目需求的，得</w:t>
            </w:r>
            <w:r>
              <w:rPr>
                <w:rFonts w:hint="eastAsia" w:ascii="仿宋" w:hAnsi="仿宋" w:eastAsia="仿宋"/>
                <w:color w:val="auto"/>
                <w:kern w:val="0"/>
                <w:sz w:val="24"/>
                <w:highlight w:val="none"/>
                <w:lang w:val="en-US" w:eastAsia="zh-CN"/>
              </w:rPr>
              <w:t>20</w:t>
            </w:r>
            <w:r>
              <w:rPr>
                <w:rFonts w:hint="eastAsia" w:ascii="仿宋" w:hAnsi="仿宋" w:eastAsia="仿宋"/>
                <w:color w:val="auto"/>
                <w:kern w:val="0"/>
                <w:sz w:val="24"/>
                <w:highlight w:val="none"/>
              </w:rPr>
              <w:t>分；</w:t>
            </w:r>
          </w:p>
          <w:p w14:paraId="4E0EB83B">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3、规划的编制方案内容较为全面，对编制要求把握的准确性一般，对编制内容分析一般，基本体现项目所在地特点；规划的编制路线和方法指导性、针对性一般，工作程序、组织计划和措施操作性、现场实施性和针对性一般，合理性、可行性一般；组织计划及措施较为详细，可操作性一般，基本能满足项目需求的。得10分；</w:t>
            </w:r>
          </w:p>
          <w:p w14:paraId="25BE8946">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4、规划的编制方案内容缺失，对编制要求把握不准确；规划的编制路线和方法指导性、针对性较差，工作程序、组织计划和措施操作性、现场实施性、针对性、合理性、可行性较差；组织计划及措施较为简单，难以满足项目需求的，得5分。</w:t>
            </w:r>
          </w:p>
          <w:p w14:paraId="19A5141B">
            <w:pPr>
              <w:spacing w:line="365" w:lineRule="atLeast"/>
              <w:textAlignment w:val="bottom"/>
              <w:rPr>
                <w:rFonts w:hint="eastAsia" w:ascii="仿宋" w:hAnsi="仿宋" w:eastAsia="仿宋" w:cs="仿宋"/>
                <w:color w:val="auto"/>
                <w:kern w:val="0"/>
                <w:sz w:val="24"/>
                <w:szCs w:val="24"/>
                <w:highlight w:val="none"/>
              </w:rPr>
            </w:pPr>
            <w:r>
              <w:rPr>
                <w:rFonts w:hint="eastAsia" w:ascii="仿宋" w:hAnsi="仿宋" w:eastAsia="仿宋"/>
                <w:color w:val="auto"/>
                <w:kern w:val="0"/>
                <w:sz w:val="24"/>
                <w:highlight w:val="none"/>
              </w:rPr>
              <w:t>5、未提供此项的不得分。</w:t>
            </w:r>
          </w:p>
        </w:tc>
      </w:tr>
      <w:tr w14:paraId="34C3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896" w:type="dxa"/>
            <w:gridSpan w:val="2"/>
            <w:vAlign w:val="center"/>
          </w:tcPr>
          <w:p w14:paraId="5AD699F7">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工作计划安排和保障措施</w:t>
            </w:r>
          </w:p>
          <w:p w14:paraId="75DD8AD8">
            <w:pPr>
              <w:spacing w:line="365" w:lineRule="atLeast"/>
              <w:textAlignment w:val="bottom"/>
              <w:rPr>
                <w:rFonts w:hint="eastAsia" w:ascii="仿宋" w:hAnsi="仿宋" w:eastAsia="仿宋" w:cs="仿宋"/>
                <w:b/>
                <w:bCs/>
                <w:color w:val="auto"/>
                <w:sz w:val="24"/>
                <w:szCs w:val="24"/>
                <w:highlight w:val="none"/>
              </w:rPr>
            </w:pPr>
            <w:r>
              <w:rPr>
                <w:rFonts w:hint="eastAsia" w:ascii="仿宋" w:hAnsi="仿宋" w:eastAsia="仿宋"/>
                <w:color w:val="auto"/>
                <w:kern w:val="0"/>
                <w:sz w:val="24"/>
                <w:highlight w:val="none"/>
              </w:rPr>
              <w:t>（10分）</w:t>
            </w:r>
          </w:p>
        </w:tc>
        <w:tc>
          <w:tcPr>
            <w:tcW w:w="8513" w:type="dxa"/>
            <w:gridSpan w:val="2"/>
            <w:vAlign w:val="center"/>
          </w:tcPr>
          <w:p w14:paraId="4F2472CF">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1、有详细的工作计划，保障措施具体可操作性强，得10分；</w:t>
            </w:r>
          </w:p>
          <w:p w14:paraId="4455503B">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2、工作计划较详细，保障措施具体可操作性一般，得6分；</w:t>
            </w:r>
          </w:p>
          <w:p w14:paraId="17F3C9E4">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3、工作计划不够详细，保障措施可操作性差，得3分。</w:t>
            </w:r>
          </w:p>
          <w:p w14:paraId="7E94FD3A">
            <w:pPr>
              <w:pStyle w:val="2"/>
              <w:rPr>
                <w:color w:val="auto"/>
                <w:highlight w:val="none"/>
              </w:rPr>
            </w:pPr>
            <w:r>
              <w:rPr>
                <w:rFonts w:hint="eastAsia" w:ascii="仿宋" w:hAnsi="仿宋" w:eastAsia="仿宋"/>
                <w:color w:val="auto"/>
                <w:kern w:val="0"/>
                <w:sz w:val="24"/>
                <w:highlight w:val="none"/>
              </w:rPr>
              <w:t>4、未提供此项的不得分。</w:t>
            </w:r>
          </w:p>
        </w:tc>
      </w:tr>
      <w:tr w14:paraId="0F24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896" w:type="dxa"/>
            <w:gridSpan w:val="2"/>
            <w:vAlign w:val="center"/>
          </w:tcPr>
          <w:p w14:paraId="4CE8B949">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服务承诺</w:t>
            </w:r>
          </w:p>
          <w:p w14:paraId="17190249">
            <w:pPr>
              <w:spacing w:line="365" w:lineRule="atLeast"/>
              <w:textAlignment w:val="bottom"/>
              <w:rPr>
                <w:rFonts w:hint="eastAsia" w:ascii="仿宋" w:hAnsi="仿宋" w:eastAsia="仿宋" w:cs="仿宋"/>
                <w:color w:val="auto"/>
                <w:kern w:val="0"/>
                <w:sz w:val="24"/>
                <w:szCs w:val="24"/>
                <w:highlight w:val="none"/>
              </w:rPr>
            </w:pPr>
            <w:r>
              <w:rPr>
                <w:rFonts w:hint="eastAsia" w:ascii="仿宋" w:hAnsi="仿宋" w:eastAsia="仿宋"/>
                <w:color w:val="auto"/>
                <w:kern w:val="0"/>
                <w:sz w:val="24"/>
                <w:highlight w:val="none"/>
              </w:rPr>
              <w:t>(10分)</w:t>
            </w:r>
          </w:p>
        </w:tc>
        <w:tc>
          <w:tcPr>
            <w:tcW w:w="8513" w:type="dxa"/>
            <w:gridSpan w:val="2"/>
            <w:vAlign w:val="center"/>
          </w:tcPr>
          <w:p w14:paraId="3579590D">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1、供应商提供的服务承诺完善、周到、针对性强，有具体的违约责任承诺，处罚条款清晰，充分保障采购人权益的，得10分；</w:t>
            </w:r>
          </w:p>
          <w:p w14:paraId="0B5A19D9">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2、供应商提供的服务承诺基本完善、可行、但针对性一般，有具体的违约责任承诺的，得6分；</w:t>
            </w:r>
          </w:p>
          <w:p w14:paraId="1A9E504F">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3、供应商提供的服务承诺基本完善、基本可行，但针对性差，得2分；</w:t>
            </w:r>
          </w:p>
          <w:p w14:paraId="467B9C33">
            <w:pPr>
              <w:spacing w:line="365" w:lineRule="atLeast"/>
              <w:textAlignment w:val="bottom"/>
              <w:rPr>
                <w:rFonts w:hint="eastAsia" w:ascii="仿宋" w:hAnsi="仿宋" w:eastAsia="仿宋" w:cs="仿宋"/>
                <w:color w:val="auto"/>
                <w:kern w:val="0"/>
                <w:sz w:val="24"/>
                <w:szCs w:val="24"/>
                <w:highlight w:val="none"/>
              </w:rPr>
            </w:pPr>
            <w:r>
              <w:rPr>
                <w:rFonts w:hint="eastAsia" w:ascii="仿宋" w:hAnsi="仿宋" w:eastAsia="仿宋"/>
                <w:color w:val="auto"/>
                <w:kern w:val="0"/>
                <w:sz w:val="24"/>
                <w:highlight w:val="none"/>
              </w:rPr>
              <w:t>4、供应商未提供服务承诺的，本项不得分。</w:t>
            </w:r>
          </w:p>
        </w:tc>
      </w:tr>
      <w:tr w14:paraId="30EE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896" w:type="dxa"/>
            <w:gridSpan w:val="2"/>
            <w:vAlign w:val="center"/>
          </w:tcPr>
          <w:p w14:paraId="77B3FE40">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拟投入本项目的人员配备情况</w:t>
            </w:r>
          </w:p>
          <w:p w14:paraId="4F2DDBF4">
            <w:pPr>
              <w:spacing w:line="365" w:lineRule="atLeast"/>
              <w:textAlignment w:val="bottom"/>
              <w:rPr>
                <w:rFonts w:hint="eastAsia" w:ascii="仿宋" w:hAnsi="仿宋" w:eastAsia="仿宋" w:cs="仿宋"/>
                <w:color w:val="auto"/>
                <w:kern w:val="0"/>
                <w:sz w:val="24"/>
                <w:szCs w:val="24"/>
                <w:highlight w:val="none"/>
                <w:lang w:val="zh-TW"/>
              </w:rPr>
            </w:pPr>
            <w:r>
              <w:rPr>
                <w:rFonts w:hint="eastAsia" w:ascii="仿宋" w:hAnsi="仿宋" w:eastAsia="仿宋"/>
                <w:color w:val="auto"/>
                <w:kern w:val="0"/>
                <w:sz w:val="24"/>
                <w:highlight w:val="none"/>
              </w:rPr>
              <w:t>（10分）</w:t>
            </w:r>
          </w:p>
        </w:tc>
        <w:tc>
          <w:tcPr>
            <w:tcW w:w="8513" w:type="dxa"/>
            <w:gridSpan w:val="2"/>
            <w:vAlign w:val="center"/>
          </w:tcPr>
          <w:p w14:paraId="2D5BFF7A">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1、拟投入本项目的人员配备针对性强，人员安排的专业配置合理齐全的得10分；</w:t>
            </w:r>
          </w:p>
          <w:p w14:paraId="3D64AB03">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2、拟投入本项目的人员配备有针对性，人员安排的专业配置基本合理得5分；</w:t>
            </w:r>
          </w:p>
          <w:p w14:paraId="5A0154B3">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3、拟投入本项目的人员配备针对性不强，人员安排的专业配置不太合理得1分。</w:t>
            </w:r>
          </w:p>
          <w:p w14:paraId="001B433A">
            <w:pPr>
              <w:pStyle w:val="2"/>
              <w:rPr>
                <w:color w:val="auto"/>
                <w:highlight w:val="none"/>
              </w:rPr>
            </w:pPr>
            <w:r>
              <w:rPr>
                <w:rFonts w:hint="eastAsia" w:ascii="仿宋" w:hAnsi="仿宋" w:eastAsia="仿宋"/>
                <w:color w:val="auto"/>
                <w:kern w:val="0"/>
                <w:sz w:val="24"/>
                <w:highlight w:val="none"/>
              </w:rPr>
              <w:t>4、未提供此项的不得分。</w:t>
            </w:r>
          </w:p>
        </w:tc>
      </w:tr>
      <w:tr w14:paraId="559D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96" w:type="dxa"/>
            <w:gridSpan w:val="2"/>
            <w:vAlign w:val="center"/>
          </w:tcPr>
          <w:p w14:paraId="53472864">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类似项目业绩</w:t>
            </w:r>
          </w:p>
          <w:p w14:paraId="6BE56FFF">
            <w:pPr>
              <w:spacing w:line="365" w:lineRule="atLeast"/>
              <w:textAlignment w:val="bottom"/>
              <w:rPr>
                <w:rFonts w:hint="eastAsia" w:ascii="仿宋" w:hAnsi="仿宋" w:eastAsia="仿宋" w:cs="仿宋"/>
                <w:color w:val="auto"/>
                <w:kern w:val="0"/>
                <w:sz w:val="24"/>
                <w:szCs w:val="24"/>
                <w:highlight w:val="none"/>
              </w:rPr>
            </w:pPr>
            <w:r>
              <w:rPr>
                <w:rFonts w:hint="eastAsia" w:ascii="仿宋" w:hAnsi="仿宋" w:eastAsia="仿宋"/>
                <w:color w:val="auto"/>
                <w:kern w:val="0"/>
                <w:sz w:val="24"/>
                <w:highlight w:val="none"/>
              </w:rPr>
              <w:t>（5分）</w:t>
            </w:r>
          </w:p>
        </w:tc>
        <w:tc>
          <w:tcPr>
            <w:tcW w:w="8513" w:type="dxa"/>
            <w:gridSpan w:val="2"/>
            <w:vAlign w:val="center"/>
          </w:tcPr>
          <w:p w14:paraId="5C068A83">
            <w:pPr>
              <w:spacing w:line="365" w:lineRule="atLeast"/>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rPr>
              <w:t>每提供一项供应商2020年至今的类似项目业绩的得2.5分，本项最高得5分。</w:t>
            </w:r>
          </w:p>
          <w:p w14:paraId="01FCAD9E">
            <w:pPr>
              <w:spacing w:line="365" w:lineRule="atLeast"/>
              <w:ind w:firstLine="480" w:firstLineChars="200"/>
              <w:textAlignment w:val="bottom"/>
              <w:rPr>
                <w:rFonts w:hint="eastAsia" w:ascii="仿宋" w:hAnsi="仿宋" w:eastAsia="仿宋" w:cs="仿宋"/>
                <w:color w:val="auto"/>
                <w:kern w:val="0"/>
                <w:sz w:val="24"/>
                <w:szCs w:val="24"/>
                <w:highlight w:val="none"/>
              </w:rPr>
            </w:pPr>
            <w:r>
              <w:rPr>
                <w:rFonts w:hint="eastAsia" w:ascii="仿宋" w:hAnsi="仿宋" w:eastAsia="仿宋"/>
                <w:color w:val="auto"/>
                <w:kern w:val="0"/>
                <w:sz w:val="24"/>
                <w:highlight w:val="none"/>
              </w:rPr>
              <w:t>业绩附合同复印件(含关键页、服务内容、服务期限等)，若合同中未能体现相关信息的，可提供合同对应的中标通知书或业主证明材料作为补充，未按要求提供或不提供的不作为评审依据，不接受分包或转包业绩。</w:t>
            </w:r>
          </w:p>
        </w:tc>
      </w:tr>
    </w:tbl>
    <w:p w14:paraId="0BE1B6A1">
      <w:pPr>
        <w:spacing w:line="360" w:lineRule="auto"/>
        <w:rPr>
          <w:rFonts w:hint="eastAsia" w:ascii="仿宋" w:hAnsi="仿宋" w:eastAsia="仿宋" w:cs="仿宋"/>
          <w:b/>
          <w:bCs/>
          <w:color w:val="auto"/>
          <w:sz w:val="24"/>
          <w:szCs w:val="24"/>
          <w:highlight w:val="none"/>
        </w:rPr>
      </w:pPr>
    </w:p>
    <w:p w14:paraId="6D28018C">
      <w:pPr>
        <w:spacing w:line="360" w:lineRule="auto"/>
        <w:rPr>
          <w:rFonts w:hint="eastAsia" w:ascii="仿宋" w:hAnsi="仿宋" w:eastAsia="仿宋" w:cs="仿宋"/>
          <w:b/>
          <w:bCs/>
          <w:color w:val="auto"/>
          <w:sz w:val="24"/>
          <w:szCs w:val="24"/>
          <w:highlight w:val="none"/>
        </w:rPr>
      </w:pPr>
    </w:p>
    <w:p w14:paraId="32D04781">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1.评标方法：</w:t>
      </w:r>
    </w:p>
    <w:p w14:paraId="7B53EC36">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1.1本次评标采用综合评分法。</w:t>
      </w:r>
      <w:r>
        <w:rPr>
          <w:rFonts w:hint="eastAsia" w:ascii="仿宋" w:hAnsi="仿宋" w:eastAsia="仿宋" w:cs="仿宋"/>
          <w:color w:val="auto"/>
          <w:sz w:val="24"/>
          <w:szCs w:val="24"/>
          <w:highlight w:val="none"/>
        </w:rPr>
        <w:t>评标委员会对满足采购文件实质性要求的投标文件，按照本章前附表规定的评分标准进行打分，并按上述评标总得分计算公式计算评标总得分，按评标总得分由高到低的顺序推荐3名中标候选人；评标总得分相等时，按商务技术部分得分由高到低顺序排序；评标总得分相等且商务技术部分得分相同时，按投标报价由低到高顺序排序；评标总得分相等且商务技术部分得分相等及投标报价相同时，按有效类似项目业绩由多到少顺序排序。</w:t>
      </w:r>
    </w:p>
    <w:p w14:paraId="5D99D757">
      <w:pPr>
        <w:pStyle w:val="2"/>
        <w:tabs>
          <w:tab w:val="left" w:pos="2472"/>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 评审程序和标准</w:t>
      </w:r>
    </w:p>
    <w:p w14:paraId="71E70B08">
      <w:pPr>
        <w:pStyle w:val="2"/>
        <w:tabs>
          <w:tab w:val="left" w:pos="2472"/>
        </w:tabs>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2.1资格审查、符合性审查</w:t>
      </w:r>
    </w:p>
    <w:p w14:paraId="479F175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2.1.1资格审查：采购人或者采购代理机构依据法律法规和采购文件的规定，对投标文件中的资格证明文件进行审查（具体详见《评标方法前附表》），有一项不符合的，该投标文件按无效投标处理。</w:t>
      </w:r>
    </w:p>
    <w:p w14:paraId="3D4FFC2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2.1.2符合性审查：评标委员会依据采购文件的规定，对符合资格的供应商的投标文件进行符合性审查（具体详见《评标方法前附表》），有一项不符合的，该投标文件按无效投标处理。</w:t>
      </w:r>
    </w:p>
    <w:p w14:paraId="4089A5A2">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2.1.3符合本章第2.1.1、2.1.2项规定的投标文件视为符合采购文件的商务、技术等实质性要求评审，可以进行技术和商务评估，综合比较与评价。</w:t>
      </w:r>
    </w:p>
    <w:p w14:paraId="7BA4118A">
      <w:pPr>
        <w:pStyle w:val="5"/>
        <w:spacing w:before="0" w:after="0" w:line="360" w:lineRule="auto"/>
        <w:rPr>
          <w:rFonts w:hint="eastAsia" w:ascii="仿宋" w:hAnsi="仿宋" w:eastAsia="仿宋" w:cs="仿宋"/>
          <w:color w:val="auto"/>
          <w:sz w:val="24"/>
          <w:szCs w:val="24"/>
          <w:highlight w:val="none"/>
        </w:rPr>
      </w:pPr>
      <w:bookmarkStart w:id="69" w:name="_Toc489145775"/>
      <w:bookmarkStart w:id="70" w:name="_Toc321836408"/>
      <w:bookmarkStart w:id="71" w:name="_Toc489197879"/>
      <w:r>
        <w:rPr>
          <w:rFonts w:hint="eastAsia" w:ascii="仿宋" w:hAnsi="仿宋" w:eastAsia="仿宋" w:cs="仿宋"/>
          <w:color w:val="auto"/>
          <w:sz w:val="24"/>
          <w:szCs w:val="24"/>
          <w:highlight w:val="none"/>
        </w:rPr>
        <w:t>2.2 分值构成与评分标准</w:t>
      </w:r>
      <w:bookmarkEnd w:id="69"/>
      <w:bookmarkEnd w:id="70"/>
      <w:bookmarkEnd w:id="71"/>
    </w:p>
    <w:p w14:paraId="6041C53B">
      <w:pPr>
        <w:spacing w:line="360" w:lineRule="auto"/>
        <w:jc w:val="left"/>
        <w:rPr>
          <w:rFonts w:hint="eastAsia" w:ascii="仿宋" w:hAnsi="仿宋" w:eastAsia="仿宋" w:cs="仿宋"/>
          <w:color w:val="auto"/>
          <w:sz w:val="24"/>
          <w:szCs w:val="24"/>
          <w:highlight w:val="none"/>
        </w:rPr>
      </w:pPr>
      <w:bookmarkStart w:id="72" w:name="_Toc489145776"/>
      <w:bookmarkStart w:id="73" w:name="_Toc489197880"/>
      <w:bookmarkStart w:id="74" w:name="_Toc321836409"/>
      <w:r>
        <w:rPr>
          <w:rFonts w:hint="eastAsia" w:ascii="仿宋" w:hAnsi="仿宋" w:eastAsia="仿宋" w:cs="仿宋"/>
          <w:color w:val="auto"/>
          <w:sz w:val="24"/>
          <w:szCs w:val="24"/>
          <w:highlight w:val="none"/>
        </w:rPr>
        <w:t>2.2.1 分值构成</w:t>
      </w:r>
    </w:p>
    <w:p w14:paraId="56384A10">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（1）投标报价：详见《评标方法前附表》；</w:t>
      </w:r>
    </w:p>
    <w:p w14:paraId="487E3BA7">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（2）商务技术部分：详见《评标方法前附表》；</w:t>
      </w:r>
    </w:p>
    <w:p w14:paraId="2DC3487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 评标基准价计算方法：详见《评标方法前附表》。</w:t>
      </w:r>
    </w:p>
    <w:p w14:paraId="37BFCC0E">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 评分标准</w:t>
      </w:r>
    </w:p>
    <w:p w14:paraId="54041239">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按采购文件中规定的评标方法和标准，对满足采购文件实质性要求评审的投标文件进行技术和商务评估，综合比较与评价。</w:t>
      </w:r>
    </w:p>
    <w:p w14:paraId="3B3BE614">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（1）投标报价评分标准：详见《评标方法前附表》；</w:t>
      </w:r>
    </w:p>
    <w:p w14:paraId="03F67126">
      <w:pPr>
        <w:spacing w:line="360" w:lineRule="auto"/>
        <w:ind w:firstLine="240" w:firstLineChars="100"/>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rPr>
        <w:t>（2）商务技术部分评分标准：详见《评标方法前附表》；</w:t>
      </w:r>
    </w:p>
    <w:p w14:paraId="205F7727">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bookmarkEnd w:id="72"/>
      <w:bookmarkEnd w:id="73"/>
      <w:bookmarkEnd w:id="74"/>
      <w:r>
        <w:rPr>
          <w:rFonts w:hint="eastAsia" w:ascii="仿宋" w:hAnsi="仿宋" w:eastAsia="仿宋" w:cs="仿宋"/>
          <w:color w:val="auto"/>
          <w:sz w:val="24"/>
          <w:szCs w:val="24"/>
          <w:highlight w:val="none"/>
        </w:rPr>
        <w:t>综合比较与评价</w:t>
      </w:r>
    </w:p>
    <w:p w14:paraId="096ADD6D">
      <w:pPr>
        <w:spacing w:line="360" w:lineRule="auto"/>
        <w:jc w:val="left"/>
        <w:rPr>
          <w:rFonts w:hint="eastAsia" w:ascii="仿宋" w:hAnsi="仿宋" w:eastAsia="仿宋" w:cs="仿宋"/>
          <w:color w:val="auto"/>
          <w:sz w:val="24"/>
          <w:szCs w:val="24"/>
          <w:highlight w:val="none"/>
        </w:rPr>
      </w:pPr>
      <w:bookmarkStart w:id="75" w:name="_Toc489145777"/>
      <w:bookmarkStart w:id="76" w:name="_Toc489197881"/>
      <w:bookmarkStart w:id="77" w:name="_Toc321836412"/>
      <w:r>
        <w:rPr>
          <w:rFonts w:hint="eastAsia" w:ascii="仿宋" w:hAnsi="仿宋" w:eastAsia="仿宋" w:cs="仿宋"/>
          <w:color w:val="auto"/>
          <w:sz w:val="24"/>
          <w:szCs w:val="24"/>
          <w:highlight w:val="none"/>
        </w:rPr>
        <w:t>2.3.1 评标委员会按本章2.2.3规定的评分标准进行打分，并计算出供应商的评标总得分。对供应商的价格分等客观评分项的评分应当一致，对其他需要借助专业知识评判的主观评分项，应当严格按照评分细则公正评分。</w:t>
      </w:r>
    </w:p>
    <w:p w14:paraId="63BD524C">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（1）按本章《评标方法前附表》的规定对投标报价计算出得分F1；</w:t>
      </w:r>
    </w:p>
    <w:p w14:paraId="710B142F">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（2）按本章《评标方法前附表》的规定对商务技术部分评分，得分F2；</w:t>
      </w:r>
    </w:p>
    <w:p w14:paraId="51124277">
      <w:pPr>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（3）按本章《评标方法前附表》的规定计算评标总得分。</w:t>
      </w:r>
    </w:p>
    <w:p w14:paraId="448C9E94">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2.3.2商务技术部分（F2）得分由评标委员会成员独立评分，供应商各项评分因素得分为该项因素各评委评分的算术平均值（保留小数点后两位），小数点后第三位“四舍五入”。</w:t>
      </w:r>
    </w:p>
    <w:p w14:paraId="61AC7B5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3103AD51">
      <w:pP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2.3.4同品牌产品不同供应商的处理方式</w:t>
      </w:r>
    </w:p>
    <w:p w14:paraId="751CBC9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同品牌产品且通过资格审查、符合性审查的不同供应商参加同一合同项下投标的，按一家供应商计算，评审后得分最高的同品牌供应商获得中标人推荐资格；评审得分相同的，由采购人或者采购人委托评标委员会按照采购文件规定的方式确定一个供应商获得中标人推荐资格，采购文件未规定的采取随机抽取方式确定，其他同品牌供应商不作为中标候选人。</w:t>
      </w:r>
    </w:p>
    <w:p w14:paraId="6A7ACCBB">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非单一产品采购项目，采购人应当根据采购项目技术构成、产品价格比重等合理确定核心产品，并在采购文件中载明。多家供应商提供的核心产品品牌相同的，按前款规定处理。</w:t>
      </w:r>
    </w:p>
    <w:p w14:paraId="040D1BD9">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2.4投标文件的澄清</w:t>
      </w:r>
      <w:bookmarkEnd w:id="75"/>
      <w:bookmarkEnd w:id="76"/>
      <w:bookmarkEnd w:id="77"/>
      <w:r>
        <w:rPr>
          <w:rFonts w:hint="eastAsia" w:ascii="仿宋" w:hAnsi="仿宋" w:eastAsia="仿宋" w:cs="仿宋"/>
          <w:color w:val="auto"/>
          <w:sz w:val="24"/>
          <w:szCs w:val="24"/>
          <w:highlight w:val="none"/>
        </w:rPr>
        <w:t xml:space="preserve"> </w:t>
      </w:r>
    </w:p>
    <w:p w14:paraId="05F1F54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投标文件中出现含义不明确、同类问题表述不一致或者有明显文字和计算错误的内容，评标委员会将以书面形式要求供应商作出必要的澄清、说明或者补正。供应商的澄清、说明或者补正应当采用书面形式，并加盖公章，或者由法定代表人（负责人）或其授权的代表签字。供应商的澄清、说明或者补正不得超出投标文件的范围或者改变投标文件的实质性内容。</w:t>
      </w:r>
    </w:p>
    <w:p w14:paraId="2E5A728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2.4.2评标委员会不接受供应商主动提出的澄清、说明或者补正。</w:t>
      </w:r>
    </w:p>
    <w:p w14:paraId="5EE8ED40">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 评标委员会对供应商提交的澄清、说明或者补正有疑问的，可以要求供应商进一步澄清、说明或者补正。</w:t>
      </w:r>
    </w:p>
    <w:p w14:paraId="28E29747">
      <w:pPr>
        <w:spacing w:line="360" w:lineRule="auto"/>
        <w:jc w:val="left"/>
        <w:rPr>
          <w:rFonts w:hint="eastAsia" w:ascii="仿宋" w:hAnsi="仿宋" w:eastAsia="仿宋" w:cs="仿宋"/>
          <w:b/>
          <w:bCs/>
          <w:color w:val="auto"/>
          <w:sz w:val="24"/>
          <w:szCs w:val="24"/>
          <w:highlight w:val="none"/>
        </w:rPr>
      </w:pPr>
      <w:bookmarkStart w:id="78" w:name="_Toc489145778"/>
      <w:bookmarkStart w:id="79" w:name="_Toc489197882"/>
      <w:bookmarkStart w:id="80" w:name="_Toc321836413"/>
      <w:r>
        <w:rPr>
          <w:rFonts w:hint="eastAsia" w:ascii="仿宋" w:hAnsi="仿宋" w:eastAsia="仿宋" w:cs="仿宋"/>
          <w:b/>
          <w:bCs/>
          <w:color w:val="auto"/>
          <w:sz w:val="24"/>
          <w:szCs w:val="24"/>
          <w:highlight w:val="none"/>
        </w:rPr>
        <w:t>2.5报价过低情形澄清</w:t>
      </w:r>
    </w:p>
    <w:p w14:paraId="17D24F4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认为供应商的报价(总价或单价)明显低于其他通过符合性审查供应商的报价(总价或单价)，有可能影响产品质量(或服务)或者不能诚信履约的，应当要求其在评标现场合理的时间内提供书面说明，必要时提交相关证明材料；供应商不能证明其报价合理性的，评标委员会应当将其作为无效投标处理。</w:t>
      </w:r>
    </w:p>
    <w:p w14:paraId="7A37C0B0">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2.6评标结果</w:t>
      </w:r>
      <w:bookmarkEnd w:id="78"/>
      <w:bookmarkEnd w:id="79"/>
      <w:bookmarkEnd w:id="80"/>
    </w:p>
    <w:p w14:paraId="47E809B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评标委员会按评标总得分由高到低顺序推荐中标候选人，评标总得分相等时，按商务技术部分得分由高到低顺序排序；评标总得分相等且商务技术部分得分相同时，按投标报价由低到高顺序排序，并提出书面评标报告。</w:t>
      </w:r>
    </w:p>
    <w:p w14:paraId="2BCA5D6C">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2.6.2 采购人根据评标委员会提出的书面评标报告和推荐的中标候选人名单，确定中标人。</w:t>
      </w:r>
    </w:p>
    <w:p w14:paraId="0D6EAFD6">
      <w:pP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2.6.3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p>
    <w:p w14:paraId="6A5C4FAD">
      <w:pPr>
        <w:rPr>
          <w:rFonts w:hint="eastAsia" w:ascii="仿宋" w:hAnsi="仿宋" w:eastAsia="仿宋" w:cs="仿宋"/>
          <w:b/>
          <w:color w:val="auto"/>
          <w:kern w:val="10"/>
          <w:sz w:val="24"/>
          <w:highlight w:val="none"/>
        </w:rPr>
      </w:pPr>
    </w:p>
    <w:bookmarkEnd w:id="48"/>
    <w:bookmarkEnd w:id="49"/>
    <w:p w14:paraId="72697CC2">
      <w:pPr>
        <w:numPr>
          <w:ilvl w:val="0"/>
          <w:numId w:val="8"/>
        </w:numPr>
        <w:spacing w:line="360" w:lineRule="auto"/>
        <w:jc w:val="center"/>
        <w:outlineLvl w:val="0"/>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bookmarkStart w:id="81" w:name="_Toc29356"/>
      <w:bookmarkStart w:id="82" w:name="_Toc31775"/>
      <w:bookmarkStart w:id="83" w:name="_Toc427678318"/>
      <w:r>
        <w:rPr>
          <w:rFonts w:hint="eastAsia" w:ascii="仿宋" w:hAnsi="仿宋" w:eastAsia="仿宋" w:cs="仿宋"/>
          <w:b/>
          <w:bCs/>
          <w:color w:val="auto"/>
          <w:sz w:val="36"/>
          <w:szCs w:val="36"/>
          <w:highlight w:val="none"/>
        </w:rPr>
        <w:t>合同条款及合同书样式</w:t>
      </w:r>
      <w:bookmarkEnd w:id="81"/>
      <w:bookmarkEnd w:id="82"/>
    </w:p>
    <w:p w14:paraId="53E4014E">
      <w:pPr>
        <w:autoSpaceDE w:val="0"/>
        <w:autoSpaceDN w:val="0"/>
        <w:adjustRightInd w:val="0"/>
        <w:spacing w:line="300" w:lineRule="auto"/>
        <w:ind w:right="-72"/>
        <w:rPr>
          <w:rFonts w:hint="eastAsia" w:ascii="宋体" w:hAnsi="宋体" w:cs="宋体"/>
          <w:color w:val="auto"/>
          <w:kern w:val="0"/>
          <w:sz w:val="24"/>
          <w:highlight w:val="none"/>
        </w:rPr>
      </w:pPr>
    </w:p>
    <w:p w14:paraId="6D12FDA7">
      <w:pPr>
        <w:autoSpaceDE w:val="0"/>
        <w:autoSpaceDN w:val="0"/>
        <w:adjustRightInd w:val="0"/>
        <w:jc w:val="center"/>
        <w:rPr>
          <w:rFonts w:ascii="宋体" w:cs="宋体"/>
          <w:color w:val="auto"/>
          <w:kern w:val="0"/>
          <w:sz w:val="22"/>
          <w:highlight w:val="none"/>
        </w:rPr>
      </w:pPr>
      <w:r>
        <w:rPr>
          <w:rFonts w:hint="eastAsia" w:ascii="宋体" w:cs="宋体"/>
          <w:color w:val="auto"/>
          <w:kern w:val="0"/>
          <w:sz w:val="22"/>
          <w:highlight w:val="none"/>
        </w:rPr>
        <w:t>（本章合同条款及格式仅作为参考，采购人保留最终修订合同的权利，最终本合同以实际签订为准）</w:t>
      </w:r>
    </w:p>
    <w:p w14:paraId="0C99D43A">
      <w:pPr>
        <w:ind w:firstLine="278" w:firstLineChars="132"/>
        <w:jc w:val="center"/>
        <w:rPr>
          <w:rFonts w:hint="eastAsia" w:ascii="宋体" w:hAnsi="宋体" w:cs="宋体"/>
          <w:b/>
          <w:color w:val="auto"/>
          <w:szCs w:val="21"/>
          <w:highlight w:val="none"/>
        </w:rPr>
      </w:pPr>
    </w:p>
    <w:p w14:paraId="046F5F8F">
      <w:pPr>
        <w:autoSpaceDE w:val="0"/>
        <w:autoSpaceDN w:val="0"/>
        <w:adjustRightInd w:val="0"/>
        <w:jc w:val="center"/>
        <w:rPr>
          <w:rFonts w:hint="eastAsia" w:ascii="宋体" w:eastAsia="宋体" w:cs="宋体"/>
          <w:color w:val="auto"/>
          <w:kern w:val="0"/>
          <w:sz w:val="44"/>
          <w:szCs w:val="44"/>
          <w:highlight w:val="none"/>
          <w:lang w:eastAsia="zh-CN"/>
        </w:rPr>
      </w:pPr>
      <w:r>
        <w:rPr>
          <w:rFonts w:hint="eastAsia" w:ascii="宋体" w:cs="宋体"/>
          <w:color w:val="auto"/>
          <w:kern w:val="0"/>
          <w:sz w:val="44"/>
          <w:szCs w:val="44"/>
          <w:highlight w:val="none"/>
          <w:lang w:eastAsia="zh-CN"/>
        </w:rPr>
        <w:t>瑞丽市国土空间详细规划弄莫湖片区编制项目</w:t>
      </w:r>
    </w:p>
    <w:p w14:paraId="3FB1A40D">
      <w:pPr>
        <w:pStyle w:val="50"/>
        <w:rPr>
          <w:rFonts w:hint="eastAsia" w:cs="宋体"/>
          <w:color w:val="auto"/>
          <w:sz w:val="44"/>
          <w:szCs w:val="44"/>
          <w:highlight w:val="none"/>
        </w:rPr>
      </w:pPr>
    </w:p>
    <w:p w14:paraId="1CEF5BEB">
      <w:pPr>
        <w:pStyle w:val="50"/>
        <w:rPr>
          <w:rFonts w:hint="eastAsia" w:cs="宋体"/>
          <w:color w:val="auto"/>
          <w:sz w:val="44"/>
          <w:szCs w:val="44"/>
          <w:highlight w:val="none"/>
        </w:rPr>
      </w:pPr>
    </w:p>
    <w:p w14:paraId="25A60E01">
      <w:pPr>
        <w:autoSpaceDE w:val="0"/>
        <w:autoSpaceDN w:val="0"/>
        <w:adjustRightInd w:val="0"/>
        <w:jc w:val="center"/>
        <w:rPr>
          <w:rFonts w:ascii="宋体" w:cs="宋体"/>
          <w:color w:val="auto"/>
          <w:kern w:val="0"/>
          <w:sz w:val="84"/>
          <w:szCs w:val="84"/>
          <w:highlight w:val="none"/>
        </w:rPr>
      </w:pPr>
      <w:r>
        <w:rPr>
          <w:rFonts w:hint="eastAsia" w:ascii="宋体" w:cs="宋体"/>
          <w:color w:val="auto"/>
          <w:kern w:val="0"/>
          <w:sz w:val="84"/>
          <w:szCs w:val="84"/>
          <w:highlight w:val="none"/>
        </w:rPr>
        <w:t>合</w:t>
      </w:r>
    </w:p>
    <w:p w14:paraId="6E7408B6">
      <w:pPr>
        <w:autoSpaceDE w:val="0"/>
        <w:autoSpaceDN w:val="0"/>
        <w:adjustRightInd w:val="0"/>
        <w:jc w:val="center"/>
        <w:rPr>
          <w:rFonts w:ascii="宋体" w:cs="宋体"/>
          <w:color w:val="auto"/>
          <w:kern w:val="0"/>
          <w:sz w:val="84"/>
          <w:szCs w:val="84"/>
          <w:highlight w:val="none"/>
        </w:rPr>
      </w:pPr>
      <w:r>
        <w:rPr>
          <w:rFonts w:hint="eastAsia" w:ascii="宋体" w:cs="宋体"/>
          <w:color w:val="auto"/>
          <w:kern w:val="0"/>
          <w:sz w:val="84"/>
          <w:szCs w:val="84"/>
          <w:highlight w:val="none"/>
        </w:rPr>
        <w:t>同</w:t>
      </w:r>
    </w:p>
    <w:p w14:paraId="747F31D7">
      <w:pPr>
        <w:autoSpaceDE w:val="0"/>
        <w:autoSpaceDN w:val="0"/>
        <w:adjustRightInd w:val="0"/>
        <w:jc w:val="center"/>
        <w:rPr>
          <w:rFonts w:ascii="宋体" w:cs="宋体"/>
          <w:color w:val="auto"/>
          <w:kern w:val="0"/>
          <w:sz w:val="84"/>
          <w:szCs w:val="84"/>
          <w:highlight w:val="none"/>
        </w:rPr>
      </w:pPr>
      <w:r>
        <w:rPr>
          <w:rFonts w:hint="eastAsia" w:ascii="宋体" w:cs="宋体"/>
          <w:color w:val="auto"/>
          <w:kern w:val="0"/>
          <w:sz w:val="84"/>
          <w:szCs w:val="84"/>
          <w:highlight w:val="none"/>
        </w:rPr>
        <w:t>书</w:t>
      </w:r>
    </w:p>
    <w:p w14:paraId="4EA7EB88">
      <w:pPr>
        <w:autoSpaceDE w:val="0"/>
        <w:autoSpaceDN w:val="0"/>
        <w:adjustRightInd w:val="0"/>
        <w:jc w:val="left"/>
        <w:rPr>
          <w:rFonts w:ascii="宋体" w:cs="宋体"/>
          <w:color w:val="auto"/>
          <w:kern w:val="0"/>
          <w:sz w:val="28"/>
          <w:szCs w:val="28"/>
          <w:highlight w:val="none"/>
        </w:rPr>
      </w:pPr>
    </w:p>
    <w:p w14:paraId="1B03A5F0">
      <w:pPr>
        <w:autoSpaceDE w:val="0"/>
        <w:autoSpaceDN w:val="0"/>
        <w:adjustRightInd w:val="0"/>
        <w:jc w:val="left"/>
        <w:rPr>
          <w:rFonts w:ascii="宋体" w:cs="宋体"/>
          <w:color w:val="auto"/>
          <w:kern w:val="0"/>
          <w:sz w:val="28"/>
          <w:szCs w:val="28"/>
          <w:highlight w:val="none"/>
        </w:rPr>
      </w:pPr>
    </w:p>
    <w:p w14:paraId="7601A061">
      <w:pPr>
        <w:autoSpaceDE w:val="0"/>
        <w:autoSpaceDN w:val="0"/>
        <w:adjustRightInd w:val="0"/>
        <w:jc w:val="left"/>
        <w:rPr>
          <w:rFonts w:ascii="宋体" w:cs="宋体"/>
          <w:color w:val="auto"/>
          <w:kern w:val="0"/>
          <w:sz w:val="28"/>
          <w:szCs w:val="28"/>
          <w:highlight w:val="none"/>
        </w:rPr>
      </w:pPr>
    </w:p>
    <w:p w14:paraId="3772B248">
      <w:pPr>
        <w:autoSpaceDE w:val="0"/>
        <w:autoSpaceDN w:val="0"/>
        <w:adjustRightInd w:val="0"/>
        <w:jc w:val="left"/>
        <w:rPr>
          <w:rFonts w:ascii="宋体" w:cs="宋体"/>
          <w:color w:val="auto"/>
          <w:kern w:val="0"/>
          <w:sz w:val="28"/>
          <w:szCs w:val="28"/>
          <w:highlight w:val="none"/>
        </w:rPr>
      </w:pPr>
    </w:p>
    <w:p w14:paraId="462E5689">
      <w:pPr>
        <w:autoSpaceDE w:val="0"/>
        <w:autoSpaceDN w:val="0"/>
        <w:adjustRightInd w:val="0"/>
        <w:jc w:val="left"/>
        <w:rPr>
          <w:rFonts w:ascii="宋体" w:cs="宋体"/>
          <w:color w:val="auto"/>
          <w:kern w:val="0"/>
          <w:sz w:val="28"/>
          <w:szCs w:val="28"/>
          <w:highlight w:val="none"/>
        </w:rPr>
      </w:pPr>
    </w:p>
    <w:p w14:paraId="7ABAB290">
      <w:pPr>
        <w:autoSpaceDE w:val="0"/>
        <w:autoSpaceDN w:val="0"/>
        <w:adjustRightInd w:val="0"/>
        <w:ind w:firstLine="2977" w:firstLineChars="1059"/>
        <w:rPr>
          <w:rFonts w:ascii="宋体" w:cs="宋体"/>
          <w:b/>
          <w:color w:val="auto"/>
          <w:kern w:val="0"/>
          <w:sz w:val="28"/>
          <w:szCs w:val="28"/>
          <w:highlight w:val="none"/>
        </w:rPr>
      </w:pPr>
      <w:r>
        <w:rPr>
          <w:rFonts w:hint="eastAsia" w:ascii="宋体" w:cs="宋体"/>
          <w:b/>
          <w:color w:val="auto"/>
          <w:kern w:val="0"/>
          <w:sz w:val="28"/>
          <w:szCs w:val="28"/>
          <w:highlight w:val="none"/>
        </w:rPr>
        <w:t>签订地点</w:t>
      </w:r>
      <w:r>
        <w:rPr>
          <w:rFonts w:ascii="宋体" w:cs="宋体"/>
          <w:b/>
          <w:color w:val="auto"/>
          <w:kern w:val="0"/>
          <w:sz w:val="28"/>
          <w:szCs w:val="28"/>
          <w:highlight w:val="none"/>
        </w:rPr>
        <w:t>:</w:t>
      </w:r>
    </w:p>
    <w:p w14:paraId="6761349F">
      <w:pPr>
        <w:autoSpaceDE w:val="0"/>
        <w:autoSpaceDN w:val="0"/>
        <w:adjustRightInd w:val="0"/>
        <w:ind w:firstLine="2951" w:firstLineChars="1050"/>
        <w:rPr>
          <w:color w:val="auto"/>
          <w:sz w:val="20"/>
          <w:highlight w:val="none"/>
        </w:rPr>
      </w:pPr>
      <w:r>
        <w:rPr>
          <w:rFonts w:hint="eastAsia" w:ascii="宋体" w:cs="宋体"/>
          <w:b/>
          <w:color w:val="auto"/>
          <w:kern w:val="0"/>
          <w:sz w:val="28"/>
          <w:szCs w:val="28"/>
          <w:highlight w:val="none"/>
        </w:rPr>
        <w:t>签订</w:t>
      </w:r>
      <w:r>
        <w:rPr>
          <w:rFonts w:ascii="宋体" w:cs="宋体"/>
          <w:b/>
          <w:color w:val="auto"/>
          <w:kern w:val="0"/>
          <w:sz w:val="28"/>
          <w:szCs w:val="28"/>
          <w:highlight w:val="none"/>
        </w:rPr>
        <w:t>日期：</w:t>
      </w:r>
      <w:r>
        <w:rPr>
          <w:rFonts w:hint="eastAsia" w:ascii="宋体" w:cs="宋体"/>
          <w:b/>
          <w:color w:val="auto"/>
          <w:kern w:val="0"/>
          <w:sz w:val="28"/>
          <w:szCs w:val="28"/>
          <w:highlight w:val="none"/>
        </w:rPr>
        <w:t xml:space="preserve">   年    月    日</w:t>
      </w:r>
    </w:p>
    <w:p w14:paraId="172CB0C6">
      <w:pPr>
        <w:autoSpaceDE w:val="0"/>
        <w:autoSpaceDN w:val="0"/>
        <w:adjustRightInd w:val="0"/>
        <w:rPr>
          <w:color w:val="auto"/>
          <w:highlight w:val="none"/>
        </w:rPr>
      </w:pPr>
      <w:r>
        <w:rPr>
          <w:color w:val="auto"/>
          <w:highlight w:val="none"/>
        </w:rPr>
        <w:br w:type="page"/>
      </w:r>
    </w:p>
    <w:p w14:paraId="28865CD2">
      <w:pPr>
        <w:pStyle w:val="29"/>
        <w:shd w:val="clear" w:color="auto" w:fill="FFFFFF"/>
        <w:jc w:val="both"/>
        <w:rPr>
          <w:rFonts w:hint="eastAsia" w:ascii="仿宋" w:hAnsi="仿宋" w:eastAsia="仿宋" w:cs="仿宋"/>
          <w:color w:val="auto"/>
          <w:sz w:val="24"/>
          <w:highlight w:val="none"/>
        </w:rPr>
      </w:pPr>
      <w:r>
        <w:rPr>
          <w:rFonts w:hint="eastAsia" w:ascii="仿宋" w:hAnsi="仿宋" w:eastAsia="仿宋" w:cs="仿宋"/>
          <w:color w:val="auto"/>
          <w:sz w:val="22"/>
          <w:szCs w:val="22"/>
          <w:highlight w:val="none"/>
        </w:rPr>
        <w:t>甲方：</w:t>
      </w:r>
      <w:r>
        <w:rPr>
          <w:rFonts w:hint="eastAsia" w:ascii="仿宋" w:hAnsi="仿宋" w:eastAsia="仿宋" w:cs="仿宋"/>
          <w:color w:val="auto"/>
          <w:sz w:val="24"/>
          <w:highlight w:val="none"/>
        </w:rPr>
        <w:t>_____________</w:t>
      </w:r>
    </w:p>
    <w:p w14:paraId="45A3A34E">
      <w:pPr>
        <w:pStyle w:val="29"/>
        <w:shd w:val="clear" w:color="auto" w:fill="FFFFFF"/>
        <w:jc w:val="both"/>
        <w:rPr>
          <w:rFonts w:hint="eastAsia" w:ascii="仿宋" w:hAnsi="仿宋" w:eastAsia="仿宋" w:cs="仿宋"/>
          <w:color w:val="auto"/>
          <w:sz w:val="24"/>
          <w:highlight w:val="none"/>
        </w:rPr>
      </w:pPr>
    </w:p>
    <w:p w14:paraId="31BCB7F6">
      <w:pPr>
        <w:pStyle w:val="29"/>
        <w:shd w:val="clear" w:color="auto" w:fill="FFFFFF"/>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乙方：_____</w:t>
      </w:r>
      <w:r>
        <w:rPr>
          <w:rFonts w:hint="eastAsia" w:ascii="仿宋" w:hAnsi="仿宋" w:eastAsia="仿宋" w:cs="仿宋"/>
          <w:color w:val="auto"/>
          <w:sz w:val="22"/>
          <w:szCs w:val="22"/>
          <w:highlight w:val="none"/>
          <w:u w:val="single"/>
        </w:rPr>
        <w:t xml:space="preserve">_          </w:t>
      </w:r>
    </w:p>
    <w:p w14:paraId="2FEA1CEE">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采购结果，按照《中华人民共和国民法典》、《中华人民共和国城乡规划法》、《城市规划编制办法》、《中华人民共和国建筑法》、《建设工程勘察设计市场管理规定》、国家及地方有关规划的有关规定，经双方协商，本着平等互利和诚实信用的原则，一致同意签订本合同如下。</w:t>
      </w:r>
    </w:p>
    <w:p w14:paraId="436491A8">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一、合同金额</w:t>
      </w:r>
    </w:p>
    <w:p w14:paraId="0434A08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合同金额为（大写）：_________________元（￥_______________元）人民币。</w:t>
      </w:r>
    </w:p>
    <w:p w14:paraId="71FFA50C">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二、服务范围</w:t>
      </w:r>
    </w:p>
    <w:p w14:paraId="776BB22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甲方聘请乙方提供以下服务：</w:t>
      </w:r>
    </w:p>
    <w:p w14:paraId="799F22B7">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1．本合同项下的服务指完成，并按项目技术要求中的规定完成工作任务。</w:t>
      </w:r>
    </w:p>
    <w:p w14:paraId="6903B380">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p w14:paraId="4E0A1A6E">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p w14:paraId="74A4BB22">
      <w:pPr>
        <w:pStyle w:val="13"/>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6EAC0B00">
      <w:pPr>
        <w:adjustRightInd w:val="0"/>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三、工作安排</w:t>
      </w:r>
    </w:p>
    <w:p w14:paraId="592EDE62">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本次任务总体分为五个阶段。</w:t>
      </w:r>
    </w:p>
    <w:p w14:paraId="76163847">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第一阶段：签订合同后五个工作日内，乙方组织开展现场踏勘调研工作，相应工作节点完成后，甲方按照合同约定支付乙方相应经费，乙方的现场工作不少于</w:t>
      </w:r>
      <w:r>
        <w:rPr>
          <w:rFonts w:hint="eastAsia" w:ascii="仿宋" w:hAnsi="仿宋" w:eastAsia="仿宋" w:cs="仿宋"/>
          <w:b w:val="0"/>
          <w:color w:val="auto"/>
          <w:highlight w:val="none"/>
          <w:u w:val="single"/>
        </w:rPr>
        <w:t xml:space="preserve">     </w:t>
      </w:r>
      <w:r>
        <w:rPr>
          <w:rFonts w:hint="eastAsia" w:ascii="仿宋" w:hAnsi="仿宋" w:eastAsia="仿宋" w:cs="仿宋"/>
          <w:b w:val="0"/>
          <w:color w:val="auto"/>
          <w:highlight w:val="none"/>
        </w:rPr>
        <w:t>个工作日，甲方应为乙方顺利进场踏勘提供帮助。本阶段共计</w:t>
      </w:r>
      <w:r>
        <w:rPr>
          <w:rFonts w:hint="eastAsia" w:ascii="仿宋" w:hAnsi="仿宋" w:eastAsia="仿宋" w:cs="仿宋"/>
          <w:b w:val="0"/>
          <w:color w:val="auto"/>
          <w:highlight w:val="none"/>
          <w:u w:val="single"/>
        </w:rPr>
        <w:t xml:space="preserve">      </w:t>
      </w:r>
      <w:r>
        <w:rPr>
          <w:rFonts w:hint="eastAsia" w:ascii="仿宋" w:hAnsi="仿宋" w:eastAsia="仿宋" w:cs="仿宋"/>
          <w:b w:val="0"/>
          <w:color w:val="auto"/>
          <w:highlight w:val="none"/>
        </w:rPr>
        <w:t>个工作日。</w:t>
      </w:r>
    </w:p>
    <w:p w14:paraId="4D7A0476">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第二阶段：初步方案汇报。乙方在梳理基础资料与现状踏勘资料基础上，完成规划初步方案，并向甲方汇报和征求意见，同时完成补充调研。本阶段共计</w:t>
      </w:r>
      <w:r>
        <w:rPr>
          <w:rFonts w:hint="eastAsia" w:ascii="仿宋" w:hAnsi="仿宋" w:eastAsia="仿宋" w:cs="仿宋"/>
          <w:b w:val="0"/>
          <w:color w:val="auto"/>
          <w:highlight w:val="none"/>
          <w:u w:val="single"/>
        </w:rPr>
        <w:t xml:space="preserve">   </w:t>
      </w:r>
      <w:r>
        <w:rPr>
          <w:rFonts w:hint="eastAsia" w:ascii="仿宋" w:hAnsi="仿宋" w:eastAsia="仿宋" w:cs="仿宋"/>
          <w:b w:val="0"/>
          <w:color w:val="auto"/>
          <w:highlight w:val="none"/>
        </w:rPr>
        <w:t>个工作日。</w:t>
      </w:r>
    </w:p>
    <w:p w14:paraId="5D0A08B1">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第三阶段：中期成果汇报。乙方根据甲方书面修改意见进行修改完善，形成中期完整成果，并向甲方汇报和征求意见。本阶段共计</w:t>
      </w:r>
      <w:r>
        <w:rPr>
          <w:rFonts w:hint="eastAsia" w:ascii="仿宋" w:hAnsi="仿宋" w:eastAsia="仿宋" w:cs="仿宋"/>
          <w:b w:val="0"/>
          <w:color w:val="auto"/>
          <w:highlight w:val="none"/>
          <w:u w:val="single"/>
        </w:rPr>
        <w:t xml:space="preserve">     </w:t>
      </w:r>
      <w:r>
        <w:rPr>
          <w:rFonts w:hint="eastAsia" w:ascii="仿宋" w:hAnsi="仿宋" w:eastAsia="仿宋" w:cs="仿宋"/>
          <w:b w:val="0"/>
          <w:color w:val="auto"/>
          <w:highlight w:val="none"/>
        </w:rPr>
        <w:t>个工作日。</w:t>
      </w:r>
    </w:p>
    <w:p w14:paraId="64FC68BB">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第四阶段：报批成果提交。乙方根据甲方书面意见进行修改完善，展开最终成功编制并提交报批成果。本阶段共计</w:t>
      </w:r>
      <w:r>
        <w:rPr>
          <w:rFonts w:hint="eastAsia" w:ascii="仿宋" w:hAnsi="仿宋" w:eastAsia="仿宋" w:cs="仿宋"/>
          <w:b w:val="0"/>
          <w:color w:val="auto"/>
          <w:highlight w:val="none"/>
          <w:u w:val="single"/>
        </w:rPr>
        <w:t xml:space="preserve">      </w:t>
      </w:r>
      <w:r>
        <w:rPr>
          <w:rFonts w:hint="eastAsia" w:ascii="仿宋" w:hAnsi="仿宋" w:eastAsia="仿宋" w:cs="仿宋"/>
          <w:b w:val="0"/>
          <w:color w:val="auto"/>
          <w:highlight w:val="none"/>
        </w:rPr>
        <w:t>个工作日。</w:t>
      </w:r>
    </w:p>
    <w:p w14:paraId="424AC67E">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第五阶段：最终成果提交。根据成果论证、审查及公示等程序，乙方对成果文件修改并提交最终报批成果。本阶段共计</w:t>
      </w:r>
      <w:r>
        <w:rPr>
          <w:rFonts w:hint="eastAsia" w:ascii="仿宋" w:hAnsi="仿宋" w:eastAsia="仿宋" w:cs="仿宋"/>
          <w:b w:val="0"/>
          <w:color w:val="auto"/>
          <w:highlight w:val="none"/>
          <w:u w:val="single"/>
        </w:rPr>
        <w:t xml:space="preserve">      </w:t>
      </w:r>
      <w:r>
        <w:rPr>
          <w:rFonts w:hint="eastAsia" w:ascii="仿宋" w:hAnsi="仿宋" w:eastAsia="仿宋" w:cs="仿宋"/>
          <w:b w:val="0"/>
          <w:color w:val="auto"/>
          <w:highlight w:val="none"/>
        </w:rPr>
        <w:t>个工作日。</w:t>
      </w:r>
    </w:p>
    <w:p w14:paraId="49ADB394">
      <w:pPr>
        <w:pStyle w:val="133"/>
        <w:numPr>
          <w:ilvl w:val="0"/>
          <w:numId w:val="0"/>
        </w:numPr>
        <w:spacing w:before="120" w:after="120" w:line="360" w:lineRule="auto"/>
        <w:ind w:firstLine="480" w:firstLineChars="200"/>
        <w:rPr>
          <w:rFonts w:hint="eastAsia" w:ascii="仿宋" w:hAnsi="仿宋" w:eastAsia="仿宋" w:cs="仿宋"/>
          <w:color w:val="auto"/>
          <w:highlight w:val="none"/>
        </w:rPr>
      </w:pPr>
      <w:r>
        <w:rPr>
          <w:rFonts w:hint="eastAsia" w:ascii="仿宋" w:hAnsi="仿宋" w:eastAsia="仿宋" w:cs="仿宋"/>
          <w:b w:val="0"/>
          <w:color w:val="auto"/>
          <w:highlight w:val="none"/>
        </w:rPr>
        <w:t>每一阶段工作都自甲方送达乙方书面意见且乙方按照合同约定收到甲方支付经费第二日起算。如遇不可控因素如因国家政策或上级部门对相关工作部署调整，以及工作资料缺失等情况造成工作延迟，则本合同约定的设计进度顺延或甲乙方另行商定。</w:t>
      </w:r>
    </w:p>
    <w:p w14:paraId="27CF0C82">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四、双方责任</w:t>
      </w:r>
    </w:p>
    <w:p w14:paraId="4D1FA59A">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甲方责任：</w:t>
      </w:r>
    </w:p>
    <w:p w14:paraId="5220DEA2">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1、甲方按具体项目要求的内容，在规定的时间内向乙方提交资料及文件，并对其完整性、正确性及时限性负责。</w:t>
      </w:r>
    </w:p>
    <w:p w14:paraId="5209D6F3">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甲方提交上述资料及文件超过规定期限15天以内，乙方按本合同第四条规定交付设计文件时间顺延；规定时限超过15天以上时，乙方有权重新确定提交规划设计文件的时间。</w:t>
      </w:r>
    </w:p>
    <w:p w14:paraId="5E8809E8">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甲方变更委托规划设计项目、规模、条件或因提交的资料有误，应在合理期限内重新补交材料；若所提供资料作需较大修改，以致造成乙方规划设计需重新返工时，双方应协商解决，就协商内容可另行签订补充合同（或另订合同）、重新明确有关返工的条款。</w:t>
      </w:r>
    </w:p>
    <w:p w14:paraId="23F0FD1F">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在合同履行期间，甲方要求终止或解除合同，乙方未开始规划设计、建筑方案设计工作的，应退还还甲方已付的定金（如有）；已开始规划设计、建筑方案设计工作的，甲方应根据乙方已进行的工作量支付设计费。</w:t>
      </w:r>
    </w:p>
    <w:p w14:paraId="6F2B610E">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4、甲方要求乙方在合同规定时间提前提交规划设计文件时，甲方应支付赶工费。</w:t>
      </w:r>
    </w:p>
    <w:p w14:paraId="6E374B45">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5、规划设计版权在甲方付清全部款项后归甲方所有。</w:t>
      </w:r>
    </w:p>
    <w:p w14:paraId="5A4F9990">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乙方责任：</w:t>
      </w:r>
    </w:p>
    <w:p w14:paraId="3AC32120">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1、乙方按国家现行的规划设计标准、规范进行规划设计，根据双方规定技术深度要求，按具体项目合同规定的进度向甲方提交规划设计成果。</w:t>
      </w:r>
    </w:p>
    <w:p w14:paraId="6ADA8D1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2、乙方对提交的规划设计成果质量负责，并负责对规划设计文件出现的遗漏或错误负责修改或补充，费用由乙方负责。</w:t>
      </w:r>
    </w:p>
    <w:p w14:paraId="5D6445C2">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3、由于乙方设计错误造成工程质量事故损失，乙方除负责采取补救措施外，应免收受损失部分的设计费，并根据损失程度对受损方进行赔偿（包括但不限于因此产生的实际损失、诉讼费、保全费、律师费等）。</w:t>
      </w:r>
    </w:p>
    <w:p w14:paraId="6AD5148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4、由于乙方自身原因，延误了按具体项目合同设计文件交付时间，每延误一天，应减收该项目应收规划设计费的千分之二，延期30天以上的，甲方有权解除合同，并要求乙方赔偿相应的损失。</w:t>
      </w:r>
    </w:p>
    <w:p w14:paraId="0B81F603">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5、具体项目合同生效后，乙方要求终止或解除合同，乙方应双倍返还定金，并承担耽误甲方工期的损失费用（包括但不限于因此产生的实际损失、诉讼费、保全费、律师费等）。</w:t>
      </w:r>
    </w:p>
    <w:p w14:paraId="13C77895">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6、在最终方案汇报评审时，专家评审的费用由乙方负责，且乙方按甲方要求交付规划设计成果后，参加有关上级组织的规划设计成果的审查活动，并根据审查结论负责必要的调整与补充，费用由乙方负责。</w:t>
      </w:r>
    </w:p>
    <w:p w14:paraId="6669950A">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7、乙方不得向第三方扩散、转让甲方提交的技术经济资料。如发生以上情况，乙方应按规划设计总费用的双倍赔偿给甲方。</w:t>
      </w:r>
    </w:p>
    <w:p w14:paraId="7B878136">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五、服务期间（项目完成期限）</w:t>
      </w:r>
    </w:p>
    <w:p w14:paraId="1874F9FE">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委托服务期间自______年______月至______年______月止。</w:t>
      </w:r>
    </w:p>
    <w:p w14:paraId="5AA74509">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六、 付款方式</w:t>
      </w:r>
    </w:p>
    <w:p w14:paraId="5E105A36">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第一阶段：。</w:t>
      </w:r>
    </w:p>
    <w:p w14:paraId="3461B1B2">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第二阶段：</w:t>
      </w:r>
    </w:p>
    <w:p w14:paraId="22EAB89B">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第三阶段：。</w:t>
      </w:r>
    </w:p>
    <w:p w14:paraId="21B8DBF7">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第四阶段：。</w:t>
      </w:r>
    </w:p>
    <w:p w14:paraId="4BDB5B69">
      <w:pPr>
        <w:pStyle w:val="133"/>
        <w:numPr>
          <w:ilvl w:val="0"/>
          <w:numId w:val="0"/>
        </w:numPr>
        <w:spacing w:before="120" w:after="120" w:line="360" w:lineRule="auto"/>
        <w:ind w:firstLine="480" w:firstLineChars="200"/>
        <w:rPr>
          <w:rFonts w:hint="eastAsia" w:ascii="仿宋" w:hAnsi="仿宋" w:eastAsia="仿宋" w:cs="仿宋"/>
          <w:b w:val="0"/>
          <w:color w:val="auto"/>
          <w:highlight w:val="none"/>
        </w:rPr>
      </w:pPr>
      <w:r>
        <w:rPr>
          <w:rFonts w:hint="eastAsia" w:ascii="仿宋" w:hAnsi="仿宋" w:eastAsia="仿宋" w:cs="仿宋"/>
          <w:b w:val="0"/>
          <w:color w:val="auto"/>
          <w:highlight w:val="none"/>
        </w:rPr>
        <w:t>第五阶段：。</w:t>
      </w:r>
    </w:p>
    <w:p w14:paraId="394EAC54">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七、知识产权产权归属</w:t>
      </w:r>
    </w:p>
    <w:p w14:paraId="1A35DC8C">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八、保密</w:t>
      </w:r>
    </w:p>
    <w:p w14:paraId="1F5AAC05">
      <w:pPr>
        <w:adjustRightInd w:val="0"/>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九、违约责任与赔偿损失</w:t>
      </w:r>
    </w:p>
    <w:p w14:paraId="74860864">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十、争端的解决</w:t>
      </w:r>
    </w:p>
    <w:p w14:paraId="54FCD698">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1)合同执行过程中发生的任何争议，如双方不能通过友好协商解决，可向甲方住所地有管辖权的人民法院起诉。</w:t>
      </w:r>
    </w:p>
    <w:p w14:paraId="02C15F36">
      <w:pPr>
        <w:adjustRightInd w:val="0"/>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十一、不可抗力：</w:t>
      </w:r>
    </w:p>
    <w:p w14:paraId="4F6E53DD">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5694166F">
      <w:pPr>
        <w:adjustRightInd w:val="0"/>
        <w:snapToGrid w:val="0"/>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十二、税费：</w:t>
      </w:r>
    </w:p>
    <w:p w14:paraId="0A2D864E">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在中国境内、外发生的与本合同执行有关的一切税费均由乙方负担。</w:t>
      </w:r>
    </w:p>
    <w:p w14:paraId="0F8619FB">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十三、其它</w:t>
      </w:r>
    </w:p>
    <w:p w14:paraId="269F7C24">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1)本合同所有附件、采购文件、响应文件、成交通知书均为合同的有效组成部分，与本合同具有同等法律效力。</w:t>
      </w:r>
    </w:p>
    <w:p w14:paraId="4F6A2F45">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2)在执行本合同的过程中，所有经双方签署确认的文件（包括会议纪要、补充协议、往来信函）即成为本合同的有效组成部分。</w:t>
      </w:r>
    </w:p>
    <w:p w14:paraId="37A43AC4">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3)如一方地址、电话、传真号码有变更，应在变更当日内书面通知对方，否则，应承担相应责任。</w:t>
      </w:r>
    </w:p>
    <w:p w14:paraId="326F3CB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4)除甲方事先书面同意外，乙方不得部分或全部转让其应履行的合同项下的义务。</w:t>
      </w:r>
    </w:p>
    <w:p w14:paraId="7079AF5E">
      <w:pPr>
        <w:adjustRightInd w:val="0"/>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十四、合同生效：</w:t>
      </w:r>
    </w:p>
    <w:p w14:paraId="07499666">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1）本合同在甲乙双方法定代表人或其授权代表人签字盖章后生效。</w:t>
      </w:r>
    </w:p>
    <w:p w14:paraId="2D1B743D">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2）合同一式份。</w:t>
      </w:r>
    </w:p>
    <w:p w14:paraId="11470FF2">
      <w:pPr>
        <w:pStyle w:val="29"/>
        <w:ind w:firstLine="480"/>
        <w:rPr>
          <w:rFonts w:hint="eastAsia" w:ascii="仿宋" w:hAnsi="仿宋" w:eastAsia="仿宋" w:cs="仿宋"/>
          <w:color w:val="auto"/>
          <w:sz w:val="24"/>
          <w:szCs w:val="24"/>
          <w:highlight w:val="none"/>
        </w:rPr>
      </w:pPr>
    </w:p>
    <w:p w14:paraId="6E3B6AD6">
      <w:pPr>
        <w:pStyle w:val="29"/>
        <w:ind w:firstLine="480"/>
        <w:rPr>
          <w:rFonts w:hint="eastAsia" w:ascii="仿宋" w:hAnsi="仿宋" w:eastAsia="仿宋" w:cs="仿宋"/>
          <w:color w:val="auto"/>
          <w:sz w:val="24"/>
          <w:szCs w:val="24"/>
          <w:highlight w:val="none"/>
        </w:rPr>
      </w:pPr>
    </w:p>
    <w:p w14:paraId="787E8F39">
      <w:pPr>
        <w:pStyle w:val="29"/>
        <w:rPr>
          <w:rFonts w:hint="eastAsia" w:ascii="仿宋" w:hAnsi="仿宋" w:eastAsia="仿宋" w:cs="仿宋"/>
          <w:color w:val="auto"/>
          <w:sz w:val="24"/>
          <w:szCs w:val="24"/>
          <w:highlight w:val="none"/>
        </w:rPr>
      </w:pPr>
    </w:p>
    <w:p w14:paraId="2A4964BC">
      <w:pPr>
        <w:pStyle w:val="29"/>
        <w:ind w:firstLine="480"/>
        <w:rPr>
          <w:rFonts w:hint="eastAsia" w:ascii="仿宋" w:hAnsi="仿宋" w:eastAsia="仿宋" w:cs="仿宋"/>
          <w:color w:val="auto"/>
          <w:sz w:val="24"/>
          <w:szCs w:val="24"/>
          <w:highlight w:val="none"/>
        </w:rPr>
      </w:pPr>
    </w:p>
    <w:p w14:paraId="5CAA50D8">
      <w:pPr>
        <w:pStyle w:val="29"/>
        <w:ind w:firstLine="480"/>
        <w:rPr>
          <w:rFonts w:hint="eastAsia" w:ascii="仿宋" w:hAnsi="仿宋" w:eastAsia="仿宋" w:cs="仿宋"/>
          <w:color w:val="auto"/>
          <w:sz w:val="24"/>
          <w:szCs w:val="24"/>
          <w:highlight w:val="none"/>
        </w:rPr>
      </w:pPr>
    </w:p>
    <w:p w14:paraId="0CEC526D">
      <w:pPr>
        <w:pStyle w:val="29"/>
        <w:ind w:firstLine="480"/>
        <w:rPr>
          <w:rFonts w:hint="eastAsia" w:ascii="仿宋" w:hAnsi="仿宋" w:eastAsia="仿宋" w:cs="仿宋"/>
          <w:color w:val="auto"/>
          <w:sz w:val="24"/>
          <w:szCs w:val="24"/>
          <w:highlight w:val="none"/>
        </w:rPr>
      </w:pPr>
    </w:p>
    <w:p w14:paraId="6122DEE9">
      <w:pPr>
        <w:pStyle w:val="29"/>
        <w:ind w:firstLine="480"/>
        <w:rPr>
          <w:rFonts w:hint="eastAsia" w:ascii="仿宋" w:hAnsi="仿宋" w:eastAsia="仿宋" w:cs="仿宋"/>
          <w:color w:val="auto"/>
          <w:sz w:val="24"/>
          <w:szCs w:val="24"/>
          <w:highlight w:val="none"/>
        </w:rPr>
      </w:pPr>
    </w:p>
    <w:p w14:paraId="11CE7D25">
      <w:pPr>
        <w:pStyle w:val="29"/>
        <w:ind w:firstLine="480"/>
        <w:rPr>
          <w:rFonts w:hint="eastAsia" w:ascii="仿宋" w:hAnsi="仿宋" w:eastAsia="仿宋" w:cs="仿宋"/>
          <w:color w:val="auto"/>
          <w:sz w:val="24"/>
          <w:szCs w:val="24"/>
          <w:highlight w:val="none"/>
        </w:rPr>
      </w:pPr>
    </w:p>
    <w:p w14:paraId="39A3A884">
      <w:pPr>
        <w:pStyle w:val="29"/>
        <w:ind w:firstLine="480"/>
        <w:rPr>
          <w:rFonts w:hint="eastAsia" w:ascii="仿宋" w:hAnsi="仿宋" w:eastAsia="仿宋" w:cs="仿宋"/>
          <w:color w:val="auto"/>
          <w:sz w:val="24"/>
          <w:szCs w:val="24"/>
          <w:highlight w:val="none"/>
        </w:rPr>
      </w:pPr>
    </w:p>
    <w:p w14:paraId="5684B302">
      <w:pPr>
        <w:pStyle w:val="29"/>
        <w:ind w:firstLine="480"/>
        <w:rPr>
          <w:rFonts w:hint="eastAsia" w:ascii="仿宋" w:hAnsi="仿宋" w:eastAsia="仿宋" w:cs="仿宋"/>
          <w:color w:val="auto"/>
          <w:sz w:val="24"/>
          <w:szCs w:val="24"/>
          <w:highlight w:val="none"/>
        </w:rPr>
      </w:pPr>
    </w:p>
    <w:p w14:paraId="3BD43283">
      <w:pPr>
        <w:pStyle w:val="29"/>
        <w:ind w:firstLine="480"/>
        <w:rPr>
          <w:rFonts w:hint="eastAsia" w:ascii="仿宋" w:hAnsi="仿宋" w:eastAsia="仿宋" w:cs="仿宋"/>
          <w:color w:val="auto"/>
          <w:sz w:val="24"/>
          <w:szCs w:val="24"/>
          <w:highlight w:val="none"/>
        </w:rPr>
      </w:pPr>
    </w:p>
    <w:p w14:paraId="56A29CD0">
      <w:pPr>
        <w:pStyle w:val="29"/>
        <w:ind w:firstLine="480"/>
        <w:rPr>
          <w:rFonts w:hint="eastAsia" w:ascii="仿宋" w:hAnsi="仿宋" w:eastAsia="仿宋" w:cs="仿宋"/>
          <w:color w:val="auto"/>
          <w:sz w:val="24"/>
          <w:szCs w:val="24"/>
          <w:highlight w:val="none"/>
        </w:rPr>
      </w:pPr>
    </w:p>
    <w:p w14:paraId="3766AD82">
      <w:pPr>
        <w:pStyle w:val="29"/>
        <w:ind w:firstLine="480"/>
        <w:rPr>
          <w:rFonts w:hint="eastAsia" w:ascii="仿宋" w:hAnsi="仿宋" w:eastAsia="仿宋" w:cs="仿宋"/>
          <w:color w:val="auto"/>
          <w:sz w:val="24"/>
          <w:szCs w:val="24"/>
          <w:highlight w:val="none"/>
        </w:rPr>
      </w:pPr>
    </w:p>
    <w:p w14:paraId="791B14D0">
      <w:pPr>
        <w:pStyle w:val="29"/>
        <w:ind w:firstLine="480"/>
        <w:rPr>
          <w:rFonts w:hint="eastAsia" w:ascii="仿宋" w:hAnsi="仿宋" w:eastAsia="仿宋" w:cs="仿宋"/>
          <w:color w:val="auto"/>
          <w:sz w:val="24"/>
          <w:szCs w:val="24"/>
          <w:highlight w:val="none"/>
        </w:rPr>
      </w:pPr>
    </w:p>
    <w:p w14:paraId="1EFA5F6F">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委托方单位名称（公章）：</w:t>
      </w:r>
    </w:p>
    <w:p w14:paraId="062BE026">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 （签字）：</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p>
    <w:p w14:paraId="5C42B578">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签定合同代表（签字）：</w:t>
      </w:r>
    </w:p>
    <w:p w14:paraId="0638A81F">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4696537A">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p>
    <w:p w14:paraId="100D3B3A">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w:t>
      </w:r>
    </w:p>
    <w:p w14:paraId="66A5D39E">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02B45368">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      年    月      日</w:t>
      </w:r>
    </w:p>
    <w:p w14:paraId="5AF06BAF">
      <w:pPr>
        <w:pStyle w:val="29"/>
        <w:ind w:firstLine="480"/>
        <w:rPr>
          <w:rFonts w:hint="eastAsia" w:ascii="仿宋" w:hAnsi="仿宋" w:eastAsia="仿宋" w:cs="仿宋"/>
          <w:color w:val="auto"/>
          <w:sz w:val="24"/>
          <w:szCs w:val="24"/>
          <w:highlight w:val="none"/>
        </w:rPr>
      </w:pPr>
    </w:p>
    <w:p w14:paraId="54600D8A">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承接方单位名称（公章）：</w:t>
      </w:r>
    </w:p>
    <w:p w14:paraId="03F4465F">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 （签字）：</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p>
    <w:p w14:paraId="4D3C58D1">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签定合同代表（签字）：</w:t>
      </w:r>
    </w:p>
    <w:p w14:paraId="1F282D82">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63669710">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p>
    <w:p w14:paraId="71BE1B8C">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p w14:paraId="2533C8CA">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4EAABBD5">
      <w:pPr>
        <w:pStyle w:val="29"/>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       年     月     日</w:t>
      </w:r>
    </w:p>
    <w:p w14:paraId="06F4BB0A">
      <w:pPr>
        <w:spacing w:line="360" w:lineRule="auto"/>
        <w:jc w:val="center"/>
        <w:outlineLvl w:val="0"/>
        <w:rPr>
          <w:rFonts w:hint="eastAsia" w:ascii="仿宋" w:hAnsi="仿宋" w:eastAsia="仿宋" w:cs="仿宋"/>
          <w:b/>
          <w:bCs/>
          <w:caps/>
          <w:color w:val="auto"/>
          <w:sz w:val="36"/>
          <w:szCs w:val="36"/>
          <w:highlight w:val="none"/>
        </w:rPr>
      </w:pPr>
    </w:p>
    <w:p w14:paraId="75B82E3E">
      <w:pPr>
        <w:spacing w:line="360" w:lineRule="auto"/>
        <w:jc w:val="center"/>
        <w:outlineLvl w:val="0"/>
        <w:rPr>
          <w:rFonts w:hint="eastAsia" w:ascii="仿宋" w:hAnsi="仿宋" w:eastAsia="仿宋" w:cs="仿宋"/>
          <w:b/>
          <w:bCs/>
          <w:caps/>
          <w:color w:val="auto"/>
          <w:sz w:val="36"/>
          <w:szCs w:val="36"/>
          <w:highlight w:val="none"/>
        </w:rPr>
      </w:pPr>
    </w:p>
    <w:p w14:paraId="35D308E5">
      <w:pPr>
        <w:spacing w:line="360" w:lineRule="auto"/>
        <w:jc w:val="center"/>
        <w:outlineLvl w:val="0"/>
        <w:rPr>
          <w:rFonts w:hint="eastAsia" w:ascii="仿宋" w:hAnsi="仿宋" w:eastAsia="仿宋" w:cs="仿宋"/>
          <w:b/>
          <w:bCs/>
          <w:caps/>
          <w:color w:val="auto"/>
          <w:sz w:val="36"/>
          <w:szCs w:val="36"/>
          <w:highlight w:val="none"/>
        </w:rPr>
      </w:pPr>
    </w:p>
    <w:p w14:paraId="7C090324">
      <w:pPr>
        <w:spacing w:line="360" w:lineRule="auto"/>
        <w:jc w:val="center"/>
        <w:outlineLvl w:val="0"/>
        <w:rPr>
          <w:rFonts w:hint="eastAsia" w:ascii="仿宋" w:hAnsi="仿宋" w:eastAsia="仿宋" w:cs="仿宋"/>
          <w:b/>
          <w:bCs/>
          <w:caps/>
          <w:color w:val="auto"/>
          <w:sz w:val="36"/>
          <w:szCs w:val="36"/>
          <w:highlight w:val="none"/>
        </w:rPr>
      </w:pPr>
    </w:p>
    <w:p w14:paraId="00CA8700">
      <w:pPr>
        <w:spacing w:line="360" w:lineRule="auto"/>
        <w:outlineLvl w:val="0"/>
        <w:rPr>
          <w:rFonts w:hint="eastAsia" w:ascii="仿宋" w:hAnsi="仿宋" w:eastAsia="仿宋" w:cs="仿宋"/>
          <w:b/>
          <w:bCs/>
          <w:caps/>
          <w:color w:val="auto"/>
          <w:sz w:val="36"/>
          <w:szCs w:val="36"/>
          <w:highlight w:val="none"/>
        </w:rPr>
      </w:pPr>
    </w:p>
    <w:p w14:paraId="74A9B57B">
      <w:pPr>
        <w:spacing w:line="360" w:lineRule="auto"/>
        <w:jc w:val="center"/>
        <w:outlineLvl w:val="0"/>
        <w:rPr>
          <w:rFonts w:hint="eastAsia" w:ascii="仿宋" w:hAnsi="仿宋" w:eastAsia="仿宋" w:cs="仿宋"/>
          <w:b/>
          <w:bCs/>
          <w:caps/>
          <w:color w:val="auto"/>
          <w:sz w:val="36"/>
          <w:szCs w:val="36"/>
          <w:highlight w:val="none"/>
        </w:rPr>
      </w:pPr>
      <w:bookmarkStart w:id="84" w:name="_Toc13476"/>
      <w:r>
        <w:rPr>
          <w:rFonts w:hint="eastAsia" w:ascii="仿宋" w:hAnsi="仿宋" w:eastAsia="仿宋" w:cs="仿宋"/>
          <w:b/>
          <w:bCs/>
          <w:caps/>
          <w:color w:val="auto"/>
          <w:sz w:val="36"/>
          <w:szCs w:val="36"/>
          <w:highlight w:val="none"/>
        </w:rPr>
        <w:t>第六章  投标文件格式</w:t>
      </w:r>
      <w:bookmarkEnd w:id="50"/>
      <w:bookmarkEnd w:id="51"/>
      <w:bookmarkEnd w:id="83"/>
      <w:bookmarkEnd w:id="84"/>
    </w:p>
    <w:p w14:paraId="2DA42F84">
      <w:pPr>
        <w:jc w:val="left"/>
        <w:rPr>
          <w:rFonts w:hint="eastAsia" w:ascii="仿宋" w:hAnsi="仿宋" w:eastAsia="仿宋" w:cs="仿宋"/>
          <w:b/>
          <w:color w:val="auto"/>
          <w:sz w:val="24"/>
          <w:highlight w:val="none"/>
        </w:rPr>
      </w:pPr>
    </w:p>
    <w:p w14:paraId="0EBF9553">
      <w:pPr>
        <w:pStyle w:val="2"/>
        <w:wordWrap w:val="0"/>
        <w:snapToGrid w:val="0"/>
        <w:spacing w:line="360" w:lineRule="auto"/>
        <w:jc w:val="center"/>
        <w:rPr>
          <w:rFonts w:hint="eastAsia" w:ascii="仿宋" w:hAnsi="仿宋" w:eastAsia="仿宋" w:cs="仿宋"/>
          <w:b/>
          <w:caps/>
          <w:color w:val="auto"/>
          <w:sz w:val="48"/>
          <w:szCs w:val="48"/>
          <w:highlight w:val="none"/>
          <w:lang w:eastAsia="zh-CN"/>
        </w:rPr>
      </w:pPr>
      <w:r>
        <w:rPr>
          <w:rFonts w:hint="eastAsia" w:ascii="仿宋" w:hAnsi="仿宋" w:eastAsia="仿宋" w:cs="仿宋"/>
          <w:b/>
          <w:caps/>
          <w:color w:val="auto"/>
          <w:sz w:val="48"/>
          <w:szCs w:val="48"/>
          <w:highlight w:val="none"/>
          <w:lang w:eastAsia="zh-CN"/>
        </w:rPr>
        <w:t>瑞丽市国土空间详细规划弄莫湖片区编制项目</w:t>
      </w:r>
    </w:p>
    <w:p w14:paraId="66D057BC">
      <w:pPr>
        <w:pStyle w:val="2"/>
        <w:wordWrap w:val="0"/>
        <w:snapToGrid w:val="0"/>
        <w:spacing w:line="360" w:lineRule="auto"/>
        <w:jc w:val="center"/>
        <w:rPr>
          <w:rFonts w:hint="eastAsia" w:ascii="仿宋" w:hAnsi="仿宋" w:eastAsia="仿宋" w:cs="仿宋"/>
          <w:b/>
          <w:caps/>
          <w:color w:val="auto"/>
          <w:sz w:val="48"/>
          <w:szCs w:val="48"/>
          <w:highlight w:val="none"/>
        </w:rPr>
      </w:pPr>
    </w:p>
    <w:p w14:paraId="61C2A52E">
      <w:pPr>
        <w:pStyle w:val="2"/>
        <w:wordWrap w:val="0"/>
        <w:snapToGrid w:val="0"/>
        <w:spacing w:line="360" w:lineRule="auto"/>
        <w:jc w:val="center"/>
        <w:rPr>
          <w:rFonts w:hint="eastAsia" w:ascii="仿宋" w:hAnsi="仿宋" w:eastAsia="仿宋" w:cs="仿宋"/>
          <w:b/>
          <w:caps/>
          <w:color w:val="auto"/>
          <w:sz w:val="48"/>
          <w:szCs w:val="48"/>
          <w:highlight w:val="none"/>
        </w:rPr>
      </w:pPr>
      <w:r>
        <w:rPr>
          <w:rFonts w:hint="eastAsia" w:ascii="仿宋" w:hAnsi="仿宋" w:eastAsia="仿宋" w:cs="仿宋"/>
          <w:b/>
          <w:caps/>
          <w:color w:val="auto"/>
          <w:sz w:val="48"/>
          <w:szCs w:val="48"/>
          <w:highlight w:val="none"/>
        </w:rPr>
        <w:t>投标文件</w:t>
      </w:r>
    </w:p>
    <w:p w14:paraId="0347C668">
      <w:pPr>
        <w:pStyle w:val="2"/>
        <w:wordWrap w:val="0"/>
        <w:snapToGrid w:val="0"/>
        <w:spacing w:line="360" w:lineRule="auto"/>
        <w:ind w:firstLine="3086" w:firstLineChars="1281"/>
        <w:rPr>
          <w:rFonts w:hint="eastAsia" w:ascii="仿宋" w:hAnsi="仿宋" w:eastAsia="仿宋" w:cs="仿宋"/>
          <w:b/>
          <w:caps/>
          <w:color w:val="auto"/>
          <w:sz w:val="24"/>
          <w:highlight w:val="none"/>
        </w:rPr>
      </w:pPr>
      <w:r>
        <w:rPr>
          <w:rFonts w:hint="eastAsia" w:ascii="仿宋" w:hAnsi="仿宋" w:eastAsia="仿宋" w:cs="仿宋"/>
          <w:b/>
          <w:caps/>
          <w:color w:val="auto"/>
          <w:sz w:val="24"/>
          <w:highlight w:val="none"/>
        </w:rPr>
        <w:t xml:space="preserve">                    </w:t>
      </w:r>
    </w:p>
    <w:p w14:paraId="73933E73">
      <w:pPr>
        <w:pStyle w:val="2"/>
        <w:wordWrap w:val="0"/>
        <w:snapToGrid w:val="0"/>
        <w:spacing w:line="360" w:lineRule="auto"/>
        <w:rPr>
          <w:rFonts w:hint="eastAsia" w:ascii="仿宋" w:hAnsi="仿宋" w:eastAsia="仿宋" w:cs="仿宋"/>
          <w:b/>
          <w:caps/>
          <w:color w:val="auto"/>
          <w:sz w:val="24"/>
          <w:highlight w:val="none"/>
        </w:rPr>
      </w:pPr>
    </w:p>
    <w:p w14:paraId="72CFA43C">
      <w:pPr>
        <w:pStyle w:val="2"/>
        <w:wordWrap w:val="0"/>
        <w:snapToGrid w:val="0"/>
        <w:spacing w:line="360" w:lineRule="auto"/>
        <w:jc w:val="center"/>
        <w:rPr>
          <w:rFonts w:hint="eastAsia" w:ascii="仿宋" w:hAnsi="仿宋" w:eastAsia="仿宋" w:cs="仿宋"/>
          <w:b/>
          <w:caps/>
          <w:color w:val="auto"/>
          <w:sz w:val="24"/>
          <w:highlight w:val="none"/>
        </w:rPr>
      </w:pPr>
    </w:p>
    <w:p w14:paraId="22DC7647">
      <w:pPr>
        <w:pStyle w:val="2"/>
        <w:wordWrap w:val="0"/>
        <w:snapToGrid w:val="0"/>
        <w:spacing w:line="360" w:lineRule="auto"/>
        <w:jc w:val="center"/>
        <w:rPr>
          <w:rFonts w:hint="eastAsia" w:ascii="仿宋" w:hAnsi="仿宋" w:eastAsia="仿宋" w:cs="仿宋"/>
          <w:b/>
          <w:caps/>
          <w:color w:val="auto"/>
          <w:sz w:val="24"/>
          <w:highlight w:val="none"/>
        </w:rPr>
      </w:pPr>
    </w:p>
    <w:p w14:paraId="7EB24B98">
      <w:pPr>
        <w:wordWrap w:val="0"/>
        <w:snapToGrid w:val="0"/>
        <w:spacing w:line="360" w:lineRule="auto"/>
        <w:jc w:val="left"/>
        <w:rPr>
          <w:rFonts w:hint="eastAsia" w:ascii="仿宋" w:hAnsi="仿宋" w:eastAsia="仿宋" w:cs="仿宋"/>
          <w:color w:val="auto"/>
          <w:sz w:val="28"/>
          <w:szCs w:val="28"/>
          <w:highlight w:val="none"/>
        </w:rPr>
      </w:pPr>
    </w:p>
    <w:p w14:paraId="190B0334">
      <w:pPr>
        <w:spacing w:line="360" w:lineRule="auto"/>
        <w:rPr>
          <w:rFonts w:hint="eastAsia" w:ascii="仿宋" w:hAnsi="仿宋" w:eastAsia="仿宋" w:cs="仿宋"/>
          <w:color w:val="auto"/>
          <w:sz w:val="30"/>
          <w:szCs w:val="30"/>
          <w:highlight w:val="none"/>
        </w:rPr>
      </w:pPr>
      <w:bookmarkStart w:id="85" w:name="_Toc25855"/>
      <w:bookmarkStart w:id="86" w:name="_Toc3648"/>
      <w:r>
        <w:rPr>
          <w:rFonts w:hint="eastAsia" w:ascii="仿宋" w:hAnsi="仿宋" w:eastAsia="仿宋" w:cs="仿宋"/>
          <w:color w:val="auto"/>
          <w:sz w:val="30"/>
          <w:szCs w:val="30"/>
          <w:highlight w:val="none"/>
        </w:rPr>
        <w:t xml:space="preserve">  </w:t>
      </w:r>
    </w:p>
    <w:p w14:paraId="56869477">
      <w:pPr>
        <w:spacing w:line="360" w:lineRule="auto"/>
        <w:outlineLvl w:val="0"/>
        <w:rPr>
          <w:rFonts w:hint="eastAsia" w:ascii="仿宋" w:hAnsi="仿宋" w:eastAsia="仿宋" w:cs="仿宋"/>
          <w:color w:val="auto"/>
          <w:sz w:val="30"/>
          <w:szCs w:val="30"/>
          <w:highlight w:val="none"/>
        </w:rPr>
      </w:pPr>
      <w:bookmarkStart w:id="87" w:name="_Toc23672"/>
      <w:bookmarkStart w:id="88" w:name="_Toc5412"/>
      <w:bookmarkStart w:id="89" w:name="_Toc23297"/>
      <w:bookmarkStart w:id="90" w:name="_Toc23990"/>
      <w:r>
        <w:rPr>
          <w:rFonts w:hint="eastAsia" w:ascii="仿宋" w:hAnsi="仿宋" w:eastAsia="仿宋" w:cs="仿宋"/>
          <w:color w:val="auto"/>
          <w:sz w:val="30"/>
          <w:szCs w:val="30"/>
          <w:highlight w:val="none"/>
        </w:rPr>
        <w:t>项目编号:</w:t>
      </w:r>
      <w:bookmarkEnd w:id="85"/>
      <w:bookmarkEnd w:id="87"/>
      <w:bookmarkEnd w:id="88"/>
      <w:bookmarkEnd w:id="89"/>
      <w:bookmarkEnd w:id="90"/>
      <w:r>
        <w:rPr>
          <w:rFonts w:hint="eastAsia" w:ascii="仿宋" w:hAnsi="仿宋" w:eastAsia="仿宋" w:cs="仿宋"/>
          <w:color w:val="auto"/>
          <w:sz w:val="30"/>
          <w:szCs w:val="30"/>
          <w:highlight w:val="none"/>
          <w:u w:val="single"/>
        </w:rPr>
        <w:t xml:space="preserve">                      </w:t>
      </w:r>
    </w:p>
    <w:p w14:paraId="03FA8A60">
      <w:pPr>
        <w:spacing w:line="360" w:lineRule="auto"/>
        <w:outlineLvl w:val="0"/>
        <w:rPr>
          <w:rFonts w:hint="eastAsia" w:ascii="仿宋" w:hAnsi="仿宋" w:eastAsia="仿宋" w:cs="仿宋"/>
          <w:color w:val="auto"/>
          <w:sz w:val="30"/>
          <w:szCs w:val="30"/>
          <w:highlight w:val="none"/>
          <w:u w:val="single"/>
        </w:rPr>
      </w:pPr>
      <w:bookmarkStart w:id="91" w:name="_Toc8437"/>
      <w:bookmarkStart w:id="92" w:name="_Toc8330"/>
      <w:bookmarkStart w:id="93" w:name="_Toc31615"/>
      <w:bookmarkStart w:id="94" w:name="_Toc30652"/>
      <w:bookmarkStart w:id="95" w:name="_Toc5792"/>
      <w:r>
        <w:rPr>
          <w:rFonts w:hint="eastAsia" w:ascii="仿宋" w:hAnsi="仿宋" w:eastAsia="仿宋" w:cs="仿宋"/>
          <w:color w:val="auto"/>
          <w:sz w:val="30"/>
          <w:szCs w:val="30"/>
          <w:highlight w:val="none"/>
        </w:rPr>
        <w:t>供应商全称(加盖电子公章)：</w:t>
      </w:r>
      <w:bookmarkEnd w:id="86"/>
      <w:bookmarkEnd w:id="91"/>
      <w:bookmarkEnd w:id="92"/>
      <w:bookmarkEnd w:id="93"/>
      <w:bookmarkEnd w:id="94"/>
      <w:bookmarkEnd w:id="95"/>
      <w:r>
        <w:rPr>
          <w:rFonts w:hint="eastAsia" w:ascii="仿宋" w:hAnsi="仿宋" w:eastAsia="仿宋" w:cs="仿宋"/>
          <w:color w:val="auto"/>
          <w:sz w:val="30"/>
          <w:szCs w:val="30"/>
          <w:highlight w:val="none"/>
          <w:u w:val="single"/>
        </w:rPr>
        <w:t xml:space="preserve">           </w:t>
      </w:r>
    </w:p>
    <w:p w14:paraId="3D9B42FE">
      <w:pPr>
        <w:spacing w:line="360" w:lineRule="auto"/>
        <w:outlineLvl w:val="0"/>
        <w:rPr>
          <w:rFonts w:hint="eastAsia" w:ascii="仿宋" w:hAnsi="仿宋" w:eastAsia="仿宋" w:cs="仿宋"/>
          <w:color w:val="auto"/>
          <w:sz w:val="30"/>
          <w:szCs w:val="30"/>
          <w:highlight w:val="none"/>
          <w:u w:val="single"/>
        </w:rPr>
      </w:pPr>
      <w:bookmarkStart w:id="96" w:name="_Toc13199"/>
      <w:bookmarkStart w:id="97" w:name="_Toc1735"/>
      <w:bookmarkStart w:id="98" w:name="_Toc19620"/>
      <w:bookmarkStart w:id="99" w:name="_Toc8559"/>
      <w:bookmarkStart w:id="100" w:name="_Toc18417"/>
      <w:bookmarkStart w:id="101" w:name="_Toc2117"/>
      <w:r>
        <w:rPr>
          <w:rFonts w:hint="eastAsia" w:ascii="仿宋" w:hAnsi="仿宋" w:eastAsia="仿宋" w:cs="仿宋"/>
          <w:color w:val="auto"/>
          <w:sz w:val="30"/>
          <w:szCs w:val="30"/>
          <w:highlight w:val="none"/>
        </w:rPr>
        <w:t>地址：</w:t>
      </w:r>
      <w:bookmarkEnd w:id="96"/>
      <w:bookmarkEnd w:id="97"/>
      <w:bookmarkEnd w:id="98"/>
      <w:bookmarkEnd w:id="99"/>
      <w:bookmarkEnd w:id="100"/>
      <w:bookmarkEnd w:id="101"/>
      <w:r>
        <w:rPr>
          <w:rFonts w:hint="eastAsia" w:ascii="仿宋" w:hAnsi="仿宋" w:eastAsia="仿宋" w:cs="仿宋"/>
          <w:color w:val="auto"/>
          <w:sz w:val="30"/>
          <w:szCs w:val="30"/>
          <w:highlight w:val="none"/>
          <w:u w:val="single"/>
        </w:rPr>
        <w:t xml:space="preserve">                               </w:t>
      </w:r>
    </w:p>
    <w:p w14:paraId="0865D402">
      <w:pPr>
        <w:spacing w:line="360" w:lineRule="auto"/>
        <w:outlineLvl w:val="0"/>
        <w:rPr>
          <w:rFonts w:hint="eastAsia" w:ascii="仿宋" w:hAnsi="仿宋" w:eastAsia="仿宋" w:cs="仿宋"/>
          <w:color w:val="auto"/>
          <w:sz w:val="30"/>
          <w:szCs w:val="30"/>
          <w:highlight w:val="none"/>
        </w:rPr>
      </w:pPr>
      <w:bookmarkStart w:id="102" w:name="_Toc19973"/>
      <w:bookmarkStart w:id="103" w:name="_Toc14869"/>
      <w:bookmarkStart w:id="104" w:name="_Toc8687"/>
      <w:bookmarkStart w:id="105" w:name="_Toc27615"/>
      <w:bookmarkStart w:id="106" w:name="_Toc26642"/>
      <w:bookmarkStart w:id="107" w:name="_Toc3203"/>
      <w:r>
        <w:rPr>
          <w:rFonts w:hint="eastAsia" w:ascii="仿宋" w:hAnsi="仿宋" w:eastAsia="仿宋" w:cs="仿宋"/>
          <w:color w:val="auto"/>
          <w:sz w:val="30"/>
          <w:szCs w:val="30"/>
          <w:highlight w:val="none"/>
        </w:rPr>
        <w:t>联系人：</w:t>
      </w:r>
      <w:bookmarkEnd w:id="102"/>
      <w:bookmarkEnd w:id="103"/>
      <w:bookmarkEnd w:id="104"/>
      <w:bookmarkEnd w:id="105"/>
      <w:bookmarkEnd w:id="106"/>
      <w:bookmarkEnd w:id="107"/>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4582FA03">
      <w:pPr>
        <w:spacing w:line="360" w:lineRule="auto"/>
        <w:outlineLvl w:val="0"/>
        <w:rPr>
          <w:rFonts w:hint="eastAsia" w:ascii="仿宋" w:hAnsi="仿宋" w:eastAsia="仿宋" w:cs="仿宋"/>
          <w:color w:val="auto"/>
          <w:sz w:val="30"/>
          <w:szCs w:val="30"/>
          <w:highlight w:val="none"/>
          <w:u w:val="single"/>
        </w:rPr>
      </w:pPr>
      <w:bookmarkStart w:id="108" w:name="_Toc21508"/>
      <w:bookmarkStart w:id="109" w:name="_Toc16441"/>
      <w:bookmarkStart w:id="110" w:name="_Toc19576"/>
      <w:bookmarkStart w:id="111" w:name="_Toc13522"/>
      <w:bookmarkStart w:id="112" w:name="_Toc25297"/>
      <w:bookmarkStart w:id="113" w:name="_Toc8989"/>
      <w:r>
        <w:rPr>
          <w:rFonts w:hint="eastAsia" w:ascii="仿宋" w:hAnsi="仿宋" w:eastAsia="仿宋" w:cs="仿宋"/>
          <w:color w:val="auto"/>
          <w:sz w:val="30"/>
          <w:szCs w:val="30"/>
          <w:highlight w:val="none"/>
        </w:rPr>
        <w:t>联系电话：</w:t>
      </w:r>
      <w:bookmarkEnd w:id="108"/>
      <w:bookmarkEnd w:id="109"/>
      <w:bookmarkEnd w:id="110"/>
      <w:bookmarkEnd w:id="111"/>
      <w:bookmarkEnd w:id="112"/>
      <w:bookmarkEnd w:id="113"/>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4CBE2226">
      <w:pPr>
        <w:spacing w:line="360" w:lineRule="auto"/>
        <w:outlineLvl w:val="0"/>
        <w:rPr>
          <w:rFonts w:hint="eastAsia" w:ascii="仿宋" w:hAnsi="仿宋" w:eastAsia="仿宋" w:cs="仿宋"/>
          <w:b/>
          <w:bCs/>
          <w:color w:val="auto"/>
          <w:sz w:val="32"/>
          <w:szCs w:val="32"/>
          <w:highlight w:val="none"/>
        </w:rPr>
      </w:pPr>
      <w:bookmarkStart w:id="114" w:name="_Toc16535"/>
      <w:bookmarkStart w:id="115" w:name="_Toc22386"/>
      <w:bookmarkStart w:id="116" w:name="_Toc2788"/>
      <w:bookmarkStart w:id="117" w:name="_Toc6474"/>
      <w:bookmarkStart w:id="118" w:name="_Toc11027"/>
      <w:bookmarkStart w:id="119" w:name="_Toc29532"/>
      <w:r>
        <w:rPr>
          <w:rFonts w:hint="eastAsia" w:ascii="仿宋" w:hAnsi="仿宋" w:eastAsia="仿宋" w:cs="仿宋"/>
          <w:color w:val="auto"/>
          <w:sz w:val="30"/>
          <w:szCs w:val="30"/>
          <w:highlight w:val="none"/>
        </w:rPr>
        <w:t>日    期：</w:t>
      </w:r>
      <w:bookmarkEnd w:id="114"/>
      <w:bookmarkEnd w:id="115"/>
      <w:bookmarkEnd w:id="116"/>
      <w:bookmarkEnd w:id="117"/>
      <w:bookmarkEnd w:id="118"/>
      <w:bookmarkEnd w:id="119"/>
      <w:r>
        <w:rPr>
          <w:rFonts w:hint="eastAsia" w:ascii="仿宋" w:hAnsi="仿宋" w:eastAsia="仿宋" w:cs="仿宋"/>
          <w:color w:val="auto"/>
          <w:sz w:val="30"/>
          <w:szCs w:val="30"/>
          <w:highlight w:val="none"/>
          <w:u w:val="single"/>
        </w:rPr>
        <w:t xml:space="preserve">                           </w:t>
      </w:r>
      <w:bookmarkStart w:id="120" w:name="_Toc38173198"/>
      <w:bookmarkStart w:id="121" w:name="_Toc174601751"/>
      <w:bookmarkStart w:id="122" w:name="_Toc277776502"/>
      <w:bookmarkStart w:id="123" w:name="_Toc427678319"/>
      <w:bookmarkStart w:id="124" w:name="_Toc427678317"/>
    </w:p>
    <w:p w14:paraId="3530FC93">
      <w:pPr>
        <w:rPr>
          <w:rFonts w:hint="eastAsia" w:ascii="仿宋" w:hAnsi="仿宋" w:eastAsia="仿宋" w:cs="仿宋"/>
          <w:b/>
          <w:bCs/>
          <w:color w:val="auto"/>
          <w:sz w:val="32"/>
          <w:szCs w:val="32"/>
          <w:highlight w:val="none"/>
        </w:rPr>
      </w:pPr>
      <w:bookmarkStart w:id="125" w:name="_Toc20272"/>
    </w:p>
    <w:p w14:paraId="3356550A">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14:paraId="12093EF8">
      <w:pPr>
        <w:jc w:val="center"/>
        <w:rPr>
          <w:rFonts w:hint="eastAsia"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t>目录</w:t>
      </w:r>
    </w:p>
    <w:p w14:paraId="07C17DE0">
      <w:pPr>
        <w:pStyle w:val="3"/>
        <w:rPr>
          <w:color w:val="auto"/>
          <w:highlight w:val="none"/>
        </w:rPr>
      </w:pPr>
    </w:p>
    <w:p w14:paraId="25069C52">
      <w:pPr>
        <w:numPr>
          <w:ilvl w:val="0"/>
          <w:numId w:val="9"/>
        </w:numPr>
        <w:spacing w:line="600" w:lineRule="auto"/>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资格审查部分</w:t>
      </w:r>
    </w:p>
    <w:p w14:paraId="09A7B422">
      <w:pPr>
        <w:numPr>
          <w:ilvl w:val="0"/>
          <w:numId w:val="9"/>
        </w:numPr>
        <w:spacing w:line="600" w:lineRule="auto"/>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报价部分</w:t>
      </w:r>
    </w:p>
    <w:p w14:paraId="01B634A0">
      <w:pPr>
        <w:numPr>
          <w:ilvl w:val="0"/>
          <w:numId w:val="9"/>
        </w:numPr>
        <w:spacing w:line="600" w:lineRule="auto"/>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商务技术部分</w:t>
      </w:r>
    </w:p>
    <w:p w14:paraId="460DA169">
      <w:pPr>
        <w:jc w:val="center"/>
        <w:rPr>
          <w:rFonts w:hint="eastAsia" w:ascii="仿宋" w:hAnsi="仿宋" w:eastAsia="仿宋" w:cs="仿宋"/>
          <w:b/>
          <w:bCs/>
          <w:color w:val="auto"/>
          <w:sz w:val="32"/>
          <w:szCs w:val="32"/>
          <w:highlight w:val="none"/>
        </w:rPr>
      </w:pPr>
    </w:p>
    <w:p w14:paraId="13F61756">
      <w:pPr>
        <w:jc w:val="center"/>
        <w:rPr>
          <w:rFonts w:hint="eastAsia" w:ascii="仿宋" w:hAnsi="仿宋" w:eastAsia="仿宋" w:cs="仿宋"/>
          <w:b/>
          <w:bCs/>
          <w:color w:val="auto"/>
          <w:sz w:val="32"/>
          <w:szCs w:val="32"/>
          <w:highlight w:val="none"/>
        </w:rPr>
      </w:pPr>
    </w:p>
    <w:p w14:paraId="62E9EEB8">
      <w:pPr>
        <w:jc w:val="center"/>
        <w:rPr>
          <w:rFonts w:hint="eastAsia" w:ascii="仿宋" w:hAnsi="仿宋" w:eastAsia="仿宋" w:cs="仿宋"/>
          <w:b/>
          <w:bCs/>
          <w:color w:val="auto"/>
          <w:sz w:val="32"/>
          <w:szCs w:val="32"/>
          <w:highlight w:val="none"/>
        </w:rPr>
      </w:pPr>
    </w:p>
    <w:p w14:paraId="4377F6B0">
      <w:pPr>
        <w:jc w:val="center"/>
        <w:rPr>
          <w:rFonts w:hint="eastAsia" w:ascii="仿宋" w:hAnsi="仿宋" w:eastAsia="仿宋" w:cs="仿宋"/>
          <w:b/>
          <w:bCs/>
          <w:color w:val="auto"/>
          <w:sz w:val="32"/>
          <w:szCs w:val="32"/>
          <w:highlight w:val="none"/>
        </w:rPr>
      </w:pPr>
    </w:p>
    <w:p w14:paraId="6C3FA2B7">
      <w:pPr>
        <w:jc w:val="center"/>
        <w:rPr>
          <w:rFonts w:hint="eastAsia" w:ascii="仿宋" w:hAnsi="仿宋" w:eastAsia="仿宋" w:cs="仿宋"/>
          <w:b/>
          <w:bCs/>
          <w:color w:val="auto"/>
          <w:sz w:val="32"/>
          <w:szCs w:val="32"/>
          <w:highlight w:val="none"/>
        </w:rPr>
      </w:pPr>
    </w:p>
    <w:p w14:paraId="60522C15">
      <w:pPr>
        <w:jc w:val="center"/>
        <w:rPr>
          <w:rFonts w:hint="eastAsia" w:ascii="仿宋" w:hAnsi="仿宋" w:eastAsia="仿宋" w:cs="仿宋"/>
          <w:b/>
          <w:bCs/>
          <w:color w:val="auto"/>
          <w:sz w:val="32"/>
          <w:szCs w:val="32"/>
          <w:highlight w:val="none"/>
        </w:rPr>
      </w:pPr>
    </w:p>
    <w:p w14:paraId="4B720728">
      <w:pPr>
        <w:jc w:val="center"/>
        <w:rPr>
          <w:rFonts w:hint="eastAsia" w:ascii="仿宋" w:hAnsi="仿宋" w:eastAsia="仿宋" w:cs="仿宋"/>
          <w:b/>
          <w:bCs/>
          <w:color w:val="auto"/>
          <w:sz w:val="32"/>
          <w:szCs w:val="32"/>
          <w:highlight w:val="none"/>
        </w:rPr>
      </w:pPr>
    </w:p>
    <w:p w14:paraId="70896817">
      <w:pPr>
        <w:jc w:val="center"/>
        <w:rPr>
          <w:rFonts w:hint="eastAsia" w:ascii="仿宋" w:hAnsi="仿宋" w:eastAsia="仿宋" w:cs="仿宋"/>
          <w:b/>
          <w:bCs/>
          <w:color w:val="auto"/>
          <w:sz w:val="32"/>
          <w:szCs w:val="32"/>
          <w:highlight w:val="none"/>
        </w:rPr>
      </w:pPr>
    </w:p>
    <w:p w14:paraId="626B1D09">
      <w:pPr>
        <w:jc w:val="center"/>
        <w:rPr>
          <w:rFonts w:hint="eastAsia" w:ascii="仿宋" w:hAnsi="仿宋" w:eastAsia="仿宋" w:cs="仿宋"/>
          <w:b/>
          <w:bCs/>
          <w:color w:val="auto"/>
          <w:sz w:val="32"/>
          <w:szCs w:val="32"/>
          <w:highlight w:val="none"/>
        </w:rPr>
      </w:pPr>
    </w:p>
    <w:p w14:paraId="4245C4A7">
      <w:pPr>
        <w:rPr>
          <w:rFonts w:hint="eastAsia" w:ascii="仿宋" w:hAnsi="仿宋" w:eastAsia="仿宋" w:cs="仿宋"/>
          <w:b/>
          <w:bCs/>
          <w:color w:val="auto"/>
          <w:sz w:val="32"/>
          <w:szCs w:val="32"/>
          <w:highlight w:val="none"/>
        </w:rPr>
      </w:pPr>
    </w:p>
    <w:p w14:paraId="0996011B">
      <w:pPr>
        <w:jc w:val="center"/>
        <w:rPr>
          <w:rFonts w:hint="eastAsia" w:ascii="仿宋" w:hAnsi="仿宋" w:eastAsia="仿宋" w:cs="仿宋"/>
          <w:b/>
          <w:bCs/>
          <w:color w:val="auto"/>
          <w:sz w:val="32"/>
          <w:szCs w:val="32"/>
          <w:highlight w:val="none"/>
        </w:rPr>
      </w:pPr>
    </w:p>
    <w:p w14:paraId="5AB51264">
      <w:pPr>
        <w:jc w:val="center"/>
        <w:rPr>
          <w:rFonts w:hint="eastAsia" w:ascii="仿宋" w:hAnsi="仿宋" w:eastAsia="仿宋" w:cs="仿宋"/>
          <w:b/>
          <w:bCs/>
          <w:color w:val="auto"/>
          <w:sz w:val="32"/>
          <w:szCs w:val="32"/>
          <w:highlight w:val="none"/>
        </w:rPr>
      </w:pPr>
    </w:p>
    <w:p w14:paraId="6F8F7F43">
      <w:pPr>
        <w:jc w:val="center"/>
        <w:rPr>
          <w:rFonts w:hint="eastAsia" w:ascii="仿宋" w:hAnsi="仿宋" w:eastAsia="仿宋" w:cs="仿宋"/>
          <w:b/>
          <w:bCs/>
          <w:color w:val="auto"/>
          <w:sz w:val="32"/>
          <w:szCs w:val="32"/>
          <w:highlight w:val="none"/>
        </w:rPr>
      </w:pPr>
    </w:p>
    <w:p w14:paraId="6F120D9F">
      <w:pPr>
        <w:jc w:val="center"/>
        <w:rPr>
          <w:rFonts w:hint="eastAsia" w:ascii="仿宋" w:hAnsi="仿宋" w:eastAsia="仿宋" w:cs="仿宋"/>
          <w:b/>
          <w:bCs/>
          <w:color w:val="auto"/>
          <w:sz w:val="32"/>
          <w:szCs w:val="32"/>
          <w:highlight w:val="none"/>
        </w:rPr>
      </w:pPr>
    </w:p>
    <w:p w14:paraId="22A17656">
      <w:pPr>
        <w:jc w:val="center"/>
        <w:rPr>
          <w:rFonts w:hint="eastAsia" w:ascii="仿宋" w:hAnsi="仿宋" w:eastAsia="仿宋" w:cs="仿宋"/>
          <w:b/>
          <w:bCs/>
          <w:color w:val="auto"/>
          <w:sz w:val="32"/>
          <w:szCs w:val="32"/>
          <w:highlight w:val="none"/>
        </w:rPr>
      </w:pPr>
    </w:p>
    <w:p w14:paraId="27459889">
      <w:pPr>
        <w:jc w:val="center"/>
        <w:rPr>
          <w:rFonts w:hint="eastAsia" w:ascii="仿宋" w:hAnsi="仿宋" w:eastAsia="仿宋" w:cs="仿宋"/>
          <w:b/>
          <w:bCs/>
          <w:color w:val="auto"/>
          <w:sz w:val="32"/>
          <w:szCs w:val="32"/>
          <w:highlight w:val="none"/>
        </w:rPr>
      </w:pPr>
    </w:p>
    <w:p w14:paraId="33F98AB3">
      <w:pPr>
        <w:jc w:val="center"/>
        <w:rPr>
          <w:rFonts w:hint="eastAsia" w:ascii="仿宋" w:hAnsi="仿宋" w:eastAsia="仿宋" w:cs="仿宋"/>
          <w:b/>
          <w:bCs/>
          <w:color w:val="auto"/>
          <w:sz w:val="32"/>
          <w:szCs w:val="32"/>
          <w:highlight w:val="none"/>
        </w:rPr>
      </w:pPr>
    </w:p>
    <w:p w14:paraId="074AC115">
      <w:pPr>
        <w:jc w:val="center"/>
        <w:rPr>
          <w:rFonts w:hint="eastAsia" w:ascii="仿宋" w:hAnsi="仿宋" w:eastAsia="仿宋" w:cs="仿宋"/>
          <w:b/>
          <w:bCs/>
          <w:color w:val="auto"/>
          <w:sz w:val="32"/>
          <w:szCs w:val="32"/>
          <w:highlight w:val="none"/>
        </w:rPr>
      </w:pPr>
    </w:p>
    <w:p w14:paraId="59DE041D">
      <w:pPr>
        <w:jc w:val="center"/>
        <w:rPr>
          <w:rFonts w:hint="eastAsia" w:ascii="仿宋" w:hAnsi="仿宋" w:eastAsia="仿宋" w:cs="仿宋"/>
          <w:b/>
          <w:bCs/>
          <w:color w:val="auto"/>
          <w:sz w:val="32"/>
          <w:szCs w:val="32"/>
          <w:highlight w:val="none"/>
        </w:rPr>
      </w:pPr>
    </w:p>
    <w:p w14:paraId="3550C34C">
      <w:pPr>
        <w:jc w:val="center"/>
        <w:rPr>
          <w:rFonts w:hint="eastAsia" w:ascii="仿宋" w:hAnsi="仿宋" w:eastAsia="仿宋" w:cs="仿宋"/>
          <w:b/>
          <w:bCs/>
          <w:color w:val="auto"/>
          <w:sz w:val="32"/>
          <w:szCs w:val="32"/>
          <w:highlight w:val="none"/>
        </w:rPr>
      </w:pPr>
    </w:p>
    <w:p w14:paraId="766110A0">
      <w:pPr>
        <w:jc w:val="center"/>
        <w:rPr>
          <w:rFonts w:hint="eastAsia" w:ascii="仿宋" w:hAnsi="仿宋" w:eastAsia="仿宋" w:cs="仿宋"/>
          <w:b/>
          <w:bCs/>
          <w:color w:val="auto"/>
          <w:sz w:val="32"/>
          <w:szCs w:val="32"/>
          <w:highlight w:val="none"/>
        </w:rPr>
      </w:pPr>
    </w:p>
    <w:p w14:paraId="04C7B80C">
      <w:pPr>
        <w:pStyle w:val="3"/>
        <w:rPr>
          <w:rFonts w:hint="eastAsia" w:ascii="仿宋" w:hAnsi="仿宋" w:eastAsia="仿宋" w:cs="仿宋"/>
          <w:bCs/>
          <w:color w:val="auto"/>
          <w:sz w:val="32"/>
          <w:szCs w:val="32"/>
          <w:highlight w:val="none"/>
        </w:rPr>
      </w:pPr>
    </w:p>
    <w:p w14:paraId="7CEC69D1">
      <w:pPr>
        <w:rPr>
          <w:rFonts w:hint="eastAsia" w:ascii="仿宋" w:hAnsi="仿宋" w:eastAsia="仿宋" w:cs="仿宋"/>
          <w:b/>
          <w:bCs/>
          <w:color w:val="auto"/>
          <w:sz w:val="32"/>
          <w:szCs w:val="32"/>
          <w:highlight w:val="none"/>
        </w:rPr>
      </w:pPr>
    </w:p>
    <w:p w14:paraId="14A45F61">
      <w:pPr>
        <w:pStyle w:val="3"/>
        <w:rPr>
          <w:rFonts w:hint="eastAsia" w:ascii="仿宋" w:hAnsi="仿宋" w:eastAsia="仿宋" w:cs="仿宋"/>
          <w:bCs/>
          <w:color w:val="auto"/>
          <w:sz w:val="32"/>
          <w:szCs w:val="32"/>
          <w:highlight w:val="none"/>
        </w:rPr>
      </w:pPr>
    </w:p>
    <w:p w14:paraId="00EBC7CF">
      <w:pPr>
        <w:rPr>
          <w:rFonts w:hint="eastAsia" w:ascii="仿宋" w:hAnsi="仿宋" w:eastAsia="仿宋" w:cs="仿宋"/>
          <w:b/>
          <w:bCs/>
          <w:color w:val="auto"/>
          <w:sz w:val="32"/>
          <w:szCs w:val="32"/>
          <w:highlight w:val="none"/>
        </w:rPr>
      </w:pPr>
    </w:p>
    <w:p w14:paraId="705D132F">
      <w:pPr>
        <w:pStyle w:val="3"/>
        <w:rPr>
          <w:color w:val="auto"/>
          <w:highlight w:val="none"/>
        </w:rPr>
      </w:pPr>
    </w:p>
    <w:p w14:paraId="3DB5DAC0">
      <w:pPr>
        <w:rPr>
          <w:color w:val="auto"/>
          <w:highlight w:val="none"/>
        </w:rPr>
      </w:pPr>
    </w:p>
    <w:p w14:paraId="0495D3B1">
      <w:pPr>
        <w:pStyle w:val="3"/>
        <w:rPr>
          <w:color w:val="auto"/>
          <w:highlight w:val="none"/>
        </w:rPr>
      </w:pPr>
    </w:p>
    <w:p w14:paraId="02E6DBE9">
      <w:pPr>
        <w:rPr>
          <w:color w:val="auto"/>
          <w:highlight w:val="none"/>
        </w:rPr>
      </w:pPr>
    </w:p>
    <w:p w14:paraId="6D8F2C5E">
      <w:pPr>
        <w:pStyle w:val="3"/>
        <w:rPr>
          <w:color w:val="auto"/>
          <w:highlight w:val="none"/>
        </w:rPr>
      </w:pPr>
    </w:p>
    <w:p w14:paraId="28A6113B">
      <w:pPr>
        <w:rPr>
          <w:color w:val="auto"/>
          <w:highlight w:val="none"/>
        </w:rPr>
      </w:pPr>
    </w:p>
    <w:p w14:paraId="05EFD164">
      <w:pPr>
        <w:pStyle w:val="3"/>
        <w:rPr>
          <w:color w:val="auto"/>
          <w:highlight w:val="none"/>
        </w:rPr>
      </w:pPr>
    </w:p>
    <w:p w14:paraId="5C408B58">
      <w:pPr>
        <w:rPr>
          <w:color w:val="auto"/>
          <w:highlight w:val="none"/>
        </w:rPr>
      </w:pPr>
    </w:p>
    <w:p w14:paraId="332E9AA4">
      <w:pPr>
        <w:pStyle w:val="3"/>
        <w:rPr>
          <w:color w:val="auto"/>
          <w:highlight w:val="none"/>
        </w:rPr>
      </w:pPr>
    </w:p>
    <w:p w14:paraId="1DEF6018">
      <w:pPr>
        <w:rPr>
          <w:color w:val="auto"/>
          <w:highlight w:val="none"/>
        </w:rPr>
      </w:pPr>
    </w:p>
    <w:p w14:paraId="03463C62">
      <w:pPr>
        <w:pStyle w:val="3"/>
        <w:rPr>
          <w:color w:val="auto"/>
          <w:highlight w:val="none"/>
        </w:rPr>
      </w:pPr>
    </w:p>
    <w:p w14:paraId="38872FE7">
      <w:pPr>
        <w:rPr>
          <w:color w:val="auto"/>
          <w:highlight w:val="none"/>
        </w:rPr>
      </w:pPr>
    </w:p>
    <w:p w14:paraId="35458285">
      <w:pPr>
        <w:pStyle w:val="3"/>
        <w:rPr>
          <w:color w:val="auto"/>
          <w:highlight w:val="none"/>
        </w:rPr>
      </w:pPr>
    </w:p>
    <w:p w14:paraId="46ACEB61">
      <w:pPr>
        <w:rPr>
          <w:color w:val="auto"/>
          <w:highlight w:val="none"/>
        </w:rPr>
      </w:pPr>
    </w:p>
    <w:p w14:paraId="72CEB184">
      <w:pPr>
        <w:pStyle w:val="3"/>
        <w:rPr>
          <w:color w:val="auto"/>
          <w:highlight w:val="none"/>
        </w:rPr>
      </w:pPr>
    </w:p>
    <w:p w14:paraId="7E7D0784">
      <w:pPr>
        <w:jc w:val="center"/>
        <w:rPr>
          <w:rFonts w:hint="eastAsia" w:ascii="仿宋" w:hAnsi="仿宋" w:eastAsia="仿宋" w:cs="仿宋"/>
          <w:b/>
          <w:bCs/>
          <w:color w:val="auto"/>
          <w:sz w:val="32"/>
          <w:szCs w:val="32"/>
          <w:highlight w:val="none"/>
        </w:rPr>
      </w:pPr>
    </w:p>
    <w:p w14:paraId="1D9648D1">
      <w:pPr>
        <w:numPr>
          <w:ilvl w:val="0"/>
          <w:numId w:val="10"/>
        </w:numPr>
        <w:jc w:val="center"/>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资格审查部分</w:t>
      </w:r>
      <w:bookmarkEnd w:id="125"/>
    </w:p>
    <w:p w14:paraId="29744920">
      <w:pPr>
        <w:jc w:val="center"/>
        <w:outlineLvl w:val="2"/>
        <w:rPr>
          <w:rFonts w:hint="eastAsia" w:ascii="仿宋" w:hAnsi="仿宋" w:eastAsia="仿宋" w:cs="仿宋"/>
          <w:b/>
          <w:bCs/>
          <w:color w:val="auto"/>
          <w:sz w:val="32"/>
          <w:szCs w:val="32"/>
          <w:highlight w:val="none"/>
        </w:rPr>
      </w:pPr>
    </w:p>
    <w:p w14:paraId="6D262A3D">
      <w:pPr>
        <w:jc w:val="center"/>
        <w:outlineLvl w:val="2"/>
        <w:rPr>
          <w:rFonts w:hint="eastAsia" w:ascii="仿宋" w:hAnsi="仿宋" w:eastAsia="仿宋" w:cs="仿宋"/>
          <w:b/>
          <w:bCs/>
          <w:color w:val="auto"/>
          <w:sz w:val="32"/>
          <w:szCs w:val="32"/>
          <w:highlight w:val="none"/>
        </w:rPr>
      </w:pPr>
    </w:p>
    <w:p w14:paraId="6C2F494A">
      <w:pPr>
        <w:jc w:val="center"/>
        <w:outlineLvl w:val="2"/>
        <w:rPr>
          <w:rFonts w:hint="eastAsia" w:ascii="仿宋" w:hAnsi="仿宋" w:eastAsia="仿宋" w:cs="仿宋"/>
          <w:b/>
          <w:bCs/>
          <w:color w:val="auto"/>
          <w:sz w:val="32"/>
          <w:szCs w:val="32"/>
          <w:highlight w:val="none"/>
        </w:rPr>
      </w:pPr>
    </w:p>
    <w:p w14:paraId="6D1B81B5">
      <w:pPr>
        <w:jc w:val="center"/>
        <w:outlineLvl w:val="2"/>
        <w:rPr>
          <w:rFonts w:hint="eastAsia" w:ascii="仿宋" w:hAnsi="仿宋" w:eastAsia="仿宋" w:cs="仿宋"/>
          <w:b/>
          <w:bCs/>
          <w:color w:val="auto"/>
          <w:sz w:val="32"/>
          <w:szCs w:val="32"/>
          <w:highlight w:val="none"/>
        </w:rPr>
      </w:pPr>
    </w:p>
    <w:p w14:paraId="534BF743">
      <w:pPr>
        <w:jc w:val="center"/>
        <w:outlineLvl w:val="2"/>
        <w:rPr>
          <w:rFonts w:hint="eastAsia" w:ascii="仿宋" w:hAnsi="仿宋" w:eastAsia="仿宋" w:cs="仿宋"/>
          <w:b/>
          <w:bCs/>
          <w:color w:val="auto"/>
          <w:sz w:val="32"/>
          <w:szCs w:val="32"/>
          <w:highlight w:val="none"/>
        </w:rPr>
      </w:pPr>
    </w:p>
    <w:p w14:paraId="24599E95">
      <w:pPr>
        <w:jc w:val="center"/>
        <w:outlineLvl w:val="2"/>
        <w:rPr>
          <w:rFonts w:hint="eastAsia" w:ascii="仿宋" w:hAnsi="仿宋" w:eastAsia="仿宋" w:cs="仿宋"/>
          <w:b/>
          <w:bCs/>
          <w:color w:val="auto"/>
          <w:sz w:val="32"/>
          <w:szCs w:val="32"/>
          <w:highlight w:val="none"/>
        </w:rPr>
      </w:pPr>
    </w:p>
    <w:p w14:paraId="1D257A6B">
      <w:pPr>
        <w:jc w:val="center"/>
        <w:outlineLvl w:val="2"/>
        <w:rPr>
          <w:rFonts w:hint="eastAsia" w:ascii="仿宋" w:hAnsi="仿宋" w:eastAsia="仿宋" w:cs="仿宋"/>
          <w:b/>
          <w:bCs/>
          <w:color w:val="auto"/>
          <w:sz w:val="32"/>
          <w:szCs w:val="32"/>
          <w:highlight w:val="none"/>
        </w:rPr>
      </w:pPr>
    </w:p>
    <w:p w14:paraId="41D62EDE">
      <w:pPr>
        <w:jc w:val="center"/>
        <w:outlineLvl w:val="2"/>
        <w:rPr>
          <w:rFonts w:hint="eastAsia" w:ascii="仿宋" w:hAnsi="仿宋" w:eastAsia="仿宋" w:cs="仿宋"/>
          <w:b/>
          <w:bCs/>
          <w:color w:val="auto"/>
          <w:sz w:val="32"/>
          <w:szCs w:val="32"/>
          <w:highlight w:val="none"/>
        </w:rPr>
      </w:pPr>
    </w:p>
    <w:p w14:paraId="50D0C5E0">
      <w:pPr>
        <w:jc w:val="center"/>
        <w:outlineLvl w:val="2"/>
        <w:rPr>
          <w:rFonts w:hint="eastAsia" w:ascii="仿宋" w:hAnsi="仿宋" w:eastAsia="仿宋" w:cs="仿宋"/>
          <w:b/>
          <w:bCs/>
          <w:color w:val="auto"/>
          <w:sz w:val="32"/>
          <w:szCs w:val="32"/>
          <w:highlight w:val="none"/>
        </w:rPr>
      </w:pPr>
    </w:p>
    <w:p w14:paraId="74440A4C">
      <w:pPr>
        <w:jc w:val="center"/>
        <w:outlineLvl w:val="2"/>
        <w:rPr>
          <w:rFonts w:hint="eastAsia" w:ascii="仿宋" w:hAnsi="仿宋" w:eastAsia="仿宋" w:cs="仿宋"/>
          <w:b/>
          <w:bCs/>
          <w:color w:val="auto"/>
          <w:sz w:val="32"/>
          <w:szCs w:val="32"/>
          <w:highlight w:val="none"/>
        </w:rPr>
      </w:pPr>
    </w:p>
    <w:p w14:paraId="714C0356">
      <w:pPr>
        <w:jc w:val="center"/>
        <w:outlineLvl w:val="2"/>
        <w:rPr>
          <w:rFonts w:hint="eastAsia" w:ascii="仿宋" w:hAnsi="仿宋" w:eastAsia="仿宋" w:cs="仿宋"/>
          <w:b/>
          <w:bCs/>
          <w:color w:val="auto"/>
          <w:sz w:val="32"/>
          <w:szCs w:val="32"/>
          <w:highlight w:val="none"/>
        </w:rPr>
      </w:pPr>
    </w:p>
    <w:p w14:paraId="0C28F2A8">
      <w:pPr>
        <w:jc w:val="center"/>
        <w:outlineLvl w:val="2"/>
        <w:rPr>
          <w:rFonts w:hint="eastAsia" w:ascii="仿宋" w:hAnsi="仿宋" w:eastAsia="仿宋" w:cs="仿宋"/>
          <w:b/>
          <w:bCs/>
          <w:color w:val="auto"/>
          <w:sz w:val="32"/>
          <w:szCs w:val="32"/>
          <w:highlight w:val="none"/>
        </w:rPr>
      </w:pPr>
    </w:p>
    <w:p w14:paraId="19F1C69D">
      <w:pPr>
        <w:jc w:val="center"/>
        <w:outlineLvl w:val="2"/>
        <w:rPr>
          <w:rFonts w:hint="eastAsia" w:ascii="仿宋" w:hAnsi="仿宋" w:eastAsia="仿宋" w:cs="仿宋"/>
          <w:b/>
          <w:bCs/>
          <w:color w:val="auto"/>
          <w:sz w:val="32"/>
          <w:szCs w:val="32"/>
          <w:highlight w:val="none"/>
        </w:rPr>
      </w:pPr>
    </w:p>
    <w:p w14:paraId="6B5D359F">
      <w:pPr>
        <w:jc w:val="center"/>
        <w:outlineLvl w:val="2"/>
        <w:rPr>
          <w:rFonts w:hint="eastAsia" w:ascii="仿宋" w:hAnsi="仿宋" w:eastAsia="仿宋" w:cs="仿宋"/>
          <w:b/>
          <w:bCs/>
          <w:color w:val="auto"/>
          <w:sz w:val="32"/>
          <w:szCs w:val="32"/>
          <w:highlight w:val="none"/>
        </w:rPr>
      </w:pPr>
    </w:p>
    <w:p w14:paraId="71DF04A0">
      <w:pPr>
        <w:outlineLvl w:val="2"/>
        <w:rPr>
          <w:rFonts w:hint="eastAsia" w:ascii="仿宋" w:hAnsi="仿宋" w:eastAsia="仿宋" w:cs="仿宋"/>
          <w:b/>
          <w:bCs/>
          <w:color w:val="auto"/>
          <w:sz w:val="32"/>
          <w:szCs w:val="32"/>
          <w:highlight w:val="none"/>
        </w:rPr>
      </w:pPr>
    </w:p>
    <w:p w14:paraId="13C175AC">
      <w:pPr>
        <w:pStyle w:val="5"/>
        <w:widowControl/>
        <w:autoSpaceDE w:val="0"/>
        <w:spacing w:before="0" w:after="0" w:line="360" w:lineRule="auto"/>
        <w:ind w:firstLine="482"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1275"/>
        <w:gridCol w:w="2423"/>
        <w:gridCol w:w="1368"/>
        <w:gridCol w:w="1929"/>
      </w:tblGrid>
      <w:tr w14:paraId="67DF2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FCC1196">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6995" w:type="dxa"/>
            <w:gridSpan w:val="4"/>
            <w:tcBorders>
              <w:top w:val="single" w:color="auto" w:sz="4" w:space="0"/>
              <w:left w:val="nil"/>
              <w:bottom w:val="single" w:color="auto" w:sz="4" w:space="0"/>
              <w:right w:val="single" w:color="auto" w:sz="4" w:space="0"/>
            </w:tcBorders>
            <w:vAlign w:val="center"/>
          </w:tcPr>
          <w:p w14:paraId="52CB99FB">
            <w:pPr>
              <w:spacing w:line="440" w:lineRule="exact"/>
              <w:jc w:val="center"/>
              <w:rPr>
                <w:rFonts w:hint="eastAsia" w:ascii="仿宋" w:hAnsi="仿宋" w:eastAsia="仿宋" w:cs="仿宋"/>
                <w:color w:val="auto"/>
                <w:sz w:val="24"/>
                <w:szCs w:val="24"/>
                <w:highlight w:val="none"/>
              </w:rPr>
            </w:pPr>
          </w:p>
        </w:tc>
      </w:tr>
      <w:tr w14:paraId="6B56E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601EFA3">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税号</w:t>
            </w:r>
          </w:p>
        </w:tc>
        <w:tc>
          <w:tcPr>
            <w:tcW w:w="6995" w:type="dxa"/>
            <w:gridSpan w:val="4"/>
            <w:tcBorders>
              <w:top w:val="single" w:color="auto" w:sz="4" w:space="0"/>
              <w:left w:val="nil"/>
              <w:bottom w:val="single" w:color="auto" w:sz="4" w:space="0"/>
              <w:right w:val="single" w:color="auto" w:sz="4" w:space="0"/>
            </w:tcBorders>
            <w:vAlign w:val="center"/>
          </w:tcPr>
          <w:p w14:paraId="43533CF8">
            <w:pPr>
              <w:spacing w:line="440" w:lineRule="exact"/>
              <w:jc w:val="center"/>
              <w:rPr>
                <w:rFonts w:hint="eastAsia" w:ascii="仿宋" w:hAnsi="仿宋" w:eastAsia="仿宋" w:cs="仿宋"/>
                <w:color w:val="auto"/>
                <w:sz w:val="24"/>
                <w:szCs w:val="24"/>
                <w:highlight w:val="none"/>
              </w:rPr>
            </w:pPr>
          </w:p>
        </w:tc>
      </w:tr>
      <w:tr w14:paraId="37D46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EF1F8C8">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注册资金</w:t>
            </w:r>
          </w:p>
        </w:tc>
        <w:tc>
          <w:tcPr>
            <w:tcW w:w="3698" w:type="dxa"/>
            <w:gridSpan w:val="2"/>
            <w:tcBorders>
              <w:top w:val="single" w:color="auto" w:sz="4" w:space="0"/>
              <w:left w:val="nil"/>
              <w:bottom w:val="single" w:color="auto" w:sz="4" w:space="0"/>
              <w:right w:val="single" w:color="auto" w:sz="4" w:space="0"/>
            </w:tcBorders>
            <w:vAlign w:val="center"/>
          </w:tcPr>
          <w:p w14:paraId="23E21641">
            <w:pPr>
              <w:spacing w:line="440" w:lineRule="exact"/>
              <w:jc w:val="center"/>
              <w:rPr>
                <w:rFonts w:hint="eastAsia" w:ascii="仿宋" w:hAnsi="仿宋" w:eastAsia="仿宋" w:cs="仿宋"/>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14:paraId="337C905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p>
        </w:tc>
        <w:tc>
          <w:tcPr>
            <w:tcW w:w="1929" w:type="dxa"/>
            <w:tcBorders>
              <w:top w:val="single" w:color="auto" w:sz="4" w:space="0"/>
              <w:left w:val="nil"/>
              <w:bottom w:val="single" w:color="auto" w:sz="4" w:space="0"/>
              <w:right w:val="single" w:color="auto" w:sz="4" w:space="0"/>
            </w:tcBorders>
            <w:vAlign w:val="center"/>
          </w:tcPr>
          <w:p w14:paraId="4CBADD9B">
            <w:pPr>
              <w:spacing w:line="440" w:lineRule="exact"/>
              <w:jc w:val="center"/>
              <w:rPr>
                <w:rFonts w:hint="eastAsia" w:ascii="仿宋" w:hAnsi="仿宋" w:eastAsia="仿宋" w:cs="仿宋"/>
                <w:color w:val="auto"/>
                <w:sz w:val="24"/>
                <w:szCs w:val="24"/>
                <w:highlight w:val="none"/>
              </w:rPr>
            </w:pPr>
          </w:p>
        </w:tc>
      </w:tr>
      <w:tr w14:paraId="5321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6AB57913">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注册地址</w:t>
            </w:r>
          </w:p>
        </w:tc>
        <w:tc>
          <w:tcPr>
            <w:tcW w:w="6995" w:type="dxa"/>
            <w:gridSpan w:val="4"/>
            <w:tcBorders>
              <w:top w:val="single" w:color="auto" w:sz="4" w:space="0"/>
              <w:left w:val="nil"/>
              <w:bottom w:val="single" w:color="auto" w:sz="4" w:space="0"/>
              <w:right w:val="single" w:color="auto" w:sz="4" w:space="0"/>
            </w:tcBorders>
            <w:vAlign w:val="center"/>
          </w:tcPr>
          <w:p w14:paraId="4EF2C94F">
            <w:pPr>
              <w:spacing w:line="440" w:lineRule="exact"/>
              <w:jc w:val="center"/>
              <w:rPr>
                <w:rFonts w:hint="eastAsia" w:ascii="仿宋" w:hAnsi="仿宋" w:eastAsia="仿宋" w:cs="仿宋"/>
                <w:color w:val="auto"/>
                <w:sz w:val="24"/>
                <w:szCs w:val="24"/>
                <w:highlight w:val="none"/>
              </w:rPr>
            </w:pPr>
          </w:p>
        </w:tc>
      </w:tr>
      <w:tr w14:paraId="7BD60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502CD612">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3698" w:type="dxa"/>
            <w:gridSpan w:val="2"/>
            <w:tcBorders>
              <w:top w:val="single" w:color="auto" w:sz="4" w:space="0"/>
              <w:left w:val="nil"/>
              <w:bottom w:val="single" w:color="auto" w:sz="4" w:space="0"/>
              <w:right w:val="single" w:color="auto" w:sz="4" w:space="0"/>
            </w:tcBorders>
            <w:vAlign w:val="center"/>
          </w:tcPr>
          <w:p w14:paraId="631D4D26">
            <w:pPr>
              <w:spacing w:line="440" w:lineRule="exact"/>
              <w:jc w:val="center"/>
              <w:rPr>
                <w:rFonts w:hint="eastAsia" w:ascii="仿宋" w:hAnsi="仿宋" w:eastAsia="仿宋" w:cs="仿宋"/>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14:paraId="7625981F">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员工总数</w:t>
            </w:r>
          </w:p>
        </w:tc>
        <w:tc>
          <w:tcPr>
            <w:tcW w:w="1929" w:type="dxa"/>
            <w:tcBorders>
              <w:top w:val="single" w:color="auto" w:sz="4" w:space="0"/>
              <w:left w:val="nil"/>
              <w:bottom w:val="single" w:color="auto" w:sz="4" w:space="0"/>
              <w:right w:val="single" w:color="auto" w:sz="4" w:space="0"/>
            </w:tcBorders>
            <w:vAlign w:val="center"/>
          </w:tcPr>
          <w:p w14:paraId="1B49DDFE">
            <w:pPr>
              <w:spacing w:line="440" w:lineRule="exact"/>
              <w:jc w:val="center"/>
              <w:rPr>
                <w:rFonts w:hint="eastAsia" w:ascii="仿宋" w:hAnsi="仿宋" w:eastAsia="仿宋" w:cs="仿宋"/>
                <w:color w:val="auto"/>
                <w:sz w:val="24"/>
                <w:szCs w:val="24"/>
                <w:highlight w:val="none"/>
              </w:rPr>
            </w:pPr>
          </w:p>
        </w:tc>
      </w:tr>
      <w:tr w14:paraId="3DAFF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restart"/>
            <w:tcBorders>
              <w:top w:val="nil"/>
              <w:left w:val="single" w:color="auto" w:sz="4" w:space="0"/>
              <w:bottom w:val="single" w:color="auto" w:sz="4" w:space="0"/>
              <w:right w:val="single" w:color="auto" w:sz="4" w:space="0"/>
            </w:tcBorders>
            <w:vAlign w:val="center"/>
          </w:tcPr>
          <w:p w14:paraId="5E0FEF48">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tc>
        <w:tc>
          <w:tcPr>
            <w:tcW w:w="1275" w:type="dxa"/>
            <w:tcBorders>
              <w:top w:val="single" w:color="auto" w:sz="4" w:space="0"/>
              <w:left w:val="nil"/>
              <w:bottom w:val="single" w:color="auto" w:sz="4" w:space="0"/>
              <w:right w:val="single" w:color="auto" w:sz="4" w:space="0"/>
            </w:tcBorders>
            <w:vAlign w:val="center"/>
          </w:tcPr>
          <w:p w14:paraId="245B8C47">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2423" w:type="dxa"/>
            <w:tcBorders>
              <w:top w:val="single" w:color="auto" w:sz="4" w:space="0"/>
              <w:left w:val="nil"/>
              <w:bottom w:val="single" w:color="auto" w:sz="4" w:space="0"/>
              <w:right w:val="single" w:color="auto" w:sz="4" w:space="0"/>
            </w:tcBorders>
            <w:vAlign w:val="center"/>
          </w:tcPr>
          <w:p w14:paraId="67214194">
            <w:pPr>
              <w:spacing w:line="440" w:lineRule="exact"/>
              <w:jc w:val="center"/>
              <w:rPr>
                <w:rFonts w:hint="eastAsia" w:ascii="仿宋" w:hAnsi="仿宋" w:eastAsia="仿宋" w:cs="仿宋"/>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14:paraId="01DDB70B">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1929" w:type="dxa"/>
            <w:tcBorders>
              <w:top w:val="single" w:color="auto" w:sz="4" w:space="0"/>
              <w:left w:val="nil"/>
              <w:bottom w:val="single" w:color="auto" w:sz="4" w:space="0"/>
              <w:right w:val="single" w:color="auto" w:sz="4" w:space="0"/>
            </w:tcBorders>
            <w:vAlign w:val="center"/>
          </w:tcPr>
          <w:p w14:paraId="31C3C02B">
            <w:pPr>
              <w:spacing w:line="440" w:lineRule="exact"/>
              <w:jc w:val="center"/>
              <w:rPr>
                <w:rFonts w:hint="eastAsia" w:ascii="仿宋" w:hAnsi="仿宋" w:eastAsia="仿宋" w:cs="仿宋"/>
                <w:color w:val="auto"/>
                <w:sz w:val="24"/>
                <w:szCs w:val="24"/>
                <w:highlight w:val="none"/>
              </w:rPr>
            </w:pPr>
          </w:p>
        </w:tc>
      </w:tr>
      <w:tr w14:paraId="581C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continue"/>
            <w:tcBorders>
              <w:top w:val="nil"/>
              <w:left w:val="single" w:color="auto" w:sz="4" w:space="0"/>
              <w:bottom w:val="single" w:color="auto" w:sz="4" w:space="0"/>
              <w:right w:val="single" w:color="auto" w:sz="4" w:space="0"/>
            </w:tcBorders>
            <w:vAlign w:val="center"/>
          </w:tcPr>
          <w:p w14:paraId="2330B383">
            <w:pPr>
              <w:rPr>
                <w:rFonts w:hint="eastAsia" w:ascii="仿宋" w:hAnsi="仿宋" w:eastAsia="仿宋" w:cs="仿宋"/>
                <w:color w:val="auto"/>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1E637B50">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网址</w:t>
            </w:r>
          </w:p>
        </w:tc>
        <w:tc>
          <w:tcPr>
            <w:tcW w:w="2423" w:type="dxa"/>
            <w:tcBorders>
              <w:top w:val="single" w:color="auto" w:sz="4" w:space="0"/>
              <w:left w:val="nil"/>
              <w:bottom w:val="single" w:color="auto" w:sz="4" w:space="0"/>
              <w:right w:val="single" w:color="auto" w:sz="4" w:space="0"/>
            </w:tcBorders>
            <w:vAlign w:val="center"/>
          </w:tcPr>
          <w:p w14:paraId="697E73EB">
            <w:pPr>
              <w:spacing w:line="440" w:lineRule="exact"/>
              <w:jc w:val="center"/>
              <w:rPr>
                <w:rFonts w:hint="eastAsia" w:ascii="仿宋" w:hAnsi="仿宋" w:eastAsia="仿宋" w:cs="仿宋"/>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14:paraId="3331DFA1">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tc>
        <w:tc>
          <w:tcPr>
            <w:tcW w:w="1929" w:type="dxa"/>
            <w:tcBorders>
              <w:top w:val="single" w:color="auto" w:sz="4" w:space="0"/>
              <w:left w:val="nil"/>
              <w:bottom w:val="single" w:color="auto" w:sz="4" w:space="0"/>
              <w:right w:val="single" w:color="auto" w:sz="4" w:space="0"/>
            </w:tcBorders>
            <w:vAlign w:val="center"/>
          </w:tcPr>
          <w:p w14:paraId="1B5CF47D">
            <w:pPr>
              <w:spacing w:line="440" w:lineRule="exact"/>
              <w:jc w:val="center"/>
              <w:rPr>
                <w:rFonts w:hint="eastAsia" w:ascii="仿宋" w:hAnsi="仿宋" w:eastAsia="仿宋" w:cs="仿宋"/>
                <w:color w:val="auto"/>
                <w:sz w:val="24"/>
                <w:szCs w:val="24"/>
                <w:highlight w:val="none"/>
              </w:rPr>
            </w:pPr>
          </w:p>
        </w:tc>
      </w:tr>
      <w:tr w14:paraId="4F84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4A15A8BA">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1275" w:type="dxa"/>
            <w:tcBorders>
              <w:top w:val="single" w:color="auto" w:sz="4" w:space="0"/>
              <w:left w:val="nil"/>
              <w:bottom w:val="single" w:color="auto" w:sz="4" w:space="0"/>
              <w:right w:val="single" w:color="auto" w:sz="4" w:space="0"/>
            </w:tcBorders>
            <w:vAlign w:val="center"/>
          </w:tcPr>
          <w:p w14:paraId="3BF6D651">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423" w:type="dxa"/>
            <w:tcBorders>
              <w:top w:val="single" w:color="auto" w:sz="4" w:space="0"/>
              <w:left w:val="nil"/>
              <w:bottom w:val="single" w:color="auto" w:sz="4" w:space="0"/>
              <w:right w:val="single" w:color="auto" w:sz="4" w:space="0"/>
            </w:tcBorders>
            <w:vAlign w:val="center"/>
          </w:tcPr>
          <w:p w14:paraId="0788A6BD">
            <w:pPr>
              <w:spacing w:line="440" w:lineRule="exact"/>
              <w:jc w:val="center"/>
              <w:rPr>
                <w:rFonts w:hint="eastAsia" w:ascii="仿宋" w:hAnsi="仿宋" w:eastAsia="仿宋" w:cs="仿宋"/>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14:paraId="207154D0">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1929" w:type="dxa"/>
            <w:tcBorders>
              <w:top w:val="single" w:color="auto" w:sz="4" w:space="0"/>
              <w:left w:val="nil"/>
              <w:bottom w:val="single" w:color="auto" w:sz="4" w:space="0"/>
              <w:right w:val="single" w:color="auto" w:sz="4" w:space="0"/>
            </w:tcBorders>
            <w:vAlign w:val="center"/>
          </w:tcPr>
          <w:p w14:paraId="36CF7339">
            <w:pPr>
              <w:spacing w:line="440" w:lineRule="exact"/>
              <w:jc w:val="center"/>
              <w:rPr>
                <w:rFonts w:hint="eastAsia" w:ascii="仿宋" w:hAnsi="仿宋" w:eastAsia="仿宋" w:cs="仿宋"/>
                <w:color w:val="auto"/>
                <w:sz w:val="24"/>
                <w:szCs w:val="24"/>
                <w:highlight w:val="none"/>
              </w:rPr>
            </w:pPr>
          </w:p>
        </w:tc>
      </w:tr>
      <w:tr w14:paraId="3E72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1CA70A1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供应商须知要求供应商需具有的各类资质证书</w:t>
            </w:r>
          </w:p>
        </w:tc>
        <w:tc>
          <w:tcPr>
            <w:tcW w:w="6995" w:type="dxa"/>
            <w:gridSpan w:val="4"/>
            <w:tcBorders>
              <w:top w:val="single" w:color="auto" w:sz="4" w:space="0"/>
              <w:left w:val="nil"/>
              <w:bottom w:val="single" w:color="auto" w:sz="4" w:space="0"/>
              <w:right w:val="single" w:color="auto" w:sz="4" w:space="0"/>
            </w:tcBorders>
            <w:vAlign w:val="center"/>
          </w:tcPr>
          <w:p w14:paraId="4F3BA698">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类型：                等级：                 证书号：</w:t>
            </w:r>
          </w:p>
        </w:tc>
      </w:tr>
      <w:tr w14:paraId="4CBD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592A710D">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基本账户开户银行</w:t>
            </w:r>
          </w:p>
        </w:tc>
        <w:tc>
          <w:tcPr>
            <w:tcW w:w="6995" w:type="dxa"/>
            <w:gridSpan w:val="4"/>
            <w:tcBorders>
              <w:top w:val="single" w:color="auto" w:sz="4" w:space="0"/>
              <w:left w:val="nil"/>
              <w:bottom w:val="single" w:color="auto" w:sz="4" w:space="0"/>
              <w:right w:val="single" w:color="auto" w:sz="4" w:space="0"/>
            </w:tcBorders>
            <w:vAlign w:val="center"/>
          </w:tcPr>
          <w:p w14:paraId="4C3FF596">
            <w:pPr>
              <w:spacing w:line="440" w:lineRule="exact"/>
              <w:jc w:val="center"/>
              <w:rPr>
                <w:rFonts w:hint="eastAsia" w:ascii="仿宋" w:hAnsi="仿宋" w:eastAsia="仿宋" w:cs="仿宋"/>
                <w:color w:val="auto"/>
                <w:sz w:val="24"/>
                <w:szCs w:val="24"/>
                <w:highlight w:val="none"/>
              </w:rPr>
            </w:pPr>
          </w:p>
        </w:tc>
      </w:tr>
      <w:tr w14:paraId="39F88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14E4620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基本账户银行账号</w:t>
            </w:r>
          </w:p>
        </w:tc>
        <w:tc>
          <w:tcPr>
            <w:tcW w:w="6995" w:type="dxa"/>
            <w:gridSpan w:val="4"/>
            <w:tcBorders>
              <w:top w:val="single" w:color="auto" w:sz="4" w:space="0"/>
              <w:left w:val="nil"/>
              <w:bottom w:val="single" w:color="auto" w:sz="4" w:space="0"/>
              <w:right w:val="single" w:color="auto" w:sz="4" w:space="0"/>
            </w:tcBorders>
            <w:vAlign w:val="center"/>
          </w:tcPr>
          <w:p w14:paraId="18922740">
            <w:pPr>
              <w:spacing w:line="440" w:lineRule="exact"/>
              <w:jc w:val="center"/>
              <w:rPr>
                <w:rFonts w:hint="eastAsia" w:ascii="仿宋" w:hAnsi="仿宋" w:eastAsia="仿宋" w:cs="仿宋"/>
                <w:color w:val="auto"/>
                <w:sz w:val="24"/>
                <w:szCs w:val="24"/>
                <w:highlight w:val="none"/>
              </w:rPr>
            </w:pPr>
          </w:p>
        </w:tc>
      </w:tr>
      <w:tr w14:paraId="5037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0D83DE54">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供应商关联企业情况（包括但不限于与供应商法定代表人为同一人或者存在控股、管理关系的不同单位）</w:t>
            </w:r>
          </w:p>
        </w:tc>
        <w:tc>
          <w:tcPr>
            <w:tcW w:w="6995" w:type="dxa"/>
            <w:gridSpan w:val="4"/>
            <w:tcBorders>
              <w:top w:val="single" w:color="auto" w:sz="4" w:space="0"/>
              <w:left w:val="nil"/>
              <w:bottom w:val="single" w:color="auto" w:sz="4" w:space="0"/>
              <w:right w:val="single" w:color="auto" w:sz="4" w:space="0"/>
            </w:tcBorders>
            <w:vAlign w:val="center"/>
          </w:tcPr>
          <w:p w14:paraId="16F50114">
            <w:pPr>
              <w:spacing w:line="440" w:lineRule="exact"/>
              <w:jc w:val="center"/>
              <w:rPr>
                <w:rFonts w:hint="eastAsia" w:ascii="仿宋" w:hAnsi="仿宋" w:eastAsia="仿宋" w:cs="仿宋"/>
                <w:color w:val="auto"/>
                <w:sz w:val="24"/>
                <w:szCs w:val="24"/>
                <w:highlight w:val="none"/>
              </w:rPr>
            </w:pPr>
          </w:p>
        </w:tc>
      </w:tr>
      <w:tr w14:paraId="20DB3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6C8BD05F">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6995" w:type="dxa"/>
            <w:gridSpan w:val="4"/>
            <w:tcBorders>
              <w:top w:val="single" w:color="auto" w:sz="4" w:space="0"/>
              <w:left w:val="nil"/>
              <w:bottom w:val="single" w:color="auto" w:sz="4" w:space="0"/>
              <w:right w:val="single" w:color="auto" w:sz="4" w:space="0"/>
            </w:tcBorders>
            <w:vAlign w:val="center"/>
          </w:tcPr>
          <w:p w14:paraId="4AC5C9CB">
            <w:pPr>
              <w:spacing w:line="440" w:lineRule="exact"/>
              <w:jc w:val="center"/>
              <w:rPr>
                <w:rFonts w:hint="eastAsia" w:ascii="仿宋" w:hAnsi="仿宋" w:eastAsia="仿宋" w:cs="仿宋"/>
                <w:color w:val="auto"/>
                <w:sz w:val="24"/>
                <w:szCs w:val="24"/>
                <w:highlight w:val="none"/>
              </w:rPr>
            </w:pPr>
          </w:p>
        </w:tc>
      </w:tr>
      <w:tr w14:paraId="590D4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161441D3">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995" w:type="dxa"/>
            <w:gridSpan w:val="4"/>
            <w:tcBorders>
              <w:top w:val="single" w:color="auto" w:sz="4" w:space="0"/>
              <w:left w:val="nil"/>
              <w:bottom w:val="single" w:color="auto" w:sz="4" w:space="0"/>
              <w:right w:val="single" w:color="auto" w:sz="4" w:space="0"/>
            </w:tcBorders>
            <w:vAlign w:val="center"/>
          </w:tcPr>
          <w:p w14:paraId="222DFB45">
            <w:pPr>
              <w:spacing w:line="440" w:lineRule="exact"/>
              <w:jc w:val="center"/>
              <w:rPr>
                <w:rFonts w:hint="eastAsia" w:ascii="仿宋" w:hAnsi="仿宋" w:eastAsia="仿宋" w:cs="仿宋"/>
                <w:color w:val="auto"/>
                <w:sz w:val="24"/>
                <w:szCs w:val="24"/>
                <w:highlight w:val="none"/>
              </w:rPr>
            </w:pPr>
          </w:p>
        </w:tc>
      </w:tr>
    </w:tbl>
    <w:p w14:paraId="6C9EAD12">
      <w:pPr>
        <w:snapToGrid w:val="0"/>
        <w:spacing w:line="480" w:lineRule="auto"/>
        <w:ind w:left="422"/>
        <w:rPr>
          <w:rFonts w:hint="eastAsia" w:ascii="宋体" w:hAnsi="宋体" w:cs="宋体"/>
          <w:b/>
          <w:color w:val="auto"/>
          <w:highlight w:val="none"/>
        </w:rPr>
      </w:pPr>
      <w:r>
        <w:rPr>
          <w:rFonts w:hint="eastAsia" w:ascii="宋体" w:hAnsi="宋体" w:cs="宋体"/>
          <w:b/>
          <w:color w:val="auto"/>
          <w:highlight w:val="none"/>
        </w:rPr>
        <w:t>注：（1）投标供应商关联企业情况(说明：单位负责人为同一人或者存在控股、管理关系的不同单位，不得同时参加本项目投标)，提供相关证明材料或提供承诺书（格式自拟）。</w:t>
      </w:r>
    </w:p>
    <w:p w14:paraId="1E627018">
      <w:pPr>
        <w:snapToGrid w:val="0"/>
        <w:spacing w:line="480" w:lineRule="auto"/>
        <w:ind w:left="422"/>
        <w:rPr>
          <w:rFonts w:hint="eastAsia" w:ascii="宋体" w:hAnsi="宋体" w:cs="宋体"/>
          <w:b/>
          <w:color w:val="auto"/>
          <w:highlight w:val="none"/>
        </w:rPr>
      </w:pPr>
      <w:r>
        <w:rPr>
          <w:rFonts w:hint="eastAsia" w:ascii="宋体" w:hAnsi="宋体" w:cs="宋体"/>
          <w:b/>
          <w:color w:val="auto"/>
          <w:highlight w:val="none"/>
        </w:rPr>
        <w:t>（2）以上表格若无所填内容可以填“/”；</w:t>
      </w:r>
    </w:p>
    <w:p w14:paraId="41731991">
      <w:pPr>
        <w:spacing w:line="480" w:lineRule="auto"/>
        <w:ind w:firstLine="413"/>
        <w:rPr>
          <w:color w:val="auto"/>
          <w:highlight w:val="none"/>
        </w:rPr>
      </w:pPr>
      <w:r>
        <w:rPr>
          <w:rFonts w:hint="eastAsia" w:ascii="宋体" w:hAnsi="宋体" w:cs="宋体"/>
          <w:b/>
          <w:color w:val="auto"/>
          <w:highlight w:val="none"/>
        </w:rPr>
        <w:t>（3）投标供应商认为需要提供的其他材料。</w:t>
      </w:r>
    </w:p>
    <w:p w14:paraId="77A8A923">
      <w:pPr>
        <w:spacing w:line="360" w:lineRule="auto"/>
        <w:rPr>
          <w:rFonts w:hint="eastAsia" w:ascii="仿宋" w:hAnsi="仿宋" w:eastAsia="仿宋" w:cs="仿宋"/>
          <w:b/>
          <w:color w:val="auto"/>
          <w:sz w:val="24"/>
          <w:szCs w:val="24"/>
          <w:highlight w:val="none"/>
        </w:rPr>
      </w:pPr>
    </w:p>
    <w:p w14:paraId="1C6D9F46">
      <w:pPr>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b/>
          <w:bCs/>
          <w:color w:val="auto"/>
          <w:spacing w:val="1"/>
          <w:sz w:val="24"/>
          <w:szCs w:val="24"/>
          <w:highlight w:val="none"/>
        </w:rPr>
        <w:t>2.具有独立承担民事责任的能力：</w:t>
      </w:r>
      <w:r>
        <w:rPr>
          <w:rFonts w:hint="eastAsia" w:ascii="仿宋" w:hAnsi="仿宋" w:eastAsia="仿宋" w:cs="仿宋"/>
          <w:color w:val="auto"/>
          <w:spacing w:val="1"/>
          <w:sz w:val="24"/>
          <w:szCs w:val="24"/>
          <w:highlight w:val="none"/>
        </w:rPr>
        <w:t>提供自然人有效身份证明或法人或者其他组织有效的营业执照等证明文件。</w:t>
      </w:r>
      <w:r>
        <w:rPr>
          <w:rFonts w:hint="eastAsia" w:ascii="仿宋" w:hAnsi="仿宋" w:eastAsia="仿宋" w:cs="仿宋"/>
          <w:bCs/>
          <w:color w:val="auto"/>
          <w:sz w:val="24"/>
          <w:szCs w:val="24"/>
          <w:highlight w:val="none"/>
        </w:rPr>
        <w:t>提供相关材料</w:t>
      </w:r>
      <w:r>
        <w:rPr>
          <w:rFonts w:ascii="仿宋" w:hAnsi="仿宋" w:eastAsia="仿宋" w:cs="仿宋"/>
          <w:color w:val="auto"/>
          <w:sz w:val="24"/>
          <w:szCs w:val="24"/>
          <w:highlight w:val="none"/>
        </w:rPr>
        <w:t>复印件或扫描件或打印件</w:t>
      </w:r>
      <w:r>
        <w:rPr>
          <w:rFonts w:hint="eastAsia" w:ascii="仿宋" w:hAnsi="仿宋" w:eastAsia="仿宋" w:cs="仿宋"/>
          <w:color w:val="auto"/>
          <w:spacing w:val="1"/>
          <w:sz w:val="24"/>
          <w:szCs w:val="24"/>
          <w:highlight w:val="none"/>
        </w:rPr>
        <w:t>。</w:t>
      </w:r>
    </w:p>
    <w:p w14:paraId="34840823">
      <w:pPr>
        <w:pStyle w:val="3"/>
        <w:rPr>
          <w:color w:val="auto"/>
          <w:highlight w:val="none"/>
          <w:lang w:val="zh-CN"/>
        </w:rPr>
      </w:pPr>
    </w:p>
    <w:p w14:paraId="4838FA09">
      <w:pPr>
        <w:spacing w:line="360" w:lineRule="auto"/>
        <w:rPr>
          <w:rFonts w:hint="eastAsia" w:ascii="仿宋" w:hAnsi="仿宋" w:eastAsia="仿宋" w:cs="仿宋"/>
          <w:caps/>
          <w:color w:val="auto"/>
          <w:sz w:val="24"/>
          <w:szCs w:val="24"/>
          <w:highlight w:val="none"/>
        </w:rPr>
      </w:pPr>
      <w:r>
        <w:rPr>
          <w:rFonts w:hint="eastAsia" w:ascii="仿宋" w:hAnsi="仿宋" w:eastAsia="仿宋" w:cs="仿宋"/>
          <w:b/>
          <w:bCs/>
          <w:color w:val="auto"/>
          <w:spacing w:val="1"/>
          <w:sz w:val="24"/>
          <w:szCs w:val="24"/>
          <w:highlight w:val="none"/>
        </w:rPr>
        <w:t>3.具有良好的商业信誉和健全的财务会计制度：</w:t>
      </w:r>
      <w:r>
        <w:rPr>
          <w:rFonts w:hint="eastAsia" w:ascii="仿宋" w:hAnsi="仿宋" w:eastAsia="仿宋" w:cs="仿宋"/>
          <w:color w:val="auto"/>
          <w:spacing w:val="1"/>
          <w:sz w:val="24"/>
          <w:szCs w:val="24"/>
          <w:highlight w:val="none"/>
        </w:rPr>
        <w:t>具有良好的商业信誉和健全的财务会计制度，提供2024年经会计师事务所或审计机构审计的财务报表及审计报告（包括资产负债表、损益表（利润表）和现金流量表），若</w:t>
      </w:r>
      <w:r>
        <w:rPr>
          <w:rFonts w:hint="eastAsia" w:ascii="仿宋" w:hAnsi="仿宋" w:eastAsia="仿宋" w:cs="仿宋"/>
          <w:color w:val="auto"/>
          <w:sz w:val="24"/>
          <w:szCs w:val="24"/>
          <w:highlight w:val="none"/>
        </w:rPr>
        <w:t>供应商成立不足一年的，</w:t>
      </w:r>
      <w:r>
        <w:rPr>
          <w:rFonts w:hint="eastAsia" w:ascii="仿宋" w:hAnsi="仿宋" w:eastAsia="仿宋" w:cs="仿宋"/>
          <w:caps/>
          <w:color w:val="auto"/>
          <w:sz w:val="24"/>
          <w:szCs w:val="24"/>
          <w:highlight w:val="none"/>
        </w:rPr>
        <w:t>提供自投标文件提交截止时间前三个月内基本开户银行出具的资信证明或资金存款证明。</w:t>
      </w:r>
      <w:r>
        <w:rPr>
          <w:rFonts w:hint="eastAsia" w:ascii="仿宋" w:hAnsi="仿宋" w:eastAsia="仿宋" w:cs="仿宋"/>
          <w:color w:val="auto"/>
          <w:sz w:val="24"/>
          <w:highlight w:val="none"/>
        </w:rPr>
        <w:t>提供相关材料</w:t>
      </w:r>
      <w:r>
        <w:rPr>
          <w:rFonts w:ascii="仿宋" w:hAnsi="仿宋" w:eastAsia="仿宋" w:cs="仿宋"/>
          <w:color w:val="auto"/>
          <w:sz w:val="24"/>
          <w:szCs w:val="24"/>
          <w:highlight w:val="none"/>
        </w:rPr>
        <w:t>复印件或扫描件或打印件</w:t>
      </w:r>
      <w:r>
        <w:rPr>
          <w:rFonts w:hint="eastAsia" w:ascii="仿宋" w:hAnsi="仿宋" w:eastAsia="仿宋" w:cs="仿宋"/>
          <w:color w:val="auto"/>
          <w:sz w:val="24"/>
          <w:highlight w:val="none"/>
        </w:rPr>
        <w:t>。</w:t>
      </w:r>
    </w:p>
    <w:p w14:paraId="4CDD0482">
      <w:pPr>
        <w:pStyle w:val="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4.具有履行合同所必需的设备和专业技术能力：</w:t>
      </w:r>
    </w:p>
    <w:p w14:paraId="5602D5E1">
      <w:pPr>
        <w:pStyle w:val="3"/>
        <w:rPr>
          <w:rFonts w:hint="eastAsia" w:ascii="仿宋" w:hAnsi="仿宋" w:eastAsia="仿宋" w:cs="仿宋"/>
          <w:b w:val="0"/>
          <w:bCs/>
          <w:caps/>
          <w:color w:val="auto"/>
          <w:sz w:val="24"/>
          <w:szCs w:val="24"/>
          <w:highlight w:val="none"/>
        </w:rPr>
      </w:pPr>
      <w:r>
        <w:rPr>
          <w:rFonts w:hint="eastAsia" w:ascii="仿宋" w:hAnsi="仿宋" w:eastAsia="仿宋" w:cs="仿宋"/>
          <w:b w:val="0"/>
          <w:bCs/>
          <w:color w:val="auto"/>
          <w:sz w:val="24"/>
          <w:szCs w:val="24"/>
          <w:highlight w:val="none"/>
        </w:rPr>
        <w:t>提供供应商具有履行合同所必需的设备和专业技术能力证明材料或书面声明。</w:t>
      </w:r>
    </w:p>
    <w:p w14:paraId="45D3ECBC">
      <w:pPr>
        <w:pStyle w:val="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5.有依法缴纳税收和社会保障资金的良好记录：</w:t>
      </w:r>
    </w:p>
    <w:p w14:paraId="6E2DB386">
      <w:pPr>
        <w:spacing w:line="360" w:lineRule="auto"/>
        <w:ind w:firstLine="243" w:firstLineChars="100"/>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①税收要求：</w:t>
      </w:r>
      <w:r>
        <w:rPr>
          <w:rFonts w:hint="eastAsia" w:ascii="仿宋" w:hAnsi="仿宋" w:eastAsia="仿宋" w:cs="仿宋"/>
          <w:color w:val="auto"/>
          <w:sz w:val="24"/>
          <w:szCs w:val="24"/>
          <w:highlight w:val="none"/>
        </w:rPr>
        <w:t>提供供应商缴税所属时间在2024年7月至本项目截至投标（响应）文件递交时间前任意1个月的税务局税收通用缴款书或银行电子缴税（费）凭证或税务局出具纳税情况的相关证明，依法免税的，应提供依法免税的相关证明文件；供应商成立不足一年的，无需提供。</w:t>
      </w:r>
      <w:r>
        <w:rPr>
          <w:rFonts w:hint="eastAsia" w:ascii="仿宋" w:hAnsi="仿宋" w:eastAsia="仿宋" w:cs="仿宋"/>
          <w:color w:val="auto"/>
          <w:sz w:val="24"/>
          <w:highlight w:val="none"/>
        </w:rPr>
        <w:t>提供相关材料</w:t>
      </w:r>
      <w:r>
        <w:rPr>
          <w:rFonts w:ascii="仿宋" w:hAnsi="仿宋" w:eastAsia="仿宋" w:cs="仿宋"/>
          <w:color w:val="auto"/>
          <w:sz w:val="24"/>
          <w:szCs w:val="24"/>
          <w:highlight w:val="none"/>
        </w:rPr>
        <w:t>复印件或扫描件或打印件</w:t>
      </w:r>
      <w:r>
        <w:rPr>
          <w:rFonts w:hint="eastAsia" w:ascii="仿宋" w:hAnsi="仿宋" w:eastAsia="仿宋" w:cs="仿宋"/>
          <w:color w:val="auto"/>
          <w:sz w:val="24"/>
          <w:highlight w:val="none"/>
        </w:rPr>
        <w:t>。</w:t>
      </w:r>
    </w:p>
    <w:p w14:paraId="6A4D039A">
      <w:pPr>
        <w:spacing w:line="360" w:lineRule="auto"/>
        <w:ind w:firstLine="243" w:firstLineChars="100"/>
        <w:rPr>
          <w:rFonts w:hint="eastAsia" w:ascii="仿宋" w:hAnsi="仿宋" w:eastAsia="仿宋" w:cs="仿宋"/>
          <w:color w:val="auto"/>
          <w:sz w:val="24"/>
          <w:highlight w:val="none"/>
        </w:rPr>
      </w:pPr>
      <w:r>
        <w:rPr>
          <w:rFonts w:hint="eastAsia" w:ascii="仿宋" w:hAnsi="仿宋" w:eastAsia="仿宋" w:cs="仿宋"/>
          <w:b/>
          <w:bCs/>
          <w:color w:val="auto"/>
          <w:spacing w:val="1"/>
          <w:sz w:val="24"/>
          <w:szCs w:val="24"/>
          <w:highlight w:val="none"/>
        </w:rPr>
        <w:t>②社保要求：</w:t>
      </w:r>
      <w:r>
        <w:rPr>
          <w:rFonts w:hint="eastAsia" w:ascii="仿宋" w:hAnsi="仿宋" w:eastAsia="仿宋" w:cs="仿宋"/>
          <w:color w:val="auto"/>
          <w:sz w:val="24"/>
          <w:szCs w:val="24"/>
          <w:highlight w:val="none"/>
        </w:rPr>
        <w:t>提供供应商缴费所属时间在2024年7月至本项目截至投标（响应）文件递交时间前任意1个月的社会保险费缴款书或银行电子缴税（费）凭证或社保管理部门出具的有效的缴款证明，依法免缴的，应提供依法免缴的相关证明文件；供应商成立不足一年的，无需提供。</w:t>
      </w:r>
      <w:r>
        <w:rPr>
          <w:rFonts w:hint="eastAsia" w:ascii="仿宋" w:hAnsi="仿宋" w:eastAsia="仿宋" w:cs="仿宋"/>
          <w:color w:val="auto"/>
          <w:sz w:val="24"/>
          <w:highlight w:val="none"/>
        </w:rPr>
        <w:t>提供相关材料</w:t>
      </w:r>
      <w:r>
        <w:rPr>
          <w:rFonts w:ascii="仿宋" w:hAnsi="仿宋" w:eastAsia="仿宋" w:cs="仿宋"/>
          <w:color w:val="auto"/>
          <w:sz w:val="24"/>
          <w:szCs w:val="24"/>
          <w:highlight w:val="none"/>
        </w:rPr>
        <w:t>复印件或扫描件或打印件</w:t>
      </w:r>
      <w:r>
        <w:rPr>
          <w:rFonts w:hint="eastAsia" w:ascii="仿宋" w:hAnsi="仿宋" w:eastAsia="仿宋" w:cs="仿宋"/>
          <w:color w:val="auto"/>
          <w:sz w:val="24"/>
          <w:highlight w:val="none"/>
        </w:rPr>
        <w:t>。</w:t>
      </w:r>
    </w:p>
    <w:p w14:paraId="279028C0">
      <w:pPr>
        <w:pStyle w:val="15"/>
        <w:rPr>
          <w:color w:val="auto"/>
          <w:highlight w:val="none"/>
        </w:rPr>
      </w:pPr>
    </w:p>
    <w:p w14:paraId="6078269D">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6.参加政府采购活动前三年内，在经营活动中没有重大违法记录：</w:t>
      </w:r>
      <w:r>
        <w:rPr>
          <w:rFonts w:hint="eastAsia" w:ascii="仿宋" w:hAnsi="仿宋" w:eastAsia="仿宋" w:cs="仿宋"/>
          <w:color w:val="auto"/>
          <w:sz w:val="24"/>
          <w:szCs w:val="24"/>
          <w:highlight w:val="none"/>
        </w:rPr>
        <w:t>供应商参与本次政府采购活动前三年内，在经营活动中没有重大违法记录（重大违法记录是指响应人因违法经营受到刑事处罚或者责令停产停业、吊销许可证或者执照、较大数额罚款等行政处罚）的书面声明。格式如下：</w:t>
      </w:r>
    </w:p>
    <w:p w14:paraId="7C6E3F35">
      <w:pPr>
        <w:spacing w:line="400" w:lineRule="exact"/>
        <w:jc w:val="center"/>
        <w:rPr>
          <w:rFonts w:hint="eastAsia" w:ascii="宋体" w:hAnsi="宋体" w:cs="宋体"/>
          <w:b/>
          <w:color w:val="auto"/>
          <w:kern w:val="0"/>
          <w:sz w:val="24"/>
          <w:szCs w:val="24"/>
          <w:highlight w:val="none"/>
        </w:rPr>
      </w:pPr>
    </w:p>
    <w:p w14:paraId="2C7BBCDB">
      <w:pPr>
        <w:spacing w:line="400" w:lineRule="exact"/>
        <w:jc w:val="center"/>
        <w:rPr>
          <w:rFonts w:hint="eastAsia" w:ascii="宋体" w:hAnsi="宋体" w:cs="宋体"/>
          <w:b/>
          <w:color w:val="auto"/>
          <w:kern w:val="0"/>
          <w:sz w:val="24"/>
          <w:szCs w:val="24"/>
          <w:highlight w:val="none"/>
        </w:rPr>
      </w:pPr>
      <w:r>
        <w:rPr>
          <w:rFonts w:ascii="宋体" w:hAnsi="宋体" w:cs="宋体"/>
          <w:b/>
          <w:color w:val="auto"/>
          <w:kern w:val="0"/>
          <w:sz w:val="24"/>
          <w:szCs w:val="24"/>
          <w:highlight w:val="none"/>
        </w:rPr>
        <w:t>声　　明</w:t>
      </w:r>
    </w:p>
    <w:p w14:paraId="2208E6EA">
      <w:pPr>
        <w:spacing w:line="400" w:lineRule="exact"/>
        <w:jc w:val="center"/>
        <w:rPr>
          <w:rFonts w:hint="eastAsia" w:ascii="宋体" w:hAnsi="宋体" w:cs="宋体"/>
          <w:b/>
          <w:color w:val="auto"/>
          <w:kern w:val="0"/>
          <w:sz w:val="30"/>
          <w:szCs w:val="30"/>
          <w:highlight w:val="none"/>
        </w:rPr>
      </w:pPr>
    </w:p>
    <w:p w14:paraId="4A8F722E">
      <w:pPr>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我公司在参加此次</w:t>
      </w:r>
      <w:r>
        <w:rPr>
          <w:rFonts w:hint="eastAsia" w:ascii="仿宋" w:hAnsi="仿宋" w:eastAsia="仿宋" w:cs="仿宋"/>
          <w:color w:val="auto"/>
          <w:kern w:val="0"/>
          <w:sz w:val="24"/>
          <w:szCs w:val="24"/>
          <w:highlight w:val="none"/>
          <w:u w:val="single"/>
        </w:rPr>
        <w:t>（项目名称）</w:t>
      </w:r>
      <w:r>
        <w:rPr>
          <w:rFonts w:hint="eastAsia" w:ascii="仿宋" w:hAnsi="仿宋" w:eastAsia="仿宋" w:cs="仿宋"/>
          <w:color w:val="auto"/>
          <w:kern w:val="0"/>
          <w:sz w:val="24"/>
          <w:szCs w:val="24"/>
          <w:highlight w:val="none"/>
        </w:rPr>
        <w:t>公开采购前3年内没有在经营活动中因违法经营受到刑事处罚或者责令停产停业、吊销许可证或者执照、较大数额罚款等行政处罚等重大违法记录。</w:t>
      </w:r>
    </w:p>
    <w:p w14:paraId="7C1C1A03">
      <w:pPr>
        <w:spacing w:line="480" w:lineRule="auto"/>
        <w:ind w:firstLine="480" w:firstLineChars="20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供应商名称（电子公章）：</w:t>
      </w:r>
    </w:p>
    <w:p w14:paraId="5D1ED3FB">
      <w:pPr>
        <w:spacing w:line="480" w:lineRule="auto"/>
        <w:ind w:firstLine="480" w:firstLineChars="20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日期：年  月 日</w:t>
      </w:r>
    </w:p>
    <w:p w14:paraId="02B73DCC">
      <w:pPr>
        <w:pStyle w:val="15"/>
        <w:ind w:firstLine="480"/>
        <w:rPr>
          <w:rFonts w:hint="eastAsia" w:ascii="仿宋" w:hAnsi="仿宋" w:eastAsia="仿宋" w:cs="仿宋"/>
          <w:color w:val="auto"/>
          <w:kern w:val="0"/>
          <w:sz w:val="24"/>
          <w:szCs w:val="24"/>
          <w:highlight w:val="none"/>
        </w:rPr>
      </w:pPr>
    </w:p>
    <w:p w14:paraId="4ACA6704">
      <w:pPr>
        <w:pStyle w:val="15"/>
        <w:ind w:firstLine="480"/>
        <w:rPr>
          <w:rFonts w:hint="eastAsia" w:ascii="仿宋" w:hAnsi="仿宋" w:eastAsia="仿宋" w:cs="仿宋"/>
          <w:color w:val="auto"/>
          <w:kern w:val="0"/>
          <w:sz w:val="24"/>
          <w:szCs w:val="24"/>
          <w:highlight w:val="none"/>
        </w:rPr>
      </w:pPr>
    </w:p>
    <w:p w14:paraId="51DEEF3A">
      <w:pPr>
        <w:pStyle w:val="15"/>
        <w:ind w:firstLine="480"/>
        <w:rPr>
          <w:rFonts w:hint="eastAsia" w:ascii="仿宋" w:hAnsi="仿宋" w:eastAsia="仿宋" w:cs="仿宋"/>
          <w:color w:val="auto"/>
          <w:kern w:val="0"/>
          <w:sz w:val="24"/>
          <w:szCs w:val="24"/>
          <w:highlight w:val="none"/>
        </w:rPr>
      </w:pPr>
    </w:p>
    <w:p w14:paraId="708C6EB1">
      <w:pPr>
        <w:spacing w:line="360" w:lineRule="auto"/>
        <w:ind w:firstLine="241" w:firstLineChars="1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7.法律、行政法规规定的其他条件：</w:t>
      </w:r>
    </w:p>
    <w:p w14:paraId="567F6859">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①单位负责人为同一人或者存在直接控股、管理关系的不同供应商，不得参加同一合同项下的政府采购活动。供应商提供相关承诺，格式自拟。</w:t>
      </w:r>
    </w:p>
    <w:p w14:paraId="70D2F579">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②为采购项目提供整体设计、规范编制或者项目管理、监理、检测等服务的供应商，不得再参加该采购项目的其他采购活动。供应商提供相关承诺，格式自拟。</w:t>
      </w:r>
    </w:p>
    <w:p w14:paraId="6820064F">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③法律、行政法规规定的其他条件。供应商自行描述，格式自拟。</w:t>
      </w:r>
    </w:p>
    <w:p w14:paraId="2F9EFF82">
      <w:pPr>
        <w:spacing w:line="360" w:lineRule="auto"/>
        <w:rPr>
          <w:rFonts w:hint="eastAsia" w:ascii="仿宋" w:hAnsi="仿宋" w:eastAsia="仿宋" w:cs="仿宋"/>
          <w:b/>
          <w:bCs/>
          <w:color w:val="auto"/>
          <w:sz w:val="24"/>
          <w:szCs w:val="24"/>
          <w:highlight w:val="none"/>
        </w:rPr>
      </w:pPr>
    </w:p>
    <w:p w14:paraId="01BCECE8">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8.截至投标（响应）文件递交时间，未被“信用中国”（www.creditchina.gov.cn）、中国政府采购网（www.ccgp.gov.cn）列入失信被执行人、重大税收违法案件当事人名单、政府采购严重违法失信行为记录名单：</w:t>
      </w:r>
    </w:p>
    <w:p w14:paraId="47D9291E">
      <w:pPr>
        <w:pStyle w:val="3"/>
        <w:ind w:firstLine="480" w:firstLineChars="200"/>
        <w:rPr>
          <w:rFonts w:hint="eastAsia" w:ascii="仿宋" w:hAnsi="仿宋" w:eastAsia="仿宋" w:cs="仿宋"/>
          <w:color w:val="auto"/>
          <w:sz w:val="24"/>
          <w:szCs w:val="24"/>
          <w:highlight w:val="none"/>
        </w:rPr>
      </w:pPr>
      <w:r>
        <w:rPr>
          <w:rFonts w:hint="eastAsia" w:ascii="仿宋" w:hAnsi="仿宋" w:eastAsia="仿宋" w:cs="仿宋"/>
          <w:b w:val="0"/>
          <w:color w:val="auto"/>
          <w:kern w:val="2"/>
          <w:sz w:val="24"/>
          <w:szCs w:val="24"/>
          <w:highlight w:val="none"/>
        </w:rPr>
        <w:t>①在“信用中国”（www.creditchina.gov.cn）中未被列入：失信被执行人、重大税收违法案件当事人名单（重大税收违法失信主体）、政府采购严重违法失信行为记录名单。②在中国政府采购网（www.ccgp.gov.cn）中未被列入：政府采购严重违法失信行为记录名单。</w:t>
      </w:r>
      <w:r>
        <w:rPr>
          <w:rFonts w:hint="eastAsia" w:ascii="仿宋" w:hAnsi="仿宋" w:eastAsia="仿宋" w:cs="仿宋"/>
          <w:bCs/>
          <w:color w:val="auto"/>
          <w:kern w:val="2"/>
          <w:sz w:val="24"/>
          <w:szCs w:val="24"/>
          <w:highlight w:val="none"/>
        </w:rPr>
        <w:t>（注：以上网站查询均由采购人或采购代理机构在资格评审时查询，投标人无须提供，若供应商有不良信誉，视为不满足资格要求。）</w:t>
      </w:r>
    </w:p>
    <w:p w14:paraId="710B3D83">
      <w:pPr>
        <w:pStyle w:val="2"/>
        <w:rPr>
          <w:color w:val="auto"/>
          <w:highlight w:val="none"/>
        </w:rPr>
      </w:pPr>
    </w:p>
    <w:p w14:paraId="5743C4B9">
      <w:pPr>
        <w:pStyle w:val="50"/>
        <w:rPr>
          <w:rFonts w:hint="eastAsia"/>
          <w:color w:val="auto"/>
          <w:highlight w:val="none"/>
        </w:rPr>
      </w:pPr>
    </w:p>
    <w:p w14:paraId="5DDECA0B">
      <w:pPr>
        <w:spacing w:line="360" w:lineRule="auto"/>
        <w:ind w:firstLine="241" w:firstLineChars="1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9.资质要求：</w:t>
      </w:r>
    </w:p>
    <w:p w14:paraId="46F9E3D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供应商须具备有效的城乡规划（国土空间规划）编制乙级及以上资质。附资质证书复印件或扫描件或打印件</w:t>
      </w:r>
      <w:r>
        <w:rPr>
          <w:rFonts w:ascii="仿宋" w:hAnsi="仿宋" w:eastAsia="仿宋" w:cs="仿宋"/>
          <w:color w:val="auto"/>
          <w:sz w:val="24"/>
          <w:szCs w:val="24"/>
          <w:highlight w:val="none"/>
        </w:rPr>
        <w:t>。</w:t>
      </w:r>
    </w:p>
    <w:p w14:paraId="7BA73CEB">
      <w:pPr>
        <w:pStyle w:val="2"/>
        <w:rPr>
          <w:color w:val="auto"/>
          <w:highlight w:val="none"/>
        </w:rPr>
      </w:pPr>
    </w:p>
    <w:p w14:paraId="59D906F2">
      <w:pPr>
        <w:spacing w:line="360" w:lineRule="auto"/>
        <w:ind w:firstLine="241" w:firstLineChars="1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10.项目负责人要求：</w:t>
      </w:r>
    </w:p>
    <w:p w14:paraId="75EC4A4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应具有注册城乡规划师证书，具有规划专业高级及以上技术职称，且高职及以上职称履职不低于3年，且是本单位的在职人员。</w:t>
      </w:r>
    </w:p>
    <w:p w14:paraId="04E97F60">
      <w:pPr>
        <w:spacing w:line="360" w:lineRule="auto"/>
        <w:ind w:firstLine="480" w:firstLineChars="200"/>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（附项目负责人身份证、</w:t>
      </w:r>
      <w:r>
        <w:rPr>
          <w:rFonts w:hint="eastAsia" w:ascii="仿宋" w:hAnsi="仿宋" w:eastAsia="仿宋" w:cs="仿宋"/>
          <w:color w:val="auto"/>
          <w:sz w:val="24"/>
          <w:szCs w:val="24"/>
          <w:highlight w:val="none"/>
        </w:rPr>
        <w:t>注册城乡规划师证书</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职称证书、</w:t>
      </w:r>
      <w:r>
        <w:rPr>
          <w:rFonts w:ascii="仿宋" w:hAnsi="仿宋" w:eastAsia="仿宋" w:cs="仿宋"/>
          <w:color w:val="auto"/>
          <w:sz w:val="24"/>
          <w:szCs w:val="24"/>
          <w:highlight w:val="none"/>
        </w:rPr>
        <w:t>社保证明（提供</w:t>
      </w:r>
      <w:r>
        <w:rPr>
          <w:rFonts w:hint="eastAsia" w:ascii="仿宋" w:hAnsi="仿宋" w:eastAsia="仿宋" w:cs="仿宋"/>
          <w:color w:val="auto"/>
          <w:sz w:val="24"/>
          <w:szCs w:val="24"/>
          <w:highlight w:val="none"/>
        </w:rPr>
        <w:t>2024年7月至本项目截至投标</w:t>
      </w:r>
      <w:r>
        <w:rPr>
          <w:rFonts w:ascii="仿宋" w:hAnsi="仿宋" w:eastAsia="仿宋" w:cs="仿宋"/>
          <w:color w:val="auto"/>
          <w:sz w:val="24"/>
          <w:szCs w:val="24"/>
          <w:highlight w:val="none"/>
        </w:rPr>
        <w:t>（响应）文件递交时间前任意1个月）或劳动合同等证明材料的复印件或扫描件或打印件）</w:t>
      </w:r>
    </w:p>
    <w:p w14:paraId="0CC83EC0">
      <w:pPr>
        <w:spacing w:line="360" w:lineRule="auto"/>
        <w:ind w:firstLine="480" w:firstLineChars="200"/>
        <w:rPr>
          <w:rFonts w:hint="eastAsia" w:ascii="仿宋" w:hAnsi="仿宋" w:eastAsia="仿宋" w:cs="仿宋"/>
          <w:color w:val="auto"/>
          <w:sz w:val="24"/>
          <w:szCs w:val="24"/>
          <w:highlight w:val="none"/>
        </w:rPr>
      </w:pPr>
    </w:p>
    <w:p w14:paraId="791BFA0D">
      <w:pPr>
        <w:spacing w:line="360" w:lineRule="auto"/>
        <w:ind w:firstLine="480" w:firstLineChars="200"/>
        <w:rPr>
          <w:rFonts w:hint="eastAsia" w:ascii="仿宋" w:hAnsi="仿宋" w:eastAsia="仿宋" w:cs="仿宋"/>
          <w:color w:val="auto"/>
          <w:sz w:val="24"/>
          <w:szCs w:val="24"/>
          <w:highlight w:val="none"/>
        </w:rPr>
      </w:pPr>
    </w:p>
    <w:p w14:paraId="4154CEAA">
      <w:pPr>
        <w:spacing w:line="360" w:lineRule="auto"/>
        <w:rPr>
          <w:rFonts w:hint="eastAsia" w:ascii="仿宋" w:hAnsi="仿宋" w:eastAsia="仿宋" w:cs="仿宋"/>
          <w:color w:val="auto"/>
          <w:sz w:val="24"/>
          <w:szCs w:val="24"/>
          <w:highlight w:val="none"/>
        </w:rPr>
      </w:pPr>
    </w:p>
    <w:p w14:paraId="6D893908">
      <w:pPr>
        <w:spacing w:line="360" w:lineRule="auto"/>
        <w:rPr>
          <w:rFonts w:hint="eastAsia" w:ascii="仿宋" w:hAnsi="仿宋" w:eastAsia="仿宋" w:cs="仿宋"/>
          <w:color w:val="auto"/>
          <w:sz w:val="24"/>
          <w:szCs w:val="24"/>
          <w:highlight w:val="none"/>
        </w:rPr>
      </w:pPr>
    </w:p>
    <w:p w14:paraId="445DC99D">
      <w:pPr>
        <w:spacing w:line="360" w:lineRule="auto"/>
        <w:ind w:firstLine="241" w:firstLineChars="100"/>
        <w:jc w:val="center"/>
        <w:rPr>
          <w:rFonts w:hint="eastAsia" w:ascii="仿宋" w:hAnsi="仿宋" w:eastAsia="仿宋" w:cs="仿宋"/>
          <w:b/>
          <w:bCs/>
          <w:color w:val="auto"/>
          <w:sz w:val="24"/>
          <w:szCs w:val="24"/>
          <w:highlight w:val="none"/>
        </w:rPr>
      </w:pPr>
      <w:bookmarkStart w:id="126" w:name="_Toc478214728"/>
      <w:r>
        <w:rPr>
          <w:rFonts w:hint="eastAsia" w:ascii="仿宋" w:hAnsi="仿宋" w:eastAsia="仿宋" w:cs="仿宋"/>
          <w:b/>
          <w:bCs/>
          <w:color w:val="auto"/>
          <w:sz w:val="24"/>
          <w:szCs w:val="24"/>
          <w:highlight w:val="none"/>
        </w:rPr>
        <w:t>11.中小微企业声明函</w:t>
      </w:r>
      <w:bookmarkEnd w:id="126"/>
    </w:p>
    <w:p w14:paraId="5D0C607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本公司（联合体）郑重声明，根据《财政部关于进一步加大政府采购支持中小企业力度的通知》（财库〔2022〕19号）的规定，本公司（联合体）参加</w:t>
      </w:r>
      <w:r>
        <w:rPr>
          <w:rFonts w:hint="eastAsia" w:ascii="仿宋" w:hAnsi="仿宋" w:eastAsia="仿宋" w:cs="仿宋"/>
          <w:color w:val="auto"/>
          <w:sz w:val="24"/>
          <w:highlight w:val="none"/>
          <w:u w:val="single"/>
        </w:rPr>
        <w:t>（单位名称）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（项目名称）</w:t>
      </w:r>
      <w:r>
        <w:rPr>
          <w:rFonts w:hint="eastAsia" w:ascii="仿宋" w:hAnsi="仿宋" w:eastAsia="仿宋" w:cs="仿宋"/>
          <w:color w:val="auto"/>
          <w:sz w:val="24"/>
          <w:highlight w:val="none"/>
        </w:rPr>
        <w:t>采购活动，服务全部由符合政策要求的中小企业承接。相关企业的具体情况如下：</w:t>
      </w:r>
    </w:p>
    <w:p w14:paraId="3EDE1D5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，承建(承接)企业为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（中型企业、小型企业、微型企业）</w:t>
      </w:r>
      <w:r>
        <w:rPr>
          <w:rFonts w:hint="eastAsia" w:ascii="仿宋" w:hAnsi="仿宋" w:eastAsia="仿宋" w:cs="仿宋"/>
          <w:color w:val="auto"/>
          <w:sz w:val="24"/>
          <w:highlight w:val="none"/>
        </w:rPr>
        <w:t>；</w:t>
      </w:r>
    </w:p>
    <w:p w14:paraId="6A1921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，承建(承接)企业为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（中型企业、小型企业、微型企业）</w:t>
      </w:r>
      <w:r>
        <w:rPr>
          <w:rFonts w:hint="eastAsia" w:ascii="仿宋" w:hAnsi="仿宋" w:eastAsia="仿宋" w:cs="仿宋"/>
          <w:color w:val="auto"/>
          <w:sz w:val="24"/>
          <w:highlight w:val="none"/>
        </w:rPr>
        <w:t>；</w:t>
      </w:r>
    </w:p>
    <w:p w14:paraId="612BAA60">
      <w:pP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6334080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注：以联合体形式参加投标的，联合体各成员应分别填写。</w:t>
      </w:r>
    </w:p>
    <w:p w14:paraId="5E23F41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以上企业，不属于大企业的分支机构，不存在控股股东为大企业的情形，也不存在与大企业的负责人为同一人的情形。</w:t>
      </w:r>
    </w:p>
    <w:p w14:paraId="2458F00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本企业对上述声明内容的真实性负责。如有虚假，将依法承担相应责任。</w:t>
      </w:r>
    </w:p>
    <w:p w14:paraId="02FC0652">
      <w:pP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企业名称（加盖电子公章）：</w:t>
      </w:r>
    </w:p>
    <w:p w14:paraId="198B34DC">
      <w:pPr>
        <w:spacing w:line="360" w:lineRule="auto"/>
        <w:ind w:firstLine="2400" w:firstLineChars="1000"/>
        <w:rPr>
          <w:rFonts w:hint="eastAsia" w:ascii="仿宋" w:hAnsi="仿宋" w:eastAsia="仿宋" w:cs="仿宋"/>
          <w:color w:val="auto"/>
          <w:spacing w:val="6"/>
          <w:sz w:val="28"/>
          <w:szCs w:val="28"/>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pacing w:val="6"/>
          <w:sz w:val="28"/>
          <w:szCs w:val="28"/>
          <w:highlight w:val="none"/>
        </w:rPr>
        <w:t xml:space="preserve">   </w:t>
      </w:r>
    </w:p>
    <w:p w14:paraId="0C7790D4">
      <w:pPr>
        <w:spacing w:line="360" w:lineRule="auto"/>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注：1、从业人员、营业收入、资产总额填报上一年度数据，无上一年度数据的新成立企业可不填报；2、供应商须核对《关于印发中小企业划型标准规定的通知》（工信部联企业〔2011〕300号）规定的中小企业划型标准，如实填写声明函。如提供虚假材料的后果自负；3、如供应商不属于小微企业则不需填写，《中小企业声明函》格式保留即可。</w:t>
      </w:r>
    </w:p>
    <w:p w14:paraId="61FBC245">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1258C62F">
      <w:pPr>
        <w:pStyle w:val="13"/>
        <w:spacing w:line="360"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sz w:val="24"/>
          <w:szCs w:val="24"/>
          <w:highlight w:val="none"/>
        </w:rPr>
        <w:t>12.</w:t>
      </w:r>
      <w:r>
        <w:rPr>
          <w:rFonts w:hint="eastAsia" w:ascii="仿宋" w:hAnsi="仿宋" w:eastAsia="仿宋" w:cs="仿宋"/>
          <w:b/>
          <w:color w:val="auto"/>
          <w:kern w:val="0"/>
          <w:sz w:val="24"/>
          <w:szCs w:val="24"/>
          <w:highlight w:val="none"/>
        </w:rPr>
        <w:t>监狱企业声明函</w:t>
      </w:r>
    </w:p>
    <w:p w14:paraId="72B7A8E0">
      <w:pPr>
        <w:pStyle w:val="13"/>
        <w:spacing w:line="360" w:lineRule="auto"/>
        <w:jc w:val="center"/>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w:t>
      </w:r>
      <w:r>
        <w:rPr>
          <w:rFonts w:hint="eastAsia" w:ascii="仿宋" w:hAnsi="仿宋" w:eastAsia="仿宋" w:cs="仿宋"/>
          <w:color w:val="auto"/>
          <w:sz w:val="24"/>
          <w:highlight w:val="none"/>
        </w:rPr>
        <w:t>不属于监狱企业的无需填写</w:t>
      </w:r>
      <w:r>
        <w:rPr>
          <w:rFonts w:hint="eastAsia" w:ascii="仿宋" w:hAnsi="仿宋" w:eastAsia="仿宋" w:cs="仿宋"/>
          <w:color w:val="auto"/>
          <w:spacing w:val="-4"/>
          <w:sz w:val="24"/>
          <w:highlight w:val="none"/>
        </w:rPr>
        <w:t>）</w:t>
      </w:r>
    </w:p>
    <w:p w14:paraId="0AD6953C">
      <w:pPr>
        <w:pStyle w:val="13"/>
        <w:spacing w:line="360" w:lineRule="auto"/>
        <w:ind w:firstLine="464" w:firstLineChars="200"/>
        <w:jc w:val="left"/>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公司郑重声明，根据《关于政府采购支持监狱企业发展有关问题的通知》 </w:t>
      </w:r>
      <w:r>
        <w:rPr>
          <w:rFonts w:hint="eastAsia" w:ascii="仿宋" w:hAnsi="仿宋" w:eastAsia="仿宋" w:cs="仿宋"/>
          <w:color w:val="auto"/>
          <w:sz w:val="24"/>
          <w:highlight w:val="none"/>
        </w:rPr>
        <w:t>（财库[2014]68</w:t>
      </w:r>
      <w:r>
        <w:rPr>
          <w:rFonts w:hint="eastAsia" w:ascii="仿宋" w:hAnsi="仿宋" w:eastAsia="仿宋" w:cs="仿宋"/>
          <w:color w:val="auto"/>
          <w:spacing w:val="-47"/>
          <w:sz w:val="24"/>
          <w:highlight w:val="none"/>
        </w:rPr>
        <w:t xml:space="preserve"> </w:t>
      </w:r>
      <w:r>
        <w:rPr>
          <w:rFonts w:hint="eastAsia" w:ascii="仿宋" w:hAnsi="仿宋" w:eastAsia="仿宋" w:cs="仿宋"/>
          <w:color w:val="auto"/>
          <w:sz w:val="24"/>
          <w:highlight w:val="none"/>
        </w:rPr>
        <w:t xml:space="preserve">号）的规定，本公司为监狱企业。 </w:t>
      </w:r>
    </w:p>
    <w:p w14:paraId="6527DC03">
      <w:pPr>
        <w:pStyle w:val="13"/>
        <w:spacing w:line="360" w:lineRule="auto"/>
        <w:ind w:firstLine="452" w:firstLineChars="200"/>
        <w:jc w:val="left"/>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根据上述标准，我公司属于监狱企业的理由为：</w:t>
      </w:r>
      <w:r>
        <w:rPr>
          <w:rFonts w:hint="eastAsia" w:ascii="仿宋" w:hAnsi="仿宋" w:eastAsia="仿宋" w:cs="仿宋"/>
          <w:color w:val="auto"/>
          <w:spacing w:val="-7"/>
          <w:sz w:val="24"/>
          <w:highlight w:val="none"/>
          <w:u w:val="single"/>
        </w:rPr>
        <w:t xml:space="preserve">                    </w:t>
      </w:r>
      <w:r>
        <w:rPr>
          <w:rFonts w:hint="eastAsia" w:ascii="仿宋" w:hAnsi="仿宋" w:eastAsia="仿宋" w:cs="仿宋"/>
          <w:color w:val="auto"/>
          <w:spacing w:val="-7"/>
          <w:sz w:val="24"/>
          <w:highlight w:val="none"/>
        </w:rPr>
        <w:t>。</w:t>
      </w:r>
    </w:p>
    <w:p w14:paraId="4530484A">
      <w:pPr>
        <w:pStyle w:val="13"/>
        <w:tabs>
          <w:tab w:val="left" w:pos="3120"/>
        </w:tabs>
        <w:spacing w:line="360" w:lineRule="auto"/>
        <w:ind w:firstLine="476" w:firstLineChars="200"/>
        <w:jc w:val="left"/>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本公司为参加</w:t>
      </w:r>
      <w:r>
        <w:rPr>
          <w:rFonts w:hint="eastAsia" w:ascii="仿宋" w:hAnsi="仿宋" w:eastAsia="仿宋" w:cs="仿宋"/>
          <w:color w:val="auto"/>
          <w:spacing w:val="-1"/>
          <w:sz w:val="24"/>
          <w:highlight w:val="none"/>
          <w:u w:val="single" w:color="000000"/>
        </w:rPr>
        <w:tab/>
      </w:r>
      <w:r>
        <w:rPr>
          <w:rFonts w:hint="eastAsia" w:ascii="仿宋" w:hAnsi="仿宋" w:eastAsia="仿宋" w:cs="仿宋"/>
          <w:color w:val="auto"/>
          <w:spacing w:val="-1"/>
          <w:sz w:val="24"/>
          <w:highlight w:val="none"/>
          <w:u w:val="single" w:color="000000"/>
        </w:rPr>
        <w:t>（项目名称）</w:t>
      </w:r>
      <w:r>
        <w:rPr>
          <w:rFonts w:hint="eastAsia" w:ascii="仿宋" w:hAnsi="仿宋" w:eastAsia="仿宋" w:cs="仿宋"/>
          <w:color w:val="auto"/>
          <w:spacing w:val="34"/>
          <w:sz w:val="24"/>
          <w:highlight w:val="none"/>
          <w:u w:val="single" w:color="000000"/>
        </w:rPr>
        <w:t xml:space="preserve"> </w:t>
      </w:r>
      <w:r>
        <w:rPr>
          <w:rFonts w:hint="eastAsia" w:ascii="仿宋" w:hAnsi="仿宋" w:eastAsia="仿宋" w:cs="仿宋"/>
          <w:color w:val="auto"/>
          <w:spacing w:val="-6"/>
          <w:sz w:val="24"/>
          <w:highlight w:val="none"/>
        </w:rPr>
        <w:t xml:space="preserve">（项目编号： </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）采购活动提供本企业</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u w:val="single" w:color="000000"/>
        </w:rPr>
        <w:t>（填写提供的服务</w:t>
      </w:r>
      <w:r>
        <w:rPr>
          <w:rFonts w:hint="eastAsia" w:ascii="仿宋" w:hAnsi="仿宋" w:eastAsia="仿宋" w:cs="仿宋"/>
          <w:color w:val="auto"/>
          <w:spacing w:val="-8"/>
          <w:sz w:val="24"/>
          <w:highlight w:val="none"/>
          <w:u w:val="single" w:color="000000"/>
        </w:rPr>
        <w:t>，由本企业承担服务）</w:t>
      </w:r>
      <w:r>
        <w:rPr>
          <w:rFonts w:hint="eastAsia" w:ascii="仿宋" w:hAnsi="仿宋" w:eastAsia="仿宋" w:cs="仿宋"/>
          <w:color w:val="auto"/>
          <w:spacing w:val="-8"/>
          <w:sz w:val="24"/>
          <w:highlight w:val="none"/>
        </w:rPr>
        <w:t>。</w:t>
      </w:r>
    </w:p>
    <w:p w14:paraId="6852199E">
      <w:pPr>
        <w:spacing w:line="360" w:lineRule="auto"/>
        <w:rPr>
          <w:rFonts w:hint="eastAsia" w:ascii="仿宋" w:hAnsi="仿宋" w:eastAsia="仿宋" w:cs="仿宋"/>
          <w:color w:val="auto"/>
          <w:sz w:val="24"/>
          <w:highlight w:val="none"/>
        </w:rPr>
      </w:pPr>
    </w:p>
    <w:p w14:paraId="30ADC154">
      <w:pPr>
        <w:pStyle w:val="13"/>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本条所称服务不包括使用大型企业注册商标的服务。 </w:t>
      </w:r>
    </w:p>
    <w:p w14:paraId="14DE81D2">
      <w:pPr>
        <w:pStyle w:val="13"/>
        <w:spacing w:line="360" w:lineRule="auto"/>
        <w:ind w:firstLine="472" w:firstLineChars="200"/>
        <w:jc w:val="left"/>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本公司对上述声明的真实性负责。如有虚假，将依法承担相应责任。</w:t>
      </w:r>
    </w:p>
    <w:p w14:paraId="372701A6">
      <w:pPr>
        <w:spacing w:line="360" w:lineRule="auto"/>
        <w:rPr>
          <w:rFonts w:hint="eastAsia" w:ascii="仿宋" w:hAnsi="仿宋" w:eastAsia="仿宋" w:cs="仿宋"/>
          <w:color w:val="auto"/>
          <w:sz w:val="24"/>
          <w:highlight w:val="none"/>
        </w:rPr>
      </w:pPr>
    </w:p>
    <w:p w14:paraId="6E770529">
      <w:pPr>
        <w:spacing w:line="360" w:lineRule="auto"/>
        <w:ind w:firstLine="2" w:firstLineChars="1"/>
        <w:rPr>
          <w:rFonts w:hint="eastAsia" w:ascii="仿宋" w:hAnsi="仿宋" w:eastAsia="仿宋" w:cs="仿宋"/>
          <w:color w:val="auto"/>
          <w:sz w:val="24"/>
          <w:szCs w:val="24"/>
          <w:highlight w:val="none"/>
        </w:rPr>
      </w:pPr>
    </w:p>
    <w:p w14:paraId="670DD726">
      <w:pPr>
        <w:spacing w:line="360" w:lineRule="auto"/>
        <w:ind w:firstLine="2" w:firstLineChars="1"/>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供应商全称（加盖电子公章）：</w:t>
      </w:r>
      <w:r>
        <w:rPr>
          <w:rFonts w:hint="eastAsia" w:ascii="仿宋" w:hAnsi="仿宋" w:eastAsia="仿宋" w:cs="仿宋"/>
          <w:color w:val="auto"/>
          <w:sz w:val="24"/>
          <w:szCs w:val="24"/>
          <w:highlight w:val="none"/>
          <w:u w:val="single"/>
        </w:rPr>
        <w:t xml:space="preserve">                </w:t>
      </w:r>
    </w:p>
    <w:p w14:paraId="1903C451">
      <w:pPr>
        <w:adjustRightInd w:val="0"/>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408F2667">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w:t>
      </w:r>
    </w:p>
    <w:p w14:paraId="4EC10220">
      <w:pPr>
        <w:spacing w:line="360" w:lineRule="auto"/>
        <w:rPr>
          <w:rFonts w:hint="eastAsia" w:ascii="仿宋" w:hAnsi="仿宋" w:eastAsia="仿宋" w:cs="仿宋"/>
          <w:color w:val="auto"/>
          <w:sz w:val="24"/>
          <w:highlight w:val="none"/>
        </w:rPr>
      </w:pPr>
    </w:p>
    <w:p w14:paraId="5D7B751E">
      <w:pPr>
        <w:spacing w:line="360" w:lineRule="auto"/>
        <w:rPr>
          <w:rFonts w:hint="eastAsia" w:ascii="仿宋" w:hAnsi="仿宋" w:eastAsia="仿宋" w:cs="仿宋"/>
          <w:color w:val="auto"/>
          <w:sz w:val="24"/>
          <w:highlight w:val="none"/>
        </w:rPr>
      </w:pPr>
    </w:p>
    <w:p w14:paraId="6448E486">
      <w:pPr>
        <w:pStyle w:val="13"/>
        <w:spacing w:line="360" w:lineRule="auto"/>
        <w:ind w:firstLine="478" w:firstLineChars="200"/>
        <w:jc w:val="left"/>
        <w:rPr>
          <w:rFonts w:hint="eastAsia" w:ascii="仿宋" w:hAnsi="仿宋" w:eastAsia="仿宋" w:cs="仿宋"/>
          <w:b/>
          <w:bCs/>
          <w:color w:val="auto"/>
          <w:spacing w:val="-1"/>
          <w:sz w:val="24"/>
          <w:highlight w:val="none"/>
        </w:rPr>
      </w:pPr>
      <w:r>
        <w:rPr>
          <w:rFonts w:hint="eastAsia" w:ascii="仿宋" w:hAnsi="仿宋" w:eastAsia="仿宋" w:cs="仿宋"/>
          <w:b/>
          <w:bCs/>
          <w:color w:val="auto"/>
          <w:spacing w:val="-1"/>
          <w:sz w:val="24"/>
          <w:highlight w:val="none"/>
        </w:rPr>
        <w:t>注：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5B73E6B5">
      <w:pPr>
        <w:pStyle w:val="13"/>
        <w:spacing w:line="360"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bCs/>
          <w:color w:val="auto"/>
          <w:spacing w:val="-1"/>
          <w:sz w:val="24"/>
          <w:highlight w:val="none"/>
        </w:rPr>
        <w:br w:type="page"/>
      </w:r>
      <w:r>
        <w:rPr>
          <w:rFonts w:hint="eastAsia" w:ascii="仿宋" w:hAnsi="仿宋" w:eastAsia="仿宋" w:cs="仿宋"/>
          <w:b/>
          <w:bCs/>
          <w:color w:val="auto"/>
          <w:spacing w:val="-1"/>
          <w:sz w:val="24"/>
          <w:szCs w:val="24"/>
          <w:highlight w:val="none"/>
        </w:rPr>
        <w:t>13.</w:t>
      </w:r>
      <w:r>
        <w:rPr>
          <w:rFonts w:hint="eastAsia" w:ascii="仿宋" w:hAnsi="仿宋" w:eastAsia="仿宋" w:cs="仿宋"/>
          <w:b/>
          <w:color w:val="auto"/>
          <w:kern w:val="0"/>
          <w:sz w:val="24"/>
          <w:szCs w:val="24"/>
          <w:highlight w:val="none"/>
        </w:rPr>
        <w:t>残疾人福利性单位声明函</w:t>
      </w:r>
    </w:p>
    <w:p w14:paraId="08669B87">
      <w:pPr>
        <w:pStyle w:val="13"/>
        <w:spacing w:line="360" w:lineRule="auto"/>
        <w:ind w:firstLine="420"/>
        <w:jc w:val="center"/>
        <w:rPr>
          <w:rFonts w:hint="eastAsia" w:ascii="仿宋" w:hAnsi="仿宋" w:eastAsia="仿宋" w:cs="仿宋"/>
          <w:color w:val="auto"/>
          <w:sz w:val="24"/>
          <w:highlight w:val="none"/>
        </w:rPr>
      </w:pPr>
      <w:bookmarkStart w:id="127" w:name="_Toc12907"/>
      <w:bookmarkStart w:id="128" w:name="_Toc20904"/>
      <w:r>
        <w:rPr>
          <w:rFonts w:hint="eastAsia" w:ascii="仿宋" w:hAnsi="仿宋" w:eastAsia="仿宋" w:cs="仿宋"/>
          <w:color w:val="auto"/>
          <w:sz w:val="24"/>
          <w:highlight w:val="none"/>
        </w:rPr>
        <w:t>（不属于残疾人福利性单位的无需填写）</w:t>
      </w:r>
      <w:bookmarkEnd w:id="127"/>
      <w:bookmarkEnd w:id="128"/>
    </w:p>
    <w:p w14:paraId="6369417D">
      <w:pPr>
        <w:pStyle w:val="13"/>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w:t>
      </w:r>
      <w:r>
        <w:rPr>
          <w:rFonts w:hint="eastAsia" w:ascii="仿宋" w:hAnsi="仿宋" w:eastAsia="仿宋" w:cs="仿宋"/>
          <w:color w:val="auto"/>
          <w:spacing w:val="-10"/>
          <w:sz w:val="24"/>
          <w:highlight w:val="none"/>
        </w:rPr>
        <w:t xml:space="preserve">的通知》（财库〔2017〕  </w:t>
      </w:r>
      <w:r>
        <w:rPr>
          <w:rFonts w:hint="eastAsia" w:ascii="仿宋" w:hAnsi="仿宋" w:eastAsia="仿宋" w:cs="仿宋"/>
          <w:color w:val="auto"/>
          <w:sz w:val="24"/>
          <w:highlight w:val="none"/>
        </w:rPr>
        <w:t>141</w:t>
      </w:r>
      <w:r>
        <w:rPr>
          <w:rFonts w:hint="eastAsia" w:ascii="仿宋" w:hAnsi="仿宋" w:eastAsia="仿宋" w:cs="仿宋"/>
          <w:color w:val="auto"/>
          <w:spacing w:val="-32"/>
          <w:sz w:val="24"/>
          <w:highlight w:val="none"/>
        </w:rPr>
        <w:t xml:space="preserve"> </w:t>
      </w:r>
      <w:r>
        <w:rPr>
          <w:rFonts w:hint="eastAsia" w:ascii="仿宋" w:hAnsi="仿宋" w:eastAsia="仿宋" w:cs="仿宋"/>
          <w:color w:val="auto"/>
          <w:sz w:val="24"/>
          <w:highlight w:val="none"/>
        </w:rPr>
        <w:t>号）的规定，本单位为符合条件的残疾人福利性单位，且本单位参加</w:t>
      </w:r>
      <w:r>
        <w:rPr>
          <w:rFonts w:hint="eastAsia" w:ascii="仿宋" w:hAnsi="仿宋" w:eastAsia="仿宋" w:cs="仿宋"/>
          <w:color w:val="auto"/>
          <w:sz w:val="24"/>
          <w:highlight w:val="none"/>
          <w:u w:val="single" w:color="000000"/>
        </w:rPr>
        <w:t xml:space="preserve"> </w:t>
      </w:r>
      <w:r>
        <w:rPr>
          <w:rFonts w:hint="eastAsia" w:ascii="仿宋" w:hAnsi="仿宋" w:eastAsia="仿宋" w:cs="仿宋"/>
          <w:color w:val="auto"/>
          <w:sz w:val="24"/>
          <w:highlight w:val="none"/>
          <w:u w:val="single" w:color="000000"/>
        </w:rPr>
        <w:tab/>
      </w:r>
      <w:r>
        <w:rPr>
          <w:rFonts w:hint="eastAsia" w:ascii="仿宋" w:hAnsi="仿宋" w:eastAsia="仿宋" w:cs="仿宋"/>
          <w:color w:val="auto"/>
          <w:sz w:val="24"/>
          <w:highlight w:val="none"/>
          <w:u w:val="single" w:color="000000"/>
        </w:rPr>
        <w:t xml:space="preserve">         </w:t>
      </w:r>
      <w:r>
        <w:rPr>
          <w:rFonts w:hint="eastAsia" w:ascii="仿宋" w:hAnsi="仿宋" w:eastAsia="仿宋" w:cs="仿宋"/>
          <w:color w:val="auto"/>
          <w:spacing w:val="-1"/>
          <w:sz w:val="24"/>
          <w:highlight w:val="none"/>
        </w:rPr>
        <w:t>单位的</w:t>
      </w:r>
      <w:r>
        <w:rPr>
          <w:rFonts w:hint="eastAsia" w:ascii="仿宋" w:hAnsi="仿宋" w:eastAsia="仿宋" w:cs="仿宋"/>
          <w:color w:val="auto"/>
          <w:spacing w:val="-1"/>
          <w:sz w:val="24"/>
          <w:highlight w:val="none"/>
          <w:u w:val="single" w:color="000000"/>
        </w:rPr>
        <w:tab/>
      </w:r>
      <w:r>
        <w:rPr>
          <w:rFonts w:hint="eastAsia" w:ascii="仿宋" w:hAnsi="仿宋" w:eastAsia="仿宋" w:cs="仿宋"/>
          <w:color w:val="auto"/>
          <w:spacing w:val="-1"/>
          <w:sz w:val="24"/>
          <w:highlight w:val="none"/>
          <w:u w:val="single" w:color="000000"/>
        </w:rPr>
        <w:t xml:space="preserve">              </w:t>
      </w:r>
      <w:r>
        <w:rPr>
          <w:rFonts w:hint="eastAsia" w:ascii="仿宋" w:hAnsi="仿宋" w:eastAsia="仿宋" w:cs="仿宋"/>
          <w:color w:val="auto"/>
          <w:spacing w:val="-4"/>
          <w:sz w:val="24"/>
          <w:highlight w:val="none"/>
        </w:rPr>
        <w:t>项目采购活动提供本单位制造的货物（由本单位承担工程/提供服务），或者提供其他残疾人福利性单位制造的货物（不包括使用非残疾人福利性单位注册商标的货物）。</w:t>
      </w:r>
    </w:p>
    <w:p w14:paraId="58024222">
      <w:pPr>
        <w:pStyle w:val="13"/>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9AFF781">
      <w:pPr>
        <w:spacing w:line="360" w:lineRule="auto"/>
        <w:rPr>
          <w:rFonts w:hint="eastAsia" w:ascii="仿宋" w:hAnsi="仿宋" w:eastAsia="仿宋" w:cs="仿宋"/>
          <w:color w:val="auto"/>
          <w:sz w:val="24"/>
          <w:highlight w:val="none"/>
        </w:rPr>
      </w:pPr>
    </w:p>
    <w:p w14:paraId="1EB6F1F2">
      <w:pPr>
        <w:pStyle w:val="13"/>
        <w:spacing w:line="360" w:lineRule="auto"/>
        <w:ind w:firstLine="420"/>
        <w:jc w:val="left"/>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注： 单独列出所供残疾人福利性单位提供的服务单价和总价。</w:t>
      </w:r>
    </w:p>
    <w:p w14:paraId="6B6CA1D6">
      <w:pPr>
        <w:pStyle w:val="13"/>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（若投标文件中无上述材料，则在评审时不考虑对该小、微企业的相关优惠。）</w:t>
      </w:r>
    </w:p>
    <w:p w14:paraId="41896F2D">
      <w:pPr>
        <w:spacing w:line="360" w:lineRule="auto"/>
        <w:rPr>
          <w:rFonts w:hint="eastAsia" w:ascii="仿宋" w:hAnsi="仿宋" w:eastAsia="仿宋" w:cs="仿宋"/>
          <w:color w:val="auto"/>
          <w:sz w:val="24"/>
          <w:highlight w:val="none"/>
        </w:rPr>
      </w:pPr>
    </w:p>
    <w:p w14:paraId="507AE27F">
      <w:pPr>
        <w:spacing w:line="360" w:lineRule="auto"/>
        <w:ind w:firstLine="2" w:firstLineChars="1"/>
        <w:rPr>
          <w:rFonts w:hint="eastAsia" w:ascii="仿宋" w:hAnsi="仿宋" w:eastAsia="仿宋" w:cs="仿宋"/>
          <w:color w:val="auto"/>
          <w:sz w:val="24"/>
          <w:szCs w:val="24"/>
          <w:highlight w:val="none"/>
        </w:rPr>
      </w:pPr>
    </w:p>
    <w:p w14:paraId="154FF11D">
      <w:pPr>
        <w:spacing w:line="360" w:lineRule="auto"/>
        <w:ind w:firstLine="2" w:firstLineChars="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供应商全称（加盖电子公章）：</w:t>
      </w:r>
      <w:r>
        <w:rPr>
          <w:rFonts w:hint="eastAsia" w:ascii="仿宋" w:hAnsi="仿宋" w:eastAsia="仿宋" w:cs="仿宋"/>
          <w:color w:val="auto"/>
          <w:sz w:val="24"/>
          <w:szCs w:val="24"/>
          <w:highlight w:val="none"/>
          <w:u w:val="single"/>
        </w:rPr>
        <w:t xml:space="preserve">                </w:t>
      </w:r>
    </w:p>
    <w:p w14:paraId="36E1AA3F">
      <w:pPr>
        <w:adjustRightInd w:val="0"/>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0A4CFC05">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w:t>
      </w:r>
    </w:p>
    <w:p w14:paraId="466D0A15">
      <w:pPr>
        <w:pStyle w:val="13"/>
        <w:spacing w:line="360" w:lineRule="auto"/>
        <w:ind w:hanging="27"/>
        <w:jc w:val="left"/>
        <w:rPr>
          <w:rFonts w:hint="eastAsia" w:ascii="仿宋" w:hAnsi="仿宋" w:eastAsia="仿宋" w:cs="仿宋"/>
          <w:color w:val="auto"/>
          <w:sz w:val="24"/>
          <w:highlight w:val="none"/>
        </w:rPr>
      </w:pPr>
    </w:p>
    <w:p w14:paraId="60289F4B">
      <w:pPr>
        <w:spacing w:line="360" w:lineRule="auto"/>
        <w:rPr>
          <w:rFonts w:hint="eastAsia" w:ascii="仿宋" w:hAnsi="仿宋" w:eastAsia="仿宋" w:cs="仿宋"/>
          <w:color w:val="auto"/>
          <w:sz w:val="24"/>
          <w:highlight w:val="none"/>
        </w:rPr>
      </w:pPr>
    </w:p>
    <w:p w14:paraId="1173EE05">
      <w:pPr>
        <w:pStyle w:val="33"/>
        <w:spacing w:after="0" w:line="360" w:lineRule="auto"/>
        <w:ind w:left="0" w:leftChars="0" w:firstLine="478"/>
        <w:rPr>
          <w:rFonts w:hint="eastAsia" w:ascii="仿宋" w:hAnsi="仿宋" w:eastAsia="仿宋" w:cs="仿宋"/>
          <w:b/>
          <w:bCs/>
          <w:color w:val="auto"/>
          <w:spacing w:val="-1"/>
          <w:sz w:val="24"/>
          <w:szCs w:val="24"/>
          <w:highlight w:val="none"/>
        </w:rPr>
      </w:pPr>
      <w:r>
        <w:rPr>
          <w:rFonts w:hint="eastAsia" w:ascii="仿宋" w:hAnsi="仿宋" w:eastAsia="仿宋" w:cs="仿宋"/>
          <w:b/>
          <w:bCs/>
          <w:color w:val="auto"/>
          <w:spacing w:val="-1"/>
          <w:sz w:val="24"/>
          <w:szCs w:val="24"/>
          <w:highlight w:val="none"/>
        </w:rPr>
        <w:t>注：符合条件的残疾人福利性单位在参加政府采购活动时，应当提供本通知规定的《残疾人福利性单位声明函》，并对声明的真实性负责。招标代理机构在随中标、中标结果同时公告其《残疾人福利性单位声明函》，接受社会监督。供应商提供的《残疾人福利性单位声明函》与事实不符的，依照《政府采购法》第七十七条第一款的规定追究法律责任。</w:t>
      </w:r>
    </w:p>
    <w:p w14:paraId="277EED44">
      <w:pPr>
        <w:pStyle w:val="2"/>
        <w:spacing w:line="360" w:lineRule="auto"/>
        <w:rPr>
          <w:rFonts w:hint="eastAsia" w:ascii="仿宋" w:hAnsi="仿宋" w:eastAsia="仿宋" w:cs="仿宋"/>
          <w:b/>
          <w:color w:val="auto"/>
          <w:sz w:val="32"/>
          <w:szCs w:val="32"/>
          <w:highlight w:val="none"/>
        </w:rPr>
      </w:pPr>
    </w:p>
    <w:p w14:paraId="4B610D10">
      <w:pPr>
        <w:pStyle w:val="2"/>
        <w:spacing w:line="360" w:lineRule="auto"/>
        <w:rPr>
          <w:rFonts w:hint="eastAsia" w:ascii="仿宋" w:hAnsi="仿宋" w:eastAsia="仿宋" w:cs="仿宋"/>
          <w:b/>
          <w:color w:val="auto"/>
          <w:sz w:val="32"/>
          <w:szCs w:val="32"/>
          <w:highlight w:val="none"/>
        </w:rPr>
      </w:pPr>
    </w:p>
    <w:p w14:paraId="653F03F7">
      <w:pPr>
        <w:pStyle w:val="2"/>
        <w:spacing w:line="360" w:lineRule="auto"/>
        <w:rPr>
          <w:rFonts w:hint="eastAsia" w:ascii="仿宋" w:hAnsi="仿宋" w:eastAsia="仿宋" w:cs="仿宋"/>
          <w:b/>
          <w:color w:val="auto"/>
          <w:sz w:val="32"/>
          <w:szCs w:val="32"/>
          <w:highlight w:val="none"/>
        </w:rPr>
      </w:pPr>
    </w:p>
    <w:p w14:paraId="3D87FCD0">
      <w:pPr>
        <w:pStyle w:val="8"/>
        <w:tabs>
          <w:tab w:val="left" w:pos="7335"/>
        </w:tabs>
        <w:spacing w:line="360" w:lineRule="auto"/>
        <w:ind w:firstLine="0"/>
        <w:outlineLvl w:val="1"/>
        <w:rPr>
          <w:rFonts w:hint="eastAsia" w:ascii="仿宋" w:hAnsi="仿宋" w:eastAsia="仿宋" w:cs="仿宋"/>
          <w:b/>
          <w:bCs/>
          <w:color w:val="auto"/>
          <w:sz w:val="32"/>
          <w:szCs w:val="32"/>
          <w:highlight w:val="none"/>
        </w:rPr>
      </w:pPr>
    </w:p>
    <w:p w14:paraId="24FA887D">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3A52DD7B">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180788C2">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7416427B">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150157E1">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6F951B7E">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464C98EC">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03938229">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4CF50C00">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6FDA432C">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234FF3C2">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4D472E38">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3EC504E4">
      <w:pPr>
        <w:pStyle w:val="8"/>
        <w:tabs>
          <w:tab w:val="left" w:pos="7335"/>
        </w:tabs>
        <w:spacing w:line="360" w:lineRule="auto"/>
        <w:ind w:firstLine="0"/>
        <w:jc w:val="center"/>
        <w:outlineLvl w:val="1"/>
        <w:rPr>
          <w:rFonts w:hint="eastAsia" w:ascii="仿宋" w:hAnsi="仿宋" w:eastAsia="仿宋" w:cs="仿宋"/>
          <w:b/>
          <w:bCs/>
          <w:color w:val="auto"/>
          <w:sz w:val="32"/>
          <w:szCs w:val="32"/>
          <w:highlight w:val="none"/>
        </w:rPr>
      </w:pPr>
    </w:p>
    <w:p w14:paraId="275983E9">
      <w:pPr>
        <w:pStyle w:val="8"/>
        <w:tabs>
          <w:tab w:val="left" w:pos="7335"/>
        </w:tabs>
        <w:spacing w:line="360" w:lineRule="auto"/>
        <w:ind w:firstLine="0"/>
        <w:jc w:val="center"/>
        <w:outlineLvl w:val="1"/>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二、报价部分</w:t>
      </w:r>
    </w:p>
    <w:p w14:paraId="30263665">
      <w:pPr>
        <w:pStyle w:val="4"/>
        <w:spacing w:line="360" w:lineRule="auto"/>
        <w:jc w:val="center"/>
        <w:rPr>
          <w:rFonts w:hint="eastAsia" w:ascii="仿宋" w:hAnsi="仿宋" w:eastAsia="仿宋" w:cs="仿宋"/>
          <w:color w:val="auto"/>
          <w:szCs w:val="28"/>
          <w:highlight w:val="none"/>
        </w:rPr>
      </w:pPr>
    </w:p>
    <w:p w14:paraId="450195BC">
      <w:pPr>
        <w:rPr>
          <w:rFonts w:hint="eastAsia" w:ascii="仿宋" w:hAnsi="仿宋" w:eastAsia="仿宋" w:cs="仿宋"/>
          <w:color w:val="auto"/>
          <w:szCs w:val="28"/>
          <w:highlight w:val="none"/>
        </w:rPr>
      </w:pPr>
    </w:p>
    <w:p w14:paraId="68DA2D5A">
      <w:pPr>
        <w:rPr>
          <w:rFonts w:hint="eastAsia" w:ascii="仿宋" w:hAnsi="仿宋" w:eastAsia="仿宋" w:cs="仿宋"/>
          <w:color w:val="auto"/>
          <w:szCs w:val="28"/>
          <w:highlight w:val="none"/>
        </w:rPr>
      </w:pPr>
    </w:p>
    <w:p w14:paraId="150AD0A8">
      <w:pPr>
        <w:rPr>
          <w:rFonts w:hint="eastAsia" w:ascii="仿宋" w:hAnsi="仿宋" w:eastAsia="仿宋" w:cs="仿宋"/>
          <w:color w:val="auto"/>
          <w:szCs w:val="28"/>
          <w:highlight w:val="none"/>
        </w:rPr>
      </w:pPr>
    </w:p>
    <w:p w14:paraId="5AF37347">
      <w:pPr>
        <w:rPr>
          <w:rFonts w:hint="eastAsia" w:ascii="仿宋" w:hAnsi="仿宋" w:eastAsia="仿宋" w:cs="仿宋"/>
          <w:color w:val="auto"/>
          <w:szCs w:val="28"/>
          <w:highlight w:val="none"/>
        </w:rPr>
      </w:pPr>
    </w:p>
    <w:p w14:paraId="489A581D">
      <w:pPr>
        <w:rPr>
          <w:rFonts w:hint="eastAsia" w:ascii="仿宋" w:hAnsi="仿宋" w:eastAsia="仿宋" w:cs="仿宋"/>
          <w:color w:val="auto"/>
          <w:szCs w:val="28"/>
          <w:highlight w:val="none"/>
        </w:rPr>
      </w:pPr>
    </w:p>
    <w:p w14:paraId="64332AE6">
      <w:pPr>
        <w:rPr>
          <w:rFonts w:hint="eastAsia" w:ascii="仿宋" w:hAnsi="仿宋" w:eastAsia="仿宋" w:cs="仿宋"/>
          <w:color w:val="auto"/>
          <w:szCs w:val="28"/>
          <w:highlight w:val="none"/>
        </w:rPr>
      </w:pPr>
    </w:p>
    <w:p w14:paraId="1A0195A5">
      <w:pPr>
        <w:rPr>
          <w:rFonts w:hint="eastAsia" w:ascii="仿宋" w:hAnsi="仿宋" w:eastAsia="仿宋" w:cs="仿宋"/>
          <w:color w:val="auto"/>
          <w:szCs w:val="28"/>
          <w:highlight w:val="none"/>
        </w:rPr>
      </w:pPr>
    </w:p>
    <w:p w14:paraId="49D6977C">
      <w:pPr>
        <w:rPr>
          <w:rFonts w:hint="eastAsia" w:ascii="仿宋" w:hAnsi="仿宋" w:eastAsia="仿宋" w:cs="仿宋"/>
          <w:color w:val="auto"/>
          <w:szCs w:val="28"/>
          <w:highlight w:val="none"/>
        </w:rPr>
      </w:pPr>
    </w:p>
    <w:p w14:paraId="487E40E5">
      <w:pPr>
        <w:rPr>
          <w:rFonts w:hint="eastAsia" w:ascii="仿宋" w:hAnsi="仿宋" w:eastAsia="仿宋" w:cs="仿宋"/>
          <w:color w:val="auto"/>
          <w:szCs w:val="28"/>
          <w:highlight w:val="none"/>
        </w:rPr>
      </w:pPr>
    </w:p>
    <w:p w14:paraId="2E8C6AA8">
      <w:pPr>
        <w:rPr>
          <w:rFonts w:hint="eastAsia" w:ascii="仿宋" w:hAnsi="仿宋" w:eastAsia="仿宋" w:cs="仿宋"/>
          <w:color w:val="auto"/>
          <w:szCs w:val="28"/>
          <w:highlight w:val="none"/>
        </w:rPr>
      </w:pPr>
    </w:p>
    <w:p w14:paraId="5BE48439">
      <w:pPr>
        <w:rPr>
          <w:rFonts w:hint="eastAsia" w:ascii="仿宋" w:hAnsi="仿宋" w:eastAsia="仿宋" w:cs="仿宋"/>
          <w:color w:val="auto"/>
          <w:szCs w:val="28"/>
          <w:highlight w:val="none"/>
        </w:rPr>
      </w:pPr>
    </w:p>
    <w:p w14:paraId="68B16CB3">
      <w:pPr>
        <w:rPr>
          <w:rFonts w:hint="eastAsia" w:ascii="仿宋" w:hAnsi="仿宋" w:eastAsia="仿宋" w:cs="仿宋"/>
          <w:color w:val="auto"/>
          <w:szCs w:val="28"/>
          <w:highlight w:val="none"/>
        </w:rPr>
      </w:pPr>
    </w:p>
    <w:p w14:paraId="79A401BD">
      <w:pPr>
        <w:rPr>
          <w:rFonts w:hint="eastAsia" w:ascii="仿宋" w:hAnsi="仿宋" w:eastAsia="仿宋" w:cs="仿宋"/>
          <w:color w:val="auto"/>
          <w:szCs w:val="28"/>
          <w:highlight w:val="none"/>
        </w:rPr>
      </w:pPr>
    </w:p>
    <w:p w14:paraId="23E3B363">
      <w:pPr>
        <w:rPr>
          <w:rFonts w:hint="eastAsia" w:ascii="仿宋" w:hAnsi="仿宋" w:eastAsia="仿宋" w:cs="仿宋"/>
          <w:color w:val="auto"/>
          <w:szCs w:val="28"/>
          <w:highlight w:val="none"/>
        </w:rPr>
      </w:pPr>
    </w:p>
    <w:p w14:paraId="71659D07">
      <w:pPr>
        <w:rPr>
          <w:rFonts w:hint="eastAsia" w:ascii="仿宋" w:hAnsi="仿宋" w:eastAsia="仿宋" w:cs="仿宋"/>
          <w:color w:val="auto"/>
          <w:szCs w:val="28"/>
          <w:highlight w:val="none"/>
        </w:rPr>
      </w:pPr>
    </w:p>
    <w:p w14:paraId="6245FAFE">
      <w:pPr>
        <w:rPr>
          <w:rFonts w:hint="eastAsia" w:ascii="仿宋" w:hAnsi="仿宋" w:eastAsia="仿宋" w:cs="仿宋"/>
          <w:color w:val="auto"/>
          <w:szCs w:val="28"/>
          <w:highlight w:val="none"/>
        </w:rPr>
      </w:pPr>
    </w:p>
    <w:p w14:paraId="31BAE061">
      <w:pPr>
        <w:pStyle w:val="4"/>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Cs w:val="28"/>
          <w:highlight w:val="none"/>
        </w:rPr>
        <w:t xml:space="preserve"> 1.投标报价一览表</w:t>
      </w:r>
    </w:p>
    <w:p w14:paraId="693EB79C">
      <w:pPr>
        <w:pStyle w:val="2"/>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项目编号：                         </w:t>
      </w:r>
    </w:p>
    <w:p w14:paraId="2616DBBA">
      <w:pPr>
        <w:pStyle w:val="111"/>
        <w:spacing w:line="360" w:lineRule="auto"/>
        <w:ind w:left="0" w:right="23"/>
        <w:rPr>
          <w:rFonts w:hint="eastAsia" w:ascii="仿宋" w:hAnsi="仿宋" w:eastAsia="仿宋" w:cs="仿宋"/>
          <w:color w:val="auto"/>
          <w:szCs w:val="24"/>
          <w:highlight w:val="none"/>
        </w:rPr>
      </w:pPr>
    </w:p>
    <w:tbl>
      <w:tblPr>
        <w:tblStyle w:val="34"/>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14:paraId="236D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3" w:hRule="atLeast"/>
          <w:jc w:val="center"/>
        </w:trPr>
        <w:tc>
          <w:tcPr>
            <w:tcW w:w="2423" w:type="dxa"/>
            <w:vAlign w:val="center"/>
          </w:tcPr>
          <w:p w14:paraId="55F8324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433" w:type="dxa"/>
          </w:tcPr>
          <w:p w14:paraId="2DAEBBF8">
            <w:pPr>
              <w:spacing w:line="360" w:lineRule="auto"/>
              <w:rPr>
                <w:rFonts w:hint="eastAsia" w:ascii="仿宋" w:hAnsi="仿宋" w:eastAsia="仿宋" w:cs="仿宋"/>
                <w:bCs/>
                <w:color w:val="auto"/>
                <w:sz w:val="24"/>
                <w:szCs w:val="24"/>
                <w:highlight w:val="none"/>
                <w:u w:val="single"/>
              </w:rPr>
            </w:pPr>
          </w:p>
        </w:tc>
      </w:tr>
      <w:tr w14:paraId="3BEB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423" w:type="dxa"/>
            <w:vAlign w:val="center"/>
          </w:tcPr>
          <w:p w14:paraId="4A3341D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投标报价（元）</w:t>
            </w:r>
          </w:p>
        </w:tc>
        <w:tc>
          <w:tcPr>
            <w:tcW w:w="6433" w:type="dxa"/>
            <w:vAlign w:val="center"/>
          </w:tcPr>
          <w:p w14:paraId="2B717D91">
            <w:pPr>
              <w:spacing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              大写：</w:t>
            </w:r>
          </w:p>
        </w:tc>
      </w:tr>
      <w:tr w14:paraId="4CBD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vAlign w:val="center"/>
          </w:tcPr>
          <w:p w14:paraId="418AFCEF">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服务期限</w:t>
            </w:r>
          </w:p>
        </w:tc>
        <w:tc>
          <w:tcPr>
            <w:tcW w:w="6433" w:type="dxa"/>
            <w:vAlign w:val="center"/>
          </w:tcPr>
          <w:p w14:paraId="0C1640B5">
            <w:pPr>
              <w:spacing w:line="360" w:lineRule="auto"/>
              <w:rPr>
                <w:rFonts w:hint="eastAsia" w:ascii="仿宋" w:hAnsi="仿宋" w:eastAsia="仿宋" w:cs="仿宋"/>
                <w:color w:val="auto"/>
                <w:sz w:val="24"/>
                <w:szCs w:val="24"/>
                <w:highlight w:val="none"/>
              </w:rPr>
            </w:pPr>
          </w:p>
        </w:tc>
      </w:tr>
      <w:tr w14:paraId="00E61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vAlign w:val="center"/>
          </w:tcPr>
          <w:p w14:paraId="0D5267B4">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服务地点</w:t>
            </w:r>
          </w:p>
        </w:tc>
        <w:tc>
          <w:tcPr>
            <w:tcW w:w="6433" w:type="dxa"/>
            <w:vAlign w:val="center"/>
          </w:tcPr>
          <w:p w14:paraId="2D611818">
            <w:pPr>
              <w:spacing w:line="360" w:lineRule="auto"/>
              <w:rPr>
                <w:rFonts w:hint="eastAsia" w:ascii="仿宋" w:hAnsi="仿宋" w:eastAsia="仿宋" w:cs="仿宋"/>
                <w:color w:val="auto"/>
                <w:sz w:val="24"/>
                <w:szCs w:val="24"/>
                <w:highlight w:val="none"/>
              </w:rPr>
            </w:pPr>
          </w:p>
        </w:tc>
      </w:tr>
      <w:tr w14:paraId="0BD5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vAlign w:val="center"/>
          </w:tcPr>
          <w:p w14:paraId="15246DDA">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质量承诺</w:t>
            </w:r>
          </w:p>
        </w:tc>
        <w:tc>
          <w:tcPr>
            <w:tcW w:w="6433" w:type="dxa"/>
            <w:vAlign w:val="center"/>
          </w:tcPr>
          <w:p w14:paraId="3197138C">
            <w:pPr>
              <w:spacing w:line="360" w:lineRule="auto"/>
              <w:rPr>
                <w:rFonts w:hint="eastAsia" w:ascii="仿宋" w:hAnsi="仿宋" w:eastAsia="仿宋" w:cs="仿宋"/>
                <w:color w:val="auto"/>
                <w:sz w:val="24"/>
                <w:szCs w:val="24"/>
                <w:highlight w:val="none"/>
              </w:rPr>
            </w:pPr>
          </w:p>
        </w:tc>
      </w:tr>
      <w:tr w14:paraId="21B5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2423" w:type="dxa"/>
            <w:vAlign w:val="center"/>
          </w:tcPr>
          <w:p w14:paraId="1F961A66">
            <w:pPr>
              <w:pStyle w:val="18"/>
              <w:tabs>
                <w:tab w:val="left" w:pos="720"/>
                <w:tab w:val="left" w:pos="8295"/>
              </w:tabs>
              <w:spacing w:before="120" w:after="120" w:line="360" w:lineRule="auto"/>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433" w:type="dxa"/>
            <w:vAlign w:val="center"/>
          </w:tcPr>
          <w:p w14:paraId="5C7F7B9B">
            <w:pPr>
              <w:spacing w:line="360" w:lineRule="auto"/>
              <w:rPr>
                <w:rFonts w:hint="eastAsia" w:ascii="仿宋" w:hAnsi="仿宋" w:eastAsia="仿宋" w:cs="仿宋"/>
                <w:bCs/>
                <w:color w:val="auto"/>
                <w:sz w:val="24"/>
                <w:szCs w:val="24"/>
                <w:highlight w:val="none"/>
                <w:u w:val="single"/>
              </w:rPr>
            </w:pPr>
          </w:p>
        </w:tc>
      </w:tr>
      <w:tr w14:paraId="7A9C4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2423" w:type="dxa"/>
            <w:vAlign w:val="center"/>
          </w:tcPr>
          <w:p w14:paraId="54F3EB9D">
            <w:pPr>
              <w:pStyle w:val="18"/>
              <w:tabs>
                <w:tab w:val="left" w:pos="720"/>
                <w:tab w:val="left" w:pos="8295"/>
              </w:tabs>
              <w:spacing w:before="120" w:after="120" w:line="360" w:lineRule="auto"/>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6433" w:type="dxa"/>
            <w:vAlign w:val="center"/>
          </w:tcPr>
          <w:p w14:paraId="2CA2BF93">
            <w:pPr>
              <w:spacing w:line="360" w:lineRule="auto"/>
              <w:rPr>
                <w:rFonts w:hint="eastAsia" w:ascii="仿宋" w:hAnsi="仿宋" w:eastAsia="仿宋" w:cs="仿宋"/>
                <w:bCs/>
                <w:color w:val="auto"/>
                <w:sz w:val="24"/>
                <w:szCs w:val="24"/>
                <w:highlight w:val="none"/>
                <w:u w:val="single"/>
              </w:rPr>
            </w:pPr>
          </w:p>
        </w:tc>
      </w:tr>
      <w:tr w14:paraId="5DE5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vAlign w:val="center"/>
          </w:tcPr>
          <w:p w14:paraId="584BEC2F">
            <w:pPr>
              <w:pStyle w:val="18"/>
              <w:tabs>
                <w:tab w:val="left" w:pos="720"/>
                <w:tab w:val="left" w:pos="8295"/>
              </w:tabs>
              <w:spacing w:before="120" w:after="120" w:line="360" w:lineRule="auto"/>
              <w:ind w:left="0"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433" w:type="dxa"/>
            <w:vAlign w:val="center"/>
          </w:tcPr>
          <w:p w14:paraId="73B0BA3C">
            <w:pPr>
              <w:spacing w:line="360" w:lineRule="auto"/>
              <w:rPr>
                <w:rFonts w:hint="eastAsia" w:ascii="仿宋" w:hAnsi="仿宋" w:eastAsia="仿宋" w:cs="仿宋"/>
                <w:bCs/>
                <w:color w:val="auto"/>
                <w:sz w:val="24"/>
                <w:szCs w:val="24"/>
                <w:highlight w:val="none"/>
                <w:u w:val="single"/>
              </w:rPr>
            </w:pPr>
          </w:p>
        </w:tc>
      </w:tr>
    </w:tbl>
    <w:p w14:paraId="4BDD75A5">
      <w:pPr>
        <w:pStyle w:val="111"/>
        <w:spacing w:line="360" w:lineRule="auto"/>
        <w:ind w:left="0" w:right="23"/>
        <w:rPr>
          <w:rFonts w:hint="eastAsia" w:ascii="仿宋" w:hAnsi="仿宋" w:eastAsia="仿宋" w:cs="仿宋"/>
          <w:color w:val="auto"/>
          <w:szCs w:val="24"/>
          <w:highlight w:val="none"/>
        </w:rPr>
      </w:pPr>
    </w:p>
    <w:p w14:paraId="09F714B6">
      <w:pPr>
        <w:pStyle w:val="111"/>
        <w:spacing w:line="360" w:lineRule="auto"/>
        <w:ind w:left="0" w:right="0"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注：</w:t>
      </w:r>
      <w:r>
        <w:rPr>
          <w:rFonts w:hint="eastAsia" w:ascii="仿宋" w:hAnsi="仿宋" w:eastAsia="仿宋" w:cs="仿宋"/>
          <w:color w:val="auto"/>
          <w:sz w:val="24"/>
          <w:highlight w:val="none"/>
        </w:rPr>
        <w:t>1.投标报价为全包价（</w:t>
      </w:r>
      <w:r>
        <w:rPr>
          <w:rFonts w:hint="eastAsia" w:ascii="仿宋" w:hAnsi="仿宋" w:eastAsia="仿宋" w:cs="仿宋"/>
          <w:color w:val="auto"/>
          <w:sz w:val="24"/>
          <w:highlight w:val="none"/>
          <w:lang w:eastAsia="zh-CN"/>
        </w:rPr>
        <w:t>含专家评审费、听证费、代理费、征求意见会等完成本招标项目所需的全部费用</w:t>
      </w:r>
      <w:r>
        <w:rPr>
          <w:rFonts w:hint="eastAsia" w:ascii="仿宋" w:hAnsi="仿宋" w:eastAsia="仿宋" w:cs="仿宋"/>
          <w:color w:val="auto"/>
          <w:sz w:val="24"/>
          <w:highlight w:val="none"/>
        </w:rPr>
        <w:t>），以人民币为结算单位，采购人将不再另行支付其他费用。</w:t>
      </w:r>
    </w:p>
    <w:p w14:paraId="66E22E75">
      <w:pPr>
        <w:adjustRightInd w:val="0"/>
        <w:snapToGrid w:val="0"/>
        <w:spacing w:line="360" w:lineRule="auto"/>
        <w:ind w:firstLine="720" w:firstLineChars="3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投标报价超过预算价（或最高限价）作无效标书处理。</w:t>
      </w:r>
    </w:p>
    <w:p w14:paraId="0E1D1C05">
      <w:pPr>
        <w:adjustRightInd w:val="0"/>
        <w:snapToGrid w:val="0"/>
        <w:spacing w:line="360" w:lineRule="auto"/>
        <w:ind w:firstLine="720" w:firstLineChars="3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3.报价小数点后保留2位，第三位四舍五入。</w:t>
      </w:r>
    </w:p>
    <w:p w14:paraId="0DC8934F">
      <w:pPr>
        <w:pStyle w:val="2"/>
        <w:rPr>
          <w:color w:val="auto"/>
          <w:highlight w:val="none"/>
        </w:rPr>
      </w:pPr>
    </w:p>
    <w:p w14:paraId="62C7E69C">
      <w:pPr>
        <w:rPr>
          <w:color w:val="auto"/>
          <w:highlight w:val="none"/>
        </w:rPr>
      </w:pPr>
    </w:p>
    <w:p w14:paraId="29E6CF42">
      <w:pPr>
        <w:pStyle w:val="2"/>
        <w:rPr>
          <w:color w:val="auto"/>
          <w:highlight w:val="none"/>
        </w:rPr>
      </w:pPr>
    </w:p>
    <w:p w14:paraId="16A9CFA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供应商全称（</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0B8EECE4">
      <w:pPr>
        <w:adjustRightInd w:val="0"/>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0522B069">
      <w:pPr>
        <w:spacing w:line="360" w:lineRule="auto"/>
        <w:jc w:val="left"/>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w:t>
      </w:r>
    </w:p>
    <w:p w14:paraId="1ED66DDC">
      <w:pP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p>
    <w:p w14:paraId="23414FDD">
      <w:pPr>
        <w:rPr>
          <w:rFonts w:hint="eastAsia" w:ascii="仿宋" w:hAnsi="仿宋" w:eastAsia="仿宋" w:cs="仿宋"/>
          <w:b/>
          <w:bCs/>
          <w:color w:val="auto"/>
          <w:kern w:val="0"/>
          <w:sz w:val="28"/>
          <w:szCs w:val="28"/>
          <w:highlight w:val="none"/>
        </w:rPr>
      </w:pPr>
    </w:p>
    <w:p w14:paraId="1BA19AF1">
      <w:pPr>
        <w:pStyle w:val="4"/>
        <w:spacing w:line="360" w:lineRule="auto"/>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2.分项报价表</w:t>
      </w:r>
    </w:p>
    <w:p w14:paraId="21C1D83C">
      <w:pPr>
        <w:pStyle w:val="111"/>
        <w:spacing w:line="360" w:lineRule="auto"/>
        <w:ind w:right="23" w:firstLine="480" w:firstLineChars="20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（此部分格式自拟，供应商根据自身情况，详细编写分项报价表，列明各项费用的具体组成及费用明细。）</w:t>
      </w:r>
    </w:p>
    <w:p w14:paraId="2491309E">
      <w:pPr>
        <w:spacing w:line="440" w:lineRule="exact"/>
        <w:jc w:val="left"/>
        <w:rPr>
          <w:rFonts w:hint="eastAsia" w:ascii="楷体" w:hAnsi="楷体" w:eastAsia="楷体" w:cs="楷体"/>
          <w:color w:val="auto"/>
          <w:szCs w:val="21"/>
          <w:highlight w:val="none"/>
        </w:rPr>
      </w:pPr>
    </w:p>
    <w:p w14:paraId="7102E76D">
      <w:pPr>
        <w:spacing w:line="440" w:lineRule="exact"/>
        <w:jc w:val="center"/>
        <w:rPr>
          <w:rFonts w:hint="eastAsia" w:ascii="楷体" w:hAnsi="楷体" w:eastAsia="楷体" w:cs="楷体"/>
          <w:color w:val="auto"/>
          <w:szCs w:val="21"/>
          <w:highlight w:val="none"/>
        </w:rPr>
      </w:pPr>
    </w:p>
    <w:p w14:paraId="17752C1F">
      <w:pPr>
        <w:spacing w:line="440" w:lineRule="exact"/>
        <w:rPr>
          <w:rFonts w:hint="eastAsia" w:ascii="楷体" w:hAnsi="楷体" w:eastAsia="楷体" w:cs="楷体"/>
          <w:color w:val="auto"/>
          <w:szCs w:val="21"/>
          <w:highlight w:val="none"/>
        </w:rPr>
      </w:pPr>
    </w:p>
    <w:p w14:paraId="052A6DE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供应商全称（</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47C77CE1">
      <w:pPr>
        <w:adjustRightInd w:val="0"/>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4B0E9988">
      <w:pPr>
        <w:spacing w:line="360" w:lineRule="auto"/>
        <w:jc w:val="left"/>
        <w:rPr>
          <w:rFonts w:hint="eastAsia"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w:t>
      </w:r>
    </w:p>
    <w:p w14:paraId="0A24CF6D">
      <w:pPr>
        <w:rPr>
          <w:rFonts w:hint="eastAsia" w:ascii="楷体" w:hAnsi="楷体" w:eastAsia="楷体" w:cs="楷体"/>
          <w:color w:val="auto"/>
          <w:szCs w:val="21"/>
          <w:highlight w:val="none"/>
        </w:rPr>
      </w:pPr>
    </w:p>
    <w:p w14:paraId="413633FB">
      <w:pPr>
        <w:pStyle w:val="2"/>
        <w:rPr>
          <w:color w:val="auto"/>
          <w:highlight w:val="none"/>
        </w:rPr>
      </w:pPr>
    </w:p>
    <w:p w14:paraId="5775048A">
      <w:pPr>
        <w:pStyle w:val="111"/>
        <w:spacing w:line="360" w:lineRule="auto"/>
        <w:ind w:right="23" w:firstLine="480" w:firstLineChars="200"/>
        <w:jc w:val="center"/>
        <w:rPr>
          <w:rFonts w:hint="eastAsia" w:ascii="仿宋" w:hAnsi="仿宋" w:eastAsia="仿宋" w:cs="仿宋"/>
          <w:color w:val="auto"/>
          <w:sz w:val="24"/>
          <w:highlight w:val="none"/>
        </w:rPr>
      </w:pPr>
    </w:p>
    <w:p w14:paraId="3F3C129A">
      <w:pPr>
        <w:jc w:val="center"/>
        <w:rPr>
          <w:rFonts w:hint="eastAsia" w:ascii="仿宋" w:hAnsi="仿宋" w:eastAsia="仿宋" w:cs="仿宋"/>
          <w:b/>
          <w:bCs/>
          <w:color w:val="auto"/>
          <w:sz w:val="32"/>
          <w:szCs w:val="32"/>
          <w:highlight w:val="none"/>
        </w:rPr>
      </w:pPr>
    </w:p>
    <w:p w14:paraId="7EA26A12">
      <w:pPr>
        <w:jc w:val="center"/>
        <w:rPr>
          <w:rFonts w:hint="eastAsia" w:ascii="仿宋" w:hAnsi="仿宋" w:eastAsia="仿宋" w:cs="仿宋"/>
          <w:b/>
          <w:bCs/>
          <w:color w:val="auto"/>
          <w:sz w:val="32"/>
          <w:szCs w:val="32"/>
          <w:highlight w:val="none"/>
        </w:rPr>
      </w:pPr>
    </w:p>
    <w:p w14:paraId="37CC235C">
      <w:pPr>
        <w:jc w:val="center"/>
        <w:rPr>
          <w:rFonts w:hint="eastAsia" w:ascii="仿宋" w:hAnsi="仿宋" w:eastAsia="仿宋" w:cs="仿宋"/>
          <w:b/>
          <w:bCs/>
          <w:color w:val="auto"/>
          <w:sz w:val="32"/>
          <w:szCs w:val="32"/>
          <w:highlight w:val="none"/>
        </w:rPr>
      </w:pPr>
    </w:p>
    <w:p w14:paraId="2D754CC6">
      <w:pPr>
        <w:jc w:val="center"/>
        <w:rPr>
          <w:rFonts w:hint="eastAsia" w:ascii="仿宋" w:hAnsi="仿宋" w:eastAsia="仿宋" w:cs="仿宋"/>
          <w:b/>
          <w:bCs/>
          <w:color w:val="auto"/>
          <w:sz w:val="32"/>
          <w:szCs w:val="32"/>
          <w:highlight w:val="none"/>
        </w:rPr>
      </w:pPr>
    </w:p>
    <w:p w14:paraId="080F254B">
      <w:pPr>
        <w:jc w:val="center"/>
        <w:rPr>
          <w:rFonts w:hint="eastAsia" w:ascii="仿宋" w:hAnsi="仿宋" w:eastAsia="仿宋" w:cs="仿宋"/>
          <w:b/>
          <w:bCs/>
          <w:color w:val="auto"/>
          <w:sz w:val="32"/>
          <w:szCs w:val="32"/>
          <w:highlight w:val="none"/>
        </w:rPr>
      </w:pPr>
    </w:p>
    <w:p w14:paraId="48166E29">
      <w:pPr>
        <w:jc w:val="center"/>
        <w:rPr>
          <w:rFonts w:hint="eastAsia" w:ascii="仿宋" w:hAnsi="仿宋" w:eastAsia="仿宋" w:cs="仿宋"/>
          <w:b/>
          <w:bCs/>
          <w:color w:val="auto"/>
          <w:sz w:val="32"/>
          <w:szCs w:val="32"/>
          <w:highlight w:val="none"/>
        </w:rPr>
      </w:pPr>
    </w:p>
    <w:p w14:paraId="1F8CF26A">
      <w:pPr>
        <w:pStyle w:val="2"/>
        <w:rPr>
          <w:rFonts w:hint="eastAsia" w:ascii="仿宋" w:hAnsi="仿宋" w:eastAsia="仿宋" w:cs="仿宋"/>
          <w:b/>
          <w:bCs/>
          <w:color w:val="auto"/>
          <w:sz w:val="32"/>
          <w:szCs w:val="32"/>
          <w:highlight w:val="none"/>
        </w:rPr>
      </w:pPr>
    </w:p>
    <w:p w14:paraId="7D3C85F9">
      <w:pPr>
        <w:rPr>
          <w:rFonts w:hint="eastAsia" w:ascii="仿宋" w:hAnsi="仿宋" w:eastAsia="仿宋" w:cs="仿宋"/>
          <w:b/>
          <w:bCs/>
          <w:color w:val="auto"/>
          <w:sz w:val="32"/>
          <w:szCs w:val="32"/>
          <w:highlight w:val="none"/>
        </w:rPr>
      </w:pPr>
    </w:p>
    <w:p w14:paraId="15ECADE0">
      <w:pPr>
        <w:pStyle w:val="2"/>
        <w:rPr>
          <w:rFonts w:hint="eastAsia" w:ascii="仿宋" w:hAnsi="仿宋" w:eastAsia="仿宋" w:cs="仿宋"/>
          <w:b/>
          <w:bCs/>
          <w:color w:val="auto"/>
          <w:sz w:val="32"/>
          <w:szCs w:val="32"/>
          <w:highlight w:val="none"/>
        </w:rPr>
      </w:pPr>
    </w:p>
    <w:p w14:paraId="33D72D23">
      <w:pPr>
        <w:rPr>
          <w:rFonts w:hint="eastAsia" w:ascii="仿宋" w:hAnsi="仿宋" w:eastAsia="仿宋" w:cs="仿宋"/>
          <w:b/>
          <w:bCs/>
          <w:color w:val="auto"/>
          <w:sz w:val="32"/>
          <w:szCs w:val="32"/>
          <w:highlight w:val="none"/>
        </w:rPr>
      </w:pPr>
    </w:p>
    <w:p w14:paraId="60EB6B7C">
      <w:pPr>
        <w:pStyle w:val="2"/>
        <w:rPr>
          <w:rFonts w:hint="eastAsia" w:ascii="仿宋" w:hAnsi="仿宋" w:eastAsia="仿宋" w:cs="仿宋"/>
          <w:b/>
          <w:bCs/>
          <w:color w:val="auto"/>
          <w:sz w:val="32"/>
          <w:szCs w:val="32"/>
          <w:highlight w:val="none"/>
        </w:rPr>
      </w:pPr>
    </w:p>
    <w:p w14:paraId="428750BC">
      <w:pPr>
        <w:rPr>
          <w:rFonts w:hint="eastAsia" w:ascii="仿宋" w:hAnsi="仿宋" w:eastAsia="仿宋" w:cs="仿宋"/>
          <w:b/>
          <w:bCs/>
          <w:color w:val="auto"/>
          <w:sz w:val="32"/>
          <w:szCs w:val="32"/>
          <w:highlight w:val="none"/>
        </w:rPr>
      </w:pPr>
    </w:p>
    <w:p w14:paraId="5C310A39">
      <w:pPr>
        <w:pStyle w:val="2"/>
        <w:rPr>
          <w:rFonts w:hint="eastAsia" w:ascii="仿宋" w:hAnsi="仿宋" w:eastAsia="仿宋" w:cs="仿宋"/>
          <w:b/>
          <w:bCs/>
          <w:color w:val="auto"/>
          <w:sz w:val="32"/>
          <w:szCs w:val="32"/>
          <w:highlight w:val="none"/>
        </w:rPr>
      </w:pPr>
    </w:p>
    <w:p w14:paraId="606202F3">
      <w:pPr>
        <w:rPr>
          <w:rFonts w:hint="eastAsia" w:ascii="仿宋" w:hAnsi="仿宋" w:eastAsia="仿宋" w:cs="仿宋"/>
          <w:b/>
          <w:bCs/>
          <w:color w:val="auto"/>
          <w:sz w:val="32"/>
          <w:szCs w:val="32"/>
          <w:highlight w:val="none"/>
        </w:rPr>
      </w:pPr>
    </w:p>
    <w:p w14:paraId="2B1800BE">
      <w:pPr>
        <w:pStyle w:val="2"/>
        <w:rPr>
          <w:rFonts w:hint="eastAsia" w:ascii="仿宋" w:hAnsi="仿宋" w:eastAsia="仿宋" w:cs="仿宋"/>
          <w:b/>
          <w:bCs/>
          <w:color w:val="auto"/>
          <w:sz w:val="32"/>
          <w:szCs w:val="32"/>
          <w:highlight w:val="none"/>
        </w:rPr>
      </w:pPr>
    </w:p>
    <w:p w14:paraId="52E1320B">
      <w:pPr>
        <w:rPr>
          <w:rFonts w:hint="eastAsia" w:ascii="仿宋" w:hAnsi="仿宋" w:eastAsia="仿宋" w:cs="仿宋"/>
          <w:b/>
          <w:bCs/>
          <w:color w:val="auto"/>
          <w:sz w:val="32"/>
          <w:szCs w:val="32"/>
          <w:highlight w:val="none"/>
        </w:rPr>
      </w:pPr>
    </w:p>
    <w:p w14:paraId="2449B29B">
      <w:pPr>
        <w:pStyle w:val="2"/>
        <w:rPr>
          <w:rFonts w:hint="eastAsia" w:ascii="仿宋" w:hAnsi="仿宋" w:eastAsia="仿宋" w:cs="仿宋"/>
          <w:b/>
          <w:bCs/>
          <w:color w:val="auto"/>
          <w:sz w:val="32"/>
          <w:szCs w:val="32"/>
          <w:highlight w:val="none"/>
        </w:rPr>
      </w:pPr>
    </w:p>
    <w:p w14:paraId="3A559949">
      <w:pPr>
        <w:rPr>
          <w:rFonts w:hint="eastAsia" w:ascii="仿宋" w:hAnsi="仿宋" w:eastAsia="仿宋" w:cs="仿宋"/>
          <w:b/>
          <w:bCs/>
          <w:color w:val="auto"/>
          <w:sz w:val="32"/>
          <w:szCs w:val="32"/>
          <w:highlight w:val="none"/>
        </w:rPr>
      </w:pPr>
    </w:p>
    <w:p w14:paraId="00E6491C">
      <w:pPr>
        <w:pStyle w:val="2"/>
        <w:rPr>
          <w:rFonts w:hint="eastAsia" w:ascii="仿宋" w:hAnsi="仿宋" w:eastAsia="仿宋" w:cs="仿宋"/>
          <w:b/>
          <w:bCs/>
          <w:color w:val="auto"/>
          <w:sz w:val="32"/>
          <w:szCs w:val="32"/>
          <w:highlight w:val="none"/>
        </w:rPr>
      </w:pPr>
    </w:p>
    <w:p w14:paraId="1D8F6482">
      <w:pPr>
        <w:rPr>
          <w:rFonts w:hint="eastAsia" w:ascii="仿宋" w:hAnsi="仿宋" w:eastAsia="仿宋" w:cs="仿宋"/>
          <w:b/>
          <w:bCs/>
          <w:color w:val="auto"/>
          <w:sz w:val="32"/>
          <w:szCs w:val="32"/>
          <w:highlight w:val="none"/>
        </w:rPr>
      </w:pPr>
    </w:p>
    <w:p w14:paraId="210F7E96">
      <w:pPr>
        <w:pStyle w:val="2"/>
        <w:rPr>
          <w:rFonts w:hint="eastAsia" w:ascii="仿宋" w:hAnsi="仿宋" w:eastAsia="仿宋" w:cs="仿宋"/>
          <w:b/>
          <w:bCs/>
          <w:color w:val="auto"/>
          <w:sz w:val="32"/>
          <w:szCs w:val="32"/>
          <w:highlight w:val="none"/>
        </w:rPr>
      </w:pPr>
    </w:p>
    <w:p w14:paraId="6A77F7AD">
      <w:pPr>
        <w:rPr>
          <w:rFonts w:hint="eastAsia" w:ascii="仿宋" w:hAnsi="仿宋" w:eastAsia="仿宋" w:cs="仿宋"/>
          <w:b/>
          <w:bCs/>
          <w:color w:val="auto"/>
          <w:sz w:val="32"/>
          <w:szCs w:val="32"/>
          <w:highlight w:val="none"/>
        </w:rPr>
      </w:pPr>
    </w:p>
    <w:p w14:paraId="17658C5E">
      <w:pPr>
        <w:pStyle w:val="2"/>
        <w:rPr>
          <w:rFonts w:hint="eastAsia" w:ascii="仿宋" w:hAnsi="仿宋" w:eastAsia="仿宋" w:cs="仿宋"/>
          <w:b/>
          <w:bCs/>
          <w:color w:val="auto"/>
          <w:sz w:val="32"/>
          <w:szCs w:val="32"/>
          <w:highlight w:val="none"/>
        </w:rPr>
      </w:pPr>
    </w:p>
    <w:p w14:paraId="2DC6AC25">
      <w:pPr>
        <w:rPr>
          <w:rFonts w:hint="eastAsia" w:ascii="仿宋" w:hAnsi="仿宋" w:eastAsia="仿宋" w:cs="仿宋"/>
          <w:b/>
          <w:bCs/>
          <w:color w:val="auto"/>
          <w:sz w:val="32"/>
          <w:szCs w:val="32"/>
          <w:highlight w:val="none"/>
        </w:rPr>
      </w:pPr>
    </w:p>
    <w:p w14:paraId="39C6D18C">
      <w:pPr>
        <w:pStyle w:val="2"/>
        <w:rPr>
          <w:rFonts w:hint="eastAsia" w:ascii="仿宋" w:hAnsi="仿宋" w:eastAsia="仿宋" w:cs="仿宋"/>
          <w:b/>
          <w:bCs/>
          <w:color w:val="auto"/>
          <w:sz w:val="32"/>
          <w:szCs w:val="32"/>
          <w:highlight w:val="none"/>
        </w:rPr>
      </w:pPr>
    </w:p>
    <w:p w14:paraId="1B61B3FD">
      <w:pPr>
        <w:rPr>
          <w:rFonts w:hint="eastAsia" w:ascii="仿宋" w:hAnsi="仿宋" w:eastAsia="仿宋" w:cs="仿宋"/>
          <w:b/>
          <w:bCs/>
          <w:color w:val="auto"/>
          <w:sz w:val="32"/>
          <w:szCs w:val="32"/>
          <w:highlight w:val="none"/>
        </w:rPr>
      </w:pPr>
    </w:p>
    <w:p w14:paraId="0E42B95F">
      <w:pPr>
        <w:pStyle w:val="2"/>
        <w:rPr>
          <w:color w:val="auto"/>
          <w:highlight w:val="none"/>
        </w:rPr>
      </w:pPr>
    </w:p>
    <w:p w14:paraId="30CE176D">
      <w:pPr>
        <w:jc w:val="center"/>
        <w:rPr>
          <w:rFonts w:hint="eastAsia" w:ascii="仿宋" w:hAnsi="仿宋" w:eastAsia="仿宋" w:cs="仿宋"/>
          <w:b/>
          <w:bCs/>
          <w:color w:val="auto"/>
          <w:sz w:val="32"/>
          <w:szCs w:val="32"/>
          <w:highlight w:val="none"/>
        </w:rPr>
      </w:pPr>
    </w:p>
    <w:p w14:paraId="6D6586FD">
      <w:pPr>
        <w:jc w:val="center"/>
        <w:rPr>
          <w:rFonts w:hint="eastAsia" w:ascii="仿宋" w:hAnsi="仿宋" w:eastAsia="仿宋" w:cs="仿宋"/>
          <w:b/>
          <w:bCs/>
          <w:color w:val="auto"/>
          <w:sz w:val="32"/>
          <w:szCs w:val="32"/>
          <w:highlight w:val="none"/>
        </w:rPr>
      </w:pPr>
    </w:p>
    <w:p w14:paraId="6AF8824E">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三、商务技术部分</w:t>
      </w:r>
    </w:p>
    <w:p w14:paraId="5AABE7D7">
      <w:pPr>
        <w:pStyle w:val="4"/>
        <w:spacing w:line="360" w:lineRule="auto"/>
        <w:jc w:val="center"/>
        <w:rPr>
          <w:rFonts w:hint="eastAsia" w:ascii="仿宋" w:hAnsi="仿宋" w:eastAsia="仿宋" w:cs="仿宋"/>
          <w:color w:val="auto"/>
          <w:highlight w:val="none"/>
        </w:rPr>
      </w:pPr>
      <w:bookmarkStart w:id="129" w:name="_Toc393354841"/>
      <w:bookmarkStart w:id="130" w:name="_Toc486885404"/>
    </w:p>
    <w:p w14:paraId="0FEA068A">
      <w:pPr>
        <w:rPr>
          <w:rFonts w:hint="eastAsia" w:ascii="仿宋" w:hAnsi="仿宋" w:eastAsia="仿宋" w:cs="仿宋"/>
          <w:color w:val="auto"/>
          <w:highlight w:val="none"/>
        </w:rPr>
      </w:pPr>
    </w:p>
    <w:p w14:paraId="20099109">
      <w:pPr>
        <w:rPr>
          <w:rFonts w:hint="eastAsia" w:ascii="仿宋" w:hAnsi="仿宋" w:eastAsia="仿宋" w:cs="仿宋"/>
          <w:color w:val="auto"/>
          <w:highlight w:val="none"/>
        </w:rPr>
      </w:pPr>
    </w:p>
    <w:p w14:paraId="2A0DC2E3">
      <w:pPr>
        <w:rPr>
          <w:rFonts w:hint="eastAsia" w:ascii="仿宋" w:hAnsi="仿宋" w:eastAsia="仿宋" w:cs="仿宋"/>
          <w:color w:val="auto"/>
          <w:highlight w:val="none"/>
        </w:rPr>
      </w:pPr>
    </w:p>
    <w:p w14:paraId="6CFA5647">
      <w:pPr>
        <w:rPr>
          <w:rFonts w:hint="eastAsia" w:ascii="仿宋" w:hAnsi="仿宋" w:eastAsia="仿宋" w:cs="仿宋"/>
          <w:color w:val="auto"/>
          <w:highlight w:val="none"/>
        </w:rPr>
      </w:pPr>
    </w:p>
    <w:p w14:paraId="5ACCDD80">
      <w:pPr>
        <w:rPr>
          <w:rFonts w:hint="eastAsia" w:ascii="仿宋" w:hAnsi="仿宋" w:eastAsia="仿宋" w:cs="仿宋"/>
          <w:color w:val="auto"/>
          <w:highlight w:val="none"/>
        </w:rPr>
      </w:pPr>
    </w:p>
    <w:p w14:paraId="005A4D26">
      <w:pPr>
        <w:rPr>
          <w:rFonts w:hint="eastAsia" w:ascii="仿宋" w:hAnsi="仿宋" w:eastAsia="仿宋" w:cs="仿宋"/>
          <w:color w:val="auto"/>
          <w:highlight w:val="none"/>
        </w:rPr>
      </w:pPr>
    </w:p>
    <w:p w14:paraId="234E4F86">
      <w:pPr>
        <w:rPr>
          <w:rFonts w:hint="eastAsia" w:ascii="仿宋" w:hAnsi="仿宋" w:eastAsia="仿宋" w:cs="仿宋"/>
          <w:color w:val="auto"/>
          <w:highlight w:val="none"/>
        </w:rPr>
      </w:pPr>
    </w:p>
    <w:p w14:paraId="0E4D7B4F">
      <w:pPr>
        <w:rPr>
          <w:rFonts w:hint="eastAsia" w:ascii="仿宋" w:hAnsi="仿宋" w:eastAsia="仿宋" w:cs="仿宋"/>
          <w:color w:val="auto"/>
          <w:highlight w:val="none"/>
        </w:rPr>
      </w:pPr>
    </w:p>
    <w:p w14:paraId="4D804D55">
      <w:pPr>
        <w:pStyle w:val="3"/>
        <w:rPr>
          <w:rFonts w:hint="eastAsia" w:ascii="仿宋" w:hAnsi="仿宋" w:eastAsia="仿宋" w:cs="仿宋"/>
          <w:color w:val="auto"/>
          <w:highlight w:val="none"/>
        </w:rPr>
      </w:pPr>
    </w:p>
    <w:p w14:paraId="4E23823B">
      <w:pPr>
        <w:rPr>
          <w:rFonts w:hint="eastAsia" w:ascii="仿宋" w:hAnsi="仿宋" w:eastAsia="仿宋" w:cs="仿宋"/>
          <w:color w:val="auto"/>
          <w:highlight w:val="none"/>
        </w:rPr>
      </w:pPr>
    </w:p>
    <w:p w14:paraId="4347EECB">
      <w:pPr>
        <w:rPr>
          <w:rFonts w:hint="eastAsia" w:ascii="仿宋" w:hAnsi="仿宋" w:eastAsia="仿宋" w:cs="仿宋"/>
          <w:color w:val="auto"/>
          <w:highlight w:val="none"/>
        </w:rPr>
      </w:pPr>
    </w:p>
    <w:p w14:paraId="39A0C806">
      <w:pPr>
        <w:rPr>
          <w:rFonts w:hint="eastAsia" w:ascii="仿宋" w:hAnsi="仿宋" w:eastAsia="仿宋" w:cs="仿宋"/>
          <w:color w:val="auto"/>
          <w:highlight w:val="none"/>
        </w:rPr>
      </w:pPr>
    </w:p>
    <w:p w14:paraId="682665B2">
      <w:pPr>
        <w:rPr>
          <w:rFonts w:hint="eastAsia" w:ascii="仿宋" w:hAnsi="仿宋" w:eastAsia="仿宋" w:cs="仿宋"/>
          <w:color w:val="auto"/>
          <w:highlight w:val="none"/>
        </w:rPr>
      </w:pPr>
    </w:p>
    <w:p w14:paraId="24183D80">
      <w:pPr>
        <w:rPr>
          <w:rFonts w:hint="eastAsia" w:ascii="仿宋" w:hAnsi="仿宋" w:eastAsia="仿宋" w:cs="仿宋"/>
          <w:color w:val="auto"/>
          <w:highlight w:val="none"/>
        </w:rPr>
      </w:pPr>
    </w:p>
    <w:p w14:paraId="50FC1730">
      <w:pPr>
        <w:rPr>
          <w:rFonts w:hint="eastAsia" w:ascii="仿宋" w:hAnsi="仿宋" w:eastAsia="仿宋" w:cs="仿宋"/>
          <w:color w:val="auto"/>
          <w:highlight w:val="none"/>
        </w:rPr>
      </w:pPr>
    </w:p>
    <w:p w14:paraId="72127569">
      <w:pPr>
        <w:rPr>
          <w:rFonts w:hint="eastAsia" w:ascii="仿宋" w:hAnsi="仿宋" w:eastAsia="仿宋" w:cs="仿宋"/>
          <w:color w:val="auto"/>
          <w:highlight w:val="none"/>
        </w:rPr>
      </w:pPr>
    </w:p>
    <w:p w14:paraId="492F2957">
      <w:pPr>
        <w:rPr>
          <w:rFonts w:hint="eastAsia" w:ascii="仿宋" w:hAnsi="仿宋" w:eastAsia="仿宋" w:cs="仿宋"/>
          <w:color w:val="auto"/>
          <w:highlight w:val="none"/>
        </w:rPr>
      </w:pPr>
    </w:p>
    <w:p w14:paraId="3151D389">
      <w:pPr>
        <w:rPr>
          <w:rFonts w:hint="eastAsia" w:ascii="仿宋" w:hAnsi="仿宋" w:eastAsia="仿宋" w:cs="仿宋"/>
          <w:color w:val="auto"/>
          <w:highlight w:val="none"/>
        </w:rPr>
      </w:pPr>
    </w:p>
    <w:p w14:paraId="2B2CFBF3">
      <w:pPr>
        <w:rPr>
          <w:rFonts w:hint="eastAsia" w:ascii="仿宋" w:hAnsi="仿宋" w:eastAsia="仿宋" w:cs="仿宋"/>
          <w:color w:val="auto"/>
          <w:highlight w:val="none"/>
        </w:rPr>
      </w:pPr>
    </w:p>
    <w:p w14:paraId="77CA5032">
      <w:pPr>
        <w:rPr>
          <w:rFonts w:hint="eastAsia" w:ascii="仿宋" w:hAnsi="仿宋" w:eastAsia="仿宋" w:cs="仿宋"/>
          <w:color w:val="auto"/>
          <w:highlight w:val="none"/>
        </w:rPr>
      </w:pPr>
    </w:p>
    <w:p w14:paraId="277393D7">
      <w:pPr>
        <w:rPr>
          <w:rFonts w:hint="eastAsia" w:ascii="仿宋" w:hAnsi="仿宋" w:eastAsia="仿宋" w:cs="仿宋"/>
          <w:color w:val="auto"/>
          <w:highlight w:val="none"/>
        </w:rPr>
      </w:pPr>
    </w:p>
    <w:p w14:paraId="17FB5462">
      <w:pPr>
        <w:rPr>
          <w:rFonts w:hint="eastAsia" w:ascii="仿宋" w:hAnsi="仿宋" w:eastAsia="仿宋" w:cs="仿宋"/>
          <w:color w:val="auto"/>
          <w:highlight w:val="none"/>
        </w:rPr>
      </w:pPr>
    </w:p>
    <w:p w14:paraId="1FE0ECB3">
      <w:pPr>
        <w:rPr>
          <w:rFonts w:hint="eastAsia" w:ascii="仿宋" w:hAnsi="仿宋" w:eastAsia="仿宋" w:cs="仿宋"/>
          <w:color w:val="auto"/>
          <w:highlight w:val="none"/>
        </w:rPr>
      </w:pPr>
    </w:p>
    <w:p w14:paraId="12E5523E">
      <w:pPr>
        <w:rPr>
          <w:rFonts w:hint="eastAsia" w:ascii="仿宋" w:hAnsi="仿宋" w:eastAsia="仿宋" w:cs="仿宋"/>
          <w:color w:val="auto"/>
          <w:highlight w:val="none"/>
        </w:rPr>
      </w:pPr>
    </w:p>
    <w:p w14:paraId="0290C561">
      <w:pPr>
        <w:rPr>
          <w:rFonts w:hint="eastAsia" w:ascii="仿宋" w:hAnsi="仿宋" w:eastAsia="仿宋" w:cs="仿宋"/>
          <w:color w:val="auto"/>
          <w:highlight w:val="none"/>
        </w:rPr>
      </w:pPr>
    </w:p>
    <w:p w14:paraId="06F0DE34">
      <w:pPr>
        <w:rPr>
          <w:rFonts w:hint="eastAsia" w:ascii="仿宋" w:hAnsi="仿宋" w:eastAsia="仿宋" w:cs="仿宋"/>
          <w:color w:val="auto"/>
          <w:highlight w:val="none"/>
        </w:rPr>
      </w:pPr>
    </w:p>
    <w:p w14:paraId="61891AB4">
      <w:pPr>
        <w:pStyle w:val="4"/>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1.投标函</w:t>
      </w:r>
      <w:bookmarkEnd w:id="129"/>
      <w:bookmarkEnd w:id="130"/>
    </w:p>
    <w:p w14:paraId="63D2437F">
      <w:pPr>
        <w:pStyle w:val="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（采购人、采购代理机构）</w:t>
      </w:r>
    </w:p>
    <w:p w14:paraId="1474411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1、我方仔细研究了</w:t>
      </w:r>
      <w:r>
        <w:rPr>
          <w:rFonts w:hint="eastAsia" w:ascii="仿宋" w:hAnsi="仿宋" w:eastAsia="仿宋" w:cs="仿宋"/>
          <w:color w:val="auto"/>
          <w:sz w:val="24"/>
          <w:highlight w:val="none"/>
          <w:u w:val="single"/>
        </w:rPr>
        <w:t>（采购项目名称）（项目编号：）</w:t>
      </w:r>
      <w:r>
        <w:rPr>
          <w:rFonts w:hint="eastAsia" w:ascii="仿宋" w:hAnsi="仿宋" w:eastAsia="仿宋" w:cs="仿宋"/>
          <w:color w:val="auto"/>
          <w:sz w:val="24"/>
          <w:highlight w:val="none"/>
        </w:rPr>
        <w:t>项目采购文件的全部内容，</w:t>
      </w:r>
      <w:r>
        <w:rPr>
          <w:rFonts w:hint="eastAsia" w:ascii="仿宋" w:hAnsi="仿宋" w:eastAsia="仿宋" w:cs="仿宋"/>
          <w:color w:val="auto"/>
          <w:kern w:val="0"/>
          <w:sz w:val="24"/>
          <w:highlight w:val="none"/>
        </w:rPr>
        <w:t>愿意以人民币</w:t>
      </w:r>
      <w:r>
        <w:rPr>
          <w:rFonts w:hint="eastAsia" w:ascii="仿宋" w:hAnsi="仿宋" w:eastAsia="仿宋" w:cs="仿宋"/>
          <w:color w:val="auto"/>
          <w:kern w:val="0"/>
          <w:sz w:val="24"/>
          <w:highlight w:val="none"/>
          <w:u w:val="single"/>
        </w:rPr>
        <w:t>（大写）（￥）</w:t>
      </w:r>
      <w:r>
        <w:rPr>
          <w:rFonts w:hint="eastAsia" w:ascii="仿宋" w:hAnsi="仿宋" w:eastAsia="仿宋" w:cs="仿宋"/>
          <w:color w:val="auto"/>
          <w:kern w:val="0"/>
          <w:sz w:val="24"/>
          <w:highlight w:val="none"/>
        </w:rPr>
        <w:t>的投标总报价</w:t>
      </w:r>
      <w:r>
        <w:rPr>
          <w:rFonts w:hint="eastAsia" w:ascii="仿宋" w:hAnsi="仿宋" w:eastAsia="仿宋" w:cs="仿宋"/>
          <w:color w:val="auto"/>
          <w:sz w:val="24"/>
          <w:highlight w:val="none"/>
        </w:rPr>
        <w:t>，按合同约定实施和完成。</w:t>
      </w:r>
    </w:p>
    <w:p w14:paraId="4AF11286">
      <w:pPr>
        <w:pStyle w:val="2"/>
        <w:spacing w:line="360" w:lineRule="auto"/>
        <w:ind w:firstLine="420"/>
        <w:rPr>
          <w:rFonts w:hint="eastAsia" w:ascii="仿宋" w:hAnsi="仿宋" w:eastAsia="仿宋" w:cs="仿宋"/>
          <w:color w:val="auto"/>
          <w:spacing w:val="-10"/>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pacing w:val="-10"/>
          <w:sz w:val="24"/>
          <w:szCs w:val="24"/>
          <w:highlight w:val="none"/>
        </w:rPr>
        <w:t>我方已详细审查全部采购文件，包括</w:t>
      </w:r>
      <w:r>
        <w:rPr>
          <w:rFonts w:hint="eastAsia" w:ascii="仿宋" w:hAnsi="仿宋" w:eastAsia="仿宋" w:cs="仿宋"/>
          <w:i/>
          <w:color w:val="auto"/>
          <w:spacing w:val="-10"/>
          <w:sz w:val="24"/>
          <w:szCs w:val="24"/>
          <w:highlight w:val="none"/>
          <w:u w:val="single"/>
        </w:rPr>
        <w:t>（</w:t>
      </w:r>
      <w:r>
        <w:rPr>
          <w:rFonts w:hint="eastAsia" w:ascii="仿宋" w:hAnsi="仿宋" w:eastAsia="仿宋" w:cs="仿宋"/>
          <w:color w:val="auto"/>
          <w:spacing w:val="-10"/>
          <w:sz w:val="24"/>
          <w:szCs w:val="24"/>
          <w:highlight w:val="none"/>
          <w:u w:val="single"/>
        </w:rPr>
        <w:t>澄清文件）(如有)</w:t>
      </w:r>
      <w:r>
        <w:rPr>
          <w:rFonts w:hint="eastAsia" w:ascii="仿宋" w:hAnsi="仿宋" w:eastAsia="仿宋" w:cs="仿宋"/>
          <w:color w:val="auto"/>
          <w:spacing w:val="-10"/>
          <w:sz w:val="24"/>
          <w:szCs w:val="24"/>
          <w:highlight w:val="none"/>
        </w:rPr>
        <w:t>。我方完全理解相关文件要求，并承担对这方面有不明及误解的后果，</w:t>
      </w:r>
      <w:r>
        <w:rPr>
          <w:rFonts w:hint="eastAsia" w:ascii="仿宋" w:hAnsi="仿宋" w:eastAsia="仿宋" w:cs="仿宋"/>
          <w:color w:val="auto"/>
          <w:sz w:val="24"/>
          <w:szCs w:val="24"/>
          <w:highlight w:val="none"/>
        </w:rPr>
        <w:t>遵守国家有关法律、法规和规章</w:t>
      </w:r>
      <w:r>
        <w:rPr>
          <w:rFonts w:hint="eastAsia" w:ascii="仿宋" w:hAnsi="仿宋" w:eastAsia="仿宋" w:cs="仿宋"/>
          <w:color w:val="auto"/>
          <w:spacing w:val="-10"/>
          <w:sz w:val="24"/>
          <w:szCs w:val="24"/>
          <w:highlight w:val="none"/>
        </w:rPr>
        <w:t>。</w:t>
      </w:r>
    </w:p>
    <w:p w14:paraId="1D60875B">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3、同意供应商须知中关于没收投标保证金的规定。</w:t>
      </w:r>
    </w:p>
    <w:p w14:paraId="1B357E62">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4、同意应贵方要求提供与本投标有关的任何数据或资料，并保证数据和资料的完整性和真实性。</w:t>
      </w:r>
    </w:p>
    <w:p w14:paraId="6E3E44A6">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5、我们郑重声明：我们符合政府采购法规定的参加采购活动应当具备的条件：具有健全的财务会计制度、依法缴纳税收和社会保障资金、参加本次采购活动之前的三年内在经营活动中无重大违法活动。</w:t>
      </w:r>
    </w:p>
    <w:p w14:paraId="65DC8658">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581AC97D">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7、完全理解贵方不一定要接受最低报价的供应商为中标人的行为。</w:t>
      </w:r>
    </w:p>
    <w:p w14:paraId="16B0B35A">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8、如我方中标：</w:t>
      </w:r>
    </w:p>
    <w:p w14:paraId="13DD4F9A">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（1）我方承诺在收到中标通知书后，在中标通知书规定的期限内与你方签订合同，并履行相应的合同责任和义务。</w:t>
      </w:r>
    </w:p>
    <w:p w14:paraId="2C437A7F">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（2）我方承诺按照采购文件规定向你方递交履约担保。</w:t>
      </w:r>
    </w:p>
    <w:p w14:paraId="33BF32C7">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（3）我方承诺将承担相应技术服务。</w:t>
      </w:r>
    </w:p>
    <w:p w14:paraId="490BD190">
      <w:pPr>
        <w:pStyle w:val="2"/>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9、我方在此声明，所递交的投标文件及有关资料内容完整、真实和准确。</w:t>
      </w:r>
    </w:p>
    <w:p w14:paraId="65734FE9">
      <w:pPr>
        <w:pStyle w:val="2"/>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14:paraId="13CD8C3E">
      <w:pPr>
        <w:pStyle w:val="2"/>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10、投标有效期为投标截止之日起90日历天。</w:t>
      </w:r>
    </w:p>
    <w:p w14:paraId="4F89DDE5">
      <w:pPr>
        <w:pStyle w:val="2"/>
        <w:spacing w:line="360" w:lineRule="auto"/>
        <w:ind w:firstLine="420"/>
        <w:rPr>
          <w:rFonts w:hint="eastAsia" w:ascii="仿宋" w:hAnsi="仿宋" w:eastAsia="仿宋" w:cs="仿宋"/>
          <w:color w:val="auto"/>
          <w:sz w:val="24"/>
          <w:szCs w:val="24"/>
          <w:highlight w:val="none"/>
        </w:rPr>
      </w:pPr>
    </w:p>
    <w:p w14:paraId="77127CF2">
      <w:pPr>
        <w:spacing w:line="360" w:lineRule="auto"/>
        <w:ind w:firstLine="1800" w:firstLineChars="750"/>
        <w:jc w:val="left"/>
        <w:rPr>
          <w:rFonts w:hint="eastAsia" w:ascii="仿宋" w:hAnsi="仿宋" w:eastAsia="仿宋" w:cs="仿宋"/>
          <w:color w:val="auto"/>
          <w:sz w:val="24"/>
          <w:highlight w:val="none"/>
        </w:rPr>
      </w:pPr>
    </w:p>
    <w:p w14:paraId="1B503931">
      <w:pPr>
        <w:spacing w:line="360" w:lineRule="auto"/>
        <w:ind w:firstLine="1800" w:firstLineChars="750"/>
        <w:jc w:val="left"/>
        <w:rPr>
          <w:rFonts w:hint="eastAsia" w:ascii="仿宋" w:hAnsi="仿宋" w:eastAsia="仿宋" w:cs="仿宋"/>
          <w:color w:val="auto"/>
          <w:sz w:val="24"/>
          <w:highlight w:val="none"/>
        </w:rPr>
      </w:pPr>
    </w:p>
    <w:p w14:paraId="6FAEC837">
      <w:pPr>
        <w:spacing w:line="360" w:lineRule="auto"/>
        <w:jc w:val="left"/>
        <w:rPr>
          <w:rFonts w:hint="eastAsia" w:ascii="仿宋" w:hAnsi="仿宋" w:eastAsia="仿宋" w:cs="仿宋"/>
          <w:color w:val="auto"/>
          <w:sz w:val="24"/>
          <w:szCs w:val="24"/>
          <w:highlight w:val="none"/>
        </w:rPr>
      </w:pPr>
    </w:p>
    <w:p w14:paraId="1F43E7C2">
      <w:pPr>
        <w:spacing w:line="360" w:lineRule="auto"/>
        <w:jc w:val="left"/>
        <w:rPr>
          <w:rFonts w:hint="eastAsia" w:ascii="仿宋" w:hAnsi="仿宋" w:eastAsia="仿宋" w:cs="仿宋"/>
          <w:color w:val="auto"/>
          <w:sz w:val="24"/>
          <w:szCs w:val="24"/>
          <w:highlight w:val="none"/>
        </w:rPr>
      </w:pPr>
    </w:p>
    <w:p w14:paraId="0B1EC809">
      <w:pPr>
        <w:spacing w:line="360" w:lineRule="auto"/>
        <w:jc w:val="left"/>
        <w:rPr>
          <w:rFonts w:hint="eastAsia" w:ascii="仿宋" w:hAnsi="仿宋" w:eastAsia="仿宋" w:cs="仿宋"/>
          <w:color w:val="auto"/>
          <w:sz w:val="24"/>
          <w:szCs w:val="24"/>
          <w:highlight w:val="none"/>
        </w:rPr>
      </w:pPr>
    </w:p>
    <w:p w14:paraId="36ECAA7B">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供应商全称（加盖电子公章）：</w:t>
      </w:r>
      <w:r>
        <w:rPr>
          <w:rFonts w:hint="eastAsia" w:ascii="仿宋" w:hAnsi="仿宋" w:eastAsia="仿宋" w:cs="仿宋"/>
          <w:color w:val="auto"/>
          <w:sz w:val="24"/>
          <w:szCs w:val="24"/>
          <w:highlight w:val="none"/>
          <w:u w:val="single"/>
        </w:rPr>
        <w:t xml:space="preserve">            </w:t>
      </w:r>
    </w:p>
    <w:p w14:paraId="305506C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aps/>
          <w:color w:val="auto"/>
          <w:sz w:val="24"/>
          <w:szCs w:val="24"/>
          <w:highlight w:val="none"/>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48F1CED1">
      <w:pPr>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p>
    <w:p w14:paraId="7F980F8C">
      <w:pPr>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p w14:paraId="07997615">
      <w:pPr>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14:paraId="2553BFCC">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w:t>
      </w:r>
    </w:p>
    <w:p w14:paraId="18F1C97B">
      <w:pPr>
        <w:pStyle w:val="4"/>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sz w:val="24"/>
          <w:szCs w:val="24"/>
          <w:highlight w:val="none"/>
        </w:rPr>
        <w:br w:type="page"/>
      </w:r>
    </w:p>
    <w:p w14:paraId="0ECB3B65">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2.法定代表人身份证明书及法定代表人授权书</w:t>
      </w:r>
    </w:p>
    <w:p w14:paraId="25B23EA6">
      <w:pPr>
        <w:spacing w:line="360" w:lineRule="auto"/>
        <w:rPr>
          <w:rFonts w:hint="eastAsia" w:ascii="仿宋" w:hAnsi="仿宋" w:eastAsia="仿宋" w:cs="仿宋"/>
          <w:color w:val="auto"/>
          <w:sz w:val="24"/>
          <w:szCs w:val="24"/>
          <w:highlight w:val="none"/>
        </w:rPr>
      </w:pPr>
    </w:p>
    <w:p w14:paraId="421A3F8B">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（一）法定代表人身份证明书</w:t>
      </w:r>
    </w:p>
    <w:p w14:paraId="04049E27">
      <w:pPr>
        <w:spacing w:line="360" w:lineRule="auto"/>
        <w:rPr>
          <w:rFonts w:hint="eastAsia" w:ascii="仿宋" w:hAnsi="仿宋" w:eastAsia="仿宋" w:cs="仿宋"/>
          <w:color w:val="auto"/>
          <w:sz w:val="24"/>
          <w:szCs w:val="24"/>
          <w:highlight w:val="none"/>
        </w:rPr>
      </w:pPr>
    </w:p>
    <w:p w14:paraId="4033EBC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p>
    <w:p w14:paraId="22E9E2B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p>
    <w:p w14:paraId="01AAD4F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1B86C0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B145AA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p>
    <w:p w14:paraId="06E58B1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职务：</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p>
    <w:p w14:paraId="2F149DA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（供应商名称）  </w:t>
      </w:r>
      <w:r>
        <w:rPr>
          <w:rFonts w:hint="eastAsia" w:ascii="仿宋" w:hAnsi="仿宋" w:eastAsia="仿宋" w:cs="仿宋"/>
          <w:color w:val="auto"/>
          <w:sz w:val="24"/>
          <w:szCs w:val="24"/>
          <w:highlight w:val="none"/>
        </w:rPr>
        <w:t>的法定代表人。</w:t>
      </w:r>
    </w:p>
    <w:p w14:paraId="44F2173E">
      <w:pPr>
        <w:spacing w:line="360" w:lineRule="auto"/>
        <w:rPr>
          <w:rFonts w:hint="eastAsia" w:ascii="仿宋" w:hAnsi="仿宋" w:eastAsia="仿宋" w:cs="仿宋"/>
          <w:color w:val="auto"/>
          <w:sz w:val="24"/>
          <w:szCs w:val="24"/>
          <w:highlight w:val="none"/>
        </w:rPr>
      </w:pPr>
    </w:p>
    <w:p w14:paraId="1672891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430293A5">
      <w:pPr>
        <w:tabs>
          <w:tab w:val="left" w:pos="720"/>
          <w:tab w:val="left" w:pos="900"/>
        </w:tabs>
        <w:spacing w:line="360" w:lineRule="auto"/>
        <w:ind w:firstLine="480" w:firstLineChars="200"/>
        <w:rPr>
          <w:rFonts w:hint="eastAsia" w:ascii="仿宋" w:hAnsi="仿宋" w:eastAsia="仿宋" w:cs="仿宋"/>
          <w:color w:val="auto"/>
          <w:sz w:val="24"/>
          <w:szCs w:val="24"/>
          <w:highlight w:val="none"/>
        </w:rPr>
      </w:pPr>
    </w:p>
    <w:p w14:paraId="54E6FBAE">
      <w:pPr>
        <w:tabs>
          <w:tab w:val="left" w:pos="720"/>
          <w:tab w:val="left" w:pos="90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附法定代表人身份证复印件</w:t>
      </w:r>
    </w:p>
    <w:p w14:paraId="3C521AC7">
      <w:pPr>
        <w:tabs>
          <w:tab w:val="left" w:pos="720"/>
          <w:tab w:val="left" w:pos="900"/>
        </w:tabs>
        <w:spacing w:line="360" w:lineRule="auto"/>
        <w:rPr>
          <w:rFonts w:hint="eastAsia" w:ascii="仿宋" w:hAnsi="仿宋" w:eastAsia="仿宋" w:cs="仿宋"/>
          <w:color w:val="auto"/>
          <w:sz w:val="24"/>
          <w:szCs w:val="24"/>
          <w:highlight w:val="none"/>
        </w:rPr>
      </w:pPr>
    </w:p>
    <w:p w14:paraId="34DA1298">
      <w:pPr>
        <w:tabs>
          <w:tab w:val="left" w:pos="720"/>
          <w:tab w:val="left" w:pos="900"/>
        </w:tabs>
        <w:spacing w:line="360" w:lineRule="auto"/>
        <w:rPr>
          <w:rFonts w:hint="eastAsia" w:ascii="仿宋" w:hAnsi="仿宋" w:eastAsia="仿宋" w:cs="仿宋"/>
          <w:color w:val="auto"/>
          <w:sz w:val="24"/>
          <w:szCs w:val="24"/>
          <w:highlight w:val="none"/>
        </w:rPr>
      </w:pPr>
    </w:p>
    <w:p w14:paraId="2D0823F1">
      <w:pPr>
        <w:tabs>
          <w:tab w:val="left" w:pos="720"/>
          <w:tab w:val="left" w:pos="900"/>
        </w:tabs>
        <w:spacing w:line="360" w:lineRule="auto"/>
        <w:rPr>
          <w:rFonts w:hint="eastAsia" w:ascii="仿宋" w:hAnsi="仿宋" w:eastAsia="仿宋" w:cs="仿宋"/>
          <w:color w:val="auto"/>
          <w:sz w:val="24"/>
          <w:szCs w:val="24"/>
          <w:highlight w:val="none"/>
        </w:rPr>
      </w:pPr>
    </w:p>
    <w:p w14:paraId="2C579C69">
      <w:pPr>
        <w:tabs>
          <w:tab w:val="left" w:pos="720"/>
          <w:tab w:val="left" w:pos="900"/>
        </w:tabs>
        <w:spacing w:line="360" w:lineRule="auto"/>
        <w:ind w:firstLine="3120" w:firstLineChars="13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供应商全称</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rPr>
        <w:t>加盖电子公章</w:t>
      </w: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u w:val="single"/>
        </w:rPr>
        <w:t xml:space="preserve">           </w:t>
      </w:r>
    </w:p>
    <w:p w14:paraId="3818230A">
      <w:pPr>
        <w:tabs>
          <w:tab w:val="left" w:pos="720"/>
          <w:tab w:val="left" w:pos="900"/>
        </w:tabs>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10507A2">
      <w:pPr>
        <w:tabs>
          <w:tab w:val="left" w:pos="720"/>
          <w:tab w:val="left" w:pos="900"/>
        </w:tabs>
        <w:spacing w:line="360" w:lineRule="auto"/>
        <w:rPr>
          <w:rFonts w:hint="eastAsia" w:ascii="仿宋" w:hAnsi="仿宋" w:eastAsia="仿宋" w:cs="仿宋"/>
          <w:color w:val="auto"/>
          <w:sz w:val="24"/>
          <w:szCs w:val="24"/>
          <w:highlight w:val="none"/>
        </w:rPr>
      </w:pPr>
    </w:p>
    <w:p w14:paraId="090292E5">
      <w:pPr>
        <w:pStyle w:val="4"/>
        <w:numPr>
          <w:ilvl w:val="1"/>
          <w:numId w:val="0"/>
        </w:numPr>
        <w:wordWrap w:val="0"/>
        <w:jc w:val="center"/>
        <w:rPr>
          <w:rFonts w:hint="eastAsia" w:ascii="仿宋" w:hAnsi="仿宋" w:eastAsia="仿宋" w:cs="仿宋"/>
          <w:b w:val="0"/>
          <w:caps/>
          <w:color w:val="auto"/>
          <w:highlight w:val="none"/>
        </w:rPr>
      </w:pPr>
      <w:r>
        <w:rPr>
          <w:rFonts w:hint="eastAsia" w:ascii="仿宋" w:hAnsi="仿宋" w:eastAsia="仿宋" w:cs="仿宋"/>
          <w:b w:val="0"/>
          <w:color w:val="auto"/>
          <w:sz w:val="24"/>
          <w:szCs w:val="24"/>
          <w:highlight w:val="none"/>
        </w:rPr>
        <w:br w:type="page"/>
      </w:r>
      <w:r>
        <w:rPr>
          <w:rFonts w:hint="eastAsia" w:ascii="仿宋" w:hAnsi="仿宋" w:eastAsia="仿宋" w:cs="仿宋"/>
          <w:bCs/>
          <w:color w:val="auto"/>
          <w:sz w:val="28"/>
          <w:szCs w:val="28"/>
          <w:highlight w:val="none"/>
        </w:rPr>
        <w:t>（二）法定代表人授权书</w:t>
      </w:r>
    </w:p>
    <w:p w14:paraId="42CA01C8">
      <w:pPr>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本人</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（供应商名称）   </w:t>
      </w:r>
      <w:r>
        <w:rPr>
          <w:rFonts w:hint="eastAsia" w:ascii="仿宋" w:hAnsi="仿宋" w:eastAsia="仿宋" w:cs="仿宋"/>
          <w:color w:val="auto"/>
          <w:sz w:val="24"/>
          <w:szCs w:val="24"/>
          <w:highlight w:val="none"/>
        </w:rPr>
        <w:t>的法定代表人，现委托</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为我方代理人。代理人根据授权，以我方名义签署、澄清、说明、补正、递交、撤回、修改</w:t>
      </w:r>
      <w:r>
        <w:rPr>
          <w:rFonts w:hint="eastAsia" w:ascii="仿宋" w:hAnsi="仿宋" w:eastAsia="仿宋" w:cs="仿宋"/>
          <w:color w:val="auto"/>
          <w:sz w:val="24"/>
          <w:szCs w:val="24"/>
          <w:highlight w:val="none"/>
          <w:u w:val="single"/>
        </w:rPr>
        <w:t xml:space="preserve">    （项目名称）   </w:t>
      </w:r>
      <w:r>
        <w:rPr>
          <w:rFonts w:hint="eastAsia" w:ascii="仿宋" w:hAnsi="仿宋" w:eastAsia="仿宋" w:cs="仿宋"/>
          <w:color w:val="auto"/>
          <w:sz w:val="24"/>
          <w:szCs w:val="24"/>
          <w:highlight w:val="none"/>
        </w:rPr>
        <w:t>响应文件、签订合同和处理有关事宜，其法律后果由我方承担。</w:t>
      </w:r>
    </w:p>
    <w:p w14:paraId="5AB31E09">
      <w:pPr>
        <w:spacing w:before="120" w:beforeLines="50"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委托期限：</w:t>
      </w:r>
      <w:r>
        <w:rPr>
          <w:rFonts w:hint="eastAsia" w:ascii="仿宋" w:hAnsi="仿宋" w:eastAsia="仿宋" w:cs="仿宋"/>
          <w:color w:val="auto"/>
          <w:sz w:val="24"/>
          <w:szCs w:val="24"/>
          <w:highlight w:val="none"/>
          <w:u w:val="single"/>
        </w:rPr>
        <w:t xml:space="preserve">             </w:t>
      </w:r>
    </w:p>
    <w:p w14:paraId="24942AF2">
      <w:pPr>
        <w:spacing w:before="240" w:beforeLines="100" w:after="240" w:afterLines="100"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14:paraId="63403A10">
      <w:pPr>
        <w:spacing w:line="360" w:lineRule="auto"/>
        <w:ind w:left="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附：代理人身份证复印件</w:t>
      </w:r>
    </w:p>
    <w:p w14:paraId="320061D6">
      <w:pPr>
        <w:spacing w:line="300" w:lineRule="exact"/>
        <w:rPr>
          <w:rFonts w:hint="eastAsia" w:ascii="仿宋" w:hAnsi="仿宋" w:eastAsia="仿宋" w:cs="仿宋"/>
          <w:color w:val="auto"/>
          <w:sz w:val="24"/>
          <w:szCs w:val="24"/>
          <w:highlight w:val="none"/>
        </w:rPr>
      </w:pPr>
    </w:p>
    <w:p w14:paraId="53B62968">
      <w:pPr>
        <w:spacing w:line="300" w:lineRule="exact"/>
        <w:rPr>
          <w:rFonts w:hint="eastAsia" w:ascii="仿宋" w:hAnsi="仿宋" w:eastAsia="仿宋" w:cs="仿宋"/>
          <w:color w:val="auto"/>
          <w:sz w:val="24"/>
          <w:szCs w:val="24"/>
          <w:highlight w:val="none"/>
        </w:rPr>
      </w:pPr>
    </w:p>
    <w:p w14:paraId="0E5F4C62">
      <w:pPr>
        <w:spacing w:line="30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供应商全称（加盖电子公章）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7901F7A8">
      <w:pPr>
        <w:spacing w:line="300" w:lineRule="exact"/>
        <w:ind w:firstLine="4080" w:firstLineChars="1700"/>
        <w:rPr>
          <w:rFonts w:hint="eastAsia" w:ascii="仿宋" w:hAnsi="仿宋" w:eastAsia="仿宋" w:cs="仿宋"/>
          <w:color w:val="auto"/>
          <w:sz w:val="24"/>
          <w:szCs w:val="24"/>
          <w:highlight w:val="none"/>
        </w:rPr>
      </w:pPr>
    </w:p>
    <w:p w14:paraId="5B86E0BD">
      <w:pPr>
        <w:spacing w:line="30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w:t>
      </w:r>
      <w:r>
        <w:rPr>
          <w:rFonts w:hint="eastAsia" w:ascii="仿宋" w:hAnsi="仿宋" w:eastAsia="仿宋" w:cs="仿宋"/>
          <w:color w:val="auto"/>
          <w:sz w:val="24"/>
          <w:szCs w:val="24"/>
          <w:highlight w:val="none"/>
          <w:u w:val="single"/>
        </w:rPr>
        <w:t>电子签章</w:t>
      </w:r>
      <w:r>
        <w:rPr>
          <w:rFonts w:hint="eastAsia" w:ascii="仿宋" w:hAnsi="仿宋" w:eastAsia="仿宋" w:cs="仿宋"/>
          <w:color w:val="auto"/>
          <w:sz w:val="24"/>
          <w:highlight w:val="none"/>
          <w:u w:val="single"/>
        </w:rPr>
        <w:t>）</w:t>
      </w:r>
      <w:r>
        <w:rPr>
          <w:rFonts w:hint="eastAsia" w:ascii="仿宋" w:hAnsi="仿宋" w:eastAsia="仿宋" w:cs="仿宋"/>
          <w:color w:val="auto"/>
          <w:sz w:val="24"/>
          <w:szCs w:val="24"/>
          <w:highlight w:val="none"/>
          <w:u w:val="single"/>
        </w:rPr>
        <w:t xml:space="preserve">    </w:t>
      </w:r>
    </w:p>
    <w:p w14:paraId="6068A479">
      <w:pPr>
        <w:spacing w:line="300" w:lineRule="exact"/>
        <w:ind w:firstLine="4080" w:firstLineChars="1700"/>
        <w:rPr>
          <w:rFonts w:hint="eastAsia" w:ascii="仿宋" w:hAnsi="仿宋" w:eastAsia="仿宋" w:cs="仿宋"/>
          <w:color w:val="auto"/>
          <w:sz w:val="24"/>
          <w:szCs w:val="24"/>
          <w:highlight w:val="none"/>
        </w:rPr>
      </w:pPr>
    </w:p>
    <w:p w14:paraId="297AB2CA">
      <w:pPr>
        <w:spacing w:line="300" w:lineRule="exact"/>
        <w:ind w:firstLine="240" w:firstLineChars="1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p>
    <w:p w14:paraId="6329BA62">
      <w:pPr>
        <w:spacing w:line="300" w:lineRule="exact"/>
        <w:ind w:firstLine="4080" w:firstLineChars="1700"/>
        <w:rPr>
          <w:rFonts w:hint="eastAsia" w:ascii="仿宋" w:hAnsi="仿宋" w:eastAsia="仿宋" w:cs="仿宋"/>
          <w:color w:val="auto"/>
          <w:sz w:val="24"/>
          <w:szCs w:val="24"/>
          <w:highlight w:val="none"/>
        </w:rPr>
      </w:pPr>
    </w:p>
    <w:p w14:paraId="52E03AFC">
      <w:pPr>
        <w:spacing w:line="30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（签字）       </w:t>
      </w:r>
    </w:p>
    <w:p w14:paraId="7F43B946">
      <w:pPr>
        <w:spacing w:line="300" w:lineRule="exact"/>
        <w:ind w:firstLine="4080" w:firstLineChars="1700"/>
        <w:rPr>
          <w:rFonts w:hint="eastAsia" w:ascii="仿宋" w:hAnsi="仿宋" w:eastAsia="仿宋" w:cs="仿宋"/>
          <w:color w:val="auto"/>
          <w:sz w:val="24"/>
          <w:szCs w:val="24"/>
          <w:highlight w:val="none"/>
        </w:rPr>
      </w:pPr>
    </w:p>
    <w:p w14:paraId="6427A990">
      <w:pPr>
        <w:spacing w:line="30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p>
    <w:p w14:paraId="60A0F252">
      <w:pPr>
        <w:spacing w:line="300" w:lineRule="exact"/>
        <w:ind w:firstLine="4080" w:firstLineChars="1700"/>
        <w:rPr>
          <w:rFonts w:hint="eastAsia" w:ascii="仿宋" w:hAnsi="仿宋" w:eastAsia="仿宋" w:cs="仿宋"/>
          <w:color w:val="auto"/>
          <w:sz w:val="24"/>
          <w:szCs w:val="24"/>
          <w:highlight w:val="none"/>
        </w:rPr>
      </w:pPr>
    </w:p>
    <w:p w14:paraId="197D1B0B">
      <w:pPr>
        <w:spacing w:line="300" w:lineRule="exact"/>
        <w:ind w:firstLine="240" w:firstLineChars="1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rPr>
        <w:t xml:space="preserve">                               </w:t>
      </w:r>
    </w:p>
    <w:p w14:paraId="6F833402">
      <w:pPr>
        <w:spacing w:line="300" w:lineRule="exact"/>
        <w:ind w:firstLine="4080" w:firstLineChars="1700"/>
        <w:rPr>
          <w:rFonts w:hint="eastAsia" w:ascii="仿宋" w:hAnsi="仿宋" w:eastAsia="仿宋" w:cs="仿宋"/>
          <w:color w:val="auto"/>
          <w:sz w:val="24"/>
          <w:szCs w:val="24"/>
          <w:highlight w:val="none"/>
        </w:rPr>
      </w:pPr>
    </w:p>
    <w:p w14:paraId="176F27B7">
      <w:pPr>
        <w:spacing w:line="30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1E535C0B">
      <w:pPr>
        <w:spacing w:line="300" w:lineRule="exact"/>
        <w:rPr>
          <w:rFonts w:hint="eastAsia" w:ascii="仿宋" w:hAnsi="仿宋" w:eastAsia="仿宋" w:cs="仿宋"/>
          <w:color w:val="auto"/>
          <w:sz w:val="24"/>
          <w:szCs w:val="24"/>
          <w:highlight w:val="none"/>
        </w:rPr>
      </w:pPr>
    </w:p>
    <w:p w14:paraId="7EFECD30">
      <w:pPr>
        <w:spacing w:line="30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0129750">
      <w:pPr>
        <w:ind w:right="-328" w:rightChars="-156"/>
        <w:rPr>
          <w:rFonts w:hint="eastAsia" w:ascii="仿宋" w:hAnsi="仿宋" w:eastAsia="仿宋" w:cs="仿宋"/>
          <w:color w:val="auto"/>
          <w:sz w:val="24"/>
          <w:highlight w:val="none"/>
        </w:rPr>
      </w:pPr>
    </w:p>
    <w:p w14:paraId="344388B1">
      <w:pPr>
        <w:ind w:right="-328" w:rightChars="-156"/>
        <w:rPr>
          <w:rFonts w:hint="eastAsia" w:ascii="仿宋" w:hAnsi="仿宋" w:eastAsia="仿宋" w:cs="仿宋"/>
          <w:color w:val="auto"/>
          <w:sz w:val="24"/>
          <w:highlight w:val="none"/>
        </w:rPr>
      </w:pPr>
    </w:p>
    <w:p w14:paraId="1DDFC3B9">
      <w:pPr>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注：1、供应商在整个投标活动中不得变更授权代理人，否则采购人将拒绝其参加本项目的投标活动；</w:t>
      </w:r>
    </w:p>
    <w:p w14:paraId="2C644662">
      <w:pPr>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2、授权代理人必须在授权委托书上亲笔签名后扫描上传。</w:t>
      </w:r>
    </w:p>
    <w:p w14:paraId="1DECDD98">
      <w:pPr>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3、如果供应商由授权代理人签署、澄清、说明、补正、递交、撤回、修改投标文件，则必须按本格式规定办理授权委托书，若授权委托书不符合规定要求，投标文件将不予通过；</w:t>
      </w:r>
    </w:p>
    <w:p w14:paraId="22FDC858">
      <w:pPr>
        <w:ind w:firstLine="480" w:firstLineChars="200"/>
        <w:rPr>
          <w:rFonts w:hint="eastAsia" w:ascii="仿宋" w:hAnsi="仿宋" w:eastAsia="仿宋" w:cs="仿宋"/>
          <w:color w:val="auto"/>
          <w:sz w:val="24"/>
          <w:szCs w:val="24"/>
          <w:highlight w:val="none"/>
        </w:rPr>
        <w:sectPr>
          <w:headerReference r:id="rId7" w:type="default"/>
          <w:footerReference r:id="rId8" w:type="default"/>
          <w:pgSz w:w="11920" w:h="16838"/>
          <w:pgMar w:top="1580" w:right="1600" w:bottom="980" w:left="1680" w:header="0" w:footer="782" w:gutter="0"/>
          <w:cols w:space="720" w:num="1"/>
          <w:formProt w:val="0"/>
          <w:docGrid w:linePitch="100" w:charSpace="91954"/>
        </w:sectPr>
      </w:pPr>
      <w:r>
        <w:rPr>
          <w:rFonts w:hint="eastAsia" w:ascii="仿宋" w:hAnsi="仿宋" w:eastAsia="仿宋" w:cs="仿宋"/>
          <w:color w:val="auto"/>
          <w:sz w:val="24"/>
          <w:szCs w:val="24"/>
          <w:highlight w:val="none"/>
        </w:rPr>
        <w:t>4、如果由供应商的法定代表人签署、澄清、说明、补正、递交、撤回、修改投标文件</w:t>
      </w:r>
      <w:bookmarkStart w:id="131" w:name="_Toc280207903"/>
      <w:bookmarkStart w:id="132" w:name="_Toc280207969"/>
      <w:r>
        <w:rPr>
          <w:rFonts w:hint="eastAsia" w:ascii="仿宋" w:hAnsi="仿宋" w:eastAsia="仿宋" w:cs="仿宋"/>
          <w:color w:val="auto"/>
          <w:sz w:val="24"/>
          <w:szCs w:val="24"/>
          <w:highlight w:val="none"/>
        </w:rPr>
        <w:t>，则不需提交授权委托书</w:t>
      </w:r>
      <w:bookmarkEnd w:id="131"/>
      <w:bookmarkEnd w:id="132"/>
      <w:r>
        <w:rPr>
          <w:rFonts w:hint="eastAsia" w:ascii="仿宋" w:hAnsi="仿宋" w:eastAsia="仿宋" w:cs="仿宋"/>
          <w:color w:val="auto"/>
          <w:sz w:val="24"/>
          <w:szCs w:val="24"/>
          <w:highlight w:val="none"/>
        </w:rPr>
        <w:t>。</w:t>
      </w:r>
    </w:p>
    <w:p w14:paraId="7CFB8D50">
      <w:pPr>
        <w:spacing w:line="500" w:lineRule="exact"/>
        <w:rPr>
          <w:rFonts w:hint="eastAsia" w:ascii="宋体" w:hAnsi="宋体" w:cs="宋体"/>
          <w:color w:val="auto"/>
          <w:szCs w:val="21"/>
          <w:highlight w:val="none"/>
          <w:u w:val="single"/>
        </w:rPr>
      </w:pPr>
    </w:p>
    <w:p w14:paraId="596942DA">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3.保证金</w:t>
      </w:r>
    </w:p>
    <w:p w14:paraId="36368AB9">
      <w:pPr>
        <w:rPr>
          <w:rFonts w:hint="eastAsia" w:ascii="仿宋" w:hAnsi="仿宋" w:eastAsia="仿宋" w:cs="仿宋"/>
          <w:b/>
          <w:bCs/>
          <w:color w:val="auto"/>
          <w:sz w:val="32"/>
          <w:szCs w:val="32"/>
          <w:highlight w:val="none"/>
        </w:rPr>
      </w:pPr>
    </w:p>
    <w:p w14:paraId="6574B9C4">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供应商提交的投标保证金应采用采购文件中规定的形式，并在此提供相应凭证的扫描件。</w:t>
      </w:r>
    </w:p>
    <w:p w14:paraId="4A0776E2">
      <w:pPr>
        <w:rPr>
          <w:rFonts w:hint="eastAsia" w:ascii="仿宋" w:hAnsi="仿宋" w:eastAsia="仿宋" w:cs="仿宋"/>
          <w:b/>
          <w:bCs/>
          <w:color w:val="auto"/>
          <w:kern w:val="0"/>
          <w:sz w:val="28"/>
          <w:szCs w:val="28"/>
          <w:highlight w:val="none"/>
        </w:rPr>
      </w:pPr>
    </w:p>
    <w:p w14:paraId="1B689E69">
      <w:pP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br w:type="page"/>
      </w:r>
    </w:p>
    <w:p w14:paraId="1791E19D">
      <w:pPr>
        <w:pStyle w:val="4"/>
        <w:spacing w:line="360" w:lineRule="auto"/>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4.商务条款偏离表</w:t>
      </w:r>
    </w:p>
    <w:tbl>
      <w:tblPr>
        <w:tblStyle w:val="34"/>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17"/>
        <w:gridCol w:w="2225"/>
        <w:gridCol w:w="2419"/>
        <w:gridCol w:w="825"/>
        <w:gridCol w:w="825"/>
      </w:tblGrid>
      <w:tr w14:paraId="7A1E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288F1BE">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117" w:type="dxa"/>
            <w:tcBorders>
              <w:top w:val="single" w:color="auto" w:sz="4" w:space="0"/>
              <w:left w:val="nil"/>
              <w:bottom w:val="single" w:color="auto" w:sz="4" w:space="0"/>
              <w:right w:val="single" w:color="auto" w:sz="4" w:space="0"/>
            </w:tcBorders>
            <w:vAlign w:val="center"/>
          </w:tcPr>
          <w:p w14:paraId="6AAED838">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采购文件条款号</w:t>
            </w:r>
          </w:p>
        </w:tc>
        <w:tc>
          <w:tcPr>
            <w:tcW w:w="2225" w:type="dxa"/>
            <w:tcBorders>
              <w:top w:val="single" w:color="auto" w:sz="4" w:space="0"/>
              <w:left w:val="nil"/>
              <w:bottom w:val="single" w:color="auto" w:sz="4" w:space="0"/>
              <w:right w:val="single" w:color="auto" w:sz="4" w:space="0"/>
            </w:tcBorders>
            <w:vAlign w:val="center"/>
          </w:tcPr>
          <w:p w14:paraId="50A9C026">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采购文件的商务条款内容</w:t>
            </w:r>
          </w:p>
        </w:tc>
        <w:tc>
          <w:tcPr>
            <w:tcW w:w="2419" w:type="dxa"/>
            <w:tcBorders>
              <w:top w:val="single" w:color="auto" w:sz="4" w:space="0"/>
              <w:left w:val="nil"/>
              <w:bottom w:val="single" w:color="auto" w:sz="4" w:space="0"/>
              <w:right w:val="single" w:color="auto" w:sz="4" w:space="0"/>
            </w:tcBorders>
            <w:vAlign w:val="center"/>
          </w:tcPr>
          <w:p w14:paraId="1B3D498C">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投标文件的商务条款响应情况</w:t>
            </w:r>
          </w:p>
        </w:tc>
        <w:tc>
          <w:tcPr>
            <w:tcW w:w="825" w:type="dxa"/>
            <w:tcBorders>
              <w:top w:val="single" w:color="auto" w:sz="4" w:space="0"/>
              <w:left w:val="nil"/>
              <w:bottom w:val="single" w:color="auto" w:sz="4" w:space="0"/>
              <w:right w:val="single" w:color="auto" w:sz="4" w:space="0"/>
            </w:tcBorders>
            <w:vAlign w:val="center"/>
          </w:tcPr>
          <w:p w14:paraId="193B4E3D">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vAlign w:val="center"/>
          </w:tcPr>
          <w:p w14:paraId="13352D7D">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tc>
      </w:tr>
      <w:tr w14:paraId="0837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C56E51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117" w:type="dxa"/>
            <w:tcBorders>
              <w:top w:val="single" w:color="auto" w:sz="4" w:space="0"/>
              <w:left w:val="nil"/>
              <w:bottom w:val="single" w:color="auto" w:sz="4" w:space="0"/>
              <w:right w:val="single" w:color="auto" w:sz="4" w:space="0"/>
            </w:tcBorders>
            <w:vAlign w:val="center"/>
          </w:tcPr>
          <w:p w14:paraId="7C9ED77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“供应商须知前附表”第1.3.2款</w:t>
            </w:r>
          </w:p>
        </w:tc>
        <w:tc>
          <w:tcPr>
            <w:tcW w:w="2225" w:type="dxa"/>
            <w:tcBorders>
              <w:top w:val="single" w:color="auto" w:sz="4" w:space="0"/>
              <w:left w:val="nil"/>
              <w:bottom w:val="single" w:color="auto" w:sz="4" w:space="0"/>
              <w:right w:val="single" w:color="auto" w:sz="4" w:space="0"/>
            </w:tcBorders>
            <w:vAlign w:val="center"/>
          </w:tcPr>
          <w:p w14:paraId="74BC56E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服务期限</w:t>
            </w:r>
          </w:p>
        </w:tc>
        <w:tc>
          <w:tcPr>
            <w:tcW w:w="2419" w:type="dxa"/>
            <w:tcBorders>
              <w:top w:val="single" w:color="auto" w:sz="4" w:space="0"/>
              <w:left w:val="nil"/>
              <w:bottom w:val="single" w:color="auto" w:sz="4" w:space="0"/>
              <w:right w:val="single" w:color="auto" w:sz="4" w:space="0"/>
            </w:tcBorders>
            <w:vAlign w:val="center"/>
          </w:tcPr>
          <w:p w14:paraId="785ECD22">
            <w:pPr>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7F07CDF">
            <w:pPr>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FF36A08">
            <w:pPr>
              <w:jc w:val="center"/>
              <w:rPr>
                <w:rFonts w:hint="eastAsia" w:ascii="仿宋" w:hAnsi="仿宋" w:eastAsia="仿宋" w:cs="仿宋"/>
                <w:color w:val="auto"/>
                <w:sz w:val="24"/>
                <w:szCs w:val="24"/>
                <w:highlight w:val="none"/>
              </w:rPr>
            </w:pPr>
          </w:p>
        </w:tc>
      </w:tr>
      <w:tr w14:paraId="414C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FA0F54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117" w:type="dxa"/>
            <w:tcBorders>
              <w:top w:val="single" w:color="auto" w:sz="4" w:space="0"/>
              <w:left w:val="nil"/>
              <w:bottom w:val="single" w:color="auto" w:sz="4" w:space="0"/>
              <w:right w:val="single" w:color="auto" w:sz="4" w:space="0"/>
            </w:tcBorders>
            <w:vAlign w:val="center"/>
          </w:tcPr>
          <w:p w14:paraId="6CEF63F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“供应商须知前附表”第1.3.3款</w:t>
            </w:r>
          </w:p>
        </w:tc>
        <w:tc>
          <w:tcPr>
            <w:tcW w:w="2225" w:type="dxa"/>
            <w:tcBorders>
              <w:top w:val="single" w:color="auto" w:sz="4" w:space="0"/>
              <w:left w:val="nil"/>
              <w:bottom w:val="single" w:color="auto" w:sz="4" w:space="0"/>
              <w:right w:val="single" w:color="auto" w:sz="4" w:space="0"/>
            </w:tcBorders>
            <w:vAlign w:val="center"/>
          </w:tcPr>
          <w:p w14:paraId="36DBB2A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服务地点</w:t>
            </w:r>
          </w:p>
        </w:tc>
        <w:tc>
          <w:tcPr>
            <w:tcW w:w="2419" w:type="dxa"/>
            <w:tcBorders>
              <w:top w:val="single" w:color="auto" w:sz="4" w:space="0"/>
              <w:left w:val="nil"/>
              <w:bottom w:val="single" w:color="auto" w:sz="4" w:space="0"/>
              <w:right w:val="single" w:color="auto" w:sz="4" w:space="0"/>
            </w:tcBorders>
            <w:vAlign w:val="center"/>
          </w:tcPr>
          <w:p w14:paraId="2561B777">
            <w:pPr>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30C8214E">
            <w:pPr>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8B27559">
            <w:pPr>
              <w:jc w:val="center"/>
              <w:rPr>
                <w:rFonts w:hint="eastAsia" w:ascii="仿宋" w:hAnsi="仿宋" w:eastAsia="仿宋" w:cs="仿宋"/>
                <w:color w:val="auto"/>
                <w:sz w:val="24"/>
                <w:szCs w:val="24"/>
                <w:highlight w:val="none"/>
              </w:rPr>
            </w:pPr>
          </w:p>
        </w:tc>
      </w:tr>
      <w:tr w14:paraId="56F3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2DE9763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117" w:type="dxa"/>
            <w:tcBorders>
              <w:top w:val="single" w:color="auto" w:sz="4" w:space="0"/>
              <w:left w:val="nil"/>
              <w:bottom w:val="single" w:color="auto" w:sz="4" w:space="0"/>
              <w:right w:val="single" w:color="auto" w:sz="4" w:space="0"/>
            </w:tcBorders>
            <w:vAlign w:val="center"/>
          </w:tcPr>
          <w:p w14:paraId="7069773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“供应商须知前附表”第3.3.1款</w:t>
            </w:r>
          </w:p>
        </w:tc>
        <w:tc>
          <w:tcPr>
            <w:tcW w:w="2225" w:type="dxa"/>
            <w:tcBorders>
              <w:top w:val="single" w:color="auto" w:sz="4" w:space="0"/>
              <w:left w:val="nil"/>
              <w:bottom w:val="single" w:color="auto" w:sz="4" w:space="0"/>
              <w:right w:val="single" w:color="auto" w:sz="4" w:space="0"/>
            </w:tcBorders>
            <w:vAlign w:val="center"/>
          </w:tcPr>
          <w:p w14:paraId="190F8B9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2419" w:type="dxa"/>
            <w:tcBorders>
              <w:top w:val="single" w:color="auto" w:sz="4" w:space="0"/>
              <w:left w:val="nil"/>
              <w:bottom w:val="single" w:color="auto" w:sz="4" w:space="0"/>
              <w:right w:val="single" w:color="auto" w:sz="4" w:space="0"/>
            </w:tcBorders>
            <w:vAlign w:val="center"/>
          </w:tcPr>
          <w:p w14:paraId="046BF203">
            <w:pPr>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3C3006C0">
            <w:pPr>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197FCD4B">
            <w:pPr>
              <w:jc w:val="center"/>
              <w:rPr>
                <w:rFonts w:hint="eastAsia" w:ascii="仿宋" w:hAnsi="仿宋" w:eastAsia="仿宋" w:cs="仿宋"/>
                <w:color w:val="auto"/>
                <w:sz w:val="24"/>
                <w:szCs w:val="24"/>
                <w:highlight w:val="none"/>
              </w:rPr>
            </w:pPr>
          </w:p>
        </w:tc>
      </w:tr>
      <w:tr w14:paraId="2DEDE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384CBD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117" w:type="dxa"/>
            <w:tcBorders>
              <w:top w:val="single" w:color="auto" w:sz="4" w:space="0"/>
              <w:left w:val="nil"/>
              <w:bottom w:val="single" w:color="auto" w:sz="4" w:space="0"/>
              <w:right w:val="single" w:color="auto" w:sz="4" w:space="0"/>
            </w:tcBorders>
            <w:vAlign w:val="center"/>
          </w:tcPr>
          <w:p w14:paraId="288DF6B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225" w:type="dxa"/>
            <w:tcBorders>
              <w:top w:val="single" w:color="auto" w:sz="4" w:space="0"/>
              <w:left w:val="nil"/>
              <w:bottom w:val="single" w:color="auto" w:sz="4" w:space="0"/>
              <w:right w:val="single" w:color="auto" w:sz="4" w:space="0"/>
            </w:tcBorders>
            <w:vAlign w:val="center"/>
          </w:tcPr>
          <w:p w14:paraId="693F8A7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419" w:type="dxa"/>
            <w:tcBorders>
              <w:top w:val="single" w:color="auto" w:sz="4" w:space="0"/>
              <w:left w:val="nil"/>
              <w:bottom w:val="single" w:color="auto" w:sz="4" w:space="0"/>
              <w:right w:val="single" w:color="auto" w:sz="4" w:space="0"/>
            </w:tcBorders>
            <w:vAlign w:val="center"/>
          </w:tcPr>
          <w:p w14:paraId="45B1222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825" w:type="dxa"/>
            <w:tcBorders>
              <w:top w:val="single" w:color="auto" w:sz="4" w:space="0"/>
              <w:left w:val="nil"/>
              <w:bottom w:val="single" w:color="auto" w:sz="4" w:space="0"/>
              <w:right w:val="single" w:color="auto" w:sz="4" w:space="0"/>
            </w:tcBorders>
            <w:vAlign w:val="center"/>
          </w:tcPr>
          <w:p w14:paraId="3778CB6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825" w:type="dxa"/>
            <w:tcBorders>
              <w:top w:val="single" w:color="auto" w:sz="4" w:space="0"/>
              <w:left w:val="nil"/>
              <w:bottom w:val="single" w:color="auto" w:sz="4" w:space="0"/>
              <w:right w:val="single" w:color="auto" w:sz="4" w:space="0"/>
            </w:tcBorders>
            <w:vAlign w:val="center"/>
          </w:tcPr>
          <w:p w14:paraId="301EF01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bl>
    <w:p w14:paraId="19E52D82">
      <w:pPr>
        <w:pStyle w:val="13"/>
        <w:rPr>
          <w:rFonts w:hint="eastAsia" w:ascii="仿宋" w:hAnsi="仿宋" w:eastAsia="仿宋" w:cs="仿宋"/>
          <w:color w:val="auto"/>
          <w:sz w:val="24"/>
          <w:szCs w:val="24"/>
          <w:highlight w:val="none"/>
        </w:rPr>
      </w:pPr>
    </w:p>
    <w:p w14:paraId="080F8EC0">
      <w:pPr>
        <w:pStyle w:val="13"/>
        <w:rPr>
          <w:rFonts w:hint="eastAsia" w:ascii="仿宋" w:hAnsi="仿宋" w:eastAsia="仿宋" w:cs="仿宋"/>
          <w:color w:val="auto"/>
          <w:kern w:val="0"/>
          <w:sz w:val="24"/>
          <w:szCs w:val="24"/>
          <w:highlight w:val="none"/>
        </w:rPr>
      </w:pPr>
    </w:p>
    <w:p w14:paraId="57E409E8">
      <w:pPr>
        <w:autoSpaceDE w:val="0"/>
        <w:autoSpaceDN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625CDEEC">
      <w:pPr>
        <w:autoSpaceDE w:val="0"/>
        <w:autoSpaceDN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1.《商务条款偏离表》内容不可负偏离，供应商逐项填写此表。</w:t>
      </w:r>
    </w:p>
    <w:p w14:paraId="1FE0F52E">
      <w:pPr>
        <w:autoSpaceDE w:val="0"/>
        <w:autoSpaceDN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2.偏离说明处填写：正/无偏离。</w:t>
      </w:r>
    </w:p>
    <w:p w14:paraId="142A9957">
      <w:pPr>
        <w:autoSpaceDE w:val="0"/>
        <w:autoSpaceDN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3.本表可根据实际需求自行增加行数，但内容不得擅自修改。</w:t>
      </w:r>
    </w:p>
    <w:p w14:paraId="414957DA">
      <w:pPr>
        <w:rPr>
          <w:rFonts w:hint="eastAsia" w:ascii="仿宋" w:hAnsi="仿宋" w:eastAsia="仿宋" w:cs="仿宋"/>
          <w:b/>
          <w:bCs/>
          <w:color w:val="auto"/>
          <w:kern w:val="0"/>
          <w:sz w:val="28"/>
          <w:szCs w:val="28"/>
          <w:highlight w:val="none"/>
        </w:rPr>
      </w:pPr>
    </w:p>
    <w:p w14:paraId="35BC1758">
      <w:pPr>
        <w:pStyle w:val="3"/>
        <w:rPr>
          <w:rFonts w:hint="eastAsia" w:ascii="仿宋" w:hAnsi="仿宋" w:eastAsia="仿宋" w:cs="仿宋"/>
          <w:bCs/>
          <w:color w:val="auto"/>
          <w:kern w:val="0"/>
          <w:szCs w:val="28"/>
          <w:highlight w:val="none"/>
        </w:rPr>
      </w:pPr>
    </w:p>
    <w:p w14:paraId="0BD859F2">
      <w:pPr>
        <w:rPr>
          <w:rFonts w:hint="eastAsia" w:ascii="仿宋" w:hAnsi="仿宋" w:eastAsia="仿宋" w:cs="仿宋"/>
          <w:b/>
          <w:bCs/>
          <w:color w:val="auto"/>
          <w:kern w:val="0"/>
          <w:sz w:val="28"/>
          <w:szCs w:val="28"/>
          <w:highlight w:val="none"/>
        </w:rPr>
      </w:pPr>
    </w:p>
    <w:p w14:paraId="05FF5DA1">
      <w:pPr>
        <w:pStyle w:val="3"/>
        <w:rPr>
          <w:rFonts w:hint="eastAsia" w:ascii="仿宋" w:hAnsi="仿宋" w:eastAsia="仿宋" w:cs="仿宋"/>
          <w:bCs/>
          <w:color w:val="auto"/>
          <w:kern w:val="0"/>
          <w:szCs w:val="28"/>
          <w:highlight w:val="none"/>
        </w:rPr>
      </w:pPr>
    </w:p>
    <w:p w14:paraId="30B78C42">
      <w:pPr>
        <w:rPr>
          <w:rFonts w:hint="eastAsia" w:ascii="仿宋" w:hAnsi="仿宋" w:eastAsia="仿宋" w:cs="仿宋"/>
          <w:b/>
          <w:bCs/>
          <w:color w:val="auto"/>
          <w:kern w:val="0"/>
          <w:sz w:val="28"/>
          <w:szCs w:val="28"/>
          <w:highlight w:val="none"/>
        </w:rPr>
      </w:pPr>
    </w:p>
    <w:p w14:paraId="0C8C7E3F">
      <w:pPr>
        <w:pStyle w:val="3"/>
        <w:rPr>
          <w:rFonts w:hint="eastAsia" w:ascii="仿宋" w:hAnsi="仿宋" w:eastAsia="仿宋" w:cs="仿宋"/>
          <w:bCs/>
          <w:color w:val="auto"/>
          <w:kern w:val="0"/>
          <w:szCs w:val="28"/>
          <w:highlight w:val="none"/>
        </w:rPr>
      </w:pPr>
    </w:p>
    <w:p w14:paraId="04D3E832">
      <w:pPr>
        <w:rPr>
          <w:rFonts w:hint="eastAsia" w:ascii="仿宋" w:hAnsi="仿宋" w:eastAsia="仿宋" w:cs="仿宋"/>
          <w:b/>
          <w:bCs/>
          <w:color w:val="auto"/>
          <w:kern w:val="0"/>
          <w:sz w:val="28"/>
          <w:szCs w:val="28"/>
          <w:highlight w:val="none"/>
        </w:rPr>
      </w:pPr>
    </w:p>
    <w:p w14:paraId="507F6735">
      <w:pPr>
        <w:pStyle w:val="3"/>
        <w:rPr>
          <w:rFonts w:hint="eastAsia" w:ascii="仿宋" w:hAnsi="仿宋" w:eastAsia="仿宋" w:cs="仿宋"/>
          <w:bCs/>
          <w:color w:val="auto"/>
          <w:kern w:val="0"/>
          <w:szCs w:val="28"/>
          <w:highlight w:val="none"/>
        </w:rPr>
      </w:pPr>
    </w:p>
    <w:p w14:paraId="42A73A10">
      <w:pPr>
        <w:rPr>
          <w:rFonts w:hint="eastAsia" w:ascii="仿宋" w:hAnsi="仿宋" w:eastAsia="仿宋" w:cs="仿宋"/>
          <w:b/>
          <w:bCs/>
          <w:color w:val="auto"/>
          <w:kern w:val="0"/>
          <w:sz w:val="28"/>
          <w:szCs w:val="28"/>
          <w:highlight w:val="none"/>
        </w:rPr>
      </w:pPr>
    </w:p>
    <w:p w14:paraId="246B618A">
      <w:pPr>
        <w:pStyle w:val="3"/>
        <w:rPr>
          <w:rFonts w:hint="eastAsia" w:ascii="仿宋" w:hAnsi="仿宋" w:eastAsia="仿宋" w:cs="仿宋"/>
          <w:bCs/>
          <w:color w:val="auto"/>
          <w:kern w:val="0"/>
          <w:szCs w:val="28"/>
          <w:highlight w:val="none"/>
        </w:rPr>
      </w:pPr>
    </w:p>
    <w:p w14:paraId="4689A9EC">
      <w:pPr>
        <w:rPr>
          <w:rFonts w:hint="eastAsia" w:ascii="仿宋" w:hAnsi="仿宋" w:eastAsia="仿宋" w:cs="仿宋"/>
          <w:b/>
          <w:bCs/>
          <w:color w:val="auto"/>
          <w:kern w:val="0"/>
          <w:sz w:val="28"/>
          <w:szCs w:val="28"/>
          <w:highlight w:val="none"/>
        </w:rPr>
      </w:pPr>
    </w:p>
    <w:p w14:paraId="2A48A4D1">
      <w:pPr>
        <w:pStyle w:val="3"/>
        <w:rPr>
          <w:rFonts w:hint="eastAsia" w:ascii="仿宋" w:hAnsi="仿宋" w:eastAsia="仿宋" w:cs="仿宋"/>
          <w:bCs/>
          <w:color w:val="auto"/>
          <w:kern w:val="0"/>
          <w:szCs w:val="28"/>
          <w:highlight w:val="none"/>
        </w:rPr>
      </w:pPr>
    </w:p>
    <w:p w14:paraId="3FE7B6D9">
      <w:pPr>
        <w:rPr>
          <w:color w:val="auto"/>
          <w:highlight w:val="none"/>
        </w:rPr>
      </w:pPr>
    </w:p>
    <w:bookmarkEnd w:id="2"/>
    <w:bookmarkEnd w:id="120"/>
    <w:bookmarkEnd w:id="121"/>
    <w:bookmarkEnd w:id="122"/>
    <w:bookmarkEnd w:id="123"/>
    <w:bookmarkEnd w:id="124"/>
    <w:p w14:paraId="375E8344">
      <w:pPr>
        <w:spacing w:line="360" w:lineRule="auto"/>
        <w:jc w:val="center"/>
        <w:rPr>
          <w:rFonts w:hint="eastAsia" w:ascii="仿宋" w:hAnsi="仿宋" w:eastAsia="仿宋" w:cs="仿宋"/>
          <w:b/>
          <w:bCs/>
          <w:color w:val="auto"/>
          <w:sz w:val="32"/>
          <w:szCs w:val="28"/>
          <w:highlight w:val="none"/>
        </w:rPr>
      </w:pPr>
    </w:p>
    <w:p w14:paraId="3FDE98C7">
      <w:pPr>
        <w:pStyle w:val="4"/>
        <w:spacing w:line="360" w:lineRule="auto"/>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5.对项目的认识、对实施任务、要求的理解</w:t>
      </w:r>
    </w:p>
    <w:p w14:paraId="5997D24C">
      <w:pPr>
        <w:pStyle w:val="4"/>
        <w:spacing w:before="0" w:after="0" w:line="360" w:lineRule="auto"/>
        <w:ind w:left="42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（供应商自行描述，格式自拟。）</w:t>
      </w:r>
    </w:p>
    <w:p w14:paraId="306B9CCE">
      <w:pPr>
        <w:rPr>
          <w:rFonts w:hint="eastAsia" w:ascii="仿宋" w:hAnsi="仿宋" w:eastAsia="仿宋" w:cs="仿宋"/>
          <w:color w:val="auto"/>
          <w:sz w:val="24"/>
          <w:szCs w:val="24"/>
          <w:highlight w:val="none"/>
        </w:rPr>
      </w:pPr>
    </w:p>
    <w:p w14:paraId="2B6B5398">
      <w:pPr>
        <w:pStyle w:val="4"/>
        <w:numPr>
          <w:ilvl w:val="0"/>
          <w:numId w:val="11"/>
        </w:numPr>
        <w:spacing w:before="0" w:after="0" w:line="360" w:lineRule="auto"/>
        <w:ind w:left="425"/>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重点难点分析及合理化建议</w:t>
      </w:r>
    </w:p>
    <w:p w14:paraId="4F72B001">
      <w:pPr>
        <w:pStyle w:val="4"/>
        <w:spacing w:before="0" w:after="0" w:line="360" w:lineRule="auto"/>
        <w:ind w:firstLine="2891" w:firstLineChars="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（供应商自行描述，格式自拟。）</w:t>
      </w:r>
    </w:p>
    <w:p w14:paraId="7DD702A2">
      <w:pPr>
        <w:rPr>
          <w:rFonts w:hint="eastAsia" w:ascii="仿宋" w:hAnsi="仿宋" w:eastAsia="仿宋" w:cs="仿宋"/>
          <w:color w:val="auto"/>
          <w:sz w:val="24"/>
          <w:szCs w:val="24"/>
          <w:highlight w:val="none"/>
        </w:rPr>
      </w:pPr>
    </w:p>
    <w:p w14:paraId="3C8CECC0">
      <w:pPr>
        <w:pStyle w:val="4"/>
        <w:spacing w:line="360" w:lineRule="auto"/>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7.项目规划的编制方案、路线和方法</w:t>
      </w:r>
    </w:p>
    <w:p w14:paraId="05634ACF">
      <w:pPr>
        <w:pStyle w:val="4"/>
        <w:spacing w:before="0" w:after="0" w:line="360" w:lineRule="auto"/>
        <w:ind w:left="42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（供应商自行描述，格式自拟。）</w:t>
      </w:r>
    </w:p>
    <w:p w14:paraId="4D399E7F">
      <w:pPr>
        <w:rPr>
          <w:rFonts w:hint="eastAsia" w:ascii="仿宋" w:hAnsi="仿宋" w:eastAsia="仿宋" w:cs="仿宋"/>
          <w:color w:val="auto"/>
          <w:sz w:val="24"/>
          <w:szCs w:val="24"/>
          <w:highlight w:val="none"/>
        </w:rPr>
      </w:pPr>
    </w:p>
    <w:p w14:paraId="368249ED">
      <w:pPr>
        <w:pStyle w:val="4"/>
        <w:spacing w:line="360" w:lineRule="auto"/>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8.工作计划安排和保障措施</w:t>
      </w:r>
    </w:p>
    <w:p w14:paraId="3F5AD021">
      <w:pPr>
        <w:pStyle w:val="4"/>
        <w:spacing w:before="0" w:after="0" w:line="360" w:lineRule="auto"/>
        <w:ind w:left="42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（供应商自行描述，格式自拟。）</w:t>
      </w:r>
    </w:p>
    <w:p w14:paraId="19EF6353">
      <w:pPr>
        <w:rPr>
          <w:rFonts w:hint="eastAsia" w:ascii="仿宋" w:hAnsi="仿宋" w:eastAsia="仿宋" w:cs="仿宋"/>
          <w:color w:val="auto"/>
          <w:sz w:val="24"/>
          <w:szCs w:val="24"/>
          <w:highlight w:val="none"/>
        </w:rPr>
      </w:pPr>
    </w:p>
    <w:p w14:paraId="0FC218C2">
      <w:pPr>
        <w:rPr>
          <w:rFonts w:hint="eastAsia" w:ascii="仿宋" w:hAnsi="仿宋" w:eastAsia="仿宋" w:cs="仿宋"/>
          <w:color w:val="auto"/>
          <w:sz w:val="24"/>
          <w:szCs w:val="24"/>
          <w:highlight w:val="none"/>
        </w:rPr>
      </w:pPr>
    </w:p>
    <w:p w14:paraId="243C8765">
      <w:pPr>
        <w:pStyle w:val="4"/>
        <w:spacing w:line="360" w:lineRule="auto"/>
        <w:jc w:val="center"/>
        <w:rPr>
          <w:rFonts w:hint="eastAsia" w:ascii="仿宋" w:hAnsi="仿宋" w:eastAsia="仿宋" w:cs="仿宋"/>
          <w:color w:val="auto"/>
          <w:szCs w:val="28"/>
          <w:highlight w:val="none"/>
        </w:rPr>
      </w:pPr>
      <w:r>
        <w:rPr>
          <w:rFonts w:hint="eastAsia" w:ascii="仿宋" w:hAnsi="仿宋" w:eastAsia="仿宋" w:cs="仿宋"/>
          <w:color w:val="auto"/>
          <w:szCs w:val="28"/>
          <w:highlight w:val="none"/>
        </w:rPr>
        <w:t>9.服务承诺</w:t>
      </w:r>
    </w:p>
    <w:p w14:paraId="4122FB05">
      <w:pPr>
        <w:pStyle w:val="4"/>
        <w:spacing w:before="0" w:after="0" w:line="360" w:lineRule="auto"/>
        <w:ind w:left="42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（供应商自行描述，格式自拟。）</w:t>
      </w:r>
    </w:p>
    <w:p w14:paraId="7604B3AC">
      <w:pPr>
        <w:adjustRightInd w:val="0"/>
        <w:spacing w:line="360" w:lineRule="auto"/>
        <w:jc w:val="center"/>
        <w:rPr>
          <w:rFonts w:hint="eastAsia" w:ascii="仿宋" w:hAnsi="仿宋" w:eastAsia="仿宋" w:cs="仿宋"/>
          <w:b/>
          <w:bCs/>
          <w:color w:val="auto"/>
          <w:sz w:val="32"/>
          <w:szCs w:val="28"/>
          <w:highlight w:val="none"/>
        </w:rPr>
      </w:pPr>
    </w:p>
    <w:p w14:paraId="2D6DCAEA">
      <w:pPr>
        <w:pStyle w:val="50"/>
        <w:rPr>
          <w:rFonts w:hint="eastAsia" w:ascii="仿宋" w:hAnsi="仿宋" w:eastAsia="仿宋" w:cs="仿宋"/>
          <w:b/>
          <w:bCs/>
          <w:color w:val="auto"/>
          <w:kern w:val="2"/>
          <w:sz w:val="32"/>
          <w:szCs w:val="28"/>
          <w:highlight w:val="none"/>
        </w:rPr>
      </w:pPr>
    </w:p>
    <w:p w14:paraId="680E4F8B">
      <w:pPr>
        <w:pStyle w:val="50"/>
        <w:rPr>
          <w:rFonts w:hint="eastAsia" w:ascii="仿宋" w:hAnsi="仿宋" w:eastAsia="仿宋" w:cs="仿宋"/>
          <w:b/>
          <w:bCs/>
          <w:color w:val="auto"/>
          <w:kern w:val="2"/>
          <w:sz w:val="32"/>
          <w:szCs w:val="28"/>
          <w:highlight w:val="none"/>
        </w:rPr>
      </w:pPr>
    </w:p>
    <w:p w14:paraId="080E6DDA">
      <w:pPr>
        <w:pStyle w:val="50"/>
        <w:rPr>
          <w:rFonts w:hint="eastAsia" w:ascii="仿宋" w:hAnsi="仿宋" w:eastAsia="仿宋" w:cs="仿宋"/>
          <w:b/>
          <w:bCs/>
          <w:color w:val="auto"/>
          <w:kern w:val="2"/>
          <w:sz w:val="32"/>
          <w:szCs w:val="28"/>
          <w:highlight w:val="none"/>
        </w:rPr>
      </w:pPr>
    </w:p>
    <w:p w14:paraId="2C98FC51">
      <w:pPr>
        <w:pStyle w:val="50"/>
        <w:rPr>
          <w:rFonts w:hint="eastAsia" w:ascii="仿宋" w:hAnsi="仿宋" w:eastAsia="仿宋" w:cs="仿宋"/>
          <w:b/>
          <w:bCs/>
          <w:color w:val="auto"/>
          <w:kern w:val="2"/>
          <w:sz w:val="32"/>
          <w:szCs w:val="28"/>
          <w:highlight w:val="none"/>
        </w:rPr>
      </w:pPr>
    </w:p>
    <w:p w14:paraId="04148B24">
      <w:pPr>
        <w:pStyle w:val="50"/>
        <w:rPr>
          <w:rFonts w:hint="eastAsia" w:ascii="仿宋" w:hAnsi="仿宋" w:eastAsia="仿宋" w:cs="仿宋"/>
          <w:b/>
          <w:bCs/>
          <w:color w:val="auto"/>
          <w:kern w:val="2"/>
          <w:sz w:val="32"/>
          <w:szCs w:val="28"/>
          <w:highlight w:val="none"/>
        </w:rPr>
      </w:pPr>
    </w:p>
    <w:p w14:paraId="232AA425">
      <w:pPr>
        <w:pStyle w:val="50"/>
        <w:rPr>
          <w:rFonts w:hint="eastAsia" w:ascii="仿宋" w:hAnsi="仿宋" w:eastAsia="仿宋" w:cs="仿宋"/>
          <w:b/>
          <w:bCs/>
          <w:color w:val="auto"/>
          <w:kern w:val="2"/>
          <w:sz w:val="32"/>
          <w:szCs w:val="28"/>
          <w:highlight w:val="none"/>
        </w:rPr>
      </w:pPr>
    </w:p>
    <w:p w14:paraId="35E7DE88">
      <w:pPr>
        <w:pStyle w:val="50"/>
        <w:rPr>
          <w:rFonts w:hint="eastAsia" w:ascii="仿宋" w:hAnsi="仿宋" w:eastAsia="仿宋" w:cs="仿宋"/>
          <w:b/>
          <w:bCs/>
          <w:color w:val="auto"/>
          <w:kern w:val="2"/>
          <w:sz w:val="32"/>
          <w:szCs w:val="28"/>
          <w:highlight w:val="none"/>
        </w:rPr>
      </w:pPr>
    </w:p>
    <w:p w14:paraId="1B50DF00">
      <w:pPr>
        <w:pStyle w:val="50"/>
        <w:rPr>
          <w:rFonts w:hint="eastAsia" w:ascii="仿宋" w:hAnsi="仿宋" w:eastAsia="仿宋" w:cs="仿宋"/>
          <w:b/>
          <w:bCs/>
          <w:color w:val="auto"/>
          <w:kern w:val="2"/>
          <w:sz w:val="32"/>
          <w:szCs w:val="28"/>
          <w:highlight w:val="none"/>
        </w:rPr>
      </w:pPr>
    </w:p>
    <w:p w14:paraId="0887C371">
      <w:pPr>
        <w:pStyle w:val="50"/>
        <w:rPr>
          <w:rFonts w:hint="eastAsia" w:ascii="仿宋" w:hAnsi="仿宋" w:eastAsia="仿宋" w:cs="仿宋"/>
          <w:b/>
          <w:bCs/>
          <w:color w:val="auto"/>
          <w:kern w:val="2"/>
          <w:sz w:val="32"/>
          <w:szCs w:val="28"/>
          <w:highlight w:val="none"/>
        </w:rPr>
      </w:pPr>
    </w:p>
    <w:p w14:paraId="5B61819E">
      <w:pPr>
        <w:pStyle w:val="50"/>
        <w:rPr>
          <w:rFonts w:hint="eastAsia" w:ascii="仿宋" w:hAnsi="仿宋" w:eastAsia="仿宋" w:cs="仿宋"/>
          <w:b/>
          <w:bCs/>
          <w:color w:val="auto"/>
          <w:kern w:val="2"/>
          <w:sz w:val="32"/>
          <w:szCs w:val="28"/>
          <w:highlight w:val="none"/>
        </w:rPr>
      </w:pPr>
    </w:p>
    <w:p w14:paraId="46B673BF">
      <w:pPr>
        <w:pStyle w:val="50"/>
        <w:rPr>
          <w:rFonts w:hint="eastAsia" w:ascii="仿宋" w:hAnsi="仿宋" w:eastAsia="仿宋" w:cs="仿宋"/>
          <w:b/>
          <w:bCs/>
          <w:color w:val="auto"/>
          <w:kern w:val="2"/>
          <w:sz w:val="32"/>
          <w:szCs w:val="28"/>
          <w:highlight w:val="none"/>
        </w:rPr>
      </w:pPr>
    </w:p>
    <w:p w14:paraId="60834F0F">
      <w:pPr>
        <w:pStyle w:val="50"/>
        <w:rPr>
          <w:rFonts w:hint="eastAsia" w:ascii="仿宋" w:hAnsi="仿宋" w:eastAsia="仿宋" w:cs="仿宋"/>
          <w:b/>
          <w:bCs/>
          <w:color w:val="auto"/>
          <w:kern w:val="2"/>
          <w:sz w:val="32"/>
          <w:szCs w:val="28"/>
          <w:highlight w:val="none"/>
        </w:rPr>
      </w:pPr>
    </w:p>
    <w:p w14:paraId="287CE923">
      <w:pPr>
        <w:pStyle w:val="50"/>
        <w:rPr>
          <w:rFonts w:hint="eastAsia" w:ascii="仿宋" w:hAnsi="仿宋" w:eastAsia="仿宋" w:cs="仿宋"/>
          <w:b/>
          <w:bCs/>
          <w:color w:val="auto"/>
          <w:kern w:val="2"/>
          <w:sz w:val="32"/>
          <w:szCs w:val="28"/>
          <w:highlight w:val="none"/>
        </w:rPr>
      </w:pPr>
    </w:p>
    <w:p w14:paraId="5B08B2C3">
      <w:pPr>
        <w:adjustRightInd w:val="0"/>
        <w:spacing w:line="360" w:lineRule="auto"/>
        <w:jc w:val="center"/>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10.拟投入本项目的人员配备情况</w:t>
      </w:r>
    </w:p>
    <w:tbl>
      <w:tblPr>
        <w:tblStyle w:val="34"/>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276"/>
        <w:gridCol w:w="1559"/>
        <w:gridCol w:w="1843"/>
        <w:gridCol w:w="1559"/>
        <w:gridCol w:w="1418"/>
        <w:gridCol w:w="836"/>
      </w:tblGrid>
      <w:tr w14:paraId="44E9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562" w:type="dxa"/>
            <w:vAlign w:val="center"/>
          </w:tcPr>
          <w:p w14:paraId="77BED4E1">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序号</w:t>
            </w:r>
          </w:p>
        </w:tc>
        <w:tc>
          <w:tcPr>
            <w:tcW w:w="1276" w:type="dxa"/>
            <w:vAlign w:val="center"/>
          </w:tcPr>
          <w:p w14:paraId="6EF9A71C">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姓名</w:t>
            </w:r>
          </w:p>
        </w:tc>
        <w:tc>
          <w:tcPr>
            <w:tcW w:w="1559" w:type="dxa"/>
            <w:vAlign w:val="center"/>
          </w:tcPr>
          <w:p w14:paraId="7A8CC23F">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性别</w:t>
            </w:r>
          </w:p>
        </w:tc>
        <w:tc>
          <w:tcPr>
            <w:tcW w:w="1843" w:type="dxa"/>
            <w:vAlign w:val="center"/>
          </w:tcPr>
          <w:p w14:paraId="0504EC71">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技术职称/执业资格（如有）</w:t>
            </w:r>
          </w:p>
        </w:tc>
        <w:tc>
          <w:tcPr>
            <w:tcW w:w="1559" w:type="dxa"/>
            <w:vAlign w:val="center"/>
          </w:tcPr>
          <w:p w14:paraId="28EF60C7">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拟在本项目中任职</w:t>
            </w:r>
          </w:p>
        </w:tc>
        <w:tc>
          <w:tcPr>
            <w:tcW w:w="1418" w:type="dxa"/>
            <w:vAlign w:val="center"/>
          </w:tcPr>
          <w:p w14:paraId="02606ED7">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从事相关工作时间</w:t>
            </w:r>
          </w:p>
        </w:tc>
        <w:tc>
          <w:tcPr>
            <w:tcW w:w="836" w:type="dxa"/>
            <w:vAlign w:val="center"/>
          </w:tcPr>
          <w:p w14:paraId="4888D897">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备注</w:t>
            </w:r>
          </w:p>
        </w:tc>
      </w:tr>
      <w:tr w14:paraId="6041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5E021FFC">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1276" w:type="dxa"/>
            <w:vAlign w:val="center"/>
          </w:tcPr>
          <w:p w14:paraId="1291EB7A">
            <w:pPr>
              <w:wordWrap w:val="0"/>
              <w:jc w:val="center"/>
              <w:rPr>
                <w:rFonts w:hint="eastAsia" w:ascii="仿宋" w:hAnsi="仿宋" w:eastAsia="仿宋" w:cs="仿宋"/>
                <w:color w:val="auto"/>
                <w:sz w:val="22"/>
                <w:szCs w:val="22"/>
                <w:highlight w:val="none"/>
              </w:rPr>
            </w:pPr>
          </w:p>
        </w:tc>
        <w:tc>
          <w:tcPr>
            <w:tcW w:w="1559" w:type="dxa"/>
            <w:vAlign w:val="center"/>
          </w:tcPr>
          <w:p w14:paraId="03037480">
            <w:pPr>
              <w:wordWrap w:val="0"/>
              <w:jc w:val="center"/>
              <w:rPr>
                <w:rFonts w:hint="eastAsia" w:ascii="仿宋" w:hAnsi="仿宋" w:eastAsia="仿宋" w:cs="仿宋"/>
                <w:color w:val="auto"/>
                <w:sz w:val="22"/>
                <w:szCs w:val="22"/>
                <w:highlight w:val="none"/>
              </w:rPr>
            </w:pPr>
          </w:p>
        </w:tc>
        <w:tc>
          <w:tcPr>
            <w:tcW w:w="1843" w:type="dxa"/>
            <w:vAlign w:val="center"/>
          </w:tcPr>
          <w:p w14:paraId="3699096C">
            <w:pPr>
              <w:wordWrap w:val="0"/>
              <w:jc w:val="center"/>
              <w:rPr>
                <w:rFonts w:hint="eastAsia" w:ascii="仿宋" w:hAnsi="仿宋" w:eastAsia="仿宋" w:cs="仿宋"/>
                <w:color w:val="auto"/>
                <w:sz w:val="22"/>
                <w:szCs w:val="22"/>
                <w:highlight w:val="none"/>
              </w:rPr>
            </w:pPr>
          </w:p>
        </w:tc>
        <w:tc>
          <w:tcPr>
            <w:tcW w:w="1559" w:type="dxa"/>
            <w:vAlign w:val="center"/>
          </w:tcPr>
          <w:p w14:paraId="280B538C">
            <w:pPr>
              <w:wordWrap w:val="0"/>
              <w:jc w:val="center"/>
              <w:rPr>
                <w:rFonts w:hint="eastAsia" w:ascii="仿宋" w:hAnsi="仿宋" w:eastAsia="仿宋" w:cs="仿宋"/>
                <w:color w:val="auto"/>
                <w:sz w:val="22"/>
                <w:szCs w:val="22"/>
                <w:highlight w:val="none"/>
              </w:rPr>
            </w:pPr>
          </w:p>
        </w:tc>
        <w:tc>
          <w:tcPr>
            <w:tcW w:w="1418" w:type="dxa"/>
            <w:vAlign w:val="center"/>
          </w:tcPr>
          <w:p w14:paraId="5590EE23">
            <w:pPr>
              <w:wordWrap w:val="0"/>
              <w:jc w:val="center"/>
              <w:rPr>
                <w:rFonts w:hint="eastAsia" w:ascii="仿宋" w:hAnsi="仿宋" w:eastAsia="仿宋" w:cs="仿宋"/>
                <w:color w:val="auto"/>
                <w:sz w:val="22"/>
                <w:szCs w:val="22"/>
                <w:highlight w:val="none"/>
              </w:rPr>
            </w:pPr>
          </w:p>
        </w:tc>
        <w:tc>
          <w:tcPr>
            <w:tcW w:w="836" w:type="dxa"/>
            <w:vAlign w:val="center"/>
          </w:tcPr>
          <w:p w14:paraId="340C8B1C">
            <w:pPr>
              <w:wordWrap w:val="0"/>
              <w:jc w:val="center"/>
              <w:rPr>
                <w:rFonts w:hint="eastAsia" w:ascii="仿宋" w:hAnsi="仿宋" w:eastAsia="仿宋" w:cs="仿宋"/>
                <w:color w:val="auto"/>
                <w:sz w:val="22"/>
                <w:szCs w:val="22"/>
                <w:highlight w:val="none"/>
              </w:rPr>
            </w:pPr>
          </w:p>
        </w:tc>
      </w:tr>
      <w:tr w14:paraId="43FF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4A3A4965">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p>
        </w:tc>
        <w:tc>
          <w:tcPr>
            <w:tcW w:w="1276" w:type="dxa"/>
            <w:vAlign w:val="center"/>
          </w:tcPr>
          <w:p w14:paraId="391E8B0C">
            <w:pPr>
              <w:wordWrap w:val="0"/>
              <w:jc w:val="center"/>
              <w:rPr>
                <w:rFonts w:hint="eastAsia" w:ascii="仿宋" w:hAnsi="仿宋" w:eastAsia="仿宋" w:cs="仿宋"/>
                <w:color w:val="auto"/>
                <w:sz w:val="22"/>
                <w:szCs w:val="22"/>
                <w:highlight w:val="none"/>
              </w:rPr>
            </w:pPr>
          </w:p>
        </w:tc>
        <w:tc>
          <w:tcPr>
            <w:tcW w:w="1559" w:type="dxa"/>
            <w:vAlign w:val="center"/>
          </w:tcPr>
          <w:p w14:paraId="63C91FA7">
            <w:pPr>
              <w:wordWrap w:val="0"/>
              <w:jc w:val="center"/>
              <w:rPr>
                <w:rFonts w:hint="eastAsia" w:ascii="仿宋" w:hAnsi="仿宋" w:eastAsia="仿宋" w:cs="仿宋"/>
                <w:color w:val="auto"/>
                <w:sz w:val="22"/>
                <w:szCs w:val="22"/>
                <w:highlight w:val="none"/>
              </w:rPr>
            </w:pPr>
          </w:p>
        </w:tc>
        <w:tc>
          <w:tcPr>
            <w:tcW w:w="1843" w:type="dxa"/>
            <w:vAlign w:val="center"/>
          </w:tcPr>
          <w:p w14:paraId="35D030C5">
            <w:pPr>
              <w:wordWrap w:val="0"/>
              <w:jc w:val="center"/>
              <w:rPr>
                <w:rFonts w:hint="eastAsia" w:ascii="仿宋" w:hAnsi="仿宋" w:eastAsia="仿宋" w:cs="仿宋"/>
                <w:color w:val="auto"/>
                <w:sz w:val="22"/>
                <w:szCs w:val="22"/>
                <w:highlight w:val="none"/>
              </w:rPr>
            </w:pPr>
          </w:p>
        </w:tc>
        <w:tc>
          <w:tcPr>
            <w:tcW w:w="1559" w:type="dxa"/>
            <w:vAlign w:val="center"/>
          </w:tcPr>
          <w:p w14:paraId="0EEBCD03">
            <w:pPr>
              <w:wordWrap w:val="0"/>
              <w:jc w:val="center"/>
              <w:rPr>
                <w:rFonts w:hint="eastAsia" w:ascii="仿宋" w:hAnsi="仿宋" w:eastAsia="仿宋" w:cs="仿宋"/>
                <w:color w:val="auto"/>
                <w:sz w:val="22"/>
                <w:szCs w:val="22"/>
                <w:highlight w:val="none"/>
              </w:rPr>
            </w:pPr>
          </w:p>
        </w:tc>
        <w:tc>
          <w:tcPr>
            <w:tcW w:w="1418" w:type="dxa"/>
            <w:vAlign w:val="center"/>
          </w:tcPr>
          <w:p w14:paraId="07249E98">
            <w:pPr>
              <w:wordWrap w:val="0"/>
              <w:jc w:val="center"/>
              <w:rPr>
                <w:rFonts w:hint="eastAsia" w:ascii="仿宋" w:hAnsi="仿宋" w:eastAsia="仿宋" w:cs="仿宋"/>
                <w:color w:val="auto"/>
                <w:sz w:val="22"/>
                <w:szCs w:val="22"/>
                <w:highlight w:val="none"/>
              </w:rPr>
            </w:pPr>
          </w:p>
        </w:tc>
        <w:tc>
          <w:tcPr>
            <w:tcW w:w="836" w:type="dxa"/>
            <w:vAlign w:val="center"/>
          </w:tcPr>
          <w:p w14:paraId="22E4F108">
            <w:pPr>
              <w:wordWrap w:val="0"/>
              <w:jc w:val="center"/>
              <w:rPr>
                <w:rFonts w:hint="eastAsia" w:ascii="仿宋" w:hAnsi="仿宋" w:eastAsia="仿宋" w:cs="仿宋"/>
                <w:color w:val="auto"/>
                <w:sz w:val="22"/>
                <w:szCs w:val="22"/>
                <w:highlight w:val="none"/>
              </w:rPr>
            </w:pPr>
          </w:p>
        </w:tc>
      </w:tr>
      <w:tr w14:paraId="75A19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3C308ECC">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p>
        </w:tc>
        <w:tc>
          <w:tcPr>
            <w:tcW w:w="1276" w:type="dxa"/>
            <w:vAlign w:val="center"/>
          </w:tcPr>
          <w:p w14:paraId="2DE2FB48">
            <w:pPr>
              <w:wordWrap w:val="0"/>
              <w:jc w:val="center"/>
              <w:rPr>
                <w:rFonts w:hint="eastAsia" w:ascii="仿宋" w:hAnsi="仿宋" w:eastAsia="仿宋" w:cs="仿宋"/>
                <w:color w:val="auto"/>
                <w:sz w:val="22"/>
                <w:szCs w:val="22"/>
                <w:highlight w:val="none"/>
              </w:rPr>
            </w:pPr>
          </w:p>
        </w:tc>
        <w:tc>
          <w:tcPr>
            <w:tcW w:w="1559" w:type="dxa"/>
            <w:vAlign w:val="center"/>
          </w:tcPr>
          <w:p w14:paraId="77CEC475">
            <w:pPr>
              <w:wordWrap w:val="0"/>
              <w:jc w:val="center"/>
              <w:rPr>
                <w:rFonts w:hint="eastAsia" w:ascii="仿宋" w:hAnsi="仿宋" w:eastAsia="仿宋" w:cs="仿宋"/>
                <w:color w:val="auto"/>
                <w:sz w:val="22"/>
                <w:szCs w:val="22"/>
                <w:highlight w:val="none"/>
              </w:rPr>
            </w:pPr>
          </w:p>
        </w:tc>
        <w:tc>
          <w:tcPr>
            <w:tcW w:w="1843" w:type="dxa"/>
            <w:vAlign w:val="center"/>
          </w:tcPr>
          <w:p w14:paraId="5253AB66">
            <w:pPr>
              <w:wordWrap w:val="0"/>
              <w:jc w:val="center"/>
              <w:rPr>
                <w:rFonts w:hint="eastAsia" w:ascii="仿宋" w:hAnsi="仿宋" w:eastAsia="仿宋" w:cs="仿宋"/>
                <w:color w:val="auto"/>
                <w:sz w:val="22"/>
                <w:szCs w:val="22"/>
                <w:highlight w:val="none"/>
              </w:rPr>
            </w:pPr>
          </w:p>
        </w:tc>
        <w:tc>
          <w:tcPr>
            <w:tcW w:w="1559" w:type="dxa"/>
            <w:vAlign w:val="center"/>
          </w:tcPr>
          <w:p w14:paraId="6EE33B4C">
            <w:pPr>
              <w:wordWrap w:val="0"/>
              <w:jc w:val="center"/>
              <w:rPr>
                <w:rFonts w:hint="eastAsia" w:ascii="仿宋" w:hAnsi="仿宋" w:eastAsia="仿宋" w:cs="仿宋"/>
                <w:color w:val="auto"/>
                <w:sz w:val="22"/>
                <w:szCs w:val="22"/>
                <w:highlight w:val="none"/>
              </w:rPr>
            </w:pPr>
          </w:p>
        </w:tc>
        <w:tc>
          <w:tcPr>
            <w:tcW w:w="1418" w:type="dxa"/>
            <w:vAlign w:val="center"/>
          </w:tcPr>
          <w:p w14:paraId="1E66CB3F">
            <w:pPr>
              <w:wordWrap w:val="0"/>
              <w:jc w:val="center"/>
              <w:rPr>
                <w:rFonts w:hint="eastAsia" w:ascii="仿宋" w:hAnsi="仿宋" w:eastAsia="仿宋" w:cs="仿宋"/>
                <w:color w:val="auto"/>
                <w:sz w:val="22"/>
                <w:szCs w:val="22"/>
                <w:highlight w:val="none"/>
              </w:rPr>
            </w:pPr>
          </w:p>
        </w:tc>
        <w:tc>
          <w:tcPr>
            <w:tcW w:w="836" w:type="dxa"/>
            <w:vAlign w:val="center"/>
          </w:tcPr>
          <w:p w14:paraId="688FF472">
            <w:pPr>
              <w:wordWrap w:val="0"/>
              <w:jc w:val="center"/>
              <w:rPr>
                <w:rFonts w:hint="eastAsia" w:ascii="仿宋" w:hAnsi="仿宋" w:eastAsia="仿宋" w:cs="仿宋"/>
                <w:color w:val="auto"/>
                <w:sz w:val="22"/>
                <w:szCs w:val="22"/>
                <w:highlight w:val="none"/>
              </w:rPr>
            </w:pPr>
          </w:p>
        </w:tc>
      </w:tr>
      <w:tr w14:paraId="15F5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53C308F7">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p>
        </w:tc>
        <w:tc>
          <w:tcPr>
            <w:tcW w:w="1276" w:type="dxa"/>
            <w:vAlign w:val="center"/>
          </w:tcPr>
          <w:p w14:paraId="7C3BC2B8">
            <w:pPr>
              <w:wordWrap w:val="0"/>
              <w:jc w:val="center"/>
              <w:rPr>
                <w:rFonts w:hint="eastAsia" w:ascii="仿宋" w:hAnsi="仿宋" w:eastAsia="仿宋" w:cs="仿宋"/>
                <w:color w:val="auto"/>
                <w:sz w:val="22"/>
                <w:szCs w:val="22"/>
                <w:highlight w:val="none"/>
              </w:rPr>
            </w:pPr>
          </w:p>
        </w:tc>
        <w:tc>
          <w:tcPr>
            <w:tcW w:w="1559" w:type="dxa"/>
            <w:vAlign w:val="center"/>
          </w:tcPr>
          <w:p w14:paraId="1BAA08A1">
            <w:pPr>
              <w:wordWrap w:val="0"/>
              <w:jc w:val="center"/>
              <w:rPr>
                <w:rFonts w:hint="eastAsia" w:ascii="仿宋" w:hAnsi="仿宋" w:eastAsia="仿宋" w:cs="仿宋"/>
                <w:color w:val="auto"/>
                <w:sz w:val="22"/>
                <w:szCs w:val="22"/>
                <w:highlight w:val="none"/>
              </w:rPr>
            </w:pPr>
          </w:p>
        </w:tc>
        <w:tc>
          <w:tcPr>
            <w:tcW w:w="1843" w:type="dxa"/>
            <w:vAlign w:val="center"/>
          </w:tcPr>
          <w:p w14:paraId="6519BEA9">
            <w:pPr>
              <w:wordWrap w:val="0"/>
              <w:jc w:val="center"/>
              <w:rPr>
                <w:rFonts w:hint="eastAsia" w:ascii="仿宋" w:hAnsi="仿宋" w:eastAsia="仿宋" w:cs="仿宋"/>
                <w:color w:val="auto"/>
                <w:sz w:val="22"/>
                <w:szCs w:val="22"/>
                <w:highlight w:val="none"/>
              </w:rPr>
            </w:pPr>
          </w:p>
        </w:tc>
        <w:tc>
          <w:tcPr>
            <w:tcW w:w="1559" w:type="dxa"/>
            <w:vAlign w:val="center"/>
          </w:tcPr>
          <w:p w14:paraId="27B43FC0">
            <w:pPr>
              <w:wordWrap w:val="0"/>
              <w:jc w:val="center"/>
              <w:rPr>
                <w:rFonts w:hint="eastAsia" w:ascii="仿宋" w:hAnsi="仿宋" w:eastAsia="仿宋" w:cs="仿宋"/>
                <w:color w:val="auto"/>
                <w:sz w:val="22"/>
                <w:szCs w:val="22"/>
                <w:highlight w:val="none"/>
              </w:rPr>
            </w:pPr>
          </w:p>
        </w:tc>
        <w:tc>
          <w:tcPr>
            <w:tcW w:w="1418" w:type="dxa"/>
            <w:vAlign w:val="center"/>
          </w:tcPr>
          <w:p w14:paraId="48FE60DF">
            <w:pPr>
              <w:wordWrap w:val="0"/>
              <w:jc w:val="center"/>
              <w:rPr>
                <w:rFonts w:hint="eastAsia" w:ascii="仿宋" w:hAnsi="仿宋" w:eastAsia="仿宋" w:cs="仿宋"/>
                <w:color w:val="auto"/>
                <w:sz w:val="22"/>
                <w:szCs w:val="22"/>
                <w:highlight w:val="none"/>
              </w:rPr>
            </w:pPr>
          </w:p>
        </w:tc>
        <w:tc>
          <w:tcPr>
            <w:tcW w:w="836" w:type="dxa"/>
            <w:vAlign w:val="center"/>
          </w:tcPr>
          <w:p w14:paraId="61D726B9">
            <w:pPr>
              <w:wordWrap w:val="0"/>
              <w:jc w:val="center"/>
              <w:rPr>
                <w:rFonts w:hint="eastAsia" w:ascii="仿宋" w:hAnsi="仿宋" w:eastAsia="仿宋" w:cs="仿宋"/>
                <w:color w:val="auto"/>
                <w:sz w:val="22"/>
                <w:szCs w:val="22"/>
                <w:highlight w:val="none"/>
              </w:rPr>
            </w:pPr>
          </w:p>
        </w:tc>
      </w:tr>
      <w:tr w14:paraId="7561B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037BC54F">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w:t>
            </w:r>
          </w:p>
        </w:tc>
        <w:tc>
          <w:tcPr>
            <w:tcW w:w="1276" w:type="dxa"/>
            <w:vAlign w:val="center"/>
          </w:tcPr>
          <w:p w14:paraId="3E4D18ED">
            <w:pPr>
              <w:wordWrap w:val="0"/>
              <w:jc w:val="center"/>
              <w:rPr>
                <w:rFonts w:hint="eastAsia" w:ascii="仿宋" w:hAnsi="仿宋" w:eastAsia="仿宋" w:cs="仿宋"/>
                <w:color w:val="auto"/>
                <w:sz w:val="22"/>
                <w:szCs w:val="22"/>
                <w:highlight w:val="none"/>
              </w:rPr>
            </w:pPr>
          </w:p>
        </w:tc>
        <w:tc>
          <w:tcPr>
            <w:tcW w:w="1559" w:type="dxa"/>
            <w:vAlign w:val="center"/>
          </w:tcPr>
          <w:p w14:paraId="2EC222E7">
            <w:pPr>
              <w:wordWrap w:val="0"/>
              <w:jc w:val="center"/>
              <w:rPr>
                <w:rFonts w:hint="eastAsia" w:ascii="仿宋" w:hAnsi="仿宋" w:eastAsia="仿宋" w:cs="仿宋"/>
                <w:color w:val="auto"/>
                <w:sz w:val="22"/>
                <w:szCs w:val="22"/>
                <w:highlight w:val="none"/>
              </w:rPr>
            </w:pPr>
          </w:p>
        </w:tc>
        <w:tc>
          <w:tcPr>
            <w:tcW w:w="1843" w:type="dxa"/>
            <w:vAlign w:val="center"/>
          </w:tcPr>
          <w:p w14:paraId="68C1B37C">
            <w:pPr>
              <w:wordWrap w:val="0"/>
              <w:jc w:val="center"/>
              <w:rPr>
                <w:rFonts w:hint="eastAsia" w:ascii="仿宋" w:hAnsi="仿宋" w:eastAsia="仿宋" w:cs="仿宋"/>
                <w:color w:val="auto"/>
                <w:sz w:val="22"/>
                <w:szCs w:val="22"/>
                <w:highlight w:val="none"/>
              </w:rPr>
            </w:pPr>
          </w:p>
        </w:tc>
        <w:tc>
          <w:tcPr>
            <w:tcW w:w="1559" w:type="dxa"/>
            <w:vAlign w:val="center"/>
          </w:tcPr>
          <w:p w14:paraId="6A0F8565">
            <w:pPr>
              <w:wordWrap w:val="0"/>
              <w:jc w:val="center"/>
              <w:rPr>
                <w:rFonts w:hint="eastAsia" w:ascii="仿宋" w:hAnsi="仿宋" w:eastAsia="仿宋" w:cs="仿宋"/>
                <w:color w:val="auto"/>
                <w:sz w:val="22"/>
                <w:szCs w:val="22"/>
                <w:highlight w:val="none"/>
              </w:rPr>
            </w:pPr>
          </w:p>
        </w:tc>
        <w:tc>
          <w:tcPr>
            <w:tcW w:w="1418" w:type="dxa"/>
            <w:vAlign w:val="center"/>
          </w:tcPr>
          <w:p w14:paraId="707D5C5D">
            <w:pPr>
              <w:wordWrap w:val="0"/>
              <w:jc w:val="center"/>
              <w:rPr>
                <w:rFonts w:hint="eastAsia" w:ascii="仿宋" w:hAnsi="仿宋" w:eastAsia="仿宋" w:cs="仿宋"/>
                <w:color w:val="auto"/>
                <w:sz w:val="22"/>
                <w:szCs w:val="22"/>
                <w:highlight w:val="none"/>
              </w:rPr>
            </w:pPr>
          </w:p>
        </w:tc>
        <w:tc>
          <w:tcPr>
            <w:tcW w:w="836" w:type="dxa"/>
            <w:vAlign w:val="center"/>
          </w:tcPr>
          <w:p w14:paraId="144D5279">
            <w:pPr>
              <w:wordWrap w:val="0"/>
              <w:jc w:val="center"/>
              <w:rPr>
                <w:rFonts w:hint="eastAsia" w:ascii="仿宋" w:hAnsi="仿宋" w:eastAsia="仿宋" w:cs="仿宋"/>
                <w:color w:val="auto"/>
                <w:sz w:val="22"/>
                <w:szCs w:val="22"/>
                <w:highlight w:val="none"/>
              </w:rPr>
            </w:pPr>
          </w:p>
        </w:tc>
      </w:tr>
      <w:tr w14:paraId="79408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41500768">
            <w:pPr>
              <w:wordWrap w:val="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p>
        </w:tc>
        <w:tc>
          <w:tcPr>
            <w:tcW w:w="1276" w:type="dxa"/>
            <w:vAlign w:val="center"/>
          </w:tcPr>
          <w:p w14:paraId="3638E5F1">
            <w:pPr>
              <w:wordWrap w:val="0"/>
              <w:jc w:val="center"/>
              <w:rPr>
                <w:rFonts w:hint="eastAsia" w:ascii="仿宋" w:hAnsi="仿宋" w:eastAsia="仿宋" w:cs="仿宋"/>
                <w:color w:val="auto"/>
                <w:sz w:val="22"/>
                <w:szCs w:val="22"/>
                <w:highlight w:val="none"/>
              </w:rPr>
            </w:pPr>
          </w:p>
        </w:tc>
        <w:tc>
          <w:tcPr>
            <w:tcW w:w="1559" w:type="dxa"/>
            <w:vAlign w:val="center"/>
          </w:tcPr>
          <w:p w14:paraId="3FDA1B21">
            <w:pPr>
              <w:wordWrap w:val="0"/>
              <w:jc w:val="center"/>
              <w:rPr>
                <w:rFonts w:hint="eastAsia" w:ascii="仿宋" w:hAnsi="仿宋" w:eastAsia="仿宋" w:cs="仿宋"/>
                <w:color w:val="auto"/>
                <w:sz w:val="22"/>
                <w:szCs w:val="22"/>
                <w:highlight w:val="none"/>
              </w:rPr>
            </w:pPr>
          </w:p>
        </w:tc>
        <w:tc>
          <w:tcPr>
            <w:tcW w:w="1843" w:type="dxa"/>
            <w:vAlign w:val="center"/>
          </w:tcPr>
          <w:p w14:paraId="2D4F8CE4">
            <w:pPr>
              <w:wordWrap w:val="0"/>
              <w:jc w:val="center"/>
              <w:rPr>
                <w:rFonts w:hint="eastAsia" w:ascii="仿宋" w:hAnsi="仿宋" w:eastAsia="仿宋" w:cs="仿宋"/>
                <w:color w:val="auto"/>
                <w:sz w:val="22"/>
                <w:szCs w:val="22"/>
                <w:highlight w:val="none"/>
              </w:rPr>
            </w:pPr>
          </w:p>
        </w:tc>
        <w:tc>
          <w:tcPr>
            <w:tcW w:w="1559" w:type="dxa"/>
            <w:vAlign w:val="center"/>
          </w:tcPr>
          <w:p w14:paraId="5FDCE0BE">
            <w:pPr>
              <w:wordWrap w:val="0"/>
              <w:jc w:val="center"/>
              <w:rPr>
                <w:rFonts w:hint="eastAsia" w:ascii="仿宋" w:hAnsi="仿宋" w:eastAsia="仿宋" w:cs="仿宋"/>
                <w:color w:val="auto"/>
                <w:sz w:val="22"/>
                <w:szCs w:val="22"/>
                <w:highlight w:val="none"/>
              </w:rPr>
            </w:pPr>
          </w:p>
        </w:tc>
        <w:tc>
          <w:tcPr>
            <w:tcW w:w="1418" w:type="dxa"/>
            <w:vAlign w:val="center"/>
          </w:tcPr>
          <w:p w14:paraId="37A6B1AA">
            <w:pPr>
              <w:wordWrap w:val="0"/>
              <w:jc w:val="center"/>
              <w:rPr>
                <w:rFonts w:hint="eastAsia" w:ascii="仿宋" w:hAnsi="仿宋" w:eastAsia="仿宋" w:cs="仿宋"/>
                <w:color w:val="auto"/>
                <w:sz w:val="22"/>
                <w:szCs w:val="22"/>
                <w:highlight w:val="none"/>
              </w:rPr>
            </w:pPr>
          </w:p>
        </w:tc>
        <w:tc>
          <w:tcPr>
            <w:tcW w:w="836" w:type="dxa"/>
            <w:vAlign w:val="center"/>
          </w:tcPr>
          <w:p w14:paraId="10FA9C08">
            <w:pPr>
              <w:wordWrap w:val="0"/>
              <w:jc w:val="center"/>
              <w:rPr>
                <w:rFonts w:hint="eastAsia" w:ascii="仿宋" w:hAnsi="仿宋" w:eastAsia="仿宋" w:cs="仿宋"/>
                <w:color w:val="auto"/>
                <w:sz w:val="22"/>
                <w:szCs w:val="22"/>
                <w:highlight w:val="none"/>
              </w:rPr>
            </w:pPr>
          </w:p>
        </w:tc>
      </w:tr>
      <w:tr w14:paraId="2A19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3B8D5EAC">
            <w:pPr>
              <w:wordWrap w:val="0"/>
              <w:jc w:val="center"/>
              <w:rPr>
                <w:rFonts w:hint="eastAsia" w:ascii="仿宋" w:hAnsi="仿宋" w:eastAsia="仿宋" w:cs="仿宋"/>
                <w:color w:val="auto"/>
                <w:sz w:val="22"/>
                <w:szCs w:val="22"/>
                <w:highlight w:val="none"/>
              </w:rPr>
            </w:pPr>
          </w:p>
        </w:tc>
        <w:tc>
          <w:tcPr>
            <w:tcW w:w="1276" w:type="dxa"/>
            <w:vAlign w:val="center"/>
          </w:tcPr>
          <w:p w14:paraId="3975CA38">
            <w:pPr>
              <w:wordWrap w:val="0"/>
              <w:jc w:val="center"/>
              <w:rPr>
                <w:rFonts w:hint="eastAsia" w:ascii="仿宋" w:hAnsi="仿宋" w:eastAsia="仿宋" w:cs="仿宋"/>
                <w:color w:val="auto"/>
                <w:sz w:val="22"/>
                <w:szCs w:val="22"/>
                <w:highlight w:val="none"/>
              </w:rPr>
            </w:pPr>
          </w:p>
        </w:tc>
        <w:tc>
          <w:tcPr>
            <w:tcW w:w="1559" w:type="dxa"/>
            <w:vAlign w:val="center"/>
          </w:tcPr>
          <w:p w14:paraId="76DBA919">
            <w:pPr>
              <w:wordWrap w:val="0"/>
              <w:jc w:val="center"/>
              <w:rPr>
                <w:rFonts w:hint="eastAsia" w:ascii="仿宋" w:hAnsi="仿宋" w:eastAsia="仿宋" w:cs="仿宋"/>
                <w:color w:val="auto"/>
                <w:sz w:val="22"/>
                <w:szCs w:val="22"/>
                <w:highlight w:val="none"/>
              </w:rPr>
            </w:pPr>
          </w:p>
        </w:tc>
        <w:tc>
          <w:tcPr>
            <w:tcW w:w="1843" w:type="dxa"/>
            <w:vAlign w:val="center"/>
          </w:tcPr>
          <w:p w14:paraId="63F30D5B">
            <w:pPr>
              <w:wordWrap w:val="0"/>
              <w:jc w:val="center"/>
              <w:rPr>
                <w:rFonts w:hint="eastAsia" w:ascii="仿宋" w:hAnsi="仿宋" w:eastAsia="仿宋" w:cs="仿宋"/>
                <w:color w:val="auto"/>
                <w:sz w:val="22"/>
                <w:szCs w:val="22"/>
                <w:highlight w:val="none"/>
              </w:rPr>
            </w:pPr>
          </w:p>
        </w:tc>
        <w:tc>
          <w:tcPr>
            <w:tcW w:w="1559" w:type="dxa"/>
            <w:vAlign w:val="center"/>
          </w:tcPr>
          <w:p w14:paraId="7E543DD6">
            <w:pPr>
              <w:wordWrap w:val="0"/>
              <w:jc w:val="center"/>
              <w:rPr>
                <w:rFonts w:hint="eastAsia" w:ascii="仿宋" w:hAnsi="仿宋" w:eastAsia="仿宋" w:cs="仿宋"/>
                <w:color w:val="auto"/>
                <w:sz w:val="22"/>
                <w:szCs w:val="22"/>
                <w:highlight w:val="none"/>
              </w:rPr>
            </w:pPr>
          </w:p>
        </w:tc>
        <w:tc>
          <w:tcPr>
            <w:tcW w:w="1418" w:type="dxa"/>
            <w:vAlign w:val="center"/>
          </w:tcPr>
          <w:p w14:paraId="00D53C86">
            <w:pPr>
              <w:wordWrap w:val="0"/>
              <w:jc w:val="center"/>
              <w:rPr>
                <w:rFonts w:hint="eastAsia" w:ascii="仿宋" w:hAnsi="仿宋" w:eastAsia="仿宋" w:cs="仿宋"/>
                <w:color w:val="auto"/>
                <w:sz w:val="22"/>
                <w:szCs w:val="22"/>
                <w:highlight w:val="none"/>
              </w:rPr>
            </w:pPr>
          </w:p>
        </w:tc>
        <w:tc>
          <w:tcPr>
            <w:tcW w:w="836" w:type="dxa"/>
            <w:vAlign w:val="center"/>
          </w:tcPr>
          <w:p w14:paraId="0F7F84E0">
            <w:pPr>
              <w:wordWrap w:val="0"/>
              <w:jc w:val="center"/>
              <w:rPr>
                <w:rFonts w:hint="eastAsia" w:ascii="仿宋" w:hAnsi="仿宋" w:eastAsia="仿宋" w:cs="仿宋"/>
                <w:color w:val="auto"/>
                <w:sz w:val="22"/>
                <w:szCs w:val="22"/>
                <w:highlight w:val="none"/>
              </w:rPr>
            </w:pPr>
          </w:p>
        </w:tc>
      </w:tr>
      <w:tr w14:paraId="50328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231D1217">
            <w:pPr>
              <w:wordWrap w:val="0"/>
              <w:jc w:val="center"/>
              <w:rPr>
                <w:rFonts w:hint="eastAsia" w:ascii="仿宋" w:hAnsi="仿宋" w:eastAsia="仿宋" w:cs="仿宋"/>
                <w:color w:val="auto"/>
                <w:sz w:val="22"/>
                <w:szCs w:val="22"/>
                <w:highlight w:val="none"/>
              </w:rPr>
            </w:pPr>
          </w:p>
        </w:tc>
        <w:tc>
          <w:tcPr>
            <w:tcW w:w="1276" w:type="dxa"/>
            <w:vAlign w:val="center"/>
          </w:tcPr>
          <w:p w14:paraId="2D4BB32B">
            <w:pPr>
              <w:wordWrap w:val="0"/>
              <w:jc w:val="center"/>
              <w:rPr>
                <w:rFonts w:hint="eastAsia" w:ascii="仿宋" w:hAnsi="仿宋" w:eastAsia="仿宋" w:cs="仿宋"/>
                <w:color w:val="auto"/>
                <w:sz w:val="22"/>
                <w:szCs w:val="22"/>
                <w:highlight w:val="none"/>
              </w:rPr>
            </w:pPr>
          </w:p>
        </w:tc>
        <w:tc>
          <w:tcPr>
            <w:tcW w:w="1559" w:type="dxa"/>
            <w:vAlign w:val="center"/>
          </w:tcPr>
          <w:p w14:paraId="4C253A4C">
            <w:pPr>
              <w:wordWrap w:val="0"/>
              <w:jc w:val="center"/>
              <w:rPr>
                <w:rFonts w:hint="eastAsia" w:ascii="仿宋" w:hAnsi="仿宋" w:eastAsia="仿宋" w:cs="仿宋"/>
                <w:color w:val="auto"/>
                <w:sz w:val="22"/>
                <w:szCs w:val="22"/>
                <w:highlight w:val="none"/>
              </w:rPr>
            </w:pPr>
          </w:p>
        </w:tc>
        <w:tc>
          <w:tcPr>
            <w:tcW w:w="1843" w:type="dxa"/>
            <w:vAlign w:val="center"/>
          </w:tcPr>
          <w:p w14:paraId="4B3A443F">
            <w:pPr>
              <w:wordWrap w:val="0"/>
              <w:jc w:val="center"/>
              <w:rPr>
                <w:rFonts w:hint="eastAsia" w:ascii="仿宋" w:hAnsi="仿宋" w:eastAsia="仿宋" w:cs="仿宋"/>
                <w:color w:val="auto"/>
                <w:sz w:val="22"/>
                <w:szCs w:val="22"/>
                <w:highlight w:val="none"/>
              </w:rPr>
            </w:pPr>
          </w:p>
        </w:tc>
        <w:tc>
          <w:tcPr>
            <w:tcW w:w="1559" w:type="dxa"/>
            <w:vAlign w:val="center"/>
          </w:tcPr>
          <w:p w14:paraId="155903C0">
            <w:pPr>
              <w:wordWrap w:val="0"/>
              <w:jc w:val="center"/>
              <w:rPr>
                <w:rFonts w:hint="eastAsia" w:ascii="仿宋" w:hAnsi="仿宋" w:eastAsia="仿宋" w:cs="仿宋"/>
                <w:color w:val="auto"/>
                <w:sz w:val="22"/>
                <w:szCs w:val="22"/>
                <w:highlight w:val="none"/>
              </w:rPr>
            </w:pPr>
          </w:p>
        </w:tc>
        <w:tc>
          <w:tcPr>
            <w:tcW w:w="1418" w:type="dxa"/>
            <w:vAlign w:val="center"/>
          </w:tcPr>
          <w:p w14:paraId="12F18E95">
            <w:pPr>
              <w:wordWrap w:val="0"/>
              <w:jc w:val="center"/>
              <w:rPr>
                <w:rFonts w:hint="eastAsia" w:ascii="仿宋" w:hAnsi="仿宋" w:eastAsia="仿宋" w:cs="仿宋"/>
                <w:color w:val="auto"/>
                <w:sz w:val="22"/>
                <w:szCs w:val="22"/>
                <w:highlight w:val="none"/>
              </w:rPr>
            </w:pPr>
          </w:p>
        </w:tc>
        <w:tc>
          <w:tcPr>
            <w:tcW w:w="836" w:type="dxa"/>
            <w:vAlign w:val="center"/>
          </w:tcPr>
          <w:p w14:paraId="57F79596">
            <w:pPr>
              <w:wordWrap w:val="0"/>
              <w:jc w:val="center"/>
              <w:rPr>
                <w:rFonts w:hint="eastAsia" w:ascii="仿宋" w:hAnsi="仿宋" w:eastAsia="仿宋" w:cs="仿宋"/>
                <w:color w:val="auto"/>
                <w:sz w:val="22"/>
                <w:szCs w:val="22"/>
                <w:highlight w:val="none"/>
              </w:rPr>
            </w:pPr>
          </w:p>
        </w:tc>
      </w:tr>
      <w:tr w14:paraId="27A4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3CD17846">
            <w:pPr>
              <w:wordWrap w:val="0"/>
              <w:jc w:val="center"/>
              <w:rPr>
                <w:rFonts w:hint="eastAsia" w:ascii="仿宋" w:hAnsi="仿宋" w:eastAsia="仿宋" w:cs="仿宋"/>
                <w:color w:val="auto"/>
                <w:sz w:val="22"/>
                <w:szCs w:val="22"/>
                <w:highlight w:val="none"/>
              </w:rPr>
            </w:pPr>
          </w:p>
        </w:tc>
        <w:tc>
          <w:tcPr>
            <w:tcW w:w="1276" w:type="dxa"/>
            <w:vAlign w:val="center"/>
          </w:tcPr>
          <w:p w14:paraId="4AFFE1EE">
            <w:pPr>
              <w:wordWrap w:val="0"/>
              <w:jc w:val="center"/>
              <w:rPr>
                <w:rFonts w:hint="eastAsia" w:ascii="仿宋" w:hAnsi="仿宋" w:eastAsia="仿宋" w:cs="仿宋"/>
                <w:color w:val="auto"/>
                <w:sz w:val="22"/>
                <w:szCs w:val="22"/>
                <w:highlight w:val="none"/>
              </w:rPr>
            </w:pPr>
          </w:p>
        </w:tc>
        <w:tc>
          <w:tcPr>
            <w:tcW w:w="1559" w:type="dxa"/>
            <w:vAlign w:val="center"/>
          </w:tcPr>
          <w:p w14:paraId="558B52C2">
            <w:pPr>
              <w:wordWrap w:val="0"/>
              <w:jc w:val="center"/>
              <w:rPr>
                <w:rFonts w:hint="eastAsia" w:ascii="仿宋" w:hAnsi="仿宋" w:eastAsia="仿宋" w:cs="仿宋"/>
                <w:color w:val="auto"/>
                <w:sz w:val="22"/>
                <w:szCs w:val="22"/>
                <w:highlight w:val="none"/>
              </w:rPr>
            </w:pPr>
          </w:p>
        </w:tc>
        <w:tc>
          <w:tcPr>
            <w:tcW w:w="1843" w:type="dxa"/>
            <w:vAlign w:val="center"/>
          </w:tcPr>
          <w:p w14:paraId="5CF2BA83">
            <w:pPr>
              <w:wordWrap w:val="0"/>
              <w:jc w:val="center"/>
              <w:rPr>
                <w:rFonts w:hint="eastAsia" w:ascii="仿宋" w:hAnsi="仿宋" w:eastAsia="仿宋" w:cs="仿宋"/>
                <w:color w:val="auto"/>
                <w:sz w:val="22"/>
                <w:szCs w:val="22"/>
                <w:highlight w:val="none"/>
              </w:rPr>
            </w:pPr>
          </w:p>
        </w:tc>
        <w:tc>
          <w:tcPr>
            <w:tcW w:w="1559" w:type="dxa"/>
            <w:vAlign w:val="center"/>
          </w:tcPr>
          <w:p w14:paraId="66EA0BDA">
            <w:pPr>
              <w:wordWrap w:val="0"/>
              <w:jc w:val="center"/>
              <w:rPr>
                <w:rFonts w:hint="eastAsia" w:ascii="仿宋" w:hAnsi="仿宋" w:eastAsia="仿宋" w:cs="仿宋"/>
                <w:color w:val="auto"/>
                <w:sz w:val="22"/>
                <w:szCs w:val="22"/>
                <w:highlight w:val="none"/>
              </w:rPr>
            </w:pPr>
          </w:p>
        </w:tc>
        <w:tc>
          <w:tcPr>
            <w:tcW w:w="1418" w:type="dxa"/>
            <w:vAlign w:val="center"/>
          </w:tcPr>
          <w:p w14:paraId="3BD5A959">
            <w:pPr>
              <w:wordWrap w:val="0"/>
              <w:jc w:val="center"/>
              <w:rPr>
                <w:rFonts w:hint="eastAsia" w:ascii="仿宋" w:hAnsi="仿宋" w:eastAsia="仿宋" w:cs="仿宋"/>
                <w:color w:val="auto"/>
                <w:sz w:val="22"/>
                <w:szCs w:val="22"/>
                <w:highlight w:val="none"/>
              </w:rPr>
            </w:pPr>
          </w:p>
        </w:tc>
        <w:tc>
          <w:tcPr>
            <w:tcW w:w="836" w:type="dxa"/>
            <w:vAlign w:val="center"/>
          </w:tcPr>
          <w:p w14:paraId="0ECE9E8A">
            <w:pPr>
              <w:wordWrap w:val="0"/>
              <w:jc w:val="center"/>
              <w:rPr>
                <w:rFonts w:hint="eastAsia" w:ascii="仿宋" w:hAnsi="仿宋" w:eastAsia="仿宋" w:cs="仿宋"/>
                <w:color w:val="auto"/>
                <w:sz w:val="22"/>
                <w:szCs w:val="22"/>
                <w:highlight w:val="none"/>
              </w:rPr>
            </w:pPr>
          </w:p>
        </w:tc>
      </w:tr>
      <w:tr w14:paraId="722C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62" w:type="dxa"/>
            <w:vAlign w:val="center"/>
          </w:tcPr>
          <w:p w14:paraId="7A5EDCC0">
            <w:pPr>
              <w:wordWrap w:val="0"/>
              <w:jc w:val="center"/>
              <w:rPr>
                <w:rFonts w:hint="eastAsia" w:ascii="仿宋" w:hAnsi="仿宋" w:eastAsia="仿宋" w:cs="仿宋"/>
                <w:color w:val="auto"/>
                <w:sz w:val="22"/>
                <w:szCs w:val="22"/>
                <w:highlight w:val="none"/>
              </w:rPr>
            </w:pPr>
          </w:p>
        </w:tc>
        <w:tc>
          <w:tcPr>
            <w:tcW w:w="1276" w:type="dxa"/>
            <w:vAlign w:val="center"/>
          </w:tcPr>
          <w:p w14:paraId="2447AECF">
            <w:pPr>
              <w:wordWrap w:val="0"/>
              <w:jc w:val="center"/>
              <w:rPr>
                <w:rFonts w:hint="eastAsia" w:ascii="仿宋" w:hAnsi="仿宋" w:eastAsia="仿宋" w:cs="仿宋"/>
                <w:color w:val="auto"/>
                <w:sz w:val="22"/>
                <w:szCs w:val="22"/>
                <w:highlight w:val="none"/>
              </w:rPr>
            </w:pPr>
          </w:p>
        </w:tc>
        <w:tc>
          <w:tcPr>
            <w:tcW w:w="1559" w:type="dxa"/>
            <w:vAlign w:val="center"/>
          </w:tcPr>
          <w:p w14:paraId="6D09F4D1">
            <w:pPr>
              <w:wordWrap w:val="0"/>
              <w:jc w:val="center"/>
              <w:rPr>
                <w:rFonts w:hint="eastAsia" w:ascii="仿宋" w:hAnsi="仿宋" w:eastAsia="仿宋" w:cs="仿宋"/>
                <w:color w:val="auto"/>
                <w:sz w:val="22"/>
                <w:szCs w:val="22"/>
                <w:highlight w:val="none"/>
              </w:rPr>
            </w:pPr>
          </w:p>
        </w:tc>
        <w:tc>
          <w:tcPr>
            <w:tcW w:w="1843" w:type="dxa"/>
            <w:vAlign w:val="center"/>
          </w:tcPr>
          <w:p w14:paraId="3201E9EA">
            <w:pPr>
              <w:wordWrap w:val="0"/>
              <w:jc w:val="center"/>
              <w:rPr>
                <w:rFonts w:hint="eastAsia" w:ascii="仿宋" w:hAnsi="仿宋" w:eastAsia="仿宋" w:cs="仿宋"/>
                <w:color w:val="auto"/>
                <w:sz w:val="22"/>
                <w:szCs w:val="22"/>
                <w:highlight w:val="none"/>
              </w:rPr>
            </w:pPr>
          </w:p>
        </w:tc>
        <w:tc>
          <w:tcPr>
            <w:tcW w:w="1559" w:type="dxa"/>
            <w:vAlign w:val="center"/>
          </w:tcPr>
          <w:p w14:paraId="0E7796BE">
            <w:pPr>
              <w:wordWrap w:val="0"/>
              <w:jc w:val="center"/>
              <w:rPr>
                <w:rFonts w:hint="eastAsia" w:ascii="仿宋" w:hAnsi="仿宋" w:eastAsia="仿宋" w:cs="仿宋"/>
                <w:color w:val="auto"/>
                <w:sz w:val="22"/>
                <w:szCs w:val="22"/>
                <w:highlight w:val="none"/>
              </w:rPr>
            </w:pPr>
          </w:p>
        </w:tc>
        <w:tc>
          <w:tcPr>
            <w:tcW w:w="1418" w:type="dxa"/>
            <w:vAlign w:val="center"/>
          </w:tcPr>
          <w:p w14:paraId="1CDEBD9C">
            <w:pPr>
              <w:wordWrap w:val="0"/>
              <w:jc w:val="center"/>
              <w:rPr>
                <w:rFonts w:hint="eastAsia" w:ascii="仿宋" w:hAnsi="仿宋" w:eastAsia="仿宋" w:cs="仿宋"/>
                <w:color w:val="auto"/>
                <w:sz w:val="22"/>
                <w:szCs w:val="22"/>
                <w:highlight w:val="none"/>
              </w:rPr>
            </w:pPr>
          </w:p>
        </w:tc>
        <w:tc>
          <w:tcPr>
            <w:tcW w:w="836" w:type="dxa"/>
            <w:vAlign w:val="center"/>
          </w:tcPr>
          <w:p w14:paraId="281CC132">
            <w:pPr>
              <w:wordWrap w:val="0"/>
              <w:jc w:val="center"/>
              <w:rPr>
                <w:rFonts w:hint="eastAsia" w:ascii="仿宋" w:hAnsi="仿宋" w:eastAsia="仿宋" w:cs="仿宋"/>
                <w:color w:val="auto"/>
                <w:sz w:val="22"/>
                <w:szCs w:val="22"/>
                <w:highlight w:val="none"/>
              </w:rPr>
            </w:pPr>
          </w:p>
        </w:tc>
      </w:tr>
    </w:tbl>
    <w:p w14:paraId="2C3E73CF">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注：应附拟投入本项目的人员（包含项目负责人）的身份证、学历证、岗位证（如有）、职称证（如有）、社保证明（提供2024年7月至本项目截至投标（响应）文件递交时间前任意1个月）或劳动合同等证明材料的</w:t>
      </w:r>
      <w:r>
        <w:rPr>
          <w:rFonts w:ascii="仿宋" w:hAnsi="仿宋" w:eastAsia="仿宋" w:cs="仿宋"/>
          <w:color w:val="auto"/>
          <w:sz w:val="24"/>
          <w:szCs w:val="24"/>
          <w:highlight w:val="none"/>
        </w:rPr>
        <w:t>复印件或扫描件或打印件</w:t>
      </w:r>
      <w:r>
        <w:rPr>
          <w:rFonts w:hint="eastAsia" w:ascii="仿宋" w:hAnsi="仿宋" w:eastAsia="仿宋" w:cs="仿宋"/>
          <w:color w:val="auto"/>
          <w:sz w:val="22"/>
          <w:szCs w:val="22"/>
          <w:highlight w:val="none"/>
        </w:rPr>
        <w:t>。</w:t>
      </w:r>
    </w:p>
    <w:p w14:paraId="72ED885D">
      <w:pPr>
        <w:rPr>
          <w:rFonts w:hint="eastAsia" w:ascii="仿宋" w:hAnsi="仿宋" w:eastAsia="仿宋" w:cs="仿宋"/>
          <w:color w:val="auto"/>
          <w:sz w:val="22"/>
          <w:szCs w:val="22"/>
          <w:highlight w:val="none"/>
        </w:rPr>
      </w:pPr>
    </w:p>
    <w:p w14:paraId="1D955285">
      <w:pPr>
        <w:spacing w:line="360" w:lineRule="auto"/>
        <w:rPr>
          <w:rFonts w:hint="eastAsia" w:ascii="仿宋" w:hAnsi="仿宋" w:eastAsia="仿宋" w:cs="仿宋"/>
          <w:b/>
          <w:color w:val="auto"/>
          <w:sz w:val="28"/>
          <w:szCs w:val="28"/>
          <w:highlight w:val="none"/>
        </w:rPr>
      </w:pPr>
    </w:p>
    <w:p w14:paraId="048B802D">
      <w:pPr>
        <w:spacing w:line="360" w:lineRule="auto"/>
        <w:rPr>
          <w:rFonts w:hint="eastAsia" w:ascii="仿宋" w:hAnsi="仿宋" w:eastAsia="仿宋" w:cs="仿宋"/>
          <w:b/>
          <w:bCs/>
          <w:color w:val="auto"/>
          <w:sz w:val="28"/>
          <w:szCs w:val="28"/>
          <w:highlight w:val="none"/>
        </w:rPr>
      </w:pPr>
    </w:p>
    <w:p w14:paraId="76C0F93D">
      <w:pPr>
        <w:spacing w:line="360" w:lineRule="auto"/>
        <w:rPr>
          <w:rFonts w:hint="eastAsia" w:ascii="仿宋" w:hAnsi="仿宋" w:eastAsia="仿宋" w:cs="仿宋"/>
          <w:b/>
          <w:bCs/>
          <w:color w:val="auto"/>
          <w:sz w:val="28"/>
          <w:szCs w:val="28"/>
          <w:highlight w:val="none"/>
        </w:rPr>
      </w:pPr>
    </w:p>
    <w:p w14:paraId="64269085">
      <w:pPr>
        <w:spacing w:line="360" w:lineRule="auto"/>
        <w:rPr>
          <w:rFonts w:hint="eastAsia" w:ascii="仿宋" w:hAnsi="仿宋" w:eastAsia="仿宋" w:cs="仿宋"/>
          <w:b/>
          <w:bCs/>
          <w:color w:val="auto"/>
          <w:sz w:val="28"/>
          <w:szCs w:val="28"/>
          <w:highlight w:val="none"/>
        </w:rPr>
      </w:pPr>
    </w:p>
    <w:p w14:paraId="368325CB">
      <w:pPr>
        <w:pStyle w:val="2"/>
        <w:rPr>
          <w:rFonts w:hint="eastAsia" w:ascii="仿宋" w:hAnsi="仿宋" w:eastAsia="仿宋" w:cs="仿宋"/>
          <w:b/>
          <w:bCs/>
          <w:color w:val="auto"/>
          <w:sz w:val="28"/>
          <w:szCs w:val="28"/>
          <w:highlight w:val="none"/>
        </w:rPr>
      </w:pPr>
    </w:p>
    <w:p w14:paraId="604DB0AA">
      <w:pPr>
        <w:rPr>
          <w:color w:val="auto"/>
          <w:highlight w:val="none"/>
        </w:rPr>
      </w:pPr>
    </w:p>
    <w:p w14:paraId="1F7F5462">
      <w:pPr>
        <w:spacing w:line="360" w:lineRule="auto"/>
        <w:rPr>
          <w:rFonts w:hint="eastAsia" w:ascii="仿宋" w:hAnsi="仿宋" w:eastAsia="仿宋" w:cs="仿宋"/>
          <w:b/>
          <w:bCs/>
          <w:color w:val="auto"/>
          <w:sz w:val="28"/>
          <w:szCs w:val="28"/>
          <w:highlight w:val="none"/>
        </w:rPr>
      </w:pPr>
    </w:p>
    <w:p w14:paraId="72D4F948">
      <w:pPr>
        <w:adjustRightInd w:val="0"/>
        <w:spacing w:line="360" w:lineRule="auto"/>
        <w:jc w:val="center"/>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11.供应商类似项目业绩</w:t>
      </w:r>
    </w:p>
    <w:tbl>
      <w:tblPr>
        <w:tblStyle w:val="34"/>
        <w:tblW w:w="962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2419"/>
        <w:gridCol w:w="7204"/>
      </w:tblGrid>
      <w:tr w14:paraId="6FCC60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07" w:hRule="atLeast"/>
          <w:jc w:val="center"/>
        </w:trPr>
        <w:tc>
          <w:tcPr>
            <w:tcW w:w="2419" w:type="dxa"/>
            <w:tcBorders>
              <w:top w:val="single" w:color="auto" w:sz="4" w:space="0"/>
              <w:left w:val="single" w:color="auto" w:sz="4" w:space="0"/>
              <w:bottom w:val="single" w:color="auto" w:sz="6" w:space="0"/>
              <w:right w:val="single" w:color="auto" w:sz="6" w:space="0"/>
            </w:tcBorders>
            <w:vAlign w:val="center"/>
          </w:tcPr>
          <w:p w14:paraId="6F6C3C82">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项目名称</w:t>
            </w:r>
          </w:p>
        </w:tc>
        <w:tc>
          <w:tcPr>
            <w:tcW w:w="7204" w:type="dxa"/>
            <w:tcBorders>
              <w:top w:val="single" w:color="auto" w:sz="4" w:space="0"/>
              <w:left w:val="single" w:color="auto" w:sz="6" w:space="0"/>
              <w:bottom w:val="single" w:color="auto" w:sz="6" w:space="0"/>
              <w:right w:val="single" w:color="auto" w:sz="4" w:space="0"/>
            </w:tcBorders>
            <w:vAlign w:val="center"/>
          </w:tcPr>
          <w:p w14:paraId="265A4316">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3A6166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07" w:hRule="atLeast"/>
          <w:jc w:val="center"/>
        </w:trPr>
        <w:tc>
          <w:tcPr>
            <w:tcW w:w="2419" w:type="dxa"/>
            <w:tcBorders>
              <w:top w:val="single" w:color="auto" w:sz="6" w:space="0"/>
              <w:left w:val="single" w:color="auto" w:sz="4" w:space="0"/>
              <w:bottom w:val="single" w:color="auto" w:sz="6" w:space="0"/>
              <w:right w:val="single" w:color="auto" w:sz="6" w:space="0"/>
            </w:tcBorders>
            <w:vAlign w:val="center"/>
          </w:tcPr>
          <w:p w14:paraId="0E93BA75">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发包人名称</w:t>
            </w:r>
          </w:p>
        </w:tc>
        <w:tc>
          <w:tcPr>
            <w:tcW w:w="7204" w:type="dxa"/>
            <w:tcBorders>
              <w:top w:val="single" w:color="auto" w:sz="6" w:space="0"/>
              <w:left w:val="single" w:color="auto" w:sz="6" w:space="0"/>
              <w:bottom w:val="single" w:color="auto" w:sz="6" w:space="0"/>
              <w:right w:val="single" w:color="auto" w:sz="4" w:space="0"/>
            </w:tcBorders>
            <w:vAlign w:val="center"/>
          </w:tcPr>
          <w:p w14:paraId="5464CEE1">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29EA8E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08" w:hRule="atLeast"/>
          <w:jc w:val="center"/>
        </w:trPr>
        <w:tc>
          <w:tcPr>
            <w:tcW w:w="2419" w:type="dxa"/>
            <w:tcBorders>
              <w:top w:val="single" w:color="auto" w:sz="6" w:space="0"/>
              <w:left w:val="single" w:color="auto" w:sz="4" w:space="0"/>
              <w:bottom w:val="single" w:color="auto" w:sz="6" w:space="0"/>
              <w:right w:val="single" w:color="auto" w:sz="6" w:space="0"/>
            </w:tcBorders>
            <w:vAlign w:val="center"/>
          </w:tcPr>
          <w:p w14:paraId="459E8CA3">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发包人地址</w:t>
            </w:r>
          </w:p>
        </w:tc>
        <w:tc>
          <w:tcPr>
            <w:tcW w:w="7204" w:type="dxa"/>
            <w:tcBorders>
              <w:top w:val="single" w:color="auto" w:sz="6" w:space="0"/>
              <w:left w:val="single" w:color="auto" w:sz="6" w:space="0"/>
              <w:bottom w:val="single" w:color="auto" w:sz="6" w:space="0"/>
              <w:right w:val="single" w:color="auto" w:sz="4" w:space="0"/>
            </w:tcBorders>
            <w:vAlign w:val="center"/>
          </w:tcPr>
          <w:p w14:paraId="6E861BEF">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05480C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07" w:hRule="atLeast"/>
          <w:jc w:val="center"/>
        </w:trPr>
        <w:tc>
          <w:tcPr>
            <w:tcW w:w="2419" w:type="dxa"/>
            <w:tcBorders>
              <w:top w:val="single" w:color="auto" w:sz="6" w:space="0"/>
              <w:left w:val="single" w:color="auto" w:sz="4" w:space="0"/>
              <w:bottom w:val="single" w:color="auto" w:sz="6" w:space="0"/>
              <w:right w:val="single" w:color="auto" w:sz="6" w:space="0"/>
            </w:tcBorders>
            <w:vAlign w:val="center"/>
          </w:tcPr>
          <w:p w14:paraId="26581D54">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发包人电话</w:t>
            </w:r>
          </w:p>
        </w:tc>
        <w:tc>
          <w:tcPr>
            <w:tcW w:w="7204" w:type="dxa"/>
            <w:tcBorders>
              <w:top w:val="single" w:color="auto" w:sz="6" w:space="0"/>
              <w:left w:val="single" w:color="auto" w:sz="6" w:space="0"/>
              <w:bottom w:val="single" w:color="auto" w:sz="6" w:space="0"/>
              <w:right w:val="single" w:color="auto" w:sz="4" w:space="0"/>
            </w:tcBorders>
            <w:vAlign w:val="center"/>
          </w:tcPr>
          <w:p w14:paraId="1D69F77C">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025776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08" w:hRule="atLeast"/>
          <w:jc w:val="center"/>
        </w:trPr>
        <w:tc>
          <w:tcPr>
            <w:tcW w:w="2419" w:type="dxa"/>
            <w:tcBorders>
              <w:top w:val="single" w:color="auto" w:sz="6" w:space="0"/>
              <w:left w:val="single" w:color="auto" w:sz="4" w:space="0"/>
              <w:bottom w:val="single" w:color="auto" w:sz="6" w:space="0"/>
              <w:right w:val="single" w:color="auto" w:sz="6" w:space="0"/>
            </w:tcBorders>
            <w:vAlign w:val="center"/>
          </w:tcPr>
          <w:p w14:paraId="38262D0F">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合同价格</w:t>
            </w:r>
          </w:p>
        </w:tc>
        <w:tc>
          <w:tcPr>
            <w:tcW w:w="7204" w:type="dxa"/>
            <w:tcBorders>
              <w:top w:val="single" w:color="auto" w:sz="6" w:space="0"/>
              <w:left w:val="single" w:color="auto" w:sz="6" w:space="0"/>
              <w:bottom w:val="single" w:color="auto" w:sz="6" w:space="0"/>
              <w:right w:val="single" w:color="auto" w:sz="4" w:space="0"/>
            </w:tcBorders>
            <w:vAlign w:val="center"/>
          </w:tcPr>
          <w:p w14:paraId="2B9B5D4F">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638CEA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07" w:hRule="atLeast"/>
          <w:jc w:val="center"/>
        </w:trPr>
        <w:tc>
          <w:tcPr>
            <w:tcW w:w="2419" w:type="dxa"/>
            <w:tcBorders>
              <w:top w:val="single" w:color="auto" w:sz="6" w:space="0"/>
              <w:left w:val="single" w:color="auto" w:sz="4" w:space="0"/>
              <w:bottom w:val="single" w:color="auto" w:sz="6" w:space="0"/>
              <w:right w:val="single" w:color="auto" w:sz="6" w:space="0"/>
            </w:tcBorders>
            <w:vAlign w:val="center"/>
          </w:tcPr>
          <w:p w14:paraId="70741996">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开始日期</w:t>
            </w:r>
          </w:p>
        </w:tc>
        <w:tc>
          <w:tcPr>
            <w:tcW w:w="7204" w:type="dxa"/>
            <w:tcBorders>
              <w:top w:val="single" w:color="auto" w:sz="6" w:space="0"/>
              <w:left w:val="single" w:color="auto" w:sz="6" w:space="0"/>
              <w:bottom w:val="single" w:color="auto" w:sz="6" w:space="0"/>
              <w:right w:val="single" w:color="auto" w:sz="4" w:space="0"/>
            </w:tcBorders>
            <w:vAlign w:val="center"/>
          </w:tcPr>
          <w:p w14:paraId="31068E46">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43A0BF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08" w:hRule="atLeast"/>
          <w:jc w:val="center"/>
        </w:trPr>
        <w:tc>
          <w:tcPr>
            <w:tcW w:w="2419" w:type="dxa"/>
            <w:tcBorders>
              <w:top w:val="single" w:color="auto" w:sz="6" w:space="0"/>
              <w:left w:val="single" w:color="auto" w:sz="4" w:space="0"/>
              <w:bottom w:val="single" w:color="auto" w:sz="6" w:space="0"/>
              <w:right w:val="single" w:color="auto" w:sz="6" w:space="0"/>
            </w:tcBorders>
            <w:vAlign w:val="center"/>
          </w:tcPr>
          <w:p w14:paraId="301B45E1">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完成日期</w:t>
            </w:r>
          </w:p>
        </w:tc>
        <w:tc>
          <w:tcPr>
            <w:tcW w:w="7204" w:type="dxa"/>
            <w:tcBorders>
              <w:top w:val="single" w:color="auto" w:sz="6" w:space="0"/>
              <w:left w:val="single" w:color="auto" w:sz="6" w:space="0"/>
              <w:bottom w:val="single" w:color="auto" w:sz="6" w:space="0"/>
              <w:right w:val="single" w:color="auto" w:sz="4" w:space="0"/>
            </w:tcBorders>
            <w:vAlign w:val="center"/>
          </w:tcPr>
          <w:p w14:paraId="21548C8D">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439F3F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943" w:hRule="atLeast"/>
          <w:jc w:val="center"/>
        </w:trPr>
        <w:tc>
          <w:tcPr>
            <w:tcW w:w="2419" w:type="dxa"/>
            <w:tcBorders>
              <w:top w:val="single" w:color="auto" w:sz="6" w:space="0"/>
              <w:left w:val="single" w:color="auto" w:sz="4" w:space="0"/>
              <w:bottom w:val="single" w:color="auto" w:sz="6" w:space="0"/>
              <w:right w:val="single" w:color="auto" w:sz="6" w:space="0"/>
            </w:tcBorders>
            <w:vAlign w:val="center"/>
          </w:tcPr>
          <w:p w14:paraId="08DDDB3A">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项目描述</w:t>
            </w:r>
          </w:p>
        </w:tc>
        <w:tc>
          <w:tcPr>
            <w:tcW w:w="7204" w:type="dxa"/>
            <w:tcBorders>
              <w:top w:val="single" w:color="auto" w:sz="6" w:space="0"/>
              <w:left w:val="single" w:color="auto" w:sz="6" w:space="0"/>
              <w:bottom w:val="single" w:color="auto" w:sz="6" w:space="0"/>
              <w:right w:val="single" w:color="auto" w:sz="4" w:space="0"/>
            </w:tcBorders>
            <w:vAlign w:val="center"/>
          </w:tcPr>
          <w:p w14:paraId="422FECE1">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r w14:paraId="7E0C98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546" w:hRule="atLeast"/>
          <w:jc w:val="center"/>
        </w:trPr>
        <w:tc>
          <w:tcPr>
            <w:tcW w:w="2419" w:type="dxa"/>
            <w:tcBorders>
              <w:top w:val="single" w:color="auto" w:sz="6" w:space="0"/>
              <w:left w:val="single" w:color="auto" w:sz="4" w:space="0"/>
              <w:bottom w:val="single" w:color="auto" w:sz="4" w:space="0"/>
              <w:right w:val="single" w:color="auto" w:sz="6" w:space="0"/>
            </w:tcBorders>
            <w:vAlign w:val="center"/>
          </w:tcPr>
          <w:p w14:paraId="4F425187">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r>
              <w:rPr>
                <w:rFonts w:hint="eastAsia" w:ascii="宋体" w:hAnsi="宋体"/>
                <w:color w:val="auto"/>
                <w:sz w:val="22"/>
                <w:highlight w:val="none"/>
              </w:rPr>
              <w:t>备注</w:t>
            </w:r>
          </w:p>
        </w:tc>
        <w:tc>
          <w:tcPr>
            <w:tcW w:w="7204" w:type="dxa"/>
            <w:tcBorders>
              <w:top w:val="single" w:color="auto" w:sz="6" w:space="0"/>
              <w:left w:val="single" w:color="auto" w:sz="6" w:space="0"/>
              <w:bottom w:val="single" w:color="auto" w:sz="4" w:space="0"/>
              <w:right w:val="single" w:color="auto" w:sz="4" w:space="0"/>
            </w:tcBorders>
            <w:vAlign w:val="center"/>
          </w:tcPr>
          <w:p w14:paraId="3E3E7B4A">
            <w:pPr>
              <w:tabs>
                <w:tab w:val="center" w:pos="4153"/>
                <w:tab w:val="right" w:pos="8306"/>
              </w:tabs>
              <w:autoSpaceDE w:val="0"/>
              <w:autoSpaceDN w:val="0"/>
              <w:adjustRightInd w:val="0"/>
              <w:snapToGrid w:val="0"/>
              <w:spacing w:line="400" w:lineRule="atLeast"/>
              <w:jc w:val="center"/>
              <w:rPr>
                <w:rFonts w:hint="eastAsia" w:ascii="宋体" w:hAnsi="宋体"/>
                <w:color w:val="auto"/>
                <w:sz w:val="22"/>
                <w:highlight w:val="none"/>
              </w:rPr>
            </w:pPr>
          </w:p>
        </w:tc>
      </w:tr>
    </w:tbl>
    <w:p w14:paraId="4435FAF1">
      <w:pPr>
        <w:pStyle w:val="13"/>
        <w:rPr>
          <w:rFonts w:hint="eastAsia" w:ascii="仿宋" w:hAnsi="仿宋" w:eastAsia="仿宋" w:cs="仿宋"/>
          <w:color w:val="auto"/>
          <w:highlight w:val="none"/>
        </w:rPr>
      </w:pPr>
    </w:p>
    <w:p w14:paraId="65E8C33E">
      <w:pPr>
        <w:spacing w:line="480" w:lineRule="auto"/>
        <w:ind w:left="181" w:firstLine="412" w:firstLineChars="200"/>
        <w:jc w:val="left"/>
        <w:rPr>
          <w:rFonts w:hint="eastAsia" w:ascii="仿宋" w:hAnsi="仿宋" w:eastAsia="仿宋" w:cs="仿宋"/>
          <w:color w:val="auto"/>
          <w:spacing w:val="-2"/>
          <w:szCs w:val="21"/>
          <w:highlight w:val="none"/>
        </w:rPr>
      </w:pPr>
      <w:r>
        <w:rPr>
          <w:rFonts w:hint="eastAsia" w:ascii="仿宋" w:hAnsi="仿宋" w:eastAsia="仿宋" w:cs="仿宋"/>
          <w:color w:val="auto"/>
          <w:spacing w:val="-2"/>
          <w:szCs w:val="21"/>
          <w:highlight w:val="none"/>
        </w:rPr>
        <w:t>注：提供供应商2020年1月1日至今的类似项目业绩。业绩附合同复印件( 含关键页、服务内容、服务期限等)，若合同中未能体现相关信息的，可提供合同对应的中标通知书或业主证明材料作为补充，未按要求提供或不提供的不作为评审依据，不接受分包或转包业绩。</w:t>
      </w:r>
    </w:p>
    <w:p w14:paraId="2D971D9B">
      <w:pPr>
        <w:spacing w:line="360" w:lineRule="auto"/>
        <w:rPr>
          <w:rFonts w:hint="eastAsia" w:ascii="仿宋" w:hAnsi="仿宋" w:eastAsia="仿宋" w:cs="仿宋"/>
          <w:b/>
          <w:bCs/>
          <w:color w:val="auto"/>
          <w:sz w:val="28"/>
          <w:szCs w:val="28"/>
          <w:highlight w:val="none"/>
        </w:rPr>
      </w:pPr>
    </w:p>
    <w:p w14:paraId="1957955C">
      <w:pPr>
        <w:spacing w:line="360" w:lineRule="auto"/>
        <w:rPr>
          <w:rFonts w:hint="eastAsia" w:ascii="仿宋" w:hAnsi="仿宋" w:eastAsia="仿宋" w:cs="仿宋"/>
          <w:b/>
          <w:bCs/>
          <w:color w:val="auto"/>
          <w:sz w:val="28"/>
          <w:szCs w:val="28"/>
          <w:highlight w:val="none"/>
        </w:rPr>
      </w:pPr>
    </w:p>
    <w:p w14:paraId="500999ED">
      <w:pPr>
        <w:spacing w:line="360" w:lineRule="auto"/>
        <w:rPr>
          <w:rFonts w:hint="eastAsia" w:ascii="仿宋" w:hAnsi="仿宋" w:eastAsia="仿宋" w:cs="仿宋"/>
          <w:b/>
          <w:bCs/>
          <w:color w:val="auto"/>
          <w:sz w:val="28"/>
          <w:szCs w:val="28"/>
          <w:highlight w:val="none"/>
        </w:rPr>
      </w:pPr>
    </w:p>
    <w:p w14:paraId="1B62F915">
      <w:pPr>
        <w:pStyle w:val="50"/>
        <w:spacing w:line="360" w:lineRule="auto"/>
        <w:rPr>
          <w:rFonts w:hint="eastAsia"/>
          <w:color w:val="auto"/>
          <w:highlight w:val="none"/>
        </w:rPr>
      </w:pPr>
    </w:p>
    <w:p w14:paraId="3EFA6841">
      <w:pPr>
        <w:adjustRightInd w:val="0"/>
        <w:spacing w:line="360" w:lineRule="auto"/>
        <w:jc w:val="center"/>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12.供应商资料真实有效承诺书</w:t>
      </w:r>
    </w:p>
    <w:p w14:paraId="277E6659">
      <w:pPr>
        <w:pStyle w:val="25"/>
        <w:spacing w:line="440" w:lineRule="exact"/>
        <w:ind w:left="0" w:firstLine="0"/>
        <w:jc w:val="center"/>
        <w:outlineLvl w:val="1"/>
        <w:rPr>
          <w:rFonts w:cs="宋体"/>
          <w:b/>
          <w:bCs/>
          <w:color w:val="auto"/>
          <w:sz w:val="32"/>
          <w:szCs w:val="32"/>
          <w:highlight w:val="none"/>
        </w:rPr>
      </w:pPr>
    </w:p>
    <w:p w14:paraId="37292AEA">
      <w:pPr>
        <w:spacing w:line="480" w:lineRule="auto"/>
        <w:ind w:firstLine="420" w:firstLineChars="200"/>
        <w:rPr>
          <w:rFonts w:hint="eastAsia" w:hAnsi="宋体"/>
          <w:color w:val="auto"/>
          <w:highlight w:val="none"/>
        </w:rPr>
      </w:pPr>
      <w:r>
        <w:rPr>
          <w:rFonts w:hint="eastAsia" w:hAnsi="宋体"/>
          <w:color w:val="auto"/>
          <w:highlight w:val="none"/>
        </w:rPr>
        <w:t>供应商提供承诺书，承诺提供的所有投标资料真实有效，招标人有权对投标人提供的投标资料进行查询，一旦查出有弄虚作假或故意隐瞒行为，取消投标人投标资格，已经中标的中标无效，并承担一切法律责任和经济损失。承诺书格式自拟。</w:t>
      </w:r>
    </w:p>
    <w:p w14:paraId="416030E5">
      <w:pPr>
        <w:adjustRightInd w:val="0"/>
        <w:spacing w:line="360" w:lineRule="auto"/>
        <w:jc w:val="center"/>
        <w:rPr>
          <w:rFonts w:hint="eastAsia" w:ascii="仿宋" w:hAnsi="仿宋" w:eastAsia="仿宋" w:cs="仿宋"/>
          <w:b/>
          <w:bCs/>
          <w:color w:val="auto"/>
          <w:sz w:val="32"/>
          <w:szCs w:val="28"/>
          <w:highlight w:val="none"/>
        </w:rPr>
      </w:pPr>
    </w:p>
    <w:p w14:paraId="22408B86">
      <w:pPr>
        <w:adjustRightInd w:val="0"/>
        <w:spacing w:line="360" w:lineRule="auto"/>
        <w:jc w:val="center"/>
        <w:rPr>
          <w:rFonts w:hint="eastAsia" w:ascii="仿宋" w:hAnsi="仿宋" w:eastAsia="仿宋" w:cs="仿宋"/>
          <w:b/>
          <w:bCs/>
          <w:color w:val="auto"/>
          <w:sz w:val="32"/>
          <w:szCs w:val="28"/>
          <w:highlight w:val="none"/>
        </w:rPr>
      </w:pPr>
    </w:p>
    <w:p w14:paraId="21354E5A">
      <w:pPr>
        <w:adjustRightInd w:val="0"/>
        <w:spacing w:line="360" w:lineRule="auto"/>
        <w:jc w:val="center"/>
        <w:rPr>
          <w:rFonts w:hint="eastAsia" w:ascii="仿宋" w:hAnsi="仿宋" w:eastAsia="仿宋" w:cs="仿宋"/>
          <w:b/>
          <w:bCs/>
          <w:color w:val="auto"/>
          <w:sz w:val="32"/>
          <w:szCs w:val="28"/>
          <w:highlight w:val="none"/>
        </w:rPr>
      </w:pPr>
    </w:p>
    <w:p w14:paraId="150B8ECA">
      <w:pPr>
        <w:adjustRightInd w:val="0"/>
        <w:spacing w:line="360" w:lineRule="auto"/>
        <w:jc w:val="center"/>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13.采购文件要求以及供应商认为有必要提供的资料</w:t>
      </w:r>
    </w:p>
    <w:p w14:paraId="7771A8C8">
      <w:pPr>
        <w:rPr>
          <w:rFonts w:hint="eastAsia" w:ascii="仿宋" w:hAnsi="仿宋" w:eastAsia="仿宋" w:cs="仿宋"/>
          <w:b/>
          <w:bCs/>
          <w:color w:val="auto"/>
          <w:kern w:val="0"/>
          <w:sz w:val="28"/>
          <w:szCs w:val="28"/>
          <w:highlight w:val="none"/>
        </w:rPr>
      </w:pPr>
    </w:p>
    <w:sectPr>
      <w:headerReference r:id="rId11" w:type="first"/>
      <w:headerReference r:id="rId9" w:type="default"/>
      <w:footerReference r:id="rId12" w:type="default"/>
      <w:headerReference r:id="rId10" w:type="even"/>
      <w:pgSz w:w="11922" w:h="16838"/>
      <w:pgMar w:top="1298" w:right="1434" w:bottom="958" w:left="1434" w:header="850" w:footer="765"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Sans 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16" w:usb3="00000000" w:csb0="6006009F" w:csb1="DFD70000"/>
  </w:font>
  <w:font w:name="Arial Narrow">
    <w:altName w:val="Arial"/>
    <w:panose1 w:val="020B0606020202030204"/>
    <w:charset w:val="00"/>
    <w:family w:val="swiss"/>
    <w:pitch w:val="default"/>
    <w:sig w:usb0="00000000" w:usb1="00000000" w:usb2="00000000" w:usb3="00000000" w:csb0="0000009F" w:csb1="0000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92584">
    <w:pPr>
      <w:pStyle w:val="21"/>
    </w:pPr>
  </w:p>
  <w:p w14:paraId="6650E622">
    <w:pPr>
      <w:pStyle w:val="21"/>
    </w:pPr>
    <w:r>
      <w:rPr>
        <w:rFonts w:hint="eastAsia"/>
      </w:rPr>
      <w:t>采购代理机构：云南沐禹工程咨询有限公司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EEB82">
    <w:pPr>
      <w:pStyle w:val="21"/>
      <w:tabs>
        <w:tab w:val="clear" w:pos="4153"/>
      </w:tabs>
      <w:jc w:val="center"/>
      <w:rPr>
        <w:rFonts w:hint="eastAsia" w:ascii="仿宋" w:hAnsi="仿宋" w:eastAsia="仿宋" w:cs="仿宋"/>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3E8428">
                          <w:pPr>
                            <w:pStyle w:val="2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93E8428">
                    <w:pPr>
                      <w:pStyle w:val="2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rPr>
      <w:t xml:space="preserve">                                                              </w:t>
    </w:r>
    <w:r>
      <w:rPr>
        <w:rFonts w:hint="eastAsia"/>
        <w:sz w:val="21"/>
        <w:szCs w:val="21"/>
      </w:rPr>
      <w:t xml:space="preserve"> </w:t>
    </w:r>
    <w:r>
      <w:rPr>
        <w:rFonts w:hint="eastAsia"/>
      </w:rPr>
      <w:t xml:space="preserve">                     </w:t>
    </w:r>
    <w:r>
      <w:rPr>
        <w:rFonts w:hint="eastAsia" w:ascii="仿宋" w:hAnsi="仿宋" w:eastAsia="仿宋" w:cs="仿宋"/>
      </w:rPr>
      <w:t xml:space="preserve">                     </w:t>
    </w: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E26AF">
    <w:pPr>
      <w:pStyle w:val="21"/>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33063">
                          <w:pPr>
                            <w:pStyle w:val="21"/>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72033063">
                    <w:pPr>
                      <w:pStyle w:val="21"/>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51560" cy="310515"/>
              <wp:effectExtent l="0" t="0" r="0" b="0"/>
              <wp:wrapNone/>
              <wp:docPr id="7" name="图像2"/>
              <wp:cNvGraphicFramePr/>
              <a:graphic xmlns:a="http://schemas.openxmlformats.org/drawingml/2006/main">
                <a:graphicData uri="http://schemas.microsoft.com/office/word/2010/wordprocessingShape">
                  <wps:wsp>
                    <wps:cNvSpPr/>
                    <wps:spPr>
                      <a:xfrm>
                        <a:off x="0" y="0"/>
                        <a:ext cx="1051560" cy="310515"/>
                      </a:xfrm>
                      <a:prstGeom prst="rect">
                        <a:avLst/>
                      </a:prstGeom>
                      <a:solidFill>
                        <a:srgbClr val="FFFFFF">
                          <a:alpha val="0"/>
                        </a:srgbClr>
                      </a:solidFill>
                      <a:ln>
                        <a:noFill/>
                      </a:ln>
                    </wps:spPr>
                    <wps:txbx>
                      <w:txbxContent>
                        <w:p w14:paraId="45B967CC">
                          <w:pPr>
                            <w:pStyle w:val="130"/>
                            <w:snapToGrid w:val="0"/>
                            <w:rPr>
                              <w:sz w:val="18"/>
                            </w:rPr>
                          </w:pPr>
                          <w:r>
                            <w:rPr>
                              <w:sz w:val="18"/>
                            </w:rPr>
                            <w:t xml:space="preserve"> </w:t>
                          </w:r>
                        </w:p>
                      </w:txbxContent>
                    </wps:txbx>
                    <wps:bodyPr lIns="0" tIns="0" rIns="0" bIns="0" upright="1"/>
                  </wps:wsp>
                </a:graphicData>
              </a:graphic>
            </wp:anchor>
          </w:drawing>
        </mc:Choice>
        <mc:Fallback>
          <w:pict>
            <v:rect id="图像2" o:spid="_x0000_s1026" o:spt="1" style="position:absolute;left:0pt;margin-top:0pt;height:24.45pt;width:82.8pt;mso-position-horizontal:center;mso-position-horizontal-relative:margin;z-index:251663360;mso-width-relative:page;mso-height-relative:page;" fillcolor="#FFFFFF" filled="t" stroked="f" coordsize="21600,21600" o:gfxdata="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hB01CNQAAAAEAQAADwAAAAAAAAABACAAAAAiAAAAZHJzL2Rv&#10;d25yZXYueG1sUEsBAhQAFAAAAAgAh07iQD9WahDMAQAAqgMAAA4AAAAAAAAAAQAgAAAAIwEAAGRy&#10;cy9lMm9Eb2MueG1sUEsFBgAAAAAGAAYAWQEAAGEFAAAAAA==&#10;">
              <v:fill on="t" opacity="0f" focussize="0,0"/>
              <v:stroke on="f"/>
              <v:imagedata o:title=""/>
              <o:lock v:ext="edit" aspectratio="f"/>
              <v:textbox inset="0mm,0mm,0mm,0mm">
                <w:txbxContent>
                  <w:p w14:paraId="45B967CC">
                    <w:pPr>
                      <w:pStyle w:val="130"/>
                      <w:snapToGrid w:val="0"/>
                      <w:rPr>
                        <w:sz w:val="18"/>
                      </w:rPr>
                    </w:pPr>
                    <w:r>
                      <w:rPr>
                        <w:sz w:val="18"/>
                      </w:rPr>
                      <w:t xml:space="preserve"> </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BC73E">
    <w:pPr>
      <w:pStyle w:val="21"/>
      <w:jc w:val="right"/>
      <w:rPr>
        <w:rFonts w:hint="eastAsia" w:ascii="仿宋" w:hAnsi="仿宋" w:eastAsia="仿宋" w:cs="仿宋"/>
        <w:sz w:val="21"/>
        <w:szCs w:val="21"/>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BDAB34">
                          <w:pPr>
                            <w:pStyle w:val="21"/>
                          </w:pPr>
                          <w:r>
                            <w:t xml:space="preserve">第 </w:t>
                          </w:r>
                          <w:r>
                            <w:fldChar w:fldCharType="begin"/>
                          </w:r>
                          <w:r>
                            <w:instrText xml:space="preserve"> PAGE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5BDAB34">
                    <w:pPr>
                      <w:pStyle w:val="21"/>
                    </w:pPr>
                    <w:r>
                      <w:t xml:space="preserve">第 </w:t>
                    </w:r>
                    <w:r>
                      <w:fldChar w:fldCharType="begin"/>
                    </w:r>
                    <w:r>
                      <w:instrText xml:space="preserve"> PAGE  \* MERGEFORMAT </w:instrText>
                    </w:r>
                    <w:r>
                      <w:fldChar w:fldCharType="separate"/>
                    </w:r>
                    <w:r>
                      <w:t>66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CA4D6">
    <w:pPr>
      <w:pStyle w:val="22"/>
      <w:jc w:val="left"/>
    </w:pPr>
    <w:r>
      <w:rPr>
        <w:rFonts w:hint="eastAsia"/>
        <w:b/>
        <w:b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2A66D">
    <w:pPr>
      <w:pStyle w:val="8"/>
      <w:ind w:firstLine="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A7FA7">
    <w:pPr>
      <w:pStyle w:val="2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D189F">
    <w:pPr>
      <w:pStyle w:val="22"/>
      <w:pBdr>
        <w:bottom w:val="none" w:color="auto" w:sz="0" w:space="0"/>
      </w:pBdr>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3768B">
    <w:pPr>
      <w:pStyle w:val="22"/>
    </w:pPr>
    <w:r>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6285230" cy="6702425"/>
          <wp:effectExtent l="0" t="0" r="0" b="0"/>
          <wp:wrapNone/>
          <wp:docPr id="4" name="WordPictureWatermark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2" descr="LOGO"/>
                  <pic:cNvPicPr>
                    <a:picLocks noChangeAspect="1"/>
                  </pic:cNvPicPr>
                </pic:nvPicPr>
                <pic:blipFill>
                  <a:blip r:embed="rId1">
                    <a:lum bright="70001" contrast="-70000"/>
                  </a:blip>
                  <a:stretch>
                    <a:fillRect/>
                  </a:stretch>
                </pic:blipFill>
                <pic:spPr>
                  <a:xfrm>
                    <a:off x="0" y="0"/>
                    <a:ext cx="6285230" cy="6702425"/>
                  </a:xfrm>
                  <a:prstGeom prst="rect">
                    <a:avLst/>
                  </a:prstGeom>
                  <a:noFill/>
                  <a:ln w="9525">
                    <a:noFill/>
                  </a:ln>
                </pic:spPr>
              </pic:pic>
            </a:graphicData>
          </a:graphic>
        </wp:anchor>
      </w:drawing>
    </w:r>
    <w: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6285230" cy="6702425"/>
          <wp:effectExtent l="0" t="0" r="0" b="0"/>
          <wp:wrapNone/>
          <wp:docPr id="2" name="WordPictureWatermark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2" descr="LOGO"/>
                  <pic:cNvPicPr>
                    <a:picLocks noChangeAspect="1"/>
                  </pic:cNvPicPr>
                </pic:nvPicPr>
                <pic:blipFill>
                  <a:blip r:embed="rId1">
                    <a:lum bright="70001" contrast="-70000"/>
                  </a:blip>
                  <a:stretch>
                    <a:fillRect/>
                  </a:stretch>
                </pic:blipFill>
                <pic:spPr>
                  <a:xfrm>
                    <a:off x="0" y="0"/>
                    <a:ext cx="6285230" cy="6702425"/>
                  </a:xfrm>
                  <a:prstGeom prst="rect">
                    <a:avLst/>
                  </a:prstGeom>
                  <a:noFill/>
                  <a:ln w="9525">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B7B1B">
    <w:pPr>
      <w:pStyle w:val="22"/>
    </w:pPr>
    <w: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285230" cy="6702425"/>
          <wp:effectExtent l="0" t="0" r="0" b="0"/>
          <wp:wrapNone/>
          <wp:docPr id="3" name="WordPictureWatermark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 descr="LOGO"/>
                  <pic:cNvPicPr>
                    <a:picLocks noChangeAspect="1"/>
                  </pic:cNvPicPr>
                </pic:nvPicPr>
                <pic:blipFill>
                  <a:blip r:embed="rId1">
                    <a:lum bright="70001" contrast="-70000"/>
                  </a:blip>
                  <a:stretch>
                    <a:fillRect/>
                  </a:stretch>
                </pic:blipFill>
                <pic:spPr>
                  <a:xfrm>
                    <a:off x="0" y="0"/>
                    <a:ext cx="6285230" cy="6702425"/>
                  </a:xfrm>
                  <a:prstGeom prst="rect">
                    <a:avLst/>
                  </a:prstGeom>
                  <a:noFill/>
                  <a:ln w="9525">
                    <a:noFill/>
                  </a:ln>
                </pic:spPr>
              </pic:pic>
            </a:graphicData>
          </a:graphic>
        </wp:anchor>
      </w:drawing>
    </w: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285230" cy="6702425"/>
          <wp:effectExtent l="0" t="0" r="0" b="0"/>
          <wp:wrapNone/>
          <wp:docPr id="1" name="WordPictureWatermark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LOGO"/>
                  <pic:cNvPicPr>
                    <a:picLocks noChangeAspect="1"/>
                  </pic:cNvPicPr>
                </pic:nvPicPr>
                <pic:blipFill>
                  <a:blip r:embed="rId1">
                    <a:lum bright="70001" contrast="-70000"/>
                  </a:blip>
                  <a:stretch>
                    <a:fillRect/>
                  </a:stretch>
                </pic:blipFill>
                <pic:spPr>
                  <a:xfrm>
                    <a:off x="0" y="0"/>
                    <a:ext cx="6285230" cy="6702425"/>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4B9DA2"/>
    <w:multiLevelType w:val="singleLevel"/>
    <w:tmpl w:val="B14B9DA2"/>
    <w:lvl w:ilvl="0" w:tentative="0">
      <w:start w:val="1"/>
      <w:numFmt w:val="chineseCounting"/>
      <w:suff w:val="nothing"/>
      <w:lvlText w:val="%1、"/>
      <w:lvlJc w:val="left"/>
      <w:rPr>
        <w:rFonts w:hint="eastAsia"/>
      </w:rPr>
    </w:lvl>
  </w:abstractNum>
  <w:abstractNum w:abstractNumId="1">
    <w:nsid w:val="BC3A7F89"/>
    <w:multiLevelType w:val="singleLevel"/>
    <w:tmpl w:val="BC3A7F89"/>
    <w:lvl w:ilvl="0" w:tentative="0">
      <w:start w:val="6"/>
      <w:numFmt w:val="decimal"/>
      <w:lvlText w:val="%1."/>
      <w:lvlJc w:val="left"/>
      <w:pPr>
        <w:tabs>
          <w:tab w:val="left" w:pos="312"/>
        </w:tabs>
      </w:pPr>
    </w:lvl>
  </w:abstractNum>
  <w:abstractNum w:abstractNumId="2">
    <w:nsid w:val="CEC22A2B"/>
    <w:multiLevelType w:val="singleLevel"/>
    <w:tmpl w:val="CEC22A2B"/>
    <w:lvl w:ilvl="0" w:tentative="0">
      <w:start w:val="1"/>
      <w:numFmt w:val="decimal"/>
      <w:suff w:val="nothing"/>
      <w:lvlText w:val="%1、"/>
      <w:lvlJc w:val="left"/>
    </w:lvl>
  </w:abstractNum>
  <w:abstractNum w:abstractNumId="3">
    <w:nsid w:val="E73EC587"/>
    <w:multiLevelType w:val="singleLevel"/>
    <w:tmpl w:val="E73EC587"/>
    <w:lvl w:ilvl="0" w:tentative="0">
      <w:start w:val="1"/>
      <w:numFmt w:val="decimal"/>
      <w:suff w:val="nothing"/>
      <w:lvlText w:val="（%1）"/>
      <w:lvlJc w:val="left"/>
    </w:lvl>
  </w:abstractNum>
  <w:abstractNum w:abstractNumId="4">
    <w:nsid w:val="FFFFFFFB"/>
    <w:multiLevelType w:val="multilevel"/>
    <w:tmpl w:val="FFFFFFFB"/>
    <w:lvl w:ilvl="0" w:tentative="0">
      <w:start w:val="1"/>
      <w:numFmt w:val="decimal"/>
      <w:lvlText w:val="%1."/>
      <w:legacy w:legacy="1" w:legacySpace="0" w:legacyIndent="425"/>
      <w:lvlJc w:val="left"/>
      <w:pPr>
        <w:ind w:left="425" w:hanging="425"/>
      </w:pPr>
      <w:rPr>
        <w:rFonts w:cs="Times New Roman"/>
      </w:rPr>
    </w:lvl>
    <w:lvl w:ilvl="1" w:tentative="0">
      <w:start w:val="1"/>
      <w:numFmt w:val="decimal"/>
      <w:lvlText w:val="%1.%2."/>
      <w:legacy w:legacy="1" w:legacySpace="0" w:legacyIndent="425"/>
      <w:lvlJc w:val="left"/>
      <w:pPr>
        <w:ind w:left="850" w:hanging="425"/>
      </w:pPr>
      <w:rPr>
        <w:rFonts w:cs="Times New Roman"/>
      </w:rPr>
    </w:lvl>
    <w:lvl w:ilvl="2" w:tentative="0">
      <w:start w:val="1"/>
      <w:numFmt w:val="decimal"/>
      <w:lvlText w:val="%1.%2.%3."/>
      <w:legacy w:legacy="1" w:legacySpace="0" w:legacyIndent="425"/>
      <w:lvlJc w:val="left"/>
      <w:pPr>
        <w:ind w:left="1275" w:hanging="425"/>
      </w:pPr>
      <w:rPr>
        <w:rFonts w:cs="Times New Roman"/>
      </w:rPr>
    </w:lvl>
    <w:lvl w:ilvl="3" w:tentative="0">
      <w:start w:val="1"/>
      <w:numFmt w:val="decimal"/>
      <w:lvlText w:val="%1.%2.%3.%4."/>
      <w:legacy w:legacy="1" w:legacySpace="0" w:legacyIndent="425"/>
      <w:lvlJc w:val="left"/>
      <w:pPr>
        <w:ind w:left="1700" w:hanging="425"/>
      </w:pPr>
      <w:rPr>
        <w:rFonts w:cs="Times New Roman"/>
      </w:rPr>
    </w:lvl>
    <w:lvl w:ilvl="4" w:tentative="0">
      <w:start w:val="1"/>
      <w:numFmt w:val="decimal"/>
      <w:pStyle w:val="7"/>
      <w:lvlText w:val="%1.%2.%3.%4.%5."/>
      <w:legacy w:legacy="1" w:legacySpace="0" w:legacyIndent="425"/>
      <w:lvlJc w:val="left"/>
      <w:pPr>
        <w:ind w:left="2125" w:hanging="425"/>
      </w:pPr>
      <w:rPr>
        <w:rFonts w:cs="Times New Roman"/>
      </w:rPr>
    </w:lvl>
    <w:lvl w:ilvl="5" w:tentative="0">
      <w:start w:val="1"/>
      <w:numFmt w:val="decimal"/>
      <w:lvlText w:val="%1.%2.%3.%4.%5.%6."/>
      <w:legacy w:legacy="1" w:legacySpace="0" w:legacyIndent="425"/>
      <w:lvlJc w:val="left"/>
      <w:pPr>
        <w:ind w:left="2550" w:hanging="425"/>
      </w:pPr>
      <w:rPr>
        <w:rFonts w:cs="Times New Roman"/>
      </w:rPr>
    </w:lvl>
    <w:lvl w:ilvl="6" w:tentative="0">
      <w:start w:val="1"/>
      <w:numFmt w:val="decimal"/>
      <w:lvlText w:val="%1.%2.%3.%4.%5.%6.%7."/>
      <w:legacy w:legacy="1" w:legacySpace="0" w:legacyIndent="425"/>
      <w:lvlJc w:val="left"/>
      <w:pPr>
        <w:ind w:left="2975" w:hanging="425"/>
      </w:pPr>
      <w:rPr>
        <w:rFonts w:cs="Times New Roman"/>
      </w:rPr>
    </w:lvl>
    <w:lvl w:ilvl="7" w:tentative="0">
      <w:start w:val="1"/>
      <w:numFmt w:val="decimal"/>
      <w:lvlText w:val="%1.%2.%3.%4.%5.%6.%7.%8."/>
      <w:legacy w:legacy="1" w:legacySpace="0" w:legacyIndent="425"/>
      <w:lvlJc w:val="left"/>
      <w:pPr>
        <w:ind w:left="3400" w:hanging="425"/>
      </w:pPr>
      <w:rPr>
        <w:rFonts w:cs="Times New Roman"/>
      </w:rPr>
    </w:lvl>
    <w:lvl w:ilvl="8" w:tentative="0">
      <w:start w:val="1"/>
      <w:numFmt w:val="decimal"/>
      <w:lvlText w:val="%1.%2.%3.%4.%5.%6.%7.%8.%9."/>
      <w:legacy w:legacy="1" w:legacySpace="0" w:legacyIndent="425"/>
      <w:lvlJc w:val="left"/>
      <w:pPr>
        <w:ind w:left="3825" w:hanging="425"/>
      </w:pPr>
      <w:rPr>
        <w:rFonts w:cs="Times New Roman"/>
      </w:rPr>
    </w:lvl>
  </w:abstractNum>
  <w:abstractNum w:abstractNumId="5">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cs="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cs="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cs="Times New Roman"/>
        <w:b/>
        <w:i w:val="0"/>
        <w:sz w:val="24"/>
      </w:rPr>
    </w:lvl>
    <w:lvl w:ilvl="3" w:tentative="0">
      <w:start w:val="1"/>
      <w:numFmt w:val="decimal"/>
      <w:pStyle w:val="6"/>
      <w:lvlText w:val="%1.%2.%3.%4"/>
      <w:lvlJc w:val="left"/>
      <w:pPr>
        <w:tabs>
          <w:tab w:val="left" w:pos="2155"/>
        </w:tabs>
        <w:ind w:left="2155" w:hanging="1078"/>
      </w:pPr>
      <w:rPr>
        <w:rFonts w:hint="default" w:ascii="Arial" w:hAnsi="Arial" w:cs="Times New Roman"/>
        <w:b w:val="0"/>
        <w:i w:val="0"/>
        <w:sz w:val="24"/>
      </w:rPr>
    </w:lvl>
    <w:lvl w:ilvl="4" w:tentative="0">
      <w:start w:val="1"/>
      <w:numFmt w:val="decimal"/>
      <w:lvlText w:val="%1.%2.%3.%4.%5"/>
      <w:lvlJc w:val="left"/>
      <w:pPr>
        <w:tabs>
          <w:tab w:val="left" w:pos="314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4351"/>
        </w:tabs>
        <w:ind w:left="3827" w:hanging="1276"/>
      </w:pPr>
      <w:rPr>
        <w:rFonts w:hint="eastAsia" w:cs="Times New Roman"/>
      </w:rPr>
    </w:lvl>
    <w:lvl w:ilvl="7" w:tentative="0">
      <w:start w:val="1"/>
      <w:numFmt w:val="decimal"/>
      <w:lvlText w:val="%1.%2.%3.%4.%5.%6.%7.%8"/>
      <w:lvlJc w:val="left"/>
      <w:pPr>
        <w:tabs>
          <w:tab w:val="left" w:pos="513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6">
    <w:nsid w:val="2B947E7C"/>
    <w:multiLevelType w:val="multilevel"/>
    <w:tmpl w:val="2B947E7C"/>
    <w:lvl w:ilvl="0" w:tentative="0">
      <w:start w:val="1"/>
      <w:numFmt w:val="japaneseCounting"/>
      <w:pStyle w:val="133"/>
      <w:lvlText w:val="第%1条"/>
      <w:lvlJc w:val="left"/>
      <w:pPr>
        <w:tabs>
          <w:tab w:val="left" w:pos="960"/>
        </w:tabs>
        <w:ind w:left="960" w:hanging="9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E7D6E5B"/>
    <w:multiLevelType w:val="singleLevel"/>
    <w:tmpl w:val="2E7D6E5B"/>
    <w:lvl w:ilvl="0" w:tentative="0">
      <w:start w:val="1"/>
      <w:numFmt w:val="chineseCounting"/>
      <w:suff w:val="nothing"/>
      <w:lvlText w:val="%1、"/>
      <w:lvlJc w:val="left"/>
      <w:rPr>
        <w:rFonts w:hint="eastAsia"/>
      </w:rPr>
    </w:lvl>
  </w:abstractNum>
  <w:abstractNum w:abstractNumId="8">
    <w:nsid w:val="4E8DA0FC"/>
    <w:multiLevelType w:val="singleLevel"/>
    <w:tmpl w:val="4E8DA0FC"/>
    <w:lvl w:ilvl="0" w:tentative="0">
      <w:start w:val="5"/>
      <w:numFmt w:val="chineseCounting"/>
      <w:suff w:val="space"/>
      <w:lvlText w:val="第%1章"/>
      <w:lvlJc w:val="left"/>
      <w:rPr>
        <w:rFonts w:hint="eastAsia"/>
      </w:rPr>
    </w:lvl>
  </w:abstractNum>
  <w:abstractNum w:abstractNumId="9">
    <w:nsid w:val="546A2833"/>
    <w:multiLevelType w:val="multilevel"/>
    <w:tmpl w:val="546A2833"/>
    <w:lvl w:ilvl="0" w:tentative="0">
      <w:start w:val="1"/>
      <w:numFmt w:val="bullet"/>
      <w:lvlText w:val=""/>
      <w:lvlJc w:val="left"/>
      <w:pPr>
        <w:ind w:left="420" w:hanging="420"/>
      </w:pPr>
      <w:rPr>
        <w:rFonts w:hint="default" w:ascii="Wingdings" w:hAnsi="Wingdings"/>
      </w:rPr>
    </w:lvl>
    <w:lvl w:ilvl="1" w:tentative="0">
      <w:start w:val="1"/>
      <w:numFmt w:val="bullet"/>
      <w:pStyle w:val="65"/>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57B088E4"/>
    <w:multiLevelType w:val="singleLevel"/>
    <w:tmpl w:val="57B088E4"/>
    <w:lvl w:ilvl="0" w:tentative="0">
      <w:start w:val="1"/>
      <w:numFmt w:val="decimal"/>
      <w:suff w:val="nothing"/>
      <w:lvlText w:val="%1、"/>
      <w:lvlJc w:val="left"/>
    </w:lvl>
  </w:abstractNum>
  <w:num w:numId="1">
    <w:abstractNumId w:val="5"/>
  </w:num>
  <w:num w:numId="2">
    <w:abstractNumId w:val="4"/>
  </w:num>
  <w:num w:numId="3">
    <w:abstractNumId w:val="9"/>
  </w:num>
  <w:num w:numId="4">
    <w:abstractNumId w:val="6"/>
  </w:num>
  <w:num w:numId="5">
    <w:abstractNumId w:val="3"/>
  </w:num>
  <w:num w:numId="6">
    <w:abstractNumId w:val="10"/>
  </w:num>
  <w:num w:numId="7">
    <w:abstractNumId w:val="2"/>
  </w:num>
  <w:num w:numId="8">
    <w:abstractNumId w:val="8"/>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documentProtection w:enforcement="0"/>
  <w:defaultTabStop w:val="420"/>
  <w:drawingGridHorizontalSpacing w:val="21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RhZGYyYmI4YjdhZTljYjIxNDhhYzJhYzk0YTYzNGQifQ=="/>
    <w:docVar w:name="DocumentID" w:val="{667ED13F-4738-4499-B963-E2CE7CF7B977}"/>
    <w:docVar w:name="DocumentName" w:val="瑞丽市机关事务管理局市行政服务中心电梯采购项目竞争性磋商文件"/>
  </w:docVars>
  <w:rsids>
    <w:rsidRoot w:val="00172A27"/>
    <w:rsid w:val="00001771"/>
    <w:rsid w:val="000019F7"/>
    <w:rsid w:val="000047CA"/>
    <w:rsid w:val="000075C7"/>
    <w:rsid w:val="00007F7E"/>
    <w:rsid w:val="00014BC0"/>
    <w:rsid w:val="00020AB5"/>
    <w:rsid w:val="00021104"/>
    <w:rsid w:val="000245F1"/>
    <w:rsid w:val="0002561E"/>
    <w:rsid w:val="000268CF"/>
    <w:rsid w:val="00026C2B"/>
    <w:rsid w:val="000309AE"/>
    <w:rsid w:val="000312D6"/>
    <w:rsid w:val="000329A8"/>
    <w:rsid w:val="0004104B"/>
    <w:rsid w:val="00041C41"/>
    <w:rsid w:val="00041CAD"/>
    <w:rsid w:val="00042932"/>
    <w:rsid w:val="00044FBE"/>
    <w:rsid w:val="00045BB7"/>
    <w:rsid w:val="00045C8E"/>
    <w:rsid w:val="000572B3"/>
    <w:rsid w:val="0006137D"/>
    <w:rsid w:val="00062C94"/>
    <w:rsid w:val="00062D38"/>
    <w:rsid w:val="00065176"/>
    <w:rsid w:val="00066CBA"/>
    <w:rsid w:val="00070B77"/>
    <w:rsid w:val="000749B7"/>
    <w:rsid w:val="00074FA1"/>
    <w:rsid w:val="000800C7"/>
    <w:rsid w:val="00080778"/>
    <w:rsid w:val="000842CF"/>
    <w:rsid w:val="000926A0"/>
    <w:rsid w:val="000936FD"/>
    <w:rsid w:val="00094A04"/>
    <w:rsid w:val="000951A1"/>
    <w:rsid w:val="000965AD"/>
    <w:rsid w:val="000A07E7"/>
    <w:rsid w:val="000A3372"/>
    <w:rsid w:val="000A7091"/>
    <w:rsid w:val="000B0360"/>
    <w:rsid w:val="000B1D22"/>
    <w:rsid w:val="000B2174"/>
    <w:rsid w:val="000B2989"/>
    <w:rsid w:val="000B338A"/>
    <w:rsid w:val="000B6959"/>
    <w:rsid w:val="000C08C5"/>
    <w:rsid w:val="000C43E0"/>
    <w:rsid w:val="000C5A38"/>
    <w:rsid w:val="000C654A"/>
    <w:rsid w:val="000C7775"/>
    <w:rsid w:val="000D04C6"/>
    <w:rsid w:val="000D69C4"/>
    <w:rsid w:val="000E1380"/>
    <w:rsid w:val="000E6F85"/>
    <w:rsid w:val="000F5045"/>
    <w:rsid w:val="000F58D8"/>
    <w:rsid w:val="001002A5"/>
    <w:rsid w:val="00112074"/>
    <w:rsid w:val="001163C1"/>
    <w:rsid w:val="001177D8"/>
    <w:rsid w:val="0012108F"/>
    <w:rsid w:val="00122179"/>
    <w:rsid w:val="001231C7"/>
    <w:rsid w:val="0012684D"/>
    <w:rsid w:val="00127BD5"/>
    <w:rsid w:val="00132C12"/>
    <w:rsid w:val="00133683"/>
    <w:rsid w:val="00135536"/>
    <w:rsid w:val="00136471"/>
    <w:rsid w:val="00137C35"/>
    <w:rsid w:val="00143423"/>
    <w:rsid w:val="00147442"/>
    <w:rsid w:val="0014744F"/>
    <w:rsid w:val="00150725"/>
    <w:rsid w:val="00151C7A"/>
    <w:rsid w:val="00151FB8"/>
    <w:rsid w:val="00152E52"/>
    <w:rsid w:val="00154A28"/>
    <w:rsid w:val="00154FD8"/>
    <w:rsid w:val="00161C64"/>
    <w:rsid w:val="0017163B"/>
    <w:rsid w:val="001728E9"/>
    <w:rsid w:val="00172A27"/>
    <w:rsid w:val="0017417D"/>
    <w:rsid w:val="00176937"/>
    <w:rsid w:val="00176F6A"/>
    <w:rsid w:val="00177461"/>
    <w:rsid w:val="00181454"/>
    <w:rsid w:val="00185F5E"/>
    <w:rsid w:val="001917E5"/>
    <w:rsid w:val="0019256E"/>
    <w:rsid w:val="00193B10"/>
    <w:rsid w:val="00193DE0"/>
    <w:rsid w:val="001956B6"/>
    <w:rsid w:val="001A00EB"/>
    <w:rsid w:val="001A130B"/>
    <w:rsid w:val="001A2294"/>
    <w:rsid w:val="001A4BD9"/>
    <w:rsid w:val="001B1046"/>
    <w:rsid w:val="001B2AA1"/>
    <w:rsid w:val="001B5D5F"/>
    <w:rsid w:val="001C03C3"/>
    <w:rsid w:val="001C0B12"/>
    <w:rsid w:val="001C605E"/>
    <w:rsid w:val="001C6C14"/>
    <w:rsid w:val="001C7B96"/>
    <w:rsid w:val="001D130B"/>
    <w:rsid w:val="001D1785"/>
    <w:rsid w:val="001D21D5"/>
    <w:rsid w:val="001D4206"/>
    <w:rsid w:val="001D58F9"/>
    <w:rsid w:val="001D5FA1"/>
    <w:rsid w:val="001D6712"/>
    <w:rsid w:val="001D7B3A"/>
    <w:rsid w:val="001E22BA"/>
    <w:rsid w:val="001F22E2"/>
    <w:rsid w:val="001F3080"/>
    <w:rsid w:val="001F5387"/>
    <w:rsid w:val="001F72D6"/>
    <w:rsid w:val="001F7978"/>
    <w:rsid w:val="00200018"/>
    <w:rsid w:val="00202439"/>
    <w:rsid w:val="00205149"/>
    <w:rsid w:val="00205200"/>
    <w:rsid w:val="0020548C"/>
    <w:rsid w:val="0020727A"/>
    <w:rsid w:val="002072AC"/>
    <w:rsid w:val="0021436B"/>
    <w:rsid w:val="002153D6"/>
    <w:rsid w:val="00216AF1"/>
    <w:rsid w:val="002200C3"/>
    <w:rsid w:val="002232C9"/>
    <w:rsid w:val="00223585"/>
    <w:rsid w:val="00224990"/>
    <w:rsid w:val="002254D3"/>
    <w:rsid w:val="0022596E"/>
    <w:rsid w:val="00226501"/>
    <w:rsid w:val="002265FE"/>
    <w:rsid w:val="00230CDA"/>
    <w:rsid w:val="002319EA"/>
    <w:rsid w:val="00233F6F"/>
    <w:rsid w:val="00234ED2"/>
    <w:rsid w:val="00237868"/>
    <w:rsid w:val="002446CF"/>
    <w:rsid w:val="00245172"/>
    <w:rsid w:val="002510A2"/>
    <w:rsid w:val="00251C92"/>
    <w:rsid w:val="00254239"/>
    <w:rsid w:val="00255A10"/>
    <w:rsid w:val="00256BB3"/>
    <w:rsid w:val="002572B4"/>
    <w:rsid w:val="0026007B"/>
    <w:rsid w:val="00265440"/>
    <w:rsid w:val="00265829"/>
    <w:rsid w:val="002663D6"/>
    <w:rsid w:val="00267706"/>
    <w:rsid w:val="002728FB"/>
    <w:rsid w:val="002733D8"/>
    <w:rsid w:val="00282332"/>
    <w:rsid w:val="002837D0"/>
    <w:rsid w:val="00284647"/>
    <w:rsid w:val="00284CF6"/>
    <w:rsid w:val="00291291"/>
    <w:rsid w:val="00294A25"/>
    <w:rsid w:val="002978CB"/>
    <w:rsid w:val="00297E49"/>
    <w:rsid w:val="002A7FE9"/>
    <w:rsid w:val="002B2587"/>
    <w:rsid w:val="002B5142"/>
    <w:rsid w:val="002B6854"/>
    <w:rsid w:val="002B6923"/>
    <w:rsid w:val="002B73B1"/>
    <w:rsid w:val="002C6AB2"/>
    <w:rsid w:val="002D003A"/>
    <w:rsid w:val="002D6488"/>
    <w:rsid w:val="002E4C88"/>
    <w:rsid w:val="002E5F41"/>
    <w:rsid w:val="002E60BD"/>
    <w:rsid w:val="002E708C"/>
    <w:rsid w:val="002F2248"/>
    <w:rsid w:val="002F77B4"/>
    <w:rsid w:val="002F781F"/>
    <w:rsid w:val="00302547"/>
    <w:rsid w:val="00302DF0"/>
    <w:rsid w:val="00303A4C"/>
    <w:rsid w:val="00303EBA"/>
    <w:rsid w:val="00304160"/>
    <w:rsid w:val="00304D97"/>
    <w:rsid w:val="00310101"/>
    <w:rsid w:val="00312459"/>
    <w:rsid w:val="00334BF6"/>
    <w:rsid w:val="00335A91"/>
    <w:rsid w:val="00335AC4"/>
    <w:rsid w:val="003400C2"/>
    <w:rsid w:val="003433A5"/>
    <w:rsid w:val="00343C23"/>
    <w:rsid w:val="003462CB"/>
    <w:rsid w:val="00350B91"/>
    <w:rsid w:val="00355536"/>
    <w:rsid w:val="00355962"/>
    <w:rsid w:val="00361E0A"/>
    <w:rsid w:val="003628DC"/>
    <w:rsid w:val="00362F9E"/>
    <w:rsid w:val="00363DAD"/>
    <w:rsid w:val="003651CD"/>
    <w:rsid w:val="003666B7"/>
    <w:rsid w:val="0037327D"/>
    <w:rsid w:val="00380142"/>
    <w:rsid w:val="00385A11"/>
    <w:rsid w:val="00386666"/>
    <w:rsid w:val="003870B0"/>
    <w:rsid w:val="00390523"/>
    <w:rsid w:val="00392BC0"/>
    <w:rsid w:val="0039575C"/>
    <w:rsid w:val="00395B02"/>
    <w:rsid w:val="00395FB8"/>
    <w:rsid w:val="003A04EE"/>
    <w:rsid w:val="003A0878"/>
    <w:rsid w:val="003A3912"/>
    <w:rsid w:val="003A48AA"/>
    <w:rsid w:val="003A4C94"/>
    <w:rsid w:val="003A5A21"/>
    <w:rsid w:val="003A6DC1"/>
    <w:rsid w:val="003B6547"/>
    <w:rsid w:val="003B7356"/>
    <w:rsid w:val="003C1C0E"/>
    <w:rsid w:val="003C4DA6"/>
    <w:rsid w:val="003C6BE3"/>
    <w:rsid w:val="003E0226"/>
    <w:rsid w:val="003E0EF7"/>
    <w:rsid w:val="003E15AC"/>
    <w:rsid w:val="003E3149"/>
    <w:rsid w:val="003F36F2"/>
    <w:rsid w:val="003F4A72"/>
    <w:rsid w:val="003F4D2D"/>
    <w:rsid w:val="00401BA2"/>
    <w:rsid w:val="00406B5B"/>
    <w:rsid w:val="004076AA"/>
    <w:rsid w:val="00407747"/>
    <w:rsid w:val="00407847"/>
    <w:rsid w:val="004078E7"/>
    <w:rsid w:val="00411A75"/>
    <w:rsid w:val="00411CA3"/>
    <w:rsid w:val="004120D1"/>
    <w:rsid w:val="00414D3F"/>
    <w:rsid w:val="004153B7"/>
    <w:rsid w:val="0042243B"/>
    <w:rsid w:val="00423AC3"/>
    <w:rsid w:val="00434BCE"/>
    <w:rsid w:val="004353EF"/>
    <w:rsid w:val="00443781"/>
    <w:rsid w:val="0044646A"/>
    <w:rsid w:val="0044791B"/>
    <w:rsid w:val="00450C11"/>
    <w:rsid w:val="0045389B"/>
    <w:rsid w:val="00454B8F"/>
    <w:rsid w:val="00455D10"/>
    <w:rsid w:val="004567CF"/>
    <w:rsid w:val="00456D21"/>
    <w:rsid w:val="00460D26"/>
    <w:rsid w:val="00465828"/>
    <w:rsid w:val="00465BF9"/>
    <w:rsid w:val="00465E4F"/>
    <w:rsid w:val="0046648E"/>
    <w:rsid w:val="004667F5"/>
    <w:rsid w:val="00476731"/>
    <w:rsid w:val="00481CB2"/>
    <w:rsid w:val="00481D68"/>
    <w:rsid w:val="0048294C"/>
    <w:rsid w:val="0048469D"/>
    <w:rsid w:val="00484C19"/>
    <w:rsid w:val="00490DDD"/>
    <w:rsid w:val="00491C9B"/>
    <w:rsid w:val="00492933"/>
    <w:rsid w:val="00493481"/>
    <w:rsid w:val="00496916"/>
    <w:rsid w:val="004A12C6"/>
    <w:rsid w:val="004A581D"/>
    <w:rsid w:val="004B0665"/>
    <w:rsid w:val="004B1CEF"/>
    <w:rsid w:val="004B6050"/>
    <w:rsid w:val="004C56D9"/>
    <w:rsid w:val="004C6723"/>
    <w:rsid w:val="004D0EDA"/>
    <w:rsid w:val="004D3CB3"/>
    <w:rsid w:val="004D4202"/>
    <w:rsid w:val="004D7D58"/>
    <w:rsid w:val="004E0401"/>
    <w:rsid w:val="004E11C2"/>
    <w:rsid w:val="004E44C1"/>
    <w:rsid w:val="004E5B20"/>
    <w:rsid w:val="004E6FF5"/>
    <w:rsid w:val="004E7275"/>
    <w:rsid w:val="004F7375"/>
    <w:rsid w:val="00500E8E"/>
    <w:rsid w:val="00501954"/>
    <w:rsid w:val="00503488"/>
    <w:rsid w:val="005109CE"/>
    <w:rsid w:val="005144C6"/>
    <w:rsid w:val="00514798"/>
    <w:rsid w:val="00514D87"/>
    <w:rsid w:val="0052264C"/>
    <w:rsid w:val="005241EB"/>
    <w:rsid w:val="00525528"/>
    <w:rsid w:val="005361D4"/>
    <w:rsid w:val="00536A63"/>
    <w:rsid w:val="00541933"/>
    <w:rsid w:val="00542B8E"/>
    <w:rsid w:val="005456B4"/>
    <w:rsid w:val="00546B49"/>
    <w:rsid w:val="00554734"/>
    <w:rsid w:val="00560AAF"/>
    <w:rsid w:val="00560F42"/>
    <w:rsid w:val="00561DFE"/>
    <w:rsid w:val="005646E1"/>
    <w:rsid w:val="00564EB3"/>
    <w:rsid w:val="00566D97"/>
    <w:rsid w:val="00570EE0"/>
    <w:rsid w:val="00571EF5"/>
    <w:rsid w:val="005729B8"/>
    <w:rsid w:val="00580283"/>
    <w:rsid w:val="00583692"/>
    <w:rsid w:val="00592521"/>
    <w:rsid w:val="00592630"/>
    <w:rsid w:val="005929E0"/>
    <w:rsid w:val="00594CE2"/>
    <w:rsid w:val="00596675"/>
    <w:rsid w:val="005A0B0C"/>
    <w:rsid w:val="005A3F55"/>
    <w:rsid w:val="005B4891"/>
    <w:rsid w:val="005B57CB"/>
    <w:rsid w:val="005B6116"/>
    <w:rsid w:val="005B6631"/>
    <w:rsid w:val="005C3BB0"/>
    <w:rsid w:val="005C69F8"/>
    <w:rsid w:val="005D07C5"/>
    <w:rsid w:val="005D35D6"/>
    <w:rsid w:val="005E3992"/>
    <w:rsid w:val="005F38AB"/>
    <w:rsid w:val="00600691"/>
    <w:rsid w:val="00602160"/>
    <w:rsid w:val="00606017"/>
    <w:rsid w:val="006066D4"/>
    <w:rsid w:val="006077B0"/>
    <w:rsid w:val="00607E93"/>
    <w:rsid w:val="006139C5"/>
    <w:rsid w:val="00615CAA"/>
    <w:rsid w:val="00620EA6"/>
    <w:rsid w:val="00621AC3"/>
    <w:rsid w:val="006247CF"/>
    <w:rsid w:val="00626230"/>
    <w:rsid w:val="00633EC4"/>
    <w:rsid w:val="00634F97"/>
    <w:rsid w:val="006406BE"/>
    <w:rsid w:val="00644754"/>
    <w:rsid w:val="00645991"/>
    <w:rsid w:val="00645EC6"/>
    <w:rsid w:val="006463BB"/>
    <w:rsid w:val="00646B9D"/>
    <w:rsid w:val="00647880"/>
    <w:rsid w:val="006511AE"/>
    <w:rsid w:val="00652200"/>
    <w:rsid w:val="00653358"/>
    <w:rsid w:val="00653A8B"/>
    <w:rsid w:val="00653F72"/>
    <w:rsid w:val="00662AEE"/>
    <w:rsid w:val="006741F6"/>
    <w:rsid w:val="0067433E"/>
    <w:rsid w:val="00680391"/>
    <w:rsid w:val="006819F8"/>
    <w:rsid w:val="00682B0F"/>
    <w:rsid w:val="00690133"/>
    <w:rsid w:val="006911F9"/>
    <w:rsid w:val="00691DE3"/>
    <w:rsid w:val="006927F2"/>
    <w:rsid w:val="00692807"/>
    <w:rsid w:val="006945DA"/>
    <w:rsid w:val="00695CA9"/>
    <w:rsid w:val="00696C7A"/>
    <w:rsid w:val="006A1B7E"/>
    <w:rsid w:val="006B0D64"/>
    <w:rsid w:val="006B149C"/>
    <w:rsid w:val="006B2811"/>
    <w:rsid w:val="006B399A"/>
    <w:rsid w:val="006C22CF"/>
    <w:rsid w:val="006C2B5B"/>
    <w:rsid w:val="006C7FAF"/>
    <w:rsid w:val="006D0184"/>
    <w:rsid w:val="006D088C"/>
    <w:rsid w:val="006D1740"/>
    <w:rsid w:val="006D303C"/>
    <w:rsid w:val="006D5F9A"/>
    <w:rsid w:val="006E1CD7"/>
    <w:rsid w:val="006F1FEE"/>
    <w:rsid w:val="006F4C01"/>
    <w:rsid w:val="00702C64"/>
    <w:rsid w:val="00704681"/>
    <w:rsid w:val="0070581D"/>
    <w:rsid w:val="00705CF9"/>
    <w:rsid w:val="00710C70"/>
    <w:rsid w:val="00710D74"/>
    <w:rsid w:val="007133B9"/>
    <w:rsid w:val="00725D9F"/>
    <w:rsid w:val="00731DE7"/>
    <w:rsid w:val="00734A7B"/>
    <w:rsid w:val="00735757"/>
    <w:rsid w:val="00742052"/>
    <w:rsid w:val="00743634"/>
    <w:rsid w:val="00745903"/>
    <w:rsid w:val="00746FDC"/>
    <w:rsid w:val="00755292"/>
    <w:rsid w:val="00756438"/>
    <w:rsid w:val="00756D5A"/>
    <w:rsid w:val="0076076C"/>
    <w:rsid w:val="007617BF"/>
    <w:rsid w:val="00763F38"/>
    <w:rsid w:val="00764B68"/>
    <w:rsid w:val="00765494"/>
    <w:rsid w:val="007715E5"/>
    <w:rsid w:val="0077237D"/>
    <w:rsid w:val="00774263"/>
    <w:rsid w:val="007745F4"/>
    <w:rsid w:val="00780632"/>
    <w:rsid w:val="00785E92"/>
    <w:rsid w:val="0079049A"/>
    <w:rsid w:val="00790954"/>
    <w:rsid w:val="007919F2"/>
    <w:rsid w:val="00793EF8"/>
    <w:rsid w:val="00794A93"/>
    <w:rsid w:val="00794D77"/>
    <w:rsid w:val="007950C4"/>
    <w:rsid w:val="0079605C"/>
    <w:rsid w:val="007964E7"/>
    <w:rsid w:val="007A0A88"/>
    <w:rsid w:val="007A29C6"/>
    <w:rsid w:val="007A6266"/>
    <w:rsid w:val="007A6B7F"/>
    <w:rsid w:val="007A7DAB"/>
    <w:rsid w:val="007A7FA7"/>
    <w:rsid w:val="007B3C88"/>
    <w:rsid w:val="007B6633"/>
    <w:rsid w:val="007B7EC9"/>
    <w:rsid w:val="007C65BD"/>
    <w:rsid w:val="007C6F34"/>
    <w:rsid w:val="007C7BC0"/>
    <w:rsid w:val="007D3CB3"/>
    <w:rsid w:val="007D3E8A"/>
    <w:rsid w:val="007D48AA"/>
    <w:rsid w:val="007D4AC6"/>
    <w:rsid w:val="007E1349"/>
    <w:rsid w:val="007E3AD6"/>
    <w:rsid w:val="007E62A9"/>
    <w:rsid w:val="008001CA"/>
    <w:rsid w:val="00801ACD"/>
    <w:rsid w:val="0080313C"/>
    <w:rsid w:val="008038AC"/>
    <w:rsid w:val="008058C3"/>
    <w:rsid w:val="00806F4F"/>
    <w:rsid w:val="00813AF5"/>
    <w:rsid w:val="0081429D"/>
    <w:rsid w:val="0081567F"/>
    <w:rsid w:val="00815F8B"/>
    <w:rsid w:val="00816A14"/>
    <w:rsid w:val="00822C34"/>
    <w:rsid w:val="00824496"/>
    <w:rsid w:val="00826E0B"/>
    <w:rsid w:val="0083111A"/>
    <w:rsid w:val="00831251"/>
    <w:rsid w:val="008322BB"/>
    <w:rsid w:val="00832516"/>
    <w:rsid w:val="0083340B"/>
    <w:rsid w:val="0083625C"/>
    <w:rsid w:val="00836E61"/>
    <w:rsid w:val="0084004A"/>
    <w:rsid w:val="00840CEB"/>
    <w:rsid w:val="008446DC"/>
    <w:rsid w:val="008451DA"/>
    <w:rsid w:val="00851407"/>
    <w:rsid w:val="00853541"/>
    <w:rsid w:val="00856078"/>
    <w:rsid w:val="008633EB"/>
    <w:rsid w:val="0086643B"/>
    <w:rsid w:val="00870D12"/>
    <w:rsid w:val="00871F5D"/>
    <w:rsid w:val="00872852"/>
    <w:rsid w:val="0087597A"/>
    <w:rsid w:val="00881AA7"/>
    <w:rsid w:val="00881DE7"/>
    <w:rsid w:val="008858FB"/>
    <w:rsid w:val="00885EDE"/>
    <w:rsid w:val="0088710A"/>
    <w:rsid w:val="008873DC"/>
    <w:rsid w:val="0089189B"/>
    <w:rsid w:val="008970C4"/>
    <w:rsid w:val="008975B6"/>
    <w:rsid w:val="008A125D"/>
    <w:rsid w:val="008A2C8F"/>
    <w:rsid w:val="008A39F5"/>
    <w:rsid w:val="008A3D7E"/>
    <w:rsid w:val="008A4516"/>
    <w:rsid w:val="008A5B01"/>
    <w:rsid w:val="008A6BBB"/>
    <w:rsid w:val="008B71C6"/>
    <w:rsid w:val="008C1739"/>
    <w:rsid w:val="008C1D1E"/>
    <w:rsid w:val="008C2F8E"/>
    <w:rsid w:val="008C6C96"/>
    <w:rsid w:val="008C7D6A"/>
    <w:rsid w:val="008D519C"/>
    <w:rsid w:val="008E4DB4"/>
    <w:rsid w:val="008E596C"/>
    <w:rsid w:val="008E70B0"/>
    <w:rsid w:val="008E7BA5"/>
    <w:rsid w:val="008F3672"/>
    <w:rsid w:val="008F779B"/>
    <w:rsid w:val="00900C7C"/>
    <w:rsid w:val="0090313A"/>
    <w:rsid w:val="009039C7"/>
    <w:rsid w:val="0090443D"/>
    <w:rsid w:val="0090575D"/>
    <w:rsid w:val="00906786"/>
    <w:rsid w:val="00911BD2"/>
    <w:rsid w:val="0091377E"/>
    <w:rsid w:val="00913C75"/>
    <w:rsid w:val="00921E35"/>
    <w:rsid w:val="009251CC"/>
    <w:rsid w:val="00931156"/>
    <w:rsid w:val="00932E21"/>
    <w:rsid w:val="00933224"/>
    <w:rsid w:val="00933A9C"/>
    <w:rsid w:val="00934E34"/>
    <w:rsid w:val="009367AE"/>
    <w:rsid w:val="00937713"/>
    <w:rsid w:val="0094174D"/>
    <w:rsid w:val="0094196B"/>
    <w:rsid w:val="00943868"/>
    <w:rsid w:val="009475DC"/>
    <w:rsid w:val="00947DC4"/>
    <w:rsid w:val="00954C7B"/>
    <w:rsid w:val="00954FF5"/>
    <w:rsid w:val="0095564D"/>
    <w:rsid w:val="0095616A"/>
    <w:rsid w:val="00957113"/>
    <w:rsid w:val="00962A45"/>
    <w:rsid w:val="00963722"/>
    <w:rsid w:val="00971731"/>
    <w:rsid w:val="0097188E"/>
    <w:rsid w:val="009725A7"/>
    <w:rsid w:val="00972CDA"/>
    <w:rsid w:val="00974D9C"/>
    <w:rsid w:val="00975437"/>
    <w:rsid w:val="00975921"/>
    <w:rsid w:val="00975D66"/>
    <w:rsid w:val="00977A6C"/>
    <w:rsid w:val="0098388D"/>
    <w:rsid w:val="00983AF7"/>
    <w:rsid w:val="00984908"/>
    <w:rsid w:val="00984CEC"/>
    <w:rsid w:val="00985FA4"/>
    <w:rsid w:val="0098616F"/>
    <w:rsid w:val="009906F1"/>
    <w:rsid w:val="0099278B"/>
    <w:rsid w:val="009929FB"/>
    <w:rsid w:val="0099345B"/>
    <w:rsid w:val="00993E50"/>
    <w:rsid w:val="009940F8"/>
    <w:rsid w:val="00997E31"/>
    <w:rsid w:val="009A028B"/>
    <w:rsid w:val="009A3F11"/>
    <w:rsid w:val="009B1A85"/>
    <w:rsid w:val="009B6AFA"/>
    <w:rsid w:val="009C2D32"/>
    <w:rsid w:val="009C512B"/>
    <w:rsid w:val="009C758B"/>
    <w:rsid w:val="009D1FD6"/>
    <w:rsid w:val="009D3748"/>
    <w:rsid w:val="009E14E5"/>
    <w:rsid w:val="009E334E"/>
    <w:rsid w:val="009E44F5"/>
    <w:rsid w:val="009E5AF3"/>
    <w:rsid w:val="009E5B9A"/>
    <w:rsid w:val="009E7A60"/>
    <w:rsid w:val="009F00CF"/>
    <w:rsid w:val="009F2E4E"/>
    <w:rsid w:val="009F6B12"/>
    <w:rsid w:val="00A00396"/>
    <w:rsid w:val="00A02969"/>
    <w:rsid w:val="00A0635A"/>
    <w:rsid w:val="00A07C32"/>
    <w:rsid w:val="00A100AB"/>
    <w:rsid w:val="00A140F6"/>
    <w:rsid w:val="00A15FFA"/>
    <w:rsid w:val="00A1606B"/>
    <w:rsid w:val="00A16BE5"/>
    <w:rsid w:val="00A20D6B"/>
    <w:rsid w:val="00A21058"/>
    <w:rsid w:val="00A25761"/>
    <w:rsid w:val="00A3110D"/>
    <w:rsid w:val="00A3470B"/>
    <w:rsid w:val="00A36C23"/>
    <w:rsid w:val="00A37493"/>
    <w:rsid w:val="00A37EA4"/>
    <w:rsid w:val="00A40543"/>
    <w:rsid w:val="00A423EC"/>
    <w:rsid w:val="00A46A5B"/>
    <w:rsid w:val="00A50F4C"/>
    <w:rsid w:val="00A54489"/>
    <w:rsid w:val="00A54906"/>
    <w:rsid w:val="00A57108"/>
    <w:rsid w:val="00A57DB5"/>
    <w:rsid w:val="00A62C70"/>
    <w:rsid w:val="00A648FA"/>
    <w:rsid w:val="00A65540"/>
    <w:rsid w:val="00A720F5"/>
    <w:rsid w:val="00A72F5C"/>
    <w:rsid w:val="00A745DC"/>
    <w:rsid w:val="00A81C64"/>
    <w:rsid w:val="00A83C10"/>
    <w:rsid w:val="00A83C74"/>
    <w:rsid w:val="00A84B1E"/>
    <w:rsid w:val="00A85975"/>
    <w:rsid w:val="00A87F74"/>
    <w:rsid w:val="00A9133B"/>
    <w:rsid w:val="00A9450D"/>
    <w:rsid w:val="00A946E5"/>
    <w:rsid w:val="00AA0C55"/>
    <w:rsid w:val="00AA14BF"/>
    <w:rsid w:val="00AA271E"/>
    <w:rsid w:val="00AA2D5B"/>
    <w:rsid w:val="00AA38C8"/>
    <w:rsid w:val="00AA6041"/>
    <w:rsid w:val="00AB35C0"/>
    <w:rsid w:val="00AB4A37"/>
    <w:rsid w:val="00AB4AA3"/>
    <w:rsid w:val="00AB579C"/>
    <w:rsid w:val="00AC3A69"/>
    <w:rsid w:val="00AC3AAE"/>
    <w:rsid w:val="00AC6E0C"/>
    <w:rsid w:val="00AC71FD"/>
    <w:rsid w:val="00AD26F2"/>
    <w:rsid w:val="00AD308C"/>
    <w:rsid w:val="00AD4614"/>
    <w:rsid w:val="00AD6E3B"/>
    <w:rsid w:val="00AD7A45"/>
    <w:rsid w:val="00AE1C3A"/>
    <w:rsid w:val="00AE2EC6"/>
    <w:rsid w:val="00AE40EC"/>
    <w:rsid w:val="00AE40F9"/>
    <w:rsid w:val="00AE5A97"/>
    <w:rsid w:val="00AE6474"/>
    <w:rsid w:val="00AE65E8"/>
    <w:rsid w:val="00AE6ACF"/>
    <w:rsid w:val="00AE758F"/>
    <w:rsid w:val="00AF18C8"/>
    <w:rsid w:val="00AF4869"/>
    <w:rsid w:val="00AF52B3"/>
    <w:rsid w:val="00AF6CAF"/>
    <w:rsid w:val="00B05D66"/>
    <w:rsid w:val="00B07D37"/>
    <w:rsid w:val="00B122D7"/>
    <w:rsid w:val="00B125D0"/>
    <w:rsid w:val="00B15971"/>
    <w:rsid w:val="00B22A13"/>
    <w:rsid w:val="00B22D10"/>
    <w:rsid w:val="00B24AA3"/>
    <w:rsid w:val="00B25A83"/>
    <w:rsid w:val="00B314CD"/>
    <w:rsid w:val="00B41D0C"/>
    <w:rsid w:val="00B443F8"/>
    <w:rsid w:val="00B532F3"/>
    <w:rsid w:val="00B62E97"/>
    <w:rsid w:val="00B64DD2"/>
    <w:rsid w:val="00B71D48"/>
    <w:rsid w:val="00B72B93"/>
    <w:rsid w:val="00B747C2"/>
    <w:rsid w:val="00B768BD"/>
    <w:rsid w:val="00B76BFC"/>
    <w:rsid w:val="00B808CA"/>
    <w:rsid w:val="00B850B5"/>
    <w:rsid w:val="00B87A8B"/>
    <w:rsid w:val="00B90B9B"/>
    <w:rsid w:val="00B915D5"/>
    <w:rsid w:val="00B92B44"/>
    <w:rsid w:val="00B93617"/>
    <w:rsid w:val="00BA003A"/>
    <w:rsid w:val="00BA19F6"/>
    <w:rsid w:val="00BA26D3"/>
    <w:rsid w:val="00BB3CAA"/>
    <w:rsid w:val="00BB433D"/>
    <w:rsid w:val="00BB5A39"/>
    <w:rsid w:val="00BB7289"/>
    <w:rsid w:val="00BC2F0D"/>
    <w:rsid w:val="00BC34BC"/>
    <w:rsid w:val="00BC5C25"/>
    <w:rsid w:val="00BC6DB6"/>
    <w:rsid w:val="00BD3D4B"/>
    <w:rsid w:val="00BD632C"/>
    <w:rsid w:val="00BD6D3B"/>
    <w:rsid w:val="00BD755D"/>
    <w:rsid w:val="00BE1637"/>
    <w:rsid w:val="00BE29C0"/>
    <w:rsid w:val="00BF0BA3"/>
    <w:rsid w:val="00BF1056"/>
    <w:rsid w:val="00BF2700"/>
    <w:rsid w:val="00BF57E8"/>
    <w:rsid w:val="00C05649"/>
    <w:rsid w:val="00C071C1"/>
    <w:rsid w:val="00C10465"/>
    <w:rsid w:val="00C1287A"/>
    <w:rsid w:val="00C13851"/>
    <w:rsid w:val="00C13DF8"/>
    <w:rsid w:val="00C141AB"/>
    <w:rsid w:val="00C1677F"/>
    <w:rsid w:val="00C204A7"/>
    <w:rsid w:val="00C2182E"/>
    <w:rsid w:val="00C22CF5"/>
    <w:rsid w:val="00C303AC"/>
    <w:rsid w:val="00C307E7"/>
    <w:rsid w:val="00C30F02"/>
    <w:rsid w:val="00C31CEF"/>
    <w:rsid w:val="00C33B46"/>
    <w:rsid w:val="00C34C82"/>
    <w:rsid w:val="00C36944"/>
    <w:rsid w:val="00C373E3"/>
    <w:rsid w:val="00C37CE7"/>
    <w:rsid w:val="00C41A39"/>
    <w:rsid w:val="00C41DB4"/>
    <w:rsid w:val="00C43450"/>
    <w:rsid w:val="00C51E05"/>
    <w:rsid w:val="00C5457D"/>
    <w:rsid w:val="00C54F46"/>
    <w:rsid w:val="00C55AB3"/>
    <w:rsid w:val="00C61E56"/>
    <w:rsid w:val="00C64E70"/>
    <w:rsid w:val="00C659C4"/>
    <w:rsid w:val="00C663C5"/>
    <w:rsid w:val="00C66E57"/>
    <w:rsid w:val="00C67CB0"/>
    <w:rsid w:val="00C747FB"/>
    <w:rsid w:val="00C75B07"/>
    <w:rsid w:val="00C76463"/>
    <w:rsid w:val="00C80576"/>
    <w:rsid w:val="00C80B86"/>
    <w:rsid w:val="00C811B1"/>
    <w:rsid w:val="00C84F16"/>
    <w:rsid w:val="00C8645C"/>
    <w:rsid w:val="00C86DFD"/>
    <w:rsid w:val="00C916DF"/>
    <w:rsid w:val="00C918AD"/>
    <w:rsid w:val="00C95488"/>
    <w:rsid w:val="00CA604B"/>
    <w:rsid w:val="00CA6119"/>
    <w:rsid w:val="00CA78DE"/>
    <w:rsid w:val="00CB26A6"/>
    <w:rsid w:val="00CB77BE"/>
    <w:rsid w:val="00CC5DEE"/>
    <w:rsid w:val="00CC644F"/>
    <w:rsid w:val="00CC7435"/>
    <w:rsid w:val="00CD1DEB"/>
    <w:rsid w:val="00CD52FC"/>
    <w:rsid w:val="00CE23D9"/>
    <w:rsid w:val="00CE2E66"/>
    <w:rsid w:val="00CE3BF6"/>
    <w:rsid w:val="00CF029F"/>
    <w:rsid w:val="00CF41E4"/>
    <w:rsid w:val="00CF5BBE"/>
    <w:rsid w:val="00CF6AAA"/>
    <w:rsid w:val="00D03026"/>
    <w:rsid w:val="00D070CB"/>
    <w:rsid w:val="00D117FC"/>
    <w:rsid w:val="00D15167"/>
    <w:rsid w:val="00D2626C"/>
    <w:rsid w:val="00D407A5"/>
    <w:rsid w:val="00D42B17"/>
    <w:rsid w:val="00D47847"/>
    <w:rsid w:val="00D50DB1"/>
    <w:rsid w:val="00D52D72"/>
    <w:rsid w:val="00D57965"/>
    <w:rsid w:val="00D62BD0"/>
    <w:rsid w:val="00D65D71"/>
    <w:rsid w:val="00D66977"/>
    <w:rsid w:val="00D70167"/>
    <w:rsid w:val="00D70BE5"/>
    <w:rsid w:val="00D712C1"/>
    <w:rsid w:val="00D72761"/>
    <w:rsid w:val="00D76745"/>
    <w:rsid w:val="00D76AF3"/>
    <w:rsid w:val="00D85924"/>
    <w:rsid w:val="00D862DC"/>
    <w:rsid w:val="00D87ADB"/>
    <w:rsid w:val="00D87FFE"/>
    <w:rsid w:val="00D9389D"/>
    <w:rsid w:val="00DA04CA"/>
    <w:rsid w:val="00DA11E6"/>
    <w:rsid w:val="00DA1476"/>
    <w:rsid w:val="00DA443C"/>
    <w:rsid w:val="00DA77F7"/>
    <w:rsid w:val="00DB035C"/>
    <w:rsid w:val="00DB135F"/>
    <w:rsid w:val="00DB54AB"/>
    <w:rsid w:val="00DB6EA9"/>
    <w:rsid w:val="00DC5197"/>
    <w:rsid w:val="00DC6AB5"/>
    <w:rsid w:val="00DC748C"/>
    <w:rsid w:val="00DE0232"/>
    <w:rsid w:val="00DE186C"/>
    <w:rsid w:val="00DE1BE7"/>
    <w:rsid w:val="00DE3980"/>
    <w:rsid w:val="00DE3B85"/>
    <w:rsid w:val="00DE553E"/>
    <w:rsid w:val="00DF13EA"/>
    <w:rsid w:val="00DF1B3E"/>
    <w:rsid w:val="00DF2A36"/>
    <w:rsid w:val="00DF3889"/>
    <w:rsid w:val="00DF3E26"/>
    <w:rsid w:val="00E072D9"/>
    <w:rsid w:val="00E10473"/>
    <w:rsid w:val="00E11FDE"/>
    <w:rsid w:val="00E13AE1"/>
    <w:rsid w:val="00E13D51"/>
    <w:rsid w:val="00E16F06"/>
    <w:rsid w:val="00E20023"/>
    <w:rsid w:val="00E21374"/>
    <w:rsid w:val="00E22FFB"/>
    <w:rsid w:val="00E25F69"/>
    <w:rsid w:val="00E26A68"/>
    <w:rsid w:val="00E303B8"/>
    <w:rsid w:val="00E35927"/>
    <w:rsid w:val="00E4338C"/>
    <w:rsid w:val="00E4417B"/>
    <w:rsid w:val="00E45105"/>
    <w:rsid w:val="00E45382"/>
    <w:rsid w:val="00E46333"/>
    <w:rsid w:val="00E479DD"/>
    <w:rsid w:val="00E52F76"/>
    <w:rsid w:val="00E54F92"/>
    <w:rsid w:val="00E60290"/>
    <w:rsid w:val="00E60E50"/>
    <w:rsid w:val="00E655C7"/>
    <w:rsid w:val="00E66F11"/>
    <w:rsid w:val="00E66FC7"/>
    <w:rsid w:val="00E72DAD"/>
    <w:rsid w:val="00E74750"/>
    <w:rsid w:val="00E779E8"/>
    <w:rsid w:val="00E82BB5"/>
    <w:rsid w:val="00E85D3A"/>
    <w:rsid w:val="00E8681A"/>
    <w:rsid w:val="00E8727B"/>
    <w:rsid w:val="00E956A8"/>
    <w:rsid w:val="00EA07E1"/>
    <w:rsid w:val="00EA107E"/>
    <w:rsid w:val="00EA593F"/>
    <w:rsid w:val="00EB1B61"/>
    <w:rsid w:val="00EB497D"/>
    <w:rsid w:val="00EB5E12"/>
    <w:rsid w:val="00EB6107"/>
    <w:rsid w:val="00EC11F0"/>
    <w:rsid w:val="00EC3043"/>
    <w:rsid w:val="00EC6365"/>
    <w:rsid w:val="00EC73E0"/>
    <w:rsid w:val="00EC7C9E"/>
    <w:rsid w:val="00ED0DF8"/>
    <w:rsid w:val="00ED55F7"/>
    <w:rsid w:val="00ED7B25"/>
    <w:rsid w:val="00EE222C"/>
    <w:rsid w:val="00EE62AA"/>
    <w:rsid w:val="00EF7C7C"/>
    <w:rsid w:val="00F03253"/>
    <w:rsid w:val="00F04BA8"/>
    <w:rsid w:val="00F0703F"/>
    <w:rsid w:val="00F102D8"/>
    <w:rsid w:val="00F1038D"/>
    <w:rsid w:val="00F111DE"/>
    <w:rsid w:val="00F13EA0"/>
    <w:rsid w:val="00F15EA9"/>
    <w:rsid w:val="00F2325F"/>
    <w:rsid w:val="00F33A92"/>
    <w:rsid w:val="00F341B7"/>
    <w:rsid w:val="00F34FC7"/>
    <w:rsid w:val="00F362C9"/>
    <w:rsid w:val="00F369B5"/>
    <w:rsid w:val="00F36BCD"/>
    <w:rsid w:val="00F37F86"/>
    <w:rsid w:val="00F407E8"/>
    <w:rsid w:val="00F508B8"/>
    <w:rsid w:val="00F52A8D"/>
    <w:rsid w:val="00F5356C"/>
    <w:rsid w:val="00F558FA"/>
    <w:rsid w:val="00F6393E"/>
    <w:rsid w:val="00F666BF"/>
    <w:rsid w:val="00F66897"/>
    <w:rsid w:val="00F66BDA"/>
    <w:rsid w:val="00F66F31"/>
    <w:rsid w:val="00F708A9"/>
    <w:rsid w:val="00F7253E"/>
    <w:rsid w:val="00F7393C"/>
    <w:rsid w:val="00F74DA2"/>
    <w:rsid w:val="00F74E96"/>
    <w:rsid w:val="00F77BF0"/>
    <w:rsid w:val="00F822BD"/>
    <w:rsid w:val="00F82FCE"/>
    <w:rsid w:val="00F83C5D"/>
    <w:rsid w:val="00F83E66"/>
    <w:rsid w:val="00F950FE"/>
    <w:rsid w:val="00F9550E"/>
    <w:rsid w:val="00F95C45"/>
    <w:rsid w:val="00FA1C1D"/>
    <w:rsid w:val="00FA3529"/>
    <w:rsid w:val="00FA5FDD"/>
    <w:rsid w:val="00FB028D"/>
    <w:rsid w:val="00FB1511"/>
    <w:rsid w:val="00FB258D"/>
    <w:rsid w:val="00FB5D57"/>
    <w:rsid w:val="00FC5E46"/>
    <w:rsid w:val="00FC5F19"/>
    <w:rsid w:val="00FC61FB"/>
    <w:rsid w:val="00FD17D7"/>
    <w:rsid w:val="00FD2652"/>
    <w:rsid w:val="00FD2E54"/>
    <w:rsid w:val="00FE0939"/>
    <w:rsid w:val="00FE2CAD"/>
    <w:rsid w:val="00FE38EC"/>
    <w:rsid w:val="00FE6F6F"/>
    <w:rsid w:val="00FF0B3B"/>
    <w:rsid w:val="00FF0BC8"/>
    <w:rsid w:val="00FF1383"/>
    <w:rsid w:val="00FF1CB5"/>
    <w:rsid w:val="00FF4E06"/>
    <w:rsid w:val="00FF705B"/>
    <w:rsid w:val="01080FB7"/>
    <w:rsid w:val="010D7DD7"/>
    <w:rsid w:val="01141165"/>
    <w:rsid w:val="0116701C"/>
    <w:rsid w:val="011B42B3"/>
    <w:rsid w:val="011E1FE4"/>
    <w:rsid w:val="011E5EF4"/>
    <w:rsid w:val="01241674"/>
    <w:rsid w:val="012D4CD4"/>
    <w:rsid w:val="01311D17"/>
    <w:rsid w:val="01353FB7"/>
    <w:rsid w:val="013A17C9"/>
    <w:rsid w:val="014174B4"/>
    <w:rsid w:val="01494091"/>
    <w:rsid w:val="014A392C"/>
    <w:rsid w:val="014F4893"/>
    <w:rsid w:val="015048F8"/>
    <w:rsid w:val="01514A73"/>
    <w:rsid w:val="015154AB"/>
    <w:rsid w:val="0156177E"/>
    <w:rsid w:val="0159764A"/>
    <w:rsid w:val="015B2F3E"/>
    <w:rsid w:val="015C2A1C"/>
    <w:rsid w:val="01672A69"/>
    <w:rsid w:val="016C71F3"/>
    <w:rsid w:val="017165B7"/>
    <w:rsid w:val="01782E3F"/>
    <w:rsid w:val="01785B98"/>
    <w:rsid w:val="01826A17"/>
    <w:rsid w:val="018856AF"/>
    <w:rsid w:val="018A7679"/>
    <w:rsid w:val="018B75EF"/>
    <w:rsid w:val="018C519F"/>
    <w:rsid w:val="01916C5A"/>
    <w:rsid w:val="01961B6E"/>
    <w:rsid w:val="01995B0E"/>
    <w:rsid w:val="01A15995"/>
    <w:rsid w:val="01A17AAA"/>
    <w:rsid w:val="01A7022B"/>
    <w:rsid w:val="01A75210"/>
    <w:rsid w:val="01AA22AF"/>
    <w:rsid w:val="01B5723B"/>
    <w:rsid w:val="01BD4B0E"/>
    <w:rsid w:val="01C54E8D"/>
    <w:rsid w:val="01CA7EC6"/>
    <w:rsid w:val="01D51ADC"/>
    <w:rsid w:val="01D524E3"/>
    <w:rsid w:val="01D60957"/>
    <w:rsid w:val="01D90736"/>
    <w:rsid w:val="01DE0B0B"/>
    <w:rsid w:val="01E0373D"/>
    <w:rsid w:val="01EC0334"/>
    <w:rsid w:val="01F73EFF"/>
    <w:rsid w:val="01FA62BB"/>
    <w:rsid w:val="01FB0577"/>
    <w:rsid w:val="01FF66BC"/>
    <w:rsid w:val="020028AE"/>
    <w:rsid w:val="02005B8D"/>
    <w:rsid w:val="020257B0"/>
    <w:rsid w:val="020C0ED9"/>
    <w:rsid w:val="020E02AA"/>
    <w:rsid w:val="020F7B7E"/>
    <w:rsid w:val="02145195"/>
    <w:rsid w:val="021B573B"/>
    <w:rsid w:val="021E0D9B"/>
    <w:rsid w:val="021E42F5"/>
    <w:rsid w:val="02290C40"/>
    <w:rsid w:val="02297326"/>
    <w:rsid w:val="022C24DE"/>
    <w:rsid w:val="02306473"/>
    <w:rsid w:val="02331ABF"/>
    <w:rsid w:val="023866F5"/>
    <w:rsid w:val="023B43AB"/>
    <w:rsid w:val="023D0B8F"/>
    <w:rsid w:val="023F02F6"/>
    <w:rsid w:val="023F4D11"/>
    <w:rsid w:val="02477318"/>
    <w:rsid w:val="02535CBD"/>
    <w:rsid w:val="02551A35"/>
    <w:rsid w:val="02581525"/>
    <w:rsid w:val="025844FF"/>
    <w:rsid w:val="025C3ADA"/>
    <w:rsid w:val="02617D18"/>
    <w:rsid w:val="02691984"/>
    <w:rsid w:val="026B1684"/>
    <w:rsid w:val="02714395"/>
    <w:rsid w:val="027C7FCA"/>
    <w:rsid w:val="027F2F56"/>
    <w:rsid w:val="027F321C"/>
    <w:rsid w:val="02805334"/>
    <w:rsid w:val="02854DD4"/>
    <w:rsid w:val="02890C2C"/>
    <w:rsid w:val="028A4B59"/>
    <w:rsid w:val="028F76DB"/>
    <w:rsid w:val="02994018"/>
    <w:rsid w:val="029C7F60"/>
    <w:rsid w:val="029E789C"/>
    <w:rsid w:val="02A464AF"/>
    <w:rsid w:val="02A54C46"/>
    <w:rsid w:val="02A77D1A"/>
    <w:rsid w:val="02AB01FE"/>
    <w:rsid w:val="02AE3E15"/>
    <w:rsid w:val="02AE7397"/>
    <w:rsid w:val="02B1357C"/>
    <w:rsid w:val="02B3675E"/>
    <w:rsid w:val="02B50726"/>
    <w:rsid w:val="02BA4339"/>
    <w:rsid w:val="02BA6640"/>
    <w:rsid w:val="02BE582C"/>
    <w:rsid w:val="02BE6FBC"/>
    <w:rsid w:val="02BF11F1"/>
    <w:rsid w:val="02C52B5A"/>
    <w:rsid w:val="02CF7617"/>
    <w:rsid w:val="02DC6E15"/>
    <w:rsid w:val="02DE7C7D"/>
    <w:rsid w:val="02E1776D"/>
    <w:rsid w:val="02E618E1"/>
    <w:rsid w:val="02E64A0F"/>
    <w:rsid w:val="02ED0871"/>
    <w:rsid w:val="02EF1E8A"/>
    <w:rsid w:val="02F56825"/>
    <w:rsid w:val="02F70D3E"/>
    <w:rsid w:val="02FE20CD"/>
    <w:rsid w:val="02FF7BF3"/>
    <w:rsid w:val="030F42DA"/>
    <w:rsid w:val="0314369E"/>
    <w:rsid w:val="03174043"/>
    <w:rsid w:val="031B408F"/>
    <w:rsid w:val="031F1E83"/>
    <w:rsid w:val="031F2043"/>
    <w:rsid w:val="032010E6"/>
    <w:rsid w:val="0321587C"/>
    <w:rsid w:val="032558AB"/>
    <w:rsid w:val="03345B70"/>
    <w:rsid w:val="03353615"/>
    <w:rsid w:val="03382FC7"/>
    <w:rsid w:val="034C1AD3"/>
    <w:rsid w:val="034D4E02"/>
    <w:rsid w:val="03540FD3"/>
    <w:rsid w:val="03586FB1"/>
    <w:rsid w:val="036208AE"/>
    <w:rsid w:val="03682323"/>
    <w:rsid w:val="036906AF"/>
    <w:rsid w:val="036A1510"/>
    <w:rsid w:val="036C34DA"/>
    <w:rsid w:val="036D7252"/>
    <w:rsid w:val="03746618"/>
    <w:rsid w:val="037B4D75"/>
    <w:rsid w:val="037C68B8"/>
    <w:rsid w:val="03842532"/>
    <w:rsid w:val="03896409"/>
    <w:rsid w:val="038A3960"/>
    <w:rsid w:val="038B1487"/>
    <w:rsid w:val="038D16A3"/>
    <w:rsid w:val="03906A9D"/>
    <w:rsid w:val="0397611D"/>
    <w:rsid w:val="039A6F2E"/>
    <w:rsid w:val="03A314B9"/>
    <w:rsid w:val="03A32C74"/>
    <w:rsid w:val="03A34A22"/>
    <w:rsid w:val="03A568BF"/>
    <w:rsid w:val="03A823C7"/>
    <w:rsid w:val="03AB70BB"/>
    <w:rsid w:val="03AD58A1"/>
    <w:rsid w:val="03AE7912"/>
    <w:rsid w:val="03B10EED"/>
    <w:rsid w:val="03B71428"/>
    <w:rsid w:val="03BE3397"/>
    <w:rsid w:val="03BF10E4"/>
    <w:rsid w:val="03C44A89"/>
    <w:rsid w:val="03C86237"/>
    <w:rsid w:val="03D3608E"/>
    <w:rsid w:val="03D9288A"/>
    <w:rsid w:val="03E17012"/>
    <w:rsid w:val="03F1794C"/>
    <w:rsid w:val="03F5323D"/>
    <w:rsid w:val="03F60FF6"/>
    <w:rsid w:val="03FA6D38"/>
    <w:rsid w:val="03FC7400"/>
    <w:rsid w:val="03FD2384"/>
    <w:rsid w:val="04073FBB"/>
    <w:rsid w:val="040D00EE"/>
    <w:rsid w:val="040E6340"/>
    <w:rsid w:val="041651F4"/>
    <w:rsid w:val="041871BE"/>
    <w:rsid w:val="04190294"/>
    <w:rsid w:val="04194A08"/>
    <w:rsid w:val="041F2D73"/>
    <w:rsid w:val="042035D2"/>
    <w:rsid w:val="04277926"/>
    <w:rsid w:val="04281D7B"/>
    <w:rsid w:val="042C4158"/>
    <w:rsid w:val="042D3929"/>
    <w:rsid w:val="043438CC"/>
    <w:rsid w:val="04364601"/>
    <w:rsid w:val="04365896"/>
    <w:rsid w:val="04400392"/>
    <w:rsid w:val="04463D2B"/>
    <w:rsid w:val="044C330C"/>
    <w:rsid w:val="044C6E68"/>
    <w:rsid w:val="044E0E32"/>
    <w:rsid w:val="046327D3"/>
    <w:rsid w:val="04640655"/>
    <w:rsid w:val="04702B56"/>
    <w:rsid w:val="04754C8F"/>
    <w:rsid w:val="0489228D"/>
    <w:rsid w:val="04926F71"/>
    <w:rsid w:val="04966116"/>
    <w:rsid w:val="049A0A1C"/>
    <w:rsid w:val="049A18FB"/>
    <w:rsid w:val="049B78DD"/>
    <w:rsid w:val="049C17DA"/>
    <w:rsid w:val="04A02811"/>
    <w:rsid w:val="04A13442"/>
    <w:rsid w:val="04AB2460"/>
    <w:rsid w:val="04AE18D1"/>
    <w:rsid w:val="04AE367F"/>
    <w:rsid w:val="04AF143D"/>
    <w:rsid w:val="04B2316F"/>
    <w:rsid w:val="04B30C95"/>
    <w:rsid w:val="04B444FC"/>
    <w:rsid w:val="04B50EB1"/>
    <w:rsid w:val="04B83BE2"/>
    <w:rsid w:val="04BA64C7"/>
    <w:rsid w:val="04BC5D9C"/>
    <w:rsid w:val="04BF3ADE"/>
    <w:rsid w:val="04BF588C"/>
    <w:rsid w:val="04C37D34"/>
    <w:rsid w:val="04CD0457"/>
    <w:rsid w:val="04CF1D63"/>
    <w:rsid w:val="04CF2A3A"/>
    <w:rsid w:val="04CF3050"/>
    <w:rsid w:val="04D15B54"/>
    <w:rsid w:val="04D54303"/>
    <w:rsid w:val="04DE5092"/>
    <w:rsid w:val="04E12EEA"/>
    <w:rsid w:val="04E5489C"/>
    <w:rsid w:val="04E765DF"/>
    <w:rsid w:val="04F44A97"/>
    <w:rsid w:val="04FD5A9F"/>
    <w:rsid w:val="05034BBD"/>
    <w:rsid w:val="05101F6B"/>
    <w:rsid w:val="0510337D"/>
    <w:rsid w:val="05104339"/>
    <w:rsid w:val="051736E5"/>
    <w:rsid w:val="05184F9C"/>
    <w:rsid w:val="052620B3"/>
    <w:rsid w:val="05272ECD"/>
    <w:rsid w:val="052D698C"/>
    <w:rsid w:val="052E6E7C"/>
    <w:rsid w:val="052F01ED"/>
    <w:rsid w:val="052F455D"/>
    <w:rsid w:val="05303718"/>
    <w:rsid w:val="0532605E"/>
    <w:rsid w:val="053A5C4B"/>
    <w:rsid w:val="053D226A"/>
    <w:rsid w:val="053E4A03"/>
    <w:rsid w:val="0540050C"/>
    <w:rsid w:val="054364BD"/>
    <w:rsid w:val="05483FB5"/>
    <w:rsid w:val="054B2F85"/>
    <w:rsid w:val="054D2E98"/>
    <w:rsid w:val="054F1346"/>
    <w:rsid w:val="055A54B2"/>
    <w:rsid w:val="05645FF0"/>
    <w:rsid w:val="056F72B2"/>
    <w:rsid w:val="05703EDE"/>
    <w:rsid w:val="05711A7E"/>
    <w:rsid w:val="05753778"/>
    <w:rsid w:val="058A5E9A"/>
    <w:rsid w:val="058D66D2"/>
    <w:rsid w:val="059A0DF8"/>
    <w:rsid w:val="05A34534"/>
    <w:rsid w:val="05A351AD"/>
    <w:rsid w:val="05A75130"/>
    <w:rsid w:val="05AB115D"/>
    <w:rsid w:val="05B13426"/>
    <w:rsid w:val="05B54117"/>
    <w:rsid w:val="05B922DB"/>
    <w:rsid w:val="05BC0B12"/>
    <w:rsid w:val="05BD0878"/>
    <w:rsid w:val="05C03FCA"/>
    <w:rsid w:val="05C435A6"/>
    <w:rsid w:val="05C45739"/>
    <w:rsid w:val="05C649F8"/>
    <w:rsid w:val="05D46069"/>
    <w:rsid w:val="05D62E8D"/>
    <w:rsid w:val="05DA3800"/>
    <w:rsid w:val="05DD7FE9"/>
    <w:rsid w:val="05DE36F7"/>
    <w:rsid w:val="05E356DF"/>
    <w:rsid w:val="05E75BD7"/>
    <w:rsid w:val="05E80E12"/>
    <w:rsid w:val="06007F0A"/>
    <w:rsid w:val="06020126"/>
    <w:rsid w:val="06021ED4"/>
    <w:rsid w:val="060851B6"/>
    <w:rsid w:val="060D14C1"/>
    <w:rsid w:val="06110711"/>
    <w:rsid w:val="061340E1"/>
    <w:rsid w:val="061C4BEB"/>
    <w:rsid w:val="06224324"/>
    <w:rsid w:val="06227E37"/>
    <w:rsid w:val="062736E9"/>
    <w:rsid w:val="06293905"/>
    <w:rsid w:val="062D4E29"/>
    <w:rsid w:val="06316315"/>
    <w:rsid w:val="0633208D"/>
    <w:rsid w:val="063A78C0"/>
    <w:rsid w:val="063B3638"/>
    <w:rsid w:val="063E09E6"/>
    <w:rsid w:val="063E0A32"/>
    <w:rsid w:val="064424ED"/>
    <w:rsid w:val="06456265"/>
    <w:rsid w:val="06494045"/>
    <w:rsid w:val="0649645E"/>
    <w:rsid w:val="06514081"/>
    <w:rsid w:val="065465DE"/>
    <w:rsid w:val="065B3038"/>
    <w:rsid w:val="065D4B8D"/>
    <w:rsid w:val="066C3EAB"/>
    <w:rsid w:val="06703F84"/>
    <w:rsid w:val="0673537E"/>
    <w:rsid w:val="06744454"/>
    <w:rsid w:val="067572F2"/>
    <w:rsid w:val="067675F2"/>
    <w:rsid w:val="067F4D02"/>
    <w:rsid w:val="068E38F3"/>
    <w:rsid w:val="06915006"/>
    <w:rsid w:val="06986394"/>
    <w:rsid w:val="069A210C"/>
    <w:rsid w:val="069B65EF"/>
    <w:rsid w:val="069F6311"/>
    <w:rsid w:val="06A116ED"/>
    <w:rsid w:val="06BD229F"/>
    <w:rsid w:val="06C278B5"/>
    <w:rsid w:val="06CE625A"/>
    <w:rsid w:val="06E15E33"/>
    <w:rsid w:val="06E17638"/>
    <w:rsid w:val="06E23AB3"/>
    <w:rsid w:val="06E25281"/>
    <w:rsid w:val="06E84C22"/>
    <w:rsid w:val="06F21A1C"/>
    <w:rsid w:val="06F47920"/>
    <w:rsid w:val="06F85E4C"/>
    <w:rsid w:val="070659F4"/>
    <w:rsid w:val="070A589C"/>
    <w:rsid w:val="07153E89"/>
    <w:rsid w:val="071C08E4"/>
    <w:rsid w:val="072074A3"/>
    <w:rsid w:val="072B7208"/>
    <w:rsid w:val="0730481F"/>
    <w:rsid w:val="07351E35"/>
    <w:rsid w:val="07373DFF"/>
    <w:rsid w:val="07437422"/>
    <w:rsid w:val="074B1659"/>
    <w:rsid w:val="0754675F"/>
    <w:rsid w:val="075A7330"/>
    <w:rsid w:val="07617FAE"/>
    <w:rsid w:val="07670B27"/>
    <w:rsid w:val="076818B6"/>
    <w:rsid w:val="077741FC"/>
    <w:rsid w:val="077A6F9D"/>
    <w:rsid w:val="077C1812"/>
    <w:rsid w:val="077E558A"/>
    <w:rsid w:val="078A2F3D"/>
    <w:rsid w:val="078B5EF9"/>
    <w:rsid w:val="078D607B"/>
    <w:rsid w:val="0792623A"/>
    <w:rsid w:val="079303C0"/>
    <w:rsid w:val="079A613C"/>
    <w:rsid w:val="07A42154"/>
    <w:rsid w:val="07A807CD"/>
    <w:rsid w:val="07A86AAB"/>
    <w:rsid w:val="07B23486"/>
    <w:rsid w:val="07B6677F"/>
    <w:rsid w:val="07BF4B3B"/>
    <w:rsid w:val="07CA066C"/>
    <w:rsid w:val="07CE6692"/>
    <w:rsid w:val="07D33D8C"/>
    <w:rsid w:val="07D557D8"/>
    <w:rsid w:val="07D66DEA"/>
    <w:rsid w:val="07DB29DD"/>
    <w:rsid w:val="07E120AD"/>
    <w:rsid w:val="07EB078C"/>
    <w:rsid w:val="07EC4BEA"/>
    <w:rsid w:val="07ED2710"/>
    <w:rsid w:val="07F43A9E"/>
    <w:rsid w:val="07FE66CB"/>
    <w:rsid w:val="08007A98"/>
    <w:rsid w:val="08030185"/>
    <w:rsid w:val="080812F8"/>
    <w:rsid w:val="08112072"/>
    <w:rsid w:val="0825485D"/>
    <w:rsid w:val="082A3964"/>
    <w:rsid w:val="082C20A6"/>
    <w:rsid w:val="082D0D5E"/>
    <w:rsid w:val="083767F6"/>
    <w:rsid w:val="083F2637"/>
    <w:rsid w:val="08430582"/>
    <w:rsid w:val="08485B98"/>
    <w:rsid w:val="084A5DB4"/>
    <w:rsid w:val="085F7FAC"/>
    <w:rsid w:val="08620400"/>
    <w:rsid w:val="08673E1C"/>
    <w:rsid w:val="0872028B"/>
    <w:rsid w:val="08762705"/>
    <w:rsid w:val="08764E9A"/>
    <w:rsid w:val="08766BA9"/>
    <w:rsid w:val="08773131"/>
    <w:rsid w:val="087B2D1A"/>
    <w:rsid w:val="087E1A5C"/>
    <w:rsid w:val="087E4453"/>
    <w:rsid w:val="08803584"/>
    <w:rsid w:val="08805962"/>
    <w:rsid w:val="08842D2C"/>
    <w:rsid w:val="088C0FFD"/>
    <w:rsid w:val="088C2325"/>
    <w:rsid w:val="088E3239"/>
    <w:rsid w:val="08901A19"/>
    <w:rsid w:val="08912501"/>
    <w:rsid w:val="0893175F"/>
    <w:rsid w:val="08962DA7"/>
    <w:rsid w:val="08A66C28"/>
    <w:rsid w:val="08A92ADB"/>
    <w:rsid w:val="08AE1E9F"/>
    <w:rsid w:val="08AF79C5"/>
    <w:rsid w:val="08B03E69"/>
    <w:rsid w:val="08B651F8"/>
    <w:rsid w:val="08BA659D"/>
    <w:rsid w:val="08BF5E5A"/>
    <w:rsid w:val="08C07E24"/>
    <w:rsid w:val="08C6368D"/>
    <w:rsid w:val="08D43AC7"/>
    <w:rsid w:val="08E7715F"/>
    <w:rsid w:val="08E92ED7"/>
    <w:rsid w:val="08FA11E9"/>
    <w:rsid w:val="08FB76D0"/>
    <w:rsid w:val="090118C6"/>
    <w:rsid w:val="09030A4A"/>
    <w:rsid w:val="0908086E"/>
    <w:rsid w:val="090B5543"/>
    <w:rsid w:val="090F0470"/>
    <w:rsid w:val="0913264A"/>
    <w:rsid w:val="09230FD7"/>
    <w:rsid w:val="09241820"/>
    <w:rsid w:val="09251C79"/>
    <w:rsid w:val="09293A1A"/>
    <w:rsid w:val="092D54BA"/>
    <w:rsid w:val="09304FAA"/>
    <w:rsid w:val="094166F6"/>
    <w:rsid w:val="09420839"/>
    <w:rsid w:val="094B1DE4"/>
    <w:rsid w:val="09530947"/>
    <w:rsid w:val="09570789"/>
    <w:rsid w:val="095D1A03"/>
    <w:rsid w:val="095D5673"/>
    <w:rsid w:val="09646A02"/>
    <w:rsid w:val="097179A2"/>
    <w:rsid w:val="097A7FD3"/>
    <w:rsid w:val="097F55EA"/>
    <w:rsid w:val="09866978"/>
    <w:rsid w:val="09886B94"/>
    <w:rsid w:val="098908A4"/>
    <w:rsid w:val="09903668"/>
    <w:rsid w:val="09975029"/>
    <w:rsid w:val="09A1402C"/>
    <w:rsid w:val="09A41D4D"/>
    <w:rsid w:val="09A42788"/>
    <w:rsid w:val="09A54D80"/>
    <w:rsid w:val="09A63886"/>
    <w:rsid w:val="09A84308"/>
    <w:rsid w:val="09AD03A9"/>
    <w:rsid w:val="09AD1C69"/>
    <w:rsid w:val="09AE328D"/>
    <w:rsid w:val="09B76004"/>
    <w:rsid w:val="09BE158D"/>
    <w:rsid w:val="09C15C02"/>
    <w:rsid w:val="09C91135"/>
    <w:rsid w:val="09CD45A7"/>
    <w:rsid w:val="09CF264E"/>
    <w:rsid w:val="09CF3E58"/>
    <w:rsid w:val="09CF47C3"/>
    <w:rsid w:val="09DE581C"/>
    <w:rsid w:val="09DF3BF3"/>
    <w:rsid w:val="09EE3E0C"/>
    <w:rsid w:val="09EF150E"/>
    <w:rsid w:val="09EF6C13"/>
    <w:rsid w:val="09F33855"/>
    <w:rsid w:val="09FA6552"/>
    <w:rsid w:val="09FE75F3"/>
    <w:rsid w:val="0A075373"/>
    <w:rsid w:val="0A0C1314"/>
    <w:rsid w:val="0A0C3321"/>
    <w:rsid w:val="0A120031"/>
    <w:rsid w:val="0A165F4E"/>
    <w:rsid w:val="0A1E2578"/>
    <w:rsid w:val="0A20328D"/>
    <w:rsid w:val="0A2E773B"/>
    <w:rsid w:val="0A2F6226"/>
    <w:rsid w:val="0A310FDA"/>
    <w:rsid w:val="0A372752"/>
    <w:rsid w:val="0A490FFD"/>
    <w:rsid w:val="0A5151D8"/>
    <w:rsid w:val="0A53145D"/>
    <w:rsid w:val="0A5624D8"/>
    <w:rsid w:val="0A5A1575"/>
    <w:rsid w:val="0A5E16A3"/>
    <w:rsid w:val="0A5E1724"/>
    <w:rsid w:val="0A642508"/>
    <w:rsid w:val="0A657055"/>
    <w:rsid w:val="0A6A040A"/>
    <w:rsid w:val="0A6E63D7"/>
    <w:rsid w:val="0A71587A"/>
    <w:rsid w:val="0A76722E"/>
    <w:rsid w:val="0A7809B7"/>
    <w:rsid w:val="0A7B686A"/>
    <w:rsid w:val="0A857F1E"/>
    <w:rsid w:val="0A8A2498"/>
    <w:rsid w:val="0A8B6D96"/>
    <w:rsid w:val="0A8C6210"/>
    <w:rsid w:val="0A903A93"/>
    <w:rsid w:val="0A983289"/>
    <w:rsid w:val="0A9B20C3"/>
    <w:rsid w:val="0AA36443"/>
    <w:rsid w:val="0AA95014"/>
    <w:rsid w:val="0AAF0151"/>
    <w:rsid w:val="0AB14EFA"/>
    <w:rsid w:val="0AB154BD"/>
    <w:rsid w:val="0AB37C41"/>
    <w:rsid w:val="0AB712E8"/>
    <w:rsid w:val="0ABD286D"/>
    <w:rsid w:val="0ABD7625"/>
    <w:rsid w:val="0ABF7237"/>
    <w:rsid w:val="0AC2110A"/>
    <w:rsid w:val="0AD020DC"/>
    <w:rsid w:val="0AD81455"/>
    <w:rsid w:val="0AD876A7"/>
    <w:rsid w:val="0ADB0F46"/>
    <w:rsid w:val="0ADD2F10"/>
    <w:rsid w:val="0AE25BA6"/>
    <w:rsid w:val="0AE421FF"/>
    <w:rsid w:val="0AEF054D"/>
    <w:rsid w:val="0AF65D7F"/>
    <w:rsid w:val="0B0009AC"/>
    <w:rsid w:val="0B0D6D3C"/>
    <w:rsid w:val="0B0F299D"/>
    <w:rsid w:val="0B106E41"/>
    <w:rsid w:val="0B1366BC"/>
    <w:rsid w:val="0B2145A4"/>
    <w:rsid w:val="0B24619E"/>
    <w:rsid w:val="0B2B6AE0"/>
    <w:rsid w:val="0B3045DF"/>
    <w:rsid w:val="0B307D6D"/>
    <w:rsid w:val="0B3150F3"/>
    <w:rsid w:val="0B441E89"/>
    <w:rsid w:val="0B486A8C"/>
    <w:rsid w:val="0B496744"/>
    <w:rsid w:val="0B4E1717"/>
    <w:rsid w:val="0B5036F4"/>
    <w:rsid w:val="0B540FEC"/>
    <w:rsid w:val="0B5A3EE2"/>
    <w:rsid w:val="0B5B52C5"/>
    <w:rsid w:val="0B5F7F25"/>
    <w:rsid w:val="0B61144B"/>
    <w:rsid w:val="0B642CE9"/>
    <w:rsid w:val="0B6651F4"/>
    <w:rsid w:val="0B6B4077"/>
    <w:rsid w:val="0B79784C"/>
    <w:rsid w:val="0B7B1815"/>
    <w:rsid w:val="0B7C4C69"/>
    <w:rsid w:val="0B7C51A2"/>
    <w:rsid w:val="0B7F34B6"/>
    <w:rsid w:val="0B7F5C17"/>
    <w:rsid w:val="0B807005"/>
    <w:rsid w:val="0B896BF3"/>
    <w:rsid w:val="0B8C3FEE"/>
    <w:rsid w:val="0B9652D3"/>
    <w:rsid w:val="0B971310"/>
    <w:rsid w:val="0B9730BE"/>
    <w:rsid w:val="0B991B8D"/>
    <w:rsid w:val="0B99207D"/>
    <w:rsid w:val="0BA13DAC"/>
    <w:rsid w:val="0BA15CEB"/>
    <w:rsid w:val="0BA2191A"/>
    <w:rsid w:val="0BA948A3"/>
    <w:rsid w:val="0BAF1639"/>
    <w:rsid w:val="0BB37D17"/>
    <w:rsid w:val="0BBB10D3"/>
    <w:rsid w:val="0BBE58A5"/>
    <w:rsid w:val="0BC3219C"/>
    <w:rsid w:val="0BC33EB3"/>
    <w:rsid w:val="0BC348DB"/>
    <w:rsid w:val="0BCA2D32"/>
    <w:rsid w:val="0BD07EB3"/>
    <w:rsid w:val="0BD152D3"/>
    <w:rsid w:val="0BE13F7A"/>
    <w:rsid w:val="0BE40794"/>
    <w:rsid w:val="0BEB340A"/>
    <w:rsid w:val="0BEE2382"/>
    <w:rsid w:val="0BF913EB"/>
    <w:rsid w:val="0BFA0758"/>
    <w:rsid w:val="0BFA5C14"/>
    <w:rsid w:val="0C0C65A8"/>
    <w:rsid w:val="0C142961"/>
    <w:rsid w:val="0C194778"/>
    <w:rsid w:val="0C1B5A9E"/>
    <w:rsid w:val="0C1F4E62"/>
    <w:rsid w:val="0C210BDA"/>
    <w:rsid w:val="0C230DF6"/>
    <w:rsid w:val="0C394176"/>
    <w:rsid w:val="0C3B7EEE"/>
    <w:rsid w:val="0C3C43DB"/>
    <w:rsid w:val="0C413284"/>
    <w:rsid w:val="0C436DA2"/>
    <w:rsid w:val="0C441C18"/>
    <w:rsid w:val="0C4B6B13"/>
    <w:rsid w:val="0C4C42AB"/>
    <w:rsid w:val="0C4D7C21"/>
    <w:rsid w:val="0C525237"/>
    <w:rsid w:val="0C526FE5"/>
    <w:rsid w:val="0C544117"/>
    <w:rsid w:val="0C566AD6"/>
    <w:rsid w:val="0C58495D"/>
    <w:rsid w:val="0C590374"/>
    <w:rsid w:val="0C5C1C12"/>
    <w:rsid w:val="0C6678F6"/>
    <w:rsid w:val="0C6A2581"/>
    <w:rsid w:val="0C7303D5"/>
    <w:rsid w:val="0C7701E6"/>
    <w:rsid w:val="0C781747"/>
    <w:rsid w:val="0C7A6B42"/>
    <w:rsid w:val="0C800E74"/>
    <w:rsid w:val="0C881FC8"/>
    <w:rsid w:val="0C8E7E45"/>
    <w:rsid w:val="0C923886"/>
    <w:rsid w:val="0C937D2A"/>
    <w:rsid w:val="0C963376"/>
    <w:rsid w:val="0C97452C"/>
    <w:rsid w:val="0C996F17"/>
    <w:rsid w:val="0C9E05CD"/>
    <w:rsid w:val="0CA26F2B"/>
    <w:rsid w:val="0CA4702C"/>
    <w:rsid w:val="0CA6167C"/>
    <w:rsid w:val="0CA830A9"/>
    <w:rsid w:val="0CA92F4A"/>
    <w:rsid w:val="0CAB7129"/>
    <w:rsid w:val="0CAE6912"/>
    <w:rsid w:val="0CB00E44"/>
    <w:rsid w:val="0CB02279"/>
    <w:rsid w:val="0CB13A3A"/>
    <w:rsid w:val="0CB31A9E"/>
    <w:rsid w:val="0CB657C6"/>
    <w:rsid w:val="0CBC6764"/>
    <w:rsid w:val="0CC003B4"/>
    <w:rsid w:val="0CD71979"/>
    <w:rsid w:val="0CDA2851"/>
    <w:rsid w:val="0CDC1377"/>
    <w:rsid w:val="0CEC6F99"/>
    <w:rsid w:val="0CF813CA"/>
    <w:rsid w:val="0CFA08A9"/>
    <w:rsid w:val="0D013DBD"/>
    <w:rsid w:val="0D0230E3"/>
    <w:rsid w:val="0D116EA1"/>
    <w:rsid w:val="0D1605D3"/>
    <w:rsid w:val="0D176605"/>
    <w:rsid w:val="0D201D32"/>
    <w:rsid w:val="0D2C47D7"/>
    <w:rsid w:val="0D305579"/>
    <w:rsid w:val="0D333A50"/>
    <w:rsid w:val="0D371ED7"/>
    <w:rsid w:val="0D3B0F42"/>
    <w:rsid w:val="0D3D123F"/>
    <w:rsid w:val="0D4A5322"/>
    <w:rsid w:val="0D4D4D38"/>
    <w:rsid w:val="0D4E5CFC"/>
    <w:rsid w:val="0D4E6EF8"/>
    <w:rsid w:val="0D4F0971"/>
    <w:rsid w:val="0D52785E"/>
    <w:rsid w:val="0D5A19DF"/>
    <w:rsid w:val="0D5A5719"/>
    <w:rsid w:val="0D5C7124"/>
    <w:rsid w:val="0D660F9A"/>
    <w:rsid w:val="0D701E19"/>
    <w:rsid w:val="0D706111"/>
    <w:rsid w:val="0D7101D4"/>
    <w:rsid w:val="0D7F02AE"/>
    <w:rsid w:val="0D80304A"/>
    <w:rsid w:val="0D817397"/>
    <w:rsid w:val="0D837D9E"/>
    <w:rsid w:val="0D847672"/>
    <w:rsid w:val="0D881D7B"/>
    <w:rsid w:val="0D884231"/>
    <w:rsid w:val="0D953752"/>
    <w:rsid w:val="0D9D0734"/>
    <w:rsid w:val="0DA9532B"/>
    <w:rsid w:val="0DB00518"/>
    <w:rsid w:val="0DB55DCD"/>
    <w:rsid w:val="0DB77A48"/>
    <w:rsid w:val="0DBC2CEA"/>
    <w:rsid w:val="0DBF25EE"/>
    <w:rsid w:val="0DBF6485"/>
    <w:rsid w:val="0DC1224B"/>
    <w:rsid w:val="0DC3019B"/>
    <w:rsid w:val="0DC42165"/>
    <w:rsid w:val="0DCD2DC7"/>
    <w:rsid w:val="0DCD71FF"/>
    <w:rsid w:val="0DD25F58"/>
    <w:rsid w:val="0DD423A8"/>
    <w:rsid w:val="0DE545B5"/>
    <w:rsid w:val="0DE83DE0"/>
    <w:rsid w:val="0DF171AA"/>
    <w:rsid w:val="0DF261C0"/>
    <w:rsid w:val="0DF66A4D"/>
    <w:rsid w:val="0DFD78B7"/>
    <w:rsid w:val="0E0067C3"/>
    <w:rsid w:val="0E051FB4"/>
    <w:rsid w:val="0E08039E"/>
    <w:rsid w:val="0E094A94"/>
    <w:rsid w:val="0E0A401C"/>
    <w:rsid w:val="0E135D36"/>
    <w:rsid w:val="0E1529C0"/>
    <w:rsid w:val="0E1819AD"/>
    <w:rsid w:val="0E201EA9"/>
    <w:rsid w:val="0E221B63"/>
    <w:rsid w:val="0E236E8B"/>
    <w:rsid w:val="0E2624D8"/>
    <w:rsid w:val="0E4137B5"/>
    <w:rsid w:val="0E4B63E2"/>
    <w:rsid w:val="0E52151F"/>
    <w:rsid w:val="0E547045"/>
    <w:rsid w:val="0E56100F"/>
    <w:rsid w:val="0E666B26"/>
    <w:rsid w:val="0E686F94"/>
    <w:rsid w:val="0E6965C9"/>
    <w:rsid w:val="0E6A7EC3"/>
    <w:rsid w:val="0E6D6359"/>
    <w:rsid w:val="0E7253FB"/>
    <w:rsid w:val="0E772D33"/>
    <w:rsid w:val="0E8A5D68"/>
    <w:rsid w:val="0E8C5F50"/>
    <w:rsid w:val="0E8E1156"/>
    <w:rsid w:val="0E8E3AF0"/>
    <w:rsid w:val="0E943FE1"/>
    <w:rsid w:val="0E9C09EC"/>
    <w:rsid w:val="0EA004DC"/>
    <w:rsid w:val="0EA16BEC"/>
    <w:rsid w:val="0EA55AF2"/>
    <w:rsid w:val="0EA77ABC"/>
    <w:rsid w:val="0EB30338"/>
    <w:rsid w:val="0EBB3568"/>
    <w:rsid w:val="0EBF1062"/>
    <w:rsid w:val="0EC20452"/>
    <w:rsid w:val="0EC374E2"/>
    <w:rsid w:val="0EC73593"/>
    <w:rsid w:val="0ECA523E"/>
    <w:rsid w:val="0ECD4593"/>
    <w:rsid w:val="0ED05DE0"/>
    <w:rsid w:val="0ED875B3"/>
    <w:rsid w:val="0ED947AC"/>
    <w:rsid w:val="0EE4281A"/>
    <w:rsid w:val="0EED10D1"/>
    <w:rsid w:val="0EF12AE6"/>
    <w:rsid w:val="0EFD148A"/>
    <w:rsid w:val="0F012868"/>
    <w:rsid w:val="0F0468E9"/>
    <w:rsid w:val="0F15709A"/>
    <w:rsid w:val="0F173EAC"/>
    <w:rsid w:val="0F19147A"/>
    <w:rsid w:val="0F1A576B"/>
    <w:rsid w:val="0F1B7B63"/>
    <w:rsid w:val="0F205179"/>
    <w:rsid w:val="0F2352FD"/>
    <w:rsid w:val="0F274DD4"/>
    <w:rsid w:val="0F2A424A"/>
    <w:rsid w:val="0F324288"/>
    <w:rsid w:val="0F362BEE"/>
    <w:rsid w:val="0F3D3F7D"/>
    <w:rsid w:val="0F4223A4"/>
    <w:rsid w:val="0F4C2486"/>
    <w:rsid w:val="0F4D0A96"/>
    <w:rsid w:val="0F4F79E4"/>
    <w:rsid w:val="0F517A28"/>
    <w:rsid w:val="0F6B0AEA"/>
    <w:rsid w:val="0F81030D"/>
    <w:rsid w:val="0F895414"/>
    <w:rsid w:val="0F8C0A60"/>
    <w:rsid w:val="0F8E2A2A"/>
    <w:rsid w:val="0F9242C9"/>
    <w:rsid w:val="0F987405"/>
    <w:rsid w:val="0F9F4E18"/>
    <w:rsid w:val="0FA36706"/>
    <w:rsid w:val="0FA61B22"/>
    <w:rsid w:val="0FB31864"/>
    <w:rsid w:val="0FBE31E3"/>
    <w:rsid w:val="0FBF0602"/>
    <w:rsid w:val="0FBF0E36"/>
    <w:rsid w:val="0FBF66B5"/>
    <w:rsid w:val="0FD06B9F"/>
    <w:rsid w:val="0FD86946"/>
    <w:rsid w:val="0FDE57EA"/>
    <w:rsid w:val="0FDF10AC"/>
    <w:rsid w:val="0FE012F7"/>
    <w:rsid w:val="0FEC6D3E"/>
    <w:rsid w:val="0FEE6ED1"/>
    <w:rsid w:val="0FF00FEF"/>
    <w:rsid w:val="0FF705D0"/>
    <w:rsid w:val="0FFE195E"/>
    <w:rsid w:val="10146CD2"/>
    <w:rsid w:val="101A5B47"/>
    <w:rsid w:val="10231B33"/>
    <w:rsid w:val="10260EB5"/>
    <w:rsid w:val="10283C1C"/>
    <w:rsid w:val="102A708F"/>
    <w:rsid w:val="1030653E"/>
    <w:rsid w:val="10325307"/>
    <w:rsid w:val="10346EDB"/>
    <w:rsid w:val="1034712E"/>
    <w:rsid w:val="103A527D"/>
    <w:rsid w:val="103F3165"/>
    <w:rsid w:val="104A4BA3"/>
    <w:rsid w:val="104D5F69"/>
    <w:rsid w:val="105F12EC"/>
    <w:rsid w:val="10625D6E"/>
    <w:rsid w:val="106317C1"/>
    <w:rsid w:val="106B2493"/>
    <w:rsid w:val="107C06A1"/>
    <w:rsid w:val="10802373"/>
    <w:rsid w:val="108160C9"/>
    <w:rsid w:val="108656BE"/>
    <w:rsid w:val="108D2CE2"/>
    <w:rsid w:val="109A13A3"/>
    <w:rsid w:val="109C2F25"/>
    <w:rsid w:val="109E4EEF"/>
    <w:rsid w:val="10AD710B"/>
    <w:rsid w:val="10B02F93"/>
    <w:rsid w:val="10B1288D"/>
    <w:rsid w:val="10B207B8"/>
    <w:rsid w:val="10C828C3"/>
    <w:rsid w:val="10CD1E1D"/>
    <w:rsid w:val="10D821AF"/>
    <w:rsid w:val="10E10621"/>
    <w:rsid w:val="10F51D8D"/>
    <w:rsid w:val="10FB7C4C"/>
    <w:rsid w:val="10FE1FD7"/>
    <w:rsid w:val="1102469D"/>
    <w:rsid w:val="1109730E"/>
    <w:rsid w:val="111331E7"/>
    <w:rsid w:val="11133BAA"/>
    <w:rsid w:val="11160F29"/>
    <w:rsid w:val="11184C1F"/>
    <w:rsid w:val="111D2270"/>
    <w:rsid w:val="112034F0"/>
    <w:rsid w:val="11230268"/>
    <w:rsid w:val="11274EE5"/>
    <w:rsid w:val="112B3811"/>
    <w:rsid w:val="112C6589"/>
    <w:rsid w:val="112E1DCF"/>
    <w:rsid w:val="113A7439"/>
    <w:rsid w:val="113C52C0"/>
    <w:rsid w:val="11421D1E"/>
    <w:rsid w:val="114535BD"/>
    <w:rsid w:val="1146147C"/>
    <w:rsid w:val="114A5E54"/>
    <w:rsid w:val="114F61E9"/>
    <w:rsid w:val="115075A7"/>
    <w:rsid w:val="115223E3"/>
    <w:rsid w:val="115C692C"/>
    <w:rsid w:val="115D0906"/>
    <w:rsid w:val="11695A46"/>
    <w:rsid w:val="116F5CD5"/>
    <w:rsid w:val="1177694E"/>
    <w:rsid w:val="118063A3"/>
    <w:rsid w:val="1182036D"/>
    <w:rsid w:val="11844488"/>
    <w:rsid w:val="11845E93"/>
    <w:rsid w:val="11851C0B"/>
    <w:rsid w:val="118971D0"/>
    <w:rsid w:val="118C353D"/>
    <w:rsid w:val="118C4D48"/>
    <w:rsid w:val="118D67D0"/>
    <w:rsid w:val="119E2A3C"/>
    <w:rsid w:val="11A55E09"/>
    <w:rsid w:val="11AE4CBE"/>
    <w:rsid w:val="11B46FBE"/>
    <w:rsid w:val="11B61DC5"/>
    <w:rsid w:val="11BF511D"/>
    <w:rsid w:val="11C65A7E"/>
    <w:rsid w:val="11CB3AC2"/>
    <w:rsid w:val="11D24E50"/>
    <w:rsid w:val="11D3727B"/>
    <w:rsid w:val="11D64215"/>
    <w:rsid w:val="11D97ADC"/>
    <w:rsid w:val="11DB6FBF"/>
    <w:rsid w:val="11E21E3A"/>
    <w:rsid w:val="11E332CA"/>
    <w:rsid w:val="11E626AA"/>
    <w:rsid w:val="11EA77CF"/>
    <w:rsid w:val="11F8418B"/>
    <w:rsid w:val="11FB5FFD"/>
    <w:rsid w:val="11FC6761"/>
    <w:rsid w:val="12071515"/>
    <w:rsid w:val="121045D7"/>
    <w:rsid w:val="12107C20"/>
    <w:rsid w:val="121153F0"/>
    <w:rsid w:val="12125F73"/>
    <w:rsid w:val="12170AB5"/>
    <w:rsid w:val="12174F59"/>
    <w:rsid w:val="122E5DFF"/>
    <w:rsid w:val="123122E5"/>
    <w:rsid w:val="123132ED"/>
    <w:rsid w:val="12331667"/>
    <w:rsid w:val="12353631"/>
    <w:rsid w:val="12387609"/>
    <w:rsid w:val="123B749B"/>
    <w:rsid w:val="123C7F68"/>
    <w:rsid w:val="123E4294"/>
    <w:rsid w:val="123F1DBA"/>
    <w:rsid w:val="12453F27"/>
    <w:rsid w:val="126164C2"/>
    <w:rsid w:val="126A32DB"/>
    <w:rsid w:val="126B2BAF"/>
    <w:rsid w:val="12706417"/>
    <w:rsid w:val="12733BDE"/>
    <w:rsid w:val="12883A57"/>
    <w:rsid w:val="12887C05"/>
    <w:rsid w:val="12926B61"/>
    <w:rsid w:val="12993BC0"/>
    <w:rsid w:val="129F6D7A"/>
    <w:rsid w:val="12A04F4F"/>
    <w:rsid w:val="12A32689"/>
    <w:rsid w:val="12A71F88"/>
    <w:rsid w:val="12AF0CEE"/>
    <w:rsid w:val="12BB2799"/>
    <w:rsid w:val="12BD7AE9"/>
    <w:rsid w:val="12C2773A"/>
    <w:rsid w:val="12C44571"/>
    <w:rsid w:val="12C50511"/>
    <w:rsid w:val="12CF4C08"/>
    <w:rsid w:val="12EB3CF0"/>
    <w:rsid w:val="12EF558E"/>
    <w:rsid w:val="12FE54E8"/>
    <w:rsid w:val="130152C1"/>
    <w:rsid w:val="13053004"/>
    <w:rsid w:val="1309012D"/>
    <w:rsid w:val="130A061A"/>
    <w:rsid w:val="130C4392"/>
    <w:rsid w:val="130E2670"/>
    <w:rsid w:val="130F79DE"/>
    <w:rsid w:val="131109C2"/>
    <w:rsid w:val="13120E59"/>
    <w:rsid w:val="13160D6D"/>
    <w:rsid w:val="131C29E9"/>
    <w:rsid w:val="131C7A1A"/>
    <w:rsid w:val="131D158F"/>
    <w:rsid w:val="132E7F9B"/>
    <w:rsid w:val="13301E72"/>
    <w:rsid w:val="13326642"/>
    <w:rsid w:val="133856A1"/>
    <w:rsid w:val="13394A5B"/>
    <w:rsid w:val="13394B22"/>
    <w:rsid w:val="133C384F"/>
    <w:rsid w:val="1342136B"/>
    <w:rsid w:val="13533D6F"/>
    <w:rsid w:val="135950FD"/>
    <w:rsid w:val="135D4BEE"/>
    <w:rsid w:val="136250DE"/>
    <w:rsid w:val="1367029A"/>
    <w:rsid w:val="1367270D"/>
    <w:rsid w:val="13685340"/>
    <w:rsid w:val="136917E4"/>
    <w:rsid w:val="13765CAF"/>
    <w:rsid w:val="1379754E"/>
    <w:rsid w:val="138332B7"/>
    <w:rsid w:val="138A6EF0"/>
    <w:rsid w:val="138D5CF8"/>
    <w:rsid w:val="138E2FF9"/>
    <w:rsid w:val="13956761"/>
    <w:rsid w:val="139B5716"/>
    <w:rsid w:val="139F00DC"/>
    <w:rsid w:val="13A202EC"/>
    <w:rsid w:val="13B81E24"/>
    <w:rsid w:val="13BB50EB"/>
    <w:rsid w:val="13C06F4E"/>
    <w:rsid w:val="13CE5AEB"/>
    <w:rsid w:val="13D1738A"/>
    <w:rsid w:val="13D20A31"/>
    <w:rsid w:val="13D36C5E"/>
    <w:rsid w:val="13D51FF9"/>
    <w:rsid w:val="13DB410D"/>
    <w:rsid w:val="13EA6A1E"/>
    <w:rsid w:val="13F31C62"/>
    <w:rsid w:val="13FB7F63"/>
    <w:rsid w:val="14041399"/>
    <w:rsid w:val="14046D19"/>
    <w:rsid w:val="140C2170"/>
    <w:rsid w:val="14221C51"/>
    <w:rsid w:val="14292D22"/>
    <w:rsid w:val="142E0338"/>
    <w:rsid w:val="142E7EFC"/>
    <w:rsid w:val="142F327C"/>
    <w:rsid w:val="143360D2"/>
    <w:rsid w:val="143516C6"/>
    <w:rsid w:val="14397409"/>
    <w:rsid w:val="14466B64"/>
    <w:rsid w:val="144A6770"/>
    <w:rsid w:val="145646D7"/>
    <w:rsid w:val="145D12CC"/>
    <w:rsid w:val="146E0DBE"/>
    <w:rsid w:val="147162A0"/>
    <w:rsid w:val="14757D15"/>
    <w:rsid w:val="147D272B"/>
    <w:rsid w:val="14812B5E"/>
    <w:rsid w:val="148148E6"/>
    <w:rsid w:val="14861F22"/>
    <w:rsid w:val="148865FC"/>
    <w:rsid w:val="148A0469"/>
    <w:rsid w:val="14997476"/>
    <w:rsid w:val="149A3C1F"/>
    <w:rsid w:val="149C34F4"/>
    <w:rsid w:val="14A04A70"/>
    <w:rsid w:val="14A32AD4"/>
    <w:rsid w:val="14A800EA"/>
    <w:rsid w:val="14A95C11"/>
    <w:rsid w:val="14AE78FC"/>
    <w:rsid w:val="14B45221"/>
    <w:rsid w:val="14BB1C04"/>
    <w:rsid w:val="14C2050D"/>
    <w:rsid w:val="14C447F8"/>
    <w:rsid w:val="14C64C7E"/>
    <w:rsid w:val="14C8078D"/>
    <w:rsid w:val="14CB3DD9"/>
    <w:rsid w:val="14CD19F7"/>
    <w:rsid w:val="14CF38C9"/>
    <w:rsid w:val="14D41776"/>
    <w:rsid w:val="14D61575"/>
    <w:rsid w:val="14DE58BA"/>
    <w:rsid w:val="14DF1632"/>
    <w:rsid w:val="14DF61D2"/>
    <w:rsid w:val="14EF1875"/>
    <w:rsid w:val="14F41582"/>
    <w:rsid w:val="1505553D"/>
    <w:rsid w:val="150C68CB"/>
    <w:rsid w:val="150D0C73"/>
    <w:rsid w:val="150D6686"/>
    <w:rsid w:val="150D7A74"/>
    <w:rsid w:val="151237B6"/>
    <w:rsid w:val="15132AB0"/>
    <w:rsid w:val="1514752E"/>
    <w:rsid w:val="15147CF3"/>
    <w:rsid w:val="151B4AF5"/>
    <w:rsid w:val="15243EAD"/>
    <w:rsid w:val="15253411"/>
    <w:rsid w:val="152625F5"/>
    <w:rsid w:val="1526738D"/>
    <w:rsid w:val="15271264"/>
    <w:rsid w:val="15287464"/>
    <w:rsid w:val="1529706A"/>
    <w:rsid w:val="152A4FA3"/>
    <w:rsid w:val="152E1274"/>
    <w:rsid w:val="152F1E8B"/>
    <w:rsid w:val="153327A6"/>
    <w:rsid w:val="153D0BE4"/>
    <w:rsid w:val="154716B1"/>
    <w:rsid w:val="15497022"/>
    <w:rsid w:val="154A2F50"/>
    <w:rsid w:val="154C316C"/>
    <w:rsid w:val="154E2FCB"/>
    <w:rsid w:val="154E5150"/>
    <w:rsid w:val="155317A4"/>
    <w:rsid w:val="15597F0E"/>
    <w:rsid w:val="1562046B"/>
    <w:rsid w:val="156A6359"/>
    <w:rsid w:val="15744470"/>
    <w:rsid w:val="15783F61"/>
    <w:rsid w:val="1586177D"/>
    <w:rsid w:val="158B1E45"/>
    <w:rsid w:val="15915022"/>
    <w:rsid w:val="15966195"/>
    <w:rsid w:val="15A24D85"/>
    <w:rsid w:val="15A5287C"/>
    <w:rsid w:val="15A75FE9"/>
    <w:rsid w:val="15A85EC8"/>
    <w:rsid w:val="15AE1730"/>
    <w:rsid w:val="15AF54A9"/>
    <w:rsid w:val="15B42B13"/>
    <w:rsid w:val="15B4486D"/>
    <w:rsid w:val="15BB1F5D"/>
    <w:rsid w:val="15C076B6"/>
    <w:rsid w:val="15C34AB0"/>
    <w:rsid w:val="15C50828"/>
    <w:rsid w:val="15C54CCC"/>
    <w:rsid w:val="15C617EC"/>
    <w:rsid w:val="15C77561"/>
    <w:rsid w:val="15CC2375"/>
    <w:rsid w:val="15CE4F9A"/>
    <w:rsid w:val="15D05B4B"/>
    <w:rsid w:val="15DB44F0"/>
    <w:rsid w:val="15DD0268"/>
    <w:rsid w:val="15DD3528"/>
    <w:rsid w:val="15E414B0"/>
    <w:rsid w:val="15EB4733"/>
    <w:rsid w:val="15EF15AD"/>
    <w:rsid w:val="15F6718A"/>
    <w:rsid w:val="15F81A51"/>
    <w:rsid w:val="15FA16D5"/>
    <w:rsid w:val="15FA2BC8"/>
    <w:rsid w:val="15FA54A8"/>
    <w:rsid w:val="15FC5CA2"/>
    <w:rsid w:val="16063813"/>
    <w:rsid w:val="160868AC"/>
    <w:rsid w:val="16127DC1"/>
    <w:rsid w:val="16187107"/>
    <w:rsid w:val="161A6DC6"/>
    <w:rsid w:val="161C3B0C"/>
    <w:rsid w:val="161F2DB8"/>
    <w:rsid w:val="16242208"/>
    <w:rsid w:val="162969EF"/>
    <w:rsid w:val="16333219"/>
    <w:rsid w:val="16351E52"/>
    <w:rsid w:val="163559AE"/>
    <w:rsid w:val="163836F0"/>
    <w:rsid w:val="163A345B"/>
    <w:rsid w:val="164200CB"/>
    <w:rsid w:val="16451B0C"/>
    <w:rsid w:val="16472DA7"/>
    <w:rsid w:val="16476450"/>
    <w:rsid w:val="164F4F06"/>
    <w:rsid w:val="16500A3A"/>
    <w:rsid w:val="165F5FA7"/>
    <w:rsid w:val="166D4EAF"/>
    <w:rsid w:val="166E7112"/>
    <w:rsid w:val="167504A0"/>
    <w:rsid w:val="1675224E"/>
    <w:rsid w:val="16846935"/>
    <w:rsid w:val="169E79F7"/>
    <w:rsid w:val="16A01D83"/>
    <w:rsid w:val="16A20B69"/>
    <w:rsid w:val="16A36DBB"/>
    <w:rsid w:val="16AA0BBB"/>
    <w:rsid w:val="16AE139D"/>
    <w:rsid w:val="16B26FFE"/>
    <w:rsid w:val="16B32D77"/>
    <w:rsid w:val="16B461C4"/>
    <w:rsid w:val="16BE21D6"/>
    <w:rsid w:val="16D01081"/>
    <w:rsid w:val="16D26BA4"/>
    <w:rsid w:val="16DB32D7"/>
    <w:rsid w:val="16DB61A0"/>
    <w:rsid w:val="16DB721D"/>
    <w:rsid w:val="16DE6045"/>
    <w:rsid w:val="16E03689"/>
    <w:rsid w:val="16E4315B"/>
    <w:rsid w:val="16E77B71"/>
    <w:rsid w:val="16EA49EA"/>
    <w:rsid w:val="16ED44DA"/>
    <w:rsid w:val="16EF50A8"/>
    <w:rsid w:val="16F2389F"/>
    <w:rsid w:val="16F94446"/>
    <w:rsid w:val="170D2487"/>
    <w:rsid w:val="170F5060"/>
    <w:rsid w:val="171A224F"/>
    <w:rsid w:val="171B1048"/>
    <w:rsid w:val="17206201"/>
    <w:rsid w:val="172B0B5F"/>
    <w:rsid w:val="172C5003"/>
    <w:rsid w:val="172F11E5"/>
    <w:rsid w:val="1730090A"/>
    <w:rsid w:val="173043C7"/>
    <w:rsid w:val="17324FA7"/>
    <w:rsid w:val="17327C5D"/>
    <w:rsid w:val="17334A86"/>
    <w:rsid w:val="1735378C"/>
    <w:rsid w:val="17377994"/>
    <w:rsid w:val="173B6957"/>
    <w:rsid w:val="173B6FF4"/>
    <w:rsid w:val="174521EE"/>
    <w:rsid w:val="174F2944"/>
    <w:rsid w:val="17502113"/>
    <w:rsid w:val="17546308"/>
    <w:rsid w:val="17555BDC"/>
    <w:rsid w:val="17590AE4"/>
    <w:rsid w:val="176121B7"/>
    <w:rsid w:val="176A1687"/>
    <w:rsid w:val="176D1177"/>
    <w:rsid w:val="176E561B"/>
    <w:rsid w:val="177469AA"/>
    <w:rsid w:val="17777930"/>
    <w:rsid w:val="177E5132"/>
    <w:rsid w:val="17872239"/>
    <w:rsid w:val="17885842"/>
    <w:rsid w:val="179049D0"/>
    <w:rsid w:val="17914E66"/>
    <w:rsid w:val="179255E1"/>
    <w:rsid w:val="1796533F"/>
    <w:rsid w:val="17985312"/>
    <w:rsid w:val="17A252C5"/>
    <w:rsid w:val="17A70B2D"/>
    <w:rsid w:val="17A82CE3"/>
    <w:rsid w:val="17AD77C6"/>
    <w:rsid w:val="17AE4936"/>
    <w:rsid w:val="17B30D49"/>
    <w:rsid w:val="17B65954"/>
    <w:rsid w:val="17CA481C"/>
    <w:rsid w:val="17D85B3A"/>
    <w:rsid w:val="17DB7C9E"/>
    <w:rsid w:val="17E2603C"/>
    <w:rsid w:val="17E31439"/>
    <w:rsid w:val="17E70F2A"/>
    <w:rsid w:val="17E92EF4"/>
    <w:rsid w:val="17EC02EE"/>
    <w:rsid w:val="17ED66A2"/>
    <w:rsid w:val="17F82226"/>
    <w:rsid w:val="17FE4A37"/>
    <w:rsid w:val="18075128"/>
    <w:rsid w:val="18133ACD"/>
    <w:rsid w:val="18167A61"/>
    <w:rsid w:val="18226406"/>
    <w:rsid w:val="18254C35"/>
    <w:rsid w:val="18277578"/>
    <w:rsid w:val="182A7068"/>
    <w:rsid w:val="182C1032"/>
    <w:rsid w:val="183523A0"/>
    <w:rsid w:val="18363C5F"/>
    <w:rsid w:val="183E3BC5"/>
    <w:rsid w:val="184C3483"/>
    <w:rsid w:val="18585984"/>
    <w:rsid w:val="1859527C"/>
    <w:rsid w:val="185A16FC"/>
    <w:rsid w:val="185A4886"/>
    <w:rsid w:val="186E51A7"/>
    <w:rsid w:val="18725A29"/>
    <w:rsid w:val="18725F0A"/>
    <w:rsid w:val="187A61EB"/>
    <w:rsid w:val="187D363C"/>
    <w:rsid w:val="18825A8F"/>
    <w:rsid w:val="189867FD"/>
    <w:rsid w:val="189B3AC2"/>
    <w:rsid w:val="189F7913"/>
    <w:rsid w:val="18A40BC9"/>
    <w:rsid w:val="18AB2C3E"/>
    <w:rsid w:val="18AF7A2D"/>
    <w:rsid w:val="18B250CA"/>
    <w:rsid w:val="18B640A6"/>
    <w:rsid w:val="18B766ED"/>
    <w:rsid w:val="18B82CDC"/>
    <w:rsid w:val="18BE5287"/>
    <w:rsid w:val="18C43D9F"/>
    <w:rsid w:val="18C51A0C"/>
    <w:rsid w:val="18CD0120"/>
    <w:rsid w:val="18CE5C46"/>
    <w:rsid w:val="18D314AE"/>
    <w:rsid w:val="18D45952"/>
    <w:rsid w:val="18D531AD"/>
    <w:rsid w:val="18D83999"/>
    <w:rsid w:val="18DB22C6"/>
    <w:rsid w:val="18F128FB"/>
    <w:rsid w:val="18FB68AA"/>
    <w:rsid w:val="18FE29CF"/>
    <w:rsid w:val="19053D5D"/>
    <w:rsid w:val="190944AC"/>
    <w:rsid w:val="19137A9E"/>
    <w:rsid w:val="19193365"/>
    <w:rsid w:val="191C5C8B"/>
    <w:rsid w:val="191D13ED"/>
    <w:rsid w:val="191F46F3"/>
    <w:rsid w:val="19324EA9"/>
    <w:rsid w:val="19332E32"/>
    <w:rsid w:val="19375EE1"/>
    <w:rsid w:val="193B5922"/>
    <w:rsid w:val="193B7FB6"/>
    <w:rsid w:val="194E5E86"/>
    <w:rsid w:val="195E346D"/>
    <w:rsid w:val="196003B2"/>
    <w:rsid w:val="196319F9"/>
    <w:rsid w:val="19675D1C"/>
    <w:rsid w:val="196B16E7"/>
    <w:rsid w:val="19702E6D"/>
    <w:rsid w:val="1971463E"/>
    <w:rsid w:val="197902A7"/>
    <w:rsid w:val="197C1B46"/>
    <w:rsid w:val="197D7D98"/>
    <w:rsid w:val="197E141A"/>
    <w:rsid w:val="1981048A"/>
    <w:rsid w:val="198F736E"/>
    <w:rsid w:val="19960E59"/>
    <w:rsid w:val="19962C07"/>
    <w:rsid w:val="199758FA"/>
    <w:rsid w:val="199926F8"/>
    <w:rsid w:val="19996254"/>
    <w:rsid w:val="199E1A1B"/>
    <w:rsid w:val="19A61613"/>
    <w:rsid w:val="19AF3CC9"/>
    <w:rsid w:val="19B251F7"/>
    <w:rsid w:val="19B25F83"/>
    <w:rsid w:val="19B3759A"/>
    <w:rsid w:val="19BB526A"/>
    <w:rsid w:val="19C30E13"/>
    <w:rsid w:val="19D13C3F"/>
    <w:rsid w:val="19DB64D0"/>
    <w:rsid w:val="19DF206E"/>
    <w:rsid w:val="19E46C34"/>
    <w:rsid w:val="19E77B06"/>
    <w:rsid w:val="19EA6A67"/>
    <w:rsid w:val="19EA7F0C"/>
    <w:rsid w:val="19F173DB"/>
    <w:rsid w:val="19F471D2"/>
    <w:rsid w:val="19F618F8"/>
    <w:rsid w:val="19F811CC"/>
    <w:rsid w:val="19F85670"/>
    <w:rsid w:val="19FB2A6A"/>
    <w:rsid w:val="1A057AA5"/>
    <w:rsid w:val="1A0E1734"/>
    <w:rsid w:val="1A0F1779"/>
    <w:rsid w:val="1A1836F0"/>
    <w:rsid w:val="1A2479D1"/>
    <w:rsid w:val="1A2A38D0"/>
    <w:rsid w:val="1A2C70C8"/>
    <w:rsid w:val="1A3B730B"/>
    <w:rsid w:val="1A3C42EA"/>
    <w:rsid w:val="1A4563DB"/>
    <w:rsid w:val="1A506D15"/>
    <w:rsid w:val="1A530AF8"/>
    <w:rsid w:val="1A5328A6"/>
    <w:rsid w:val="1A5403CD"/>
    <w:rsid w:val="1A55661F"/>
    <w:rsid w:val="1A633F08"/>
    <w:rsid w:val="1A6372EE"/>
    <w:rsid w:val="1A651145"/>
    <w:rsid w:val="1A670100"/>
    <w:rsid w:val="1A6C6780"/>
    <w:rsid w:val="1A734CF7"/>
    <w:rsid w:val="1A78230D"/>
    <w:rsid w:val="1A78700C"/>
    <w:rsid w:val="1A7D741A"/>
    <w:rsid w:val="1A89276C"/>
    <w:rsid w:val="1A8A0541"/>
    <w:rsid w:val="1A8B4ACA"/>
    <w:rsid w:val="1A907657"/>
    <w:rsid w:val="1A92147F"/>
    <w:rsid w:val="1A964C8B"/>
    <w:rsid w:val="1AA1530A"/>
    <w:rsid w:val="1AAA436E"/>
    <w:rsid w:val="1AB8095B"/>
    <w:rsid w:val="1AC63078"/>
    <w:rsid w:val="1AC76DF0"/>
    <w:rsid w:val="1ACD0D44"/>
    <w:rsid w:val="1ACF1C57"/>
    <w:rsid w:val="1AD017CC"/>
    <w:rsid w:val="1AD25F0A"/>
    <w:rsid w:val="1AD82DAC"/>
    <w:rsid w:val="1ADC60C8"/>
    <w:rsid w:val="1ADC6D40"/>
    <w:rsid w:val="1AE94FAD"/>
    <w:rsid w:val="1AED2CFB"/>
    <w:rsid w:val="1B075976"/>
    <w:rsid w:val="1B0A5918"/>
    <w:rsid w:val="1B0B13D3"/>
    <w:rsid w:val="1B0D0CA7"/>
    <w:rsid w:val="1B100797"/>
    <w:rsid w:val="1B1262BE"/>
    <w:rsid w:val="1B1E3B9D"/>
    <w:rsid w:val="1B271D40"/>
    <w:rsid w:val="1B2F77E4"/>
    <w:rsid w:val="1B3F3EC5"/>
    <w:rsid w:val="1B4D6F9B"/>
    <w:rsid w:val="1B5508A0"/>
    <w:rsid w:val="1B576901"/>
    <w:rsid w:val="1B637448"/>
    <w:rsid w:val="1B6805D3"/>
    <w:rsid w:val="1B6A60FA"/>
    <w:rsid w:val="1B6C21FA"/>
    <w:rsid w:val="1B707488"/>
    <w:rsid w:val="1B762CF0"/>
    <w:rsid w:val="1B7755A0"/>
    <w:rsid w:val="1B7845CC"/>
    <w:rsid w:val="1B7B7FB8"/>
    <w:rsid w:val="1B8027DF"/>
    <w:rsid w:val="1B80705B"/>
    <w:rsid w:val="1B8278E5"/>
    <w:rsid w:val="1B8A22F8"/>
    <w:rsid w:val="1B8D3B96"/>
    <w:rsid w:val="1B8F3DB2"/>
    <w:rsid w:val="1B910F69"/>
    <w:rsid w:val="1B936881"/>
    <w:rsid w:val="1B985A29"/>
    <w:rsid w:val="1B9A62B3"/>
    <w:rsid w:val="1B9B7628"/>
    <w:rsid w:val="1B9F3260"/>
    <w:rsid w:val="1BA3785E"/>
    <w:rsid w:val="1BA55384"/>
    <w:rsid w:val="1BB90E2F"/>
    <w:rsid w:val="1BBC26CD"/>
    <w:rsid w:val="1BBD7433"/>
    <w:rsid w:val="1BD86A39"/>
    <w:rsid w:val="1BEB3725"/>
    <w:rsid w:val="1C021B0A"/>
    <w:rsid w:val="1C022373"/>
    <w:rsid w:val="1C055E22"/>
    <w:rsid w:val="1C100724"/>
    <w:rsid w:val="1C140FBD"/>
    <w:rsid w:val="1C173114"/>
    <w:rsid w:val="1C1A6DB6"/>
    <w:rsid w:val="1C1C7795"/>
    <w:rsid w:val="1C1F5136"/>
    <w:rsid w:val="1C20071F"/>
    <w:rsid w:val="1C2B672F"/>
    <w:rsid w:val="1C307FBD"/>
    <w:rsid w:val="1C343871"/>
    <w:rsid w:val="1C36422E"/>
    <w:rsid w:val="1C3B5CE8"/>
    <w:rsid w:val="1C3D380E"/>
    <w:rsid w:val="1C420E24"/>
    <w:rsid w:val="1C4A101B"/>
    <w:rsid w:val="1C4B5EB5"/>
    <w:rsid w:val="1C4C39E7"/>
    <w:rsid w:val="1C513C44"/>
    <w:rsid w:val="1C5237EF"/>
    <w:rsid w:val="1C5239D7"/>
    <w:rsid w:val="1C581CB9"/>
    <w:rsid w:val="1C610DA8"/>
    <w:rsid w:val="1C623AA2"/>
    <w:rsid w:val="1C654B13"/>
    <w:rsid w:val="1C672639"/>
    <w:rsid w:val="1C68799B"/>
    <w:rsid w:val="1C694603"/>
    <w:rsid w:val="1C6B4DFE"/>
    <w:rsid w:val="1C6E39C8"/>
    <w:rsid w:val="1C705992"/>
    <w:rsid w:val="1C724D39"/>
    <w:rsid w:val="1C735482"/>
    <w:rsid w:val="1C7438B6"/>
    <w:rsid w:val="1C833A1C"/>
    <w:rsid w:val="1C8F6097"/>
    <w:rsid w:val="1C907C87"/>
    <w:rsid w:val="1C9B5FB7"/>
    <w:rsid w:val="1CA8347B"/>
    <w:rsid w:val="1CAD0994"/>
    <w:rsid w:val="1CB533A4"/>
    <w:rsid w:val="1CBA46FF"/>
    <w:rsid w:val="1CBB0896"/>
    <w:rsid w:val="1CBD494F"/>
    <w:rsid w:val="1CBE2B0B"/>
    <w:rsid w:val="1CC83FA1"/>
    <w:rsid w:val="1CCB0222"/>
    <w:rsid w:val="1CD6156D"/>
    <w:rsid w:val="1CD777BF"/>
    <w:rsid w:val="1CD82DEB"/>
    <w:rsid w:val="1CD9229E"/>
    <w:rsid w:val="1CDD1DE1"/>
    <w:rsid w:val="1CE123EB"/>
    <w:rsid w:val="1CE86CF7"/>
    <w:rsid w:val="1CF540E9"/>
    <w:rsid w:val="1CFF3ED8"/>
    <w:rsid w:val="1D012A8E"/>
    <w:rsid w:val="1D0165EA"/>
    <w:rsid w:val="1D1445DA"/>
    <w:rsid w:val="1D210A3A"/>
    <w:rsid w:val="1D221BCC"/>
    <w:rsid w:val="1D266050"/>
    <w:rsid w:val="1D320E99"/>
    <w:rsid w:val="1D3C0749"/>
    <w:rsid w:val="1D3D666A"/>
    <w:rsid w:val="1D412E8A"/>
    <w:rsid w:val="1D417767"/>
    <w:rsid w:val="1D460A11"/>
    <w:rsid w:val="1D4662FE"/>
    <w:rsid w:val="1D4E2F24"/>
    <w:rsid w:val="1D4F1A4B"/>
    <w:rsid w:val="1D550FFE"/>
    <w:rsid w:val="1D5C4F91"/>
    <w:rsid w:val="1D655A3D"/>
    <w:rsid w:val="1D682B0D"/>
    <w:rsid w:val="1D6B7F07"/>
    <w:rsid w:val="1D6E4A05"/>
    <w:rsid w:val="1D70376F"/>
    <w:rsid w:val="1D757243"/>
    <w:rsid w:val="1D776E20"/>
    <w:rsid w:val="1D792624"/>
    <w:rsid w:val="1D7A073C"/>
    <w:rsid w:val="1D7E4E7B"/>
    <w:rsid w:val="1D7F1C04"/>
    <w:rsid w:val="1D8840E8"/>
    <w:rsid w:val="1D8C53CE"/>
    <w:rsid w:val="1D951428"/>
    <w:rsid w:val="1D9B0F93"/>
    <w:rsid w:val="1D9E208B"/>
    <w:rsid w:val="1DA62689"/>
    <w:rsid w:val="1DA763AB"/>
    <w:rsid w:val="1DAA3204"/>
    <w:rsid w:val="1DAD6772"/>
    <w:rsid w:val="1DAF58DD"/>
    <w:rsid w:val="1DB11168"/>
    <w:rsid w:val="1DB90A62"/>
    <w:rsid w:val="1DC11D64"/>
    <w:rsid w:val="1DC4341B"/>
    <w:rsid w:val="1DC97914"/>
    <w:rsid w:val="1DCB6BF8"/>
    <w:rsid w:val="1DCD2970"/>
    <w:rsid w:val="1DCE75F1"/>
    <w:rsid w:val="1DD67A76"/>
    <w:rsid w:val="1DDF1CC1"/>
    <w:rsid w:val="1DFA6B05"/>
    <w:rsid w:val="1DFE521F"/>
    <w:rsid w:val="1E044968"/>
    <w:rsid w:val="1E05210A"/>
    <w:rsid w:val="1E0775AB"/>
    <w:rsid w:val="1E0A7720"/>
    <w:rsid w:val="1E114F52"/>
    <w:rsid w:val="1E130030"/>
    <w:rsid w:val="1E171679"/>
    <w:rsid w:val="1E175112"/>
    <w:rsid w:val="1E1B36DB"/>
    <w:rsid w:val="1E1B7B7F"/>
    <w:rsid w:val="1E1E766F"/>
    <w:rsid w:val="1E1F2551"/>
    <w:rsid w:val="1E217C8F"/>
    <w:rsid w:val="1E234C86"/>
    <w:rsid w:val="1E36122A"/>
    <w:rsid w:val="1E3824DF"/>
    <w:rsid w:val="1E3D18A3"/>
    <w:rsid w:val="1E3E386E"/>
    <w:rsid w:val="1E487196"/>
    <w:rsid w:val="1E525C47"/>
    <w:rsid w:val="1E543091"/>
    <w:rsid w:val="1E5E2C5C"/>
    <w:rsid w:val="1E636E30"/>
    <w:rsid w:val="1E6432D4"/>
    <w:rsid w:val="1E660790"/>
    <w:rsid w:val="1E6611D9"/>
    <w:rsid w:val="1E6C03DB"/>
    <w:rsid w:val="1E6F1256"/>
    <w:rsid w:val="1E6F3A27"/>
    <w:rsid w:val="1E74728F"/>
    <w:rsid w:val="1E786DBA"/>
    <w:rsid w:val="1E7E3C6A"/>
    <w:rsid w:val="1E7E3FB2"/>
    <w:rsid w:val="1E841CFD"/>
    <w:rsid w:val="1E8E20FF"/>
    <w:rsid w:val="1E917E41"/>
    <w:rsid w:val="1E9F4837"/>
    <w:rsid w:val="1EA2204E"/>
    <w:rsid w:val="1EA642D3"/>
    <w:rsid w:val="1EA80D87"/>
    <w:rsid w:val="1EAB0141"/>
    <w:rsid w:val="1EB268D8"/>
    <w:rsid w:val="1EB912DE"/>
    <w:rsid w:val="1EBB0A1A"/>
    <w:rsid w:val="1EC30E01"/>
    <w:rsid w:val="1ED44344"/>
    <w:rsid w:val="1EDA3889"/>
    <w:rsid w:val="1EDE65BA"/>
    <w:rsid w:val="1EE066D3"/>
    <w:rsid w:val="1EEB6C45"/>
    <w:rsid w:val="1EEC608F"/>
    <w:rsid w:val="1EF04B68"/>
    <w:rsid w:val="1EF12CB8"/>
    <w:rsid w:val="1EF81C6E"/>
    <w:rsid w:val="1EFB1390"/>
    <w:rsid w:val="1F006885"/>
    <w:rsid w:val="1F0F2A13"/>
    <w:rsid w:val="1F1032FD"/>
    <w:rsid w:val="1F1D7BF6"/>
    <w:rsid w:val="1F226CEB"/>
    <w:rsid w:val="1F2B2044"/>
    <w:rsid w:val="1F2B21CD"/>
    <w:rsid w:val="1F3741A0"/>
    <w:rsid w:val="1F38650F"/>
    <w:rsid w:val="1F3F789D"/>
    <w:rsid w:val="1F413615"/>
    <w:rsid w:val="1F42113B"/>
    <w:rsid w:val="1F426C81"/>
    <w:rsid w:val="1F477FE0"/>
    <w:rsid w:val="1F4B4494"/>
    <w:rsid w:val="1F4B5BED"/>
    <w:rsid w:val="1F4B79CE"/>
    <w:rsid w:val="1F4E2FCB"/>
    <w:rsid w:val="1F57160D"/>
    <w:rsid w:val="1F5D53A6"/>
    <w:rsid w:val="1F5D6F25"/>
    <w:rsid w:val="1F5E021B"/>
    <w:rsid w:val="1F5E045F"/>
    <w:rsid w:val="1F622CF1"/>
    <w:rsid w:val="1F66307C"/>
    <w:rsid w:val="1F666451"/>
    <w:rsid w:val="1F712565"/>
    <w:rsid w:val="1F7645DA"/>
    <w:rsid w:val="1F7D1001"/>
    <w:rsid w:val="1F8359DC"/>
    <w:rsid w:val="1F860AD7"/>
    <w:rsid w:val="1F8F5E02"/>
    <w:rsid w:val="1F90634B"/>
    <w:rsid w:val="1F9A0F77"/>
    <w:rsid w:val="1F9DF6E7"/>
    <w:rsid w:val="1F9F05BA"/>
    <w:rsid w:val="1FA37E2C"/>
    <w:rsid w:val="1FA616CA"/>
    <w:rsid w:val="1FA828A0"/>
    <w:rsid w:val="1FAB4F33"/>
    <w:rsid w:val="1FB060A5"/>
    <w:rsid w:val="1FBB22C0"/>
    <w:rsid w:val="1FBC5207"/>
    <w:rsid w:val="1FC658C9"/>
    <w:rsid w:val="1FC959F0"/>
    <w:rsid w:val="1FC97167"/>
    <w:rsid w:val="1FCD2604"/>
    <w:rsid w:val="1FD168C0"/>
    <w:rsid w:val="1FD20711"/>
    <w:rsid w:val="1FE0439E"/>
    <w:rsid w:val="1FE8583F"/>
    <w:rsid w:val="1FEF4DC2"/>
    <w:rsid w:val="1FF71F26"/>
    <w:rsid w:val="1FF74156"/>
    <w:rsid w:val="1FF97A4C"/>
    <w:rsid w:val="1FFC753C"/>
    <w:rsid w:val="20001123"/>
    <w:rsid w:val="2003323B"/>
    <w:rsid w:val="20166850"/>
    <w:rsid w:val="20194466"/>
    <w:rsid w:val="201A081F"/>
    <w:rsid w:val="202D3637"/>
    <w:rsid w:val="203942EC"/>
    <w:rsid w:val="20397CD9"/>
    <w:rsid w:val="204756DC"/>
    <w:rsid w:val="204B3FFB"/>
    <w:rsid w:val="204D5786"/>
    <w:rsid w:val="20540FBF"/>
    <w:rsid w:val="20587C7E"/>
    <w:rsid w:val="206106DF"/>
    <w:rsid w:val="206369CD"/>
    <w:rsid w:val="20642140"/>
    <w:rsid w:val="2069742E"/>
    <w:rsid w:val="20743577"/>
    <w:rsid w:val="20765541"/>
    <w:rsid w:val="20774389"/>
    <w:rsid w:val="207812B9"/>
    <w:rsid w:val="20787CDE"/>
    <w:rsid w:val="20793085"/>
    <w:rsid w:val="208346A4"/>
    <w:rsid w:val="20847C5E"/>
    <w:rsid w:val="20A953AC"/>
    <w:rsid w:val="20B147CB"/>
    <w:rsid w:val="20B16579"/>
    <w:rsid w:val="20B63B8F"/>
    <w:rsid w:val="20BA0EC8"/>
    <w:rsid w:val="20BB058F"/>
    <w:rsid w:val="20BC5BFF"/>
    <w:rsid w:val="20C242E2"/>
    <w:rsid w:val="20CB6E6D"/>
    <w:rsid w:val="20D10B2E"/>
    <w:rsid w:val="20D9587C"/>
    <w:rsid w:val="20E57FD0"/>
    <w:rsid w:val="20E64F4B"/>
    <w:rsid w:val="20E91A36"/>
    <w:rsid w:val="20F21EF0"/>
    <w:rsid w:val="20F52909"/>
    <w:rsid w:val="210003C0"/>
    <w:rsid w:val="21022930"/>
    <w:rsid w:val="210466A8"/>
    <w:rsid w:val="21073D39"/>
    <w:rsid w:val="21126F5E"/>
    <w:rsid w:val="211C63DB"/>
    <w:rsid w:val="21222FD3"/>
    <w:rsid w:val="2128213A"/>
    <w:rsid w:val="212C3E51"/>
    <w:rsid w:val="213A47C0"/>
    <w:rsid w:val="213C162D"/>
    <w:rsid w:val="21441300"/>
    <w:rsid w:val="21535882"/>
    <w:rsid w:val="216A646C"/>
    <w:rsid w:val="216F0713"/>
    <w:rsid w:val="217462D7"/>
    <w:rsid w:val="21790DB9"/>
    <w:rsid w:val="21795D71"/>
    <w:rsid w:val="217C4B54"/>
    <w:rsid w:val="217D645B"/>
    <w:rsid w:val="21821CC3"/>
    <w:rsid w:val="218300D9"/>
    <w:rsid w:val="2186711E"/>
    <w:rsid w:val="21937A2C"/>
    <w:rsid w:val="21A25EC1"/>
    <w:rsid w:val="21A460DD"/>
    <w:rsid w:val="21A812C1"/>
    <w:rsid w:val="21B322CC"/>
    <w:rsid w:val="21C81DCC"/>
    <w:rsid w:val="21D62C50"/>
    <w:rsid w:val="21D905E2"/>
    <w:rsid w:val="21DA38AD"/>
    <w:rsid w:val="21DC13D3"/>
    <w:rsid w:val="21DF12F7"/>
    <w:rsid w:val="21E12FCB"/>
    <w:rsid w:val="21E32762"/>
    <w:rsid w:val="21E5329E"/>
    <w:rsid w:val="21E62127"/>
    <w:rsid w:val="21EC2FFC"/>
    <w:rsid w:val="21ED1832"/>
    <w:rsid w:val="21EF3A11"/>
    <w:rsid w:val="21F1791A"/>
    <w:rsid w:val="21F42F2A"/>
    <w:rsid w:val="21F62633"/>
    <w:rsid w:val="21FA4AE9"/>
    <w:rsid w:val="22001566"/>
    <w:rsid w:val="221459E9"/>
    <w:rsid w:val="2217065D"/>
    <w:rsid w:val="221849DF"/>
    <w:rsid w:val="2218636D"/>
    <w:rsid w:val="222218DF"/>
    <w:rsid w:val="2228286B"/>
    <w:rsid w:val="22284619"/>
    <w:rsid w:val="222A65E3"/>
    <w:rsid w:val="222F3BF9"/>
    <w:rsid w:val="222F59A7"/>
    <w:rsid w:val="2234120F"/>
    <w:rsid w:val="22453837"/>
    <w:rsid w:val="224A32D0"/>
    <w:rsid w:val="224C0DF1"/>
    <w:rsid w:val="225321E6"/>
    <w:rsid w:val="225E4836"/>
    <w:rsid w:val="22620486"/>
    <w:rsid w:val="2268277A"/>
    <w:rsid w:val="226A2E83"/>
    <w:rsid w:val="2270661B"/>
    <w:rsid w:val="22824DA1"/>
    <w:rsid w:val="228A52D3"/>
    <w:rsid w:val="228B76CE"/>
    <w:rsid w:val="228C0DF6"/>
    <w:rsid w:val="228D26CE"/>
    <w:rsid w:val="228E6D62"/>
    <w:rsid w:val="22912CFA"/>
    <w:rsid w:val="22972844"/>
    <w:rsid w:val="22A04AF7"/>
    <w:rsid w:val="22A71137"/>
    <w:rsid w:val="22AF7C49"/>
    <w:rsid w:val="22B47BD2"/>
    <w:rsid w:val="22B818A1"/>
    <w:rsid w:val="22BB3625"/>
    <w:rsid w:val="22C76C0D"/>
    <w:rsid w:val="22C87E82"/>
    <w:rsid w:val="22C970D5"/>
    <w:rsid w:val="22CB2656"/>
    <w:rsid w:val="22CC27E5"/>
    <w:rsid w:val="22D6753F"/>
    <w:rsid w:val="22D95913"/>
    <w:rsid w:val="22DF2BF4"/>
    <w:rsid w:val="22E172D1"/>
    <w:rsid w:val="22E5075C"/>
    <w:rsid w:val="22E91FFA"/>
    <w:rsid w:val="22F358B3"/>
    <w:rsid w:val="2306260B"/>
    <w:rsid w:val="23072593"/>
    <w:rsid w:val="2309269C"/>
    <w:rsid w:val="2310508D"/>
    <w:rsid w:val="231921B3"/>
    <w:rsid w:val="231A0405"/>
    <w:rsid w:val="231A178A"/>
    <w:rsid w:val="231B5F2B"/>
    <w:rsid w:val="23272B22"/>
    <w:rsid w:val="232777F2"/>
    <w:rsid w:val="23277EEA"/>
    <w:rsid w:val="23305396"/>
    <w:rsid w:val="23305E7B"/>
    <w:rsid w:val="2331574F"/>
    <w:rsid w:val="23326CB5"/>
    <w:rsid w:val="23360FB7"/>
    <w:rsid w:val="23386ADD"/>
    <w:rsid w:val="233F7E6C"/>
    <w:rsid w:val="23431936"/>
    <w:rsid w:val="234B6811"/>
    <w:rsid w:val="234E00AF"/>
    <w:rsid w:val="23517B9F"/>
    <w:rsid w:val="235D02F2"/>
    <w:rsid w:val="23620F30"/>
    <w:rsid w:val="23627FFE"/>
    <w:rsid w:val="23635322"/>
    <w:rsid w:val="237613B4"/>
    <w:rsid w:val="2379742A"/>
    <w:rsid w:val="237A0EA4"/>
    <w:rsid w:val="237B0CD6"/>
    <w:rsid w:val="237F295E"/>
    <w:rsid w:val="23822524"/>
    <w:rsid w:val="238474CC"/>
    <w:rsid w:val="23867849"/>
    <w:rsid w:val="2389766B"/>
    <w:rsid w:val="238B1084"/>
    <w:rsid w:val="238B53A8"/>
    <w:rsid w:val="23943FCF"/>
    <w:rsid w:val="239573AF"/>
    <w:rsid w:val="239857CE"/>
    <w:rsid w:val="23994789"/>
    <w:rsid w:val="239C52BE"/>
    <w:rsid w:val="239D1256"/>
    <w:rsid w:val="239F090A"/>
    <w:rsid w:val="23A32A8F"/>
    <w:rsid w:val="23A52FBE"/>
    <w:rsid w:val="23A9403A"/>
    <w:rsid w:val="23AB5C91"/>
    <w:rsid w:val="23AE4FF1"/>
    <w:rsid w:val="23B00850"/>
    <w:rsid w:val="23BA5744"/>
    <w:rsid w:val="23BB77FD"/>
    <w:rsid w:val="23BC33AA"/>
    <w:rsid w:val="23BF71FF"/>
    <w:rsid w:val="23C5797D"/>
    <w:rsid w:val="23C91321"/>
    <w:rsid w:val="23CD1D10"/>
    <w:rsid w:val="23CD36CA"/>
    <w:rsid w:val="23D05879"/>
    <w:rsid w:val="23D43E14"/>
    <w:rsid w:val="23EB1FB0"/>
    <w:rsid w:val="23ED78C8"/>
    <w:rsid w:val="23F70746"/>
    <w:rsid w:val="23F90ECA"/>
    <w:rsid w:val="23F9105D"/>
    <w:rsid w:val="23FC7B0B"/>
    <w:rsid w:val="240C6DA9"/>
    <w:rsid w:val="24106983"/>
    <w:rsid w:val="2412732E"/>
    <w:rsid w:val="24141470"/>
    <w:rsid w:val="24143CCD"/>
    <w:rsid w:val="24194B61"/>
    <w:rsid w:val="241E290A"/>
    <w:rsid w:val="242157C3"/>
    <w:rsid w:val="242341FB"/>
    <w:rsid w:val="2423778D"/>
    <w:rsid w:val="24237A13"/>
    <w:rsid w:val="24251270"/>
    <w:rsid w:val="24291EA6"/>
    <w:rsid w:val="24292240"/>
    <w:rsid w:val="242F6132"/>
    <w:rsid w:val="243123F3"/>
    <w:rsid w:val="243D0FA6"/>
    <w:rsid w:val="243F3E9B"/>
    <w:rsid w:val="24457704"/>
    <w:rsid w:val="244B2840"/>
    <w:rsid w:val="245E363F"/>
    <w:rsid w:val="245E78C7"/>
    <w:rsid w:val="24624C4B"/>
    <w:rsid w:val="2470752F"/>
    <w:rsid w:val="24734B5D"/>
    <w:rsid w:val="24741D97"/>
    <w:rsid w:val="24783A57"/>
    <w:rsid w:val="247C0C4C"/>
    <w:rsid w:val="24816262"/>
    <w:rsid w:val="24835636"/>
    <w:rsid w:val="248A3369"/>
    <w:rsid w:val="248A5117"/>
    <w:rsid w:val="249A152D"/>
    <w:rsid w:val="249F3A23"/>
    <w:rsid w:val="24A3699F"/>
    <w:rsid w:val="24A62284"/>
    <w:rsid w:val="24AA2F7B"/>
    <w:rsid w:val="24AD74FD"/>
    <w:rsid w:val="24AF1021"/>
    <w:rsid w:val="24B108F5"/>
    <w:rsid w:val="24B77ED6"/>
    <w:rsid w:val="24BD5B2A"/>
    <w:rsid w:val="24C30629"/>
    <w:rsid w:val="24C45B62"/>
    <w:rsid w:val="24D956FA"/>
    <w:rsid w:val="24DB456E"/>
    <w:rsid w:val="24E231A5"/>
    <w:rsid w:val="24EA76EE"/>
    <w:rsid w:val="24EC7B7F"/>
    <w:rsid w:val="24EE2CA3"/>
    <w:rsid w:val="24EF7670"/>
    <w:rsid w:val="24F1163A"/>
    <w:rsid w:val="24F62973"/>
    <w:rsid w:val="24F95A49"/>
    <w:rsid w:val="250226CA"/>
    <w:rsid w:val="25051E04"/>
    <w:rsid w:val="25096983"/>
    <w:rsid w:val="250E1892"/>
    <w:rsid w:val="250E49F2"/>
    <w:rsid w:val="25184E18"/>
    <w:rsid w:val="25193D29"/>
    <w:rsid w:val="251D242F"/>
    <w:rsid w:val="251F2764"/>
    <w:rsid w:val="25252228"/>
    <w:rsid w:val="252F5CBE"/>
    <w:rsid w:val="25326C8C"/>
    <w:rsid w:val="25333EC4"/>
    <w:rsid w:val="25382DC5"/>
    <w:rsid w:val="253A6A5E"/>
    <w:rsid w:val="25494AFD"/>
    <w:rsid w:val="2549532D"/>
    <w:rsid w:val="25584E4F"/>
    <w:rsid w:val="255902B7"/>
    <w:rsid w:val="256112DB"/>
    <w:rsid w:val="2573043E"/>
    <w:rsid w:val="25734215"/>
    <w:rsid w:val="25734349"/>
    <w:rsid w:val="25783B09"/>
    <w:rsid w:val="25822292"/>
    <w:rsid w:val="25836B9A"/>
    <w:rsid w:val="258B55EA"/>
    <w:rsid w:val="258E0C37"/>
    <w:rsid w:val="25956A07"/>
    <w:rsid w:val="259739B1"/>
    <w:rsid w:val="259F4932"/>
    <w:rsid w:val="259F4BF2"/>
    <w:rsid w:val="259F72A8"/>
    <w:rsid w:val="25A4045A"/>
    <w:rsid w:val="25A55F80"/>
    <w:rsid w:val="25B06D1B"/>
    <w:rsid w:val="25B34B41"/>
    <w:rsid w:val="25B46F1D"/>
    <w:rsid w:val="25B6018D"/>
    <w:rsid w:val="25B65306"/>
    <w:rsid w:val="25BD776E"/>
    <w:rsid w:val="25BF615E"/>
    <w:rsid w:val="25C71D9B"/>
    <w:rsid w:val="25D23219"/>
    <w:rsid w:val="25DA63CB"/>
    <w:rsid w:val="25DF03DC"/>
    <w:rsid w:val="25E15635"/>
    <w:rsid w:val="25E33B31"/>
    <w:rsid w:val="25EB7E37"/>
    <w:rsid w:val="25F969F8"/>
    <w:rsid w:val="25FB14A5"/>
    <w:rsid w:val="25FE26AC"/>
    <w:rsid w:val="25FF6076"/>
    <w:rsid w:val="2600404D"/>
    <w:rsid w:val="260159D7"/>
    <w:rsid w:val="26020743"/>
    <w:rsid w:val="260333D3"/>
    <w:rsid w:val="2604714B"/>
    <w:rsid w:val="26051C7C"/>
    <w:rsid w:val="260809E9"/>
    <w:rsid w:val="26092B47"/>
    <w:rsid w:val="26094761"/>
    <w:rsid w:val="260B672B"/>
    <w:rsid w:val="26105229"/>
    <w:rsid w:val="26105AEF"/>
    <w:rsid w:val="26122E63"/>
    <w:rsid w:val="261E339C"/>
    <w:rsid w:val="26207706"/>
    <w:rsid w:val="262B46D7"/>
    <w:rsid w:val="262E5F76"/>
    <w:rsid w:val="263B5F44"/>
    <w:rsid w:val="26402C29"/>
    <w:rsid w:val="26447F69"/>
    <w:rsid w:val="2646579B"/>
    <w:rsid w:val="26485289"/>
    <w:rsid w:val="264E4600"/>
    <w:rsid w:val="26513EE5"/>
    <w:rsid w:val="26551754"/>
    <w:rsid w:val="265C0D35"/>
    <w:rsid w:val="266876DA"/>
    <w:rsid w:val="26720A4C"/>
    <w:rsid w:val="26755A0A"/>
    <w:rsid w:val="267A11BB"/>
    <w:rsid w:val="26847A07"/>
    <w:rsid w:val="268D5070"/>
    <w:rsid w:val="269E63B5"/>
    <w:rsid w:val="269E7C09"/>
    <w:rsid w:val="269F7A18"/>
    <w:rsid w:val="26A001C9"/>
    <w:rsid w:val="26AD1590"/>
    <w:rsid w:val="26B11E8A"/>
    <w:rsid w:val="26B3099D"/>
    <w:rsid w:val="26B534D5"/>
    <w:rsid w:val="26BB1EFF"/>
    <w:rsid w:val="26BB3CAD"/>
    <w:rsid w:val="26BE379D"/>
    <w:rsid w:val="26C47EA0"/>
    <w:rsid w:val="26D42FC1"/>
    <w:rsid w:val="26D50D0E"/>
    <w:rsid w:val="26D619F0"/>
    <w:rsid w:val="26D74E35"/>
    <w:rsid w:val="26DB4DC8"/>
    <w:rsid w:val="26DE799C"/>
    <w:rsid w:val="26E25DD1"/>
    <w:rsid w:val="26E70049"/>
    <w:rsid w:val="26EF515D"/>
    <w:rsid w:val="26EF7DFB"/>
    <w:rsid w:val="26F1147D"/>
    <w:rsid w:val="26F93CC1"/>
    <w:rsid w:val="26FB305B"/>
    <w:rsid w:val="26FB4BD6"/>
    <w:rsid w:val="27035654"/>
    <w:rsid w:val="270517AA"/>
    <w:rsid w:val="27085DAC"/>
    <w:rsid w:val="270B146C"/>
    <w:rsid w:val="270C275B"/>
    <w:rsid w:val="270D1DED"/>
    <w:rsid w:val="270D5F6F"/>
    <w:rsid w:val="27131A32"/>
    <w:rsid w:val="27223D2C"/>
    <w:rsid w:val="272265F9"/>
    <w:rsid w:val="27247AA4"/>
    <w:rsid w:val="273852FE"/>
    <w:rsid w:val="2739106D"/>
    <w:rsid w:val="273D2914"/>
    <w:rsid w:val="273F4922"/>
    <w:rsid w:val="27401A52"/>
    <w:rsid w:val="274243CE"/>
    <w:rsid w:val="27561C28"/>
    <w:rsid w:val="27566816"/>
    <w:rsid w:val="275C389A"/>
    <w:rsid w:val="275D6B12"/>
    <w:rsid w:val="27602E5A"/>
    <w:rsid w:val="2762425F"/>
    <w:rsid w:val="27646A14"/>
    <w:rsid w:val="27650AC3"/>
    <w:rsid w:val="276E51C4"/>
    <w:rsid w:val="27742980"/>
    <w:rsid w:val="27764078"/>
    <w:rsid w:val="2778394C"/>
    <w:rsid w:val="27840543"/>
    <w:rsid w:val="278B7B24"/>
    <w:rsid w:val="27931776"/>
    <w:rsid w:val="27934C2A"/>
    <w:rsid w:val="2798179F"/>
    <w:rsid w:val="279946B0"/>
    <w:rsid w:val="279B0A81"/>
    <w:rsid w:val="279C4FFB"/>
    <w:rsid w:val="27A220D9"/>
    <w:rsid w:val="27A31250"/>
    <w:rsid w:val="27B11B79"/>
    <w:rsid w:val="27B14B8E"/>
    <w:rsid w:val="27B5694E"/>
    <w:rsid w:val="27BB11A9"/>
    <w:rsid w:val="27D05536"/>
    <w:rsid w:val="27D8263D"/>
    <w:rsid w:val="27D848A2"/>
    <w:rsid w:val="27DC1AC5"/>
    <w:rsid w:val="27DD2169"/>
    <w:rsid w:val="27DD3E2D"/>
    <w:rsid w:val="27DF1C1D"/>
    <w:rsid w:val="27E2526A"/>
    <w:rsid w:val="27E61B41"/>
    <w:rsid w:val="27F4193C"/>
    <w:rsid w:val="27FF7BCA"/>
    <w:rsid w:val="2802668E"/>
    <w:rsid w:val="280D44A4"/>
    <w:rsid w:val="28163909"/>
    <w:rsid w:val="28185027"/>
    <w:rsid w:val="28186EDD"/>
    <w:rsid w:val="281D16DB"/>
    <w:rsid w:val="281D62A2"/>
    <w:rsid w:val="281F201A"/>
    <w:rsid w:val="282013ED"/>
    <w:rsid w:val="28302479"/>
    <w:rsid w:val="28304227"/>
    <w:rsid w:val="283049AC"/>
    <w:rsid w:val="28324E5D"/>
    <w:rsid w:val="283261F1"/>
    <w:rsid w:val="28372B7F"/>
    <w:rsid w:val="28463A4A"/>
    <w:rsid w:val="284952E9"/>
    <w:rsid w:val="284A5FF7"/>
    <w:rsid w:val="284B426C"/>
    <w:rsid w:val="28574461"/>
    <w:rsid w:val="28577A06"/>
    <w:rsid w:val="285919D0"/>
    <w:rsid w:val="285A5344"/>
    <w:rsid w:val="285A6F0D"/>
    <w:rsid w:val="28602037"/>
    <w:rsid w:val="28650876"/>
    <w:rsid w:val="286A598B"/>
    <w:rsid w:val="28746246"/>
    <w:rsid w:val="28747694"/>
    <w:rsid w:val="28766B82"/>
    <w:rsid w:val="28844573"/>
    <w:rsid w:val="2895487C"/>
    <w:rsid w:val="28976054"/>
    <w:rsid w:val="28A16ED3"/>
    <w:rsid w:val="28A8246F"/>
    <w:rsid w:val="28B430AA"/>
    <w:rsid w:val="28BA308D"/>
    <w:rsid w:val="28BA5688"/>
    <w:rsid w:val="28C62291"/>
    <w:rsid w:val="28CF173D"/>
    <w:rsid w:val="28D66B6E"/>
    <w:rsid w:val="28E71B96"/>
    <w:rsid w:val="28E90A85"/>
    <w:rsid w:val="28FB3492"/>
    <w:rsid w:val="28FE2577"/>
    <w:rsid w:val="29023E15"/>
    <w:rsid w:val="290E6BB1"/>
    <w:rsid w:val="291477A5"/>
    <w:rsid w:val="291917C3"/>
    <w:rsid w:val="291C5AE4"/>
    <w:rsid w:val="291E128D"/>
    <w:rsid w:val="29257B04"/>
    <w:rsid w:val="292A0397"/>
    <w:rsid w:val="294B3732"/>
    <w:rsid w:val="295959FF"/>
    <w:rsid w:val="295A27BA"/>
    <w:rsid w:val="29660BFB"/>
    <w:rsid w:val="29693633"/>
    <w:rsid w:val="296B49C5"/>
    <w:rsid w:val="297840D8"/>
    <w:rsid w:val="2983162D"/>
    <w:rsid w:val="29852351"/>
    <w:rsid w:val="298A5BB9"/>
    <w:rsid w:val="298E1E3F"/>
    <w:rsid w:val="29961521"/>
    <w:rsid w:val="2999556A"/>
    <w:rsid w:val="29AA1AEB"/>
    <w:rsid w:val="29B25472"/>
    <w:rsid w:val="29C2115D"/>
    <w:rsid w:val="29C25A0D"/>
    <w:rsid w:val="29C860C4"/>
    <w:rsid w:val="29CE3CF8"/>
    <w:rsid w:val="29CF37C9"/>
    <w:rsid w:val="29D006CA"/>
    <w:rsid w:val="29E6742F"/>
    <w:rsid w:val="29E74DB9"/>
    <w:rsid w:val="29EE6148"/>
    <w:rsid w:val="29FE0150"/>
    <w:rsid w:val="29FE1B5B"/>
    <w:rsid w:val="29FF7A26"/>
    <w:rsid w:val="2A00447E"/>
    <w:rsid w:val="2A080D2A"/>
    <w:rsid w:val="2A0C4820"/>
    <w:rsid w:val="2A1C2CB5"/>
    <w:rsid w:val="2A1D4E1F"/>
    <w:rsid w:val="2A1F27A5"/>
    <w:rsid w:val="2A21651D"/>
    <w:rsid w:val="2A247DBB"/>
    <w:rsid w:val="2A292B20"/>
    <w:rsid w:val="2A306760"/>
    <w:rsid w:val="2A350586"/>
    <w:rsid w:val="2A3C3357"/>
    <w:rsid w:val="2A3C6EB3"/>
    <w:rsid w:val="2A3F50E2"/>
    <w:rsid w:val="2A4234C7"/>
    <w:rsid w:val="2A4248C1"/>
    <w:rsid w:val="2A42573C"/>
    <w:rsid w:val="2A4D4D50"/>
    <w:rsid w:val="2A4E2EB2"/>
    <w:rsid w:val="2A61691A"/>
    <w:rsid w:val="2A685EFA"/>
    <w:rsid w:val="2A693A20"/>
    <w:rsid w:val="2A6D513E"/>
    <w:rsid w:val="2A765065"/>
    <w:rsid w:val="2A7E5AAC"/>
    <w:rsid w:val="2A804A5A"/>
    <w:rsid w:val="2A8F3E24"/>
    <w:rsid w:val="2A956E92"/>
    <w:rsid w:val="2A991218"/>
    <w:rsid w:val="2A9A007E"/>
    <w:rsid w:val="2A9B1E12"/>
    <w:rsid w:val="2A9C3DF6"/>
    <w:rsid w:val="2A9F5694"/>
    <w:rsid w:val="2AA319C7"/>
    <w:rsid w:val="2ABD077B"/>
    <w:rsid w:val="2AC30A45"/>
    <w:rsid w:val="2AC46EA9"/>
    <w:rsid w:val="2AC81248"/>
    <w:rsid w:val="2ACC0B5E"/>
    <w:rsid w:val="2ACD0453"/>
    <w:rsid w:val="2AD2715A"/>
    <w:rsid w:val="2AD27817"/>
    <w:rsid w:val="2AD43590"/>
    <w:rsid w:val="2AD657D7"/>
    <w:rsid w:val="2ADF668C"/>
    <w:rsid w:val="2AEE07C1"/>
    <w:rsid w:val="2AF07C9E"/>
    <w:rsid w:val="2AFB124C"/>
    <w:rsid w:val="2B02634F"/>
    <w:rsid w:val="2B027A6F"/>
    <w:rsid w:val="2B1266FC"/>
    <w:rsid w:val="2B175891"/>
    <w:rsid w:val="2B1E2A5D"/>
    <w:rsid w:val="2B29133D"/>
    <w:rsid w:val="2B30453E"/>
    <w:rsid w:val="2B3202B6"/>
    <w:rsid w:val="2B365FF8"/>
    <w:rsid w:val="2B373B1E"/>
    <w:rsid w:val="2B39700B"/>
    <w:rsid w:val="2B3C3519"/>
    <w:rsid w:val="2B3E4EAD"/>
    <w:rsid w:val="2B471FB3"/>
    <w:rsid w:val="2B4954E6"/>
    <w:rsid w:val="2B512E32"/>
    <w:rsid w:val="2B525A46"/>
    <w:rsid w:val="2B5E2DC1"/>
    <w:rsid w:val="2B626DED"/>
    <w:rsid w:val="2B7408CF"/>
    <w:rsid w:val="2B78005D"/>
    <w:rsid w:val="2B802221"/>
    <w:rsid w:val="2B8925CC"/>
    <w:rsid w:val="2B8A1EA0"/>
    <w:rsid w:val="2B8C00D9"/>
    <w:rsid w:val="2B912BF9"/>
    <w:rsid w:val="2BB63175"/>
    <w:rsid w:val="2BBA1254"/>
    <w:rsid w:val="2BBA16BA"/>
    <w:rsid w:val="2BC016A9"/>
    <w:rsid w:val="2BCA6741"/>
    <w:rsid w:val="2BCC24B9"/>
    <w:rsid w:val="2BCF0DA1"/>
    <w:rsid w:val="2BD27A22"/>
    <w:rsid w:val="2BDA2E2A"/>
    <w:rsid w:val="2BDA4BD6"/>
    <w:rsid w:val="2BDE3089"/>
    <w:rsid w:val="2BDE3F9A"/>
    <w:rsid w:val="2BE07D12"/>
    <w:rsid w:val="2BE132B8"/>
    <w:rsid w:val="2BE45A54"/>
    <w:rsid w:val="2BE617CC"/>
    <w:rsid w:val="2BEE68D3"/>
    <w:rsid w:val="2BF302F3"/>
    <w:rsid w:val="2BF50315"/>
    <w:rsid w:val="2C041C52"/>
    <w:rsid w:val="2C09011C"/>
    <w:rsid w:val="2C090910"/>
    <w:rsid w:val="2C0F23A5"/>
    <w:rsid w:val="2C1005F7"/>
    <w:rsid w:val="2C180F2B"/>
    <w:rsid w:val="2C1952BF"/>
    <w:rsid w:val="2C2063A3"/>
    <w:rsid w:val="2C207E15"/>
    <w:rsid w:val="2C257F53"/>
    <w:rsid w:val="2C28130E"/>
    <w:rsid w:val="2C2A7FC4"/>
    <w:rsid w:val="2C2B5D86"/>
    <w:rsid w:val="2C33078A"/>
    <w:rsid w:val="2C390E5E"/>
    <w:rsid w:val="2C3C763E"/>
    <w:rsid w:val="2C4130FF"/>
    <w:rsid w:val="2C491D5B"/>
    <w:rsid w:val="2C49437F"/>
    <w:rsid w:val="2C495F91"/>
    <w:rsid w:val="2C4A0C41"/>
    <w:rsid w:val="2C5D5807"/>
    <w:rsid w:val="2C6B6386"/>
    <w:rsid w:val="2C773EB3"/>
    <w:rsid w:val="2C7F1990"/>
    <w:rsid w:val="2C862667"/>
    <w:rsid w:val="2C875009"/>
    <w:rsid w:val="2C9C6FEB"/>
    <w:rsid w:val="2CA61363"/>
    <w:rsid w:val="2CAC158F"/>
    <w:rsid w:val="2CB371D5"/>
    <w:rsid w:val="2CBE2DC2"/>
    <w:rsid w:val="2CC16D41"/>
    <w:rsid w:val="2CC43190"/>
    <w:rsid w:val="2CC80997"/>
    <w:rsid w:val="2CCA0B5A"/>
    <w:rsid w:val="2CCA51C6"/>
    <w:rsid w:val="2CCD397D"/>
    <w:rsid w:val="2CD06059"/>
    <w:rsid w:val="2CD211C3"/>
    <w:rsid w:val="2CD21B1F"/>
    <w:rsid w:val="2CD60444"/>
    <w:rsid w:val="2CD643F5"/>
    <w:rsid w:val="2CDA5D77"/>
    <w:rsid w:val="2CE47CE0"/>
    <w:rsid w:val="2CEB4BC0"/>
    <w:rsid w:val="2D003519"/>
    <w:rsid w:val="2D0502F4"/>
    <w:rsid w:val="2D0B7139"/>
    <w:rsid w:val="2D105DE5"/>
    <w:rsid w:val="2D153426"/>
    <w:rsid w:val="2D172F75"/>
    <w:rsid w:val="2D200D0E"/>
    <w:rsid w:val="2D2056F0"/>
    <w:rsid w:val="2D2307FE"/>
    <w:rsid w:val="2D234797"/>
    <w:rsid w:val="2D241E80"/>
    <w:rsid w:val="2D2B4AE5"/>
    <w:rsid w:val="2D3B471E"/>
    <w:rsid w:val="2D4F33A1"/>
    <w:rsid w:val="2D5F76C9"/>
    <w:rsid w:val="2D630BFB"/>
    <w:rsid w:val="2D641908"/>
    <w:rsid w:val="2D66173F"/>
    <w:rsid w:val="2D6706EB"/>
    <w:rsid w:val="2D6E291A"/>
    <w:rsid w:val="2D7D0460"/>
    <w:rsid w:val="2D7E3C87"/>
    <w:rsid w:val="2D8F3758"/>
    <w:rsid w:val="2D963E1E"/>
    <w:rsid w:val="2D965549"/>
    <w:rsid w:val="2D9E7E85"/>
    <w:rsid w:val="2DAC2731"/>
    <w:rsid w:val="2DAF5BEE"/>
    <w:rsid w:val="2DB26C7C"/>
    <w:rsid w:val="2DB52897"/>
    <w:rsid w:val="2DC31699"/>
    <w:rsid w:val="2DC63FE5"/>
    <w:rsid w:val="2DCC2C44"/>
    <w:rsid w:val="2DCD42C6"/>
    <w:rsid w:val="2DD13DB6"/>
    <w:rsid w:val="2DE20E37"/>
    <w:rsid w:val="2DE54950"/>
    <w:rsid w:val="2DE735DA"/>
    <w:rsid w:val="2DE75388"/>
    <w:rsid w:val="2DE75D70"/>
    <w:rsid w:val="2DE921A3"/>
    <w:rsid w:val="2DF14458"/>
    <w:rsid w:val="2DF376A9"/>
    <w:rsid w:val="2DFB52D7"/>
    <w:rsid w:val="2DFB7085"/>
    <w:rsid w:val="2E0107C5"/>
    <w:rsid w:val="2E094564"/>
    <w:rsid w:val="2E161FE6"/>
    <w:rsid w:val="2E1B7727"/>
    <w:rsid w:val="2E1D3C2B"/>
    <w:rsid w:val="2E1E0778"/>
    <w:rsid w:val="2E1F5D70"/>
    <w:rsid w:val="2E24482E"/>
    <w:rsid w:val="2E2A7EAD"/>
    <w:rsid w:val="2E2B6A36"/>
    <w:rsid w:val="2E305C54"/>
    <w:rsid w:val="2E314855"/>
    <w:rsid w:val="2E3A195C"/>
    <w:rsid w:val="2E3B58C1"/>
    <w:rsid w:val="2E3C1B78"/>
    <w:rsid w:val="2E3D05F0"/>
    <w:rsid w:val="2E4A5917"/>
    <w:rsid w:val="2E4F308A"/>
    <w:rsid w:val="2E5121F0"/>
    <w:rsid w:val="2E5172B2"/>
    <w:rsid w:val="2E7426BE"/>
    <w:rsid w:val="2E763058"/>
    <w:rsid w:val="2E7F1A64"/>
    <w:rsid w:val="2E8B099B"/>
    <w:rsid w:val="2E8B6854"/>
    <w:rsid w:val="2E8C0E31"/>
    <w:rsid w:val="2E8C5F2F"/>
    <w:rsid w:val="2E903C71"/>
    <w:rsid w:val="2EA36D02"/>
    <w:rsid w:val="2EAA2BE8"/>
    <w:rsid w:val="2EAE2349"/>
    <w:rsid w:val="2EB02457"/>
    <w:rsid w:val="2EB12844"/>
    <w:rsid w:val="2EB229A3"/>
    <w:rsid w:val="2EB665BD"/>
    <w:rsid w:val="2EB95DD2"/>
    <w:rsid w:val="2EBF4F80"/>
    <w:rsid w:val="2EC67946"/>
    <w:rsid w:val="2ED43C69"/>
    <w:rsid w:val="2ED753FC"/>
    <w:rsid w:val="2EDE62B6"/>
    <w:rsid w:val="2EE31FF3"/>
    <w:rsid w:val="2EE96B90"/>
    <w:rsid w:val="2EED222B"/>
    <w:rsid w:val="2EF438B0"/>
    <w:rsid w:val="2EFF6701"/>
    <w:rsid w:val="2F083808"/>
    <w:rsid w:val="2F0B779C"/>
    <w:rsid w:val="2F0E2F7F"/>
    <w:rsid w:val="2F120B2A"/>
    <w:rsid w:val="2F144911"/>
    <w:rsid w:val="2F1F21DE"/>
    <w:rsid w:val="2F1F706C"/>
    <w:rsid w:val="2F2D326E"/>
    <w:rsid w:val="2F37320E"/>
    <w:rsid w:val="2F3C5BA7"/>
    <w:rsid w:val="2F447490"/>
    <w:rsid w:val="2F454A5C"/>
    <w:rsid w:val="2F4D31A9"/>
    <w:rsid w:val="2F503401"/>
    <w:rsid w:val="2F591307"/>
    <w:rsid w:val="2F650C5A"/>
    <w:rsid w:val="2F660F1A"/>
    <w:rsid w:val="2F6A2714"/>
    <w:rsid w:val="2F7215C9"/>
    <w:rsid w:val="2F723377"/>
    <w:rsid w:val="2F73283E"/>
    <w:rsid w:val="2F7369E2"/>
    <w:rsid w:val="2F7B66D0"/>
    <w:rsid w:val="2F837649"/>
    <w:rsid w:val="2F875074"/>
    <w:rsid w:val="2F8E0EA7"/>
    <w:rsid w:val="2F923A19"/>
    <w:rsid w:val="2FA11856"/>
    <w:rsid w:val="2FA15A0A"/>
    <w:rsid w:val="2FAD0853"/>
    <w:rsid w:val="2FB024C9"/>
    <w:rsid w:val="2FB31EE2"/>
    <w:rsid w:val="2FB477CE"/>
    <w:rsid w:val="2FB67399"/>
    <w:rsid w:val="2FB91557"/>
    <w:rsid w:val="2FB971F8"/>
    <w:rsid w:val="2FBA4391"/>
    <w:rsid w:val="2FBC4A22"/>
    <w:rsid w:val="2FBE182D"/>
    <w:rsid w:val="2FC31E25"/>
    <w:rsid w:val="2FC41386"/>
    <w:rsid w:val="2FCA31B3"/>
    <w:rsid w:val="2FCC2A87"/>
    <w:rsid w:val="2FD005A8"/>
    <w:rsid w:val="2FD05F81"/>
    <w:rsid w:val="2FD162F0"/>
    <w:rsid w:val="2FD30117"/>
    <w:rsid w:val="2FD45DE0"/>
    <w:rsid w:val="2FD528E1"/>
    <w:rsid w:val="2FD951A4"/>
    <w:rsid w:val="2FE06533"/>
    <w:rsid w:val="2FE51D9B"/>
    <w:rsid w:val="2FEA3F5A"/>
    <w:rsid w:val="2FEF71AD"/>
    <w:rsid w:val="2FF337C3"/>
    <w:rsid w:val="2FF36D9A"/>
    <w:rsid w:val="2FF4B072"/>
    <w:rsid w:val="2FF65D56"/>
    <w:rsid w:val="30017388"/>
    <w:rsid w:val="300D32FD"/>
    <w:rsid w:val="30161F54"/>
    <w:rsid w:val="301B7143"/>
    <w:rsid w:val="301E09F0"/>
    <w:rsid w:val="302A1EA4"/>
    <w:rsid w:val="303C596B"/>
    <w:rsid w:val="304117DB"/>
    <w:rsid w:val="30414FD5"/>
    <w:rsid w:val="304E16EE"/>
    <w:rsid w:val="305D1B42"/>
    <w:rsid w:val="306F78B6"/>
    <w:rsid w:val="30740B8E"/>
    <w:rsid w:val="30760C45"/>
    <w:rsid w:val="307C226C"/>
    <w:rsid w:val="30843EB6"/>
    <w:rsid w:val="308B07FB"/>
    <w:rsid w:val="308E49EE"/>
    <w:rsid w:val="30924E08"/>
    <w:rsid w:val="309537C1"/>
    <w:rsid w:val="309F63EE"/>
    <w:rsid w:val="30B654E5"/>
    <w:rsid w:val="30BB02D9"/>
    <w:rsid w:val="30BF083E"/>
    <w:rsid w:val="30C75EF1"/>
    <w:rsid w:val="30CC4D09"/>
    <w:rsid w:val="30D53BBD"/>
    <w:rsid w:val="30D77936"/>
    <w:rsid w:val="30DB691E"/>
    <w:rsid w:val="30E14530"/>
    <w:rsid w:val="30EB56B9"/>
    <w:rsid w:val="30EB624E"/>
    <w:rsid w:val="30ED3893"/>
    <w:rsid w:val="30F079BA"/>
    <w:rsid w:val="30F524B2"/>
    <w:rsid w:val="30F67162"/>
    <w:rsid w:val="30F71D86"/>
    <w:rsid w:val="30FB356A"/>
    <w:rsid w:val="30FD3B8A"/>
    <w:rsid w:val="30FF3071"/>
    <w:rsid w:val="31012C04"/>
    <w:rsid w:val="310411A7"/>
    <w:rsid w:val="310B3A83"/>
    <w:rsid w:val="31102543"/>
    <w:rsid w:val="3113462D"/>
    <w:rsid w:val="31143D9E"/>
    <w:rsid w:val="311566B0"/>
    <w:rsid w:val="31171A9B"/>
    <w:rsid w:val="311961A0"/>
    <w:rsid w:val="311A1F18"/>
    <w:rsid w:val="31224929"/>
    <w:rsid w:val="3123126F"/>
    <w:rsid w:val="312468F3"/>
    <w:rsid w:val="312A7017"/>
    <w:rsid w:val="312B5ED3"/>
    <w:rsid w:val="313708CB"/>
    <w:rsid w:val="313D5CA5"/>
    <w:rsid w:val="313E5D03"/>
    <w:rsid w:val="31412BCC"/>
    <w:rsid w:val="314B0324"/>
    <w:rsid w:val="314C7809"/>
    <w:rsid w:val="314D5E4A"/>
    <w:rsid w:val="31550407"/>
    <w:rsid w:val="31572824"/>
    <w:rsid w:val="31592A40"/>
    <w:rsid w:val="315A0567"/>
    <w:rsid w:val="315B1772"/>
    <w:rsid w:val="316036CC"/>
    <w:rsid w:val="31663E63"/>
    <w:rsid w:val="316A2ECE"/>
    <w:rsid w:val="316A69FC"/>
    <w:rsid w:val="316C564A"/>
    <w:rsid w:val="316F7635"/>
    <w:rsid w:val="31723B02"/>
    <w:rsid w:val="317324E7"/>
    <w:rsid w:val="31774C75"/>
    <w:rsid w:val="31880419"/>
    <w:rsid w:val="318B0720"/>
    <w:rsid w:val="319728AC"/>
    <w:rsid w:val="31975317"/>
    <w:rsid w:val="319C0B7F"/>
    <w:rsid w:val="31A02B65"/>
    <w:rsid w:val="31A307F5"/>
    <w:rsid w:val="31A32590"/>
    <w:rsid w:val="31A40306"/>
    <w:rsid w:val="31A7675B"/>
    <w:rsid w:val="31A97892"/>
    <w:rsid w:val="31B40B66"/>
    <w:rsid w:val="31B7088E"/>
    <w:rsid w:val="31C0661C"/>
    <w:rsid w:val="31C86797"/>
    <w:rsid w:val="31D15D09"/>
    <w:rsid w:val="31DA0D00"/>
    <w:rsid w:val="31DD5420"/>
    <w:rsid w:val="31E355E2"/>
    <w:rsid w:val="31EC350E"/>
    <w:rsid w:val="31F123BE"/>
    <w:rsid w:val="31F14A27"/>
    <w:rsid w:val="31F53DB4"/>
    <w:rsid w:val="31F84007"/>
    <w:rsid w:val="320130E8"/>
    <w:rsid w:val="32035B1C"/>
    <w:rsid w:val="320A110B"/>
    <w:rsid w:val="320A259E"/>
    <w:rsid w:val="320A3D3B"/>
    <w:rsid w:val="320C0A9E"/>
    <w:rsid w:val="320C2521"/>
    <w:rsid w:val="32116E77"/>
    <w:rsid w:val="32186458"/>
    <w:rsid w:val="321A62DC"/>
    <w:rsid w:val="321B1AA4"/>
    <w:rsid w:val="321B5F48"/>
    <w:rsid w:val="321B7CF6"/>
    <w:rsid w:val="321D581C"/>
    <w:rsid w:val="322807D5"/>
    <w:rsid w:val="322A618B"/>
    <w:rsid w:val="3236392C"/>
    <w:rsid w:val="323D7C6C"/>
    <w:rsid w:val="324234D5"/>
    <w:rsid w:val="32483B16"/>
    <w:rsid w:val="32503219"/>
    <w:rsid w:val="3254750D"/>
    <w:rsid w:val="32612A25"/>
    <w:rsid w:val="3264344B"/>
    <w:rsid w:val="32677565"/>
    <w:rsid w:val="327C22AE"/>
    <w:rsid w:val="327F64D7"/>
    <w:rsid w:val="328C0BF4"/>
    <w:rsid w:val="32936E72"/>
    <w:rsid w:val="329E628F"/>
    <w:rsid w:val="32A155D2"/>
    <w:rsid w:val="32A45F3D"/>
    <w:rsid w:val="32A7158A"/>
    <w:rsid w:val="32AB107A"/>
    <w:rsid w:val="32AB30E7"/>
    <w:rsid w:val="32B06690"/>
    <w:rsid w:val="32B20CD9"/>
    <w:rsid w:val="32B52AF8"/>
    <w:rsid w:val="32B7023E"/>
    <w:rsid w:val="32B91596"/>
    <w:rsid w:val="32BB24D8"/>
    <w:rsid w:val="32BD2668"/>
    <w:rsid w:val="32C00265"/>
    <w:rsid w:val="32C7097F"/>
    <w:rsid w:val="32CD3CAD"/>
    <w:rsid w:val="32DA54BB"/>
    <w:rsid w:val="32E054DB"/>
    <w:rsid w:val="32E4633A"/>
    <w:rsid w:val="32E7407C"/>
    <w:rsid w:val="32EB2C4E"/>
    <w:rsid w:val="32F4084B"/>
    <w:rsid w:val="32F860CE"/>
    <w:rsid w:val="32FE5564"/>
    <w:rsid w:val="3301513E"/>
    <w:rsid w:val="33016EEC"/>
    <w:rsid w:val="33022C64"/>
    <w:rsid w:val="330F5DD7"/>
    <w:rsid w:val="331C3C38"/>
    <w:rsid w:val="331D7B39"/>
    <w:rsid w:val="331F3816"/>
    <w:rsid w:val="331F6D41"/>
    <w:rsid w:val="33250AE4"/>
    <w:rsid w:val="3325232B"/>
    <w:rsid w:val="332544EC"/>
    <w:rsid w:val="3328091C"/>
    <w:rsid w:val="33341633"/>
    <w:rsid w:val="3337488F"/>
    <w:rsid w:val="333F4A20"/>
    <w:rsid w:val="33466FF4"/>
    <w:rsid w:val="3348202A"/>
    <w:rsid w:val="334B362B"/>
    <w:rsid w:val="33631954"/>
    <w:rsid w:val="3364747B"/>
    <w:rsid w:val="336675C1"/>
    <w:rsid w:val="33694A91"/>
    <w:rsid w:val="336D27D3"/>
    <w:rsid w:val="336D5E7F"/>
    <w:rsid w:val="33791E3C"/>
    <w:rsid w:val="3383112B"/>
    <w:rsid w:val="33837901"/>
    <w:rsid w:val="338D5984"/>
    <w:rsid w:val="338E65AE"/>
    <w:rsid w:val="3390201E"/>
    <w:rsid w:val="339C5AFF"/>
    <w:rsid w:val="339D6350"/>
    <w:rsid w:val="33A8380B"/>
    <w:rsid w:val="33AF6948"/>
    <w:rsid w:val="33B37811"/>
    <w:rsid w:val="33B53FBA"/>
    <w:rsid w:val="33C323F3"/>
    <w:rsid w:val="33CF0287"/>
    <w:rsid w:val="33DB5E68"/>
    <w:rsid w:val="33DC7D6A"/>
    <w:rsid w:val="33DE6312"/>
    <w:rsid w:val="33E735FF"/>
    <w:rsid w:val="33E83562"/>
    <w:rsid w:val="33E87939"/>
    <w:rsid w:val="33EC572B"/>
    <w:rsid w:val="33F07ACB"/>
    <w:rsid w:val="33FF2CBE"/>
    <w:rsid w:val="340045F6"/>
    <w:rsid w:val="34030A42"/>
    <w:rsid w:val="340560DB"/>
    <w:rsid w:val="340F76F1"/>
    <w:rsid w:val="3414403A"/>
    <w:rsid w:val="34191A86"/>
    <w:rsid w:val="341A4C22"/>
    <w:rsid w:val="341B0CE9"/>
    <w:rsid w:val="341B222F"/>
    <w:rsid w:val="34293AEF"/>
    <w:rsid w:val="342B1D46"/>
    <w:rsid w:val="342C3ECF"/>
    <w:rsid w:val="3431735D"/>
    <w:rsid w:val="34321327"/>
    <w:rsid w:val="343426D5"/>
    <w:rsid w:val="343D5444"/>
    <w:rsid w:val="343F48EF"/>
    <w:rsid w:val="34403A44"/>
    <w:rsid w:val="344A58AD"/>
    <w:rsid w:val="344C063B"/>
    <w:rsid w:val="345A00D0"/>
    <w:rsid w:val="346040E6"/>
    <w:rsid w:val="34694F87"/>
    <w:rsid w:val="3469658E"/>
    <w:rsid w:val="346F372A"/>
    <w:rsid w:val="34704056"/>
    <w:rsid w:val="347229B4"/>
    <w:rsid w:val="34733E19"/>
    <w:rsid w:val="347C581E"/>
    <w:rsid w:val="34825E0A"/>
    <w:rsid w:val="348E2A01"/>
    <w:rsid w:val="3491429F"/>
    <w:rsid w:val="34945B3E"/>
    <w:rsid w:val="34951C5F"/>
    <w:rsid w:val="34951FE2"/>
    <w:rsid w:val="34983880"/>
    <w:rsid w:val="34991A5C"/>
    <w:rsid w:val="34A00BF0"/>
    <w:rsid w:val="34A35D81"/>
    <w:rsid w:val="34B253CB"/>
    <w:rsid w:val="34BA37F6"/>
    <w:rsid w:val="34BE6292"/>
    <w:rsid w:val="34C463DA"/>
    <w:rsid w:val="34D30337"/>
    <w:rsid w:val="34DE6A93"/>
    <w:rsid w:val="34DF500B"/>
    <w:rsid w:val="34E97A0A"/>
    <w:rsid w:val="34EE34A0"/>
    <w:rsid w:val="34FA0097"/>
    <w:rsid w:val="35076034"/>
    <w:rsid w:val="35127002"/>
    <w:rsid w:val="351B1DBB"/>
    <w:rsid w:val="35301D0A"/>
    <w:rsid w:val="35317B29"/>
    <w:rsid w:val="3536328F"/>
    <w:rsid w:val="35372643"/>
    <w:rsid w:val="3538296D"/>
    <w:rsid w:val="354632DC"/>
    <w:rsid w:val="354C01C6"/>
    <w:rsid w:val="35521C81"/>
    <w:rsid w:val="355A0B35"/>
    <w:rsid w:val="3567539D"/>
    <w:rsid w:val="356D2F6E"/>
    <w:rsid w:val="356F1909"/>
    <w:rsid w:val="35753BC1"/>
    <w:rsid w:val="3575596F"/>
    <w:rsid w:val="357F7586"/>
    <w:rsid w:val="358A0697"/>
    <w:rsid w:val="359A6283"/>
    <w:rsid w:val="359C114E"/>
    <w:rsid w:val="359D0A32"/>
    <w:rsid w:val="359E4EC6"/>
    <w:rsid w:val="35B35CCE"/>
    <w:rsid w:val="35B36FE1"/>
    <w:rsid w:val="35B52104"/>
    <w:rsid w:val="35B91D00"/>
    <w:rsid w:val="35C51474"/>
    <w:rsid w:val="35C816C3"/>
    <w:rsid w:val="35C93186"/>
    <w:rsid w:val="35CD57AB"/>
    <w:rsid w:val="35CE05C2"/>
    <w:rsid w:val="35CE0753"/>
    <w:rsid w:val="35D821A7"/>
    <w:rsid w:val="35DA1C76"/>
    <w:rsid w:val="35DC779C"/>
    <w:rsid w:val="35E36D7D"/>
    <w:rsid w:val="35E41F02"/>
    <w:rsid w:val="35ED19A9"/>
    <w:rsid w:val="35F048EB"/>
    <w:rsid w:val="35F20D6E"/>
    <w:rsid w:val="35F32D56"/>
    <w:rsid w:val="35FC7E3E"/>
    <w:rsid w:val="360122DE"/>
    <w:rsid w:val="36101336"/>
    <w:rsid w:val="361013B0"/>
    <w:rsid w:val="3636283A"/>
    <w:rsid w:val="36363350"/>
    <w:rsid w:val="363E2205"/>
    <w:rsid w:val="364038F0"/>
    <w:rsid w:val="36467769"/>
    <w:rsid w:val="364A0BAA"/>
    <w:rsid w:val="36511F38"/>
    <w:rsid w:val="36542905"/>
    <w:rsid w:val="36580420"/>
    <w:rsid w:val="3662547E"/>
    <w:rsid w:val="366559E4"/>
    <w:rsid w:val="36657792"/>
    <w:rsid w:val="36687282"/>
    <w:rsid w:val="366F23BE"/>
    <w:rsid w:val="366F750F"/>
    <w:rsid w:val="367E6AA5"/>
    <w:rsid w:val="3680281D"/>
    <w:rsid w:val="36806379"/>
    <w:rsid w:val="36810A8D"/>
    <w:rsid w:val="36863CB5"/>
    <w:rsid w:val="36866572"/>
    <w:rsid w:val="368E4C2A"/>
    <w:rsid w:val="368F2A36"/>
    <w:rsid w:val="36915C1D"/>
    <w:rsid w:val="36917771"/>
    <w:rsid w:val="36940077"/>
    <w:rsid w:val="369A0768"/>
    <w:rsid w:val="369B31B3"/>
    <w:rsid w:val="36A111C5"/>
    <w:rsid w:val="36B173E9"/>
    <w:rsid w:val="36B204FD"/>
    <w:rsid w:val="36B47930"/>
    <w:rsid w:val="36D13079"/>
    <w:rsid w:val="36D4047C"/>
    <w:rsid w:val="36D641AB"/>
    <w:rsid w:val="36D7322C"/>
    <w:rsid w:val="36E007D6"/>
    <w:rsid w:val="36E668B9"/>
    <w:rsid w:val="36E92171"/>
    <w:rsid w:val="36EC3A0F"/>
    <w:rsid w:val="36F46D5A"/>
    <w:rsid w:val="36F6663C"/>
    <w:rsid w:val="36FD34CA"/>
    <w:rsid w:val="3700464D"/>
    <w:rsid w:val="37032A81"/>
    <w:rsid w:val="37040C72"/>
    <w:rsid w:val="37117919"/>
    <w:rsid w:val="374B5E63"/>
    <w:rsid w:val="374C5422"/>
    <w:rsid w:val="37507FF9"/>
    <w:rsid w:val="37537F32"/>
    <w:rsid w:val="375A6D8C"/>
    <w:rsid w:val="3760778A"/>
    <w:rsid w:val="3761661B"/>
    <w:rsid w:val="3767417F"/>
    <w:rsid w:val="376B0515"/>
    <w:rsid w:val="376C1FB9"/>
    <w:rsid w:val="376D181F"/>
    <w:rsid w:val="37737ACC"/>
    <w:rsid w:val="377F4883"/>
    <w:rsid w:val="378123A9"/>
    <w:rsid w:val="37873738"/>
    <w:rsid w:val="378B750B"/>
    <w:rsid w:val="378E64BD"/>
    <w:rsid w:val="379607A8"/>
    <w:rsid w:val="379A16BD"/>
    <w:rsid w:val="379D312C"/>
    <w:rsid w:val="37AC4DA4"/>
    <w:rsid w:val="37B96807"/>
    <w:rsid w:val="37C20F66"/>
    <w:rsid w:val="37C752F9"/>
    <w:rsid w:val="37D74569"/>
    <w:rsid w:val="37DB24D9"/>
    <w:rsid w:val="37DC3A83"/>
    <w:rsid w:val="37E8067A"/>
    <w:rsid w:val="37EB1F18"/>
    <w:rsid w:val="380431B1"/>
    <w:rsid w:val="380C0F0A"/>
    <w:rsid w:val="380D03B3"/>
    <w:rsid w:val="380F7302"/>
    <w:rsid w:val="381C20D2"/>
    <w:rsid w:val="382129CC"/>
    <w:rsid w:val="38213B8C"/>
    <w:rsid w:val="382255E8"/>
    <w:rsid w:val="382F5126"/>
    <w:rsid w:val="382F761A"/>
    <w:rsid w:val="38301A2F"/>
    <w:rsid w:val="383A3537"/>
    <w:rsid w:val="383D5F54"/>
    <w:rsid w:val="383F0A8C"/>
    <w:rsid w:val="38402274"/>
    <w:rsid w:val="3849115C"/>
    <w:rsid w:val="384F530B"/>
    <w:rsid w:val="3851621F"/>
    <w:rsid w:val="38525487"/>
    <w:rsid w:val="38563836"/>
    <w:rsid w:val="3857135C"/>
    <w:rsid w:val="38591578"/>
    <w:rsid w:val="385B0CD2"/>
    <w:rsid w:val="385E6B8E"/>
    <w:rsid w:val="3869321A"/>
    <w:rsid w:val="38693A61"/>
    <w:rsid w:val="38701DB2"/>
    <w:rsid w:val="387E0FDF"/>
    <w:rsid w:val="38807509"/>
    <w:rsid w:val="3882287D"/>
    <w:rsid w:val="388845BC"/>
    <w:rsid w:val="388A51F1"/>
    <w:rsid w:val="388F2E80"/>
    <w:rsid w:val="388F4F9A"/>
    <w:rsid w:val="38907002"/>
    <w:rsid w:val="38910D12"/>
    <w:rsid w:val="38982ECE"/>
    <w:rsid w:val="38A146DF"/>
    <w:rsid w:val="38A26A7B"/>
    <w:rsid w:val="38AA3E87"/>
    <w:rsid w:val="38B56F92"/>
    <w:rsid w:val="38B93DC5"/>
    <w:rsid w:val="38C27D89"/>
    <w:rsid w:val="38C8225A"/>
    <w:rsid w:val="38CA4224"/>
    <w:rsid w:val="38CF3F04"/>
    <w:rsid w:val="38D40BFF"/>
    <w:rsid w:val="38DB5691"/>
    <w:rsid w:val="38DD3F57"/>
    <w:rsid w:val="38E76B84"/>
    <w:rsid w:val="38EC453C"/>
    <w:rsid w:val="38F418E8"/>
    <w:rsid w:val="38FC340B"/>
    <w:rsid w:val="38FD63A7"/>
    <w:rsid w:val="39000D46"/>
    <w:rsid w:val="39095512"/>
    <w:rsid w:val="39111E53"/>
    <w:rsid w:val="391218C5"/>
    <w:rsid w:val="391D4354"/>
    <w:rsid w:val="3928497A"/>
    <w:rsid w:val="392C6D82"/>
    <w:rsid w:val="392D1322"/>
    <w:rsid w:val="392D4E63"/>
    <w:rsid w:val="392E030F"/>
    <w:rsid w:val="392F4273"/>
    <w:rsid w:val="39316051"/>
    <w:rsid w:val="393D4DD6"/>
    <w:rsid w:val="393F0DD8"/>
    <w:rsid w:val="39400042"/>
    <w:rsid w:val="3942025E"/>
    <w:rsid w:val="39447B32"/>
    <w:rsid w:val="394C4C39"/>
    <w:rsid w:val="394E275F"/>
    <w:rsid w:val="394E6C03"/>
    <w:rsid w:val="3951224F"/>
    <w:rsid w:val="39513FFD"/>
    <w:rsid w:val="39516F7F"/>
    <w:rsid w:val="395818CC"/>
    <w:rsid w:val="3958494F"/>
    <w:rsid w:val="395C684F"/>
    <w:rsid w:val="39614056"/>
    <w:rsid w:val="3964774C"/>
    <w:rsid w:val="39693A3D"/>
    <w:rsid w:val="397523E2"/>
    <w:rsid w:val="39784C56"/>
    <w:rsid w:val="397D1296"/>
    <w:rsid w:val="397E7D6B"/>
    <w:rsid w:val="397F6DBC"/>
    <w:rsid w:val="3980525C"/>
    <w:rsid w:val="39882115"/>
    <w:rsid w:val="398A3FD3"/>
    <w:rsid w:val="398B39B3"/>
    <w:rsid w:val="39904B26"/>
    <w:rsid w:val="3991423A"/>
    <w:rsid w:val="3994316F"/>
    <w:rsid w:val="39976AD5"/>
    <w:rsid w:val="399838C5"/>
    <w:rsid w:val="39AC1B82"/>
    <w:rsid w:val="39BC216A"/>
    <w:rsid w:val="39C173D5"/>
    <w:rsid w:val="39C8376D"/>
    <w:rsid w:val="39C91BA5"/>
    <w:rsid w:val="39C96289"/>
    <w:rsid w:val="39C9718A"/>
    <w:rsid w:val="39CA0DD8"/>
    <w:rsid w:val="39CB3DB0"/>
    <w:rsid w:val="39D168E1"/>
    <w:rsid w:val="39D17989"/>
    <w:rsid w:val="39D37108"/>
    <w:rsid w:val="39D709A6"/>
    <w:rsid w:val="39DC7D6B"/>
    <w:rsid w:val="39DE71F1"/>
    <w:rsid w:val="39E92488"/>
    <w:rsid w:val="39F5707E"/>
    <w:rsid w:val="39F92ECD"/>
    <w:rsid w:val="39F96B6F"/>
    <w:rsid w:val="39FC040D"/>
    <w:rsid w:val="39FC665F"/>
    <w:rsid w:val="3A001CBC"/>
    <w:rsid w:val="3A02177D"/>
    <w:rsid w:val="3A0373F5"/>
    <w:rsid w:val="3A0E7142"/>
    <w:rsid w:val="3A120B50"/>
    <w:rsid w:val="3A1E4827"/>
    <w:rsid w:val="3A225505"/>
    <w:rsid w:val="3A261110"/>
    <w:rsid w:val="3A301558"/>
    <w:rsid w:val="3A32799B"/>
    <w:rsid w:val="3A332488"/>
    <w:rsid w:val="3A343EA1"/>
    <w:rsid w:val="3A3741F8"/>
    <w:rsid w:val="3A3A000E"/>
    <w:rsid w:val="3A3B3B5A"/>
    <w:rsid w:val="3A3C2EFF"/>
    <w:rsid w:val="3A3E18E4"/>
    <w:rsid w:val="3A3E4582"/>
    <w:rsid w:val="3A422744"/>
    <w:rsid w:val="3A454392"/>
    <w:rsid w:val="3A483652"/>
    <w:rsid w:val="3A485400"/>
    <w:rsid w:val="3A4A561C"/>
    <w:rsid w:val="3A4F2AA6"/>
    <w:rsid w:val="3A5169AB"/>
    <w:rsid w:val="3A5E2E76"/>
    <w:rsid w:val="3A6A08A4"/>
    <w:rsid w:val="3A761B04"/>
    <w:rsid w:val="3A772DA3"/>
    <w:rsid w:val="3A7B7DBF"/>
    <w:rsid w:val="3A7E7F96"/>
    <w:rsid w:val="3A881CA1"/>
    <w:rsid w:val="3A8A3C6B"/>
    <w:rsid w:val="3A8E0D8E"/>
    <w:rsid w:val="3A8E354A"/>
    <w:rsid w:val="3A9073CB"/>
    <w:rsid w:val="3A953C0F"/>
    <w:rsid w:val="3A9674EC"/>
    <w:rsid w:val="3A98600F"/>
    <w:rsid w:val="3A9E5296"/>
    <w:rsid w:val="3AA32B42"/>
    <w:rsid w:val="3AB36D2B"/>
    <w:rsid w:val="3AB55CD4"/>
    <w:rsid w:val="3AB74334"/>
    <w:rsid w:val="3ABC7D9E"/>
    <w:rsid w:val="3AC57BD6"/>
    <w:rsid w:val="3ACA05ED"/>
    <w:rsid w:val="3ACB7F4D"/>
    <w:rsid w:val="3AD2638E"/>
    <w:rsid w:val="3ADB44C6"/>
    <w:rsid w:val="3AE96FAE"/>
    <w:rsid w:val="3AF50B7B"/>
    <w:rsid w:val="3AF95F6D"/>
    <w:rsid w:val="3AFB2473"/>
    <w:rsid w:val="3AFC0EBF"/>
    <w:rsid w:val="3B005CDE"/>
    <w:rsid w:val="3B011D5F"/>
    <w:rsid w:val="3B0C30D5"/>
    <w:rsid w:val="3B127422"/>
    <w:rsid w:val="3B20637D"/>
    <w:rsid w:val="3B264D27"/>
    <w:rsid w:val="3B2A0F56"/>
    <w:rsid w:val="3B2C6648"/>
    <w:rsid w:val="3B2D1219"/>
    <w:rsid w:val="3B3F4ABE"/>
    <w:rsid w:val="3B4227F2"/>
    <w:rsid w:val="3B4262F3"/>
    <w:rsid w:val="3B4958D4"/>
    <w:rsid w:val="3B4A5D46"/>
    <w:rsid w:val="3B4E2EEA"/>
    <w:rsid w:val="3B64270E"/>
    <w:rsid w:val="3B6B4010"/>
    <w:rsid w:val="3B6B584A"/>
    <w:rsid w:val="3B6D0898"/>
    <w:rsid w:val="3B6D2B7C"/>
    <w:rsid w:val="3B6D5302"/>
    <w:rsid w:val="3B775442"/>
    <w:rsid w:val="3B806E1C"/>
    <w:rsid w:val="3B8B04F4"/>
    <w:rsid w:val="3B99480B"/>
    <w:rsid w:val="3B9A7EDD"/>
    <w:rsid w:val="3B9F54F4"/>
    <w:rsid w:val="3B9F72A2"/>
    <w:rsid w:val="3BA14914"/>
    <w:rsid w:val="3BA349EC"/>
    <w:rsid w:val="3BA548E8"/>
    <w:rsid w:val="3BA90120"/>
    <w:rsid w:val="3BA945C4"/>
    <w:rsid w:val="3BAB20EB"/>
    <w:rsid w:val="3BB07701"/>
    <w:rsid w:val="3BB64B93"/>
    <w:rsid w:val="3BBC3934"/>
    <w:rsid w:val="3BC136BC"/>
    <w:rsid w:val="3BC77C0B"/>
    <w:rsid w:val="3BD06EC6"/>
    <w:rsid w:val="3BD5458B"/>
    <w:rsid w:val="3BF21AC7"/>
    <w:rsid w:val="3BF30CE9"/>
    <w:rsid w:val="3BF75330"/>
    <w:rsid w:val="3BFD0179"/>
    <w:rsid w:val="3C011D0B"/>
    <w:rsid w:val="3C084666"/>
    <w:rsid w:val="3C095719"/>
    <w:rsid w:val="3C1617C1"/>
    <w:rsid w:val="3C265EF7"/>
    <w:rsid w:val="3C274FED"/>
    <w:rsid w:val="3C28373B"/>
    <w:rsid w:val="3C2C516D"/>
    <w:rsid w:val="3C371BD0"/>
    <w:rsid w:val="3C3D7B8B"/>
    <w:rsid w:val="3C4A1903"/>
    <w:rsid w:val="3C4E291B"/>
    <w:rsid w:val="3C502C92"/>
    <w:rsid w:val="3C5334A9"/>
    <w:rsid w:val="3C5C33E5"/>
    <w:rsid w:val="3C5C57AB"/>
    <w:rsid w:val="3C5C60AC"/>
    <w:rsid w:val="3C646584"/>
    <w:rsid w:val="3C68608E"/>
    <w:rsid w:val="3C694470"/>
    <w:rsid w:val="3C766A72"/>
    <w:rsid w:val="3C812E4B"/>
    <w:rsid w:val="3C816695"/>
    <w:rsid w:val="3C830972"/>
    <w:rsid w:val="3C8533C1"/>
    <w:rsid w:val="3C942B7F"/>
    <w:rsid w:val="3C9618E6"/>
    <w:rsid w:val="3C9E39FD"/>
    <w:rsid w:val="3CA3020D"/>
    <w:rsid w:val="3CA408E8"/>
    <w:rsid w:val="3CA54D8C"/>
    <w:rsid w:val="3CAD3311"/>
    <w:rsid w:val="3CAF5C0A"/>
    <w:rsid w:val="3CBE601B"/>
    <w:rsid w:val="3CBF0755"/>
    <w:rsid w:val="3CC57503"/>
    <w:rsid w:val="3CCC7CCF"/>
    <w:rsid w:val="3CCD6091"/>
    <w:rsid w:val="3CCE11F2"/>
    <w:rsid w:val="3CCF740E"/>
    <w:rsid w:val="3CD218F9"/>
    <w:rsid w:val="3CE16F09"/>
    <w:rsid w:val="3CE30D44"/>
    <w:rsid w:val="3CE53F8F"/>
    <w:rsid w:val="3CE55188"/>
    <w:rsid w:val="3CE602E9"/>
    <w:rsid w:val="3CEA7234"/>
    <w:rsid w:val="3CEC7EA3"/>
    <w:rsid w:val="3CEE5629"/>
    <w:rsid w:val="3CF20C4B"/>
    <w:rsid w:val="3CF36CD5"/>
    <w:rsid w:val="3D0B3C21"/>
    <w:rsid w:val="3D0E05E3"/>
    <w:rsid w:val="3D1F7421"/>
    <w:rsid w:val="3D2C0CE8"/>
    <w:rsid w:val="3D3A0BAE"/>
    <w:rsid w:val="3D3D3216"/>
    <w:rsid w:val="3D3E0D3C"/>
    <w:rsid w:val="3D464256"/>
    <w:rsid w:val="3D4A7779"/>
    <w:rsid w:val="3D4F4CF8"/>
    <w:rsid w:val="3D532A3A"/>
    <w:rsid w:val="3D5E4F88"/>
    <w:rsid w:val="3D622C7D"/>
    <w:rsid w:val="3D6C5DFC"/>
    <w:rsid w:val="3D711084"/>
    <w:rsid w:val="3D736C38"/>
    <w:rsid w:val="3D762086"/>
    <w:rsid w:val="3D7961ED"/>
    <w:rsid w:val="3D8A75AD"/>
    <w:rsid w:val="3D8C1AA8"/>
    <w:rsid w:val="3D92020E"/>
    <w:rsid w:val="3D9320F8"/>
    <w:rsid w:val="3D940908"/>
    <w:rsid w:val="3D954E00"/>
    <w:rsid w:val="3D9C5BB4"/>
    <w:rsid w:val="3DA43295"/>
    <w:rsid w:val="3DA54918"/>
    <w:rsid w:val="3DAE5EC2"/>
    <w:rsid w:val="3DAF5796"/>
    <w:rsid w:val="3DB47363"/>
    <w:rsid w:val="3DBA6615"/>
    <w:rsid w:val="3DBB5757"/>
    <w:rsid w:val="3DBD4357"/>
    <w:rsid w:val="3DC832E8"/>
    <w:rsid w:val="3DCA79EF"/>
    <w:rsid w:val="3DD60F75"/>
    <w:rsid w:val="3DD84CED"/>
    <w:rsid w:val="3DD86A9B"/>
    <w:rsid w:val="3DE74F30"/>
    <w:rsid w:val="3DF15DAF"/>
    <w:rsid w:val="3DF21B38"/>
    <w:rsid w:val="3DF77869"/>
    <w:rsid w:val="3DFA1905"/>
    <w:rsid w:val="3E027FBC"/>
    <w:rsid w:val="3E03137C"/>
    <w:rsid w:val="3E045AE2"/>
    <w:rsid w:val="3E0755D2"/>
    <w:rsid w:val="3E0D6170"/>
    <w:rsid w:val="3E0E1EFC"/>
    <w:rsid w:val="3E111FAD"/>
    <w:rsid w:val="3E15656A"/>
    <w:rsid w:val="3E175815"/>
    <w:rsid w:val="3E1D08EA"/>
    <w:rsid w:val="3E1D397C"/>
    <w:rsid w:val="3E29379B"/>
    <w:rsid w:val="3E2B7513"/>
    <w:rsid w:val="3E2E7003"/>
    <w:rsid w:val="3E484717"/>
    <w:rsid w:val="3E4A5400"/>
    <w:rsid w:val="3E4F57E0"/>
    <w:rsid w:val="3E5B234E"/>
    <w:rsid w:val="3E641FAD"/>
    <w:rsid w:val="3E695768"/>
    <w:rsid w:val="3E6F20C8"/>
    <w:rsid w:val="3E722CF0"/>
    <w:rsid w:val="3E7E4745"/>
    <w:rsid w:val="3E801195"/>
    <w:rsid w:val="3E811382"/>
    <w:rsid w:val="3E834C59"/>
    <w:rsid w:val="3E882C55"/>
    <w:rsid w:val="3E990920"/>
    <w:rsid w:val="3E9D10D6"/>
    <w:rsid w:val="3E9E4E87"/>
    <w:rsid w:val="3EAD7F28"/>
    <w:rsid w:val="3EBE3EE3"/>
    <w:rsid w:val="3EC17A90"/>
    <w:rsid w:val="3EC37BEB"/>
    <w:rsid w:val="3ED03C16"/>
    <w:rsid w:val="3ED44812"/>
    <w:rsid w:val="3EDF3E59"/>
    <w:rsid w:val="3EE51E11"/>
    <w:rsid w:val="3EEA4CD8"/>
    <w:rsid w:val="3EEB4AA2"/>
    <w:rsid w:val="3EEE6EF2"/>
    <w:rsid w:val="3EF04AC4"/>
    <w:rsid w:val="3EFC0ABC"/>
    <w:rsid w:val="3EFE1167"/>
    <w:rsid w:val="3F073ADC"/>
    <w:rsid w:val="3F0B2EA0"/>
    <w:rsid w:val="3F0E30BC"/>
    <w:rsid w:val="3F0E3C71"/>
    <w:rsid w:val="3F19413E"/>
    <w:rsid w:val="3F214472"/>
    <w:rsid w:val="3F3629F5"/>
    <w:rsid w:val="3F3B3785"/>
    <w:rsid w:val="3F450160"/>
    <w:rsid w:val="3F4C036B"/>
    <w:rsid w:val="3F4D34B9"/>
    <w:rsid w:val="3F4E58DA"/>
    <w:rsid w:val="3F56534C"/>
    <w:rsid w:val="3F5A30D6"/>
    <w:rsid w:val="3F5D712D"/>
    <w:rsid w:val="3F5E1065"/>
    <w:rsid w:val="3F696288"/>
    <w:rsid w:val="3F6A3664"/>
    <w:rsid w:val="3F6E5BC4"/>
    <w:rsid w:val="3F6F1681"/>
    <w:rsid w:val="3F7B43FB"/>
    <w:rsid w:val="3F8A67E1"/>
    <w:rsid w:val="3F9C2AE9"/>
    <w:rsid w:val="3F9F2443"/>
    <w:rsid w:val="3FA6092B"/>
    <w:rsid w:val="3FA64167"/>
    <w:rsid w:val="3FB157F6"/>
    <w:rsid w:val="3FB21B78"/>
    <w:rsid w:val="3FB23AA1"/>
    <w:rsid w:val="3FB24FBA"/>
    <w:rsid w:val="3FB83028"/>
    <w:rsid w:val="3FBB0422"/>
    <w:rsid w:val="3FC1012F"/>
    <w:rsid w:val="3FC7326B"/>
    <w:rsid w:val="3FD905EA"/>
    <w:rsid w:val="3FDA10FE"/>
    <w:rsid w:val="3FDB6D16"/>
    <w:rsid w:val="3FEB40FC"/>
    <w:rsid w:val="3FF35E0E"/>
    <w:rsid w:val="3FF72D4A"/>
    <w:rsid w:val="40077ACB"/>
    <w:rsid w:val="400E044C"/>
    <w:rsid w:val="401751A7"/>
    <w:rsid w:val="401855D2"/>
    <w:rsid w:val="401A339B"/>
    <w:rsid w:val="401D10DD"/>
    <w:rsid w:val="40267F92"/>
    <w:rsid w:val="402D1F73"/>
    <w:rsid w:val="40356427"/>
    <w:rsid w:val="4059406F"/>
    <w:rsid w:val="405B5807"/>
    <w:rsid w:val="406531FD"/>
    <w:rsid w:val="406665E0"/>
    <w:rsid w:val="4077259B"/>
    <w:rsid w:val="40793A0C"/>
    <w:rsid w:val="407C22A8"/>
    <w:rsid w:val="407D7357"/>
    <w:rsid w:val="407E2221"/>
    <w:rsid w:val="408A49C4"/>
    <w:rsid w:val="409373A1"/>
    <w:rsid w:val="40A1586A"/>
    <w:rsid w:val="40A610D2"/>
    <w:rsid w:val="40AA3104"/>
    <w:rsid w:val="40BE466E"/>
    <w:rsid w:val="40C31C84"/>
    <w:rsid w:val="40C477AB"/>
    <w:rsid w:val="40CA0810"/>
    <w:rsid w:val="40D23C76"/>
    <w:rsid w:val="40D706AC"/>
    <w:rsid w:val="40D774DE"/>
    <w:rsid w:val="40DE0781"/>
    <w:rsid w:val="40E01F8A"/>
    <w:rsid w:val="40EB2F89"/>
    <w:rsid w:val="40ED4D13"/>
    <w:rsid w:val="40F57964"/>
    <w:rsid w:val="410018BF"/>
    <w:rsid w:val="41004C87"/>
    <w:rsid w:val="410323C8"/>
    <w:rsid w:val="410407AE"/>
    <w:rsid w:val="410A2733"/>
    <w:rsid w:val="410A78B3"/>
    <w:rsid w:val="411F646A"/>
    <w:rsid w:val="41203ECC"/>
    <w:rsid w:val="412C5A7C"/>
    <w:rsid w:val="41311185"/>
    <w:rsid w:val="41361757"/>
    <w:rsid w:val="413A2333"/>
    <w:rsid w:val="414B1348"/>
    <w:rsid w:val="41596021"/>
    <w:rsid w:val="41596145"/>
    <w:rsid w:val="415C336B"/>
    <w:rsid w:val="415F3F89"/>
    <w:rsid w:val="41605725"/>
    <w:rsid w:val="41616119"/>
    <w:rsid w:val="41656898"/>
    <w:rsid w:val="4168282C"/>
    <w:rsid w:val="41687629"/>
    <w:rsid w:val="41692A6A"/>
    <w:rsid w:val="41707EAC"/>
    <w:rsid w:val="41727608"/>
    <w:rsid w:val="4173052A"/>
    <w:rsid w:val="4181038E"/>
    <w:rsid w:val="41850CE8"/>
    <w:rsid w:val="418818A7"/>
    <w:rsid w:val="418C160E"/>
    <w:rsid w:val="419231C9"/>
    <w:rsid w:val="41932ECE"/>
    <w:rsid w:val="419378A9"/>
    <w:rsid w:val="41970A1B"/>
    <w:rsid w:val="41A0081D"/>
    <w:rsid w:val="41A46242"/>
    <w:rsid w:val="41AF7B66"/>
    <w:rsid w:val="41B11ADD"/>
    <w:rsid w:val="41B15F81"/>
    <w:rsid w:val="41B456A3"/>
    <w:rsid w:val="41C71300"/>
    <w:rsid w:val="41CD045A"/>
    <w:rsid w:val="41CD7C17"/>
    <w:rsid w:val="41D75350"/>
    <w:rsid w:val="41D91034"/>
    <w:rsid w:val="41DB4DAC"/>
    <w:rsid w:val="41DD5436"/>
    <w:rsid w:val="41F30347"/>
    <w:rsid w:val="41F701DC"/>
    <w:rsid w:val="41F958BA"/>
    <w:rsid w:val="41FD26F6"/>
    <w:rsid w:val="42083F8E"/>
    <w:rsid w:val="420A3368"/>
    <w:rsid w:val="420B57D8"/>
    <w:rsid w:val="420E6F2F"/>
    <w:rsid w:val="4213634F"/>
    <w:rsid w:val="42142784"/>
    <w:rsid w:val="42204EB5"/>
    <w:rsid w:val="42254279"/>
    <w:rsid w:val="422B5D33"/>
    <w:rsid w:val="422E405B"/>
    <w:rsid w:val="423A271D"/>
    <w:rsid w:val="423E37F0"/>
    <w:rsid w:val="423F2A04"/>
    <w:rsid w:val="423F358D"/>
    <w:rsid w:val="424E1331"/>
    <w:rsid w:val="42547648"/>
    <w:rsid w:val="425C413F"/>
    <w:rsid w:val="42611755"/>
    <w:rsid w:val="42621029"/>
    <w:rsid w:val="42642FF3"/>
    <w:rsid w:val="426E0917"/>
    <w:rsid w:val="42707BEA"/>
    <w:rsid w:val="4272308B"/>
    <w:rsid w:val="42733134"/>
    <w:rsid w:val="427336C7"/>
    <w:rsid w:val="42754064"/>
    <w:rsid w:val="4278084D"/>
    <w:rsid w:val="42781560"/>
    <w:rsid w:val="42784CF1"/>
    <w:rsid w:val="427F2FE2"/>
    <w:rsid w:val="42950900"/>
    <w:rsid w:val="42997141"/>
    <w:rsid w:val="42A15FF5"/>
    <w:rsid w:val="42A477BE"/>
    <w:rsid w:val="42A653BA"/>
    <w:rsid w:val="42A72EE0"/>
    <w:rsid w:val="42B04D1F"/>
    <w:rsid w:val="42B11BCE"/>
    <w:rsid w:val="42B15EB1"/>
    <w:rsid w:val="42BB3EC9"/>
    <w:rsid w:val="42BC4BDD"/>
    <w:rsid w:val="42BC65D1"/>
    <w:rsid w:val="42BD2703"/>
    <w:rsid w:val="42C31370"/>
    <w:rsid w:val="42C776D1"/>
    <w:rsid w:val="42C85330"/>
    <w:rsid w:val="42C85F39"/>
    <w:rsid w:val="42CB3072"/>
    <w:rsid w:val="42CB4DB1"/>
    <w:rsid w:val="42CF2B62"/>
    <w:rsid w:val="42D9578F"/>
    <w:rsid w:val="42DE003B"/>
    <w:rsid w:val="42DF08CC"/>
    <w:rsid w:val="42E07D91"/>
    <w:rsid w:val="42F36125"/>
    <w:rsid w:val="42F8373B"/>
    <w:rsid w:val="42FD580B"/>
    <w:rsid w:val="42FF2D1C"/>
    <w:rsid w:val="430600B4"/>
    <w:rsid w:val="430A7932"/>
    <w:rsid w:val="430B346F"/>
    <w:rsid w:val="43126B5C"/>
    <w:rsid w:val="4315253F"/>
    <w:rsid w:val="431F436D"/>
    <w:rsid w:val="431F7AFC"/>
    <w:rsid w:val="432033BE"/>
    <w:rsid w:val="43227198"/>
    <w:rsid w:val="43236A0A"/>
    <w:rsid w:val="432429B5"/>
    <w:rsid w:val="432804C5"/>
    <w:rsid w:val="43284021"/>
    <w:rsid w:val="432E715D"/>
    <w:rsid w:val="43364E1E"/>
    <w:rsid w:val="43380B31"/>
    <w:rsid w:val="434D501F"/>
    <w:rsid w:val="43560B8E"/>
    <w:rsid w:val="435B7FA9"/>
    <w:rsid w:val="43657023"/>
    <w:rsid w:val="4379487C"/>
    <w:rsid w:val="437B2D68"/>
    <w:rsid w:val="43865442"/>
    <w:rsid w:val="439017A5"/>
    <w:rsid w:val="43972B60"/>
    <w:rsid w:val="43993170"/>
    <w:rsid w:val="439E0F63"/>
    <w:rsid w:val="43A309EF"/>
    <w:rsid w:val="43A63197"/>
    <w:rsid w:val="43A86F10"/>
    <w:rsid w:val="43AA4CE6"/>
    <w:rsid w:val="43AB4AE1"/>
    <w:rsid w:val="43CB6402"/>
    <w:rsid w:val="43CF4E93"/>
    <w:rsid w:val="43D115AD"/>
    <w:rsid w:val="43D41398"/>
    <w:rsid w:val="43DA045C"/>
    <w:rsid w:val="43F108B7"/>
    <w:rsid w:val="43F14D5A"/>
    <w:rsid w:val="43F173A2"/>
    <w:rsid w:val="440020C2"/>
    <w:rsid w:val="44160833"/>
    <w:rsid w:val="441E09A8"/>
    <w:rsid w:val="441E5E65"/>
    <w:rsid w:val="442273B7"/>
    <w:rsid w:val="442B4C8A"/>
    <w:rsid w:val="442C18EF"/>
    <w:rsid w:val="44315157"/>
    <w:rsid w:val="443B5FD6"/>
    <w:rsid w:val="443C7C51"/>
    <w:rsid w:val="443F1622"/>
    <w:rsid w:val="44407535"/>
    <w:rsid w:val="44450C02"/>
    <w:rsid w:val="44466E54"/>
    <w:rsid w:val="444E37D8"/>
    <w:rsid w:val="4450382F"/>
    <w:rsid w:val="445B6C3C"/>
    <w:rsid w:val="445F4E19"/>
    <w:rsid w:val="44620574"/>
    <w:rsid w:val="4469669F"/>
    <w:rsid w:val="446A3641"/>
    <w:rsid w:val="446C58FC"/>
    <w:rsid w:val="447055D2"/>
    <w:rsid w:val="4473408E"/>
    <w:rsid w:val="4477335A"/>
    <w:rsid w:val="447A08AC"/>
    <w:rsid w:val="447C0AC8"/>
    <w:rsid w:val="44826404"/>
    <w:rsid w:val="44844209"/>
    <w:rsid w:val="448F32B5"/>
    <w:rsid w:val="449D0A3E"/>
    <w:rsid w:val="44A21C8C"/>
    <w:rsid w:val="44A771C7"/>
    <w:rsid w:val="44AE67A8"/>
    <w:rsid w:val="44B32010"/>
    <w:rsid w:val="44BA514C"/>
    <w:rsid w:val="44C22F13"/>
    <w:rsid w:val="44C4695B"/>
    <w:rsid w:val="44C77869"/>
    <w:rsid w:val="44CE7A68"/>
    <w:rsid w:val="44D13CA5"/>
    <w:rsid w:val="44D31A7E"/>
    <w:rsid w:val="44DA57EF"/>
    <w:rsid w:val="44E81CBA"/>
    <w:rsid w:val="44EB3558"/>
    <w:rsid w:val="44EE7124"/>
    <w:rsid w:val="44EF3465"/>
    <w:rsid w:val="44F03307"/>
    <w:rsid w:val="44FA7C3F"/>
    <w:rsid w:val="450B580F"/>
    <w:rsid w:val="45126D36"/>
    <w:rsid w:val="451900C5"/>
    <w:rsid w:val="451C3C39"/>
    <w:rsid w:val="452751D9"/>
    <w:rsid w:val="452847AC"/>
    <w:rsid w:val="452B604A"/>
    <w:rsid w:val="452E333E"/>
    <w:rsid w:val="452E49CD"/>
    <w:rsid w:val="453A10B2"/>
    <w:rsid w:val="45441531"/>
    <w:rsid w:val="4546248C"/>
    <w:rsid w:val="45484013"/>
    <w:rsid w:val="454A29C6"/>
    <w:rsid w:val="454F3A4F"/>
    <w:rsid w:val="45535CEC"/>
    <w:rsid w:val="455410FD"/>
    <w:rsid w:val="45684165"/>
    <w:rsid w:val="45701CAF"/>
    <w:rsid w:val="45774DEB"/>
    <w:rsid w:val="45796DB6"/>
    <w:rsid w:val="458D6F0F"/>
    <w:rsid w:val="459C437A"/>
    <w:rsid w:val="459E05CA"/>
    <w:rsid w:val="45BD458E"/>
    <w:rsid w:val="45C40201"/>
    <w:rsid w:val="45C60F8E"/>
    <w:rsid w:val="45CE68E5"/>
    <w:rsid w:val="45D21ED5"/>
    <w:rsid w:val="45D80899"/>
    <w:rsid w:val="45E306D3"/>
    <w:rsid w:val="45E561F9"/>
    <w:rsid w:val="45EC6CE6"/>
    <w:rsid w:val="45ED51BC"/>
    <w:rsid w:val="45F20916"/>
    <w:rsid w:val="45F66658"/>
    <w:rsid w:val="45F823D0"/>
    <w:rsid w:val="45F97EF6"/>
    <w:rsid w:val="45FC792F"/>
    <w:rsid w:val="46081EE8"/>
    <w:rsid w:val="460A34C5"/>
    <w:rsid w:val="460A4DBC"/>
    <w:rsid w:val="460C7C2A"/>
    <w:rsid w:val="461145CE"/>
    <w:rsid w:val="4613332B"/>
    <w:rsid w:val="46160AA8"/>
    <w:rsid w:val="461C3127"/>
    <w:rsid w:val="46210AEA"/>
    <w:rsid w:val="46216D4B"/>
    <w:rsid w:val="46234634"/>
    <w:rsid w:val="46250BED"/>
    <w:rsid w:val="46252A99"/>
    <w:rsid w:val="463232A2"/>
    <w:rsid w:val="463352C3"/>
    <w:rsid w:val="46342CDD"/>
    <w:rsid w:val="463860DF"/>
    <w:rsid w:val="4641782B"/>
    <w:rsid w:val="4646399F"/>
    <w:rsid w:val="464D29D5"/>
    <w:rsid w:val="46506DC4"/>
    <w:rsid w:val="46517D32"/>
    <w:rsid w:val="46537607"/>
    <w:rsid w:val="46556BAA"/>
    <w:rsid w:val="46560EA5"/>
    <w:rsid w:val="465B470D"/>
    <w:rsid w:val="465B64BB"/>
    <w:rsid w:val="465F41FD"/>
    <w:rsid w:val="466C2476"/>
    <w:rsid w:val="466E2B07"/>
    <w:rsid w:val="46766008"/>
    <w:rsid w:val="46773569"/>
    <w:rsid w:val="467E2390"/>
    <w:rsid w:val="4693066B"/>
    <w:rsid w:val="469D4D26"/>
    <w:rsid w:val="469F2740"/>
    <w:rsid w:val="469F284C"/>
    <w:rsid w:val="46A113CA"/>
    <w:rsid w:val="46A5469A"/>
    <w:rsid w:val="46A8477E"/>
    <w:rsid w:val="46B41B34"/>
    <w:rsid w:val="46BF6A4A"/>
    <w:rsid w:val="46C66B01"/>
    <w:rsid w:val="46C72C9E"/>
    <w:rsid w:val="46C95A27"/>
    <w:rsid w:val="46CD698F"/>
    <w:rsid w:val="46D27B01"/>
    <w:rsid w:val="46DC2CE4"/>
    <w:rsid w:val="46DC584E"/>
    <w:rsid w:val="46DF66DF"/>
    <w:rsid w:val="46E12D43"/>
    <w:rsid w:val="46E5268E"/>
    <w:rsid w:val="46ED3D5C"/>
    <w:rsid w:val="46FA2178"/>
    <w:rsid w:val="47017063"/>
    <w:rsid w:val="47034528"/>
    <w:rsid w:val="47044DA5"/>
    <w:rsid w:val="47060B1D"/>
    <w:rsid w:val="47097A44"/>
    <w:rsid w:val="470E1780"/>
    <w:rsid w:val="470E5440"/>
    <w:rsid w:val="471548BC"/>
    <w:rsid w:val="471D5FEA"/>
    <w:rsid w:val="4733534A"/>
    <w:rsid w:val="47373DE2"/>
    <w:rsid w:val="473A6FE1"/>
    <w:rsid w:val="473E1491"/>
    <w:rsid w:val="474451A1"/>
    <w:rsid w:val="474709AA"/>
    <w:rsid w:val="474A6C5C"/>
    <w:rsid w:val="4755115C"/>
    <w:rsid w:val="475F56F3"/>
    <w:rsid w:val="476364D9"/>
    <w:rsid w:val="47677459"/>
    <w:rsid w:val="47781AA7"/>
    <w:rsid w:val="477B6635"/>
    <w:rsid w:val="4780267D"/>
    <w:rsid w:val="478163F5"/>
    <w:rsid w:val="47865461"/>
    <w:rsid w:val="478B2DD0"/>
    <w:rsid w:val="47947ED7"/>
    <w:rsid w:val="47953C4F"/>
    <w:rsid w:val="479559FD"/>
    <w:rsid w:val="47A44BEB"/>
    <w:rsid w:val="47A85730"/>
    <w:rsid w:val="47AA594C"/>
    <w:rsid w:val="47AE1094"/>
    <w:rsid w:val="47C9565F"/>
    <w:rsid w:val="47CD5197"/>
    <w:rsid w:val="47CF53B3"/>
    <w:rsid w:val="47D47AF4"/>
    <w:rsid w:val="47D839F9"/>
    <w:rsid w:val="47D85797"/>
    <w:rsid w:val="47DD04A1"/>
    <w:rsid w:val="47E0311C"/>
    <w:rsid w:val="47E10C42"/>
    <w:rsid w:val="47E217E0"/>
    <w:rsid w:val="47E863B1"/>
    <w:rsid w:val="47ED46A0"/>
    <w:rsid w:val="47ED5839"/>
    <w:rsid w:val="47ED6C84"/>
    <w:rsid w:val="47EF7615"/>
    <w:rsid w:val="47F276BD"/>
    <w:rsid w:val="47F47767"/>
    <w:rsid w:val="47FE505C"/>
    <w:rsid w:val="48070410"/>
    <w:rsid w:val="480D2213"/>
    <w:rsid w:val="481676AF"/>
    <w:rsid w:val="481755F6"/>
    <w:rsid w:val="481C2771"/>
    <w:rsid w:val="482578C8"/>
    <w:rsid w:val="482C3536"/>
    <w:rsid w:val="484216E1"/>
    <w:rsid w:val="48474F49"/>
    <w:rsid w:val="48475477"/>
    <w:rsid w:val="484C50F9"/>
    <w:rsid w:val="485246CB"/>
    <w:rsid w:val="485D6FD6"/>
    <w:rsid w:val="48645A12"/>
    <w:rsid w:val="486C0E54"/>
    <w:rsid w:val="486D24D6"/>
    <w:rsid w:val="487675DC"/>
    <w:rsid w:val="48783354"/>
    <w:rsid w:val="487970CD"/>
    <w:rsid w:val="487A531F"/>
    <w:rsid w:val="48801B42"/>
    <w:rsid w:val="48805E95"/>
    <w:rsid w:val="489108BA"/>
    <w:rsid w:val="48A06EBF"/>
    <w:rsid w:val="48AE45C2"/>
    <w:rsid w:val="48B06F92"/>
    <w:rsid w:val="48B1464B"/>
    <w:rsid w:val="48B16866"/>
    <w:rsid w:val="48B23195"/>
    <w:rsid w:val="48B257FC"/>
    <w:rsid w:val="48B73D74"/>
    <w:rsid w:val="48C379EB"/>
    <w:rsid w:val="48C707A2"/>
    <w:rsid w:val="48CC544E"/>
    <w:rsid w:val="48CF0379"/>
    <w:rsid w:val="48DA27AB"/>
    <w:rsid w:val="48E57AE6"/>
    <w:rsid w:val="48E64762"/>
    <w:rsid w:val="48E924A4"/>
    <w:rsid w:val="48EE3617"/>
    <w:rsid w:val="48F46EBD"/>
    <w:rsid w:val="48F65981"/>
    <w:rsid w:val="48FA1FBB"/>
    <w:rsid w:val="48FD7CFE"/>
    <w:rsid w:val="4901159C"/>
    <w:rsid w:val="49051D27"/>
    <w:rsid w:val="49060570"/>
    <w:rsid w:val="49201D5D"/>
    <w:rsid w:val="493D725B"/>
    <w:rsid w:val="4941625A"/>
    <w:rsid w:val="49494CF1"/>
    <w:rsid w:val="494B0A69"/>
    <w:rsid w:val="495212C9"/>
    <w:rsid w:val="49521BB7"/>
    <w:rsid w:val="49521DF7"/>
    <w:rsid w:val="495832D0"/>
    <w:rsid w:val="495A08D2"/>
    <w:rsid w:val="495A3A92"/>
    <w:rsid w:val="49675404"/>
    <w:rsid w:val="49685C41"/>
    <w:rsid w:val="4970227E"/>
    <w:rsid w:val="4972249A"/>
    <w:rsid w:val="497C50C6"/>
    <w:rsid w:val="498A5566"/>
    <w:rsid w:val="49925CE6"/>
    <w:rsid w:val="49937E48"/>
    <w:rsid w:val="49951CE4"/>
    <w:rsid w:val="49957F36"/>
    <w:rsid w:val="49A60395"/>
    <w:rsid w:val="49B44860"/>
    <w:rsid w:val="49B605D8"/>
    <w:rsid w:val="49BB5CAE"/>
    <w:rsid w:val="49BE56DF"/>
    <w:rsid w:val="49C35003"/>
    <w:rsid w:val="49C425C9"/>
    <w:rsid w:val="49C5081B"/>
    <w:rsid w:val="49CE49E1"/>
    <w:rsid w:val="49D42A05"/>
    <w:rsid w:val="49D547D7"/>
    <w:rsid w:val="49D85B46"/>
    <w:rsid w:val="49EB5DA8"/>
    <w:rsid w:val="49F12976"/>
    <w:rsid w:val="49F556E3"/>
    <w:rsid w:val="49F66C36"/>
    <w:rsid w:val="49FA6FB5"/>
    <w:rsid w:val="49FB248F"/>
    <w:rsid w:val="4A054B02"/>
    <w:rsid w:val="4A062BE2"/>
    <w:rsid w:val="4A0645A5"/>
    <w:rsid w:val="4A064990"/>
    <w:rsid w:val="4A0E4350"/>
    <w:rsid w:val="4A0F24CC"/>
    <w:rsid w:val="4A15226D"/>
    <w:rsid w:val="4A1C41B3"/>
    <w:rsid w:val="4A235542"/>
    <w:rsid w:val="4A2D63C1"/>
    <w:rsid w:val="4A3E05CE"/>
    <w:rsid w:val="4A431740"/>
    <w:rsid w:val="4A4C4A99"/>
    <w:rsid w:val="4A614E17"/>
    <w:rsid w:val="4A6E43CF"/>
    <w:rsid w:val="4A6F19F8"/>
    <w:rsid w:val="4A8204BA"/>
    <w:rsid w:val="4A842484"/>
    <w:rsid w:val="4A843D78"/>
    <w:rsid w:val="4A871F75"/>
    <w:rsid w:val="4A91694F"/>
    <w:rsid w:val="4A9775CC"/>
    <w:rsid w:val="4A996944"/>
    <w:rsid w:val="4A9F78A7"/>
    <w:rsid w:val="4AC22FAD"/>
    <w:rsid w:val="4ACA703F"/>
    <w:rsid w:val="4AD6623A"/>
    <w:rsid w:val="4ADB0B08"/>
    <w:rsid w:val="4ADE7029"/>
    <w:rsid w:val="4AE051E1"/>
    <w:rsid w:val="4AE20F59"/>
    <w:rsid w:val="4AEE78FE"/>
    <w:rsid w:val="4AFA6852"/>
    <w:rsid w:val="4AFF1B0B"/>
    <w:rsid w:val="4AFF7D5D"/>
    <w:rsid w:val="4B083050"/>
    <w:rsid w:val="4B0C20B7"/>
    <w:rsid w:val="4B0E7FA0"/>
    <w:rsid w:val="4B11183E"/>
    <w:rsid w:val="4B1650A7"/>
    <w:rsid w:val="4B176C9E"/>
    <w:rsid w:val="4B201A81"/>
    <w:rsid w:val="4B21533E"/>
    <w:rsid w:val="4B321765"/>
    <w:rsid w:val="4B38479C"/>
    <w:rsid w:val="4B45261C"/>
    <w:rsid w:val="4B4C64D1"/>
    <w:rsid w:val="4B562751"/>
    <w:rsid w:val="4B5F07FC"/>
    <w:rsid w:val="4B5F25AA"/>
    <w:rsid w:val="4B645E12"/>
    <w:rsid w:val="4B6D3B8C"/>
    <w:rsid w:val="4B722E07"/>
    <w:rsid w:val="4B7E73D2"/>
    <w:rsid w:val="4B82443D"/>
    <w:rsid w:val="4B8261CC"/>
    <w:rsid w:val="4B8C4F9B"/>
    <w:rsid w:val="4B9505BB"/>
    <w:rsid w:val="4B9713FE"/>
    <w:rsid w:val="4B9D3A4B"/>
    <w:rsid w:val="4B9D731A"/>
    <w:rsid w:val="4BAF3531"/>
    <w:rsid w:val="4BB23A34"/>
    <w:rsid w:val="4BB24DCF"/>
    <w:rsid w:val="4BB55B95"/>
    <w:rsid w:val="4BBE1D76"/>
    <w:rsid w:val="4BC61411"/>
    <w:rsid w:val="4BCD2F5C"/>
    <w:rsid w:val="4BD72A88"/>
    <w:rsid w:val="4BDF193C"/>
    <w:rsid w:val="4BE07B8E"/>
    <w:rsid w:val="4BE331DB"/>
    <w:rsid w:val="4BE815BE"/>
    <w:rsid w:val="4BF07AB7"/>
    <w:rsid w:val="4BF266BC"/>
    <w:rsid w:val="4BF47196"/>
    <w:rsid w:val="4BF722AF"/>
    <w:rsid w:val="4BF90C50"/>
    <w:rsid w:val="4BFE0015"/>
    <w:rsid w:val="4C060D8D"/>
    <w:rsid w:val="4C083EA6"/>
    <w:rsid w:val="4C162F39"/>
    <w:rsid w:val="4C1913FC"/>
    <w:rsid w:val="4C235CCD"/>
    <w:rsid w:val="4C250481"/>
    <w:rsid w:val="4C431ECB"/>
    <w:rsid w:val="4C46376A"/>
    <w:rsid w:val="4C4A325A"/>
    <w:rsid w:val="4C4C709D"/>
    <w:rsid w:val="4C4E08FA"/>
    <w:rsid w:val="4C5212D9"/>
    <w:rsid w:val="4C52210E"/>
    <w:rsid w:val="4C6267F5"/>
    <w:rsid w:val="4C644AC9"/>
    <w:rsid w:val="4C6628BB"/>
    <w:rsid w:val="4C6C1422"/>
    <w:rsid w:val="4C6F0F12"/>
    <w:rsid w:val="4C6F4A6E"/>
    <w:rsid w:val="4C6F6251"/>
    <w:rsid w:val="4C725B79"/>
    <w:rsid w:val="4C751A07"/>
    <w:rsid w:val="4C7E0C1B"/>
    <w:rsid w:val="4C811B13"/>
    <w:rsid w:val="4C820C46"/>
    <w:rsid w:val="4C866CD0"/>
    <w:rsid w:val="4C911161"/>
    <w:rsid w:val="4C9E5360"/>
    <w:rsid w:val="4CA85FE1"/>
    <w:rsid w:val="4CAC181F"/>
    <w:rsid w:val="4CB434E9"/>
    <w:rsid w:val="4CCF5402"/>
    <w:rsid w:val="4CD34FFD"/>
    <w:rsid w:val="4CD46FC7"/>
    <w:rsid w:val="4CDF1BF4"/>
    <w:rsid w:val="4CE865CF"/>
    <w:rsid w:val="4CE94821"/>
    <w:rsid w:val="4CF03E01"/>
    <w:rsid w:val="4CF1234C"/>
    <w:rsid w:val="4CF140ED"/>
    <w:rsid w:val="4CF8133B"/>
    <w:rsid w:val="4CFA6A2E"/>
    <w:rsid w:val="4CFD6016"/>
    <w:rsid w:val="4CFE5DF2"/>
    <w:rsid w:val="4D015654"/>
    <w:rsid w:val="4D046B6A"/>
    <w:rsid w:val="4D052719"/>
    <w:rsid w:val="4D0F4589"/>
    <w:rsid w:val="4D1052FB"/>
    <w:rsid w:val="4D115B26"/>
    <w:rsid w:val="4D192A27"/>
    <w:rsid w:val="4D275D2A"/>
    <w:rsid w:val="4D2C281B"/>
    <w:rsid w:val="4D2E7782"/>
    <w:rsid w:val="4D2F7F67"/>
    <w:rsid w:val="4D303ED9"/>
    <w:rsid w:val="4D3B1063"/>
    <w:rsid w:val="4D3F6B37"/>
    <w:rsid w:val="4D471547"/>
    <w:rsid w:val="4D4B4387"/>
    <w:rsid w:val="4D896004"/>
    <w:rsid w:val="4D8E033F"/>
    <w:rsid w:val="4D901140"/>
    <w:rsid w:val="4D924B60"/>
    <w:rsid w:val="4D9C6CEF"/>
    <w:rsid w:val="4D9F75D5"/>
    <w:rsid w:val="4DA05357"/>
    <w:rsid w:val="4DA66690"/>
    <w:rsid w:val="4DAB5F7A"/>
    <w:rsid w:val="4DB34588"/>
    <w:rsid w:val="4DCC4DE8"/>
    <w:rsid w:val="4DD025BF"/>
    <w:rsid w:val="4DD035E8"/>
    <w:rsid w:val="4DD0778F"/>
    <w:rsid w:val="4DD51249"/>
    <w:rsid w:val="4DE159C8"/>
    <w:rsid w:val="4DE44FDA"/>
    <w:rsid w:val="4DE44FE8"/>
    <w:rsid w:val="4DE570BA"/>
    <w:rsid w:val="4DEB281B"/>
    <w:rsid w:val="4DEF230B"/>
    <w:rsid w:val="4DFD12E4"/>
    <w:rsid w:val="4DFE60AA"/>
    <w:rsid w:val="4E013DEC"/>
    <w:rsid w:val="4E07740D"/>
    <w:rsid w:val="4E094A4F"/>
    <w:rsid w:val="4E125FF9"/>
    <w:rsid w:val="4E157C07"/>
    <w:rsid w:val="4E1E0E3A"/>
    <w:rsid w:val="4E1E674C"/>
    <w:rsid w:val="4E2F2A28"/>
    <w:rsid w:val="4E302765"/>
    <w:rsid w:val="4E372D43"/>
    <w:rsid w:val="4E3B0E38"/>
    <w:rsid w:val="4E406854"/>
    <w:rsid w:val="4E485577"/>
    <w:rsid w:val="4E4C150B"/>
    <w:rsid w:val="4E503333"/>
    <w:rsid w:val="4E520625"/>
    <w:rsid w:val="4E73284D"/>
    <w:rsid w:val="4E775E5C"/>
    <w:rsid w:val="4E7D6670"/>
    <w:rsid w:val="4E7F1076"/>
    <w:rsid w:val="4E7F2535"/>
    <w:rsid w:val="4E8326E8"/>
    <w:rsid w:val="4E8D38D2"/>
    <w:rsid w:val="4E8D3D6B"/>
    <w:rsid w:val="4E914C57"/>
    <w:rsid w:val="4E915170"/>
    <w:rsid w:val="4E9361D0"/>
    <w:rsid w:val="4E9E207C"/>
    <w:rsid w:val="4EA10A05"/>
    <w:rsid w:val="4EA5021E"/>
    <w:rsid w:val="4EA618A8"/>
    <w:rsid w:val="4EB04660"/>
    <w:rsid w:val="4EBA1DA5"/>
    <w:rsid w:val="4EBA6CDD"/>
    <w:rsid w:val="4EC15329"/>
    <w:rsid w:val="4EC310F6"/>
    <w:rsid w:val="4EC430AC"/>
    <w:rsid w:val="4EC8786E"/>
    <w:rsid w:val="4ED65074"/>
    <w:rsid w:val="4ED77543"/>
    <w:rsid w:val="4EDB288F"/>
    <w:rsid w:val="4EDB463D"/>
    <w:rsid w:val="4EDD50CC"/>
    <w:rsid w:val="4EDD54D9"/>
    <w:rsid w:val="4EE03A01"/>
    <w:rsid w:val="4EE658D3"/>
    <w:rsid w:val="4EE80B08"/>
    <w:rsid w:val="4EEB7A35"/>
    <w:rsid w:val="4EF30FEB"/>
    <w:rsid w:val="4EF456FF"/>
    <w:rsid w:val="4F035942"/>
    <w:rsid w:val="4F1162B1"/>
    <w:rsid w:val="4F2064F4"/>
    <w:rsid w:val="4F2928F1"/>
    <w:rsid w:val="4F33583D"/>
    <w:rsid w:val="4F361873"/>
    <w:rsid w:val="4F363F69"/>
    <w:rsid w:val="4F3816D0"/>
    <w:rsid w:val="4F3A40BE"/>
    <w:rsid w:val="4F3B5E61"/>
    <w:rsid w:val="4F3D70A6"/>
    <w:rsid w:val="4F3E29A2"/>
    <w:rsid w:val="4F416B96"/>
    <w:rsid w:val="4F4A531F"/>
    <w:rsid w:val="4F506DD9"/>
    <w:rsid w:val="4F5166AD"/>
    <w:rsid w:val="4F55619D"/>
    <w:rsid w:val="4F5A0C55"/>
    <w:rsid w:val="4F5D5F36"/>
    <w:rsid w:val="4F6B5B45"/>
    <w:rsid w:val="4F6D3DC4"/>
    <w:rsid w:val="4F71122F"/>
    <w:rsid w:val="4F716D4B"/>
    <w:rsid w:val="4F7C7BCE"/>
    <w:rsid w:val="4F895E47"/>
    <w:rsid w:val="4F8E1092"/>
    <w:rsid w:val="4F8F089C"/>
    <w:rsid w:val="4F9320F2"/>
    <w:rsid w:val="4F952A3E"/>
    <w:rsid w:val="4F9D5D96"/>
    <w:rsid w:val="4FA90AFA"/>
    <w:rsid w:val="4FA9337C"/>
    <w:rsid w:val="4FA95833"/>
    <w:rsid w:val="4FAB2261"/>
    <w:rsid w:val="4FB01626"/>
    <w:rsid w:val="4FBC76DA"/>
    <w:rsid w:val="4FBD3D43"/>
    <w:rsid w:val="4FC11067"/>
    <w:rsid w:val="4FC6709B"/>
    <w:rsid w:val="4FC7696F"/>
    <w:rsid w:val="4FD23C92"/>
    <w:rsid w:val="4FD65219"/>
    <w:rsid w:val="4FD714B4"/>
    <w:rsid w:val="4FD96F6C"/>
    <w:rsid w:val="4FDD2C8D"/>
    <w:rsid w:val="4FEA290B"/>
    <w:rsid w:val="4FEA5CC0"/>
    <w:rsid w:val="4FF34E2C"/>
    <w:rsid w:val="500367AB"/>
    <w:rsid w:val="50036A16"/>
    <w:rsid w:val="50083D70"/>
    <w:rsid w:val="500B71A4"/>
    <w:rsid w:val="5015592D"/>
    <w:rsid w:val="501716A5"/>
    <w:rsid w:val="501F1A47"/>
    <w:rsid w:val="50245C70"/>
    <w:rsid w:val="50265D8C"/>
    <w:rsid w:val="502A587C"/>
    <w:rsid w:val="502B33A2"/>
    <w:rsid w:val="502E540A"/>
    <w:rsid w:val="502E69EF"/>
    <w:rsid w:val="50306C0B"/>
    <w:rsid w:val="50316871"/>
    <w:rsid w:val="5038161B"/>
    <w:rsid w:val="503E1327"/>
    <w:rsid w:val="50485D02"/>
    <w:rsid w:val="504B57F2"/>
    <w:rsid w:val="504B7CB1"/>
    <w:rsid w:val="50520696"/>
    <w:rsid w:val="5059611B"/>
    <w:rsid w:val="5059733B"/>
    <w:rsid w:val="505F4DFA"/>
    <w:rsid w:val="506623E1"/>
    <w:rsid w:val="5066262C"/>
    <w:rsid w:val="506B5096"/>
    <w:rsid w:val="506D7517"/>
    <w:rsid w:val="507B0FBA"/>
    <w:rsid w:val="509727E6"/>
    <w:rsid w:val="50A76ECD"/>
    <w:rsid w:val="50AA13DA"/>
    <w:rsid w:val="50B60AA4"/>
    <w:rsid w:val="50B82E88"/>
    <w:rsid w:val="50C8299F"/>
    <w:rsid w:val="50D24290"/>
    <w:rsid w:val="50E27A22"/>
    <w:rsid w:val="50E30E54"/>
    <w:rsid w:val="50E9322E"/>
    <w:rsid w:val="50EB104B"/>
    <w:rsid w:val="50EF1EBE"/>
    <w:rsid w:val="5100038B"/>
    <w:rsid w:val="510065DD"/>
    <w:rsid w:val="511026B1"/>
    <w:rsid w:val="5118474E"/>
    <w:rsid w:val="51195743"/>
    <w:rsid w:val="5119769F"/>
    <w:rsid w:val="511F1647"/>
    <w:rsid w:val="5135188C"/>
    <w:rsid w:val="51473A67"/>
    <w:rsid w:val="5153670D"/>
    <w:rsid w:val="51591FE0"/>
    <w:rsid w:val="51593D53"/>
    <w:rsid w:val="515B7CB7"/>
    <w:rsid w:val="515F1555"/>
    <w:rsid w:val="5160701E"/>
    <w:rsid w:val="516B09E4"/>
    <w:rsid w:val="516C7D38"/>
    <w:rsid w:val="51703746"/>
    <w:rsid w:val="51711289"/>
    <w:rsid w:val="51752B27"/>
    <w:rsid w:val="517814A1"/>
    <w:rsid w:val="517A4A00"/>
    <w:rsid w:val="51814117"/>
    <w:rsid w:val="519017FF"/>
    <w:rsid w:val="519428AD"/>
    <w:rsid w:val="519531C9"/>
    <w:rsid w:val="5196484B"/>
    <w:rsid w:val="519B00B4"/>
    <w:rsid w:val="519C56EA"/>
    <w:rsid w:val="51A0391C"/>
    <w:rsid w:val="51A21442"/>
    <w:rsid w:val="51A60F32"/>
    <w:rsid w:val="51AC22C1"/>
    <w:rsid w:val="51AE7AED"/>
    <w:rsid w:val="51B2084D"/>
    <w:rsid w:val="51B33605"/>
    <w:rsid w:val="51B65D44"/>
    <w:rsid w:val="51B8376E"/>
    <w:rsid w:val="51BD44CE"/>
    <w:rsid w:val="51C8534D"/>
    <w:rsid w:val="51D05FAF"/>
    <w:rsid w:val="51D11D27"/>
    <w:rsid w:val="51D178F4"/>
    <w:rsid w:val="51D811BD"/>
    <w:rsid w:val="51E101BC"/>
    <w:rsid w:val="51E14C7B"/>
    <w:rsid w:val="51E7154B"/>
    <w:rsid w:val="51E8779D"/>
    <w:rsid w:val="51EE53EF"/>
    <w:rsid w:val="51EE693C"/>
    <w:rsid w:val="51F92090"/>
    <w:rsid w:val="520C47A2"/>
    <w:rsid w:val="520D408B"/>
    <w:rsid w:val="521128EA"/>
    <w:rsid w:val="521A0A23"/>
    <w:rsid w:val="521A4E33"/>
    <w:rsid w:val="521A722A"/>
    <w:rsid w:val="52200ADC"/>
    <w:rsid w:val="522219CF"/>
    <w:rsid w:val="522358DC"/>
    <w:rsid w:val="52263E21"/>
    <w:rsid w:val="52313C54"/>
    <w:rsid w:val="52326C6A"/>
    <w:rsid w:val="52350508"/>
    <w:rsid w:val="52367F43"/>
    <w:rsid w:val="523F4825"/>
    <w:rsid w:val="525210BA"/>
    <w:rsid w:val="5254718A"/>
    <w:rsid w:val="525766D1"/>
    <w:rsid w:val="52592449"/>
    <w:rsid w:val="525A1D1D"/>
    <w:rsid w:val="525A3ACB"/>
    <w:rsid w:val="525C7B7F"/>
    <w:rsid w:val="525E180D"/>
    <w:rsid w:val="525E6925"/>
    <w:rsid w:val="52607826"/>
    <w:rsid w:val="526543B5"/>
    <w:rsid w:val="526A10FB"/>
    <w:rsid w:val="526A22B7"/>
    <w:rsid w:val="526A6404"/>
    <w:rsid w:val="52702BEE"/>
    <w:rsid w:val="52754DA9"/>
    <w:rsid w:val="52782ABF"/>
    <w:rsid w:val="527C636B"/>
    <w:rsid w:val="528851B6"/>
    <w:rsid w:val="528C2CE6"/>
    <w:rsid w:val="5298410B"/>
    <w:rsid w:val="52A336C4"/>
    <w:rsid w:val="52A35472"/>
    <w:rsid w:val="52A92354"/>
    <w:rsid w:val="52B570A1"/>
    <w:rsid w:val="52BD3BF0"/>
    <w:rsid w:val="52C06024"/>
    <w:rsid w:val="52CC2C1B"/>
    <w:rsid w:val="52CF258D"/>
    <w:rsid w:val="52D11560"/>
    <w:rsid w:val="52D93C27"/>
    <w:rsid w:val="52E81ED5"/>
    <w:rsid w:val="52E950D3"/>
    <w:rsid w:val="52F35302"/>
    <w:rsid w:val="52F50E23"/>
    <w:rsid w:val="52F5260A"/>
    <w:rsid w:val="530028C4"/>
    <w:rsid w:val="53012C24"/>
    <w:rsid w:val="53075C71"/>
    <w:rsid w:val="530F533C"/>
    <w:rsid w:val="53121504"/>
    <w:rsid w:val="531D3362"/>
    <w:rsid w:val="531F524E"/>
    <w:rsid w:val="53285977"/>
    <w:rsid w:val="532A0652"/>
    <w:rsid w:val="532E7431"/>
    <w:rsid w:val="53316F22"/>
    <w:rsid w:val="53334A48"/>
    <w:rsid w:val="533430E0"/>
    <w:rsid w:val="53354511"/>
    <w:rsid w:val="533E519B"/>
    <w:rsid w:val="53447000"/>
    <w:rsid w:val="53585028"/>
    <w:rsid w:val="535A7AF1"/>
    <w:rsid w:val="53654E1D"/>
    <w:rsid w:val="536C693B"/>
    <w:rsid w:val="536D035F"/>
    <w:rsid w:val="536F17F8"/>
    <w:rsid w:val="53755060"/>
    <w:rsid w:val="537948D8"/>
    <w:rsid w:val="537E6015"/>
    <w:rsid w:val="53865F29"/>
    <w:rsid w:val="5386726D"/>
    <w:rsid w:val="539220B7"/>
    <w:rsid w:val="53964FD7"/>
    <w:rsid w:val="53A07C03"/>
    <w:rsid w:val="53A94D0A"/>
    <w:rsid w:val="53AB21BA"/>
    <w:rsid w:val="53B50BFF"/>
    <w:rsid w:val="53B7065F"/>
    <w:rsid w:val="53BA6F17"/>
    <w:rsid w:val="53BB4A3D"/>
    <w:rsid w:val="53BC47B1"/>
    <w:rsid w:val="53BD0A1B"/>
    <w:rsid w:val="53BD6A07"/>
    <w:rsid w:val="53C92B81"/>
    <w:rsid w:val="53CB2ED2"/>
    <w:rsid w:val="53D00836"/>
    <w:rsid w:val="53D37FD9"/>
    <w:rsid w:val="53D61877"/>
    <w:rsid w:val="53D73E95"/>
    <w:rsid w:val="53DD2AE1"/>
    <w:rsid w:val="53E06252"/>
    <w:rsid w:val="53E45D42"/>
    <w:rsid w:val="53E775E0"/>
    <w:rsid w:val="53E93358"/>
    <w:rsid w:val="53EB052F"/>
    <w:rsid w:val="53EB5322"/>
    <w:rsid w:val="53EE03A1"/>
    <w:rsid w:val="53F77C31"/>
    <w:rsid w:val="53FA37B7"/>
    <w:rsid w:val="53FD5C75"/>
    <w:rsid w:val="54014B46"/>
    <w:rsid w:val="54042586"/>
    <w:rsid w:val="54063F0A"/>
    <w:rsid w:val="54085ED4"/>
    <w:rsid w:val="54091C4C"/>
    <w:rsid w:val="541008E5"/>
    <w:rsid w:val="541A5C08"/>
    <w:rsid w:val="541C7148"/>
    <w:rsid w:val="541D47B6"/>
    <w:rsid w:val="54291292"/>
    <w:rsid w:val="542E520F"/>
    <w:rsid w:val="544613ED"/>
    <w:rsid w:val="54613836"/>
    <w:rsid w:val="546926EB"/>
    <w:rsid w:val="546B7950"/>
    <w:rsid w:val="54703A7A"/>
    <w:rsid w:val="547442DC"/>
    <w:rsid w:val="54804F10"/>
    <w:rsid w:val="54817A35"/>
    <w:rsid w:val="54843081"/>
    <w:rsid w:val="548B0CBA"/>
    <w:rsid w:val="548D02C3"/>
    <w:rsid w:val="548D0343"/>
    <w:rsid w:val="549031A3"/>
    <w:rsid w:val="54907CD7"/>
    <w:rsid w:val="549B719D"/>
    <w:rsid w:val="54A13C33"/>
    <w:rsid w:val="54A31759"/>
    <w:rsid w:val="54B01AED"/>
    <w:rsid w:val="54B262B5"/>
    <w:rsid w:val="54B65BF8"/>
    <w:rsid w:val="54BA7B42"/>
    <w:rsid w:val="54C372D7"/>
    <w:rsid w:val="54C47921"/>
    <w:rsid w:val="54C7098E"/>
    <w:rsid w:val="54CA0468"/>
    <w:rsid w:val="54CA13DC"/>
    <w:rsid w:val="54CB0CB0"/>
    <w:rsid w:val="54CB1D6C"/>
    <w:rsid w:val="54D062C6"/>
    <w:rsid w:val="54D264E2"/>
    <w:rsid w:val="54D538DD"/>
    <w:rsid w:val="54D541E2"/>
    <w:rsid w:val="54D656F3"/>
    <w:rsid w:val="54D84C77"/>
    <w:rsid w:val="54DE6C35"/>
    <w:rsid w:val="54E46420"/>
    <w:rsid w:val="54EB4EAE"/>
    <w:rsid w:val="54F14BBA"/>
    <w:rsid w:val="54F21CD6"/>
    <w:rsid w:val="54FB14A2"/>
    <w:rsid w:val="55003249"/>
    <w:rsid w:val="55050666"/>
    <w:rsid w:val="55061F0C"/>
    <w:rsid w:val="5507618C"/>
    <w:rsid w:val="550C383A"/>
    <w:rsid w:val="550F741B"/>
    <w:rsid w:val="55125425"/>
    <w:rsid w:val="551550FD"/>
    <w:rsid w:val="55164621"/>
    <w:rsid w:val="551674F3"/>
    <w:rsid w:val="5520724E"/>
    <w:rsid w:val="55287EB0"/>
    <w:rsid w:val="552E339B"/>
    <w:rsid w:val="55313209"/>
    <w:rsid w:val="55362C2B"/>
    <w:rsid w:val="553B4087"/>
    <w:rsid w:val="553C29B5"/>
    <w:rsid w:val="55451AA6"/>
    <w:rsid w:val="55535AA4"/>
    <w:rsid w:val="55540CA5"/>
    <w:rsid w:val="55545149"/>
    <w:rsid w:val="55624BA4"/>
    <w:rsid w:val="5563713A"/>
    <w:rsid w:val="556F3D31"/>
    <w:rsid w:val="55717AA9"/>
    <w:rsid w:val="557D0856"/>
    <w:rsid w:val="557D650D"/>
    <w:rsid w:val="557E1FD6"/>
    <w:rsid w:val="558212FA"/>
    <w:rsid w:val="55821CB6"/>
    <w:rsid w:val="55823A64"/>
    <w:rsid w:val="558B7ED9"/>
    <w:rsid w:val="55920A13"/>
    <w:rsid w:val="55A03EEB"/>
    <w:rsid w:val="55A75279"/>
    <w:rsid w:val="55A82D9F"/>
    <w:rsid w:val="55B32AE8"/>
    <w:rsid w:val="55B55BE8"/>
    <w:rsid w:val="55C20305"/>
    <w:rsid w:val="55C37BD9"/>
    <w:rsid w:val="55C41D06"/>
    <w:rsid w:val="55D53DAD"/>
    <w:rsid w:val="55D63DB0"/>
    <w:rsid w:val="55D911AB"/>
    <w:rsid w:val="55DC7190"/>
    <w:rsid w:val="55EE10FA"/>
    <w:rsid w:val="55F363EF"/>
    <w:rsid w:val="56040631"/>
    <w:rsid w:val="5605217F"/>
    <w:rsid w:val="5612303A"/>
    <w:rsid w:val="561D45BC"/>
    <w:rsid w:val="561F5757"/>
    <w:rsid w:val="56206DD9"/>
    <w:rsid w:val="56224088"/>
    <w:rsid w:val="562379DC"/>
    <w:rsid w:val="56270C73"/>
    <w:rsid w:val="562763BA"/>
    <w:rsid w:val="562E3A97"/>
    <w:rsid w:val="5637484F"/>
    <w:rsid w:val="56376979"/>
    <w:rsid w:val="5647352F"/>
    <w:rsid w:val="56476F17"/>
    <w:rsid w:val="56483449"/>
    <w:rsid w:val="564873DB"/>
    <w:rsid w:val="564B3E56"/>
    <w:rsid w:val="564B654C"/>
    <w:rsid w:val="564E56F5"/>
    <w:rsid w:val="564E5A63"/>
    <w:rsid w:val="565D747B"/>
    <w:rsid w:val="566D75A0"/>
    <w:rsid w:val="567F4719"/>
    <w:rsid w:val="56832A59"/>
    <w:rsid w:val="568C166D"/>
    <w:rsid w:val="568E1018"/>
    <w:rsid w:val="568F454D"/>
    <w:rsid w:val="56936846"/>
    <w:rsid w:val="5697353F"/>
    <w:rsid w:val="569A0E15"/>
    <w:rsid w:val="569B3F1E"/>
    <w:rsid w:val="56A17F1A"/>
    <w:rsid w:val="56A874FB"/>
    <w:rsid w:val="56AB2B47"/>
    <w:rsid w:val="56AE24E1"/>
    <w:rsid w:val="56B41E25"/>
    <w:rsid w:val="56BC2FA6"/>
    <w:rsid w:val="56C43C09"/>
    <w:rsid w:val="56CF23A2"/>
    <w:rsid w:val="56D43325"/>
    <w:rsid w:val="56D46542"/>
    <w:rsid w:val="56D77DE0"/>
    <w:rsid w:val="56DA638F"/>
    <w:rsid w:val="56E26E31"/>
    <w:rsid w:val="56E56F2C"/>
    <w:rsid w:val="56E62D01"/>
    <w:rsid w:val="56E746A8"/>
    <w:rsid w:val="56F07F5E"/>
    <w:rsid w:val="56FC15AA"/>
    <w:rsid w:val="57033F4C"/>
    <w:rsid w:val="570606C5"/>
    <w:rsid w:val="570A0726"/>
    <w:rsid w:val="57104840"/>
    <w:rsid w:val="571460B2"/>
    <w:rsid w:val="57154464"/>
    <w:rsid w:val="57186C51"/>
    <w:rsid w:val="571F79DD"/>
    <w:rsid w:val="5724414C"/>
    <w:rsid w:val="572B1EDA"/>
    <w:rsid w:val="572D45B1"/>
    <w:rsid w:val="5738217C"/>
    <w:rsid w:val="573B036F"/>
    <w:rsid w:val="573D5536"/>
    <w:rsid w:val="574C6783"/>
    <w:rsid w:val="5750311C"/>
    <w:rsid w:val="57521214"/>
    <w:rsid w:val="575D6537"/>
    <w:rsid w:val="57687327"/>
    <w:rsid w:val="57763155"/>
    <w:rsid w:val="57780304"/>
    <w:rsid w:val="577878B7"/>
    <w:rsid w:val="57830DCE"/>
    <w:rsid w:val="5785783C"/>
    <w:rsid w:val="5786176C"/>
    <w:rsid w:val="578A7FF9"/>
    <w:rsid w:val="578D66F1"/>
    <w:rsid w:val="57925AB5"/>
    <w:rsid w:val="579637F7"/>
    <w:rsid w:val="57A05955"/>
    <w:rsid w:val="57A203EE"/>
    <w:rsid w:val="57A56736"/>
    <w:rsid w:val="57AA2F9C"/>
    <w:rsid w:val="57B46095"/>
    <w:rsid w:val="57CB10DD"/>
    <w:rsid w:val="57D00AE1"/>
    <w:rsid w:val="57DE77E2"/>
    <w:rsid w:val="57E211B0"/>
    <w:rsid w:val="57E25E7D"/>
    <w:rsid w:val="57E97DCB"/>
    <w:rsid w:val="57F66044"/>
    <w:rsid w:val="57FA6563"/>
    <w:rsid w:val="57FD73D2"/>
    <w:rsid w:val="58031150"/>
    <w:rsid w:val="58084D42"/>
    <w:rsid w:val="58086C85"/>
    <w:rsid w:val="580C0D16"/>
    <w:rsid w:val="580C10D2"/>
    <w:rsid w:val="581F1A3E"/>
    <w:rsid w:val="58281254"/>
    <w:rsid w:val="582901C7"/>
    <w:rsid w:val="582B03E3"/>
    <w:rsid w:val="583059FA"/>
    <w:rsid w:val="58334470"/>
    <w:rsid w:val="58354DBE"/>
    <w:rsid w:val="58360B36"/>
    <w:rsid w:val="583848AE"/>
    <w:rsid w:val="583B614D"/>
    <w:rsid w:val="58450D79"/>
    <w:rsid w:val="584E495E"/>
    <w:rsid w:val="584E686F"/>
    <w:rsid w:val="584F6927"/>
    <w:rsid w:val="58523BC2"/>
    <w:rsid w:val="586B6A32"/>
    <w:rsid w:val="586F0809"/>
    <w:rsid w:val="58704048"/>
    <w:rsid w:val="58722398"/>
    <w:rsid w:val="58733B38"/>
    <w:rsid w:val="58773E95"/>
    <w:rsid w:val="58792193"/>
    <w:rsid w:val="587E305F"/>
    <w:rsid w:val="58932D15"/>
    <w:rsid w:val="589B725C"/>
    <w:rsid w:val="589C308F"/>
    <w:rsid w:val="589C6BEB"/>
    <w:rsid w:val="58A12784"/>
    <w:rsid w:val="58A41F44"/>
    <w:rsid w:val="58AD2046"/>
    <w:rsid w:val="58B651C3"/>
    <w:rsid w:val="58B71C77"/>
    <w:rsid w:val="58B8346A"/>
    <w:rsid w:val="58B953FB"/>
    <w:rsid w:val="58C16652"/>
    <w:rsid w:val="58C26971"/>
    <w:rsid w:val="58C37CE7"/>
    <w:rsid w:val="58C40F36"/>
    <w:rsid w:val="58C425E6"/>
    <w:rsid w:val="58C70055"/>
    <w:rsid w:val="58CC57C1"/>
    <w:rsid w:val="58CE14BE"/>
    <w:rsid w:val="58D41BFE"/>
    <w:rsid w:val="58D5123D"/>
    <w:rsid w:val="58D740C7"/>
    <w:rsid w:val="58D97E3F"/>
    <w:rsid w:val="58DD66F6"/>
    <w:rsid w:val="58DF11CE"/>
    <w:rsid w:val="58E16CF4"/>
    <w:rsid w:val="58E40592"/>
    <w:rsid w:val="58E40DC6"/>
    <w:rsid w:val="58EF57BB"/>
    <w:rsid w:val="58F024EC"/>
    <w:rsid w:val="58F46A27"/>
    <w:rsid w:val="58F74787"/>
    <w:rsid w:val="58F9291C"/>
    <w:rsid w:val="58F9403E"/>
    <w:rsid w:val="58FA1B64"/>
    <w:rsid w:val="59103135"/>
    <w:rsid w:val="59241ECC"/>
    <w:rsid w:val="5929312B"/>
    <w:rsid w:val="592C7A90"/>
    <w:rsid w:val="59324971"/>
    <w:rsid w:val="59464DA9"/>
    <w:rsid w:val="595079D6"/>
    <w:rsid w:val="59605E6B"/>
    <w:rsid w:val="59690AA5"/>
    <w:rsid w:val="59692C3B"/>
    <w:rsid w:val="596C3B5C"/>
    <w:rsid w:val="597A4A53"/>
    <w:rsid w:val="5980475F"/>
    <w:rsid w:val="59832E50"/>
    <w:rsid w:val="599123AB"/>
    <w:rsid w:val="59926598"/>
    <w:rsid w:val="5995201E"/>
    <w:rsid w:val="599E6993"/>
    <w:rsid w:val="599F2E33"/>
    <w:rsid w:val="59AF0BA0"/>
    <w:rsid w:val="59AF294E"/>
    <w:rsid w:val="59B8701E"/>
    <w:rsid w:val="59C059F5"/>
    <w:rsid w:val="59C87D07"/>
    <w:rsid w:val="59CC578B"/>
    <w:rsid w:val="59CE42BE"/>
    <w:rsid w:val="59CE54CA"/>
    <w:rsid w:val="59CF2FF0"/>
    <w:rsid w:val="59D156F1"/>
    <w:rsid w:val="59D20F2F"/>
    <w:rsid w:val="59D37F64"/>
    <w:rsid w:val="59D42801"/>
    <w:rsid w:val="59D86349"/>
    <w:rsid w:val="59DB1995"/>
    <w:rsid w:val="59DB7BE7"/>
    <w:rsid w:val="59DE0E81"/>
    <w:rsid w:val="59E051FD"/>
    <w:rsid w:val="59E36A9C"/>
    <w:rsid w:val="59E51FD4"/>
    <w:rsid w:val="59E940B2"/>
    <w:rsid w:val="59F239A4"/>
    <w:rsid w:val="59F42A57"/>
    <w:rsid w:val="59F86D16"/>
    <w:rsid w:val="59FB195C"/>
    <w:rsid w:val="59FC5C49"/>
    <w:rsid w:val="5A026F22"/>
    <w:rsid w:val="5A030F2C"/>
    <w:rsid w:val="5A03234C"/>
    <w:rsid w:val="5A086892"/>
    <w:rsid w:val="5A0C1B4F"/>
    <w:rsid w:val="5A0C7F70"/>
    <w:rsid w:val="5A186745"/>
    <w:rsid w:val="5A21277B"/>
    <w:rsid w:val="5A2570B4"/>
    <w:rsid w:val="5A305A04"/>
    <w:rsid w:val="5A370BF8"/>
    <w:rsid w:val="5A3A2172"/>
    <w:rsid w:val="5A3D7F5A"/>
    <w:rsid w:val="5A3F053C"/>
    <w:rsid w:val="5A490FF5"/>
    <w:rsid w:val="5A4A2677"/>
    <w:rsid w:val="5A4B385C"/>
    <w:rsid w:val="5A4C342B"/>
    <w:rsid w:val="5A4D4A04"/>
    <w:rsid w:val="5A5567DA"/>
    <w:rsid w:val="5A5F2D50"/>
    <w:rsid w:val="5A663955"/>
    <w:rsid w:val="5A6951F3"/>
    <w:rsid w:val="5A6A494D"/>
    <w:rsid w:val="5A70776D"/>
    <w:rsid w:val="5A782BA3"/>
    <w:rsid w:val="5A783688"/>
    <w:rsid w:val="5A7A6B4E"/>
    <w:rsid w:val="5A7A7400"/>
    <w:rsid w:val="5A845B89"/>
    <w:rsid w:val="5A873DF3"/>
    <w:rsid w:val="5A875C79"/>
    <w:rsid w:val="5A8E616B"/>
    <w:rsid w:val="5A8F648D"/>
    <w:rsid w:val="5A955FE8"/>
    <w:rsid w:val="5A956BA8"/>
    <w:rsid w:val="5AA34C33"/>
    <w:rsid w:val="5AA53CDC"/>
    <w:rsid w:val="5AA754D4"/>
    <w:rsid w:val="5AA95E34"/>
    <w:rsid w:val="5AB0033E"/>
    <w:rsid w:val="5AB0186A"/>
    <w:rsid w:val="5AB126F6"/>
    <w:rsid w:val="5AB43666"/>
    <w:rsid w:val="5ABA1794"/>
    <w:rsid w:val="5ABA3D5E"/>
    <w:rsid w:val="5AC13357"/>
    <w:rsid w:val="5AC468CD"/>
    <w:rsid w:val="5AC60BF9"/>
    <w:rsid w:val="5AC801BE"/>
    <w:rsid w:val="5AC930A8"/>
    <w:rsid w:val="5ACC2605"/>
    <w:rsid w:val="5AD158D5"/>
    <w:rsid w:val="5AD805AF"/>
    <w:rsid w:val="5AE825BC"/>
    <w:rsid w:val="5AFD3790"/>
    <w:rsid w:val="5B0100B5"/>
    <w:rsid w:val="5B0171D9"/>
    <w:rsid w:val="5B047610"/>
    <w:rsid w:val="5B0D2695"/>
    <w:rsid w:val="5B184523"/>
    <w:rsid w:val="5B1C0ABD"/>
    <w:rsid w:val="5B1C29E7"/>
    <w:rsid w:val="5B1E5C59"/>
    <w:rsid w:val="5B3C6463"/>
    <w:rsid w:val="5B3E21DC"/>
    <w:rsid w:val="5B3F3D9E"/>
    <w:rsid w:val="5B4377F2"/>
    <w:rsid w:val="5B450E57"/>
    <w:rsid w:val="5B557525"/>
    <w:rsid w:val="5B5E63DA"/>
    <w:rsid w:val="5B5F3C86"/>
    <w:rsid w:val="5B6B6D49"/>
    <w:rsid w:val="5B736872"/>
    <w:rsid w:val="5B78143A"/>
    <w:rsid w:val="5B7B71B5"/>
    <w:rsid w:val="5B8A055A"/>
    <w:rsid w:val="5B8A3673"/>
    <w:rsid w:val="5B8B6B64"/>
    <w:rsid w:val="5B8C20E6"/>
    <w:rsid w:val="5B8F6EDB"/>
    <w:rsid w:val="5B9E2C7A"/>
    <w:rsid w:val="5BA364E3"/>
    <w:rsid w:val="5BA92975"/>
    <w:rsid w:val="5BB560E5"/>
    <w:rsid w:val="5BB6101F"/>
    <w:rsid w:val="5BB934F7"/>
    <w:rsid w:val="5BC24842"/>
    <w:rsid w:val="5BCA610C"/>
    <w:rsid w:val="5BD60A12"/>
    <w:rsid w:val="5BDB6196"/>
    <w:rsid w:val="5BDC4422"/>
    <w:rsid w:val="5BDE576D"/>
    <w:rsid w:val="5BE014E5"/>
    <w:rsid w:val="5BE53819"/>
    <w:rsid w:val="5BE66CE8"/>
    <w:rsid w:val="5BF36001"/>
    <w:rsid w:val="5BF45597"/>
    <w:rsid w:val="5BF57A15"/>
    <w:rsid w:val="5BFA6C89"/>
    <w:rsid w:val="5BFD5A93"/>
    <w:rsid w:val="5C052CF9"/>
    <w:rsid w:val="5C0D7E00"/>
    <w:rsid w:val="5C0E6052"/>
    <w:rsid w:val="5C0F5926"/>
    <w:rsid w:val="5C1349BA"/>
    <w:rsid w:val="5C1B70F8"/>
    <w:rsid w:val="5C1E200D"/>
    <w:rsid w:val="5C292E8C"/>
    <w:rsid w:val="5C2A09B2"/>
    <w:rsid w:val="5C2A2760"/>
    <w:rsid w:val="5C2D6D05"/>
    <w:rsid w:val="5C4035E0"/>
    <w:rsid w:val="5C423F4D"/>
    <w:rsid w:val="5C427AAA"/>
    <w:rsid w:val="5C4C6B7A"/>
    <w:rsid w:val="5C606182"/>
    <w:rsid w:val="5C6743AA"/>
    <w:rsid w:val="5C6A4707"/>
    <w:rsid w:val="5C6A7000"/>
    <w:rsid w:val="5C6F72BA"/>
    <w:rsid w:val="5C7120A1"/>
    <w:rsid w:val="5C7B120D"/>
    <w:rsid w:val="5C814A76"/>
    <w:rsid w:val="5C814E0C"/>
    <w:rsid w:val="5C815C38"/>
    <w:rsid w:val="5C8C51C9"/>
    <w:rsid w:val="5C910216"/>
    <w:rsid w:val="5C9379BB"/>
    <w:rsid w:val="5C9F16F8"/>
    <w:rsid w:val="5CA6628A"/>
    <w:rsid w:val="5CA74012"/>
    <w:rsid w:val="5CA949CF"/>
    <w:rsid w:val="5CAC7619"/>
    <w:rsid w:val="5CBA3AE4"/>
    <w:rsid w:val="5CBD1826"/>
    <w:rsid w:val="5CC2508E"/>
    <w:rsid w:val="5CC50664"/>
    <w:rsid w:val="5CCD384C"/>
    <w:rsid w:val="5CD16901"/>
    <w:rsid w:val="5CD43647"/>
    <w:rsid w:val="5CD71B11"/>
    <w:rsid w:val="5CDA167E"/>
    <w:rsid w:val="5CDB6052"/>
    <w:rsid w:val="5CDC7EFE"/>
    <w:rsid w:val="5CE13766"/>
    <w:rsid w:val="5CE648D9"/>
    <w:rsid w:val="5CE91B33"/>
    <w:rsid w:val="5CEA1082"/>
    <w:rsid w:val="5CED208C"/>
    <w:rsid w:val="5CED6A00"/>
    <w:rsid w:val="5CF039A9"/>
    <w:rsid w:val="5CF52D6E"/>
    <w:rsid w:val="5D011713"/>
    <w:rsid w:val="5D0126E9"/>
    <w:rsid w:val="5D07358D"/>
    <w:rsid w:val="5D07484F"/>
    <w:rsid w:val="5D0E120F"/>
    <w:rsid w:val="5D192D77"/>
    <w:rsid w:val="5D1E0517"/>
    <w:rsid w:val="5D21476B"/>
    <w:rsid w:val="5D2178A7"/>
    <w:rsid w:val="5D2F2858"/>
    <w:rsid w:val="5D332CF6"/>
    <w:rsid w:val="5D355860"/>
    <w:rsid w:val="5D375134"/>
    <w:rsid w:val="5D382C9F"/>
    <w:rsid w:val="5D3F223B"/>
    <w:rsid w:val="5D411720"/>
    <w:rsid w:val="5D443EF4"/>
    <w:rsid w:val="5D45063D"/>
    <w:rsid w:val="5D46181B"/>
    <w:rsid w:val="5D573A29"/>
    <w:rsid w:val="5D577585"/>
    <w:rsid w:val="5D5F6439"/>
    <w:rsid w:val="5D616F47"/>
    <w:rsid w:val="5D641CA2"/>
    <w:rsid w:val="5D68710B"/>
    <w:rsid w:val="5D6C63B9"/>
    <w:rsid w:val="5D6D4FFA"/>
    <w:rsid w:val="5D704AEA"/>
    <w:rsid w:val="5D755C5D"/>
    <w:rsid w:val="5D804D2D"/>
    <w:rsid w:val="5D825C06"/>
    <w:rsid w:val="5D85476A"/>
    <w:rsid w:val="5D864475"/>
    <w:rsid w:val="5D8A66D7"/>
    <w:rsid w:val="5D923E63"/>
    <w:rsid w:val="5D99194B"/>
    <w:rsid w:val="5D9C0A65"/>
    <w:rsid w:val="5D9F1247"/>
    <w:rsid w:val="5D9F2CDA"/>
    <w:rsid w:val="5DA550B9"/>
    <w:rsid w:val="5DAA3B58"/>
    <w:rsid w:val="5DAB7212"/>
    <w:rsid w:val="5DB1138B"/>
    <w:rsid w:val="5DB41195"/>
    <w:rsid w:val="5DB744C7"/>
    <w:rsid w:val="5DC57093"/>
    <w:rsid w:val="5DCB1D21"/>
    <w:rsid w:val="5DCC7579"/>
    <w:rsid w:val="5DCE5013"/>
    <w:rsid w:val="5DDB1F64"/>
    <w:rsid w:val="5DDE1A54"/>
    <w:rsid w:val="5DE24984"/>
    <w:rsid w:val="5DE60E93"/>
    <w:rsid w:val="5DED1C97"/>
    <w:rsid w:val="5DEE0B5E"/>
    <w:rsid w:val="5DF23751"/>
    <w:rsid w:val="5DF72281"/>
    <w:rsid w:val="5DFB39C7"/>
    <w:rsid w:val="5E010576"/>
    <w:rsid w:val="5E031134"/>
    <w:rsid w:val="5E096F7B"/>
    <w:rsid w:val="5E0F7E5F"/>
    <w:rsid w:val="5E125962"/>
    <w:rsid w:val="5E130B62"/>
    <w:rsid w:val="5E174F66"/>
    <w:rsid w:val="5E1D07CE"/>
    <w:rsid w:val="5E275C27"/>
    <w:rsid w:val="5E287173"/>
    <w:rsid w:val="5E2B00B3"/>
    <w:rsid w:val="5E2D4C22"/>
    <w:rsid w:val="5E2D792F"/>
    <w:rsid w:val="5E3322B6"/>
    <w:rsid w:val="5E361890"/>
    <w:rsid w:val="5E36568B"/>
    <w:rsid w:val="5E392465"/>
    <w:rsid w:val="5E3B2A02"/>
    <w:rsid w:val="5E4476A0"/>
    <w:rsid w:val="5E4618E9"/>
    <w:rsid w:val="5E4A0E97"/>
    <w:rsid w:val="5E4C526E"/>
    <w:rsid w:val="5E501595"/>
    <w:rsid w:val="5E563CE0"/>
    <w:rsid w:val="5E57653F"/>
    <w:rsid w:val="5E5A1063"/>
    <w:rsid w:val="5E651C42"/>
    <w:rsid w:val="5E652175"/>
    <w:rsid w:val="5E6A5007"/>
    <w:rsid w:val="5E6C7060"/>
    <w:rsid w:val="5E726013"/>
    <w:rsid w:val="5E79352B"/>
    <w:rsid w:val="5E82161D"/>
    <w:rsid w:val="5E8B63CF"/>
    <w:rsid w:val="5E8E5D24"/>
    <w:rsid w:val="5E9071F2"/>
    <w:rsid w:val="5E96232F"/>
    <w:rsid w:val="5E9640DD"/>
    <w:rsid w:val="5EA52572"/>
    <w:rsid w:val="5EAA77E0"/>
    <w:rsid w:val="5EAB566D"/>
    <w:rsid w:val="5EB104ED"/>
    <w:rsid w:val="5EC62C14"/>
    <w:rsid w:val="5ED2780B"/>
    <w:rsid w:val="5ED27A1D"/>
    <w:rsid w:val="5ED370DF"/>
    <w:rsid w:val="5ED42097"/>
    <w:rsid w:val="5ED56325"/>
    <w:rsid w:val="5ED846F5"/>
    <w:rsid w:val="5ED91D0C"/>
    <w:rsid w:val="5EE27DE4"/>
    <w:rsid w:val="5EE32919"/>
    <w:rsid w:val="5EE61254"/>
    <w:rsid w:val="5EE66E12"/>
    <w:rsid w:val="5EE74938"/>
    <w:rsid w:val="5EEC01A1"/>
    <w:rsid w:val="5EF01BDD"/>
    <w:rsid w:val="5EF76420"/>
    <w:rsid w:val="5EFA06C2"/>
    <w:rsid w:val="5EFC4888"/>
    <w:rsid w:val="5EFC6636"/>
    <w:rsid w:val="5EFD0600"/>
    <w:rsid w:val="5EFD415C"/>
    <w:rsid w:val="5F0C25F1"/>
    <w:rsid w:val="5F0D5766"/>
    <w:rsid w:val="5F0E45BB"/>
    <w:rsid w:val="5F0F153E"/>
    <w:rsid w:val="5F110B14"/>
    <w:rsid w:val="5F12370A"/>
    <w:rsid w:val="5F1377E4"/>
    <w:rsid w:val="5F2B4BC0"/>
    <w:rsid w:val="5F2B5BCA"/>
    <w:rsid w:val="5F3816D6"/>
    <w:rsid w:val="5F3A53B0"/>
    <w:rsid w:val="5F41673E"/>
    <w:rsid w:val="5F441D8B"/>
    <w:rsid w:val="5F446C8D"/>
    <w:rsid w:val="5F4613C6"/>
    <w:rsid w:val="5F481924"/>
    <w:rsid w:val="5F4955F3"/>
    <w:rsid w:val="5F4A141D"/>
    <w:rsid w:val="5F4B3119"/>
    <w:rsid w:val="5F4B7EC1"/>
    <w:rsid w:val="5F4F2364"/>
    <w:rsid w:val="5F5257BE"/>
    <w:rsid w:val="5F5521EA"/>
    <w:rsid w:val="5F5A6ED0"/>
    <w:rsid w:val="5F5A7800"/>
    <w:rsid w:val="5F5C4CC1"/>
    <w:rsid w:val="5F672BFF"/>
    <w:rsid w:val="5F6B5569"/>
    <w:rsid w:val="5F6E3788"/>
    <w:rsid w:val="5F701788"/>
    <w:rsid w:val="5F7628FD"/>
    <w:rsid w:val="5F79485B"/>
    <w:rsid w:val="5F7A57AC"/>
    <w:rsid w:val="5F8328B3"/>
    <w:rsid w:val="5F83792C"/>
    <w:rsid w:val="5F8B4DEB"/>
    <w:rsid w:val="5F8D013A"/>
    <w:rsid w:val="5F8D3732"/>
    <w:rsid w:val="5F920D48"/>
    <w:rsid w:val="5F93061C"/>
    <w:rsid w:val="5F9525E6"/>
    <w:rsid w:val="5F960CE0"/>
    <w:rsid w:val="5F976476"/>
    <w:rsid w:val="5F9A7BFD"/>
    <w:rsid w:val="5FA45E19"/>
    <w:rsid w:val="5FA64BA7"/>
    <w:rsid w:val="5FA913BD"/>
    <w:rsid w:val="5FB20D02"/>
    <w:rsid w:val="5FB52C88"/>
    <w:rsid w:val="5FB76A00"/>
    <w:rsid w:val="5FB861E1"/>
    <w:rsid w:val="5FBA5FD0"/>
    <w:rsid w:val="5FBA6B18"/>
    <w:rsid w:val="5FC529CA"/>
    <w:rsid w:val="5FD255E8"/>
    <w:rsid w:val="5FD9159C"/>
    <w:rsid w:val="5FD96838"/>
    <w:rsid w:val="5FDF3861"/>
    <w:rsid w:val="5FE13A7D"/>
    <w:rsid w:val="5FE201EA"/>
    <w:rsid w:val="5FE61094"/>
    <w:rsid w:val="5FE8044B"/>
    <w:rsid w:val="5FF53EFE"/>
    <w:rsid w:val="5FF94923"/>
    <w:rsid w:val="5FFB6257"/>
    <w:rsid w:val="5FFC4413"/>
    <w:rsid w:val="60020C61"/>
    <w:rsid w:val="601142C7"/>
    <w:rsid w:val="601331A5"/>
    <w:rsid w:val="602120CC"/>
    <w:rsid w:val="60223C30"/>
    <w:rsid w:val="60275934"/>
    <w:rsid w:val="602E0357"/>
    <w:rsid w:val="602F0E7B"/>
    <w:rsid w:val="603040BD"/>
    <w:rsid w:val="60332AD0"/>
    <w:rsid w:val="603D6F06"/>
    <w:rsid w:val="603E2630"/>
    <w:rsid w:val="604007A4"/>
    <w:rsid w:val="6040621D"/>
    <w:rsid w:val="60432042"/>
    <w:rsid w:val="60463A80"/>
    <w:rsid w:val="604F3361"/>
    <w:rsid w:val="60523048"/>
    <w:rsid w:val="60536521"/>
    <w:rsid w:val="605866DF"/>
    <w:rsid w:val="60597AB8"/>
    <w:rsid w:val="605C641C"/>
    <w:rsid w:val="605C75A6"/>
    <w:rsid w:val="6062071A"/>
    <w:rsid w:val="606A5CAD"/>
    <w:rsid w:val="60716BAF"/>
    <w:rsid w:val="60774946"/>
    <w:rsid w:val="60794869"/>
    <w:rsid w:val="607B7A2E"/>
    <w:rsid w:val="607E12CC"/>
    <w:rsid w:val="60806DF2"/>
    <w:rsid w:val="608153BB"/>
    <w:rsid w:val="60831ABD"/>
    <w:rsid w:val="608347BC"/>
    <w:rsid w:val="60854FAF"/>
    <w:rsid w:val="60861006"/>
    <w:rsid w:val="608A5EC3"/>
    <w:rsid w:val="608A7C71"/>
    <w:rsid w:val="60905BD6"/>
    <w:rsid w:val="609311E9"/>
    <w:rsid w:val="60997EB4"/>
    <w:rsid w:val="60A24FBB"/>
    <w:rsid w:val="60A800F7"/>
    <w:rsid w:val="60AB36BC"/>
    <w:rsid w:val="60AE7E03"/>
    <w:rsid w:val="60BA1935"/>
    <w:rsid w:val="60BA6CDE"/>
    <w:rsid w:val="60BE5A4C"/>
    <w:rsid w:val="60C211B9"/>
    <w:rsid w:val="60CF1B28"/>
    <w:rsid w:val="60D1764E"/>
    <w:rsid w:val="60D46992"/>
    <w:rsid w:val="60E750C3"/>
    <w:rsid w:val="60E871D9"/>
    <w:rsid w:val="60EC436D"/>
    <w:rsid w:val="60F30002"/>
    <w:rsid w:val="60FB2EF8"/>
    <w:rsid w:val="60FF240D"/>
    <w:rsid w:val="61002F66"/>
    <w:rsid w:val="6109328C"/>
    <w:rsid w:val="61131A15"/>
    <w:rsid w:val="61187E3D"/>
    <w:rsid w:val="611C0070"/>
    <w:rsid w:val="611D797C"/>
    <w:rsid w:val="612B0D66"/>
    <w:rsid w:val="612B1726"/>
    <w:rsid w:val="612B6F69"/>
    <w:rsid w:val="612F0022"/>
    <w:rsid w:val="6138717D"/>
    <w:rsid w:val="613D1187"/>
    <w:rsid w:val="614D70F7"/>
    <w:rsid w:val="61515D37"/>
    <w:rsid w:val="61587D6F"/>
    <w:rsid w:val="615D7134"/>
    <w:rsid w:val="615E15D1"/>
    <w:rsid w:val="616C77B3"/>
    <w:rsid w:val="61700C15"/>
    <w:rsid w:val="617139CA"/>
    <w:rsid w:val="61721786"/>
    <w:rsid w:val="617317F6"/>
    <w:rsid w:val="6175447D"/>
    <w:rsid w:val="617768C8"/>
    <w:rsid w:val="617A1A94"/>
    <w:rsid w:val="617E6181"/>
    <w:rsid w:val="617F354E"/>
    <w:rsid w:val="6181499B"/>
    <w:rsid w:val="618B5004"/>
    <w:rsid w:val="61952D71"/>
    <w:rsid w:val="61A82AA5"/>
    <w:rsid w:val="61AA7CEA"/>
    <w:rsid w:val="61B825BC"/>
    <w:rsid w:val="61BD2427"/>
    <w:rsid w:val="61BD292E"/>
    <w:rsid w:val="61BF627C"/>
    <w:rsid w:val="61C3343B"/>
    <w:rsid w:val="61C83818"/>
    <w:rsid w:val="61CD4F53"/>
    <w:rsid w:val="61D6669C"/>
    <w:rsid w:val="61D97CB9"/>
    <w:rsid w:val="61DB1A51"/>
    <w:rsid w:val="61E46B07"/>
    <w:rsid w:val="61E664AA"/>
    <w:rsid w:val="61F01D56"/>
    <w:rsid w:val="61F30C19"/>
    <w:rsid w:val="61F442D7"/>
    <w:rsid w:val="61F50F1C"/>
    <w:rsid w:val="61FB30CD"/>
    <w:rsid w:val="6206367F"/>
    <w:rsid w:val="620C12C6"/>
    <w:rsid w:val="620D6DAC"/>
    <w:rsid w:val="620F48D2"/>
    <w:rsid w:val="62166177"/>
    <w:rsid w:val="62175E3A"/>
    <w:rsid w:val="621974FF"/>
    <w:rsid w:val="621E6FB9"/>
    <w:rsid w:val="6221015D"/>
    <w:rsid w:val="622544FA"/>
    <w:rsid w:val="622639C9"/>
    <w:rsid w:val="622911B7"/>
    <w:rsid w:val="62347E94"/>
    <w:rsid w:val="62361E5F"/>
    <w:rsid w:val="623D1E25"/>
    <w:rsid w:val="62467866"/>
    <w:rsid w:val="62467A6C"/>
    <w:rsid w:val="624D0F56"/>
    <w:rsid w:val="62507EDA"/>
    <w:rsid w:val="62562501"/>
    <w:rsid w:val="625978FB"/>
    <w:rsid w:val="625B4C09"/>
    <w:rsid w:val="625C10AC"/>
    <w:rsid w:val="626764BC"/>
    <w:rsid w:val="62683537"/>
    <w:rsid w:val="626A7C77"/>
    <w:rsid w:val="626D0232"/>
    <w:rsid w:val="62712E97"/>
    <w:rsid w:val="62764951"/>
    <w:rsid w:val="628232F6"/>
    <w:rsid w:val="62885FEE"/>
    <w:rsid w:val="628C1A7E"/>
    <w:rsid w:val="628D3A49"/>
    <w:rsid w:val="62913539"/>
    <w:rsid w:val="62917095"/>
    <w:rsid w:val="62946B14"/>
    <w:rsid w:val="629848C7"/>
    <w:rsid w:val="629D2179"/>
    <w:rsid w:val="62A56FE4"/>
    <w:rsid w:val="62A82CC7"/>
    <w:rsid w:val="62AD2C23"/>
    <w:rsid w:val="62B232CB"/>
    <w:rsid w:val="62B31701"/>
    <w:rsid w:val="62B52479"/>
    <w:rsid w:val="62B92A90"/>
    <w:rsid w:val="62C96543"/>
    <w:rsid w:val="62CC631F"/>
    <w:rsid w:val="62CF5E0F"/>
    <w:rsid w:val="62D34E0E"/>
    <w:rsid w:val="62E0626E"/>
    <w:rsid w:val="62E93375"/>
    <w:rsid w:val="62EE58AE"/>
    <w:rsid w:val="62F13FD7"/>
    <w:rsid w:val="62FB0A8B"/>
    <w:rsid w:val="62FB1350"/>
    <w:rsid w:val="63093240"/>
    <w:rsid w:val="6311162E"/>
    <w:rsid w:val="63192A65"/>
    <w:rsid w:val="63230B51"/>
    <w:rsid w:val="632620C7"/>
    <w:rsid w:val="63272672"/>
    <w:rsid w:val="632919C3"/>
    <w:rsid w:val="632E7C06"/>
    <w:rsid w:val="63316ACA"/>
    <w:rsid w:val="63317FEA"/>
    <w:rsid w:val="63345F34"/>
    <w:rsid w:val="633B34A5"/>
    <w:rsid w:val="63400ABB"/>
    <w:rsid w:val="634265E1"/>
    <w:rsid w:val="63500CFE"/>
    <w:rsid w:val="63590DF8"/>
    <w:rsid w:val="635A7DCF"/>
    <w:rsid w:val="635B22A4"/>
    <w:rsid w:val="635B6462"/>
    <w:rsid w:val="636724EC"/>
    <w:rsid w:val="63680A04"/>
    <w:rsid w:val="636A0ADC"/>
    <w:rsid w:val="636B1FDC"/>
    <w:rsid w:val="63752779"/>
    <w:rsid w:val="637D2882"/>
    <w:rsid w:val="6380382F"/>
    <w:rsid w:val="6381535B"/>
    <w:rsid w:val="63866EF7"/>
    <w:rsid w:val="63870498"/>
    <w:rsid w:val="638A0F04"/>
    <w:rsid w:val="638D40A7"/>
    <w:rsid w:val="63911317"/>
    <w:rsid w:val="63972DD1"/>
    <w:rsid w:val="639F1C85"/>
    <w:rsid w:val="63A13700"/>
    <w:rsid w:val="63A728E8"/>
    <w:rsid w:val="63AB4186"/>
    <w:rsid w:val="63AD2C63"/>
    <w:rsid w:val="63AE4208"/>
    <w:rsid w:val="63C33BC6"/>
    <w:rsid w:val="63C37BC9"/>
    <w:rsid w:val="63C45282"/>
    <w:rsid w:val="63C520FA"/>
    <w:rsid w:val="63D3192F"/>
    <w:rsid w:val="63D7357E"/>
    <w:rsid w:val="63D833BB"/>
    <w:rsid w:val="63DA24CC"/>
    <w:rsid w:val="63DC07E4"/>
    <w:rsid w:val="63DE24F7"/>
    <w:rsid w:val="63E05147"/>
    <w:rsid w:val="63E31B72"/>
    <w:rsid w:val="63E43EC0"/>
    <w:rsid w:val="63E63410"/>
    <w:rsid w:val="63FA6EBC"/>
    <w:rsid w:val="63FF2DE0"/>
    <w:rsid w:val="64057871"/>
    <w:rsid w:val="6412076A"/>
    <w:rsid w:val="64122457"/>
    <w:rsid w:val="64125E7C"/>
    <w:rsid w:val="64157691"/>
    <w:rsid w:val="641A755E"/>
    <w:rsid w:val="642021C6"/>
    <w:rsid w:val="64213A71"/>
    <w:rsid w:val="64236413"/>
    <w:rsid w:val="64281D21"/>
    <w:rsid w:val="6428605E"/>
    <w:rsid w:val="64316475"/>
    <w:rsid w:val="64326656"/>
    <w:rsid w:val="6433456A"/>
    <w:rsid w:val="64340620"/>
    <w:rsid w:val="64357400"/>
    <w:rsid w:val="6439363A"/>
    <w:rsid w:val="643C6FF2"/>
    <w:rsid w:val="644030D6"/>
    <w:rsid w:val="64415E01"/>
    <w:rsid w:val="644169BA"/>
    <w:rsid w:val="644B7717"/>
    <w:rsid w:val="644F0FB6"/>
    <w:rsid w:val="64524F4A"/>
    <w:rsid w:val="645C7B76"/>
    <w:rsid w:val="645F3A8F"/>
    <w:rsid w:val="64601415"/>
    <w:rsid w:val="64674262"/>
    <w:rsid w:val="646B7DB9"/>
    <w:rsid w:val="64754794"/>
    <w:rsid w:val="647C1FC7"/>
    <w:rsid w:val="6486074F"/>
    <w:rsid w:val="648A0240"/>
    <w:rsid w:val="648D1ADE"/>
    <w:rsid w:val="64A720DE"/>
    <w:rsid w:val="64B33112"/>
    <w:rsid w:val="64B51F68"/>
    <w:rsid w:val="64BE438D"/>
    <w:rsid w:val="64C03C61"/>
    <w:rsid w:val="64C71494"/>
    <w:rsid w:val="64CC6AAA"/>
    <w:rsid w:val="64CD45D0"/>
    <w:rsid w:val="64D05EFB"/>
    <w:rsid w:val="64D616D7"/>
    <w:rsid w:val="64DF6954"/>
    <w:rsid w:val="64E21E2A"/>
    <w:rsid w:val="64EA6F30"/>
    <w:rsid w:val="64ED6F1B"/>
    <w:rsid w:val="64EF7367"/>
    <w:rsid w:val="64F46001"/>
    <w:rsid w:val="64F52F61"/>
    <w:rsid w:val="64F8789F"/>
    <w:rsid w:val="64FE1BDF"/>
    <w:rsid w:val="650417B4"/>
    <w:rsid w:val="6504216C"/>
    <w:rsid w:val="65055B18"/>
    <w:rsid w:val="651641C9"/>
    <w:rsid w:val="651A139C"/>
    <w:rsid w:val="651A7AC6"/>
    <w:rsid w:val="651E4E2C"/>
    <w:rsid w:val="65267940"/>
    <w:rsid w:val="65270184"/>
    <w:rsid w:val="652E102B"/>
    <w:rsid w:val="653528A1"/>
    <w:rsid w:val="65366619"/>
    <w:rsid w:val="65376260"/>
    <w:rsid w:val="653A0EAB"/>
    <w:rsid w:val="653B696D"/>
    <w:rsid w:val="65440F0D"/>
    <w:rsid w:val="654523B9"/>
    <w:rsid w:val="654A5357"/>
    <w:rsid w:val="654F651C"/>
    <w:rsid w:val="65532D27"/>
    <w:rsid w:val="6554543D"/>
    <w:rsid w:val="6555201A"/>
    <w:rsid w:val="655B7A4F"/>
    <w:rsid w:val="655F5590"/>
    <w:rsid w:val="65606E9C"/>
    <w:rsid w:val="656942F9"/>
    <w:rsid w:val="656C203B"/>
    <w:rsid w:val="656F0C96"/>
    <w:rsid w:val="65757B61"/>
    <w:rsid w:val="657A02B4"/>
    <w:rsid w:val="657B69CF"/>
    <w:rsid w:val="65841133"/>
    <w:rsid w:val="65856C59"/>
    <w:rsid w:val="6587096A"/>
    <w:rsid w:val="658E5710"/>
    <w:rsid w:val="65905D2A"/>
    <w:rsid w:val="659163EA"/>
    <w:rsid w:val="659C46CE"/>
    <w:rsid w:val="65A76BCF"/>
    <w:rsid w:val="65AB66C0"/>
    <w:rsid w:val="65AC4996"/>
    <w:rsid w:val="65B17BE0"/>
    <w:rsid w:val="65B207D0"/>
    <w:rsid w:val="65B2683E"/>
    <w:rsid w:val="65C15EE3"/>
    <w:rsid w:val="65D35C16"/>
    <w:rsid w:val="65D75707"/>
    <w:rsid w:val="65E46075"/>
    <w:rsid w:val="65E6422A"/>
    <w:rsid w:val="65EE2DA5"/>
    <w:rsid w:val="65F20CB1"/>
    <w:rsid w:val="65F939AB"/>
    <w:rsid w:val="66052969"/>
    <w:rsid w:val="66106E6A"/>
    <w:rsid w:val="6612673F"/>
    <w:rsid w:val="66134265"/>
    <w:rsid w:val="66173E6E"/>
    <w:rsid w:val="66300755"/>
    <w:rsid w:val="66364B82"/>
    <w:rsid w:val="663849C4"/>
    <w:rsid w:val="663C37BC"/>
    <w:rsid w:val="663F074A"/>
    <w:rsid w:val="664B33D6"/>
    <w:rsid w:val="6654338A"/>
    <w:rsid w:val="66560A1D"/>
    <w:rsid w:val="6657323F"/>
    <w:rsid w:val="66680FBE"/>
    <w:rsid w:val="66682803"/>
    <w:rsid w:val="666D606B"/>
    <w:rsid w:val="6673696B"/>
    <w:rsid w:val="667D5C7B"/>
    <w:rsid w:val="668B029F"/>
    <w:rsid w:val="668E469C"/>
    <w:rsid w:val="669B3E36"/>
    <w:rsid w:val="669B4986"/>
    <w:rsid w:val="669C24AC"/>
    <w:rsid w:val="669F7EC8"/>
    <w:rsid w:val="66A03D4A"/>
    <w:rsid w:val="66A079B4"/>
    <w:rsid w:val="66A12257"/>
    <w:rsid w:val="66AA2E1B"/>
    <w:rsid w:val="66C0619B"/>
    <w:rsid w:val="66C8504F"/>
    <w:rsid w:val="66C91FF9"/>
    <w:rsid w:val="66C96864"/>
    <w:rsid w:val="66D25ECE"/>
    <w:rsid w:val="66D93700"/>
    <w:rsid w:val="66DD4F9F"/>
    <w:rsid w:val="66DF713D"/>
    <w:rsid w:val="66E039BD"/>
    <w:rsid w:val="66EE0F7E"/>
    <w:rsid w:val="66EF082E"/>
    <w:rsid w:val="66F07DE8"/>
    <w:rsid w:val="66F6790A"/>
    <w:rsid w:val="67064B36"/>
    <w:rsid w:val="6707201B"/>
    <w:rsid w:val="670A1B0C"/>
    <w:rsid w:val="670C04C4"/>
    <w:rsid w:val="670C7632"/>
    <w:rsid w:val="670F2A14"/>
    <w:rsid w:val="67276670"/>
    <w:rsid w:val="672B2C23"/>
    <w:rsid w:val="672E0F80"/>
    <w:rsid w:val="672E75A8"/>
    <w:rsid w:val="672F1FA4"/>
    <w:rsid w:val="67317098"/>
    <w:rsid w:val="674C135A"/>
    <w:rsid w:val="67582877"/>
    <w:rsid w:val="675B2367"/>
    <w:rsid w:val="675D1C3B"/>
    <w:rsid w:val="675D7E8D"/>
    <w:rsid w:val="675F7D3B"/>
    <w:rsid w:val="676E209B"/>
    <w:rsid w:val="67735AB8"/>
    <w:rsid w:val="67757DF2"/>
    <w:rsid w:val="67767967"/>
    <w:rsid w:val="677A596A"/>
    <w:rsid w:val="677C4CD5"/>
    <w:rsid w:val="677F136D"/>
    <w:rsid w:val="678009B8"/>
    <w:rsid w:val="678049CE"/>
    <w:rsid w:val="6787202D"/>
    <w:rsid w:val="6787315C"/>
    <w:rsid w:val="679F68C5"/>
    <w:rsid w:val="67A21D44"/>
    <w:rsid w:val="67A83914"/>
    <w:rsid w:val="67A84820"/>
    <w:rsid w:val="67A91B1D"/>
    <w:rsid w:val="67AC1177"/>
    <w:rsid w:val="67AE2497"/>
    <w:rsid w:val="67B17513"/>
    <w:rsid w:val="67C121D2"/>
    <w:rsid w:val="67C96A0D"/>
    <w:rsid w:val="67CA4DF7"/>
    <w:rsid w:val="67CE7576"/>
    <w:rsid w:val="67DD4823"/>
    <w:rsid w:val="67DD4B2A"/>
    <w:rsid w:val="67ED7463"/>
    <w:rsid w:val="67EE31DB"/>
    <w:rsid w:val="67F0048D"/>
    <w:rsid w:val="67F65BEC"/>
    <w:rsid w:val="67FB6C7F"/>
    <w:rsid w:val="680622D3"/>
    <w:rsid w:val="6809591F"/>
    <w:rsid w:val="680A1975"/>
    <w:rsid w:val="6817628E"/>
    <w:rsid w:val="68241416"/>
    <w:rsid w:val="68255325"/>
    <w:rsid w:val="682B39B6"/>
    <w:rsid w:val="682E0AB4"/>
    <w:rsid w:val="68330BEE"/>
    <w:rsid w:val="6833299C"/>
    <w:rsid w:val="68356714"/>
    <w:rsid w:val="683E1614"/>
    <w:rsid w:val="684279BF"/>
    <w:rsid w:val="6844104D"/>
    <w:rsid w:val="684626D0"/>
    <w:rsid w:val="684C3086"/>
    <w:rsid w:val="684E10E5"/>
    <w:rsid w:val="6852376A"/>
    <w:rsid w:val="686305F1"/>
    <w:rsid w:val="68684D3C"/>
    <w:rsid w:val="686B482C"/>
    <w:rsid w:val="686D7D58"/>
    <w:rsid w:val="687202B8"/>
    <w:rsid w:val="68761BF4"/>
    <w:rsid w:val="68792AA5"/>
    <w:rsid w:val="687A681D"/>
    <w:rsid w:val="68815DFE"/>
    <w:rsid w:val="68861635"/>
    <w:rsid w:val="6897117D"/>
    <w:rsid w:val="689B6EBF"/>
    <w:rsid w:val="68AC0E76"/>
    <w:rsid w:val="68B21DE5"/>
    <w:rsid w:val="68B26034"/>
    <w:rsid w:val="68B80D11"/>
    <w:rsid w:val="68B8703B"/>
    <w:rsid w:val="68C76C42"/>
    <w:rsid w:val="68CC6238"/>
    <w:rsid w:val="68D33B0F"/>
    <w:rsid w:val="68DD74D8"/>
    <w:rsid w:val="68E02377"/>
    <w:rsid w:val="68E27282"/>
    <w:rsid w:val="68E6335A"/>
    <w:rsid w:val="68E63EB3"/>
    <w:rsid w:val="68ED587B"/>
    <w:rsid w:val="68F77E6E"/>
    <w:rsid w:val="68FC5484"/>
    <w:rsid w:val="690713C9"/>
    <w:rsid w:val="69147E90"/>
    <w:rsid w:val="691602F4"/>
    <w:rsid w:val="69193A0C"/>
    <w:rsid w:val="691F72A9"/>
    <w:rsid w:val="692018A8"/>
    <w:rsid w:val="6929005C"/>
    <w:rsid w:val="69297AF1"/>
    <w:rsid w:val="692D445E"/>
    <w:rsid w:val="693E62EC"/>
    <w:rsid w:val="69461AB4"/>
    <w:rsid w:val="69474951"/>
    <w:rsid w:val="69493CE0"/>
    <w:rsid w:val="694C0903"/>
    <w:rsid w:val="694D0DFC"/>
    <w:rsid w:val="69584BD4"/>
    <w:rsid w:val="69631935"/>
    <w:rsid w:val="6968329A"/>
    <w:rsid w:val="696D3AF0"/>
    <w:rsid w:val="696F5499"/>
    <w:rsid w:val="69731BEA"/>
    <w:rsid w:val="69765236"/>
    <w:rsid w:val="698C6C11"/>
    <w:rsid w:val="69992CD3"/>
    <w:rsid w:val="69A27510"/>
    <w:rsid w:val="69A93703"/>
    <w:rsid w:val="69AA4B41"/>
    <w:rsid w:val="69AF0748"/>
    <w:rsid w:val="69B83C4C"/>
    <w:rsid w:val="69C45E0C"/>
    <w:rsid w:val="69C9180A"/>
    <w:rsid w:val="69CD2E87"/>
    <w:rsid w:val="69D20B48"/>
    <w:rsid w:val="69DE17BD"/>
    <w:rsid w:val="69DF2DDC"/>
    <w:rsid w:val="69DF33FB"/>
    <w:rsid w:val="69E2467A"/>
    <w:rsid w:val="69E44A42"/>
    <w:rsid w:val="69E563C8"/>
    <w:rsid w:val="69F61ED3"/>
    <w:rsid w:val="69FA04D3"/>
    <w:rsid w:val="69FC1BE0"/>
    <w:rsid w:val="6A026ACA"/>
    <w:rsid w:val="6A072332"/>
    <w:rsid w:val="6A0C1616"/>
    <w:rsid w:val="6A1011E7"/>
    <w:rsid w:val="6A10568B"/>
    <w:rsid w:val="6A13058C"/>
    <w:rsid w:val="6A1C7BD2"/>
    <w:rsid w:val="6A255A44"/>
    <w:rsid w:val="6A294057"/>
    <w:rsid w:val="6A2C355E"/>
    <w:rsid w:val="6A366774"/>
    <w:rsid w:val="6A386990"/>
    <w:rsid w:val="6A3A413F"/>
    <w:rsid w:val="6A41378A"/>
    <w:rsid w:val="6A4438CD"/>
    <w:rsid w:val="6A487E4F"/>
    <w:rsid w:val="6A4E61B3"/>
    <w:rsid w:val="6A5332E7"/>
    <w:rsid w:val="6A55309E"/>
    <w:rsid w:val="6A58710F"/>
    <w:rsid w:val="6A6501C0"/>
    <w:rsid w:val="6A6634FD"/>
    <w:rsid w:val="6A680572"/>
    <w:rsid w:val="6A6C2807"/>
    <w:rsid w:val="6A7327B4"/>
    <w:rsid w:val="6A7379C8"/>
    <w:rsid w:val="6A753740"/>
    <w:rsid w:val="6A7F0D9B"/>
    <w:rsid w:val="6A800E4C"/>
    <w:rsid w:val="6A826A02"/>
    <w:rsid w:val="6A874B20"/>
    <w:rsid w:val="6A8B4D12"/>
    <w:rsid w:val="6A9525EC"/>
    <w:rsid w:val="6A9733F4"/>
    <w:rsid w:val="6A975464"/>
    <w:rsid w:val="6A9A6D03"/>
    <w:rsid w:val="6A9B5834"/>
    <w:rsid w:val="6A9F0B45"/>
    <w:rsid w:val="6AA4543F"/>
    <w:rsid w:val="6AAB2027"/>
    <w:rsid w:val="6AB90EB5"/>
    <w:rsid w:val="6ABC311D"/>
    <w:rsid w:val="6AC63F9C"/>
    <w:rsid w:val="6AC66069"/>
    <w:rsid w:val="6ACF2E9A"/>
    <w:rsid w:val="6AD95A7D"/>
    <w:rsid w:val="6ADA0BCE"/>
    <w:rsid w:val="6ADF0BB9"/>
    <w:rsid w:val="6AE85CC0"/>
    <w:rsid w:val="6AEB3A02"/>
    <w:rsid w:val="6AEC1164"/>
    <w:rsid w:val="6AED19D9"/>
    <w:rsid w:val="6AED79FE"/>
    <w:rsid w:val="6AEF704E"/>
    <w:rsid w:val="6AFB3C45"/>
    <w:rsid w:val="6AFE7291"/>
    <w:rsid w:val="6B0F76F1"/>
    <w:rsid w:val="6B144E28"/>
    <w:rsid w:val="6B1523C9"/>
    <w:rsid w:val="6B1C3522"/>
    <w:rsid w:val="6B1D0EF2"/>
    <w:rsid w:val="6B1E5B86"/>
    <w:rsid w:val="6B340F05"/>
    <w:rsid w:val="6B362ECF"/>
    <w:rsid w:val="6B3C7DBA"/>
    <w:rsid w:val="6B464BBC"/>
    <w:rsid w:val="6B4E646B"/>
    <w:rsid w:val="6B4F5D3F"/>
    <w:rsid w:val="6B50447B"/>
    <w:rsid w:val="6B517D09"/>
    <w:rsid w:val="6B546DA9"/>
    <w:rsid w:val="6B5A028E"/>
    <w:rsid w:val="6B65602D"/>
    <w:rsid w:val="6B656A73"/>
    <w:rsid w:val="6B66073E"/>
    <w:rsid w:val="6B6A0A7D"/>
    <w:rsid w:val="6B6B6CA9"/>
    <w:rsid w:val="6B723BB6"/>
    <w:rsid w:val="6B7457A6"/>
    <w:rsid w:val="6B7F4D3D"/>
    <w:rsid w:val="6B8E6209"/>
    <w:rsid w:val="6B8F25DF"/>
    <w:rsid w:val="6B8F56E9"/>
    <w:rsid w:val="6B92775B"/>
    <w:rsid w:val="6B93323E"/>
    <w:rsid w:val="6B970C02"/>
    <w:rsid w:val="6BA55F41"/>
    <w:rsid w:val="6BB01EC5"/>
    <w:rsid w:val="6BB5611F"/>
    <w:rsid w:val="6BC0282E"/>
    <w:rsid w:val="6BC67FC5"/>
    <w:rsid w:val="6BC717CD"/>
    <w:rsid w:val="6BCA29EA"/>
    <w:rsid w:val="6BCF0C2E"/>
    <w:rsid w:val="6BD821D8"/>
    <w:rsid w:val="6BD91AAD"/>
    <w:rsid w:val="6BE0108D"/>
    <w:rsid w:val="6BE851E4"/>
    <w:rsid w:val="6BEC17E0"/>
    <w:rsid w:val="6BF1329A"/>
    <w:rsid w:val="6BF65CF0"/>
    <w:rsid w:val="6BF66D0D"/>
    <w:rsid w:val="6C0A7EB8"/>
    <w:rsid w:val="6C0C59DE"/>
    <w:rsid w:val="6C2216A6"/>
    <w:rsid w:val="6C2E004A"/>
    <w:rsid w:val="6C2E71C1"/>
    <w:rsid w:val="6C303DC2"/>
    <w:rsid w:val="6C315445"/>
    <w:rsid w:val="6C323157"/>
    <w:rsid w:val="6C3A074D"/>
    <w:rsid w:val="6C3C2767"/>
    <w:rsid w:val="6C411B2C"/>
    <w:rsid w:val="6C445978"/>
    <w:rsid w:val="6C4B6ACA"/>
    <w:rsid w:val="6C5020E2"/>
    <w:rsid w:val="6C512456"/>
    <w:rsid w:val="6C5555D7"/>
    <w:rsid w:val="6C585ABF"/>
    <w:rsid w:val="6C5F621A"/>
    <w:rsid w:val="6C635F46"/>
    <w:rsid w:val="6C6677E4"/>
    <w:rsid w:val="6C67427F"/>
    <w:rsid w:val="6C6C6FD7"/>
    <w:rsid w:val="6C6E48EB"/>
    <w:rsid w:val="6C71135B"/>
    <w:rsid w:val="6C757A27"/>
    <w:rsid w:val="6C7C2B64"/>
    <w:rsid w:val="6C7D68DC"/>
    <w:rsid w:val="6C80389A"/>
    <w:rsid w:val="6C8E4D6A"/>
    <w:rsid w:val="6C931A68"/>
    <w:rsid w:val="6C944A2E"/>
    <w:rsid w:val="6C9915D6"/>
    <w:rsid w:val="6CA13C39"/>
    <w:rsid w:val="6CA45ABD"/>
    <w:rsid w:val="6CA81BAB"/>
    <w:rsid w:val="6CAE40D7"/>
    <w:rsid w:val="6CAE696C"/>
    <w:rsid w:val="6CB17171"/>
    <w:rsid w:val="6CB31830"/>
    <w:rsid w:val="6CB95B66"/>
    <w:rsid w:val="6CBA406E"/>
    <w:rsid w:val="6CBA7409"/>
    <w:rsid w:val="6CBC100F"/>
    <w:rsid w:val="6CBC7404"/>
    <w:rsid w:val="6CBF282C"/>
    <w:rsid w:val="6CC245EF"/>
    <w:rsid w:val="6CC94A23"/>
    <w:rsid w:val="6CCE577C"/>
    <w:rsid w:val="6CCE7FA8"/>
    <w:rsid w:val="6CD96B83"/>
    <w:rsid w:val="6CF21078"/>
    <w:rsid w:val="6CF546C4"/>
    <w:rsid w:val="6CFD329E"/>
    <w:rsid w:val="6D020467"/>
    <w:rsid w:val="6D0F39D8"/>
    <w:rsid w:val="6D1014FE"/>
    <w:rsid w:val="6D10254F"/>
    <w:rsid w:val="6D154D66"/>
    <w:rsid w:val="6D2356D5"/>
    <w:rsid w:val="6D237483"/>
    <w:rsid w:val="6D2B6338"/>
    <w:rsid w:val="6D2F2FDA"/>
    <w:rsid w:val="6D350F65"/>
    <w:rsid w:val="6D437B25"/>
    <w:rsid w:val="6D463A6F"/>
    <w:rsid w:val="6D5071E8"/>
    <w:rsid w:val="6D6337AF"/>
    <w:rsid w:val="6D761CA9"/>
    <w:rsid w:val="6D762073"/>
    <w:rsid w:val="6D7A0145"/>
    <w:rsid w:val="6D7E16CD"/>
    <w:rsid w:val="6D880F61"/>
    <w:rsid w:val="6D8B0DA7"/>
    <w:rsid w:val="6D8D75BE"/>
    <w:rsid w:val="6D987898"/>
    <w:rsid w:val="6D9D52FD"/>
    <w:rsid w:val="6DA2484C"/>
    <w:rsid w:val="6DA560EA"/>
    <w:rsid w:val="6DB02EDD"/>
    <w:rsid w:val="6DB14CEE"/>
    <w:rsid w:val="6DC277DB"/>
    <w:rsid w:val="6DCB5112"/>
    <w:rsid w:val="6DD24A05"/>
    <w:rsid w:val="6DDB5FB0"/>
    <w:rsid w:val="6DED75EA"/>
    <w:rsid w:val="6DEE7A91"/>
    <w:rsid w:val="6DF332FA"/>
    <w:rsid w:val="6DF56AD2"/>
    <w:rsid w:val="6DF76AF8"/>
    <w:rsid w:val="6E005A16"/>
    <w:rsid w:val="6E0077C5"/>
    <w:rsid w:val="6E012DCC"/>
    <w:rsid w:val="6E022D8A"/>
    <w:rsid w:val="6E046E2D"/>
    <w:rsid w:val="6E0C43BB"/>
    <w:rsid w:val="6E1A26D8"/>
    <w:rsid w:val="6E1B63AC"/>
    <w:rsid w:val="6E1B73D2"/>
    <w:rsid w:val="6E1D2124"/>
    <w:rsid w:val="6E1E5930"/>
    <w:rsid w:val="6E1F403A"/>
    <w:rsid w:val="6E203693"/>
    <w:rsid w:val="6E2461F3"/>
    <w:rsid w:val="6E3000AA"/>
    <w:rsid w:val="6E35746E"/>
    <w:rsid w:val="6E364F94"/>
    <w:rsid w:val="6E3866E0"/>
    <w:rsid w:val="6E4476B1"/>
    <w:rsid w:val="6E4E6782"/>
    <w:rsid w:val="6E572EF2"/>
    <w:rsid w:val="6E5A0416"/>
    <w:rsid w:val="6E697D9A"/>
    <w:rsid w:val="6E6A795B"/>
    <w:rsid w:val="6E7234E9"/>
    <w:rsid w:val="6E775295"/>
    <w:rsid w:val="6E846A90"/>
    <w:rsid w:val="6E8549B7"/>
    <w:rsid w:val="6E8B1784"/>
    <w:rsid w:val="6E8E3022"/>
    <w:rsid w:val="6E9D16FC"/>
    <w:rsid w:val="6EA463A2"/>
    <w:rsid w:val="6EA65EF0"/>
    <w:rsid w:val="6EA677C3"/>
    <w:rsid w:val="6EA8416F"/>
    <w:rsid w:val="6EBA2166"/>
    <w:rsid w:val="6EBC193D"/>
    <w:rsid w:val="6ED30A35"/>
    <w:rsid w:val="6ED44ED9"/>
    <w:rsid w:val="6ED924EF"/>
    <w:rsid w:val="6EDA1DC4"/>
    <w:rsid w:val="6EDE5635"/>
    <w:rsid w:val="6EDF73DA"/>
    <w:rsid w:val="6EE13397"/>
    <w:rsid w:val="6EE2027D"/>
    <w:rsid w:val="6EEC6384"/>
    <w:rsid w:val="6EF07839"/>
    <w:rsid w:val="6EF23B26"/>
    <w:rsid w:val="6EF41D78"/>
    <w:rsid w:val="6F0028E6"/>
    <w:rsid w:val="6F0D6BCA"/>
    <w:rsid w:val="6F1113F0"/>
    <w:rsid w:val="6F12155D"/>
    <w:rsid w:val="6F165F8F"/>
    <w:rsid w:val="6F255735"/>
    <w:rsid w:val="6F27510D"/>
    <w:rsid w:val="6F29610B"/>
    <w:rsid w:val="6F2B0871"/>
    <w:rsid w:val="6F2E3EBD"/>
    <w:rsid w:val="6F3239AE"/>
    <w:rsid w:val="6F325677"/>
    <w:rsid w:val="6F5A2F04"/>
    <w:rsid w:val="6F5C18B0"/>
    <w:rsid w:val="6F6014A9"/>
    <w:rsid w:val="6F615B35"/>
    <w:rsid w:val="6F674955"/>
    <w:rsid w:val="6F675D4D"/>
    <w:rsid w:val="6F6D059E"/>
    <w:rsid w:val="6F6D70DC"/>
    <w:rsid w:val="6F6F3387"/>
    <w:rsid w:val="6F6F5542"/>
    <w:rsid w:val="6F6F69B0"/>
    <w:rsid w:val="6F71097A"/>
    <w:rsid w:val="6F751F15"/>
    <w:rsid w:val="6F7810F3"/>
    <w:rsid w:val="6F854425"/>
    <w:rsid w:val="6F8D32DA"/>
    <w:rsid w:val="6F8E5394"/>
    <w:rsid w:val="6F963469"/>
    <w:rsid w:val="6F9B1553"/>
    <w:rsid w:val="6F9D7578"/>
    <w:rsid w:val="6FA65D1A"/>
    <w:rsid w:val="6FB2689C"/>
    <w:rsid w:val="6FBD3BBF"/>
    <w:rsid w:val="6FC07335"/>
    <w:rsid w:val="6FC77632"/>
    <w:rsid w:val="6FCA1E38"/>
    <w:rsid w:val="6FED1B68"/>
    <w:rsid w:val="6FF07A46"/>
    <w:rsid w:val="6FF30917"/>
    <w:rsid w:val="6FF43359"/>
    <w:rsid w:val="6FF454AA"/>
    <w:rsid w:val="6FFD5E19"/>
    <w:rsid w:val="70006017"/>
    <w:rsid w:val="700C682E"/>
    <w:rsid w:val="70143CFB"/>
    <w:rsid w:val="70160840"/>
    <w:rsid w:val="701638C2"/>
    <w:rsid w:val="7017305C"/>
    <w:rsid w:val="70174F00"/>
    <w:rsid w:val="70196D6C"/>
    <w:rsid w:val="701C7146"/>
    <w:rsid w:val="701D4F6D"/>
    <w:rsid w:val="70236AC8"/>
    <w:rsid w:val="70294DB1"/>
    <w:rsid w:val="702F7EED"/>
    <w:rsid w:val="70311EB7"/>
    <w:rsid w:val="70343A4A"/>
    <w:rsid w:val="703A1B7F"/>
    <w:rsid w:val="704A210E"/>
    <w:rsid w:val="704A5D87"/>
    <w:rsid w:val="704C0A9F"/>
    <w:rsid w:val="704D5DCD"/>
    <w:rsid w:val="70514307"/>
    <w:rsid w:val="70527D3B"/>
    <w:rsid w:val="70564B67"/>
    <w:rsid w:val="705B0349"/>
    <w:rsid w:val="705B523C"/>
    <w:rsid w:val="706109EE"/>
    <w:rsid w:val="70673B2B"/>
    <w:rsid w:val="706A7177"/>
    <w:rsid w:val="706E7723"/>
    <w:rsid w:val="707029DF"/>
    <w:rsid w:val="70735D0A"/>
    <w:rsid w:val="70755745"/>
    <w:rsid w:val="70876F0D"/>
    <w:rsid w:val="709A0DF2"/>
    <w:rsid w:val="70A07936"/>
    <w:rsid w:val="70A94143"/>
    <w:rsid w:val="70B12FF8"/>
    <w:rsid w:val="70B14DA6"/>
    <w:rsid w:val="70B30B1E"/>
    <w:rsid w:val="70BD56CD"/>
    <w:rsid w:val="70C10CEB"/>
    <w:rsid w:val="70C50F0F"/>
    <w:rsid w:val="70C51383"/>
    <w:rsid w:val="70D11115"/>
    <w:rsid w:val="70D32F6E"/>
    <w:rsid w:val="70E940F3"/>
    <w:rsid w:val="70ED3E17"/>
    <w:rsid w:val="70ED6643"/>
    <w:rsid w:val="70F40E97"/>
    <w:rsid w:val="70F829D5"/>
    <w:rsid w:val="70FF3D63"/>
    <w:rsid w:val="711772FF"/>
    <w:rsid w:val="712121C3"/>
    <w:rsid w:val="71213CDA"/>
    <w:rsid w:val="712227DF"/>
    <w:rsid w:val="71235CA4"/>
    <w:rsid w:val="71241A1C"/>
    <w:rsid w:val="7127461C"/>
    <w:rsid w:val="712B3FFE"/>
    <w:rsid w:val="7130773D"/>
    <w:rsid w:val="7134129F"/>
    <w:rsid w:val="71386A31"/>
    <w:rsid w:val="713B011F"/>
    <w:rsid w:val="714510B8"/>
    <w:rsid w:val="71472537"/>
    <w:rsid w:val="714B7AA1"/>
    <w:rsid w:val="714E4231"/>
    <w:rsid w:val="714F6A99"/>
    <w:rsid w:val="71526AD5"/>
    <w:rsid w:val="716867A2"/>
    <w:rsid w:val="71687CF4"/>
    <w:rsid w:val="716B2939"/>
    <w:rsid w:val="71744751"/>
    <w:rsid w:val="717B788E"/>
    <w:rsid w:val="71822947"/>
    <w:rsid w:val="71870029"/>
    <w:rsid w:val="71881E31"/>
    <w:rsid w:val="718C1F25"/>
    <w:rsid w:val="71920663"/>
    <w:rsid w:val="719673C1"/>
    <w:rsid w:val="719A2861"/>
    <w:rsid w:val="719B0649"/>
    <w:rsid w:val="719C5A56"/>
    <w:rsid w:val="71A52B5D"/>
    <w:rsid w:val="71A53E55"/>
    <w:rsid w:val="71AF12E6"/>
    <w:rsid w:val="71B2527A"/>
    <w:rsid w:val="71B907F6"/>
    <w:rsid w:val="71B96D8E"/>
    <w:rsid w:val="71C11019"/>
    <w:rsid w:val="71D13952"/>
    <w:rsid w:val="71D81A10"/>
    <w:rsid w:val="71DF37B9"/>
    <w:rsid w:val="71E539D3"/>
    <w:rsid w:val="71E65859"/>
    <w:rsid w:val="71E954FF"/>
    <w:rsid w:val="71EA67C2"/>
    <w:rsid w:val="72007D93"/>
    <w:rsid w:val="720C2642"/>
    <w:rsid w:val="721101F2"/>
    <w:rsid w:val="72115A06"/>
    <w:rsid w:val="721568D9"/>
    <w:rsid w:val="721F290F"/>
    <w:rsid w:val="72231CD3"/>
    <w:rsid w:val="72242D83"/>
    <w:rsid w:val="722515A8"/>
    <w:rsid w:val="722A4E10"/>
    <w:rsid w:val="722B2908"/>
    <w:rsid w:val="7232179E"/>
    <w:rsid w:val="723C5598"/>
    <w:rsid w:val="724518EB"/>
    <w:rsid w:val="724877DE"/>
    <w:rsid w:val="724A7260"/>
    <w:rsid w:val="724B2122"/>
    <w:rsid w:val="724C122A"/>
    <w:rsid w:val="72504C63"/>
    <w:rsid w:val="725545B1"/>
    <w:rsid w:val="72565C05"/>
    <w:rsid w:val="72596114"/>
    <w:rsid w:val="725B76BF"/>
    <w:rsid w:val="725F0F5E"/>
    <w:rsid w:val="72672834"/>
    <w:rsid w:val="727147ED"/>
    <w:rsid w:val="72750547"/>
    <w:rsid w:val="727B566C"/>
    <w:rsid w:val="727F3B79"/>
    <w:rsid w:val="72810E51"/>
    <w:rsid w:val="72841A4D"/>
    <w:rsid w:val="72850298"/>
    <w:rsid w:val="7289675D"/>
    <w:rsid w:val="728D3B24"/>
    <w:rsid w:val="72987FCC"/>
    <w:rsid w:val="72A2709C"/>
    <w:rsid w:val="72A42090"/>
    <w:rsid w:val="72A921D9"/>
    <w:rsid w:val="72AF11A4"/>
    <w:rsid w:val="72BA2638"/>
    <w:rsid w:val="72BB015E"/>
    <w:rsid w:val="72C75D24"/>
    <w:rsid w:val="72C92436"/>
    <w:rsid w:val="72C94629"/>
    <w:rsid w:val="72CE24EB"/>
    <w:rsid w:val="72CE310A"/>
    <w:rsid w:val="72D20650"/>
    <w:rsid w:val="72D60AF4"/>
    <w:rsid w:val="72D6589F"/>
    <w:rsid w:val="72DF209E"/>
    <w:rsid w:val="72E6342D"/>
    <w:rsid w:val="72EA7BE4"/>
    <w:rsid w:val="72EB4426"/>
    <w:rsid w:val="72F0605A"/>
    <w:rsid w:val="73155AC0"/>
    <w:rsid w:val="73272408"/>
    <w:rsid w:val="73280BE2"/>
    <w:rsid w:val="732912C4"/>
    <w:rsid w:val="732C4D3C"/>
    <w:rsid w:val="732D6565"/>
    <w:rsid w:val="733078DA"/>
    <w:rsid w:val="733805F9"/>
    <w:rsid w:val="733B41FB"/>
    <w:rsid w:val="7343262D"/>
    <w:rsid w:val="7345628A"/>
    <w:rsid w:val="73465C7A"/>
    <w:rsid w:val="734F581F"/>
    <w:rsid w:val="73593CC9"/>
    <w:rsid w:val="735F6D3B"/>
    <w:rsid w:val="736D1083"/>
    <w:rsid w:val="736E017A"/>
    <w:rsid w:val="736E6F7E"/>
    <w:rsid w:val="737A09F9"/>
    <w:rsid w:val="737C169B"/>
    <w:rsid w:val="737C6318"/>
    <w:rsid w:val="73937C25"/>
    <w:rsid w:val="73950FA6"/>
    <w:rsid w:val="739A5FC5"/>
    <w:rsid w:val="739A7D73"/>
    <w:rsid w:val="73A55AC9"/>
    <w:rsid w:val="73B70F56"/>
    <w:rsid w:val="73B91C75"/>
    <w:rsid w:val="73CC3BEA"/>
    <w:rsid w:val="73CE1427"/>
    <w:rsid w:val="73CE3D8C"/>
    <w:rsid w:val="73CF2113"/>
    <w:rsid w:val="73D275A2"/>
    <w:rsid w:val="73DC038C"/>
    <w:rsid w:val="73E1341B"/>
    <w:rsid w:val="73E42497"/>
    <w:rsid w:val="73EA44F8"/>
    <w:rsid w:val="73EA7071"/>
    <w:rsid w:val="73EB05CF"/>
    <w:rsid w:val="73F41B79"/>
    <w:rsid w:val="73F77334"/>
    <w:rsid w:val="73F9496E"/>
    <w:rsid w:val="740B2A1F"/>
    <w:rsid w:val="740C6EC3"/>
    <w:rsid w:val="7416564C"/>
    <w:rsid w:val="74282058"/>
    <w:rsid w:val="742A2D22"/>
    <w:rsid w:val="742C0C8D"/>
    <w:rsid w:val="742E65B6"/>
    <w:rsid w:val="743326A2"/>
    <w:rsid w:val="74357260"/>
    <w:rsid w:val="74455F31"/>
    <w:rsid w:val="744728A8"/>
    <w:rsid w:val="744D0260"/>
    <w:rsid w:val="74516CB9"/>
    <w:rsid w:val="745A29C6"/>
    <w:rsid w:val="7460720F"/>
    <w:rsid w:val="74665047"/>
    <w:rsid w:val="746C5BB4"/>
    <w:rsid w:val="746C7962"/>
    <w:rsid w:val="74724EAB"/>
    <w:rsid w:val="74820F33"/>
    <w:rsid w:val="748A6672"/>
    <w:rsid w:val="748D090D"/>
    <w:rsid w:val="749018A2"/>
    <w:rsid w:val="74982505"/>
    <w:rsid w:val="7499002B"/>
    <w:rsid w:val="749B5EB9"/>
    <w:rsid w:val="749B7667"/>
    <w:rsid w:val="749D4ED7"/>
    <w:rsid w:val="74A013B9"/>
    <w:rsid w:val="74A0590C"/>
    <w:rsid w:val="74A215D5"/>
    <w:rsid w:val="74A45AF3"/>
    <w:rsid w:val="74B15375"/>
    <w:rsid w:val="74B17A6A"/>
    <w:rsid w:val="74B33824"/>
    <w:rsid w:val="74B82BA7"/>
    <w:rsid w:val="74B904D0"/>
    <w:rsid w:val="74C7103C"/>
    <w:rsid w:val="74C74B98"/>
    <w:rsid w:val="74C90910"/>
    <w:rsid w:val="74D177C5"/>
    <w:rsid w:val="74D44622"/>
    <w:rsid w:val="74D87823"/>
    <w:rsid w:val="74D91C58"/>
    <w:rsid w:val="74DC1D73"/>
    <w:rsid w:val="74E026DB"/>
    <w:rsid w:val="74E4399C"/>
    <w:rsid w:val="74E87DB5"/>
    <w:rsid w:val="74E97204"/>
    <w:rsid w:val="74F02341"/>
    <w:rsid w:val="74F15692"/>
    <w:rsid w:val="75010BBA"/>
    <w:rsid w:val="75070160"/>
    <w:rsid w:val="75096D2E"/>
    <w:rsid w:val="750C6A4F"/>
    <w:rsid w:val="750D32BC"/>
    <w:rsid w:val="750D68EF"/>
    <w:rsid w:val="751F42D8"/>
    <w:rsid w:val="75220020"/>
    <w:rsid w:val="75241FEA"/>
    <w:rsid w:val="75280199"/>
    <w:rsid w:val="7528238B"/>
    <w:rsid w:val="752C08EB"/>
    <w:rsid w:val="753C59CD"/>
    <w:rsid w:val="753D3D0E"/>
    <w:rsid w:val="753F0BD2"/>
    <w:rsid w:val="75491A51"/>
    <w:rsid w:val="754D1541"/>
    <w:rsid w:val="7561236A"/>
    <w:rsid w:val="75617786"/>
    <w:rsid w:val="75695C4F"/>
    <w:rsid w:val="756D1BE3"/>
    <w:rsid w:val="756E01E7"/>
    <w:rsid w:val="756E6F7A"/>
    <w:rsid w:val="757036BF"/>
    <w:rsid w:val="75706FDE"/>
    <w:rsid w:val="75785BED"/>
    <w:rsid w:val="7589009F"/>
    <w:rsid w:val="7589686D"/>
    <w:rsid w:val="758E013F"/>
    <w:rsid w:val="758E5B83"/>
    <w:rsid w:val="758F7F76"/>
    <w:rsid w:val="7599373E"/>
    <w:rsid w:val="7599D6AF"/>
    <w:rsid w:val="75A04334"/>
    <w:rsid w:val="75A1363B"/>
    <w:rsid w:val="75A373B3"/>
    <w:rsid w:val="75B06567"/>
    <w:rsid w:val="75B87EFE"/>
    <w:rsid w:val="75B90985"/>
    <w:rsid w:val="75B95F1C"/>
    <w:rsid w:val="75BA57C8"/>
    <w:rsid w:val="75C07938"/>
    <w:rsid w:val="75C815AE"/>
    <w:rsid w:val="75C94940"/>
    <w:rsid w:val="75CE0A62"/>
    <w:rsid w:val="75E44E88"/>
    <w:rsid w:val="75E5766A"/>
    <w:rsid w:val="75E8126A"/>
    <w:rsid w:val="75EB0D5A"/>
    <w:rsid w:val="75EF32A3"/>
    <w:rsid w:val="75F95E85"/>
    <w:rsid w:val="75FC4E66"/>
    <w:rsid w:val="7607006B"/>
    <w:rsid w:val="76107204"/>
    <w:rsid w:val="76171B4F"/>
    <w:rsid w:val="76195B3D"/>
    <w:rsid w:val="761B3011"/>
    <w:rsid w:val="762878B8"/>
    <w:rsid w:val="76340A73"/>
    <w:rsid w:val="76366711"/>
    <w:rsid w:val="763D678B"/>
    <w:rsid w:val="763F3688"/>
    <w:rsid w:val="7649476C"/>
    <w:rsid w:val="764D5571"/>
    <w:rsid w:val="764E4EB4"/>
    <w:rsid w:val="764F3097"/>
    <w:rsid w:val="766825B7"/>
    <w:rsid w:val="7669460E"/>
    <w:rsid w:val="766C623D"/>
    <w:rsid w:val="766E5C13"/>
    <w:rsid w:val="76706F24"/>
    <w:rsid w:val="76730C7E"/>
    <w:rsid w:val="76735B41"/>
    <w:rsid w:val="767E1205"/>
    <w:rsid w:val="768260D7"/>
    <w:rsid w:val="76853612"/>
    <w:rsid w:val="76874324"/>
    <w:rsid w:val="768C6099"/>
    <w:rsid w:val="768D1F2D"/>
    <w:rsid w:val="76904A8D"/>
    <w:rsid w:val="76954A4D"/>
    <w:rsid w:val="769947BF"/>
    <w:rsid w:val="769D3E02"/>
    <w:rsid w:val="769E1333"/>
    <w:rsid w:val="769F254C"/>
    <w:rsid w:val="76A4334F"/>
    <w:rsid w:val="76B15B00"/>
    <w:rsid w:val="76B3005E"/>
    <w:rsid w:val="76BF6CB9"/>
    <w:rsid w:val="76D37824"/>
    <w:rsid w:val="76D87530"/>
    <w:rsid w:val="76E45FCD"/>
    <w:rsid w:val="76EA1012"/>
    <w:rsid w:val="76EA2E1A"/>
    <w:rsid w:val="76EA3BE5"/>
    <w:rsid w:val="76F123A0"/>
    <w:rsid w:val="76F31C74"/>
    <w:rsid w:val="76F52B9D"/>
    <w:rsid w:val="76FF2D0F"/>
    <w:rsid w:val="770038E4"/>
    <w:rsid w:val="77003D57"/>
    <w:rsid w:val="770A0560"/>
    <w:rsid w:val="77144054"/>
    <w:rsid w:val="77183DD1"/>
    <w:rsid w:val="77185C44"/>
    <w:rsid w:val="771B741D"/>
    <w:rsid w:val="771C566F"/>
    <w:rsid w:val="771D4F43"/>
    <w:rsid w:val="7725049C"/>
    <w:rsid w:val="77264D98"/>
    <w:rsid w:val="77275DC2"/>
    <w:rsid w:val="772E059B"/>
    <w:rsid w:val="772E0EFE"/>
    <w:rsid w:val="773F40BA"/>
    <w:rsid w:val="77441FB3"/>
    <w:rsid w:val="77495D38"/>
    <w:rsid w:val="774B7D02"/>
    <w:rsid w:val="774C348A"/>
    <w:rsid w:val="775A38F0"/>
    <w:rsid w:val="775D089E"/>
    <w:rsid w:val="775F6B80"/>
    <w:rsid w:val="77642B72"/>
    <w:rsid w:val="7782124A"/>
    <w:rsid w:val="778322FB"/>
    <w:rsid w:val="77844FC2"/>
    <w:rsid w:val="77860D3A"/>
    <w:rsid w:val="7787321D"/>
    <w:rsid w:val="778B00FF"/>
    <w:rsid w:val="778C3E77"/>
    <w:rsid w:val="77932781"/>
    <w:rsid w:val="77955421"/>
    <w:rsid w:val="779861D5"/>
    <w:rsid w:val="779C53F1"/>
    <w:rsid w:val="77A15B74"/>
    <w:rsid w:val="77A87015"/>
    <w:rsid w:val="77B70EF4"/>
    <w:rsid w:val="77C45D1C"/>
    <w:rsid w:val="77C76A7F"/>
    <w:rsid w:val="77C81A1D"/>
    <w:rsid w:val="77C826C4"/>
    <w:rsid w:val="77CB44E3"/>
    <w:rsid w:val="77D746AE"/>
    <w:rsid w:val="77E25B78"/>
    <w:rsid w:val="77E44A34"/>
    <w:rsid w:val="77E51F05"/>
    <w:rsid w:val="77ED7D29"/>
    <w:rsid w:val="77EE3D65"/>
    <w:rsid w:val="77FC2DAB"/>
    <w:rsid w:val="77FE4D75"/>
    <w:rsid w:val="78092091"/>
    <w:rsid w:val="780966EF"/>
    <w:rsid w:val="780B56E4"/>
    <w:rsid w:val="780D320A"/>
    <w:rsid w:val="780D4FB8"/>
    <w:rsid w:val="781F4043"/>
    <w:rsid w:val="782347DB"/>
    <w:rsid w:val="7823773A"/>
    <w:rsid w:val="78262BC8"/>
    <w:rsid w:val="782D11B6"/>
    <w:rsid w:val="782D1552"/>
    <w:rsid w:val="782E7E80"/>
    <w:rsid w:val="78370287"/>
    <w:rsid w:val="783F0391"/>
    <w:rsid w:val="783F0EE9"/>
    <w:rsid w:val="7843609F"/>
    <w:rsid w:val="784529A4"/>
    <w:rsid w:val="784E052C"/>
    <w:rsid w:val="78546D58"/>
    <w:rsid w:val="78591A10"/>
    <w:rsid w:val="7860333A"/>
    <w:rsid w:val="786170B2"/>
    <w:rsid w:val="78680440"/>
    <w:rsid w:val="78686692"/>
    <w:rsid w:val="787119EB"/>
    <w:rsid w:val="7871278D"/>
    <w:rsid w:val="7872306D"/>
    <w:rsid w:val="78771336"/>
    <w:rsid w:val="78774B27"/>
    <w:rsid w:val="787943FB"/>
    <w:rsid w:val="787C1AF2"/>
    <w:rsid w:val="78817441"/>
    <w:rsid w:val="788A6608"/>
    <w:rsid w:val="789A552F"/>
    <w:rsid w:val="789C3D78"/>
    <w:rsid w:val="789E3E62"/>
    <w:rsid w:val="78AF2513"/>
    <w:rsid w:val="78AF2E46"/>
    <w:rsid w:val="78AF70A8"/>
    <w:rsid w:val="78B0385A"/>
    <w:rsid w:val="78B06666"/>
    <w:rsid w:val="78B6564F"/>
    <w:rsid w:val="78BE7B6D"/>
    <w:rsid w:val="78BF5852"/>
    <w:rsid w:val="78C545E2"/>
    <w:rsid w:val="78CC2BC0"/>
    <w:rsid w:val="78D2579D"/>
    <w:rsid w:val="78D635FC"/>
    <w:rsid w:val="78D83818"/>
    <w:rsid w:val="78E0447A"/>
    <w:rsid w:val="78E146CA"/>
    <w:rsid w:val="78E51F32"/>
    <w:rsid w:val="78EA776E"/>
    <w:rsid w:val="78EB3D91"/>
    <w:rsid w:val="78EC1071"/>
    <w:rsid w:val="78F36D2B"/>
    <w:rsid w:val="78F4544E"/>
    <w:rsid w:val="78FB12B4"/>
    <w:rsid w:val="790C740D"/>
    <w:rsid w:val="79116D2A"/>
    <w:rsid w:val="79185B17"/>
    <w:rsid w:val="791A3E30"/>
    <w:rsid w:val="79204476"/>
    <w:rsid w:val="792C1BC9"/>
    <w:rsid w:val="792F0F5E"/>
    <w:rsid w:val="793F46DE"/>
    <w:rsid w:val="794C2198"/>
    <w:rsid w:val="79512683"/>
    <w:rsid w:val="79516FD2"/>
    <w:rsid w:val="7956298E"/>
    <w:rsid w:val="79660E24"/>
    <w:rsid w:val="796C5D0E"/>
    <w:rsid w:val="796E3F04"/>
    <w:rsid w:val="797A48CF"/>
    <w:rsid w:val="79841C0E"/>
    <w:rsid w:val="79856AE4"/>
    <w:rsid w:val="798B2638"/>
    <w:rsid w:val="799300EF"/>
    <w:rsid w:val="79960FDD"/>
    <w:rsid w:val="799C0DD6"/>
    <w:rsid w:val="79B02B6E"/>
    <w:rsid w:val="79BD656A"/>
    <w:rsid w:val="79BF322E"/>
    <w:rsid w:val="79C65543"/>
    <w:rsid w:val="79C81A6F"/>
    <w:rsid w:val="79C83201"/>
    <w:rsid w:val="79CC2D99"/>
    <w:rsid w:val="79D12015"/>
    <w:rsid w:val="79D7587D"/>
    <w:rsid w:val="79E664CA"/>
    <w:rsid w:val="79EB2BDA"/>
    <w:rsid w:val="79EF253F"/>
    <w:rsid w:val="79F45D32"/>
    <w:rsid w:val="79F82A39"/>
    <w:rsid w:val="79FE7AB2"/>
    <w:rsid w:val="7A0D4155"/>
    <w:rsid w:val="7A0D74F1"/>
    <w:rsid w:val="7A0F3269"/>
    <w:rsid w:val="7A181268"/>
    <w:rsid w:val="7A1C0992"/>
    <w:rsid w:val="7A1F0E4A"/>
    <w:rsid w:val="7A1F0FD2"/>
    <w:rsid w:val="7A233646"/>
    <w:rsid w:val="7A246F08"/>
    <w:rsid w:val="7A2A00A3"/>
    <w:rsid w:val="7A320D06"/>
    <w:rsid w:val="7A396538"/>
    <w:rsid w:val="7A3C3932"/>
    <w:rsid w:val="7A4153ED"/>
    <w:rsid w:val="7A4F18B8"/>
    <w:rsid w:val="7A515A59"/>
    <w:rsid w:val="7A5B24AB"/>
    <w:rsid w:val="7A631CE5"/>
    <w:rsid w:val="7A6A4943"/>
    <w:rsid w:val="7A6B5750"/>
    <w:rsid w:val="7A6C2F60"/>
    <w:rsid w:val="7A792DD8"/>
    <w:rsid w:val="7A794B87"/>
    <w:rsid w:val="7A802872"/>
    <w:rsid w:val="7A807C8B"/>
    <w:rsid w:val="7A82591D"/>
    <w:rsid w:val="7A85352B"/>
    <w:rsid w:val="7A8606D1"/>
    <w:rsid w:val="7A866CE8"/>
    <w:rsid w:val="7A8F54E7"/>
    <w:rsid w:val="7A910122"/>
    <w:rsid w:val="7A963E9C"/>
    <w:rsid w:val="7A995229"/>
    <w:rsid w:val="7A9A0FBC"/>
    <w:rsid w:val="7AA35194"/>
    <w:rsid w:val="7AA65250"/>
    <w:rsid w:val="7AA84C62"/>
    <w:rsid w:val="7AAC26B8"/>
    <w:rsid w:val="7AB108E4"/>
    <w:rsid w:val="7AB14EF1"/>
    <w:rsid w:val="7AB437C0"/>
    <w:rsid w:val="7AB51430"/>
    <w:rsid w:val="7AB52BAE"/>
    <w:rsid w:val="7ABE47E4"/>
    <w:rsid w:val="7AC14A6F"/>
    <w:rsid w:val="7AC2652D"/>
    <w:rsid w:val="7ACB6805"/>
    <w:rsid w:val="7ADC4B79"/>
    <w:rsid w:val="7ADD36FB"/>
    <w:rsid w:val="7AE30252"/>
    <w:rsid w:val="7AE332C8"/>
    <w:rsid w:val="7AE83ABA"/>
    <w:rsid w:val="7AEB3165"/>
    <w:rsid w:val="7AEC14CB"/>
    <w:rsid w:val="7AF608E4"/>
    <w:rsid w:val="7AFD57B8"/>
    <w:rsid w:val="7AFE5B5C"/>
    <w:rsid w:val="7B037F06"/>
    <w:rsid w:val="7B1228E5"/>
    <w:rsid w:val="7B13541F"/>
    <w:rsid w:val="7B17381E"/>
    <w:rsid w:val="7B1C31C8"/>
    <w:rsid w:val="7B1E74DC"/>
    <w:rsid w:val="7B25342B"/>
    <w:rsid w:val="7B2965AD"/>
    <w:rsid w:val="7B2F5245"/>
    <w:rsid w:val="7B322974"/>
    <w:rsid w:val="7B373E66"/>
    <w:rsid w:val="7B3D205D"/>
    <w:rsid w:val="7B430ADD"/>
    <w:rsid w:val="7B481DBA"/>
    <w:rsid w:val="7B4F4126"/>
    <w:rsid w:val="7B687493"/>
    <w:rsid w:val="7B69480F"/>
    <w:rsid w:val="7B6B0973"/>
    <w:rsid w:val="7B6F0C7D"/>
    <w:rsid w:val="7B7205FE"/>
    <w:rsid w:val="7B75029D"/>
    <w:rsid w:val="7B7F441F"/>
    <w:rsid w:val="7B8D7E49"/>
    <w:rsid w:val="7B9003DA"/>
    <w:rsid w:val="7B901586"/>
    <w:rsid w:val="7B930AF7"/>
    <w:rsid w:val="7B933A26"/>
    <w:rsid w:val="7B94619F"/>
    <w:rsid w:val="7B9652C4"/>
    <w:rsid w:val="7B9B28DB"/>
    <w:rsid w:val="7BAB118B"/>
    <w:rsid w:val="7BBA2A51"/>
    <w:rsid w:val="7BBB7DAB"/>
    <w:rsid w:val="7BBE2AF4"/>
    <w:rsid w:val="7BC71922"/>
    <w:rsid w:val="7BCC1EF1"/>
    <w:rsid w:val="7BCF16CD"/>
    <w:rsid w:val="7BD014CF"/>
    <w:rsid w:val="7BD83B2F"/>
    <w:rsid w:val="7BD858DD"/>
    <w:rsid w:val="7BDA1912"/>
    <w:rsid w:val="7BDF310F"/>
    <w:rsid w:val="7BDF6C6B"/>
    <w:rsid w:val="7BE61DA8"/>
    <w:rsid w:val="7BE67FFA"/>
    <w:rsid w:val="7BE730D0"/>
    <w:rsid w:val="7C084414"/>
    <w:rsid w:val="7C0B5C57"/>
    <w:rsid w:val="7C0C0795"/>
    <w:rsid w:val="7C0D2452"/>
    <w:rsid w:val="7C124B0C"/>
    <w:rsid w:val="7C15268D"/>
    <w:rsid w:val="7C1A1DD0"/>
    <w:rsid w:val="7C1D1AA0"/>
    <w:rsid w:val="7C1E3C37"/>
    <w:rsid w:val="7C1E59E5"/>
    <w:rsid w:val="7C266F51"/>
    <w:rsid w:val="7C2823C0"/>
    <w:rsid w:val="7C33088C"/>
    <w:rsid w:val="7C336636"/>
    <w:rsid w:val="7C372976"/>
    <w:rsid w:val="7C4F2043"/>
    <w:rsid w:val="7C52568F"/>
    <w:rsid w:val="7C5331B5"/>
    <w:rsid w:val="7C574A54"/>
    <w:rsid w:val="7C5B4FD5"/>
    <w:rsid w:val="7C5E5DE2"/>
    <w:rsid w:val="7C605FFE"/>
    <w:rsid w:val="7C62483D"/>
    <w:rsid w:val="7C653614"/>
    <w:rsid w:val="7C670314"/>
    <w:rsid w:val="7C67541F"/>
    <w:rsid w:val="7C6F7FEF"/>
    <w:rsid w:val="7C700FDB"/>
    <w:rsid w:val="7C701FB9"/>
    <w:rsid w:val="7C7F74E6"/>
    <w:rsid w:val="7C8021FC"/>
    <w:rsid w:val="7C893CE4"/>
    <w:rsid w:val="7C8B6446"/>
    <w:rsid w:val="7C9537CE"/>
    <w:rsid w:val="7C9E5F58"/>
    <w:rsid w:val="7CA81753"/>
    <w:rsid w:val="7CAA2B8E"/>
    <w:rsid w:val="7CAF663E"/>
    <w:rsid w:val="7CB5405E"/>
    <w:rsid w:val="7CBA3AAE"/>
    <w:rsid w:val="7CC7587C"/>
    <w:rsid w:val="7CC8149C"/>
    <w:rsid w:val="7CC876FF"/>
    <w:rsid w:val="7CCD2F68"/>
    <w:rsid w:val="7CDC544C"/>
    <w:rsid w:val="7CDC6822"/>
    <w:rsid w:val="7CE7593A"/>
    <w:rsid w:val="7CE8458D"/>
    <w:rsid w:val="7CEA58C8"/>
    <w:rsid w:val="7CF404F4"/>
    <w:rsid w:val="7CF44998"/>
    <w:rsid w:val="7CF5580E"/>
    <w:rsid w:val="7CF703D6"/>
    <w:rsid w:val="7CF8361F"/>
    <w:rsid w:val="7CF9269D"/>
    <w:rsid w:val="7CF94BAB"/>
    <w:rsid w:val="7CFD559B"/>
    <w:rsid w:val="7D010B6C"/>
    <w:rsid w:val="7D051CC0"/>
    <w:rsid w:val="7D057903"/>
    <w:rsid w:val="7D066013"/>
    <w:rsid w:val="7D0D3633"/>
    <w:rsid w:val="7D1344BA"/>
    <w:rsid w:val="7D140662"/>
    <w:rsid w:val="7D1632A9"/>
    <w:rsid w:val="7D1E40A4"/>
    <w:rsid w:val="7D2D3A06"/>
    <w:rsid w:val="7D2D5A89"/>
    <w:rsid w:val="7D360B0D"/>
    <w:rsid w:val="7D366D5F"/>
    <w:rsid w:val="7D370125"/>
    <w:rsid w:val="7D376633"/>
    <w:rsid w:val="7D3923EB"/>
    <w:rsid w:val="7D3B6123"/>
    <w:rsid w:val="7D40373A"/>
    <w:rsid w:val="7D41294B"/>
    <w:rsid w:val="7D4A280A"/>
    <w:rsid w:val="7D4D0A8A"/>
    <w:rsid w:val="7D513339"/>
    <w:rsid w:val="7D544143"/>
    <w:rsid w:val="7D555170"/>
    <w:rsid w:val="7D595CD7"/>
    <w:rsid w:val="7D5B0575"/>
    <w:rsid w:val="7D621902"/>
    <w:rsid w:val="7D666919"/>
    <w:rsid w:val="7D67678B"/>
    <w:rsid w:val="7D6A3562"/>
    <w:rsid w:val="7D6E02A7"/>
    <w:rsid w:val="7D6F4C13"/>
    <w:rsid w:val="7D6F7B64"/>
    <w:rsid w:val="7D731D61"/>
    <w:rsid w:val="7D73596F"/>
    <w:rsid w:val="7D7635FF"/>
    <w:rsid w:val="7D796C4C"/>
    <w:rsid w:val="7D7A30EF"/>
    <w:rsid w:val="7D7F3FF0"/>
    <w:rsid w:val="7D7F405D"/>
    <w:rsid w:val="7D8337F5"/>
    <w:rsid w:val="7D83422D"/>
    <w:rsid w:val="7D90612A"/>
    <w:rsid w:val="7D910439"/>
    <w:rsid w:val="7D930F14"/>
    <w:rsid w:val="7D9454D5"/>
    <w:rsid w:val="7D960C66"/>
    <w:rsid w:val="7D9A2465"/>
    <w:rsid w:val="7DA0067C"/>
    <w:rsid w:val="7DA0242A"/>
    <w:rsid w:val="7DA63EE4"/>
    <w:rsid w:val="7DA6708A"/>
    <w:rsid w:val="7DB06B11"/>
    <w:rsid w:val="7DB46808"/>
    <w:rsid w:val="7DB50159"/>
    <w:rsid w:val="7DC600E3"/>
    <w:rsid w:val="7DCB394B"/>
    <w:rsid w:val="7DD00F61"/>
    <w:rsid w:val="7DD3057F"/>
    <w:rsid w:val="7DDC5FDD"/>
    <w:rsid w:val="7DE639B1"/>
    <w:rsid w:val="7DE72FFE"/>
    <w:rsid w:val="7DEB7B49"/>
    <w:rsid w:val="7DED1B13"/>
    <w:rsid w:val="7DF26830"/>
    <w:rsid w:val="7DF42F2D"/>
    <w:rsid w:val="7DF54524"/>
    <w:rsid w:val="7DFA7D8C"/>
    <w:rsid w:val="7E083B42"/>
    <w:rsid w:val="7E08534D"/>
    <w:rsid w:val="7E12157A"/>
    <w:rsid w:val="7E132BFC"/>
    <w:rsid w:val="7E176B90"/>
    <w:rsid w:val="7E1F2179"/>
    <w:rsid w:val="7E2A7074"/>
    <w:rsid w:val="7E2F3F86"/>
    <w:rsid w:val="7E355268"/>
    <w:rsid w:val="7E374A7B"/>
    <w:rsid w:val="7E3FF557"/>
    <w:rsid w:val="7E4011C7"/>
    <w:rsid w:val="7E4159BB"/>
    <w:rsid w:val="7E455396"/>
    <w:rsid w:val="7E4810BF"/>
    <w:rsid w:val="7E4C07D0"/>
    <w:rsid w:val="7E566129"/>
    <w:rsid w:val="7E590F57"/>
    <w:rsid w:val="7E5C5697"/>
    <w:rsid w:val="7E5F41F7"/>
    <w:rsid w:val="7E642599"/>
    <w:rsid w:val="7E67077F"/>
    <w:rsid w:val="7E6A6A9C"/>
    <w:rsid w:val="7E793E48"/>
    <w:rsid w:val="7E834226"/>
    <w:rsid w:val="7E843AFA"/>
    <w:rsid w:val="7E8458A8"/>
    <w:rsid w:val="7E850A09"/>
    <w:rsid w:val="7E8946B4"/>
    <w:rsid w:val="7E8C29FA"/>
    <w:rsid w:val="7E980402"/>
    <w:rsid w:val="7EA316C8"/>
    <w:rsid w:val="7EA44D89"/>
    <w:rsid w:val="7EA47CF8"/>
    <w:rsid w:val="7EAB72D9"/>
    <w:rsid w:val="7EAD081A"/>
    <w:rsid w:val="7EB0429B"/>
    <w:rsid w:val="7EBC3294"/>
    <w:rsid w:val="7EC31072"/>
    <w:rsid w:val="7ECD1499"/>
    <w:rsid w:val="7ED54355"/>
    <w:rsid w:val="7ED96C20"/>
    <w:rsid w:val="7EDC1B88"/>
    <w:rsid w:val="7EE10F4C"/>
    <w:rsid w:val="7EE822DB"/>
    <w:rsid w:val="7EEB5927"/>
    <w:rsid w:val="7EED2761"/>
    <w:rsid w:val="7EED3999"/>
    <w:rsid w:val="7EF23159"/>
    <w:rsid w:val="7EF2624D"/>
    <w:rsid w:val="7F0B7D77"/>
    <w:rsid w:val="7F10538E"/>
    <w:rsid w:val="7F13463F"/>
    <w:rsid w:val="7F23244D"/>
    <w:rsid w:val="7F24326C"/>
    <w:rsid w:val="7F271055"/>
    <w:rsid w:val="7F2B1C67"/>
    <w:rsid w:val="7F31350C"/>
    <w:rsid w:val="7F315A30"/>
    <w:rsid w:val="7F376DBE"/>
    <w:rsid w:val="7F395731"/>
    <w:rsid w:val="7F3CA9E3"/>
    <w:rsid w:val="7F3CF32F"/>
    <w:rsid w:val="7F4647D1"/>
    <w:rsid w:val="7F466367"/>
    <w:rsid w:val="7F485CA5"/>
    <w:rsid w:val="7F511C2E"/>
    <w:rsid w:val="7F5559FF"/>
    <w:rsid w:val="7F571751"/>
    <w:rsid w:val="7F573584"/>
    <w:rsid w:val="7F5E6F6E"/>
    <w:rsid w:val="7F645E05"/>
    <w:rsid w:val="7F645E95"/>
    <w:rsid w:val="7F6546A0"/>
    <w:rsid w:val="7F690597"/>
    <w:rsid w:val="7F6C71CC"/>
    <w:rsid w:val="7F7122D0"/>
    <w:rsid w:val="7F7926C6"/>
    <w:rsid w:val="7F792EB6"/>
    <w:rsid w:val="7F7F49FE"/>
    <w:rsid w:val="7F8813C8"/>
    <w:rsid w:val="7F8A3392"/>
    <w:rsid w:val="7F8E4C30"/>
    <w:rsid w:val="7F995383"/>
    <w:rsid w:val="7F996E0F"/>
    <w:rsid w:val="7FA24E62"/>
    <w:rsid w:val="7FB867D2"/>
    <w:rsid w:val="7FB95B5C"/>
    <w:rsid w:val="7FCA378E"/>
    <w:rsid w:val="7FCC7496"/>
    <w:rsid w:val="7FCE0E10"/>
    <w:rsid w:val="7FD34D39"/>
    <w:rsid w:val="7FD57D06"/>
    <w:rsid w:val="7FD97CF3"/>
    <w:rsid w:val="7FDF548C"/>
    <w:rsid w:val="7FDF74D5"/>
    <w:rsid w:val="7FE50565"/>
    <w:rsid w:val="7FE95976"/>
    <w:rsid w:val="7FEA3E31"/>
    <w:rsid w:val="7FEE1B73"/>
    <w:rsid w:val="7FF151BF"/>
    <w:rsid w:val="A3C74BE4"/>
    <w:rsid w:val="AAFF91F1"/>
    <w:rsid w:val="DBDF1946"/>
    <w:rsid w:val="EBF95CCE"/>
    <w:rsid w:val="FFABCD46"/>
    <w:rsid w:val="FFBFAC96"/>
    <w:rsid w:val="FFFFA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qFormat="1" w:unhideWhenUsed="0" w:uiPriority="0" w:semiHidden="0" w:name="Body Text Indent 2"/>
    <w:lsdException w:qFormat="1" w:uiPriority="99"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autoRedefine/>
    <w:qFormat/>
    <w:uiPriority w:val="0"/>
    <w:pPr>
      <w:keepNext/>
      <w:keepLines/>
      <w:adjustRightInd w:val="0"/>
      <w:spacing w:before="120" w:line="360" w:lineRule="auto"/>
      <w:outlineLvl w:val="0"/>
    </w:pPr>
    <w:rPr>
      <w:rFonts w:eastAsia="黑体"/>
      <w:b/>
      <w:kern w:val="44"/>
      <w:sz w:val="28"/>
    </w:rPr>
  </w:style>
  <w:style w:type="paragraph" w:styleId="4">
    <w:name w:val="heading 2"/>
    <w:basedOn w:val="1"/>
    <w:next w:val="1"/>
    <w:link w:val="123"/>
    <w:autoRedefine/>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autoRedefine/>
    <w:qFormat/>
    <w:uiPriority w:val="0"/>
    <w:pPr>
      <w:keepNext/>
      <w:keepLines/>
      <w:spacing w:before="260" w:after="260" w:line="413" w:lineRule="auto"/>
      <w:outlineLvl w:val="2"/>
    </w:pPr>
    <w:rPr>
      <w:b/>
      <w:sz w:val="32"/>
    </w:rPr>
  </w:style>
  <w:style w:type="paragraph" w:styleId="6">
    <w:name w:val="heading 4"/>
    <w:basedOn w:val="1"/>
    <w:next w:val="1"/>
    <w:autoRedefine/>
    <w:qFormat/>
    <w:uiPriority w:val="99"/>
    <w:pPr>
      <w:numPr>
        <w:ilvl w:val="3"/>
        <w:numId w:val="1"/>
      </w:numPr>
      <w:adjustRightInd w:val="0"/>
      <w:spacing w:before="120" w:line="360" w:lineRule="auto"/>
      <w:textAlignment w:val="baseline"/>
      <w:outlineLvl w:val="3"/>
    </w:pPr>
    <w:rPr>
      <w:rFonts w:ascii="Arial" w:hAnsi="Arial" w:eastAsia="黑体"/>
      <w:sz w:val="28"/>
    </w:rPr>
  </w:style>
  <w:style w:type="paragraph" w:styleId="7">
    <w:name w:val="heading 5"/>
    <w:basedOn w:val="1"/>
    <w:next w:val="1"/>
    <w:autoRedefine/>
    <w:qFormat/>
    <w:uiPriority w:val="99"/>
    <w:pPr>
      <w:keepNext/>
      <w:keepLines/>
      <w:numPr>
        <w:ilvl w:val="4"/>
        <w:numId w:val="2"/>
      </w:numPr>
      <w:adjustRightInd w:val="0"/>
      <w:spacing w:before="280" w:after="290" w:line="376" w:lineRule="atLeast"/>
      <w:textAlignment w:val="baseline"/>
      <w:outlineLvl w:val="4"/>
    </w:pPr>
    <w:rPr>
      <w:b/>
      <w:sz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1"/>
    <w:link w:val="90"/>
    <w:autoRedefine/>
    <w:qFormat/>
    <w:uiPriority w:val="0"/>
    <w:rPr>
      <w:rFonts w:ascii="宋体" w:hAnsi="Courier New"/>
    </w:rPr>
  </w:style>
  <w:style w:type="paragraph" w:styleId="8">
    <w:name w:val="Normal Indent"/>
    <w:basedOn w:val="1"/>
    <w:next w:val="1"/>
    <w:autoRedefine/>
    <w:qFormat/>
    <w:uiPriority w:val="0"/>
    <w:pPr>
      <w:ind w:firstLine="420"/>
    </w:pPr>
  </w:style>
  <w:style w:type="paragraph" w:styleId="9">
    <w:name w:val="Document Map"/>
    <w:basedOn w:val="1"/>
    <w:link w:val="107"/>
    <w:autoRedefine/>
    <w:qFormat/>
    <w:uiPriority w:val="0"/>
    <w:rPr>
      <w:rFonts w:ascii="宋体"/>
      <w:sz w:val="16"/>
      <w:szCs w:val="16"/>
    </w:rPr>
  </w:style>
  <w:style w:type="paragraph" w:styleId="10">
    <w:name w:val="toa heading"/>
    <w:basedOn w:val="1"/>
    <w:next w:val="1"/>
    <w:autoRedefine/>
    <w:qFormat/>
    <w:uiPriority w:val="0"/>
    <w:pPr>
      <w:spacing w:before="120"/>
    </w:pPr>
    <w:rPr>
      <w:rFonts w:ascii="Arial" w:hAnsi="Arial" w:cs="Arial"/>
      <w:sz w:val="24"/>
      <w:szCs w:val="24"/>
    </w:rPr>
  </w:style>
  <w:style w:type="paragraph" w:styleId="11">
    <w:name w:val="annotation text"/>
    <w:basedOn w:val="1"/>
    <w:link w:val="105"/>
    <w:autoRedefine/>
    <w:qFormat/>
    <w:uiPriority w:val="0"/>
    <w:pPr>
      <w:jc w:val="left"/>
    </w:pPr>
  </w:style>
  <w:style w:type="paragraph" w:styleId="12">
    <w:name w:val="Body Text 3"/>
    <w:basedOn w:val="1"/>
    <w:autoRedefine/>
    <w:unhideWhenUsed/>
    <w:qFormat/>
    <w:uiPriority w:val="99"/>
    <w:rPr>
      <w:rFonts w:ascii="宋体"/>
      <w:sz w:val="24"/>
      <w:szCs w:val="24"/>
    </w:rPr>
  </w:style>
  <w:style w:type="paragraph" w:styleId="13">
    <w:name w:val="Body Text"/>
    <w:basedOn w:val="1"/>
    <w:autoRedefine/>
    <w:qFormat/>
    <w:uiPriority w:val="0"/>
    <w:pPr>
      <w:spacing w:after="120"/>
    </w:pPr>
    <w:rPr>
      <w:sz w:val="36"/>
    </w:rPr>
  </w:style>
  <w:style w:type="paragraph" w:styleId="14">
    <w:name w:val="Body Text Indent"/>
    <w:basedOn w:val="1"/>
    <w:next w:val="15"/>
    <w:autoRedefine/>
    <w:qFormat/>
    <w:uiPriority w:val="0"/>
    <w:pPr>
      <w:spacing w:after="120"/>
      <w:ind w:left="420" w:leftChars="200"/>
    </w:pPr>
    <w:rPr>
      <w:rFonts w:ascii="宋体"/>
      <w:szCs w:val="21"/>
    </w:rPr>
  </w:style>
  <w:style w:type="paragraph" w:customStyle="1" w:styleId="15">
    <w:name w:val="正文首行缩进 21"/>
    <w:basedOn w:val="14"/>
    <w:autoRedefine/>
    <w:qFormat/>
    <w:uiPriority w:val="0"/>
    <w:pPr>
      <w:ind w:firstLine="420" w:firstLineChars="200"/>
    </w:pPr>
    <w:rPr>
      <w:rFonts w:ascii="Times New Roman"/>
    </w:rPr>
  </w:style>
  <w:style w:type="paragraph" w:styleId="16">
    <w:name w:val="Block Text"/>
    <w:basedOn w:val="1"/>
    <w:next w:val="1"/>
    <w:autoRedefine/>
    <w:qFormat/>
    <w:uiPriority w:val="99"/>
    <w:pPr>
      <w:overflowPunct w:val="0"/>
      <w:autoSpaceDE w:val="0"/>
      <w:autoSpaceDN w:val="0"/>
      <w:adjustRightInd w:val="0"/>
      <w:spacing w:before="60" w:after="60" w:line="440" w:lineRule="exact"/>
      <w:ind w:left="420" w:leftChars="150" w:right="1"/>
      <w:textAlignment w:val="baseline"/>
    </w:pPr>
    <w:rPr>
      <w:rFonts w:ascii="宋体"/>
      <w:sz w:val="24"/>
    </w:rPr>
  </w:style>
  <w:style w:type="paragraph" w:styleId="17">
    <w:name w:val="toc 3"/>
    <w:basedOn w:val="1"/>
    <w:next w:val="1"/>
    <w:autoRedefine/>
    <w:qFormat/>
    <w:uiPriority w:val="39"/>
    <w:pPr>
      <w:ind w:left="840" w:leftChars="400"/>
    </w:pPr>
  </w:style>
  <w:style w:type="paragraph" w:styleId="18">
    <w:name w:val="Date"/>
    <w:basedOn w:val="1"/>
    <w:next w:val="1"/>
    <w:autoRedefine/>
    <w:qFormat/>
    <w:uiPriority w:val="0"/>
    <w:pPr>
      <w:ind w:left="100" w:leftChars="2500"/>
    </w:pPr>
  </w:style>
  <w:style w:type="paragraph" w:styleId="19">
    <w:name w:val="Body Text Indent 2"/>
    <w:basedOn w:val="1"/>
    <w:autoRedefine/>
    <w:qFormat/>
    <w:uiPriority w:val="0"/>
    <w:pPr>
      <w:spacing w:after="120" w:line="480" w:lineRule="auto"/>
      <w:ind w:left="420" w:leftChars="200"/>
    </w:pPr>
  </w:style>
  <w:style w:type="paragraph" w:styleId="20">
    <w:name w:val="Balloon Text"/>
    <w:basedOn w:val="1"/>
    <w:link w:val="85"/>
    <w:autoRedefine/>
    <w:qFormat/>
    <w:uiPriority w:val="0"/>
    <w:rPr>
      <w:sz w:val="18"/>
      <w:szCs w:val="18"/>
    </w:rPr>
  </w:style>
  <w:style w:type="paragraph" w:styleId="21">
    <w:name w:val="footer"/>
    <w:basedOn w:val="1"/>
    <w:link w:val="83"/>
    <w:autoRedefine/>
    <w:qFormat/>
    <w:uiPriority w:val="99"/>
    <w:pPr>
      <w:tabs>
        <w:tab w:val="center" w:pos="4153"/>
        <w:tab w:val="right" w:pos="8306"/>
      </w:tabs>
      <w:snapToGrid w:val="0"/>
      <w:jc w:val="left"/>
    </w:pPr>
    <w:rPr>
      <w:sz w:val="18"/>
    </w:rPr>
  </w:style>
  <w:style w:type="paragraph" w:styleId="22">
    <w:name w:val="header"/>
    <w:basedOn w:val="1"/>
    <w:next w:val="1"/>
    <w:link w:val="96"/>
    <w:autoRedefine/>
    <w:qFormat/>
    <w:uiPriority w:val="99"/>
    <w:pPr>
      <w:pBdr>
        <w:bottom w:val="single" w:color="auto" w:sz="6" w:space="1"/>
      </w:pBdr>
      <w:tabs>
        <w:tab w:val="center" w:pos="4153"/>
        <w:tab w:val="right" w:pos="8306"/>
      </w:tabs>
      <w:snapToGrid w:val="0"/>
      <w:jc w:val="center"/>
    </w:pPr>
    <w:rPr>
      <w:sz w:val="18"/>
    </w:rPr>
  </w:style>
  <w:style w:type="paragraph" w:styleId="23">
    <w:name w:val="toc 1"/>
    <w:basedOn w:val="1"/>
    <w:next w:val="1"/>
    <w:autoRedefine/>
    <w:qFormat/>
    <w:uiPriority w:val="39"/>
    <w:pPr>
      <w:tabs>
        <w:tab w:val="right" w:leader="dot" w:pos="8280"/>
      </w:tabs>
      <w:spacing w:before="120" w:after="120"/>
      <w:jc w:val="left"/>
    </w:pPr>
    <w:rPr>
      <w:b/>
      <w:caps/>
      <w:sz w:val="20"/>
    </w:rPr>
  </w:style>
  <w:style w:type="paragraph" w:styleId="24">
    <w:name w:val="Body Text Indent 3"/>
    <w:basedOn w:val="1"/>
    <w:autoRedefine/>
    <w:unhideWhenUsed/>
    <w:qFormat/>
    <w:uiPriority w:val="99"/>
    <w:pPr>
      <w:widowControl/>
      <w:overflowPunct w:val="0"/>
      <w:autoSpaceDE w:val="0"/>
      <w:autoSpaceDN w:val="0"/>
      <w:adjustRightInd w:val="0"/>
      <w:spacing w:line="360" w:lineRule="auto"/>
      <w:ind w:firstLine="540"/>
      <w:textAlignment w:val="baseline"/>
    </w:pPr>
    <w:rPr>
      <w:rFonts w:ascii="宋体" w:hAnsi="MS Sans Serif"/>
      <w:color w:val="000000"/>
      <w:kern w:val="0"/>
      <w:sz w:val="24"/>
    </w:rPr>
  </w:style>
  <w:style w:type="paragraph" w:styleId="25">
    <w:name w:val="table of figures"/>
    <w:basedOn w:val="1"/>
    <w:next w:val="1"/>
    <w:semiHidden/>
    <w:qFormat/>
    <w:uiPriority w:val="99"/>
    <w:pPr>
      <w:ind w:left="840" w:hanging="420"/>
    </w:pPr>
  </w:style>
  <w:style w:type="paragraph" w:styleId="26">
    <w:name w:val="toc 2"/>
    <w:basedOn w:val="1"/>
    <w:next w:val="1"/>
    <w:autoRedefine/>
    <w:qFormat/>
    <w:uiPriority w:val="39"/>
    <w:pPr>
      <w:ind w:left="210"/>
      <w:jc w:val="left"/>
    </w:pPr>
    <w:rPr>
      <w:smallCaps/>
      <w:sz w:val="20"/>
    </w:rPr>
  </w:style>
  <w:style w:type="paragraph" w:styleId="27">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8">
    <w:name w:val="HTML Preformatted"/>
    <w:basedOn w:val="1"/>
    <w:link w:val="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29">
    <w:name w:val="Normal (Web)"/>
    <w:basedOn w:val="1"/>
    <w:link w:val="102"/>
    <w:autoRedefine/>
    <w:qFormat/>
    <w:uiPriority w:val="0"/>
    <w:pPr>
      <w:widowControl/>
      <w:spacing w:before="100" w:beforeAutospacing="1" w:after="100" w:afterAutospacing="1"/>
      <w:jc w:val="left"/>
    </w:pPr>
    <w:rPr>
      <w:rFonts w:ascii="宋体" w:hAnsi="宋体"/>
      <w:color w:val="000000"/>
      <w:kern w:val="0"/>
      <w:sz w:val="18"/>
    </w:rPr>
  </w:style>
  <w:style w:type="paragraph" w:styleId="30">
    <w:name w:val="Title"/>
    <w:basedOn w:val="1"/>
    <w:next w:val="1"/>
    <w:autoRedefine/>
    <w:qFormat/>
    <w:uiPriority w:val="0"/>
    <w:pPr>
      <w:spacing w:before="240" w:after="60"/>
      <w:jc w:val="center"/>
      <w:outlineLvl w:val="0"/>
    </w:pPr>
    <w:rPr>
      <w:rFonts w:ascii="Cambria" w:hAnsi="Cambria"/>
      <w:b/>
      <w:bCs/>
      <w:sz w:val="32"/>
      <w:szCs w:val="32"/>
    </w:rPr>
  </w:style>
  <w:style w:type="paragraph" w:styleId="31">
    <w:name w:val="annotation subject"/>
    <w:basedOn w:val="11"/>
    <w:next w:val="11"/>
    <w:link w:val="99"/>
    <w:autoRedefine/>
    <w:qFormat/>
    <w:uiPriority w:val="0"/>
    <w:rPr>
      <w:b/>
      <w:bCs/>
    </w:rPr>
  </w:style>
  <w:style w:type="paragraph" w:styleId="32">
    <w:name w:val="Body Text First Indent"/>
    <w:basedOn w:val="13"/>
    <w:next w:val="1"/>
    <w:autoRedefine/>
    <w:qFormat/>
    <w:uiPriority w:val="0"/>
    <w:pPr>
      <w:ind w:firstLine="420" w:firstLineChars="100"/>
    </w:pPr>
    <w:rPr>
      <w:rFonts w:eastAsia="仿宋_GB2312"/>
      <w:sz w:val="30"/>
      <w:szCs w:val="24"/>
    </w:rPr>
  </w:style>
  <w:style w:type="paragraph" w:styleId="33">
    <w:name w:val="Body Text First Indent 2"/>
    <w:basedOn w:val="14"/>
    <w:autoRedefine/>
    <w:qFormat/>
    <w:uiPriority w:val="0"/>
    <w:pPr>
      <w:ind w:firstLine="420" w:firstLineChars="200"/>
    </w:pPr>
    <w:rPr>
      <w:rFonts w:ascii="Times New Roman"/>
    </w:rPr>
  </w:style>
  <w:style w:type="table" w:styleId="35">
    <w:name w:val="Table Grid"/>
    <w:basedOn w:val="34"/>
    <w:autoRedefine/>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autoRedefine/>
    <w:qFormat/>
    <w:uiPriority w:val="0"/>
    <w:rPr>
      <w:b/>
      <w:bCs/>
    </w:rPr>
  </w:style>
  <w:style w:type="character" w:styleId="38">
    <w:name w:val="page number"/>
    <w:basedOn w:val="36"/>
    <w:autoRedefine/>
    <w:qFormat/>
    <w:uiPriority w:val="0"/>
  </w:style>
  <w:style w:type="character" w:styleId="39">
    <w:name w:val="FollowedHyperlink"/>
    <w:basedOn w:val="36"/>
    <w:autoRedefine/>
    <w:qFormat/>
    <w:uiPriority w:val="0"/>
    <w:rPr>
      <w:color w:val="333333"/>
      <w:u w:val="none"/>
    </w:rPr>
  </w:style>
  <w:style w:type="character" w:styleId="40">
    <w:name w:val="Emphasis"/>
    <w:basedOn w:val="36"/>
    <w:autoRedefine/>
    <w:qFormat/>
    <w:uiPriority w:val="0"/>
  </w:style>
  <w:style w:type="character" w:styleId="41">
    <w:name w:val="HTML Definition"/>
    <w:basedOn w:val="36"/>
    <w:autoRedefine/>
    <w:qFormat/>
    <w:uiPriority w:val="0"/>
    <w:rPr>
      <w:i/>
    </w:rPr>
  </w:style>
  <w:style w:type="character" w:styleId="42">
    <w:name w:val="Hyperlink"/>
    <w:basedOn w:val="36"/>
    <w:autoRedefine/>
    <w:qFormat/>
    <w:uiPriority w:val="99"/>
    <w:rPr>
      <w:color w:val="0000FF"/>
      <w:u w:val="single"/>
    </w:rPr>
  </w:style>
  <w:style w:type="character" w:styleId="43">
    <w:name w:val="HTML Code"/>
    <w:basedOn w:val="36"/>
    <w:autoRedefine/>
    <w:qFormat/>
    <w:uiPriority w:val="0"/>
    <w:rPr>
      <w:rFonts w:hint="default" w:ascii="Consolas" w:hAnsi="Consolas" w:eastAsia="Consolas" w:cs="Consolas"/>
      <w:color w:val="C7254E"/>
      <w:sz w:val="21"/>
      <w:szCs w:val="21"/>
      <w:shd w:val="clear" w:color="auto" w:fill="F9F2F4"/>
    </w:rPr>
  </w:style>
  <w:style w:type="character" w:styleId="44">
    <w:name w:val="annotation reference"/>
    <w:autoRedefine/>
    <w:qFormat/>
    <w:uiPriority w:val="0"/>
    <w:rPr>
      <w:sz w:val="21"/>
      <w:szCs w:val="21"/>
    </w:rPr>
  </w:style>
  <w:style w:type="character" w:styleId="45">
    <w:name w:val="HTML Keyboard"/>
    <w:basedOn w:val="36"/>
    <w:autoRedefine/>
    <w:qFormat/>
    <w:uiPriority w:val="0"/>
    <w:rPr>
      <w:rFonts w:ascii="Consolas" w:hAnsi="Consolas" w:eastAsia="Consolas" w:cs="Consolas"/>
      <w:color w:val="FFFFFF"/>
      <w:sz w:val="21"/>
      <w:szCs w:val="21"/>
      <w:shd w:val="clear" w:color="auto" w:fill="333333"/>
    </w:rPr>
  </w:style>
  <w:style w:type="character" w:styleId="46">
    <w:name w:val="HTML Sample"/>
    <w:basedOn w:val="36"/>
    <w:autoRedefine/>
    <w:qFormat/>
    <w:uiPriority w:val="0"/>
    <w:rPr>
      <w:rFonts w:hint="default" w:ascii="Consolas" w:hAnsi="Consolas" w:eastAsia="Consolas" w:cs="Consolas"/>
      <w:sz w:val="21"/>
      <w:szCs w:val="21"/>
    </w:rPr>
  </w:style>
  <w:style w:type="paragraph" w:customStyle="1" w:styleId="47">
    <w:name w:val="无缩进正文"/>
    <w:basedOn w:val="1"/>
    <w:next w:val="1"/>
    <w:autoRedefine/>
    <w:qFormat/>
    <w:uiPriority w:val="0"/>
  </w:style>
  <w:style w:type="paragraph" w:customStyle="1" w:styleId="48">
    <w:name w:val="正文文本缩进1"/>
    <w:basedOn w:val="1"/>
    <w:next w:val="15"/>
    <w:autoRedefine/>
    <w:qFormat/>
    <w:uiPriority w:val="0"/>
    <w:pPr>
      <w:ind w:left="420" w:leftChars="200"/>
    </w:pPr>
  </w:style>
  <w:style w:type="paragraph" w:customStyle="1" w:styleId="49">
    <w:name w:val="s23nowidctlparfaauto loc"/>
    <w:autoRedefine/>
    <w:qFormat/>
    <w:uiPriority w:val="0"/>
    <w:pPr>
      <w:widowControl w:val="0"/>
      <w:autoSpaceDE w:val="0"/>
      <w:autoSpaceDN w:val="0"/>
      <w:adjustRightInd w:val="0"/>
    </w:pPr>
    <w:rPr>
      <w:rFonts w:ascii="Times New Roman" w:hAnsi="Times New Roman" w:eastAsia="宋体" w:cs="Times New Roman"/>
      <w:sz w:val="21"/>
      <w:szCs w:val="22"/>
      <w:lang w:val="en-US" w:eastAsia="zh-TW" w:bidi="ar-SA"/>
    </w:rPr>
  </w:style>
  <w:style w:type="paragraph" w:customStyle="1" w:styleId="50">
    <w:name w:val="Default"/>
    <w:autoRedefine/>
    <w:qFormat/>
    <w:uiPriority w:val="0"/>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51">
    <w:name w:val="段落正文"/>
    <w:basedOn w:val="1"/>
    <w:autoRedefine/>
    <w:qFormat/>
    <w:uiPriority w:val="0"/>
    <w:pPr>
      <w:spacing w:line="360" w:lineRule="auto"/>
      <w:ind w:firstLine="480" w:firstLineChars="200"/>
    </w:pPr>
    <w:rPr>
      <w:rFonts w:ascii="微软雅黑" w:hAnsi="微软雅黑"/>
      <w:kern w:val="0"/>
      <w:sz w:val="24"/>
    </w:rPr>
  </w:style>
  <w:style w:type="paragraph" w:customStyle="1" w:styleId="5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3">
    <w:name w:val="一级条标题"/>
    <w:basedOn w:val="54"/>
    <w:next w:val="55"/>
    <w:autoRedefine/>
    <w:qFormat/>
    <w:uiPriority w:val="0"/>
    <w:pPr>
      <w:spacing w:line="240" w:lineRule="auto"/>
      <w:ind w:left="420"/>
      <w:outlineLvl w:val="2"/>
    </w:pPr>
    <w:rPr>
      <w:rFonts w:ascii="Times New Roman" w:eastAsia="宋体" w:cs="Times New Roman"/>
    </w:rPr>
  </w:style>
  <w:style w:type="paragraph" w:customStyle="1" w:styleId="54">
    <w:name w:val="章标题"/>
    <w:next w:val="1"/>
    <w:autoRedefine/>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55">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6">
    <w:name w:val="Normal_2"/>
    <w:next w:val="3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GP正文(无首行缩进)"/>
    <w:basedOn w:val="1"/>
    <w:autoRedefine/>
    <w:qFormat/>
    <w:uiPriority w:val="0"/>
    <w:pPr>
      <w:spacing w:line="360" w:lineRule="auto"/>
      <w:ind w:firstLine="480" w:firstLineChars="200"/>
    </w:pPr>
    <w:rPr>
      <w:rFonts w:hAnsi="宋体"/>
      <w:sz w:val="24"/>
      <w:szCs w:val="24"/>
    </w:rPr>
  </w:style>
  <w:style w:type="paragraph" w:customStyle="1" w:styleId="58">
    <w:name w:val="表格"/>
    <w:basedOn w:val="1"/>
    <w:autoRedefine/>
    <w:qFormat/>
    <w:uiPriority w:val="0"/>
    <w:pPr>
      <w:tabs>
        <w:tab w:val="left" w:pos="1200"/>
      </w:tabs>
      <w:spacing w:line="500" w:lineRule="exact"/>
      <w:jc w:val="center"/>
    </w:pPr>
    <w:rPr>
      <w:rFonts w:ascii="宋体" w:hAnsi="Arial Narrow"/>
      <w:sz w:val="24"/>
    </w:rPr>
  </w:style>
  <w:style w:type="paragraph" w:customStyle="1" w:styleId="59">
    <w:name w:val="Char Char Char Char Char Char Char"/>
    <w:basedOn w:val="1"/>
    <w:autoRedefine/>
    <w:qFormat/>
    <w:uiPriority w:val="0"/>
  </w:style>
  <w:style w:type="paragraph" w:customStyle="1" w:styleId="60">
    <w:name w:val="样式 微软雅黑 小四 行距: 1.5 倍行距 首行缩进:  2 字符"/>
    <w:basedOn w:val="1"/>
    <w:autoRedefine/>
    <w:qFormat/>
    <w:uiPriority w:val="0"/>
    <w:pPr>
      <w:ind w:firstLine="480"/>
    </w:pPr>
    <w:rPr>
      <w:rFonts w:ascii="微软雅黑" w:hAnsi="微软雅黑" w:eastAsia="微软雅黑" w:cs="宋体"/>
    </w:rPr>
  </w:style>
  <w:style w:type="paragraph" w:customStyle="1" w:styleId="61">
    <w:name w:val="CM91"/>
    <w:basedOn w:val="50"/>
    <w:next w:val="50"/>
    <w:autoRedefine/>
    <w:qFormat/>
    <w:uiPriority w:val="0"/>
    <w:pPr>
      <w:spacing w:after="160"/>
    </w:pPr>
    <w:rPr>
      <w:color w:val="auto"/>
    </w:rPr>
  </w:style>
  <w:style w:type="paragraph" w:customStyle="1" w:styleId="62">
    <w:name w:val="_Style 46"/>
    <w:basedOn w:val="1"/>
    <w:autoRedefine/>
    <w:qFormat/>
    <w:uiPriority w:val="34"/>
    <w:pPr>
      <w:ind w:firstLine="420"/>
    </w:pPr>
  </w:style>
  <w:style w:type="paragraph" w:customStyle="1" w:styleId="63">
    <w:name w:val="Inside Address"/>
    <w:basedOn w:val="13"/>
    <w:autoRedefine/>
    <w:qFormat/>
    <w:uiPriority w:val="0"/>
    <w:pPr>
      <w:widowControl/>
      <w:overflowPunct w:val="0"/>
      <w:autoSpaceDE w:val="0"/>
      <w:autoSpaceDN w:val="0"/>
      <w:adjustRightInd w:val="0"/>
      <w:spacing w:after="0" w:line="220" w:lineRule="atLeast"/>
      <w:ind w:left="840" w:right="-360"/>
      <w:jc w:val="left"/>
      <w:textAlignment w:val="baseline"/>
    </w:pPr>
    <w:rPr>
      <w:kern w:val="0"/>
      <w:sz w:val="20"/>
    </w:rPr>
  </w:style>
  <w:style w:type="paragraph" w:customStyle="1" w:styleId="64">
    <w:name w:val="Char2"/>
    <w:basedOn w:val="1"/>
    <w:autoRedefine/>
    <w:qFormat/>
    <w:uiPriority w:val="0"/>
    <w:pPr>
      <w:ind w:left="432" w:hanging="432"/>
    </w:pPr>
    <w:rPr>
      <w:rFonts w:ascii="Calibri" w:hAnsi="Calibri"/>
      <w:szCs w:val="24"/>
    </w:rPr>
  </w:style>
  <w:style w:type="paragraph" w:customStyle="1" w:styleId="65">
    <w:name w:val="（符号）三标题1.1"/>
    <w:basedOn w:val="1"/>
    <w:autoRedefine/>
    <w:qFormat/>
    <w:uiPriority w:val="0"/>
    <w:pPr>
      <w:numPr>
        <w:ilvl w:val="1"/>
        <w:numId w:val="3"/>
      </w:numPr>
      <w:tabs>
        <w:tab w:val="left" w:pos="700"/>
      </w:tabs>
      <w:spacing w:line="500" w:lineRule="exact"/>
    </w:pPr>
    <w:rPr>
      <w:rFonts w:ascii="宋体" w:hAnsi="宋体"/>
      <w:sz w:val="24"/>
      <w:szCs w:val="24"/>
    </w:rPr>
  </w:style>
  <w:style w:type="paragraph" w:customStyle="1" w:styleId="66">
    <w:name w:val="Z正文"/>
    <w:autoRedefine/>
    <w:qFormat/>
    <w:uiPriority w:val="0"/>
    <w:pPr>
      <w:spacing w:line="360" w:lineRule="auto"/>
      <w:ind w:firstLine="480" w:firstLineChars="200"/>
      <w:jc w:val="both"/>
    </w:pPr>
    <w:rPr>
      <w:rFonts w:ascii="宋体" w:hAnsi="宋体" w:eastAsia="宋体" w:cs="Calibri"/>
      <w:sz w:val="24"/>
      <w:lang w:val="en-US" w:eastAsia="zh-CN" w:bidi="ar-SA"/>
    </w:rPr>
  </w:style>
  <w:style w:type="paragraph" w:customStyle="1" w:styleId="67">
    <w:name w:val="修订1"/>
    <w:autoRedefine/>
    <w:unhideWhenUsed/>
    <w:qFormat/>
    <w:uiPriority w:val="99"/>
    <w:rPr>
      <w:rFonts w:ascii="Times New Roman" w:hAnsi="Times New Roman" w:eastAsia="宋体" w:cs="Times New Roman"/>
      <w:kern w:val="2"/>
      <w:sz w:val="21"/>
      <w:lang w:val="en-US" w:eastAsia="zh-CN" w:bidi="ar-SA"/>
    </w:rPr>
  </w:style>
  <w:style w:type="paragraph" w:customStyle="1" w:styleId="68">
    <w:name w:val="Char"/>
    <w:basedOn w:val="1"/>
    <w:autoRedefine/>
    <w:qFormat/>
    <w:uiPriority w:val="0"/>
    <w:pPr>
      <w:widowControl/>
      <w:spacing w:after="160" w:line="240" w:lineRule="exact"/>
      <w:jc w:val="left"/>
    </w:pPr>
    <w:rPr>
      <w:rFonts w:ascii="Calibri" w:hAnsi="Calibri"/>
    </w:rPr>
  </w:style>
  <w:style w:type="paragraph" w:customStyle="1" w:styleId="69">
    <w:name w:val="列出段落1"/>
    <w:basedOn w:val="1"/>
    <w:autoRedefine/>
    <w:qFormat/>
    <w:uiPriority w:val="0"/>
    <w:pPr>
      <w:ind w:firstLine="420" w:firstLineChars="200"/>
    </w:pPr>
    <w:rPr>
      <w:rFonts w:ascii="Calibri" w:hAnsi="Calibri"/>
    </w:rPr>
  </w:style>
  <w:style w:type="paragraph" w:customStyle="1" w:styleId="70">
    <w:name w:val="编号"/>
    <w:basedOn w:val="1"/>
    <w:next w:val="1"/>
    <w:autoRedefine/>
    <w:qFormat/>
    <w:uiPriority w:val="0"/>
    <w:pPr>
      <w:tabs>
        <w:tab w:val="left" w:pos="480"/>
      </w:tabs>
      <w:spacing w:line="360" w:lineRule="auto"/>
      <w:ind w:left="200" w:hanging="200" w:hangingChars="200"/>
    </w:pPr>
    <w:rPr>
      <w:rFonts w:ascii="宋体"/>
      <w:sz w:val="24"/>
    </w:rPr>
  </w:style>
  <w:style w:type="paragraph" w:customStyle="1" w:styleId="71">
    <w:name w:val="*正文"/>
    <w:basedOn w:val="57"/>
    <w:link w:val="88"/>
    <w:autoRedefine/>
    <w:qFormat/>
    <w:uiPriority w:val="0"/>
    <w:pPr>
      <w:ind w:firstLine="200"/>
    </w:pPr>
    <w:rPr>
      <w:rFonts w:ascii="Calibri" w:hAnsi="Calibri"/>
    </w:rPr>
  </w:style>
  <w:style w:type="paragraph" w:customStyle="1" w:styleId="72">
    <w:name w:val="Content"/>
    <w:basedOn w:val="13"/>
    <w:autoRedefine/>
    <w:qFormat/>
    <w:uiPriority w:val="0"/>
    <w:pPr>
      <w:spacing w:after="0" w:line="360" w:lineRule="auto"/>
      <w:ind w:firstLine="480"/>
    </w:pPr>
    <w:rPr>
      <w:rFonts w:eastAsia="全真簡粗明"/>
      <w:snapToGrid w:val="0"/>
      <w:kern w:val="0"/>
      <w:sz w:val="24"/>
      <w:lang w:eastAsia="zh-TW"/>
    </w:rPr>
  </w:style>
  <w:style w:type="paragraph" w:customStyle="1" w:styleId="73">
    <w:name w:val="抬头"/>
    <w:basedOn w:val="1"/>
    <w:autoRedefine/>
    <w:qFormat/>
    <w:uiPriority w:val="0"/>
    <w:pPr>
      <w:spacing w:before="156" w:line="360" w:lineRule="auto"/>
    </w:pPr>
    <w:rPr>
      <w:rFonts w:ascii="宋体"/>
      <w:sz w:val="24"/>
    </w:rPr>
  </w:style>
  <w:style w:type="paragraph" w:customStyle="1" w:styleId="74">
    <w:name w:val="Company Name"/>
    <w:basedOn w:val="1"/>
    <w:next w:val="1"/>
    <w:autoRedefine/>
    <w:qFormat/>
    <w:uiPriority w:val="0"/>
    <w:pPr>
      <w:widowControl/>
      <w:overflowPunct w:val="0"/>
      <w:autoSpaceDE w:val="0"/>
      <w:autoSpaceDN w:val="0"/>
      <w:adjustRightInd w:val="0"/>
      <w:spacing w:before="100" w:after="600" w:line="600" w:lineRule="atLeast"/>
      <w:ind w:left="840" w:right="-360"/>
      <w:jc w:val="left"/>
      <w:textAlignment w:val="baseline"/>
    </w:pPr>
    <w:rPr>
      <w:spacing w:val="-34"/>
      <w:kern w:val="0"/>
      <w:sz w:val="60"/>
    </w:rPr>
  </w:style>
  <w:style w:type="paragraph" w:customStyle="1" w:styleId="75">
    <w:name w:val="(符号)标书正文"/>
    <w:basedOn w:val="1"/>
    <w:autoRedefine/>
    <w:qFormat/>
    <w:uiPriority w:val="0"/>
    <w:pPr>
      <w:spacing w:line="420" w:lineRule="exact"/>
      <w:ind w:firstLine="480" w:firstLineChars="200"/>
      <w:jc w:val="left"/>
    </w:pPr>
    <w:rPr>
      <w:rFonts w:ascii="宋体" w:hAnsi="宋体" w:cs="宋体"/>
      <w:color w:val="000000"/>
      <w:sz w:val="24"/>
      <w:szCs w:val="24"/>
    </w:rPr>
  </w:style>
  <w:style w:type="paragraph" w:customStyle="1" w:styleId="76">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77">
    <w:name w:val="列出段落2"/>
    <w:basedOn w:val="1"/>
    <w:autoRedefine/>
    <w:qFormat/>
    <w:uiPriority w:val="0"/>
    <w:pPr>
      <w:ind w:firstLine="420" w:firstLineChars="200"/>
    </w:pPr>
    <w:rPr>
      <w:rFonts w:ascii="Calibri" w:hAnsi="Calibri"/>
      <w:szCs w:val="22"/>
    </w:rPr>
  </w:style>
  <w:style w:type="paragraph" w:customStyle="1" w:styleId="78">
    <w:name w:val="Char1"/>
    <w:basedOn w:val="1"/>
    <w:autoRedefine/>
    <w:qFormat/>
    <w:uiPriority w:val="0"/>
    <w:pPr>
      <w:widowControl/>
      <w:spacing w:after="160" w:line="240" w:lineRule="exact"/>
      <w:jc w:val="left"/>
    </w:pPr>
    <w:rPr>
      <w:szCs w:val="24"/>
    </w:rPr>
  </w:style>
  <w:style w:type="paragraph" w:customStyle="1" w:styleId="79">
    <w:name w:val="横表格"/>
    <w:basedOn w:val="1"/>
    <w:autoRedefine/>
    <w:qFormat/>
    <w:uiPriority w:val="0"/>
    <w:pPr>
      <w:tabs>
        <w:tab w:val="left" w:pos="1200"/>
      </w:tabs>
      <w:spacing w:line="360" w:lineRule="exact"/>
      <w:ind w:right="-98"/>
      <w:jc w:val="center"/>
    </w:pPr>
    <w:rPr>
      <w:rFonts w:ascii="宋体" w:hAnsi="宋体"/>
      <w:sz w:val="24"/>
    </w:rPr>
  </w:style>
  <w:style w:type="paragraph" w:customStyle="1" w:styleId="80">
    <w:name w:val="TOC 标题1"/>
    <w:basedOn w:val="3"/>
    <w:next w:val="1"/>
    <w:autoRedefine/>
    <w:qFormat/>
    <w:uiPriority w:val="39"/>
    <w:pPr>
      <w:widowControl/>
      <w:adjustRightInd/>
      <w:spacing w:before="240" w:line="259" w:lineRule="auto"/>
      <w:jc w:val="left"/>
      <w:outlineLvl w:val="9"/>
    </w:pPr>
    <w:rPr>
      <w:rFonts w:ascii="等线 Light" w:hAnsi="等线 Light" w:eastAsia="等线 Light"/>
      <w:b w:val="0"/>
      <w:color w:val="2E74B5"/>
      <w:kern w:val="0"/>
      <w:sz w:val="32"/>
      <w:szCs w:val="32"/>
    </w:rPr>
  </w:style>
  <w:style w:type="character" w:customStyle="1" w:styleId="81">
    <w:name w:val="font71"/>
    <w:basedOn w:val="36"/>
    <w:autoRedefine/>
    <w:qFormat/>
    <w:uiPriority w:val="0"/>
    <w:rPr>
      <w:rFonts w:hint="eastAsia" w:ascii="宋体" w:hAnsi="宋体" w:eastAsia="宋体" w:cs="宋体"/>
      <w:color w:val="000000"/>
      <w:sz w:val="22"/>
      <w:szCs w:val="22"/>
      <w:u w:val="none"/>
    </w:rPr>
  </w:style>
  <w:style w:type="character" w:customStyle="1" w:styleId="82">
    <w:name w:val="文档结构图 字符"/>
    <w:autoRedefine/>
    <w:qFormat/>
    <w:uiPriority w:val="0"/>
    <w:rPr>
      <w:rFonts w:ascii="宋体"/>
      <w:kern w:val="2"/>
      <w:sz w:val="16"/>
      <w:szCs w:val="16"/>
    </w:rPr>
  </w:style>
  <w:style w:type="character" w:customStyle="1" w:styleId="83">
    <w:name w:val="页脚 字符"/>
    <w:basedOn w:val="36"/>
    <w:link w:val="21"/>
    <w:autoRedefine/>
    <w:qFormat/>
    <w:uiPriority w:val="99"/>
    <w:rPr>
      <w:kern w:val="2"/>
      <w:sz w:val="18"/>
    </w:rPr>
  </w:style>
  <w:style w:type="character" w:customStyle="1" w:styleId="84">
    <w:name w:val="批注框文本 字符"/>
    <w:autoRedefine/>
    <w:qFormat/>
    <w:uiPriority w:val="0"/>
    <w:rPr>
      <w:kern w:val="2"/>
      <w:sz w:val="18"/>
      <w:szCs w:val="18"/>
    </w:rPr>
  </w:style>
  <w:style w:type="character" w:customStyle="1" w:styleId="85">
    <w:name w:val="批注框文本 字符1"/>
    <w:link w:val="20"/>
    <w:autoRedefine/>
    <w:qFormat/>
    <w:uiPriority w:val="0"/>
    <w:rPr>
      <w:kern w:val="2"/>
      <w:sz w:val="18"/>
      <w:szCs w:val="18"/>
    </w:rPr>
  </w:style>
  <w:style w:type="character" w:customStyle="1" w:styleId="86">
    <w:name w:val="页眉[858D7CFB-ED40-4347-BF05-701D383B685F]"/>
    <w:autoRedefine/>
    <w:qFormat/>
    <w:uiPriority w:val="0"/>
    <w:rPr>
      <w:rFonts w:eastAsia="宋体"/>
      <w:kern w:val="2"/>
      <w:sz w:val="18"/>
      <w:lang w:val="en-US" w:eastAsia="zh-CN"/>
    </w:rPr>
  </w:style>
  <w:style w:type="character" w:customStyle="1" w:styleId="87">
    <w:name w:val="Char Char2"/>
    <w:basedOn w:val="36"/>
    <w:autoRedefine/>
    <w:qFormat/>
    <w:uiPriority w:val="0"/>
    <w:rPr>
      <w:rFonts w:ascii="宋体" w:hAnsi="宋体" w:cs="宋体"/>
      <w:sz w:val="24"/>
      <w:szCs w:val="24"/>
    </w:rPr>
  </w:style>
  <w:style w:type="character" w:customStyle="1" w:styleId="88">
    <w:name w:val="*正文 Char"/>
    <w:link w:val="71"/>
    <w:autoRedefine/>
    <w:qFormat/>
    <w:uiPriority w:val="0"/>
    <w:rPr>
      <w:rFonts w:ascii="Calibri" w:hAnsi="Calibri"/>
      <w:kern w:val="2"/>
      <w:sz w:val="24"/>
      <w:szCs w:val="24"/>
    </w:rPr>
  </w:style>
  <w:style w:type="character" w:customStyle="1" w:styleId="89">
    <w:name w:val="标题 3 Char"/>
    <w:autoRedefine/>
    <w:qFormat/>
    <w:uiPriority w:val="0"/>
    <w:rPr>
      <w:rFonts w:ascii="Arial" w:hAnsi="Arial" w:eastAsia="黑体"/>
      <w:b/>
      <w:sz w:val="28"/>
      <w:lang w:val="en-US" w:eastAsia="zh-CN"/>
    </w:rPr>
  </w:style>
  <w:style w:type="character" w:customStyle="1" w:styleId="90">
    <w:name w:val="纯文本 字符1"/>
    <w:link w:val="2"/>
    <w:autoRedefine/>
    <w:qFormat/>
    <w:uiPriority w:val="0"/>
    <w:rPr>
      <w:rFonts w:ascii="宋体" w:hAnsi="Courier New"/>
      <w:kern w:val="2"/>
      <w:sz w:val="21"/>
    </w:rPr>
  </w:style>
  <w:style w:type="character" w:customStyle="1" w:styleId="91">
    <w:name w:val="font11"/>
    <w:basedOn w:val="36"/>
    <w:autoRedefine/>
    <w:qFormat/>
    <w:uiPriority w:val="0"/>
    <w:rPr>
      <w:rFonts w:hint="eastAsia" w:ascii="宋体" w:hAnsi="宋体" w:eastAsia="宋体"/>
      <w:color w:val="000000"/>
      <w:sz w:val="18"/>
      <w:u w:val="none"/>
    </w:rPr>
  </w:style>
  <w:style w:type="character" w:customStyle="1" w:styleId="92">
    <w:name w:val="批注主题 字符"/>
    <w:autoRedefine/>
    <w:qFormat/>
    <w:uiPriority w:val="0"/>
    <w:rPr>
      <w:b/>
      <w:bCs/>
      <w:kern w:val="2"/>
      <w:sz w:val="21"/>
    </w:rPr>
  </w:style>
  <w:style w:type="character" w:customStyle="1" w:styleId="93">
    <w:name w:val="font51"/>
    <w:basedOn w:val="36"/>
    <w:autoRedefine/>
    <w:qFormat/>
    <w:uiPriority w:val="0"/>
    <w:rPr>
      <w:rFonts w:hint="default" w:ascii="Times New Roman" w:hAnsi="Times New Roman" w:cs="Times New Roman"/>
      <w:color w:val="000000"/>
      <w:sz w:val="22"/>
      <w:szCs w:val="22"/>
      <w:u w:val="none"/>
    </w:rPr>
  </w:style>
  <w:style w:type="character" w:customStyle="1" w:styleId="94">
    <w:name w:val="font41"/>
    <w:basedOn w:val="36"/>
    <w:autoRedefine/>
    <w:qFormat/>
    <w:uiPriority w:val="0"/>
    <w:rPr>
      <w:rFonts w:hint="eastAsia" w:ascii="宋体" w:hAnsi="宋体" w:eastAsia="宋体" w:cs="宋体"/>
      <w:color w:val="000000"/>
      <w:sz w:val="22"/>
      <w:szCs w:val="22"/>
      <w:u w:val="none"/>
    </w:rPr>
  </w:style>
  <w:style w:type="character" w:customStyle="1" w:styleId="95">
    <w:name w:val="font61"/>
    <w:basedOn w:val="36"/>
    <w:autoRedefine/>
    <w:qFormat/>
    <w:uiPriority w:val="0"/>
    <w:rPr>
      <w:rFonts w:hint="eastAsia" w:ascii="宋体" w:hAnsi="宋体" w:eastAsia="宋体" w:cs="宋体"/>
      <w:b/>
      <w:color w:val="000000"/>
      <w:sz w:val="22"/>
      <w:szCs w:val="22"/>
      <w:u w:val="none"/>
    </w:rPr>
  </w:style>
  <w:style w:type="character" w:customStyle="1" w:styleId="96">
    <w:name w:val="页眉 字符"/>
    <w:basedOn w:val="36"/>
    <w:link w:val="22"/>
    <w:autoRedefine/>
    <w:qFormat/>
    <w:uiPriority w:val="99"/>
    <w:rPr>
      <w:kern w:val="2"/>
      <w:sz w:val="18"/>
    </w:rPr>
  </w:style>
  <w:style w:type="character" w:customStyle="1" w:styleId="97">
    <w:name w:val="font31"/>
    <w:basedOn w:val="36"/>
    <w:autoRedefine/>
    <w:qFormat/>
    <w:uiPriority w:val="0"/>
    <w:rPr>
      <w:rFonts w:hint="eastAsia" w:ascii="宋体" w:hAnsi="宋体" w:eastAsia="宋体" w:cs="宋体"/>
      <w:color w:val="000000"/>
      <w:sz w:val="22"/>
      <w:szCs w:val="22"/>
    </w:rPr>
  </w:style>
  <w:style w:type="character" w:customStyle="1" w:styleId="98">
    <w:name w:val="HTML 预设格式 字符"/>
    <w:basedOn w:val="36"/>
    <w:link w:val="28"/>
    <w:autoRedefine/>
    <w:qFormat/>
    <w:uiPriority w:val="0"/>
    <w:rPr>
      <w:rFonts w:ascii="Courier New" w:hAnsi="Courier New" w:cs="Courier New"/>
      <w:kern w:val="2"/>
    </w:rPr>
  </w:style>
  <w:style w:type="character" w:customStyle="1" w:styleId="99">
    <w:name w:val="批注主题 字符1"/>
    <w:link w:val="31"/>
    <w:autoRedefine/>
    <w:qFormat/>
    <w:uiPriority w:val="0"/>
    <w:rPr>
      <w:b/>
      <w:bCs/>
      <w:kern w:val="2"/>
      <w:sz w:val="21"/>
    </w:rPr>
  </w:style>
  <w:style w:type="character" w:customStyle="1" w:styleId="100">
    <w:name w:val="font21"/>
    <w:basedOn w:val="36"/>
    <w:autoRedefine/>
    <w:qFormat/>
    <w:uiPriority w:val="0"/>
    <w:rPr>
      <w:rFonts w:hint="eastAsia" w:ascii="宋体" w:hAnsi="宋体" w:eastAsia="宋体"/>
      <w:color w:val="000000"/>
      <w:sz w:val="18"/>
      <w:u w:val="none"/>
    </w:rPr>
  </w:style>
  <w:style w:type="character" w:customStyle="1" w:styleId="101">
    <w:name w:val="font01"/>
    <w:autoRedefine/>
    <w:qFormat/>
    <w:uiPriority w:val="0"/>
    <w:rPr>
      <w:rFonts w:ascii="Calibri" w:hAnsi="Calibri" w:cs="Calibri"/>
      <w:b/>
      <w:color w:val="000000"/>
      <w:sz w:val="22"/>
      <w:szCs w:val="22"/>
      <w:u w:val="none"/>
    </w:rPr>
  </w:style>
  <w:style w:type="character" w:customStyle="1" w:styleId="102">
    <w:name w:val="普通(网站) 字符"/>
    <w:link w:val="29"/>
    <w:autoRedefine/>
    <w:qFormat/>
    <w:uiPriority w:val="0"/>
    <w:rPr>
      <w:rFonts w:ascii="宋体" w:hAnsi="宋体"/>
      <w:color w:val="000000"/>
      <w:sz w:val="18"/>
    </w:rPr>
  </w:style>
  <w:style w:type="character" w:customStyle="1" w:styleId="103">
    <w:name w:val="标题 1 Char Char"/>
    <w:autoRedefine/>
    <w:qFormat/>
    <w:uiPriority w:val="0"/>
    <w:rPr>
      <w:rFonts w:eastAsia="黑体"/>
      <w:b/>
      <w:kern w:val="44"/>
      <w:sz w:val="28"/>
      <w:lang w:val="en-US" w:eastAsia="zh-CN"/>
    </w:rPr>
  </w:style>
  <w:style w:type="character" w:customStyle="1" w:styleId="104">
    <w:name w:val="页脚[858D7CFB-ED40-4347-BF05-701D383B685F]"/>
    <w:autoRedefine/>
    <w:qFormat/>
    <w:uiPriority w:val="0"/>
    <w:rPr>
      <w:rFonts w:eastAsia="宋体"/>
      <w:kern w:val="2"/>
      <w:sz w:val="18"/>
      <w:lang w:val="en-US" w:eastAsia="zh-CN"/>
    </w:rPr>
  </w:style>
  <w:style w:type="character" w:customStyle="1" w:styleId="105">
    <w:name w:val="批注文字 字符1"/>
    <w:link w:val="11"/>
    <w:autoRedefine/>
    <w:qFormat/>
    <w:uiPriority w:val="0"/>
    <w:rPr>
      <w:kern w:val="2"/>
      <w:sz w:val="21"/>
    </w:rPr>
  </w:style>
  <w:style w:type="character" w:customStyle="1" w:styleId="106">
    <w:name w:val="Default Char Char"/>
    <w:autoRedefine/>
    <w:qFormat/>
    <w:uiPriority w:val="0"/>
    <w:rPr>
      <w:rFonts w:ascii="宋体" w:hAnsi="宋体" w:eastAsia="宋体"/>
      <w:color w:val="000000"/>
      <w:sz w:val="24"/>
      <w:lang w:val="en-US" w:eastAsia="zh-CN"/>
    </w:rPr>
  </w:style>
  <w:style w:type="character" w:customStyle="1" w:styleId="107">
    <w:name w:val="文档结构图 字符1"/>
    <w:link w:val="9"/>
    <w:autoRedefine/>
    <w:qFormat/>
    <w:uiPriority w:val="0"/>
    <w:rPr>
      <w:rFonts w:ascii="宋体"/>
      <w:kern w:val="2"/>
      <w:sz w:val="16"/>
      <w:szCs w:val="16"/>
    </w:rPr>
  </w:style>
  <w:style w:type="character" w:customStyle="1" w:styleId="108">
    <w:name w:val="批注文字 字符"/>
    <w:autoRedefine/>
    <w:qFormat/>
    <w:uiPriority w:val="0"/>
    <w:rPr>
      <w:kern w:val="2"/>
      <w:sz w:val="21"/>
    </w:rPr>
  </w:style>
  <w:style w:type="character" w:customStyle="1" w:styleId="109">
    <w:name w:val="纯文本 字符"/>
    <w:autoRedefine/>
    <w:qFormat/>
    <w:uiPriority w:val="0"/>
    <w:rPr>
      <w:rFonts w:ascii="宋体" w:hAnsi="Courier New"/>
      <w:kern w:val="2"/>
      <w:sz w:val="21"/>
    </w:rPr>
  </w:style>
  <w:style w:type="character" w:customStyle="1" w:styleId="110">
    <w:name w:val="Plain Text Char"/>
    <w:autoRedefine/>
    <w:qFormat/>
    <w:uiPriority w:val="0"/>
    <w:rPr>
      <w:rFonts w:ascii="宋体" w:hAnsi="Courier New" w:eastAsia="宋体"/>
      <w:kern w:val="2"/>
      <w:sz w:val="21"/>
      <w:lang w:val="en-US" w:eastAsia="zh-CN"/>
    </w:rPr>
  </w:style>
  <w:style w:type="paragraph" w:customStyle="1" w:styleId="111">
    <w:name w:val="Blockquote"/>
    <w:basedOn w:val="112"/>
    <w:autoRedefine/>
    <w:qFormat/>
    <w:uiPriority w:val="99"/>
    <w:pPr>
      <w:autoSpaceDE w:val="0"/>
      <w:autoSpaceDN w:val="0"/>
      <w:adjustRightInd w:val="0"/>
      <w:ind w:left="360" w:right="360"/>
    </w:pPr>
  </w:style>
  <w:style w:type="paragraph" w:customStyle="1" w:styleId="112">
    <w:name w:val="正文1"/>
    <w:basedOn w:val="113"/>
    <w:autoRedefine/>
    <w:qFormat/>
    <w:uiPriority w:val="0"/>
    <w:rPr>
      <w:rFonts w:ascii="Times New Roman" w:hAnsi="Times New Roman"/>
      <w:szCs w:val="21"/>
    </w:rPr>
  </w:style>
  <w:style w:type="paragraph" w:customStyle="1" w:styleId="113">
    <w:name w:val="正文2"/>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4">
    <w:name w:val="_Style 2"/>
    <w:basedOn w:val="1"/>
    <w:autoRedefine/>
    <w:qFormat/>
    <w:uiPriority w:val="0"/>
  </w:style>
  <w:style w:type="paragraph" w:customStyle="1" w:styleId="115">
    <w:name w:val="Table Paragraph"/>
    <w:basedOn w:val="1"/>
    <w:autoRedefine/>
    <w:qFormat/>
    <w:uiPriority w:val="99"/>
    <w:rPr>
      <w:rFonts w:ascii="宋体" w:hAnsi="宋体" w:cs="宋体"/>
      <w:sz w:val="22"/>
      <w:szCs w:val="22"/>
      <w:lang w:eastAsia="en-US"/>
    </w:rPr>
  </w:style>
  <w:style w:type="character" w:customStyle="1" w:styleId="116">
    <w:name w:val="hover4"/>
    <w:basedOn w:val="36"/>
    <w:autoRedefine/>
    <w:qFormat/>
    <w:uiPriority w:val="0"/>
    <w:rPr>
      <w:color w:val="999999"/>
    </w:rPr>
  </w:style>
  <w:style w:type="paragraph" w:customStyle="1" w:styleId="117">
    <w:name w:val="1报告正文"/>
    <w:basedOn w:val="1"/>
    <w:autoRedefine/>
    <w:qFormat/>
    <w:uiPriority w:val="0"/>
    <w:pPr>
      <w:spacing w:line="360" w:lineRule="auto"/>
      <w:ind w:firstLine="200" w:firstLineChars="200"/>
    </w:pPr>
    <w:rPr>
      <w:rFonts w:ascii="宋体"/>
      <w:kern w:val="24"/>
      <w:sz w:val="24"/>
    </w:rPr>
  </w:style>
  <w:style w:type="character" w:customStyle="1" w:styleId="118">
    <w:name w:val="NormalCharacter"/>
    <w:autoRedefine/>
    <w:semiHidden/>
    <w:qFormat/>
    <w:uiPriority w:val="0"/>
    <w:rPr>
      <w:rFonts w:ascii="Times New Roman" w:hAnsi="Times New Roman" w:eastAsia="宋体" w:cs="Times New Roman"/>
      <w:kern w:val="2"/>
      <w:sz w:val="21"/>
      <w:lang w:val="en-US" w:eastAsia="zh-CN" w:bidi="ar-SA"/>
    </w:rPr>
  </w:style>
  <w:style w:type="character" w:customStyle="1" w:styleId="119">
    <w:name w:val="font81"/>
    <w:basedOn w:val="36"/>
    <w:autoRedefine/>
    <w:qFormat/>
    <w:uiPriority w:val="0"/>
    <w:rPr>
      <w:rFonts w:hint="eastAsia" w:ascii="宋体" w:hAnsi="宋体" w:eastAsia="宋体" w:cs="宋体"/>
      <w:color w:val="000000"/>
      <w:sz w:val="22"/>
      <w:szCs w:val="22"/>
      <w:u w:val="none"/>
    </w:rPr>
  </w:style>
  <w:style w:type="character" w:customStyle="1" w:styleId="120">
    <w:name w:val="font91"/>
    <w:basedOn w:val="36"/>
    <w:autoRedefine/>
    <w:qFormat/>
    <w:uiPriority w:val="0"/>
    <w:rPr>
      <w:rFonts w:hint="default" w:ascii="Times New Roman" w:hAnsi="Times New Roman" w:cs="Times New Roman"/>
      <w:color w:val="000000"/>
      <w:sz w:val="22"/>
      <w:szCs w:val="22"/>
      <w:u w:val="none"/>
    </w:rPr>
  </w:style>
  <w:style w:type="paragraph" w:customStyle="1" w:styleId="121">
    <w:name w:val="引文目录1"/>
    <w:basedOn w:val="1"/>
    <w:next w:val="1"/>
    <w:autoRedefine/>
    <w:qFormat/>
    <w:uiPriority w:val="0"/>
    <w:pPr>
      <w:ind w:left="420" w:leftChars="200"/>
    </w:pPr>
  </w:style>
  <w:style w:type="paragraph" w:customStyle="1" w:styleId="122">
    <w:name w:val="列表段落1"/>
    <w:basedOn w:val="1"/>
    <w:autoRedefine/>
    <w:qFormat/>
    <w:uiPriority w:val="1"/>
    <w:pPr>
      <w:ind w:left="1939" w:hanging="601"/>
    </w:pPr>
    <w:rPr>
      <w:rFonts w:ascii="宋体" w:hAnsi="宋体" w:cs="宋体"/>
      <w:lang w:val="zh-CN" w:bidi="zh-CN"/>
    </w:rPr>
  </w:style>
  <w:style w:type="character" w:customStyle="1" w:styleId="123">
    <w:name w:val="标题 2 字符"/>
    <w:link w:val="4"/>
    <w:autoRedefine/>
    <w:qFormat/>
    <w:uiPriority w:val="0"/>
    <w:rPr>
      <w:rFonts w:ascii="Arial" w:hAnsi="Arial" w:eastAsia="黑体"/>
      <w:b/>
      <w:sz w:val="32"/>
    </w:rPr>
  </w:style>
  <w:style w:type="paragraph" w:customStyle="1" w:styleId="124">
    <w:name w:val="style4"/>
    <w:basedOn w:val="112"/>
    <w:next w:val="125"/>
    <w:autoRedefine/>
    <w:qFormat/>
    <w:uiPriority w:val="0"/>
    <w:pPr>
      <w:spacing w:before="100" w:beforeAutospacing="1" w:after="100" w:afterAutospacing="1"/>
      <w:jc w:val="left"/>
    </w:pPr>
    <w:rPr>
      <w:rFonts w:ascii="宋体" w:hAnsi="宋体" w:cs="宋体"/>
      <w:kern w:val="0"/>
      <w:sz w:val="18"/>
      <w:szCs w:val="18"/>
    </w:rPr>
  </w:style>
  <w:style w:type="paragraph" w:customStyle="1" w:styleId="125">
    <w:name w:val="2"/>
    <w:basedOn w:val="1"/>
    <w:next w:val="1"/>
    <w:autoRedefine/>
    <w:qFormat/>
    <w:uiPriority w:val="0"/>
    <w:pPr>
      <w:spacing w:line="360" w:lineRule="auto"/>
    </w:pPr>
    <w:rPr>
      <w:rFonts w:eastAsia="仿宋_GB2312"/>
      <w:sz w:val="28"/>
      <w:szCs w:val="28"/>
    </w:rPr>
  </w:style>
  <w:style w:type="paragraph" w:customStyle="1" w:styleId="126">
    <w:name w:val="正文缩进2字符"/>
    <w:autoRedefine/>
    <w:qFormat/>
    <w:uiPriority w:val="0"/>
    <w:pPr>
      <w:tabs>
        <w:tab w:val="center" w:pos="2185"/>
      </w:tabs>
      <w:spacing w:line="360" w:lineRule="auto"/>
      <w:ind w:firstLine="200" w:firstLineChars="200"/>
    </w:pPr>
    <w:rPr>
      <w:rFonts w:eastAsia="仿宋" w:asciiTheme="minorHAnsi" w:hAnsiTheme="minorHAnsi" w:cstheme="minorBidi"/>
      <w:sz w:val="28"/>
      <w:szCs w:val="24"/>
      <w:lang w:val="en-US" w:eastAsia="zh-CN" w:bidi="ar-SA"/>
    </w:rPr>
  </w:style>
  <w:style w:type="paragraph" w:customStyle="1" w:styleId="127">
    <w:name w:val="表格文字"/>
    <w:basedOn w:val="1"/>
    <w:autoRedefine/>
    <w:qFormat/>
    <w:uiPriority w:val="0"/>
    <w:pPr>
      <w:adjustRightInd w:val="0"/>
      <w:spacing w:line="420" w:lineRule="atLeast"/>
      <w:jc w:val="left"/>
      <w:textAlignment w:val="baseline"/>
    </w:pPr>
    <w:rPr>
      <w:kern w:val="0"/>
    </w:rPr>
  </w:style>
  <w:style w:type="character" w:customStyle="1" w:styleId="128">
    <w:name w:val="font111"/>
    <w:basedOn w:val="36"/>
    <w:autoRedefine/>
    <w:qFormat/>
    <w:uiPriority w:val="0"/>
    <w:rPr>
      <w:rFonts w:hint="default" w:ascii="Times New Roman" w:hAnsi="Times New Roman" w:cs="Times New Roman"/>
      <w:color w:val="000000"/>
      <w:sz w:val="18"/>
      <w:szCs w:val="18"/>
      <w:u w:val="none"/>
    </w:rPr>
  </w:style>
  <w:style w:type="character" w:customStyle="1" w:styleId="129">
    <w:name w:val="font122"/>
    <w:basedOn w:val="36"/>
    <w:autoRedefine/>
    <w:qFormat/>
    <w:uiPriority w:val="0"/>
    <w:rPr>
      <w:rFonts w:ascii="宋体" w:hAnsi="宋体" w:eastAsia="宋体" w:cs="宋体"/>
      <w:color w:val="000000"/>
      <w:sz w:val="20"/>
      <w:szCs w:val="20"/>
      <w:u w:val="none"/>
    </w:rPr>
  </w:style>
  <w:style w:type="paragraph" w:customStyle="1" w:styleId="130">
    <w:name w:val="框架内容"/>
    <w:basedOn w:val="1"/>
    <w:autoRedefine/>
    <w:qFormat/>
    <w:uiPriority w:val="0"/>
  </w:style>
  <w:style w:type="paragraph" w:customStyle="1" w:styleId="131">
    <w:name w:val="WPSOffice手动目录 1"/>
    <w:autoRedefine/>
    <w:qFormat/>
    <w:uiPriority w:val="0"/>
    <w:rPr>
      <w:rFonts w:ascii="Times New Roman" w:hAnsi="Times New Roman" w:eastAsia="宋体" w:cs="Times New Roman"/>
      <w:lang w:val="en-US" w:eastAsia="zh-CN" w:bidi="ar-SA"/>
    </w:rPr>
  </w:style>
  <w:style w:type="paragraph" w:customStyle="1" w:styleId="132">
    <w:name w:val="样式 正文001 + 首行缩进:  2 字符1"/>
    <w:basedOn w:val="1"/>
    <w:autoRedefine/>
    <w:qFormat/>
    <w:uiPriority w:val="0"/>
    <w:pPr>
      <w:spacing w:before="60" w:line="460" w:lineRule="exact"/>
      <w:ind w:firstLine="480" w:firstLineChars="200"/>
    </w:pPr>
    <w:rPr>
      <w:rFonts w:ascii="宋体" w:hAnsi="宋体"/>
      <w:sz w:val="24"/>
      <w:szCs w:val="22"/>
    </w:rPr>
  </w:style>
  <w:style w:type="paragraph" w:customStyle="1" w:styleId="133">
    <w:name w:val="样式 小四 加粗 行距: 多倍行距 1.25 字行"/>
    <w:basedOn w:val="1"/>
    <w:qFormat/>
    <w:uiPriority w:val="0"/>
    <w:pPr>
      <w:numPr>
        <w:ilvl w:val="0"/>
        <w:numId w:val="4"/>
      </w:numPr>
      <w:tabs>
        <w:tab w:val="left" w:pos="1527"/>
      </w:tabs>
      <w:spacing w:before="50" w:beforeLines="50" w:after="50" w:afterLines="50" w:line="300" w:lineRule="auto"/>
    </w:pPr>
    <w:rPr>
      <w:rFonts w:cs="宋体"/>
      <w:b/>
      <w:bCs/>
      <w:sz w:val="24"/>
    </w:rPr>
  </w:style>
  <w:style w:type="paragraph" w:customStyle="1" w:styleId="134">
    <w:name w:val="正文缩进1"/>
    <w:basedOn w:val="1"/>
    <w:autoRedefine/>
    <w:qFormat/>
    <w:uiPriority w:val="0"/>
    <w:pPr>
      <w:ind w:firstLine="420" w:firstLineChars="200"/>
    </w:pPr>
  </w:style>
  <w:style w:type="paragraph" w:customStyle="1" w:styleId="135">
    <w:name w:val="无间隔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6">
    <w:name w:val="Normal_0"/>
    <w:autoRedefine/>
    <w:qFormat/>
    <w:uiPriority w:val="0"/>
    <w:pPr>
      <w:widowControl w:val="0"/>
      <w:jc w:val="both"/>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qwe</Company>
  <Pages>67</Pages>
  <Words>15866</Words>
  <Characters>17794</Characters>
  <Lines>1294</Lines>
  <Paragraphs>1099</Paragraphs>
  <TotalTime>12</TotalTime>
  <ScaleCrop>false</ScaleCrop>
  <LinksUpToDate>false</LinksUpToDate>
  <CharactersWithSpaces>18095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2025-07-01T09:07:00Z</dcterms:created>
  <dc:creator>erq</dc:creator>
  <cp:lastModifiedBy>小西瓜</cp:lastModifiedBy>
  <cp:lastPrinted>2025-07-09T06:04:00Z</cp:lastPrinted>
  <dcterms:modified xsi:type="dcterms:W3CDTF">2025-07-17T04:27:33Z</dcterms:modified>
  <dc:title>目  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51E055CEB1DF441C9F4533B30D3CAD00_13</vt:lpwstr>
  </property>
  <property fmtid="{D5CDD505-2E9C-101B-9397-08002B2CF9AE}" pid="4" name="KSOTemplateDocerSaveRecord">
    <vt:lpwstr>eyJoZGlkIjoiYWE2MjA0ZWFmMzJiZDY5NjliNGUxZGI4NWNiZDc2Y2UiLCJ1c2VySWQiOiIzNTI0Mjk1NjYifQ==</vt:lpwstr>
  </property>
</Properties>
</file>