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BD6453">
      <w:pPr>
        <w:adjustRightInd w:val="0"/>
        <w:snapToGrid w:val="0"/>
        <w:spacing w:line="288" w:lineRule="auto"/>
        <w:ind w:left="238"/>
        <w:jc w:val="center"/>
        <w:outlineLvl w:val="0"/>
        <w:rPr>
          <w:rFonts w:ascii="宋体" w:hAnsi="宋体"/>
          <w:b/>
          <w:bCs/>
          <w:sz w:val="32"/>
          <w:szCs w:val="32"/>
          <w:highlight w:val="none"/>
        </w:rPr>
      </w:pPr>
      <w:bookmarkStart w:id="3" w:name="_GoBack"/>
      <w:bookmarkEnd w:id="3"/>
      <w:r>
        <w:rPr>
          <w:rFonts w:hint="eastAsia" w:ascii="宋体" w:hAnsi="宋体"/>
          <w:b/>
          <w:bCs/>
          <w:sz w:val="32"/>
          <w:szCs w:val="32"/>
          <w:highlight w:val="none"/>
        </w:rPr>
        <w:t>采购需求</w:t>
      </w:r>
    </w:p>
    <w:p w14:paraId="21637093">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一</w:t>
      </w:r>
      <w:r>
        <w:rPr>
          <w:rFonts w:ascii="宋体" w:hAnsi="宋体"/>
          <w:b/>
          <w:sz w:val="21"/>
          <w:szCs w:val="21"/>
          <w:highlight w:val="none"/>
        </w:rPr>
        <w:t>、</w:t>
      </w:r>
      <w:r>
        <w:rPr>
          <w:rFonts w:hint="eastAsia" w:ascii="宋体" w:hAnsi="宋体"/>
          <w:b/>
          <w:sz w:val="21"/>
          <w:szCs w:val="21"/>
          <w:highlight w:val="none"/>
        </w:rPr>
        <w:t>为落实政府采购政策需满足的要求：</w:t>
      </w:r>
    </w:p>
    <w:tbl>
      <w:tblPr>
        <w:tblStyle w:val="2"/>
        <w:tblW w:w="949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0860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5AD12611">
            <w:pPr>
              <w:adjustRightInd w:val="0"/>
              <w:snapToGrid w:val="0"/>
              <w:spacing w:line="288" w:lineRule="auto"/>
              <w:jc w:val="center"/>
              <w:rPr>
                <w:rFonts w:ascii="宋体" w:hAnsi="宋体" w:cs="宋体"/>
                <w:b/>
                <w:bCs/>
                <w:sz w:val="21"/>
                <w:szCs w:val="21"/>
                <w:highlight w:val="none"/>
              </w:rPr>
            </w:pPr>
            <w:bookmarkStart w:id="0" w:name="_Hlk45005599"/>
            <w:r>
              <w:rPr>
                <w:rFonts w:hint="eastAsia" w:ascii="宋体" w:hAnsi="宋体" w:cs="宋体"/>
                <w:b/>
                <w:bCs/>
                <w:sz w:val="21"/>
                <w:szCs w:val="21"/>
                <w:highlight w:val="none"/>
              </w:rPr>
              <w:t>序号</w:t>
            </w:r>
          </w:p>
        </w:tc>
        <w:tc>
          <w:tcPr>
            <w:tcW w:w="3256" w:type="dxa"/>
            <w:noWrap w:val="0"/>
            <w:vAlign w:val="center"/>
          </w:tcPr>
          <w:p w14:paraId="6DEF76EC">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政策名称</w:t>
            </w:r>
          </w:p>
        </w:tc>
        <w:tc>
          <w:tcPr>
            <w:tcW w:w="5529" w:type="dxa"/>
            <w:noWrap w:val="0"/>
            <w:vAlign w:val="center"/>
          </w:tcPr>
          <w:p w14:paraId="6F503F43">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内容</w:t>
            </w:r>
          </w:p>
        </w:tc>
      </w:tr>
      <w:tr w14:paraId="685E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4662924D">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1</w:t>
            </w:r>
          </w:p>
        </w:tc>
        <w:tc>
          <w:tcPr>
            <w:tcW w:w="3256" w:type="dxa"/>
            <w:noWrap w:val="0"/>
            <w:vAlign w:val="center"/>
          </w:tcPr>
          <w:p w14:paraId="04F13922">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政府采购进口产品</w:t>
            </w:r>
          </w:p>
        </w:tc>
        <w:tc>
          <w:tcPr>
            <w:tcW w:w="5529" w:type="dxa"/>
            <w:noWrap w:val="0"/>
            <w:vAlign w:val="center"/>
          </w:tcPr>
          <w:p w14:paraId="526B71A0">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允许采购进口产品</w:t>
            </w:r>
          </w:p>
        </w:tc>
      </w:tr>
      <w:tr w14:paraId="70678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17A1C5AD">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2</w:t>
            </w:r>
          </w:p>
        </w:tc>
        <w:tc>
          <w:tcPr>
            <w:tcW w:w="3256" w:type="dxa"/>
            <w:noWrap w:val="0"/>
            <w:vAlign w:val="center"/>
          </w:tcPr>
          <w:p w14:paraId="4485A041">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政府强制采购节能产品</w:t>
            </w:r>
          </w:p>
        </w:tc>
        <w:tc>
          <w:tcPr>
            <w:tcW w:w="5529" w:type="dxa"/>
            <w:noWrap w:val="0"/>
            <w:vAlign w:val="center"/>
          </w:tcPr>
          <w:p w14:paraId="5FED1FD7">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不适用</w:t>
            </w:r>
          </w:p>
        </w:tc>
      </w:tr>
      <w:tr w14:paraId="05CA5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3F6D02C0">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3</w:t>
            </w:r>
          </w:p>
        </w:tc>
        <w:tc>
          <w:tcPr>
            <w:tcW w:w="3256" w:type="dxa"/>
            <w:noWrap w:val="0"/>
            <w:vAlign w:val="center"/>
          </w:tcPr>
          <w:p w14:paraId="33B3E7AB">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政府优先采购节能、环保产品</w:t>
            </w:r>
          </w:p>
        </w:tc>
        <w:tc>
          <w:tcPr>
            <w:tcW w:w="5529" w:type="dxa"/>
            <w:noWrap w:val="0"/>
            <w:vAlign w:val="center"/>
          </w:tcPr>
          <w:p w14:paraId="354ADAC2">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不适用</w:t>
            </w:r>
          </w:p>
        </w:tc>
      </w:tr>
      <w:tr w14:paraId="2A03F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7F045DA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4</w:t>
            </w:r>
          </w:p>
        </w:tc>
        <w:tc>
          <w:tcPr>
            <w:tcW w:w="3256" w:type="dxa"/>
            <w:noWrap w:val="0"/>
            <w:vAlign w:val="center"/>
          </w:tcPr>
          <w:p w14:paraId="3FEC59BE">
            <w:pPr>
              <w:adjustRightInd w:val="0"/>
              <w:snapToGrid w:val="0"/>
              <w:spacing w:line="288" w:lineRule="auto"/>
              <w:jc w:val="left"/>
              <w:rPr>
                <w:rFonts w:ascii="宋体" w:hAnsi="宋体" w:cs="宋体"/>
                <w:color w:val="auto"/>
                <w:sz w:val="21"/>
                <w:szCs w:val="16"/>
                <w:highlight w:val="none"/>
              </w:rPr>
            </w:pPr>
            <w:r>
              <w:rPr>
                <w:rFonts w:hint="eastAsia" w:ascii="宋体" w:hAnsi="宋体" w:cs="宋体"/>
                <w:color w:val="auto"/>
                <w:sz w:val="21"/>
                <w:szCs w:val="16"/>
                <w:highlight w:val="none"/>
              </w:rPr>
              <w:t>政府采购支持科技创新</w:t>
            </w:r>
          </w:p>
        </w:tc>
        <w:tc>
          <w:tcPr>
            <w:tcW w:w="5529" w:type="dxa"/>
            <w:noWrap w:val="0"/>
            <w:vAlign w:val="center"/>
          </w:tcPr>
          <w:p w14:paraId="119A56D2">
            <w:pPr>
              <w:adjustRightInd w:val="0"/>
              <w:snapToGrid w:val="0"/>
              <w:spacing w:line="288" w:lineRule="auto"/>
              <w:jc w:val="left"/>
              <w:rPr>
                <w:rFonts w:ascii="宋体" w:hAnsi="宋体" w:cs="宋体"/>
                <w:color w:val="auto"/>
                <w:sz w:val="21"/>
                <w:szCs w:val="16"/>
                <w:highlight w:val="none"/>
              </w:rPr>
            </w:pPr>
            <w:r>
              <w:rPr>
                <w:rFonts w:hint="eastAsia" w:ascii="宋体" w:hAnsi="宋体" w:cs="宋体"/>
                <w:color w:val="auto"/>
                <w:sz w:val="21"/>
                <w:szCs w:val="21"/>
                <w:highlight w:val="none"/>
              </w:rPr>
              <w:t>不适用</w:t>
            </w:r>
          </w:p>
        </w:tc>
      </w:tr>
      <w:tr w14:paraId="57E6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27A510FD">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5</w:t>
            </w:r>
          </w:p>
        </w:tc>
        <w:tc>
          <w:tcPr>
            <w:tcW w:w="3256" w:type="dxa"/>
            <w:noWrap w:val="0"/>
            <w:vAlign w:val="center"/>
          </w:tcPr>
          <w:p w14:paraId="004481D4">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政府采购促进中小企业发展</w:t>
            </w:r>
          </w:p>
        </w:tc>
        <w:tc>
          <w:tcPr>
            <w:tcW w:w="5529" w:type="dxa"/>
            <w:noWrap w:val="0"/>
            <w:vAlign w:val="center"/>
          </w:tcPr>
          <w:p w14:paraId="6BBA1E86">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p w14:paraId="1B264234">
            <w:pPr>
              <w:adjustRightInd w:val="0"/>
              <w:snapToGrid w:val="0"/>
              <w:spacing w:line="288" w:lineRule="auto"/>
              <w:jc w:val="left"/>
              <w:rPr>
                <w:rFonts w:hint="eastAsia" w:ascii="宋体" w:hAnsi="宋体"/>
                <w:b/>
                <w:bCs/>
                <w:color w:val="auto"/>
                <w:sz w:val="21"/>
                <w:szCs w:val="21"/>
                <w:highlight w:val="none"/>
              </w:rPr>
            </w:pPr>
            <w:r>
              <w:rPr>
                <w:rFonts w:hint="eastAsia" w:ascii="宋体" w:hAnsi="宋体"/>
                <w:b/>
                <w:bCs/>
                <w:color w:val="auto"/>
                <w:sz w:val="21"/>
                <w:szCs w:val="21"/>
                <w:highlight w:val="none"/>
              </w:rPr>
              <w:t>本项目属性为：货物</w:t>
            </w:r>
          </w:p>
          <w:p w14:paraId="1DACF073">
            <w:pPr>
              <w:adjustRightInd w:val="0"/>
              <w:snapToGrid w:val="0"/>
              <w:spacing w:line="288" w:lineRule="auto"/>
              <w:jc w:val="left"/>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rPr>
              <w:t>采购标的对应的中小企业划分标准所属行业：</w:t>
            </w:r>
            <w:r>
              <w:rPr>
                <w:rFonts w:hint="eastAsia" w:ascii="宋体" w:hAnsi="宋体"/>
                <w:b/>
                <w:bCs/>
                <w:color w:val="auto"/>
                <w:sz w:val="21"/>
                <w:szCs w:val="21"/>
                <w:highlight w:val="none"/>
                <w:lang w:val="en-US" w:eastAsia="zh-CN"/>
              </w:rPr>
              <w:t>工业</w:t>
            </w:r>
          </w:p>
          <w:p w14:paraId="545B4F6E">
            <w:pPr>
              <w:adjustRightInd w:val="0"/>
              <w:snapToGrid w:val="0"/>
              <w:spacing w:line="288" w:lineRule="auto"/>
              <w:jc w:val="left"/>
              <w:rPr>
                <w:rFonts w:ascii="宋体" w:hAnsi="宋体" w:cs="宋体"/>
                <w:b/>
                <w:bCs/>
                <w:color w:val="auto"/>
                <w:sz w:val="21"/>
                <w:szCs w:val="21"/>
                <w:highlight w:val="none"/>
              </w:rPr>
            </w:pPr>
            <w:r>
              <w:rPr>
                <w:rFonts w:hint="eastAsia" w:ascii="宋体" w:hAnsi="宋体"/>
                <w:b/>
                <w:bCs/>
                <w:color w:val="auto"/>
                <w:sz w:val="21"/>
                <w:szCs w:val="21"/>
                <w:highlight w:val="none"/>
              </w:rPr>
              <w:t>中小企业划型标准：</w:t>
            </w:r>
            <w:r>
              <w:rPr>
                <w:rFonts w:hint="eastAsia" w:ascii="宋体" w:hAnsi="宋体"/>
                <w:b w:val="0"/>
                <w:bCs w:val="0"/>
                <w:color w:val="auto"/>
                <w:sz w:val="21"/>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0EB4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5F0F6DE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6</w:t>
            </w:r>
          </w:p>
        </w:tc>
        <w:tc>
          <w:tcPr>
            <w:tcW w:w="3256" w:type="dxa"/>
            <w:noWrap w:val="0"/>
            <w:vAlign w:val="center"/>
          </w:tcPr>
          <w:p w14:paraId="1ECBE725">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政府采购支持监狱企业发展</w:t>
            </w:r>
          </w:p>
        </w:tc>
        <w:tc>
          <w:tcPr>
            <w:tcW w:w="5529" w:type="dxa"/>
            <w:noWrap w:val="0"/>
            <w:vAlign w:val="center"/>
          </w:tcPr>
          <w:p w14:paraId="0ABAF78B">
            <w:pPr>
              <w:adjustRightInd w:val="0"/>
              <w:snapToGrid w:val="0"/>
              <w:spacing w:line="288" w:lineRule="auto"/>
              <w:jc w:val="left"/>
              <w:rPr>
                <w:rFonts w:ascii="宋体" w:hAnsi="宋体"/>
                <w:b/>
                <w:bCs/>
                <w:color w:val="auto"/>
                <w:sz w:val="21"/>
                <w:szCs w:val="21"/>
                <w:highlight w:val="none"/>
              </w:rPr>
            </w:pPr>
            <w:r>
              <w:rPr>
                <w:rFonts w:hint="eastAsia" w:ascii="宋体" w:hAnsi="宋体" w:cs="宋体"/>
                <w:color w:val="auto"/>
                <w:sz w:val="21"/>
                <w:szCs w:val="21"/>
                <w:highlight w:val="none"/>
              </w:rPr>
              <w:t>提供材料详见招标文件第六章“报价文件”</w:t>
            </w:r>
          </w:p>
        </w:tc>
      </w:tr>
      <w:tr w14:paraId="16D2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617432D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7</w:t>
            </w:r>
          </w:p>
        </w:tc>
        <w:tc>
          <w:tcPr>
            <w:tcW w:w="3256" w:type="dxa"/>
            <w:noWrap w:val="0"/>
            <w:vAlign w:val="center"/>
          </w:tcPr>
          <w:p w14:paraId="52E2FB82">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政府采购促进残疾人就业</w:t>
            </w:r>
          </w:p>
        </w:tc>
        <w:tc>
          <w:tcPr>
            <w:tcW w:w="5529" w:type="dxa"/>
            <w:noWrap w:val="0"/>
            <w:vAlign w:val="center"/>
          </w:tcPr>
          <w:p w14:paraId="5100C933">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bookmarkEnd w:id="0"/>
    </w:tbl>
    <w:p w14:paraId="3BD6F9BB">
      <w:pPr>
        <w:adjustRightInd w:val="0"/>
        <w:snapToGrid w:val="0"/>
        <w:spacing w:line="288" w:lineRule="auto"/>
        <w:rPr>
          <w:rFonts w:ascii="宋体" w:hAnsi="宋体"/>
          <w:sz w:val="21"/>
          <w:szCs w:val="21"/>
          <w:highlight w:val="none"/>
        </w:rPr>
      </w:pPr>
    </w:p>
    <w:p w14:paraId="0EB836AF">
      <w:pPr>
        <w:adjustRightInd w:val="0"/>
        <w:snapToGrid w:val="0"/>
        <w:spacing w:line="288" w:lineRule="auto"/>
        <w:outlineLvl w:val="1"/>
        <w:rPr>
          <w:rFonts w:ascii="宋体" w:hAnsi="宋体"/>
          <w:b/>
          <w:sz w:val="21"/>
          <w:szCs w:val="21"/>
          <w:highlight w:val="none"/>
        </w:rPr>
      </w:pPr>
      <w:r>
        <w:rPr>
          <w:rFonts w:hint="eastAsia" w:ascii="宋体" w:hAnsi="宋体"/>
          <w:b/>
          <w:sz w:val="21"/>
          <w:szCs w:val="21"/>
          <w:highlight w:val="none"/>
        </w:rPr>
        <w:t>二</w:t>
      </w:r>
      <w:r>
        <w:rPr>
          <w:rFonts w:ascii="宋体" w:hAnsi="宋体"/>
          <w:b/>
          <w:sz w:val="21"/>
          <w:szCs w:val="21"/>
          <w:highlight w:val="none"/>
        </w:rPr>
        <w:t>、</w:t>
      </w:r>
      <w:r>
        <w:rPr>
          <w:rFonts w:hint="eastAsia" w:ascii="宋体" w:hAnsi="宋体"/>
          <w:b/>
          <w:sz w:val="21"/>
          <w:szCs w:val="21"/>
          <w:highlight w:val="none"/>
        </w:rPr>
        <w:t>采购资金的支付方式、时间、条件：</w:t>
      </w:r>
    </w:p>
    <w:tbl>
      <w:tblPr>
        <w:tblStyle w:val="2"/>
        <w:tblW w:w="9493"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231BF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42C87088">
            <w:pPr>
              <w:adjustRightInd w:val="0"/>
              <w:snapToGrid w:val="0"/>
              <w:spacing w:line="288" w:lineRule="auto"/>
              <w:jc w:val="center"/>
              <w:rPr>
                <w:rFonts w:ascii="宋体" w:hAnsi="宋体"/>
                <w:b/>
                <w:spacing w:val="-6"/>
                <w:sz w:val="21"/>
                <w:szCs w:val="21"/>
                <w:highlight w:val="none"/>
              </w:rPr>
            </w:pPr>
            <w:bookmarkStart w:id="1" w:name="_Hlk45005608"/>
            <w:r>
              <w:rPr>
                <w:rFonts w:hint="eastAsia" w:ascii="宋体" w:hAnsi="宋体"/>
                <w:b/>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noWrap w:val="0"/>
            <w:vAlign w:val="center"/>
          </w:tcPr>
          <w:p w14:paraId="1EEA420D">
            <w:pPr>
              <w:autoSpaceDE w:val="0"/>
              <w:autoSpaceDN w:val="0"/>
              <w:adjustRightInd w:val="0"/>
              <w:snapToGrid w:val="0"/>
              <w:spacing w:line="288" w:lineRule="auto"/>
              <w:jc w:val="left"/>
              <w:rPr>
                <w:rFonts w:ascii="宋体" w:hAnsi="宋体" w:cs="宋体"/>
                <w:spacing w:val="-6"/>
                <w:kern w:val="0"/>
                <w:sz w:val="21"/>
                <w:szCs w:val="21"/>
                <w:highlight w:val="none"/>
              </w:rPr>
            </w:pPr>
            <w:r>
              <w:rPr>
                <w:rFonts w:ascii="宋体" w:hAnsi="宋体" w:cs="宋体"/>
                <w:spacing w:val="-6"/>
                <w:kern w:val="0"/>
                <w:sz w:val="21"/>
                <w:szCs w:val="21"/>
                <w:highlight w:val="none"/>
              </w:rPr>
              <w:t>1、</w:t>
            </w:r>
            <w:r>
              <w:rPr>
                <w:rFonts w:hint="eastAsia" w:ascii="宋体" w:hAnsi="宋体" w:cs="宋体"/>
                <w:spacing w:val="-6"/>
                <w:kern w:val="0"/>
                <w:sz w:val="21"/>
                <w:szCs w:val="21"/>
                <w:highlight w:val="none"/>
              </w:rPr>
              <w:t>货款支付方式：</w:t>
            </w:r>
          </w:p>
          <w:p w14:paraId="1D04EB7A">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(1)国产设备及境内直接供货的进口设备:货到经安装调试,用户认定合格后，凭用户出具的安装调试报告支付90%货款(如供应商支付10%履约保证金，付全款。保证金在验收后无息退还);验收合格后凭用户出具的验收报告支付10%货款。</w:t>
            </w:r>
          </w:p>
          <w:p w14:paraId="046804E7">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(2)境外供货的设备，在外贸公司签订外贸合同、办出免表后，如外贸公司已开出信用证或境外公司出具一个月内发货说明后，由需方向外贸公司付全款:外贸公司凭装运单支付境外公司90%货款(如供应商支付10%履约保证金，付全款。保证金在验收后无息退还);验收合格后凭用户出具的验收报告支付尾款。</w:t>
            </w:r>
          </w:p>
          <w:p w14:paraId="26536970">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2、货款的结算：</w:t>
            </w:r>
          </w:p>
          <w:p w14:paraId="5F1C6041">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国产设备及境内直接供货的进口设备货款由需方负责支付。</w:t>
            </w:r>
          </w:p>
          <w:p w14:paraId="0259249B">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开票信息：开具增值税专用发票；</w:t>
            </w:r>
          </w:p>
          <w:p w14:paraId="20294C70">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抬头：浙江大学</w:t>
            </w:r>
          </w:p>
          <w:p w14:paraId="154F8E98">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纳税人识别号：12100000470095016Q</w:t>
            </w:r>
          </w:p>
          <w:p w14:paraId="05B008F7">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地址：杭州市余杭塘路866号，电话88981919</w:t>
            </w:r>
          </w:p>
          <w:p w14:paraId="1EEA1ECC">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开户行：农行杭州市浙大支行紫金港支行</w:t>
            </w:r>
          </w:p>
          <w:p w14:paraId="1E9DD7CF">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账号：19042201040000014</w:t>
            </w:r>
          </w:p>
          <w:p w14:paraId="3566DCBE">
            <w:pPr>
              <w:autoSpaceDE w:val="0"/>
              <w:autoSpaceDN w:val="0"/>
              <w:adjustRightInd w:val="0"/>
              <w:snapToGrid w:val="0"/>
              <w:spacing w:line="288" w:lineRule="auto"/>
              <w:jc w:val="left"/>
              <w:rPr>
                <w:rFonts w:hint="eastAsia" w:ascii="宋体" w:hAnsi="宋体" w:eastAsia="宋体" w:cs="宋体"/>
                <w:spacing w:val="-6"/>
                <w:kern w:val="0"/>
                <w:sz w:val="21"/>
                <w:szCs w:val="21"/>
                <w:highlight w:val="none"/>
                <w:lang w:val="en-US" w:eastAsia="zh-CN" w:bidi="ar-SA"/>
              </w:rPr>
            </w:pPr>
            <w:r>
              <w:rPr>
                <w:rFonts w:hint="eastAsia" w:ascii="宋体" w:hAnsi="宋体" w:cs="宋体"/>
                <w:spacing w:val="-6"/>
                <w:kern w:val="0"/>
                <w:sz w:val="21"/>
                <w:szCs w:val="21"/>
                <w:highlight w:val="none"/>
              </w:rPr>
              <w:t>行号：103331004223</w:t>
            </w:r>
          </w:p>
        </w:tc>
      </w:tr>
      <w:bookmarkEnd w:id="1"/>
    </w:tbl>
    <w:p w14:paraId="220164FD">
      <w:pPr>
        <w:adjustRightInd w:val="0"/>
        <w:snapToGrid w:val="0"/>
        <w:spacing w:line="288" w:lineRule="auto"/>
        <w:ind w:left="238" w:hanging="238" w:hangingChars="113"/>
        <w:rPr>
          <w:rFonts w:ascii="宋体" w:hAnsi="宋体"/>
          <w:b/>
          <w:sz w:val="21"/>
          <w:szCs w:val="21"/>
          <w:highlight w:val="none"/>
        </w:rPr>
      </w:pPr>
    </w:p>
    <w:p w14:paraId="403A740C">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三</w:t>
      </w:r>
      <w:r>
        <w:rPr>
          <w:rFonts w:ascii="宋体" w:hAnsi="宋体"/>
          <w:b/>
          <w:sz w:val="21"/>
          <w:szCs w:val="21"/>
          <w:highlight w:val="none"/>
        </w:rPr>
        <w:t>、</w:t>
      </w:r>
      <w:r>
        <w:rPr>
          <w:rFonts w:hint="eastAsia" w:ascii="宋体" w:hAnsi="宋体"/>
          <w:b/>
          <w:sz w:val="21"/>
          <w:szCs w:val="21"/>
          <w:highlight w:val="none"/>
        </w:rPr>
        <w:t>服务</w:t>
      </w:r>
      <w:r>
        <w:rPr>
          <w:rFonts w:ascii="宋体" w:hAnsi="宋体"/>
          <w:b/>
          <w:sz w:val="21"/>
          <w:szCs w:val="21"/>
          <w:highlight w:val="none"/>
        </w:rPr>
        <w:t>要求</w:t>
      </w:r>
      <w:r>
        <w:rPr>
          <w:rFonts w:hint="eastAsia" w:ascii="宋体" w:hAnsi="宋体"/>
          <w:b/>
          <w:spacing w:val="-6"/>
          <w:sz w:val="21"/>
          <w:szCs w:val="21"/>
          <w:highlight w:val="none"/>
        </w:rPr>
        <w:t>（技术要求里另有注明的以技术要求为准）</w:t>
      </w:r>
      <w:r>
        <w:rPr>
          <w:rFonts w:ascii="宋体" w:hAnsi="宋体"/>
          <w:b/>
          <w:sz w:val="21"/>
          <w:szCs w:val="21"/>
          <w:highlight w:val="none"/>
        </w:rPr>
        <w:t>：</w:t>
      </w:r>
    </w:p>
    <w:tbl>
      <w:tblPr>
        <w:tblStyle w:val="2"/>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58207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1E72B5A4">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733AD56F">
            <w:pPr>
              <w:adjustRightInd w:val="0"/>
              <w:snapToGrid w:val="0"/>
              <w:spacing w:line="2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合同签订后15个月内到货并运送到用户指定地点</w:t>
            </w:r>
          </w:p>
        </w:tc>
      </w:tr>
      <w:tr w14:paraId="1245F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6818073">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20FAB363">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采购人指定地点</w:t>
            </w:r>
          </w:p>
        </w:tc>
      </w:tr>
      <w:tr w14:paraId="6C6933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5D41E599">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sz w:val="21"/>
                <w:szCs w:val="21"/>
                <w:highlight w:val="none"/>
              </w:rPr>
              <w:t>▲</w:t>
            </w:r>
            <w:r>
              <w:rPr>
                <w:rFonts w:hint="eastAsia" w:ascii="宋体" w:hAnsi="宋体" w:eastAsia="宋体" w:cs="宋体"/>
                <w:b/>
                <w:bCs/>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26AB32BE">
            <w:pPr>
              <w:adjustRightInd w:val="0"/>
              <w:snapToGrid w:val="0"/>
              <w:spacing w:line="288" w:lineRule="auto"/>
              <w:rPr>
                <w:rFonts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年，项目验收合格后开始计算。</w:t>
            </w:r>
          </w:p>
        </w:tc>
      </w:tr>
      <w:tr w14:paraId="0F6F3F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05"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52AFFAD">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5B9E00C4">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.在质保期内，供应商应对货物出现的质量及安全问题负责处理解决并承担一切费用。</w:t>
            </w:r>
          </w:p>
          <w:p w14:paraId="0EED8774">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质保期内出现无法排除的故障，供应商需无条件更换同型号产品。</w:t>
            </w:r>
          </w:p>
          <w:p w14:paraId="5E0BF65A">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质保期满后，供应商继续为采购人服务，仅收取零配件成本费。</w:t>
            </w:r>
          </w:p>
          <w:p w14:paraId="5981954B">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4.</w:t>
            </w:r>
            <w:r>
              <w:rPr>
                <w:rFonts w:hint="eastAsia" w:ascii="宋体" w:hAnsi="宋体" w:eastAsia="宋体" w:cs="宋体"/>
                <w:sz w:val="21"/>
                <w:szCs w:val="21"/>
                <w:highlight w:val="none"/>
              </w:rPr>
              <w:t>因人为因素出现的故障不在免费保修范围内。</w:t>
            </w:r>
          </w:p>
          <w:p w14:paraId="22E88C9C">
            <w:pPr>
              <w:adjustRightInd w:val="0"/>
              <w:snapToGrid w:val="0"/>
              <w:spacing w:line="288" w:lineRule="auto"/>
              <w:rPr>
                <w:rFonts w:ascii="宋体" w:hAnsi="宋体" w:eastAsia="宋体" w:cs="宋体"/>
                <w:sz w:val="21"/>
                <w:szCs w:val="21"/>
                <w:highlight w:val="none"/>
                <w:u w:val="single"/>
              </w:rPr>
            </w:pPr>
            <w:r>
              <w:rPr>
                <w:rFonts w:ascii="宋体" w:hAnsi="宋体" w:eastAsia="宋体" w:cs="宋体"/>
                <w:sz w:val="21"/>
                <w:szCs w:val="21"/>
                <w:highlight w:val="none"/>
              </w:rPr>
              <w:t>5</w:t>
            </w:r>
            <w:r>
              <w:rPr>
                <w:rFonts w:hint="eastAsia" w:ascii="宋体" w:hAnsi="宋体" w:eastAsia="宋体" w:cs="宋体"/>
                <w:sz w:val="21"/>
                <w:szCs w:val="21"/>
                <w:highlight w:val="none"/>
              </w:rPr>
              <w:t>.</w:t>
            </w:r>
            <w:r>
              <w:rPr>
                <w:rFonts w:hint="eastAsia" w:ascii="宋体" w:hAnsi="宋体" w:eastAsia="宋体" w:cs="宋体"/>
                <w:sz w:val="21"/>
                <w:szCs w:val="21"/>
                <w:highlight w:val="none"/>
                <w:u w:val="none"/>
              </w:rPr>
              <w:t>如在使用过程中发生质量问题，供应商维修响应时间：</w:t>
            </w:r>
            <w:r>
              <w:rPr>
                <w:rFonts w:hint="eastAsia" w:ascii="宋体" w:hAnsi="宋体" w:cs="宋体"/>
                <w:sz w:val="21"/>
                <w:szCs w:val="21"/>
                <w:highlight w:val="none"/>
                <w:u w:val="single"/>
                <w:lang w:val="en-US" w:eastAsia="zh-CN"/>
              </w:rPr>
              <w:t>24</w:t>
            </w:r>
            <w:r>
              <w:rPr>
                <w:rFonts w:hint="eastAsia" w:ascii="宋体" w:hAnsi="宋体" w:eastAsia="宋体" w:cs="宋体"/>
                <w:sz w:val="21"/>
                <w:szCs w:val="21"/>
                <w:highlight w:val="none"/>
                <w:u w:val="single"/>
              </w:rPr>
              <w:t>小时以内；</w:t>
            </w:r>
          </w:p>
          <w:p w14:paraId="364FF0B5">
            <w:pPr>
              <w:adjustRightInd w:val="0"/>
              <w:snapToGrid w:val="0"/>
              <w:spacing w:line="288" w:lineRule="auto"/>
              <w:rPr>
                <w:rFonts w:ascii="宋体" w:hAnsi="宋体" w:eastAsia="宋体" w:cs="宋体"/>
                <w:sz w:val="21"/>
                <w:szCs w:val="21"/>
                <w:highlight w:val="none"/>
                <w:u w:val="single"/>
              </w:rPr>
            </w:pPr>
            <w:r>
              <w:rPr>
                <w:rFonts w:hint="eastAsia" w:ascii="宋体" w:hAnsi="宋体" w:eastAsia="宋体" w:cs="宋体"/>
                <w:sz w:val="21"/>
                <w:szCs w:val="21"/>
                <w:highlight w:val="none"/>
                <w:u w:val="none"/>
              </w:rPr>
              <w:t>电话技术支持时间：</w:t>
            </w:r>
            <w:r>
              <w:rPr>
                <w:rFonts w:hint="eastAsia" w:ascii="宋体" w:hAnsi="宋体" w:cs="宋体"/>
                <w:sz w:val="21"/>
                <w:szCs w:val="21"/>
                <w:highlight w:val="none"/>
                <w:u w:val="single"/>
                <w:lang w:val="en-US" w:eastAsia="zh-CN"/>
              </w:rPr>
              <w:t>4</w:t>
            </w:r>
            <w:r>
              <w:rPr>
                <w:rFonts w:hint="eastAsia" w:ascii="宋体" w:hAnsi="宋体" w:eastAsia="宋体" w:cs="宋体"/>
                <w:sz w:val="21"/>
                <w:szCs w:val="21"/>
                <w:highlight w:val="none"/>
                <w:u w:val="single"/>
              </w:rPr>
              <w:t>小时以内；</w:t>
            </w:r>
          </w:p>
          <w:p w14:paraId="7F1E64D4">
            <w:pPr>
              <w:adjustRightInd w:val="0"/>
              <w:snapToGrid w:val="0"/>
              <w:spacing w:line="288"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rPr>
              <w:t>若需上门维修，则在：</w:t>
            </w:r>
            <w:r>
              <w:rPr>
                <w:rFonts w:hint="eastAsia" w:ascii="宋体" w:hAnsi="宋体" w:cs="宋体"/>
                <w:sz w:val="21"/>
                <w:szCs w:val="21"/>
                <w:highlight w:val="none"/>
                <w:u w:val="single"/>
                <w:lang w:val="en-US" w:eastAsia="zh-CN"/>
              </w:rPr>
              <w:t>48小时</w:t>
            </w:r>
            <w:r>
              <w:rPr>
                <w:rFonts w:hint="eastAsia" w:ascii="宋体" w:hAnsi="宋体" w:eastAsia="宋体" w:cs="宋体"/>
                <w:sz w:val="21"/>
                <w:szCs w:val="21"/>
                <w:highlight w:val="none"/>
                <w:u w:val="single"/>
              </w:rPr>
              <w:t>内到达现场并进行维修；</w:t>
            </w:r>
          </w:p>
          <w:p w14:paraId="2806E79A">
            <w:pPr>
              <w:adjustRightInd w:val="0"/>
              <w:snapToGrid w:val="0"/>
              <w:spacing w:line="288" w:lineRule="auto"/>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lang w:val="en-US" w:eastAsia="zh-CN"/>
              </w:rPr>
              <w:t>6.供应商应提供详细的</w:t>
            </w:r>
            <w:r>
              <w:rPr>
                <w:rFonts w:hint="eastAsia" w:ascii="宋体" w:hAnsi="宋体" w:eastAsia="宋体" w:cs="宋体"/>
                <w:sz w:val="21"/>
                <w:szCs w:val="21"/>
                <w:highlight w:val="none"/>
              </w:rPr>
              <w:t>售后服务方案、售后服务承诺、售后服务保障措施。</w:t>
            </w:r>
          </w:p>
        </w:tc>
      </w:tr>
      <w:tr w14:paraId="7DD5A8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57ECE462">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1DDEE890">
            <w:pPr>
              <w:adjustRightInd w:val="0"/>
              <w:snapToGrid w:val="0"/>
              <w:spacing w:line="288" w:lineRule="auto"/>
              <w:rPr>
                <w:rFonts w:hint="eastAsia" w:ascii="宋体" w:hAnsi="宋体" w:eastAsia="宋体" w:cs="Times New Roman"/>
                <w:spacing w:val="-6"/>
                <w:sz w:val="21"/>
                <w:szCs w:val="21"/>
                <w:highlight w:val="none"/>
              </w:rPr>
            </w:pPr>
            <w:r>
              <w:rPr>
                <w:rFonts w:hint="eastAsia" w:ascii="宋体" w:hAnsi="宋体" w:eastAsia="宋体" w:cs="宋体"/>
                <w:sz w:val="21"/>
                <w:szCs w:val="21"/>
                <w:highlight w:val="none"/>
              </w:rPr>
              <w:t>▲1</w:t>
            </w:r>
            <w:r>
              <w:rPr>
                <w:rFonts w:ascii="宋体" w:hAnsi="宋体" w:eastAsia="宋体" w:cs="宋体"/>
                <w:sz w:val="21"/>
                <w:szCs w:val="21"/>
                <w:highlight w:val="none"/>
              </w:rPr>
              <w:t>.</w:t>
            </w:r>
            <w:r>
              <w:rPr>
                <w:rFonts w:hint="eastAsia" w:ascii="宋体" w:hAnsi="宋体" w:eastAsia="宋体" w:cs="宋体"/>
                <w:sz w:val="21"/>
                <w:szCs w:val="21"/>
                <w:highlight w:val="none"/>
              </w:rPr>
              <w:t>供应商应按招标文件规定向采购人提供全新</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原装合格产品，</w:t>
            </w:r>
            <w:r>
              <w:rPr>
                <w:rFonts w:hint="eastAsia" w:ascii="宋体" w:hAnsi="宋体" w:eastAsia="宋体" w:cs="宋体"/>
                <w:sz w:val="21"/>
                <w:szCs w:val="21"/>
                <w:highlight w:val="none"/>
                <w:lang w:val="en-US" w:eastAsia="zh-CN"/>
              </w:rPr>
              <w:t>产品应</w:t>
            </w:r>
            <w:r>
              <w:rPr>
                <w:rFonts w:hint="eastAsia" w:ascii="宋体" w:hAnsi="宋体" w:eastAsia="宋体" w:cs="宋体"/>
                <w:sz w:val="21"/>
                <w:szCs w:val="21"/>
                <w:highlight w:val="none"/>
              </w:rPr>
              <w:t>符合国家法律法规规定。</w:t>
            </w:r>
            <w:r>
              <w:rPr>
                <w:rFonts w:hint="eastAsia" w:ascii="宋体" w:hAnsi="宋体" w:eastAsia="宋体" w:cs="Times New Roman"/>
                <w:spacing w:val="-6"/>
                <w:sz w:val="21"/>
                <w:szCs w:val="21"/>
                <w:highlight w:val="none"/>
              </w:rPr>
              <w:t>供应商应保证所提供的货物或其中任何一部分均不会侵犯第三方的知识产权。</w:t>
            </w:r>
          </w:p>
          <w:p w14:paraId="0A6B195A">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供应商应</w:t>
            </w:r>
            <w:r>
              <w:rPr>
                <w:rFonts w:hint="eastAsia" w:ascii="宋体" w:hAnsi="宋体" w:eastAsia="宋体" w:cs="宋体"/>
                <w:sz w:val="21"/>
                <w:szCs w:val="21"/>
                <w:highlight w:val="none"/>
              </w:rPr>
              <w:t>提供有关的全套技术文件。</w:t>
            </w:r>
          </w:p>
          <w:p w14:paraId="27EFE74F">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.安装调试：</w:t>
            </w:r>
          </w:p>
          <w:p w14:paraId="4A5A9993">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.1安装地点：采购人指定地点；</w:t>
            </w:r>
          </w:p>
          <w:p w14:paraId="46ECCEF6">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.2安装完成时间：接到采购人通知后在规定时间内完成安装和调试，如在规定的时间内由于供应商的原因不能完成安装和调试，供应商应承担由此给采购人造成的损失；</w:t>
            </w:r>
          </w:p>
          <w:p w14:paraId="2B9FC1AF">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.3如供应商委托国内代理（或其他机构）负责安装或配合安装应在签约时指明，但供应商仍要对合同货物及其安装质量负全部责任；</w:t>
            </w:r>
          </w:p>
          <w:p w14:paraId="2DC7D3F7">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.4安装标准：符合我国国家有关技术规范要求和技术标准，所有的软件和硬件必须保证同时安装到位；</w:t>
            </w:r>
          </w:p>
          <w:p w14:paraId="2ADA9B6F">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.5供应商免费提供合同货物的安装服务；</w:t>
            </w:r>
          </w:p>
          <w:p w14:paraId="2B3FF25D">
            <w:pPr>
              <w:adjustRightInd w:val="0"/>
              <w:snapToGrid w:val="0"/>
              <w:spacing w:line="288" w:lineRule="auto"/>
              <w:rPr>
                <w:rFonts w:hint="eastAsia"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.6供应商在投标文件中应提供安装调试计划</w:t>
            </w:r>
            <w:r>
              <w:rPr>
                <w:rFonts w:hint="eastAsia" w:ascii="宋体" w:hAnsi="宋体" w:eastAsia="宋体" w:cs="宋体"/>
                <w:sz w:val="21"/>
                <w:szCs w:val="21"/>
                <w:highlight w:val="none"/>
                <w:lang w:val="en-US" w:eastAsia="zh-CN"/>
              </w:rPr>
              <w:t>和安装调试方案</w:t>
            </w:r>
            <w:r>
              <w:rPr>
                <w:rFonts w:hint="eastAsia" w:ascii="宋体" w:hAnsi="宋体" w:eastAsia="宋体" w:cs="宋体"/>
                <w:sz w:val="21"/>
                <w:szCs w:val="21"/>
                <w:highlight w:val="none"/>
              </w:rPr>
              <w:t>。</w:t>
            </w:r>
          </w:p>
          <w:p w14:paraId="6E443C44">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.技术支持：</w:t>
            </w:r>
          </w:p>
          <w:p w14:paraId="72A063E2">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供应商应及时免费提供合同货物软件的升级，免费提供合同货物新功能和应用的资料。</w:t>
            </w:r>
          </w:p>
          <w:p w14:paraId="6C3BBCD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.供应商应提供质保期满后主要零部件报价单、质保期满后维护费、软件升级及其相关服务内容；</w:t>
            </w: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rPr>
              <w:t>产品相关配件、附件、备品备件及耗材的准备和保障措施、消耗水平和成本</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w:t>
            </w:r>
          </w:p>
        </w:tc>
      </w:tr>
      <w:tr w14:paraId="2EC49B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384B641">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0581A1F4">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eastAsia="zh-CN"/>
              </w:rPr>
              <w:t>要求</w:t>
            </w:r>
            <w:r>
              <w:rPr>
                <w:rFonts w:hint="eastAsia" w:ascii="宋体" w:hAnsi="宋体" w:cs="宋体"/>
                <w:sz w:val="21"/>
                <w:szCs w:val="21"/>
                <w:highlight w:val="none"/>
                <w:lang w:val="en-US" w:eastAsia="zh-CN"/>
              </w:rPr>
              <w:t>供应商</w:t>
            </w:r>
            <w:r>
              <w:rPr>
                <w:rFonts w:hint="eastAsia" w:ascii="宋体" w:hAnsi="宋体" w:eastAsia="宋体" w:cs="宋体"/>
                <w:sz w:val="21"/>
                <w:szCs w:val="21"/>
                <w:highlight w:val="none"/>
              </w:rPr>
              <w:t>对采购人的操作人员、维修人员免费进行培训</w:t>
            </w:r>
            <w:r>
              <w:rPr>
                <w:rFonts w:hint="eastAsia" w:ascii="宋体" w:hAnsi="宋体" w:cs="宋体"/>
                <w:sz w:val="21"/>
                <w:szCs w:val="21"/>
                <w:highlight w:val="none"/>
                <w:lang w:eastAsia="zh-CN"/>
              </w:rPr>
              <w:t>（</w:t>
            </w:r>
            <w:r>
              <w:rPr>
                <w:rFonts w:hint="eastAsia" w:ascii="宋体" w:hAnsi="宋体" w:cs="宋体"/>
                <w:color w:val="000000"/>
                <w:sz w:val="22"/>
                <w:szCs w:val="22"/>
                <w:highlight w:val="none"/>
              </w:rPr>
              <w:t>在浙大现场进行操作人员免费培训5个工作日及以上</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w:t>
            </w:r>
          </w:p>
          <w:p w14:paraId="262E16BE">
            <w:pPr>
              <w:adjustRightInd w:val="0"/>
              <w:snapToGrid w:val="0"/>
              <w:spacing w:line="2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2.培训</w:t>
            </w:r>
            <w:r>
              <w:rPr>
                <w:rFonts w:hint="eastAsia" w:ascii="宋体" w:hAnsi="宋体" w:eastAsia="宋体" w:cs="宋体"/>
                <w:sz w:val="21"/>
                <w:szCs w:val="21"/>
                <w:highlight w:val="none"/>
              </w:rPr>
              <w:t>实现方式、时间、地点、人数应在投标文件中详细说明</w:t>
            </w:r>
            <w:r>
              <w:rPr>
                <w:rFonts w:hint="eastAsia" w:ascii="宋体" w:hAnsi="宋体" w:eastAsia="宋体" w:cs="宋体"/>
                <w:sz w:val="21"/>
                <w:szCs w:val="21"/>
                <w:highlight w:val="none"/>
                <w:lang w:eastAsia="zh-CN"/>
              </w:rPr>
              <w:t>；</w:t>
            </w:r>
          </w:p>
          <w:p w14:paraId="6C70A97F">
            <w:pPr>
              <w:adjustRightInd w:val="0"/>
              <w:snapToGrid w:val="0"/>
              <w:spacing w:line="288" w:lineRule="auto"/>
              <w:rPr>
                <w:rFonts w:ascii="宋体" w:hAnsi="宋体" w:eastAsia="宋体" w:cs="宋体"/>
                <w:b/>
                <w:bCs/>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供应商应提供相应的培训计划、培训范围，实施方案</w:t>
            </w:r>
            <w:r>
              <w:rPr>
                <w:rFonts w:hint="eastAsia" w:ascii="宋体" w:hAnsi="宋体" w:cs="宋体"/>
                <w:sz w:val="21"/>
                <w:szCs w:val="21"/>
                <w:highlight w:val="none"/>
                <w:lang w:eastAsia="zh-CN"/>
              </w:rPr>
              <w:t>。</w:t>
            </w:r>
          </w:p>
        </w:tc>
      </w:tr>
      <w:tr w14:paraId="3567A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0C5A8C71">
            <w:pPr>
              <w:adjustRightInd w:val="0"/>
              <w:snapToGrid w:val="0"/>
              <w:spacing w:line="288"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476C7246">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1.验收由采购人负责实施；</w:t>
            </w:r>
          </w:p>
          <w:p w14:paraId="44C27DF5">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2.验收依据：</w:t>
            </w:r>
          </w:p>
          <w:p w14:paraId="43C36A3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2.1合同、招标文件、投标文件；</w:t>
            </w:r>
          </w:p>
          <w:p w14:paraId="0D0A7DA5">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2.2供应商提供的技术规格、经采购人认可的合同货物的有效检验文件；</w:t>
            </w:r>
          </w:p>
          <w:p w14:paraId="0424E12C">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2.3供应商投标文件中提供的经采购人认可的合同货物的验收标准（符合中国有关的国家、地方、行业标准）和检测办法及相应检测手段。</w:t>
            </w:r>
          </w:p>
          <w:p w14:paraId="5B9F8AB8">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7EBA426A">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4.验收合格的条件：</w:t>
            </w:r>
          </w:p>
          <w:p w14:paraId="4CD3D8EC">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4.1所供货物符合产品标准和合同的要求；</w:t>
            </w:r>
          </w:p>
          <w:p w14:paraId="4C03818F">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4.2在进行测试和验收过程中发现的问题已被解决并得到采购人的认可；</w:t>
            </w:r>
          </w:p>
          <w:p w14:paraId="1070212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4.3合同中规定的所有货物和材料均已交付；</w:t>
            </w:r>
          </w:p>
          <w:p w14:paraId="0A5F3F1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4.4所供货物已通过使用单位组织的验收；</w:t>
            </w:r>
          </w:p>
          <w:p w14:paraId="7C04E3EF">
            <w:pPr>
              <w:adjustRightInd w:val="0"/>
              <w:snapToGrid w:val="0"/>
              <w:spacing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4.5所有相关的技术文件及资料均已提交并得到接受。</w:t>
            </w:r>
          </w:p>
        </w:tc>
      </w:tr>
    </w:tbl>
    <w:p w14:paraId="3978BC0C">
      <w:pPr>
        <w:adjustRightInd w:val="0"/>
        <w:snapToGrid w:val="0"/>
        <w:spacing w:line="288" w:lineRule="auto"/>
        <w:ind w:left="238" w:hanging="238" w:hangingChars="113"/>
        <w:rPr>
          <w:rFonts w:ascii="宋体" w:hAnsi="宋体"/>
          <w:b/>
          <w:sz w:val="21"/>
          <w:szCs w:val="21"/>
          <w:highlight w:val="none"/>
        </w:rPr>
      </w:pPr>
    </w:p>
    <w:p w14:paraId="35815BE5">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四</w:t>
      </w:r>
      <w:r>
        <w:rPr>
          <w:rFonts w:ascii="宋体" w:hAnsi="宋体"/>
          <w:b/>
          <w:sz w:val="21"/>
          <w:szCs w:val="21"/>
          <w:highlight w:val="none"/>
        </w:rPr>
        <w:t>、技术要求</w:t>
      </w:r>
    </w:p>
    <w:p w14:paraId="32004C89">
      <w:pPr>
        <w:adjustRightInd w:val="0"/>
        <w:snapToGrid w:val="0"/>
        <w:spacing w:line="288" w:lineRule="auto"/>
        <w:rPr>
          <w:rFonts w:ascii="宋体" w:hAnsi="宋体"/>
          <w:sz w:val="21"/>
          <w:szCs w:val="21"/>
          <w:highlight w:val="none"/>
        </w:rPr>
      </w:pPr>
    </w:p>
    <w:p w14:paraId="0CBAABFA">
      <w:pPr>
        <w:adjustRightInd w:val="0"/>
        <w:snapToGrid w:val="0"/>
        <w:spacing w:line="288" w:lineRule="auto"/>
        <w:rPr>
          <w:rFonts w:ascii="宋体" w:hAnsi="宋体" w:cs="宋体"/>
          <w:b/>
          <w:bCs/>
          <w:sz w:val="21"/>
          <w:szCs w:val="21"/>
          <w:highlight w:val="none"/>
        </w:rPr>
      </w:pPr>
      <w:r>
        <w:rPr>
          <w:rFonts w:hint="eastAsia" w:ascii="宋体" w:hAnsi="宋体" w:cs="宋体"/>
          <w:b/>
          <w:bCs/>
          <w:sz w:val="21"/>
          <w:szCs w:val="21"/>
          <w:highlight w:val="none"/>
        </w:rPr>
        <w:t>1</w:t>
      </w:r>
      <w:r>
        <w:rPr>
          <w:rFonts w:ascii="宋体" w:hAnsi="宋体" w:cs="宋体"/>
          <w:b/>
          <w:bCs/>
          <w:sz w:val="21"/>
          <w:szCs w:val="21"/>
          <w:highlight w:val="none"/>
        </w:rPr>
        <w:t>.</w:t>
      </w:r>
      <w:r>
        <w:rPr>
          <w:rFonts w:hint="eastAsia" w:ascii="宋体" w:hAnsi="宋体" w:cs="宋体"/>
          <w:b/>
          <w:bCs/>
          <w:sz w:val="21"/>
          <w:szCs w:val="21"/>
          <w:highlight w:val="none"/>
        </w:rPr>
        <w:t>需执行的国家相关标准、行业标准、地方标准或者其他标准、规范：</w:t>
      </w:r>
      <w:bookmarkStart w:id="2" w:name="_Hlk94018176"/>
      <w:r>
        <w:rPr>
          <w:rFonts w:hint="eastAsia" w:ascii="宋体" w:hAnsi="宋体" w:cs="宋体"/>
          <w:sz w:val="21"/>
          <w:szCs w:val="21"/>
          <w:highlight w:val="none"/>
        </w:rPr>
        <w:t>如技术要求中未注明需执行的国家相关标准、行业标准、地方标准或者其他标准、规范的，执行最新标准、规范。</w:t>
      </w:r>
      <w:bookmarkEnd w:id="2"/>
    </w:p>
    <w:p w14:paraId="42FED1AB">
      <w:pPr>
        <w:adjustRightInd w:val="0"/>
        <w:snapToGrid w:val="0"/>
        <w:spacing w:line="288" w:lineRule="auto"/>
        <w:rPr>
          <w:rFonts w:ascii="宋体" w:hAnsi="宋体" w:cs="宋体"/>
          <w:b w:val="0"/>
          <w:bCs w:val="0"/>
          <w:sz w:val="21"/>
          <w:szCs w:val="21"/>
          <w:highlight w:val="none"/>
        </w:rPr>
      </w:pPr>
      <w:r>
        <w:rPr>
          <w:rFonts w:ascii="宋体" w:hAnsi="宋体" w:cs="宋体"/>
          <w:b/>
          <w:bCs/>
          <w:sz w:val="21"/>
          <w:szCs w:val="21"/>
          <w:highlight w:val="none"/>
        </w:rPr>
        <w:t>2</w:t>
      </w:r>
      <w:r>
        <w:rPr>
          <w:rFonts w:hint="eastAsia" w:ascii="宋体" w:hAnsi="宋体" w:cs="宋体"/>
          <w:b/>
          <w:bCs/>
          <w:sz w:val="21"/>
          <w:szCs w:val="21"/>
          <w:highlight w:val="none"/>
        </w:rPr>
        <w:t>.需实现的功能或者目标：1、透射电子明暗场成像 2、电子衍射成像 3、小于50纳米尺寸颗粒物的有效EDS-mapping能谱成像 4、STEM明暗场成像</w:t>
      </w:r>
    </w:p>
    <w:p w14:paraId="26F32BA3">
      <w:pPr>
        <w:adjustRightInd w:val="0"/>
        <w:snapToGrid w:val="0"/>
        <w:spacing w:line="288" w:lineRule="auto"/>
        <w:rPr>
          <w:rFonts w:ascii="宋体" w:hAnsi="宋体"/>
          <w:b/>
          <w:bCs/>
          <w:spacing w:val="-4"/>
          <w:sz w:val="21"/>
          <w:szCs w:val="21"/>
          <w:highlight w:val="none"/>
        </w:rPr>
      </w:pPr>
      <w:r>
        <w:rPr>
          <w:rFonts w:ascii="宋体" w:hAnsi="宋体"/>
          <w:b/>
          <w:bCs/>
          <w:spacing w:val="-4"/>
          <w:sz w:val="21"/>
          <w:szCs w:val="21"/>
          <w:highlight w:val="none"/>
        </w:rPr>
        <w:t>3.</w:t>
      </w:r>
      <w:r>
        <w:rPr>
          <w:rFonts w:hint="eastAsia" w:ascii="宋体" w:hAnsi="宋体"/>
          <w:b/>
          <w:bCs/>
          <w:spacing w:val="-4"/>
          <w:sz w:val="21"/>
          <w:szCs w:val="21"/>
          <w:highlight w:val="none"/>
        </w:rPr>
        <w:t>需满足的质量、安全、技术规格、物理特性等要求：</w:t>
      </w:r>
    </w:p>
    <w:tbl>
      <w:tblPr>
        <w:tblStyle w:val="2"/>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984"/>
        <w:gridCol w:w="690"/>
        <w:gridCol w:w="654"/>
        <w:gridCol w:w="6073"/>
      </w:tblGrid>
      <w:tr w14:paraId="1B3A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B95A34B">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984" w:type="dxa"/>
            <w:vAlign w:val="center"/>
          </w:tcPr>
          <w:p w14:paraId="76826412">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690" w:type="dxa"/>
            <w:vAlign w:val="center"/>
          </w:tcPr>
          <w:p w14:paraId="008EE067">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654" w:type="dxa"/>
            <w:vAlign w:val="center"/>
          </w:tcPr>
          <w:p w14:paraId="171AAE1E">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6073" w:type="dxa"/>
            <w:vAlign w:val="center"/>
          </w:tcPr>
          <w:p w14:paraId="71742C73">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质量、安全、技术规格、物理特性等要求</w:t>
            </w:r>
          </w:p>
        </w:tc>
      </w:tr>
      <w:tr w14:paraId="4EFC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2DC3D23">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1</w:t>
            </w:r>
          </w:p>
        </w:tc>
        <w:tc>
          <w:tcPr>
            <w:tcW w:w="1984" w:type="dxa"/>
            <w:vAlign w:val="center"/>
          </w:tcPr>
          <w:p w14:paraId="11859504">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场发射高分辨透射电镜</w:t>
            </w:r>
          </w:p>
          <w:p w14:paraId="5A4C4B54">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（核心产品）</w:t>
            </w:r>
          </w:p>
          <w:p w14:paraId="07B072A9">
            <w:pPr>
              <w:adjustRightInd w:val="0"/>
              <w:snapToGrid w:val="0"/>
              <w:spacing w:line="288" w:lineRule="auto"/>
              <w:jc w:val="center"/>
              <w:rPr>
                <w:rFonts w:ascii="宋体" w:hAnsi="宋体" w:cs="宋体"/>
                <w:bCs/>
                <w:sz w:val="21"/>
                <w:szCs w:val="21"/>
                <w:highlight w:val="none"/>
              </w:rPr>
            </w:pPr>
            <w:r>
              <w:rPr>
                <w:rFonts w:hint="eastAsia" w:ascii="宋体" w:hAnsi="宋体" w:cs="宋体"/>
                <w:b/>
                <w:sz w:val="21"/>
                <w:szCs w:val="21"/>
                <w:highlight w:val="none"/>
              </w:rPr>
              <w:t>（允许进口）</w:t>
            </w:r>
          </w:p>
        </w:tc>
        <w:tc>
          <w:tcPr>
            <w:tcW w:w="690" w:type="dxa"/>
            <w:vAlign w:val="center"/>
          </w:tcPr>
          <w:p w14:paraId="71BC7A1F">
            <w:pPr>
              <w:adjustRightInd w:val="0"/>
              <w:snapToGrid w:val="0"/>
              <w:spacing w:line="288" w:lineRule="auto"/>
              <w:jc w:val="center"/>
              <w:rPr>
                <w:rFonts w:ascii="宋体" w:hAnsi="宋体" w:cs="宋体"/>
                <w:sz w:val="21"/>
                <w:szCs w:val="21"/>
                <w:highlight w:val="none"/>
              </w:rPr>
            </w:pPr>
            <w:r>
              <w:rPr>
                <w:rFonts w:ascii="宋体" w:hAnsi="宋体" w:cs="宋体"/>
                <w:sz w:val="21"/>
                <w:szCs w:val="21"/>
                <w:highlight w:val="none"/>
              </w:rPr>
              <w:t>1</w:t>
            </w:r>
          </w:p>
        </w:tc>
        <w:tc>
          <w:tcPr>
            <w:tcW w:w="654" w:type="dxa"/>
            <w:vAlign w:val="center"/>
          </w:tcPr>
          <w:p w14:paraId="3FB67F84">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台</w:t>
            </w:r>
          </w:p>
        </w:tc>
        <w:tc>
          <w:tcPr>
            <w:tcW w:w="6073" w:type="dxa"/>
            <w:vAlign w:val="center"/>
          </w:tcPr>
          <w:p w14:paraId="7B6F7A06">
            <w:pPr>
              <w:widowControl/>
              <w:spacing w:line="320" w:lineRule="exact"/>
              <w:jc w:val="left"/>
              <w:rPr>
                <w:rFonts w:ascii="宋体" w:hAnsi="宋体" w:cs="宋体"/>
                <w:color w:val="000000"/>
                <w:sz w:val="21"/>
                <w:szCs w:val="21"/>
                <w:highlight w:val="none"/>
              </w:rPr>
            </w:pPr>
            <w:r>
              <w:rPr>
                <w:rFonts w:ascii="宋体" w:hAnsi="宋体" w:cs="宋体"/>
                <w:color w:val="000000"/>
                <w:sz w:val="21"/>
                <w:szCs w:val="21"/>
                <w:highlight w:val="none"/>
              </w:rPr>
              <w:t xml:space="preserve">1. </w:t>
            </w:r>
            <w:r>
              <w:rPr>
                <w:rFonts w:hint="eastAsia" w:ascii="宋体" w:hAnsi="宋体" w:cs="宋体"/>
                <w:color w:val="000000"/>
                <w:sz w:val="21"/>
                <w:szCs w:val="21"/>
                <w:highlight w:val="none"/>
              </w:rPr>
              <w:t>工作条件</w:t>
            </w:r>
          </w:p>
          <w:p w14:paraId="45E4AC14">
            <w:pPr>
              <w:widowControl/>
              <w:spacing w:line="320" w:lineRule="exact"/>
              <w:jc w:val="left"/>
              <w:rPr>
                <w:rFonts w:ascii="宋体" w:hAnsi="宋体" w:cs="宋体"/>
                <w:color w:val="000000"/>
                <w:sz w:val="21"/>
                <w:szCs w:val="21"/>
                <w:highlight w:val="none"/>
              </w:rPr>
            </w:pPr>
            <w:r>
              <w:rPr>
                <w:rFonts w:ascii="宋体" w:hAnsi="宋体" w:cs="宋体"/>
                <w:color w:val="000000"/>
                <w:sz w:val="21"/>
                <w:szCs w:val="21"/>
                <w:highlight w:val="none"/>
              </w:rPr>
              <w:tab/>
            </w:r>
            <w:r>
              <w:rPr>
                <w:rFonts w:ascii="宋体" w:hAnsi="宋体" w:cs="宋体"/>
                <w:color w:val="000000"/>
                <w:sz w:val="21"/>
                <w:szCs w:val="21"/>
                <w:highlight w:val="none"/>
              </w:rPr>
              <w:t>1.1电力供应：220V（±10%），50Hz</w:t>
            </w:r>
          </w:p>
          <w:p w14:paraId="2ADB7FF2">
            <w:pPr>
              <w:widowControl/>
              <w:spacing w:line="320" w:lineRule="exact"/>
              <w:jc w:val="left"/>
              <w:rPr>
                <w:rFonts w:ascii="宋体" w:hAnsi="宋体" w:cs="宋体"/>
                <w:color w:val="000000"/>
                <w:sz w:val="21"/>
                <w:szCs w:val="21"/>
                <w:highlight w:val="none"/>
              </w:rPr>
            </w:pPr>
            <w:r>
              <w:rPr>
                <w:rFonts w:ascii="宋体" w:hAnsi="宋体" w:cs="宋体"/>
                <w:color w:val="000000"/>
                <w:sz w:val="21"/>
                <w:szCs w:val="21"/>
                <w:highlight w:val="none"/>
              </w:rPr>
              <w:tab/>
            </w:r>
            <w:r>
              <w:rPr>
                <w:rFonts w:ascii="宋体" w:hAnsi="宋体" w:cs="宋体"/>
                <w:color w:val="000000"/>
                <w:sz w:val="21"/>
                <w:szCs w:val="21"/>
                <w:highlight w:val="none"/>
              </w:rPr>
              <w:t>1.2工作温度：18°C-23°C</w:t>
            </w:r>
          </w:p>
          <w:p w14:paraId="396A741F">
            <w:pPr>
              <w:widowControl/>
              <w:spacing w:line="320" w:lineRule="exact"/>
              <w:jc w:val="left"/>
              <w:rPr>
                <w:rFonts w:ascii="宋体" w:hAnsi="宋体" w:cs="宋体"/>
                <w:color w:val="000000"/>
                <w:sz w:val="21"/>
                <w:szCs w:val="21"/>
                <w:highlight w:val="none"/>
              </w:rPr>
            </w:pPr>
            <w:r>
              <w:rPr>
                <w:rFonts w:ascii="宋体" w:hAnsi="宋体" w:cs="宋体"/>
                <w:color w:val="000000"/>
                <w:sz w:val="21"/>
                <w:szCs w:val="21"/>
                <w:highlight w:val="none"/>
              </w:rPr>
              <w:tab/>
            </w:r>
            <w:r>
              <w:rPr>
                <w:rFonts w:ascii="宋体" w:hAnsi="宋体" w:cs="宋体"/>
                <w:color w:val="000000"/>
                <w:sz w:val="21"/>
                <w:szCs w:val="21"/>
                <w:highlight w:val="none"/>
              </w:rPr>
              <w:t>1.3工作湿度：&lt; 80% @ 20°C</w:t>
            </w:r>
          </w:p>
          <w:p w14:paraId="2A03CCE3">
            <w:pPr>
              <w:widowControl/>
              <w:spacing w:line="320" w:lineRule="exact"/>
              <w:jc w:val="left"/>
              <w:rPr>
                <w:rFonts w:ascii="宋体" w:hAnsi="宋体" w:cs="宋体"/>
                <w:color w:val="000000"/>
                <w:sz w:val="21"/>
                <w:szCs w:val="21"/>
                <w:highlight w:val="none"/>
              </w:rPr>
            </w:pPr>
            <w:r>
              <w:rPr>
                <w:rFonts w:ascii="宋体" w:hAnsi="宋体" w:cs="宋体"/>
                <w:color w:val="000000"/>
                <w:sz w:val="21"/>
                <w:szCs w:val="21"/>
                <w:highlight w:val="none"/>
              </w:rPr>
              <w:tab/>
            </w:r>
            <w:r>
              <w:rPr>
                <w:rFonts w:ascii="宋体" w:hAnsi="宋体" w:cs="宋体"/>
                <w:color w:val="000000"/>
                <w:sz w:val="21"/>
                <w:szCs w:val="21"/>
                <w:highlight w:val="none"/>
              </w:rPr>
              <w:t>1.4</w:t>
            </w:r>
            <w:r>
              <w:rPr>
                <w:rFonts w:hint="eastAsia" w:ascii="宋体" w:hAnsi="宋体" w:cs="宋体"/>
                <w:color w:val="000000"/>
                <w:sz w:val="21"/>
                <w:szCs w:val="21"/>
                <w:highlight w:val="none"/>
              </w:rPr>
              <w:t>磁场：水平</w:t>
            </w:r>
            <w:r>
              <w:rPr>
                <w:rFonts w:ascii="宋体" w:hAnsi="宋体" w:cs="宋体"/>
                <w:color w:val="000000"/>
                <w:sz w:val="21"/>
                <w:szCs w:val="21"/>
                <w:highlight w:val="none"/>
              </w:rPr>
              <w:t xml:space="preserve"> &lt;80 nTp-p, </w:t>
            </w:r>
            <w:r>
              <w:rPr>
                <w:rFonts w:hint="eastAsia" w:ascii="宋体" w:hAnsi="宋体" w:cs="宋体"/>
                <w:color w:val="000000"/>
                <w:sz w:val="21"/>
                <w:szCs w:val="21"/>
                <w:highlight w:val="none"/>
              </w:rPr>
              <w:t>垂直水平</w:t>
            </w:r>
            <w:r>
              <w:rPr>
                <w:rFonts w:ascii="宋体" w:hAnsi="宋体" w:cs="宋体"/>
                <w:color w:val="000000"/>
                <w:sz w:val="21"/>
                <w:szCs w:val="21"/>
                <w:highlight w:val="none"/>
              </w:rPr>
              <w:t xml:space="preserve"> &lt;100 nTp-p</w:t>
            </w:r>
          </w:p>
          <w:p w14:paraId="7CC9ED19">
            <w:pPr>
              <w:widowControl/>
              <w:spacing w:line="320" w:lineRule="exact"/>
              <w:jc w:val="left"/>
              <w:rPr>
                <w:rFonts w:ascii="宋体" w:hAnsi="宋体" w:cs="宋体"/>
                <w:color w:val="000000"/>
                <w:sz w:val="21"/>
                <w:szCs w:val="21"/>
                <w:highlight w:val="none"/>
              </w:rPr>
            </w:pPr>
            <w:r>
              <w:rPr>
                <w:rFonts w:ascii="宋体" w:hAnsi="宋体" w:cs="宋体"/>
                <w:color w:val="000000"/>
                <w:sz w:val="21"/>
                <w:szCs w:val="21"/>
                <w:highlight w:val="none"/>
              </w:rPr>
              <w:tab/>
            </w:r>
            <w:r>
              <w:rPr>
                <w:rFonts w:ascii="宋体" w:hAnsi="宋体" w:cs="宋体"/>
                <w:color w:val="000000"/>
                <w:sz w:val="21"/>
                <w:szCs w:val="21"/>
                <w:highlight w:val="none"/>
              </w:rPr>
              <w:t>1.5</w:t>
            </w:r>
            <w:r>
              <w:rPr>
                <w:rFonts w:hint="eastAsia" w:ascii="宋体" w:hAnsi="宋体" w:cs="宋体"/>
                <w:color w:val="000000"/>
                <w:sz w:val="21"/>
                <w:szCs w:val="21"/>
                <w:highlight w:val="none"/>
              </w:rPr>
              <w:t>仪器运行的持久性：仪器可不间断连续使用</w:t>
            </w:r>
          </w:p>
          <w:p w14:paraId="7116B4EA">
            <w:pPr>
              <w:widowControl/>
              <w:spacing w:line="320" w:lineRule="exact"/>
              <w:jc w:val="left"/>
              <w:rPr>
                <w:rFonts w:ascii="宋体" w:hAnsi="宋体" w:cs="宋体"/>
                <w:color w:val="000000"/>
                <w:sz w:val="21"/>
                <w:szCs w:val="21"/>
                <w:highlight w:val="none"/>
              </w:rPr>
            </w:pPr>
            <w:r>
              <w:rPr>
                <w:rFonts w:ascii="宋体" w:hAnsi="宋体" w:cs="宋体"/>
                <w:color w:val="000000"/>
                <w:sz w:val="21"/>
                <w:szCs w:val="21"/>
                <w:highlight w:val="none"/>
              </w:rPr>
              <w:t xml:space="preserve">2. </w:t>
            </w:r>
            <w:r>
              <w:rPr>
                <w:rFonts w:hint="eastAsia" w:ascii="宋体" w:hAnsi="宋体" w:cs="宋体"/>
                <w:color w:val="000000"/>
                <w:sz w:val="21"/>
                <w:szCs w:val="21"/>
                <w:highlight w:val="none"/>
              </w:rPr>
              <w:t>技术规格</w:t>
            </w:r>
          </w:p>
          <w:p w14:paraId="26E2148E">
            <w:pPr>
              <w:widowControl/>
              <w:spacing w:line="320" w:lineRule="exact"/>
              <w:jc w:val="left"/>
              <w:rPr>
                <w:rFonts w:ascii="宋体" w:hAnsi="宋体" w:cs="宋体"/>
                <w:color w:val="000000"/>
                <w:sz w:val="21"/>
                <w:szCs w:val="21"/>
                <w:highlight w:val="none"/>
              </w:rPr>
            </w:pPr>
            <w:r>
              <w:rPr>
                <w:rFonts w:ascii="宋体" w:hAnsi="宋体" w:cs="宋体"/>
                <w:color w:val="000000"/>
                <w:sz w:val="21"/>
                <w:szCs w:val="21"/>
                <w:highlight w:val="none"/>
              </w:rPr>
              <w:t>2.1电子枪</w:t>
            </w:r>
          </w:p>
          <w:p w14:paraId="2D23555F">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w:t>
            </w:r>
            <w:r>
              <w:rPr>
                <w:rFonts w:ascii="宋体" w:hAnsi="宋体" w:cs="宋体"/>
                <w:color w:val="000000"/>
                <w:sz w:val="21"/>
                <w:szCs w:val="21"/>
                <w:highlight w:val="none"/>
              </w:rPr>
              <w:t xml:space="preserve">2.1.1 </w:t>
            </w:r>
            <w:r>
              <w:rPr>
                <w:rFonts w:hint="eastAsia" w:ascii="宋体" w:hAnsi="宋体" w:cs="宋体"/>
                <w:color w:val="000000"/>
                <w:sz w:val="21"/>
                <w:szCs w:val="21"/>
                <w:highlight w:val="none"/>
              </w:rPr>
              <w:t>电子枪类型：</w:t>
            </w:r>
            <w:r>
              <w:rPr>
                <w:rFonts w:hint="eastAsia"/>
                <w:sz w:val="21"/>
                <w:szCs w:val="21"/>
                <w:highlight w:val="none"/>
              </w:rPr>
              <w:t>肖特基场发射电子枪</w:t>
            </w:r>
          </w:p>
          <w:p w14:paraId="33E0B2F7">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★2.1.2电子枪亮度：≥</w:t>
            </w:r>
            <w:r>
              <w:rPr>
                <w:rFonts w:ascii="宋体" w:hAnsi="宋体" w:cs="宋体"/>
                <w:color w:val="000000"/>
                <w:sz w:val="21"/>
                <w:szCs w:val="21"/>
                <w:highlight w:val="none"/>
              </w:rPr>
              <w:t>4</w:t>
            </w:r>
            <w:r>
              <w:rPr>
                <w:rFonts w:hint="eastAsia" w:ascii="宋体" w:hAnsi="宋体" w:cs="宋体"/>
                <w:color w:val="000000"/>
                <w:sz w:val="21"/>
                <w:szCs w:val="21"/>
                <w:highlight w:val="none"/>
              </w:rPr>
              <w:t>.</w:t>
            </w:r>
            <w:r>
              <w:rPr>
                <w:rFonts w:ascii="宋体" w:hAnsi="宋体" w:cs="宋体"/>
                <w:color w:val="000000"/>
                <w:sz w:val="21"/>
                <w:szCs w:val="21"/>
                <w:highlight w:val="none"/>
              </w:rPr>
              <w:t>0</w:t>
            </w:r>
            <w:r>
              <w:rPr>
                <w:rFonts w:hint="eastAsia" w:ascii="宋体" w:hAnsi="宋体" w:cs="宋体"/>
                <w:color w:val="000000"/>
                <w:sz w:val="21"/>
                <w:szCs w:val="21"/>
                <w:highlight w:val="none"/>
              </w:rPr>
              <w:t>×10</w:t>
            </w:r>
            <w:r>
              <w:rPr>
                <w:rFonts w:ascii="宋体" w:hAnsi="宋体" w:cs="宋体"/>
                <w:color w:val="000000"/>
                <w:sz w:val="21"/>
                <w:szCs w:val="21"/>
                <w:highlight w:val="none"/>
                <w:vertAlign w:val="superscript"/>
              </w:rPr>
              <w:t>8</w:t>
            </w:r>
            <w:r>
              <w:rPr>
                <w:rFonts w:hint="eastAsia" w:ascii="宋体" w:hAnsi="宋体" w:cs="宋体"/>
                <w:color w:val="000000"/>
                <w:sz w:val="21"/>
                <w:szCs w:val="21"/>
                <w:highlight w:val="none"/>
              </w:rPr>
              <w:t xml:space="preserve"> A/cm</w:t>
            </w:r>
            <w:r>
              <w:rPr>
                <w:rFonts w:hint="eastAsia" w:ascii="宋体" w:hAnsi="宋体" w:cs="宋体"/>
                <w:color w:val="000000"/>
                <w:sz w:val="21"/>
                <w:szCs w:val="21"/>
                <w:highlight w:val="none"/>
                <w:vertAlign w:val="superscript"/>
              </w:rPr>
              <w:t>2</w:t>
            </w:r>
            <w:r>
              <w:rPr>
                <w:rFonts w:hint="eastAsia" w:ascii="宋体" w:hAnsi="宋体" w:cs="宋体"/>
                <w:color w:val="000000"/>
                <w:sz w:val="21"/>
                <w:szCs w:val="21"/>
                <w:highlight w:val="none"/>
              </w:rPr>
              <w:t>/srad (@200kV)</w:t>
            </w:r>
          </w:p>
          <w:p w14:paraId="55546962">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2.1.3 束斑漂移：≤0.5 nm/min</w:t>
            </w:r>
          </w:p>
          <w:p w14:paraId="29D4BDF0">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2.2加速电压</w:t>
            </w:r>
          </w:p>
          <w:p w14:paraId="2F507CE1">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▲2.2.1加速电压： 20 kV – 200 kV，连续可调</w:t>
            </w:r>
          </w:p>
          <w:p w14:paraId="4A1FCC54">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2.2.2 加速电压稳定度：≤ 1.0 ppm/10 min</w:t>
            </w:r>
          </w:p>
          <w:p w14:paraId="76042E6D">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2.3 TEM模式</w:t>
            </w:r>
          </w:p>
          <w:p w14:paraId="2C0C966F">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★2.3.1 信息分辨率：≤ 0.12 nm</w:t>
            </w:r>
          </w:p>
          <w:p w14:paraId="1A82B053">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2.3.2 TEM模式放大倍数：100× - 1M×</w:t>
            </w:r>
          </w:p>
          <w:p w14:paraId="4DC80A70">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2.4 衍射模式</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p>
          <w:p w14:paraId="419D57E3">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2.4.1 最大衍射角：≥ ±12° （半角）；</w:t>
            </w:r>
          </w:p>
          <w:p w14:paraId="656FE187">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2.4.2 会聚束电子衍射（CBED）最大会聚角：≥ 100mrad（半角）</w:t>
            </w:r>
          </w:p>
          <w:p w14:paraId="61EFE944">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2.4.3 衍射模式相机长度范围：14 mm至5700 mm，保证选区衍射和高阶衍射成像并能通过相机拍照</w:t>
            </w:r>
          </w:p>
          <w:p w14:paraId="5AF52A51">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2.5  透镜系统</w:t>
            </w:r>
          </w:p>
          <w:p w14:paraId="1FB4FF94">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2.5.1采用恒功率透镜设计，消除在不同高压不同模式切换以及放大倍数调整时产生的热效应；保证三维重构等长时间应用在成像与分析时的稳定性，以及不同高压不同模式切换时各级透镜系统参数的稳定性与已存储参数的可用性</w:t>
            </w:r>
          </w:p>
          <w:p w14:paraId="0B10DF69">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★2.5.2 物镜极靴间距：大于5.0 mm，保证三维重构杆、双倾杆、各种原位杆的适用性及最大转动角度及未来的扩展性</w:t>
            </w:r>
          </w:p>
          <w:p w14:paraId="00A933D3">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2.5.3 配备全自动光阑系统；包含极靴内物镜光阑用于TEM明暗场像的精确成像</w:t>
            </w:r>
          </w:p>
          <w:p w14:paraId="285D3C12">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2.5.4 放大倍率重复性：优于1.5%</w:t>
            </w:r>
          </w:p>
          <w:p w14:paraId="24FDB9EB">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2.6 扫描透射(STEM)系统</w:t>
            </w:r>
          </w:p>
          <w:p w14:paraId="7575FA81">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2.6.1分辨率：≤0.16 nm</w:t>
            </w:r>
          </w:p>
          <w:p w14:paraId="58A338DF">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2.6.2配备不少于三个STEM探测器，包括高角环形暗场探测器（HAADF）和同轴明场/暗场探测器；</w:t>
            </w:r>
          </w:p>
          <w:p w14:paraId="066E8EBA">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▲2.6.3  STEM探头分区数不少于16分割，能够同时采集获得不少于四幅来自不同角度的电子信号的图像，包括明场（BF）、环形暗场（ADF）、环形明场（ABF）、高角度环形暗场（HAADF）等</w:t>
            </w:r>
          </w:p>
          <w:p w14:paraId="50023CCE">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2.6.4 配备实时相位衬度像(DPC)成像功能，可在STEM模式下实时对样品的磁场、电场等内势场进行研究</w:t>
            </w:r>
          </w:p>
          <w:p w14:paraId="105102F7">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★2.6.5 配备实时在线的积分相位衬度像(iDPC)成像功能，可在同一幅STEM图像中同时获取轻重元素的清晰衬度；同时支持在极低束流下对MOF，COF等电子束敏感材料进行低损伤高衬度成像</w:t>
            </w:r>
          </w:p>
          <w:p w14:paraId="52CA8D65">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2.6.6 STEM模式图像最大像素：4096×4096</w:t>
            </w:r>
          </w:p>
          <w:p w14:paraId="49D17068">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2.6.7配备STEM像差自动优化模块，可自动调整STEM模式的电子光学系统以自动聚焦及校正像散。</w:t>
            </w:r>
          </w:p>
          <w:p w14:paraId="13CDCB25">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2.6.8配备实时漂移校正帧积分(DCFI)功能，以降低样品漂移的影响，保证在STEM模式获得高衬度高分辨率图像。</w:t>
            </w:r>
          </w:p>
          <w:p w14:paraId="53CC6BBD">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2.6.9  STEM模式放大倍数：350× - 250M×</w:t>
            </w:r>
          </w:p>
          <w:p w14:paraId="72EEFA82">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2.7 样品台与样品杆</w:t>
            </w:r>
          </w:p>
          <w:p w14:paraId="4A0F8260">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2.7.1五轴优中心高精度自动样品台，观察点位置可以标记存储并返回</w:t>
            </w:r>
          </w:p>
          <w:p w14:paraId="03358463">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2.7.2 双倾样品杆最大样品倾斜角度：α  ≥ ±35°/ β ≥±29°</w:t>
            </w:r>
          </w:p>
          <w:p w14:paraId="73211F2D">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 xml:space="preserve">★2.7.3样品移动范围：X,Y ≥ 2 mm；Z ≥ 0.75 mm </w:t>
            </w:r>
          </w:p>
          <w:p w14:paraId="081ABD3F">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2.7.4样品漂移（使用标准样品杆）：≤0.5 nm/min</w:t>
            </w:r>
          </w:p>
          <w:p w14:paraId="1EB471C4">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2.7.5 配备晶带轴自动校正及指定带轴自动倾转软件</w:t>
            </w:r>
          </w:p>
          <w:p w14:paraId="122DE2A1">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2.7.6样品杆数量：单倾样品杆1根，高可视低背底双倾样品杆1根。</w:t>
            </w:r>
          </w:p>
          <w:p w14:paraId="28B45260">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2.8 数字化成像系统</w:t>
            </w:r>
          </w:p>
          <w:p w14:paraId="5F4E6779">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2.8.1 配置TEM一体化超高速动态观察数字相机，快速寻找观察兴趣区</w:t>
            </w:r>
          </w:p>
          <w:p w14:paraId="3D97377F">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2.8.1.</w:t>
            </w:r>
            <w:r>
              <w:rPr>
                <w:rFonts w:ascii="宋体" w:hAnsi="宋体" w:cs="宋体"/>
                <w:color w:val="000000"/>
                <w:sz w:val="21"/>
                <w:szCs w:val="21"/>
                <w:highlight w:val="none"/>
              </w:rPr>
              <w:t>1</w:t>
            </w:r>
            <w:r>
              <w:rPr>
                <w:rFonts w:hint="eastAsia" w:ascii="宋体" w:hAnsi="宋体" w:cs="宋体"/>
                <w:color w:val="000000"/>
                <w:sz w:val="21"/>
                <w:szCs w:val="21"/>
                <w:highlight w:val="none"/>
              </w:rPr>
              <w:t xml:space="preserve"> 全分辨率下的采集速度：≥30帧/秒</w:t>
            </w:r>
          </w:p>
          <w:p w14:paraId="6617B623">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2.8.1.</w:t>
            </w:r>
            <w:r>
              <w:rPr>
                <w:rFonts w:ascii="宋体" w:hAnsi="宋体" w:cs="宋体"/>
                <w:color w:val="000000"/>
                <w:sz w:val="21"/>
                <w:szCs w:val="21"/>
                <w:highlight w:val="none"/>
              </w:rPr>
              <w:t>2</w:t>
            </w:r>
            <w:r>
              <w:rPr>
                <w:rFonts w:hint="eastAsia" w:ascii="宋体" w:hAnsi="宋体" w:cs="宋体"/>
                <w:color w:val="000000"/>
                <w:sz w:val="21"/>
                <w:szCs w:val="21"/>
                <w:highlight w:val="none"/>
              </w:rPr>
              <w:t xml:space="preserve"> 动态模式可实现短时间和长时间曝光的快速切换</w:t>
            </w:r>
          </w:p>
          <w:p w14:paraId="7C0C9F88">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2.8.1.</w:t>
            </w:r>
            <w:r>
              <w:rPr>
                <w:rFonts w:ascii="宋体" w:hAnsi="宋体" w:cs="宋体"/>
                <w:color w:val="000000"/>
                <w:sz w:val="21"/>
                <w:szCs w:val="21"/>
                <w:highlight w:val="none"/>
              </w:rPr>
              <w:t>3</w:t>
            </w:r>
            <w:r>
              <w:rPr>
                <w:rFonts w:hint="eastAsia" w:ascii="宋体" w:hAnsi="宋体" w:cs="宋体"/>
                <w:color w:val="000000"/>
                <w:sz w:val="21"/>
                <w:szCs w:val="21"/>
                <w:highlight w:val="none"/>
              </w:rPr>
              <w:t xml:space="preserve"> 支持动态傅立叶变换</w:t>
            </w:r>
          </w:p>
          <w:p w14:paraId="6523D188">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2.8.2配置TEM一体化底插超快速高分辨CMOS记录相机</w:t>
            </w:r>
          </w:p>
          <w:p w14:paraId="2617ADA9">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2.8.2.1安装位置：底部安装</w:t>
            </w:r>
          </w:p>
          <w:p w14:paraId="7E78A7DD">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2.8.2.2  高分辨CMOS相机：感应尺寸：4,096*4,096像素，像素大小：≥14um*14um；动态范围：＞16 bit</w:t>
            </w:r>
          </w:p>
          <w:p w14:paraId="1F3BC1E1">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2.8.2.</w:t>
            </w:r>
            <w:r>
              <w:rPr>
                <w:rFonts w:ascii="宋体" w:hAnsi="宋体" w:cs="宋体"/>
                <w:color w:val="000000"/>
                <w:sz w:val="21"/>
                <w:szCs w:val="21"/>
                <w:highlight w:val="none"/>
              </w:rPr>
              <w:t>3</w:t>
            </w:r>
            <w:r>
              <w:rPr>
                <w:rFonts w:hint="eastAsia" w:ascii="宋体" w:hAnsi="宋体" w:cs="宋体"/>
                <w:color w:val="000000"/>
                <w:sz w:val="21"/>
                <w:szCs w:val="21"/>
                <w:highlight w:val="none"/>
              </w:rPr>
              <w:t xml:space="preserve"> 配置专用的相机数据处理系统1套。</w:t>
            </w:r>
          </w:p>
          <w:p w14:paraId="3585715B">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2.9 真空系统</w:t>
            </w:r>
          </w:p>
          <w:p w14:paraId="29FD6D40">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2.9.1 采用完全无油的机械泵、涡轮分子泵与离子泵构成的真空系统，以防止真空系统造成的样品污染。样品室真空度：≤3 x 10</w:t>
            </w:r>
            <w:r>
              <w:rPr>
                <w:rFonts w:hint="eastAsia" w:ascii="宋体" w:hAnsi="宋体" w:cs="宋体"/>
                <w:color w:val="000000"/>
                <w:sz w:val="21"/>
                <w:szCs w:val="21"/>
                <w:highlight w:val="none"/>
                <w:vertAlign w:val="superscript"/>
              </w:rPr>
              <w:t>-5</w:t>
            </w:r>
            <w:r>
              <w:rPr>
                <w:rFonts w:hint="eastAsia" w:ascii="宋体" w:hAnsi="宋体" w:cs="宋体"/>
                <w:color w:val="000000"/>
                <w:sz w:val="21"/>
                <w:szCs w:val="21"/>
                <w:highlight w:val="none"/>
              </w:rPr>
              <w:t xml:space="preserve"> Pa，电子枪真空：≤5 x 10</w:t>
            </w:r>
            <w:r>
              <w:rPr>
                <w:rFonts w:hint="eastAsia" w:ascii="宋体" w:hAnsi="宋体" w:cs="宋体"/>
                <w:color w:val="000000"/>
                <w:sz w:val="21"/>
                <w:szCs w:val="21"/>
                <w:highlight w:val="none"/>
                <w:vertAlign w:val="superscript"/>
              </w:rPr>
              <w:t>-6</w:t>
            </w:r>
            <w:r>
              <w:rPr>
                <w:rFonts w:hint="eastAsia" w:ascii="宋体" w:hAnsi="宋体" w:cs="宋体"/>
                <w:color w:val="000000"/>
                <w:sz w:val="21"/>
                <w:szCs w:val="21"/>
                <w:highlight w:val="none"/>
              </w:rPr>
              <w:t xml:space="preserve"> Pa；</w:t>
            </w:r>
          </w:p>
          <w:p w14:paraId="2C4ED14C">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2.9.2典型换样时间小于60秒</w:t>
            </w:r>
          </w:p>
          <w:p w14:paraId="16C4C612">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2.10 电镜操作和控制</w:t>
            </w:r>
          </w:p>
          <w:p w14:paraId="7B4D68E3">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2.10.1基于Windows 10系统的计算机控制系统，所有电镜操作由电镜控制器直接控制，控制命令为100%数字化信号。</w:t>
            </w:r>
          </w:p>
          <w:p w14:paraId="20E22D4F">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2.10.2电镜操作者可以根据需要拥有一套或多套电镜状态参数，每套状态参数相互独立，可在使用过程中迅速切换调用。可设置任意多个用户，每个用户之间的参数设置相对独立，同时还可以相互调用。</w:t>
            </w:r>
          </w:p>
          <w:p w14:paraId="44B62A09">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▲2.10.3 配备全自动合轴软件，可用于日常合轴与维护性系统合轴的全自动优化，以保证电子光学系统维持良好的状态，从而稳定获取高质量数据。</w:t>
            </w:r>
          </w:p>
          <w:p w14:paraId="6564FD91">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2.10.4 可设置多级用户权限，保证系统的稳定运行。</w:t>
            </w:r>
          </w:p>
          <w:p w14:paraId="6B9E6893">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2.11 能谱仪</w:t>
            </w:r>
          </w:p>
          <w:p w14:paraId="63039862">
            <w:pPr>
              <w:widowControl/>
              <w:spacing w:line="320" w:lineRule="exact"/>
              <w:jc w:val="left"/>
              <w:rPr>
                <w:rFonts w:ascii="宋体" w:hAnsi="宋体" w:cs="宋体"/>
                <w:color w:val="auto"/>
                <w:sz w:val="21"/>
                <w:szCs w:val="21"/>
                <w:highlight w:val="none"/>
              </w:rPr>
            </w:pPr>
            <w:r>
              <w:rPr>
                <w:rFonts w:hint="eastAsia" w:ascii="宋体" w:hAnsi="宋体" w:cs="宋体"/>
                <w:color w:val="000000"/>
                <w:sz w:val="21"/>
                <w:szCs w:val="21"/>
                <w:highlight w:val="none"/>
              </w:rPr>
              <w:t>▲2.11.1 采用不少于</w:t>
            </w:r>
            <w:r>
              <w:rPr>
                <w:rFonts w:ascii="宋体" w:hAnsi="宋体" w:cs="宋体"/>
                <w:b/>
                <w:bCs/>
                <w:color w:val="000000"/>
                <w:sz w:val="21"/>
                <w:szCs w:val="21"/>
                <w:highlight w:val="none"/>
              </w:rPr>
              <w:t>2</w:t>
            </w:r>
            <w:r>
              <w:rPr>
                <w:rFonts w:hint="eastAsia" w:ascii="宋体" w:hAnsi="宋体" w:cs="宋体"/>
                <w:color w:val="000000"/>
                <w:sz w:val="21"/>
                <w:szCs w:val="21"/>
                <w:highlight w:val="none"/>
              </w:rPr>
              <w:t>个无窗设计SDD硅漂移探测器构成的多探头系统，以保证样品任</w:t>
            </w:r>
            <w:r>
              <w:rPr>
                <w:rFonts w:hint="eastAsia" w:ascii="宋体" w:hAnsi="宋体" w:cs="宋体"/>
                <w:color w:val="auto"/>
                <w:sz w:val="21"/>
                <w:szCs w:val="21"/>
                <w:highlight w:val="none"/>
              </w:rPr>
              <w:t>何倾转角下的采集效率与精度；</w:t>
            </w:r>
          </w:p>
          <w:p w14:paraId="6C8BB99D">
            <w:pPr>
              <w:widowControl/>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2.11.2 探测器有效探测面积：≥</w:t>
            </w:r>
            <w:r>
              <w:rPr>
                <w:rFonts w:ascii="宋体" w:hAnsi="宋体" w:cs="宋体"/>
                <w:color w:val="auto"/>
                <w:sz w:val="21"/>
                <w:szCs w:val="21"/>
                <w:highlight w:val="none"/>
              </w:rPr>
              <w:t>60</w:t>
            </w:r>
            <w:r>
              <w:rPr>
                <w:rFonts w:hint="eastAsia" w:ascii="宋体" w:hAnsi="宋体" w:cs="宋体"/>
                <w:color w:val="auto"/>
                <w:sz w:val="21"/>
                <w:szCs w:val="21"/>
                <w:highlight w:val="none"/>
              </w:rPr>
              <w:t xml:space="preserve"> mm</w:t>
            </w:r>
            <w:r>
              <w:rPr>
                <w:rFonts w:hint="eastAsia" w:ascii="宋体" w:hAnsi="宋体" w:cs="宋体"/>
                <w:color w:val="auto"/>
                <w:sz w:val="21"/>
                <w:szCs w:val="21"/>
                <w:highlight w:val="none"/>
                <w:vertAlign w:val="superscript"/>
              </w:rPr>
              <w:t>2</w:t>
            </w:r>
          </w:p>
          <w:p w14:paraId="667E7C27">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2.11.3 探测器总立体角：≥ 0.</w:t>
            </w:r>
            <w:r>
              <w:rPr>
                <w:rFonts w:ascii="宋体" w:hAnsi="宋体" w:cs="宋体"/>
                <w:color w:val="000000"/>
                <w:sz w:val="21"/>
                <w:szCs w:val="21"/>
                <w:highlight w:val="none"/>
              </w:rPr>
              <w:t>45</w:t>
            </w:r>
            <w:r>
              <w:rPr>
                <w:rFonts w:hint="eastAsia" w:ascii="宋体" w:hAnsi="宋体" w:cs="宋体"/>
                <w:color w:val="000000"/>
                <w:sz w:val="21"/>
                <w:szCs w:val="21"/>
                <w:highlight w:val="none"/>
              </w:rPr>
              <w:t xml:space="preserve"> srd</w:t>
            </w:r>
          </w:p>
          <w:p w14:paraId="09284184">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2.11.</w:t>
            </w:r>
            <w:r>
              <w:rPr>
                <w:rFonts w:ascii="宋体" w:hAnsi="宋体" w:cs="宋体"/>
                <w:color w:val="000000"/>
                <w:sz w:val="21"/>
                <w:szCs w:val="21"/>
                <w:highlight w:val="none"/>
              </w:rPr>
              <w:t>4</w:t>
            </w:r>
            <w:r>
              <w:rPr>
                <w:rFonts w:hint="eastAsia" w:ascii="宋体" w:hAnsi="宋体" w:cs="宋体"/>
                <w:color w:val="000000"/>
                <w:sz w:val="21"/>
                <w:szCs w:val="21"/>
                <w:highlight w:val="none"/>
              </w:rPr>
              <w:t xml:space="preserve"> 能量分辨率：≤136 eV (Mn-Ka) </w:t>
            </w:r>
          </w:p>
          <w:p w14:paraId="7268B71C">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2.11.</w:t>
            </w:r>
            <w:r>
              <w:rPr>
                <w:rFonts w:ascii="宋体" w:hAnsi="宋体" w:cs="宋体"/>
                <w:color w:val="000000"/>
                <w:sz w:val="21"/>
                <w:szCs w:val="21"/>
                <w:highlight w:val="none"/>
              </w:rPr>
              <w:t>5</w:t>
            </w:r>
            <w:r>
              <w:rPr>
                <w:rFonts w:hint="eastAsia" w:ascii="宋体" w:hAnsi="宋体" w:cs="宋体"/>
                <w:color w:val="000000"/>
                <w:sz w:val="21"/>
                <w:szCs w:val="21"/>
                <w:highlight w:val="none"/>
              </w:rPr>
              <w:t xml:space="preserve"> 峰背比≥4000，保证极佳的检出限与定量准确性</w:t>
            </w:r>
          </w:p>
          <w:p w14:paraId="0F76AC3F">
            <w:pPr>
              <w:widowControl/>
              <w:spacing w:line="320" w:lineRule="exact"/>
              <w:jc w:val="left"/>
              <w:rPr>
                <w:rFonts w:ascii="宋体" w:hAnsi="宋体" w:cs="宋体"/>
                <w:color w:val="000000"/>
                <w:sz w:val="21"/>
                <w:szCs w:val="21"/>
                <w:highlight w:val="none"/>
              </w:rPr>
            </w:pPr>
            <w:r>
              <w:rPr>
                <w:rFonts w:hint="eastAsia" w:ascii="宋体" w:hAnsi="宋体" w:cs="宋体"/>
                <w:color w:val="000000"/>
                <w:sz w:val="21"/>
                <w:szCs w:val="21"/>
                <w:highlight w:val="none"/>
              </w:rPr>
              <w:t>2.11.</w:t>
            </w:r>
            <w:r>
              <w:rPr>
                <w:rFonts w:ascii="宋体" w:hAnsi="宋体" w:cs="宋体"/>
                <w:color w:val="000000"/>
                <w:sz w:val="21"/>
                <w:szCs w:val="21"/>
                <w:highlight w:val="none"/>
              </w:rPr>
              <w:t>6</w:t>
            </w:r>
            <w:r>
              <w:rPr>
                <w:rFonts w:hint="eastAsia" w:ascii="宋体" w:hAnsi="宋体" w:cs="宋体"/>
                <w:color w:val="000000"/>
                <w:sz w:val="21"/>
                <w:szCs w:val="21"/>
                <w:highlight w:val="none"/>
              </w:rPr>
              <w:t xml:space="preserve"> 最大输出计数率：≥</w:t>
            </w:r>
            <w:r>
              <w:rPr>
                <w:rFonts w:ascii="宋体" w:hAnsi="宋体" w:cs="宋体"/>
                <w:color w:val="000000"/>
                <w:sz w:val="21"/>
                <w:szCs w:val="21"/>
                <w:highlight w:val="none"/>
              </w:rPr>
              <w:t>4</w:t>
            </w:r>
            <w:r>
              <w:rPr>
                <w:rFonts w:hint="eastAsia" w:ascii="宋体" w:hAnsi="宋体" w:cs="宋体"/>
                <w:color w:val="000000"/>
                <w:sz w:val="21"/>
                <w:szCs w:val="21"/>
                <w:highlight w:val="none"/>
              </w:rPr>
              <w:t>00 kcps</w:t>
            </w:r>
          </w:p>
          <w:p w14:paraId="59841F62">
            <w:pPr>
              <w:widowControl/>
              <w:spacing w:after="160" w:line="320" w:lineRule="exact"/>
              <w:rPr>
                <w:rFonts w:ascii="宋体" w:hAnsi="宋体" w:cs="宋体"/>
                <w:sz w:val="21"/>
                <w:szCs w:val="21"/>
                <w:highlight w:val="none"/>
              </w:rPr>
            </w:pPr>
            <w:r>
              <w:rPr>
                <w:rFonts w:ascii="宋体" w:hAnsi="宋体" w:cs="宋体"/>
                <w:color w:val="000000"/>
                <w:sz w:val="21"/>
                <w:szCs w:val="21"/>
                <w:highlight w:val="none"/>
              </w:rPr>
              <w:t>2.1</w:t>
            </w:r>
            <w:r>
              <w:rPr>
                <w:rFonts w:hint="eastAsia" w:ascii="宋体" w:hAnsi="宋体" w:cs="宋体"/>
                <w:color w:val="000000"/>
                <w:sz w:val="21"/>
                <w:szCs w:val="21"/>
                <w:highlight w:val="none"/>
              </w:rPr>
              <w:t>2配套定制UPS电源一台，确保主机在断电状态下延时使用0.5小时。</w:t>
            </w:r>
          </w:p>
        </w:tc>
      </w:tr>
    </w:tbl>
    <w:p w14:paraId="5AFE83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820ABF"/>
    <w:rsid w:val="24044127"/>
    <w:rsid w:val="57820A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2025-10-15T05:32:00Z</dcterms:created>
  <dc:creator>刘冰冰</dc:creator>
  <cp:lastModifiedBy>刘冰冰</cp:lastModifiedBy>
  <dcterms:modified xsi:type="dcterms:W3CDTF">2025-10-15T05:34:14Z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FFAFBF539E4548CF8E99E686DD77C392_13</vt:lpwstr>
  </property>
  <property fmtid="{D5CDD505-2E9C-101B-9397-08002B2CF9AE}" pid="4" name="KSOTemplateDocerSaveRecord">
    <vt:lpwstr>eyJoZGlkIjoiZmZkMWFjNDM1NzNmYzdiM2JkYWM5YjhmZTllYTliMjAiLCJ1c2VySWQiOiIxNjExODE3NTMwIn0=</vt:lpwstr>
  </property>
</Properties>
</file>