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adjustRightInd w:val="0"/>
        <w:snapToGrid w:val="0"/>
        <w:spacing w:line="240" w:lineRule="atLeast"/>
        <w:jc w:val="center"/>
        <w:rPr>
          <w:rFonts w:hAnsi="宋体"/>
          <w:color w:val="auto"/>
        </w:rPr>
      </w:pPr>
    </w:p>
    <w:p>
      <w:pPr>
        <w:pStyle w:val="10"/>
        <w:adjustRightInd w:val="0"/>
        <w:snapToGrid w:val="0"/>
        <w:spacing w:line="240" w:lineRule="atLeast"/>
        <w:jc w:val="center"/>
        <w:rPr>
          <w:rFonts w:hAnsi="宋体"/>
          <w:color w:val="auto"/>
        </w:rPr>
      </w:pPr>
    </w:p>
    <w:p>
      <w:pPr>
        <w:pStyle w:val="10"/>
        <w:adjustRightInd w:val="0"/>
        <w:snapToGrid w:val="0"/>
        <w:spacing w:line="240" w:lineRule="atLeast"/>
        <w:jc w:val="center"/>
        <w:rPr>
          <w:rFonts w:hAnsi="宋体"/>
          <w:color w:val="auto"/>
        </w:rPr>
      </w:pPr>
    </w:p>
    <w:p>
      <w:pPr>
        <w:pStyle w:val="10"/>
        <w:adjustRightInd w:val="0"/>
        <w:snapToGrid w:val="0"/>
        <w:spacing w:line="240" w:lineRule="atLeast"/>
        <w:jc w:val="center"/>
        <w:rPr>
          <w:rFonts w:hAnsi="宋体"/>
          <w:color w:val="auto"/>
        </w:rPr>
      </w:pPr>
    </w:p>
    <w:p>
      <w:pPr>
        <w:pStyle w:val="10"/>
        <w:adjustRightInd w:val="0"/>
        <w:snapToGrid w:val="0"/>
        <w:spacing w:line="240" w:lineRule="atLeast"/>
        <w:jc w:val="center"/>
        <w:rPr>
          <w:rFonts w:ascii="华文中宋" w:hAnsi="华文中宋" w:eastAsia="华文中宋"/>
          <w:bCs/>
          <w:color w:val="auto"/>
          <w:sz w:val="72"/>
          <w:szCs w:val="72"/>
        </w:rPr>
      </w:pPr>
      <w:r>
        <w:rPr>
          <w:rFonts w:hint="eastAsia" w:ascii="华文中宋" w:hAnsi="华文中宋" w:eastAsia="华文中宋"/>
          <w:bCs/>
          <w:color w:val="auto"/>
          <w:sz w:val="72"/>
          <w:szCs w:val="72"/>
        </w:rPr>
        <w:t>政府采购</w:t>
      </w:r>
    </w:p>
    <w:p>
      <w:pPr>
        <w:pStyle w:val="10"/>
        <w:adjustRightInd w:val="0"/>
        <w:snapToGrid w:val="0"/>
        <w:spacing w:line="240" w:lineRule="atLeast"/>
        <w:jc w:val="center"/>
        <w:rPr>
          <w:rFonts w:ascii="华文中宋" w:hAnsi="华文中宋" w:eastAsia="华文中宋"/>
          <w:b/>
          <w:bCs/>
          <w:color w:val="auto"/>
          <w:sz w:val="84"/>
          <w:szCs w:val="84"/>
        </w:rPr>
      </w:pPr>
      <w:r>
        <w:rPr>
          <w:rFonts w:hint="eastAsia" w:ascii="华文中宋" w:hAnsi="华文中宋" w:eastAsia="华文中宋"/>
          <w:b/>
          <w:bCs/>
          <w:color w:val="auto"/>
          <w:sz w:val="84"/>
          <w:szCs w:val="84"/>
        </w:rPr>
        <w:t>货物项目招标文件</w:t>
      </w:r>
    </w:p>
    <w:p>
      <w:pPr>
        <w:pStyle w:val="10"/>
        <w:adjustRightInd w:val="0"/>
        <w:snapToGrid w:val="0"/>
        <w:spacing w:line="240" w:lineRule="atLeast"/>
        <w:jc w:val="center"/>
        <w:rPr>
          <w:rFonts w:ascii="华文中宋" w:hAnsi="华文中宋" w:eastAsia="华文中宋"/>
          <w:b/>
          <w:bCs/>
          <w:color w:val="auto"/>
          <w:sz w:val="44"/>
          <w:szCs w:val="44"/>
        </w:rPr>
      </w:pPr>
    </w:p>
    <w:p>
      <w:pPr>
        <w:pStyle w:val="10"/>
        <w:adjustRightInd w:val="0"/>
        <w:snapToGrid w:val="0"/>
        <w:spacing w:line="240" w:lineRule="atLeast"/>
        <w:jc w:val="center"/>
        <w:rPr>
          <w:rFonts w:ascii="华文中宋" w:hAnsi="华文中宋" w:eastAsia="华文中宋"/>
          <w:b/>
          <w:bCs/>
          <w:color w:val="auto"/>
          <w:sz w:val="44"/>
          <w:szCs w:val="44"/>
        </w:rPr>
      </w:pPr>
    </w:p>
    <w:p>
      <w:pPr>
        <w:pStyle w:val="10"/>
        <w:adjustRightInd w:val="0"/>
        <w:snapToGrid w:val="0"/>
        <w:spacing w:line="240" w:lineRule="atLeast"/>
        <w:jc w:val="center"/>
        <w:rPr>
          <w:rFonts w:ascii="华文中宋" w:hAnsi="华文中宋" w:eastAsia="华文中宋"/>
          <w:bCs/>
          <w:color w:val="auto"/>
        </w:rPr>
      </w:pPr>
    </w:p>
    <w:p>
      <w:pPr>
        <w:adjustRightInd w:val="0"/>
        <w:snapToGrid w:val="0"/>
        <w:spacing w:line="360" w:lineRule="auto"/>
        <w:ind w:firstLine="1124" w:firstLineChars="350"/>
        <w:rPr>
          <w:rFonts w:hint="eastAsia" w:hAnsi="宋体"/>
          <w:b/>
          <w:color w:val="auto"/>
          <w:sz w:val="32"/>
          <w:szCs w:val="32"/>
          <w:u w:val="single"/>
          <w:lang w:eastAsia="zh-CN"/>
        </w:rPr>
      </w:pPr>
      <w:r>
        <w:rPr>
          <w:rFonts w:hint="eastAsia" w:hAnsi="宋体"/>
          <w:b/>
          <w:color w:val="auto"/>
          <w:sz w:val="32"/>
          <w:szCs w:val="32"/>
        </w:rPr>
        <w:t>采购项目名称：</w:t>
      </w:r>
      <w:r>
        <w:rPr>
          <w:rFonts w:hint="eastAsia" w:hAnsi="宋体"/>
          <w:b/>
          <w:color w:val="auto"/>
          <w:sz w:val="32"/>
          <w:szCs w:val="32"/>
          <w:u w:val="single"/>
          <w:lang w:eastAsia="zh-CN"/>
        </w:rPr>
        <w:t>湘潭市消防救援支队火灾调查装备采</w:t>
      </w:r>
    </w:p>
    <w:p>
      <w:pPr>
        <w:adjustRightInd w:val="0"/>
        <w:snapToGrid w:val="0"/>
        <w:spacing w:line="360" w:lineRule="auto"/>
        <w:ind w:firstLine="1124" w:firstLineChars="350"/>
        <w:rPr>
          <w:b/>
          <w:color w:val="auto"/>
          <w:szCs w:val="21"/>
        </w:rPr>
      </w:pPr>
      <w:r>
        <w:rPr>
          <w:rFonts w:hint="eastAsia" w:hAnsi="宋体"/>
          <w:b/>
          <w:color w:val="auto"/>
          <w:sz w:val="32"/>
          <w:szCs w:val="32"/>
          <w:u w:val="single"/>
          <w:lang w:eastAsia="zh-CN"/>
        </w:rPr>
        <w:t>购项目</w:t>
      </w:r>
    </w:p>
    <w:p>
      <w:pPr>
        <w:adjustRightInd w:val="0"/>
        <w:snapToGrid w:val="0"/>
        <w:spacing w:line="360" w:lineRule="auto"/>
        <w:ind w:firstLine="1124" w:firstLineChars="350"/>
        <w:rPr>
          <w:rFonts w:hAnsi="宋体"/>
          <w:b/>
          <w:color w:val="auto"/>
          <w:sz w:val="32"/>
          <w:szCs w:val="32"/>
          <w:highlight w:val="yellow"/>
        </w:rPr>
      </w:pPr>
      <w:r>
        <w:rPr>
          <w:rFonts w:hint="eastAsia" w:hAnsi="宋体"/>
          <w:b/>
          <w:color w:val="auto"/>
          <w:sz w:val="32"/>
          <w:szCs w:val="32"/>
          <w:highlight w:val="none"/>
        </w:rPr>
        <w:t>政府采购计划编号：</w:t>
      </w:r>
      <w:r>
        <w:rPr>
          <w:rFonts w:hint="eastAsia" w:hAnsi="宋体"/>
          <w:b/>
          <w:color w:val="auto"/>
          <w:sz w:val="32"/>
          <w:szCs w:val="32"/>
          <w:highlight w:val="none"/>
          <w:u w:val="single"/>
        </w:rPr>
        <w:t>潭市财采计【2023】0348号</w:t>
      </w:r>
    </w:p>
    <w:p>
      <w:pPr>
        <w:adjustRightInd w:val="0"/>
        <w:snapToGrid w:val="0"/>
        <w:spacing w:line="360" w:lineRule="auto"/>
        <w:ind w:firstLine="1124" w:firstLineChars="350"/>
        <w:rPr>
          <w:rFonts w:hAnsi="宋体"/>
          <w:b/>
          <w:color w:val="auto"/>
          <w:sz w:val="32"/>
          <w:szCs w:val="32"/>
          <w:u w:val="single"/>
        </w:rPr>
      </w:pPr>
      <w:r>
        <w:rPr>
          <w:rFonts w:hint="eastAsia" w:hAnsi="宋体"/>
          <w:b/>
          <w:color w:val="auto"/>
          <w:sz w:val="32"/>
          <w:szCs w:val="32"/>
          <w:lang w:eastAsia="zh-CN"/>
        </w:rPr>
        <w:t>委托代理编号</w:t>
      </w:r>
      <w:r>
        <w:rPr>
          <w:rFonts w:hint="eastAsia" w:hAnsi="宋体"/>
          <w:b/>
          <w:color w:val="auto"/>
          <w:sz w:val="32"/>
          <w:szCs w:val="32"/>
        </w:rPr>
        <w:t>：</w:t>
      </w:r>
      <w:r>
        <w:rPr>
          <w:rFonts w:hint="eastAsia" w:hAnsi="宋体"/>
          <w:b/>
          <w:color w:val="auto"/>
          <w:sz w:val="32"/>
          <w:szCs w:val="32"/>
          <w:u w:val="single"/>
        </w:rPr>
        <w:t xml:space="preserve"> </w:t>
      </w:r>
      <w:r>
        <w:rPr>
          <w:rFonts w:hint="eastAsia" w:hAnsi="宋体"/>
          <w:b/>
          <w:color w:val="auto"/>
          <w:sz w:val="32"/>
          <w:szCs w:val="32"/>
          <w:u w:val="single"/>
          <w:lang w:eastAsia="zh-CN"/>
        </w:rPr>
        <w:t>HD-A-2023018</w:t>
      </w:r>
      <w:r>
        <w:rPr>
          <w:rFonts w:hint="eastAsia" w:hAnsi="宋体"/>
          <w:b/>
          <w:color w:val="auto"/>
          <w:sz w:val="32"/>
          <w:szCs w:val="32"/>
          <w:u w:val="single"/>
        </w:rPr>
        <w:t xml:space="preserve">   </w:t>
      </w:r>
    </w:p>
    <w:p>
      <w:pPr>
        <w:adjustRightInd w:val="0"/>
        <w:snapToGrid w:val="0"/>
        <w:spacing w:line="360" w:lineRule="auto"/>
        <w:ind w:firstLine="1124" w:firstLineChars="350"/>
        <w:rPr>
          <w:rFonts w:hAnsi="宋体"/>
          <w:b/>
          <w:color w:val="auto"/>
          <w:sz w:val="32"/>
          <w:szCs w:val="32"/>
        </w:rPr>
      </w:pPr>
      <w:r>
        <w:rPr>
          <w:rFonts w:hint="eastAsia" w:hAnsi="宋体"/>
          <w:b/>
          <w:color w:val="auto"/>
          <w:sz w:val="32"/>
          <w:szCs w:val="32"/>
        </w:rPr>
        <w:t>采</w:t>
      </w:r>
      <w:r>
        <w:rPr>
          <w:rFonts w:hAnsi="宋体"/>
          <w:b/>
          <w:color w:val="auto"/>
          <w:sz w:val="32"/>
          <w:szCs w:val="32"/>
        </w:rPr>
        <w:t xml:space="preserve">   </w:t>
      </w:r>
      <w:r>
        <w:rPr>
          <w:rFonts w:hint="eastAsia" w:hAnsi="宋体"/>
          <w:b/>
          <w:color w:val="auto"/>
          <w:sz w:val="32"/>
          <w:szCs w:val="32"/>
        </w:rPr>
        <w:t>购</w:t>
      </w:r>
      <w:r>
        <w:rPr>
          <w:rFonts w:hAnsi="宋体"/>
          <w:b/>
          <w:color w:val="auto"/>
          <w:sz w:val="32"/>
          <w:szCs w:val="32"/>
        </w:rPr>
        <w:t xml:space="preserve">   </w:t>
      </w:r>
      <w:r>
        <w:rPr>
          <w:rFonts w:hint="eastAsia" w:hAnsi="宋体"/>
          <w:b/>
          <w:color w:val="auto"/>
          <w:sz w:val="32"/>
          <w:szCs w:val="32"/>
        </w:rPr>
        <w:t>人：</w:t>
      </w:r>
      <w:r>
        <w:rPr>
          <w:rFonts w:hint="eastAsia" w:hAnsi="宋体"/>
          <w:b/>
          <w:color w:val="auto"/>
          <w:sz w:val="32"/>
          <w:szCs w:val="32"/>
          <w:u w:val="single"/>
        </w:rPr>
        <w:t xml:space="preserve"> 湘潭市消防救援支队  </w:t>
      </w:r>
    </w:p>
    <w:p>
      <w:pPr>
        <w:adjustRightInd w:val="0"/>
        <w:snapToGrid w:val="0"/>
        <w:spacing w:line="360" w:lineRule="auto"/>
        <w:ind w:firstLine="1124" w:firstLineChars="350"/>
        <w:rPr>
          <w:rFonts w:ascii="宋体"/>
          <w:b/>
          <w:color w:val="auto"/>
          <w:sz w:val="32"/>
          <w:szCs w:val="21"/>
        </w:rPr>
      </w:pPr>
      <w:r>
        <w:rPr>
          <w:rFonts w:hint="eastAsia" w:ascii="宋体"/>
          <w:b/>
          <w:color w:val="auto"/>
          <w:sz w:val="32"/>
          <w:szCs w:val="21"/>
        </w:rPr>
        <w:t>采购代理机构：</w:t>
      </w:r>
      <w:r>
        <w:rPr>
          <w:rFonts w:hint="eastAsia" w:ascii="宋体"/>
          <w:b/>
          <w:color w:val="auto"/>
          <w:sz w:val="32"/>
          <w:szCs w:val="21"/>
          <w:u w:val="single"/>
        </w:rPr>
        <w:t xml:space="preserve"> 湖南恒典建设项目管理有限公司  </w:t>
      </w:r>
    </w:p>
    <w:p>
      <w:pPr>
        <w:pStyle w:val="10"/>
        <w:adjustRightInd w:val="0"/>
        <w:snapToGrid w:val="0"/>
        <w:spacing w:line="360" w:lineRule="auto"/>
        <w:jc w:val="center"/>
        <w:rPr>
          <w:rFonts w:hAnsi="宋体"/>
          <w:bCs/>
          <w:color w:val="auto"/>
          <w:sz w:val="32"/>
          <w:szCs w:val="32"/>
        </w:rPr>
      </w:pPr>
    </w:p>
    <w:p>
      <w:pPr>
        <w:pStyle w:val="10"/>
        <w:adjustRightInd w:val="0"/>
        <w:snapToGrid w:val="0"/>
        <w:spacing w:line="240" w:lineRule="atLeast"/>
        <w:jc w:val="center"/>
        <w:rPr>
          <w:rFonts w:hAnsi="宋体"/>
          <w:bCs/>
          <w:color w:val="auto"/>
          <w:sz w:val="32"/>
          <w:szCs w:val="32"/>
        </w:rPr>
      </w:pPr>
    </w:p>
    <w:p>
      <w:pPr>
        <w:pStyle w:val="10"/>
        <w:adjustRightInd w:val="0"/>
        <w:snapToGrid w:val="0"/>
        <w:spacing w:line="240" w:lineRule="atLeast"/>
        <w:jc w:val="center"/>
        <w:rPr>
          <w:rFonts w:hAnsi="宋体"/>
          <w:bCs/>
          <w:color w:val="auto"/>
          <w:sz w:val="32"/>
          <w:szCs w:val="32"/>
        </w:rPr>
      </w:pPr>
    </w:p>
    <w:p>
      <w:pPr>
        <w:pStyle w:val="10"/>
        <w:adjustRightInd w:val="0"/>
        <w:snapToGrid w:val="0"/>
        <w:spacing w:line="240" w:lineRule="atLeast"/>
        <w:jc w:val="center"/>
        <w:rPr>
          <w:rFonts w:hAnsi="宋体"/>
          <w:bCs/>
          <w:color w:val="auto"/>
          <w:sz w:val="32"/>
          <w:szCs w:val="32"/>
        </w:rPr>
      </w:pPr>
    </w:p>
    <w:p>
      <w:pPr>
        <w:pStyle w:val="10"/>
        <w:adjustRightInd w:val="0"/>
        <w:snapToGrid w:val="0"/>
        <w:spacing w:line="240" w:lineRule="atLeast"/>
        <w:jc w:val="center"/>
        <w:rPr>
          <w:rFonts w:hAnsi="宋体"/>
          <w:bCs/>
          <w:color w:val="auto"/>
          <w:sz w:val="32"/>
          <w:szCs w:val="32"/>
        </w:rPr>
      </w:pPr>
    </w:p>
    <w:p>
      <w:pPr>
        <w:pStyle w:val="10"/>
        <w:adjustRightInd w:val="0"/>
        <w:snapToGrid w:val="0"/>
        <w:spacing w:line="240" w:lineRule="atLeast"/>
        <w:jc w:val="center"/>
        <w:rPr>
          <w:rFonts w:hAnsi="宋体"/>
          <w:bCs/>
          <w:color w:val="auto"/>
          <w:sz w:val="32"/>
          <w:szCs w:val="32"/>
        </w:rPr>
      </w:pPr>
    </w:p>
    <w:p>
      <w:pPr>
        <w:pStyle w:val="10"/>
        <w:adjustRightInd w:val="0"/>
        <w:snapToGrid w:val="0"/>
        <w:spacing w:line="240" w:lineRule="atLeast"/>
        <w:jc w:val="center"/>
        <w:rPr>
          <w:rFonts w:hAnsi="宋体"/>
          <w:bCs/>
          <w:color w:val="auto"/>
          <w:sz w:val="32"/>
          <w:szCs w:val="32"/>
        </w:rPr>
      </w:pPr>
    </w:p>
    <w:p>
      <w:pPr>
        <w:pStyle w:val="10"/>
        <w:adjustRightInd w:val="0"/>
        <w:snapToGrid w:val="0"/>
        <w:spacing w:line="240" w:lineRule="atLeast"/>
        <w:jc w:val="center"/>
        <w:rPr>
          <w:rFonts w:hAnsi="宋体"/>
          <w:bCs/>
          <w:color w:val="auto"/>
          <w:sz w:val="32"/>
          <w:szCs w:val="32"/>
        </w:rPr>
      </w:pPr>
    </w:p>
    <w:p>
      <w:pPr>
        <w:pStyle w:val="10"/>
        <w:adjustRightInd w:val="0"/>
        <w:snapToGrid w:val="0"/>
        <w:spacing w:line="240" w:lineRule="atLeast"/>
        <w:jc w:val="center"/>
        <w:rPr>
          <w:rFonts w:hAnsi="宋体"/>
          <w:b/>
          <w:bCs/>
          <w:color w:val="auto"/>
          <w:sz w:val="32"/>
          <w:szCs w:val="32"/>
        </w:rPr>
      </w:pPr>
      <w:r>
        <w:rPr>
          <w:rFonts w:hint="eastAsia" w:hAnsi="宋体"/>
          <w:b/>
          <w:color w:val="auto"/>
          <w:sz w:val="32"/>
        </w:rPr>
        <w:t xml:space="preserve"> </w:t>
      </w:r>
      <w:r>
        <w:rPr>
          <w:rFonts w:hint="eastAsia" w:hAnsi="宋体"/>
          <w:b/>
          <w:color w:val="auto"/>
          <w:sz w:val="32"/>
          <w:lang w:val="en-US" w:eastAsia="zh-CN"/>
        </w:rPr>
        <w:t>2024</w:t>
      </w:r>
      <w:r>
        <w:rPr>
          <w:rFonts w:hint="eastAsia" w:hAnsi="宋体"/>
          <w:b/>
          <w:color w:val="auto"/>
          <w:sz w:val="32"/>
        </w:rPr>
        <w:t xml:space="preserve">年 </w:t>
      </w:r>
      <w:r>
        <w:rPr>
          <w:rFonts w:hint="eastAsia" w:hAnsi="宋体"/>
          <w:b/>
          <w:color w:val="auto"/>
          <w:sz w:val="32"/>
          <w:lang w:val="en-US" w:eastAsia="zh-CN"/>
        </w:rPr>
        <w:t>1</w:t>
      </w:r>
      <w:r>
        <w:rPr>
          <w:rFonts w:hint="eastAsia" w:hAnsi="宋体"/>
          <w:b/>
          <w:color w:val="auto"/>
          <w:sz w:val="32"/>
        </w:rPr>
        <w:t>月</w:t>
      </w:r>
    </w:p>
    <w:p>
      <w:pPr>
        <w:pStyle w:val="10"/>
        <w:adjustRightInd w:val="0"/>
        <w:snapToGrid w:val="0"/>
        <w:spacing w:line="240" w:lineRule="atLeast"/>
        <w:jc w:val="center"/>
        <w:rPr>
          <w:rFonts w:hAnsi="宋体"/>
          <w:b/>
          <w:bCs/>
          <w:color w:val="auto"/>
          <w:sz w:val="32"/>
          <w:szCs w:val="32"/>
        </w:rPr>
      </w:pPr>
    </w:p>
    <w:p>
      <w:pPr>
        <w:pStyle w:val="10"/>
        <w:adjustRightInd w:val="0"/>
        <w:snapToGrid w:val="0"/>
        <w:spacing w:line="240" w:lineRule="atLeast"/>
        <w:jc w:val="center"/>
        <w:rPr>
          <w:rFonts w:hAnsi="宋体"/>
          <w:b/>
          <w:bCs/>
          <w:color w:val="auto"/>
          <w:sz w:val="32"/>
          <w:szCs w:val="32"/>
        </w:rPr>
        <w:sectPr>
          <w:headerReference r:id="rId3" w:type="default"/>
          <w:pgSz w:w="11906" w:h="16838"/>
          <w:pgMar w:top="1440" w:right="1588" w:bottom="1440" w:left="1588" w:header="851" w:footer="992" w:gutter="0"/>
          <w:cols w:space="720" w:num="1"/>
          <w:docGrid w:type="lines" w:linePitch="312" w:charSpace="0"/>
        </w:sectPr>
      </w:pPr>
    </w:p>
    <w:p>
      <w:pPr>
        <w:pStyle w:val="10"/>
        <w:adjustRightInd w:val="0"/>
        <w:snapToGrid w:val="0"/>
        <w:spacing w:line="360" w:lineRule="auto"/>
        <w:jc w:val="center"/>
        <w:rPr>
          <w:rFonts w:ascii="华文中宋" w:hAnsi="华文中宋" w:eastAsia="华文中宋"/>
          <w:b/>
          <w:color w:val="auto"/>
          <w:spacing w:val="160"/>
          <w:sz w:val="36"/>
          <w:szCs w:val="36"/>
        </w:rPr>
      </w:pPr>
      <w:r>
        <w:rPr>
          <w:rFonts w:hint="eastAsia" w:ascii="华文中宋" w:hAnsi="华文中宋" w:eastAsia="华文中宋"/>
          <w:b/>
          <w:color w:val="auto"/>
          <w:spacing w:val="160"/>
          <w:sz w:val="36"/>
          <w:szCs w:val="36"/>
        </w:rPr>
        <w:t>目录</w:t>
      </w:r>
    </w:p>
    <w:p>
      <w:pPr>
        <w:pStyle w:val="15"/>
        <w:tabs>
          <w:tab w:val="right" w:leader="dot" w:pos="8844"/>
        </w:tabs>
        <w:rPr>
          <w:color w:val="auto"/>
        </w:rPr>
      </w:pPr>
      <w:r>
        <w:rPr>
          <w:rStyle w:val="24"/>
          <w:b w:val="0"/>
          <w:color w:val="auto"/>
        </w:rPr>
        <w:fldChar w:fldCharType="begin"/>
      </w:r>
      <w:r>
        <w:rPr>
          <w:rStyle w:val="24"/>
          <w:b w:val="0"/>
          <w:color w:val="auto"/>
        </w:rPr>
        <w:instrText xml:space="preserve"> TOC \o "1-4" \h \z \u </w:instrText>
      </w:r>
      <w:r>
        <w:rPr>
          <w:rStyle w:val="24"/>
          <w:b w:val="0"/>
          <w:color w:val="auto"/>
        </w:rPr>
        <w:fldChar w:fldCharType="separate"/>
      </w:r>
      <w:r>
        <w:rPr>
          <w:color w:val="auto"/>
        </w:rPr>
        <w:fldChar w:fldCharType="begin"/>
      </w:r>
      <w:r>
        <w:rPr>
          <w:color w:val="auto"/>
        </w:rPr>
        <w:instrText xml:space="preserve"> HYPERLINK \l _Toc27845 </w:instrText>
      </w:r>
      <w:r>
        <w:rPr>
          <w:color w:val="auto"/>
        </w:rPr>
        <w:fldChar w:fldCharType="separate"/>
      </w:r>
      <w:r>
        <w:rPr>
          <w:rFonts w:hint="eastAsia" w:ascii="黑体" w:hAnsi="华文中宋" w:eastAsia="黑体"/>
          <w:color w:val="auto"/>
          <w:szCs w:val="32"/>
        </w:rPr>
        <w:t>第一章 投标邀请（公开招标）</w:t>
      </w:r>
      <w:r>
        <w:rPr>
          <w:color w:val="auto"/>
        </w:rPr>
        <w:tab/>
      </w:r>
      <w:r>
        <w:rPr>
          <w:color w:val="auto"/>
        </w:rPr>
        <w:fldChar w:fldCharType="begin"/>
      </w:r>
      <w:r>
        <w:rPr>
          <w:color w:val="auto"/>
        </w:rPr>
        <w:instrText xml:space="preserve"> PAGEREF _Toc27845 \h </w:instrText>
      </w:r>
      <w:r>
        <w:rPr>
          <w:color w:val="auto"/>
        </w:rPr>
        <w:fldChar w:fldCharType="separate"/>
      </w:r>
      <w:r>
        <w:rPr>
          <w:color w:val="auto"/>
        </w:rPr>
        <w:t>2</w:t>
      </w:r>
      <w:r>
        <w:rPr>
          <w:color w:val="auto"/>
        </w:rPr>
        <w:fldChar w:fldCharType="end"/>
      </w:r>
      <w:r>
        <w:rPr>
          <w:color w:val="auto"/>
        </w:rPr>
        <w:fldChar w:fldCharType="end"/>
      </w:r>
    </w:p>
    <w:p>
      <w:pPr>
        <w:pStyle w:val="15"/>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_Toc18626 </w:instrText>
      </w:r>
      <w:r>
        <w:rPr>
          <w:rFonts w:ascii="宋体" w:hAnsi="宋体" w:eastAsia="宋体" w:cs="Times New Roman"/>
          <w:color w:val="auto"/>
        </w:rPr>
        <w:fldChar w:fldCharType="separate"/>
      </w:r>
      <w:r>
        <w:rPr>
          <w:rFonts w:hint="eastAsia" w:ascii="黑体" w:hAnsi="华文中宋" w:eastAsia="黑体"/>
          <w:color w:val="auto"/>
          <w:szCs w:val="32"/>
        </w:rPr>
        <w:t xml:space="preserve">第一章 </w:t>
      </w:r>
      <w:r>
        <w:rPr>
          <w:rFonts w:hint="eastAsia" w:ascii="黑体" w:hAnsi="华文中宋" w:eastAsia="黑体"/>
          <w:color w:val="auto"/>
          <w:szCs w:val="32"/>
          <w:lang w:eastAsia="zh-CN"/>
        </w:rPr>
        <w:t>投标邀请</w:t>
      </w:r>
      <w:r>
        <w:rPr>
          <w:rFonts w:hint="eastAsia" w:ascii="黑体" w:hAnsi="华文中宋" w:eastAsia="黑体"/>
          <w:color w:val="auto"/>
          <w:szCs w:val="32"/>
        </w:rPr>
        <w:t>（邀请招标）</w:t>
      </w:r>
      <w:r>
        <w:rPr>
          <w:color w:val="auto"/>
        </w:rPr>
        <w:tab/>
      </w:r>
      <w:r>
        <w:rPr>
          <w:color w:val="auto"/>
        </w:rPr>
        <w:fldChar w:fldCharType="begin"/>
      </w:r>
      <w:r>
        <w:rPr>
          <w:color w:val="auto"/>
        </w:rPr>
        <w:instrText xml:space="preserve"> PAGEREF _Toc18626 \h </w:instrText>
      </w:r>
      <w:r>
        <w:rPr>
          <w:color w:val="auto"/>
        </w:rPr>
        <w:fldChar w:fldCharType="separate"/>
      </w:r>
      <w:r>
        <w:rPr>
          <w:color w:val="auto"/>
        </w:rPr>
        <w:t>5</w:t>
      </w:r>
      <w:r>
        <w:rPr>
          <w:color w:val="auto"/>
        </w:rPr>
        <w:fldChar w:fldCharType="end"/>
      </w:r>
      <w:r>
        <w:rPr>
          <w:rFonts w:ascii="宋体" w:hAnsi="宋体" w:eastAsia="宋体" w:cs="Times New Roman"/>
          <w:color w:val="auto"/>
        </w:rPr>
        <w:fldChar w:fldCharType="end"/>
      </w:r>
    </w:p>
    <w:p>
      <w:pPr>
        <w:pStyle w:val="15"/>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_Toc17688 </w:instrText>
      </w:r>
      <w:r>
        <w:rPr>
          <w:rFonts w:ascii="宋体" w:hAnsi="宋体" w:eastAsia="宋体" w:cs="Times New Roman"/>
          <w:color w:val="auto"/>
        </w:rPr>
        <w:fldChar w:fldCharType="separate"/>
      </w:r>
      <w:r>
        <w:rPr>
          <w:rFonts w:hint="eastAsia" w:ascii="黑体" w:hAnsi="华文中宋" w:eastAsia="黑体"/>
          <w:color w:val="auto"/>
          <w:szCs w:val="32"/>
        </w:rPr>
        <w:t>第二章 投标须知</w:t>
      </w:r>
      <w:r>
        <w:rPr>
          <w:color w:val="auto"/>
        </w:rPr>
        <w:tab/>
      </w:r>
      <w:r>
        <w:rPr>
          <w:color w:val="auto"/>
        </w:rPr>
        <w:fldChar w:fldCharType="begin"/>
      </w:r>
      <w:r>
        <w:rPr>
          <w:color w:val="auto"/>
        </w:rPr>
        <w:instrText xml:space="preserve"> PAGEREF _Toc17688 \h </w:instrText>
      </w:r>
      <w:r>
        <w:rPr>
          <w:color w:val="auto"/>
        </w:rPr>
        <w:fldChar w:fldCharType="separate"/>
      </w:r>
      <w:r>
        <w:rPr>
          <w:color w:val="auto"/>
        </w:rPr>
        <w:t>8</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_Toc4898 </w:instrText>
      </w:r>
      <w:r>
        <w:rPr>
          <w:rFonts w:ascii="宋体" w:hAnsi="宋体" w:eastAsia="宋体" w:cs="Times New Roman"/>
          <w:color w:val="auto"/>
        </w:rPr>
        <w:fldChar w:fldCharType="separate"/>
      </w:r>
      <w:r>
        <w:rPr>
          <w:rFonts w:hint="eastAsia" w:ascii="黑体" w:hAnsi="华文中宋" w:eastAsia="黑体"/>
          <w:color w:val="auto"/>
          <w:szCs w:val="28"/>
        </w:rPr>
        <w:t>第一节 投标须知前附表</w:t>
      </w:r>
      <w:r>
        <w:rPr>
          <w:color w:val="auto"/>
        </w:rPr>
        <w:tab/>
      </w:r>
      <w:r>
        <w:rPr>
          <w:color w:val="auto"/>
        </w:rPr>
        <w:fldChar w:fldCharType="begin"/>
      </w:r>
      <w:r>
        <w:rPr>
          <w:color w:val="auto"/>
        </w:rPr>
        <w:instrText xml:space="preserve"> PAGEREF _Toc4898 \h </w:instrText>
      </w:r>
      <w:r>
        <w:rPr>
          <w:color w:val="auto"/>
        </w:rPr>
        <w:fldChar w:fldCharType="separate"/>
      </w:r>
      <w:r>
        <w:rPr>
          <w:color w:val="auto"/>
        </w:rPr>
        <w:t>8</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_Toc17427 </w:instrText>
      </w:r>
      <w:r>
        <w:rPr>
          <w:rFonts w:ascii="宋体" w:hAnsi="宋体" w:eastAsia="宋体" w:cs="Times New Roman"/>
          <w:color w:val="auto"/>
        </w:rPr>
        <w:fldChar w:fldCharType="separate"/>
      </w:r>
      <w:r>
        <w:rPr>
          <w:rFonts w:hint="eastAsia" w:ascii="黑体" w:hAnsi="黑体" w:eastAsia="黑体"/>
          <w:color w:val="auto"/>
          <w:szCs w:val="28"/>
        </w:rPr>
        <w:t>第二节 投标须知</w:t>
      </w:r>
      <w:r>
        <w:rPr>
          <w:color w:val="auto"/>
        </w:rPr>
        <w:tab/>
      </w:r>
      <w:r>
        <w:rPr>
          <w:color w:val="auto"/>
        </w:rPr>
        <w:fldChar w:fldCharType="begin"/>
      </w:r>
      <w:r>
        <w:rPr>
          <w:color w:val="auto"/>
        </w:rPr>
        <w:instrText xml:space="preserve"> PAGEREF _Toc17427 \h </w:instrText>
      </w:r>
      <w:r>
        <w:rPr>
          <w:color w:val="auto"/>
        </w:rPr>
        <w:fldChar w:fldCharType="separate"/>
      </w:r>
      <w:r>
        <w:rPr>
          <w:color w:val="auto"/>
        </w:rPr>
        <w:t>10</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_Toc29574 </w:instrText>
      </w:r>
      <w:r>
        <w:rPr>
          <w:rFonts w:ascii="宋体" w:hAnsi="宋体" w:eastAsia="宋体" w:cs="Times New Roman"/>
          <w:color w:val="auto"/>
        </w:rPr>
        <w:fldChar w:fldCharType="separate"/>
      </w:r>
      <w:r>
        <w:rPr>
          <w:rFonts w:hint="eastAsia" w:ascii="黑体" w:hAnsi="黑体" w:eastAsia="黑体"/>
          <w:color w:val="auto"/>
          <w:szCs w:val="28"/>
        </w:rPr>
        <w:t>一、总则</w:t>
      </w:r>
      <w:r>
        <w:rPr>
          <w:color w:val="auto"/>
        </w:rPr>
        <w:tab/>
      </w:r>
      <w:r>
        <w:rPr>
          <w:color w:val="auto"/>
        </w:rPr>
        <w:fldChar w:fldCharType="begin"/>
      </w:r>
      <w:r>
        <w:rPr>
          <w:color w:val="auto"/>
        </w:rPr>
        <w:instrText xml:space="preserve"> PAGEREF _Toc29574 \h </w:instrText>
      </w:r>
      <w:r>
        <w:rPr>
          <w:color w:val="auto"/>
        </w:rPr>
        <w:fldChar w:fldCharType="separate"/>
      </w:r>
      <w:r>
        <w:rPr>
          <w:color w:val="auto"/>
        </w:rPr>
        <w:t>10</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_Toc9226 </w:instrText>
      </w:r>
      <w:r>
        <w:rPr>
          <w:rFonts w:ascii="宋体" w:hAnsi="宋体" w:eastAsia="宋体" w:cs="Times New Roman"/>
          <w:color w:val="auto"/>
        </w:rPr>
        <w:fldChar w:fldCharType="separate"/>
      </w:r>
      <w:r>
        <w:rPr>
          <w:rFonts w:hint="eastAsia" w:ascii="黑体" w:hAnsi="黑体" w:eastAsia="黑体"/>
          <w:color w:val="auto"/>
          <w:szCs w:val="28"/>
        </w:rPr>
        <w:t>二、招标文件</w:t>
      </w:r>
      <w:r>
        <w:rPr>
          <w:color w:val="auto"/>
        </w:rPr>
        <w:tab/>
      </w:r>
      <w:r>
        <w:rPr>
          <w:color w:val="auto"/>
        </w:rPr>
        <w:fldChar w:fldCharType="begin"/>
      </w:r>
      <w:r>
        <w:rPr>
          <w:color w:val="auto"/>
        </w:rPr>
        <w:instrText xml:space="preserve"> PAGEREF _Toc9226 \h </w:instrText>
      </w:r>
      <w:r>
        <w:rPr>
          <w:color w:val="auto"/>
        </w:rPr>
        <w:fldChar w:fldCharType="separate"/>
      </w:r>
      <w:r>
        <w:rPr>
          <w:color w:val="auto"/>
        </w:rPr>
        <w:t>11</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_Toc1234 </w:instrText>
      </w:r>
      <w:r>
        <w:rPr>
          <w:rFonts w:ascii="宋体" w:hAnsi="宋体" w:eastAsia="宋体" w:cs="Times New Roman"/>
          <w:color w:val="auto"/>
        </w:rPr>
        <w:fldChar w:fldCharType="separate"/>
      </w:r>
      <w:r>
        <w:rPr>
          <w:rFonts w:hint="eastAsia" w:ascii="黑体" w:hAnsi="黑体" w:eastAsia="黑体"/>
          <w:color w:val="auto"/>
          <w:szCs w:val="28"/>
        </w:rPr>
        <w:t>三、投标文件</w:t>
      </w:r>
      <w:r>
        <w:rPr>
          <w:color w:val="auto"/>
        </w:rPr>
        <w:tab/>
      </w:r>
      <w:r>
        <w:rPr>
          <w:color w:val="auto"/>
        </w:rPr>
        <w:fldChar w:fldCharType="begin"/>
      </w:r>
      <w:r>
        <w:rPr>
          <w:color w:val="auto"/>
        </w:rPr>
        <w:instrText xml:space="preserve"> PAGEREF _Toc1234 \h </w:instrText>
      </w:r>
      <w:r>
        <w:rPr>
          <w:color w:val="auto"/>
        </w:rPr>
        <w:fldChar w:fldCharType="separate"/>
      </w:r>
      <w:r>
        <w:rPr>
          <w:color w:val="auto"/>
        </w:rPr>
        <w:t>12</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_Toc16048 </w:instrText>
      </w:r>
      <w:r>
        <w:rPr>
          <w:rFonts w:ascii="宋体" w:hAnsi="宋体" w:eastAsia="宋体" w:cs="Times New Roman"/>
          <w:color w:val="auto"/>
        </w:rPr>
        <w:fldChar w:fldCharType="separate"/>
      </w:r>
      <w:r>
        <w:rPr>
          <w:rFonts w:hint="eastAsia" w:ascii="黑体" w:hAnsi="黑体" w:eastAsia="黑体"/>
          <w:color w:val="auto"/>
          <w:szCs w:val="28"/>
        </w:rPr>
        <w:t>四、投标</w:t>
      </w:r>
      <w:r>
        <w:rPr>
          <w:color w:val="auto"/>
        </w:rPr>
        <w:tab/>
      </w:r>
      <w:r>
        <w:rPr>
          <w:color w:val="auto"/>
        </w:rPr>
        <w:fldChar w:fldCharType="begin"/>
      </w:r>
      <w:r>
        <w:rPr>
          <w:color w:val="auto"/>
        </w:rPr>
        <w:instrText xml:space="preserve"> PAGEREF _Toc16048 \h </w:instrText>
      </w:r>
      <w:r>
        <w:rPr>
          <w:color w:val="auto"/>
        </w:rPr>
        <w:fldChar w:fldCharType="separate"/>
      </w:r>
      <w:r>
        <w:rPr>
          <w:color w:val="auto"/>
        </w:rPr>
        <w:t>16</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_Toc8931 </w:instrText>
      </w:r>
      <w:r>
        <w:rPr>
          <w:rFonts w:ascii="宋体" w:hAnsi="宋体" w:eastAsia="宋体" w:cs="Times New Roman"/>
          <w:color w:val="auto"/>
        </w:rPr>
        <w:fldChar w:fldCharType="separate"/>
      </w:r>
      <w:r>
        <w:rPr>
          <w:rFonts w:hint="eastAsia" w:ascii="黑体" w:hAnsi="黑体" w:eastAsia="黑体"/>
          <w:color w:val="auto"/>
          <w:szCs w:val="28"/>
        </w:rPr>
        <w:t>五、开标，资格审查和评标</w:t>
      </w:r>
      <w:r>
        <w:rPr>
          <w:color w:val="auto"/>
        </w:rPr>
        <w:tab/>
      </w:r>
      <w:r>
        <w:rPr>
          <w:color w:val="auto"/>
        </w:rPr>
        <w:fldChar w:fldCharType="begin"/>
      </w:r>
      <w:r>
        <w:rPr>
          <w:color w:val="auto"/>
        </w:rPr>
        <w:instrText xml:space="preserve"> PAGEREF _Toc8931 \h </w:instrText>
      </w:r>
      <w:r>
        <w:rPr>
          <w:color w:val="auto"/>
        </w:rPr>
        <w:fldChar w:fldCharType="separate"/>
      </w:r>
      <w:r>
        <w:rPr>
          <w:color w:val="auto"/>
        </w:rPr>
        <w:t>18</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_Toc3478 </w:instrText>
      </w:r>
      <w:r>
        <w:rPr>
          <w:rFonts w:ascii="宋体" w:hAnsi="宋体" w:eastAsia="宋体" w:cs="Times New Roman"/>
          <w:color w:val="auto"/>
        </w:rPr>
        <w:fldChar w:fldCharType="separate"/>
      </w:r>
      <w:r>
        <w:rPr>
          <w:rFonts w:hint="eastAsia" w:ascii="黑体" w:hAnsi="黑体" w:eastAsia="黑体"/>
          <w:color w:val="auto"/>
          <w:szCs w:val="28"/>
        </w:rPr>
        <w:t>六、中标信息公布</w:t>
      </w:r>
      <w:r>
        <w:rPr>
          <w:color w:val="auto"/>
        </w:rPr>
        <w:tab/>
      </w:r>
      <w:r>
        <w:rPr>
          <w:color w:val="auto"/>
        </w:rPr>
        <w:fldChar w:fldCharType="begin"/>
      </w:r>
      <w:r>
        <w:rPr>
          <w:color w:val="auto"/>
        </w:rPr>
        <w:instrText xml:space="preserve"> PAGEREF _Toc3478 \h </w:instrText>
      </w:r>
      <w:r>
        <w:rPr>
          <w:color w:val="auto"/>
        </w:rPr>
        <w:fldChar w:fldCharType="separate"/>
      </w:r>
      <w:r>
        <w:rPr>
          <w:color w:val="auto"/>
        </w:rPr>
        <w:t>19</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_Toc24964 </w:instrText>
      </w:r>
      <w:r>
        <w:rPr>
          <w:rFonts w:ascii="宋体" w:hAnsi="宋体" w:eastAsia="宋体" w:cs="Times New Roman"/>
          <w:color w:val="auto"/>
        </w:rPr>
        <w:fldChar w:fldCharType="separate"/>
      </w:r>
      <w:r>
        <w:rPr>
          <w:rFonts w:hint="eastAsia" w:ascii="黑体" w:hAnsi="黑体" w:eastAsia="黑体"/>
          <w:color w:val="auto"/>
          <w:szCs w:val="28"/>
        </w:rPr>
        <w:t>七、合同签订</w:t>
      </w:r>
      <w:r>
        <w:rPr>
          <w:color w:val="auto"/>
        </w:rPr>
        <w:tab/>
      </w:r>
      <w:r>
        <w:rPr>
          <w:color w:val="auto"/>
        </w:rPr>
        <w:fldChar w:fldCharType="begin"/>
      </w:r>
      <w:r>
        <w:rPr>
          <w:color w:val="auto"/>
        </w:rPr>
        <w:instrText xml:space="preserve"> PAGEREF _Toc24964 \h </w:instrText>
      </w:r>
      <w:r>
        <w:rPr>
          <w:color w:val="auto"/>
        </w:rPr>
        <w:fldChar w:fldCharType="separate"/>
      </w:r>
      <w:r>
        <w:rPr>
          <w:color w:val="auto"/>
        </w:rPr>
        <w:t>20</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_Toc23509 </w:instrText>
      </w:r>
      <w:r>
        <w:rPr>
          <w:rFonts w:ascii="宋体" w:hAnsi="宋体" w:eastAsia="宋体" w:cs="Times New Roman"/>
          <w:color w:val="auto"/>
        </w:rPr>
        <w:fldChar w:fldCharType="separate"/>
      </w:r>
      <w:r>
        <w:rPr>
          <w:rFonts w:hint="eastAsia" w:ascii="黑体" w:hAnsi="黑体" w:eastAsia="黑体"/>
          <w:color w:val="auto"/>
          <w:szCs w:val="28"/>
        </w:rPr>
        <w:t>八、政府采购政策</w:t>
      </w:r>
      <w:r>
        <w:rPr>
          <w:color w:val="auto"/>
        </w:rPr>
        <w:tab/>
      </w:r>
      <w:r>
        <w:rPr>
          <w:color w:val="auto"/>
        </w:rPr>
        <w:fldChar w:fldCharType="begin"/>
      </w:r>
      <w:r>
        <w:rPr>
          <w:color w:val="auto"/>
        </w:rPr>
        <w:instrText xml:space="preserve"> PAGEREF _Toc23509 \h </w:instrText>
      </w:r>
      <w:r>
        <w:rPr>
          <w:color w:val="auto"/>
        </w:rPr>
        <w:fldChar w:fldCharType="separate"/>
      </w:r>
      <w:r>
        <w:rPr>
          <w:color w:val="auto"/>
        </w:rPr>
        <w:t>21</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_Toc13312 </w:instrText>
      </w:r>
      <w:r>
        <w:rPr>
          <w:rFonts w:ascii="宋体" w:hAnsi="宋体" w:eastAsia="宋体" w:cs="Times New Roman"/>
          <w:color w:val="auto"/>
        </w:rPr>
        <w:fldChar w:fldCharType="separate"/>
      </w:r>
      <w:r>
        <w:rPr>
          <w:rFonts w:hint="eastAsia" w:ascii="黑体" w:hAnsi="黑体" w:eastAsia="黑体"/>
          <w:color w:val="auto"/>
          <w:szCs w:val="28"/>
        </w:rPr>
        <w:t>九、其他规定</w:t>
      </w:r>
      <w:r>
        <w:rPr>
          <w:color w:val="auto"/>
        </w:rPr>
        <w:tab/>
      </w:r>
      <w:r>
        <w:rPr>
          <w:color w:val="auto"/>
        </w:rPr>
        <w:fldChar w:fldCharType="begin"/>
      </w:r>
      <w:r>
        <w:rPr>
          <w:color w:val="auto"/>
        </w:rPr>
        <w:instrText xml:space="preserve"> PAGEREF _Toc13312 \h </w:instrText>
      </w:r>
      <w:r>
        <w:rPr>
          <w:color w:val="auto"/>
        </w:rPr>
        <w:fldChar w:fldCharType="separate"/>
      </w:r>
      <w:r>
        <w:rPr>
          <w:color w:val="auto"/>
        </w:rPr>
        <w:t>23</w:t>
      </w:r>
      <w:r>
        <w:rPr>
          <w:color w:val="auto"/>
        </w:rPr>
        <w:fldChar w:fldCharType="end"/>
      </w:r>
      <w:r>
        <w:rPr>
          <w:rFonts w:ascii="宋体" w:hAnsi="宋体" w:eastAsia="宋体" w:cs="Times New Roman"/>
          <w:color w:val="auto"/>
        </w:rPr>
        <w:fldChar w:fldCharType="end"/>
      </w:r>
    </w:p>
    <w:p>
      <w:pPr>
        <w:pStyle w:val="15"/>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_Toc6617 </w:instrText>
      </w:r>
      <w:r>
        <w:rPr>
          <w:rFonts w:ascii="宋体" w:hAnsi="宋体" w:eastAsia="宋体" w:cs="Times New Roman"/>
          <w:color w:val="auto"/>
        </w:rPr>
        <w:fldChar w:fldCharType="separate"/>
      </w:r>
      <w:r>
        <w:rPr>
          <w:rFonts w:hint="eastAsia" w:ascii="黑体" w:hAnsi="黑体" w:eastAsia="黑体"/>
          <w:color w:val="auto"/>
          <w:szCs w:val="32"/>
        </w:rPr>
        <w:t>第三章 资格审查</w:t>
      </w:r>
      <w:r>
        <w:rPr>
          <w:color w:val="auto"/>
        </w:rPr>
        <w:tab/>
      </w:r>
      <w:r>
        <w:rPr>
          <w:color w:val="auto"/>
        </w:rPr>
        <w:fldChar w:fldCharType="begin"/>
      </w:r>
      <w:r>
        <w:rPr>
          <w:color w:val="auto"/>
        </w:rPr>
        <w:instrText xml:space="preserve"> PAGEREF _Toc6617 \h </w:instrText>
      </w:r>
      <w:r>
        <w:rPr>
          <w:color w:val="auto"/>
        </w:rPr>
        <w:fldChar w:fldCharType="separate"/>
      </w:r>
      <w:r>
        <w:rPr>
          <w:color w:val="auto"/>
        </w:rPr>
        <w:t>25</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_Toc4660 </w:instrText>
      </w:r>
      <w:r>
        <w:rPr>
          <w:rFonts w:ascii="宋体" w:hAnsi="宋体" w:eastAsia="宋体" w:cs="Times New Roman"/>
          <w:color w:val="auto"/>
        </w:rPr>
        <w:fldChar w:fldCharType="separate"/>
      </w:r>
      <w:r>
        <w:rPr>
          <w:rFonts w:hint="eastAsia" w:ascii="黑体" w:hAnsi="黑体" w:eastAsia="黑体"/>
          <w:color w:val="auto"/>
          <w:szCs w:val="24"/>
        </w:rPr>
        <w:t>1．资格审查主体</w:t>
      </w:r>
      <w:r>
        <w:rPr>
          <w:color w:val="auto"/>
        </w:rPr>
        <w:tab/>
      </w:r>
      <w:r>
        <w:rPr>
          <w:color w:val="auto"/>
        </w:rPr>
        <w:fldChar w:fldCharType="begin"/>
      </w:r>
      <w:r>
        <w:rPr>
          <w:color w:val="auto"/>
        </w:rPr>
        <w:instrText xml:space="preserve"> PAGEREF _Toc4660 \h </w:instrText>
      </w:r>
      <w:r>
        <w:rPr>
          <w:color w:val="auto"/>
        </w:rPr>
        <w:fldChar w:fldCharType="separate"/>
      </w:r>
      <w:r>
        <w:rPr>
          <w:color w:val="auto"/>
        </w:rPr>
        <w:t>25</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_Toc3232 </w:instrText>
      </w:r>
      <w:r>
        <w:rPr>
          <w:rFonts w:ascii="宋体" w:hAnsi="宋体" w:eastAsia="宋体" w:cs="Times New Roman"/>
          <w:color w:val="auto"/>
        </w:rPr>
        <w:fldChar w:fldCharType="separate"/>
      </w:r>
      <w:r>
        <w:rPr>
          <w:rFonts w:hint="eastAsia" w:ascii="黑体" w:hAnsi="黑体" w:eastAsia="黑体"/>
          <w:color w:val="auto"/>
          <w:szCs w:val="24"/>
        </w:rPr>
        <w:t>2．资格审查（未进行资格预审的）</w:t>
      </w:r>
      <w:r>
        <w:rPr>
          <w:color w:val="auto"/>
        </w:rPr>
        <w:tab/>
      </w:r>
      <w:r>
        <w:rPr>
          <w:color w:val="auto"/>
        </w:rPr>
        <w:fldChar w:fldCharType="begin"/>
      </w:r>
      <w:r>
        <w:rPr>
          <w:color w:val="auto"/>
        </w:rPr>
        <w:instrText xml:space="preserve"> PAGEREF _Toc3232 \h </w:instrText>
      </w:r>
      <w:r>
        <w:rPr>
          <w:color w:val="auto"/>
        </w:rPr>
        <w:fldChar w:fldCharType="separate"/>
      </w:r>
      <w:r>
        <w:rPr>
          <w:color w:val="auto"/>
        </w:rPr>
        <w:t>25</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_Toc3925 </w:instrText>
      </w:r>
      <w:r>
        <w:rPr>
          <w:rFonts w:ascii="宋体" w:hAnsi="宋体" w:eastAsia="宋体" w:cs="Times New Roman"/>
          <w:color w:val="auto"/>
        </w:rPr>
        <w:fldChar w:fldCharType="separate"/>
      </w:r>
      <w:r>
        <w:rPr>
          <w:rFonts w:hint="eastAsia" w:ascii="黑体" w:hAnsi="黑体" w:eastAsia="黑体"/>
          <w:color w:val="auto"/>
          <w:szCs w:val="24"/>
        </w:rPr>
        <w:t>2．资格审查（已进行资格预审的）</w:t>
      </w:r>
      <w:r>
        <w:rPr>
          <w:color w:val="auto"/>
        </w:rPr>
        <w:tab/>
      </w:r>
      <w:r>
        <w:rPr>
          <w:color w:val="auto"/>
        </w:rPr>
        <w:fldChar w:fldCharType="begin"/>
      </w:r>
      <w:r>
        <w:rPr>
          <w:color w:val="auto"/>
        </w:rPr>
        <w:instrText xml:space="preserve"> PAGEREF _Toc3925 \h </w:instrText>
      </w:r>
      <w:r>
        <w:rPr>
          <w:color w:val="auto"/>
        </w:rPr>
        <w:fldChar w:fldCharType="separate"/>
      </w:r>
      <w:r>
        <w:rPr>
          <w:color w:val="auto"/>
        </w:rPr>
        <w:t>26</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_Toc7157 </w:instrText>
      </w:r>
      <w:r>
        <w:rPr>
          <w:rFonts w:ascii="宋体" w:hAnsi="宋体" w:eastAsia="宋体" w:cs="Times New Roman"/>
          <w:color w:val="auto"/>
        </w:rPr>
        <w:fldChar w:fldCharType="separate"/>
      </w:r>
      <w:r>
        <w:rPr>
          <w:rFonts w:hint="eastAsia" w:ascii="黑体" w:hAnsi="黑体" w:eastAsia="黑体"/>
          <w:color w:val="auto"/>
          <w:szCs w:val="24"/>
        </w:rPr>
        <w:t>3．资格审查结果</w:t>
      </w:r>
      <w:r>
        <w:rPr>
          <w:color w:val="auto"/>
        </w:rPr>
        <w:tab/>
      </w:r>
      <w:r>
        <w:rPr>
          <w:color w:val="auto"/>
        </w:rPr>
        <w:fldChar w:fldCharType="begin"/>
      </w:r>
      <w:r>
        <w:rPr>
          <w:color w:val="auto"/>
        </w:rPr>
        <w:instrText xml:space="preserve"> PAGEREF _Toc7157 \h </w:instrText>
      </w:r>
      <w:r>
        <w:rPr>
          <w:color w:val="auto"/>
        </w:rPr>
        <w:fldChar w:fldCharType="separate"/>
      </w:r>
      <w:r>
        <w:rPr>
          <w:color w:val="auto"/>
        </w:rPr>
        <w:t>26</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_Toc14281 </w:instrText>
      </w:r>
      <w:r>
        <w:rPr>
          <w:rFonts w:ascii="宋体" w:hAnsi="宋体" w:eastAsia="宋体" w:cs="Times New Roman"/>
          <w:color w:val="auto"/>
        </w:rPr>
        <w:fldChar w:fldCharType="separate"/>
      </w:r>
      <w:r>
        <w:rPr>
          <w:rFonts w:hint="eastAsia" w:ascii="黑体" w:hAnsi="黑体" w:eastAsia="黑体" w:cs="黑体"/>
          <w:bCs w:val="0"/>
          <w:color w:val="auto"/>
          <w:szCs w:val="21"/>
        </w:rPr>
        <w:t>附表1资格审查表</w:t>
      </w:r>
      <w:r>
        <w:rPr>
          <w:color w:val="auto"/>
        </w:rPr>
        <w:tab/>
      </w:r>
      <w:r>
        <w:rPr>
          <w:color w:val="auto"/>
        </w:rPr>
        <w:fldChar w:fldCharType="begin"/>
      </w:r>
      <w:r>
        <w:rPr>
          <w:color w:val="auto"/>
        </w:rPr>
        <w:instrText xml:space="preserve"> PAGEREF _Toc14281 \h </w:instrText>
      </w:r>
      <w:r>
        <w:rPr>
          <w:color w:val="auto"/>
        </w:rPr>
        <w:fldChar w:fldCharType="separate"/>
      </w:r>
      <w:r>
        <w:rPr>
          <w:color w:val="auto"/>
        </w:rPr>
        <w:t>27</w:t>
      </w:r>
      <w:r>
        <w:rPr>
          <w:color w:val="auto"/>
        </w:rPr>
        <w:fldChar w:fldCharType="end"/>
      </w:r>
      <w:r>
        <w:rPr>
          <w:rFonts w:ascii="宋体" w:hAnsi="宋体" w:eastAsia="宋体" w:cs="Times New Roman"/>
          <w:color w:val="auto"/>
        </w:rPr>
        <w:fldChar w:fldCharType="end"/>
      </w:r>
    </w:p>
    <w:p>
      <w:pPr>
        <w:pStyle w:val="16"/>
        <w:tabs>
          <w:tab w:val="right" w:leader="dot" w:pos="8844"/>
        </w:tabs>
        <w:rPr>
          <w:rFonts w:hint="eastAsia" w:ascii="黑体" w:hAnsi="黑体" w:eastAsia="黑体" w:cs="黑体"/>
          <w:color w:val="auto"/>
        </w:rPr>
      </w:pPr>
      <w:r>
        <w:rPr>
          <w:rFonts w:hint="eastAsia" w:ascii="黑体" w:hAnsi="黑体" w:eastAsia="黑体" w:cs="黑体"/>
          <w:color w:val="auto"/>
        </w:rPr>
        <w:fldChar w:fldCharType="begin"/>
      </w:r>
      <w:r>
        <w:rPr>
          <w:rFonts w:hint="eastAsia" w:ascii="黑体" w:hAnsi="黑体" w:eastAsia="黑体" w:cs="黑体"/>
          <w:color w:val="auto"/>
        </w:rPr>
        <w:instrText xml:space="preserve"> HYPERLINK \l _Toc24421 </w:instrText>
      </w:r>
      <w:r>
        <w:rPr>
          <w:rFonts w:hint="eastAsia" w:ascii="黑体" w:hAnsi="黑体" w:eastAsia="黑体" w:cs="黑体"/>
          <w:color w:val="auto"/>
        </w:rPr>
        <w:fldChar w:fldCharType="separate"/>
      </w:r>
      <w:r>
        <w:rPr>
          <w:rFonts w:hint="eastAsia" w:ascii="黑体" w:hAnsi="黑体" w:eastAsia="黑体" w:cs="黑体"/>
          <w:color w:val="auto"/>
          <w:szCs w:val="21"/>
        </w:rPr>
        <w:t>附表2 资格审查结果一览表</w:t>
      </w:r>
      <w:r>
        <w:rPr>
          <w:rFonts w:hint="eastAsia" w:ascii="黑体" w:hAnsi="黑体" w:eastAsia="黑体" w:cs="黑体"/>
          <w:color w:val="auto"/>
        </w:rPr>
        <w:tab/>
      </w:r>
      <w:r>
        <w:rPr>
          <w:rFonts w:hint="eastAsia" w:ascii="黑体" w:hAnsi="黑体" w:eastAsia="黑体" w:cs="黑体"/>
          <w:color w:val="auto"/>
        </w:rPr>
        <w:fldChar w:fldCharType="begin"/>
      </w:r>
      <w:r>
        <w:rPr>
          <w:rFonts w:hint="eastAsia" w:ascii="黑体" w:hAnsi="黑体" w:eastAsia="黑体" w:cs="黑体"/>
          <w:color w:val="auto"/>
        </w:rPr>
        <w:instrText xml:space="preserve"> PAGEREF _Toc24421 \h </w:instrText>
      </w:r>
      <w:r>
        <w:rPr>
          <w:rFonts w:hint="eastAsia" w:ascii="黑体" w:hAnsi="黑体" w:eastAsia="黑体" w:cs="黑体"/>
          <w:color w:val="auto"/>
        </w:rPr>
        <w:fldChar w:fldCharType="separate"/>
      </w:r>
      <w:r>
        <w:rPr>
          <w:rFonts w:hint="eastAsia" w:ascii="黑体" w:hAnsi="黑体" w:eastAsia="黑体" w:cs="黑体"/>
          <w:color w:val="auto"/>
        </w:rPr>
        <w:t>28</w:t>
      </w:r>
      <w:r>
        <w:rPr>
          <w:rFonts w:hint="eastAsia" w:ascii="黑体" w:hAnsi="黑体" w:eastAsia="黑体" w:cs="黑体"/>
          <w:color w:val="auto"/>
        </w:rPr>
        <w:fldChar w:fldCharType="end"/>
      </w:r>
      <w:r>
        <w:rPr>
          <w:rFonts w:hint="eastAsia" w:ascii="黑体" w:hAnsi="黑体" w:eastAsia="黑体" w:cs="黑体"/>
          <w:color w:val="auto"/>
        </w:rPr>
        <w:fldChar w:fldCharType="end"/>
      </w:r>
    </w:p>
    <w:p>
      <w:pPr>
        <w:pStyle w:val="16"/>
        <w:tabs>
          <w:tab w:val="right" w:leader="dot" w:pos="8844"/>
        </w:tabs>
        <w:rPr>
          <w:color w:val="auto"/>
        </w:rPr>
      </w:pPr>
      <w:r>
        <w:rPr>
          <w:rFonts w:hint="eastAsia" w:ascii="黑体" w:hAnsi="黑体" w:eastAsia="黑体" w:cs="黑体"/>
          <w:color w:val="auto"/>
        </w:rPr>
        <w:fldChar w:fldCharType="begin"/>
      </w:r>
      <w:r>
        <w:rPr>
          <w:rFonts w:hint="eastAsia" w:ascii="黑体" w:hAnsi="黑体" w:eastAsia="黑体" w:cs="黑体"/>
          <w:color w:val="auto"/>
        </w:rPr>
        <w:instrText xml:space="preserve"> HYPERLINK \l _Toc30390 </w:instrText>
      </w:r>
      <w:r>
        <w:rPr>
          <w:rFonts w:hint="eastAsia" w:ascii="黑体" w:hAnsi="黑体" w:eastAsia="黑体" w:cs="黑体"/>
          <w:color w:val="auto"/>
        </w:rPr>
        <w:fldChar w:fldCharType="separate"/>
      </w:r>
      <w:r>
        <w:rPr>
          <w:rFonts w:hint="eastAsia" w:ascii="黑体" w:hAnsi="黑体" w:eastAsia="黑体" w:cs="黑体"/>
          <w:color w:val="auto"/>
          <w:szCs w:val="21"/>
        </w:rPr>
        <w:t>附表3 资格审查合格投标人名单</w:t>
      </w:r>
      <w:r>
        <w:rPr>
          <w:rFonts w:hint="eastAsia" w:ascii="黑体" w:hAnsi="黑体" w:eastAsia="黑体" w:cs="黑体"/>
          <w:color w:val="auto"/>
        </w:rPr>
        <w:tab/>
      </w:r>
      <w:r>
        <w:rPr>
          <w:rFonts w:hint="eastAsia" w:ascii="黑体" w:hAnsi="黑体" w:eastAsia="黑体" w:cs="黑体"/>
          <w:color w:val="auto"/>
        </w:rPr>
        <w:fldChar w:fldCharType="begin"/>
      </w:r>
      <w:r>
        <w:rPr>
          <w:rFonts w:hint="eastAsia" w:ascii="黑体" w:hAnsi="黑体" w:eastAsia="黑体" w:cs="黑体"/>
          <w:color w:val="auto"/>
        </w:rPr>
        <w:instrText xml:space="preserve"> PAGEREF _Toc30390 \h </w:instrText>
      </w:r>
      <w:r>
        <w:rPr>
          <w:rFonts w:hint="eastAsia" w:ascii="黑体" w:hAnsi="黑体" w:eastAsia="黑体" w:cs="黑体"/>
          <w:color w:val="auto"/>
        </w:rPr>
        <w:fldChar w:fldCharType="separate"/>
      </w:r>
      <w:r>
        <w:rPr>
          <w:rFonts w:hint="eastAsia" w:ascii="黑体" w:hAnsi="黑体" w:eastAsia="黑体" w:cs="黑体"/>
          <w:color w:val="auto"/>
        </w:rPr>
        <w:t>29</w:t>
      </w:r>
      <w:r>
        <w:rPr>
          <w:rFonts w:hint="eastAsia" w:ascii="黑体" w:hAnsi="黑体" w:eastAsia="黑体" w:cs="黑体"/>
          <w:color w:val="auto"/>
        </w:rPr>
        <w:fldChar w:fldCharType="end"/>
      </w:r>
      <w:r>
        <w:rPr>
          <w:rFonts w:hint="eastAsia" w:ascii="黑体" w:hAnsi="黑体" w:eastAsia="黑体" w:cs="黑体"/>
          <w:color w:val="auto"/>
        </w:rPr>
        <w:fldChar w:fldCharType="end"/>
      </w:r>
    </w:p>
    <w:p>
      <w:pPr>
        <w:pStyle w:val="15"/>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_Toc18438 </w:instrText>
      </w:r>
      <w:r>
        <w:rPr>
          <w:rFonts w:ascii="宋体" w:hAnsi="宋体" w:eastAsia="宋体" w:cs="Times New Roman"/>
          <w:color w:val="auto"/>
        </w:rPr>
        <w:fldChar w:fldCharType="separate"/>
      </w:r>
      <w:r>
        <w:rPr>
          <w:rFonts w:hint="eastAsia" w:ascii="黑体" w:hAnsi="华文中宋" w:eastAsia="黑体"/>
          <w:color w:val="auto"/>
          <w:szCs w:val="32"/>
        </w:rPr>
        <w:t>第四章 评标方法及标准</w:t>
      </w:r>
      <w:r>
        <w:rPr>
          <w:color w:val="auto"/>
        </w:rPr>
        <w:tab/>
      </w:r>
      <w:r>
        <w:rPr>
          <w:color w:val="auto"/>
        </w:rPr>
        <w:fldChar w:fldCharType="begin"/>
      </w:r>
      <w:r>
        <w:rPr>
          <w:color w:val="auto"/>
        </w:rPr>
        <w:instrText xml:space="preserve"> PAGEREF _Toc18438 \h </w:instrText>
      </w:r>
      <w:r>
        <w:rPr>
          <w:color w:val="auto"/>
        </w:rPr>
        <w:fldChar w:fldCharType="separate"/>
      </w:r>
      <w:r>
        <w:rPr>
          <w:color w:val="auto"/>
        </w:rPr>
        <w:t>30</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_Toc2367 </w:instrText>
      </w:r>
      <w:r>
        <w:rPr>
          <w:rFonts w:ascii="宋体" w:hAnsi="宋体" w:eastAsia="宋体" w:cs="Times New Roman"/>
          <w:color w:val="auto"/>
        </w:rPr>
        <w:fldChar w:fldCharType="separate"/>
      </w:r>
      <w:r>
        <w:rPr>
          <w:rFonts w:hint="eastAsia" w:ascii="黑体" w:hAnsi="华文中宋" w:eastAsia="黑体"/>
          <w:color w:val="auto"/>
          <w:szCs w:val="28"/>
        </w:rPr>
        <w:t>第一节 评标方法及标准前附表</w:t>
      </w:r>
      <w:r>
        <w:rPr>
          <w:color w:val="auto"/>
        </w:rPr>
        <w:tab/>
      </w:r>
      <w:r>
        <w:rPr>
          <w:color w:val="auto"/>
        </w:rPr>
        <w:fldChar w:fldCharType="begin"/>
      </w:r>
      <w:r>
        <w:rPr>
          <w:color w:val="auto"/>
        </w:rPr>
        <w:instrText xml:space="preserve"> PAGEREF _Toc2367 \h </w:instrText>
      </w:r>
      <w:r>
        <w:rPr>
          <w:color w:val="auto"/>
        </w:rPr>
        <w:fldChar w:fldCharType="separate"/>
      </w:r>
      <w:r>
        <w:rPr>
          <w:color w:val="auto"/>
        </w:rPr>
        <w:t>30</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_Toc30022 </w:instrText>
      </w:r>
      <w:r>
        <w:rPr>
          <w:rFonts w:ascii="宋体" w:hAnsi="宋体" w:eastAsia="宋体" w:cs="Times New Roman"/>
          <w:color w:val="auto"/>
        </w:rPr>
        <w:fldChar w:fldCharType="separate"/>
      </w:r>
      <w:r>
        <w:rPr>
          <w:rFonts w:hint="eastAsia" w:ascii="黑体" w:hAnsi="华文中宋" w:eastAsia="黑体"/>
          <w:color w:val="auto"/>
          <w:szCs w:val="28"/>
        </w:rPr>
        <w:t>第二节 评标方法及标准</w:t>
      </w:r>
      <w:r>
        <w:rPr>
          <w:color w:val="auto"/>
        </w:rPr>
        <w:tab/>
      </w:r>
      <w:r>
        <w:rPr>
          <w:color w:val="auto"/>
        </w:rPr>
        <w:fldChar w:fldCharType="begin"/>
      </w:r>
      <w:r>
        <w:rPr>
          <w:color w:val="auto"/>
        </w:rPr>
        <w:instrText xml:space="preserve"> PAGEREF _Toc30022 \h </w:instrText>
      </w:r>
      <w:r>
        <w:rPr>
          <w:color w:val="auto"/>
        </w:rPr>
        <w:fldChar w:fldCharType="separate"/>
      </w:r>
      <w:r>
        <w:rPr>
          <w:color w:val="auto"/>
        </w:rPr>
        <w:t>31</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_Toc29837 </w:instrText>
      </w:r>
      <w:r>
        <w:rPr>
          <w:rFonts w:ascii="宋体" w:hAnsi="宋体" w:eastAsia="宋体" w:cs="Times New Roman"/>
          <w:color w:val="auto"/>
        </w:rPr>
        <w:fldChar w:fldCharType="separate"/>
      </w:r>
      <w:r>
        <w:rPr>
          <w:rFonts w:hint="eastAsia" w:ascii="黑体" w:hAnsi="黑体" w:eastAsia="黑体"/>
          <w:color w:val="auto"/>
          <w:szCs w:val="24"/>
        </w:rPr>
        <w:t>1．评标方法</w:t>
      </w:r>
      <w:r>
        <w:rPr>
          <w:color w:val="auto"/>
        </w:rPr>
        <w:tab/>
      </w:r>
      <w:r>
        <w:rPr>
          <w:color w:val="auto"/>
        </w:rPr>
        <w:fldChar w:fldCharType="begin"/>
      </w:r>
      <w:r>
        <w:rPr>
          <w:color w:val="auto"/>
        </w:rPr>
        <w:instrText xml:space="preserve"> PAGEREF _Toc29837 \h </w:instrText>
      </w:r>
      <w:r>
        <w:rPr>
          <w:color w:val="auto"/>
        </w:rPr>
        <w:fldChar w:fldCharType="separate"/>
      </w:r>
      <w:r>
        <w:rPr>
          <w:color w:val="auto"/>
        </w:rPr>
        <w:t>31</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_Toc30040 </w:instrText>
      </w:r>
      <w:r>
        <w:rPr>
          <w:rFonts w:ascii="宋体" w:hAnsi="宋体" w:eastAsia="宋体" w:cs="Times New Roman"/>
          <w:color w:val="auto"/>
        </w:rPr>
        <w:fldChar w:fldCharType="separate"/>
      </w:r>
      <w:r>
        <w:rPr>
          <w:rFonts w:hint="eastAsia" w:ascii="黑体" w:hAnsi="黑体" w:eastAsia="黑体"/>
          <w:bCs w:val="0"/>
          <w:color w:val="auto"/>
          <w:szCs w:val="24"/>
        </w:rPr>
        <w:t>2．评标程序</w:t>
      </w:r>
      <w:r>
        <w:rPr>
          <w:color w:val="auto"/>
        </w:rPr>
        <w:tab/>
      </w:r>
      <w:r>
        <w:rPr>
          <w:color w:val="auto"/>
        </w:rPr>
        <w:fldChar w:fldCharType="begin"/>
      </w:r>
      <w:r>
        <w:rPr>
          <w:color w:val="auto"/>
        </w:rPr>
        <w:instrText xml:space="preserve"> PAGEREF _Toc30040 \h </w:instrText>
      </w:r>
      <w:r>
        <w:rPr>
          <w:color w:val="auto"/>
        </w:rPr>
        <w:fldChar w:fldCharType="separate"/>
      </w:r>
      <w:r>
        <w:rPr>
          <w:color w:val="auto"/>
        </w:rPr>
        <w:t>31</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_Toc23813 </w:instrText>
      </w:r>
      <w:r>
        <w:rPr>
          <w:rFonts w:ascii="宋体" w:hAnsi="宋体" w:eastAsia="宋体" w:cs="Times New Roman"/>
          <w:color w:val="auto"/>
        </w:rPr>
        <w:fldChar w:fldCharType="separate"/>
      </w:r>
      <w:r>
        <w:rPr>
          <w:rFonts w:hint="eastAsia" w:ascii="黑体" w:hAnsi="黑体" w:eastAsia="黑体"/>
          <w:bCs w:val="0"/>
          <w:color w:val="auto"/>
          <w:szCs w:val="24"/>
        </w:rPr>
        <w:t>3．投标文件的符合性审查</w:t>
      </w:r>
      <w:r>
        <w:rPr>
          <w:color w:val="auto"/>
        </w:rPr>
        <w:tab/>
      </w:r>
      <w:r>
        <w:rPr>
          <w:color w:val="auto"/>
        </w:rPr>
        <w:fldChar w:fldCharType="begin"/>
      </w:r>
      <w:r>
        <w:rPr>
          <w:color w:val="auto"/>
        </w:rPr>
        <w:instrText xml:space="preserve"> PAGEREF _Toc23813 \h </w:instrText>
      </w:r>
      <w:r>
        <w:rPr>
          <w:color w:val="auto"/>
        </w:rPr>
        <w:fldChar w:fldCharType="separate"/>
      </w:r>
      <w:r>
        <w:rPr>
          <w:color w:val="auto"/>
        </w:rPr>
        <w:t>31</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_Toc30211 </w:instrText>
      </w:r>
      <w:r>
        <w:rPr>
          <w:rFonts w:ascii="宋体" w:hAnsi="宋体" w:eastAsia="宋体" w:cs="Times New Roman"/>
          <w:color w:val="auto"/>
        </w:rPr>
        <w:fldChar w:fldCharType="separate"/>
      </w:r>
      <w:r>
        <w:rPr>
          <w:rFonts w:hint="eastAsia" w:ascii="黑体" w:hAnsi="黑体" w:eastAsia="黑体"/>
          <w:bCs w:val="0"/>
          <w:color w:val="auto"/>
          <w:szCs w:val="24"/>
        </w:rPr>
        <w:t>4．投标文件的澄清</w:t>
      </w:r>
      <w:r>
        <w:rPr>
          <w:color w:val="auto"/>
        </w:rPr>
        <w:tab/>
      </w:r>
      <w:r>
        <w:rPr>
          <w:color w:val="auto"/>
        </w:rPr>
        <w:fldChar w:fldCharType="begin"/>
      </w:r>
      <w:r>
        <w:rPr>
          <w:color w:val="auto"/>
        </w:rPr>
        <w:instrText xml:space="preserve"> PAGEREF _Toc30211 \h </w:instrText>
      </w:r>
      <w:r>
        <w:rPr>
          <w:color w:val="auto"/>
        </w:rPr>
        <w:fldChar w:fldCharType="separate"/>
      </w:r>
      <w:r>
        <w:rPr>
          <w:color w:val="auto"/>
        </w:rPr>
        <w:t>31</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_Toc20583 </w:instrText>
      </w:r>
      <w:r>
        <w:rPr>
          <w:rFonts w:ascii="宋体" w:hAnsi="宋体" w:eastAsia="宋体" w:cs="Times New Roman"/>
          <w:color w:val="auto"/>
        </w:rPr>
        <w:fldChar w:fldCharType="separate"/>
      </w:r>
      <w:r>
        <w:rPr>
          <w:rFonts w:hint="eastAsia" w:ascii="黑体" w:hAnsi="黑体" w:eastAsia="黑体"/>
          <w:bCs w:val="0"/>
          <w:color w:val="auto"/>
          <w:szCs w:val="24"/>
        </w:rPr>
        <w:t>5．投标文件的比较与评价</w:t>
      </w:r>
      <w:r>
        <w:rPr>
          <w:color w:val="auto"/>
        </w:rPr>
        <w:tab/>
      </w:r>
      <w:r>
        <w:rPr>
          <w:color w:val="auto"/>
        </w:rPr>
        <w:fldChar w:fldCharType="begin"/>
      </w:r>
      <w:r>
        <w:rPr>
          <w:color w:val="auto"/>
        </w:rPr>
        <w:instrText xml:space="preserve"> PAGEREF _Toc20583 \h </w:instrText>
      </w:r>
      <w:r>
        <w:rPr>
          <w:color w:val="auto"/>
        </w:rPr>
        <w:fldChar w:fldCharType="separate"/>
      </w:r>
      <w:r>
        <w:rPr>
          <w:color w:val="auto"/>
        </w:rPr>
        <w:t>32</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_Toc20695 </w:instrText>
      </w:r>
      <w:r>
        <w:rPr>
          <w:rFonts w:ascii="宋体" w:hAnsi="宋体" w:eastAsia="宋体" w:cs="Times New Roman"/>
          <w:color w:val="auto"/>
        </w:rPr>
        <w:fldChar w:fldCharType="separate"/>
      </w:r>
      <w:r>
        <w:rPr>
          <w:rFonts w:hint="eastAsia" w:ascii="黑体" w:hAnsi="黑体" w:eastAsia="黑体"/>
          <w:bCs w:val="0"/>
          <w:color w:val="auto"/>
          <w:szCs w:val="24"/>
        </w:rPr>
        <w:t>6．</w:t>
      </w:r>
      <w:r>
        <w:rPr>
          <w:rFonts w:hint="eastAsia" w:ascii="黑体" w:hAnsi="黑体" w:eastAsia="黑体"/>
          <w:color w:val="auto"/>
          <w:szCs w:val="24"/>
        </w:rPr>
        <w:t>推荐中标候选人</w:t>
      </w:r>
      <w:r>
        <w:rPr>
          <w:color w:val="auto"/>
        </w:rPr>
        <w:tab/>
      </w:r>
      <w:r>
        <w:rPr>
          <w:color w:val="auto"/>
        </w:rPr>
        <w:fldChar w:fldCharType="begin"/>
      </w:r>
      <w:r>
        <w:rPr>
          <w:color w:val="auto"/>
        </w:rPr>
        <w:instrText xml:space="preserve"> PAGEREF _Toc20695 \h </w:instrText>
      </w:r>
      <w:r>
        <w:rPr>
          <w:color w:val="auto"/>
        </w:rPr>
        <w:fldChar w:fldCharType="separate"/>
      </w:r>
      <w:r>
        <w:rPr>
          <w:color w:val="auto"/>
        </w:rPr>
        <w:t>33</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_Toc24996 </w:instrText>
      </w:r>
      <w:r>
        <w:rPr>
          <w:rFonts w:ascii="宋体" w:hAnsi="宋体" w:eastAsia="宋体" w:cs="Times New Roman"/>
          <w:color w:val="auto"/>
        </w:rPr>
        <w:fldChar w:fldCharType="separate"/>
      </w:r>
      <w:r>
        <w:rPr>
          <w:rFonts w:hint="eastAsia" w:ascii="黑体" w:hAnsi="黑体" w:eastAsia="黑体"/>
          <w:bCs w:val="0"/>
          <w:color w:val="auto"/>
          <w:szCs w:val="24"/>
        </w:rPr>
        <w:t>7．</w:t>
      </w:r>
      <w:r>
        <w:rPr>
          <w:rFonts w:hint="eastAsia" w:ascii="黑体" w:hAnsi="黑体" w:eastAsia="黑体"/>
          <w:color w:val="auto"/>
          <w:szCs w:val="24"/>
        </w:rPr>
        <w:t>编写评标报告</w:t>
      </w:r>
      <w:r>
        <w:rPr>
          <w:color w:val="auto"/>
        </w:rPr>
        <w:tab/>
      </w:r>
      <w:r>
        <w:rPr>
          <w:color w:val="auto"/>
        </w:rPr>
        <w:fldChar w:fldCharType="begin"/>
      </w:r>
      <w:r>
        <w:rPr>
          <w:color w:val="auto"/>
        </w:rPr>
        <w:instrText xml:space="preserve"> PAGEREF _Toc24996 \h </w:instrText>
      </w:r>
      <w:r>
        <w:rPr>
          <w:color w:val="auto"/>
        </w:rPr>
        <w:fldChar w:fldCharType="separate"/>
      </w:r>
      <w:r>
        <w:rPr>
          <w:color w:val="auto"/>
        </w:rPr>
        <w:t>33</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_Toc30227 </w:instrText>
      </w:r>
      <w:r>
        <w:rPr>
          <w:rFonts w:ascii="宋体" w:hAnsi="宋体" w:eastAsia="宋体" w:cs="Times New Roman"/>
          <w:color w:val="auto"/>
        </w:rPr>
        <w:fldChar w:fldCharType="separate"/>
      </w:r>
      <w:r>
        <w:rPr>
          <w:rFonts w:hint="eastAsia" w:ascii="黑体" w:hAnsi="黑体" w:eastAsia="黑体"/>
          <w:bCs w:val="0"/>
          <w:color w:val="auto"/>
          <w:szCs w:val="24"/>
        </w:rPr>
        <w:t>8．</w:t>
      </w:r>
      <w:r>
        <w:rPr>
          <w:rFonts w:hint="eastAsia" w:ascii="黑体" w:hAnsi="黑体" w:eastAsia="黑体"/>
          <w:color w:val="auto"/>
          <w:szCs w:val="24"/>
        </w:rPr>
        <w:t>评标报告</w:t>
      </w:r>
      <w:r>
        <w:rPr>
          <w:rFonts w:hint="eastAsia" w:ascii="黑体" w:hAnsi="黑体" w:eastAsia="黑体"/>
          <w:bCs w:val="0"/>
          <w:color w:val="auto"/>
          <w:szCs w:val="24"/>
        </w:rPr>
        <w:t>复核</w:t>
      </w:r>
      <w:r>
        <w:rPr>
          <w:color w:val="auto"/>
        </w:rPr>
        <w:tab/>
      </w:r>
      <w:r>
        <w:rPr>
          <w:color w:val="auto"/>
        </w:rPr>
        <w:fldChar w:fldCharType="begin"/>
      </w:r>
      <w:r>
        <w:rPr>
          <w:color w:val="auto"/>
        </w:rPr>
        <w:instrText xml:space="preserve"> PAGEREF _Toc30227 \h </w:instrText>
      </w:r>
      <w:r>
        <w:rPr>
          <w:color w:val="auto"/>
        </w:rPr>
        <w:fldChar w:fldCharType="separate"/>
      </w:r>
      <w:r>
        <w:rPr>
          <w:color w:val="auto"/>
        </w:rPr>
        <w:t>33</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_Toc11442 </w:instrText>
      </w:r>
      <w:r>
        <w:rPr>
          <w:rFonts w:ascii="宋体" w:hAnsi="宋体" w:eastAsia="宋体" w:cs="Times New Roman"/>
          <w:color w:val="auto"/>
        </w:rPr>
        <w:fldChar w:fldCharType="separate"/>
      </w:r>
      <w:r>
        <w:rPr>
          <w:rFonts w:hint="eastAsia" w:ascii="黑体" w:hAnsi="黑体" w:eastAsia="黑体"/>
          <w:color w:val="auto"/>
          <w:szCs w:val="24"/>
        </w:rPr>
        <w:t>9．</w:t>
      </w:r>
      <w:r>
        <w:rPr>
          <w:rFonts w:hint="eastAsia" w:ascii="黑体" w:hAnsi="黑体" w:eastAsia="黑体"/>
          <w:bCs w:val="0"/>
          <w:color w:val="auto"/>
          <w:szCs w:val="24"/>
        </w:rPr>
        <w:t>停止评标</w:t>
      </w:r>
      <w:r>
        <w:rPr>
          <w:color w:val="auto"/>
        </w:rPr>
        <w:tab/>
      </w:r>
      <w:r>
        <w:rPr>
          <w:color w:val="auto"/>
        </w:rPr>
        <w:fldChar w:fldCharType="begin"/>
      </w:r>
      <w:r>
        <w:rPr>
          <w:color w:val="auto"/>
        </w:rPr>
        <w:instrText xml:space="preserve"> PAGEREF _Toc11442 \h </w:instrText>
      </w:r>
      <w:r>
        <w:rPr>
          <w:color w:val="auto"/>
        </w:rPr>
        <w:fldChar w:fldCharType="separate"/>
      </w:r>
      <w:r>
        <w:rPr>
          <w:color w:val="auto"/>
        </w:rPr>
        <w:t>33</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_Toc5062 </w:instrText>
      </w:r>
      <w:r>
        <w:rPr>
          <w:rFonts w:ascii="宋体" w:hAnsi="宋体" w:eastAsia="宋体" w:cs="Times New Roman"/>
          <w:color w:val="auto"/>
        </w:rPr>
        <w:fldChar w:fldCharType="separate"/>
      </w:r>
      <w:r>
        <w:rPr>
          <w:rFonts w:hint="eastAsia" w:ascii="黑体" w:hAnsi="黑体" w:eastAsia="黑体"/>
          <w:color w:val="auto"/>
          <w:szCs w:val="24"/>
        </w:rPr>
        <w:t>10</w:t>
      </w:r>
      <w:r>
        <w:rPr>
          <w:rFonts w:hint="eastAsia" w:ascii="黑体" w:hAnsi="黑体" w:eastAsia="黑体" w:cs="宋体"/>
          <w:color w:val="auto"/>
          <w:kern w:val="0"/>
          <w:szCs w:val="24"/>
        </w:rPr>
        <w:t>．</w:t>
      </w:r>
      <w:r>
        <w:rPr>
          <w:rFonts w:hint="eastAsia" w:ascii="黑体" w:hAnsi="黑体" w:eastAsia="黑体"/>
          <w:color w:val="auto"/>
          <w:szCs w:val="24"/>
        </w:rPr>
        <w:t>废标</w:t>
      </w:r>
      <w:r>
        <w:rPr>
          <w:color w:val="auto"/>
        </w:rPr>
        <w:tab/>
      </w:r>
      <w:r>
        <w:rPr>
          <w:color w:val="auto"/>
        </w:rPr>
        <w:fldChar w:fldCharType="begin"/>
      </w:r>
      <w:r>
        <w:rPr>
          <w:color w:val="auto"/>
        </w:rPr>
        <w:instrText xml:space="preserve"> PAGEREF _Toc5062 \h </w:instrText>
      </w:r>
      <w:r>
        <w:rPr>
          <w:color w:val="auto"/>
        </w:rPr>
        <w:fldChar w:fldCharType="separate"/>
      </w:r>
      <w:r>
        <w:rPr>
          <w:color w:val="auto"/>
        </w:rPr>
        <w:t>34</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_Toc18850 </w:instrText>
      </w:r>
      <w:r>
        <w:rPr>
          <w:rFonts w:ascii="宋体" w:hAnsi="宋体" w:eastAsia="宋体" w:cs="Times New Roman"/>
          <w:color w:val="auto"/>
        </w:rPr>
        <w:fldChar w:fldCharType="separate"/>
      </w:r>
      <w:r>
        <w:rPr>
          <w:rFonts w:hint="eastAsia" w:ascii="黑体" w:hAnsi="黑体" w:eastAsia="黑体" w:cs="宋体"/>
          <w:color w:val="auto"/>
          <w:kern w:val="0"/>
          <w:szCs w:val="24"/>
        </w:rPr>
        <w:t>11．重新组建评标委员会进行评标</w:t>
      </w:r>
      <w:r>
        <w:rPr>
          <w:color w:val="auto"/>
        </w:rPr>
        <w:tab/>
      </w:r>
      <w:r>
        <w:rPr>
          <w:color w:val="auto"/>
        </w:rPr>
        <w:fldChar w:fldCharType="begin"/>
      </w:r>
      <w:r>
        <w:rPr>
          <w:color w:val="auto"/>
        </w:rPr>
        <w:instrText xml:space="preserve"> PAGEREF _Toc18850 \h </w:instrText>
      </w:r>
      <w:r>
        <w:rPr>
          <w:color w:val="auto"/>
        </w:rPr>
        <w:fldChar w:fldCharType="separate"/>
      </w:r>
      <w:r>
        <w:rPr>
          <w:color w:val="auto"/>
        </w:rPr>
        <w:t>34</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_Toc755 </w:instrText>
      </w:r>
      <w:r>
        <w:rPr>
          <w:rFonts w:ascii="宋体" w:hAnsi="宋体" w:eastAsia="宋体" w:cs="Times New Roman"/>
          <w:color w:val="auto"/>
        </w:rPr>
        <w:fldChar w:fldCharType="separate"/>
      </w:r>
      <w:r>
        <w:rPr>
          <w:rFonts w:hint="eastAsia" w:ascii="黑体" w:hAnsi="华文中宋" w:eastAsia="黑体"/>
          <w:color w:val="auto"/>
          <w:szCs w:val="28"/>
        </w:rPr>
        <w:t>第三节 投标文件的符合性审查</w:t>
      </w:r>
      <w:r>
        <w:rPr>
          <w:color w:val="auto"/>
        </w:rPr>
        <w:tab/>
      </w:r>
      <w:r>
        <w:rPr>
          <w:color w:val="auto"/>
        </w:rPr>
        <w:fldChar w:fldCharType="begin"/>
      </w:r>
      <w:r>
        <w:rPr>
          <w:color w:val="auto"/>
        </w:rPr>
        <w:instrText xml:space="preserve"> PAGEREF _Toc755 \h </w:instrText>
      </w:r>
      <w:r>
        <w:rPr>
          <w:color w:val="auto"/>
        </w:rPr>
        <w:fldChar w:fldCharType="separate"/>
      </w:r>
      <w:r>
        <w:rPr>
          <w:color w:val="auto"/>
        </w:rPr>
        <w:t>35</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_Toc12740 </w:instrText>
      </w:r>
      <w:r>
        <w:rPr>
          <w:rFonts w:ascii="宋体" w:hAnsi="宋体" w:eastAsia="宋体" w:cs="Times New Roman"/>
          <w:color w:val="auto"/>
        </w:rPr>
        <w:fldChar w:fldCharType="separate"/>
      </w:r>
      <w:r>
        <w:rPr>
          <w:rFonts w:hint="eastAsia" w:ascii="黑体" w:hAnsi="黑体" w:eastAsia="黑体" w:cs="黑体"/>
          <w:bCs w:val="0"/>
          <w:color w:val="auto"/>
          <w:szCs w:val="21"/>
        </w:rPr>
        <w:t>附表1 符合性审查表</w:t>
      </w:r>
      <w:r>
        <w:rPr>
          <w:color w:val="auto"/>
        </w:rPr>
        <w:tab/>
      </w:r>
      <w:r>
        <w:rPr>
          <w:color w:val="auto"/>
        </w:rPr>
        <w:fldChar w:fldCharType="begin"/>
      </w:r>
      <w:r>
        <w:rPr>
          <w:color w:val="auto"/>
        </w:rPr>
        <w:instrText xml:space="preserve"> PAGEREF _Toc12740 \h </w:instrText>
      </w:r>
      <w:r>
        <w:rPr>
          <w:color w:val="auto"/>
        </w:rPr>
        <w:fldChar w:fldCharType="separate"/>
      </w:r>
      <w:r>
        <w:rPr>
          <w:color w:val="auto"/>
        </w:rPr>
        <w:t>36</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_Toc4788 </w:instrText>
      </w:r>
      <w:r>
        <w:rPr>
          <w:rFonts w:ascii="宋体" w:hAnsi="宋体" w:eastAsia="宋体" w:cs="Times New Roman"/>
          <w:color w:val="auto"/>
        </w:rPr>
        <w:fldChar w:fldCharType="separate"/>
      </w:r>
      <w:r>
        <w:rPr>
          <w:rFonts w:hint="eastAsia" w:ascii="黑体" w:hAnsi="黑体" w:eastAsia="黑体" w:cs="黑体"/>
          <w:bCs w:val="0"/>
          <w:color w:val="auto"/>
          <w:szCs w:val="21"/>
        </w:rPr>
        <w:t>附表2 符合性审查结果一览表</w:t>
      </w:r>
      <w:r>
        <w:rPr>
          <w:color w:val="auto"/>
        </w:rPr>
        <w:tab/>
      </w:r>
      <w:r>
        <w:rPr>
          <w:color w:val="auto"/>
        </w:rPr>
        <w:fldChar w:fldCharType="begin"/>
      </w:r>
      <w:r>
        <w:rPr>
          <w:color w:val="auto"/>
        </w:rPr>
        <w:instrText xml:space="preserve"> PAGEREF _Toc4788 \h </w:instrText>
      </w:r>
      <w:r>
        <w:rPr>
          <w:color w:val="auto"/>
        </w:rPr>
        <w:fldChar w:fldCharType="separate"/>
      </w:r>
      <w:r>
        <w:rPr>
          <w:color w:val="auto"/>
        </w:rPr>
        <w:t>37</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_Toc28326 </w:instrText>
      </w:r>
      <w:r>
        <w:rPr>
          <w:rFonts w:ascii="宋体" w:hAnsi="宋体" w:eastAsia="宋体" w:cs="Times New Roman"/>
          <w:color w:val="auto"/>
        </w:rPr>
        <w:fldChar w:fldCharType="separate"/>
      </w:r>
      <w:r>
        <w:rPr>
          <w:rFonts w:hint="eastAsia" w:ascii="黑体" w:hAnsi="黑体" w:eastAsia="黑体" w:cs="黑体"/>
          <w:bCs w:val="0"/>
          <w:color w:val="auto"/>
          <w:szCs w:val="21"/>
        </w:rPr>
        <w:t>附表3 符合性审查合格投标人名单</w:t>
      </w:r>
      <w:r>
        <w:rPr>
          <w:color w:val="auto"/>
        </w:rPr>
        <w:tab/>
      </w:r>
      <w:r>
        <w:rPr>
          <w:color w:val="auto"/>
        </w:rPr>
        <w:fldChar w:fldCharType="begin"/>
      </w:r>
      <w:r>
        <w:rPr>
          <w:color w:val="auto"/>
        </w:rPr>
        <w:instrText xml:space="preserve"> PAGEREF _Toc28326 \h </w:instrText>
      </w:r>
      <w:r>
        <w:rPr>
          <w:color w:val="auto"/>
        </w:rPr>
        <w:fldChar w:fldCharType="separate"/>
      </w:r>
      <w:r>
        <w:rPr>
          <w:color w:val="auto"/>
        </w:rPr>
        <w:t>38</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_Toc18878 </w:instrText>
      </w:r>
      <w:r>
        <w:rPr>
          <w:rFonts w:ascii="宋体" w:hAnsi="宋体" w:eastAsia="宋体" w:cs="Times New Roman"/>
          <w:color w:val="auto"/>
        </w:rPr>
        <w:fldChar w:fldCharType="separate"/>
      </w:r>
      <w:r>
        <w:rPr>
          <w:rFonts w:hint="eastAsia" w:ascii="黑体" w:hAnsi="华文中宋" w:eastAsia="黑体"/>
          <w:color w:val="auto"/>
          <w:szCs w:val="28"/>
        </w:rPr>
        <w:t>第四节 投标文件的比较与评价（综合评分法）</w:t>
      </w:r>
      <w:r>
        <w:rPr>
          <w:color w:val="auto"/>
        </w:rPr>
        <w:tab/>
      </w:r>
      <w:r>
        <w:rPr>
          <w:color w:val="auto"/>
        </w:rPr>
        <w:fldChar w:fldCharType="begin"/>
      </w:r>
      <w:r>
        <w:rPr>
          <w:color w:val="auto"/>
        </w:rPr>
        <w:instrText xml:space="preserve"> PAGEREF _Toc18878 \h </w:instrText>
      </w:r>
      <w:r>
        <w:rPr>
          <w:color w:val="auto"/>
        </w:rPr>
        <w:fldChar w:fldCharType="separate"/>
      </w:r>
      <w:r>
        <w:rPr>
          <w:color w:val="auto"/>
        </w:rPr>
        <w:t>39</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_Toc27168 </w:instrText>
      </w:r>
      <w:r>
        <w:rPr>
          <w:rFonts w:ascii="宋体" w:hAnsi="宋体" w:eastAsia="宋体" w:cs="Times New Roman"/>
          <w:color w:val="auto"/>
        </w:rPr>
        <w:fldChar w:fldCharType="separate"/>
      </w:r>
      <w:r>
        <w:rPr>
          <w:rFonts w:hint="eastAsia" w:ascii="黑体" w:hAnsi="黑体" w:eastAsia="黑体" w:cs="黑体"/>
          <w:bCs w:val="0"/>
          <w:color w:val="auto"/>
          <w:szCs w:val="21"/>
        </w:rPr>
        <w:t>附表1 评标方法及标准表</w:t>
      </w:r>
      <w:r>
        <w:rPr>
          <w:color w:val="auto"/>
        </w:rPr>
        <w:tab/>
      </w:r>
      <w:r>
        <w:rPr>
          <w:color w:val="auto"/>
        </w:rPr>
        <w:fldChar w:fldCharType="begin"/>
      </w:r>
      <w:r>
        <w:rPr>
          <w:color w:val="auto"/>
        </w:rPr>
        <w:instrText xml:space="preserve"> PAGEREF _Toc27168 \h </w:instrText>
      </w:r>
      <w:r>
        <w:rPr>
          <w:color w:val="auto"/>
        </w:rPr>
        <w:fldChar w:fldCharType="separate"/>
      </w:r>
      <w:r>
        <w:rPr>
          <w:color w:val="auto"/>
        </w:rPr>
        <w:t>41</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_Toc14508 </w:instrText>
      </w:r>
      <w:r>
        <w:rPr>
          <w:rFonts w:ascii="宋体" w:hAnsi="宋体" w:eastAsia="宋体" w:cs="Times New Roman"/>
          <w:color w:val="auto"/>
        </w:rPr>
        <w:fldChar w:fldCharType="separate"/>
      </w:r>
      <w:r>
        <w:rPr>
          <w:rFonts w:hint="eastAsia" w:ascii="黑体" w:hAnsi="华文中宋" w:eastAsia="黑体"/>
          <w:color w:val="auto"/>
          <w:szCs w:val="28"/>
        </w:rPr>
        <w:t>第四节 投标文件的比较与评价（最低评标价法）</w:t>
      </w:r>
      <w:r>
        <w:rPr>
          <w:color w:val="auto"/>
        </w:rPr>
        <w:tab/>
      </w:r>
      <w:r>
        <w:rPr>
          <w:color w:val="auto"/>
        </w:rPr>
        <w:fldChar w:fldCharType="begin"/>
      </w:r>
      <w:r>
        <w:rPr>
          <w:color w:val="auto"/>
        </w:rPr>
        <w:instrText xml:space="preserve"> PAGEREF _Toc14508 \h </w:instrText>
      </w:r>
      <w:r>
        <w:rPr>
          <w:color w:val="auto"/>
        </w:rPr>
        <w:fldChar w:fldCharType="separate"/>
      </w:r>
      <w:r>
        <w:rPr>
          <w:color w:val="auto"/>
        </w:rPr>
        <w:t>42</w:t>
      </w:r>
      <w:r>
        <w:rPr>
          <w:color w:val="auto"/>
        </w:rPr>
        <w:fldChar w:fldCharType="end"/>
      </w:r>
      <w:r>
        <w:rPr>
          <w:rFonts w:ascii="宋体" w:hAnsi="宋体" w:eastAsia="宋体" w:cs="Times New Roman"/>
          <w:color w:val="auto"/>
        </w:rPr>
        <w:fldChar w:fldCharType="end"/>
      </w:r>
    </w:p>
    <w:p>
      <w:pPr>
        <w:pStyle w:val="15"/>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_Toc12252 </w:instrText>
      </w:r>
      <w:r>
        <w:rPr>
          <w:rFonts w:ascii="宋体" w:hAnsi="宋体" w:eastAsia="宋体" w:cs="Times New Roman"/>
          <w:color w:val="auto"/>
        </w:rPr>
        <w:fldChar w:fldCharType="separate"/>
      </w:r>
      <w:r>
        <w:rPr>
          <w:rFonts w:hint="eastAsia" w:ascii="黑体" w:hAnsi="华文中宋" w:eastAsia="黑体"/>
          <w:color w:val="auto"/>
          <w:szCs w:val="32"/>
        </w:rPr>
        <w:t>第五章 采购需求</w:t>
      </w:r>
      <w:r>
        <w:rPr>
          <w:color w:val="auto"/>
        </w:rPr>
        <w:tab/>
      </w:r>
      <w:r>
        <w:rPr>
          <w:color w:val="auto"/>
        </w:rPr>
        <w:fldChar w:fldCharType="begin"/>
      </w:r>
      <w:r>
        <w:rPr>
          <w:color w:val="auto"/>
        </w:rPr>
        <w:instrText xml:space="preserve"> PAGEREF _Toc12252 \h </w:instrText>
      </w:r>
      <w:r>
        <w:rPr>
          <w:color w:val="auto"/>
        </w:rPr>
        <w:fldChar w:fldCharType="separate"/>
      </w:r>
      <w:r>
        <w:rPr>
          <w:color w:val="auto"/>
        </w:rPr>
        <w:t>43</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_Toc3070 </w:instrText>
      </w:r>
      <w:r>
        <w:rPr>
          <w:rFonts w:ascii="宋体" w:hAnsi="宋体" w:eastAsia="宋体" w:cs="Times New Roman"/>
          <w:color w:val="auto"/>
        </w:rPr>
        <w:fldChar w:fldCharType="separate"/>
      </w:r>
      <w:r>
        <w:rPr>
          <w:rFonts w:hint="eastAsia" w:ascii="黑体" w:hAnsi="黑体" w:eastAsia="黑体"/>
          <w:color w:val="auto"/>
          <w:szCs w:val="28"/>
        </w:rPr>
        <w:t>第一节 采购清单一览表</w:t>
      </w:r>
      <w:r>
        <w:rPr>
          <w:color w:val="auto"/>
        </w:rPr>
        <w:tab/>
      </w:r>
      <w:r>
        <w:rPr>
          <w:color w:val="auto"/>
        </w:rPr>
        <w:fldChar w:fldCharType="begin"/>
      </w:r>
      <w:r>
        <w:rPr>
          <w:color w:val="auto"/>
        </w:rPr>
        <w:instrText xml:space="preserve"> PAGEREF _Toc3070 \h </w:instrText>
      </w:r>
      <w:r>
        <w:rPr>
          <w:color w:val="auto"/>
        </w:rPr>
        <w:fldChar w:fldCharType="separate"/>
      </w:r>
      <w:r>
        <w:rPr>
          <w:color w:val="auto"/>
        </w:rPr>
        <w:t>43</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_Toc13301 </w:instrText>
      </w:r>
      <w:r>
        <w:rPr>
          <w:rFonts w:ascii="宋体" w:hAnsi="宋体" w:eastAsia="宋体" w:cs="Times New Roman"/>
          <w:color w:val="auto"/>
        </w:rPr>
        <w:fldChar w:fldCharType="separate"/>
      </w:r>
      <w:r>
        <w:rPr>
          <w:rFonts w:hint="eastAsia" w:ascii="黑体" w:hAnsi="黑体" w:eastAsia="黑体"/>
          <w:color w:val="auto"/>
          <w:szCs w:val="28"/>
        </w:rPr>
        <w:t xml:space="preserve">第二节 </w:t>
      </w:r>
      <w:r>
        <w:rPr>
          <w:rFonts w:ascii="黑体" w:hAnsi="黑体" w:eastAsia="黑体"/>
          <w:color w:val="auto"/>
          <w:szCs w:val="28"/>
        </w:rPr>
        <w:t>技术要求</w:t>
      </w:r>
      <w:r>
        <w:rPr>
          <w:color w:val="auto"/>
        </w:rPr>
        <w:tab/>
      </w:r>
      <w:r>
        <w:rPr>
          <w:color w:val="auto"/>
        </w:rPr>
        <w:fldChar w:fldCharType="begin"/>
      </w:r>
      <w:r>
        <w:rPr>
          <w:color w:val="auto"/>
        </w:rPr>
        <w:instrText xml:space="preserve"> PAGEREF _Toc13301 \h </w:instrText>
      </w:r>
      <w:r>
        <w:rPr>
          <w:color w:val="auto"/>
        </w:rPr>
        <w:fldChar w:fldCharType="separate"/>
      </w:r>
      <w:r>
        <w:rPr>
          <w:color w:val="auto"/>
        </w:rPr>
        <w:t>43</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_Toc17069 </w:instrText>
      </w:r>
      <w:r>
        <w:rPr>
          <w:rFonts w:ascii="宋体" w:hAnsi="宋体" w:eastAsia="宋体" w:cs="Times New Roman"/>
          <w:color w:val="auto"/>
        </w:rPr>
        <w:fldChar w:fldCharType="separate"/>
      </w:r>
      <w:r>
        <w:rPr>
          <w:rFonts w:hint="eastAsia" w:ascii="黑体" w:hAnsi="黑体" w:eastAsia="黑体"/>
          <w:color w:val="auto"/>
          <w:szCs w:val="28"/>
        </w:rPr>
        <w:t>第三节 商务</w:t>
      </w:r>
      <w:r>
        <w:rPr>
          <w:rFonts w:ascii="黑体" w:hAnsi="黑体" w:eastAsia="黑体"/>
          <w:color w:val="auto"/>
          <w:szCs w:val="28"/>
        </w:rPr>
        <w:t>要求</w:t>
      </w:r>
      <w:r>
        <w:rPr>
          <w:color w:val="auto"/>
        </w:rPr>
        <w:tab/>
      </w:r>
      <w:r>
        <w:rPr>
          <w:color w:val="auto"/>
        </w:rPr>
        <w:fldChar w:fldCharType="begin"/>
      </w:r>
      <w:r>
        <w:rPr>
          <w:color w:val="auto"/>
        </w:rPr>
        <w:instrText xml:space="preserve"> PAGEREF _Toc17069 \h </w:instrText>
      </w:r>
      <w:r>
        <w:rPr>
          <w:color w:val="auto"/>
        </w:rPr>
        <w:fldChar w:fldCharType="separate"/>
      </w:r>
      <w:r>
        <w:rPr>
          <w:color w:val="auto"/>
        </w:rPr>
        <w:t>43</w:t>
      </w:r>
      <w:r>
        <w:rPr>
          <w:color w:val="auto"/>
        </w:rPr>
        <w:fldChar w:fldCharType="end"/>
      </w:r>
      <w:r>
        <w:rPr>
          <w:rFonts w:ascii="宋体" w:hAnsi="宋体" w:eastAsia="宋体" w:cs="Times New Roman"/>
          <w:color w:val="auto"/>
        </w:rPr>
        <w:fldChar w:fldCharType="end"/>
      </w:r>
    </w:p>
    <w:p>
      <w:pPr>
        <w:pStyle w:val="15"/>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_Toc3995 </w:instrText>
      </w:r>
      <w:r>
        <w:rPr>
          <w:rFonts w:ascii="宋体" w:hAnsi="宋体" w:eastAsia="宋体" w:cs="Times New Roman"/>
          <w:color w:val="auto"/>
        </w:rPr>
        <w:fldChar w:fldCharType="separate"/>
      </w:r>
      <w:r>
        <w:rPr>
          <w:rFonts w:hint="eastAsia" w:ascii="黑体" w:hAnsi="华文中宋" w:eastAsia="黑体"/>
          <w:color w:val="auto"/>
          <w:szCs w:val="32"/>
        </w:rPr>
        <w:t>第六章 政府采购合同</w:t>
      </w:r>
      <w:r>
        <w:rPr>
          <w:color w:val="auto"/>
        </w:rPr>
        <w:tab/>
      </w:r>
      <w:r>
        <w:rPr>
          <w:color w:val="auto"/>
        </w:rPr>
        <w:fldChar w:fldCharType="begin"/>
      </w:r>
      <w:r>
        <w:rPr>
          <w:color w:val="auto"/>
        </w:rPr>
        <w:instrText xml:space="preserve"> PAGEREF _Toc3995 \h </w:instrText>
      </w:r>
      <w:r>
        <w:rPr>
          <w:color w:val="auto"/>
        </w:rPr>
        <w:fldChar w:fldCharType="separate"/>
      </w:r>
      <w:r>
        <w:rPr>
          <w:color w:val="auto"/>
        </w:rPr>
        <w:t>44</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_Toc22209 </w:instrText>
      </w:r>
      <w:r>
        <w:rPr>
          <w:rFonts w:ascii="宋体" w:hAnsi="宋体" w:eastAsia="宋体" w:cs="Times New Roman"/>
          <w:color w:val="auto"/>
        </w:rPr>
        <w:fldChar w:fldCharType="separate"/>
      </w:r>
      <w:r>
        <w:rPr>
          <w:rFonts w:hint="eastAsia" w:ascii="黑体" w:hAnsi="华文中宋" w:eastAsia="黑体"/>
          <w:color w:val="auto"/>
          <w:szCs w:val="28"/>
        </w:rPr>
        <w:t>第一节 政府采购合同协议书</w:t>
      </w:r>
      <w:r>
        <w:rPr>
          <w:color w:val="auto"/>
        </w:rPr>
        <w:tab/>
      </w:r>
      <w:r>
        <w:rPr>
          <w:color w:val="auto"/>
        </w:rPr>
        <w:fldChar w:fldCharType="begin"/>
      </w:r>
      <w:r>
        <w:rPr>
          <w:color w:val="auto"/>
        </w:rPr>
        <w:instrText xml:space="preserve"> PAGEREF _Toc22209 \h </w:instrText>
      </w:r>
      <w:r>
        <w:rPr>
          <w:color w:val="auto"/>
        </w:rPr>
        <w:fldChar w:fldCharType="separate"/>
      </w:r>
      <w:r>
        <w:rPr>
          <w:color w:val="auto"/>
        </w:rPr>
        <w:t>44</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_Toc27624 </w:instrText>
      </w:r>
      <w:r>
        <w:rPr>
          <w:rFonts w:ascii="宋体" w:hAnsi="宋体" w:eastAsia="宋体" w:cs="Times New Roman"/>
          <w:color w:val="auto"/>
        </w:rPr>
        <w:fldChar w:fldCharType="separate"/>
      </w:r>
      <w:r>
        <w:rPr>
          <w:rFonts w:hint="eastAsia" w:ascii="黑体" w:hAnsi="黑体" w:eastAsia="黑体"/>
          <w:color w:val="auto"/>
          <w:szCs w:val="28"/>
        </w:rPr>
        <w:t>第二节 政府采购合同通用条款</w:t>
      </w:r>
      <w:r>
        <w:rPr>
          <w:color w:val="auto"/>
        </w:rPr>
        <w:tab/>
      </w:r>
      <w:r>
        <w:rPr>
          <w:color w:val="auto"/>
        </w:rPr>
        <w:fldChar w:fldCharType="begin"/>
      </w:r>
      <w:r>
        <w:rPr>
          <w:color w:val="auto"/>
        </w:rPr>
        <w:instrText xml:space="preserve"> PAGEREF _Toc27624 \h </w:instrText>
      </w:r>
      <w:r>
        <w:rPr>
          <w:color w:val="auto"/>
        </w:rPr>
        <w:fldChar w:fldCharType="separate"/>
      </w:r>
      <w:r>
        <w:rPr>
          <w:color w:val="auto"/>
        </w:rPr>
        <w:t>47</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_Toc20313 </w:instrText>
      </w:r>
      <w:r>
        <w:rPr>
          <w:rFonts w:ascii="宋体" w:hAnsi="宋体" w:eastAsia="宋体" w:cs="Times New Roman"/>
          <w:color w:val="auto"/>
        </w:rPr>
        <w:fldChar w:fldCharType="separate"/>
      </w:r>
      <w:r>
        <w:rPr>
          <w:rFonts w:hint="eastAsia" w:ascii="黑体" w:hAnsi="华文中宋" w:eastAsia="黑体"/>
          <w:color w:val="auto"/>
          <w:szCs w:val="28"/>
        </w:rPr>
        <w:t>第三节 政府采购合同专用条款</w:t>
      </w:r>
      <w:r>
        <w:rPr>
          <w:color w:val="auto"/>
        </w:rPr>
        <w:tab/>
      </w:r>
      <w:r>
        <w:rPr>
          <w:color w:val="auto"/>
        </w:rPr>
        <w:fldChar w:fldCharType="begin"/>
      </w:r>
      <w:r>
        <w:rPr>
          <w:color w:val="auto"/>
        </w:rPr>
        <w:instrText xml:space="preserve"> PAGEREF _Toc20313 \h </w:instrText>
      </w:r>
      <w:r>
        <w:rPr>
          <w:color w:val="auto"/>
        </w:rPr>
        <w:fldChar w:fldCharType="separate"/>
      </w:r>
      <w:r>
        <w:rPr>
          <w:color w:val="auto"/>
        </w:rPr>
        <w:t>53</w:t>
      </w:r>
      <w:r>
        <w:rPr>
          <w:color w:val="auto"/>
        </w:rPr>
        <w:fldChar w:fldCharType="end"/>
      </w:r>
      <w:r>
        <w:rPr>
          <w:rFonts w:ascii="宋体" w:hAnsi="宋体" w:eastAsia="宋体" w:cs="Times New Roman"/>
          <w:color w:val="auto"/>
        </w:rPr>
        <w:fldChar w:fldCharType="end"/>
      </w:r>
    </w:p>
    <w:p>
      <w:pPr>
        <w:pStyle w:val="15"/>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_Toc21574 </w:instrText>
      </w:r>
      <w:r>
        <w:rPr>
          <w:rFonts w:ascii="宋体" w:hAnsi="宋体" w:eastAsia="宋体" w:cs="Times New Roman"/>
          <w:color w:val="auto"/>
        </w:rPr>
        <w:fldChar w:fldCharType="separate"/>
      </w:r>
      <w:r>
        <w:rPr>
          <w:rFonts w:hint="eastAsia" w:ascii="黑体" w:hAnsi="华文中宋" w:eastAsia="黑体"/>
          <w:color w:val="auto"/>
          <w:szCs w:val="32"/>
        </w:rPr>
        <w:t>第七章 投标文件的组成</w:t>
      </w:r>
      <w:r>
        <w:rPr>
          <w:color w:val="auto"/>
        </w:rPr>
        <w:tab/>
      </w:r>
      <w:r>
        <w:rPr>
          <w:color w:val="auto"/>
        </w:rPr>
        <w:fldChar w:fldCharType="begin"/>
      </w:r>
      <w:r>
        <w:rPr>
          <w:color w:val="auto"/>
        </w:rPr>
        <w:instrText xml:space="preserve"> PAGEREF _Toc21574 \h </w:instrText>
      </w:r>
      <w:r>
        <w:rPr>
          <w:color w:val="auto"/>
        </w:rPr>
        <w:fldChar w:fldCharType="separate"/>
      </w:r>
      <w:r>
        <w:rPr>
          <w:color w:val="auto"/>
        </w:rPr>
        <w:t>54</w:t>
      </w:r>
      <w:r>
        <w:rPr>
          <w:color w:val="auto"/>
        </w:rPr>
        <w:fldChar w:fldCharType="end"/>
      </w:r>
      <w:r>
        <w:rPr>
          <w:rFonts w:ascii="宋体" w:hAnsi="宋体" w:eastAsia="宋体" w:cs="Times New Roman"/>
          <w:color w:val="auto"/>
        </w:rPr>
        <w:fldChar w:fldCharType="end"/>
      </w: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_Toc12272 </w:instrText>
      </w:r>
      <w:r>
        <w:rPr>
          <w:rFonts w:ascii="宋体" w:hAnsi="宋体" w:eastAsia="宋体" w:cs="Times New Roman"/>
          <w:color w:val="auto"/>
        </w:rPr>
        <w:fldChar w:fldCharType="separate"/>
      </w:r>
      <w:r>
        <w:rPr>
          <w:rFonts w:hint="eastAsia" w:ascii="黑体" w:hAnsi="黑体" w:eastAsia="黑体"/>
          <w:color w:val="auto"/>
          <w:szCs w:val="44"/>
        </w:rPr>
        <w:t>第一部分 资格证明文件</w:t>
      </w:r>
      <w:r>
        <w:rPr>
          <w:color w:val="auto"/>
        </w:rPr>
        <w:tab/>
      </w:r>
      <w:r>
        <w:rPr>
          <w:color w:val="auto"/>
        </w:rPr>
        <w:fldChar w:fldCharType="begin"/>
      </w:r>
      <w:r>
        <w:rPr>
          <w:color w:val="auto"/>
        </w:rPr>
        <w:instrText xml:space="preserve"> PAGEREF _Toc12272 \h </w:instrText>
      </w:r>
      <w:r>
        <w:rPr>
          <w:color w:val="auto"/>
        </w:rPr>
        <w:fldChar w:fldCharType="separate"/>
      </w:r>
      <w:r>
        <w:rPr>
          <w:color w:val="auto"/>
        </w:rPr>
        <w:t>55</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_Toc13587 </w:instrText>
      </w:r>
      <w:r>
        <w:rPr>
          <w:rFonts w:ascii="宋体" w:hAnsi="宋体" w:eastAsia="宋体" w:cs="Times New Roman"/>
          <w:color w:val="auto"/>
        </w:rPr>
        <w:fldChar w:fldCharType="separate"/>
      </w:r>
      <w:r>
        <w:rPr>
          <w:rFonts w:hint="eastAsia" w:ascii="黑体" w:hAnsi="宋体" w:eastAsia="黑体"/>
          <w:color w:val="auto"/>
          <w:szCs w:val="28"/>
        </w:rPr>
        <w:t>一、开标一览表</w:t>
      </w:r>
      <w:r>
        <w:rPr>
          <w:color w:val="auto"/>
        </w:rPr>
        <w:tab/>
      </w:r>
      <w:r>
        <w:rPr>
          <w:color w:val="auto"/>
        </w:rPr>
        <w:fldChar w:fldCharType="begin"/>
      </w:r>
      <w:r>
        <w:rPr>
          <w:color w:val="auto"/>
        </w:rPr>
        <w:instrText xml:space="preserve"> PAGEREF _Toc13587 \h </w:instrText>
      </w:r>
      <w:r>
        <w:rPr>
          <w:color w:val="auto"/>
        </w:rPr>
        <w:fldChar w:fldCharType="separate"/>
      </w:r>
      <w:r>
        <w:rPr>
          <w:color w:val="auto"/>
        </w:rPr>
        <w:t>56</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_Toc5873 </w:instrText>
      </w:r>
      <w:r>
        <w:rPr>
          <w:rFonts w:ascii="宋体" w:hAnsi="宋体" w:eastAsia="宋体" w:cs="Times New Roman"/>
          <w:color w:val="auto"/>
        </w:rPr>
        <w:fldChar w:fldCharType="separate"/>
      </w:r>
      <w:r>
        <w:rPr>
          <w:rFonts w:hint="eastAsia" w:ascii="黑体" w:hAnsi="宋体" w:eastAsia="黑体"/>
          <w:color w:val="auto"/>
          <w:szCs w:val="28"/>
        </w:rPr>
        <w:t>二、投标保证金</w:t>
      </w:r>
      <w:r>
        <w:rPr>
          <w:color w:val="auto"/>
        </w:rPr>
        <w:tab/>
      </w:r>
      <w:r>
        <w:rPr>
          <w:color w:val="auto"/>
        </w:rPr>
        <w:fldChar w:fldCharType="begin"/>
      </w:r>
      <w:r>
        <w:rPr>
          <w:color w:val="auto"/>
        </w:rPr>
        <w:instrText xml:space="preserve"> PAGEREF _Toc5873 \h </w:instrText>
      </w:r>
      <w:r>
        <w:rPr>
          <w:color w:val="auto"/>
        </w:rPr>
        <w:fldChar w:fldCharType="separate"/>
      </w:r>
      <w:r>
        <w:rPr>
          <w:color w:val="auto"/>
        </w:rPr>
        <w:t>57</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_Toc12400 </w:instrText>
      </w:r>
      <w:r>
        <w:rPr>
          <w:rFonts w:ascii="宋体" w:hAnsi="宋体" w:eastAsia="宋体" w:cs="Times New Roman"/>
          <w:color w:val="auto"/>
        </w:rPr>
        <w:fldChar w:fldCharType="separate"/>
      </w:r>
      <w:r>
        <w:rPr>
          <w:rFonts w:hint="eastAsia" w:ascii="黑体" w:hAnsi="宋体" w:eastAsia="黑体"/>
          <w:color w:val="auto"/>
          <w:szCs w:val="28"/>
        </w:rPr>
        <w:t>三、授权委托书</w:t>
      </w:r>
      <w:r>
        <w:rPr>
          <w:color w:val="auto"/>
        </w:rPr>
        <w:tab/>
      </w:r>
      <w:r>
        <w:rPr>
          <w:color w:val="auto"/>
        </w:rPr>
        <w:fldChar w:fldCharType="begin"/>
      </w:r>
      <w:r>
        <w:rPr>
          <w:color w:val="auto"/>
        </w:rPr>
        <w:instrText xml:space="preserve"> PAGEREF _Toc12400 \h </w:instrText>
      </w:r>
      <w:r>
        <w:rPr>
          <w:color w:val="auto"/>
        </w:rPr>
        <w:fldChar w:fldCharType="separate"/>
      </w:r>
      <w:r>
        <w:rPr>
          <w:color w:val="auto"/>
        </w:rPr>
        <w:t>58</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_Toc11741 </w:instrText>
      </w:r>
      <w:r>
        <w:rPr>
          <w:rFonts w:ascii="宋体" w:hAnsi="宋体" w:eastAsia="宋体" w:cs="Times New Roman"/>
          <w:color w:val="auto"/>
        </w:rPr>
        <w:fldChar w:fldCharType="separate"/>
      </w:r>
      <w:r>
        <w:rPr>
          <w:rFonts w:hint="eastAsia" w:ascii="黑体" w:hAnsi="宋体" w:eastAsia="黑体"/>
          <w:color w:val="auto"/>
          <w:szCs w:val="28"/>
        </w:rPr>
        <w:t>四、投标人提供的资格证明文件</w:t>
      </w:r>
      <w:r>
        <w:rPr>
          <w:color w:val="auto"/>
        </w:rPr>
        <w:tab/>
      </w:r>
      <w:r>
        <w:rPr>
          <w:color w:val="auto"/>
        </w:rPr>
        <w:fldChar w:fldCharType="begin"/>
      </w:r>
      <w:r>
        <w:rPr>
          <w:color w:val="auto"/>
        </w:rPr>
        <w:instrText xml:space="preserve"> PAGEREF _Toc11741 \h </w:instrText>
      </w:r>
      <w:r>
        <w:rPr>
          <w:color w:val="auto"/>
        </w:rPr>
        <w:fldChar w:fldCharType="separate"/>
      </w:r>
      <w:r>
        <w:rPr>
          <w:color w:val="auto"/>
        </w:rPr>
        <w:t>59</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_Toc590 </w:instrText>
      </w:r>
      <w:r>
        <w:rPr>
          <w:rFonts w:ascii="宋体" w:hAnsi="宋体" w:eastAsia="宋体" w:cs="Times New Roman"/>
          <w:color w:val="auto"/>
        </w:rPr>
        <w:fldChar w:fldCharType="separate"/>
      </w:r>
      <w:r>
        <w:rPr>
          <w:rFonts w:hint="eastAsia" w:ascii="黑体" w:hAnsi="仿宋" w:cs="宋体"/>
          <w:color w:val="auto"/>
          <w:szCs w:val="21"/>
        </w:rPr>
        <w:t>附件4-1 法人或者其他组织的营业执照等主体资格证明文件，自然人的身份证明</w:t>
      </w:r>
      <w:r>
        <w:rPr>
          <w:color w:val="auto"/>
        </w:rPr>
        <w:tab/>
      </w:r>
      <w:r>
        <w:rPr>
          <w:color w:val="auto"/>
        </w:rPr>
        <w:fldChar w:fldCharType="begin"/>
      </w:r>
      <w:r>
        <w:rPr>
          <w:color w:val="auto"/>
        </w:rPr>
        <w:instrText xml:space="preserve"> PAGEREF _Toc590 \h </w:instrText>
      </w:r>
      <w:r>
        <w:rPr>
          <w:color w:val="auto"/>
        </w:rPr>
        <w:fldChar w:fldCharType="separate"/>
      </w:r>
      <w:r>
        <w:rPr>
          <w:color w:val="auto"/>
        </w:rPr>
        <w:t>60</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_Toc24449 </w:instrText>
      </w:r>
      <w:r>
        <w:rPr>
          <w:rFonts w:ascii="宋体" w:hAnsi="宋体" w:eastAsia="宋体" w:cs="Times New Roman"/>
          <w:color w:val="auto"/>
        </w:rPr>
        <w:fldChar w:fldCharType="separate"/>
      </w:r>
      <w:r>
        <w:rPr>
          <w:rFonts w:hint="eastAsia" w:ascii="黑体" w:hAnsi="仿宋" w:cs="宋体"/>
          <w:color w:val="auto"/>
          <w:szCs w:val="21"/>
        </w:rPr>
        <w:t>附件4-2 湖南省政府采购供应商资格承诺函(格式)</w:t>
      </w:r>
      <w:r>
        <w:rPr>
          <w:color w:val="auto"/>
        </w:rPr>
        <w:tab/>
      </w:r>
      <w:r>
        <w:rPr>
          <w:color w:val="auto"/>
        </w:rPr>
        <w:fldChar w:fldCharType="begin"/>
      </w:r>
      <w:r>
        <w:rPr>
          <w:color w:val="auto"/>
        </w:rPr>
        <w:instrText xml:space="preserve"> PAGEREF _Toc24449 \h </w:instrText>
      </w:r>
      <w:r>
        <w:rPr>
          <w:color w:val="auto"/>
        </w:rPr>
        <w:fldChar w:fldCharType="separate"/>
      </w:r>
      <w:r>
        <w:rPr>
          <w:color w:val="auto"/>
        </w:rPr>
        <w:t>61</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_Toc13891 </w:instrText>
      </w:r>
      <w:r>
        <w:rPr>
          <w:rFonts w:ascii="宋体" w:hAnsi="宋体" w:eastAsia="宋体" w:cs="Times New Roman"/>
          <w:color w:val="auto"/>
        </w:rPr>
        <w:fldChar w:fldCharType="separate"/>
      </w:r>
      <w:r>
        <w:rPr>
          <w:rFonts w:hint="eastAsia" w:ascii="黑体" w:hAnsi="仿宋" w:cs="宋体"/>
          <w:color w:val="auto"/>
          <w:szCs w:val="21"/>
        </w:rPr>
        <w:t>附件4-3 符合特定资格条件证明材料复印件或者情况说明</w:t>
      </w:r>
      <w:r>
        <w:rPr>
          <w:color w:val="auto"/>
        </w:rPr>
        <w:tab/>
      </w:r>
      <w:r>
        <w:rPr>
          <w:color w:val="auto"/>
        </w:rPr>
        <w:fldChar w:fldCharType="begin"/>
      </w:r>
      <w:r>
        <w:rPr>
          <w:color w:val="auto"/>
        </w:rPr>
        <w:instrText xml:space="preserve"> PAGEREF _Toc13891 \h </w:instrText>
      </w:r>
      <w:r>
        <w:rPr>
          <w:color w:val="auto"/>
        </w:rPr>
        <w:fldChar w:fldCharType="separate"/>
      </w:r>
      <w:r>
        <w:rPr>
          <w:color w:val="auto"/>
        </w:rPr>
        <w:t>62</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_Toc11547 </w:instrText>
      </w:r>
      <w:r>
        <w:rPr>
          <w:rFonts w:ascii="宋体" w:hAnsi="宋体" w:eastAsia="宋体" w:cs="Times New Roman"/>
          <w:color w:val="auto"/>
        </w:rPr>
        <w:fldChar w:fldCharType="separate"/>
      </w:r>
      <w:r>
        <w:rPr>
          <w:rFonts w:hint="eastAsia" w:ascii="黑体" w:hAnsi="仿宋" w:cs="宋体"/>
          <w:color w:val="auto"/>
          <w:szCs w:val="21"/>
        </w:rPr>
        <w:t>附件4-4 联合体协议书（格式）</w:t>
      </w:r>
      <w:r>
        <w:rPr>
          <w:color w:val="auto"/>
        </w:rPr>
        <w:tab/>
      </w:r>
      <w:r>
        <w:rPr>
          <w:color w:val="auto"/>
        </w:rPr>
        <w:fldChar w:fldCharType="begin"/>
      </w:r>
      <w:r>
        <w:rPr>
          <w:color w:val="auto"/>
        </w:rPr>
        <w:instrText xml:space="preserve"> PAGEREF _Toc11547 \h </w:instrText>
      </w:r>
      <w:r>
        <w:rPr>
          <w:color w:val="auto"/>
        </w:rPr>
        <w:fldChar w:fldCharType="separate"/>
      </w:r>
      <w:r>
        <w:rPr>
          <w:color w:val="auto"/>
        </w:rPr>
        <w:t>63</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_Toc17581 </w:instrText>
      </w:r>
      <w:r>
        <w:rPr>
          <w:rFonts w:ascii="宋体" w:hAnsi="宋体" w:eastAsia="宋体" w:cs="Times New Roman"/>
          <w:color w:val="auto"/>
        </w:rPr>
        <w:fldChar w:fldCharType="separate"/>
      </w:r>
      <w:r>
        <w:rPr>
          <w:rFonts w:hint="eastAsia" w:ascii="黑体" w:hAnsi="仿宋" w:cs="宋体"/>
          <w:color w:val="auto"/>
          <w:szCs w:val="21"/>
        </w:rPr>
        <w:t>附件4-5 分包承诺</w:t>
      </w:r>
      <w:r>
        <w:rPr>
          <w:color w:val="auto"/>
        </w:rPr>
        <w:tab/>
      </w:r>
      <w:r>
        <w:rPr>
          <w:color w:val="auto"/>
        </w:rPr>
        <w:fldChar w:fldCharType="begin"/>
      </w:r>
      <w:r>
        <w:rPr>
          <w:color w:val="auto"/>
        </w:rPr>
        <w:instrText xml:space="preserve"> PAGEREF _Toc17581 \h </w:instrText>
      </w:r>
      <w:r>
        <w:rPr>
          <w:color w:val="auto"/>
        </w:rPr>
        <w:fldChar w:fldCharType="separate"/>
      </w:r>
      <w:r>
        <w:rPr>
          <w:color w:val="auto"/>
        </w:rPr>
        <w:t>64</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_Toc344 </w:instrText>
      </w:r>
      <w:r>
        <w:rPr>
          <w:rFonts w:ascii="宋体" w:hAnsi="宋体" w:eastAsia="宋体" w:cs="Times New Roman"/>
          <w:color w:val="auto"/>
        </w:rPr>
        <w:fldChar w:fldCharType="separate"/>
      </w:r>
      <w:r>
        <w:rPr>
          <w:rFonts w:hint="eastAsia" w:ascii="黑体" w:hAnsi="仿宋" w:cs="宋体"/>
          <w:color w:val="auto"/>
          <w:szCs w:val="21"/>
        </w:rPr>
        <w:t>附件4-6 资格条件更新材料（已进行资格预审的）</w:t>
      </w:r>
      <w:r>
        <w:rPr>
          <w:color w:val="auto"/>
        </w:rPr>
        <w:tab/>
      </w:r>
      <w:r>
        <w:rPr>
          <w:color w:val="auto"/>
        </w:rPr>
        <w:fldChar w:fldCharType="begin"/>
      </w:r>
      <w:r>
        <w:rPr>
          <w:color w:val="auto"/>
        </w:rPr>
        <w:instrText xml:space="preserve"> PAGEREF _Toc344 \h </w:instrText>
      </w:r>
      <w:r>
        <w:rPr>
          <w:color w:val="auto"/>
        </w:rPr>
        <w:fldChar w:fldCharType="separate"/>
      </w:r>
      <w:r>
        <w:rPr>
          <w:color w:val="auto"/>
        </w:rPr>
        <w:t>65</w:t>
      </w:r>
      <w:r>
        <w:rPr>
          <w:color w:val="auto"/>
        </w:rPr>
        <w:fldChar w:fldCharType="end"/>
      </w:r>
      <w:r>
        <w:rPr>
          <w:rFonts w:ascii="宋体" w:hAnsi="宋体" w:eastAsia="宋体" w:cs="Times New Roman"/>
          <w:color w:val="auto"/>
        </w:rPr>
        <w:fldChar w:fldCharType="end"/>
      </w:r>
    </w:p>
    <w:p>
      <w:pPr>
        <w:pStyle w:val="17"/>
        <w:tabs>
          <w:tab w:val="right" w:leader="dot" w:pos="8844"/>
        </w:tabs>
        <w:rPr>
          <w:rFonts w:ascii="宋体" w:hAnsi="宋体" w:eastAsia="宋体" w:cs="Times New Roman"/>
          <w:color w:val="auto"/>
        </w:rPr>
        <w:sectPr>
          <w:headerReference r:id="rId6" w:type="first"/>
          <w:headerReference r:id="rId4" w:type="default"/>
          <w:footerReference r:id="rId7" w:type="default"/>
          <w:headerReference r:id="rId5" w:type="even"/>
          <w:pgSz w:w="11906" w:h="16838"/>
          <w:pgMar w:top="1474" w:right="1474" w:bottom="1474" w:left="1588" w:header="851" w:footer="992" w:gutter="0"/>
          <w:pgNumType w:start="1"/>
          <w:cols w:space="720" w:num="1"/>
          <w:docGrid w:type="lines" w:linePitch="312" w:charSpace="0"/>
        </w:sectPr>
      </w:pPr>
    </w:p>
    <w:p>
      <w:pPr>
        <w:pStyle w:val="17"/>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_Toc6690 </w:instrText>
      </w:r>
      <w:r>
        <w:rPr>
          <w:rFonts w:ascii="宋体" w:hAnsi="宋体" w:eastAsia="宋体" w:cs="Times New Roman"/>
          <w:color w:val="auto"/>
        </w:rPr>
        <w:fldChar w:fldCharType="separate"/>
      </w:r>
      <w:r>
        <w:rPr>
          <w:rFonts w:hint="eastAsia" w:ascii="黑体" w:hAnsi="黑体" w:eastAsia="黑体"/>
          <w:color w:val="auto"/>
          <w:szCs w:val="44"/>
        </w:rPr>
        <w:t>第二部分 商务技术文件</w:t>
      </w:r>
      <w:r>
        <w:rPr>
          <w:color w:val="auto"/>
        </w:rPr>
        <w:tab/>
      </w:r>
      <w:r>
        <w:rPr>
          <w:color w:val="auto"/>
        </w:rPr>
        <w:fldChar w:fldCharType="begin"/>
      </w:r>
      <w:r>
        <w:rPr>
          <w:color w:val="auto"/>
        </w:rPr>
        <w:instrText xml:space="preserve"> PAGEREF _Toc6690 \h </w:instrText>
      </w:r>
      <w:r>
        <w:rPr>
          <w:color w:val="auto"/>
        </w:rPr>
        <w:fldChar w:fldCharType="separate"/>
      </w:r>
      <w:r>
        <w:rPr>
          <w:color w:val="auto"/>
        </w:rPr>
        <w:t>66</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_Toc6290 </w:instrText>
      </w:r>
      <w:r>
        <w:rPr>
          <w:rFonts w:ascii="宋体" w:hAnsi="宋体" w:eastAsia="宋体" w:cs="Times New Roman"/>
          <w:color w:val="auto"/>
        </w:rPr>
        <w:fldChar w:fldCharType="separate"/>
      </w:r>
      <w:r>
        <w:rPr>
          <w:rFonts w:hint="eastAsia" w:ascii="黑体" w:hAnsi="宋体" w:eastAsia="黑体"/>
          <w:color w:val="auto"/>
          <w:szCs w:val="28"/>
        </w:rPr>
        <w:t>五</w:t>
      </w:r>
      <w:r>
        <w:rPr>
          <w:rFonts w:ascii="黑体" w:hAnsi="宋体" w:eastAsia="黑体"/>
          <w:color w:val="auto"/>
          <w:szCs w:val="28"/>
        </w:rPr>
        <w:t>、</w:t>
      </w:r>
      <w:r>
        <w:rPr>
          <w:rFonts w:hint="eastAsia" w:ascii="黑体" w:hAnsi="宋体" w:eastAsia="黑体"/>
          <w:color w:val="auto"/>
          <w:szCs w:val="28"/>
        </w:rPr>
        <w:t>投标函</w:t>
      </w:r>
      <w:r>
        <w:rPr>
          <w:color w:val="auto"/>
        </w:rPr>
        <w:tab/>
      </w:r>
      <w:r>
        <w:rPr>
          <w:color w:val="auto"/>
        </w:rPr>
        <w:fldChar w:fldCharType="begin"/>
      </w:r>
      <w:r>
        <w:rPr>
          <w:color w:val="auto"/>
        </w:rPr>
        <w:instrText xml:space="preserve"> PAGEREF _Toc6290 \h </w:instrText>
      </w:r>
      <w:r>
        <w:rPr>
          <w:color w:val="auto"/>
        </w:rPr>
        <w:fldChar w:fldCharType="separate"/>
      </w:r>
      <w:r>
        <w:rPr>
          <w:color w:val="auto"/>
        </w:rPr>
        <w:t>67</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_Toc25418 </w:instrText>
      </w:r>
      <w:r>
        <w:rPr>
          <w:rFonts w:ascii="宋体" w:hAnsi="宋体" w:eastAsia="宋体" w:cs="Times New Roman"/>
          <w:color w:val="auto"/>
        </w:rPr>
        <w:fldChar w:fldCharType="separate"/>
      </w:r>
      <w:r>
        <w:rPr>
          <w:rFonts w:hint="eastAsia" w:ascii="黑体" w:hAnsi="宋体" w:eastAsia="黑体"/>
          <w:color w:val="auto"/>
          <w:szCs w:val="28"/>
        </w:rPr>
        <w:t>六、分项报价</w:t>
      </w:r>
      <w:r>
        <w:rPr>
          <w:color w:val="auto"/>
        </w:rPr>
        <w:tab/>
      </w:r>
      <w:r>
        <w:rPr>
          <w:color w:val="auto"/>
        </w:rPr>
        <w:fldChar w:fldCharType="begin"/>
      </w:r>
      <w:r>
        <w:rPr>
          <w:color w:val="auto"/>
        </w:rPr>
        <w:instrText xml:space="preserve"> PAGEREF _Toc25418 \h </w:instrText>
      </w:r>
      <w:r>
        <w:rPr>
          <w:color w:val="auto"/>
        </w:rPr>
        <w:fldChar w:fldCharType="separate"/>
      </w:r>
      <w:r>
        <w:rPr>
          <w:color w:val="auto"/>
        </w:rPr>
        <w:t>69</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_Toc4027 </w:instrText>
      </w:r>
      <w:r>
        <w:rPr>
          <w:rFonts w:ascii="宋体" w:hAnsi="宋体" w:eastAsia="宋体" w:cs="Times New Roman"/>
          <w:color w:val="auto"/>
        </w:rPr>
        <w:fldChar w:fldCharType="separate"/>
      </w:r>
      <w:r>
        <w:rPr>
          <w:rFonts w:hint="eastAsia" w:ascii="黑体" w:hAnsi="华文中宋" w:cs="宋体"/>
          <w:bCs w:val="0"/>
          <w:color w:val="auto"/>
          <w:spacing w:val="6"/>
          <w:kern w:val="0"/>
          <w:szCs w:val="21"/>
        </w:rPr>
        <w:t xml:space="preserve">附件6-1 </w:t>
      </w:r>
      <w:r>
        <w:rPr>
          <w:rFonts w:hint="eastAsia" w:ascii="黑体" w:hAnsi="宋体" w:cs="微软雅黑"/>
          <w:color w:val="auto"/>
          <w:spacing w:val="-2"/>
          <w:kern w:val="0"/>
          <w:szCs w:val="21"/>
        </w:rPr>
        <w:t>分</w:t>
      </w:r>
      <w:r>
        <w:rPr>
          <w:rFonts w:hint="eastAsia" w:ascii="黑体" w:hAnsi="宋体" w:cs="微软雅黑"/>
          <w:color w:val="auto"/>
          <w:kern w:val="0"/>
          <w:szCs w:val="21"/>
        </w:rPr>
        <w:t>项</w:t>
      </w:r>
      <w:r>
        <w:rPr>
          <w:rFonts w:hint="eastAsia" w:ascii="黑体" w:hAnsi="宋体" w:cs="微软雅黑"/>
          <w:color w:val="auto"/>
          <w:spacing w:val="-2"/>
          <w:kern w:val="0"/>
          <w:szCs w:val="21"/>
        </w:rPr>
        <w:t>报</w:t>
      </w:r>
      <w:r>
        <w:rPr>
          <w:rFonts w:hint="eastAsia" w:ascii="黑体" w:hAnsi="宋体" w:cs="微软雅黑"/>
          <w:color w:val="auto"/>
          <w:kern w:val="0"/>
          <w:szCs w:val="21"/>
        </w:rPr>
        <w:t>价说明</w:t>
      </w:r>
      <w:r>
        <w:rPr>
          <w:color w:val="auto"/>
        </w:rPr>
        <w:tab/>
      </w:r>
      <w:r>
        <w:rPr>
          <w:color w:val="auto"/>
        </w:rPr>
        <w:fldChar w:fldCharType="begin"/>
      </w:r>
      <w:r>
        <w:rPr>
          <w:color w:val="auto"/>
        </w:rPr>
        <w:instrText xml:space="preserve"> PAGEREF _Toc4027 \h </w:instrText>
      </w:r>
      <w:r>
        <w:rPr>
          <w:color w:val="auto"/>
        </w:rPr>
        <w:fldChar w:fldCharType="separate"/>
      </w:r>
      <w:r>
        <w:rPr>
          <w:color w:val="auto"/>
        </w:rPr>
        <w:t>69</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_Toc2189 </w:instrText>
      </w:r>
      <w:r>
        <w:rPr>
          <w:rFonts w:ascii="宋体" w:hAnsi="宋体" w:eastAsia="宋体" w:cs="Times New Roman"/>
          <w:color w:val="auto"/>
        </w:rPr>
        <w:fldChar w:fldCharType="separate"/>
      </w:r>
      <w:r>
        <w:rPr>
          <w:rFonts w:hint="eastAsia" w:ascii="黑体" w:hAnsi="华文中宋" w:cs="宋体"/>
          <w:bCs w:val="0"/>
          <w:color w:val="auto"/>
          <w:spacing w:val="6"/>
          <w:kern w:val="0"/>
          <w:szCs w:val="21"/>
        </w:rPr>
        <w:t xml:space="preserve">附件6-2 </w:t>
      </w:r>
      <w:r>
        <w:rPr>
          <w:rFonts w:hint="eastAsia" w:ascii="黑体" w:hAnsi="宋体" w:cs="微软雅黑"/>
          <w:color w:val="auto"/>
          <w:spacing w:val="-2"/>
          <w:kern w:val="0"/>
          <w:position w:val="-3"/>
          <w:szCs w:val="21"/>
        </w:rPr>
        <w:t>分</w:t>
      </w:r>
      <w:r>
        <w:rPr>
          <w:rFonts w:hint="eastAsia" w:ascii="黑体" w:hAnsi="宋体" w:cs="微软雅黑"/>
          <w:color w:val="auto"/>
          <w:kern w:val="0"/>
          <w:position w:val="-3"/>
          <w:szCs w:val="21"/>
        </w:rPr>
        <w:t>项</w:t>
      </w:r>
      <w:r>
        <w:rPr>
          <w:rFonts w:hint="eastAsia" w:ascii="黑体" w:hAnsi="宋体" w:cs="微软雅黑"/>
          <w:color w:val="auto"/>
          <w:spacing w:val="-2"/>
          <w:kern w:val="0"/>
          <w:position w:val="-3"/>
          <w:szCs w:val="21"/>
        </w:rPr>
        <w:t>报</w:t>
      </w:r>
      <w:r>
        <w:rPr>
          <w:rFonts w:hint="eastAsia" w:ascii="黑体" w:hAnsi="宋体" w:cs="微软雅黑"/>
          <w:color w:val="auto"/>
          <w:kern w:val="0"/>
          <w:position w:val="-3"/>
          <w:szCs w:val="21"/>
        </w:rPr>
        <w:t>价明细表</w:t>
      </w:r>
      <w:r>
        <w:rPr>
          <w:color w:val="auto"/>
        </w:rPr>
        <w:tab/>
      </w:r>
      <w:r>
        <w:rPr>
          <w:color w:val="auto"/>
        </w:rPr>
        <w:fldChar w:fldCharType="begin"/>
      </w:r>
      <w:r>
        <w:rPr>
          <w:color w:val="auto"/>
        </w:rPr>
        <w:instrText xml:space="preserve"> PAGEREF _Toc2189 \h </w:instrText>
      </w:r>
      <w:r>
        <w:rPr>
          <w:color w:val="auto"/>
        </w:rPr>
        <w:fldChar w:fldCharType="separate"/>
      </w:r>
      <w:r>
        <w:rPr>
          <w:color w:val="auto"/>
        </w:rPr>
        <w:t>69</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_Toc30674 </w:instrText>
      </w:r>
      <w:r>
        <w:rPr>
          <w:rFonts w:ascii="宋体" w:hAnsi="宋体" w:eastAsia="宋体" w:cs="Times New Roman"/>
          <w:color w:val="auto"/>
        </w:rPr>
        <w:fldChar w:fldCharType="separate"/>
      </w:r>
      <w:r>
        <w:rPr>
          <w:rFonts w:hint="eastAsia" w:ascii="黑体" w:hAnsi="宋体" w:eastAsia="黑体"/>
          <w:color w:val="auto"/>
          <w:szCs w:val="28"/>
        </w:rPr>
        <w:t>七、采购需求响应</w:t>
      </w:r>
      <w:r>
        <w:rPr>
          <w:color w:val="auto"/>
        </w:rPr>
        <w:tab/>
      </w:r>
      <w:r>
        <w:rPr>
          <w:color w:val="auto"/>
        </w:rPr>
        <w:fldChar w:fldCharType="begin"/>
      </w:r>
      <w:r>
        <w:rPr>
          <w:color w:val="auto"/>
        </w:rPr>
        <w:instrText xml:space="preserve"> PAGEREF _Toc30674 \h </w:instrText>
      </w:r>
      <w:r>
        <w:rPr>
          <w:color w:val="auto"/>
        </w:rPr>
        <w:fldChar w:fldCharType="separate"/>
      </w:r>
      <w:r>
        <w:rPr>
          <w:color w:val="auto"/>
        </w:rPr>
        <w:t>70</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_Toc24644 </w:instrText>
      </w:r>
      <w:r>
        <w:rPr>
          <w:rFonts w:ascii="宋体" w:hAnsi="宋体" w:eastAsia="宋体" w:cs="Times New Roman"/>
          <w:color w:val="auto"/>
        </w:rPr>
        <w:fldChar w:fldCharType="separate"/>
      </w:r>
      <w:r>
        <w:rPr>
          <w:rFonts w:hint="eastAsia" w:ascii="黑体" w:hAnsi="黑体" w:cs="宋体"/>
          <w:color w:val="auto"/>
          <w:spacing w:val="6"/>
          <w:kern w:val="0"/>
          <w:szCs w:val="21"/>
        </w:rPr>
        <w:t>附件7-1 响应</w:t>
      </w:r>
      <w:r>
        <w:rPr>
          <w:rFonts w:hint="eastAsia" w:ascii="黑体" w:hAnsi="黑体"/>
          <w:color w:val="auto"/>
          <w:szCs w:val="21"/>
          <w:lang w:eastAsia="zh-CN"/>
        </w:rPr>
        <w:t>一</w:t>
      </w:r>
      <w:r>
        <w:rPr>
          <w:rFonts w:hint="eastAsia" w:ascii="黑体" w:hAnsi="黑体"/>
          <w:color w:val="auto"/>
          <w:szCs w:val="21"/>
        </w:rPr>
        <w:t>览表</w:t>
      </w:r>
      <w:r>
        <w:rPr>
          <w:color w:val="auto"/>
        </w:rPr>
        <w:tab/>
      </w:r>
      <w:r>
        <w:rPr>
          <w:color w:val="auto"/>
        </w:rPr>
        <w:fldChar w:fldCharType="begin"/>
      </w:r>
      <w:r>
        <w:rPr>
          <w:color w:val="auto"/>
        </w:rPr>
        <w:instrText xml:space="preserve"> PAGEREF _Toc24644 \h </w:instrText>
      </w:r>
      <w:r>
        <w:rPr>
          <w:color w:val="auto"/>
        </w:rPr>
        <w:fldChar w:fldCharType="separate"/>
      </w:r>
      <w:r>
        <w:rPr>
          <w:color w:val="auto"/>
        </w:rPr>
        <w:t>70</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_Toc31195 </w:instrText>
      </w:r>
      <w:r>
        <w:rPr>
          <w:rFonts w:ascii="宋体" w:hAnsi="宋体" w:eastAsia="宋体" w:cs="Times New Roman"/>
          <w:color w:val="auto"/>
        </w:rPr>
        <w:fldChar w:fldCharType="separate"/>
      </w:r>
      <w:r>
        <w:rPr>
          <w:rFonts w:hint="eastAsia" w:ascii="黑体" w:hAnsi="黑体" w:eastAsia="黑体"/>
          <w:color w:val="auto"/>
          <w:szCs w:val="28"/>
        </w:rPr>
        <w:t>八、合同条款偏离表</w:t>
      </w:r>
      <w:r>
        <w:rPr>
          <w:color w:val="auto"/>
        </w:rPr>
        <w:tab/>
      </w:r>
      <w:r>
        <w:rPr>
          <w:color w:val="auto"/>
        </w:rPr>
        <w:fldChar w:fldCharType="begin"/>
      </w:r>
      <w:r>
        <w:rPr>
          <w:color w:val="auto"/>
        </w:rPr>
        <w:instrText xml:space="preserve"> PAGEREF _Toc31195 \h </w:instrText>
      </w:r>
      <w:r>
        <w:rPr>
          <w:color w:val="auto"/>
        </w:rPr>
        <w:fldChar w:fldCharType="separate"/>
      </w:r>
      <w:r>
        <w:rPr>
          <w:color w:val="auto"/>
        </w:rPr>
        <w:t>71</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_Toc4933 </w:instrText>
      </w:r>
      <w:r>
        <w:rPr>
          <w:rFonts w:ascii="宋体" w:hAnsi="宋体" w:eastAsia="宋体" w:cs="Times New Roman"/>
          <w:color w:val="auto"/>
        </w:rPr>
        <w:fldChar w:fldCharType="separate"/>
      </w:r>
      <w:r>
        <w:rPr>
          <w:rFonts w:hint="eastAsia" w:ascii="黑体" w:hAnsi="宋体" w:eastAsia="黑体"/>
          <w:color w:val="auto"/>
          <w:szCs w:val="28"/>
        </w:rPr>
        <w:t>九、采购需求偏离表</w:t>
      </w:r>
      <w:r>
        <w:rPr>
          <w:color w:val="auto"/>
        </w:rPr>
        <w:tab/>
      </w:r>
      <w:r>
        <w:rPr>
          <w:color w:val="auto"/>
        </w:rPr>
        <w:fldChar w:fldCharType="begin"/>
      </w:r>
      <w:r>
        <w:rPr>
          <w:color w:val="auto"/>
        </w:rPr>
        <w:instrText xml:space="preserve"> PAGEREF _Toc4933 \h </w:instrText>
      </w:r>
      <w:r>
        <w:rPr>
          <w:color w:val="auto"/>
        </w:rPr>
        <w:fldChar w:fldCharType="separate"/>
      </w:r>
      <w:r>
        <w:rPr>
          <w:color w:val="auto"/>
        </w:rPr>
        <w:t>72</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_Toc14248 </w:instrText>
      </w:r>
      <w:r>
        <w:rPr>
          <w:rFonts w:ascii="宋体" w:hAnsi="宋体" w:eastAsia="宋体" w:cs="Times New Roman"/>
          <w:color w:val="auto"/>
        </w:rPr>
        <w:fldChar w:fldCharType="separate"/>
      </w:r>
      <w:r>
        <w:rPr>
          <w:rFonts w:hint="eastAsia" w:ascii="宋体" w:hAnsi="宋体"/>
          <w:color w:val="auto"/>
          <w:szCs w:val="21"/>
        </w:rPr>
        <w:t>十</w:t>
      </w:r>
      <w:r>
        <w:rPr>
          <w:rFonts w:hint="eastAsia" w:ascii="黑体" w:hAnsi="宋体" w:eastAsia="黑体"/>
          <w:color w:val="auto"/>
          <w:szCs w:val="28"/>
        </w:rPr>
        <w:t>、享受政府采购政策优惠的证明资料</w:t>
      </w:r>
      <w:r>
        <w:rPr>
          <w:color w:val="auto"/>
        </w:rPr>
        <w:tab/>
      </w:r>
      <w:r>
        <w:rPr>
          <w:color w:val="auto"/>
        </w:rPr>
        <w:fldChar w:fldCharType="begin"/>
      </w:r>
      <w:r>
        <w:rPr>
          <w:color w:val="auto"/>
        </w:rPr>
        <w:instrText xml:space="preserve"> PAGEREF _Toc14248 \h </w:instrText>
      </w:r>
      <w:r>
        <w:rPr>
          <w:color w:val="auto"/>
        </w:rPr>
        <w:fldChar w:fldCharType="separate"/>
      </w:r>
      <w:r>
        <w:rPr>
          <w:color w:val="auto"/>
        </w:rPr>
        <w:t>73</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_Toc20231 </w:instrText>
      </w:r>
      <w:r>
        <w:rPr>
          <w:rFonts w:ascii="宋体" w:hAnsi="宋体" w:eastAsia="宋体" w:cs="Times New Roman"/>
          <w:color w:val="auto"/>
        </w:rPr>
        <w:fldChar w:fldCharType="separate"/>
      </w:r>
      <w:r>
        <w:rPr>
          <w:rFonts w:hint="eastAsia" w:ascii="黑体" w:hAnsi="华文中宋" w:cs="宋体"/>
          <w:bCs w:val="0"/>
          <w:color w:val="auto"/>
          <w:spacing w:val="6"/>
          <w:kern w:val="0"/>
          <w:szCs w:val="21"/>
        </w:rPr>
        <w:t xml:space="preserve">附件10-1 </w:t>
      </w:r>
      <w:r>
        <w:rPr>
          <w:rFonts w:hint="eastAsia" w:ascii="黑体" w:hAnsi="宋体"/>
          <w:bCs w:val="0"/>
          <w:color w:val="auto"/>
          <w:szCs w:val="21"/>
        </w:rPr>
        <w:t>中小企业声明函</w:t>
      </w:r>
      <w:r>
        <w:rPr>
          <w:color w:val="auto"/>
        </w:rPr>
        <w:tab/>
      </w:r>
      <w:r>
        <w:rPr>
          <w:color w:val="auto"/>
        </w:rPr>
        <w:fldChar w:fldCharType="begin"/>
      </w:r>
      <w:r>
        <w:rPr>
          <w:color w:val="auto"/>
        </w:rPr>
        <w:instrText xml:space="preserve"> PAGEREF _Toc20231 \h </w:instrText>
      </w:r>
      <w:r>
        <w:rPr>
          <w:color w:val="auto"/>
        </w:rPr>
        <w:fldChar w:fldCharType="separate"/>
      </w:r>
      <w:r>
        <w:rPr>
          <w:color w:val="auto"/>
        </w:rPr>
        <w:t>73</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_Toc14340 </w:instrText>
      </w:r>
      <w:r>
        <w:rPr>
          <w:rFonts w:ascii="宋体" w:hAnsi="宋体" w:eastAsia="宋体" w:cs="Times New Roman"/>
          <w:color w:val="auto"/>
        </w:rPr>
        <w:fldChar w:fldCharType="separate"/>
      </w:r>
      <w:r>
        <w:rPr>
          <w:rFonts w:hint="eastAsia" w:ascii="黑体" w:hAnsi="黑体" w:cs="宋体"/>
          <w:bCs w:val="0"/>
          <w:color w:val="auto"/>
          <w:kern w:val="0"/>
          <w:szCs w:val="21"/>
        </w:rPr>
        <w:t xml:space="preserve">附件10-2 </w:t>
      </w:r>
      <w:r>
        <w:rPr>
          <w:rFonts w:hint="eastAsia" w:ascii="黑体" w:hAnsi="黑体"/>
          <w:bCs w:val="0"/>
          <w:color w:val="auto"/>
          <w:szCs w:val="21"/>
        </w:rPr>
        <w:t>残疾人福利性单位声明函</w:t>
      </w:r>
      <w:r>
        <w:rPr>
          <w:color w:val="auto"/>
        </w:rPr>
        <w:tab/>
      </w:r>
      <w:r>
        <w:rPr>
          <w:color w:val="auto"/>
        </w:rPr>
        <w:fldChar w:fldCharType="begin"/>
      </w:r>
      <w:r>
        <w:rPr>
          <w:color w:val="auto"/>
        </w:rPr>
        <w:instrText xml:space="preserve"> PAGEREF _Toc14340 \h </w:instrText>
      </w:r>
      <w:r>
        <w:rPr>
          <w:color w:val="auto"/>
        </w:rPr>
        <w:fldChar w:fldCharType="separate"/>
      </w:r>
      <w:r>
        <w:rPr>
          <w:color w:val="auto"/>
        </w:rPr>
        <w:t>74</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_Toc31153 </w:instrText>
      </w:r>
      <w:r>
        <w:rPr>
          <w:rFonts w:ascii="宋体" w:hAnsi="宋体" w:eastAsia="宋体" w:cs="Times New Roman"/>
          <w:color w:val="auto"/>
        </w:rPr>
        <w:fldChar w:fldCharType="separate"/>
      </w:r>
      <w:r>
        <w:rPr>
          <w:rFonts w:hint="eastAsia" w:ascii="黑体" w:hAnsi="黑体" w:cs="宋体"/>
          <w:bCs w:val="0"/>
          <w:color w:val="auto"/>
          <w:kern w:val="0"/>
          <w:szCs w:val="21"/>
        </w:rPr>
        <w:t xml:space="preserve">附件10-3 </w:t>
      </w:r>
      <w:r>
        <w:rPr>
          <w:rFonts w:hint="eastAsia" w:ascii="黑体" w:hAnsi="黑体"/>
          <w:bCs w:val="0"/>
          <w:color w:val="auto"/>
          <w:szCs w:val="21"/>
        </w:rPr>
        <w:t>监狱企业证明资料</w:t>
      </w:r>
      <w:r>
        <w:rPr>
          <w:color w:val="auto"/>
        </w:rPr>
        <w:tab/>
      </w:r>
      <w:r>
        <w:rPr>
          <w:color w:val="auto"/>
        </w:rPr>
        <w:fldChar w:fldCharType="begin"/>
      </w:r>
      <w:r>
        <w:rPr>
          <w:color w:val="auto"/>
        </w:rPr>
        <w:instrText xml:space="preserve"> PAGEREF _Toc31153 \h </w:instrText>
      </w:r>
      <w:r>
        <w:rPr>
          <w:color w:val="auto"/>
        </w:rPr>
        <w:fldChar w:fldCharType="separate"/>
      </w:r>
      <w:r>
        <w:rPr>
          <w:color w:val="auto"/>
        </w:rPr>
        <w:t>75</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_Toc24815 </w:instrText>
      </w:r>
      <w:r>
        <w:rPr>
          <w:rFonts w:ascii="宋体" w:hAnsi="宋体" w:eastAsia="宋体" w:cs="Times New Roman"/>
          <w:color w:val="auto"/>
        </w:rPr>
        <w:fldChar w:fldCharType="separate"/>
      </w:r>
      <w:r>
        <w:rPr>
          <w:rFonts w:hint="eastAsia" w:ascii="黑体" w:hAnsi="华文中宋" w:cs="宋体"/>
          <w:bCs w:val="0"/>
          <w:color w:val="auto"/>
          <w:spacing w:val="6"/>
          <w:kern w:val="0"/>
          <w:szCs w:val="21"/>
        </w:rPr>
        <w:t xml:space="preserve">附件10-4 </w:t>
      </w:r>
      <w:r>
        <w:rPr>
          <w:rFonts w:hint="eastAsia" w:ascii="黑体" w:hAnsi="宋体"/>
          <w:bCs w:val="0"/>
          <w:color w:val="auto"/>
          <w:szCs w:val="21"/>
        </w:rPr>
        <w:t>强制采购或者优先采购产品的证明材料</w:t>
      </w:r>
      <w:r>
        <w:rPr>
          <w:color w:val="auto"/>
        </w:rPr>
        <w:tab/>
      </w:r>
      <w:r>
        <w:rPr>
          <w:color w:val="auto"/>
        </w:rPr>
        <w:fldChar w:fldCharType="begin"/>
      </w:r>
      <w:r>
        <w:rPr>
          <w:color w:val="auto"/>
        </w:rPr>
        <w:instrText xml:space="preserve"> PAGEREF _Toc24815 \h </w:instrText>
      </w:r>
      <w:r>
        <w:rPr>
          <w:color w:val="auto"/>
        </w:rPr>
        <w:fldChar w:fldCharType="separate"/>
      </w:r>
      <w:r>
        <w:rPr>
          <w:color w:val="auto"/>
        </w:rPr>
        <w:t>76</w:t>
      </w:r>
      <w:r>
        <w:rPr>
          <w:color w:val="auto"/>
        </w:rPr>
        <w:fldChar w:fldCharType="end"/>
      </w:r>
      <w:r>
        <w:rPr>
          <w:rFonts w:ascii="宋体" w:hAnsi="宋体" w:eastAsia="宋体" w:cs="Times New Roman"/>
          <w:color w:val="auto"/>
        </w:rPr>
        <w:fldChar w:fldCharType="end"/>
      </w:r>
    </w:p>
    <w:p>
      <w:pPr>
        <w:pStyle w:val="16"/>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_Toc32718 </w:instrText>
      </w:r>
      <w:r>
        <w:rPr>
          <w:rFonts w:ascii="宋体" w:hAnsi="宋体" w:eastAsia="宋体" w:cs="Times New Roman"/>
          <w:color w:val="auto"/>
        </w:rPr>
        <w:fldChar w:fldCharType="separate"/>
      </w:r>
      <w:r>
        <w:rPr>
          <w:rFonts w:hint="eastAsia" w:ascii="黑体" w:hAnsi="华文中宋" w:cs="宋体"/>
          <w:bCs w:val="0"/>
          <w:color w:val="auto"/>
          <w:spacing w:val="6"/>
          <w:kern w:val="0"/>
          <w:szCs w:val="21"/>
        </w:rPr>
        <w:t xml:space="preserve">附页 1 </w:t>
      </w:r>
      <w:r>
        <w:rPr>
          <w:rFonts w:hint="eastAsia" w:ascii="黑体" w:hAnsi="宋体"/>
          <w:color w:val="auto"/>
          <w:szCs w:val="21"/>
        </w:rPr>
        <w:t>优先采购产品清单</w:t>
      </w:r>
      <w:r>
        <w:rPr>
          <w:color w:val="auto"/>
        </w:rPr>
        <w:tab/>
      </w:r>
      <w:r>
        <w:rPr>
          <w:color w:val="auto"/>
        </w:rPr>
        <w:fldChar w:fldCharType="begin"/>
      </w:r>
      <w:r>
        <w:rPr>
          <w:color w:val="auto"/>
        </w:rPr>
        <w:instrText xml:space="preserve"> PAGEREF _Toc32718 \h </w:instrText>
      </w:r>
      <w:r>
        <w:rPr>
          <w:color w:val="auto"/>
        </w:rPr>
        <w:fldChar w:fldCharType="separate"/>
      </w:r>
      <w:r>
        <w:rPr>
          <w:color w:val="auto"/>
        </w:rPr>
        <w:t>77</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_Toc22806 </w:instrText>
      </w:r>
      <w:r>
        <w:rPr>
          <w:rFonts w:ascii="宋体" w:hAnsi="宋体" w:eastAsia="宋体" w:cs="Times New Roman"/>
          <w:color w:val="auto"/>
        </w:rPr>
        <w:fldChar w:fldCharType="separate"/>
      </w:r>
      <w:r>
        <w:rPr>
          <w:rFonts w:hint="eastAsia" w:ascii="黑体" w:hAnsi="宋体" w:eastAsia="黑体"/>
          <w:color w:val="auto"/>
          <w:szCs w:val="28"/>
        </w:rPr>
        <w:t>十一、投标货物符合招标文件规定的证明文件</w:t>
      </w:r>
      <w:r>
        <w:rPr>
          <w:color w:val="auto"/>
        </w:rPr>
        <w:tab/>
      </w:r>
      <w:r>
        <w:rPr>
          <w:color w:val="auto"/>
        </w:rPr>
        <w:fldChar w:fldCharType="begin"/>
      </w:r>
      <w:r>
        <w:rPr>
          <w:color w:val="auto"/>
        </w:rPr>
        <w:instrText xml:space="preserve"> PAGEREF _Toc22806 \h </w:instrText>
      </w:r>
      <w:r>
        <w:rPr>
          <w:color w:val="auto"/>
        </w:rPr>
        <w:fldChar w:fldCharType="separate"/>
      </w:r>
      <w:r>
        <w:rPr>
          <w:color w:val="auto"/>
        </w:rPr>
        <w:t>78</w:t>
      </w:r>
      <w:r>
        <w:rPr>
          <w:color w:val="auto"/>
        </w:rPr>
        <w:fldChar w:fldCharType="end"/>
      </w:r>
      <w:r>
        <w:rPr>
          <w:rFonts w:ascii="宋体" w:hAnsi="宋体" w:eastAsia="宋体" w:cs="Times New Roman"/>
          <w:color w:val="auto"/>
        </w:rPr>
        <w:fldChar w:fldCharType="end"/>
      </w:r>
    </w:p>
    <w:p>
      <w:pPr>
        <w:pStyle w:val="9"/>
        <w:tabs>
          <w:tab w:val="right" w:leader="dot" w:pos="8844"/>
        </w:tabs>
        <w:rPr>
          <w:color w:val="auto"/>
        </w:rPr>
      </w:pPr>
      <w:r>
        <w:rPr>
          <w:rFonts w:ascii="宋体" w:hAnsi="宋体" w:eastAsia="宋体" w:cs="Times New Roman"/>
          <w:color w:val="auto"/>
        </w:rPr>
        <w:fldChar w:fldCharType="begin"/>
      </w:r>
      <w:r>
        <w:rPr>
          <w:rFonts w:ascii="宋体" w:hAnsi="宋体" w:eastAsia="宋体" w:cs="Times New Roman"/>
          <w:color w:val="auto"/>
        </w:rPr>
        <w:instrText xml:space="preserve"> HYPERLINK \l _Toc20609 </w:instrText>
      </w:r>
      <w:r>
        <w:rPr>
          <w:rFonts w:ascii="宋体" w:hAnsi="宋体" w:eastAsia="宋体" w:cs="Times New Roman"/>
          <w:color w:val="auto"/>
        </w:rPr>
        <w:fldChar w:fldCharType="separate"/>
      </w:r>
      <w:r>
        <w:rPr>
          <w:rFonts w:hint="eastAsia" w:ascii="黑体" w:hAnsi="宋体" w:eastAsia="黑体"/>
          <w:color w:val="auto"/>
          <w:szCs w:val="28"/>
        </w:rPr>
        <w:t>十二、投标人认为需提供的其他资料</w:t>
      </w:r>
      <w:r>
        <w:rPr>
          <w:color w:val="auto"/>
        </w:rPr>
        <w:tab/>
      </w:r>
      <w:r>
        <w:rPr>
          <w:color w:val="auto"/>
        </w:rPr>
        <w:fldChar w:fldCharType="begin"/>
      </w:r>
      <w:r>
        <w:rPr>
          <w:color w:val="auto"/>
        </w:rPr>
        <w:instrText xml:space="preserve"> PAGEREF _Toc20609 \h </w:instrText>
      </w:r>
      <w:r>
        <w:rPr>
          <w:color w:val="auto"/>
        </w:rPr>
        <w:fldChar w:fldCharType="separate"/>
      </w:r>
      <w:r>
        <w:rPr>
          <w:color w:val="auto"/>
        </w:rPr>
        <w:t>79</w:t>
      </w:r>
      <w:r>
        <w:rPr>
          <w:color w:val="auto"/>
        </w:rPr>
        <w:fldChar w:fldCharType="end"/>
      </w:r>
      <w:r>
        <w:rPr>
          <w:rFonts w:ascii="宋体" w:hAnsi="宋体" w:eastAsia="宋体" w:cs="Times New Roman"/>
          <w:color w:val="auto"/>
        </w:rPr>
        <w:fldChar w:fldCharType="end"/>
      </w:r>
    </w:p>
    <w:p>
      <w:pPr>
        <w:pStyle w:val="10"/>
        <w:adjustRightInd w:val="0"/>
        <w:snapToGrid w:val="0"/>
        <w:spacing w:line="360" w:lineRule="auto"/>
        <w:outlineLvl w:val="0"/>
        <w:rPr>
          <w:rFonts w:hAnsi="宋体"/>
          <w:color w:val="auto"/>
        </w:rPr>
      </w:pPr>
      <w:r>
        <w:rPr>
          <w:rFonts w:ascii="宋体" w:hAnsi="宋体" w:eastAsia="宋体" w:cs="Times New Roman"/>
          <w:color w:val="auto"/>
        </w:rPr>
        <w:fldChar w:fldCharType="end"/>
      </w:r>
      <w:r>
        <w:rPr>
          <w:rFonts w:hAnsi="宋体"/>
          <w:color w:val="auto"/>
        </w:rPr>
        <w:t xml:space="preserve"> </w:t>
      </w:r>
    </w:p>
    <w:p>
      <w:pPr>
        <w:adjustRightInd w:val="0"/>
        <w:snapToGrid w:val="0"/>
        <w:spacing w:line="240" w:lineRule="atLeast"/>
        <w:ind w:firstLine="840" w:firstLineChars="400"/>
        <w:rPr>
          <w:rFonts w:ascii="宋体" w:hAnsi="宋体"/>
          <w:color w:val="auto"/>
          <w:szCs w:val="21"/>
        </w:rPr>
      </w:pPr>
    </w:p>
    <w:p>
      <w:pPr>
        <w:pStyle w:val="2"/>
        <w:rPr>
          <w:color w:val="auto"/>
        </w:rPr>
        <w:sectPr>
          <w:footerReference r:id="rId8" w:type="default"/>
          <w:pgSz w:w="11906" w:h="16838"/>
          <w:pgMar w:top="1474" w:right="1474" w:bottom="1474" w:left="1588" w:header="851" w:footer="992" w:gutter="0"/>
          <w:pgNumType w:fmt="decimal" w:start="1"/>
          <w:cols w:space="720" w:num="1"/>
          <w:docGrid w:type="lines" w:linePitch="312" w:charSpace="0"/>
        </w:sectPr>
      </w:pPr>
      <w:bookmarkStart w:id="0" w:name="_Toc35421027"/>
      <w:bookmarkStart w:id="1" w:name="_Toc21000471"/>
      <w:bookmarkStart w:id="2" w:name="_Toc20642243"/>
      <w:bookmarkStart w:id="3" w:name="_Toc20816073"/>
      <w:bookmarkStart w:id="4" w:name="_Toc21001314"/>
      <w:bookmarkStart w:id="5" w:name="_Toc53472201"/>
      <w:bookmarkStart w:id="6" w:name="_Toc20988241"/>
      <w:bookmarkStart w:id="7" w:name="_Toc34720698"/>
    </w:p>
    <w:p>
      <w:pPr>
        <w:pStyle w:val="2"/>
        <w:rPr>
          <w:rFonts w:ascii="黑体" w:hAnsi="华文中宋" w:eastAsia="黑体"/>
          <w:color w:val="auto"/>
          <w:sz w:val="32"/>
          <w:szCs w:val="32"/>
        </w:rPr>
      </w:pPr>
      <w:bookmarkStart w:id="8" w:name="_Toc27845"/>
      <w:r>
        <w:rPr>
          <w:rFonts w:hint="eastAsia" w:ascii="黑体" w:hAnsi="华文中宋" w:eastAsia="黑体"/>
          <w:color w:val="auto"/>
          <w:sz w:val="32"/>
          <w:szCs w:val="32"/>
        </w:rPr>
        <w:t>第一章 投标邀请（公开招标）</w:t>
      </w:r>
      <w:bookmarkEnd w:id="8"/>
    </w:p>
    <w:p>
      <w:pPr>
        <w:adjustRightInd w:val="0"/>
        <w:snapToGrid w:val="0"/>
        <w:spacing w:line="360" w:lineRule="auto"/>
        <w:ind w:firstLine="420" w:firstLineChars="200"/>
        <w:rPr>
          <w:rFonts w:ascii="宋体" w:hAnsi="宋体"/>
          <w:color w:val="auto"/>
          <w:szCs w:val="21"/>
          <w:u w:val="single"/>
        </w:rPr>
      </w:pP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u w:val="single"/>
        </w:rPr>
        <w:t xml:space="preserve"> </w:t>
      </w:r>
      <w:r>
        <w:rPr>
          <w:rFonts w:hint="eastAsia" w:ascii="宋体" w:hAnsi="宋体" w:cs="宋体"/>
          <w:szCs w:val="21"/>
          <w:u w:val="single"/>
        </w:rPr>
        <w:t>湘潭市消防救援支队</w:t>
      </w:r>
      <w:r>
        <w:rPr>
          <w:rFonts w:hint="eastAsia" w:ascii="宋体" w:hAnsi="宋体"/>
          <w:color w:val="auto"/>
          <w:szCs w:val="21"/>
        </w:rPr>
        <w:t>（采购人名称）的</w:t>
      </w:r>
      <w:r>
        <w:rPr>
          <w:rFonts w:hint="eastAsia" w:ascii="宋体" w:hAnsi="宋体"/>
          <w:color w:val="auto"/>
          <w:szCs w:val="21"/>
          <w:u w:val="single"/>
        </w:rPr>
        <w:t xml:space="preserve"> </w:t>
      </w:r>
      <w:r>
        <w:rPr>
          <w:rFonts w:hint="eastAsia" w:ascii="宋体" w:hAnsi="宋体" w:cs="宋体"/>
          <w:szCs w:val="21"/>
          <w:u w:val="single"/>
          <w:lang w:eastAsia="zh-CN"/>
        </w:rPr>
        <w:t>湘潭市消防救援支队火灾调查装备采购项目</w:t>
      </w:r>
      <w:r>
        <w:rPr>
          <w:rFonts w:hint="eastAsia" w:ascii="宋体" w:hAnsi="宋体"/>
          <w:color w:val="auto"/>
          <w:szCs w:val="21"/>
          <w:u w:val="single"/>
        </w:rPr>
        <w:t xml:space="preserve"> </w:t>
      </w:r>
      <w:r>
        <w:rPr>
          <w:rFonts w:hint="eastAsia" w:ascii="宋体" w:hAnsi="宋体"/>
          <w:color w:val="auto"/>
          <w:szCs w:val="21"/>
        </w:rPr>
        <w:t xml:space="preserve"> (项目名称)进行公开招标采购，现邀请合格投标人参加投标。</w:t>
      </w:r>
    </w:p>
    <w:p>
      <w:pPr>
        <w:adjustRightInd w:val="0"/>
        <w:snapToGrid w:val="0"/>
        <w:spacing w:line="360" w:lineRule="auto"/>
        <w:ind w:firstLine="422" w:firstLineChars="200"/>
        <w:rPr>
          <w:rFonts w:ascii="宋体" w:hAnsi="宋体"/>
          <w:b/>
          <w:color w:val="auto"/>
          <w:szCs w:val="21"/>
        </w:rPr>
      </w:pPr>
      <w:r>
        <w:rPr>
          <w:rFonts w:hint="eastAsia" w:ascii="宋体" w:hAnsi="宋体"/>
          <w:b/>
          <w:color w:val="auto"/>
          <w:szCs w:val="21"/>
        </w:rPr>
        <w:t>一、采购项目基本信息</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1、采购项目名称：</w:t>
      </w:r>
      <w:r>
        <w:rPr>
          <w:rFonts w:hint="eastAsia" w:ascii="宋体" w:hAnsi="宋体" w:cs="宋体"/>
          <w:szCs w:val="21"/>
          <w:u w:val="single"/>
          <w:lang w:eastAsia="zh-CN"/>
        </w:rPr>
        <w:t>湘潭市消防救援支队火灾调查装备采购项目</w:t>
      </w:r>
      <w:r>
        <w:rPr>
          <w:rFonts w:hint="eastAsia" w:ascii="宋体" w:hAnsi="宋体"/>
          <w:color w:val="auto"/>
          <w:szCs w:val="21"/>
          <w:u w:val="single"/>
        </w:rPr>
        <w:t xml:space="preserve">  </w:t>
      </w:r>
    </w:p>
    <w:p>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2、政府采购计划编号：</w:t>
      </w:r>
      <w:r>
        <w:rPr>
          <w:rFonts w:hint="eastAsia" w:ascii="宋体" w:hAnsi="宋体"/>
          <w:color w:val="auto"/>
          <w:szCs w:val="21"/>
          <w:highlight w:val="none"/>
          <w:u w:val="single"/>
        </w:rPr>
        <w:t>潭市财采计【2023】0348号</w:t>
      </w:r>
    </w:p>
    <w:p>
      <w:pPr>
        <w:adjustRightInd w:val="0"/>
        <w:snapToGrid w:val="0"/>
        <w:spacing w:line="360" w:lineRule="auto"/>
        <w:ind w:firstLine="420" w:firstLineChars="200"/>
        <w:rPr>
          <w:rFonts w:ascii="宋体" w:hAnsi="宋体"/>
          <w:i/>
          <w:color w:val="auto"/>
          <w:szCs w:val="21"/>
        </w:rPr>
      </w:pPr>
      <w:r>
        <w:rPr>
          <w:rFonts w:hint="eastAsia" w:ascii="宋体" w:hAnsi="宋体"/>
          <w:color w:val="auto"/>
          <w:szCs w:val="21"/>
        </w:rPr>
        <w:t>3、</w:t>
      </w:r>
      <w:r>
        <w:rPr>
          <w:rFonts w:hint="eastAsia" w:ascii="宋体" w:hAnsi="宋体"/>
          <w:color w:val="auto"/>
          <w:szCs w:val="21"/>
          <w:lang w:eastAsia="zh-CN"/>
        </w:rPr>
        <w:t>委托代理编号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s="宋体"/>
          <w:szCs w:val="21"/>
          <w:u w:val="single"/>
          <w:lang w:eastAsia="zh-CN"/>
        </w:rPr>
        <w:t>HD-A-2023018</w:t>
      </w:r>
      <w:r>
        <w:rPr>
          <w:rFonts w:hint="eastAsia" w:ascii="宋体" w:hAnsi="宋体"/>
          <w:color w:val="auto"/>
          <w:szCs w:val="21"/>
          <w:u w:val="single"/>
        </w:rPr>
        <w:t xml:space="preserve"> </w:t>
      </w:r>
    </w:p>
    <w:p>
      <w:pPr>
        <w:adjustRightInd w:val="0"/>
        <w:snapToGrid w:val="0"/>
        <w:spacing w:line="360" w:lineRule="auto"/>
        <w:ind w:firstLine="420" w:firstLineChars="200"/>
        <w:rPr>
          <w:rFonts w:ascii="宋体" w:hAnsi="宋体"/>
          <w:bCs/>
          <w:color w:val="auto"/>
          <w:szCs w:val="21"/>
        </w:rPr>
      </w:pPr>
      <w:r>
        <w:rPr>
          <w:rFonts w:hint="eastAsia" w:ascii="宋体" w:hAnsi="宋体"/>
          <w:bCs/>
          <w:color w:val="auto"/>
          <w:szCs w:val="21"/>
        </w:rPr>
        <w:t>4、采购项目预算：</w:t>
      </w:r>
      <w:r>
        <w:rPr>
          <w:rFonts w:hint="eastAsia" w:ascii="宋体" w:hAnsi="宋体"/>
          <w:bCs/>
          <w:color w:val="auto"/>
          <w:szCs w:val="21"/>
          <w:u w:val="single"/>
          <w:lang w:val="en-US" w:eastAsia="zh-CN"/>
        </w:rPr>
        <w:t>422400元</w:t>
      </w:r>
      <w:r>
        <w:rPr>
          <w:rFonts w:hint="eastAsia" w:ascii="宋体" w:hAnsi="宋体"/>
          <w:bCs/>
          <w:color w:val="auto"/>
          <w:szCs w:val="21"/>
          <w:u w:val="single"/>
        </w:rPr>
        <w:t xml:space="preserve"> </w:t>
      </w:r>
    </w:p>
    <w:p>
      <w:pPr>
        <w:adjustRightInd w:val="0"/>
        <w:snapToGrid w:val="0"/>
        <w:spacing w:line="360" w:lineRule="auto"/>
        <w:ind w:firstLine="630" w:firstLineChars="300"/>
        <w:rPr>
          <w:rFonts w:hint="default" w:ascii="宋体" w:hAnsi="宋体" w:eastAsia="宋体"/>
          <w:bCs/>
          <w:color w:val="auto"/>
          <w:szCs w:val="21"/>
          <w:u w:val="single"/>
          <w:lang w:val="en-US" w:eastAsia="zh-CN"/>
        </w:rPr>
      </w:pPr>
      <w:r>
        <w:rPr>
          <w:rFonts w:hint="eastAsia" w:ascii="宋体" w:hAnsi="宋体"/>
          <w:iCs/>
          <w:color w:val="auto"/>
          <w:szCs w:val="21"/>
        </w:rPr>
        <w:sym w:font="Wingdings" w:char="00A8"/>
      </w:r>
      <w:r>
        <w:rPr>
          <w:rFonts w:hint="eastAsia" w:ascii="宋体" w:hAnsi="宋体"/>
          <w:iCs/>
          <w:color w:val="auto"/>
          <w:szCs w:val="21"/>
        </w:rPr>
        <w:t>支持</w:t>
      </w:r>
      <w:r>
        <w:rPr>
          <w:rFonts w:hint="eastAsia" w:ascii="宋体" w:hAnsi="宋体"/>
          <w:bCs/>
          <w:color w:val="auto"/>
          <w:szCs w:val="21"/>
        </w:rPr>
        <w:t>预付款，预付比例：</w:t>
      </w:r>
      <w:r>
        <w:rPr>
          <w:rFonts w:hint="eastAsia" w:ascii="宋体" w:hAnsi="宋体"/>
          <w:bCs/>
          <w:color w:val="auto"/>
          <w:szCs w:val="21"/>
          <w:u w:val="single"/>
        </w:rPr>
        <w:t xml:space="preserve">   </w:t>
      </w:r>
      <w:r>
        <w:rPr>
          <w:rFonts w:hint="eastAsia" w:ascii="宋体" w:hAnsi="宋体"/>
          <w:bCs/>
          <w:color w:val="auto"/>
          <w:szCs w:val="21"/>
          <w:u w:val="single"/>
          <w:lang w:val="en-US" w:eastAsia="zh-CN"/>
        </w:rPr>
        <w:t xml:space="preserve">  /      </w:t>
      </w:r>
    </w:p>
    <w:p>
      <w:pPr>
        <w:adjustRightInd w:val="0"/>
        <w:snapToGrid w:val="0"/>
        <w:spacing w:line="360" w:lineRule="auto"/>
        <w:ind w:firstLine="420" w:firstLineChars="200"/>
        <w:rPr>
          <w:rFonts w:ascii="宋体" w:hAnsi="宋体"/>
          <w:color w:val="auto"/>
          <w:szCs w:val="21"/>
          <w:u w:val="single"/>
        </w:rPr>
      </w:pPr>
      <w:r>
        <w:rPr>
          <w:rFonts w:hint="eastAsia" w:ascii="宋体" w:hAnsi="宋体"/>
          <w:bCs/>
          <w:color w:val="auto"/>
          <w:szCs w:val="21"/>
        </w:rPr>
        <w:t>5、本项目</w:t>
      </w:r>
      <w:r>
        <w:rPr>
          <w:rFonts w:hint="eastAsia" w:ascii="宋体" w:hAnsi="宋体"/>
          <w:color w:val="auto"/>
          <w:szCs w:val="21"/>
        </w:rPr>
        <w:t>对应的中小企业划分标准所属行业：</w:t>
      </w:r>
      <w:r>
        <w:rPr>
          <w:rFonts w:hint="eastAsia" w:ascii="宋体" w:hAnsi="宋体"/>
          <w:color w:val="auto"/>
          <w:szCs w:val="21"/>
          <w:u w:val="single"/>
        </w:rPr>
        <w:t xml:space="preserve"> </w:t>
      </w:r>
      <w:r>
        <w:rPr>
          <w:rFonts w:hint="eastAsia" w:ascii="宋体" w:hAnsi="宋体"/>
          <w:bCs/>
          <w:u w:val="single"/>
        </w:rPr>
        <w:t>消防</w:t>
      </w:r>
      <w:r>
        <w:rPr>
          <w:rFonts w:hint="eastAsia" w:ascii="宋体" w:hAnsi="宋体"/>
          <w:color w:val="auto"/>
          <w:szCs w:val="21"/>
          <w:u w:val="single"/>
        </w:rPr>
        <w:t xml:space="preserve">     </w:t>
      </w:r>
    </w:p>
    <w:p>
      <w:pPr>
        <w:adjustRightInd w:val="0"/>
        <w:snapToGrid w:val="0"/>
        <w:spacing w:line="360" w:lineRule="auto"/>
        <w:ind w:firstLine="420" w:firstLineChars="200"/>
        <w:rPr>
          <w:rFonts w:ascii="宋体" w:hAnsi="宋体"/>
          <w:bCs/>
          <w:color w:val="auto"/>
          <w:szCs w:val="21"/>
          <w:u w:val="single"/>
        </w:rPr>
      </w:pPr>
      <w:r>
        <w:rPr>
          <w:rFonts w:hint="eastAsia" w:ascii="宋体" w:hAnsi="宋体"/>
          <w:bCs/>
          <w:color w:val="auto"/>
          <w:szCs w:val="21"/>
        </w:rPr>
        <w:t>6、评标方法：</w:t>
      </w:r>
      <w:r>
        <w:rPr>
          <w:rFonts w:hint="eastAsia" w:ascii="宋体" w:hAnsi="宋体"/>
          <w:iCs/>
          <w:color w:val="auto"/>
          <w:szCs w:val="21"/>
        </w:rPr>
        <w:sym w:font="Wingdings" w:char="00FE"/>
      </w:r>
      <w:r>
        <w:rPr>
          <w:rFonts w:hint="eastAsia" w:ascii="宋体" w:hAnsi="宋体"/>
          <w:iCs/>
          <w:color w:val="auto"/>
          <w:szCs w:val="21"/>
        </w:rPr>
        <w:t xml:space="preserve">综合评分法 </w:t>
      </w:r>
      <w:r>
        <w:rPr>
          <w:rFonts w:hint="eastAsia" w:ascii="宋体" w:hAnsi="宋体"/>
          <w:iCs/>
          <w:color w:val="auto"/>
          <w:szCs w:val="21"/>
        </w:rPr>
        <w:sym w:font="Wingdings" w:char="00A8"/>
      </w:r>
      <w:r>
        <w:rPr>
          <w:rFonts w:hint="eastAsia" w:ascii="宋体" w:hAnsi="宋体"/>
          <w:iCs/>
          <w:color w:val="auto"/>
          <w:szCs w:val="21"/>
        </w:rPr>
        <w:t>最低评标价法</w:t>
      </w:r>
    </w:p>
    <w:p>
      <w:pPr>
        <w:adjustRightInd w:val="0"/>
        <w:snapToGrid w:val="0"/>
        <w:spacing w:line="360" w:lineRule="auto"/>
        <w:ind w:firstLine="420" w:firstLineChars="200"/>
        <w:rPr>
          <w:rFonts w:ascii="宋体" w:hAnsi="宋体"/>
          <w:bCs/>
          <w:color w:val="auto"/>
          <w:szCs w:val="21"/>
          <w:u w:val="single"/>
        </w:rPr>
      </w:pPr>
      <w:r>
        <w:rPr>
          <w:rFonts w:hint="eastAsia" w:ascii="宋体" w:hAnsi="宋体"/>
          <w:bCs/>
          <w:color w:val="auto"/>
          <w:szCs w:val="21"/>
        </w:rPr>
        <w:t>7、合同定价方式：</w:t>
      </w:r>
      <w:r>
        <w:rPr>
          <w:rFonts w:hint="eastAsia" w:ascii="宋体" w:hAnsi="宋体"/>
          <w:iCs/>
          <w:color w:val="auto"/>
          <w:szCs w:val="21"/>
        </w:rPr>
        <w:sym w:font="Wingdings" w:char="00A8"/>
      </w:r>
      <w:r>
        <w:rPr>
          <w:rFonts w:hint="eastAsia" w:ascii="宋体" w:hAnsi="宋体"/>
          <w:iCs/>
          <w:color w:val="auto"/>
          <w:szCs w:val="21"/>
        </w:rPr>
        <w:t>固定总价</w:t>
      </w:r>
      <w:r>
        <w:rPr>
          <w:rFonts w:hint="eastAsia" w:ascii="宋体" w:hAnsi="宋体"/>
          <w:iCs/>
          <w:color w:val="auto"/>
          <w:szCs w:val="21"/>
          <w:highlight w:val="none"/>
        </w:rPr>
        <w:t xml:space="preserve"> </w:t>
      </w:r>
      <w:r>
        <w:rPr>
          <w:rFonts w:hint="eastAsia" w:ascii="宋体" w:hAnsi="宋体"/>
          <w:iCs/>
          <w:color w:val="auto"/>
          <w:szCs w:val="21"/>
          <w:highlight w:val="none"/>
        </w:rPr>
        <w:sym w:font="Wingdings" w:char="00FE"/>
      </w:r>
      <w:r>
        <w:rPr>
          <w:rFonts w:hint="eastAsia" w:ascii="宋体" w:hAnsi="宋体"/>
          <w:iCs/>
          <w:color w:val="auto"/>
          <w:szCs w:val="21"/>
          <w:highlight w:val="none"/>
        </w:rPr>
        <w:t>固定单价</w:t>
      </w:r>
      <w:r>
        <w:rPr>
          <w:rFonts w:hint="eastAsia" w:ascii="宋体" w:hAnsi="宋体"/>
          <w:iCs/>
          <w:color w:val="auto"/>
          <w:szCs w:val="21"/>
        </w:rPr>
        <w:t xml:space="preserve"> </w:t>
      </w:r>
      <w:r>
        <w:rPr>
          <w:rFonts w:hint="eastAsia" w:ascii="宋体" w:hAnsi="宋体"/>
          <w:iCs/>
          <w:color w:val="auto"/>
          <w:szCs w:val="21"/>
        </w:rPr>
        <w:sym w:font="Wingdings" w:char="00A8"/>
      </w:r>
      <w:r>
        <w:rPr>
          <w:rFonts w:hint="eastAsia" w:ascii="宋体" w:hAnsi="宋体"/>
          <w:iCs/>
          <w:color w:val="auto"/>
          <w:szCs w:val="21"/>
        </w:rPr>
        <w:t xml:space="preserve">成本补偿 </w:t>
      </w:r>
      <w:r>
        <w:rPr>
          <w:rFonts w:hint="eastAsia" w:ascii="宋体" w:hAnsi="宋体"/>
          <w:iCs/>
          <w:color w:val="auto"/>
          <w:szCs w:val="21"/>
        </w:rPr>
        <w:sym w:font="Wingdings" w:char="00A8"/>
      </w:r>
      <w:r>
        <w:rPr>
          <w:rFonts w:hint="eastAsia" w:ascii="宋体" w:hAnsi="宋体"/>
          <w:iCs/>
          <w:color w:val="auto"/>
          <w:szCs w:val="21"/>
        </w:rPr>
        <w:t>绩效激励</w:t>
      </w:r>
    </w:p>
    <w:p>
      <w:pPr>
        <w:adjustRightInd w:val="0"/>
        <w:snapToGrid w:val="0"/>
        <w:spacing w:line="360" w:lineRule="auto"/>
        <w:ind w:firstLine="420" w:firstLineChars="200"/>
        <w:rPr>
          <w:rFonts w:ascii="宋体" w:hAnsi="宋体"/>
          <w:bCs/>
          <w:color w:val="auto"/>
          <w:szCs w:val="21"/>
          <w:u w:val="single"/>
        </w:rPr>
      </w:pPr>
      <w:r>
        <w:rPr>
          <w:rFonts w:hint="eastAsia" w:ascii="宋体" w:hAnsi="宋体"/>
          <w:bCs/>
          <w:color w:val="auto"/>
          <w:szCs w:val="21"/>
        </w:rPr>
        <w:t>8、合同履行期限：</w:t>
      </w:r>
      <w:r>
        <w:rPr>
          <w:rFonts w:hint="eastAsia" w:ascii="宋体" w:hAnsi="宋体"/>
          <w:bCs/>
          <w:color w:val="auto"/>
          <w:szCs w:val="21"/>
          <w:u w:val="single"/>
        </w:rPr>
        <w:t xml:space="preserve"> </w:t>
      </w:r>
      <w:r>
        <w:rPr>
          <w:rFonts w:hint="eastAsia" w:ascii="宋体" w:hAnsi="宋体"/>
          <w:bCs/>
          <w:u w:val="single"/>
        </w:rPr>
        <w:t>签订合同之日起一年</w:t>
      </w:r>
      <w:r>
        <w:rPr>
          <w:rFonts w:hint="eastAsia" w:ascii="宋体" w:hAnsi="宋体"/>
          <w:bCs/>
          <w:color w:val="auto"/>
          <w:szCs w:val="21"/>
          <w:u w:val="single"/>
        </w:rPr>
        <w:t xml:space="preserve">  </w:t>
      </w:r>
    </w:p>
    <w:p>
      <w:pPr>
        <w:pStyle w:val="26"/>
        <w:rPr>
          <w:color w:val="auto"/>
        </w:rPr>
      </w:pPr>
      <w:r>
        <w:rPr>
          <w:rFonts w:hint="eastAsia" w:ascii="宋体" w:hAnsi="宋体" w:eastAsia="宋体" w:cs="Times New Roman"/>
          <w:bCs/>
          <w:color w:val="auto"/>
          <w:kern w:val="2"/>
          <w:sz w:val="21"/>
          <w:szCs w:val="21"/>
          <w:lang w:val="en-US" w:eastAsia="zh-CN" w:bidi="ar-SA"/>
        </w:rPr>
        <w:t>9、</w:t>
      </w:r>
      <w:r>
        <w:rPr>
          <w:rFonts w:hint="eastAsia"/>
          <w:color w:val="auto"/>
        </w:rPr>
        <w:t>本项目分阶段要求投标人提供以下保证：</w:t>
      </w:r>
    </w:p>
    <w:p>
      <w:pPr>
        <w:pStyle w:val="26"/>
        <w:spacing w:line="360" w:lineRule="auto"/>
        <w:rPr>
          <w:rFonts w:hint="eastAsia" w:ascii="宋体" w:hAnsi="宋体" w:eastAsia="宋体"/>
          <w:iCs/>
          <w:color w:val="auto"/>
          <w:lang w:eastAsia="zh-CN"/>
        </w:rPr>
      </w:pPr>
      <w:r>
        <w:rPr>
          <w:rFonts w:hint="eastAsia" w:ascii="宋体" w:hAnsi="宋体"/>
          <w:iCs/>
          <w:color w:val="auto"/>
        </w:rPr>
        <w:sym w:font="Wingdings" w:char="00FE"/>
      </w:r>
      <w:r>
        <w:rPr>
          <w:rFonts w:hint="eastAsia" w:ascii="宋体" w:hAnsi="宋体"/>
          <w:color w:val="auto"/>
        </w:rPr>
        <w:t>投标保证金</w:t>
      </w:r>
      <w:r>
        <w:rPr>
          <w:rFonts w:hint="eastAsia" w:ascii="宋体" w:hAnsi="宋体"/>
          <w:color w:val="auto"/>
          <w:lang w:eastAsia="zh-CN"/>
        </w:rPr>
        <w:t>：</w:t>
      </w:r>
      <w:r>
        <w:rPr>
          <w:rFonts w:hint="eastAsia" w:ascii="宋体" w:hAnsi="宋体"/>
          <w:iCs/>
          <w:color w:val="auto"/>
        </w:rPr>
        <w:t>采购项目预算的</w:t>
      </w:r>
      <w:r>
        <w:rPr>
          <w:rFonts w:hint="eastAsia" w:ascii="宋体" w:hAnsi="宋体"/>
          <w:iCs/>
          <w:color w:val="auto"/>
          <w:u w:val="single"/>
          <w:lang w:val="en-US" w:eastAsia="zh-CN"/>
        </w:rPr>
        <w:t xml:space="preserve">  2  </w:t>
      </w:r>
      <w:r>
        <w:rPr>
          <w:rFonts w:hint="eastAsia" w:ascii="宋体" w:hAnsi="宋体"/>
          <w:iCs/>
          <w:color w:val="auto"/>
        </w:rPr>
        <w:t>%</w:t>
      </w:r>
      <w:r>
        <w:rPr>
          <w:rFonts w:hint="eastAsia" w:ascii="宋体" w:hAnsi="宋体"/>
          <w:color w:val="auto"/>
          <w:lang w:eastAsia="zh-CN"/>
        </w:rPr>
        <w:t>；</w:t>
      </w:r>
    </w:p>
    <w:p>
      <w:pPr>
        <w:pStyle w:val="26"/>
        <w:spacing w:line="360" w:lineRule="auto"/>
        <w:rPr>
          <w:rFonts w:hint="eastAsia" w:ascii="宋体" w:hAnsi="宋体" w:eastAsia="宋体"/>
          <w:iCs/>
          <w:color w:val="auto"/>
          <w:lang w:eastAsia="zh-CN"/>
        </w:rPr>
      </w:pPr>
      <w:r>
        <w:rPr>
          <w:rFonts w:hint="eastAsia" w:ascii="宋体" w:hAnsi="宋体"/>
          <w:iCs/>
          <w:color w:val="auto"/>
        </w:rPr>
        <w:sym w:font="Wingdings" w:char="00A8"/>
      </w:r>
      <w:r>
        <w:rPr>
          <w:rFonts w:hint="eastAsia" w:ascii="宋体" w:hAnsi="宋体"/>
          <w:color w:val="auto"/>
        </w:rPr>
        <w:t>履约保证金</w:t>
      </w:r>
      <w:r>
        <w:rPr>
          <w:rFonts w:hint="eastAsia" w:ascii="宋体" w:hAnsi="宋体"/>
          <w:color w:val="auto"/>
          <w:lang w:eastAsia="zh-CN"/>
        </w:rPr>
        <w:t>：</w:t>
      </w:r>
      <w:r>
        <w:rPr>
          <w:rFonts w:hint="eastAsia" w:ascii="宋体" w:hAnsi="宋体"/>
          <w:iCs/>
          <w:color w:val="auto"/>
        </w:rPr>
        <w:t>中标金额的</w:t>
      </w:r>
      <w:r>
        <w:rPr>
          <w:rFonts w:hint="eastAsia" w:ascii="宋体" w:hAnsi="宋体"/>
          <w:iCs/>
          <w:color w:val="auto"/>
          <w:u w:val="single"/>
          <w:lang w:val="en-US" w:eastAsia="zh-CN"/>
        </w:rPr>
        <w:t xml:space="preserve">    </w:t>
      </w:r>
      <w:r>
        <w:rPr>
          <w:rFonts w:hint="eastAsia" w:ascii="宋体" w:hAnsi="宋体"/>
          <w:iCs/>
          <w:color w:val="auto"/>
        </w:rPr>
        <w:t>%</w:t>
      </w:r>
      <w:r>
        <w:rPr>
          <w:rFonts w:hint="eastAsia" w:ascii="宋体" w:hAnsi="宋体"/>
          <w:color w:val="auto"/>
          <w:lang w:eastAsia="zh-CN"/>
        </w:rPr>
        <w:t>；</w:t>
      </w:r>
    </w:p>
    <w:p>
      <w:pPr>
        <w:pStyle w:val="26"/>
        <w:spacing w:line="360" w:lineRule="auto"/>
        <w:rPr>
          <w:rFonts w:hint="eastAsia" w:ascii="宋体" w:hAnsi="宋体" w:eastAsia="宋体"/>
          <w:iCs/>
          <w:color w:val="auto"/>
          <w:lang w:eastAsia="zh-CN"/>
        </w:rPr>
      </w:pPr>
      <w:r>
        <w:rPr>
          <w:rFonts w:hint="eastAsia" w:ascii="宋体" w:hAnsi="宋体"/>
          <w:iCs/>
          <w:color w:val="auto"/>
        </w:rPr>
        <w:sym w:font="Wingdings" w:char="00A8"/>
      </w:r>
      <w:r>
        <w:rPr>
          <w:rFonts w:hint="eastAsia" w:ascii="宋体" w:hAnsi="宋体"/>
          <w:iCs/>
          <w:color w:val="auto"/>
        </w:rPr>
        <w:t>预付款保证金</w:t>
      </w:r>
      <w:r>
        <w:rPr>
          <w:rFonts w:hint="eastAsia" w:ascii="宋体" w:hAnsi="宋体"/>
          <w:iCs/>
          <w:color w:val="auto"/>
          <w:lang w:eastAsia="zh-CN"/>
        </w:rPr>
        <w:t>：</w:t>
      </w:r>
      <w:r>
        <w:rPr>
          <w:rFonts w:hint="eastAsia" w:ascii="宋体" w:hAnsi="宋体"/>
          <w:iCs/>
          <w:color w:val="auto"/>
        </w:rPr>
        <w:t>预付款的</w:t>
      </w:r>
      <w:r>
        <w:rPr>
          <w:rFonts w:hint="eastAsia" w:ascii="宋体" w:hAnsi="宋体"/>
          <w:iCs/>
          <w:color w:val="auto"/>
          <w:u w:val="single"/>
          <w:lang w:val="en-US" w:eastAsia="zh-CN"/>
        </w:rPr>
        <w:t xml:space="preserve">    </w:t>
      </w:r>
      <w:r>
        <w:rPr>
          <w:rFonts w:hint="eastAsia" w:ascii="宋体" w:hAnsi="宋体"/>
          <w:iCs/>
          <w:color w:val="auto"/>
        </w:rPr>
        <w:t>%</w:t>
      </w:r>
      <w:r>
        <w:rPr>
          <w:rFonts w:hint="eastAsia" w:ascii="宋体" w:hAnsi="宋体"/>
          <w:iCs/>
          <w:color w:val="auto"/>
          <w:lang w:eastAsia="zh-CN"/>
        </w:rPr>
        <w:t>；</w:t>
      </w:r>
    </w:p>
    <w:p>
      <w:pPr>
        <w:pStyle w:val="26"/>
        <w:spacing w:line="360" w:lineRule="auto"/>
        <w:rPr>
          <w:rFonts w:hint="eastAsia" w:ascii="宋体" w:hAnsi="宋体" w:eastAsia="宋体"/>
          <w:iCs/>
          <w:color w:val="auto"/>
          <w:lang w:eastAsia="zh-CN"/>
        </w:rPr>
      </w:pPr>
      <w:r>
        <w:rPr>
          <w:rFonts w:hint="eastAsia" w:ascii="宋体" w:hAnsi="宋体"/>
          <w:iCs/>
          <w:color w:val="auto"/>
        </w:rPr>
        <w:sym w:font="Wingdings" w:char="00A8"/>
      </w:r>
      <w:r>
        <w:rPr>
          <w:rFonts w:hint="eastAsia" w:ascii="宋体" w:hAnsi="宋体"/>
          <w:iCs/>
          <w:color w:val="auto"/>
        </w:rPr>
        <w:t>质量保证金</w:t>
      </w:r>
      <w:r>
        <w:rPr>
          <w:rFonts w:hint="eastAsia" w:ascii="宋体" w:hAnsi="宋体"/>
          <w:iCs/>
          <w:color w:val="auto"/>
          <w:lang w:eastAsia="zh-CN"/>
        </w:rPr>
        <w:t>：</w:t>
      </w:r>
      <w:r>
        <w:rPr>
          <w:rFonts w:hint="eastAsia" w:ascii="宋体" w:hAnsi="宋体"/>
          <w:iCs/>
          <w:color w:val="auto"/>
        </w:rPr>
        <w:t>合同金额的</w:t>
      </w:r>
      <w:r>
        <w:rPr>
          <w:rFonts w:hint="eastAsia" w:ascii="宋体" w:hAnsi="宋体"/>
          <w:iCs/>
          <w:color w:val="auto"/>
          <w:u w:val="single"/>
          <w:lang w:val="en-US" w:eastAsia="zh-CN"/>
        </w:rPr>
        <w:t xml:space="preserve">    </w:t>
      </w:r>
      <w:r>
        <w:rPr>
          <w:rFonts w:hint="eastAsia" w:ascii="宋体" w:hAnsi="宋体"/>
          <w:iCs/>
          <w:color w:val="auto"/>
        </w:rPr>
        <w:t>%</w:t>
      </w:r>
      <w:r>
        <w:rPr>
          <w:rFonts w:hint="eastAsia" w:ascii="宋体" w:hAnsi="宋体"/>
          <w:iCs/>
          <w:color w:val="auto"/>
          <w:lang w:eastAsia="zh-CN"/>
        </w:rPr>
        <w:t>。</w:t>
      </w:r>
    </w:p>
    <w:p>
      <w:pPr>
        <w:adjustRightInd w:val="0"/>
        <w:snapToGrid w:val="0"/>
        <w:spacing w:line="360" w:lineRule="auto"/>
        <w:ind w:firstLine="422" w:firstLineChars="200"/>
        <w:rPr>
          <w:rFonts w:ascii="宋体" w:hAnsi="宋体"/>
          <w:b/>
          <w:color w:val="auto"/>
          <w:szCs w:val="21"/>
        </w:rPr>
      </w:pPr>
      <w:r>
        <w:rPr>
          <w:rFonts w:hint="eastAsia" w:ascii="宋体" w:hAnsi="宋体"/>
          <w:b/>
          <w:color w:val="auto"/>
          <w:szCs w:val="21"/>
        </w:rPr>
        <w:t>二、采购人的采购需求</w:t>
      </w:r>
    </w:p>
    <w:tbl>
      <w:tblPr>
        <w:tblStyle w:val="21"/>
        <w:tblW w:w="927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53"/>
        <w:gridCol w:w="928"/>
        <w:gridCol w:w="1634"/>
        <w:gridCol w:w="1566"/>
        <w:gridCol w:w="767"/>
        <w:gridCol w:w="1150"/>
        <w:gridCol w:w="1200"/>
        <w:gridCol w:w="750"/>
        <w:gridCol w:w="72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trPr>
        <w:tc>
          <w:tcPr>
            <w:tcW w:w="553" w:type="dxa"/>
            <w:noWrap w:val="0"/>
            <w:vAlign w:val="center"/>
          </w:tcPr>
          <w:p>
            <w:pPr>
              <w:adjustRightInd w:val="0"/>
              <w:snapToGrid w:val="0"/>
              <w:jc w:val="center"/>
              <w:rPr>
                <w:color w:val="auto"/>
                <w:szCs w:val="21"/>
              </w:rPr>
            </w:pPr>
            <w:r>
              <w:rPr>
                <w:rFonts w:hint="eastAsia"/>
                <w:color w:val="auto"/>
                <w:szCs w:val="21"/>
              </w:rPr>
              <w:t xml:space="preserve">包号 </w:t>
            </w:r>
          </w:p>
        </w:tc>
        <w:tc>
          <w:tcPr>
            <w:tcW w:w="928" w:type="dxa"/>
            <w:noWrap w:val="0"/>
            <w:vAlign w:val="center"/>
          </w:tcPr>
          <w:p>
            <w:pPr>
              <w:adjustRightInd w:val="0"/>
              <w:snapToGrid w:val="0"/>
              <w:jc w:val="center"/>
              <w:rPr>
                <w:color w:val="auto"/>
                <w:szCs w:val="21"/>
              </w:rPr>
            </w:pPr>
            <w:r>
              <w:rPr>
                <w:rFonts w:hint="eastAsia"/>
                <w:color w:val="auto"/>
                <w:szCs w:val="21"/>
              </w:rPr>
              <w:t>包名称</w:t>
            </w:r>
          </w:p>
        </w:tc>
        <w:tc>
          <w:tcPr>
            <w:tcW w:w="1634" w:type="dxa"/>
            <w:noWrap w:val="0"/>
            <w:vAlign w:val="center"/>
          </w:tcPr>
          <w:p>
            <w:pPr>
              <w:adjustRightInd w:val="0"/>
              <w:snapToGrid w:val="0"/>
              <w:jc w:val="center"/>
              <w:rPr>
                <w:color w:val="auto"/>
                <w:szCs w:val="21"/>
              </w:rPr>
            </w:pPr>
            <w:r>
              <w:rPr>
                <w:rFonts w:hint="eastAsia"/>
                <w:color w:val="auto"/>
                <w:szCs w:val="21"/>
              </w:rPr>
              <w:t>标的名称</w:t>
            </w:r>
          </w:p>
        </w:tc>
        <w:tc>
          <w:tcPr>
            <w:tcW w:w="1566" w:type="dxa"/>
            <w:tcBorders>
              <w:left w:val="single" w:color="auto" w:sz="4" w:space="0"/>
            </w:tcBorders>
            <w:noWrap w:val="0"/>
            <w:vAlign w:val="center"/>
          </w:tcPr>
          <w:p>
            <w:pPr>
              <w:adjustRightInd w:val="0"/>
              <w:snapToGrid w:val="0"/>
              <w:jc w:val="center"/>
              <w:rPr>
                <w:color w:val="auto"/>
                <w:szCs w:val="21"/>
              </w:rPr>
            </w:pPr>
            <w:r>
              <w:rPr>
                <w:rFonts w:hint="eastAsia"/>
                <w:color w:val="auto"/>
                <w:szCs w:val="21"/>
              </w:rPr>
              <w:t>简要技术要求</w:t>
            </w:r>
          </w:p>
        </w:tc>
        <w:tc>
          <w:tcPr>
            <w:tcW w:w="767" w:type="dxa"/>
            <w:tcBorders>
              <w:left w:val="single" w:color="auto" w:sz="4" w:space="0"/>
            </w:tcBorders>
            <w:noWrap w:val="0"/>
            <w:vAlign w:val="center"/>
          </w:tcPr>
          <w:p>
            <w:pPr>
              <w:adjustRightInd w:val="0"/>
              <w:snapToGrid w:val="0"/>
              <w:jc w:val="center"/>
              <w:rPr>
                <w:rFonts w:ascii="宋体" w:hAnsi="宋体" w:cs="宋体"/>
                <w:color w:val="auto"/>
                <w:kern w:val="0"/>
                <w:szCs w:val="21"/>
              </w:rPr>
            </w:pPr>
            <w:r>
              <w:rPr>
                <w:rFonts w:hint="eastAsia"/>
                <w:color w:val="auto"/>
                <w:szCs w:val="21"/>
              </w:rPr>
              <w:t>数量</w:t>
            </w:r>
          </w:p>
        </w:tc>
        <w:tc>
          <w:tcPr>
            <w:tcW w:w="1150" w:type="dxa"/>
            <w:noWrap w:val="0"/>
            <w:vAlign w:val="center"/>
          </w:tcPr>
          <w:p>
            <w:pPr>
              <w:adjustRightInd w:val="0"/>
              <w:snapToGrid w:val="0"/>
              <w:jc w:val="center"/>
              <w:rPr>
                <w:color w:val="auto"/>
                <w:szCs w:val="21"/>
              </w:rPr>
            </w:pPr>
            <w:r>
              <w:rPr>
                <w:rFonts w:hint="eastAsia"/>
                <w:color w:val="auto"/>
                <w:szCs w:val="21"/>
              </w:rPr>
              <w:t>标的预算</w:t>
            </w:r>
          </w:p>
        </w:tc>
        <w:tc>
          <w:tcPr>
            <w:tcW w:w="1200" w:type="dxa"/>
            <w:noWrap w:val="0"/>
            <w:vAlign w:val="center"/>
          </w:tcPr>
          <w:p>
            <w:pPr>
              <w:adjustRightInd w:val="0"/>
              <w:snapToGrid w:val="0"/>
              <w:jc w:val="center"/>
              <w:rPr>
                <w:color w:val="auto"/>
                <w:szCs w:val="21"/>
              </w:rPr>
            </w:pPr>
            <w:r>
              <w:rPr>
                <w:rFonts w:hint="eastAsia"/>
                <w:color w:val="auto"/>
                <w:szCs w:val="21"/>
              </w:rPr>
              <w:t>最高限价</w:t>
            </w:r>
          </w:p>
        </w:tc>
        <w:tc>
          <w:tcPr>
            <w:tcW w:w="750" w:type="dxa"/>
            <w:noWrap w:val="0"/>
            <w:vAlign w:val="center"/>
          </w:tcPr>
          <w:p>
            <w:pPr>
              <w:adjustRightInd w:val="0"/>
              <w:snapToGrid w:val="0"/>
              <w:jc w:val="center"/>
              <w:rPr>
                <w:color w:val="auto"/>
                <w:szCs w:val="21"/>
              </w:rPr>
            </w:pPr>
            <w:r>
              <w:rPr>
                <w:rFonts w:hint="eastAsia"/>
                <w:color w:val="auto"/>
                <w:szCs w:val="21"/>
              </w:rPr>
              <w:t>节能产品</w:t>
            </w:r>
          </w:p>
        </w:tc>
        <w:tc>
          <w:tcPr>
            <w:tcW w:w="729" w:type="dxa"/>
            <w:noWrap w:val="0"/>
            <w:vAlign w:val="center"/>
          </w:tcPr>
          <w:p>
            <w:pPr>
              <w:adjustRightInd w:val="0"/>
              <w:snapToGrid w:val="0"/>
              <w:jc w:val="center"/>
              <w:rPr>
                <w:color w:val="auto"/>
                <w:szCs w:val="21"/>
              </w:rPr>
            </w:pPr>
            <w:r>
              <w:rPr>
                <w:rFonts w:hint="eastAsia"/>
                <w:color w:val="auto"/>
                <w:szCs w:val="21"/>
              </w:rPr>
              <w:t>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39" w:hRule="atLeast"/>
        </w:trPr>
        <w:tc>
          <w:tcPr>
            <w:tcW w:w="553" w:type="dxa"/>
            <w:noWrap w:val="0"/>
            <w:vAlign w:val="center"/>
          </w:tcPr>
          <w:p>
            <w:pPr>
              <w:spacing w:before="156" w:beforeLines="50" w:line="240" w:lineRule="exact"/>
              <w:jc w:val="center"/>
              <w:rPr>
                <w:color w:val="auto"/>
                <w:szCs w:val="21"/>
              </w:rPr>
            </w:pPr>
            <w:r>
              <w:rPr>
                <w:rFonts w:hint="eastAsia" w:ascii="宋体" w:hAnsi="宋体"/>
                <w:iCs/>
              </w:rPr>
              <w:t>1</w:t>
            </w:r>
          </w:p>
        </w:tc>
        <w:tc>
          <w:tcPr>
            <w:tcW w:w="928" w:type="dxa"/>
            <w:noWrap w:val="0"/>
            <w:vAlign w:val="center"/>
          </w:tcPr>
          <w:p>
            <w:pPr>
              <w:jc w:val="center"/>
              <w:rPr>
                <w:color w:val="auto"/>
                <w:szCs w:val="21"/>
              </w:rPr>
            </w:pPr>
            <w:r>
              <w:rPr>
                <w:rFonts w:hint="eastAsia" w:ascii="宋体" w:hAnsi="宋体" w:cs="宋体"/>
                <w:szCs w:val="21"/>
                <w:u w:val="none"/>
                <w:lang w:eastAsia="zh-CN"/>
              </w:rPr>
              <w:t>火灾调查装备</w:t>
            </w:r>
          </w:p>
        </w:tc>
        <w:tc>
          <w:tcPr>
            <w:tcW w:w="1634" w:type="dxa"/>
            <w:noWrap w:val="0"/>
            <w:vAlign w:val="center"/>
          </w:tcPr>
          <w:p>
            <w:pPr>
              <w:jc w:val="center"/>
              <w:rPr>
                <w:color w:val="auto"/>
                <w:szCs w:val="21"/>
              </w:rPr>
            </w:pPr>
            <w:r>
              <w:rPr>
                <w:rFonts w:hint="eastAsia" w:ascii="宋体" w:hAnsi="宋体" w:cs="宋体"/>
                <w:szCs w:val="21"/>
                <w:u w:val="none"/>
                <w:lang w:eastAsia="zh-CN"/>
              </w:rPr>
              <w:t>火灾调查装备</w:t>
            </w:r>
          </w:p>
        </w:tc>
        <w:tc>
          <w:tcPr>
            <w:tcW w:w="1566" w:type="dxa"/>
            <w:tcBorders>
              <w:left w:val="single" w:color="auto" w:sz="4" w:space="0"/>
            </w:tcBorders>
            <w:noWrap w:val="0"/>
            <w:vAlign w:val="center"/>
          </w:tcPr>
          <w:p>
            <w:pPr>
              <w:spacing w:before="156" w:beforeLines="50" w:line="240" w:lineRule="exact"/>
              <w:jc w:val="center"/>
              <w:rPr>
                <w:color w:val="auto"/>
                <w:szCs w:val="21"/>
              </w:rPr>
            </w:pPr>
            <w:r>
              <w:rPr>
                <w:rFonts w:hint="eastAsia" w:ascii="宋体" w:hAnsi="宋体" w:cs="宋体"/>
                <w:bCs/>
                <w:szCs w:val="21"/>
              </w:rPr>
              <w:t>详见采购需求</w:t>
            </w:r>
          </w:p>
        </w:tc>
        <w:tc>
          <w:tcPr>
            <w:tcW w:w="767" w:type="dxa"/>
            <w:tcBorders>
              <w:left w:val="single" w:color="auto" w:sz="4" w:space="0"/>
            </w:tcBorders>
            <w:noWrap w:val="0"/>
            <w:vAlign w:val="center"/>
          </w:tcPr>
          <w:p>
            <w:pPr>
              <w:jc w:val="center"/>
              <w:rPr>
                <w:rFonts w:hint="default" w:eastAsia="宋体"/>
                <w:color w:val="auto"/>
                <w:szCs w:val="21"/>
                <w:lang w:val="en-US" w:eastAsia="zh-CN"/>
              </w:rPr>
            </w:pPr>
            <w:r>
              <w:rPr>
                <w:rFonts w:hint="eastAsia"/>
                <w:color w:val="auto"/>
                <w:szCs w:val="21"/>
                <w:lang w:val="en-US" w:eastAsia="zh-CN"/>
              </w:rPr>
              <w:t>1批</w:t>
            </w:r>
          </w:p>
        </w:tc>
        <w:tc>
          <w:tcPr>
            <w:tcW w:w="1150" w:type="dxa"/>
            <w:noWrap w:val="0"/>
            <w:vAlign w:val="center"/>
          </w:tcPr>
          <w:p>
            <w:pPr>
              <w:jc w:val="center"/>
              <w:rPr>
                <w:color w:val="auto"/>
                <w:szCs w:val="21"/>
              </w:rPr>
            </w:pPr>
            <w:r>
              <w:rPr>
                <w:rFonts w:hint="eastAsia"/>
                <w:lang w:val="en-US" w:eastAsia="zh-CN"/>
              </w:rPr>
              <w:t>42240</w:t>
            </w:r>
            <w:r>
              <w:t>0</w:t>
            </w:r>
          </w:p>
        </w:tc>
        <w:tc>
          <w:tcPr>
            <w:tcW w:w="1200" w:type="dxa"/>
            <w:noWrap w:val="0"/>
            <w:vAlign w:val="center"/>
          </w:tcPr>
          <w:p>
            <w:pPr>
              <w:jc w:val="center"/>
              <w:rPr>
                <w:color w:val="auto"/>
                <w:szCs w:val="21"/>
              </w:rPr>
            </w:pPr>
            <w:r>
              <w:rPr>
                <w:rFonts w:hint="eastAsia"/>
                <w:lang w:val="en-US" w:eastAsia="zh-CN"/>
              </w:rPr>
              <w:t>42240</w:t>
            </w:r>
            <w:r>
              <w:t>0</w:t>
            </w:r>
          </w:p>
        </w:tc>
        <w:tc>
          <w:tcPr>
            <w:tcW w:w="750" w:type="dxa"/>
            <w:noWrap w:val="0"/>
            <w:vAlign w:val="center"/>
          </w:tcPr>
          <w:p>
            <w:pPr>
              <w:adjustRightInd w:val="0"/>
              <w:snapToGrid w:val="0"/>
              <w:spacing w:before="156" w:beforeLines="50" w:line="360" w:lineRule="auto"/>
              <w:jc w:val="center"/>
              <w:rPr>
                <w:color w:val="auto"/>
                <w:szCs w:val="21"/>
              </w:rPr>
            </w:pPr>
            <w:r>
              <w:rPr>
                <w:rFonts w:hint="eastAsia" w:ascii="宋体" w:hAnsi="宋体"/>
                <w:iCs/>
                <w:color w:val="auto"/>
                <w:szCs w:val="21"/>
              </w:rPr>
              <w:sym w:font="Wingdings" w:char="00A8"/>
            </w:r>
          </w:p>
        </w:tc>
        <w:tc>
          <w:tcPr>
            <w:tcW w:w="729" w:type="dxa"/>
            <w:noWrap w:val="0"/>
            <w:vAlign w:val="center"/>
          </w:tcPr>
          <w:p>
            <w:pPr>
              <w:adjustRightInd w:val="0"/>
              <w:snapToGrid w:val="0"/>
              <w:spacing w:before="156" w:beforeLines="50" w:line="360" w:lineRule="auto"/>
              <w:jc w:val="center"/>
              <w:rPr>
                <w:color w:val="auto"/>
                <w:szCs w:val="21"/>
              </w:rPr>
            </w:pPr>
            <w:r>
              <w:rPr>
                <w:rFonts w:hint="eastAsia" w:ascii="宋体" w:hAnsi="宋体"/>
                <w:iCs/>
                <w:color w:val="auto"/>
                <w:szCs w:val="21"/>
              </w:rPr>
              <w:sym w:font="Wingdings" w:char="00A8"/>
            </w:r>
          </w:p>
        </w:tc>
      </w:tr>
    </w:tbl>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说明：</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lang w:val="en-US" w:eastAsia="zh-CN"/>
        </w:rPr>
        <w:t>1.</w:t>
      </w:r>
      <w:r>
        <w:rPr>
          <w:rFonts w:hint="eastAsia" w:ascii="宋体" w:hAnsi="宋体"/>
          <w:color w:val="auto"/>
          <w:szCs w:val="21"/>
        </w:rPr>
        <w:t>节能产品实行</w:t>
      </w:r>
      <w:r>
        <w:rPr>
          <w:rFonts w:hint="eastAsia" w:ascii="宋体" w:hAnsi="宋体"/>
          <w:iCs/>
          <w:color w:val="auto"/>
          <w:szCs w:val="21"/>
        </w:rPr>
        <w:t>强制采购的</w:t>
      </w:r>
      <w:r>
        <w:rPr>
          <w:rFonts w:hint="eastAsia" w:ascii="宋体" w:hAnsi="宋体"/>
          <w:color w:val="auto"/>
          <w:szCs w:val="21"/>
        </w:rPr>
        <w:t>，需提供国家认证机构出具的、处于有效期内的节能产品证书。</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同意购买进口产品的，不限制满足采购需求的国内产品参与投标。</w:t>
      </w:r>
    </w:p>
    <w:p>
      <w:pPr>
        <w:adjustRightInd w:val="0"/>
        <w:snapToGrid w:val="0"/>
        <w:spacing w:line="360" w:lineRule="auto"/>
        <w:ind w:firstLine="422" w:firstLineChars="200"/>
        <w:rPr>
          <w:rFonts w:ascii="宋体" w:hAnsi="宋体"/>
          <w:b/>
          <w:color w:val="auto"/>
          <w:szCs w:val="21"/>
        </w:rPr>
      </w:pPr>
      <w:r>
        <w:rPr>
          <w:rFonts w:hint="eastAsia" w:ascii="宋体" w:hAnsi="宋体"/>
          <w:b/>
          <w:color w:val="auto"/>
          <w:szCs w:val="21"/>
        </w:rPr>
        <w:t>三、采购项目需落实的政府采购政策</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优先采购：</w:t>
      </w:r>
      <w:r>
        <w:rPr>
          <w:rFonts w:hint="eastAsia" w:ascii="宋体" w:hAnsi="宋体"/>
          <w:color w:val="auto"/>
          <w:szCs w:val="21"/>
        </w:rPr>
        <w:t>节能产品、</w:t>
      </w:r>
      <w:r>
        <w:rPr>
          <w:rFonts w:hint="eastAsia" w:ascii="宋体" w:hAnsi="宋体"/>
          <w:color w:val="auto"/>
          <w:szCs w:val="21"/>
          <w:lang w:val="en-US" w:eastAsia="zh-CN"/>
        </w:rPr>
        <w:t>环境标志产品</w:t>
      </w:r>
      <w:r>
        <w:rPr>
          <w:rFonts w:hint="eastAsia" w:ascii="宋体" w:hAnsi="宋体"/>
          <w:color w:val="auto"/>
          <w:szCs w:val="21"/>
        </w:rPr>
        <w:t>享受加分或价格折扣。</w:t>
      </w:r>
    </w:p>
    <w:p>
      <w:pPr>
        <w:adjustRightInd w:val="0"/>
        <w:snapToGrid w:val="0"/>
        <w:spacing w:line="360" w:lineRule="auto"/>
        <w:ind w:firstLine="420" w:firstLineChars="200"/>
        <w:rPr>
          <w:rFonts w:hint="eastAsia" w:ascii="宋体" w:hAnsi="宋体" w:eastAsia="宋体"/>
          <w:color w:val="auto"/>
          <w:szCs w:val="21"/>
          <w:lang w:val="en-US" w:eastAsia="zh-CN"/>
        </w:rPr>
      </w:pPr>
      <w:r>
        <w:rPr>
          <w:rFonts w:hint="eastAsia" w:ascii="宋体" w:hAnsi="宋体"/>
          <w:color w:val="auto"/>
          <w:szCs w:val="21"/>
        </w:rPr>
        <w:t>2、</w:t>
      </w:r>
      <w:r>
        <w:rPr>
          <w:rFonts w:hint="eastAsia" w:ascii="宋体" w:hAnsi="宋体"/>
          <w:color w:val="auto"/>
          <w:szCs w:val="21"/>
          <w:lang w:val="en-US" w:eastAsia="zh-CN"/>
        </w:rPr>
        <w:t>支持中小企业：中小企业享受预留采购份额或价格折扣。</w:t>
      </w:r>
    </w:p>
    <w:p>
      <w:pPr>
        <w:adjustRightInd w:val="0"/>
        <w:snapToGrid w:val="0"/>
        <w:spacing w:line="360" w:lineRule="auto"/>
        <w:ind w:firstLine="422" w:firstLineChars="200"/>
        <w:rPr>
          <w:rFonts w:ascii="宋体" w:hAnsi="宋体"/>
          <w:color w:val="auto"/>
          <w:szCs w:val="21"/>
        </w:rPr>
      </w:pPr>
      <w:r>
        <w:rPr>
          <w:rFonts w:hint="eastAsia" w:ascii="宋体" w:hAnsi="宋体"/>
          <w:b/>
          <w:color w:val="auto"/>
          <w:szCs w:val="21"/>
        </w:rPr>
        <w:t>四、投标人的资格要求</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1、投标人的基本资格条件：投标人必须是在中华人民共和国境内注册登记的法人、其他组织或者自然人，且应当符合《政府采购法》第二十二条第一款的规定。</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2、落实政府采购政策需满足的资格要求：</w:t>
      </w:r>
    </w:p>
    <w:p>
      <w:pPr>
        <w:adjustRightInd w:val="0"/>
        <w:snapToGrid w:val="0"/>
        <w:spacing w:line="360" w:lineRule="auto"/>
        <w:ind w:firstLine="630" w:firstLineChars="300"/>
        <w:rPr>
          <w:rFonts w:ascii="宋体" w:hAnsi="宋体"/>
          <w:color w:val="auto"/>
          <w:szCs w:val="21"/>
        </w:rPr>
      </w:pPr>
      <w:r>
        <w:rPr>
          <w:rFonts w:hint="eastAsia" w:ascii="宋体" w:hAnsi="宋体"/>
          <w:iCs/>
          <w:color w:val="auto"/>
          <w:szCs w:val="21"/>
        </w:rPr>
        <w:sym w:font="Wingdings" w:char="00A8"/>
      </w:r>
      <w:r>
        <w:rPr>
          <w:rFonts w:hint="eastAsia" w:ascii="宋体" w:hAnsi="宋体"/>
          <w:iCs/>
          <w:color w:val="auto"/>
          <w:szCs w:val="21"/>
          <w:lang w:val="en-US" w:eastAsia="zh-CN"/>
        </w:rPr>
        <w:t>专门面向</w:t>
      </w:r>
      <w:r>
        <w:rPr>
          <w:rFonts w:hint="eastAsia" w:ascii="宋体" w:hAnsi="宋体"/>
          <w:bCs/>
          <w:color w:val="auto"/>
          <w:szCs w:val="21"/>
          <w:lang w:eastAsia="zh-CN"/>
        </w:rPr>
        <w:t>：</w:t>
      </w:r>
      <w:r>
        <w:rPr>
          <w:rFonts w:hint="eastAsia" w:ascii="宋体" w:hAnsi="宋体"/>
          <w:iCs/>
          <w:color w:val="auto"/>
          <w:szCs w:val="21"/>
        </w:rPr>
        <w:sym w:font="Wingdings" w:char="00A8"/>
      </w:r>
      <w:r>
        <w:rPr>
          <w:rFonts w:hint="eastAsia" w:ascii="宋体" w:hAnsi="宋体"/>
          <w:iCs/>
          <w:color w:val="auto"/>
          <w:szCs w:val="21"/>
        </w:rPr>
        <w:t>中</w:t>
      </w:r>
      <w:r>
        <w:rPr>
          <w:rFonts w:hint="eastAsia" w:ascii="宋体" w:hAnsi="宋体"/>
          <w:iCs/>
          <w:color w:val="auto"/>
          <w:szCs w:val="21"/>
          <w:lang w:val="en-US" w:eastAsia="zh-CN"/>
        </w:rPr>
        <w:t>小</w:t>
      </w:r>
      <w:r>
        <w:rPr>
          <w:rFonts w:hint="eastAsia" w:ascii="宋体" w:hAnsi="宋体"/>
          <w:iCs/>
          <w:color w:val="auto"/>
          <w:szCs w:val="21"/>
        </w:rPr>
        <w:t xml:space="preserve">企业  </w:t>
      </w:r>
      <w:r>
        <w:rPr>
          <w:rFonts w:hint="eastAsia" w:ascii="宋体" w:hAnsi="宋体"/>
          <w:iCs/>
          <w:color w:val="auto"/>
          <w:szCs w:val="21"/>
        </w:rPr>
        <w:sym w:font="Wingdings" w:char="00A8"/>
      </w:r>
      <w:r>
        <w:rPr>
          <w:rFonts w:hint="eastAsia" w:ascii="宋体" w:hAnsi="宋体"/>
          <w:iCs/>
          <w:color w:val="auto"/>
          <w:szCs w:val="21"/>
        </w:rPr>
        <w:t xml:space="preserve">小微企业 </w:t>
      </w:r>
      <w:r>
        <w:rPr>
          <w:rFonts w:hint="eastAsia" w:ascii="宋体" w:hAnsi="宋体"/>
          <w:iCs/>
          <w:color w:val="auto"/>
          <w:szCs w:val="21"/>
        </w:rPr>
        <w:sym w:font="Wingdings" w:char="00A8"/>
      </w:r>
      <w:r>
        <w:rPr>
          <w:rFonts w:hint="eastAsia" w:ascii="宋体" w:hAnsi="宋体"/>
          <w:iCs/>
          <w:color w:val="auto"/>
          <w:szCs w:val="21"/>
        </w:rPr>
        <w:t xml:space="preserve">监狱企业 </w:t>
      </w:r>
      <w:r>
        <w:rPr>
          <w:rFonts w:hint="eastAsia" w:ascii="宋体" w:hAnsi="宋体"/>
          <w:iCs/>
          <w:color w:val="auto"/>
          <w:szCs w:val="21"/>
        </w:rPr>
        <w:sym w:font="Wingdings" w:char="00A8"/>
      </w:r>
      <w:r>
        <w:rPr>
          <w:rFonts w:hint="eastAsia" w:ascii="宋体" w:hAnsi="宋体"/>
          <w:iCs/>
          <w:color w:val="auto"/>
          <w:szCs w:val="21"/>
        </w:rPr>
        <w:t>福利性单位。</w:t>
      </w:r>
    </w:p>
    <w:p>
      <w:pPr>
        <w:adjustRightInd w:val="0"/>
        <w:snapToGrid w:val="0"/>
        <w:spacing w:line="360" w:lineRule="auto"/>
        <w:ind w:firstLine="630" w:firstLineChars="300"/>
        <w:rPr>
          <w:rFonts w:ascii="宋体" w:hAnsi="宋体"/>
          <w:bCs/>
          <w:color w:val="auto"/>
          <w:szCs w:val="21"/>
        </w:rPr>
      </w:pPr>
      <w:r>
        <w:rPr>
          <w:rFonts w:hint="eastAsia" w:ascii="宋体" w:hAnsi="宋体"/>
          <w:iCs/>
          <w:color w:val="auto"/>
          <w:szCs w:val="21"/>
        </w:rPr>
        <w:sym w:font="Wingdings" w:char="00A8"/>
      </w:r>
      <w:r>
        <w:rPr>
          <w:rFonts w:hint="eastAsia" w:ascii="宋体" w:hAnsi="宋体"/>
          <w:iCs/>
          <w:color w:val="auto"/>
          <w:szCs w:val="21"/>
        </w:rPr>
        <w:t>强制</w:t>
      </w:r>
      <w:r>
        <w:rPr>
          <w:rFonts w:hint="eastAsia" w:ascii="宋体" w:hAnsi="宋体"/>
          <w:bCs/>
          <w:color w:val="auto"/>
          <w:szCs w:val="21"/>
        </w:rPr>
        <w:t>分包</w:t>
      </w:r>
      <w:r>
        <w:rPr>
          <w:rFonts w:hint="eastAsia" w:ascii="宋体" w:hAnsi="宋体"/>
          <w:bCs/>
          <w:color w:val="auto"/>
          <w:szCs w:val="21"/>
          <w:lang w:eastAsia="zh-CN"/>
        </w:rPr>
        <w:t>：</w:t>
      </w:r>
      <w:r>
        <w:rPr>
          <w:rFonts w:hint="eastAsia" w:ascii="宋体" w:hAnsi="宋体"/>
          <w:bCs/>
          <w:color w:val="auto"/>
          <w:szCs w:val="21"/>
        </w:rPr>
        <w:t>大型企业应将采购份额</w:t>
      </w:r>
      <w:r>
        <w:rPr>
          <w:rFonts w:hint="eastAsia" w:ascii="宋体" w:hAnsi="宋体"/>
          <w:bCs/>
          <w:color w:val="auto"/>
          <w:szCs w:val="21"/>
          <w:lang w:val="en-US" w:eastAsia="zh-CN"/>
        </w:rPr>
        <w:t>的</w:t>
      </w:r>
      <w:r>
        <w:rPr>
          <w:rFonts w:hint="eastAsia" w:ascii="宋体" w:hAnsi="宋体"/>
          <w:bCs/>
          <w:color w:val="auto"/>
          <w:szCs w:val="21"/>
          <w:u w:val="single"/>
          <w:lang w:val="en-US" w:eastAsia="zh-CN"/>
        </w:rPr>
        <w:t xml:space="preserve">    /     </w:t>
      </w:r>
      <w:r>
        <w:rPr>
          <w:rFonts w:hint="eastAsia" w:ascii="宋体" w:hAnsi="宋体"/>
          <w:bCs/>
          <w:color w:val="auto"/>
          <w:szCs w:val="21"/>
        </w:rPr>
        <w:t>%分包给中小企业。</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3、采购项目的特定资格条件：</w:t>
      </w:r>
      <w:r>
        <w:rPr>
          <w:rFonts w:hint="eastAsia" w:ascii="宋体" w:hAnsi="宋体"/>
          <w:color w:val="auto"/>
          <w:szCs w:val="21"/>
          <w:u w:val="single"/>
        </w:rPr>
        <w:t xml:space="preserve">    </w:t>
      </w:r>
      <w:r>
        <w:rPr>
          <w:rFonts w:hint="eastAsia" w:ascii="宋体" w:hAnsi="宋体"/>
          <w:color w:val="auto"/>
          <w:szCs w:val="21"/>
          <w:u w:val="single"/>
          <w:lang w:val="en-US" w:eastAsia="zh-CN"/>
        </w:rPr>
        <w:t>无</w:t>
      </w:r>
      <w:r>
        <w:rPr>
          <w:rFonts w:hint="eastAsia" w:ascii="宋体" w:hAnsi="宋体"/>
          <w:color w:val="auto"/>
          <w:szCs w:val="21"/>
          <w:u w:val="single"/>
        </w:rPr>
        <w:t xml:space="preserve">      </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4、单位负责人为同一人或者存在直接控股、管理关系的不同投标人，不得参加同一合同项下的政府采购活动。</w:t>
      </w:r>
    </w:p>
    <w:p>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rPr>
        <w:t>5、为本采购项目提供整体设计、规范编制或者项目管理、监理、检测等服务的，不得再参加此</w:t>
      </w:r>
      <w:r>
        <w:rPr>
          <w:rFonts w:hint="eastAsia" w:ascii="宋体" w:hAnsi="宋体"/>
          <w:color w:val="auto"/>
          <w:szCs w:val="21"/>
          <w:highlight w:val="none"/>
        </w:rPr>
        <w:t>项目的其他采购活动。</w:t>
      </w:r>
    </w:p>
    <w:p>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6、列入失信被执行人、重大税收违法失信主体名单</w:t>
      </w:r>
      <w:r>
        <w:rPr>
          <w:rFonts w:hint="eastAsia" w:ascii="宋体" w:hAnsi="宋体"/>
          <w:color w:val="auto"/>
          <w:szCs w:val="21"/>
          <w:highlight w:val="none"/>
          <w:lang w:eastAsia="zh-CN"/>
        </w:rPr>
        <w:t>、</w:t>
      </w:r>
      <w:r>
        <w:rPr>
          <w:rFonts w:hint="eastAsia" w:ascii="宋体" w:hAnsi="宋体"/>
          <w:color w:val="auto"/>
          <w:szCs w:val="21"/>
          <w:highlight w:val="none"/>
        </w:rPr>
        <w:t>政府采购严重违法失信行为记录名单的，拒绝其参与政府采购活动。</w:t>
      </w:r>
    </w:p>
    <w:p>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7、联合体投标。本次招标</w:t>
      </w:r>
      <w:r>
        <w:rPr>
          <w:rFonts w:hint="eastAsia" w:ascii="宋体" w:hAnsi="宋体"/>
          <w:color w:val="auto"/>
          <w:szCs w:val="21"/>
          <w:highlight w:val="none"/>
          <w:u w:val="single"/>
        </w:rPr>
        <w:t xml:space="preserve"> 不接受    </w:t>
      </w:r>
      <w:r>
        <w:rPr>
          <w:rFonts w:hint="eastAsia" w:ascii="宋体" w:hAnsi="宋体"/>
          <w:color w:val="auto"/>
          <w:szCs w:val="21"/>
          <w:highlight w:val="none"/>
        </w:rPr>
        <w:t>(接受或不接受)联合体投标。接受联合体投标的，联合体应当具备下列条件：</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adjustRightInd w:val="0"/>
        <w:snapToGrid w:val="0"/>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五、获取招标文件的时间、期限、地点及方式</w:t>
      </w:r>
    </w:p>
    <w:p>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1、请在湘潭市公共资源交易中心网站http://ggzy.xiangtan.gov.cn/进行网上下载/获取招标文件。通过网络下载的招标文件与书面招标文件具有同等法律效力。各投标人须在投标截止时间时间前按照相关要求完成本项目网上报名。</w:t>
      </w:r>
    </w:p>
    <w:p>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2、所有投标申请人须在在湘潭市公共资源交易中心网站(http://ggzy.xiangtan.gov.cn)完成企业注册，同时办理湖南数字认证CA证书。湖南CA数字证书办理详见此网址：http://ggzy.xiangtan.gov.cn/zlxz/4018.jhtml。</w:t>
      </w:r>
    </w:p>
    <w:p>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3、投标申请人完成企业注册后直接用CA数字证书登录湘潭市公共资源交易电子化平台（ggzy.xiangtan.gov.cn），按照湘潭市公共资源交易电子化平台相关要求完成本项目的网上报名。</w:t>
      </w:r>
    </w:p>
    <w:p>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4、投标人应自行在湘潭市公共资源交易电子化平台（http://ggzy.xiangtan.gov.cn/）下载/获取招标文件、招标文件的澄清答疑和补充通知（如有）等相关招标资料,恕不另行通知。投标人应及时关注网上相关招标信息，如有遗漏（包括但不限于文件未下载或下载不完整）采购人及代理机构概不负责，所造成的投标失败或损失由投标人自行负责。</w:t>
      </w:r>
    </w:p>
    <w:p>
      <w:pPr>
        <w:adjustRightInd w:val="0"/>
        <w:snapToGrid w:val="0"/>
        <w:spacing w:line="360" w:lineRule="auto"/>
        <w:ind w:firstLine="420" w:firstLineChars="200"/>
        <w:rPr>
          <w:rFonts w:ascii="宋体" w:hAnsi="宋体" w:cs="宋体"/>
          <w:kern w:val="0"/>
          <w:szCs w:val="21"/>
        </w:rPr>
      </w:pPr>
      <w:r>
        <w:rPr>
          <w:rFonts w:ascii="宋体" w:hAnsi="宋体" w:cs="宋体"/>
          <w:kern w:val="0"/>
          <w:szCs w:val="21"/>
        </w:rPr>
        <w:t>5</w:t>
      </w:r>
      <w:r>
        <w:rPr>
          <w:rFonts w:hint="eastAsia" w:ascii="宋体" w:hAnsi="宋体" w:cs="宋体"/>
          <w:kern w:val="0"/>
          <w:szCs w:val="21"/>
        </w:rPr>
        <w:t>、本招标项目采用电子招标投标方式，投标人需登录湘潭市公共资源交易中心网站下载电子投标文件制作工具编制投标文件，并在投标截止时间前通过电子招标投标交易平台在线递交投标文件，逾期上传的投标文件，电子招标投标交易平台予以拒收。投标人使用电子投标遇到问题时，请及时向系统技术支持咨询，联系方式：0731-52818268。</w:t>
      </w:r>
    </w:p>
    <w:p>
      <w:pPr>
        <w:adjustRightInd w:val="0"/>
        <w:snapToGrid w:val="0"/>
        <w:spacing w:line="360" w:lineRule="auto"/>
        <w:ind w:firstLine="422" w:firstLineChars="200"/>
        <w:rPr>
          <w:rFonts w:ascii="宋体" w:hAnsi="宋体"/>
          <w:b/>
          <w:color w:val="auto"/>
          <w:szCs w:val="21"/>
        </w:rPr>
      </w:pPr>
      <w:r>
        <w:rPr>
          <w:rFonts w:hint="eastAsia" w:ascii="宋体" w:hAnsi="宋体"/>
          <w:b/>
          <w:color w:val="auto"/>
          <w:szCs w:val="21"/>
        </w:rPr>
        <w:t>六、投标截止时间、开标时间及地点</w:t>
      </w:r>
    </w:p>
    <w:p>
      <w:pPr>
        <w:adjustRightInd w:val="0"/>
        <w:snapToGrid w:val="0"/>
        <w:spacing w:line="360" w:lineRule="auto"/>
        <w:ind w:firstLine="422" w:firstLineChars="200"/>
        <w:rPr>
          <w:rFonts w:hint="eastAsia" w:ascii="宋体" w:hAnsi="宋体"/>
          <w:b/>
          <w:color w:val="auto"/>
          <w:szCs w:val="21"/>
        </w:rPr>
      </w:pPr>
      <w:r>
        <w:rPr>
          <w:rFonts w:hint="eastAsia" w:ascii="宋体" w:hAnsi="宋体"/>
          <w:b/>
          <w:color w:val="auto"/>
          <w:szCs w:val="21"/>
        </w:rPr>
        <w:t>1、提交电子投标文件的截止时间：</w:t>
      </w:r>
      <w:r>
        <w:rPr>
          <w:rFonts w:hint="eastAsia" w:ascii="宋体" w:hAnsi="宋体"/>
          <w:b/>
          <w:color w:val="auto"/>
          <w:szCs w:val="21"/>
          <w:highlight w:val="none"/>
          <w:lang w:eastAsia="zh-CN"/>
        </w:rPr>
        <w:t>2024年1月23日</w:t>
      </w:r>
      <w:r>
        <w:rPr>
          <w:rFonts w:hint="eastAsia" w:ascii="宋体" w:hAnsi="宋体"/>
          <w:b/>
          <w:color w:val="auto"/>
          <w:szCs w:val="21"/>
          <w:lang w:val="en-US" w:eastAsia="zh-CN"/>
        </w:rPr>
        <w:t>09</w:t>
      </w:r>
      <w:r>
        <w:rPr>
          <w:rFonts w:hint="eastAsia" w:ascii="宋体" w:hAnsi="宋体"/>
          <w:b/>
          <w:color w:val="auto"/>
          <w:szCs w:val="21"/>
        </w:rPr>
        <w:t>时</w:t>
      </w:r>
      <w:r>
        <w:rPr>
          <w:rFonts w:hint="eastAsia" w:ascii="宋体" w:hAnsi="宋体"/>
          <w:b/>
          <w:color w:val="auto"/>
          <w:szCs w:val="21"/>
          <w:lang w:val="en-US" w:eastAsia="zh-CN"/>
        </w:rPr>
        <w:t>0</w:t>
      </w:r>
      <w:r>
        <w:rPr>
          <w:rFonts w:hint="eastAsia" w:ascii="宋体" w:hAnsi="宋体"/>
          <w:b/>
          <w:color w:val="auto"/>
          <w:szCs w:val="21"/>
        </w:rPr>
        <w:t>0分（北京时间）</w:t>
      </w:r>
    </w:p>
    <w:p>
      <w:pPr>
        <w:adjustRightInd w:val="0"/>
        <w:snapToGrid w:val="0"/>
        <w:spacing w:line="360" w:lineRule="auto"/>
        <w:ind w:firstLine="422" w:firstLineChars="200"/>
        <w:rPr>
          <w:rFonts w:hint="eastAsia" w:ascii="宋体" w:hAnsi="宋体"/>
          <w:b/>
          <w:color w:val="auto"/>
          <w:szCs w:val="21"/>
        </w:rPr>
      </w:pPr>
      <w:r>
        <w:rPr>
          <w:rFonts w:hint="eastAsia" w:ascii="宋体" w:hAnsi="宋体"/>
          <w:b/>
          <w:color w:val="auto"/>
          <w:szCs w:val="21"/>
        </w:rPr>
        <w:t>2、电子投标文件的解密截止时间为投标截止时间后 60 分钟内。响应文件解密采用现场解密的方式，所有参与开标的投标人需携带制作响应文件的加密锁到达开标现场，在解密时间开始后，按顺序解密响应文件。因投标人自身原因造成响应文件未在规定时间内解密或无法解密的投标文件，按无效投标处理。</w:t>
      </w:r>
    </w:p>
    <w:p>
      <w:pPr>
        <w:adjustRightInd w:val="0"/>
        <w:snapToGrid w:val="0"/>
        <w:spacing w:line="360" w:lineRule="auto"/>
        <w:ind w:firstLine="422" w:firstLineChars="200"/>
        <w:rPr>
          <w:rFonts w:hint="eastAsia" w:ascii="宋体" w:hAnsi="宋体"/>
          <w:b/>
          <w:color w:val="auto"/>
          <w:szCs w:val="21"/>
        </w:rPr>
      </w:pPr>
      <w:r>
        <w:rPr>
          <w:rFonts w:hint="eastAsia" w:ascii="宋体" w:hAnsi="宋体"/>
          <w:b/>
          <w:color w:val="auto"/>
          <w:szCs w:val="21"/>
        </w:rPr>
        <w:t>3、开标地点：湘潭市公共资源交易中心相应开标室（地址：湘潭市岳塘区宝塔街道湖湘南路1号市民之家南栋湘潭市公共资源交易中心二楼）。</w:t>
      </w:r>
    </w:p>
    <w:p>
      <w:pPr>
        <w:adjustRightInd w:val="0"/>
        <w:snapToGrid w:val="0"/>
        <w:spacing w:line="360" w:lineRule="auto"/>
        <w:ind w:firstLine="422" w:firstLineChars="200"/>
        <w:rPr>
          <w:rFonts w:hint="eastAsia" w:ascii="宋体" w:hAnsi="宋体"/>
          <w:b/>
          <w:color w:val="auto"/>
          <w:szCs w:val="21"/>
        </w:rPr>
      </w:pPr>
      <w:r>
        <w:rPr>
          <w:rFonts w:hint="eastAsia" w:ascii="宋体" w:hAnsi="宋体"/>
          <w:b/>
          <w:color w:val="auto"/>
          <w:szCs w:val="21"/>
        </w:rPr>
        <w:t>4、开标时间：</w:t>
      </w:r>
      <w:r>
        <w:rPr>
          <w:rFonts w:hint="eastAsia" w:ascii="宋体" w:hAnsi="宋体"/>
          <w:b/>
          <w:color w:val="auto"/>
          <w:szCs w:val="21"/>
          <w:highlight w:val="none"/>
          <w:lang w:eastAsia="zh-CN"/>
        </w:rPr>
        <w:t>2024年1月23日</w:t>
      </w:r>
      <w:r>
        <w:rPr>
          <w:rFonts w:hint="eastAsia" w:ascii="宋体" w:hAnsi="宋体"/>
          <w:b/>
          <w:color w:val="auto"/>
          <w:szCs w:val="21"/>
          <w:highlight w:val="none"/>
          <w:lang w:val="en-US" w:eastAsia="zh-CN"/>
        </w:rPr>
        <w:t>9</w:t>
      </w:r>
      <w:r>
        <w:rPr>
          <w:rFonts w:hint="eastAsia" w:ascii="宋体" w:hAnsi="宋体"/>
          <w:b/>
          <w:color w:val="auto"/>
          <w:szCs w:val="21"/>
        </w:rPr>
        <w:t>时00分（北京时间）</w:t>
      </w:r>
    </w:p>
    <w:p>
      <w:pPr>
        <w:adjustRightInd w:val="0"/>
        <w:snapToGrid w:val="0"/>
        <w:spacing w:line="360" w:lineRule="auto"/>
        <w:ind w:firstLine="422" w:firstLineChars="200"/>
        <w:rPr>
          <w:rFonts w:ascii="宋体" w:hAnsi="宋体"/>
          <w:color w:val="auto"/>
          <w:szCs w:val="21"/>
        </w:rPr>
      </w:pPr>
      <w:r>
        <w:rPr>
          <w:rFonts w:hint="eastAsia" w:ascii="宋体" w:hAnsi="宋体"/>
          <w:b/>
          <w:color w:val="auto"/>
          <w:szCs w:val="21"/>
        </w:rPr>
        <w:t>七、公告期限</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1、本招标公告在</w:t>
      </w:r>
      <w:r>
        <w:rPr>
          <w:rFonts w:hint="eastAsia" w:ascii="宋体" w:hAnsi="宋体"/>
          <w:color w:val="auto"/>
          <w:szCs w:val="21"/>
          <w:highlight w:val="none"/>
          <w:lang w:val="en-US" w:eastAsia="zh-CN"/>
        </w:rPr>
        <w:t>中国政府采购网</w:t>
      </w:r>
      <w:r>
        <w:rPr>
          <w:rFonts w:hint="eastAsia" w:ascii="宋体" w:hAnsi="宋体"/>
          <w:color w:val="auto"/>
          <w:szCs w:val="21"/>
          <w:lang w:val="en-US" w:eastAsia="zh-CN"/>
        </w:rPr>
        <w:t>、</w:t>
      </w:r>
      <w:r>
        <w:rPr>
          <w:rFonts w:hint="eastAsia" w:ascii="宋体" w:hAnsi="宋体"/>
          <w:color w:val="auto"/>
          <w:szCs w:val="21"/>
        </w:rPr>
        <w:t>中国湖南政府采购网（www.ccgp-hunan.gov.cn）发布。公告期限从本招标公告发布之日起5个工作日。</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2、在其他媒体发布的招标公告，公告内容以本招标公告指定媒体发布的公告为准；公告期限自本招标公告指定媒体最先发布公告之日起算。</w:t>
      </w:r>
    </w:p>
    <w:p>
      <w:pPr>
        <w:adjustRightInd w:val="0"/>
        <w:snapToGrid w:val="0"/>
        <w:spacing w:line="360" w:lineRule="auto"/>
        <w:ind w:firstLine="422" w:firstLineChars="200"/>
        <w:rPr>
          <w:rFonts w:ascii="宋体" w:hAnsi="宋体"/>
          <w:color w:val="auto"/>
          <w:szCs w:val="21"/>
        </w:rPr>
      </w:pPr>
      <w:r>
        <w:rPr>
          <w:rFonts w:hint="eastAsia" w:ascii="宋体" w:hAnsi="宋体"/>
          <w:b/>
          <w:color w:val="auto"/>
          <w:szCs w:val="21"/>
        </w:rPr>
        <w:t>八、询问及质疑</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1、投标人对政府采购活动事项如有疑问的，可以向采购人、采购代理机构提出询问。采购人、采购代理机构将在3个工作日内作出答复。</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2、投标人对电子交易平台办理CA证书、操作等如有疑问，请咨询电子交易平台服务机构。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pPr>
        <w:adjustRightInd w:val="0"/>
        <w:snapToGrid w:val="0"/>
        <w:spacing w:line="360" w:lineRule="auto"/>
        <w:ind w:firstLine="422" w:firstLineChars="200"/>
        <w:rPr>
          <w:rFonts w:hint="default" w:ascii="宋体" w:hAnsi="宋体" w:eastAsia="宋体"/>
          <w:b/>
          <w:color w:val="auto"/>
          <w:szCs w:val="21"/>
          <w:lang w:val="en-US" w:eastAsia="zh-CN"/>
        </w:rPr>
      </w:pPr>
      <w:r>
        <w:rPr>
          <w:rFonts w:hint="eastAsia" w:ascii="宋体" w:hAnsi="宋体"/>
          <w:b/>
          <w:color w:val="auto"/>
          <w:szCs w:val="21"/>
        </w:rPr>
        <w:t>九、</w:t>
      </w:r>
      <w:r>
        <w:rPr>
          <w:rFonts w:hint="eastAsia" w:ascii="宋体" w:hAnsi="宋体"/>
          <w:b/>
          <w:color w:val="auto"/>
          <w:szCs w:val="21"/>
          <w:lang w:val="en-US" w:eastAsia="zh-CN"/>
        </w:rPr>
        <w:t>投标说明</w:t>
      </w:r>
    </w:p>
    <w:p>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default" w:ascii="宋体" w:hAnsi="宋体"/>
          <w:color w:val="auto"/>
          <w:szCs w:val="21"/>
          <w:lang w:val="en-US" w:eastAsia="zh-CN"/>
        </w:rPr>
      </w:pPr>
      <w:r>
        <w:rPr>
          <w:rFonts w:hint="eastAsia" w:ascii="宋体" w:hAnsi="宋体"/>
          <w:color w:val="auto"/>
          <w:szCs w:val="21"/>
          <w:lang w:val="en-US" w:eastAsia="zh-CN"/>
        </w:rPr>
        <w:t>1、本公告选项：</w:t>
      </w:r>
      <w:r>
        <w:rPr>
          <w:rFonts w:hint="eastAsia" w:ascii="宋体" w:hAnsi="宋体"/>
          <w:color w:val="auto"/>
          <w:szCs w:val="21"/>
          <w:lang w:val="en-US" w:eastAsia="zh-CN"/>
        </w:rPr>
        <w:sym w:font="Wingdings" w:char="00FE"/>
      </w:r>
      <w:r>
        <w:rPr>
          <w:rFonts w:hint="eastAsia" w:ascii="宋体" w:hAnsi="宋体"/>
          <w:color w:val="auto"/>
          <w:szCs w:val="21"/>
          <w:lang w:val="en-US" w:eastAsia="zh-CN"/>
        </w:rPr>
        <w:t>表示选择，</w:t>
      </w:r>
      <w:r>
        <w:rPr>
          <w:rFonts w:hint="eastAsia" w:ascii="宋体" w:hAnsi="宋体"/>
          <w:color w:val="auto"/>
          <w:szCs w:val="21"/>
          <w:lang w:val="en-US" w:eastAsia="zh-CN"/>
        </w:rPr>
        <w:sym w:font="Wingdings" w:char="00A8"/>
      </w:r>
      <w:r>
        <w:rPr>
          <w:rFonts w:hint="eastAsia" w:ascii="宋体" w:hAnsi="宋体"/>
          <w:color w:val="auto"/>
          <w:szCs w:val="21"/>
          <w:lang w:val="en-US" w:eastAsia="zh-CN"/>
        </w:rPr>
        <w:t>表示未选择。</w:t>
      </w:r>
    </w:p>
    <w:p>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color w:val="auto"/>
        </w:rPr>
      </w:pPr>
      <w:r>
        <w:rPr>
          <w:rFonts w:hint="eastAsia" w:ascii="宋体" w:hAnsi="宋体"/>
          <w:color w:val="auto"/>
          <w:szCs w:val="21"/>
          <w:lang w:val="en-US" w:eastAsia="zh-CN"/>
        </w:rPr>
        <w:t>2、</w:t>
      </w:r>
      <w:r>
        <w:rPr>
          <w:rFonts w:hint="eastAsia" w:ascii="宋体" w:hAnsi="宋体"/>
          <w:color w:val="auto"/>
          <w:szCs w:val="21"/>
        </w:rPr>
        <w:t>投标人参与政府采购活动，无需向采购人、代理机构、交易平台缴纳任何费用。</w:t>
      </w:r>
    </w:p>
    <w:p>
      <w:pPr>
        <w:adjustRightInd w:val="0"/>
        <w:snapToGrid w:val="0"/>
        <w:spacing w:line="360" w:lineRule="auto"/>
        <w:ind w:firstLine="422" w:firstLineChars="200"/>
        <w:rPr>
          <w:rFonts w:ascii="宋体" w:hAnsi="宋体"/>
          <w:b/>
          <w:color w:val="auto"/>
          <w:szCs w:val="21"/>
        </w:rPr>
      </w:pPr>
      <w:r>
        <w:rPr>
          <w:rFonts w:hint="eastAsia" w:ascii="宋体" w:hAnsi="宋体"/>
          <w:b/>
          <w:color w:val="auto"/>
          <w:szCs w:val="21"/>
        </w:rPr>
        <w:t>十、采购项目联系人姓名和电话</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1、联系人姓名：</w:t>
      </w:r>
      <w:r>
        <w:rPr>
          <w:rFonts w:hint="eastAsia" w:ascii="宋体" w:hAnsi="宋体"/>
          <w:color w:val="auto"/>
          <w:szCs w:val="21"/>
          <w:u w:val="single"/>
        </w:rPr>
        <w:t xml:space="preserve">贺胜男  </w:t>
      </w:r>
      <w:r>
        <w:rPr>
          <w:rFonts w:hint="eastAsia" w:ascii="宋体" w:hAnsi="宋体"/>
          <w:color w:val="auto"/>
          <w:szCs w:val="21"/>
        </w:rPr>
        <w:t xml:space="preserve">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2、电话：</w:t>
      </w:r>
      <w:r>
        <w:rPr>
          <w:rFonts w:hint="eastAsia" w:ascii="宋体" w:hAnsi="宋体"/>
          <w:color w:val="auto"/>
          <w:szCs w:val="21"/>
          <w:u w:val="single"/>
        </w:rPr>
        <w:t xml:space="preserve"> </w:t>
      </w:r>
      <w:r>
        <w:rPr>
          <w:rFonts w:hint="eastAsia" w:ascii="宋体" w:hAnsi="宋体"/>
          <w:color w:val="auto"/>
          <w:szCs w:val="21"/>
          <w:u w:val="single"/>
          <w:lang w:eastAsia="zh-CN"/>
        </w:rPr>
        <w:t>0731-84467119</w:t>
      </w:r>
      <w:r>
        <w:rPr>
          <w:rFonts w:hint="eastAsia" w:ascii="宋体" w:hAnsi="宋体"/>
          <w:color w:val="auto"/>
          <w:szCs w:val="21"/>
          <w:u w:val="single"/>
        </w:rPr>
        <w:t xml:space="preserve"> </w:t>
      </w:r>
    </w:p>
    <w:p>
      <w:pPr>
        <w:adjustRightInd w:val="0"/>
        <w:snapToGrid w:val="0"/>
        <w:spacing w:line="360" w:lineRule="auto"/>
        <w:ind w:firstLine="413" w:firstLineChars="196"/>
        <w:rPr>
          <w:rFonts w:ascii="宋体" w:hAnsi="宋体"/>
          <w:b/>
          <w:bCs/>
          <w:color w:val="auto"/>
          <w:szCs w:val="21"/>
        </w:rPr>
      </w:pPr>
      <w:r>
        <w:rPr>
          <w:rFonts w:hint="eastAsia" w:ascii="宋体" w:hAnsi="宋体"/>
          <w:b/>
          <w:bCs/>
          <w:color w:val="auto"/>
          <w:szCs w:val="21"/>
        </w:rPr>
        <w:t>十一、采购人、采购代理机构的名称、地址和联系方法</w:t>
      </w:r>
    </w:p>
    <w:p>
      <w:pPr>
        <w:adjustRightInd w:val="0"/>
        <w:snapToGrid w:val="0"/>
        <w:spacing w:line="360" w:lineRule="auto"/>
        <w:ind w:firstLine="413" w:firstLineChars="196"/>
        <w:rPr>
          <w:rFonts w:ascii="宋体" w:hAnsi="宋体"/>
          <w:b/>
          <w:bCs/>
          <w:color w:val="auto"/>
          <w:szCs w:val="21"/>
        </w:rPr>
      </w:pPr>
      <w:r>
        <w:rPr>
          <w:rFonts w:hint="eastAsia" w:ascii="宋体" w:hAnsi="宋体"/>
          <w:b/>
          <w:bCs/>
          <w:color w:val="auto"/>
          <w:szCs w:val="21"/>
        </w:rPr>
        <w:t>1</w:t>
      </w:r>
      <w:r>
        <w:rPr>
          <w:rFonts w:hint="eastAsia" w:ascii="宋体" w:hAnsi="宋体"/>
          <w:color w:val="auto"/>
          <w:szCs w:val="21"/>
        </w:rPr>
        <w:t>、</w:t>
      </w:r>
      <w:r>
        <w:rPr>
          <w:rFonts w:hint="eastAsia" w:ascii="宋体" w:hAnsi="宋体"/>
          <w:b/>
          <w:bCs/>
          <w:color w:val="auto"/>
          <w:szCs w:val="21"/>
        </w:rPr>
        <w:t>采购人信息</w:t>
      </w:r>
    </w:p>
    <w:p>
      <w:pPr>
        <w:adjustRightInd w:val="0"/>
        <w:snapToGrid w:val="0"/>
        <w:spacing w:line="360" w:lineRule="auto"/>
        <w:ind w:firstLine="411" w:firstLineChars="196"/>
        <w:rPr>
          <w:rFonts w:ascii="宋体" w:hAnsi="宋体"/>
          <w:color w:val="auto"/>
          <w:szCs w:val="21"/>
        </w:rPr>
      </w:pPr>
      <w:r>
        <w:rPr>
          <w:rFonts w:hint="eastAsia" w:ascii="宋体" w:hAnsi="宋体"/>
          <w:color w:val="auto"/>
          <w:szCs w:val="21"/>
        </w:rPr>
        <w:t>（1）</w:t>
      </w:r>
      <w:r>
        <w:rPr>
          <w:rFonts w:hint="eastAsia" w:ascii="宋体" w:hAnsi="宋体"/>
          <w:bCs/>
          <w:color w:val="auto"/>
          <w:szCs w:val="21"/>
        </w:rPr>
        <w:t>名  称：</w:t>
      </w:r>
      <w:r>
        <w:rPr>
          <w:rFonts w:hint="eastAsia" w:ascii="宋体" w:hAnsi="宋体"/>
          <w:color w:val="auto"/>
          <w:szCs w:val="21"/>
          <w:u w:val="single"/>
        </w:rPr>
        <w:t xml:space="preserve">  湘潭市消防救援支队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（2）地  址：</w:t>
      </w:r>
      <w:r>
        <w:rPr>
          <w:rFonts w:hint="eastAsia" w:ascii="宋体" w:hAnsi="宋体"/>
          <w:color w:val="auto"/>
          <w:szCs w:val="21"/>
          <w:u w:val="single"/>
        </w:rPr>
        <w:t xml:space="preserve">  湘潭市岳塘区芙蓉东路89号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（3）联系人：</w:t>
      </w:r>
      <w:r>
        <w:rPr>
          <w:rFonts w:hint="eastAsia" w:ascii="宋体" w:hAnsi="宋体"/>
          <w:color w:val="auto"/>
          <w:szCs w:val="21"/>
          <w:u w:val="single"/>
        </w:rPr>
        <w:t xml:space="preserve">  郭伟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（4）邮  编：</w:t>
      </w:r>
      <w:r>
        <w:rPr>
          <w:rFonts w:hint="eastAsia" w:ascii="宋体" w:hAnsi="宋体"/>
          <w:color w:val="auto"/>
          <w:szCs w:val="21"/>
          <w:u w:val="single"/>
        </w:rPr>
        <w:t xml:space="preserve">   </w:t>
      </w:r>
      <w:r>
        <w:rPr>
          <w:rFonts w:hint="eastAsia" w:ascii="宋体" w:hAnsi="宋体"/>
          <w:color w:val="auto"/>
          <w:szCs w:val="21"/>
          <w:u w:val="single"/>
          <w:lang w:val="en-US" w:eastAsia="zh-CN"/>
        </w:rPr>
        <w:t>411100</w:t>
      </w:r>
      <w:r>
        <w:rPr>
          <w:rFonts w:hint="eastAsia" w:ascii="宋体" w:hAnsi="宋体"/>
          <w:color w:val="auto"/>
          <w:szCs w:val="21"/>
          <w:u w:val="single"/>
        </w:rPr>
        <w:t xml:space="preserve">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（5）电  话：</w:t>
      </w:r>
      <w:r>
        <w:rPr>
          <w:rFonts w:hint="eastAsia" w:ascii="宋体" w:hAnsi="宋体"/>
          <w:color w:val="auto"/>
          <w:szCs w:val="21"/>
          <w:u w:val="single"/>
        </w:rPr>
        <w:t xml:space="preserve">  0731-52668626    </w:t>
      </w:r>
      <w:r>
        <w:rPr>
          <w:rFonts w:hint="eastAsia" w:ascii="宋体" w:hAnsi="宋体"/>
          <w:color w:val="auto"/>
          <w:szCs w:val="21"/>
        </w:rPr>
        <w:t xml:space="preserve"> </w:t>
      </w:r>
    </w:p>
    <w:p>
      <w:pPr>
        <w:adjustRightInd w:val="0"/>
        <w:snapToGrid w:val="0"/>
        <w:spacing w:line="360" w:lineRule="auto"/>
        <w:ind w:firstLine="413" w:firstLineChars="196"/>
        <w:rPr>
          <w:rFonts w:ascii="宋体" w:hAnsi="宋体"/>
          <w:b/>
          <w:bCs/>
          <w:color w:val="auto"/>
          <w:szCs w:val="21"/>
        </w:rPr>
      </w:pPr>
      <w:r>
        <w:rPr>
          <w:rFonts w:hint="eastAsia" w:ascii="宋体" w:hAnsi="宋体"/>
          <w:b/>
          <w:bCs/>
          <w:color w:val="auto"/>
          <w:szCs w:val="21"/>
        </w:rPr>
        <w:t>2</w:t>
      </w:r>
      <w:r>
        <w:rPr>
          <w:rFonts w:hint="eastAsia" w:ascii="宋体" w:hAnsi="宋体"/>
          <w:color w:val="auto"/>
          <w:szCs w:val="21"/>
        </w:rPr>
        <w:t>、</w:t>
      </w:r>
      <w:r>
        <w:rPr>
          <w:rFonts w:hint="eastAsia" w:ascii="宋体" w:hAnsi="宋体"/>
          <w:b/>
          <w:bCs/>
          <w:color w:val="auto"/>
          <w:szCs w:val="21"/>
        </w:rPr>
        <w:t>采购代理机构信息</w:t>
      </w:r>
    </w:p>
    <w:p>
      <w:pPr>
        <w:adjustRightInd w:val="0"/>
        <w:snapToGrid w:val="0"/>
        <w:spacing w:line="360" w:lineRule="auto"/>
        <w:ind w:firstLine="411" w:firstLineChars="196"/>
        <w:rPr>
          <w:rFonts w:ascii="宋体" w:hAnsi="宋体"/>
          <w:color w:val="auto"/>
          <w:szCs w:val="21"/>
        </w:rPr>
      </w:pPr>
      <w:r>
        <w:rPr>
          <w:rFonts w:hint="eastAsia" w:ascii="宋体" w:hAnsi="宋体"/>
          <w:color w:val="auto"/>
          <w:szCs w:val="21"/>
        </w:rPr>
        <w:t>（1）</w:t>
      </w:r>
      <w:r>
        <w:rPr>
          <w:rFonts w:hint="eastAsia" w:ascii="宋体" w:hAnsi="宋体"/>
          <w:bCs/>
          <w:color w:val="auto"/>
          <w:szCs w:val="21"/>
        </w:rPr>
        <w:t>名  称：</w:t>
      </w:r>
      <w:r>
        <w:rPr>
          <w:rFonts w:hint="eastAsia" w:ascii="宋体" w:hAnsi="宋体"/>
          <w:color w:val="auto"/>
          <w:szCs w:val="21"/>
          <w:u w:val="single"/>
        </w:rPr>
        <w:t xml:space="preserve">   湖南恒典建设项目管理有限公司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（2）地  址：</w:t>
      </w:r>
      <w:r>
        <w:rPr>
          <w:rFonts w:hint="eastAsia" w:ascii="宋体" w:hAnsi="宋体"/>
          <w:color w:val="auto"/>
          <w:szCs w:val="21"/>
          <w:u w:val="single"/>
        </w:rPr>
        <w:t xml:space="preserve">  </w:t>
      </w:r>
      <w:r>
        <w:rPr>
          <w:rFonts w:hint="eastAsia" w:ascii="宋体" w:hAnsi="宋体" w:cs="宋体"/>
          <w:szCs w:val="21"/>
          <w:u w:val="single"/>
        </w:rPr>
        <w:t>湖南省长沙市雨花区沙湾路89号丽致酒店16楼</w:t>
      </w:r>
      <w:r>
        <w:rPr>
          <w:rFonts w:hint="eastAsia" w:ascii="宋体" w:hAnsi="宋体"/>
          <w:color w:val="auto"/>
          <w:szCs w:val="21"/>
          <w:u w:val="single"/>
        </w:rPr>
        <w:t xml:space="preserve">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（3）联系人：</w:t>
      </w:r>
      <w:r>
        <w:rPr>
          <w:rFonts w:hint="eastAsia" w:ascii="宋体" w:hAnsi="宋体"/>
          <w:color w:val="auto"/>
          <w:szCs w:val="21"/>
          <w:u w:val="single"/>
        </w:rPr>
        <w:t xml:space="preserve">   贺胜男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（4）邮  编：</w:t>
      </w:r>
      <w:r>
        <w:rPr>
          <w:rFonts w:hint="eastAsia" w:ascii="宋体" w:hAnsi="宋体"/>
          <w:color w:val="auto"/>
          <w:szCs w:val="21"/>
          <w:u w:val="single"/>
        </w:rPr>
        <w:t xml:space="preserve">   </w:t>
      </w:r>
      <w:r>
        <w:rPr>
          <w:rFonts w:hint="eastAsia" w:ascii="宋体" w:hAnsi="宋体"/>
          <w:color w:val="auto"/>
          <w:szCs w:val="21"/>
          <w:u w:val="single"/>
          <w:lang w:val="en-US" w:eastAsia="zh-CN"/>
        </w:rPr>
        <w:t>410000</w:t>
      </w:r>
      <w:r>
        <w:rPr>
          <w:rFonts w:hint="eastAsia" w:ascii="宋体" w:hAnsi="宋体"/>
          <w:color w:val="auto"/>
          <w:szCs w:val="21"/>
          <w:u w:val="single"/>
        </w:rPr>
        <w:t xml:space="preserve">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（5）电  话：</w:t>
      </w:r>
      <w:r>
        <w:rPr>
          <w:rFonts w:hint="eastAsia" w:ascii="宋体" w:hAnsi="宋体"/>
          <w:color w:val="auto"/>
          <w:szCs w:val="21"/>
          <w:u w:val="single"/>
        </w:rPr>
        <w:t xml:space="preserve">   </w:t>
      </w:r>
      <w:r>
        <w:rPr>
          <w:rFonts w:hint="eastAsia" w:ascii="宋体" w:hAnsi="宋体"/>
          <w:color w:val="auto"/>
          <w:szCs w:val="21"/>
          <w:u w:val="single"/>
          <w:lang w:eastAsia="zh-CN"/>
        </w:rPr>
        <w:t>0731-84467119</w:t>
      </w:r>
      <w:r>
        <w:rPr>
          <w:rFonts w:hint="eastAsia" w:ascii="宋体" w:hAnsi="宋体"/>
          <w:color w:val="auto"/>
          <w:szCs w:val="21"/>
          <w:u w:val="single"/>
        </w:rPr>
        <w:t xml:space="preserve">   </w:t>
      </w:r>
      <w:r>
        <w:rPr>
          <w:rFonts w:hint="eastAsia" w:ascii="宋体" w:hAnsi="宋体"/>
          <w:color w:val="auto"/>
          <w:szCs w:val="21"/>
        </w:rPr>
        <w:t xml:space="preserve"> </w:t>
      </w:r>
    </w:p>
    <w:p>
      <w:pPr>
        <w:pStyle w:val="26"/>
        <w:spacing w:line="360" w:lineRule="auto"/>
        <w:ind w:firstLine="422"/>
        <w:rPr>
          <w:rFonts w:ascii="宋体" w:hAnsi="宋体" w:cs="微软雅黑"/>
          <w:b/>
          <w:bCs/>
          <w:color w:val="auto"/>
          <w:kern w:val="0"/>
          <w:position w:val="-1"/>
        </w:rPr>
      </w:pPr>
      <w:r>
        <w:rPr>
          <w:rFonts w:hint="eastAsia" w:ascii="宋体" w:hAnsi="宋体" w:cs="微软雅黑"/>
          <w:b/>
          <w:bCs/>
          <w:color w:val="auto"/>
          <w:kern w:val="0"/>
          <w:position w:val="-1"/>
        </w:rPr>
        <w:t>3、电子交易平台服务机构信息</w:t>
      </w:r>
    </w:p>
    <w:p>
      <w:pPr>
        <w:adjustRightInd w:val="0"/>
        <w:snapToGrid w:val="0"/>
        <w:spacing w:line="360" w:lineRule="auto"/>
        <w:ind w:firstLine="411" w:firstLineChars="196"/>
        <w:rPr>
          <w:rFonts w:ascii="宋体" w:hAnsi="宋体"/>
          <w:color w:val="auto"/>
          <w:szCs w:val="21"/>
        </w:rPr>
      </w:pPr>
      <w:r>
        <w:rPr>
          <w:rFonts w:hint="eastAsia" w:ascii="宋体" w:hAnsi="宋体"/>
          <w:color w:val="auto"/>
          <w:szCs w:val="21"/>
        </w:rPr>
        <w:t>（1）</w:t>
      </w:r>
      <w:r>
        <w:rPr>
          <w:rFonts w:hint="eastAsia" w:ascii="宋体" w:hAnsi="宋体"/>
          <w:bCs/>
          <w:color w:val="auto"/>
          <w:szCs w:val="21"/>
        </w:rPr>
        <w:t>名  称：</w:t>
      </w:r>
      <w:r>
        <w:rPr>
          <w:rFonts w:hint="eastAsia" w:ascii="宋体" w:hAnsi="宋体"/>
          <w:color w:val="auto"/>
          <w:szCs w:val="21"/>
          <w:u w:val="single"/>
        </w:rPr>
        <w:t xml:space="preserve">   </w:t>
      </w:r>
      <w:r>
        <w:rPr>
          <w:rFonts w:hint="eastAsia" w:ascii="宋体" w:hAnsi="宋体"/>
          <w:color w:val="auto"/>
          <w:szCs w:val="21"/>
          <w:u w:val="single"/>
          <w:lang w:val="en-US" w:eastAsia="zh-CN"/>
        </w:rPr>
        <w:t>广联达科技股份有限公司</w:t>
      </w:r>
      <w:r>
        <w:rPr>
          <w:rFonts w:hint="eastAsia" w:ascii="宋体" w:hAnsi="宋体"/>
          <w:color w:val="auto"/>
          <w:szCs w:val="21"/>
          <w:u w:val="single"/>
        </w:rPr>
        <w:t xml:space="preserve">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（2）联系人：</w:t>
      </w:r>
      <w:r>
        <w:rPr>
          <w:rFonts w:hint="eastAsia" w:ascii="宋体" w:hAnsi="宋体"/>
          <w:color w:val="auto"/>
          <w:szCs w:val="21"/>
          <w:u w:val="single"/>
        </w:rPr>
        <w:t xml:space="preserve">  </w:t>
      </w:r>
      <w:r>
        <w:rPr>
          <w:rFonts w:hint="eastAsia" w:ascii="宋体" w:hAnsi="宋体"/>
          <w:color w:val="auto"/>
          <w:szCs w:val="21"/>
          <w:u w:val="single"/>
          <w:lang w:val="en-US" w:eastAsia="zh-CN"/>
        </w:rPr>
        <w:t>李青松</w:t>
      </w:r>
      <w:r>
        <w:rPr>
          <w:rFonts w:hint="eastAsia" w:ascii="宋体" w:hAnsi="宋体"/>
          <w:color w:val="auto"/>
          <w:szCs w:val="21"/>
          <w:u w:val="single"/>
        </w:rPr>
        <w:t xml:space="preserve"> </w:t>
      </w:r>
      <w:r>
        <w:rPr>
          <w:rFonts w:hint="eastAsia" w:ascii="宋体" w:hAnsi="宋体"/>
          <w:color w:val="auto"/>
          <w:szCs w:val="21"/>
        </w:rPr>
        <w:t xml:space="preserve">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（3）电  话：</w:t>
      </w:r>
      <w:r>
        <w:rPr>
          <w:rFonts w:hint="eastAsia" w:ascii="宋体" w:hAnsi="宋体"/>
          <w:color w:val="auto"/>
          <w:szCs w:val="21"/>
          <w:u w:val="single"/>
        </w:rPr>
        <w:t xml:space="preserve"> </w:t>
      </w:r>
      <w:r>
        <w:rPr>
          <w:rFonts w:hint="eastAsia" w:ascii="宋体" w:hAnsi="宋体"/>
          <w:color w:val="auto"/>
          <w:szCs w:val="21"/>
          <w:u w:val="single"/>
          <w:lang w:val="en-US" w:eastAsia="zh-CN"/>
        </w:rPr>
        <w:t>0731-52818268</w:t>
      </w:r>
      <w:r>
        <w:rPr>
          <w:rFonts w:hint="eastAsia" w:ascii="宋体" w:hAnsi="宋体"/>
          <w:color w:val="auto"/>
          <w:szCs w:val="21"/>
          <w:u w:val="single"/>
        </w:rPr>
        <w:t xml:space="preserve">  </w:t>
      </w:r>
    </w:p>
    <w:p>
      <w:pPr>
        <w:pStyle w:val="26"/>
        <w:rPr>
          <w:rFonts w:hint="eastAsia" w:ascii="宋体" w:hAnsi="宋体"/>
          <w:color w:val="auto"/>
          <w:szCs w:val="21"/>
          <w:u w:val="single"/>
        </w:rPr>
      </w:pPr>
    </w:p>
    <w:p>
      <w:pPr>
        <w:pStyle w:val="26"/>
        <w:rPr>
          <w:rFonts w:hint="eastAsia" w:ascii="宋体" w:hAnsi="宋体"/>
          <w:color w:val="auto"/>
          <w:szCs w:val="21"/>
          <w:u w:val="single"/>
        </w:rPr>
      </w:pPr>
    </w:p>
    <w:p>
      <w:pPr>
        <w:pStyle w:val="26"/>
        <w:rPr>
          <w:rFonts w:hint="eastAsia" w:ascii="宋体" w:hAnsi="宋体"/>
          <w:color w:val="auto"/>
          <w:szCs w:val="21"/>
          <w:u w:val="single"/>
        </w:rPr>
      </w:pPr>
    </w:p>
    <w:p>
      <w:pPr>
        <w:tabs>
          <w:tab w:val="left" w:pos="5380"/>
          <w:tab w:val="left" w:pos="6520"/>
          <w:tab w:val="left" w:pos="7680"/>
        </w:tabs>
        <w:autoSpaceDE w:val="0"/>
        <w:autoSpaceDN w:val="0"/>
        <w:adjustRightInd w:val="0"/>
        <w:snapToGrid w:val="0"/>
        <w:spacing w:before="156" w:beforeLines="50" w:line="240" w:lineRule="auto"/>
        <w:ind w:right="-20"/>
        <w:jc w:val="left"/>
        <w:rPr>
          <w:rFonts w:ascii="宋体" w:hAnsi="宋体" w:eastAsia="宋体" w:cs="微软雅黑"/>
          <w:strike/>
          <w:dstrike w:val="0"/>
          <w:color w:val="auto"/>
          <w:kern w:val="0"/>
          <w:sz w:val="10"/>
          <w:szCs w:val="10"/>
        </w:rPr>
      </w:pPr>
      <w:r>
        <w:rPr>
          <w:rFonts w:hAnsi="华文中宋"/>
          <w:color w:val="auto"/>
        </w:rPr>
        <w:br w:type="page"/>
      </w:r>
    </w:p>
    <w:p>
      <w:pPr>
        <w:pStyle w:val="10"/>
        <w:adjustRightInd w:val="0"/>
        <w:snapToGrid w:val="0"/>
        <w:spacing w:line="360" w:lineRule="auto"/>
        <w:jc w:val="center"/>
        <w:outlineLvl w:val="0"/>
        <w:rPr>
          <w:rFonts w:ascii="黑体" w:hAnsi="华文中宋" w:eastAsia="黑体"/>
          <w:b/>
          <w:color w:val="auto"/>
          <w:spacing w:val="100"/>
          <w:sz w:val="32"/>
          <w:szCs w:val="32"/>
        </w:rPr>
      </w:pPr>
      <w:bookmarkStart w:id="9" w:name="_Toc17688"/>
      <w:r>
        <w:rPr>
          <w:rFonts w:hint="eastAsia" w:ascii="黑体" w:hAnsi="华文中宋" w:eastAsia="黑体"/>
          <w:b/>
          <w:color w:val="auto"/>
          <w:sz w:val="32"/>
          <w:szCs w:val="32"/>
        </w:rPr>
        <w:t>第二章 投标须知</w:t>
      </w:r>
      <w:bookmarkEnd w:id="0"/>
      <w:bookmarkEnd w:id="1"/>
      <w:bookmarkEnd w:id="2"/>
      <w:bookmarkEnd w:id="3"/>
      <w:bookmarkEnd w:id="4"/>
      <w:bookmarkEnd w:id="5"/>
      <w:bookmarkEnd w:id="6"/>
      <w:bookmarkEnd w:id="7"/>
      <w:bookmarkEnd w:id="9"/>
    </w:p>
    <w:p>
      <w:pPr>
        <w:pStyle w:val="3"/>
        <w:adjustRightInd w:val="0"/>
        <w:snapToGrid w:val="0"/>
        <w:jc w:val="center"/>
        <w:rPr>
          <w:rFonts w:ascii="黑体" w:hAnsi="华文中宋" w:eastAsia="黑体"/>
          <w:color w:val="auto"/>
          <w:spacing w:val="100"/>
          <w:sz w:val="28"/>
          <w:szCs w:val="28"/>
        </w:rPr>
      </w:pPr>
      <w:bookmarkStart w:id="10" w:name="_Toc4898"/>
      <w:r>
        <w:rPr>
          <w:rFonts w:hint="eastAsia" w:ascii="黑体" w:hAnsi="华文中宋" w:eastAsia="黑体"/>
          <w:color w:val="auto"/>
          <w:sz w:val="28"/>
          <w:szCs w:val="28"/>
        </w:rPr>
        <w:t>第一节 投标须知前附表</w:t>
      </w:r>
      <w:bookmarkEnd w:id="10"/>
    </w:p>
    <w:p>
      <w:pPr>
        <w:adjustRightInd w:val="0"/>
        <w:snapToGrid w:val="0"/>
        <w:spacing w:line="360" w:lineRule="auto"/>
        <w:ind w:right="31" w:rightChars="15"/>
        <w:jc w:val="right"/>
        <w:rPr>
          <w:rFonts w:ascii="宋体" w:hAnsi="宋体" w:eastAsia="宋体"/>
          <w:i/>
          <w:color w:val="auto"/>
          <w:szCs w:val="21"/>
        </w:rPr>
      </w:pPr>
      <w:r>
        <w:rPr>
          <w:rFonts w:hint="eastAsia" w:ascii="宋体" w:hAnsi="宋体" w:eastAsia="宋体"/>
          <w:i/>
          <w:color w:val="auto"/>
          <w:szCs w:val="21"/>
        </w:rPr>
        <w:t>注：本项目启用的条款在“编列内容规定”栏内以“</w:t>
      </w:r>
      <w:r>
        <w:rPr>
          <w:rFonts w:hint="eastAsia" w:ascii="宋体" w:hAnsi="宋体"/>
          <w:iCs/>
          <w:color w:val="auto"/>
          <w:szCs w:val="21"/>
        </w:rPr>
        <w:sym w:font="Wingdings" w:char="00FE"/>
      </w:r>
      <w:r>
        <w:rPr>
          <w:rFonts w:hint="eastAsia" w:ascii="宋体" w:hAnsi="宋体" w:eastAsia="宋体"/>
          <w:i/>
          <w:color w:val="auto"/>
          <w:szCs w:val="21"/>
        </w:rPr>
        <w:t>”标注。</w:t>
      </w:r>
    </w:p>
    <w:tbl>
      <w:tblPr>
        <w:tblStyle w:val="21"/>
        <w:tblW w:w="893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863"/>
        <w:gridCol w:w="450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560" w:type="dxa"/>
            <w:noWrap w:val="0"/>
            <w:vAlign w:val="center"/>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条款号</w:t>
            </w:r>
          </w:p>
        </w:tc>
        <w:tc>
          <w:tcPr>
            <w:tcW w:w="2863" w:type="dxa"/>
            <w:noWrap w:val="0"/>
            <w:vAlign w:val="center"/>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条款名称</w:t>
            </w:r>
          </w:p>
        </w:tc>
        <w:tc>
          <w:tcPr>
            <w:tcW w:w="4508" w:type="dxa"/>
            <w:noWrap w:val="0"/>
            <w:vAlign w:val="center"/>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noWrap w:val="0"/>
            <w:vAlign w:val="center"/>
          </w:tcPr>
          <w:p>
            <w:pPr>
              <w:adjustRightInd w:val="0"/>
              <w:snapToGrid w:val="0"/>
              <w:spacing w:line="360" w:lineRule="auto"/>
              <w:rPr>
                <w:rFonts w:ascii="宋体" w:hAnsi="宋体" w:eastAsia="宋体"/>
                <w:color w:val="auto"/>
                <w:szCs w:val="21"/>
              </w:rPr>
            </w:pPr>
            <w:r>
              <w:rPr>
                <w:rFonts w:hint="eastAsia" w:ascii="宋体" w:hAnsi="宋体" w:eastAsia="宋体"/>
                <w:b/>
                <w:color w:val="auto"/>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第1.1款</w:t>
            </w:r>
          </w:p>
        </w:tc>
        <w:tc>
          <w:tcPr>
            <w:tcW w:w="2863" w:type="dxa"/>
            <w:noWrap w:val="0"/>
            <w:vAlign w:val="center"/>
          </w:tcPr>
          <w:p>
            <w:pPr>
              <w:adjustRightInd w:val="0"/>
              <w:snapToGrid w:val="0"/>
              <w:spacing w:line="360" w:lineRule="auto"/>
              <w:rPr>
                <w:rFonts w:hAnsi="宋体"/>
                <w:color w:val="auto"/>
                <w:szCs w:val="21"/>
              </w:rPr>
            </w:pPr>
            <w:r>
              <w:rPr>
                <w:rFonts w:hint="eastAsia" w:hAnsi="宋体"/>
                <w:color w:val="auto"/>
                <w:szCs w:val="21"/>
              </w:rPr>
              <w:t>采购项目</w:t>
            </w:r>
          </w:p>
        </w:tc>
        <w:tc>
          <w:tcPr>
            <w:tcW w:w="4508" w:type="dxa"/>
            <w:noWrap w:val="0"/>
            <w:vAlign w:val="center"/>
          </w:tcPr>
          <w:p>
            <w:pPr>
              <w:adjustRightInd w:val="0"/>
              <w:snapToGrid w:val="0"/>
              <w:rPr>
                <w:rFonts w:hAnsi="宋体"/>
                <w:color w:val="auto"/>
                <w:szCs w:val="21"/>
              </w:rPr>
            </w:pPr>
            <w:r>
              <w:rPr>
                <w:rFonts w:hint="eastAsia" w:ascii="宋体" w:hAnsi="宋体" w:cs="宋体"/>
                <w:szCs w:val="21"/>
                <w:lang w:eastAsia="zh-CN"/>
              </w:rPr>
              <w:t>湘潭市消防救援支队火灾调查装备采购项目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第1.2款</w:t>
            </w:r>
          </w:p>
        </w:tc>
        <w:tc>
          <w:tcPr>
            <w:tcW w:w="2863" w:type="dxa"/>
            <w:noWrap w:val="0"/>
            <w:vAlign w:val="center"/>
          </w:tcPr>
          <w:p>
            <w:pPr>
              <w:adjustRightInd w:val="0"/>
              <w:snapToGrid w:val="0"/>
              <w:spacing w:line="360" w:lineRule="auto"/>
              <w:rPr>
                <w:rFonts w:hAnsi="宋体"/>
                <w:color w:val="auto"/>
                <w:szCs w:val="21"/>
              </w:rPr>
            </w:pPr>
            <w:r>
              <w:rPr>
                <w:rFonts w:hint="eastAsia" w:ascii="宋体" w:hAnsi="宋体"/>
                <w:color w:val="auto"/>
                <w:szCs w:val="21"/>
              </w:rPr>
              <w:t>是否预留采购份额</w:t>
            </w:r>
          </w:p>
        </w:tc>
        <w:tc>
          <w:tcPr>
            <w:tcW w:w="4508" w:type="dxa"/>
            <w:noWrap w:val="0"/>
            <w:vAlign w:val="center"/>
          </w:tcPr>
          <w:p>
            <w:pPr>
              <w:adjustRightInd w:val="0"/>
              <w:snapToGrid w:val="0"/>
              <w:spacing w:line="360" w:lineRule="exact"/>
              <w:rPr>
                <w:rFonts w:hint="default" w:hAnsi="宋体" w:eastAsia="宋体"/>
                <w:color w:val="auto"/>
                <w:szCs w:val="21"/>
                <w:lang w:val="en-US" w:eastAsia="zh-CN"/>
              </w:rPr>
            </w:pPr>
            <w:r>
              <w:rPr>
                <w:rFonts w:hint="eastAsia" w:hAnsi="宋体"/>
                <w:color w:val="auto"/>
                <w:szCs w:val="21"/>
                <w:lang w:val="en-US" w:eastAsia="zh-CN"/>
              </w:rPr>
              <w:t>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第2.1</w:t>
            </w:r>
            <w:r>
              <w:rPr>
                <w:rFonts w:hint="eastAsia" w:ascii="宋体" w:hAnsi="宋体" w:eastAsia="宋体" w:cs="宋体"/>
                <w:color w:val="auto"/>
                <w:kern w:val="0"/>
                <w:szCs w:val="21"/>
                <w:lang w:val="zh-CN"/>
              </w:rPr>
              <w:t>款</w:t>
            </w:r>
          </w:p>
        </w:tc>
        <w:tc>
          <w:tcPr>
            <w:tcW w:w="2863" w:type="dxa"/>
            <w:noWrap w:val="0"/>
            <w:vAlign w:val="top"/>
          </w:tcPr>
          <w:p>
            <w:pPr>
              <w:adjustRightInd w:val="0"/>
              <w:snapToGrid w:val="0"/>
              <w:spacing w:line="360" w:lineRule="auto"/>
              <w:rPr>
                <w:rFonts w:ascii="宋体" w:hAnsi="宋体" w:eastAsia="宋体"/>
                <w:color w:val="auto"/>
                <w:szCs w:val="21"/>
              </w:rPr>
            </w:pPr>
            <w:r>
              <w:rPr>
                <w:rFonts w:hint="eastAsia" w:hAnsi="宋体"/>
                <w:color w:val="auto"/>
                <w:szCs w:val="21"/>
              </w:rPr>
              <w:t>采购项目联系人姓名和电话</w:t>
            </w:r>
          </w:p>
        </w:tc>
        <w:tc>
          <w:tcPr>
            <w:tcW w:w="4508" w:type="dxa"/>
            <w:noWrap w:val="0"/>
            <w:vAlign w:val="center"/>
          </w:tcPr>
          <w:p>
            <w:pPr>
              <w:adjustRightInd w:val="0"/>
              <w:snapToGrid w:val="0"/>
              <w:spacing w:line="360" w:lineRule="exact"/>
              <w:rPr>
                <w:rFonts w:ascii="宋体" w:hAnsi="宋体"/>
                <w:szCs w:val="21"/>
              </w:rPr>
            </w:pPr>
            <w:r>
              <w:rPr>
                <w:rFonts w:hint="eastAsia" w:ascii="宋体" w:hAnsi="宋体"/>
                <w:szCs w:val="21"/>
              </w:rPr>
              <w:t>联系人姓名：</w:t>
            </w:r>
            <w:r>
              <w:rPr>
                <w:rFonts w:hint="eastAsia" w:ascii="宋体" w:hAnsi="宋体" w:cs="宋体"/>
                <w:szCs w:val="21"/>
              </w:rPr>
              <w:t xml:space="preserve">贺胜男 </w:t>
            </w:r>
          </w:p>
          <w:p>
            <w:pPr>
              <w:adjustRightInd w:val="0"/>
              <w:snapToGrid w:val="0"/>
              <w:spacing w:line="360" w:lineRule="exact"/>
              <w:rPr>
                <w:rFonts w:hint="eastAsia" w:hAnsi="宋体" w:eastAsia="宋体"/>
                <w:color w:val="auto"/>
                <w:szCs w:val="21"/>
                <w:lang w:eastAsia="zh-CN"/>
              </w:rPr>
            </w:pPr>
            <w:r>
              <w:rPr>
                <w:rFonts w:hint="eastAsia" w:ascii="宋体" w:hAnsi="宋体"/>
                <w:szCs w:val="21"/>
              </w:rPr>
              <w:t>电话：</w:t>
            </w:r>
            <w:r>
              <w:rPr>
                <w:rFonts w:hint="eastAsia" w:ascii="宋体" w:hAnsi="宋体" w:cs="宋体"/>
                <w:szCs w:val="21"/>
                <w:lang w:eastAsia="zh-CN"/>
              </w:rPr>
              <w:t>0731-84467119</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第2.2</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hAnsi="宋体"/>
                <w:color w:val="auto"/>
                <w:szCs w:val="21"/>
              </w:rPr>
              <w:t>采购人名称、地址、电话、联系人</w:t>
            </w:r>
          </w:p>
        </w:tc>
        <w:tc>
          <w:tcPr>
            <w:tcW w:w="4508" w:type="dxa"/>
            <w:noWrap w:val="0"/>
            <w:vAlign w:val="center"/>
          </w:tcPr>
          <w:p>
            <w:pPr>
              <w:adjustRightInd w:val="0"/>
              <w:snapToGrid w:val="0"/>
              <w:spacing w:line="360" w:lineRule="exact"/>
              <w:rPr>
                <w:rFonts w:ascii="宋体" w:hAnsi="宋体"/>
                <w:szCs w:val="21"/>
              </w:rPr>
            </w:pPr>
            <w:r>
              <w:rPr>
                <w:rFonts w:hint="eastAsia" w:ascii="宋体" w:hAnsi="宋体"/>
                <w:szCs w:val="21"/>
              </w:rPr>
              <w:t>名称：湘潭市消防救援支队</w:t>
            </w:r>
          </w:p>
          <w:p>
            <w:pPr>
              <w:adjustRightInd w:val="0"/>
              <w:snapToGrid w:val="0"/>
              <w:spacing w:line="360" w:lineRule="exact"/>
              <w:rPr>
                <w:rFonts w:ascii="宋体" w:hAnsi="宋体"/>
                <w:szCs w:val="21"/>
              </w:rPr>
            </w:pPr>
            <w:r>
              <w:rPr>
                <w:rFonts w:hint="eastAsia" w:ascii="宋体" w:hAnsi="宋体"/>
                <w:szCs w:val="21"/>
              </w:rPr>
              <w:t>地址：</w:t>
            </w:r>
            <w:r>
              <w:rPr>
                <w:rFonts w:hint="eastAsia" w:ascii="宋体" w:hAnsi="宋体" w:cs="宋体"/>
                <w:szCs w:val="21"/>
              </w:rPr>
              <w:t>湘潭市岳塘区芙蓉东路89号</w:t>
            </w:r>
          </w:p>
          <w:p>
            <w:pPr>
              <w:adjustRightInd w:val="0"/>
              <w:snapToGrid w:val="0"/>
              <w:spacing w:line="360" w:lineRule="exact"/>
              <w:rPr>
                <w:rFonts w:ascii="宋体" w:hAnsi="宋体"/>
                <w:szCs w:val="21"/>
              </w:rPr>
            </w:pPr>
            <w:r>
              <w:rPr>
                <w:rFonts w:hint="eastAsia" w:ascii="宋体" w:hAnsi="宋体"/>
                <w:szCs w:val="21"/>
              </w:rPr>
              <w:t>联系人：郭伟</w:t>
            </w:r>
          </w:p>
          <w:p>
            <w:pPr>
              <w:adjustRightInd w:val="0"/>
              <w:snapToGrid w:val="0"/>
              <w:spacing w:line="360" w:lineRule="exact"/>
              <w:rPr>
                <w:rFonts w:hAnsi="宋体"/>
                <w:color w:val="auto"/>
                <w:szCs w:val="21"/>
              </w:rPr>
            </w:pPr>
            <w:r>
              <w:rPr>
                <w:rFonts w:hint="eastAsia" w:ascii="宋体" w:hAnsi="宋体"/>
                <w:szCs w:val="21"/>
              </w:rPr>
              <w:t>电  话：0731-52668626</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第2.3</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hAnsi="宋体"/>
                <w:color w:val="auto"/>
                <w:szCs w:val="21"/>
              </w:rPr>
              <w:t>采购代理机构名称、地址、电话、联系人</w:t>
            </w:r>
          </w:p>
        </w:tc>
        <w:tc>
          <w:tcPr>
            <w:tcW w:w="4508" w:type="dxa"/>
            <w:noWrap w:val="0"/>
            <w:vAlign w:val="center"/>
          </w:tcPr>
          <w:p>
            <w:pPr>
              <w:adjustRightInd w:val="0"/>
              <w:snapToGrid w:val="0"/>
              <w:spacing w:line="360" w:lineRule="exact"/>
              <w:rPr>
                <w:rFonts w:ascii="宋体" w:hAnsi="宋体"/>
                <w:szCs w:val="21"/>
              </w:rPr>
            </w:pPr>
            <w:r>
              <w:rPr>
                <w:rFonts w:hint="eastAsia" w:ascii="宋体" w:hAnsi="宋体"/>
                <w:szCs w:val="21"/>
              </w:rPr>
              <w:t>名称：湖南恒典建设项目管理有限公司</w:t>
            </w:r>
          </w:p>
          <w:p>
            <w:pPr>
              <w:adjustRightInd w:val="0"/>
              <w:snapToGrid w:val="0"/>
              <w:spacing w:line="360" w:lineRule="exact"/>
              <w:rPr>
                <w:rFonts w:ascii="宋体" w:hAnsi="宋体"/>
                <w:szCs w:val="21"/>
              </w:rPr>
            </w:pPr>
            <w:r>
              <w:rPr>
                <w:rFonts w:hint="eastAsia" w:ascii="宋体" w:hAnsi="宋体"/>
                <w:szCs w:val="21"/>
              </w:rPr>
              <w:t>地址：湖南省长沙市雨花区沙湾路89号丽致酒店16楼</w:t>
            </w:r>
          </w:p>
          <w:p>
            <w:pPr>
              <w:adjustRightInd w:val="0"/>
              <w:snapToGrid w:val="0"/>
              <w:spacing w:line="360" w:lineRule="exact"/>
              <w:rPr>
                <w:rFonts w:hint="eastAsia" w:ascii="宋体" w:hAnsi="宋体" w:eastAsia="宋体"/>
                <w:szCs w:val="21"/>
                <w:lang w:eastAsia="zh-CN"/>
              </w:rPr>
            </w:pPr>
            <w:r>
              <w:rPr>
                <w:rFonts w:hint="eastAsia" w:ascii="宋体" w:hAnsi="宋体"/>
                <w:szCs w:val="21"/>
              </w:rPr>
              <w:t>电话：</w:t>
            </w:r>
            <w:r>
              <w:rPr>
                <w:rFonts w:hint="eastAsia" w:ascii="宋体" w:hAnsi="宋体" w:cs="宋体"/>
                <w:szCs w:val="21"/>
                <w:lang w:eastAsia="zh-CN"/>
              </w:rPr>
              <w:t>0731-84467119</w:t>
            </w:r>
          </w:p>
          <w:p>
            <w:pPr>
              <w:adjustRightInd w:val="0"/>
              <w:snapToGrid w:val="0"/>
              <w:spacing w:line="360" w:lineRule="exact"/>
              <w:rPr>
                <w:rFonts w:hAnsi="宋体"/>
                <w:color w:val="auto"/>
                <w:szCs w:val="21"/>
              </w:rPr>
            </w:pPr>
            <w:r>
              <w:rPr>
                <w:rFonts w:hint="eastAsia" w:ascii="宋体" w:hAnsi="宋体"/>
                <w:szCs w:val="21"/>
              </w:rPr>
              <w:t>联系人：</w:t>
            </w:r>
            <w:r>
              <w:rPr>
                <w:rFonts w:hint="eastAsia" w:ascii="宋体" w:hAnsi="宋体" w:cs="宋体"/>
                <w:szCs w:val="21"/>
              </w:rPr>
              <w:t xml:space="preserve">贺胜男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第3.1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hAnsi="宋体"/>
                <w:color w:val="auto"/>
                <w:szCs w:val="21"/>
              </w:rPr>
            </w:pPr>
            <w:r>
              <w:rPr>
                <w:rFonts w:hint="eastAsia" w:ascii="宋体" w:hAnsi="宋体" w:eastAsia="宋体"/>
                <w:color w:val="auto"/>
                <w:szCs w:val="21"/>
              </w:rPr>
              <w:t>投标人资格条件</w:t>
            </w:r>
          </w:p>
        </w:tc>
        <w:tc>
          <w:tcPr>
            <w:tcW w:w="4508" w:type="dxa"/>
            <w:noWrap w:val="0"/>
            <w:vAlign w:val="center"/>
          </w:tcPr>
          <w:p>
            <w:pPr>
              <w:adjustRightInd w:val="0"/>
              <w:snapToGrid w:val="0"/>
              <w:spacing w:line="360" w:lineRule="exact"/>
              <w:rPr>
                <w:rFonts w:ascii="宋体" w:hAnsi="宋体" w:cs="宋体"/>
                <w:kern w:val="0"/>
                <w:szCs w:val="21"/>
              </w:rPr>
            </w:pPr>
            <w:r>
              <w:rPr>
                <w:rFonts w:hint="eastAsia" w:ascii="宋体" w:hAnsi="宋体" w:cs="宋体"/>
                <w:kern w:val="0"/>
                <w:szCs w:val="21"/>
              </w:rPr>
              <w:t>1、投标人基本资格条件：符合《中华人民共和国政府采购法》第二十二条规定。</w:t>
            </w:r>
          </w:p>
          <w:p>
            <w:pPr>
              <w:adjustRightInd w:val="0"/>
              <w:snapToGrid w:val="0"/>
              <w:spacing w:line="360" w:lineRule="exact"/>
              <w:rPr>
                <w:rFonts w:ascii="宋体" w:hAnsi="宋体" w:cs="宋体"/>
                <w:kern w:val="0"/>
                <w:szCs w:val="21"/>
              </w:rPr>
            </w:pPr>
            <w:r>
              <w:rPr>
                <w:rFonts w:hint="eastAsia" w:ascii="宋体" w:hAnsi="宋体" w:cs="宋体"/>
                <w:kern w:val="0"/>
                <w:szCs w:val="21"/>
              </w:rPr>
              <w:t>（1）具有独立承担民事责任的能力；</w:t>
            </w:r>
          </w:p>
          <w:p>
            <w:pPr>
              <w:adjustRightInd w:val="0"/>
              <w:snapToGrid w:val="0"/>
              <w:spacing w:line="360" w:lineRule="exact"/>
              <w:rPr>
                <w:rFonts w:ascii="宋体" w:hAnsi="宋体" w:cs="宋体"/>
                <w:kern w:val="0"/>
                <w:szCs w:val="21"/>
              </w:rPr>
            </w:pPr>
            <w:r>
              <w:rPr>
                <w:rFonts w:hint="eastAsia" w:ascii="宋体" w:hAnsi="宋体" w:cs="宋体"/>
                <w:kern w:val="0"/>
                <w:szCs w:val="21"/>
              </w:rPr>
              <w:t>（2）具有良好的商业信誉和健全的财务会计制度；</w:t>
            </w:r>
          </w:p>
          <w:p>
            <w:pPr>
              <w:adjustRightInd w:val="0"/>
              <w:snapToGrid w:val="0"/>
              <w:spacing w:line="360" w:lineRule="exact"/>
              <w:rPr>
                <w:rFonts w:ascii="宋体" w:hAnsi="宋体" w:cs="宋体"/>
                <w:kern w:val="0"/>
                <w:szCs w:val="21"/>
              </w:rPr>
            </w:pPr>
            <w:r>
              <w:rPr>
                <w:rFonts w:hint="eastAsia" w:ascii="宋体" w:hAnsi="宋体" w:cs="宋体"/>
                <w:kern w:val="0"/>
                <w:szCs w:val="21"/>
              </w:rPr>
              <w:t>（3）具有履行合同所必需的设备和专业技术能力；</w:t>
            </w:r>
          </w:p>
          <w:p>
            <w:pPr>
              <w:adjustRightInd w:val="0"/>
              <w:snapToGrid w:val="0"/>
              <w:spacing w:line="360" w:lineRule="exact"/>
              <w:rPr>
                <w:rFonts w:ascii="宋体" w:hAnsi="宋体" w:cs="宋体"/>
                <w:kern w:val="0"/>
                <w:szCs w:val="21"/>
              </w:rPr>
            </w:pPr>
            <w:r>
              <w:rPr>
                <w:rFonts w:hint="eastAsia" w:ascii="宋体" w:hAnsi="宋体" w:cs="宋体"/>
                <w:kern w:val="0"/>
                <w:szCs w:val="21"/>
              </w:rPr>
              <w:t>（4）有依法缴纳税收和社会保障资金的良好记录；</w:t>
            </w:r>
          </w:p>
          <w:p>
            <w:pPr>
              <w:adjustRightInd w:val="0"/>
              <w:snapToGrid w:val="0"/>
              <w:spacing w:line="360" w:lineRule="exact"/>
              <w:rPr>
                <w:rFonts w:ascii="宋体" w:hAnsi="宋体" w:cs="宋体"/>
                <w:kern w:val="0"/>
                <w:szCs w:val="21"/>
              </w:rPr>
            </w:pPr>
            <w:r>
              <w:rPr>
                <w:rFonts w:hint="eastAsia" w:ascii="宋体" w:hAnsi="宋体" w:cs="宋体"/>
                <w:kern w:val="0"/>
                <w:szCs w:val="21"/>
              </w:rPr>
              <w:t>（5）参加政府采购活动前三年内，在经营活动中没有重大违法记录；</w:t>
            </w:r>
          </w:p>
          <w:p>
            <w:pPr>
              <w:adjustRightInd w:val="0"/>
              <w:snapToGrid w:val="0"/>
              <w:spacing w:line="360" w:lineRule="exact"/>
              <w:rPr>
                <w:rFonts w:ascii="宋体" w:hAnsi="宋体" w:cs="宋体"/>
                <w:kern w:val="0"/>
                <w:szCs w:val="21"/>
              </w:rPr>
            </w:pPr>
            <w:r>
              <w:rPr>
                <w:rFonts w:hint="eastAsia" w:ascii="宋体" w:hAnsi="宋体" w:cs="宋体"/>
                <w:kern w:val="0"/>
                <w:szCs w:val="21"/>
              </w:rPr>
              <w:t>（6）法律、行政法规规定的其他条件。</w:t>
            </w:r>
          </w:p>
          <w:p>
            <w:pPr>
              <w:adjustRightInd w:val="0"/>
              <w:snapToGrid w:val="0"/>
              <w:spacing w:line="360" w:lineRule="exact"/>
              <w:rPr>
                <w:rFonts w:ascii="宋体" w:hAnsi="宋体" w:cs="宋体"/>
                <w:kern w:val="0"/>
                <w:szCs w:val="21"/>
              </w:rPr>
            </w:pPr>
            <w:r>
              <w:rPr>
                <w:rFonts w:hint="eastAsia" w:ascii="宋体" w:hAnsi="宋体" w:cs="宋体"/>
                <w:kern w:val="0"/>
                <w:szCs w:val="21"/>
              </w:rPr>
              <w:t>2、采购项目的特定资格条件：无</w:t>
            </w:r>
            <w:r>
              <w:rPr>
                <w:szCs w:val="21"/>
              </w:rPr>
              <w:t>。</w:t>
            </w:r>
          </w:p>
          <w:p>
            <w:pPr>
              <w:adjustRightInd w:val="0"/>
              <w:snapToGrid w:val="0"/>
              <w:spacing w:line="360" w:lineRule="exact"/>
              <w:rPr>
                <w:rFonts w:ascii="宋体" w:hAnsi="宋体" w:cs="宋体"/>
                <w:kern w:val="0"/>
                <w:szCs w:val="21"/>
              </w:rPr>
            </w:pPr>
            <w:r>
              <w:rPr>
                <w:rFonts w:hint="eastAsia" w:ascii="宋体" w:hAnsi="宋体" w:cs="宋体"/>
                <w:kern w:val="0"/>
                <w:szCs w:val="21"/>
              </w:rPr>
              <w:t>3、单位负责人为同一人或者存在直接控股、管理关系的不同投标人，不得参加同一合同项下的政府采购活动。</w:t>
            </w:r>
          </w:p>
          <w:p>
            <w:pPr>
              <w:adjustRightInd w:val="0"/>
              <w:snapToGrid w:val="0"/>
              <w:spacing w:line="360" w:lineRule="exact"/>
              <w:rPr>
                <w:rFonts w:ascii="宋体" w:hAnsi="宋体" w:cs="宋体"/>
                <w:kern w:val="0"/>
                <w:szCs w:val="21"/>
              </w:rPr>
            </w:pPr>
            <w:r>
              <w:rPr>
                <w:rFonts w:hint="eastAsia" w:ascii="宋体" w:hAnsi="宋体" w:cs="宋体"/>
                <w:kern w:val="0"/>
                <w:szCs w:val="21"/>
              </w:rPr>
              <w:t>4、为本采购项目提供整体设计、规范编制或者项目管理、监理、检测等服务的，不得再参加此项目的其他采购活动。</w:t>
            </w:r>
          </w:p>
          <w:p>
            <w:pPr>
              <w:adjustRightInd w:val="0"/>
              <w:snapToGrid w:val="0"/>
              <w:spacing w:line="360" w:lineRule="exact"/>
              <w:rPr>
                <w:rFonts w:hAnsi="宋体"/>
                <w:color w:val="auto"/>
                <w:szCs w:val="21"/>
              </w:rPr>
            </w:pPr>
            <w:r>
              <w:rPr>
                <w:rFonts w:hint="eastAsia" w:ascii="宋体" w:hAnsi="宋体" w:cs="宋体"/>
                <w:kern w:val="0"/>
                <w:szCs w:val="21"/>
              </w:rPr>
              <w:t>5、列入失信被执行人、重大税收违法失信主体名单、政府采购严重违法失信行为记录名单的，拒绝其参与政府采购活动。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第3.2</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hAnsi="宋体"/>
                <w:color w:val="auto"/>
                <w:szCs w:val="21"/>
              </w:rPr>
            </w:pPr>
            <w:r>
              <w:rPr>
                <w:rFonts w:hint="eastAsia" w:hAnsi="宋体"/>
                <w:color w:val="auto"/>
                <w:szCs w:val="21"/>
              </w:rPr>
              <w:t>接受联合体形式投标</w:t>
            </w:r>
          </w:p>
        </w:tc>
        <w:tc>
          <w:tcPr>
            <w:tcW w:w="4508" w:type="dxa"/>
            <w:noWrap w:val="0"/>
            <w:vAlign w:val="center"/>
          </w:tcPr>
          <w:p>
            <w:pPr>
              <w:adjustRightInd w:val="0"/>
              <w:snapToGrid w:val="0"/>
              <w:spacing w:line="360" w:lineRule="exact"/>
              <w:rPr>
                <w:rFonts w:hAnsi="宋体"/>
                <w:color w:val="auto"/>
                <w:szCs w:val="21"/>
              </w:rPr>
            </w:pPr>
            <w:r>
              <w:rPr>
                <w:rFonts w:hint="eastAsia" w:ascii="宋体" w:cs="宋体"/>
                <w:b/>
              </w:rPr>
              <w:t>本项目不接受联合体投标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第5.1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hAnsi="宋体"/>
                <w:color w:val="auto"/>
                <w:szCs w:val="21"/>
              </w:rPr>
            </w:pPr>
            <w:r>
              <w:rPr>
                <w:rFonts w:hint="eastAsia" w:ascii="宋体" w:hAnsi="宋体" w:eastAsia="宋体"/>
                <w:color w:val="auto"/>
                <w:szCs w:val="21"/>
              </w:rPr>
              <w:t>招标文件提供期限</w:t>
            </w:r>
          </w:p>
        </w:tc>
        <w:tc>
          <w:tcPr>
            <w:tcW w:w="4508" w:type="dxa"/>
            <w:noWrap w:val="0"/>
            <w:vAlign w:val="center"/>
          </w:tcPr>
          <w:p>
            <w:pPr>
              <w:adjustRightInd w:val="0"/>
              <w:snapToGrid w:val="0"/>
              <w:spacing w:line="360" w:lineRule="exact"/>
              <w:rPr>
                <w:rFonts w:hAnsi="宋体"/>
                <w:color w:val="auto"/>
                <w:szCs w:val="21"/>
              </w:rPr>
            </w:pPr>
            <w:bookmarkStart w:id="100" w:name="_GoBack"/>
            <w:bookmarkEnd w:id="100"/>
            <w:r>
              <w:rPr>
                <w:rFonts w:hint="eastAsia" w:ascii="宋体" w:hAnsi="宋体" w:cs="宋体"/>
                <w:b/>
                <w:bCs/>
                <w:kern w:val="0"/>
                <w:szCs w:val="21"/>
                <w:lang w:eastAsia="zh-CN"/>
              </w:rPr>
              <w:t>2024年1月2日至2024年1月9日</w:t>
            </w:r>
            <w:r>
              <w:rPr>
                <w:rFonts w:hint="eastAsia" w:ascii="宋体" w:hAnsi="宋体" w:cs="宋体"/>
                <w:b/>
                <w:bCs/>
                <w:kern w:val="0"/>
                <w:szCs w:val="21"/>
              </w:rPr>
              <w:t>17:00</w:t>
            </w:r>
            <w:r>
              <w:rPr>
                <w:rFonts w:hint="eastAsia" w:ascii="宋体" w:hAnsi="宋体" w:cs="宋体"/>
                <w:kern w:val="0"/>
                <w:szCs w:val="21"/>
              </w:rPr>
              <w:t>前</w:t>
            </w:r>
            <w:r>
              <w:rPr>
                <w:rFonts w:hint="eastAsia" w:ascii="宋体" w:hAnsi="宋体" w:cs="宋体"/>
                <w:szCs w:val="21"/>
              </w:rPr>
              <w:t>在湘潭公共资源交易中心网站</w:t>
            </w:r>
            <w:r>
              <w:rPr>
                <w:rFonts w:ascii="宋体" w:hAnsi="宋体" w:cs="宋体"/>
                <w:szCs w:val="21"/>
              </w:rPr>
              <w:t>http://ggzy.xiangtan.gov.cn/</w:t>
            </w:r>
            <w:r>
              <w:rPr>
                <w:rFonts w:hint="eastAsia" w:ascii="宋体" w:hAnsi="宋体" w:cs="宋体"/>
                <w:szCs w:val="21"/>
              </w:rPr>
              <w:t>进行网上下载</w:t>
            </w:r>
            <w:r>
              <w:rPr>
                <w:rFonts w:ascii="宋体" w:hAnsi="宋体" w:cs="宋体"/>
                <w:szCs w:val="21"/>
              </w:rPr>
              <w:t>/</w:t>
            </w:r>
            <w:r>
              <w:rPr>
                <w:rFonts w:hint="eastAsia" w:ascii="宋体" w:hAnsi="宋体" w:cs="宋体"/>
                <w:szCs w:val="21"/>
              </w:rPr>
              <w:t>获取招标文件。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第5.2</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组织现场考察或者召开答疑会</w:t>
            </w:r>
          </w:p>
        </w:tc>
        <w:tc>
          <w:tcPr>
            <w:tcW w:w="4508" w:type="dxa"/>
            <w:noWrap w:val="0"/>
            <w:vAlign w:val="center"/>
          </w:tcPr>
          <w:p>
            <w:pPr>
              <w:adjustRightInd w:val="0"/>
              <w:snapToGrid w:val="0"/>
              <w:spacing w:line="360" w:lineRule="exact"/>
              <w:rPr>
                <w:rFonts w:ascii="宋体" w:hAnsi="宋体" w:eastAsia="宋体"/>
                <w:color w:val="auto"/>
                <w:szCs w:val="21"/>
              </w:rPr>
            </w:pPr>
            <w:r>
              <w:rPr>
                <w:rFonts w:hint="eastAsia" w:ascii="宋体" w:hAnsi="宋体" w:cs="宋体"/>
                <w:szCs w:val="21"/>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pPr>
              <w:adjustRightInd w:val="0"/>
              <w:snapToGrid w:val="0"/>
              <w:spacing w:line="360" w:lineRule="auto"/>
              <w:rPr>
                <w:rFonts w:ascii="宋体" w:hAnsi="宋体" w:eastAsia="宋体"/>
                <w:b/>
                <w:color w:val="auto"/>
                <w:szCs w:val="21"/>
              </w:rPr>
            </w:pPr>
            <w:r>
              <w:rPr>
                <w:rFonts w:hint="eastAsia" w:ascii="宋体" w:hAnsi="宋体" w:eastAsia="宋体"/>
                <w:b/>
                <w:color w:val="auto"/>
                <w:szCs w:val="21"/>
              </w:rPr>
              <w:t>二、招标文件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第7.4</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非实质性偏离的范围和幅度</w:t>
            </w:r>
          </w:p>
        </w:tc>
        <w:tc>
          <w:tcPr>
            <w:tcW w:w="4508" w:type="dxa"/>
            <w:noWrap w:val="0"/>
            <w:vAlign w:val="center"/>
          </w:tcPr>
          <w:p>
            <w:pPr>
              <w:adjustRightInd w:val="0"/>
              <w:snapToGrid w:val="0"/>
              <w:spacing w:line="360" w:lineRule="exact"/>
              <w:ind w:left="105" w:leftChars="0" w:hanging="105" w:hangingChars="50"/>
              <w:jc w:val="left"/>
              <w:rPr>
                <w:rFonts w:ascii="宋体" w:hAnsi="宋体" w:eastAsia="宋体"/>
                <w:color w:val="auto"/>
                <w:szCs w:val="21"/>
                <w:u w:val="single"/>
              </w:rPr>
            </w:pPr>
            <w:r>
              <w:rPr>
                <w:rFonts w:hint="eastAsia" w:ascii="宋体" w:hAnsi="宋体" w:cs="宋体"/>
                <w:szCs w:val="21"/>
              </w:rPr>
              <w:t>一般商务</w:t>
            </w:r>
            <w:r>
              <w:rPr>
                <w:rFonts w:hint="eastAsia" w:ascii="宋体" w:hAnsi="宋体" w:cs="宋体"/>
                <w:spacing w:val="4"/>
                <w:szCs w:val="21"/>
              </w:rPr>
              <w:t>和</w:t>
            </w:r>
            <w:r>
              <w:rPr>
                <w:rFonts w:hint="eastAsia" w:ascii="宋体" w:hAnsi="宋体" w:cs="宋体"/>
                <w:szCs w:val="21"/>
              </w:rPr>
              <w:t>技术条款偏离项数之和≥</w:t>
            </w:r>
            <w:r>
              <w:rPr>
                <w:rFonts w:hint="eastAsia" w:ascii="宋体" w:hAnsi="宋体" w:cs="宋体"/>
                <w:b/>
                <w:bCs/>
                <w:szCs w:val="21"/>
                <w:u w:val="single"/>
              </w:rPr>
              <w:t>10</w:t>
            </w:r>
            <w:r>
              <w:rPr>
                <w:rFonts w:hint="eastAsia" w:ascii="宋体" w:hAnsi="宋体" w:cs="宋体"/>
                <w:szCs w:val="21"/>
              </w:rPr>
              <w:t>项将导致无效投标，</w:t>
            </w:r>
            <w:r>
              <w:rPr>
                <w:rFonts w:hint="eastAsia" w:ascii="宋体" w:hAnsi="宋体"/>
                <w:szCs w:val="21"/>
              </w:rPr>
              <w:t>相同内容的条款不重复计算项数</w:t>
            </w:r>
            <w:r>
              <w:rPr>
                <w:rFonts w:hint="eastAsia" w:ascii="宋体" w:hAnsi="宋体" w:cs="宋体"/>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第9.1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招标公告指定媒体</w:t>
            </w:r>
          </w:p>
        </w:tc>
        <w:tc>
          <w:tcPr>
            <w:tcW w:w="4508" w:type="dxa"/>
            <w:noWrap w:val="0"/>
            <w:vAlign w:val="center"/>
          </w:tcPr>
          <w:p>
            <w:pPr>
              <w:adjustRightInd w:val="0"/>
              <w:snapToGrid w:val="0"/>
              <w:spacing w:line="360" w:lineRule="exact"/>
              <w:ind w:left="105" w:hanging="105" w:hangingChars="50"/>
              <w:jc w:val="left"/>
              <w:rPr>
                <w:rFonts w:ascii="宋体" w:cs="宋体"/>
                <w:szCs w:val="21"/>
              </w:rPr>
            </w:pPr>
            <w:r>
              <w:rPr>
                <w:rFonts w:hint="eastAsia" w:ascii="宋体" w:cs="宋体"/>
                <w:szCs w:val="21"/>
              </w:rPr>
              <w:t>指定媒体：中国政府采购网（</w:t>
            </w:r>
            <w:r>
              <w:fldChar w:fldCharType="begin"/>
            </w:r>
            <w:r>
              <w:instrText xml:space="preserve"> HYPERLINK "http://www.ccgp-hunan.gov.cn/" </w:instrText>
            </w:r>
            <w:r>
              <w:fldChar w:fldCharType="separate"/>
            </w:r>
            <w:r>
              <w:rPr>
                <w:rFonts w:ascii="宋体" w:cs="宋体"/>
                <w:szCs w:val="21"/>
              </w:rPr>
              <w:t>http://www.ccgp-hunan.gov.cn/</w:t>
            </w:r>
            <w:r>
              <w:rPr>
                <w:rFonts w:ascii="宋体" w:cs="宋体"/>
                <w:szCs w:val="21"/>
              </w:rPr>
              <w:fldChar w:fldCharType="end"/>
            </w:r>
            <w:r>
              <w:rPr>
                <w:rFonts w:hint="eastAsia" w:ascii="宋体" w:cs="宋体"/>
                <w:szCs w:val="21"/>
              </w:rPr>
              <w:t>）</w:t>
            </w:r>
          </w:p>
          <w:p>
            <w:pPr>
              <w:adjustRightInd w:val="0"/>
              <w:snapToGrid w:val="0"/>
              <w:spacing w:line="360" w:lineRule="exact"/>
              <w:ind w:left="105" w:leftChars="0" w:hanging="105" w:hangingChars="50"/>
              <w:jc w:val="left"/>
              <w:rPr>
                <w:rFonts w:hAnsi="宋体"/>
                <w:color w:val="auto"/>
                <w:szCs w:val="21"/>
              </w:rPr>
            </w:pPr>
            <w:r>
              <w:rPr>
                <w:rFonts w:hint="eastAsia" w:ascii="宋体" w:cs="宋体"/>
                <w:szCs w:val="21"/>
              </w:rPr>
              <w:t>其他媒体：</w:t>
            </w:r>
            <w:r>
              <w:rPr>
                <w:rFonts w:hint="eastAsia" w:ascii="宋体" w:cs="宋体"/>
                <w:szCs w:val="21"/>
                <w:lang w:val="en-US" w:eastAsia="zh-CN"/>
              </w:rPr>
              <w:t>湖南省政府采购网、</w:t>
            </w:r>
            <w:r>
              <w:rPr>
                <w:rFonts w:hint="eastAsia" w:ascii="宋体" w:cs="宋体"/>
                <w:szCs w:val="21"/>
              </w:rPr>
              <w:t>湘潭公共资源交易中心网（</w:t>
            </w:r>
            <w:r>
              <w:rPr>
                <w:rFonts w:ascii="宋体" w:cs="宋体"/>
                <w:szCs w:val="21"/>
              </w:rPr>
              <w:t>http://ggzy.xiangtan.gov.cn/</w:t>
            </w:r>
            <w:r>
              <w:rPr>
                <w:rFonts w:hint="eastAsia" w:ascii="宋体" w:cs="宋体"/>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noWrap w:val="0"/>
            <w:vAlign w:val="center"/>
          </w:tcPr>
          <w:p>
            <w:pPr>
              <w:adjustRightInd w:val="0"/>
              <w:snapToGrid w:val="0"/>
              <w:spacing w:line="360" w:lineRule="auto"/>
              <w:rPr>
                <w:rFonts w:ascii="宋体" w:hAnsi="宋体" w:eastAsia="宋体"/>
                <w:color w:val="auto"/>
                <w:szCs w:val="21"/>
              </w:rPr>
            </w:pPr>
            <w:r>
              <w:rPr>
                <w:rFonts w:hint="eastAsia" w:ascii="宋体" w:hAnsi="宋体" w:eastAsia="宋体"/>
                <w:b/>
                <w:color w:val="auto"/>
                <w:szCs w:val="21"/>
              </w:rPr>
              <w:t>三、投标文件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第13.2</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采购</w:t>
            </w:r>
            <w:r>
              <w:rPr>
                <w:rFonts w:hint="eastAsia" w:ascii="宋体" w:hAnsi="宋体"/>
                <w:color w:val="auto"/>
                <w:szCs w:val="21"/>
                <w:lang w:val="en-US" w:eastAsia="zh-CN"/>
              </w:rPr>
              <w:t>项目</w:t>
            </w:r>
            <w:r>
              <w:rPr>
                <w:rFonts w:hint="eastAsia" w:ascii="宋体" w:hAnsi="宋体" w:eastAsia="宋体"/>
                <w:color w:val="auto"/>
                <w:szCs w:val="21"/>
              </w:rPr>
              <w:t>预算、最高限价</w:t>
            </w:r>
          </w:p>
        </w:tc>
        <w:tc>
          <w:tcPr>
            <w:tcW w:w="4508" w:type="dxa"/>
            <w:noWrap w:val="0"/>
            <w:vAlign w:val="center"/>
          </w:tcPr>
          <w:p>
            <w:pPr>
              <w:pStyle w:val="3"/>
              <w:spacing w:line="360" w:lineRule="exact"/>
              <w:rPr>
                <w:rFonts w:ascii="Times New Roman" w:hAnsi="Times New Roman"/>
                <w:b/>
                <w:sz w:val="21"/>
                <w:szCs w:val="21"/>
              </w:rPr>
            </w:pPr>
            <w:r>
              <w:rPr>
                <w:rFonts w:hint="eastAsia" w:ascii="Times New Roman" w:hAnsi="Times New Roman"/>
                <w:b/>
                <w:sz w:val="21"/>
                <w:szCs w:val="21"/>
              </w:rPr>
              <w:t>本项目采购总预算：</w:t>
            </w:r>
            <w:r>
              <w:rPr>
                <w:rFonts w:hint="eastAsia" w:ascii="Times New Roman" w:hAnsi="Times New Roman"/>
                <w:b/>
                <w:sz w:val="21"/>
                <w:szCs w:val="21"/>
                <w:lang w:val="en-US" w:eastAsia="zh-CN"/>
              </w:rPr>
              <w:t>422400</w:t>
            </w:r>
            <w:r>
              <w:rPr>
                <w:rFonts w:hint="eastAsia" w:ascii="Times New Roman" w:hAnsi="Times New Roman"/>
                <w:b/>
                <w:sz w:val="21"/>
                <w:szCs w:val="21"/>
              </w:rPr>
              <w:t>元。投标报价不能超过最高限价，否则为无效投标。</w:t>
            </w:r>
          </w:p>
          <w:p>
            <w:pPr>
              <w:adjustRightInd w:val="0"/>
              <w:snapToGrid w:val="0"/>
              <w:spacing w:line="360" w:lineRule="auto"/>
              <w:rPr>
                <w:rFonts w:ascii="宋体" w:hAnsi="宋体" w:eastAsia="宋体"/>
                <w:color w:val="auto"/>
                <w:szCs w:val="21"/>
              </w:rPr>
            </w:pPr>
            <w:r>
              <w:rPr>
                <w:rFonts w:hint="eastAsia"/>
                <w:szCs w:val="21"/>
              </w:rPr>
              <w:t>注：若投标人的报价明显低于其他投标人报价，使得其投标报价可能低于本招标项目成本价的，有可能影响项目质量或不能诚信履约的，给委托方带来严重风险的，投标人应按评标委员会要求作出书面说明并提供相关证明材料，不做说明、不能合理说明或不能提供相关证明材料或拒绝说明的，将被认定为恶意低价竞标并作无效投标处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第13.8款</w:t>
            </w:r>
          </w:p>
        </w:tc>
        <w:tc>
          <w:tcPr>
            <w:tcW w:w="2863" w:type="dxa"/>
            <w:noWrap w:val="0"/>
            <w:vAlign w:val="center"/>
          </w:tcPr>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投标报价的其他要求</w:t>
            </w:r>
          </w:p>
        </w:tc>
        <w:tc>
          <w:tcPr>
            <w:tcW w:w="4508" w:type="dxa"/>
            <w:noWrap w:val="0"/>
            <w:vAlign w:val="center"/>
          </w:tcPr>
          <w:p>
            <w:pPr>
              <w:adjustRightInd w:val="0"/>
              <w:snapToGrid w:val="0"/>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第14.1款</w:t>
            </w:r>
          </w:p>
        </w:tc>
        <w:tc>
          <w:tcPr>
            <w:tcW w:w="2863" w:type="dxa"/>
            <w:noWrap w:val="0"/>
            <w:vAlign w:val="center"/>
          </w:tcPr>
          <w:p>
            <w:pPr>
              <w:adjustRightInd w:val="0"/>
              <w:snapToGrid w:val="0"/>
              <w:spacing w:line="360" w:lineRule="auto"/>
              <w:rPr>
                <w:rFonts w:ascii="宋体" w:hAnsi="宋体" w:eastAsia="宋体"/>
                <w:bCs/>
                <w:color w:val="auto"/>
                <w:szCs w:val="21"/>
              </w:rPr>
            </w:pPr>
            <w:r>
              <w:rPr>
                <w:rFonts w:hint="eastAsia" w:ascii="宋体" w:hAnsi="宋体" w:eastAsia="宋体"/>
                <w:color w:val="auto"/>
                <w:szCs w:val="21"/>
              </w:rPr>
              <w:t>投标人应提供资格审查资料</w:t>
            </w:r>
          </w:p>
        </w:tc>
        <w:tc>
          <w:tcPr>
            <w:tcW w:w="4508" w:type="dxa"/>
            <w:noWrap w:val="0"/>
            <w:vAlign w:val="center"/>
          </w:tcPr>
          <w:p>
            <w:pPr>
              <w:spacing w:line="400" w:lineRule="exact"/>
              <w:rPr>
                <w:rFonts w:ascii="宋体" w:hAnsi="宋体"/>
              </w:rPr>
            </w:pPr>
            <w:r>
              <w:rPr>
                <w:rFonts w:hint="eastAsia" w:ascii="宋体" w:hAnsi="宋体"/>
              </w:rPr>
              <w:t>按以下资格条件要求提供相关证明材料：</w:t>
            </w:r>
          </w:p>
          <w:p>
            <w:pPr>
              <w:spacing w:line="400" w:lineRule="exact"/>
              <w:rPr>
                <w:rFonts w:ascii="宋体" w:hAnsi="宋体"/>
              </w:rPr>
            </w:pPr>
            <w:r>
              <w:rPr>
                <w:rFonts w:hint="eastAsia" w:ascii="宋体" w:hAnsi="宋体"/>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spacing w:line="400" w:lineRule="exact"/>
              <w:rPr>
                <w:rFonts w:ascii="宋体" w:hAnsi="宋体"/>
              </w:rPr>
            </w:pPr>
            <w:r>
              <w:rPr>
                <w:rFonts w:hint="eastAsia" w:ascii="宋体" w:hAnsi="宋体"/>
              </w:rPr>
              <w:t>2、按《关于政府采购促进中小企业发展若干措施的通知》的规定，投标人可按后附格式提供《湖南省政府采购投标人资格承诺函》，无需再提供财务报告、依法缴纳税收和社会保险费的证明材料、参加政府采购活动前3年内在经营活动中没有重大违法记录的书面声明。</w:t>
            </w:r>
          </w:p>
          <w:p>
            <w:pPr>
              <w:spacing w:line="400" w:lineRule="exact"/>
              <w:rPr>
                <w:rFonts w:ascii="宋体" w:hAnsi="宋体" w:eastAsia="宋体" w:cs="Times New Roman"/>
                <w:kern w:val="2"/>
                <w:sz w:val="21"/>
                <w:szCs w:val="24"/>
                <w:lang w:val="en-US" w:eastAsia="zh-CN" w:bidi="ar-SA"/>
              </w:rPr>
            </w:pPr>
            <w:r>
              <w:rPr>
                <w:rFonts w:hint="eastAsia" w:ascii="宋体" w:hAnsi="宋体"/>
              </w:rPr>
              <w:t>3、</w:t>
            </w:r>
            <w:r>
              <w:rPr>
                <w:rFonts w:hint="eastAsia" w:ascii="宋体" w:hAnsi="宋体" w:cs="宋体"/>
                <w:szCs w:val="21"/>
              </w:rPr>
              <w:t>法人提交法定代表人身份证明原件或者法定代表人授权委托书原件并附法定代表人身份证明原件，自然人提交身份证复印件。</w:t>
            </w:r>
            <w:r>
              <w:rPr>
                <w:rFonts w:hint="eastAsia" w:ascii="宋体" w:hAnsi="宋体"/>
              </w:rPr>
              <w:br w:type="page"/>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第16.1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bCs/>
                <w:color w:val="auto"/>
                <w:szCs w:val="21"/>
              </w:rPr>
            </w:pPr>
            <w:r>
              <w:rPr>
                <w:rFonts w:hint="eastAsia" w:ascii="宋体" w:hAnsi="宋体" w:eastAsia="宋体"/>
                <w:bCs/>
                <w:color w:val="auto"/>
                <w:szCs w:val="21"/>
              </w:rPr>
              <w:t>投标有效期</w:t>
            </w:r>
          </w:p>
        </w:tc>
        <w:tc>
          <w:tcPr>
            <w:tcW w:w="4508" w:type="dxa"/>
            <w:noWrap w:val="0"/>
            <w:vAlign w:val="center"/>
          </w:tcPr>
          <w:p>
            <w:pPr>
              <w:adjustRightInd w:val="0"/>
              <w:snapToGrid w:val="0"/>
              <w:spacing w:line="360" w:lineRule="exact"/>
              <w:rPr>
                <w:rFonts w:ascii="宋体" w:hAnsi="宋体" w:eastAsia="宋体"/>
                <w:bCs/>
                <w:color w:val="auto"/>
                <w:szCs w:val="21"/>
              </w:rPr>
            </w:pPr>
            <w:r>
              <w:rPr>
                <w:rFonts w:hint="eastAsia" w:ascii="宋体" w:hAnsi="宋体" w:cs="宋体"/>
                <w:szCs w:val="21"/>
                <w:u w:val="single"/>
              </w:rPr>
              <w:t>90</w:t>
            </w:r>
            <w:r>
              <w:rPr>
                <w:rFonts w:hint="eastAsia" w:ascii="宋体" w:hAnsi="宋体" w:cs="宋体"/>
                <w:szCs w:val="21"/>
              </w:rPr>
              <w:t>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第17.1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ind w:left="-533" w:leftChars="-254" w:firstLine="533" w:firstLineChars="254"/>
              <w:jc w:val="left"/>
              <w:rPr>
                <w:rFonts w:ascii="宋体" w:hAnsi="宋体" w:eastAsia="宋体"/>
                <w:color w:val="auto"/>
                <w:szCs w:val="21"/>
              </w:rPr>
            </w:pPr>
            <w:r>
              <w:rPr>
                <w:rFonts w:hint="eastAsia" w:ascii="宋体" w:hAnsi="宋体" w:eastAsia="宋体"/>
                <w:color w:val="auto"/>
                <w:szCs w:val="21"/>
              </w:rPr>
              <w:t>投标保证金</w:t>
            </w:r>
          </w:p>
        </w:tc>
        <w:tc>
          <w:tcPr>
            <w:tcW w:w="4508" w:type="dxa"/>
            <w:noWrap w:val="0"/>
            <w:vAlign w:val="center"/>
          </w:tcPr>
          <w:p>
            <w:pPr>
              <w:widowControl/>
              <w:spacing w:line="360" w:lineRule="exact"/>
              <w:jc w:val="left"/>
              <w:rPr>
                <w:rFonts w:hint="eastAsia" w:ascii="宋体" w:hAnsi="宋体" w:eastAsia="宋体" w:cs="宋体"/>
                <w:szCs w:val="21"/>
                <w:lang w:eastAsia="zh-CN"/>
              </w:rPr>
            </w:pPr>
            <w:r>
              <w:rPr>
                <w:rFonts w:hint="eastAsia" w:ascii="宋体" w:hAnsi="宋体" w:cs="宋体"/>
                <w:szCs w:val="21"/>
              </w:rPr>
              <w:t>1、投标保证金数额：</w:t>
            </w:r>
            <w:r>
              <w:rPr>
                <w:rFonts w:hint="eastAsia" w:ascii="宋体" w:hAnsi="宋体" w:cs="宋体"/>
                <w:b/>
                <w:szCs w:val="21"/>
                <w:lang w:eastAsia="zh-CN"/>
              </w:rPr>
              <w:t>捌仟元整</w:t>
            </w:r>
          </w:p>
          <w:p>
            <w:pPr>
              <w:widowControl/>
              <w:spacing w:line="360" w:lineRule="exact"/>
              <w:jc w:val="left"/>
              <w:rPr>
                <w:rFonts w:ascii="宋体" w:hAnsi="宋体" w:cs="宋体"/>
                <w:szCs w:val="21"/>
              </w:rPr>
            </w:pPr>
            <w:r>
              <w:rPr>
                <w:rFonts w:hint="eastAsia" w:ascii="宋体" w:hAnsi="宋体" w:cs="宋体"/>
                <w:szCs w:val="21"/>
              </w:rPr>
              <w:t>2、投标保证金递交方式：银行转账或保证保险或银行保函；</w:t>
            </w:r>
          </w:p>
          <w:p>
            <w:pPr>
              <w:widowControl/>
              <w:spacing w:line="360" w:lineRule="exact"/>
              <w:jc w:val="left"/>
              <w:rPr>
                <w:rFonts w:ascii="宋体" w:hAnsi="宋体" w:cs="宋体"/>
                <w:szCs w:val="21"/>
              </w:rPr>
            </w:pPr>
            <w:r>
              <w:rPr>
                <w:rFonts w:hint="eastAsia" w:ascii="宋体" w:hAnsi="宋体" w:cs="宋体"/>
                <w:szCs w:val="21"/>
              </w:rPr>
              <w:t>3、采用银行保函时，应由投标人开立基本账户的银行出具保函，与银行查询授权书原件一并在投标截止时间前交采购人。</w:t>
            </w:r>
          </w:p>
          <w:p>
            <w:pPr>
              <w:widowControl/>
              <w:spacing w:line="360" w:lineRule="exact"/>
              <w:jc w:val="left"/>
              <w:rPr>
                <w:rFonts w:ascii="宋体" w:hAnsi="宋体" w:cs="宋体"/>
                <w:szCs w:val="21"/>
              </w:rPr>
            </w:pPr>
            <w:r>
              <w:rPr>
                <w:rFonts w:hint="eastAsia" w:ascii="宋体" w:hAnsi="宋体" w:cs="宋体"/>
                <w:szCs w:val="21"/>
              </w:rPr>
              <w:t>4、投标人以银行转账方式提交的，必须以企业法人的名义提交投标保证金。在投标截止前按照湘潭市公共资源交易电子化平台要求由投标人基本账户转入本投标单位申请到的投标保证金收款账户。</w:t>
            </w:r>
          </w:p>
          <w:p>
            <w:pPr>
              <w:widowControl/>
              <w:spacing w:line="360" w:lineRule="exact"/>
              <w:jc w:val="left"/>
              <w:rPr>
                <w:rFonts w:ascii="宋体" w:hAnsi="宋体" w:cs="宋体"/>
                <w:szCs w:val="21"/>
              </w:rPr>
            </w:pPr>
            <w:r>
              <w:rPr>
                <w:rFonts w:hint="eastAsia" w:ascii="宋体" w:hAnsi="宋体" w:cs="宋体"/>
                <w:szCs w:val="21"/>
              </w:rPr>
              <w:t>5、各投标人需在递交投标保证金前确保本单位在湘潭市公共资源交易电子化平台系统中录入的基本账户与本企业的基本账户一致，否则，保证金视为无效。</w:t>
            </w:r>
          </w:p>
          <w:p>
            <w:pPr>
              <w:widowControl/>
              <w:spacing w:line="360" w:lineRule="exact"/>
              <w:jc w:val="left"/>
              <w:rPr>
                <w:rFonts w:ascii="宋体" w:hAnsi="宋体" w:cs="宋体"/>
                <w:szCs w:val="21"/>
              </w:rPr>
            </w:pPr>
            <w:r>
              <w:rPr>
                <w:rFonts w:hint="eastAsia" w:ascii="宋体" w:hAnsi="宋体" w:cs="宋体"/>
                <w:szCs w:val="21"/>
              </w:rPr>
              <w:t>6、保证保险电子保单：采用保证保险电子保单形式，投标人登录湘潭市公共资源交易电子服务平台，查阅本项目招标公告，点击“确认投标”进入投标管理页面，选择“保证保险”，系统跳转至工保网，请投标人仔细阅读投保须知及操作流程办理投保业务，具体操作详见《湘潭市投标保证保险操作手册》。</w:t>
            </w:r>
          </w:p>
          <w:p>
            <w:pPr>
              <w:widowControl/>
              <w:spacing w:line="360" w:lineRule="exact"/>
              <w:jc w:val="left"/>
              <w:rPr>
                <w:rFonts w:ascii="宋体" w:hAnsi="宋体" w:cs="宋体"/>
                <w:szCs w:val="21"/>
              </w:rPr>
            </w:pPr>
            <w:r>
              <w:rPr>
                <w:rFonts w:hint="eastAsia" w:ascii="宋体" w:hAnsi="宋体" w:cs="宋体"/>
                <w:szCs w:val="21"/>
              </w:rPr>
              <w:t>7、投标保证金到账截止时间、保函及保单生效截止时间为投标截止时间。</w:t>
            </w:r>
          </w:p>
          <w:p>
            <w:pPr>
              <w:widowControl/>
              <w:spacing w:line="360" w:lineRule="exact"/>
              <w:jc w:val="left"/>
              <w:rPr>
                <w:rFonts w:ascii="宋体" w:hAnsi="宋体" w:cs="宋体"/>
                <w:szCs w:val="21"/>
              </w:rPr>
            </w:pPr>
            <w:r>
              <w:rPr>
                <w:rFonts w:hint="eastAsia" w:ascii="宋体" w:hAnsi="宋体" w:cs="宋体"/>
                <w:szCs w:val="21"/>
              </w:rPr>
              <w:t>8、请投标单位及时关注投标保证金到账情况，有任何疑问请及时致电湘潭市公共资源交易中心保证金业务科室进行查询，避免因未按采购文件要求递交投标保证金而导致废标。</w:t>
            </w:r>
          </w:p>
          <w:p>
            <w:pPr>
              <w:widowControl/>
              <w:spacing w:line="360" w:lineRule="exact"/>
              <w:jc w:val="left"/>
              <w:rPr>
                <w:rFonts w:ascii="宋体" w:hAnsi="宋体" w:cs="宋体"/>
                <w:szCs w:val="21"/>
              </w:rPr>
            </w:pPr>
            <w:r>
              <w:rPr>
                <w:rFonts w:hint="eastAsia" w:ascii="宋体" w:hAnsi="宋体" w:cs="宋体"/>
                <w:szCs w:val="21"/>
              </w:rPr>
              <w:t>9、投标人未按采购文件要求提交投标保证金的,视为不合格投标人。</w:t>
            </w:r>
          </w:p>
          <w:p>
            <w:pPr>
              <w:widowControl/>
              <w:spacing w:line="360" w:lineRule="exact"/>
              <w:jc w:val="left"/>
              <w:rPr>
                <w:rFonts w:ascii="宋体" w:hAnsi="宋体" w:cs="宋体"/>
                <w:szCs w:val="21"/>
              </w:rPr>
            </w:pPr>
            <w:r>
              <w:rPr>
                <w:rFonts w:hint="eastAsia" w:ascii="宋体" w:hAnsi="宋体" w:cs="宋体"/>
                <w:szCs w:val="21"/>
              </w:rPr>
              <w:t>10、对项目本次招标出现招标失败（流标或废标）情况的，投标保证金将即时退还原缴纳账户。重新组织招标采购时，投标人应当重新获取投标保证金账号，并按新账号缴纳投标保证金。</w:t>
            </w:r>
          </w:p>
          <w:p>
            <w:pPr>
              <w:widowControl/>
              <w:spacing w:line="360" w:lineRule="exact"/>
              <w:jc w:val="left"/>
              <w:rPr>
                <w:rFonts w:ascii="宋体" w:hAnsi="宋体" w:eastAsia="宋体"/>
                <w:color w:val="auto"/>
                <w:szCs w:val="21"/>
              </w:rPr>
            </w:pPr>
            <w:r>
              <w:rPr>
                <w:rFonts w:hint="eastAsia" w:ascii="宋体" w:hAnsi="宋体" w:cs="宋体"/>
                <w:szCs w:val="21"/>
              </w:rPr>
              <w:t>11、以联合体形式投标的，应当以联合体牵头人名义提交投标保证金，对联合体各成员均具有约束力。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第18.1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bCs/>
                <w:color w:val="auto"/>
                <w:szCs w:val="21"/>
              </w:rPr>
              <w:t>分包</w:t>
            </w:r>
          </w:p>
        </w:tc>
        <w:tc>
          <w:tcPr>
            <w:tcW w:w="4508" w:type="dxa"/>
            <w:noWrap w:val="0"/>
            <w:vAlign w:val="center"/>
          </w:tcPr>
          <w:p>
            <w:pPr>
              <w:adjustRightInd w:val="0"/>
              <w:snapToGrid w:val="0"/>
              <w:spacing w:line="360" w:lineRule="auto"/>
              <w:rPr>
                <w:rFonts w:hint="default" w:ascii="宋体" w:hAnsi="宋体" w:eastAsia="宋体"/>
                <w:b/>
                <w:bCs/>
                <w:color w:val="auto"/>
                <w:szCs w:val="21"/>
                <w:lang w:val="en-US" w:eastAsia="zh-CN"/>
              </w:rPr>
            </w:pPr>
            <w:r>
              <w:rPr>
                <w:rFonts w:hint="eastAsia" w:ascii="宋体" w:hAnsi="宋体" w:cs="宋体"/>
                <w:szCs w:val="21"/>
                <w:lang w:val="en-US" w:eastAsia="zh-CN"/>
              </w:rPr>
              <w:t>不允许分包</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第19.1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bCs/>
                <w:color w:val="auto"/>
                <w:szCs w:val="21"/>
              </w:rPr>
            </w:pPr>
            <w:r>
              <w:rPr>
                <w:rFonts w:hint="eastAsia" w:ascii="宋体" w:hAnsi="宋体" w:eastAsia="宋体"/>
                <w:bCs/>
                <w:color w:val="auto"/>
                <w:szCs w:val="21"/>
              </w:rPr>
              <w:t>投标文件副本分数</w:t>
            </w:r>
          </w:p>
        </w:tc>
        <w:tc>
          <w:tcPr>
            <w:tcW w:w="4508" w:type="dxa"/>
            <w:noWrap w:val="0"/>
            <w:vAlign w:val="center"/>
          </w:tcPr>
          <w:p>
            <w:pPr>
              <w:adjustRightInd w:val="0"/>
              <w:snapToGrid w:val="0"/>
              <w:spacing w:line="360" w:lineRule="auto"/>
            </w:pPr>
            <w:r>
              <w:rPr>
                <w:rFonts w:hint="eastAsia"/>
              </w:rPr>
              <w:t>1、电子投标文件（系统上传）；</w:t>
            </w:r>
          </w:p>
          <w:p>
            <w:pPr>
              <w:adjustRightInd w:val="0"/>
              <w:snapToGrid w:val="0"/>
              <w:spacing w:line="360" w:lineRule="auto"/>
              <w:rPr>
                <w:rFonts w:ascii="宋体" w:hAnsi="宋体" w:eastAsia="宋体"/>
                <w:b/>
                <w:bCs/>
                <w:color w:val="auto"/>
                <w:szCs w:val="21"/>
              </w:rPr>
            </w:pPr>
            <w:r>
              <w:rPr>
                <w:rFonts w:hint="eastAsia" w:ascii="宋体" w:hAnsi="宋体" w:eastAsia="宋体" w:cs="宋体"/>
                <w:color w:val="000000"/>
                <w:kern w:val="2"/>
                <w:sz w:val="21"/>
                <w:szCs w:val="21"/>
                <w:lang w:val="en-US" w:eastAsia="zh-CN" w:bidi="ar-SA"/>
              </w:rPr>
              <w:t>注：应通过数字证书进行签章、加密。未按要求签章、加密的投标文件，系统将无法接收，采购人、采购代理机构不予受理。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pPr>
              <w:adjustRightInd w:val="0"/>
              <w:snapToGrid w:val="0"/>
              <w:spacing w:line="360" w:lineRule="auto"/>
              <w:rPr>
                <w:rFonts w:ascii="宋体" w:hAnsi="宋体" w:eastAsia="宋体"/>
                <w:b/>
                <w:bCs/>
                <w:color w:val="auto"/>
                <w:szCs w:val="21"/>
              </w:rPr>
            </w:pPr>
            <w:r>
              <w:rPr>
                <w:rFonts w:hint="eastAsia" w:ascii="宋体" w:hAnsi="宋体" w:eastAsia="宋体"/>
                <w:b/>
                <w:color w:val="auto"/>
                <w:szCs w:val="21"/>
              </w:rPr>
              <w:t>四、投标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第21.1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投标截止时间及投标地点</w:t>
            </w:r>
          </w:p>
        </w:tc>
        <w:tc>
          <w:tcPr>
            <w:tcW w:w="4508" w:type="dxa"/>
            <w:noWrap w:val="0"/>
            <w:vAlign w:val="center"/>
          </w:tcPr>
          <w:p>
            <w:pPr>
              <w:adjustRightInd w:val="0"/>
              <w:snapToGrid w:val="0"/>
              <w:spacing w:line="360" w:lineRule="exact"/>
              <w:rPr>
                <w:rFonts w:ascii="宋体" w:cs="宋体"/>
                <w:szCs w:val="21"/>
              </w:rPr>
            </w:pPr>
            <w:bookmarkStart w:id="11" w:name="_Toc6382"/>
            <w:r>
              <w:rPr>
                <w:rFonts w:hint="eastAsia" w:ascii="宋体" w:hAnsi="宋体" w:cs="宋体"/>
                <w:szCs w:val="21"/>
              </w:rPr>
              <w:t>投标截止时间：</w:t>
            </w:r>
            <w:r>
              <w:rPr>
                <w:rFonts w:hint="eastAsia" w:ascii="宋体" w:hAnsi="宋体" w:cs="宋体"/>
                <w:b/>
                <w:szCs w:val="21"/>
                <w:highlight w:val="none"/>
                <w:u w:val="single"/>
                <w:lang w:eastAsia="zh-CN"/>
              </w:rPr>
              <w:t>2024年1月23日</w:t>
            </w:r>
            <w:r>
              <w:rPr>
                <w:rFonts w:hint="eastAsia" w:ascii="宋体" w:hAnsi="宋体" w:cs="宋体"/>
                <w:b/>
                <w:szCs w:val="21"/>
                <w:highlight w:val="none"/>
                <w:u w:val="single"/>
              </w:rPr>
              <w:t>（星期五）9时</w:t>
            </w:r>
            <w:r>
              <w:rPr>
                <w:rFonts w:hint="eastAsia" w:ascii="宋体" w:cs="宋体"/>
                <w:b/>
                <w:szCs w:val="21"/>
                <w:highlight w:val="none"/>
                <w:u w:val="single"/>
              </w:rPr>
              <w:t>00</w:t>
            </w:r>
            <w:r>
              <w:rPr>
                <w:rFonts w:hint="eastAsia" w:ascii="宋体" w:hAnsi="宋体" w:cs="宋体"/>
                <w:b/>
                <w:szCs w:val="21"/>
                <w:highlight w:val="none"/>
                <w:u w:val="single"/>
              </w:rPr>
              <w:t>分（北京时间）</w:t>
            </w:r>
            <w:r>
              <w:rPr>
                <w:rFonts w:hint="eastAsia" w:ascii="宋体" w:hAnsi="宋体" w:cs="宋体"/>
                <w:b/>
                <w:szCs w:val="21"/>
                <w:highlight w:val="none"/>
              </w:rPr>
              <w:t>；</w:t>
            </w:r>
          </w:p>
          <w:bookmarkEnd w:id="11"/>
          <w:p>
            <w:pPr>
              <w:adjustRightInd w:val="0"/>
              <w:snapToGrid w:val="0"/>
              <w:spacing w:line="360" w:lineRule="auto"/>
              <w:rPr>
                <w:rFonts w:ascii="宋体" w:hAnsi="宋体" w:eastAsia="宋体"/>
                <w:bCs/>
                <w:color w:val="auto"/>
                <w:szCs w:val="21"/>
              </w:rPr>
            </w:pPr>
            <w:r>
              <w:rPr>
                <w:rFonts w:hint="eastAsia" w:ascii="宋体" w:hAnsi="宋体" w:cs="宋体"/>
                <w:bCs/>
                <w:szCs w:val="21"/>
              </w:rPr>
              <w:t>投标文件递交地点：湘潭市公共资源交易中心相应开标室（地址：湘潭市岳塘区宝塔街道湖湘南路1号市民之家南栋湘潭市公共资源交易中心二楼）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pPr>
              <w:adjustRightInd w:val="0"/>
              <w:snapToGrid w:val="0"/>
              <w:spacing w:line="360" w:lineRule="auto"/>
              <w:rPr>
                <w:rFonts w:ascii="宋体" w:hAnsi="宋体" w:eastAsia="宋体"/>
                <w:color w:val="auto"/>
                <w:szCs w:val="21"/>
              </w:rPr>
            </w:pPr>
            <w:r>
              <w:rPr>
                <w:rFonts w:hint="eastAsia" w:ascii="宋体" w:hAnsi="宋体" w:eastAsia="宋体"/>
                <w:b/>
                <w:bCs/>
                <w:color w:val="auto"/>
                <w:szCs w:val="21"/>
              </w:rPr>
              <w:t>五、开标、资格审查和评标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第24.1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bCs/>
                <w:color w:val="auto"/>
                <w:szCs w:val="21"/>
              </w:rPr>
              <w:t>开标地点</w:t>
            </w:r>
            <w:r>
              <w:rPr>
                <w:rFonts w:hint="eastAsia" w:ascii="宋体" w:hAnsi="宋体" w:eastAsia="宋体"/>
                <w:color w:val="auto"/>
                <w:szCs w:val="21"/>
              </w:rPr>
              <w:t xml:space="preserve"> </w:t>
            </w:r>
          </w:p>
        </w:tc>
        <w:tc>
          <w:tcPr>
            <w:tcW w:w="4508" w:type="dxa"/>
            <w:noWrap w:val="0"/>
            <w:vAlign w:val="center"/>
          </w:tcPr>
          <w:p>
            <w:pPr>
              <w:adjustRightInd w:val="0"/>
              <w:snapToGrid w:val="0"/>
              <w:spacing w:line="360" w:lineRule="exact"/>
              <w:rPr>
                <w:rFonts w:ascii="宋体" w:hAnsi="宋体" w:cs="宋体"/>
                <w:color w:val="auto"/>
                <w:szCs w:val="21"/>
                <w:highlight w:val="none"/>
              </w:rPr>
            </w:pPr>
            <w:r>
              <w:rPr>
                <w:rFonts w:hint="eastAsia" w:ascii="宋体" w:hAnsi="宋体" w:cs="宋体"/>
                <w:szCs w:val="21"/>
              </w:rPr>
              <w:t>开标时间：</w:t>
            </w:r>
            <w:r>
              <w:rPr>
                <w:rFonts w:hint="eastAsia" w:ascii="宋体" w:hAnsi="宋体" w:cs="宋体"/>
                <w:b/>
                <w:color w:val="auto"/>
                <w:szCs w:val="21"/>
                <w:highlight w:val="none"/>
                <w:u w:val="single"/>
                <w:lang w:eastAsia="zh-CN"/>
              </w:rPr>
              <w:t>2024年1月23日</w:t>
            </w:r>
            <w:r>
              <w:rPr>
                <w:rFonts w:hint="eastAsia" w:ascii="宋体" w:hAnsi="宋体" w:cs="宋体"/>
                <w:b/>
                <w:color w:val="auto"/>
                <w:szCs w:val="21"/>
                <w:highlight w:val="none"/>
                <w:u w:val="single"/>
              </w:rPr>
              <w:t>（星期五）9时</w:t>
            </w:r>
            <w:r>
              <w:rPr>
                <w:rFonts w:hint="eastAsia" w:ascii="宋体" w:cs="宋体"/>
                <w:b/>
                <w:color w:val="auto"/>
                <w:szCs w:val="21"/>
                <w:highlight w:val="none"/>
                <w:u w:val="single"/>
              </w:rPr>
              <w:t>00</w:t>
            </w:r>
            <w:r>
              <w:rPr>
                <w:rFonts w:hint="eastAsia" w:ascii="宋体" w:hAnsi="宋体" w:cs="宋体"/>
                <w:b/>
                <w:color w:val="auto"/>
                <w:szCs w:val="21"/>
                <w:highlight w:val="none"/>
                <w:u w:val="single"/>
              </w:rPr>
              <w:t>分</w:t>
            </w:r>
            <w:r>
              <w:rPr>
                <w:rFonts w:hint="eastAsia" w:ascii="宋体" w:hAnsi="宋体" w:cs="宋体"/>
                <w:bCs/>
                <w:color w:val="auto"/>
                <w:szCs w:val="21"/>
                <w:highlight w:val="none"/>
                <w:u w:val="single"/>
              </w:rPr>
              <w:t>（北京时间）</w:t>
            </w:r>
            <w:r>
              <w:rPr>
                <w:rFonts w:hint="eastAsia" w:ascii="宋体" w:hAnsi="宋体" w:cs="宋体"/>
                <w:color w:val="auto"/>
                <w:szCs w:val="21"/>
                <w:highlight w:val="none"/>
              </w:rPr>
              <w:t>；</w:t>
            </w:r>
          </w:p>
          <w:p>
            <w:pPr>
              <w:adjustRightInd w:val="0"/>
              <w:snapToGrid w:val="0"/>
              <w:spacing w:line="360" w:lineRule="exact"/>
              <w:rPr>
                <w:rFonts w:ascii="宋体" w:hAnsi="宋体" w:eastAsia="宋体"/>
                <w:color w:val="auto"/>
                <w:szCs w:val="21"/>
              </w:rPr>
            </w:pPr>
            <w:r>
              <w:rPr>
                <w:rFonts w:hint="eastAsia" w:ascii="宋体" w:hAnsi="宋体" w:cs="宋体"/>
                <w:szCs w:val="21"/>
              </w:rPr>
              <w:t>湘潭市公共资源交易中心相应开标室（地址：湘潭市岳塘区宝塔街道湖湘南路1号市民之家南栋湘潭市公共资源交易中心二楼）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第24.2</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需要宣布的其他内容</w:t>
            </w:r>
          </w:p>
        </w:tc>
        <w:tc>
          <w:tcPr>
            <w:tcW w:w="4508" w:type="dxa"/>
            <w:noWrap w:val="0"/>
            <w:vAlign w:val="center"/>
          </w:tcPr>
          <w:p>
            <w:pPr>
              <w:spacing w:line="360" w:lineRule="exact"/>
              <w:rPr>
                <w:rFonts w:ascii="宋体" w:hAnsi="宋体" w:eastAsia="宋体"/>
                <w:color w:val="auto"/>
                <w:szCs w:val="21"/>
              </w:rPr>
            </w:pPr>
            <w:r>
              <w:rPr>
                <w:rFonts w:hint="eastAsia"/>
              </w:rPr>
              <w:t>开标一览表中内容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pPr>
              <w:adjustRightInd w:val="0"/>
              <w:snapToGrid w:val="0"/>
              <w:spacing w:line="360" w:lineRule="auto"/>
              <w:rPr>
                <w:rFonts w:ascii="宋体" w:hAnsi="宋体" w:eastAsia="宋体"/>
                <w:b/>
                <w:color w:val="auto"/>
                <w:szCs w:val="21"/>
              </w:rPr>
            </w:pPr>
            <w:r>
              <w:rPr>
                <w:rFonts w:hint="eastAsia" w:ascii="宋体" w:hAnsi="宋体" w:eastAsia="宋体"/>
                <w:b/>
                <w:color w:val="auto"/>
                <w:szCs w:val="21"/>
              </w:rPr>
              <w:t>六、中标信息公布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第28.2</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中标候选人并列时确定中标人的方式</w:t>
            </w:r>
          </w:p>
        </w:tc>
        <w:tc>
          <w:tcPr>
            <w:tcW w:w="4508" w:type="dxa"/>
            <w:noWrap w:val="0"/>
            <w:vAlign w:val="center"/>
          </w:tcPr>
          <w:p>
            <w:pPr>
              <w:adjustRightInd w:val="0"/>
              <w:snapToGrid w:val="0"/>
              <w:spacing w:line="360" w:lineRule="exact"/>
              <w:rPr>
                <w:rFonts w:ascii="宋体" w:hAnsi="宋体" w:eastAsia="宋体"/>
                <w:color w:val="auto"/>
                <w:szCs w:val="21"/>
              </w:rPr>
            </w:pPr>
            <w:r>
              <w:rPr>
                <w:rFonts w:hint="eastAsia" w:ascii="宋体" w:hAnsi="宋体" w:cs="宋体"/>
                <w:szCs w:val="21"/>
              </w:rPr>
              <w:t>投标文件满足招标文件全部实质性要求，且按照评审得分由高到低的顺序确定排名第一、第二、第三为中标候选人，</w:t>
            </w:r>
            <w:r>
              <w:rPr>
                <w:rFonts w:hint="eastAsia" w:ascii="宋体" w:hAnsi="宋体" w:cs="宋体"/>
                <w:bCs/>
                <w:szCs w:val="21"/>
              </w:rPr>
              <w:t>得分相同的，按投标报价由低到高顺序排列。得分且投标报价相同的，</w:t>
            </w:r>
            <w:r>
              <w:rPr>
                <w:rFonts w:hint="eastAsia" w:ascii="宋体" w:hAnsi="宋体" w:cs="宋体"/>
                <w:szCs w:val="21"/>
              </w:rPr>
              <w:t>按技术部分得分从高到低的顺序决定排名。</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第29.3</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接收质疑函的联系部门、联系电话和通讯地址</w:t>
            </w:r>
          </w:p>
        </w:tc>
        <w:tc>
          <w:tcPr>
            <w:tcW w:w="4508" w:type="dxa"/>
            <w:noWrap w:val="0"/>
            <w:vAlign w:val="center"/>
          </w:tcPr>
          <w:p>
            <w:pPr>
              <w:adjustRightInd w:val="0"/>
              <w:snapToGrid w:val="0"/>
              <w:spacing w:line="360" w:lineRule="exact"/>
              <w:rPr>
                <w:rFonts w:ascii="宋体" w:hAnsi="宋体"/>
                <w:szCs w:val="21"/>
              </w:rPr>
            </w:pPr>
            <w:r>
              <w:rPr>
                <w:rFonts w:hint="eastAsia" w:ascii="宋体" w:hAnsi="宋体"/>
                <w:szCs w:val="21"/>
              </w:rPr>
              <w:t>联系单位：湘潭市消防救援支队</w:t>
            </w:r>
          </w:p>
          <w:p>
            <w:pPr>
              <w:adjustRightInd w:val="0"/>
              <w:snapToGrid w:val="0"/>
              <w:spacing w:line="360" w:lineRule="exact"/>
              <w:rPr>
                <w:rFonts w:ascii="宋体" w:hAnsi="宋体"/>
                <w:szCs w:val="21"/>
              </w:rPr>
            </w:pPr>
            <w:r>
              <w:rPr>
                <w:rFonts w:hint="eastAsia" w:ascii="宋体" w:hAnsi="宋体"/>
                <w:szCs w:val="21"/>
              </w:rPr>
              <w:t>地    址：</w:t>
            </w:r>
            <w:r>
              <w:rPr>
                <w:rFonts w:hint="eastAsia" w:ascii="宋体" w:hAnsi="宋体" w:cs="宋体"/>
                <w:szCs w:val="21"/>
              </w:rPr>
              <w:t>湘潭市岳塘区芙蓉东路89号</w:t>
            </w:r>
          </w:p>
          <w:p>
            <w:pPr>
              <w:adjustRightInd w:val="0"/>
              <w:snapToGrid w:val="0"/>
              <w:spacing w:line="360" w:lineRule="exact"/>
              <w:rPr>
                <w:rFonts w:ascii="宋体" w:hAnsi="宋体"/>
                <w:szCs w:val="21"/>
              </w:rPr>
            </w:pPr>
            <w:r>
              <w:rPr>
                <w:rFonts w:hint="eastAsia" w:ascii="宋体" w:hAnsi="宋体"/>
                <w:szCs w:val="21"/>
              </w:rPr>
              <w:t>电    话：</w:t>
            </w:r>
            <w:r>
              <w:rPr>
                <w:rFonts w:hint="eastAsia" w:ascii="宋体" w:hAnsi="宋体" w:cs="宋体"/>
                <w:szCs w:val="21"/>
              </w:rPr>
              <w:t>0731-52668626</w:t>
            </w:r>
          </w:p>
          <w:p>
            <w:pPr>
              <w:adjustRightInd w:val="0"/>
              <w:snapToGrid w:val="0"/>
              <w:spacing w:line="360" w:lineRule="exact"/>
              <w:rPr>
                <w:rFonts w:ascii="宋体" w:hAnsi="宋体"/>
                <w:szCs w:val="21"/>
              </w:rPr>
            </w:pPr>
            <w:r>
              <w:rPr>
                <w:rFonts w:hint="eastAsia" w:ascii="宋体" w:hAnsi="宋体"/>
                <w:szCs w:val="21"/>
              </w:rPr>
              <w:t>联系部门：湖南恒典建设项目管理有限公司</w:t>
            </w:r>
          </w:p>
          <w:p>
            <w:pPr>
              <w:adjustRightInd w:val="0"/>
              <w:snapToGrid w:val="0"/>
              <w:spacing w:line="360" w:lineRule="exact"/>
              <w:rPr>
                <w:rFonts w:hint="eastAsia" w:ascii="宋体" w:hAnsi="宋体" w:eastAsia="宋体"/>
                <w:szCs w:val="21"/>
                <w:lang w:eastAsia="zh-CN"/>
              </w:rPr>
            </w:pPr>
            <w:r>
              <w:rPr>
                <w:rFonts w:hint="eastAsia" w:ascii="宋体" w:hAnsi="宋体"/>
                <w:szCs w:val="21"/>
              </w:rPr>
              <w:t>联系电话：</w:t>
            </w:r>
            <w:r>
              <w:rPr>
                <w:rFonts w:hint="eastAsia" w:ascii="宋体" w:hAnsi="宋体"/>
                <w:szCs w:val="21"/>
                <w:lang w:eastAsia="zh-CN"/>
              </w:rPr>
              <w:t>0731-84467119</w:t>
            </w:r>
          </w:p>
          <w:p>
            <w:pPr>
              <w:adjustRightInd w:val="0"/>
              <w:snapToGrid w:val="0"/>
              <w:spacing w:line="360" w:lineRule="exact"/>
              <w:rPr>
                <w:rFonts w:ascii="宋体" w:hAnsi="宋体"/>
                <w:szCs w:val="21"/>
              </w:rPr>
            </w:pPr>
            <w:r>
              <w:rPr>
                <w:rFonts w:hint="eastAsia" w:ascii="宋体" w:hAnsi="宋体"/>
                <w:szCs w:val="21"/>
              </w:rPr>
              <w:t>通讯地址：湖南省长沙市雨花区沙湾路89号丽致酒店16楼</w:t>
            </w:r>
          </w:p>
          <w:p>
            <w:pPr>
              <w:adjustRightInd w:val="0"/>
              <w:snapToGrid w:val="0"/>
              <w:spacing w:line="360" w:lineRule="exact"/>
              <w:rPr>
                <w:rFonts w:ascii="宋体" w:hAnsi="宋体" w:eastAsia="宋体"/>
                <w:color w:val="auto"/>
                <w:szCs w:val="21"/>
              </w:rPr>
            </w:pPr>
            <w:r>
              <w:rPr>
                <w:rFonts w:hint="eastAsia" w:ascii="宋体" w:hAnsi="宋体"/>
                <w:b/>
                <w:u w:val="dottedHeavy"/>
              </w:rPr>
              <w:t>注：投标人在法定质疑期内针对同一采购程序环节的质疑要求一次性提出。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pPr>
              <w:adjustRightInd w:val="0"/>
              <w:snapToGrid w:val="0"/>
              <w:spacing w:line="360" w:lineRule="auto"/>
              <w:rPr>
                <w:rFonts w:ascii="宋体" w:hAnsi="宋体" w:eastAsia="宋体"/>
                <w:color w:val="auto"/>
                <w:szCs w:val="21"/>
              </w:rPr>
            </w:pPr>
            <w:r>
              <w:rPr>
                <w:rFonts w:hint="eastAsia" w:ascii="宋体" w:hAnsi="宋体" w:eastAsia="宋体"/>
                <w:b/>
                <w:color w:val="auto"/>
                <w:szCs w:val="21"/>
              </w:rPr>
              <w:t>七、合同签订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第31.1</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履约担保</w:t>
            </w:r>
          </w:p>
        </w:tc>
        <w:tc>
          <w:tcPr>
            <w:tcW w:w="4508" w:type="dxa"/>
            <w:noWrap w:val="0"/>
            <w:vAlign w:val="center"/>
          </w:tcPr>
          <w:p>
            <w:pPr>
              <w:adjustRightInd w:val="0"/>
              <w:snapToGrid w:val="0"/>
              <w:spacing w:line="360" w:lineRule="exact"/>
              <w:jc w:val="left"/>
              <w:rPr>
                <w:rFonts w:ascii="宋体" w:hAnsi="宋体" w:cs="宋体"/>
                <w:szCs w:val="21"/>
              </w:rPr>
            </w:pPr>
            <w:r>
              <w:rPr>
                <w:rFonts w:hint="eastAsia" w:ascii="宋体" w:hAnsi="宋体"/>
                <w:szCs w:val="21"/>
              </w:rPr>
              <w:t>□</w:t>
            </w:r>
            <w:r>
              <w:rPr>
                <w:rFonts w:hint="eastAsia" w:ascii="宋体" w:hAnsi="宋体" w:cs="宋体"/>
                <w:szCs w:val="21"/>
              </w:rPr>
              <w:t xml:space="preserve"> 要求提供</w:t>
            </w:r>
          </w:p>
          <w:p>
            <w:pPr>
              <w:adjustRightInd w:val="0"/>
              <w:snapToGrid w:val="0"/>
              <w:spacing w:line="360" w:lineRule="auto"/>
              <w:rPr>
                <w:rFonts w:ascii="宋体" w:hAnsi="宋体" w:eastAsia="宋体"/>
                <w:strike/>
                <w:color w:val="auto"/>
                <w:szCs w:val="21"/>
              </w:rPr>
            </w:pPr>
            <w:r>
              <w:rPr>
                <w:rFonts w:hint="eastAsia" w:ascii="宋体" w:hAnsi="宋体"/>
                <w:szCs w:val="21"/>
              </w:rPr>
              <w:t>■ 不要求提供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pPr>
              <w:adjustRightInd w:val="0"/>
              <w:snapToGrid w:val="0"/>
              <w:spacing w:line="360" w:lineRule="auto"/>
              <w:rPr>
                <w:rFonts w:hint="default" w:ascii="宋体" w:hAnsi="宋体" w:eastAsia="宋体"/>
                <w:color w:val="auto"/>
                <w:szCs w:val="21"/>
                <w:lang w:val="en-US" w:eastAsia="zh-CN"/>
              </w:rPr>
            </w:pPr>
            <w:r>
              <w:rPr>
                <w:rFonts w:hint="eastAsia" w:ascii="宋体" w:hAnsi="宋体"/>
                <w:b/>
                <w:bCs/>
                <w:color w:val="auto"/>
                <w:szCs w:val="21"/>
                <w:lang w:val="en-US" w:eastAsia="zh-CN"/>
              </w:rPr>
              <w:t>八、政府采购政策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1560" w:type="dxa"/>
            <w:noWrap w:val="0"/>
            <w:vAlign w:val="center"/>
          </w:tcPr>
          <w:p>
            <w:pPr>
              <w:adjustRightInd w:val="0"/>
              <w:snapToGrid w:val="0"/>
              <w:spacing w:line="360" w:lineRule="auto"/>
              <w:jc w:val="center"/>
              <w:rPr>
                <w:rFonts w:hint="default" w:ascii="宋体" w:hAnsi="宋体" w:eastAsia="宋体"/>
                <w:color w:val="auto"/>
                <w:szCs w:val="21"/>
                <w:lang w:val="en-US" w:eastAsia="zh-CN"/>
              </w:rPr>
            </w:pPr>
            <w:r>
              <w:rPr>
                <w:rFonts w:hint="eastAsia" w:ascii="宋体" w:hAnsi="宋体"/>
                <w:color w:val="auto"/>
                <w:szCs w:val="21"/>
                <w:lang w:val="en-US" w:eastAsia="zh-CN"/>
              </w:rPr>
              <w:t>第33.8款</w:t>
            </w:r>
          </w:p>
        </w:tc>
        <w:tc>
          <w:tcPr>
            <w:tcW w:w="2863" w:type="dxa"/>
            <w:noWrap w:val="0"/>
            <w:vAlign w:val="center"/>
          </w:tcPr>
          <w:p>
            <w:pPr>
              <w:adjustRightInd w:val="0"/>
              <w:snapToGrid w:val="0"/>
              <w:spacing w:line="360" w:lineRule="auto"/>
              <w:jc w:val="left"/>
              <w:rPr>
                <w:rFonts w:hint="eastAsia" w:ascii="宋体" w:hAnsi="宋体" w:eastAsia="宋体"/>
                <w:color w:val="auto"/>
                <w:szCs w:val="21"/>
                <w:lang w:val="en-US" w:eastAsia="zh-CN"/>
              </w:rPr>
            </w:pPr>
            <w:r>
              <w:rPr>
                <w:rFonts w:hint="eastAsia" w:ascii="宋体" w:hAnsi="宋体"/>
                <w:color w:val="auto"/>
                <w:szCs w:val="21"/>
                <w:lang w:val="en-US" w:eastAsia="zh-CN"/>
              </w:rPr>
              <w:t>采购进口产品</w:t>
            </w:r>
          </w:p>
        </w:tc>
        <w:tc>
          <w:tcPr>
            <w:tcW w:w="4508" w:type="dxa"/>
            <w:noWrap w:val="0"/>
            <w:vAlign w:val="center"/>
          </w:tcPr>
          <w:p>
            <w:pPr>
              <w:adjustRightInd w:val="0"/>
              <w:snapToGrid w:val="0"/>
              <w:spacing w:line="360" w:lineRule="auto"/>
              <w:rPr>
                <w:rFonts w:ascii="宋体" w:hAnsi="宋体" w:eastAsia="宋体"/>
                <w:color w:val="auto"/>
                <w:szCs w:val="21"/>
              </w:rPr>
            </w:pPr>
            <w:r>
              <w:rPr>
                <w:rFonts w:hint="eastAsia" w:ascii="宋体" w:hAnsi="宋体"/>
                <w:szCs w:val="21"/>
              </w:rPr>
              <w:t xml:space="preserve">■ </w:t>
            </w:r>
            <w:r>
              <w:rPr>
                <w:rFonts w:hint="eastAsia" w:ascii="宋体" w:hAnsi="宋体"/>
              </w:rPr>
              <w:t>本项目拒绝进口产品参加投标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noWrap w:val="0"/>
            <w:vAlign w:val="center"/>
          </w:tcPr>
          <w:p>
            <w:pPr>
              <w:adjustRightInd w:val="0"/>
              <w:snapToGrid w:val="0"/>
              <w:spacing w:line="360" w:lineRule="auto"/>
              <w:rPr>
                <w:rFonts w:ascii="宋体" w:hAnsi="宋体" w:eastAsia="宋体"/>
                <w:color w:val="auto"/>
                <w:szCs w:val="21"/>
              </w:rPr>
            </w:pPr>
            <w:r>
              <w:rPr>
                <w:rFonts w:hint="eastAsia" w:ascii="宋体" w:hAnsi="宋体" w:eastAsia="宋体"/>
                <w:b/>
                <w:color w:val="auto"/>
                <w:szCs w:val="21"/>
              </w:rPr>
              <w:t>九、其他规定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hint="eastAsia" w:ascii="宋体" w:hAnsi="宋体" w:eastAsia="宋体" w:cs="Times New Roman"/>
                <w:color w:val="auto"/>
                <w:kern w:val="2"/>
                <w:sz w:val="21"/>
                <w:szCs w:val="21"/>
                <w:lang w:val="en-US" w:eastAsia="zh-CN" w:bidi="ar-SA"/>
              </w:rPr>
            </w:pPr>
            <w:r>
              <w:rPr>
                <w:rFonts w:hint="eastAsia" w:ascii="宋体" w:hAnsi="宋体" w:eastAsia="宋体"/>
                <w:color w:val="auto"/>
                <w:szCs w:val="21"/>
              </w:rPr>
              <w:t>第35.1</w:t>
            </w:r>
            <w:r>
              <w:rPr>
                <w:rFonts w:hint="eastAsia" w:ascii="宋体" w:hAnsi="宋体" w:eastAsia="宋体" w:cs="宋体"/>
                <w:color w:val="auto"/>
                <w:kern w:val="0"/>
                <w:szCs w:val="21"/>
                <w:lang w:val="zh-CN"/>
              </w:rPr>
              <w:t>（</w:t>
            </w:r>
            <w:r>
              <w:rPr>
                <w:rFonts w:hint="eastAsia" w:ascii="宋体" w:hAnsi="宋体" w:eastAsia="宋体" w:cs="宋体"/>
                <w:color w:val="auto"/>
                <w:kern w:val="0"/>
                <w:szCs w:val="21"/>
              </w:rPr>
              <w:t>1</w:t>
            </w:r>
            <w:r>
              <w:rPr>
                <w:rFonts w:hint="eastAsia" w:ascii="宋体" w:hAnsi="宋体" w:eastAsia="宋体" w:cs="宋体"/>
                <w:color w:val="auto"/>
                <w:kern w:val="0"/>
                <w:szCs w:val="21"/>
                <w:lang w:val="zh-CN"/>
              </w:rPr>
              <w:t>）</w:t>
            </w:r>
            <w:r>
              <w:rPr>
                <w:rFonts w:hint="eastAsia" w:ascii="宋体" w:hAnsi="宋体" w:cs="宋体"/>
                <w:color w:val="auto"/>
                <w:kern w:val="0"/>
                <w:szCs w:val="21"/>
                <w:lang w:val="en-US" w:eastAsia="zh-CN"/>
              </w:rPr>
              <w:t>项</w:t>
            </w:r>
          </w:p>
        </w:tc>
        <w:tc>
          <w:tcPr>
            <w:tcW w:w="2863" w:type="dxa"/>
            <w:noWrap w:val="0"/>
            <w:vAlign w:val="center"/>
          </w:tcPr>
          <w:p>
            <w:pPr>
              <w:adjustRightInd w:val="0"/>
              <w:snapToGrid w:val="0"/>
              <w:spacing w:line="360" w:lineRule="auto"/>
              <w:jc w:val="left"/>
              <w:rPr>
                <w:rFonts w:hint="eastAsia" w:ascii="宋体" w:hAnsi="宋体" w:eastAsia="宋体" w:cs="Times New Roman"/>
                <w:color w:val="auto"/>
                <w:kern w:val="2"/>
                <w:sz w:val="21"/>
                <w:szCs w:val="21"/>
                <w:lang w:val="en-US" w:eastAsia="zh-CN" w:bidi="ar-SA"/>
              </w:rPr>
            </w:pPr>
            <w:r>
              <w:rPr>
                <w:rFonts w:hint="eastAsia" w:ascii="宋体" w:hAnsi="宋体" w:eastAsia="宋体"/>
                <w:color w:val="auto"/>
                <w:szCs w:val="21"/>
              </w:rPr>
              <w:t>合同预付款的支付比例和支付条件</w:t>
            </w:r>
          </w:p>
        </w:tc>
        <w:tc>
          <w:tcPr>
            <w:tcW w:w="4508" w:type="dxa"/>
            <w:noWrap w:val="0"/>
            <w:vAlign w:val="center"/>
          </w:tcPr>
          <w:p>
            <w:pPr>
              <w:adjustRightInd w:val="0"/>
              <w:snapToGrid w:val="0"/>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第35.1</w:t>
            </w:r>
            <w:r>
              <w:rPr>
                <w:rFonts w:hint="eastAsia" w:ascii="宋体" w:hAnsi="宋体" w:eastAsia="宋体" w:cs="宋体"/>
                <w:color w:val="auto"/>
                <w:kern w:val="0"/>
                <w:szCs w:val="21"/>
                <w:lang w:val="zh-CN"/>
              </w:rPr>
              <w:t>（</w:t>
            </w:r>
            <w:r>
              <w:rPr>
                <w:rFonts w:hint="eastAsia" w:ascii="宋体" w:hAnsi="宋体" w:eastAsia="宋体" w:cs="宋体"/>
                <w:color w:val="auto"/>
                <w:kern w:val="0"/>
                <w:szCs w:val="21"/>
              </w:rPr>
              <w:t>2</w:t>
            </w:r>
            <w:r>
              <w:rPr>
                <w:rFonts w:hint="eastAsia" w:ascii="宋体" w:hAnsi="宋体" w:eastAsia="宋体" w:cs="宋体"/>
                <w:color w:val="auto"/>
                <w:kern w:val="0"/>
                <w:szCs w:val="21"/>
                <w:lang w:val="zh-CN"/>
              </w:rPr>
              <w:t>）</w:t>
            </w:r>
            <w:r>
              <w:rPr>
                <w:rFonts w:hint="eastAsia" w:ascii="宋体" w:hAnsi="宋体" w:cs="宋体"/>
                <w:color w:val="auto"/>
                <w:kern w:val="0"/>
                <w:szCs w:val="21"/>
                <w:lang w:val="en-US" w:eastAsia="zh-CN"/>
              </w:rPr>
              <w:t>项</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质量保证金</w:t>
            </w:r>
          </w:p>
        </w:tc>
        <w:tc>
          <w:tcPr>
            <w:tcW w:w="4508" w:type="dxa"/>
            <w:noWrap w:val="0"/>
            <w:vAlign w:val="center"/>
          </w:tcPr>
          <w:p>
            <w:pPr>
              <w:adjustRightInd w:val="0"/>
              <w:snapToGrid w:val="0"/>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第35.2</w:t>
            </w:r>
            <w:r>
              <w:rPr>
                <w:rFonts w:hint="eastAsia" w:ascii="宋体" w:hAnsi="宋体" w:eastAsia="宋体" w:cs="宋体"/>
                <w:color w:val="auto"/>
                <w:kern w:val="0"/>
                <w:szCs w:val="21"/>
                <w:lang w:val="zh-CN"/>
              </w:rPr>
              <w:t>款</w:t>
            </w:r>
          </w:p>
        </w:tc>
        <w:tc>
          <w:tcPr>
            <w:tcW w:w="2863" w:type="dxa"/>
            <w:noWrap w:val="0"/>
            <w:vAlign w:val="center"/>
          </w:tcPr>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其他规定</w:t>
            </w:r>
          </w:p>
        </w:tc>
        <w:tc>
          <w:tcPr>
            <w:tcW w:w="4508" w:type="dxa"/>
            <w:noWrap w:val="0"/>
            <w:vAlign w:val="center"/>
          </w:tcPr>
          <w:p>
            <w:pPr>
              <w:spacing w:line="360" w:lineRule="exact"/>
              <w:rPr>
                <w:rFonts w:ascii="宋体" w:hAnsi="宋体" w:cs="宋体"/>
                <w:kern w:val="0"/>
                <w:szCs w:val="21"/>
              </w:rPr>
            </w:pPr>
            <w:r>
              <w:rPr>
                <w:rFonts w:hint="eastAsia" w:ascii="宋体" w:hAnsi="宋体" w:cs="宋体"/>
                <w:kern w:val="0"/>
                <w:szCs w:val="21"/>
              </w:rPr>
              <w:t>根据《财政部关于在政府采购活动中查询及使用信用记录有关问题的通知》（财库〔</w:t>
            </w:r>
            <w:r>
              <w:rPr>
                <w:rFonts w:ascii="宋体" w:hAnsi="宋体" w:cs="宋体"/>
                <w:kern w:val="0"/>
                <w:szCs w:val="21"/>
              </w:rPr>
              <w:t>2016</w:t>
            </w:r>
            <w:r>
              <w:rPr>
                <w:rFonts w:hint="eastAsia" w:ascii="宋体" w:hAnsi="宋体" w:cs="宋体"/>
                <w:kern w:val="0"/>
                <w:szCs w:val="21"/>
              </w:rPr>
              <w:t>〕</w:t>
            </w:r>
            <w:r>
              <w:rPr>
                <w:rFonts w:ascii="宋体" w:hAnsi="宋体" w:cs="宋体"/>
                <w:kern w:val="0"/>
                <w:szCs w:val="21"/>
              </w:rPr>
              <w:t>125</w:t>
            </w:r>
            <w:r>
              <w:rPr>
                <w:rFonts w:hint="eastAsia" w:ascii="宋体" w:hAnsi="宋体" w:cs="宋体"/>
                <w:kern w:val="0"/>
                <w:szCs w:val="21"/>
              </w:rPr>
              <w:t>号）的规定，对列入失信被执行人、税收违法黑名单、政府采购严重违法失信行为记录名单及其他不符合《中华人民共和国政府采购法》第二十二条规定条件的投标人，采购代理机构应当拒绝其参与政府采购活动。两个以上的自然人、法人或者其他组织组成一个联合体，以一个投标人的身份共同参加政府采购活动的，应当对所有联合体成员进行信用记录查询，联合体成员存在不良信用记录的，视同联合体存在不良信用记录。</w:t>
            </w:r>
          </w:p>
          <w:p>
            <w:pPr>
              <w:spacing w:line="360" w:lineRule="exact"/>
              <w:rPr>
                <w:rFonts w:ascii="宋体" w:hAnsi="宋体" w:cs="宋体"/>
                <w:kern w:val="0"/>
                <w:szCs w:val="21"/>
              </w:rPr>
            </w:pPr>
            <w:r>
              <w:rPr>
                <w:rFonts w:ascii="宋体" w:hAnsi="宋体" w:cs="宋体"/>
                <w:kern w:val="0"/>
                <w:szCs w:val="21"/>
              </w:rPr>
              <w:t>1</w:t>
            </w:r>
            <w:r>
              <w:rPr>
                <w:rFonts w:hint="eastAsia" w:ascii="宋体" w:hAnsi="宋体" w:cs="宋体"/>
                <w:kern w:val="0"/>
                <w:szCs w:val="21"/>
              </w:rPr>
              <w:t>、信用信息查询的查询渠道：信用中国网（www.creditchina.gov.cn）、中国政府采购网（www.ccgp.gov.cn）；</w:t>
            </w:r>
          </w:p>
          <w:p>
            <w:pPr>
              <w:spacing w:line="360" w:lineRule="exact"/>
              <w:rPr>
                <w:rFonts w:ascii="宋体" w:hAnsi="宋体" w:cs="宋体"/>
                <w:kern w:val="0"/>
                <w:szCs w:val="21"/>
              </w:rPr>
            </w:pPr>
            <w:r>
              <w:rPr>
                <w:rFonts w:ascii="宋体" w:hAnsi="宋体" w:cs="宋体"/>
                <w:kern w:val="0"/>
                <w:szCs w:val="21"/>
              </w:rPr>
              <w:t>2</w:t>
            </w:r>
            <w:r>
              <w:rPr>
                <w:rFonts w:hint="eastAsia" w:ascii="宋体" w:hAnsi="宋体" w:cs="宋体"/>
                <w:kern w:val="0"/>
                <w:szCs w:val="21"/>
              </w:rPr>
              <w:t>、信用信息查询的截止时点：至本项目投标文件递交截止时间止。</w:t>
            </w:r>
          </w:p>
          <w:p>
            <w:pPr>
              <w:spacing w:line="360" w:lineRule="exact"/>
              <w:rPr>
                <w:rFonts w:ascii="宋体" w:hAnsi="宋体" w:cs="宋体"/>
                <w:kern w:val="0"/>
                <w:szCs w:val="21"/>
              </w:rPr>
            </w:pPr>
            <w:r>
              <w:rPr>
                <w:rFonts w:ascii="宋体" w:hAnsi="宋体" w:cs="宋体"/>
                <w:kern w:val="0"/>
                <w:szCs w:val="21"/>
              </w:rPr>
              <w:t>3</w:t>
            </w:r>
            <w:r>
              <w:rPr>
                <w:rFonts w:hint="eastAsia" w:ascii="宋体" w:hAnsi="宋体" w:cs="宋体"/>
                <w:kern w:val="0"/>
                <w:szCs w:val="21"/>
              </w:rPr>
              <w:t>、信用信息查询记录的具体方式：采购人或采购代理机构于开标时在规定的查询渠道进行查询。</w:t>
            </w:r>
          </w:p>
          <w:p>
            <w:pPr>
              <w:spacing w:line="360" w:lineRule="exact"/>
              <w:rPr>
                <w:rFonts w:ascii="宋体" w:hAnsi="Times New Roman" w:eastAsia="宋体" w:cs="宋体"/>
                <w:kern w:val="0"/>
                <w:sz w:val="21"/>
                <w:szCs w:val="21"/>
                <w:lang w:val="en-US" w:eastAsia="zh-CN" w:bidi="ar-SA"/>
              </w:rPr>
            </w:pPr>
            <w:r>
              <w:rPr>
                <w:rFonts w:ascii="宋体" w:hAnsi="宋体" w:cs="宋体"/>
                <w:kern w:val="0"/>
                <w:szCs w:val="21"/>
              </w:rPr>
              <w:t>4</w:t>
            </w:r>
            <w:r>
              <w:rPr>
                <w:rFonts w:hint="eastAsia" w:ascii="宋体" w:hAnsi="宋体" w:cs="宋体"/>
                <w:kern w:val="0"/>
                <w:szCs w:val="21"/>
              </w:rPr>
              <w:t>、信用信息查询记录证据留存的具体方式：查询记录的网上打印件。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0" w:type="auto"/>
            <w:noWrap w:val="0"/>
            <w:vAlign w:val="top"/>
          </w:tcPr>
          <w:p>
            <w:pPr>
              <w:adjustRightInd w:val="0"/>
              <w:snapToGrid w:val="0"/>
              <w:spacing w:line="360" w:lineRule="auto"/>
              <w:jc w:val="center"/>
              <w:rPr>
                <w:rFonts w:ascii="宋体" w:hAnsi="宋体" w:eastAsia="宋体"/>
                <w:color w:val="auto"/>
                <w:szCs w:val="21"/>
              </w:rPr>
            </w:pPr>
          </w:p>
        </w:tc>
        <w:tc>
          <w:tcPr>
            <w:tcW w:w="0" w:type="auto"/>
            <w:noWrap w:val="0"/>
            <w:vAlign w:val="top"/>
          </w:tcPr>
          <w:p>
            <w:pPr>
              <w:adjustRightInd w:val="0"/>
              <w:snapToGrid w:val="0"/>
              <w:spacing w:line="360" w:lineRule="auto"/>
              <w:jc w:val="left"/>
              <w:rPr>
                <w:rFonts w:ascii="宋体" w:hAnsi="宋体" w:eastAsia="宋体"/>
                <w:color w:val="auto"/>
                <w:szCs w:val="21"/>
              </w:rPr>
            </w:pPr>
          </w:p>
        </w:tc>
        <w:tc>
          <w:tcPr>
            <w:tcW w:w="0" w:type="auto"/>
            <w:noWrap w:val="0"/>
            <w:vAlign w:val="center"/>
          </w:tcPr>
          <w:p>
            <w:pPr>
              <w:spacing w:line="360" w:lineRule="exact"/>
              <w:rPr>
                <w:rFonts w:ascii="宋体" w:hAnsi="宋体" w:eastAsia="宋体" w:cs="宋体"/>
                <w:kern w:val="0"/>
                <w:sz w:val="21"/>
                <w:szCs w:val="21"/>
                <w:lang w:val="en-US" w:eastAsia="zh-CN" w:bidi="ar-SA"/>
              </w:rPr>
            </w:pPr>
            <w:r>
              <w:rPr>
                <w:rFonts w:hint="eastAsia" w:ascii="宋体" w:hAnsi="宋体" w:cs="宋体"/>
                <w:b/>
                <w:bCs/>
                <w:kern w:val="0"/>
                <w:szCs w:val="21"/>
              </w:rPr>
              <w:t>为减轻企业负担，本项目允许投标人暂缓办理法定代表人电子印章和授权委托人电子印章，投标人可将“印章签字表”盖章后扫描到资格审查文件“投标人提供的资格审查文件”中最后一页及商务技术文件中“投标人提供的商务技术文件”最后一页，电子投标文件中“印章签字表”与除企业公章以外的电子签章具有相同的法律效力。（格式详见下页印章签字表）</w:t>
            </w:r>
          </w:p>
        </w:tc>
      </w:tr>
    </w:tbl>
    <w:p>
      <w:pPr>
        <w:spacing w:after="120"/>
        <w:jc w:val="center"/>
        <w:rPr>
          <w:rFonts w:ascii="宋体" w:hAnsi="宋体" w:cs="宋体"/>
          <w:b/>
          <w:bCs/>
          <w:sz w:val="28"/>
          <w:szCs w:val="28"/>
        </w:rPr>
      </w:pPr>
      <w:r>
        <w:rPr>
          <w:rFonts w:hint="eastAsia" w:ascii="宋体" w:hAnsi="宋体" w:cs="宋体"/>
          <w:b/>
          <w:bCs/>
          <w:sz w:val="28"/>
          <w:szCs w:val="28"/>
        </w:rPr>
        <w:br w:type="page"/>
      </w:r>
      <w:r>
        <w:rPr>
          <w:rFonts w:hint="eastAsia" w:ascii="宋体" w:hAnsi="宋体" w:cs="宋体"/>
          <w:b/>
          <w:bCs/>
          <w:sz w:val="28"/>
          <w:szCs w:val="28"/>
        </w:rPr>
        <w:t>印章签字表</w:t>
      </w:r>
    </w:p>
    <w:tbl>
      <w:tblPr>
        <w:tblStyle w:val="21"/>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9"/>
        <w:gridCol w:w="6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4" w:hRule="atLeast"/>
          <w:jc w:val="center"/>
        </w:trPr>
        <w:tc>
          <w:tcPr>
            <w:tcW w:w="2239" w:type="dxa"/>
            <w:noWrap w:val="0"/>
            <w:vAlign w:val="center"/>
          </w:tcPr>
          <w:p>
            <w:pPr>
              <w:spacing w:after="120"/>
              <w:jc w:val="center"/>
              <w:rPr>
                <w:rFonts w:ascii="宋体" w:hAnsi="宋体" w:cs="宋体"/>
                <w:szCs w:val="21"/>
              </w:rPr>
            </w:pPr>
            <w:r>
              <w:rPr>
                <w:rFonts w:hint="eastAsia" w:ascii="宋体" w:hAnsi="宋体" w:cs="宋体"/>
                <w:szCs w:val="21"/>
              </w:rPr>
              <w:t>法定代表人签章申明</w:t>
            </w:r>
          </w:p>
        </w:tc>
        <w:tc>
          <w:tcPr>
            <w:tcW w:w="6720" w:type="dxa"/>
            <w:noWrap w:val="0"/>
            <w:vAlign w:val="top"/>
          </w:tcPr>
          <w:p>
            <w:pPr>
              <w:spacing w:after="120"/>
              <w:rPr>
                <w:rFonts w:ascii="宋体" w:hAnsi="宋体" w:cs="宋体"/>
                <w:szCs w:val="21"/>
              </w:rPr>
            </w:pPr>
            <w:r>
              <w:rPr>
                <w:rFonts w:hint="eastAsia" w:ascii="宋体" w:hAnsi="宋体" w:cs="宋体"/>
                <w:szCs w:val="21"/>
              </w:rPr>
              <w:t>我公司参与的项目电子投标（响应）文件中需要法定代表人签章的内容，本人均予认可。</w:t>
            </w:r>
          </w:p>
          <w:p>
            <w:pPr>
              <w:spacing w:after="120"/>
              <w:rPr>
                <w:rFonts w:ascii="宋体" w:hAnsi="宋体" w:cs="宋体"/>
                <w:szCs w:val="21"/>
              </w:rPr>
            </w:pPr>
            <w:r>
              <w:rPr>
                <w:rFonts w:hint="eastAsia" w:ascii="宋体" w:hAnsi="宋体" w:cs="宋体"/>
                <w:szCs w:val="21"/>
              </w:rPr>
              <w:t>签章（或签名）：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7" w:hRule="atLeast"/>
          <w:jc w:val="center"/>
        </w:trPr>
        <w:tc>
          <w:tcPr>
            <w:tcW w:w="2239" w:type="dxa"/>
            <w:noWrap w:val="0"/>
            <w:vAlign w:val="center"/>
          </w:tcPr>
          <w:p>
            <w:pPr>
              <w:spacing w:after="120"/>
              <w:jc w:val="center"/>
              <w:rPr>
                <w:rFonts w:ascii="宋体" w:hAnsi="宋体" w:cs="宋体"/>
                <w:szCs w:val="21"/>
              </w:rPr>
            </w:pPr>
            <w:r>
              <w:rPr>
                <w:rFonts w:hint="eastAsia" w:ascii="宋体" w:hAnsi="宋体" w:cs="宋体"/>
                <w:szCs w:val="21"/>
              </w:rPr>
              <w:t>法定代表人授权委托人签章申明</w:t>
            </w:r>
          </w:p>
        </w:tc>
        <w:tc>
          <w:tcPr>
            <w:tcW w:w="6720" w:type="dxa"/>
            <w:noWrap w:val="0"/>
            <w:vAlign w:val="top"/>
          </w:tcPr>
          <w:p>
            <w:pPr>
              <w:spacing w:after="120"/>
              <w:rPr>
                <w:rFonts w:ascii="宋体" w:hAnsi="宋体" w:cs="宋体"/>
                <w:szCs w:val="21"/>
              </w:rPr>
            </w:pPr>
            <w:r>
              <w:rPr>
                <w:rFonts w:hint="eastAsia" w:ascii="宋体" w:hAnsi="宋体" w:cs="宋体"/>
                <w:szCs w:val="21"/>
              </w:rPr>
              <w:t>我公司参与的项目电子投标（响应）文件中需要法定代表人签章的内容，本人均予认可。</w:t>
            </w:r>
          </w:p>
          <w:p>
            <w:pPr>
              <w:spacing w:after="120"/>
              <w:rPr>
                <w:rFonts w:ascii="宋体" w:hAnsi="宋体" w:cs="宋体"/>
                <w:szCs w:val="21"/>
              </w:rPr>
            </w:pPr>
            <w:r>
              <w:rPr>
                <w:rFonts w:hint="eastAsia" w:ascii="宋体" w:hAnsi="宋体" w:cs="宋体"/>
                <w:szCs w:val="21"/>
              </w:rPr>
              <w:t>签章（或签名）：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91" w:hRule="atLeast"/>
          <w:jc w:val="center"/>
        </w:trPr>
        <w:tc>
          <w:tcPr>
            <w:tcW w:w="2239" w:type="dxa"/>
            <w:noWrap w:val="0"/>
            <w:vAlign w:val="center"/>
          </w:tcPr>
          <w:p>
            <w:pPr>
              <w:spacing w:after="120"/>
              <w:jc w:val="center"/>
              <w:rPr>
                <w:rFonts w:ascii="宋体" w:hAnsi="宋体" w:cs="宋体"/>
                <w:szCs w:val="21"/>
              </w:rPr>
            </w:pPr>
            <w:r>
              <w:rPr>
                <w:rFonts w:hint="eastAsia" w:ascii="宋体" w:hAnsi="宋体" w:cs="宋体"/>
                <w:szCs w:val="21"/>
              </w:rPr>
              <w:t>企业声明</w:t>
            </w:r>
          </w:p>
        </w:tc>
        <w:tc>
          <w:tcPr>
            <w:tcW w:w="6720" w:type="dxa"/>
            <w:noWrap w:val="0"/>
            <w:vAlign w:val="top"/>
          </w:tcPr>
          <w:p>
            <w:pPr>
              <w:spacing w:after="120"/>
              <w:rPr>
                <w:rFonts w:ascii="宋体" w:hAnsi="宋体" w:cs="宋体"/>
                <w:szCs w:val="21"/>
              </w:rPr>
            </w:pPr>
            <w:r>
              <w:rPr>
                <w:rFonts w:hint="eastAsia" w:ascii="宋体" w:hAnsi="宋体" w:cs="宋体"/>
                <w:szCs w:val="21"/>
              </w:rPr>
              <w:t>我公司承诺以上内容均为本人签章或签字，我公司愿承担相应的法律责任。本表格仅适用于我公司参与的项目。</w:t>
            </w:r>
          </w:p>
          <w:p>
            <w:pPr>
              <w:spacing w:after="120"/>
              <w:rPr>
                <w:rFonts w:ascii="宋体" w:hAnsi="宋体" w:cs="宋体"/>
                <w:szCs w:val="21"/>
              </w:rPr>
            </w:pPr>
            <w:r>
              <w:rPr>
                <w:rFonts w:hint="eastAsia" w:ascii="宋体" w:hAnsi="宋体" w:cs="宋体"/>
                <w:szCs w:val="21"/>
              </w:rPr>
              <w:t>单位公章：</w:t>
            </w:r>
          </w:p>
        </w:tc>
      </w:tr>
    </w:tbl>
    <w:p>
      <w:pPr>
        <w:adjustRightInd w:val="0"/>
        <w:snapToGrid w:val="0"/>
        <w:spacing w:line="360" w:lineRule="auto"/>
        <w:rPr>
          <w:rFonts w:ascii="宋体" w:hAnsi="宋体"/>
          <w:b/>
          <w:color w:val="auto"/>
          <w:sz w:val="10"/>
          <w:szCs w:val="10"/>
        </w:rPr>
      </w:pPr>
      <w:r>
        <w:rPr>
          <w:rFonts w:ascii="宋体" w:hAnsi="宋体"/>
          <w:b/>
          <w:color w:val="auto"/>
          <w:szCs w:val="21"/>
        </w:rPr>
        <w:br w:type="page"/>
      </w:r>
    </w:p>
    <w:p>
      <w:pPr>
        <w:pStyle w:val="3"/>
        <w:adjustRightInd w:val="0"/>
        <w:snapToGrid w:val="0"/>
        <w:spacing w:before="156" w:beforeLines="50"/>
        <w:jc w:val="center"/>
        <w:rPr>
          <w:rFonts w:ascii="黑体" w:hAnsi="黑体" w:eastAsia="黑体"/>
          <w:color w:val="auto"/>
          <w:sz w:val="28"/>
          <w:szCs w:val="28"/>
        </w:rPr>
      </w:pPr>
      <w:bookmarkStart w:id="12" w:name="_Toc17427"/>
      <w:r>
        <w:rPr>
          <w:rFonts w:hint="eastAsia" w:ascii="黑体" w:hAnsi="黑体" w:eastAsia="黑体"/>
          <w:color w:val="auto"/>
          <w:sz w:val="28"/>
          <w:szCs w:val="28"/>
        </w:rPr>
        <w:t>第二节 投标须知</w:t>
      </w:r>
      <w:bookmarkEnd w:id="12"/>
    </w:p>
    <w:p>
      <w:pPr>
        <w:pStyle w:val="4"/>
        <w:adjustRightInd w:val="0"/>
        <w:snapToGrid w:val="0"/>
        <w:spacing w:before="156" w:beforeLines="50" w:after="0" w:line="360" w:lineRule="auto"/>
        <w:jc w:val="center"/>
        <w:rPr>
          <w:rFonts w:ascii="黑体" w:hAnsi="黑体" w:eastAsia="黑体"/>
          <w:b w:val="0"/>
          <w:color w:val="auto"/>
          <w:sz w:val="28"/>
          <w:szCs w:val="28"/>
        </w:rPr>
      </w:pPr>
      <w:bookmarkStart w:id="13" w:name="_Toc29574"/>
      <w:r>
        <w:rPr>
          <w:rFonts w:hint="eastAsia" w:ascii="黑体" w:hAnsi="黑体" w:eastAsia="黑体"/>
          <w:color w:val="auto"/>
          <w:sz w:val="28"/>
          <w:szCs w:val="28"/>
        </w:rPr>
        <w:t>一、总则</w:t>
      </w:r>
      <w:bookmarkEnd w:id="13"/>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1. 适用范围</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1.1本招标文件仅适用于本章第一节</w:t>
      </w:r>
      <w:r>
        <w:rPr>
          <w:rFonts w:hint="eastAsia" w:ascii="宋体" w:hAnsi="宋体" w:eastAsia="宋体"/>
          <w:b/>
          <w:bCs/>
          <w:color w:val="auto"/>
          <w:szCs w:val="21"/>
        </w:rPr>
        <w:t>【投标须知前附表】</w:t>
      </w:r>
      <w:r>
        <w:rPr>
          <w:rFonts w:hint="eastAsia" w:ascii="宋体" w:hAnsi="宋体" w:eastAsia="宋体"/>
          <w:color w:val="auto"/>
          <w:szCs w:val="21"/>
        </w:rPr>
        <w:t>中所叙述的采购项目。</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1.2</w:t>
      </w:r>
      <w:r>
        <w:rPr>
          <w:rFonts w:hint="eastAsia" w:ascii="宋体" w:hAnsi="宋体" w:eastAsia="宋体"/>
          <w:b/>
          <w:color w:val="auto"/>
          <w:szCs w:val="21"/>
        </w:rPr>
        <w:t>【投标须知前附表】</w:t>
      </w:r>
      <w:r>
        <w:rPr>
          <w:rFonts w:hint="eastAsia" w:ascii="宋体" w:hAnsi="宋体" w:eastAsia="宋体"/>
          <w:color w:val="auto"/>
          <w:szCs w:val="21"/>
        </w:rPr>
        <w:t>规定采购项目或者采购包属于“预留采购份额”的，</w:t>
      </w:r>
      <w:r>
        <w:rPr>
          <w:rFonts w:hint="eastAsia" w:ascii="宋体" w:hAnsi="宋体"/>
          <w:color w:val="auto"/>
          <w:szCs w:val="21"/>
          <w:lang w:val="en-US" w:eastAsia="zh-CN"/>
        </w:rPr>
        <w:t>投标人</w:t>
      </w:r>
      <w:r>
        <w:rPr>
          <w:rFonts w:hint="eastAsia" w:ascii="宋体" w:hAnsi="宋体" w:eastAsia="宋体"/>
          <w:color w:val="auto"/>
          <w:szCs w:val="21"/>
        </w:rPr>
        <w:t>应当符合本章第33.7款规定，否则，其</w:t>
      </w:r>
      <w:r>
        <w:rPr>
          <w:rFonts w:hint="eastAsia" w:ascii="宋体" w:hAnsi="宋体" w:eastAsia="宋体"/>
          <w:b/>
          <w:color w:val="auto"/>
          <w:szCs w:val="21"/>
        </w:rPr>
        <w:t>投标无效</w:t>
      </w:r>
      <w:r>
        <w:rPr>
          <w:rFonts w:hint="eastAsia" w:ascii="宋体" w:hAnsi="宋体" w:eastAsia="宋体"/>
          <w:color w:val="auto"/>
          <w:szCs w:val="21"/>
        </w:rPr>
        <w:t>。</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2. 定义</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2.1采购项目联系人姓名和电话见</w:t>
      </w:r>
      <w:r>
        <w:rPr>
          <w:rFonts w:hint="eastAsia" w:ascii="宋体" w:hAnsi="宋体" w:eastAsia="宋体"/>
          <w:b/>
          <w:color w:val="auto"/>
          <w:szCs w:val="21"/>
        </w:rPr>
        <w:t>【投标须知前附表】</w:t>
      </w:r>
      <w:r>
        <w:rPr>
          <w:rFonts w:hint="eastAsia" w:ascii="宋体" w:hAnsi="宋体" w:eastAsia="宋体"/>
          <w:color w:val="auto"/>
          <w:szCs w:val="21"/>
        </w:rPr>
        <w:t>。</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2.2采购人名称、地址、电话、联系人见</w:t>
      </w:r>
      <w:r>
        <w:rPr>
          <w:rFonts w:hint="eastAsia" w:ascii="宋体" w:hAnsi="宋体" w:eastAsia="宋体"/>
          <w:b/>
          <w:color w:val="auto"/>
          <w:szCs w:val="21"/>
        </w:rPr>
        <w:t>【投标须知前附表】</w:t>
      </w:r>
      <w:r>
        <w:rPr>
          <w:rFonts w:hint="eastAsia" w:ascii="宋体" w:hAnsi="宋体" w:eastAsia="宋体"/>
          <w:color w:val="auto"/>
          <w:szCs w:val="21"/>
        </w:rPr>
        <w:t>。</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2.3采购代理机构名称、地址、电话、联系人见</w:t>
      </w:r>
      <w:r>
        <w:rPr>
          <w:rFonts w:hint="eastAsia" w:ascii="宋体" w:hAnsi="宋体" w:eastAsia="宋体"/>
          <w:b/>
          <w:color w:val="auto"/>
          <w:szCs w:val="21"/>
        </w:rPr>
        <w:t>【投标须知前附表】。</w:t>
      </w:r>
    </w:p>
    <w:p>
      <w:pPr>
        <w:adjustRightInd w:val="0"/>
        <w:snapToGrid w:val="0"/>
        <w:spacing w:before="156" w:beforeLines="50" w:line="360" w:lineRule="auto"/>
        <w:ind w:firstLine="420" w:firstLineChars="200"/>
        <w:jc w:val="left"/>
        <w:rPr>
          <w:rFonts w:ascii="宋体" w:hAnsi="宋体" w:eastAsia="宋体"/>
          <w:b/>
          <w:color w:val="auto"/>
          <w:szCs w:val="21"/>
        </w:rPr>
      </w:pPr>
      <w:r>
        <w:rPr>
          <w:rFonts w:hint="eastAsia" w:ascii="宋体" w:hAnsi="宋体" w:eastAsia="宋体"/>
          <w:color w:val="auto"/>
          <w:szCs w:val="21"/>
        </w:rPr>
        <w:t>2.4投标人系指响应招标、参加投标竞争的法人、其他组织或自然人。</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3. 投标人的资格要求</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3.1投标人应当符合</w:t>
      </w:r>
      <w:r>
        <w:rPr>
          <w:rFonts w:hint="eastAsia" w:ascii="宋体" w:hAnsi="宋体" w:eastAsia="宋体"/>
          <w:b/>
          <w:color w:val="auto"/>
          <w:szCs w:val="21"/>
        </w:rPr>
        <w:t>【投标须知前附表】</w:t>
      </w:r>
      <w:r>
        <w:rPr>
          <w:rFonts w:hint="eastAsia" w:ascii="宋体" w:hAnsi="宋体" w:eastAsia="宋体"/>
          <w:color w:val="auto"/>
          <w:szCs w:val="21"/>
        </w:rPr>
        <w:t>规定的投标人资格条件。</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3.2</w:t>
      </w:r>
      <w:r>
        <w:rPr>
          <w:rFonts w:hint="eastAsia" w:ascii="宋体" w:hAnsi="宋体" w:eastAsia="宋体"/>
          <w:b/>
          <w:color w:val="auto"/>
          <w:szCs w:val="21"/>
        </w:rPr>
        <w:t>【投标须知前附表】</w:t>
      </w:r>
      <w:r>
        <w:rPr>
          <w:rFonts w:hint="eastAsia" w:ascii="宋体" w:hAnsi="宋体" w:eastAsia="宋体"/>
          <w:color w:val="auto"/>
          <w:szCs w:val="21"/>
        </w:rPr>
        <w:t>规定接受联合体形式投标的，投标人除应符合本章第3.1</w:t>
      </w:r>
      <w:r>
        <w:rPr>
          <w:rFonts w:hint="eastAsia" w:ascii="宋体" w:hAnsi="宋体" w:eastAsia="宋体" w:cs="宋体"/>
          <w:color w:val="auto"/>
          <w:kern w:val="0"/>
          <w:szCs w:val="21"/>
          <w:lang w:val="zh-CN"/>
        </w:rPr>
        <w:t>款</w:t>
      </w:r>
      <w:r>
        <w:rPr>
          <w:rFonts w:hint="eastAsia" w:ascii="宋体" w:hAnsi="宋体" w:eastAsia="宋体"/>
          <w:color w:val="auto"/>
          <w:szCs w:val="21"/>
        </w:rPr>
        <w:t xml:space="preserve">规定的资格条件外，还应遵守以下规定： </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（l）联合体中有同类资质的供应商按照联合体分工承担相同工作的，应当按照资质等级较低的供应商确定资质等级。</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（2）联合体各方应按招标文件提供的格式签订联合体协议书，明确联合体牵头人和各方的权利义务、合同工作量比例；</w:t>
      </w:r>
    </w:p>
    <w:p>
      <w:pPr>
        <w:adjustRightInd w:val="0"/>
        <w:snapToGrid w:val="0"/>
        <w:spacing w:before="156" w:beforeLines="50" w:line="360" w:lineRule="auto"/>
        <w:ind w:firstLine="420" w:firstLineChars="200"/>
        <w:jc w:val="left"/>
        <w:rPr>
          <w:rFonts w:ascii="宋体" w:hAnsi="宋体" w:eastAsia="宋体" w:cs="宋体"/>
          <w:color w:val="auto"/>
          <w:kern w:val="0"/>
          <w:szCs w:val="21"/>
          <w:lang w:val="zh-CN"/>
        </w:rPr>
      </w:pPr>
      <w:r>
        <w:rPr>
          <w:rFonts w:hint="eastAsia" w:ascii="宋体" w:hAnsi="宋体" w:eastAsia="宋体"/>
          <w:color w:val="auto"/>
          <w:szCs w:val="21"/>
        </w:rPr>
        <w:t>（3）联合体各方签订联合体协议书后，</w:t>
      </w:r>
      <w:r>
        <w:rPr>
          <w:rFonts w:hint="eastAsia" w:ascii="宋体" w:hAnsi="宋体" w:eastAsia="宋体" w:cs="宋体"/>
          <w:color w:val="auto"/>
          <w:kern w:val="0"/>
          <w:szCs w:val="21"/>
          <w:lang w:val="zh-CN"/>
        </w:rPr>
        <w:t>不得再单独参加或者与其他投标人组成新的联合体参加同一合同项下的采购活动。</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 xml:space="preserve">4. 投标费用 </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4.1投标人应自行承担所有参与投标的相关费用，不论投标的结果如何，采购人、采购代理机构均无义务和责任承担这些费用。</w:t>
      </w:r>
    </w:p>
    <w:p>
      <w:pPr>
        <w:adjustRightInd w:val="0"/>
        <w:snapToGrid w:val="0"/>
        <w:spacing w:before="156" w:beforeLines="50" w:line="360" w:lineRule="auto"/>
        <w:jc w:val="left"/>
        <w:rPr>
          <w:rFonts w:ascii="宋体" w:hAnsi="宋体" w:eastAsia="宋体"/>
          <w:b/>
          <w:color w:val="auto"/>
          <w:sz w:val="24"/>
        </w:rPr>
      </w:pPr>
      <w:r>
        <w:rPr>
          <w:rFonts w:hint="eastAsia" w:ascii="宋体" w:hAnsi="宋体" w:eastAsia="宋体"/>
          <w:b/>
          <w:color w:val="auto"/>
          <w:sz w:val="24"/>
        </w:rPr>
        <w:t>5．组织现场考察或者召开答疑会</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rPr>
        <w:t>5.1采购人、采购代理机构可以在</w:t>
      </w:r>
      <w:r>
        <w:rPr>
          <w:rFonts w:hint="eastAsia" w:ascii="宋体" w:hAnsi="宋体" w:eastAsia="宋体"/>
          <w:b/>
          <w:color w:val="auto"/>
          <w:szCs w:val="21"/>
        </w:rPr>
        <w:t>【投标须知前附表】</w:t>
      </w:r>
      <w:r>
        <w:rPr>
          <w:rFonts w:hint="eastAsia" w:ascii="宋体" w:hAnsi="宋体" w:eastAsia="宋体"/>
          <w:color w:val="auto"/>
          <w:szCs w:val="21"/>
        </w:rPr>
        <w:t>规定的招标文件提供期限截止后，组织已获取招标文件的潜在投标人现场考察或者召开开标前答疑会。</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5.2获取招标文件的潜在投标人应按</w:t>
      </w:r>
      <w:r>
        <w:rPr>
          <w:rFonts w:hint="eastAsia" w:ascii="宋体" w:hAnsi="宋体" w:eastAsia="宋体"/>
          <w:b/>
          <w:color w:val="auto"/>
          <w:szCs w:val="21"/>
        </w:rPr>
        <w:t>【投标须知前附表】</w:t>
      </w:r>
      <w:r>
        <w:rPr>
          <w:rFonts w:hint="eastAsia" w:ascii="宋体" w:hAnsi="宋体" w:eastAsia="宋体"/>
          <w:color w:val="auto"/>
          <w:szCs w:val="21"/>
        </w:rPr>
        <w:t>规定参加现场考察或者答疑会；如不参加，其风险由其自行承担。</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5.3潜在投标人现场考察或者参加答疑会的费用由自己承担，现场考察期间所发生的人身伤害及财产损失由自己负责。</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5.4采购人、采购代理机构不对投标人据此而做出的推论、理解和结论负责。投标人一旦中标，不得以任何借口，提出额外补偿，或延长合同期限的要求。</w:t>
      </w:r>
    </w:p>
    <w:p>
      <w:pPr>
        <w:pStyle w:val="4"/>
        <w:adjustRightInd w:val="0"/>
        <w:snapToGrid w:val="0"/>
        <w:spacing w:before="156" w:beforeLines="50" w:after="0" w:line="360" w:lineRule="auto"/>
        <w:jc w:val="center"/>
        <w:rPr>
          <w:rFonts w:ascii="黑体" w:hAnsi="黑体" w:eastAsia="黑体"/>
          <w:color w:val="auto"/>
          <w:sz w:val="28"/>
          <w:szCs w:val="28"/>
        </w:rPr>
      </w:pPr>
      <w:bookmarkStart w:id="14" w:name="_Toc9226"/>
      <w:r>
        <w:rPr>
          <w:rFonts w:hint="eastAsia" w:ascii="黑体" w:hAnsi="黑体" w:eastAsia="黑体"/>
          <w:color w:val="auto"/>
          <w:sz w:val="28"/>
          <w:szCs w:val="28"/>
        </w:rPr>
        <w:t>二、招标文件</w:t>
      </w:r>
      <w:bookmarkEnd w:id="14"/>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6. 招标文件的构成</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6.1 招标文件共七章，各章内容如下：</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第一章 投标邀请</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第二章 投标须知</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第三章 资格审查</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第四章 评标方法及标准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第五章 采购需求</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第六章 政府采购合同</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第七章 投标文件的组成</w:t>
      </w:r>
    </w:p>
    <w:p>
      <w:pPr>
        <w:adjustRightInd w:val="0"/>
        <w:snapToGrid w:val="0"/>
        <w:spacing w:before="156" w:beforeLines="50" w:line="360" w:lineRule="auto"/>
        <w:ind w:firstLine="420" w:firstLineChars="200"/>
        <w:jc w:val="left"/>
        <w:rPr>
          <w:rFonts w:ascii="宋体" w:hAnsi="宋体" w:eastAsia="宋体" w:cs="宋体"/>
          <w:b/>
          <w:color w:val="auto"/>
          <w:szCs w:val="21"/>
        </w:rPr>
      </w:pPr>
      <w:r>
        <w:rPr>
          <w:rFonts w:hint="eastAsia" w:ascii="宋体" w:hAnsi="宋体" w:eastAsia="宋体"/>
          <w:color w:val="auto"/>
          <w:szCs w:val="21"/>
        </w:rPr>
        <w:t>6.2采购人、采购代理机构在提交投标文件截止时间前</w:t>
      </w:r>
      <w:r>
        <w:rPr>
          <w:rFonts w:hint="eastAsia" w:ascii="宋体" w:hAnsi="宋体" w:eastAsia="宋体" w:cs="宋体"/>
          <w:color w:val="auto"/>
          <w:szCs w:val="21"/>
        </w:rPr>
        <w:t>对招标文件所作的澄清或者修改，构成招标文件的组成部分。</w:t>
      </w:r>
    </w:p>
    <w:p>
      <w:pPr>
        <w:adjustRightInd w:val="0"/>
        <w:snapToGrid w:val="0"/>
        <w:spacing w:before="156" w:beforeLines="50" w:line="360" w:lineRule="auto"/>
        <w:jc w:val="left"/>
        <w:rPr>
          <w:rFonts w:ascii="宋体" w:hAnsi="宋体" w:eastAsia="宋体"/>
          <w:b/>
          <w:color w:val="auto"/>
          <w:sz w:val="24"/>
        </w:rPr>
      </w:pPr>
      <w:r>
        <w:rPr>
          <w:rFonts w:hint="eastAsia" w:ascii="宋体" w:hAnsi="宋体" w:eastAsia="宋体"/>
          <w:b/>
          <w:color w:val="auto"/>
          <w:sz w:val="24"/>
        </w:rPr>
        <w:t>7．偏离与实质性响应</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eastAsia="宋体"/>
          <w:color w:val="auto"/>
        </w:rPr>
        <w:t>7.1投标人应当按照招标文件的要求编制投标文件。投标文件应当对招标文件提出的要求和条件作出明确响应。</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eastAsia="宋体"/>
          <w:color w:val="auto"/>
        </w:rPr>
        <w:t>7.2偏离是指投标文件不响应或者不满足招标文件提出的要求和条件，分为实质性偏离和非实质性偏离。</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eastAsia="宋体"/>
          <w:color w:val="auto"/>
        </w:rPr>
        <w:t>7.3除法律、法规和招标文件规定的其他投标无效情形外，招标文件中用“★”符号标明的条款为实质性要求和条件，对其中任何一条的偏离，为实质性偏离，</w:t>
      </w:r>
      <w:r>
        <w:rPr>
          <w:rFonts w:hint="eastAsia" w:ascii="宋体" w:hAnsi="宋体" w:eastAsia="宋体"/>
          <w:b/>
          <w:color w:val="auto"/>
        </w:rPr>
        <w:t>其投标无效</w:t>
      </w:r>
      <w:r>
        <w:rPr>
          <w:rFonts w:hint="eastAsia" w:ascii="宋体" w:hAnsi="宋体" w:eastAsia="宋体"/>
          <w:color w:val="auto"/>
        </w:rPr>
        <w:t>。</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7.4投标</w:t>
      </w:r>
      <w:r>
        <w:rPr>
          <w:rFonts w:hint="eastAsia" w:ascii="宋体" w:hAnsi="宋体" w:eastAsia="宋体"/>
          <w:color w:val="auto"/>
          <w:szCs w:val="21"/>
        </w:rPr>
        <w:t>文件偏离招标文件的非实质性要求和条件，为非实质性偏离。非实质性偏离的范围和幅度应当符合</w:t>
      </w:r>
      <w:r>
        <w:rPr>
          <w:rFonts w:hint="eastAsia" w:ascii="宋体" w:hAnsi="宋体" w:eastAsia="宋体"/>
          <w:b/>
          <w:color w:val="auto"/>
          <w:szCs w:val="21"/>
        </w:rPr>
        <w:t>【投标须知前附表】</w:t>
      </w:r>
      <w:r>
        <w:rPr>
          <w:rFonts w:hint="eastAsia" w:ascii="宋体" w:hAnsi="宋体" w:eastAsia="宋体"/>
          <w:color w:val="auto"/>
          <w:szCs w:val="21"/>
        </w:rPr>
        <w:t>的规定，</w:t>
      </w:r>
      <w:r>
        <w:rPr>
          <w:rFonts w:hint="eastAsia" w:ascii="宋体" w:hAnsi="宋体" w:eastAsia="宋体"/>
          <w:b/>
          <w:color w:val="auto"/>
          <w:szCs w:val="21"/>
        </w:rPr>
        <w:t>否</w:t>
      </w:r>
      <w:r>
        <w:rPr>
          <w:rFonts w:hint="eastAsia" w:ascii="宋体" w:hAnsi="宋体" w:eastAsia="宋体"/>
          <w:b/>
          <w:color w:val="auto"/>
        </w:rPr>
        <w:t>则投标无效</w:t>
      </w:r>
      <w:r>
        <w:rPr>
          <w:rFonts w:hint="eastAsia" w:ascii="宋体" w:hAnsi="宋体" w:eastAsia="宋体"/>
          <w:color w:val="auto"/>
        </w:rPr>
        <w:t>。</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color w:val="auto"/>
          <w:sz w:val="24"/>
        </w:rPr>
        <w:t>8. 询问</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8.1潜在投标人应仔细阅读和检查招标文件的全部内容。如有疑问，可以向采购人或者采购代理机构提出询问。</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9. 招标文件的澄清或者修改</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9.1采购人、采购代理机构对已发出的招标文件进行必要澄清或者修改的，将在</w:t>
      </w:r>
      <w:r>
        <w:rPr>
          <w:rFonts w:hint="eastAsia" w:ascii="宋体" w:hAnsi="宋体" w:eastAsia="宋体"/>
          <w:b/>
          <w:color w:val="auto"/>
          <w:szCs w:val="21"/>
        </w:rPr>
        <w:t>【投标须知前附表】</w:t>
      </w:r>
      <w:r>
        <w:rPr>
          <w:rFonts w:hint="eastAsia" w:ascii="宋体" w:hAnsi="宋体" w:eastAsia="宋体"/>
          <w:color w:val="auto"/>
          <w:szCs w:val="21"/>
        </w:rPr>
        <w:t>规定的</w:t>
      </w:r>
      <w:r>
        <w:rPr>
          <w:rFonts w:hint="eastAsia" w:ascii="宋体" w:hAnsi="宋体" w:eastAsia="宋体"/>
          <w:color w:val="auto"/>
        </w:rPr>
        <w:t>招标公告指定媒体上发布澄清或者修改公告。</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s="宋体"/>
          <w:color w:val="auto"/>
          <w:kern w:val="0"/>
          <w:szCs w:val="21"/>
        </w:rPr>
        <w:t>9.2澄清或者修改</w:t>
      </w:r>
      <w:r>
        <w:rPr>
          <w:rFonts w:hint="eastAsia" w:ascii="宋体" w:hAnsi="宋体" w:eastAsia="宋体"/>
          <w:color w:val="auto"/>
        </w:rPr>
        <w:t>的</w:t>
      </w:r>
      <w:r>
        <w:rPr>
          <w:rFonts w:hint="eastAsia" w:ascii="宋体" w:hAnsi="宋体" w:eastAsia="宋体" w:cs="宋体"/>
          <w:color w:val="auto"/>
          <w:kern w:val="0"/>
          <w:szCs w:val="21"/>
        </w:rPr>
        <w:t>内容可能影响投标文件编制的，采购人、采购代理机构</w:t>
      </w:r>
      <w:r>
        <w:rPr>
          <w:rFonts w:hint="eastAsia" w:ascii="宋体" w:hAnsi="宋体" w:eastAsia="宋体"/>
          <w:color w:val="auto"/>
        </w:rPr>
        <w:t>将</w:t>
      </w:r>
      <w:r>
        <w:rPr>
          <w:rFonts w:hint="eastAsia" w:ascii="宋体" w:hAnsi="宋体" w:eastAsia="宋体" w:cs="宋体"/>
          <w:color w:val="auto"/>
          <w:kern w:val="0"/>
          <w:szCs w:val="21"/>
        </w:rPr>
        <w:t>在提交投标文件截止时间15日前，</w:t>
      </w:r>
      <w:r>
        <w:rPr>
          <w:rFonts w:hint="eastAsia" w:ascii="宋体" w:hAnsi="宋体" w:eastAsia="宋体"/>
          <w:color w:val="auto"/>
        </w:rPr>
        <w:t>以书面形式通知所有获取招标文件的潜在投标人；不足15日的，将相应延长提交投标文件的截止时间。</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9</w:t>
      </w:r>
      <w:r>
        <w:rPr>
          <w:rFonts w:ascii="宋体" w:hAnsi="宋体" w:eastAsia="宋体"/>
          <w:color w:val="auto"/>
        </w:rPr>
        <w:t>.3</w:t>
      </w:r>
      <w:r>
        <w:rPr>
          <w:rFonts w:hint="eastAsia" w:ascii="宋体" w:hAnsi="宋体" w:eastAsia="宋体"/>
          <w:color w:val="auto"/>
        </w:rPr>
        <w:t>招标文件的提供期限届满后，获取招标文件的潜在投标人不足3家的，可以顺延提供期限，并在指定媒体上发布修改公告。</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9.4 通过电子招标投标交易平台下载招标文件的，请获取招标文件的潜在投标人及时关注</w:t>
      </w:r>
      <w:r>
        <w:rPr>
          <w:rFonts w:hint="eastAsia" w:ascii="宋体" w:hAnsi="宋体" w:eastAsia="宋体"/>
          <w:color w:val="auto"/>
          <w:szCs w:val="21"/>
        </w:rPr>
        <w:t>招标公告指定媒体</w:t>
      </w:r>
      <w:r>
        <w:rPr>
          <w:rFonts w:hint="eastAsia" w:ascii="宋体" w:hAnsi="宋体" w:eastAsia="宋体"/>
          <w:color w:val="auto"/>
        </w:rPr>
        <w:t>发布的澄清或者修改公告，采购人、采购代理机构不再书面通知。</w:t>
      </w:r>
    </w:p>
    <w:p>
      <w:pPr>
        <w:pStyle w:val="4"/>
        <w:adjustRightInd w:val="0"/>
        <w:snapToGrid w:val="0"/>
        <w:spacing w:before="156" w:beforeLines="50" w:after="0" w:line="360" w:lineRule="auto"/>
        <w:jc w:val="center"/>
        <w:rPr>
          <w:rFonts w:ascii="黑体" w:hAnsi="黑体" w:eastAsia="黑体"/>
          <w:color w:val="auto"/>
          <w:sz w:val="28"/>
          <w:szCs w:val="28"/>
        </w:rPr>
      </w:pPr>
      <w:bookmarkStart w:id="15" w:name="_Toc1234"/>
      <w:r>
        <w:rPr>
          <w:rFonts w:hint="eastAsia" w:ascii="黑体" w:hAnsi="黑体" w:eastAsia="黑体"/>
          <w:color w:val="auto"/>
          <w:sz w:val="28"/>
          <w:szCs w:val="28"/>
        </w:rPr>
        <w:t>三、投标文件</w:t>
      </w:r>
      <w:bookmarkEnd w:id="15"/>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10. 投标语言</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10.1除专用术语外，投标人提交的投标文件及投标人与采购人、采购代理机构就有关投标的所有来往函电均使用中文。投标人可以提交其它语言的资料，但应附有中文注释，有差异时以中文为准。</w:t>
      </w:r>
    </w:p>
    <w:p>
      <w:pPr>
        <w:adjustRightInd w:val="0"/>
        <w:snapToGrid w:val="0"/>
        <w:spacing w:before="156" w:beforeLines="50" w:line="360" w:lineRule="auto"/>
        <w:jc w:val="left"/>
        <w:rPr>
          <w:rFonts w:ascii="宋体" w:hAnsi="宋体" w:eastAsia="宋体"/>
          <w:b/>
          <w:color w:val="auto"/>
          <w:sz w:val="24"/>
        </w:rPr>
      </w:pPr>
      <w:r>
        <w:rPr>
          <w:rFonts w:hint="eastAsia" w:ascii="宋体" w:hAnsi="宋体" w:eastAsia="宋体"/>
          <w:b/>
          <w:bCs/>
          <w:color w:val="auto"/>
          <w:sz w:val="24"/>
        </w:rPr>
        <w:t xml:space="preserve">11. </w:t>
      </w:r>
      <w:r>
        <w:rPr>
          <w:rFonts w:hint="eastAsia" w:ascii="宋体" w:hAnsi="宋体" w:eastAsia="宋体"/>
          <w:b/>
          <w:color w:val="auto"/>
          <w:sz w:val="24"/>
        </w:rPr>
        <w:t>计量单位</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11.1所有计量均采用中华人民共和国法定计量单位。</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color w:val="auto"/>
          <w:sz w:val="24"/>
        </w:rPr>
        <w:t xml:space="preserve">12. </w:t>
      </w:r>
      <w:r>
        <w:rPr>
          <w:rFonts w:hint="eastAsia" w:ascii="宋体" w:hAnsi="宋体" w:eastAsia="宋体"/>
          <w:b/>
          <w:bCs/>
          <w:color w:val="auto"/>
          <w:sz w:val="24"/>
        </w:rPr>
        <w:t>投标文件的组成</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12.1投标文件由如下内容组成：</w:t>
      </w:r>
    </w:p>
    <w:p>
      <w:pPr>
        <w:adjustRightInd w:val="0"/>
        <w:snapToGrid w:val="0"/>
        <w:spacing w:before="156" w:beforeLines="50" w:line="360" w:lineRule="auto"/>
        <w:ind w:firstLine="422" w:firstLineChars="200"/>
        <w:jc w:val="left"/>
        <w:rPr>
          <w:rFonts w:ascii="宋体" w:hAnsi="宋体" w:eastAsia="宋体"/>
          <w:b/>
          <w:color w:val="auto"/>
          <w:szCs w:val="21"/>
        </w:rPr>
      </w:pPr>
      <w:r>
        <w:rPr>
          <w:rFonts w:hint="eastAsia" w:ascii="宋体" w:hAnsi="宋体" w:eastAsia="宋体"/>
          <w:b/>
          <w:color w:val="auto"/>
          <w:szCs w:val="21"/>
        </w:rPr>
        <w:t>第一部分 资格证明文件</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（1）开标一览表</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（2）投标保</w:t>
      </w:r>
      <w:r>
        <w:rPr>
          <w:rFonts w:hint="eastAsia" w:ascii="宋体" w:hAnsi="宋体" w:eastAsia="宋体"/>
          <w:bCs/>
          <w:color w:val="auto"/>
          <w:szCs w:val="21"/>
        </w:rPr>
        <w:t>证金</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（3）授权委托书</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（4）投标人提供的资格证明文件</w:t>
      </w:r>
    </w:p>
    <w:p>
      <w:pPr>
        <w:adjustRightInd w:val="0"/>
        <w:snapToGrid w:val="0"/>
        <w:spacing w:before="156" w:beforeLines="50" w:line="360" w:lineRule="auto"/>
        <w:ind w:firstLine="422" w:firstLineChars="200"/>
        <w:jc w:val="left"/>
        <w:rPr>
          <w:rFonts w:ascii="宋体" w:hAnsi="宋体" w:eastAsia="宋体"/>
          <w:b/>
          <w:color w:val="auto"/>
          <w:szCs w:val="21"/>
        </w:rPr>
      </w:pPr>
      <w:r>
        <w:rPr>
          <w:rFonts w:hint="eastAsia" w:ascii="宋体" w:hAnsi="宋体" w:eastAsia="宋体"/>
          <w:b/>
          <w:color w:val="auto"/>
          <w:szCs w:val="21"/>
        </w:rPr>
        <w:t>第二部分 商务和技术文件</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（5）投标函</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（6）分项报价</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（7）采购需求响应</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（8）合同条款偏离表</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（9）采购需求偏离表</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（10）享受政府采购政策优惠的证明资料</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（11）投标货物符合招标文件规定的证明文件</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（12）投标人认为需提供的其他资料</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12.2投标人可以编制资格审查索引表、符合性审查索引表、评审索引表，以方便采购人、采购代理机构、评标委员会在资格审查及评审时查阅。</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12.3根据《政府采购法》第四十二条的规定，投标人无论中标与否，其投标文件不予退还。</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13. 投标报价</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pPr>
        <w:adjustRightInd w:val="0"/>
        <w:snapToGrid w:val="0"/>
        <w:spacing w:before="156" w:beforeLines="50" w:line="360" w:lineRule="auto"/>
        <w:ind w:firstLine="420" w:firstLineChars="200"/>
        <w:jc w:val="left"/>
        <w:rPr>
          <w:rFonts w:ascii="宋体" w:hAnsi="宋体" w:eastAsia="宋体"/>
          <w:color w:val="auto"/>
          <w:szCs w:val="21"/>
        </w:rPr>
      </w:pPr>
      <w:r>
        <w:rPr>
          <w:rFonts w:ascii="宋体" w:hAnsi="宋体" w:eastAsia="宋体"/>
          <w:color w:val="auto"/>
          <w:szCs w:val="21"/>
        </w:rPr>
        <w:t>1</w:t>
      </w:r>
      <w:r>
        <w:rPr>
          <w:rFonts w:hint="eastAsia" w:ascii="宋体" w:hAnsi="宋体" w:eastAsia="宋体"/>
          <w:color w:val="auto"/>
          <w:szCs w:val="21"/>
        </w:rPr>
        <w:t>3</w:t>
      </w:r>
      <w:r>
        <w:rPr>
          <w:rFonts w:ascii="宋体" w:hAnsi="宋体" w:eastAsia="宋体"/>
          <w:color w:val="auto"/>
          <w:szCs w:val="21"/>
        </w:rPr>
        <w:t>.</w:t>
      </w:r>
      <w:r>
        <w:rPr>
          <w:rFonts w:hint="eastAsia" w:ascii="宋体" w:hAnsi="宋体" w:eastAsia="宋体"/>
          <w:color w:val="auto"/>
          <w:szCs w:val="21"/>
        </w:rPr>
        <w:t>2投标人的投标报价不得超过采购</w:t>
      </w:r>
      <w:r>
        <w:rPr>
          <w:rFonts w:hint="eastAsia" w:ascii="宋体" w:hAnsi="宋体"/>
          <w:color w:val="auto"/>
          <w:szCs w:val="21"/>
          <w:lang w:val="en-US" w:eastAsia="zh-CN"/>
        </w:rPr>
        <w:t>项目</w:t>
      </w:r>
      <w:r>
        <w:rPr>
          <w:rFonts w:hint="eastAsia" w:ascii="宋体" w:hAnsi="宋体" w:eastAsia="宋体"/>
          <w:color w:val="auto"/>
          <w:szCs w:val="21"/>
        </w:rPr>
        <w:t>预算，也不得超过最高限价(如果设定)，否则其</w:t>
      </w:r>
      <w:r>
        <w:rPr>
          <w:rFonts w:hint="eastAsia" w:ascii="宋体" w:hAnsi="宋体" w:eastAsia="宋体"/>
          <w:b/>
          <w:color w:val="auto"/>
          <w:szCs w:val="21"/>
        </w:rPr>
        <w:t>投标无效</w:t>
      </w:r>
      <w:r>
        <w:rPr>
          <w:rFonts w:hint="eastAsia" w:ascii="宋体" w:hAnsi="宋体" w:eastAsia="宋体"/>
          <w:color w:val="auto"/>
          <w:szCs w:val="21"/>
        </w:rPr>
        <w:t>。采购项目预算、最高限价见</w:t>
      </w:r>
      <w:r>
        <w:rPr>
          <w:rFonts w:hint="eastAsia" w:ascii="宋体" w:hAnsi="宋体" w:eastAsia="宋体"/>
          <w:b/>
          <w:color w:val="auto"/>
          <w:szCs w:val="21"/>
        </w:rPr>
        <w:t>【投标须知前附表】</w:t>
      </w:r>
      <w:r>
        <w:rPr>
          <w:rFonts w:hint="eastAsia" w:ascii="宋体" w:hAnsi="宋体" w:eastAsia="宋体"/>
          <w:color w:val="auto"/>
          <w:szCs w:val="21"/>
        </w:rPr>
        <w:t>。</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szCs w:val="21"/>
        </w:rPr>
        <w:t>13.3 投标人应在分项报价明细表中对每项内容给予详细分项</w:t>
      </w:r>
      <w:r>
        <w:rPr>
          <w:rFonts w:hint="eastAsia" w:ascii="宋体" w:hAnsi="宋体" w:eastAsia="宋体"/>
          <w:color w:val="auto"/>
        </w:rPr>
        <w:t>报价。</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13.4投标人对采购项目内容只允许有一个投标报价，否则其</w:t>
      </w:r>
      <w:r>
        <w:rPr>
          <w:rFonts w:hint="eastAsia" w:ascii="宋体" w:hAnsi="宋体" w:eastAsia="宋体"/>
          <w:b/>
          <w:color w:val="auto"/>
        </w:rPr>
        <w:t>投标无效</w:t>
      </w:r>
      <w:r>
        <w:rPr>
          <w:rFonts w:hint="eastAsia" w:ascii="宋体" w:hAnsi="宋体" w:eastAsia="宋体"/>
          <w:color w:val="auto"/>
        </w:rPr>
        <w:t>。</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13.5采购人不接受投标人给予的赠品、回扣或者与采购无关的其他商品、服务。如有赠与行为，其</w:t>
      </w:r>
      <w:r>
        <w:rPr>
          <w:rFonts w:hint="eastAsia" w:ascii="宋体" w:hAnsi="宋体" w:eastAsia="宋体"/>
          <w:b/>
          <w:color w:val="auto"/>
        </w:rPr>
        <w:t>投标无效</w:t>
      </w:r>
      <w:r>
        <w:rPr>
          <w:rFonts w:hint="eastAsia" w:ascii="宋体" w:hAnsi="宋体" w:eastAsia="宋体"/>
          <w:color w:val="auto"/>
        </w:rPr>
        <w:t>。</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13.6</w:t>
      </w:r>
      <w:r>
        <w:rPr>
          <w:rFonts w:hint="eastAsia" w:ascii="宋体" w:hAnsi="宋体" w:eastAsia="宋体"/>
          <w:color w:val="auto"/>
          <w:szCs w:val="21"/>
          <w:lang w:val="en-US" w:eastAsia="zh-CN"/>
        </w:rPr>
        <w:t>采用固定价格定价方式的采购项目，</w:t>
      </w:r>
      <w:r>
        <w:rPr>
          <w:rFonts w:hint="eastAsia" w:ascii="宋体" w:hAnsi="宋体" w:eastAsia="宋体"/>
          <w:color w:val="auto"/>
        </w:rPr>
        <w:t>投标文件中标明的价格在合同执行过程中是固定不变的，不得以任何理由予以变更。任何包含价格调整要求和条件的投标，其</w:t>
      </w:r>
      <w:r>
        <w:rPr>
          <w:rFonts w:hint="eastAsia" w:ascii="宋体" w:hAnsi="宋体" w:eastAsia="宋体"/>
          <w:b/>
          <w:color w:val="auto"/>
        </w:rPr>
        <w:t>投标无效</w:t>
      </w:r>
      <w:r>
        <w:rPr>
          <w:rFonts w:hint="eastAsia" w:ascii="宋体" w:hAnsi="宋体" w:eastAsia="宋体"/>
          <w:color w:val="auto"/>
        </w:rPr>
        <w:t>。</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13.8投标报价的其他要求见</w:t>
      </w:r>
      <w:r>
        <w:rPr>
          <w:rFonts w:hint="eastAsia" w:ascii="宋体" w:hAnsi="宋体"/>
          <w:b/>
          <w:color w:val="auto"/>
          <w:szCs w:val="21"/>
        </w:rPr>
        <w:t>【投标须知前附表】</w:t>
      </w:r>
      <w:r>
        <w:rPr>
          <w:rFonts w:hint="eastAsia" w:ascii="宋体" w:hAnsi="宋体" w:eastAsia="宋体"/>
          <w:color w:val="auto"/>
        </w:rPr>
        <w:t xml:space="preserve">。 </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color w:val="auto"/>
          <w:sz w:val="24"/>
        </w:rPr>
        <w:t xml:space="preserve">14. </w:t>
      </w:r>
      <w:r>
        <w:rPr>
          <w:rFonts w:hint="eastAsia" w:ascii="宋体" w:hAnsi="宋体" w:eastAsia="宋体"/>
          <w:b/>
          <w:bCs/>
          <w:color w:val="auto"/>
          <w:sz w:val="24"/>
        </w:rPr>
        <w:t>投标人的资格证明文件（未进行资格预审的）</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color w:val="auto"/>
        </w:rPr>
        <w:t>14.1</w:t>
      </w:r>
      <w:r>
        <w:rPr>
          <w:rFonts w:hint="eastAsia" w:ascii="宋体" w:hAnsi="宋体" w:eastAsia="宋体"/>
          <w:color w:val="auto"/>
          <w:szCs w:val="21"/>
        </w:rPr>
        <w:t>除</w:t>
      </w:r>
      <w:r>
        <w:rPr>
          <w:rFonts w:hint="eastAsia" w:ascii="宋体" w:hAnsi="宋体"/>
          <w:b/>
          <w:color w:val="auto"/>
          <w:szCs w:val="21"/>
        </w:rPr>
        <w:t>【投标须知前附表】</w:t>
      </w:r>
      <w:r>
        <w:rPr>
          <w:rFonts w:hint="eastAsia" w:ascii="宋体" w:hAnsi="宋体" w:eastAsia="宋体"/>
          <w:color w:val="auto"/>
          <w:szCs w:val="21"/>
        </w:rPr>
        <w:t>另有规</w:t>
      </w:r>
      <w:r>
        <w:rPr>
          <w:rFonts w:hint="eastAsia" w:ascii="宋体" w:hAnsi="宋体" w:eastAsia="宋体"/>
          <w:color w:val="auto"/>
        </w:rPr>
        <w:t>定外，投标人应按下列规定提供资格证明文件。</w:t>
      </w:r>
    </w:p>
    <w:p>
      <w:pPr>
        <w:adjustRightInd w:val="0"/>
        <w:snapToGrid w:val="0"/>
        <w:spacing w:before="156" w:beforeLines="50" w:line="360" w:lineRule="auto"/>
        <w:ind w:firstLine="420" w:firstLineChars="200"/>
        <w:rPr>
          <w:rFonts w:ascii="宋体" w:hAnsi="宋体"/>
          <w:color w:val="auto"/>
        </w:rPr>
      </w:pPr>
      <w:r>
        <w:rPr>
          <w:rFonts w:hint="eastAsia" w:ascii="宋体" w:hAnsi="宋体"/>
          <w:color w:val="auto"/>
        </w:rPr>
        <w:t>（1）</w:t>
      </w:r>
      <w:r>
        <w:rPr>
          <w:rFonts w:hint="eastAsia" w:ascii="宋体" w:hAnsi="宋体"/>
          <w:b/>
          <w:color w:val="auto"/>
        </w:rPr>
        <w:t>法人或者其他组织的营业执照等主体资格证明文件，自然人的身份证明</w:t>
      </w:r>
      <w:r>
        <w:rPr>
          <w:rFonts w:hint="eastAsia" w:ascii="宋体" w:hAnsi="宋体"/>
          <w:color w:val="auto"/>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adjustRightInd w:val="0"/>
        <w:snapToGrid w:val="0"/>
        <w:spacing w:before="156" w:beforeLines="50" w:line="360" w:lineRule="auto"/>
        <w:ind w:firstLine="422" w:firstLineChars="200"/>
        <w:rPr>
          <w:rFonts w:ascii="宋体" w:hAnsi="宋体" w:eastAsia="宋体"/>
          <w:b/>
          <w:color w:val="auto"/>
        </w:rPr>
      </w:pPr>
      <w:r>
        <w:rPr>
          <w:rFonts w:hint="eastAsia" w:ascii="宋体" w:hAnsi="宋体" w:eastAsia="宋体"/>
          <w:b/>
          <w:color w:val="auto"/>
        </w:rPr>
        <w:t>（2）湖南省政府采购供应商资格承诺函(格式)</w:t>
      </w:r>
    </w:p>
    <w:p>
      <w:pPr>
        <w:adjustRightInd w:val="0"/>
        <w:snapToGrid w:val="0"/>
        <w:spacing w:before="156" w:beforeLines="50" w:line="360" w:lineRule="auto"/>
        <w:ind w:firstLine="422" w:firstLineChars="200"/>
        <w:rPr>
          <w:rFonts w:ascii="宋体" w:hAnsi="宋体" w:eastAsia="宋体"/>
          <w:b/>
          <w:color w:val="auto"/>
        </w:rPr>
      </w:pPr>
      <w:r>
        <w:rPr>
          <w:rFonts w:hint="eastAsia" w:ascii="宋体" w:hAnsi="宋体" w:eastAsia="宋体"/>
          <w:b/>
          <w:color w:val="auto"/>
        </w:rPr>
        <w:t>（3）符合特定资格条件证明材料或者情况说明。</w:t>
      </w:r>
    </w:p>
    <w:p>
      <w:pPr>
        <w:adjustRightInd w:val="0"/>
        <w:snapToGrid w:val="0"/>
        <w:spacing w:before="156" w:beforeLines="50" w:line="360" w:lineRule="auto"/>
        <w:ind w:firstLine="420" w:firstLineChars="200"/>
        <w:rPr>
          <w:rFonts w:ascii="宋体" w:hAnsi="宋体"/>
          <w:color w:val="auto"/>
        </w:rPr>
      </w:pPr>
      <w:r>
        <w:rPr>
          <w:rFonts w:hint="eastAsia" w:ascii="宋体" w:hAnsi="宋体"/>
          <w:color w:val="auto"/>
        </w:rPr>
        <w:t>14.2投标人以联合体形式投标的，除应提交联合协议(格式)外，参加联合体的各方均应提交上款资格证明材料。</w:t>
      </w:r>
    </w:p>
    <w:p>
      <w:pPr>
        <w:adjustRightInd w:val="0"/>
        <w:snapToGrid w:val="0"/>
        <w:spacing w:before="156" w:beforeLines="50" w:line="360" w:lineRule="auto"/>
        <w:ind w:firstLine="420" w:firstLineChars="200"/>
        <w:rPr>
          <w:rFonts w:ascii="宋体" w:hAnsi="宋体"/>
          <w:color w:val="auto"/>
        </w:rPr>
      </w:pPr>
      <w:r>
        <w:rPr>
          <w:rFonts w:hint="eastAsia" w:ascii="宋体" w:hAnsi="宋体"/>
          <w:color w:val="auto"/>
        </w:rPr>
        <w:t>14.3投标人的资格证明文件均应为有效文件并加盖投标人单位章，并按招标文件规定签署。</w:t>
      </w:r>
    </w:p>
    <w:p>
      <w:pPr>
        <w:adjustRightInd w:val="0"/>
        <w:snapToGrid w:val="0"/>
        <w:spacing w:before="156" w:beforeLines="50" w:line="360" w:lineRule="auto"/>
        <w:jc w:val="left"/>
        <w:rPr>
          <w:rFonts w:ascii="宋体" w:hAnsi="宋体" w:eastAsia="宋体"/>
          <w:b/>
          <w:bCs/>
          <w:color w:val="auto"/>
          <w:sz w:val="24"/>
        </w:rPr>
      </w:pPr>
      <w:bookmarkStart w:id="16" w:name="_Toc82155360"/>
      <w:bookmarkStart w:id="17" w:name="_Toc62206130"/>
      <w:bookmarkStart w:id="18" w:name="_Toc38786717"/>
      <w:r>
        <w:rPr>
          <w:rFonts w:hint="eastAsia" w:ascii="宋体" w:hAnsi="宋体" w:eastAsia="宋体"/>
          <w:b/>
          <w:bCs/>
          <w:color w:val="auto"/>
          <w:sz w:val="24"/>
        </w:rPr>
        <w:t>14.供应商的资格证明文件（已进行资格预审的）</w:t>
      </w:r>
      <w:bookmarkEnd w:id="16"/>
      <w:bookmarkEnd w:id="17"/>
      <w:bookmarkEnd w:id="18"/>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14.1被邀请的供应商在提交投标文件前，其资格条件发生变化，影响或者可能影响资格条件的，应随投标文件提供更新或者补充的资格证明资料，以证实其各项条件仍能继续满足本章第3.1款规定的供应商资格条件要求。</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15. 投标货物及服务符合招标文件规定的证明文件</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15.1投标人应当提交其拟供的合同项下货物及其服务符合招标文件规定的证明文件,该证明文件作为投标文件的一部分。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15.2上述证明文件可以是文字资料、图表、数据、证书等资料，包括但不限于：</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（1）货物主要技术指标和性能的详细说明。对有具体参数要求的指标，投标人应提供具体参数值；</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（2）货物的品牌型号、制造商及原产地等说明；</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（3）招标文件第五章“采购需求”要求的其它文件。</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16. 投标有效期</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16.1投标有效期从提交投标文件的截止之日起算。投标文件中承诺的投标有效期应当不少于</w:t>
      </w:r>
      <w:r>
        <w:rPr>
          <w:rFonts w:hint="eastAsia" w:ascii="宋体" w:hAnsi="宋体" w:eastAsia="宋体"/>
          <w:b/>
          <w:color w:val="auto"/>
          <w:szCs w:val="21"/>
        </w:rPr>
        <w:t>【投标须知前附表】</w:t>
      </w:r>
      <w:r>
        <w:rPr>
          <w:rFonts w:hint="eastAsia" w:ascii="宋体" w:hAnsi="宋体" w:eastAsia="宋体"/>
          <w:color w:val="auto"/>
          <w:szCs w:val="21"/>
        </w:rPr>
        <w:t>中载明的投标有效期。投标有效期不满足要求的，其</w:t>
      </w:r>
      <w:r>
        <w:rPr>
          <w:rFonts w:hint="eastAsia" w:ascii="宋体" w:hAnsi="宋体" w:eastAsia="宋体"/>
          <w:b/>
          <w:color w:val="auto"/>
          <w:szCs w:val="21"/>
        </w:rPr>
        <w:t>投标无效</w:t>
      </w:r>
      <w:r>
        <w:rPr>
          <w:rFonts w:hint="eastAsia" w:ascii="宋体" w:hAnsi="宋体" w:eastAsia="宋体"/>
          <w:color w:val="auto"/>
          <w:szCs w:val="21"/>
        </w:rPr>
        <w:t>。</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16.2投标有效期内投标人撤销投标文件的，投标人应承担招标文件和法律规定的责任。</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17. 投标保证金</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17.1招标文件要求投标人提交投标保证金的，</w:t>
      </w:r>
      <w:r>
        <w:rPr>
          <w:rFonts w:hint="eastAsia" w:ascii="宋体" w:hAnsi="宋体" w:eastAsia="宋体"/>
          <w:bCs/>
          <w:color w:val="auto"/>
          <w:szCs w:val="21"/>
        </w:rPr>
        <w:t>投标人</w:t>
      </w:r>
      <w:r>
        <w:rPr>
          <w:rFonts w:hint="eastAsia" w:ascii="宋体" w:hAnsi="宋体" w:eastAsia="宋体"/>
          <w:color w:val="auto"/>
          <w:szCs w:val="21"/>
        </w:rPr>
        <w:t>应按</w:t>
      </w:r>
      <w:r>
        <w:rPr>
          <w:rFonts w:hint="eastAsia" w:ascii="宋体" w:hAnsi="宋体" w:eastAsia="宋体"/>
          <w:b/>
          <w:color w:val="auto"/>
          <w:szCs w:val="21"/>
        </w:rPr>
        <w:t>【投标须知前附表】</w:t>
      </w:r>
      <w:r>
        <w:rPr>
          <w:rFonts w:hint="eastAsia" w:ascii="宋体" w:hAnsi="宋体" w:eastAsia="宋体"/>
          <w:color w:val="auto"/>
          <w:szCs w:val="21"/>
        </w:rPr>
        <w:t>规定，</w:t>
      </w:r>
      <w:r>
        <w:rPr>
          <w:rFonts w:hint="eastAsia" w:ascii="宋体" w:hAnsi="宋体" w:eastAsia="宋体"/>
          <w:bCs/>
          <w:color w:val="auto"/>
          <w:szCs w:val="21"/>
        </w:rPr>
        <w:t>在</w:t>
      </w:r>
      <w:r>
        <w:rPr>
          <w:rFonts w:hint="eastAsia" w:ascii="宋体" w:hAnsi="宋体" w:eastAsia="宋体"/>
          <w:color w:val="auto"/>
          <w:szCs w:val="21"/>
        </w:rPr>
        <w:t>提交投标文件的截止时间</w:t>
      </w:r>
      <w:r>
        <w:rPr>
          <w:rFonts w:hint="eastAsia" w:ascii="宋体" w:hAnsi="宋体" w:eastAsia="宋体"/>
          <w:bCs/>
          <w:color w:val="auto"/>
          <w:szCs w:val="21"/>
        </w:rPr>
        <w:t>前提交投标保证金</w:t>
      </w:r>
      <w:r>
        <w:rPr>
          <w:rFonts w:hint="eastAsia" w:ascii="宋体" w:hAnsi="宋体" w:eastAsia="宋体"/>
          <w:color w:val="auto"/>
          <w:szCs w:val="21"/>
        </w:rPr>
        <w:t>。</w:t>
      </w:r>
      <w:r>
        <w:rPr>
          <w:rFonts w:hint="eastAsia" w:ascii="宋体" w:hAnsi="宋体" w:eastAsia="宋体"/>
          <w:bCs/>
          <w:color w:val="auto"/>
          <w:szCs w:val="21"/>
        </w:rPr>
        <w:t>投标人可以保函、电子增信替代投标保证金。</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17.2联合体投标的，可以由联合体中的一方或者共同提交投标保证金。以一方名义提交投标保证金的，对联合体各方均具有约束力。</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17.3投标保证金的退还按以下规定办理：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（1）中标投标人的投标保证金，将在政府采购合同签订后5个工作日内退还。</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（2）未中标的投标人的投标保证金，将在中标通知书发出后5个工作日内退还。</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（3）终止招标的。对于已递交投标保证金的，采购人、采购代理机构在终止招标公告发布后5个工作日内退还。</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（4）在投标截止日前撤回投标的，对于已递交投标保证金的，采购人、采购代理机构在收到投标人书面撤回投标通知之日起5个工作日内退还。</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17.4有以下情形之一的，投标保证金将不予退还，上</w:t>
      </w:r>
      <w:r>
        <w:rPr>
          <w:rFonts w:hint="eastAsia" w:ascii="宋体" w:hAnsi="宋体" w:eastAsia="宋体"/>
          <w:color w:val="auto"/>
          <w:szCs w:val="21"/>
          <w:lang w:eastAsia="zh-CN"/>
        </w:rPr>
        <w:t>缴</w:t>
      </w:r>
      <w:r>
        <w:rPr>
          <w:rFonts w:hint="eastAsia" w:ascii="宋体" w:hAnsi="宋体" w:eastAsia="宋体"/>
          <w:color w:val="auto"/>
          <w:szCs w:val="21"/>
        </w:rPr>
        <w:t>国库：</w:t>
      </w:r>
      <w:r>
        <w:rPr>
          <w:rFonts w:ascii="宋体" w:hAnsi="宋体" w:eastAsia="宋体"/>
          <w:color w:val="auto"/>
          <w:szCs w:val="21"/>
        </w:rPr>
        <w:t xml:space="preserve"> </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（1）投标人在招标文件中规定的投标有效期内撤销其投标；</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（2）中标人无正当理由不与</w:t>
      </w:r>
      <w:r>
        <w:rPr>
          <w:rFonts w:hint="eastAsia" w:ascii="宋体" w:hAnsi="宋体"/>
          <w:color w:val="auto"/>
          <w:szCs w:val="21"/>
          <w:lang w:eastAsia="zh-CN"/>
        </w:rPr>
        <w:t>采购人</w:t>
      </w:r>
      <w:r>
        <w:rPr>
          <w:rFonts w:hint="eastAsia" w:ascii="宋体" w:hAnsi="宋体" w:eastAsia="宋体"/>
          <w:color w:val="auto"/>
          <w:szCs w:val="21"/>
        </w:rPr>
        <w:t>订立合同，在签订合同时向</w:t>
      </w:r>
      <w:r>
        <w:rPr>
          <w:rFonts w:hint="eastAsia" w:ascii="宋体" w:hAnsi="宋体"/>
          <w:color w:val="auto"/>
          <w:szCs w:val="21"/>
          <w:lang w:eastAsia="zh-CN"/>
        </w:rPr>
        <w:t>采购人</w:t>
      </w:r>
      <w:r>
        <w:rPr>
          <w:rFonts w:hint="eastAsia" w:ascii="宋体" w:hAnsi="宋体" w:eastAsia="宋体"/>
          <w:color w:val="auto"/>
          <w:szCs w:val="21"/>
        </w:rPr>
        <w:t>提出附加条件，或者不按照招标文件要求提交履约保证金。</w:t>
      </w:r>
    </w:p>
    <w:p>
      <w:pPr>
        <w:adjustRightInd w:val="0"/>
        <w:snapToGrid w:val="0"/>
        <w:spacing w:before="156" w:beforeLines="50" w:line="360" w:lineRule="auto"/>
        <w:jc w:val="left"/>
        <w:rPr>
          <w:rFonts w:ascii="宋体" w:hAnsi="宋体" w:eastAsia="宋体"/>
          <w:b/>
          <w:color w:val="auto"/>
          <w:sz w:val="24"/>
        </w:rPr>
      </w:pPr>
      <w:r>
        <w:rPr>
          <w:rFonts w:hint="eastAsia" w:ascii="宋体" w:hAnsi="宋体" w:eastAsia="宋体"/>
          <w:b/>
          <w:color w:val="auto"/>
          <w:sz w:val="24"/>
        </w:rPr>
        <w:t>18.分包</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18.1</w:t>
      </w:r>
      <w:r>
        <w:rPr>
          <w:rFonts w:hint="eastAsia" w:hAnsi="宋体"/>
          <w:b/>
          <w:bCs/>
          <w:color w:val="auto"/>
        </w:rPr>
        <w:t>【投标须知前附表】</w:t>
      </w:r>
      <w:r>
        <w:rPr>
          <w:rFonts w:hint="eastAsia" w:ascii="宋体" w:hAnsi="宋体"/>
          <w:color w:val="auto"/>
        </w:rPr>
        <w:t>规定投标人分包的，投标人分包承诺不符合招标文件中有关分包规定的，其</w:t>
      </w:r>
      <w:r>
        <w:rPr>
          <w:rFonts w:hint="eastAsia" w:ascii="宋体" w:hAnsi="宋体"/>
          <w:b/>
          <w:bCs/>
          <w:color w:val="auto"/>
        </w:rPr>
        <w:t>投标无效</w:t>
      </w:r>
      <w:r>
        <w:rPr>
          <w:rFonts w:hint="eastAsia" w:ascii="宋体" w:hAnsi="宋体"/>
          <w:color w:val="auto"/>
        </w:rPr>
        <w:t>。</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18.2投标人应在签订政府采购合同前向采购人提供分包合同，否则，采购人有权拒绝签订采购合同。</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18.3享受中小企业扶持政策获得政府采购合同的，小微企业不得将合同分包给大中型企业，中型企业不得将合同分包给大型企业。</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18.4分包供应商不得再次分包。</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 xml:space="preserve">19. </w:t>
      </w:r>
      <w:r>
        <w:rPr>
          <w:rFonts w:hint="eastAsia" w:ascii="宋体" w:hAnsi="宋体" w:cs="宋体"/>
          <w:b/>
          <w:sz w:val="24"/>
        </w:rPr>
        <w:t>电子投标文件的制作和签署</w:t>
      </w:r>
    </w:p>
    <w:p>
      <w:pPr>
        <w:adjustRightInd w:val="0"/>
        <w:snapToGrid w:val="0"/>
        <w:spacing w:line="360" w:lineRule="auto"/>
        <w:ind w:firstLine="420" w:firstLineChars="200"/>
        <w:jc w:val="left"/>
        <w:rPr>
          <w:rFonts w:ascii="宋体" w:cs="宋体"/>
        </w:rPr>
      </w:pPr>
      <w:bookmarkStart w:id="19" w:name="_Toc16048"/>
      <w:r>
        <w:rPr>
          <w:rFonts w:ascii="宋体" w:hAnsi="宋体" w:cs="宋体"/>
        </w:rPr>
        <w:t>19.1</w:t>
      </w:r>
      <w:r>
        <w:rPr>
          <w:rFonts w:hint="eastAsia" w:ascii="宋体" w:hAnsi="宋体" w:cs="宋体"/>
        </w:rPr>
        <w:t>电子投标文件编制、制作需要在湘潭市公共资源交易中心网站下载“</w:t>
      </w:r>
      <w:r>
        <w:rPr>
          <w:rFonts w:hint="eastAsia" w:ascii="宋体" w:hAnsi="宋体" w:cs="宋体"/>
          <w:b/>
          <w:bCs/>
        </w:rPr>
        <w:t>电子投标文件编制工具</w:t>
      </w:r>
      <w:r>
        <w:rPr>
          <w:rFonts w:hint="eastAsia" w:ascii="宋体" w:hAnsi="宋体" w:cs="宋体"/>
        </w:rPr>
        <w:t>”软件。</w:t>
      </w:r>
    </w:p>
    <w:p>
      <w:pPr>
        <w:adjustRightInd w:val="0"/>
        <w:snapToGrid w:val="0"/>
        <w:spacing w:line="360" w:lineRule="auto"/>
        <w:ind w:firstLine="420" w:firstLineChars="200"/>
        <w:jc w:val="left"/>
        <w:rPr>
          <w:rFonts w:ascii="宋体" w:cs="宋体"/>
        </w:rPr>
      </w:pPr>
      <w:r>
        <w:rPr>
          <w:rFonts w:ascii="宋体" w:hAnsi="宋体" w:cs="宋体"/>
        </w:rPr>
        <w:t>19.2</w:t>
      </w:r>
      <w:r>
        <w:rPr>
          <w:rFonts w:hint="eastAsia" w:ascii="宋体" w:hAnsi="宋体" w:cs="宋体"/>
        </w:rPr>
        <w:t>投标人应按照电子招标文件格式及投标工具编制投标文件，否则，由于投标人的编制、格式、上传位置等失误所导致的后果和责任由投标人自行承担。</w:t>
      </w:r>
    </w:p>
    <w:p>
      <w:pPr>
        <w:adjustRightInd w:val="0"/>
        <w:snapToGrid w:val="0"/>
        <w:spacing w:line="360" w:lineRule="auto"/>
        <w:ind w:firstLine="420" w:firstLineChars="200"/>
        <w:jc w:val="left"/>
        <w:rPr>
          <w:rFonts w:ascii="宋体" w:cs="宋体"/>
        </w:rPr>
      </w:pPr>
      <w:r>
        <w:rPr>
          <w:rFonts w:ascii="宋体" w:hAnsi="宋体" w:cs="宋体"/>
        </w:rPr>
        <w:t>19.3</w:t>
      </w:r>
      <w:r>
        <w:rPr>
          <w:rFonts w:hint="eastAsia" w:ascii="宋体" w:hAnsi="宋体" w:cs="宋体"/>
        </w:rPr>
        <w:t>投标人应注意压缩电子文件，上传的有关扫描件的大小和清晰度、格式等应该能够在电脑上被阅读、识别和判断。若投标人未按要求提供证明材料或提供的是部分证明材料或提供不清晰的扫描件复印件，无法阅读、识别和判断的，所导致后果均由投标人自行承担。</w:t>
      </w:r>
    </w:p>
    <w:p>
      <w:pPr>
        <w:adjustRightInd w:val="0"/>
        <w:snapToGrid w:val="0"/>
        <w:spacing w:line="360" w:lineRule="auto"/>
        <w:ind w:firstLine="420" w:firstLineChars="200"/>
        <w:jc w:val="left"/>
        <w:rPr>
          <w:rFonts w:ascii="宋体" w:cs="宋体"/>
          <w:szCs w:val="21"/>
        </w:rPr>
      </w:pPr>
      <w:r>
        <w:rPr>
          <w:rFonts w:ascii="宋体" w:hAnsi="宋体" w:cs="宋体"/>
        </w:rPr>
        <w:t>19.5</w:t>
      </w:r>
      <w:r>
        <w:rPr>
          <w:rFonts w:hint="eastAsia" w:ascii="宋体" w:hAnsi="宋体" w:cs="宋体"/>
        </w:rPr>
        <w:t>电子招投标文件具有法律效力，若投标文件与招标文件要求不一致，其内容影响中标结果时，所导致后果由投标人自行承担。</w:t>
      </w:r>
    </w:p>
    <w:p>
      <w:pPr>
        <w:pStyle w:val="4"/>
        <w:keepNext w:val="0"/>
        <w:keepLines w:val="0"/>
        <w:adjustRightInd w:val="0"/>
        <w:snapToGrid w:val="0"/>
        <w:spacing w:before="156" w:beforeLines="50" w:after="0" w:line="360" w:lineRule="auto"/>
        <w:jc w:val="center"/>
        <w:rPr>
          <w:rFonts w:ascii="黑体" w:hAnsi="黑体" w:eastAsia="黑体"/>
          <w:color w:val="auto"/>
          <w:sz w:val="28"/>
          <w:szCs w:val="28"/>
        </w:rPr>
      </w:pPr>
      <w:r>
        <w:rPr>
          <w:rFonts w:hint="eastAsia" w:ascii="黑体" w:hAnsi="黑体" w:eastAsia="黑体"/>
          <w:color w:val="auto"/>
          <w:sz w:val="28"/>
          <w:szCs w:val="28"/>
        </w:rPr>
        <w:t>四、投标</w:t>
      </w:r>
      <w:bookmarkEnd w:id="19"/>
    </w:p>
    <w:p>
      <w:pPr>
        <w:adjustRightInd w:val="0"/>
        <w:snapToGrid w:val="0"/>
        <w:spacing w:line="360" w:lineRule="auto"/>
        <w:jc w:val="left"/>
        <w:rPr>
          <w:rFonts w:ascii="宋体" w:cs="宋体"/>
          <w:b/>
          <w:bCs/>
          <w:sz w:val="24"/>
        </w:rPr>
      </w:pPr>
      <w:r>
        <w:rPr>
          <w:rFonts w:ascii="宋体" w:hAnsi="宋体" w:cs="宋体"/>
          <w:b/>
          <w:sz w:val="24"/>
        </w:rPr>
        <w:t>20.</w:t>
      </w:r>
      <w:r>
        <w:rPr>
          <w:rFonts w:hint="eastAsia" w:ascii="宋体" w:hAnsi="宋体" w:cs="宋体"/>
          <w:b/>
          <w:sz w:val="24"/>
        </w:rPr>
        <w:t xml:space="preserve"> 电子投标文件的加密、解密和提交</w:t>
      </w:r>
    </w:p>
    <w:p>
      <w:pPr>
        <w:adjustRightInd w:val="0"/>
        <w:snapToGrid w:val="0"/>
        <w:spacing w:line="360" w:lineRule="auto"/>
        <w:ind w:firstLine="420" w:firstLineChars="200"/>
        <w:jc w:val="left"/>
        <w:rPr>
          <w:rFonts w:ascii="宋体" w:cs="宋体"/>
        </w:rPr>
      </w:pPr>
      <w:r>
        <w:rPr>
          <w:rFonts w:ascii="宋体" w:hAnsi="宋体"/>
          <w:szCs w:val="21"/>
        </w:rPr>
        <w:t>20.1</w:t>
      </w:r>
      <w:r>
        <w:rPr>
          <w:rFonts w:hint="eastAsia" w:ascii="宋体" w:hAnsi="宋体"/>
          <w:szCs w:val="21"/>
        </w:rPr>
        <w:t>投标人应按照招标文件和交易平台的要求编制数据电文形式的投标文件并通过数字证书进行加密后，</w:t>
      </w:r>
      <w:r>
        <w:rPr>
          <w:rFonts w:hint="eastAsia" w:ascii="宋体" w:hAnsi="宋体"/>
          <w:bCs/>
          <w:szCs w:val="21"/>
        </w:rPr>
        <w:t>在招标文件</w:t>
      </w:r>
      <w:r>
        <w:rPr>
          <w:rFonts w:hint="eastAsia" w:ascii="宋体" w:hAnsi="宋体"/>
          <w:b/>
          <w:bCs/>
          <w:szCs w:val="21"/>
        </w:rPr>
        <w:t>【投标须知前附表】</w:t>
      </w:r>
      <w:r>
        <w:rPr>
          <w:rFonts w:hint="eastAsia" w:ascii="宋体" w:hAnsi="宋体"/>
          <w:bCs/>
          <w:szCs w:val="21"/>
        </w:rPr>
        <w:t>规定的开标时间前将电子投标文件上传到交易平台的对</w:t>
      </w:r>
      <w:r>
        <w:rPr>
          <w:rFonts w:hint="eastAsia" w:ascii="宋体" w:hAnsi="宋体" w:cs="宋体"/>
        </w:rPr>
        <w:t>应项目。未按要求加密或逾期上传提交的投标文件，交易平台将无法接受</w:t>
      </w:r>
      <w:r>
        <w:rPr>
          <w:rFonts w:ascii="宋体" w:hAnsi="宋体" w:cs="宋体"/>
        </w:rPr>
        <w:t xml:space="preserve">, </w:t>
      </w:r>
      <w:r>
        <w:rPr>
          <w:rFonts w:hint="eastAsia" w:ascii="宋体" w:hAnsi="宋体" w:cs="宋体"/>
        </w:rPr>
        <w:t>采购代理机构不予受理。</w:t>
      </w:r>
    </w:p>
    <w:p>
      <w:pPr>
        <w:adjustRightInd w:val="0"/>
        <w:snapToGrid w:val="0"/>
        <w:spacing w:line="360" w:lineRule="auto"/>
        <w:ind w:firstLine="420" w:firstLineChars="200"/>
        <w:jc w:val="left"/>
        <w:rPr>
          <w:rFonts w:ascii="宋体" w:cs="宋体"/>
        </w:rPr>
      </w:pPr>
      <w:r>
        <w:rPr>
          <w:rFonts w:ascii="宋体" w:hAnsi="宋体" w:cs="宋体"/>
        </w:rPr>
        <w:t>20.2</w:t>
      </w:r>
      <w:r>
        <w:rPr>
          <w:rFonts w:hint="eastAsia" w:ascii="宋体" w:hAnsi="宋体" w:cs="宋体"/>
        </w:rPr>
        <w:t>电子投标文件的解密截止时间为投标截止时间后</w:t>
      </w:r>
      <w:r>
        <w:rPr>
          <w:rFonts w:ascii="宋体" w:hAnsi="宋体" w:cs="宋体"/>
        </w:rPr>
        <w:t xml:space="preserve"> 60</w:t>
      </w:r>
      <w:r>
        <w:rPr>
          <w:rFonts w:hint="eastAsia" w:ascii="宋体" w:hAnsi="宋体" w:cs="宋体"/>
        </w:rPr>
        <w:t>分钟内，响应文件解密采用现场解密的方式，所有参与开标的投标人需携带制作响应文件的加密锁到达开标现场，在解密时间开始后，按顺序解密响应文件。因投标人自身原因造成响应文件未在规定时间内解密或无法解密的投标文件，按无效投标处理。</w:t>
      </w:r>
    </w:p>
    <w:p>
      <w:pPr>
        <w:adjustRightInd w:val="0"/>
        <w:snapToGrid w:val="0"/>
        <w:spacing w:line="360" w:lineRule="auto"/>
        <w:ind w:firstLine="420" w:firstLineChars="200"/>
        <w:jc w:val="left"/>
        <w:rPr>
          <w:rFonts w:ascii="宋体" w:cs="宋体"/>
        </w:rPr>
      </w:pPr>
      <w:r>
        <w:rPr>
          <w:rFonts w:ascii="宋体" w:hAnsi="宋体" w:cs="宋体"/>
        </w:rPr>
        <w:t>20.3</w:t>
      </w:r>
      <w:r>
        <w:rPr>
          <w:rFonts w:hint="eastAsia" w:ascii="宋体" w:hAnsi="宋体" w:cs="宋体"/>
        </w:rPr>
        <w:t>如遇系统提示“上传未成功”，投标人应及时重新提交文件或与系统技术支持联系。由于投标人对电子投标操作不熟悉或自身电脑、网络等原因导致不能在投标截止时间之前上传提交投标文件的，所导致后果由投标人自行承担。</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21.投标截止期</w:t>
      </w:r>
    </w:p>
    <w:p>
      <w:pPr>
        <w:adjustRightInd w:val="0"/>
        <w:snapToGrid w:val="0"/>
        <w:spacing w:before="156" w:beforeLines="50" w:line="360" w:lineRule="auto"/>
        <w:ind w:firstLine="420" w:firstLineChars="200"/>
        <w:jc w:val="left"/>
        <w:rPr>
          <w:rFonts w:ascii="宋体" w:hAnsi="宋体"/>
          <w:szCs w:val="21"/>
        </w:rPr>
      </w:pPr>
      <w:r>
        <w:rPr>
          <w:rFonts w:hint="eastAsia" w:ascii="宋体" w:hAnsi="宋体"/>
          <w:szCs w:val="21"/>
        </w:rPr>
        <w:t>21.1投标人应在</w:t>
      </w:r>
      <w:r>
        <w:rPr>
          <w:rFonts w:hint="eastAsia" w:ascii="宋体" w:hAnsi="宋体"/>
          <w:b/>
          <w:szCs w:val="21"/>
        </w:rPr>
        <w:t>【投标须知前附表】</w:t>
      </w:r>
      <w:r>
        <w:rPr>
          <w:rFonts w:hint="eastAsia" w:ascii="宋体" w:hAnsi="宋体"/>
          <w:szCs w:val="21"/>
        </w:rPr>
        <w:t>规定的投标截止时间前将投标文件</w:t>
      </w:r>
      <w:r>
        <w:rPr>
          <w:rFonts w:hint="eastAsia" w:ascii="宋体" w:hAnsi="宋体"/>
          <w:bCs/>
          <w:szCs w:val="21"/>
        </w:rPr>
        <w:t>密封送达</w:t>
      </w:r>
      <w:r>
        <w:rPr>
          <w:rFonts w:hint="eastAsia" w:ascii="宋体" w:hAnsi="宋体"/>
          <w:b/>
          <w:szCs w:val="21"/>
        </w:rPr>
        <w:t>【投标须知前附表】</w:t>
      </w:r>
      <w:r>
        <w:rPr>
          <w:rFonts w:hint="eastAsia" w:ascii="宋体" w:hAnsi="宋体"/>
          <w:szCs w:val="21"/>
        </w:rPr>
        <w:t>指定的投标地点。</w:t>
      </w:r>
    </w:p>
    <w:p>
      <w:pPr>
        <w:adjustRightInd w:val="0"/>
        <w:snapToGrid w:val="0"/>
        <w:spacing w:before="156" w:beforeLines="50" w:line="360" w:lineRule="auto"/>
        <w:ind w:firstLine="420" w:firstLineChars="200"/>
        <w:jc w:val="left"/>
        <w:rPr>
          <w:rFonts w:ascii="宋体" w:hAnsi="宋体"/>
          <w:szCs w:val="21"/>
        </w:rPr>
      </w:pPr>
      <w:r>
        <w:rPr>
          <w:rFonts w:hint="eastAsia" w:ascii="宋体" w:hAnsi="宋体"/>
          <w:szCs w:val="21"/>
        </w:rPr>
        <w:t>21.2逾期送达的投标文件，以及未通过资格预审的申请人提交的投标文件（实行资格预审的），采购人、采购代理机构</w:t>
      </w:r>
      <w:r>
        <w:rPr>
          <w:rFonts w:hint="eastAsia" w:ascii="宋体" w:hAnsi="宋体"/>
          <w:b/>
          <w:szCs w:val="21"/>
        </w:rPr>
        <w:t>应当拒收</w:t>
      </w:r>
      <w:r>
        <w:rPr>
          <w:rFonts w:hint="eastAsia" w:ascii="宋体" w:hAnsi="宋体"/>
          <w:szCs w:val="21"/>
        </w:rPr>
        <w:t>。</w:t>
      </w:r>
    </w:p>
    <w:p>
      <w:pPr>
        <w:adjustRightInd w:val="0"/>
        <w:snapToGrid w:val="0"/>
        <w:spacing w:before="156" w:beforeLines="50" w:line="360" w:lineRule="auto"/>
        <w:ind w:firstLine="420" w:firstLineChars="200"/>
        <w:jc w:val="left"/>
        <w:rPr>
          <w:rFonts w:ascii="宋体" w:hAnsi="宋体"/>
          <w:bCs/>
          <w:szCs w:val="21"/>
        </w:rPr>
      </w:pPr>
      <w:r>
        <w:rPr>
          <w:rFonts w:hint="eastAsia" w:ascii="宋体" w:hAnsi="宋体"/>
          <w:szCs w:val="21"/>
        </w:rPr>
        <w:t>21.3</w:t>
      </w:r>
      <w:r>
        <w:rPr>
          <w:rFonts w:hint="eastAsia" w:ascii="宋体" w:hAnsi="宋体"/>
          <w:bCs/>
          <w:szCs w:val="21"/>
        </w:rPr>
        <w:t>采购人、采购代理机构收到投标文件后，应当如实记载投标文件的送达时间和密封情况，签收保存。任何单位和个人不得在开标前开启投标文件。</w:t>
      </w:r>
    </w:p>
    <w:p>
      <w:pPr>
        <w:adjustRightInd w:val="0"/>
        <w:snapToGrid w:val="0"/>
        <w:spacing w:line="360" w:lineRule="auto"/>
        <w:jc w:val="left"/>
        <w:rPr>
          <w:rFonts w:ascii="宋体" w:cs="宋体"/>
          <w:b/>
          <w:sz w:val="24"/>
        </w:rPr>
      </w:pPr>
      <w:r>
        <w:rPr>
          <w:rFonts w:hint="eastAsia" w:ascii="宋体" w:hAnsi="宋体"/>
          <w:b/>
          <w:bCs/>
          <w:sz w:val="24"/>
        </w:rPr>
        <w:t xml:space="preserve">22. </w:t>
      </w:r>
      <w:r>
        <w:rPr>
          <w:rFonts w:hint="eastAsia" w:ascii="宋体" w:hAnsi="宋体" w:cs="宋体"/>
          <w:b/>
          <w:sz w:val="24"/>
        </w:rPr>
        <w:t>电子投标文件的修改和撤回</w:t>
      </w:r>
    </w:p>
    <w:p>
      <w:pPr>
        <w:adjustRightInd w:val="0"/>
        <w:snapToGrid w:val="0"/>
        <w:spacing w:line="360" w:lineRule="auto"/>
        <w:ind w:firstLine="420" w:firstLineChars="200"/>
        <w:jc w:val="left"/>
        <w:rPr>
          <w:rFonts w:ascii="宋体" w:cs="宋体"/>
        </w:rPr>
      </w:pPr>
      <w:r>
        <w:rPr>
          <w:rFonts w:ascii="宋体" w:hAnsi="宋体" w:cs="宋体"/>
        </w:rPr>
        <w:t>2</w:t>
      </w:r>
      <w:r>
        <w:rPr>
          <w:rFonts w:hint="eastAsia" w:ascii="宋体" w:hAnsi="宋体" w:cs="宋体"/>
        </w:rPr>
        <w:t>2</w:t>
      </w:r>
      <w:r>
        <w:rPr>
          <w:rFonts w:ascii="宋体" w:hAnsi="宋体" w:cs="宋体"/>
        </w:rPr>
        <w:t>.1</w:t>
      </w:r>
      <w:r>
        <w:rPr>
          <w:rFonts w:hint="eastAsia" w:ascii="宋体" w:hAnsi="宋体" w:cs="宋体"/>
        </w:rPr>
        <w:t>投标人在招标文件规定的投标截止时间前，可以撤回已上传的投标文件，也可以撤回并修改后再重新上传。</w:t>
      </w:r>
    </w:p>
    <w:p>
      <w:pPr>
        <w:adjustRightInd w:val="0"/>
        <w:snapToGrid w:val="0"/>
        <w:spacing w:line="360" w:lineRule="auto"/>
        <w:ind w:firstLine="420" w:firstLineChars="200"/>
        <w:jc w:val="left"/>
        <w:rPr>
          <w:rFonts w:ascii="宋体" w:cs="宋体"/>
          <w:kern w:val="0"/>
        </w:rPr>
      </w:pPr>
      <w:r>
        <w:rPr>
          <w:rFonts w:ascii="宋体" w:hAnsi="宋体" w:cs="宋体"/>
        </w:rPr>
        <w:t>2</w:t>
      </w:r>
      <w:r>
        <w:rPr>
          <w:rFonts w:hint="eastAsia" w:ascii="宋体" w:hAnsi="宋体" w:cs="宋体"/>
        </w:rPr>
        <w:t>2</w:t>
      </w:r>
      <w:r>
        <w:rPr>
          <w:rFonts w:ascii="宋体" w:hAnsi="宋体" w:cs="宋体"/>
        </w:rPr>
        <w:t>.2</w:t>
      </w:r>
      <w:r>
        <w:rPr>
          <w:rFonts w:hint="eastAsia" w:ascii="宋体" w:hAnsi="宋体" w:cs="宋体"/>
        </w:rPr>
        <w:t>采购人、采购代理机构发布了修改、澄清文件的，投标人应按照修改、澄清后的招标文件要求重新编制投标文件</w:t>
      </w:r>
      <w:r>
        <w:rPr>
          <w:rFonts w:hint="eastAsia" w:ascii="宋体" w:hAnsi="宋体"/>
          <w:bCs/>
          <w:szCs w:val="21"/>
        </w:rPr>
        <w:t>并上传至交易平台。</w:t>
      </w:r>
    </w:p>
    <w:p>
      <w:pPr>
        <w:adjustRightInd w:val="0"/>
        <w:snapToGrid w:val="0"/>
        <w:spacing w:before="156" w:beforeLines="50" w:line="360" w:lineRule="auto"/>
        <w:jc w:val="left"/>
        <w:rPr>
          <w:rFonts w:ascii="宋体" w:hAnsi="宋体" w:eastAsia="宋体" w:cs="Arial"/>
          <w:b/>
          <w:color w:val="auto"/>
          <w:sz w:val="24"/>
        </w:rPr>
      </w:pPr>
      <w:r>
        <w:rPr>
          <w:rFonts w:hint="eastAsia" w:ascii="宋体" w:hAnsi="宋体" w:eastAsia="宋体"/>
          <w:b/>
          <w:bCs/>
          <w:color w:val="auto"/>
          <w:sz w:val="24"/>
        </w:rPr>
        <w:t>23.</w:t>
      </w:r>
      <w:r>
        <w:rPr>
          <w:rFonts w:hint="eastAsia" w:ascii="宋体" w:hAnsi="宋体" w:eastAsia="宋体" w:cs="Arial"/>
          <w:b/>
          <w:color w:val="auto"/>
          <w:sz w:val="24"/>
        </w:rPr>
        <w:t xml:space="preserve"> 串通</w:t>
      </w:r>
      <w:r>
        <w:rPr>
          <w:rFonts w:hint="eastAsia" w:ascii="宋体" w:hAnsi="宋体" w:eastAsia="宋体"/>
          <w:b/>
          <w:color w:val="auto"/>
          <w:sz w:val="24"/>
        </w:rPr>
        <w:t>投标行为</w:t>
      </w:r>
    </w:p>
    <w:p>
      <w:pPr>
        <w:adjustRightInd w:val="0"/>
        <w:snapToGrid w:val="0"/>
        <w:spacing w:before="156" w:beforeLines="50" w:line="360"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23.1有下列情形之一的，属于恶意串通，对投标人依照政府采购法第七十七条第一款的规定追究法律责任：</w:t>
      </w:r>
    </w:p>
    <w:p>
      <w:pPr>
        <w:adjustRightInd w:val="0"/>
        <w:snapToGrid w:val="0"/>
        <w:spacing w:before="156" w:beforeLines="50" w:line="360"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（1）投标人直接或者间接从采购人或者采购代理机构处获得其他投标人的相关情况并修改其投标文件；</w:t>
      </w:r>
    </w:p>
    <w:p>
      <w:pPr>
        <w:adjustRightInd w:val="0"/>
        <w:snapToGrid w:val="0"/>
        <w:spacing w:before="156" w:beforeLines="50" w:line="360"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（2）投标人按照采购人或者采购代理机构的授意撤换、修改投标文件；</w:t>
      </w:r>
    </w:p>
    <w:p>
      <w:pPr>
        <w:adjustRightInd w:val="0"/>
        <w:snapToGrid w:val="0"/>
        <w:spacing w:before="156" w:beforeLines="50" w:line="360"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（3）投标人之间协商报价、技术方案等投标文件的实质性内容；</w:t>
      </w:r>
    </w:p>
    <w:p>
      <w:pPr>
        <w:adjustRightInd w:val="0"/>
        <w:snapToGrid w:val="0"/>
        <w:spacing w:before="156" w:beforeLines="50" w:line="360"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（4）属于同一集团、协会、商会等组织成员的投标人按照该组织要求协同参加政府采购活动；</w:t>
      </w:r>
    </w:p>
    <w:p>
      <w:pPr>
        <w:adjustRightInd w:val="0"/>
        <w:snapToGrid w:val="0"/>
        <w:spacing w:before="156" w:beforeLines="50" w:line="360"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（5）投标人之间事先约定由某一特定投标人中标；</w:t>
      </w:r>
    </w:p>
    <w:p>
      <w:pPr>
        <w:adjustRightInd w:val="0"/>
        <w:snapToGrid w:val="0"/>
        <w:spacing w:before="156" w:beforeLines="50" w:line="360"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（6）投标人之间商定部分投标人放弃参加政府采购活动或者放弃中标；</w:t>
      </w:r>
    </w:p>
    <w:p>
      <w:pPr>
        <w:adjustRightInd w:val="0"/>
        <w:snapToGrid w:val="0"/>
        <w:spacing w:before="156" w:beforeLines="50" w:line="360"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（7）投标人与采购人或者采购代理机构之间、投标人相互之间，为谋求特定投标人中标或者排斥其他投标人的其他串通行为。</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23.2有下列情形之一的，视为投标人串通投标，其</w:t>
      </w:r>
      <w:r>
        <w:rPr>
          <w:rFonts w:hint="eastAsia" w:ascii="宋体" w:hAnsi="宋体" w:eastAsia="宋体"/>
          <w:b/>
          <w:color w:val="auto"/>
          <w:szCs w:val="21"/>
        </w:rPr>
        <w:t>投标无效</w:t>
      </w:r>
      <w:r>
        <w:rPr>
          <w:rFonts w:hint="eastAsia" w:ascii="宋体" w:hAnsi="宋体" w:eastAsia="宋体"/>
          <w:color w:val="auto"/>
          <w:szCs w:val="21"/>
        </w:rPr>
        <w:t>：</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（1）不同投标人的投标文件由同一单位或者个人编制；</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（2）不同投标人委托同一单位或者个人办理投标事宜；</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（3）不同投标人的投标文件载明的项目管理成员或者联系人员为同一人；</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（4）不同投标人的投标文件异常一致或者投标报价呈规律性差异；</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（5）不同投标人的投标文件相互混装；</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（6）不同投标人的投标保证金从同一单位或者个人的账户转出。</w:t>
      </w:r>
    </w:p>
    <w:p>
      <w:pPr>
        <w:pStyle w:val="4"/>
        <w:adjustRightInd w:val="0"/>
        <w:snapToGrid w:val="0"/>
        <w:spacing w:before="156" w:beforeLines="50" w:after="0" w:line="360" w:lineRule="auto"/>
        <w:jc w:val="center"/>
        <w:rPr>
          <w:rFonts w:ascii="黑体" w:hAnsi="黑体" w:eastAsia="黑体"/>
          <w:color w:val="auto"/>
          <w:sz w:val="28"/>
          <w:szCs w:val="28"/>
        </w:rPr>
      </w:pPr>
      <w:bookmarkStart w:id="20" w:name="_Toc8931"/>
      <w:r>
        <w:rPr>
          <w:rFonts w:hint="eastAsia" w:ascii="黑体" w:hAnsi="黑体" w:eastAsia="黑体"/>
          <w:color w:val="auto"/>
          <w:sz w:val="28"/>
          <w:szCs w:val="28"/>
        </w:rPr>
        <w:t>五、开标，资格审查和评标</w:t>
      </w:r>
      <w:bookmarkEnd w:id="20"/>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24. 开标</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24.1采购人、采购代理机构在</w:t>
      </w:r>
      <w:r>
        <w:rPr>
          <w:rFonts w:hint="eastAsia" w:ascii="宋体" w:hAnsi="宋体" w:eastAsia="宋体"/>
          <w:b/>
          <w:color w:val="auto"/>
          <w:szCs w:val="21"/>
        </w:rPr>
        <w:t>【投标须知前附表】</w:t>
      </w:r>
      <w:r>
        <w:rPr>
          <w:rFonts w:hint="eastAsia" w:ascii="宋体" w:hAnsi="宋体" w:eastAsia="宋体"/>
          <w:color w:val="auto"/>
          <w:szCs w:val="21"/>
        </w:rPr>
        <w:t>规定的开标地点组织开标，并邀请投标人参加。投标人未参加开标的，视同认可开标结果。</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24.2采购人、采购代理机构公布投标人名称、投标价格和</w:t>
      </w:r>
      <w:r>
        <w:rPr>
          <w:rFonts w:hint="eastAsia" w:ascii="宋体" w:hAnsi="宋体" w:eastAsia="宋体"/>
          <w:b/>
          <w:color w:val="auto"/>
          <w:szCs w:val="21"/>
        </w:rPr>
        <w:t>【投标须知前附表】</w:t>
      </w:r>
      <w:r>
        <w:rPr>
          <w:rFonts w:hint="eastAsia" w:ascii="宋体" w:hAnsi="宋体" w:eastAsia="宋体"/>
          <w:color w:val="auto"/>
          <w:szCs w:val="21"/>
        </w:rPr>
        <w:t>规定需要宣布的其他内容。投标人不足3家的，不得开标。</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24.3开标记录由参加开标的各投标人代表和相关工作人员确认后随采购文件一并存档。</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24.4投标人代表对开标过程和开标记录有疑义，以及认为采购人、采购代理机构相关工作人员有《政府采购法实施条例》第九条第一款需要回避的情形的，应当场提出询问或者回避申请。</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24.5采购人、采购代理机构对投标人代表当场提出的询问或者回避申请，按《政府采购法实施条例》有关规定及时处理。</w:t>
      </w:r>
    </w:p>
    <w:p>
      <w:pPr>
        <w:adjustRightInd w:val="0"/>
        <w:snapToGrid w:val="0"/>
        <w:spacing w:before="156" w:beforeLines="50" w:line="360" w:lineRule="auto"/>
        <w:jc w:val="left"/>
        <w:rPr>
          <w:rFonts w:ascii="宋体" w:hAnsi="宋体" w:eastAsia="宋体"/>
          <w:b/>
          <w:color w:val="auto"/>
          <w:sz w:val="24"/>
        </w:rPr>
      </w:pPr>
      <w:r>
        <w:rPr>
          <w:rStyle w:val="24"/>
          <w:rFonts w:hint="eastAsia" w:ascii="宋体" w:hAnsi="宋体" w:eastAsia="宋体" w:cs="Arial"/>
          <w:color w:val="auto"/>
          <w:sz w:val="24"/>
        </w:rPr>
        <w:t>25.</w:t>
      </w:r>
      <w:r>
        <w:rPr>
          <w:rFonts w:hint="eastAsia" w:ascii="宋体" w:hAnsi="宋体" w:eastAsia="宋体"/>
          <w:b/>
          <w:color w:val="auto"/>
          <w:sz w:val="24"/>
        </w:rPr>
        <w:t xml:space="preserve"> 资格审查</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25.1开标结束后，采购人、采购代理机构依法按照第三章</w:t>
      </w:r>
      <w:r>
        <w:rPr>
          <w:rFonts w:hint="eastAsia" w:ascii="华文宋体" w:hAnsi="华文宋体" w:eastAsia="华文宋体"/>
          <w:color w:val="auto"/>
          <w:szCs w:val="21"/>
        </w:rPr>
        <w:t>“</w:t>
      </w:r>
      <w:r>
        <w:rPr>
          <w:rFonts w:hint="eastAsia" w:ascii="宋体" w:hAnsi="宋体" w:eastAsia="宋体"/>
          <w:color w:val="auto"/>
          <w:szCs w:val="21"/>
        </w:rPr>
        <w:t>资格审查</w:t>
      </w:r>
      <w:r>
        <w:rPr>
          <w:rFonts w:hint="eastAsia" w:ascii="华文宋体" w:hAnsi="华文宋体" w:eastAsia="华文宋体"/>
          <w:color w:val="auto"/>
          <w:szCs w:val="21"/>
        </w:rPr>
        <w:t>”</w:t>
      </w:r>
      <w:r>
        <w:rPr>
          <w:rFonts w:hint="eastAsia" w:ascii="宋体" w:hAnsi="宋体" w:eastAsia="宋体"/>
          <w:color w:val="auto"/>
          <w:szCs w:val="21"/>
        </w:rPr>
        <w:t>规定组织资格审查。</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25.2资格审查结束后，采购人、采购代理机构应将资格审查结果告知评标委员会。资格审查不合格投标人不进入评标；资格审查合格投标人少于3家的，不得评标。</w:t>
      </w:r>
    </w:p>
    <w:p>
      <w:pPr>
        <w:adjustRightInd w:val="0"/>
        <w:snapToGrid w:val="0"/>
        <w:spacing w:before="156" w:beforeLines="50" w:line="360" w:lineRule="auto"/>
        <w:jc w:val="left"/>
        <w:rPr>
          <w:rFonts w:ascii="宋体" w:hAnsi="宋体" w:eastAsia="宋体"/>
          <w:b/>
          <w:color w:val="auto"/>
          <w:sz w:val="24"/>
        </w:rPr>
      </w:pPr>
      <w:r>
        <w:rPr>
          <w:rFonts w:hint="eastAsia" w:ascii="宋体" w:hAnsi="宋体" w:eastAsia="宋体"/>
          <w:b/>
          <w:bCs/>
          <w:color w:val="auto"/>
          <w:sz w:val="24"/>
        </w:rPr>
        <w:t>26.</w:t>
      </w:r>
      <w:r>
        <w:rPr>
          <w:rFonts w:hint="eastAsia" w:ascii="宋体" w:hAnsi="宋体" w:eastAsia="宋体"/>
          <w:b/>
          <w:color w:val="auto"/>
          <w:sz w:val="24"/>
        </w:rPr>
        <w:t xml:space="preserve"> 评标委员会</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26.1评标由依法组建的评标委员会负责，评标委员会由采购人代表和评审专家组成。</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26.2评标委员会成员有下列情形之一的，应当回避：</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（1）参加采购活动前三年内,与投标人存在劳动关系,或者担任过投标人的董事、监事,或者是投标人的控股股东或实际控制人；</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（2）与投标人的法定代表人或者负责人有夫妻、直系血亲、三代以内旁系血亲或者近姻亲关系；</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（3）与投标人有其他可能影响政府采购活动公平、公正进行的关系。</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26.3评标委员会负责具体评标事务，并独立履行下列职责：</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（1）审查、评价投标文件是否符合招标文件的商务、技术等实质性要求；</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（2）要求投标人对投标文件有关事项作出澄清或者说明；</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（3）对投标文件进行比较和评价；</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（4）确定中标候选人名单，以及根据采购人委托直接确定中标人。</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color w:val="auto"/>
          <w:sz w:val="24"/>
        </w:rPr>
        <w:t>27.</w:t>
      </w:r>
      <w:r>
        <w:rPr>
          <w:rFonts w:hint="eastAsia" w:ascii="宋体" w:hAnsi="宋体" w:eastAsia="宋体"/>
          <w:b/>
          <w:bCs/>
          <w:color w:val="auto"/>
          <w:sz w:val="24"/>
        </w:rPr>
        <w:t xml:space="preserve"> 评标</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27.1评标委员会按照</w:t>
      </w:r>
      <w:r>
        <w:rPr>
          <w:rFonts w:hint="eastAsia" w:ascii="宋体" w:hAnsi="宋体" w:eastAsia="宋体"/>
          <w:bCs/>
          <w:color w:val="auto"/>
        </w:rPr>
        <w:t>第四章</w:t>
      </w:r>
      <w:r>
        <w:rPr>
          <w:rFonts w:hint="eastAsia" w:ascii="华文宋体" w:hAnsi="华文宋体" w:eastAsia="华文宋体"/>
          <w:bCs/>
          <w:color w:val="auto"/>
        </w:rPr>
        <w:t>“</w:t>
      </w:r>
      <w:r>
        <w:rPr>
          <w:rFonts w:hint="eastAsia" w:ascii="宋体" w:hAnsi="宋体" w:eastAsia="宋体"/>
          <w:bCs/>
          <w:color w:val="auto"/>
        </w:rPr>
        <w:t>评标方法及标准</w:t>
      </w:r>
      <w:r>
        <w:rPr>
          <w:rFonts w:hint="eastAsia" w:ascii="华文宋体" w:hAnsi="华文宋体" w:eastAsia="华文宋体"/>
          <w:bCs/>
          <w:color w:val="auto"/>
        </w:rPr>
        <w:t>”</w:t>
      </w:r>
      <w:r>
        <w:rPr>
          <w:rFonts w:hint="eastAsia" w:ascii="宋体" w:hAnsi="宋体" w:eastAsia="宋体"/>
          <w:color w:val="auto"/>
        </w:rPr>
        <w:t>规定的评标方法、评审因素、标准和程序以及有关法律、法规及规章对投标文件进行评审。</w:t>
      </w:r>
    </w:p>
    <w:p>
      <w:pPr>
        <w:pStyle w:val="4"/>
        <w:adjustRightInd w:val="0"/>
        <w:snapToGrid w:val="0"/>
        <w:spacing w:before="156" w:beforeLines="50" w:after="0" w:line="360" w:lineRule="auto"/>
        <w:jc w:val="center"/>
        <w:rPr>
          <w:rFonts w:ascii="黑体" w:hAnsi="黑体" w:eastAsia="黑体"/>
          <w:color w:val="auto"/>
          <w:sz w:val="28"/>
          <w:szCs w:val="28"/>
        </w:rPr>
      </w:pPr>
      <w:bookmarkStart w:id="21" w:name="_Toc3478"/>
      <w:r>
        <w:rPr>
          <w:rFonts w:hint="eastAsia" w:ascii="黑体" w:hAnsi="黑体" w:eastAsia="黑体"/>
          <w:color w:val="auto"/>
          <w:sz w:val="28"/>
          <w:szCs w:val="28"/>
        </w:rPr>
        <w:t>六、中标信息公布</w:t>
      </w:r>
      <w:bookmarkEnd w:id="21"/>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color w:val="auto"/>
          <w:sz w:val="24"/>
        </w:rPr>
        <w:t>28.</w:t>
      </w:r>
      <w:r>
        <w:rPr>
          <w:rFonts w:hint="eastAsia" w:ascii="宋体" w:hAnsi="宋体" w:eastAsia="宋体"/>
          <w:color w:val="auto"/>
          <w:sz w:val="24"/>
        </w:rPr>
        <w:t xml:space="preserve"> </w:t>
      </w:r>
      <w:r>
        <w:rPr>
          <w:rFonts w:hint="eastAsia" w:ascii="宋体" w:hAnsi="宋体" w:eastAsia="宋体"/>
          <w:b/>
          <w:bCs/>
          <w:color w:val="auto"/>
          <w:sz w:val="24"/>
        </w:rPr>
        <w:t>中标通知书与中标信息公布</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28.1采购代理机构应当在评标结束后2个工作日内将评标报告送采购人。</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28.2采购人应当自收到评标报告之日起5个工作日内，在评标报告确定的中标候选人名单中按顺序确定中标人。中标候选人并列的，按照</w:t>
      </w:r>
      <w:r>
        <w:rPr>
          <w:rFonts w:hint="eastAsia" w:ascii="宋体" w:hAnsi="宋体" w:eastAsia="宋体"/>
          <w:b/>
          <w:color w:val="auto"/>
          <w:szCs w:val="21"/>
        </w:rPr>
        <w:t>【投标须知前附表】</w:t>
      </w:r>
      <w:r>
        <w:rPr>
          <w:rFonts w:hint="eastAsia" w:ascii="宋体" w:hAnsi="宋体" w:eastAsia="宋体"/>
          <w:color w:val="auto"/>
          <w:szCs w:val="21"/>
        </w:rPr>
        <w:t>规定的方式确定中标人；招标文件未规定的，采取随机抽取的方式确定。</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28.3采购人、采购代理机构应当自采购人确定中标供应商之日起2个工作日内，发出中标通知书，并在招标公告指定媒体上公告中标结果，招标文件随中标结果同时公告，中标结果公告期限为1个工作日。</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29.</w:t>
      </w:r>
      <w:r>
        <w:rPr>
          <w:rFonts w:hint="eastAsia" w:ascii="宋体" w:hAnsi="宋体" w:eastAsia="宋体"/>
          <w:b/>
          <w:color w:val="auto"/>
          <w:sz w:val="24"/>
        </w:rPr>
        <w:t xml:space="preserve"> 投标人询问及</w:t>
      </w:r>
      <w:r>
        <w:rPr>
          <w:rFonts w:hint="eastAsia" w:ascii="宋体" w:hAnsi="宋体" w:eastAsia="宋体"/>
          <w:b/>
          <w:bCs/>
          <w:color w:val="auto"/>
          <w:sz w:val="24"/>
        </w:rPr>
        <w:t>质疑</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29.1投标人对政府采购活动事项有疑问的，可以向采购人、采购代理机构提出询问。采购人或采购代理机构将在3个工作日内作出答复。</w:t>
      </w:r>
    </w:p>
    <w:p>
      <w:pPr>
        <w:adjustRightInd w:val="0"/>
        <w:snapToGrid w:val="0"/>
        <w:spacing w:before="156" w:beforeLines="50" w:line="360" w:lineRule="auto"/>
        <w:ind w:firstLine="420" w:firstLineChars="200"/>
        <w:jc w:val="left"/>
        <w:rPr>
          <w:rFonts w:hint="default" w:ascii="宋体" w:hAnsi="宋体" w:eastAsia="宋体"/>
          <w:color w:val="auto"/>
          <w:szCs w:val="21"/>
          <w:lang w:val="en-US" w:eastAsia="zh-CN"/>
        </w:rPr>
      </w:pPr>
      <w:r>
        <w:rPr>
          <w:rFonts w:hint="eastAsia" w:ascii="宋体" w:hAnsi="宋体" w:eastAsia="宋体"/>
          <w:color w:val="auto"/>
          <w:szCs w:val="21"/>
        </w:rPr>
        <w:t>29.2投标人认为招标文件、采购过程和中标结果使自己的权益受到损害的，可以在知道或者应知其权益受到损害之日起7个工作日内，按照《湖南省财政厅关于印发＜政府采购质疑答复和投诉处理操作规程＞的通知》(湘财购〔2019〕20号)规定，以纸质书面形式向采购人、采购代理机构提出质疑。</w:t>
      </w:r>
      <w:r>
        <w:rPr>
          <w:rFonts w:hint="eastAsia" w:ascii="宋体" w:hAnsi="宋体" w:eastAsia="宋体"/>
          <w:color w:val="auto"/>
          <w:szCs w:val="21"/>
          <w:lang w:val="en-US" w:eastAsia="zh-CN"/>
        </w:rPr>
        <w:t>投标人应当在法定质疑期内一次性提出针对同一采购程序环节的质疑。</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29.3投标人提出质疑的，应按照《湖南省财政厅关于印发＜政府采购质疑答复和投诉处理操作规程＞的通知》规定制作、签署、送达。采购人、采购代理机构接收质疑函的联系部门、联系电话和通讯地址见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eastAsia="宋体"/>
          <w:b/>
          <w:color w:val="auto"/>
          <w:szCs w:val="21"/>
        </w:rPr>
        <w:t>【</w:t>
      </w:r>
      <w:r>
        <w:rPr>
          <w:rFonts w:hint="eastAsia" w:ascii="宋体" w:hAnsi="宋体"/>
          <w:b/>
          <w:color w:val="auto"/>
          <w:szCs w:val="21"/>
          <w:lang w:val="en-US" w:eastAsia="zh-CN"/>
        </w:rPr>
        <w:t>投标</w:t>
      </w:r>
      <w:r>
        <w:rPr>
          <w:rFonts w:hint="eastAsia" w:ascii="宋体" w:hAnsi="宋体" w:eastAsia="宋体"/>
          <w:b/>
          <w:color w:val="auto"/>
          <w:szCs w:val="21"/>
        </w:rPr>
        <w:t>须知前附表】</w:t>
      </w:r>
      <w:r>
        <w:rPr>
          <w:rFonts w:hint="eastAsia" w:ascii="宋体" w:hAnsi="宋体" w:eastAsia="宋体"/>
          <w:color w:val="auto"/>
          <w:szCs w:val="21"/>
        </w:rPr>
        <w:t xml:space="preserve">。  </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29.4采购人、采购代理机构按照《湖南省财政厅关于印发＜政府采购质疑答复和投诉处理操作规程＞的通知》规定进行质疑答复。</w:t>
      </w:r>
    </w:p>
    <w:p>
      <w:pPr>
        <w:adjustRightInd w:val="0"/>
        <w:snapToGrid w:val="0"/>
        <w:spacing w:before="156" w:beforeLines="50" w:line="360" w:lineRule="auto"/>
        <w:ind w:firstLine="420" w:firstLineChars="200"/>
        <w:jc w:val="left"/>
        <w:rPr>
          <w:rFonts w:ascii="宋体" w:hAnsi="宋体" w:eastAsia="宋体"/>
          <w:b/>
          <w:bCs/>
          <w:color w:val="auto"/>
        </w:rPr>
      </w:pPr>
      <w:r>
        <w:rPr>
          <w:rFonts w:hint="eastAsia" w:ascii="宋体" w:hAnsi="宋体" w:eastAsia="宋体"/>
          <w:color w:val="auto"/>
          <w:szCs w:val="21"/>
        </w:rPr>
        <w:t>29</w:t>
      </w:r>
      <w:r>
        <w:rPr>
          <w:rFonts w:ascii="宋体" w:hAnsi="宋体" w:eastAsia="宋体"/>
          <w:color w:val="auto"/>
          <w:szCs w:val="21"/>
        </w:rPr>
        <w:t>.</w:t>
      </w:r>
      <w:r>
        <w:rPr>
          <w:rFonts w:hint="eastAsia" w:ascii="宋体" w:hAnsi="宋体" w:eastAsia="宋体"/>
          <w:color w:val="auto"/>
          <w:szCs w:val="21"/>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pPr>
        <w:pStyle w:val="4"/>
        <w:adjustRightInd w:val="0"/>
        <w:snapToGrid w:val="0"/>
        <w:spacing w:before="156" w:beforeLines="50" w:after="0" w:line="360" w:lineRule="auto"/>
        <w:jc w:val="center"/>
        <w:rPr>
          <w:rFonts w:ascii="黑体" w:hAnsi="黑体" w:eastAsia="黑体"/>
          <w:color w:val="auto"/>
          <w:sz w:val="28"/>
          <w:szCs w:val="28"/>
        </w:rPr>
      </w:pPr>
      <w:bookmarkStart w:id="22" w:name="_Toc24964"/>
      <w:r>
        <w:rPr>
          <w:rFonts w:hint="eastAsia" w:ascii="黑体" w:hAnsi="黑体" w:eastAsia="黑体"/>
          <w:color w:val="auto"/>
          <w:sz w:val="28"/>
          <w:szCs w:val="28"/>
        </w:rPr>
        <w:t>七、合同签订</w:t>
      </w:r>
      <w:bookmarkEnd w:id="22"/>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30. 签订合同</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30.1采购人应自中标通知书发出之日起30日内，按中标通知书指定的时间、地点与中标人签订政府采购合同。所签订的合同不得对招标文件确定的事项和中标人投标文件作实质性修改。</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30.2招标文件、中标人的投标文件均为签订合同的依据。</w:t>
      </w:r>
    </w:p>
    <w:p>
      <w:pPr>
        <w:adjustRightInd w:val="0"/>
        <w:snapToGrid w:val="0"/>
        <w:spacing w:before="156" w:beforeLines="50" w:line="360" w:lineRule="auto"/>
        <w:ind w:firstLine="420" w:firstLineChars="200"/>
        <w:jc w:val="left"/>
        <w:rPr>
          <w:rFonts w:ascii="宋体" w:hAnsi="宋体" w:eastAsia="宋体" w:cs="微软雅黑"/>
          <w:color w:val="auto"/>
          <w:kern w:val="0"/>
          <w:szCs w:val="21"/>
        </w:rPr>
      </w:pPr>
      <w:r>
        <w:rPr>
          <w:rFonts w:hint="eastAsia" w:ascii="宋体" w:hAnsi="宋体" w:eastAsia="宋体" w:cs="微软雅黑"/>
          <w:color w:val="auto"/>
          <w:kern w:val="0"/>
          <w:szCs w:val="21"/>
        </w:rPr>
        <w:t>30.3联</w:t>
      </w:r>
      <w:r>
        <w:rPr>
          <w:rFonts w:hint="eastAsia" w:ascii="宋体" w:hAnsi="宋体" w:eastAsia="宋体" w:cs="微软雅黑"/>
          <w:color w:val="auto"/>
          <w:spacing w:val="-2"/>
          <w:kern w:val="0"/>
          <w:szCs w:val="21"/>
        </w:rPr>
        <w:t>合</w:t>
      </w:r>
      <w:r>
        <w:rPr>
          <w:rFonts w:hint="eastAsia" w:ascii="宋体" w:hAnsi="宋体" w:eastAsia="宋体" w:cs="微软雅黑"/>
          <w:color w:val="auto"/>
          <w:kern w:val="0"/>
          <w:szCs w:val="21"/>
        </w:rPr>
        <w:t>体</w:t>
      </w:r>
      <w:r>
        <w:rPr>
          <w:rFonts w:hint="eastAsia" w:ascii="宋体" w:hAnsi="宋体" w:eastAsia="宋体" w:cs="微软雅黑"/>
          <w:color w:val="auto"/>
          <w:spacing w:val="-2"/>
          <w:kern w:val="0"/>
          <w:szCs w:val="21"/>
        </w:rPr>
        <w:t>中</w:t>
      </w:r>
      <w:r>
        <w:rPr>
          <w:rFonts w:hint="eastAsia" w:ascii="宋体" w:hAnsi="宋体" w:eastAsia="宋体" w:cs="微软雅黑"/>
          <w:color w:val="auto"/>
          <w:kern w:val="0"/>
          <w:szCs w:val="21"/>
        </w:rPr>
        <w:t>标的</w:t>
      </w:r>
      <w:r>
        <w:rPr>
          <w:rFonts w:hint="eastAsia" w:ascii="宋体" w:hAnsi="宋体" w:eastAsia="宋体" w:cs="微软雅黑"/>
          <w:color w:val="auto"/>
          <w:spacing w:val="-14"/>
          <w:kern w:val="0"/>
          <w:szCs w:val="21"/>
        </w:rPr>
        <w:t>，</w:t>
      </w:r>
      <w:r>
        <w:rPr>
          <w:rFonts w:hint="eastAsia" w:ascii="宋体" w:hAnsi="宋体" w:eastAsia="宋体" w:cs="微软雅黑"/>
          <w:color w:val="auto"/>
          <w:kern w:val="0"/>
          <w:szCs w:val="21"/>
        </w:rPr>
        <w:t>联</w:t>
      </w:r>
      <w:r>
        <w:rPr>
          <w:rFonts w:hint="eastAsia" w:ascii="宋体" w:hAnsi="宋体" w:eastAsia="宋体" w:cs="微软雅黑"/>
          <w:color w:val="auto"/>
          <w:spacing w:val="-2"/>
          <w:kern w:val="0"/>
          <w:szCs w:val="21"/>
        </w:rPr>
        <w:t>合</w:t>
      </w:r>
      <w:r>
        <w:rPr>
          <w:rFonts w:hint="eastAsia" w:ascii="宋体" w:hAnsi="宋体" w:eastAsia="宋体" w:cs="微软雅黑"/>
          <w:color w:val="auto"/>
          <w:kern w:val="0"/>
          <w:szCs w:val="21"/>
        </w:rPr>
        <w:t>体各</w:t>
      </w:r>
      <w:r>
        <w:rPr>
          <w:rFonts w:hint="eastAsia" w:ascii="宋体" w:hAnsi="宋体" w:eastAsia="宋体" w:cs="微软雅黑"/>
          <w:color w:val="auto"/>
          <w:spacing w:val="-2"/>
          <w:kern w:val="0"/>
          <w:szCs w:val="21"/>
        </w:rPr>
        <w:t>方</w:t>
      </w:r>
      <w:r>
        <w:rPr>
          <w:rFonts w:hint="eastAsia" w:ascii="宋体" w:hAnsi="宋体" w:eastAsia="宋体" w:cs="微软雅黑"/>
          <w:color w:val="auto"/>
          <w:kern w:val="0"/>
          <w:szCs w:val="21"/>
        </w:rPr>
        <w:t>应</w:t>
      </w:r>
      <w:r>
        <w:rPr>
          <w:rFonts w:hint="eastAsia" w:ascii="宋体" w:hAnsi="宋体" w:eastAsia="宋体" w:cs="微软雅黑"/>
          <w:color w:val="auto"/>
          <w:spacing w:val="-2"/>
          <w:kern w:val="0"/>
          <w:szCs w:val="21"/>
        </w:rPr>
        <w:t>当</w:t>
      </w:r>
      <w:r>
        <w:rPr>
          <w:rFonts w:hint="eastAsia" w:ascii="宋体" w:hAnsi="宋体" w:eastAsia="宋体" w:cs="微软雅黑"/>
          <w:color w:val="auto"/>
          <w:kern w:val="0"/>
          <w:szCs w:val="21"/>
        </w:rPr>
        <w:t>共</w:t>
      </w:r>
      <w:r>
        <w:rPr>
          <w:rFonts w:hint="eastAsia" w:ascii="宋体" w:hAnsi="宋体" w:eastAsia="宋体" w:cs="微软雅黑"/>
          <w:color w:val="auto"/>
          <w:spacing w:val="-2"/>
          <w:kern w:val="0"/>
          <w:szCs w:val="21"/>
        </w:rPr>
        <w:t>同</w:t>
      </w:r>
      <w:r>
        <w:rPr>
          <w:rFonts w:hint="eastAsia" w:ascii="宋体" w:hAnsi="宋体" w:eastAsia="宋体" w:cs="微软雅黑"/>
          <w:color w:val="auto"/>
          <w:kern w:val="0"/>
          <w:szCs w:val="21"/>
        </w:rPr>
        <w:t>与</w:t>
      </w:r>
      <w:r>
        <w:rPr>
          <w:rFonts w:hint="eastAsia" w:ascii="宋体" w:hAnsi="宋体" w:eastAsia="宋体" w:cs="微软雅黑"/>
          <w:color w:val="auto"/>
          <w:spacing w:val="-2"/>
          <w:kern w:val="0"/>
          <w:szCs w:val="21"/>
        </w:rPr>
        <w:t>采购人</w:t>
      </w:r>
      <w:r>
        <w:rPr>
          <w:rFonts w:hint="eastAsia" w:ascii="宋体" w:hAnsi="宋体" w:eastAsia="宋体" w:cs="微软雅黑"/>
          <w:color w:val="auto"/>
          <w:kern w:val="0"/>
          <w:szCs w:val="21"/>
        </w:rPr>
        <w:t>签订</w:t>
      </w:r>
      <w:r>
        <w:rPr>
          <w:rFonts w:hint="eastAsia" w:ascii="宋体" w:hAnsi="宋体" w:eastAsia="宋体" w:cs="微软雅黑"/>
          <w:color w:val="auto"/>
          <w:spacing w:val="-2"/>
          <w:kern w:val="0"/>
          <w:szCs w:val="21"/>
        </w:rPr>
        <w:t>合</w:t>
      </w:r>
      <w:r>
        <w:rPr>
          <w:rFonts w:hint="eastAsia" w:ascii="宋体" w:hAnsi="宋体" w:eastAsia="宋体" w:cs="微软雅黑"/>
          <w:color w:val="auto"/>
          <w:kern w:val="0"/>
          <w:szCs w:val="21"/>
        </w:rPr>
        <w:t>同</w:t>
      </w:r>
      <w:r>
        <w:rPr>
          <w:rFonts w:hint="eastAsia" w:ascii="宋体" w:hAnsi="宋体" w:eastAsia="宋体" w:cs="微软雅黑"/>
          <w:color w:val="auto"/>
          <w:spacing w:val="-14"/>
          <w:kern w:val="0"/>
          <w:szCs w:val="21"/>
        </w:rPr>
        <w:t>，</w:t>
      </w:r>
      <w:r>
        <w:rPr>
          <w:rFonts w:hint="eastAsia" w:ascii="宋体" w:hAnsi="宋体" w:eastAsia="宋体" w:cs="微软雅黑"/>
          <w:color w:val="auto"/>
          <w:kern w:val="0"/>
          <w:szCs w:val="21"/>
        </w:rPr>
        <w:t>就</w:t>
      </w:r>
      <w:r>
        <w:rPr>
          <w:rFonts w:hint="eastAsia" w:ascii="宋体" w:hAnsi="宋体" w:eastAsia="宋体" w:cs="微软雅黑"/>
          <w:color w:val="auto"/>
          <w:spacing w:val="-2"/>
          <w:kern w:val="0"/>
          <w:szCs w:val="21"/>
        </w:rPr>
        <w:t>中</w:t>
      </w:r>
      <w:r>
        <w:rPr>
          <w:rFonts w:hint="eastAsia" w:ascii="宋体" w:hAnsi="宋体" w:eastAsia="宋体" w:cs="微软雅黑"/>
          <w:color w:val="auto"/>
          <w:kern w:val="0"/>
          <w:szCs w:val="21"/>
        </w:rPr>
        <w:t>标</w:t>
      </w:r>
      <w:r>
        <w:rPr>
          <w:rFonts w:hint="eastAsia" w:ascii="宋体" w:hAnsi="宋体" w:eastAsia="宋体" w:cs="微软雅黑"/>
          <w:color w:val="auto"/>
          <w:spacing w:val="-2"/>
          <w:kern w:val="0"/>
          <w:szCs w:val="21"/>
        </w:rPr>
        <w:t>项</w:t>
      </w:r>
      <w:r>
        <w:rPr>
          <w:rFonts w:hint="eastAsia" w:ascii="宋体" w:hAnsi="宋体" w:eastAsia="宋体" w:cs="微软雅黑"/>
          <w:color w:val="auto"/>
          <w:kern w:val="0"/>
          <w:szCs w:val="21"/>
        </w:rPr>
        <w:t>目</w:t>
      </w:r>
      <w:r>
        <w:rPr>
          <w:rFonts w:hint="eastAsia" w:ascii="宋体" w:hAnsi="宋体" w:eastAsia="宋体" w:cs="微软雅黑"/>
          <w:color w:val="auto"/>
          <w:spacing w:val="-2"/>
          <w:kern w:val="0"/>
          <w:szCs w:val="21"/>
        </w:rPr>
        <w:t>向</w:t>
      </w:r>
      <w:r>
        <w:rPr>
          <w:rFonts w:hint="eastAsia" w:ascii="宋体" w:hAnsi="宋体" w:eastAsia="宋体" w:cs="微软雅黑"/>
          <w:color w:val="auto"/>
          <w:kern w:val="0"/>
          <w:szCs w:val="21"/>
        </w:rPr>
        <w:t>采购人承</w:t>
      </w:r>
      <w:r>
        <w:rPr>
          <w:rFonts w:hint="eastAsia" w:ascii="宋体" w:hAnsi="宋体" w:eastAsia="宋体" w:cs="微软雅黑"/>
          <w:color w:val="auto"/>
          <w:spacing w:val="-2"/>
          <w:kern w:val="0"/>
          <w:szCs w:val="21"/>
        </w:rPr>
        <w:t>担</w:t>
      </w:r>
      <w:r>
        <w:rPr>
          <w:rFonts w:hint="eastAsia" w:ascii="宋体" w:hAnsi="宋体" w:eastAsia="宋体" w:cs="微软雅黑"/>
          <w:color w:val="auto"/>
          <w:kern w:val="0"/>
          <w:szCs w:val="21"/>
        </w:rPr>
        <w:t>连带责</w:t>
      </w:r>
      <w:r>
        <w:rPr>
          <w:rFonts w:hint="eastAsia" w:ascii="宋体" w:hAnsi="宋体" w:eastAsia="宋体" w:cs="微软雅黑"/>
          <w:color w:val="auto"/>
          <w:spacing w:val="-2"/>
          <w:kern w:val="0"/>
          <w:szCs w:val="21"/>
        </w:rPr>
        <w:t>任</w:t>
      </w:r>
      <w:r>
        <w:rPr>
          <w:rFonts w:hint="eastAsia" w:ascii="宋体" w:hAnsi="宋体" w:eastAsia="宋体" w:cs="微软雅黑"/>
          <w:color w:val="auto"/>
          <w:kern w:val="0"/>
          <w:szCs w:val="21"/>
        </w:rPr>
        <w:t>。</w:t>
      </w:r>
    </w:p>
    <w:p>
      <w:pPr>
        <w:adjustRightInd w:val="0"/>
        <w:snapToGrid w:val="0"/>
        <w:spacing w:before="156" w:beforeLines="50" w:line="360" w:lineRule="auto"/>
        <w:ind w:firstLine="420" w:firstLineChars="200"/>
        <w:jc w:val="left"/>
        <w:rPr>
          <w:rFonts w:ascii="宋体" w:hAnsi="宋体" w:eastAsia="宋体"/>
          <w:color w:val="auto"/>
          <w:szCs w:val="21"/>
        </w:rPr>
      </w:pPr>
      <w:r>
        <w:rPr>
          <w:rFonts w:ascii="宋体" w:hAnsi="宋体" w:eastAsia="宋体"/>
          <w:color w:val="auto"/>
          <w:szCs w:val="21"/>
        </w:rPr>
        <w:t>3</w:t>
      </w:r>
      <w:r>
        <w:rPr>
          <w:rFonts w:hint="eastAsia" w:ascii="宋体" w:hAnsi="宋体" w:eastAsia="宋体"/>
          <w:color w:val="auto"/>
          <w:szCs w:val="21"/>
        </w:rPr>
        <w:t>0</w:t>
      </w:r>
      <w:r>
        <w:rPr>
          <w:rFonts w:ascii="宋体" w:hAnsi="宋体" w:eastAsia="宋体"/>
          <w:color w:val="auto"/>
          <w:szCs w:val="21"/>
        </w:rPr>
        <w:t>.4</w:t>
      </w:r>
      <w:r>
        <w:rPr>
          <w:rFonts w:hint="eastAsia" w:ascii="宋体" w:hAnsi="宋体" w:eastAsia="宋体"/>
          <w:color w:val="auto"/>
          <w:szCs w:val="21"/>
        </w:rPr>
        <w:t>中标合同将在招标公告指定媒体上公告，但合同中涉及国家秘密、商业秘密的内容除外。</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color w:val="auto"/>
          <w:szCs w:val="21"/>
        </w:rPr>
        <w:t>30.5中标人</w:t>
      </w:r>
      <w:r>
        <w:rPr>
          <w:rFonts w:hint="eastAsia" w:ascii="宋体" w:hAnsi="宋体" w:eastAsia="宋体"/>
          <w:bCs/>
          <w:color w:val="auto"/>
          <w:szCs w:val="21"/>
        </w:rPr>
        <w:t>应当按照合同约定依法履行合同义务。政府采购合同的履行、违约责任和解决争议的方法等适用《中华人民共和国民法典》。</w:t>
      </w:r>
    </w:p>
    <w:p>
      <w:pPr>
        <w:adjustRightInd w:val="0"/>
        <w:snapToGrid w:val="0"/>
        <w:spacing w:before="156" w:beforeLines="50" w:line="360" w:lineRule="auto"/>
        <w:jc w:val="left"/>
        <w:rPr>
          <w:rFonts w:ascii="宋体" w:hAnsi="宋体" w:eastAsia="宋体" w:cs="宋体"/>
          <w:b/>
          <w:color w:val="auto"/>
          <w:kern w:val="0"/>
          <w:sz w:val="24"/>
        </w:rPr>
      </w:pPr>
      <w:r>
        <w:rPr>
          <w:rFonts w:hint="eastAsia" w:ascii="宋体" w:hAnsi="宋体" w:eastAsia="宋体"/>
          <w:b/>
          <w:bCs/>
          <w:color w:val="auto"/>
          <w:sz w:val="24"/>
        </w:rPr>
        <w:t>31.</w:t>
      </w:r>
      <w:r>
        <w:rPr>
          <w:rFonts w:hint="eastAsia" w:ascii="宋体" w:hAnsi="宋体" w:eastAsia="宋体" w:cs="宋体"/>
          <w:b/>
          <w:color w:val="auto"/>
          <w:kern w:val="0"/>
          <w:sz w:val="24"/>
        </w:rPr>
        <w:t xml:space="preserve"> 履约担保</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s="宋体"/>
          <w:color w:val="auto"/>
          <w:kern w:val="0"/>
          <w:szCs w:val="21"/>
        </w:rPr>
        <w:t>31.1</w:t>
      </w:r>
      <w:r>
        <w:rPr>
          <w:rFonts w:hint="eastAsia" w:ascii="宋体" w:hAnsi="宋体" w:eastAsia="宋体"/>
          <w:color w:val="auto"/>
          <w:szCs w:val="21"/>
        </w:rPr>
        <w:t>招标文件要求中标人向采购人提交履约担保的，中标人应按照</w:t>
      </w:r>
      <w:r>
        <w:rPr>
          <w:rFonts w:hint="eastAsia" w:ascii="宋体" w:hAnsi="宋体" w:eastAsia="宋体"/>
          <w:b/>
          <w:color w:val="auto"/>
          <w:szCs w:val="21"/>
        </w:rPr>
        <w:t>【投标须知前附表】</w:t>
      </w:r>
      <w:r>
        <w:rPr>
          <w:rFonts w:hint="eastAsia" w:ascii="宋体" w:hAnsi="宋体" w:eastAsia="宋体"/>
          <w:color w:val="auto"/>
          <w:szCs w:val="21"/>
        </w:rPr>
        <w:t>的规定提交，</w:t>
      </w:r>
      <w:r>
        <w:rPr>
          <w:rFonts w:hint="eastAsia" w:ascii="宋体" w:hAnsi="宋体" w:eastAsia="宋体"/>
          <w:bCs/>
          <w:color w:val="auto"/>
          <w:szCs w:val="21"/>
        </w:rPr>
        <w:t>投标人可以保函、电子增信替代履约担保。</w:t>
      </w:r>
      <w:r>
        <w:rPr>
          <w:rFonts w:hint="eastAsia" w:ascii="宋体" w:hAnsi="宋体" w:eastAsia="宋体"/>
          <w:color w:val="auto"/>
          <w:szCs w:val="21"/>
        </w:rPr>
        <w:t>联合体中标的，履约担保由联合体各方或联合体中牵头人的名义提交。</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31.2中标人</w:t>
      </w:r>
      <w:r>
        <w:rPr>
          <w:rFonts w:hint="eastAsia" w:ascii="宋体" w:hAnsi="宋体" w:eastAsia="宋体"/>
          <w:color w:val="auto"/>
          <w:spacing w:val="4"/>
          <w:szCs w:val="21"/>
        </w:rPr>
        <w:t>没有按照本章第31.1</w:t>
      </w:r>
      <w:r>
        <w:rPr>
          <w:rFonts w:hint="eastAsia" w:ascii="宋体" w:hAnsi="宋体" w:eastAsia="宋体" w:cs="宋体"/>
          <w:color w:val="auto"/>
          <w:kern w:val="0"/>
          <w:szCs w:val="21"/>
          <w:lang w:val="zh-CN"/>
        </w:rPr>
        <w:t>款</w:t>
      </w:r>
      <w:r>
        <w:rPr>
          <w:rFonts w:hint="eastAsia" w:ascii="宋体" w:hAnsi="宋体" w:eastAsia="宋体"/>
          <w:color w:val="auto"/>
          <w:spacing w:val="4"/>
          <w:szCs w:val="21"/>
        </w:rPr>
        <w:t>规定</w:t>
      </w:r>
      <w:r>
        <w:rPr>
          <w:rFonts w:hint="eastAsia" w:ascii="宋体" w:hAnsi="宋体" w:eastAsia="宋体"/>
          <w:color w:val="auto"/>
          <w:szCs w:val="21"/>
        </w:rPr>
        <w:t>提交履约担保的</w:t>
      </w:r>
      <w:r>
        <w:rPr>
          <w:rFonts w:hint="eastAsia" w:ascii="宋体" w:hAnsi="宋体" w:eastAsia="宋体"/>
          <w:color w:val="auto"/>
          <w:spacing w:val="4"/>
          <w:szCs w:val="21"/>
        </w:rPr>
        <w:t>，视为</w:t>
      </w:r>
      <w:r>
        <w:rPr>
          <w:rFonts w:hint="eastAsia" w:ascii="宋体" w:hAnsi="宋体" w:eastAsia="宋体"/>
          <w:b/>
          <w:color w:val="auto"/>
          <w:spacing w:val="4"/>
          <w:szCs w:val="21"/>
        </w:rPr>
        <w:t>放弃中标</w:t>
      </w:r>
      <w:r>
        <w:rPr>
          <w:rFonts w:hint="eastAsia" w:ascii="宋体" w:hAnsi="宋体" w:eastAsia="宋体"/>
          <w:color w:val="auto"/>
          <w:spacing w:val="4"/>
          <w:szCs w:val="21"/>
        </w:rPr>
        <w:t>，</w:t>
      </w:r>
      <w:r>
        <w:rPr>
          <w:rFonts w:hint="eastAsia" w:ascii="宋体" w:hAnsi="宋体" w:eastAsia="宋体"/>
          <w:color w:val="auto"/>
          <w:spacing w:val="2"/>
          <w:szCs w:val="21"/>
        </w:rPr>
        <w:t>其投标保证金不予退还。</w:t>
      </w:r>
    </w:p>
    <w:p>
      <w:pPr>
        <w:adjustRightInd w:val="0"/>
        <w:snapToGrid w:val="0"/>
        <w:spacing w:before="156" w:beforeLines="50" w:line="360" w:lineRule="auto"/>
        <w:jc w:val="left"/>
        <w:rPr>
          <w:rFonts w:ascii="宋体" w:hAnsi="宋体" w:eastAsia="宋体"/>
          <w:b/>
          <w:bCs/>
          <w:color w:val="auto"/>
          <w:sz w:val="24"/>
        </w:rPr>
      </w:pPr>
      <w:r>
        <w:rPr>
          <w:rFonts w:hint="eastAsia" w:ascii="宋体" w:hAnsi="宋体" w:eastAsia="宋体"/>
          <w:b/>
          <w:bCs/>
          <w:color w:val="auto"/>
          <w:sz w:val="24"/>
        </w:rPr>
        <w:t>32.</w:t>
      </w:r>
      <w:r>
        <w:rPr>
          <w:rFonts w:hint="eastAsia" w:ascii="宋体" w:hAnsi="宋体" w:eastAsia="宋体"/>
          <w:b/>
          <w:color w:val="auto"/>
          <w:sz w:val="24"/>
        </w:rPr>
        <w:t xml:space="preserve"> 政府采购合同履行中</w:t>
      </w:r>
      <w:r>
        <w:rPr>
          <w:rFonts w:hint="eastAsia" w:ascii="宋体" w:hAnsi="宋体" w:eastAsia="宋体"/>
          <w:b/>
          <w:bCs/>
          <w:color w:val="auto"/>
          <w:sz w:val="24"/>
        </w:rPr>
        <w:t>数量的变更</w:t>
      </w:r>
    </w:p>
    <w:p>
      <w:pPr>
        <w:adjustRightInd w:val="0"/>
        <w:snapToGrid w:val="0"/>
        <w:spacing w:before="156" w:beforeLines="50" w:line="360" w:lineRule="auto"/>
        <w:ind w:firstLine="420" w:firstLineChars="200"/>
        <w:jc w:val="left"/>
        <w:rPr>
          <w:rFonts w:ascii="宋体" w:hAnsi="宋体" w:eastAsia="宋体"/>
          <w:color w:val="auto"/>
          <w:sz w:val="28"/>
          <w:szCs w:val="28"/>
        </w:rPr>
      </w:pPr>
      <w:r>
        <w:rPr>
          <w:rFonts w:hint="eastAsia" w:ascii="宋体" w:hAnsi="宋体" w:eastAsia="宋体"/>
          <w:color w:val="auto"/>
        </w:rPr>
        <w:t>32.1政府采购合同履行中，采购人需追加与合同标的相同的货物服务的，在不改变合同其他条款的前提下，可以与中标人协商签订补充合同，但所有补充合同的采购金额不得超过原合同采购金额的百分之十。</w:t>
      </w:r>
    </w:p>
    <w:p>
      <w:pPr>
        <w:pStyle w:val="4"/>
        <w:adjustRightInd w:val="0"/>
        <w:snapToGrid w:val="0"/>
        <w:spacing w:before="156" w:beforeLines="50" w:after="0" w:line="360" w:lineRule="auto"/>
        <w:jc w:val="center"/>
        <w:rPr>
          <w:rFonts w:ascii="黑体" w:hAnsi="黑体" w:eastAsia="黑体"/>
          <w:color w:val="auto"/>
          <w:sz w:val="28"/>
          <w:szCs w:val="28"/>
        </w:rPr>
      </w:pPr>
      <w:bookmarkStart w:id="23" w:name="_Toc23509"/>
      <w:r>
        <w:rPr>
          <w:rFonts w:hint="eastAsia" w:ascii="黑体" w:hAnsi="黑体" w:eastAsia="黑体"/>
          <w:color w:val="auto"/>
          <w:sz w:val="28"/>
          <w:szCs w:val="28"/>
        </w:rPr>
        <w:t>八、政府采购政策</w:t>
      </w:r>
      <w:bookmarkEnd w:id="23"/>
    </w:p>
    <w:p>
      <w:pPr>
        <w:adjustRightInd w:val="0"/>
        <w:snapToGrid w:val="0"/>
        <w:spacing w:before="156" w:beforeLines="50" w:line="360" w:lineRule="auto"/>
        <w:jc w:val="left"/>
        <w:rPr>
          <w:rFonts w:ascii="宋体" w:hAnsi="宋体" w:eastAsia="宋体"/>
          <w:b/>
          <w:color w:val="auto"/>
          <w:sz w:val="24"/>
        </w:rPr>
      </w:pPr>
      <w:r>
        <w:rPr>
          <w:rFonts w:hint="eastAsia" w:ascii="宋体" w:hAnsi="宋体" w:eastAsia="宋体"/>
          <w:b/>
          <w:bCs/>
          <w:color w:val="auto"/>
          <w:sz w:val="24"/>
        </w:rPr>
        <w:t>33.</w:t>
      </w:r>
      <w:r>
        <w:rPr>
          <w:rFonts w:hint="eastAsia" w:ascii="宋体" w:hAnsi="宋体" w:eastAsia="宋体"/>
          <w:color w:val="auto"/>
          <w:sz w:val="24"/>
        </w:rPr>
        <w:t xml:space="preserve"> </w:t>
      </w:r>
      <w:r>
        <w:rPr>
          <w:rFonts w:hint="eastAsia" w:ascii="宋体" w:hAnsi="宋体" w:eastAsia="宋体"/>
          <w:b/>
          <w:color w:val="auto"/>
          <w:sz w:val="24"/>
        </w:rPr>
        <w:t>政府采购政策</w:t>
      </w:r>
    </w:p>
    <w:p>
      <w:pPr>
        <w:adjustRightInd w:val="0"/>
        <w:snapToGrid w:val="0"/>
        <w:spacing w:before="156" w:beforeLines="50" w:line="360" w:lineRule="auto"/>
        <w:ind w:firstLine="420" w:firstLineChars="200"/>
        <w:jc w:val="left"/>
        <w:rPr>
          <w:rFonts w:ascii="宋体" w:hAnsi="宋体" w:cs="宋体"/>
          <w:color w:val="auto"/>
          <w:kern w:val="0"/>
        </w:rPr>
      </w:pPr>
      <w:r>
        <w:rPr>
          <w:rFonts w:hint="eastAsia" w:ascii="宋体" w:hAnsi="宋体" w:cs="宋体"/>
          <w:color w:val="auto"/>
          <w:kern w:val="0"/>
        </w:rPr>
        <w:t>33.1优先采购：</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w:t>
      </w:r>
      <w:r>
        <w:rPr>
          <w:rFonts w:hint="eastAsia" w:ascii="宋体" w:hAnsi="宋体"/>
          <w:color w:val="auto"/>
          <w:szCs w:val="21"/>
        </w:rPr>
        <w:t>纳入财政部会同国务院有关部门发布的节能产品、环境标志产品政府采购品目清单，实施政府优先采购的，评审时按招标文件第四章第一节有关规定对该部分产品给予一定比例的价格折扣或者加分；</w:t>
      </w:r>
      <w:r>
        <w:rPr>
          <w:rFonts w:ascii="宋体" w:hAnsi="宋体"/>
          <w:color w:val="auto"/>
        </w:rPr>
        <w:t xml:space="preserve"> </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（2）纳入湖南省财政厅等有关部门发布的湖南省两型产品政府采购目录的，实施政府优先采购，评审时按</w:t>
      </w:r>
      <w:r>
        <w:rPr>
          <w:rFonts w:hint="eastAsia" w:ascii="宋体" w:hAnsi="宋体"/>
          <w:color w:val="auto"/>
          <w:szCs w:val="21"/>
        </w:rPr>
        <w:t>招标文件第四章第一节有关规定对该部分产品</w:t>
      </w:r>
      <w:r>
        <w:rPr>
          <w:rFonts w:hint="eastAsia" w:ascii="宋体" w:hAnsi="宋体"/>
          <w:color w:val="auto"/>
        </w:rPr>
        <w:t>给予一定比例的价格折扣或者加分。</w:t>
      </w:r>
    </w:p>
    <w:p>
      <w:pPr>
        <w:adjustRightInd w:val="0"/>
        <w:snapToGrid w:val="0"/>
        <w:spacing w:before="156" w:beforeLines="50" w:line="360" w:lineRule="auto"/>
        <w:ind w:firstLine="420" w:firstLineChars="200"/>
        <w:jc w:val="left"/>
        <w:rPr>
          <w:rFonts w:ascii="宋体" w:hAnsi="宋体" w:cs="宋体"/>
          <w:color w:val="auto"/>
          <w:kern w:val="0"/>
        </w:rPr>
      </w:pPr>
      <w:r>
        <w:rPr>
          <w:rFonts w:hint="eastAsia" w:ascii="宋体" w:hAnsi="宋体" w:cs="宋体"/>
          <w:color w:val="auto"/>
          <w:kern w:val="0"/>
        </w:rPr>
        <w:t>33.2强制采购：</w:t>
      </w:r>
    </w:p>
    <w:p>
      <w:pPr>
        <w:adjustRightInd w:val="0"/>
        <w:snapToGrid w:val="0"/>
        <w:spacing w:before="156" w:beforeLines="50" w:line="360" w:lineRule="auto"/>
        <w:ind w:firstLine="420" w:firstLineChars="200"/>
        <w:jc w:val="left"/>
        <w:rPr>
          <w:rFonts w:ascii="宋体" w:hAnsi="宋体" w:cs="宋体"/>
          <w:color w:val="auto"/>
          <w:kern w:val="0"/>
        </w:rPr>
      </w:pPr>
      <w:r>
        <w:rPr>
          <w:rFonts w:hint="eastAsia" w:ascii="宋体" w:hAnsi="宋体" w:cs="宋体"/>
          <w:color w:val="auto"/>
          <w:kern w:val="0"/>
        </w:rPr>
        <w:t>（1）纳入财政部会同国务院有关部门发布的节能产品政府采购品目清单，实施政府强制采购的（品目清单标注</w:t>
      </w:r>
      <w:r>
        <w:rPr>
          <w:rFonts w:hint="eastAsia" w:ascii="宋体" w:hAnsi="宋体" w:cs="宋体"/>
          <w:color w:val="auto"/>
          <w:kern w:val="0"/>
        </w:rPr>
        <w:sym w:font="Wingdings" w:char="F0AB"/>
      </w:r>
      <w:r>
        <w:rPr>
          <w:rFonts w:hint="eastAsia" w:ascii="宋体" w:hAnsi="宋体" w:cs="宋体"/>
          <w:color w:val="auto"/>
          <w:kern w:val="0"/>
        </w:rPr>
        <w:t>符号产品），投标人投标产品应当取得国家确定的认证机构出具的、处于有效期之内的节能产品认证证书，否则其</w:t>
      </w:r>
      <w:r>
        <w:rPr>
          <w:rFonts w:hint="eastAsia" w:ascii="宋体" w:hAnsi="宋体" w:cs="宋体"/>
          <w:b/>
          <w:color w:val="auto"/>
          <w:kern w:val="0"/>
          <w:szCs w:val="21"/>
        </w:rPr>
        <w:t>投标无效</w:t>
      </w:r>
      <w:r>
        <w:rPr>
          <w:rFonts w:hint="eastAsia" w:ascii="宋体" w:hAnsi="宋体" w:cs="宋体"/>
          <w:color w:val="auto"/>
          <w:kern w:val="0"/>
        </w:rPr>
        <w:t>。</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33.3价格评审优惠：</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（1）在政府采购活动中，供应商提供的货物、工程或者服务符合下列情形的：</w:t>
      </w:r>
      <w:r>
        <w:rPr>
          <w:rFonts w:hint="eastAsia" w:ascii="宋体" w:hAnsi="宋体"/>
          <w:color w:val="auto"/>
          <w:lang w:eastAsia="zh-CN"/>
        </w:rPr>
        <w:t>（</w:t>
      </w:r>
      <w:r>
        <w:rPr>
          <w:rFonts w:hint="eastAsia" w:ascii="宋体" w:hAnsi="宋体"/>
          <w:color w:val="auto"/>
          <w:lang w:val="en-US" w:eastAsia="zh-CN"/>
        </w:rPr>
        <w:t>一</w:t>
      </w:r>
      <w:r>
        <w:rPr>
          <w:rFonts w:hint="eastAsia" w:ascii="宋体" w:hAnsi="宋体"/>
          <w:color w:val="auto"/>
          <w:lang w:eastAsia="zh-CN"/>
        </w:rPr>
        <w:t>）</w:t>
      </w:r>
      <w:r>
        <w:rPr>
          <w:rFonts w:hint="eastAsia" w:ascii="宋体" w:hAnsi="宋体"/>
          <w:color w:val="auto"/>
        </w:rPr>
        <w:t>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w:t>
      </w:r>
      <w:r>
        <w:rPr>
          <w:rFonts w:hint="eastAsia" w:ascii="宋体" w:hAnsi="宋体"/>
          <w:color w:val="auto"/>
          <w:lang w:val="en-US" w:eastAsia="zh-CN"/>
        </w:rPr>
        <w:t>劳动合同法</w:t>
      </w:r>
      <w:r>
        <w:rPr>
          <w:rFonts w:hint="eastAsia" w:ascii="宋体" w:hAnsi="宋体"/>
          <w:color w:val="auto"/>
        </w:rPr>
        <w:t>》订立劳动合同的从业人员</w:t>
      </w:r>
      <w:r>
        <w:rPr>
          <w:rFonts w:hint="eastAsia" w:ascii="宋体" w:hAnsi="宋体"/>
          <w:color w:val="auto"/>
          <w:lang w:eastAsia="zh-CN"/>
        </w:rPr>
        <w:t>；</w:t>
      </w:r>
      <w:r>
        <w:rPr>
          <w:rFonts w:hint="eastAsia" w:ascii="宋体" w:hAnsi="宋体"/>
          <w:color w:val="auto"/>
        </w:rPr>
        <w:t>给予一定比例的价格折扣，用扣除后的价格参与评审；</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（3）符合中小企业划分标准的个体工商户视同中小企业，享受评审中价格扣除等促进中小企业发展的政府采购政策。</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（4）监狱企业、残疾人福利性单位视同小型、微型企业，享受评审中价格扣除等促进中小企业发展的政府采购政策。</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 xml:space="preserve">（5）与大企业的负责人为同一人，或者与大企业存在直接控股、管理关系的中小企业，不享受评审中价格扣除等促进中小企业发展的政府采购政策。 </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（6）本章第1.2款规定采购项目或者采购包属于“预留采购份额”的，预留部分不再享受本款“价格评审优惠”的小微企业扶持政策。</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33.4政府采购政策交叉与叠加</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（1）投标产品取得两个及以上优先采购产品认证的，评审时只有其中一项产品能享受优先采购优惠（投标人自行选择，并在投标文件中并填报相关信息及数据）</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（2）投标人同时符合小型、微型企业及监狱企业、残疾人福利性单位要求的，评审时只有一种类型享受价格评审优惠政策；</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（3）小型和微型企业的价格评审优惠可以与同时属于“节能产品”、“环境标志产品”及“两型产品”中的一项优先采购优惠累加计算。</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33.5在货物采购项目中，供应商提供的货物既有中小企业制造货物，也有大型企业制造货物的，不享受政府采购中小企业扶持政策。</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33.6投标人符合本章第33.1款、第33.2款、第33.3款规定的，应提供相关证明资料。</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（1）节能产品、环境标志产品：提供国家确定的认证机构出具的、处于有效期之内的节能产品、环境标志产品认证证书。</w:t>
      </w:r>
    </w:p>
    <w:p>
      <w:pPr>
        <w:adjustRightInd w:val="0"/>
        <w:snapToGrid w:val="0"/>
        <w:spacing w:before="156" w:beforeLines="50" w:line="360" w:lineRule="auto"/>
        <w:ind w:firstLine="420" w:firstLineChars="200"/>
        <w:jc w:val="left"/>
        <w:rPr>
          <w:rFonts w:ascii="宋体" w:hAnsi="宋体"/>
          <w:color w:val="auto"/>
        </w:rPr>
      </w:pPr>
      <w:r>
        <w:rPr>
          <w:rFonts w:hint="eastAsia" w:ascii="宋体" w:hAnsi="宋体"/>
          <w:color w:val="auto"/>
        </w:rPr>
        <w:t>（2）两型产品：提供《湖南省两型产品政府采购目录》（最新一期）文件首页和投标产品所在页（截图）。</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rPr>
        <w:t>（3）中小企业：</w:t>
      </w:r>
      <w:r>
        <w:rPr>
          <w:rFonts w:hint="eastAsia" w:ascii="宋体" w:hAnsi="宋体"/>
          <w:color w:val="auto"/>
          <w:lang w:val="en-US" w:eastAsia="zh-CN"/>
        </w:rPr>
        <w:t>货物类采购项目，</w:t>
      </w:r>
      <w:r>
        <w:rPr>
          <w:rFonts w:hint="eastAsia" w:ascii="宋体" w:hAnsi="宋体"/>
          <w:color w:val="auto"/>
        </w:rPr>
        <w:t>按《关于印发＜政府采购促进中小企业发展办法＞的通知》(财库[2020]46号) 和《关于印发中小企业划型标准规定的通知》（工信部联企业〔2011〕300号）文件规定提供中小企业声明函（格式）</w:t>
      </w:r>
      <w:r>
        <w:rPr>
          <w:rFonts w:hint="eastAsia" w:ascii="宋体" w:hAnsi="宋体"/>
          <w:color w:val="auto"/>
          <w:lang w:eastAsia="zh-CN"/>
        </w:rPr>
        <w:t>；</w:t>
      </w:r>
      <w:r>
        <w:rPr>
          <w:rFonts w:hint="eastAsia" w:ascii="宋体" w:hAnsi="宋体"/>
          <w:color w:val="auto"/>
          <w:lang w:val="en-US" w:eastAsia="zh-CN"/>
        </w:rPr>
        <w:t>服务类采购项目，按《湖南省财政厅关于政府采购促进中小企业发展的有关措施的通知》（湘财购[2022]17号）文件规定提供湖南省政府采购供应商资格承诺函（格式）</w:t>
      </w:r>
      <w:r>
        <w:rPr>
          <w:rFonts w:hint="eastAsia" w:ascii="宋体" w:hAnsi="宋体"/>
          <w:color w:val="auto"/>
          <w:szCs w:val="21"/>
        </w:rPr>
        <w:t>。</w:t>
      </w:r>
    </w:p>
    <w:p>
      <w:pPr>
        <w:pStyle w:val="26"/>
        <w:spacing w:line="360" w:lineRule="auto"/>
        <w:rPr>
          <w:rFonts w:ascii="宋体" w:hAnsi="宋体"/>
          <w:color w:val="auto"/>
          <w:szCs w:val="24"/>
        </w:rPr>
      </w:pPr>
      <w:r>
        <w:rPr>
          <w:rFonts w:hint="eastAsia" w:ascii="宋体" w:hAnsi="宋体"/>
          <w:color w:val="auto"/>
          <w:szCs w:val="24"/>
        </w:rPr>
        <w:t>（4）监狱企业：按《关于政府采购支持监狱企业发展有关问题的通知》(财库〔2014〕68号)文件规定提供证明文件。</w:t>
      </w:r>
    </w:p>
    <w:p>
      <w:pPr>
        <w:pStyle w:val="26"/>
        <w:spacing w:line="360" w:lineRule="auto"/>
        <w:rPr>
          <w:rFonts w:ascii="宋体" w:hAnsi="宋体"/>
          <w:color w:val="auto"/>
          <w:szCs w:val="24"/>
        </w:rPr>
      </w:pPr>
      <w:r>
        <w:rPr>
          <w:rFonts w:hint="eastAsia" w:ascii="宋体" w:hAnsi="宋体"/>
          <w:color w:val="auto"/>
          <w:szCs w:val="24"/>
        </w:rPr>
        <w:t>（5）残疾人福利性单位：按《关于促进残疾人就业政府采购政策的通知》(财库〔2017〕141号)文件规定提供《残疾人福利性单位声明函》（格式）。</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33.7执行中小企业预留采购份额政策的规定：</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（1）预留份额的采购项目或者采购包，应明确该项目或相关采购包专门面向中小企业采购，并作为供应商资格条件。</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（2）要求以联合体形式参加或者合同分包的，应明确联合协议或者分包意向协议中中小企业合同金额应当达到的比例，并作为供应商资格条件。</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（3）组成联合体或者接受分包合同的中小企业与联合体内其他企业(成员)、分包企业(投标人)之间不得存在直接控股、管理关系。</w:t>
      </w:r>
    </w:p>
    <w:p>
      <w:pPr>
        <w:adjustRightInd w:val="0"/>
        <w:snapToGrid w:val="0"/>
        <w:spacing w:before="156" w:beforeLines="50" w:line="360" w:lineRule="auto"/>
        <w:ind w:firstLine="420" w:firstLineChars="200"/>
        <w:jc w:val="left"/>
        <w:rPr>
          <w:rFonts w:hint="eastAsia" w:ascii="宋体" w:hAnsi="宋体" w:eastAsia="宋体"/>
          <w:color w:val="auto"/>
          <w:lang w:val="en-US" w:eastAsia="zh-CN"/>
        </w:rPr>
      </w:pPr>
      <w:r>
        <w:rPr>
          <w:rFonts w:hint="eastAsia" w:ascii="宋体" w:hAnsi="宋体" w:eastAsia="宋体"/>
          <w:color w:val="auto"/>
        </w:rPr>
        <w:t>33.8</w:t>
      </w:r>
      <w:r>
        <w:rPr>
          <w:rFonts w:hint="eastAsia" w:ascii="宋体" w:hAnsi="宋体"/>
          <w:color w:val="auto"/>
          <w:lang w:val="en-US" w:eastAsia="zh-CN"/>
        </w:rPr>
        <w:t>采购进口产品</w:t>
      </w:r>
    </w:p>
    <w:p>
      <w:pPr>
        <w:adjustRightInd w:val="0"/>
        <w:snapToGrid w:val="0"/>
        <w:spacing w:before="156" w:beforeLines="50" w:line="360" w:lineRule="auto"/>
        <w:ind w:firstLine="420" w:firstLineChars="200"/>
        <w:jc w:val="left"/>
        <w:rPr>
          <w:rFonts w:hint="eastAsia" w:ascii="宋体" w:hAnsi="宋体" w:eastAsia="宋体"/>
          <w:color w:val="auto"/>
        </w:rPr>
      </w:pPr>
      <w:r>
        <w:rPr>
          <w:rFonts w:hint="eastAsia" w:ascii="宋体" w:hAnsi="宋体" w:eastAsia="宋体" w:cs="宋体"/>
          <w:color w:val="auto"/>
          <w:kern w:val="0"/>
          <w:szCs w:val="21"/>
        </w:rPr>
        <w:t>进口产品是指符合《政府采购进口产品管理办法》（财库〔2007〕119号）和《关于政府采购进口产品管理有关问题的通知》（财办库〔2008〕248号）文件规定的产品。除</w:t>
      </w:r>
      <w:r>
        <w:rPr>
          <w:rFonts w:hint="eastAsia" w:ascii="宋体" w:hAnsi="宋体" w:eastAsia="宋体"/>
          <w:b/>
          <w:color w:val="auto"/>
          <w:szCs w:val="21"/>
        </w:rPr>
        <w:t>【投标须知前附表】</w:t>
      </w:r>
      <w:r>
        <w:rPr>
          <w:rFonts w:hint="eastAsia" w:ascii="宋体" w:hAnsi="宋体" w:eastAsia="宋体" w:cs="宋体"/>
          <w:color w:val="auto"/>
          <w:kern w:val="0"/>
          <w:szCs w:val="21"/>
        </w:rPr>
        <w:t>另有规定外，采购项目</w:t>
      </w:r>
      <w:r>
        <w:rPr>
          <w:rFonts w:hint="eastAsia" w:ascii="宋体" w:hAnsi="宋体" w:eastAsia="宋体" w:cs="宋体"/>
          <w:b/>
          <w:color w:val="auto"/>
          <w:kern w:val="0"/>
          <w:szCs w:val="21"/>
        </w:rPr>
        <w:t>拒绝进口产品参加投标</w:t>
      </w:r>
      <w:r>
        <w:rPr>
          <w:rFonts w:hint="eastAsia" w:ascii="宋体" w:hAnsi="宋体" w:eastAsia="宋体" w:cs="宋体"/>
          <w:color w:val="auto"/>
          <w:kern w:val="0"/>
          <w:szCs w:val="21"/>
        </w:rPr>
        <w:t>。本款规定同意购买进口产品的，不限制满足招标文件要求的国内产品参与投标竞争。</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color w:val="auto"/>
          <w:lang w:val="en-US" w:eastAsia="zh-CN"/>
        </w:rPr>
        <w:t>33.9</w:t>
      </w:r>
      <w:r>
        <w:rPr>
          <w:rFonts w:hint="eastAsia" w:ascii="宋体" w:hAnsi="宋体" w:eastAsia="宋体"/>
          <w:color w:val="auto"/>
        </w:rPr>
        <w:t>投标人有融资、担保需求的，可登陆中国湖南政府采购网查询相关银行、担保机构业务。</w:t>
      </w:r>
    </w:p>
    <w:p>
      <w:pPr>
        <w:pStyle w:val="4"/>
        <w:adjustRightInd w:val="0"/>
        <w:snapToGrid w:val="0"/>
        <w:spacing w:before="156" w:beforeLines="50" w:after="0" w:line="360" w:lineRule="auto"/>
        <w:jc w:val="center"/>
        <w:rPr>
          <w:rFonts w:ascii="黑体" w:hAnsi="黑体" w:eastAsia="黑体"/>
          <w:color w:val="auto"/>
          <w:sz w:val="28"/>
          <w:szCs w:val="28"/>
        </w:rPr>
      </w:pPr>
      <w:bookmarkStart w:id="24" w:name="_Toc13312"/>
      <w:r>
        <w:rPr>
          <w:rFonts w:hint="eastAsia" w:ascii="黑体" w:hAnsi="黑体" w:eastAsia="黑体"/>
          <w:color w:val="auto"/>
          <w:sz w:val="28"/>
          <w:szCs w:val="28"/>
        </w:rPr>
        <w:t>九、其他规定</w:t>
      </w:r>
      <w:bookmarkEnd w:id="24"/>
    </w:p>
    <w:p>
      <w:pPr>
        <w:adjustRightInd w:val="0"/>
        <w:snapToGrid w:val="0"/>
        <w:spacing w:before="156" w:beforeLines="50" w:line="360" w:lineRule="auto"/>
        <w:jc w:val="left"/>
        <w:rPr>
          <w:rFonts w:ascii="宋体" w:hAnsi="宋体" w:eastAsia="宋体"/>
          <w:b/>
          <w:color w:val="auto"/>
          <w:sz w:val="24"/>
        </w:rPr>
      </w:pPr>
      <w:r>
        <w:rPr>
          <w:rFonts w:hint="eastAsia" w:ascii="宋体" w:hAnsi="宋体" w:eastAsia="宋体"/>
          <w:b/>
          <w:bCs/>
          <w:color w:val="auto"/>
          <w:sz w:val="24"/>
        </w:rPr>
        <w:t>34.</w:t>
      </w:r>
      <w:r>
        <w:rPr>
          <w:rFonts w:hint="eastAsia" w:ascii="宋体" w:hAnsi="宋体" w:eastAsia="宋体"/>
          <w:color w:val="auto"/>
          <w:sz w:val="24"/>
        </w:rPr>
        <w:t xml:space="preserve"> </w:t>
      </w:r>
      <w:r>
        <w:rPr>
          <w:rFonts w:hint="eastAsia" w:ascii="宋体" w:hAnsi="宋体" w:eastAsia="宋体"/>
          <w:b/>
          <w:color w:val="auto"/>
          <w:sz w:val="24"/>
        </w:rPr>
        <w:t>招标不足三家处理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34.1公开招标数额标准以上的采购项目，投标截止后投标人不足3家或者通过资格审查或符合性审查的投标人不足3家的，除采购任务取消情形外，按照以下方式处理：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（1）招标文件存在不合理条款或者招标程序不符合规定的，采购人、采购代理机构改正后依法重新招标；</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（2）招标文件没有不合理条款、招标程序符合规定，需要采用其他采购方式采购的，采购人应当依法报财政部门批准。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34.2属上款第（2）项情形的，评标委员会应出具的招标文件没有不合理条款的论证意见。</w:t>
      </w:r>
    </w:p>
    <w:p>
      <w:pPr>
        <w:adjustRightInd w:val="0"/>
        <w:snapToGrid w:val="0"/>
        <w:spacing w:before="156" w:beforeLines="50" w:line="360" w:lineRule="auto"/>
        <w:jc w:val="left"/>
        <w:rPr>
          <w:rFonts w:ascii="宋体" w:hAnsi="宋体" w:eastAsia="宋体"/>
          <w:b/>
          <w:color w:val="auto"/>
          <w:sz w:val="24"/>
        </w:rPr>
      </w:pPr>
      <w:r>
        <w:rPr>
          <w:rFonts w:hint="eastAsia" w:ascii="宋体" w:hAnsi="宋体" w:eastAsia="宋体"/>
          <w:b/>
          <w:bCs/>
          <w:color w:val="auto"/>
          <w:sz w:val="24"/>
        </w:rPr>
        <w:t>35.</w:t>
      </w:r>
      <w:r>
        <w:rPr>
          <w:rFonts w:hint="eastAsia" w:ascii="宋体" w:hAnsi="宋体" w:eastAsia="宋体"/>
          <w:b/>
          <w:color w:val="auto"/>
          <w:sz w:val="24"/>
        </w:rPr>
        <w:t xml:space="preserve"> 需要补充的其他内容</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35.1合同价款支付</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rPr>
        <w:t>（1）招标文件</w:t>
      </w:r>
      <w:r>
        <w:rPr>
          <w:rFonts w:hint="eastAsia" w:ascii="宋体" w:hAnsi="宋体" w:eastAsia="宋体"/>
          <w:bCs/>
          <w:color w:val="auto"/>
          <w:szCs w:val="21"/>
        </w:rPr>
        <w:t>规定支付合同预付款的，采购人应按</w:t>
      </w:r>
      <w:r>
        <w:rPr>
          <w:rFonts w:hint="eastAsia" w:ascii="宋体" w:hAnsi="宋体" w:eastAsia="宋体"/>
          <w:b/>
          <w:color w:val="auto"/>
          <w:szCs w:val="21"/>
        </w:rPr>
        <w:t>【投标须知前附表】</w:t>
      </w:r>
      <w:r>
        <w:rPr>
          <w:rFonts w:hint="eastAsia" w:ascii="宋体" w:hAnsi="宋体" w:eastAsia="宋体"/>
          <w:bCs/>
          <w:color w:val="auto"/>
          <w:szCs w:val="21"/>
        </w:rPr>
        <w:t>规定的支付比例和支付条件向符合要求的中标供应商及时支付相应款项，并在政府采购合同中进行明确。</w:t>
      </w:r>
    </w:p>
    <w:p>
      <w:pPr>
        <w:pStyle w:val="26"/>
        <w:spacing w:line="360" w:lineRule="auto"/>
        <w:rPr>
          <w:rFonts w:ascii="宋体" w:hAnsi="宋体" w:eastAsia="宋体"/>
          <w:bCs/>
          <w:color w:val="auto"/>
        </w:rPr>
      </w:pPr>
      <w:r>
        <w:rPr>
          <w:rFonts w:hint="eastAsia" w:ascii="宋体" w:hAnsi="宋体" w:eastAsia="宋体"/>
          <w:color w:val="auto"/>
        </w:rPr>
        <w:t>（2）招标文件</w:t>
      </w:r>
      <w:r>
        <w:rPr>
          <w:rFonts w:hint="eastAsia" w:ascii="宋体" w:hAnsi="宋体" w:eastAsia="宋体"/>
          <w:bCs/>
          <w:color w:val="auto"/>
        </w:rPr>
        <w:t>规定需提交质量保证金的，采购人可以按</w:t>
      </w:r>
      <w:r>
        <w:rPr>
          <w:rFonts w:hint="eastAsia" w:ascii="宋体" w:hAnsi="宋体" w:eastAsia="宋体"/>
          <w:b/>
          <w:color w:val="auto"/>
        </w:rPr>
        <w:t>【投标须知前附表】</w:t>
      </w:r>
      <w:r>
        <w:rPr>
          <w:rFonts w:hint="eastAsia" w:ascii="宋体" w:hAnsi="宋体" w:eastAsia="宋体"/>
          <w:bCs/>
          <w:color w:val="auto"/>
        </w:rPr>
        <w:t>规定要求中标供应商提交质量保证金，并在政府采购合同中进行明确。</w:t>
      </w:r>
    </w:p>
    <w:p>
      <w:pPr>
        <w:pStyle w:val="26"/>
        <w:spacing w:line="360" w:lineRule="auto"/>
        <w:rPr>
          <w:rFonts w:ascii="宋体" w:hAnsi="宋体" w:eastAsia="宋体"/>
          <w:bCs/>
          <w:color w:val="auto"/>
        </w:rPr>
      </w:pPr>
      <w:r>
        <w:rPr>
          <w:rFonts w:hint="eastAsia" w:ascii="宋体" w:hAnsi="宋体" w:eastAsia="宋体"/>
          <w:bCs/>
          <w:color w:val="auto"/>
        </w:rPr>
        <w:t>（3）投标人可以保函、电子增信替代预付款担保、质量保证金。</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rPr>
        <w:t>35.2招标文件需要补充的其</w:t>
      </w:r>
      <w:r>
        <w:rPr>
          <w:rFonts w:hint="eastAsia" w:ascii="宋体" w:hAnsi="宋体" w:eastAsia="宋体"/>
          <w:color w:val="auto"/>
          <w:szCs w:val="21"/>
        </w:rPr>
        <w:t>他内容见</w:t>
      </w:r>
      <w:r>
        <w:rPr>
          <w:rFonts w:hint="eastAsia" w:ascii="宋体" w:hAnsi="宋体" w:eastAsia="宋体"/>
          <w:b/>
          <w:color w:val="auto"/>
          <w:szCs w:val="21"/>
        </w:rPr>
        <w:t>【投标须知前附表】</w:t>
      </w:r>
      <w:r>
        <w:rPr>
          <w:rFonts w:hint="eastAsia" w:ascii="宋体" w:hAnsi="宋体" w:eastAsia="宋体"/>
          <w:color w:val="auto"/>
          <w:szCs w:val="21"/>
        </w:rPr>
        <w:t>。</w:t>
      </w:r>
    </w:p>
    <w:p>
      <w:pPr>
        <w:pStyle w:val="12"/>
        <w:rPr>
          <w:color w:val="auto"/>
        </w:rPr>
      </w:pPr>
      <w:r>
        <w:rPr>
          <w:color w:val="auto"/>
        </w:rPr>
        <w:br w:type="page"/>
      </w:r>
    </w:p>
    <w:p>
      <w:pPr>
        <w:pStyle w:val="2"/>
        <w:rPr>
          <w:rFonts w:ascii="黑体" w:hAnsi="黑体" w:eastAsia="黑体"/>
          <w:color w:val="auto"/>
          <w:sz w:val="32"/>
          <w:szCs w:val="32"/>
        </w:rPr>
      </w:pPr>
      <w:bookmarkStart w:id="25" w:name="_Toc6617"/>
      <w:r>
        <w:rPr>
          <w:rFonts w:hint="eastAsia" w:ascii="黑体" w:hAnsi="黑体" w:eastAsia="黑体"/>
          <w:color w:val="auto"/>
          <w:sz w:val="32"/>
          <w:szCs w:val="32"/>
        </w:rPr>
        <w:t>第三章 资格审查</w:t>
      </w:r>
      <w:bookmarkEnd w:id="25"/>
    </w:p>
    <w:p>
      <w:pPr>
        <w:pStyle w:val="4"/>
        <w:adjustRightInd w:val="0"/>
        <w:snapToGrid w:val="0"/>
        <w:spacing w:before="156" w:beforeLines="50" w:after="0" w:line="360" w:lineRule="auto"/>
        <w:rPr>
          <w:rFonts w:ascii="黑体" w:hAnsi="黑体" w:eastAsia="黑体"/>
          <w:color w:val="auto"/>
          <w:sz w:val="24"/>
          <w:szCs w:val="24"/>
        </w:rPr>
      </w:pPr>
      <w:bookmarkStart w:id="26" w:name="_Toc4660"/>
      <w:r>
        <w:rPr>
          <w:rFonts w:hint="eastAsia" w:ascii="黑体" w:hAnsi="黑体" w:eastAsia="黑体"/>
          <w:color w:val="auto"/>
          <w:sz w:val="24"/>
          <w:szCs w:val="24"/>
        </w:rPr>
        <w:t>1．资格审查主体</w:t>
      </w:r>
      <w:bookmarkEnd w:id="26"/>
    </w:p>
    <w:p>
      <w:pPr>
        <w:adjustRightInd w:val="0"/>
        <w:snapToGrid w:val="0"/>
        <w:spacing w:before="156" w:beforeLines="50" w:line="360" w:lineRule="auto"/>
        <w:ind w:firstLine="417" w:firstLineChars="199"/>
        <w:jc w:val="left"/>
        <w:rPr>
          <w:rFonts w:ascii="宋体" w:hAnsi="宋体" w:eastAsia="宋体"/>
          <w:color w:val="auto"/>
          <w:szCs w:val="21"/>
        </w:rPr>
      </w:pPr>
      <w:r>
        <w:rPr>
          <w:rFonts w:hint="eastAsia" w:ascii="宋体" w:hAnsi="宋体" w:eastAsia="宋体"/>
          <w:color w:val="auto"/>
          <w:szCs w:val="21"/>
        </w:rPr>
        <w:t>1.1资格审查主体：采购人、采购代理机构负责资格审查。</w:t>
      </w:r>
    </w:p>
    <w:p>
      <w:pPr>
        <w:pStyle w:val="4"/>
        <w:adjustRightInd w:val="0"/>
        <w:snapToGrid w:val="0"/>
        <w:spacing w:before="156" w:beforeLines="50" w:after="0" w:line="360" w:lineRule="auto"/>
        <w:rPr>
          <w:rFonts w:ascii="黑体" w:hAnsi="黑体" w:eastAsia="黑体"/>
          <w:color w:val="auto"/>
          <w:sz w:val="24"/>
          <w:szCs w:val="24"/>
        </w:rPr>
      </w:pPr>
      <w:bookmarkStart w:id="27" w:name="_Toc3232"/>
      <w:r>
        <w:rPr>
          <w:rFonts w:hint="eastAsia" w:ascii="黑体" w:hAnsi="黑体" w:eastAsia="黑体"/>
          <w:color w:val="auto"/>
          <w:sz w:val="24"/>
          <w:szCs w:val="24"/>
        </w:rPr>
        <w:t>2．资格审查（未进行资格预审的）</w:t>
      </w:r>
      <w:bookmarkEnd w:id="27"/>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2.1资格审查依据法律法规和招标文件的规定，对投标文件中的资格证明文件、投标保证金、投标报价等进行审查，以确定投标供应商是否具备投标资格。</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2.2采购人、采购代理机构按本章附表1“资格审查表”所列审查项目及审查标准，对投标人资格进行审查。</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2.3在资格审查时，投标人存在下列情况之一的，资格审查不合格，其投标无效：</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（1）不具备招标文件中规定的资格要求的，或提交的资格证明文件不符合招标文件要求的；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（2）联合体投标未提交联合体协议书，或未提交联合体各方资格证明文件的；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（3）投标文件的资格证明文件未按照招标文件要求签署、盖章的；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（4）未按照招标文件的规定提交投标保证金的。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（5）投标报价超过招标文件中规定的预算金额或者最高限价的；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（6）法律、法规和招标文件规定的其他投标无效情形的。</w:t>
      </w:r>
    </w:p>
    <w:p>
      <w:pPr>
        <w:adjustRightInd w:val="0"/>
        <w:snapToGrid w:val="0"/>
        <w:spacing w:before="156" w:beforeLines="50" w:line="360" w:lineRule="auto"/>
        <w:ind w:firstLine="420" w:firstLineChars="200"/>
        <w:jc w:val="left"/>
        <w:rPr>
          <w:rFonts w:ascii="宋体" w:hAnsi="宋体" w:eastAsia="宋体"/>
          <w:b/>
          <w:color w:val="auto"/>
          <w:sz w:val="32"/>
          <w:szCs w:val="32"/>
        </w:rPr>
      </w:pPr>
      <w:r>
        <w:rPr>
          <w:rFonts w:hint="eastAsia" w:ascii="宋体" w:hAnsi="宋体" w:eastAsia="宋体"/>
          <w:color w:val="auto"/>
        </w:rPr>
        <w:t>2.4信用记录。开标结束后</w:t>
      </w:r>
      <w:r>
        <w:rPr>
          <w:rFonts w:hint="eastAsia" w:ascii="宋体" w:hAnsi="宋体" w:eastAsia="宋体"/>
          <w:color w:val="auto"/>
          <w:szCs w:val="21"/>
        </w:rPr>
        <w:t>资格审查时，采购人、采购代理机构将对投标人信用记录进行甄别。</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（1）信用信息查询的查询渠道：信用中国网（www.creditchina.gov.cn）、中国政府采购网（www.ccgp.gov.cn）；</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不良信用记录是指：投标人在“信用中国”网站被列入失信被执行人和重大税收违法失信主体名单，或在“中国政府采购网”网站被列入政府采购严重违法失信行为记录名单。投标人有上述不良信用记录的，其投标无效，其中，列入政府采购严重违法失信行为记录名单的，按处罚结果执行。</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（3）联合体形式投标的，联合体成员存在不良信用记录的，视同联合体存在不良信用记录。</w:t>
      </w:r>
    </w:p>
    <w:p>
      <w:pPr>
        <w:adjustRightInd w:val="0"/>
        <w:snapToGrid w:val="0"/>
        <w:spacing w:before="156" w:beforeLines="50" w:afterAutospacing="0" w:line="360" w:lineRule="auto"/>
        <w:ind w:firstLine="420" w:firstLineChars="200"/>
        <w:jc w:val="left"/>
        <w:rPr>
          <w:rFonts w:ascii="宋体" w:hAnsi="宋体" w:eastAsia="宋体"/>
          <w:color w:val="auto"/>
          <w:szCs w:val="21"/>
        </w:rPr>
      </w:pPr>
      <w:r>
        <w:rPr>
          <w:rFonts w:hint="eastAsia" w:ascii="宋体" w:hAnsi="宋体" w:eastAsia="宋体"/>
          <w:color w:val="auto"/>
          <w:szCs w:val="21"/>
        </w:rPr>
        <w:t>（4）信用信息查询记录和证据留存具体方式：</w:t>
      </w:r>
      <w:r>
        <w:rPr>
          <w:rFonts w:hint="eastAsia" w:ascii="宋体" w:hAnsi="宋体"/>
          <w:color w:val="auto"/>
          <w:szCs w:val="21"/>
        </w:rPr>
        <w:t>采购人、采购代理机构</w:t>
      </w:r>
      <w:r>
        <w:rPr>
          <w:rFonts w:ascii="宋体" w:hAnsi="宋体"/>
          <w:color w:val="auto"/>
          <w:szCs w:val="21"/>
        </w:rPr>
        <w:t>经办人将查询网页</w:t>
      </w:r>
      <w:r>
        <w:rPr>
          <w:rFonts w:hint="eastAsia" w:ascii="宋体" w:hAnsi="宋体"/>
          <w:color w:val="auto"/>
          <w:szCs w:val="21"/>
        </w:rPr>
        <w:t>截图、</w:t>
      </w:r>
      <w:r>
        <w:rPr>
          <w:rFonts w:ascii="宋体" w:hAnsi="宋体"/>
          <w:color w:val="auto"/>
          <w:szCs w:val="21"/>
        </w:rPr>
        <w:t>打印、签字</w:t>
      </w:r>
      <w:r>
        <w:rPr>
          <w:rFonts w:hint="eastAsia" w:ascii="宋体" w:hAnsi="宋体"/>
          <w:color w:val="auto"/>
          <w:szCs w:val="21"/>
        </w:rPr>
        <w:t>，作为查询记录和证据，与其他采购文件一并保存。</w:t>
      </w:r>
      <w:r>
        <w:rPr>
          <w:rFonts w:ascii="宋体" w:hAnsi="宋体"/>
          <w:color w:val="auto"/>
          <w:szCs w:val="21"/>
        </w:rPr>
        <w:t>投标人不良信用记录以</w:t>
      </w:r>
      <w:r>
        <w:rPr>
          <w:rFonts w:hint="eastAsia" w:ascii="宋体" w:hAnsi="宋体"/>
          <w:color w:val="auto"/>
          <w:szCs w:val="21"/>
        </w:rPr>
        <w:t>采购人、采购代理机构</w:t>
      </w:r>
      <w:r>
        <w:rPr>
          <w:rFonts w:ascii="宋体" w:hAnsi="宋体"/>
          <w:color w:val="auto"/>
          <w:szCs w:val="21"/>
        </w:rPr>
        <w:t>查询结果为准</w:t>
      </w:r>
      <w:r>
        <w:rPr>
          <w:rFonts w:hint="eastAsia" w:ascii="宋体" w:hAnsi="宋体"/>
          <w:color w:val="auto"/>
          <w:szCs w:val="21"/>
        </w:rPr>
        <w:t>。</w:t>
      </w:r>
    </w:p>
    <w:p>
      <w:pPr>
        <w:pStyle w:val="4"/>
        <w:spacing w:before="156" w:beforeAutospacing="0" w:after="156" w:afterAutospacing="0"/>
        <w:rPr>
          <w:rFonts w:ascii="黑体" w:hAnsi="黑体" w:eastAsia="黑体"/>
          <w:color w:val="auto"/>
          <w:sz w:val="24"/>
          <w:szCs w:val="24"/>
        </w:rPr>
      </w:pPr>
      <w:bookmarkStart w:id="28" w:name="_Toc62206176"/>
      <w:bookmarkStart w:id="29" w:name="_Toc82155400"/>
      <w:bookmarkStart w:id="30" w:name="_Toc3925"/>
      <w:r>
        <w:rPr>
          <w:rFonts w:hint="eastAsia" w:ascii="黑体" w:hAnsi="黑体" w:eastAsia="黑体"/>
          <w:color w:val="auto"/>
          <w:sz w:val="24"/>
          <w:szCs w:val="24"/>
        </w:rPr>
        <w:t>2．资格审查（已进行资格预审的）</w:t>
      </w:r>
      <w:bookmarkEnd w:id="28"/>
      <w:bookmarkEnd w:id="29"/>
      <w:bookmarkEnd w:id="30"/>
    </w:p>
    <w:p>
      <w:pPr>
        <w:adjustRightInd w:val="0"/>
        <w:snapToGrid w:val="0"/>
        <w:spacing w:beforeAutospacing="0" w:line="360" w:lineRule="auto"/>
        <w:ind w:firstLine="420" w:firstLineChars="200"/>
        <w:rPr>
          <w:rFonts w:ascii="宋体" w:hAnsi="宋体" w:eastAsia="宋体" w:cs="宋体"/>
          <w:color w:val="auto"/>
          <w:kern w:val="0"/>
          <w:lang w:val="zh-CN"/>
        </w:rPr>
      </w:pPr>
      <w:r>
        <w:rPr>
          <w:rFonts w:hint="eastAsia" w:ascii="宋体" w:hAnsi="宋体" w:eastAsia="宋体"/>
          <w:color w:val="auto"/>
        </w:rPr>
        <w:t>2.1供应商若有第二章第</w:t>
      </w:r>
      <w:r>
        <w:rPr>
          <w:rFonts w:ascii="宋体" w:hAnsi="宋体" w:eastAsia="宋体"/>
          <w:color w:val="auto"/>
        </w:rPr>
        <w:t>1</w:t>
      </w:r>
      <w:r>
        <w:rPr>
          <w:rFonts w:hint="eastAsia" w:ascii="宋体" w:hAnsi="宋体" w:eastAsia="宋体"/>
          <w:color w:val="auto"/>
        </w:rPr>
        <w:t>4</w:t>
      </w:r>
      <w:r>
        <w:rPr>
          <w:rFonts w:ascii="宋体" w:hAnsi="宋体" w:eastAsia="宋体"/>
          <w:color w:val="auto"/>
        </w:rPr>
        <w:t>.1</w:t>
      </w:r>
      <w:r>
        <w:rPr>
          <w:rFonts w:hint="eastAsia" w:ascii="宋体" w:hAnsi="宋体" w:eastAsia="宋体"/>
          <w:color w:val="auto"/>
        </w:rPr>
        <w:t>款规定情形，采购人、采购代理机构按该款规定进行审查。</w:t>
      </w:r>
      <w:r>
        <w:rPr>
          <w:rFonts w:hint="eastAsia" w:ascii="宋体" w:hAnsi="宋体"/>
          <w:color w:val="auto"/>
          <w:szCs w:val="21"/>
        </w:rPr>
        <w:t>除本</w:t>
      </w:r>
      <w:r>
        <w:rPr>
          <w:rFonts w:hint="eastAsia" w:ascii="宋体" w:hAnsi="宋体" w:cs="宋体"/>
          <w:color w:val="auto"/>
          <w:kern w:val="0"/>
          <w:szCs w:val="21"/>
          <w:lang w:val="zh-CN"/>
        </w:rPr>
        <w:t>款规定的</w:t>
      </w:r>
      <w:r>
        <w:rPr>
          <w:rFonts w:hint="eastAsia" w:ascii="宋体" w:hAnsi="宋体"/>
          <w:color w:val="auto"/>
        </w:rPr>
        <w:t>情形外，采购人、采购代理机构</w:t>
      </w:r>
      <w:r>
        <w:rPr>
          <w:rFonts w:hint="eastAsia" w:hAnsi="宋体"/>
          <w:color w:val="auto"/>
        </w:rPr>
        <w:t>不再对供应商进行资格审查。</w:t>
      </w:r>
    </w:p>
    <w:p>
      <w:pPr>
        <w:pStyle w:val="4"/>
        <w:adjustRightInd w:val="0"/>
        <w:snapToGrid w:val="0"/>
        <w:spacing w:before="156" w:beforeLines="50" w:after="0" w:line="360" w:lineRule="auto"/>
        <w:rPr>
          <w:rFonts w:ascii="黑体" w:hAnsi="黑体" w:eastAsia="黑体"/>
          <w:color w:val="auto"/>
          <w:sz w:val="24"/>
          <w:szCs w:val="24"/>
        </w:rPr>
      </w:pPr>
      <w:bookmarkStart w:id="31" w:name="_Toc7157"/>
      <w:r>
        <w:rPr>
          <w:rFonts w:hint="eastAsia" w:ascii="黑体" w:hAnsi="黑体" w:eastAsia="黑体"/>
          <w:color w:val="auto"/>
          <w:sz w:val="24"/>
          <w:szCs w:val="24"/>
        </w:rPr>
        <w:t>3．资格审查结果</w:t>
      </w:r>
      <w:bookmarkEnd w:id="31"/>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3.1未通过资格审查的投标人，采购人、采购代理机构应当告知其未通过的原因。</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3.2资格审查结束后，采购人、采购代理机构应将资格审查结果告知评标委员会。</w:t>
      </w:r>
    </w:p>
    <w:p>
      <w:pPr>
        <w:adjustRightInd w:val="0"/>
        <w:snapToGrid w:val="0"/>
        <w:spacing w:before="156" w:beforeLines="50" w:line="360" w:lineRule="auto"/>
        <w:jc w:val="left"/>
        <w:rPr>
          <w:rFonts w:ascii="华文中宋" w:hAnsi="华文中宋" w:eastAsia="华文中宋"/>
          <w:b/>
          <w:bCs/>
          <w:color w:val="auto"/>
          <w:sz w:val="10"/>
          <w:szCs w:val="10"/>
        </w:rPr>
      </w:pPr>
      <w:r>
        <w:rPr>
          <w:rFonts w:ascii="华文中宋" w:hAnsi="华文中宋" w:eastAsia="华文中宋"/>
          <w:color w:val="auto"/>
        </w:rPr>
        <w:br w:type="page"/>
      </w:r>
    </w:p>
    <w:p>
      <w:pPr>
        <w:pStyle w:val="5"/>
        <w:adjustRightInd w:val="0"/>
        <w:snapToGrid w:val="0"/>
        <w:spacing w:before="0" w:after="0" w:line="360" w:lineRule="auto"/>
        <w:rPr>
          <w:rFonts w:hint="eastAsia" w:ascii="黑体" w:hAnsi="黑体" w:eastAsia="黑体" w:cs="黑体"/>
          <w:b w:val="0"/>
          <w:bCs w:val="0"/>
          <w:color w:val="auto"/>
          <w:sz w:val="21"/>
          <w:szCs w:val="21"/>
        </w:rPr>
      </w:pPr>
      <w:bookmarkStart w:id="32" w:name="_Toc14281"/>
      <w:r>
        <w:rPr>
          <w:rFonts w:hint="eastAsia" w:ascii="黑体" w:hAnsi="黑体" w:eastAsia="黑体" w:cs="黑体"/>
          <w:b w:val="0"/>
          <w:bCs w:val="0"/>
          <w:color w:val="auto"/>
          <w:sz w:val="21"/>
          <w:szCs w:val="21"/>
        </w:rPr>
        <w:t>附表1资格审查表</w:t>
      </w:r>
      <w:bookmarkEnd w:id="32"/>
    </w:p>
    <w:p>
      <w:pPr>
        <w:adjustRightInd w:val="0"/>
        <w:snapToGrid w:val="0"/>
        <w:spacing w:line="360" w:lineRule="auto"/>
        <w:jc w:val="center"/>
        <w:rPr>
          <w:rFonts w:ascii="黑体" w:hAnsi="黑体" w:eastAsia="黑体"/>
          <w:b/>
          <w:color w:val="auto"/>
          <w:sz w:val="28"/>
          <w:szCs w:val="28"/>
        </w:rPr>
      </w:pPr>
      <w:r>
        <w:rPr>
          <w:rFonts w:ascii="黑体" w:hAnsi="黑体" w:eastAsia="黑体"/>
          <w:b/>
          <w:color w:val="auto"/>
          <w:sz w:val="28"/>
          <w:szCs w:val="28"/>
        </w:rPr>
        <w:t>资格审查表</w:t>
      </w:r>
    </w:p>
    <w:p>
      <w:pPr>
        <w:adjustRightInd w:val="0"/>
        <w:snapToGrid w:val="0"/>
        <w:spacing w:line="360" w:lineRule="auto"/>
        <w:rPr>
          <w:rFonts w:ascii="黑体" w:hAnsi="黑体" w:eastAsia="黑体"/>
          <w:color w:val="auto"/>
          <w:sz w:val="28"/>
          <w:szCs w:val="28"/>
        </w:rPr>
      </w:pPr>
      <w:r>
        <w:rPr>
          <w:rFonts w:hint="eastAsia" w:ascii="宋体" w:hAnsi="宋体" w:eastAsia="宋体"/>
          <w:color w:val="auto"/>
          <w:szCs w:val="21"/>
        </w:rPr>
        <w:t>项目名称：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政府采购计划编号：</w:t>
      </w:r>
      <w:r>
        <w:rPr>
          <w:rFonts w:hint="eastAsia" w:ascii="宋体" w:hAnsi="宋体" w:eastAsia="宋体"/>
          <w:color w:val="auto"/>
          <w:szCs w:val="21"/>
          <w:u w:val="single"/>
        </w:rPr>
        <w:t xml:space="preserve">       </w:t>
      </w:r>
    </w:p>
    <w:tbl>
      <w:tblPr>
        <w:tblStyle w:val="2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380"/>
        <w:gridCol w:w="299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noWrap w:val="0"/>
            <w:vAlign w:val="center"/>
          </w:tcPr>
          <w:p>
            <w:pPr>
              <w:adjustRightInd w:val="0"/>
              <w:snapToGrid w:val="0"/>
              <w:spacing w:before="156" w:beforeLines="50" w:line="360"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序号</w:t>
            </w:r>
          </w:p>
        </w:tc>
        <w:tc>
          <w:tcPr>
            <w:tcW w:w="5380" w:type="dxa"/>
            <w:noWrap w:val="0"/>
            <w:vAlign w:val="center"/>
          </w:tcPr>
          <w:p>
            <w:pPr>
              <w:adjustRightInd w:val="0"/>
              <w:snapToGrid w:val="0"/>
              <w:spacing w:before="156" w:beforeLines="50" w:line="360"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审查项目</w:t>
            </w:r>
          </w:p>
        </w:tc>
        <w:tc>
          <w:tcPr>
            <w:tcW w:w="2997" w:type="dxa"/>
            <w:noWrap w:val="0"/>
            <w:vAlign w:val="center"/>
          </w:tcPr>
          <w:p>
            <w:pPr>
              <w:adjustRightInd w:val="0"/>
              <w:snapToGrid w:val="0"/>
              <w:spacing w:before="156" w:beforeLines="50" w:line="360"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1</w:t>
            </w:r>
          </w:p>
        </w:tc>
        <w:tc>
          <w:tcPr>
            <w:tcW w:w="5380"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法人或者其他组织的营业执照等主体资格证明文件，自然人的身份证明</w:t>
            </w:r>
          </w:p>
        </w:tc>
        <w:tc>
          <w:tcPr>
            <w:tcW w:w="2997"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是否满足招标文件要求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2</w:t>
            </w:r>
          </w:p>
        </w:tc>
        <w:tc>
          <w:tcPr>
            <w:tcW w:w="5380" w:type="dxa"/>
            <w:noWrap w:val="0"/>
            <w:vAlign w:val="center"/>
          </w:tcPr>
          <w:p>
            <w:pPr>
              <w:adjustRightInd w:val="0"/>
              <w:snapToGrid w:val="0"/>
              <w:spacing w:before="62" w:beforeLines="20" w:after="62" w:afterLines="20" w:line="360" w:lineRule="auto"/>
              <w:rPr>
                <w:rFonts w:ascii="宋体" w:hAnsi="宋体" w:eastAsia="宋体" w:cs="宋体"/>
                <w:color w:val="auto"/>
                <w:kern w:val="0"/>
                <w:szCs w:val="21"/>
              </w:rPr>
            </w:pPr>
            <w:r>
              <w:rPr>
                <w:rFonts w:hint="eastAsia" w:ascii="宋体" w:hAnsi="宋体" w:cs="仿宋_GB2312"/>
                <w:szCs w:val="21"/>
              </w:rPr>
              <w:t>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p>
        </w:tc>
        <w:tc>
          <w:tcPr>
            <w:tcW w:w="2997"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ascii="宋体" w:hAnsi="宋体" w:cs="宋体"/>
              </w:rPr>
              <w:t>提交《湖南省政府采购</w:t>
            </w:r>
            <w:r>
              <w:rPr>
                <w:rFonts w:hint="eastAsia" w:ascii="宋体" w:hAnsi="宋体" w:cs="宋体"/>
              </w:rPr>
              <w:t>投标人</w:t>
            </w:r>
            <w:r>
              <w:rPr>
                <w:rFonts w:ascii="宋体" w:hAnsi="宋体" w:cs="宋体"/>
              </w:rPr>
              <w:t>资格承诺函》</w:t>
            </w:r>
            <w:r>
              <w:rPr>
                <w:rFonts w:hint="eastAsia" w:ascii="宋体" w:hAnsi="宋体" w:cs="宋体"/>
                <w:b/>
                <w:bCs/>
              </w:rPr>
              <w:t>或</w:t>
            </w:r>
            <w:r>
              <w:rPr>
                <w:rFonts w:hint="eastAsia" w:ascii="宋体" w:hAnsi="宋体"/>
              </w:rPr>
              <w:t>财务报告、依法缴纳税收和社会保险费的证明材料、参加政府采购活动前3年内在经营活动中没有重大违法记录的书面声明。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3</w:t>
            </w:r>
          </w:p>
        </w:tc>
        <w:tc>
          <w:tcPr>
            <w:tcW w:w="5380"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符合特定资格条件证明材料复印件或者情况说明</w:t>
            </w:r>
          </w:p>
        </w:tc>
        <w:tc>
          <w:tcPr>
            <w:tcW w:w="2997"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4</w:t>
            </w:r>
          </w:p>
        </w:tc>
        <w:tc>
          <w:tcPr>
            <w:tcW w:w="5380"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 xml:space="preserve">联合体协议书（联合体形式投标的） </w:t>
            </w:r>
          </w:p>
        </w:tc>
        <w:tc>
          <w:tcPr>
            <w:tcW w:w="2997"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本项目不适用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5</w:t>
            </w:r>
          </w:p>
        </w:tc>
        <w:tc>
          <w:tcPr>
            <w:tcW w:w="5380"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不良信用记录查询</w:t>
            </w:r>
          </w:p>
        </w:tc>
        <w:tc>
          <w:tcPr>
            <w:tcW w:w="2997"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信用查询是否合格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6</w:t>
            </w:r>
          </w:p>
        </w:tc>
        <w:tc>
          <w:tcPr>
            <w:tcW w:w="5380"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投标报价</w:t>
            </w:r>
          </w:p>
        </w:tc>
        <w:tc>
          <w:tcPr>
            <w:tcW w:w="2997"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是否满足招标文件要求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7</w:t>
            </w:r>
          </w:p>
        </w:tc>
        <w:tc>
          <w:tcPr>
            <w:tcW w:w="5380"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szCs w:val="21"/>
              </w:rPr>
              <w:t>法人提交法定代表人身份证明或者法定代表人授权委托书并附法定代表人身份证明</w:t>
            </w:r>
          </w:p>
        </w:tc>
        <w:tc>
          <w:tcPr>
            <w:tcW w:w="2997"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是否满足招标文件要求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olor w:val="auto"/>
                <w:kern w:val="0"/>
                <w:szCs w:val="21"/>
              </w:rPr>
            </w:pPr>
            <w:r>
              <w:rPr>
                <w:rFonts w:hint="eastAsia" w:ascii="宋体" w:hAnsi="宋体" w:eastAsia="宋体"/>
                <w:color w:val="auto"/>
                <w:kern w:val="0"/>
                <w:szCs w:val="21"/>
              </w:rPr>
              <w:t>8</w:t>
            </w:r>
          </w:p>
        </w:tc>
        <w:tc>
          <w:tcPr>
            <w:tcW w:w="5380" w:type="dxa"/>
            <w:noWrap w:val="0"/>
            <w:vAlign w:val="center"/>
          </w:tcPr>
          <w:p>
            <w:pPr>
              <w:adjustRightInd w:val="0"/>
              <w:snapToGrid w:val="0"/>
              <w:spacing w:before="156" w:beforeLines="50" w:line="360" w:lineRule="auto"/>
              <w:rPr>
                <w:rFonts w:ascii="宋体" w:hAnsi="宋体" w:eastAsia="宋体"/>
                <w:color w:val="auto"/>
                <w:kern w:val="0"/>
                <w:szCs w:val="21"/>
              </w:rPr>
            </w:pPr>
            <w:r>
              <w:rPr>
                <w:rFonts w:hint="eastAsia" w:ascii="宋体" w:hAnsi="宋体" w:cs="宋体"/>
                <w:szCs w:val="21"/>
              </w:rPr>
              <w:t>投标保证金</w:t>
            </w:r>
          </w:p>
        </w:tc>
        <w:tc>
          <w:tcPr>
            <w:tcW w:w="2997" w:type="dxa"/>
            <w:noWrap w:val="0"/>
            <w:vAlign w:val="center"/>
          </w:tcPr>
          <w:p>
            <w:pPr>
              <w:adjustRightInd w:val="0"/>
              <w:snapToGrid w:val="0"/>
              <w:spacing w:before="156" w:beforeLines="50" w:line="360" w:lineRule="auto"/>
              <w:rPr>
                <w:rFonts w:ascii="宋体" w:hAnsi="宋体" w:eastAsia="宋体" w:cs="宋体"/>
                <w:color w:val="auto"/>
                <w:kern w:val="0"/>
                <w:szCs w:val="21"/>
              </w:rPr>
            </w:pPr>
            <w:r>
              <w:rPr>
                <w:rFonts w:hint="eastAsia" w:ascii="宋体" w:hAnsi="宋体" w:cs="宋体"/>
                <w:kern w:val="0"/>
                <w:szCs w:val="21"/>
              </w:rPr>
              <w:t>是否满足招标文件要求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olor w:val="auto"/>
                <w:kern w:val="0"/>
                <w:szCs w:val="21"/>
              </w:rPr>
            </w:pPr>
            <w:r>
              <w:rPr>
                <w:rFonts w:hint="eastAsia" w:ascii="宋体" w:hAnsi="宋体" w:eastAsia="宋体"/>
                <w:color w:val="auto"/>
                <w:kern w:val="0"/>
                <w:szCs w:val="21"/>
              </w:rPr>
              <w:t>9</w:t>
            </w:r>
          </w:p>
        </w:tc>
        <w:tc>
          <w:tcPr>
            <w:tcW w:w="5380" w:type="dxa"/>
            <w:noWrap w:val="0"/>
            <w:vAlign w:val="top"/>
          </w:tcPr>
          <w:p>
            <w:pPr>
              <w:adjustRightInd w:val="0"/>
              <w:snapToGrid w:val="0"/>
              <w:spacing w:before="156" w:beforeLines="50" w:line="360" w:lineRule="auto"/>
              <w:jc w:val="left"/>
              <w:rPr>
                <w:rFonts w:ascii="宋体" w:hAnsi="宋体" w:eastAsia="宋体"/>
                <w:color w:val="auto"/>
                <w:kern w:val="0"/>
                <w:szCs w:val="21"/>
              </w:rPr>
            </w:pPr>
          </w:p>
        </w:tc>
        <w:tc>
          <w:tcPr>
            <w:tcW w:w="2997"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olor w:val="auto"/>
                <w:kern w:val="0"/>
                <w:szCs w:val="21"/>
              </w:rPr>
            </w:pPr>
            <w:r>
              <w:rPr>
                <w:rFonts w:hint="eastAsia" w:ascii="宋体" w:hAnsi="宋体" w:eastAsia="宋体"/>
                <w:color w:val="auto"/>
                <w:kern w:val="0"/>
                <w:szCs w:val="21"/>
              </w:rPr>
              <w:t>10</w:t>
            </w:r>
          </w:p>
        </w:tc>
        <w:tc>
          <w:tcPr>
            <w:tcW w:w="5380" w:type="dxa"/>
            <w:noWrap w:val="0"/>
            <w:vAlign w:val="center"/>
          </w:tcPr>
          <w:p>
            <w:pPr>
              <w:adjustRightInd w:val="0"/>
              <w:snapToGrid w:val="0"/>
              <w:spacing w:before="156" w:beforeLines="50" w:line="360" w:lineRule="auto"/>
              <w:rPr>
                <w:rFonts w:ascii="宋体" w:hAnsi="宋体" w:eastAsia="宋体"/>
                <w:color w:val="auto"/>
                <w:kern w:val="0"/>
                <w:szCs w:val="21"/>
              </w:rPr>
            </w:pPr>
          </w:p>
        </w:tc>
        <w:tc>
          <w:tcPr>
            <w:tcW w:w="2997"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11</w:t>
            </w:r>
          </w:p>
        </w:tc>
        <w:tc>
          <w:tcPr>
            <w:tcW w:w="5380" w:type="dxa"/>
            <w:noWrap w:val="0"/>
            <w:vAlign w:val="top"/>
          </w:tcPr>
          <w:p>
            <w:pPr>
              <w:adjustRightInd w:val="0"/>
              <w:snapToGrid w:val="0"/>
              <w:spacing w:before="156" w:beforeLines="50" w:line="360" w:lineRule="auto"/>
              <w:jc w:val="left"/>
              <w:rPr>
                <w:rFonts w:ascii="宋体" w:hAnsi="宋体" w:eastAsia="宋体"/>
                <w:color w:val="auto"/>
                <w:kern w:val="0"/>
                <w:szCs w:val="21"/>
              </w:rPr>
            </w:pPr>
          </w:p>
        </w:tc>
        <w:tc>
          <w:tcPr>
            <w:tcW w:w="2997"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 w:val="20"/>
                <w:szCs w:val="21"/>
              </w:rPr>
            </w:pPr>
            <w:r>
              <w:rPr>
                <w:rFonts w:hint="eastAsia" w:ascii="宋体" w:hAnsi="宋体" w:eastAsia="宋体"/>
                <w:color w:val="auto"/>
                <w:kern w:val="0"/>
                <w:sz w:val="20"/>
                <w:szCs w:val="21"/>
              </w:rPr>
              <w:t>结论</w:t>
            </w:r>
          </w:p>
        </w:tc>
        <w:tc>
          <w:tcPr>
            <w:tcW w:w="8377" w:type="dxa"/>
            <w:gridSpan w:val="2"/>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bl>
    <w:p>
      <w:pPr>
        <w:rPr>
          <w:color w:val="auto"/>
        </w:rPr>
      </w:pPr>
    </w:p>
    <w:p>
      <w:pPr>
        <w:widowControl/>
        <w:jc w:val="left"/>
        <w:rPr>
          <w:rFonts w:ascii="黑体" w:hAnsi="黑体" w:eastAsia="黑体"/>
          <w:bCs/>
          <w:color w:val="auto"/>
          <w:szCs w:val="21"/>
        </w:rPr>
      </w:pPr>
      <w:r>
        <w:rPr>
          <w:rFonts w:ascii="黑体" w:hAnsi="黑体"/>
          <w:b/>
          <w:color w:val="auto"/>
          <w:szCs w:val="21"/>
        </w:rPr>
        <w:br w:type="page"/>
      </w:r>
    </w:p>
    <w:p>
      <w:pPr>
        <w:pStyle w:val="5"/>
        <w:adjustRightInd w:val="0"/>
        <w:snapToGrid w:val="0"/>
        <w:spacing w:before="0" w:after="0" w:line="360" w:lineRule="auto"/>
        <w:rPr>
          <w:rFonts w:ascii="黑体" w:hAnsi="黑体"/>
          <w:b w:val="0"/>
          <w:color w:val="auto"/>
          <w:sz w:val="21"/>
          <w:szCs w:val="21"/>
        </w:rPr>
      </w:pPr>
      <w:bookmarkStart w:id="33" w:name="_Toc24421"/>
      <w:r>
        <w:rPr>
          <w:rFonts w:hint="eastAsia" w:ascii="黑体" w:hAnsi="黑体"/>
          <w:b w:val="0"/>
          <w:color w:val="auto"/>
          <w:sz w:val="21"/>
          <w:szCs w:val="21"/>
        </w:rPr>
        <w:t>附表2 资格审查结果一览表</w:t>
      </w:r>
      <w:bookmarkEnd w:id="33"/>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资格审查结果一览表</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项目名称：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政府采购计划编号：</w:t>
      </w:r>
      <w:r>
        <w:rPr>
          <w:rFonts w:hint="eastAsia" w:ascii="宋体" w:hAnsi="宋体" w:eastAsia="宋体"/>
          <w:color w:val="auto"/>
          <w:szCs w:val="21"/>
          <w:u w:val="single"/>
        </w:rPr>
        <w:t xml:space="preserve">         </w:t>
      </w:r>
    </w:p>
    <w:tbl>
      <w:tblPr>
        <w:tblStyle w:val="2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pPr>
              <w:jc w:val="center"/>
              <w:rPr>
                <w:rFonts w:ascii="宋体" w:hAnsi="宋体" w:eastAsia="宋体"/>
                <w:b/>
                <w:color w:val="auto"/>
                <w:kern w:val="0"/>
                <w:szCs w:val="21"/>
              </w:rPr>
            </w:pPr>
            <w:r>
              <w:rPr>
                <w:rFonts w:hint="eastAsia" w:ascii="宋体" w:hAnsi="宋体" w:eastAsia="宋体"/>
                <w:b/>
                <w:color w:val="auto"/>
                <w:kern w:val="0"/>
                <w:szCs w:val="21"/>
              </w:rPr>
              <w:t>序号</w:t>
            </w:r>
          </w:p>
        </w:tc>
        <w:tc>
          <w:tcPr>
            <w:tcW w:w="2963" w:type="dxa"/>
            <w:noWrap w:val="0"/>
            <w:vAlign w:val="center"/>
          </w:tcPr>
          <w:p>
            <w:pPr>
              <w:jc w:val="center"/>
              <w:rPr>
                <w:rFonts w:ascii="宋体" w:hAnsi="宋体" w:eastAsia="宋体"/>
                <w:b/>
                <w:color w:val="auto"/>
                <w:kern w:val="0"/>
                <w:szCs w:val="21"/>
              </w:rPr>
            </w:pPr>
            <w:r>
              <w:rPr>
                <w:rFonts w:hint="eastAsia" w:ascii="宋体" w:hAnsi="宋体" w:eastAsia="宋体"/>
                <w:b/>
                <w:color w:val="auto"/>
                <w:kern w:val="0"/>
                <w:szCs w:val="21"/>
              </w:rPr>
              <w:t>投标人名称</w:t>
            </w:r>
          </w:p>
        </w:tc>
        <w:tc>
          <w:tcPr>
            <w:tcW w:w="2439" w:type="dxa"/>
            <w:noWrap w:val="0"/>
            <w:vAlign w:val="center"/>
          </w:tcPr>
          <w:p>
            <w:pPr>
              <w:jc w:val="center"/>
              <w:rPr>
                <w:rFonts w:ascii="宋体" w:hAnsi="宋体" w:eastAsia="宋体"/>
                <w:b/>
                <w:color w:val="auto"/>
                <w:kern w:val="0"/>
                <w:szCs w:val="21"/>
              </w:rPr>
            </w:pPr>
            <w:r>
              <w:rPr>
                <w:rFonts w:hint="eastAsia" w:ascii="宋体" w:hAnsi="宋体" w:eastAsia="宋体"/>
                <w:b/>
                <w:color w:val="auto"/>
                <w:kern w:val="0"/>
                <w:szCs w:val="21"/>
              </w:rPr>
              <w:t>资格审查结果</w:t>
            </w:r>
          </w:p>
          <w:p>
            <w:pPr>
              <w:jc w:val="center"/>
              <w:rPr>
                <w:rFonts w:ascii="宋体" w:hAnsi="宋体" w:eastAsia="宋体"/>
                <w:b/>
                <w:color w:val="auto"/>
                <w:kern w:val="0"/>
                <w:szCs w:val="21"/>
              </w:rPr>
            </w:pPr>
            <w:r>
              <w:rPr>
                <w:rFonts w:hint="eastAsia" w:ascii="宋体" w:hAnsi="宋体" w:eastAsia="宋体"/>
                <w:b/>
                <w:color w:val="auto"/>
                <w:kern w:val="0"/>
                <w:szCs w:val="21"/>
              </w:rPr>
              <w:t>（合格/不合格）</w:t>
            </w:r>
          </w:p>
        </w:tc>
        <w:tc>
          <w:tcPr>
            <w:tcW w:w="2961" w:type="dxa"/>
            <w:noWrap w:val="0"/>
            <w:vAlign w:val="center"/>
          </w:tcPr>
          <w:p>
            <w:pPr>
              <w:jc w:val="center"/>
              <w:rPr>
                <w:rFonts w:ascii="宋体" w:hAnsi="宋体" w:eastAsia="宋体"/>
                <w:b/>
                <w:color w:val="auto"/>
                <w:kern w:val="0"/>
                <w:szCs w:val="21"/>
              </w:rPr>
            </w:pPr>
            <w:r>
              <w:rPr>
                <w:rFonts w:hint="eastAsia" w:ascii="宋体" w:hAnsi="宋体" w:eastAsia="宋体"/>
                <w:b/>
                <w:color w:val="auto"/>
                <w:kern w:val="0"/>
                <w:szCs w:val="21"/>
              </w:rPr>
              <w:t>资格审查不合格原因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bl>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采购人（签字）：</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采购代理机构（签字）：</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p>
    <w:p>
      <w:pPr>
        <w:widowControl/>
        <w:jc w:val="left"/>
        <w:rPr>
          <w:rFonts w:ascii="宋体" w:hAnsi="宋体" w:eastAsia="宋体"/>
          <w:color w:val="auto"/>
          <w:sz w:val="24"/>
        </w:rPr>
      </w:pPr>
      <w:r>
        <w:rPr>
          <w:rFonts w:ascii="宋体" w:hAnsi="宋体" w:eastAsia="宋体"/>
          <w:color w:val="auto"/>
          <w:sz w:val="24"/>
        </w:rPr>
        <w:br w:type="page"/>
      </w:r>
    </w:p>
    <w:p>
      <w:pPr>
        <w:pStyle w:val="5"/>
        <w:adjustRightInd w:val="0"/>
        <w:snapToGrid w:val="0"/>
        <w:spacing w:before="0" w:after="0" w:line="360" w:lineRule="auto"/>
        <w:rPr>
          <w:rFonts w:ascii="黑体" w:hAnsi="黑体"/>
          <w:b w:val="0"/>
          <w:color w:val="auto"/>
          <w:sz w:val="21"/>
          <w:szCs w:val="21"/>
        </w:rPr>
      </w:pPr>
      <w:bookmarkStart w:id="34" w:name="_Toc30390"/>
      <w:r>
        <w:rPr>
          <w:rFonts w:hint="eastAsia" w:ascii="黑体" w:hAnsi="黑体"/>
          <w:b w:val="0"/>
          <w:color w:val="auto"/>
          <w:sz w:val="21"/>
          <w:szCs w:val="21"/>
        </w:rPr>
        <w:t>附表3 资格审查合格投标人名单</w:t>
      </w:r>
      <w:bookmarkEnd w:id="34"/>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资格审查合格投标人名单</w:t>
      </w:r>
    </w:p>
    <w:p>
      <w:pPr>
        <w:adjustRightInd w:val="0"/>
        <w:snapToGrid w:val="0"/>
        <w:spacing w:line="360" w:lineRule="auto"/>
        <w:rPr>
          <w:rFonts w:ascii="华文中宋" w:hAnsi="华文中宋" w:eastAsia="华文中宋"/>
          <w:color w:val="auto"/>
          <w:sz w:val="32"/>
          <w:szCs w:val="32"/>
        </w:rPr>
      </w:pPr>
      <w:r>
        <w:rPr>
          <w:rFonts w:hint="eastAsia" w:ascii="宋体" w:hAnsi="宋体" w:eastAsia="宋体"/>
          <w:color w:val="auto"/>
          <w:szCs w:val="21"/>
        </w:rPr>
        <w:t>项目名称：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政府采购计划编号：</w:t>
      </w:r>
      <w:r>
        <w:rPr>
          <w:rFonts w:hint="eastAsia" w:ascii="宋体" w:hAnsi="宋体" w:eastAsia="宋体"/>
          <w:color w:val="auto"/>
          <w:szCs w:val="21"/>
          <w:u w:val="single"/>
        </w:rPr>
        <w:t xml:space="preserve">           </w:t>
      </w:r>
    </w:p>
    <w:tbl>
      <w:tblPr>
        <w:tblStyle w:val="2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center"/>
          </w:tcPr>
          <w:p>
            <w:pPr>
              <w:jc w:val="center"/>
              <w:rPr>
                <w:b/>
                <w:color w:val="auto"/>
                <w:kern w:val="0"/>
                <w:szCs w:val="21"/>
              </w:rPr>
            </w:pPr>
            <w:r>
              <w:rPr>
                <w:rFonts w:hint="eastAsia"/>
                <w:b/>
                <w:color w:val="auto"/>
                <w:kern w:val="0"/>
                <w:szCs w:val="21"/>
              </w:rPr>
              <w:t>序号</w:t>
            </w:r>
          </w:p>
        </w:tc>
        <w:tc>
          <w:tcPr>
            <w:tcW w:w="7796" w:type="dxa"/>
            <w:noWrap w:val="0"/>
            <w:vAlign w:val="center"/>
          </w:tcPr>
          <w:p>
            <w:pPr>
              <w:jc w:val="center"/>
              <w:rPr>
                <w:b/>
                <w:color w:val="auto"/>
                <w:kern w:val="0"/>
                <w:szCs w:val="21"/>
              </w:rPr>
            </w:pPr>
            <w:r>
              <w:rPr>
                <w:rFonts w:hint="eastAsia"/>
                <w:b/>
                <w:color w:val="auto"/>
                <w:kern w:val="0"/>
                <w:szCs w:val="21"/>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Cs w:val="21"/>
              </w:rPr>
            </w:pPr>
          </w:p>
        </w:tc>
        <w:tc>
          <w:tcPr>
            <w:tcW w:w="7796" w:type="dxa"/>
            <w:noWrap w:val="0"/>
            <w:vAlign w:val="top"/>
          </w:tcPr>
          <w:p>
            <w:pPr>
              <w:adjustRightInd w:val="0"/>
              <w:snapToGrid w:val="0"/>
              <w:spacing w:line="360" w:lineRule="auto"/>
              <w:rPr>
                <w:rFonts w:ascii="宋体" w:hAnsi="宋体" w:eastAsia="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bl>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采购人（签字）：</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采购代理机构（签字）：</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rPr>
          <w:rFonts w:ascii="黑体" w:hAnsi="华文中宋" w:eastAsia="黑体"/>
          <w:b/>
          <w:color w:val="auto"/>
          <w:sz w:val="10"/>
          <w:szCs w:val="10"/>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r>
        <w:rPr>
          <w:rFonts w:ascii="宋体" w:hAnsi="宋体"/>
          <w:color w:val="auto"/>
        </w:rPr>
        <w:br w:type="page"/>
      </w:r>
    </w:p>
    <w:p>
      <w:pPr>
        <w:pStyle w:val="10"/>
        <w:adjustRightInd w:val="0"/>
        <w:snapToGrid w:val="0"/>
        <w:spacing w:line="360" w:lineRule="auto"/>
        <w:jc w:val="center"/>
        <w:outlineLvl w:val="0"/>
        <w:rPr>
          <w:rFonts w:ascii="黑体" w:hAnsi="华文中宋" w:eastAsia="黑体"/>
          <w:b/>
          <w:color w:val="auto"/>
          <w:sz w:val="28"/>
          <w:szCs w:val="28"/>
        </w:rPr>
      </w:pPr>
      <w:bookmarkStart w:id="35" w:name="_Toc18438"/>
      <w:r>
        <w:rPr>
          <w:rFonts w:hint="eastAsia" w:ascii="黑体" w:hAnsi="华文中宋" w:eastAsia="黑体"/>
          <w:b/>
          <w:color w:val="auto"/>
          <w:sz w:val="32"/>
          <w:szCs w:val="32"/>
        </w:rPr>
        <w:t>第四章 评标方法及标准</w:t>
      </w:r>
      <w:bookmarkEnd w:id="35"/>
    </w:p>
    <w:p>
      <w:pPr>
        <w:pStyle w:val="3"/>
        <w:adjustRightInd w:val="0"/>
        <w:snapToGrid w:val="0"/>
        <w:jc w:val="center"/>
        <w:rPr>
          <w:rFonts w:ascii="黑体" w:hAnsi="华文中宋" w:eastAsia="黑体"/>
          <w:color w:val="auto"/>
          <w:sz w:val="28"/>
          <w:szCs w:val="28"/>
        </w:rPr>
      </w:pPr>
      <w:bookmarkStart w:id="36" w:name="_Toc2367"/>
      <w:r>
        <w:rPr>
          <w:rFonts w:hint="eastAsia" w:ascii="黑体" w:hAnsi="华文中宋" w:eastAsia="黑体"/>
          <w:color w:val="auto"/>
          <w:sz w:val="28"/>
          <w:szCs w:val="28"/>
        </w:rPr>
        <w:t>第一节 评标方法及标准前附表</w:t>
      </w:r>
      <w:bookmarkEnd w:id="36"/>
    </w:p>
    <w:p>
      <w:pPr>
        <w:adjustRightInd w:val="0"/>
        <w:snapToGrid w:val="0"/>
        <w:spacing w:line="360" w:lineRule="auto"/>
        <w:jc w:val="right"/>
        <w:rPr>
          <w:rFonts w:ascii="宋体" w:hAnsi="宋体" w:eastAsia="宋体"/>
          <w:bCs/>
          <w:i/>
          <w:color w:val="auto"/>
          <w:szCs w:val="21"/>
        </w:rPr>
      </w:pPr>
      <w:r>
        <w:rPr>
          <w:rFonts w:hint="eastAsia" w:ascii="宋体" w:hAnsi="宋体" w:eastAsia="宋体"/>
          <w:bCs/>
          <w:i/>
          <w:color w:val="auto"/>
          <w:szCs w:val="21"/>
        </w:rPr>
        <w:t>本项目启用的条款在“编列内容规定”栏内以“</w:t>
      </w:r>
      <w:r>
        <w:rPr>
          <w:rFonts w:hint="eastAsia" w:ascii="宋体" w:hAnsi="宋体"/>
          <w:iCs/>
          <w:color w:val="auto"/>
          <w:szCs w:val="21"/>
        </w:rPr>
        <w:sym w:font="Wingdings" w:char="00FE"/>
      </w:r>
      <w:r>
        <w:rPr>
          <w:rFonts w:hint="eastAsia" w:ascii="宋体" w:hAnsi="宋体" w:eastAsia="宋体"/>
          <w:bCs/>
          <w:i/>
          <w:color w:val="auto"/>
          <w:szCs w:val="21"/>
        </w:rPr>
        <w:t>”标注。</w:t>
      </w:r>
    </w:p>
    <w:tbl>
      <w:tblPr>
        <w:tblStyle w:val="2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709"/>
        <w:gridCol w:w="1559"/>
        <w:gridCol w:w="482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double" w:color="auto" w:sz="4" w:space="0"/>
              <w:bottom w:val="single" w:color="auto" w:sz="6" w:space="0"/>
            </w:tcBorders>
            <w:noWrap w:val="0"/>
            <w:vAlign w:val="top"/>
          </w:tcPr>
          <w:p>
            <w:pPr>
              <w:adjustRightInd w:val="0"/>
              <w:snapToGrid w:val="0"/>
              <w:spacing w:before="156" w:beforeLines="50" w:line="360" w:lineRule="auto"/>
              <w:jc w:val="center"/>
              <w:rPr>
                <w:b/>
                <w:color w:val="auto"/>
              </w:rPr>
            </w:pPr>
            <w:r>
              <w:rPr>
                <w:rFonts w:hint="eastAsia"/>
                <w:b/>
                <w:color w:val="auto"/>
              </w:rPr>
              <w:t>条款号</w:t>
            </w:r>
          </w:p>
        </w:tc>
        <w:tc>
          <w:tcPr>
            <w:tcW w:w="2268" w:type="dxa"/>
            <w:gridSpan w:val="2"/>
            <w:tcBorders>
              <w:top w:val="double" w:color="auto" w:sz="4" w:space="0"/>
              <w:bottom w:val="single" w:color="auto" w:sz="6" w:space="0"/>
            </w:tcBorders>
            <w:noWrap w:val="0"/>
            <w:vAlign w:val="top"/>
          </w:tcPr>
          <w:p>
            <w:pPr>
              <w:adjustRightInd w:val="0"/>
              <w:snapToGrid w:val="0"/>
              <w:spacing w:before="156" w:beforeLines="50" w:line="360" w:lineRule="auto"/>
              <w:jc w:val="center"/>
              <w:rPr>
                <w:b/>
                <w:color w:val="auto"/>
              </w:rPr>
            </w:pPr>
            <w:r>
              <w:rPr>
                <w:rFonts w:hint="eastAsia"/>
                <w:b/>
                <w:color w:val="auto"/>
              </w:rPr>
              <w:t>条款名称</w:t>
            </w:r>
          </w:p>
        </w:tc>
        <w:tc>
          <w:tcPr>
            <w:tcW w:w="4820" w:type="dxa"/>
            <w:tcBorders>
              <w:top w:val="double" w:color="auto" w:sz="4" w:space="0"/>
              <w:bottom w:val="single" w:color="auto" w:sz="6" w:space="0"/>
            </w:tcBorders>
            <w:noWrap w:val="0"/>
            <w:vAlign w:val="top"/>
          </w:tcPr>
          <w:p>
            <w:pPr>
              <w:adjustRightInd w:val="0"/>
              <w:snapToGrid w:val="0"/>
              <w:spacing w:before="156" w:beforeLines="50" w:line="360" w:lineRule="auto"/>
              <w:jc w:val="center"/>
              <w:rPr>
                <w:b/>
                <w:color w:val="auto"/>
              </w:rPr>
            </w:pPr>
            <w:r>
              <w:rPr>
                <w:rFonts w:hint="eastAsia"/>
                <w:b/>
                <w:color w:val="auto"/>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第1.3</w:t>
            </w:r>
            <w:r>
              <w:rPr>
                <w:rFonts w:hint="eastAsia" w:ascii="宋体" w:hAnsi="宋体" w:eastAsia="宋体" w:cs="宋体"/>
                <w:color w:val="auto"/>
                <w:kern w:val="0"/>
                <w:szCs w:val="21"/>
                <w:lang w:val="zh-CN"/>
              </w:rPr>
              <w:t>款</w:t>
            </w:r>
          </w:p>
        </w:tc>
        <w:tc>
          <w:tcPr>
            <w:tcW w:w="2268" w:type="dxa"/>
            <w:gridSpan w:val="2"/>
            <w:tcBorders>
              <w:top w:val="single" w:color="auto" w:sz="6" w:space="0"/>
              <w:bottom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评标方法</w:t>
            </w:r>
          </w:p>
        </w:tc>
        <w:tc>
          <w:tcPr>
            <w:tcW w:w="4820" w:type="dxa"/>
            <w:tcBorders>
              <w:top w:val="single" w:color="auto" w:sz="6" w:space="0"/>
              <w:bottom w:val="single" w:color="auto" w:sz="6" w:space="0"/>
            </w:tcBorders>
            <w:noWrap w:val="0"/>
            <w:vAlign w:val="center"/>
          </w:tcPr>
          <w:p>
            <w:pPr>
              <w:adjustRightInd w:val="0"/>
              <w:snapToGrid w:val="0"/>
              <w:spacing w:line="300" w:lineRule="exact"/>
              <w:rPr>
                <w:rFonts w:ascii="宋体" w:hAnsi="宋体" w:eastAsia="宋体"/>
                <w:color w:val="auto"/>
                <w:szCs w:val="21"/>
              </w:rPr>
            </w:pPr>
            <w:r>
              <w:rPr>
                <w:rFonts w:hint="eastAsia" w:ascii="宋体" w:hAnsi="宋体" w:cs="宋体"/>
                <w:kern w:val="0"/>
              </w:rPr>
              <w:t>综合评分法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第3.4</w:t>
            </w:r>
            <w:r>
              <w:rPr>
                <w:rFonts w:hint="eastAsia" w:ascii="宋体" w:hAnsi="宋体" w:eastAsia="宋体" w:cs="宋体"/>
                <w:color w:val="auto"/>
                <w:kern w:val="0"/>
                <w:szCs w:val="21"/>
                <w:lang w:val="zh-CN"/>
              </w:rPr>
              <w:t>款</w:t>
            </w:r>
          </w:p>
        </w:tc>
        <w:tc>
          <w:tcPr>
            <w:tcW w:w="2268" w:type="dxa"/>
            <w:gridSpan w:val="2"/>
            <w:tcBorders>
              <w:top w:val="single" w:color="auto" w:sz="6" w:space="0"/>
              <w:bottom w:val="single" w:color="auto" w:sz="6" w:space="0"/>
            </w:tcBorders>
            <w:noWrap w:val="0"/>
            <w:vAlign w:val="center"/>
          </w:tcPr>
          <w:p>
            <w:pPr>
              <w:adjustRightInd w:val="0"/>
              <w:snapToGrid w:val="0"/>
              <w:spacing w:before="156" w:beforeLines="50" w:line="360" w:lineRule="auto"/>
              <w:jc w:val="center"/>
              <w:rPr>
                <w:rFonts w:ascii="宋体" w:hAnsi="宋体" w:eastAsia="宋体"/>
                <w:bCs/>
                <w:color w:val="auto"/>
                <w:szCs w:val="21"/>
              </w:rPr>
            </w:pPr>
            <w:r>
              <w:rPr>
                <w:rFonts w:hint="eastAsia" w:ascii="宋体" w:hAnsi="宋体" w:eastAsia="宋体"/>
                <w:bCs/>
                <w:color w:val="auto"/>
                <w:szCs w:val="21"/>
              </w:rPr>
              <w:t>非单一产品采购项目的核心产品</w:t>
            </w:r>
          </w:p>
        </w:tc>
        <w:tc>
          <w:tcPr>
            <w:tcW w:w="4820" w:type="dxa"/>
            <w:tcBorders>
              <w:top w:val="single" w:color="auto" w:sz="6" w:space="0"/>
              <w:bottom w:val="single" w:color="auto" w:sz="6" w:space="0"/>
            </w:tcBorders>
            <w:noWrap w:val="0"/>
            <w:vAlign w:val="center"/>
          </w:tcPr>
          <w:p>
            <w:pPr>
              <w:adjustRightInd w:val="0"/>
              <w:snapToGrid w:val="0"/>
              <w:spacing w:line="380" w:lineRule="exact"/>
              <w:rPr>
                <w:rFonts w:ascii="宋体" w:hAnsi="宋体" w:cs="宋体"/>
                <w:kern w:val="0"/>
              </w:rPr>
            </w:pPr>
            <w:r>
              <w:rPr>
                <w:rFonts w:hint="eastAsia" w:ascii="宋体" w:hAnsi="宋体" w:cs="宋体"/>
                <w:kern w:val="0"/>
              </w:rPr>
              <w:t>核心产品为：/</w:t>
            </w:r>
          </w:p>
          <w:p>
            <w:pPr>
              <w:spacing w:line="380" w:lineRule="exact"/>
              <w:rPr>
                <w:rFonts w:ascii="宋体" w:hAnsi="宋体" w:eastAsia="宋体"/>
                <w:color w:val="auto"/>
                <w:szCs w:val="21"/>
              </w:rPr>
            </w:pPr>
            <w:r>
              <w:rPr>
                <w:rFonts w:hint="eastAsia" w:ascii="宋体" w:hAnsi="宋体" w:cs="宋体"/>
                <w:kern w:val="0"/>
              </w:rPr>
              <w:t>（提示：根据采购项目技术构成、产品价格比重等合理确定具体产品为核心产品）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第4.2</w:t>
            </w:r>
            <w:r>
              <w:rPr>
                <w:rFonts w:hint="eastAsia" w:ascii="宋体" w:hAnsi="宋体" w:eastAsia="宋体" w:cs="宋体"/>
                <w:color w:val="auto"/>
                <w:kern w:val="0"/>
                <w:szCs w:val="21"/>
                <w:lang w:val="zh-CN"/>
              </w:rPr>
              <w:t>款</w:t>
            </w:r>
          </w:p>
        </w:tc>
        <w:tc>
          <w:tcPr>
            <w:tcW w:w="2268" w:type="dxa"/>
            <w:gridSpan w:val="2"/>
            <w:tcBorders>
              <w:top w:val="single" w:color="auto" w:sz="6" w:space="0"/>
              <w:bottom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投标文件报价出现前后不一致的修正</w:t>
            </w:r>
          </w:p>
        </w:tc>
        <w:tc>
          <w:tcPr>
            <w:tcW w:w="4820" w:type="dxa"/>
            <w:tcBorders>
              <w:top w:val="single" w:color="auto" w:sz="6" w:space="0"/>
              <w:bottom w:val="single" w:color="auto" w:sz="6" w:space="0"/>
            </w:tcBorders>
            <w:noWrap w:val="0"/>
            <w:vAlign w:val="center"/>
          </w:tcPr>
          <w:p>
            <w:pPr>
              <w:adjustRightInd w:val="0"/>
              <w:snapToGrid w:val="0"/>
              <w:spacing w:line="380" w:lineRule="exact"/>
              <w:rPr>
                <w:rFonts w:ascii="宋体" w:hAnsi="宋体" w:cs="宋体"/>
                <w:kern w:val="0"/>
              </w:rPr>
            </w:pPr>
            <w:r>
              <w:rPr>
                <w:rFonts w:hint="eastAsia" w:ascii="宋体" w:hAnsi="宋体" w:cs="宋体"/>
                <w:kern w:val="0"/>
              </w:rPr>
              <w:t>（1）投标文件中开标一览表内容与投标文件中相应内容不一致的，以开标一览表为准；</w:t>
            </w:r>
          </w:p>
          <w:p>
            <w:pPr>
              <w:adjustRightInd w:val="0"/>
              <w:snapToGrid w:val="0"/>
              <w:spacing w:line="380" w:lineRule="exact"/>
              <w:rPr>
                <w:rFonts w:ascii="宋体" w:hAnsi="宋体" w:cs="宋体"/>
                <w:kern w:val="0"/>
              </w:rPr>
            </w:pPr>
            <w:r>
              <w:rPr>
                <w:rFonts w:hint="eastAsia" w:ascii="宋体" w:hAnsi="宋体" w:cs="宋体"/>
                <w:kern w:val="0"/>
              </w:rPr>
              <w:t>（2）大写金额和小写金额不一致的，以大写金额为准；</w:t>
            </w:r>
          </w:p>
          <w:p>
            <w:pPr>
              <w:adjustRightInd w:val="0"/>
              <w:snapToGrid w:val="0"/>
              <w:spacing w:line="380" w:lineRule="exact"/>
              <w:rPr>
                <w:rFonts w:ascii="宋体" w:hAnsi="宋体" w:cs="宋体"/>
                <w:kern w:val="0"/>
              </w:rPr>
            </w:pPr>
            <w:r>
              <w:rPr>
                <w:rFonts w:hint="eastAsia" w:ascii="宋体" w:hAnsi="宋体" w:cs="宋体"/>
                <w:kern w:val="0"/>
              </w:rPr>
              <w:t>（3）单价金额小数点或者百分比有明显错位的，以开标一览表的总价为准，并修改单价；</w:t>
            </w:r>
          </w:p>
          <w:p>
            <w:pPr>
              <w:adjustRightInd w:val="0"/>
              <w:snapToGrid w:val="0"/>
              <w:spacing w:line="380" w:lineRule="exact"/>
              <w:rPr>
                <w:rFonts w:ascii="宋体" w:hAnsi="宋体" w:cs="宋体"/>
                <w:kern w:val="0"/>
              </w:rPr>
            </w:pPr>
            <w:r>
              <w:rPr>
                <w:rFonts w:hint="eastAsia" w:ascii="宋体" w:hAnsi="宋体" w:cs="宋体"/>
                <w:kern w:val="0"/>
              </w:rPr>
              <w:t>（4）总价金额与按单价汇总金额不一致的，以单价金额计算结果为准。</w:t>
            </w:r>
          </w:p>
          <w:p>
            <w:pPr>
              <w:adjustRightInd w:val="0"/>
              <w:snapToGrid w:val="0"/>
              <w:spacing w:line="380" w:lineRule="exact"/>
              <w:rPr>
                <w:color w:val="auto"/>
                <w:szCs w:val="21"/>
              </w:rPr>
            </w:pPr>
            <w:r>
              <w:rPr>
                <w:rFonts w:hint="eastAsia" w:ascii="宋体" w:hAnsi="宋体" w:cs="宋体"/>
                <w:kern w:val="0"/>
              </w:rPr>
              <w:t>同时出现两种以上不一致的，按照上述规定的顺序修正。修正后的报价经投标人确认后产生约束力，投标人不确认的，其投标无效。</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color w:val="auto"/>
                <w:szCs w:val="21"/>
                <w:lang w:eastAsia="zh-CN"/>
              </w:rPr>
              <w:t>那我</w:t>
            </w:r>
            <w:r>
              <w:rPr>
                <w:rFonts w:hint="eastAsia" w:ascii="宋体" w:hAnsi="宋体" w:eastAsia="宋体"/>
                <w:color w:val="auto"/>
                <w:szCs w:val="21"/>
              </w:rPr>
              <w:t>第5.2（1）</w:t>
            </w:r>
            <w:r>
              <w:rPr>
                <w:rFonts w:hint="eastAsia" w:ascii="宋体" w:hAnsi="宋体" w:eastAsia="宋体" w:cs="宋体"/>
                <w:color w:val="auto"/>
                <w:kern w:val="0"/>
                <w:szCs w:val="21"/>
                <w:lang w:val="zh-CN"/>
              </w:rPr>
              <w:t>项</w:t>
            </w:r>
          </w:p>
        </w:tc>
        <w:tc>
          <w:tcPr>
            <w:tcW w:w="2268" w:type="dxa"/>
            <w:gridSpan w:val="2"/>
            <w:tcBorders>
              <w:top w:val="single" w:color="auto" w:sz="6" w:space="0"/>
              <w:bottom w:val="single" w:color="auto" w:sz="6" w:space="0"/>
            </w:tcBorders>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相同品牌产品投标报价相同的</w:t>
            </w:r>
          </w:p>
        </w:tc>
        <w:tc>
          <w:tcPr>
            <w:tcW w:w="4820" w:type="dxa"/>
            <w:tcBorders>
              <w:top w:val="single" w:color="auto" w:sz="6" w:space="0"/>
              <w:bottom w:val="single" w:color="auto" w:sz="6" w:space="0"/>
            </w:tcBorders>
            <w:noWrap w:val="0"/>
            <w:vAlign w:val="center"/>
          </w:tcPr>
          <w:p>
            <w:pPr>
              <w:adjustRightInd w:val="0"/>
              <w:snapToGrid w:val="0"/>
              <w:spacing w:line="380" w:lineRule="exact"/>
              <w:rPr>
                <w:color w:val="auto"/>
                <w:szCs w:val="21"/>
              </w:rPr>
            </w:pPr>
            <w:r>
              <w:rPr>
                <w:rFonts w:hint="eastAsia" w:ascii="宋体" w:hAnsi="宋体" w:cs="宋体"/>
                <w:kern w:val="0"/>
              </w:rPr>
              <w:t>□由采购人或者采购人委托评标委员会采取随机抽取方式确定一个参加评标的投标人，其他投标无效。</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第5.2（2）</w:t>
            </w:r>
            <w:r>
              <w:rPr>
                <w:rFonts w:hint="eastAsia" w:ascii="宋体" w:hAnsi="宋体" w:eastAsia="宋体" w:cs="宋体"/>
                <w:color w:val="auto"/>
                <w:kern w:val="0"/>
                <w:szCs w:val="21"/>
                <w:lang w:val="zh-CN"/>
              </w:rPr>
              <w:t>项</w:t>
            </w:r>
          </w:p>
        </w:tc>
        <w:tc>
          <w:tcPr>
            <w:tcW w:w="2268" w:type="dxa"/>
            <w:gridSpan w:val="2"/>
            <w:tcBorders>
              <w:top w:val="single" w:color="auto" w:sz="6" w:space="0"/>
              <w:bottom w:val="single" w:color="auto" w:sz="6" w:space="0"/>
            </w:tcBorders>
            <w:noWrap w:val="0"/>
            <w:vAlign w:val="center"/>
          </w:tcPr>
          <w:p>
            <w:pPr>
              <w:adjustRightInd w:val="0"/>
              <w:snapToGrid w:val="0"/>
              <w:spacing w:before="156" w:beforeLines="50" w:line="360" w:lineRule="auto"/>
              <w:jc w:val="center"/>
              <w:rPr>
                <w:rFonts w:ascii="宋体" w:hAnsi="宋体" w:eastAsia="宋体"/>
                <w:bCs/>
                <w:color w:val="auto"/>
                <w:szCs w:val="21"/>
              </w:rPr>
            </w:pPr>
            <w:r>
              <w:rPr>
                <w:rFonts w:hint="eastAsia" w:ascii="宋体" w:hAnsi="宋体" w:eastAsia="宋体"/>
                <w:bCs/>
                <w:color w:val="auto"/>
                <w:szCs w:val="21"/>
              </w:rPr>
              <w:t>相同品牌产品评审得分相同的规定</w:t>
            </w:r>
          </w:p>
        </w:tc>
        <w:tc>
          <w:tcPr>
            <w:tcW w:w="4820" w:type="dxa"/>
            <w:tcBorders>
              <w:top w:val="single" w:color="auto" w:sz="6" w:space="0"/>
              <w:bottom w:val="single" w:color="auto" w:sz="6" w:space="0"/>
            </w:tcBorders>
            <w:noWrap w:val="0"/>
            <w:vAlign w:val="center"/>
          </w:tcPr>
          <w:p>
            <w:pPr>
              <w:adjustRightInd w:val="0"/>
              <w:snapToGrid w:val="0"/>
              <w:spacing w:line="380" w:lineRule="exact"/>
              <w:rPr>
                <w:rFonts w:ascii="宋体" w:hAnsi="宋体" w:cs="宋体"/>
                <w:kern w:val="0"/>
              </w:rPr>
            </w:pPr>
            <w:r>
              <w:rPr>
                <w:rFonts w:hint="eastAsia" w:ascii="宋体" w:hAnsi="宋体"/>
                <w:szCs w:val="21"/>
              </w:rPr>
              <w:t>■</w:t>
            </w:r>
            <w:r>
              <w:rPr>
                <w:rFonts w:hint="eastAsia" w:ascii="宋体" w:hAnsi="宋体" w:cs="宋体"/>
                <w:kern w:val="0"/>
              </w:rPr>
              <w:t>得分相同的，按投标报价由低到高顺序排列。得分且投标报价相同的，按技术指标优劣顺序排列。</w:t>
            </w:r>
          </w:p>
          <w:p>
            <w:pPr>
              <w:adjustRightInd w:val="0"/>
              <w:snapToGrid w:val="0"/>
              <w:spacing w:line="380" w:lineRule="exact"/>
              <w:rPr>
                <w:color w:val="auto"/>
                <w:szCs w:val="21"/>
              </w:rPr>
            </w:pPr>
            <w:r>
              <w:rPr>
                <w:rFonts w:hint="eastAsia" w:ascii="宋体" w:hAnsi="宋体" w:cs="宋体"/>
                <w:kern w:val="0"/>
              </w:rPr>
              <w:t>□</w:t>
            </w:r>
            <w:r>
              <w:rPr>
                <w:rFonts w:ascii="宋体" w:hAnsi="宋体" w:cs="宋体"/>
                <w:kern w:val="0"/>
              </w:rPr>
              <w:t xml:space="preserve"> </w:t>
            </w:r>
            <w:r>
              <w:rPr>
                <w:rFonts w:hint="eastAsia" w:ascii="宋体" w:hAnsi="宋体" w:cs="宋体"/>
                <w:kern w:val="0"/>
              </w:rPr>
              <w:t>随机抽取方式确定。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0" w:hRule="atLeast"/>
        </w:trPr>
        <w:tc>
          <w:tcPr>
            <w:tcW w:w="1701" w:type="dxa"/>
            <w:tcBorders>
              <w:top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第5.</w:t>
            </w:r>
            <w:r>
              <w:rPr>
                <w:rFonts w:hint="eastAsia" w:ascii="宋体" w:hAnsi="宋体"/>
                <w:color w:val="auto"/>
                <w:szCs w:val="21"/>
                <w:lang w:val="en-US" w:eastAsia="zh-CN"/>
              </w:rPr>
              <w:t>4</w:t>
            </w:r>
            <w:r>
              <w:rPr>
                <w:rFonts w:hint="eastAsia" w:ascii="宋体" w:hAnsi="宋体" w:eastAsia="宋体"/>
                <w:color w:val="auto"/>
                <w:szCs w:val="21"/>
              </w:rPr>
              <w:t>（1）</w:t>
            </w:r>
            <w:r>
              <w:rPr>
                <w:rFonts w:hint="eastAsia" w:ascii="宋体" w:hAnsi="宋体" w:eastAsia="宋体" w:cs="宋体"/>
                <w:color w:val="auto"/>
                <w:kern w:val="0"/>
                <w:szCs w:val="21"/>
                <w:lang w:val="zh-CN"/>
              </w:rPr>
              <w:t>项</w:t>
            </w:r>
          </w:p>
        </w:tc>
        <w:tc>
          <w:tcPr>
            <w:tcW w:w="2268" w:type="dxa"/>
            <w:gridSpan w:val="2"/>
            <w:tcBorders>
              <w:top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价格评审优惠</w:t>
            </w:r>
          </w:p>
        </w:tc>
        <w:tc>
          <w:tcPr>
            <w:tcW w:w="4820" w:type="dxa"/>
            <w:tcBorders>
              <w:top w:val="single" w:color="auto" w:sz="6" w:space="0"/>
              <w:bottom w:val="single" w:color="auto" w:sz="6" w:space="0"/>
            </w:tcBorders>
            <w:noWrap w:val="0"/>
            <w:vAlign w:val="center"/>
          </w:tcPr>
          <w:p>
            <w:pPr>
              <w:adjustRightInd w:val="0"/>
              <w:snapToGrid w:val="0"/>
              <w:spacing w:line="380" w:lineRule="exact"/>
              <w:rPr>
                <w:rFonts w:ascii="宋体" w:hAnsi="宋体" w:cs="宋体"/>
                <w:kern w:val="0"/>
              </w:rPr>
            </w:pPr>
            <w:r>
              <w:rPr>
                <w:rFonts w:ascii="宋体" w:hAnsi="宋体" w:cs="宋体"/>
                <w:kern w:val="0"/>
              </w:rPr>
              <w:t>①给</w:t>
            </w:r>
            <w:r>
              <w:rPr>
                <w:rFonts w:hint="eastAsia" w:ascii="宋体" w:hAnsi="宋体" w:cs="宋体"/>
                <w:kern w:val="0"/>
              </w:rPr>
              <w:t>予小型、微型企业、福利企业和监狱企业产品的价格给予10%-20%的扣除，用扣除后的价格参与评审，本项目具体扣除比例为10％，不重复享受政策；</w:t>
            </w:r>
          </w:p>
          <w:p>
            <w:pPr>
              <w:adjustRightInd w:val="0"/>
              <w:snapToGrid w:val="0"/>
              <w:spacing w:line="420" w:lineRule="exact"/>
              <w:rPr>
                <w:color w:val="auto"/>
                <w:szCs w:val="21"/>
              </w:rPr>
            </w:pPr>
            <w:r>
              <w:rPr>
                <w:rFonts w:hint="eastAsia" w:ascii="宋体" w:hAnsi="宋体" w:cs="宋体"/>
                <w:kern w:val="0"/>
              </w:rPr>
              <w:t>②给予联合体4%-6%的价格扣除，用扣除后的价格参与评审，本项目具体扣除比例为/％。本文件所称联合体价格扣除是指联合协议中约定，小型、微型企业的协议合同金额占到联合体协议合同总金额30%以上的，可给予联合体价格扣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0" w:hRule="atLeast"/>
        </w:trPr>
        <w:tc>
          <w:tcPr>
            <w:tcW w:w="1701" w:type="dxa"/>
            <w:tcBorders>
              <w:top w:val="single" w:color="auto" w:sz="6" w:space="0"/>
              <w:bottom w:val="single" w:color="auto" w:sz="6" w:space="0"/>
              <w:right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第5.</w:t>
            </w:r>
            <w:r>
              <w:rPr>
                <w:rFonts w:hint="eastAsia" w:ascii="宋体" w:hAnsi="宋体"/>
                <w:color w:val="auto"/>
                <w:szCs w:val="21"/>
                <w:lang w:val="en-US" w:eastAsia="zh-CN"/>
              </w:rPr>
              <w:t>4</w:t>
            </w:r>
            <w:r>
              <w:rPr>
                <w:rFonts w:hint="eastAsia" w:ascii="宋体" w:hAnsi="宋体" w:eastAsia="宋体"/>
                <w:color w:val="auto"/>
                <w:szCs w:val="21"/>
              </w:rPr>
              <w:t>（2）</w:t>
            </w:r>
            <w:r>
              <w:rPr>
                <w:rFonts w:hint="eastAsia" w:ascii="宋体" w:hAnsi="宋体" w:eastAsia="宋体" w:cs="宋体"/>
                <w:color w:val="auto"/>
                <w:kern w:val="0"/>
                <w:szCs w:val="21"/>
                <w:lang w:val="zh-CN"/>
              </w:rPr>
              <w:t>项</w:t>
            </w:r>
          </w:p>
        </w:tc>
        <w:tc>
          <w:tcPr>
            <w:tcW w:w="709" w:type="dxa"/>
            <w:tcBorders>
              <w:top w:val="single" w:color="auto" w:sz="6" w:space="0"/>
              <w:left w:val="single" w:color="auto" w:sz="6" w:space="0"/>
              <w:bottom w:val="single" w:color="auto" w:sz="6" w:space="0"/>
              <w:right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优先采购</w:t>
            </w:r>
          </w:p>
        </w:tc>
        <w:tc>
          <w:tcPr>
            <w:tcW w:w="1559" w:type="dxa"/>
            <w:tcBorders>
              <w:top w:val="single" w:color="auto" w:sz="6" w:space="0"/>
              <w:left w:val="single" w:color="auto" w:sz="6" w:space="0"/>
              <w:right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节能产品或环境标志产品</w:t>
            </w:r>
          </w:p>
        </w:tc>
        <w:tc>
          <w:tcPr>
            <w:tcW w:w="4820" w:type="dxa"/>
            <w:tcBorders>
              <w:top w:val="single" w:color="auto" w:sz="6" w:space="0"/>
              <w:left w:val="single" w:color="auto" w:sz="6" w:space="0"/>
              <w:bottom w:val="single" w:color="auto" w:sz="6" w:space="0"/>
            </w:tcBorders>
            <w:noWrap w:val="0"/>
            <w:vAlign w:val="center"/>
          </w:tcPr>
          <w:p>
            <w:pPr>
              <w:adjustRightInd w:val="0"/>
              <w:snapToGrid w:val="0"/>
              <w:spacing w:line="380" w:lineRule="exact"/>
              <w:rPr>
                <w:rFonts w:hint="eastAsia" w:ascii="宋体" w:hAnsi="宋体" w:cs="宋体"/>
                <w:kern w:val="0"/>
              </w:rPr>
            </w:pPr>
            <w:r>
              <w:rPr>
                <w:rFonts w:hint="eastAsia" w:ascii="宋体" w:hAnsi="宋体" w:cs="宋体"/>
                <w:kern w:val="0"/>
              </w:rPr>
              <w:t>①非强制采购节能产品:对于技术和价格分，应分别给予一级评标因素权重4%-8%的加分。本项目具体加分比例分别为：技术4%、价格4%。</w:t>
            </w:r>
          </w:p>
          <w:p>
            <w:pPr>
              <w:adjustRightInd w:val="0"/>
              <w:snapToGrid w:val="0"/>
              <w:spacing w:line="380" w:lineRule="exact"/>
              <w:rPr>
                <w:rFonts w:ascii="宋体" w:hAnsi="宋体" w:eastAsia="宋体"/>
                <w:color w:val="auto"/>
                <w:szCs w:val="21"/>
              </w:rPr>
            </w:pPr>
            <w:r>
              <w:rPr>
                <w:rFonts w:hint="eastAsia" w:ascii="宋体" w:hAnsi="宋体" w:cs="宋体"/>
                <w:kern w:val="0"/>
              </w:rPr>
              <w:t>②环境标志产品:对于技术和价格分，应分别给予一级评标因素权重4%-8%的加分。本项目具体加分比例分别为：技术4%、价格4%</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1" w:type="dxa"/>
            <w:tcBorders>
              <w:top w:val="single" w:color="auto" w:sz="6" w:space="0"/>
              <w:bottom w:val="double" w:color="auto" w:sz="4"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第6.2</w:t>
            </w:r>
            <w:r>
              <w:rPr>
                <w:rFonts w:hint="eastAsia" w:ascii="宋体" w:hAnsi="宋体" w:eastAsia="宋体" w:cs="宋体"/>
                <w:color w:val="auto"/>
                <w:kern w:val="0"/>
                <w:szCs w:val="21"/>
                <w:lang w:val="zh-CN"/>
              </w:rPr>
              <w:t>款</w:t>
            </w:r>
          </w:p>
        </w:tc>
        <w:tc>
          <w:tcPr>
            <w:tcW w:w="2268" w:type="dxa"/>
            <w:gridSpan w:val="2"/>
            <w:tcBorders>
              <w:top w:val="single" w:color="auto" w:sz="6" w:space="0"/>
              <w:bottom w:val="double" w:color="auto" w:sz="4" w:space="0"/>
              <w:right w:val="single" w:color="auto" w:sz="6" w:space="0"/>
            </w:tcBorders>
            <w:noWrap w:val="0"/>
            <w:vAlign w:val="center"/>
          </w:tcPr>
          <w:p>
            <w:pPr>
              <w:adjustRightInd w:val="0"/>
              <w:snapToGrid w:val="0"/>
              <w:spacing w:before="156" w:beforeLines="50" w:line="360" w:lineRule="auto"/>
              <w:jc w:val="center"/>
              <w:rPr>
                <w:rFonts w:ascii="宋体" w:hAnsi="宋体" w:eastAsia="宋体"/>
                <w:color w:val="auto"/>
                <w:szCs w:val="21"/>
              </w:rPr>
            </w:pPr>
            <w:r>
              <w:rPr>
                <w:rFonts w:hint="eastAsia" w:ascii="宋体" w:hAnsi="宋体" w:eastAsia="宋体"/>
                <w:color w:val="auto"/>
                <w:szCs w:val="21"/>
              </w:rPr>
              <w:t>中标候选人并列的确定中标人的方式</w:t>
            </w:r>
          </w:p>
        </w:tc>
        <w:tc>
          <w:tcPr>
            <w:tcW w:w="4820" w:type="dxa"/>
            <w:tcBorders>
              <w:top w:val="single" w:color="auto" w:sz="6" w:space="0"/>
              <w:left w:val="single" w:color="auto" w:sz="6" w:space="0"/>
              <w:bottom w:val="double" w:color="auto" w:sz="4" w:space="0"/>
              <w:right w:val="double" w:color="auto" w:sz="4" w:space="0"/>
            </w:tcBorders>
            <w:noWrap w:val="0"/>
            <w:vAlign w:val="center"/>
          </w:tcPr>
          <w:p>
            <w:pPr>
              <w:adjustRightInd w:val="0"/>
              <w:snapToGrid w:val="0"/>
              <w:spacing w:line="380" w:lineRule="exact"/>
              <w:rPr>
                <w:rFonts w:ascii="宋体" w:hAnsi="宋体"/>
                <w:szCs w:val="21"/>
              </w:rPr>
            </w:pPr>
            <w:r>
              <w:rPr>
                <w:rFonts w:hint="eastAsia" w:ascii="宋体" w:hAnsi="宋体"/>
                <w:szCs w:val="21"/>
              </w:rPr>
              <w:t>■ 得分相同的，按投标报价由低到高顺序排列。得分且投标报价相同的，按评标方法中“技术部分”分值高低顺序排列。</w:t>
            </w:r>
          </w:p>
          <w:p>
            <w:pPr>
              <w:adjustRightInd w:val="0"/>
              <w:snapToGrid w:val="0"/>
              <w:spacing w:line="420" w:lineRule="exact"/>
              <w:rPr>
                <w:rFonts w:ascii="宋体" w:hAnsi="宋体" w:eastAsia="宋体"/>
                <w:color w:val="auto"/>
                <w:szCs w:val="21"/>
              </w:rPr>
            </w:pPr>
            <w:r>
              <w:rPr>
                <w:rFonts w:hint="eastAsia" w:ascii="宋体" w:hAnsi="宋体"/>
                <w:szCs w:val="21"/>
              </w:rPr>
              <w:t>推荐中标候选人前三名。</w:t>
            </w:r>
          </w:p>
        </w:tc>
      </w:tr>
    </w:tbl>
    <w:p>
      <w:pPr>
        <w:adjustRightInd w:val="0"/>
        <w:snapToGrid w:val="0"/>
        <w:spacing w:before="156" w:beforeLines="50" w:line="360" w:lineRule="auto"/>
        <w:ind w:firstLine="420" w:firstLineChars="200"/>
        <w:jc w:val="left"/>
        <w:rPr>
          <w:rFonts w:ascii="黑体" w:hAnsi="华文中宋" w:eastAsia="黑体"/>
          <w:b/>
          <w:color w:val="auto"/>
          <w:sz w:val="28"/>
          <w:szCs w:val="28"/>
        </w:rPr>
      </w:pPr>
      <w:r>
        <w:rPr>
          <w:rFonts w:ascii="宋体" w:hAnsi="宋体" w:eastAsia="宋体"/>
          <w:color w:val="auto"/>
        </w:rPr>
        <w:br w:type="page"/>
      </w:r>
    </w:p>
    <w:p>
      <w:pPr>
        <w:pStyle w:val="3"/>
        <w:keepNext w:val="0"/>
        <w:keepLines w:val="0"/>
        <w:adjustRightInd w:val="0"/>
        <w:snapToGrid w:val="0"/>
        <w:spacing w:before="156" w:beforeLines="50"/>
        <w:jc w:val="center"/>
        <w:rPr>
          <w:rFonts w:ascii="黑体" w:hAnsi="华文中宋" w:eastAsia="黑体"/>
          <w:color w:val="auto"/>
          <w:sz w:val="28"/>
          <w:szCs w:val="28"/>
        </w:rPr>
      </w:pPr>
      <w:bookmarkStart w:id="37" w:name="_Toc30022"/>
      <w:r>
        <w:rPr>
          <w:rFonts w:hint="eastAsia" w:ascii="黑体" w:hAnsi="华文中宋" w:eastAsia="黑体"/>
          <w:color w:val="auto"/>
          <w:sz w:val="28"/>
          <w:szCs w:val="28"/>
        </w:rPr>
        <w:t>第二节 评标方法及标准</w:t>
      </w:r>
      <w:bookmarkEnd w:id="37"/>
    </w:p>
    <w:p>
      <w:pPr>
        <w:pStyle w:val="4"/>
        <w:keepNext w:val="0"/>
        <w:keepLines w:val="0"/>
        <w:adjustRightInd w:val="0"/>
        <w:snapToGrid w:val="0"/>
        <w:spacing w:before="156" w:beforeLines="50" w:after="0" w:line="360" w:lineRule="auto"/>
        <w:rPr>
          <w:rFonts w:ascii="黑体" w:hAnsi="黑体" w:eastAsia="黑体"/>
          <w:color w:val="auto"/>
          <w:sz w:val="24"/>
          <w:szCs w:val="24"/>
        </w:rPr>
      </w:pPr>
      <w:bookmarkStart w:id="38" w:name="_Toc29837"/>
      <w:r>
        <w:rPr>
          <w:rFonts w:hint="eastAsia" w:ascii="黑体" w:hAnsi="黑体" w:eastAsia="黑体"/>
          <w:color w:val="auto"/>
          <w:sz w:val="24"/>
          <w:szCs w:val="24"/>
        </w:rPr>
        <w:t>1．评标方法</w:t>
      </w:r>
      <w:bookmarkEnd w:id="38"/>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1.1综合评分法，指投标文件满足招标文件全部实质性要求，且按照评审因素的量化指标评审得分最高的投标人为中标候选人的评标方法。</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1.2最低评标价，是指投标文件满足招标文件全部实质性要求，且投标报价最低的投标人为中标候选人的评标方法。</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1.3本采购项目评标方法见本章第一节</w:t>
      </w:r>
      <w:r>
        <w:rPr>
          <w:rFonts w:hint="eastAsia" w:ascii="宋体" w:hAnsi="宋体" w:eastAsia="宋体"/>
          <w:b/>
          <w:color w:val="auto"/>
          <w:szCs w:val="21"/>
        </w:rPr>
        <w:t>【评标方法及标准前附表】</w:t>
      </w:r>
      <w:r>
        <w:rPr>
          <w:rFonts w:hint="eastAsia" w:ascii="宋体" w:hAnsi="宋体" w:eastAsia="宋体"/>
          <w:color w:val="auto"/>
          <w:szCs w:val="21"/>
        </w:rPr>
        <w:t>。</w:t>
      </w:r>
    </w:p>
    <w:p>
      <w:pPr>
        <w:pStyle w:val="4"/>
        <w:keepNext w:val="0"/>
        <w:keepLines w:val="0"/>
        <w:adjustRightInd w:val="0"/>
        <w:snapToGrid w:val="0"/>
        <w:spacing w:before="156" w:beforeLines="50" w:after="0" w:line="360" w:lineRule="auto"/>
        <w:rPr>
          <w:rFonts w:ascii="黑体" w:hAnsi="黑体" w:eastAsia="黑体"/>
          <w:bCs w:val="0"/>
          <w:color w:val="auto"/>
          <w:sz w:val="24"/>
          <w:szCs w:val="24"/>
        </w:rPr>
      </w:pPr>
      <w:bookmarkStart w:id="39" w:name="_Toc30040"/>
      <w:r>
        <w:rPr>
          <w:rFonts w:hint="eastAsia" w:ascii="黑体" w:hAnsi="黑体" w:eastAsia="黑体"/>
          <w:bCs w:val="0"/>
          <w:color w:val="auto"/>
          <w:sz w:val="24"/>
          <w:szCs w:val="24"/>
        </w:rPr>
        <w:t>2．评标程序</w:t>
      </w:r>
      <w:bookmarkEnd w:id="39"/>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2.1评标程序分为投标文件符合性审查、澄清有关问题、比较和评价、推荐中标候选人。</w:t>
      </w:r>
    </w:p>
    <w:p>
      <w:pPr>
        <w:pStyle w:val="4"/>
        <w:keepNext w:val="0"/>
        <w:keepLines w:val="0"/>
        <w:adjustRightInd w:val="0"/>
        <w:snapToGrid w:val="0"/>
        <w:spacing w:before="156" w:beforeLines="50" w:after="0" w:line="360" w:lineRule="auto"/>
        <w:rPr>
          <w:rFonts w:ascii="黑体" w:hAnsi="黑体" w:eastAsia="黑体"/>
          <w:bCs w:val="0"/>
          <w:color w:val="auto"/>
          <w:sz w:val="24"/>
          <w:szCs w:val="24"/>
        </w:rPr>
      </w:pPr>
      <w:bookmarkStart w:id="40" w:name="_Toc23813"/>
      <w:r>
        <w:rPr>
          <w:rFonts w:hint="eastAsia" w:ascii="黑体" w:hAnsi="黑体" w:eastAsia="黑体"/>
          <w:bCs w:val="0"/>
          <w:color w:val="auto"/>
          <w:sz w:val="24"/>
          <w:szCs w:val="24"/>
        </w:rPr>
        <w:t>3．投标文件的符合性审查</w:t>
      </w:r>
      <w:bookmarkEnd w:id="40"/>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3.1资格审查结束后，评标委员会依法按照本章第三节“投标文件的符合性审查”规定进行投标文件符合性审查。</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3.2符合性审查合格投标人少于3家的，应予废标。</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3.3单一产品采购项目：提供相同品牌产品的不同投标人参加同一合同项下投标的，按一家投标人计算。提供不同品牌产品的投标人不足三家的，应予废标。</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3.4非单一产品采购项目：采购人或者采购代理机构将在</w:t>
      </w:r>
      <w:r>
        <w:rPr>
          <w:rFonts w:hint="eastAsia" w:ascii="宋体" w:hAnsi="宋体" w:eastAsia="宋体"/>
          <w:b/>
          <w:color w:val="auto"/>
          <w:szCs w:val="21"/>
        </w:rPr>
        <w:t>【评标方法及标准前附表】</w:t>
      </w:r>
      <w:r>
        <w:rPr>
          <w:rFonts w:hint="eastAsia" w:ascii="宋体" w:hAnsi="宋体" w:eastAsia="宋体"/>
          <w:color w:val="auto"/>
          <w:szCs w:val="21"/>
        </w:rPr>
        <w:t>中载明核心产品。多家投标人提供的核心产品品牌相同的，视为相同品牌，按本章本节第3.3款规定处理。</w:t>
      </w:r>
    </w:p>
    <w:p>
      <w:pPr>
        <w:pStyle w:val="4"/>
        <w:keepNext w:val="0"/>
        <w:keepLines w:val="0"/>
        <w:adjustRightInd w:val="0"/>
        <w:snapToGrid w:val="0"/>
        <w:spacing w:before="156" w:beforeLines="50" w:after="0" w:line="360" w:lineRule="auto"/>
        <w:rPr>
          <w:rFonts w:ascii="黑体" w:hAnsi="黑体" w:eastAsia="黑体"/>
          <w:bCs w:val="0"/>
          <w:color w:val="auto"/>
          <w:sz w:val="24"/>
          <w:szCs w:val="24"/>
        </w:rPr>
      </w:pPr>
      <w:bookmarkStart w:id="41" w:name="_Toc30211"/>
      <w:r>
        <w:rPr>
          <w:rFonts w:hint="eastAsia" w:ascii="黑体" w:hAnsi="黑体" w:eastAsia="黑体"/>
          <w:bCs w:val="0"/>
          <w:color w:val="auto"/>
          <w:sz w:val="24"/>
          <w:szCs w:val="24"/>
        </w:rPr>
        <w:t>4．投标文件的澄清</w:t>
      </w:r>
      <w:bookmarkEnd w:id="41"/>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4.1对于投标文件中含义不明确、同类问题表述不一致或者有明显文字和计算错误的内容，评标委员会应当以书面形式要求投标人作出必要的澄清、说明或者补正。</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4.2投标文件的投标报价出现前后不一致的，除</w:t>
      </w:r>
      <w:r>
        <w:rPr>
          <w:rFonts w:hint="eastAsia" w:ascii="宋体" w:hAnsi="宋体" w:eastAsia="宋体"/>
          <w:b/>
          <w:color w:val="auto"/>
          <w:szCs w:val="21"/>
        </w:rPr>
        <w:t>【评标方法及标准前附表】</w:t>
      </w:r>
      <w:r>
        <w:rPr>
          <w:rFonts w:hint="eastAsia" w:ascii="宋体" w:hAnsi="宋体" w:eastAsia="宋体"/>
          <w:color w:val="auto"/>
          <w:szCs w:val="21"/>
        </w:rPr>
        <w:t>另有规定外，按照下列规定修正：</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（1）投标文件中开标一览表内容与投标文件中相应内容不一致的，以开标一览表为准；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（2）大写金额和小写金额不一致的，以大写金额为准；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（3）单价金额小数点或者百分比有明显错位的，以开标一览表的总价为准，并修改单价；</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（4）总价金额与按单价汇总金额不一致的，以单价金额计算结果为准。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4.3投标文件报价同时出现两种以上不一致的，按照前款规定的顺序修正。修正后的报价由投标人代表签字或者加盖单位章确认后产生约束力，投标人不确认的，其投标无效。</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4.5有效的书面澄清材料，是投标文件的补充材料，成为投标文件的组成部分。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pPr>
        <w:pStyle w:val="4"/>
        <w:keepNext w:val="0"/>
        <w:keepLines w:val="0"/>
        <w:adjustRightInd w:val="0"/>
        <w:snapToGrid w:val="0"/>
        <w:spacing w:before="156" w:beforeLines="50" w:after="0" w:line="360" w:lineRule="auto"/>
        <w:rPr>
          <w:rFonts w:ascii="黑体" w:hAnsi="黑体" w:eastAsia="黑体"/>
          <w:bCs w:val="0"/>
          <w:color w:val="auto"/>
          <w:sz w:val="24"/>
          <w:szCs w:val="24"/>
        </w:rPr>
      </w:pPr>
      <w:bookmarkStart w:id="42" w:name="_Toc20583"/>
      <w:r>
        <w:rPr>
          <w:rFonts w:hint="eastAsia" w:ascii="黑体" w:hAnsi="黑体" w:eastAsia="黑体"/>
          <w:bCs w:val="0"/>
          <w:color w:val="auto"/>
          <w:sz w:val="24"/>
          <w:szCs w:val="24"/>
        </w:rPr>
        <w:t>5．投标文件的比较与评价</w:t>
      </w:r>
      <w:bookmarkEnd w:id="42"/>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5.1评标委员会依法按照本章第三节“投标文件的比较与评价”规定，对资格性检查和符合性检查合格的投标文件进行比较和评价。</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5.2单一产品采购项目：</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color w:val="auto"/>
          <w:szCs w:val="21"/>
        </w:rPr>
        <w:t>（1）最低评标价法：</w:t>
      </w:r>
      <w:r>
        <w:rPr>
          <w:rFonts w:hint="eastAsia" w:ascii="宋体" w:hAnsi="宋体" w:eastAsia="宋体"/>
          <w:bCs/>
          <w:color w:val="auto"/>
          <w:szCs w:val="21"/>
        </w:rPr>
        <w:t>提供相同品牌产品的不同投标人参加同一合同项下投标的，以其中通过资格审查、符合性审查且报价最低的参加评标，其他投标无效；报价相同的，按照</w:t>
      </w:r>
      <w:r>
        <w:rPr>
          <w:rFonts w:hint="eastAsia" w:ascii="宋体" w:hAnsi="宋体" w:eastAsia="宋体"/>
          <w:b/>
          <w:bCs/>
          <w:color w:val="auto"/>
          <w:szCs w:val="21"/>
        </w:rPr>
        <w:t>【评标方法及标准前附表】</w:t>
      </w:r>
      <w:r>
        <w:rPr>
          <w:rFonts w:hint="eastAsia" w:ascii="宋体" w:hAnsi="宋体" w:eastAsia="宋体"/>
          <w:bCs/>
          <w:color w:val="auto"/>
          <w:szCs w:val="21"/>
        </w:rPr>
        <w:t>规定的方式确定一个参加评标的投标人，招标文件未规定的采取随机抽取方式确定，其他</w:t>
      </w:r>
      <w:r>
        <w:rPr>
          <w:rFonts w:hint="eastAsia" w:ascii="宋体" w:hAnsi="宋体" w:eastAsia="宋体"/>
          <w:b/>
          <w:bCs/>
          <w:color w:val="auto"/>
          <w:szCs w:val="21"/>
        </w:rPr>
        <w:t>投标无效</w:t>
      </w:r>
      <w:r>
        <w:rPr>
          <w:rFonts w:hint="eastAsia" w:ascii="宋体" w:hAnsi="宋体" w:eastAsia="宋体"/>
          <w:bCs/>
          <w:color w:val="auto"/>
          <w:szCs w:val="21"/>
        </w:rPr>
        <w:t>。</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eastAsia="宋体"/>
          <w:b/>
          <w:color w:val="auto"/>
          <w:szCs w:val="21"/>
        </w:rPr>
        <w:t>【评标方法及标准前附表】</w:t>
      </w:r>
      <w:r>
        <w:rPr>
          <w:rFonts w:hint="eastAsia" w:ascii="宋体" w:hAnsi="宋体" w:eastAsia="宋体"/>
          <w:color w:val="auto"/>
          <w:szCs w:val="21"/>
        </w:rPr>
        <w:t>规定的方式确定一个投标人获得中标人推荐资格，招标文件未规定的采取随机抽取方式确定，其他同品牌投标人</w:t>
      </w:r>
      <w:r>
        <w:rPr>
          <w:rFonts w:hint="eastAsia" w:ascii="宋体" w:hAnsi="宋体" w:eastAsia="宋体"/>
          <w:b/>
          <w:color w:val="auto"/>
          <w:szCs w:val="21"/>
        </w:rPr>
        <w:t>不作为中标候选人</w:t>
      </w:r>
      <w:r>
        <w:rPr>
          <w:rFonts w:hint="eastAsia" w:ascii="宋体" w:hAnsi="宋体" w:eastAsia="宋体"/>
          <w:color w:val="auto"/>
          <w:szCs w:val="21"/>
        </w:rPr>
        <w:t>。</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5.3非单一产品采购项目：多家投标人提供的核心产品品牌相同的，视为相同品牌，按本章本节第 5.2 款规定处理。</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5.</w:t>
      </w:r>
      <w:r>
        <w:rPr>
          <w:rFonts w:hint="eastAsia" w:ascii="宋体" w:hAnsi="宋体"/>
          <w:bCs/>
          <w:color w:val="auto"/>
          <w:szCs w:val="21"/>
          <w:lang w:val="en-US" w:eastAsia="zh-CN"/>
        </w:rPr>
        <w:t>4</w:t>
      </w:r>
      <w:r>
        <w:rPr>
          <w:rFonts w:hint="eastAsia" w:ascii="宋体" w:hAnsi="宋体" w:eastAsia="宋体"/>
          <w:bCs/>
          <w:color w:val="auto"/>
          <w:szCs w:val="21"/>
        </w:rPr>
        <w:t>政府采购政策：</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color w:val="auto"/>
          <w:szCs w:val="21"/>
        </w:rPr>
        <w:t>（1）</w:t>
      </w:r>
      <w:r>
        <w:rPr>
          <w:rFonts w:hint="eastAsia" w:ascii="宋体" w:hAnsi="宋体" w:eastAsia="宋体"/>
          <w:bCs/>
          <w:color w:val="auto"/>
          <w:szCs w:val="21"/>
        </w:rPr>
        <w:t>价格评审优惠：</w:t>
      </w:r>
      <w:r>
        <w:rPr>
          <w:rFonts w:hint="eastAsia" w:ascii="宋体" w:hAnsi="宋体" w:eastAsia="宋体"/>
          <w:bCs/>
          <w:color w:val="auto"/>
          <w:szCs w:val="21"/>
          <w:lang w:val="en-US" w:eastAsia="zh-CN"/>
        </w:rPr>
        <w:t>评审时</w:t>
      </w:r>
      <w:r>
        <w:rPr>
          <w:rFonts w:hint="eastAsia" w:ascii="宋体" w:hAnsi="宋体" w:eastAsia="宋体"/>
          <w:color w:val="auto"/>
          <w:szCs w:val="21"/>
        </w:rPr>
        <w:t>按</w:t>
      </w:r>
      <w:r>
        <w:rPr>
          <w:rFonts w:hint="eastAsia" w:ascii="宋体" w:hAnsi="宋体" w:eastAsia="宋体"/>
          <w:b/>
          <w:color w:val="auto"/>
          <w:szCs w:val="21"/>
        </w:rPr>
        <w:t>【评标方法及标准前附表】</w:t>
      </w:r>
      <w:r>
        <w:rPr>
          <w:rFonts w:hint="eastAsia" w:ascii="宋体" w:hAnsi="宋体" w:eastAsia="宋体"/>
          <w:color w:val="auto"/>
          <w:szCs w:val="21"/>
        </w:rPr>
        <w:t>及第二章“投标须知”的相关规定给予相应比例的价格折扣。</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color w:val="auto"/>
          <w:szCs w:val="21"/>
        </w:rPr>
        <w:t>（2）优先采购：</w:t>
      </w:r>
      <w:r>
        <w:rPr>
          <w:rFonts w:hint="eastAsia" w:ascii="宋体" w:hAnsi="宋体" w:eastAsia="宋体"/>
          <w:bCs/>
          <w:color w:val="auto"/>
          <w:szCs w:val="21"/>
        </w:rPr>
        <w:t>评审时按</w:t>
      </w:r>
      <w:r>
        <w:rPr>
          <w:rFonts w:hint="eastAsia" w:ascii="宋体" w:hAnsi="宋体" w:eastAsia="宋体"/>
          <w:b/>
          <w:color w:val="auto"/>
          <w:szCs w:val="21"/>
        </w:rPr>
        <w:t>【评标方法及标准前附表】</w:t>
      </w:r>
      <w:r>
        <w:rPr>
          <w:rFonts w:hint="eastAsia" w:ascii="宋体" w:hAnsi="宋体" w:eastAsia="宋体"/>
          <w:bCs/>
          <w:color w:val="auto"/>
          <w:szCs w:val="21"/>
        </w:rPr>
        <w:t>及第二章</w:t>
      </w:r>
      <w:r>
        <w:rPr>
          <w:rFonts w:hint="eastAsia" w:ascii="宋体" w:hAnsi="宋体" w:eastAsia="宋体"/>
          <w:color w:val="auto"/>
          <w:szCs w:val="21"/>
        </w:rPr>
        <w:t>“投标须知”</w:t>
      </w:r>
      <w:r>
        <w:rPr>
          <w:rFonts w:hint="eastAsia" w:ascii="宋体" w:hAnsi="宋体" w:eastAsia="宋体"/>
          <w:bCs/>
          <w:color w:val="auto"/>
          <w:szCs w:val="21"/>
        </w:rPr>
        <w:t>的相关规定给予相应比例的价格折扣或者加分。</w:t>
      </w:r>
    </w:p>
    <w:p>
      <w:pPr>
        <w:pStyle w:val="4"/>
        <w:keepNext w:val="0"/>
        <w:keepLines w:val="0"/>
        <w:adjustRightInd w:val="0"/>
        <w:snapToGrid w:val="0"/>
        <w:spacing w:before="156" w:beforeLines="50" w:after="0" w:line="360" w:lineRule="auto"/>
        <w:rPr>
          <w:rFonts w:ascii="黑体" w:hAnsi="黑体" w:eastAsia="黑体"/>
          <w:color w:val="auto"/>
          <w:sz w:val="24"/>
          <w:szCs w:val="24"/>
        </w:rPr>
      </w:pPr>
      <w:bookmarkStart w:id="43" w:name="_Toc20695"/>
      <w:r>
        <w:rPr>
          <w:rFonts w:hint="eastAsia" w:ascii="黑体" w:hAnsi="黑体" w:eastAsia="黑体"/>
          <w:bCs w:val="0"/>
          <w:color w:val="auto"/>
          <w:sz w:val="24"/>
          <w:szCs w:val="24"/>
        </w:rPr>
        <w:t>6．</w:t>
      </w:r>
      <w:r>
        <w:rPr>
          <w:rFonts w:hint="eastAsia" w:ascii="黑体" w:hAnsi="黑体" w:eastAsia="黑体"/>
          <w:color w:val="auto"/>
          <w:sz w:val="24"/>
          <w:szCs w:val="24"/>
        </w:rPr>
        <w:t>推荐中标候选人</w:t>
      </w:r>
      <w:bookmarkEnd w:id="43"/>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color w:val="auto"/>
          <w:szCs w:val="21"/>
        </w:rPr>
        <w:t>6.1最低评标价法：</w:t>
      </w:r>
      <w:r>
        <w:rPr>
          <w:rFonts w:hint="eastAsia" w:ascii="宋体" w:hAnsi="宋体" w:eastAsia="宋体"/>
          <w:bCs/>
          <w:color w:val="auto"/>
          <w:szCs w:val="21"/>
        </w:rPr>
        <w:t>评标结果按算术修正和落实政府采购政策需进行的价格扣除后的投标报价由低到高顺序排列。报价相同的并列，按</w:t>
      </w:r>
      <w:r>
        <w:rPr>
          <w:rFonts w:hint="eastAsia" w:ascii="宋体" w:hAnsi="宋体" w:eastAsia="宋体"/>
          <w:b/>
          <w:color w:val="auto"/>
          <w:szCs w:val="21"/>
        </w:rPr>
        <w:t>【评标方法及标准前附表】</w:t>
      </w:r>
      <w:r>
        <w:rPr>
          <w:rFonts w:hint="eastAsia" w:ascii="宋体" w:hAnsi="宋体" w:eastAsia="宋体"/>
          <w:color w:val="auto"/>
          <w:szCs w:val="21"/>
        </w:rPr>
        <w:t>规定的方式确定中标人；</w:t>
      </w:r>
      <w:r>
        <w:rPr>
          <w:rFonts w:hint="eastAsia" w:ascii="宋体" w:hAnsi="宋体" w:eastAsia="宋体"/>
          <w:bCs/>
          <w:color w:val="auto"/>
          <w:szCs w:val="21"/>
        </w:rPr>
        <w:t>招标文件未规定的，采取随机抽取的方式确定。</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6.2综合评分法：评标结果按评审后得分由高到低顺序排列。得分相同的，按投标报价由低到高顺序排列。得分且投标报价相同的并列，按</w:t>
      </w:r>
      <w:r>
        <w:rPr>
          <w:rFonts w:hint="eastAsia" w:ascii="宋体" w:hAnsi="宋体" w:eastAsia="宋体"/>
          <w:b/>
          <w:bCs/>
          <w:color w:val="auto"/>
          <w:szCs w:val="21"/>
        </w:rPr>
        <w:t>【评标方法及标准前附表】</w:t>
      </w:r>
      <w:r>
        <w:rPr>
          <w:rFonts w:hint="eastAsia" w:ascii="宋体" w:hAnsi="宋体" w:eastAsia="宋体"/>
          <w:bCs/>
          <w:color w:val="auto"/>
          <w:szCs w:val="21"/>
        </w:rPr>
        <w:t>规定的方式确定中标人；招标文件未规定的，采取随机抽取的方式确定。</w:t>
      </w:r>
    </w:p>
    <w:p>
      <w:pPr>
        <w:pStyle w:val="4"/>
        <w:keepNext w:val="0"/>
        <w:keepLines w:val="0"/>
        <w:adjustRightInd w:val="0"/>
        <w:snapToGrid w:val="0"/>
        <w:spacing w:before="156" w:beforeLines="50" w:after="0" w:line="360" w:lineRule="auto"/>
        <w:rPr>
          <w:rFonts w:ascii="黑体" w:hAnsi="黑体" w:eastAsia="黑体"/>
          <w:color w:val="auto"/>
          <w:sz w:val="24"/>
          <w:szCs w:val="24"/>
        </w:rPr>
      </w:pPr>
      <w:bookmarkStart w:id="44" w:name="_Toc24996"/>
      <w:r>
        <w:rPr>
          <w:rFonts w:hint="eastAsia" w:ascii="黑体" w:hAnsi="黑体" w:eastAsia="黑体"/>
          <w:bCs w:val="0"/>
          <w:color w:val="auto"/>
          <w:sz w:val="24"/>
          <w:szCs w:val="24"/>
        </w:rPr>
        <w:t>7．</w:t>
      </w:r>
      <w:r>
        <w:rPr>
          <w:rFonts w:hint="eastAsia" w:ascii="黑体" w:hAnsi="黑体" w:eastAsia="黑体"/>
          <w:color w:val="auto"/>
          <w:sz w:val="24"/>
          <w:szCs w:val="24"/>
        </w:rPr>
        <w:t>编写评标报告</w:t>
      </w:r>
      <w:bookmarkEnd w:id="44"/>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7.1评标</w:t>
      </w:r>
      <w:r>
        <w:rPr>
          <w:rFonts w:hint="eastAsia" w:ascii="宋体" w:hAnsi="宋体" w:eastAsia="宋体"/>
          <w:bCs/>
          <w:color w:val="auto"/>
          <w:szCs w:val="21"/>
        </w:rPr>
        <w:t>委员会</w:t>
      </w:r>
      <w:r>
        <w:rPr>
          <w:rFonts w:hint="eastAsia" w:ascii="宋体" w:hAnsi="宋体" w:eastAsia="宋体"/>
          <w:color w:val="auto"/>
          <w:szCs w:val="21"/>
        </w:rPr>
        <w:t>根据全体评标成员签字的原始评标记录和评标结果编写评标报告。</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color w:val="auto"/>
          <w:szCs w:val="21"/>
        </w:rPr>
        <w:t>7.2</w:t>
      </w:r>
      <w:r>
        <w:rPr>
          <w:rFonts w:hint="eastAsia" w:ascii="宋体" w:hAnsi="宋体" w:eastAsia="宋体"/>
          <w:bCs/>
          <w:color w:val="auto"/>
          <w:szCs w:val="21"/>
        </w:rPr>
        <w:t>评标委员会成员对需要共同认定的事项存在争议的，应当按照少数服从多数的原则作出结论。持不同意见的评标委员会成员应当在评标报告上签署不同意见及理由，否则视为同意评标报告。</w:t>
      </w:r>
    </w:p>
    <w:p>
      <w:pPr>
        <w:pStyle w:val="4"/>
        <w:keepNext w:val="0"/>
        <w:keepLines w:val="0"/>
        <w:adjustRightInd w:val="0"/>
        <w:snapToGrid w:val="0"/>
        <w:spacing w:before="156" w:beforeLines="50" w:after="0" w:line="360" w:lineRule="auto"/>
        <w:rPr>
          <w:rFonts w:ascii="黑体" w:hAnsi="黑体" w:eastAsia="黑体"/>
          <w:bCs w:val="0"/>
          <w:color w:val="auto"/>
          <w:sz w:val="24"/>
          <w:szCs w:val="24"/>
        </w:rPr>
      </w:pPr>
      <w:bookmarkStart w:id="45" w:name="_Toc30227"/>
      <w:r>
        <w:rPr>
          <w:rFonts w:hint="eastAsia" w:ascii="黑体" w:hAnsi="黑体" w:eastAsia="黑体"/>
          <w:bCs w:val="0"/>
          <w:color w:val="auto"/>
          <w:sz w:val="24"/>
          <w:szCs w:val="24"/>
        </w:rPr>
        <w:t>8．</w:t>
      </w:r>
      <w:r>
        <w:rPr>
          <w:rFonts w:hint="eastAsia" w:ascii="黑体" w:hAnsi="黑体" w:eastAsia="黑体"/>
          <w:color w:val="auto"/>
          <w:sz w:val="24"/>
          <w:szCs w:val="24"/>
        </w:rPr>
        <w:t>评标报告</w:t>
      </w:r>
      <w:r>
        <w:rPr>
          <w:rFonts w:hint="eastAsia" w:ascii="黑体" w:hAnsi="黑体" w:eastAsia="黑体"/>
          <w:bCs w:val="0"/>
          <w:color w:val="auto"/>
          <w:sz w:val="24"/>
          <w:szCs w:val="24"/>
        </w:rPr>
        <w:t>复核</w:t>
      </w:r>
      <w:bookmarkEnd w:id="45"/>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8.1汇总结束后，评标委员会应当进行复核，特别要对拟推荐为中标候选供应商的、报价最低的、投标文件被认定为无效的进行重点复核。</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8.2汇总完成后，除下列情形外，任何人不得修改评标结果：</w:t>
      </w:r>
    </w:p>
    <w:p>
      <w:pPr>
        <w:adjustRightInd w:val="0"/>
        <w:snapToGrid w:val="0"/>
        <w:spacing w:before="156" w:beforeLines="50" w:line="360"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（1）分值汇总计算错误的；</w:t>
      </w:r>
    </w:p>
    <w:p>
      <w:pPr>
        <w:adjustRightInd w:val="0"/>
        <w:snapToGrid w:val="0"/>
        <w:spacing w:before="156" w:beforeLines="50" w:line="360"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（2）分项评分超出评分标准范围的；</w:t>
      </w:r>
    </w:p>
    <w:p>
      <w:pPr>
        <w:adjustRightInd w:val="0"/>
        <w:snapToGrid w:val="0"/>
        <w:spacing w:before="156" w:beforeLines="50" w:line="360"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（3）评标委员会成员对客观评审因素评分不一致的；</w:t>
      </w:r>
    </w:p>
    <w:p>
      <w:pPr>
        <w:adjustRightInd w:val="0"/>
        <w:snapToGrid w:val="0"/>
        <w:spacing w:before="156" w:beforeLines="50" w:line="360"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（4）经评标委员会认定评分畸高、畸低的。</w:t>
      </w:r>
    </w:p>
    <w:p>
      <w:pPr>
        <w:adjustRightInd w:val="0"/>
        <w:snapToGrid w:val="0"/>
        <w:spacing w:before="156" w:beforeLines="50" w:line="360" w:lineRule="auto"/>
        <w:ind w:firstLine="420" w:firstLineChars="200"/>
        <w:jc w:val="left"/>
        <w:rPr>
          <w:rFonts w:ascii="宋体" w:hAnsi="宋体" w:eastAsia="宋体"/>
          <w:b/>
          <w:bCs/>
          <w:color w:val="auto"/>
          <w:szCs w:val="21"/>
        </w:rPr>
      </w:pPr>
      <w:r>
        <w:rPr>
          <w:rFonts w:hint="eastAsia" w:ascii="宋体" w:hAnsi="宋体" w:eastAsia="宋体"/>
          <w:bCs/>
          <w:color w:val="auto"/>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pStyle w:val="4"/>
        <w:keepNext w:val="0"/>
        <w:keepLines w:val="0"/>
        <w:adjustRightInd w:val="0"/>
        <w:snapToGrid w:val="0"/>
        <w:spacing w:before="156" w:beforeLines="50" w:after="0" w:line="360" w:lineRule="auto"/>
        <w:rPr>
          <w:rFonts w:ascii="黑体" w:hAnsi="黑体" w:eastAsia="黑体"/>
          <w:bCs w:val="0"/>
          <w:color w:val="auto"/>
          <w:sz w:val="24"/>
          <w:szCs w:val="24"/>
        </w:rPr>
      </w:pPr>
      <w:bookmarkStart w:id="46" w:name="_Toc11442"/>
      <w:r>
        <w:rPr>
          <w:rFonts w:hint="eastAsia" w:ascii="黑体" w:hAnsi="黑体" w:eastAsia="黑体"/>
          <w:color w:val="auto"/>
          <w:sz w:val="24"/>
          <w:szCs w:val="24"/>
        </w:rPr>
        <w:t>9．</w:t>
      </w:r>
      <w:r>
        <w:rPr>
          <w:rFonts w:hint="eastAsia" w:ascii="黑体" w:hAnsi="黑体" w:eastAsia="黑体"/>
          <w:bCs w:val="0"/>
          <w:color w:val="auto"/>
          <w:sz w:val="24"/>
          <w:szCs w:val="24"/>
        </w:rPr>
        <w:t>停止评标</w:t>
      </w:r>
      <w:bookmarkEnd w:id="46"/>
    </w:p>
    <w:p>
      <w:pPr>
        <w:adjustRightInd w:val="0"/>
        <w:snapToGrid w:val="0"/>
        <w:spacing w:before="156" w:beforeLines="50" w:line="360" w:lineRule="auto"/>
        <w:ind w:firstLine="420" w:firstLineChars="200"/>
        <w:jc w:val="left"/>
        <w:rPr>
          <w:rFonts w:ascii="宋体" w:hAnsi="宋体" w:eastAsia="宋体" w:cs="宋体"/>
          <w:color w:val="auto"/>
          <w:kern w:val="0"/>
          <w:szCs w:val="21"/>
        </w:rPr>
      </w:pPr>
      <w:r>
        <w:rPr>
          <w:rFonts w:hint="eastAsia" w:ascii="宋体" w:hAnsi="宋体" w:eastAsia="宋体"/>
          <w:bCs/>
          <w:color w:val="auto"/>
          <w:szCs w:val="21"/>
        </w:rPr>
        <w:t>9.1</w:t>
      </w:r>
      <w:r>
        <w:rPr>
          <w:rFonts w:hint="eastAsia" w:ascii="宋体" w:hAnsi="宋体" w:eastAsia="宋体" w:cs="宋体"/>
          <w:color w:val="auto"/>
          <w:kern w:val="0"/>
          <w:szCs w:val="21"/>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pPr>
        <w:pStyle w:val="4"/>
        <w:keepNext w:val="0"/>
        <w:keepLines w:val="0"/>
        <w:adjustRightInd w:val="0"/>
        <w:snapToGrid w:val="0"/>
        <w:spacing w:before="156" w:beforeLines="50" w:after="0" w:line="360" w:lineRule="auto"/>
        <w:rPr>
          <w:rFonts w:hint="eastAsia" w:ascii="黑体" w:hAnsi="黑体" w:eastAsia="黑体"/>
          <w:color w:val="auto"/>
          <w:sz w:val="24"/>
          <w:szCs w:val="24"/>
        </w:rPr>
      </w:pPr>
      <w:bookmarkStart w:id="47" w:name="_Toc5062"/>
      <w:r>
        <w:rPr>
          <w:rFonts w:hint="eastAsia" w:ascii="黑体" w:hAnsi="黑体" w:eastAsia="黑体"/>
          <w:color w:val="auto"/>
          <w:sz w:val="24"/>
          <w:szCs w:val="24"/>
        </w:rPr>
        <w:t>10</w:t>
      </w:r>
      <w:r>
        <w:rPr>
          <w:rFonts w:hint="eastAsia" w:ascii="黑体" w:hAnsi="黑体" w:eastAsia="黑体" w:cs="宋体"/>
          <w:color w:val="auto"/>
          <w:kern w:val="0"/>
          <w:sz w:val="24"/>
          <w:szCs w:val="24"/>
        </w:rPr>
        <w:t>．</w:t>
      </w:r>
      <w:r>
        <w:rPr>
          <w:rFonts w:hint="eastAsia" w:ascii="黑体" w:hAnsi="黑体" w:eastAsia="黑体"/>
          <w:color w:val="auto"/>
          <w:sz w:val="24"/>
          <w:szCs w:val="24"/>
        </w:rPr>
        <w:t>废标</w:t>
      </w:r>
      <w:bookmarkEnd w:id="47"/>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10.1 根据有关法律法规和招标文件的有关规定，如出现下列情况之一的，应予以废标：</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（1）符合专业条件的投标人或者对招标文件作实质响应的投标人不足三家的；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（2）出现影响采购公正的违法、违规行为的；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（3）投标人的报价均超过采购项目预算，</w:t>
      </w:r>
      <w:r>
        <w:rPr>
          <w:rFonts w:hint="eastAsia" w:ascii="宋体" w:hAnsi="宋体"/>
          <w:color w:val="auto"/>
          <w:szCs w:val="21"/>
          <w:lang w:eastAsia="zh-CN"/>
        </w:rPr>
        <w:t>采购人</w:t>
      </w:r>
      <w:r>
        <w:rPr>
          <w:rFonts w:hint="eastAsia" w:ascii="宋体" w:hAnsi="宋体" w:eastAsia="宋体"/>
          <w:color w:val="auto"/>
          <w:szCs w:val="21"/>
        </w:rPr>
        <w:t>不能支付的；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（4）因重大变故，采购任务取消的。</w:t>
      </w:r>
    </w:p>
    <w:p>
      <w:pPr>
        <w:pStyle w:val="4"/>
        <w:keepNext w:val="0"/>
        <w:keepLines w:val="0"/>
        <w:adjustRightInd w:val="0"/>
        <w:snapToGrid w:val="0"/>
        <w:spacing w:before="156" w:beforeLines="50" w:after="0" w:line="360" w:lineRule="auto"/>
        <w:rPr>
          <w:rFonts w:ascii="黑体" w:hAnsi="黑体" w:eastAsia="黑体"/>
          <w:bCs w:val="0"/>
          <w:color w:val="auto"/>
          <w:sz w:val="24"/>
          <w:szCs w:val="24"/>
        </w:rPr>
      </w:pPr>
      <w:bookmarkStart w:id="48" w:name="_Toc18850"/>
      <w:r>
        <w:rPr>
          <w:rFonts w:hint="eastAsia" w:ascii="黑体" w:hAnsi="黑体" w:eastAsia="黑体" w:cs="宋体"/>
          <w:color w:val="auto"/>
          <w:kern w:val="0"/>
          <w:sz w:val="24"/>
          <w:szCs w:val="24"/>
        </w:rPr>
        <w:t>11．重新组建评标委员会进行评标</w:t>
      </w:r>
      <w:bookmarkEnd w:id="48"/>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11.1评标委员会或者其成员存在下列情形导致评标结果无效的，采购人、采购代理机构可以重新组建评标委员会进行评标，并书面报告本级财政部门，但采购合同已经履行的除外：</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（1）评标委员会组成不符合《政府采购货物和服务招标投标管理办法》规定的；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（2）有《政府采购货物和服务招标投标管理办法》第六十二条第一至五项情形的；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（3）评标委员会及其成员独立评标受到非法干预的；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（4）有政府采购法实施条例第七十五条规定的违法行为的。</w:t>
      </w:r>
    </w:p>
    <w:p>
      <w:pPr>
        <w:adjustRightInd w:val="0"/>
        <w:snapToGrid w:val="0"/>
        <w:spacing w:before="156" w:beforeLines="50" w:line="360" w:lineRule="auto"/>
        <w:ind w:firstLine="420" w:firstLineChars="200"/>
        <w:jc w:val="left"/>
        <w:rPr>
          <w:rFonts w:ascii="黑体" w:hAnsi="华文中宋" w:eastAsia="黑体"/>
          <w:b/>
          <w:color w:val="auto"/>
          <w:sz w:val="13"/>
          <w:szCs w:val="13"/>
        </w:rPr>
      </w:pPr>
      <w:r>
        <w:rPr>
          <w:rFonts w:hint="eastAsia" w:ascii="宋体" w:hAnsi="宋体" w:eastAsia="宋体"/>
          <w:color w:val="auto"/>
          <w:szCs w:val="21"/>
        </w:rPr>
        <w:t>11.2有违法违规行为的原评标委员会成员不得参加重新组建的评标委员会。</w:t>
      </w:r>
      <w:r>
        <w:rPr>
          <w:rFonts w:ascii="黑体" w:hAnsi="华文中宋" w:eastAsia="黑体"/>
          <w:b/>
          <w:color w:val="auto"/>
          <w:sz w:val="32"/>
          <w:szCs w:val="32"/>
        </w:rPr>
        <w:br w:type="page"/>
      </w:r>
    </w:p>
    <w:p>
      <w:pPr>
        <w:pStyle w:val="3"/>
        <w:adjustRightInd w:val="0"/>
        <w:snapToGrid w:val="0"/>
        <w:jc w:val="center"/>
        <w:rPr>
          <w:rFonts w:ascii="黑体" w:hAnsi="华文中宋" w:eastAsia="黑体"/>
          <w:color w:val="auto"/>
          <w:sz w:val="28"/>
          <w:szCs w:val="28"/>
        </w:rPr>
      </w:pPr>
      <w:bookmarkStart w:id="49" w:name="_Toc755"/>
      <w:r>
        <w:rPr>
          <w:rFonts w:hint="eastAsia" w:ascii="黑体" w:hAnsi="华文中宋" w:eastAsia="黑体"/>
          <w:color w:val="auto"/>
          <w:sz w:val="28"/>
          <w:szCs w:val="28"/>
        </w:rPr>
        <w:t>第三节 投标文件的符合性审查</w:t>
      </w:r>
      <w:bookmarkEnd w:id="49"/>
    </w:p>
    <w:p>
      <w:pPr>
        <w:adjustRightInd w:val="0"/>
        <w:snapToGrid w:val="0"/>
        <w:spacing w:before="156" w:beforeLines="50" w:line="360" w:lineRule="auto"/>
        <w:rPr>
          <w:rFonts w:ascii="黑体" w:hAnsi="黑体" w:eastAsia="黑体"/>
          <w:b/>
          <w:color w:val="auto"/>
          <w:sz w:val="24"/>
        </w:rPr>
      </w:pPr>
      <w:r>
        <w:rPr>
          <w:rFonts w:hint="eastAsia" w:ascii="黑体" w:hAnsi="黑体" w:eastAsia="黑体"/>
          <w:b/>
          <w:color w:val="auto"/>
          <w:sz w:val="24"/>
        </w:rPr>
        <w:t>1.符合性审查</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eastAsia="宋体"/>
          <w:color w:val="auto"/>
        </w:rPr>
        <w:t>1.1</w:t>
      </w:r>
      <w:r>
        <w:rPr>
          <w:rFonts w:hint="eastAsia" w:ascii="宋体" w:hAnsi="宋体" w:eastAsia="宋体"/>
          <w:color w:val="auto"/>
          <w:szCs w:val="21"/>
        </w:rPr>
        <w:t>评标委员会应按本章本节附表1“符合性审查表”所列审查项目及审查标准，</w:t>
      </w:r>
      <w:r>
        <w:rPr>
          <w:rFonts w:hint="eastAsia" w:ascii="宋体" w:hAnsi="宋体" w:eastAsia="宋体"/>
          <w:color w:val="auto"/>
        </w:rPr>
        <w:t>对符合资格条件的投标人的投标文件进行符合性审查，以确定其是否满足招标文件的实质性要求。</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（2）投标人不得通过修正或撤销不合要求的偏离从而使其投标成为实质上响应的投标。</w:t>
      </w:r>
    </w:p>
    <w:p>
      <w:pPr>
        <w:adjustRightInd w:val="0"/>
        <w:snapToGrid w:val="0"/>
        <w:spacing w:before="156" w:beforeLines="50" w:line="360" w:lineRule="auto"/>
        <w:ind w:firstLine="420" w:firstLineChars="200"/>
        <w:jc w:val="left"/>
        <w:rPr>
          <w:rFonts w:ascii="宋体" w:hAnsi="宋体" w:eastAsia="宋体"/>
          <w:color w:val="auto"/>
        </w:rPr>
      </w:pPr>
      <w:r>
        <w:rPr>
          <w:rFonts w:hint="eastAsia" w:ascii="宋体" w:hAnsi="宋体" w:eastAsia="宋体"/>
          <w:color w:val="auto"/>
          <w:kern w:val="0"/>
          <w:szCs w:val="21"/>
        </w:rPr>
        <w:t>1.2</w:t>
      </w:r>
      <w:r>
        <w:rPr>
          <w:rFonts w:hint="eastAsia" w:ascii="宋体" w:hAnsi="宋体" w:eastAsia="宋体"/>
          <w:color w:val="auto"/>
        </w:rPr>
        <w:t>未通过符合性审查的投标人，其投标将被认定为投标无效，不能进入下一阶段评审。通过符合性审查的投标人数量不足 3 家的，不得作进一步的比较和评价。</w:t>
      </w:r>
    </w:p>
    <w:p>
      <w:pPr>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2.投标无效</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2.1投标人存在下列情况之一的，符合性审查不合格，投标无效：</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（1）投标文件中商务技术文件未按照招标文件规定要求签署、盖章的；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（2）投标文件没有对招标文件的实质性要求和条件作出响应，或者对招标文件的偏离超出招标文件规定的偏离</w:t>
      </w:r>
      <w:r>
        <w:rPr>
          <w:rFonts w:hint="eastAsia" w:ascii="宋体" w:hAnsi="宋体" w:eastAsia="宋体"/>
          <w:color w:val="auto"/>
        </w:rPr>
        <w:t>范围和幅度</w:t>
      </w:r>
      <w:r>
        <w:rPr>
          <w:rFonts w:hint="eastAsia" w:ascii="宋体" w:hAnsi="宋体" w:eastAsia="宋体"/>
          <w:color w:val="auto"/>
          <w:szCs w:val="21"/>
        </w:rPr>
        <w:t>；</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（3）投标有效期不足的；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（4）投标文件含有采购人不能接受的附加条件的；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（5）不符合本节第1.1款规定符合性审查标准的；</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（6）法律、法规和招标文件规定的其他投标无效情形的。</w:t>
      </w:r>
    </w:p>
    <w:p>
      <w:pPr>
        <w:adjustRightInd w:val="0"/>
        <w:snapToGrid w:val="0"/>
        <w:spacing w:before="156" w:beforeLines="50" w:line="360" w:lineRule="auto"/>
        <w:ind w:firstLine="420" w:firstLineChars="200"/>
        <w:jc w:val="left"/>
        <w:rPr>
          <w:rFonts w:ascii="宋体" w:hAnsi="宋体" w:eastAsia="宋体"/>
          <w:color w:val="auto"/>
          <w:kern w:val="0"/>
          <w:szCs w:val="21"/>
        </w:rPr>
      </w:pPr>
      <w:r>
        <w:rPr>
          <w:rFonts w:hint="eastAsia" w:ascii="宋体" w:hAnsi="宋体" w:eastAsia="宋体"/>
          <w:color w:val="auto"/>
          <w:kern w:val="0"/>
          <w:szCs w:val="21"/>
        </w:rPr>
        <w:t>2.2在评标过程中发现投标人有不遵循公平竞争的原则，恶意串通，妨碍其他投标人的竞争行为，损害采购人或者其他投标人的合法权益的，评标委员会应当认定其</w:t>
      </w:r>
      <w:r>
        <w:rPr>
          <w:rFonts w:hint="eastAsia" w:ascii="宋体" w:hAnsi="宋体" w:eastAsia="宋体"/>
          <w:b/>
          <w:color w:val="auto"/>
          <w:kern w:val="0"/>
          <w:szCs w:val="21"/>
        </w:rPr>
        <w:t>投标无效</w:t>
      </w:r>
      <w:r>
        <w:rPr>
          <w:rFonts w:hint="eastAsia" w:ascii="宋体" w:hAnsi="宋体" w:eastAsia="宋体"/>
          <w:color w:val="auto"/>
          <w:kern w:val="0"/>
          <w:szCs w:val="21"/>
        </w:rPr>
        <w:t>，并书面报告本级财政部门。</w:t>
      </w:r>
    </w:p>
    <w:p>
      <w:pPr>
        <w:rPr>
          <w:color w:val="auto"/>
        </w:rPr>
      </w:pPr>
    </w:p>
    <w:p>
      <w:pPr>
        <w:rPr>
          <w:color w:val="auto"/>
        </w:rPr>
      </w:pPr>
    </w:p>
    <w:p>
      <w:pPr>
        <w:widowControl/>
        <w:jc w:val="left"/>
        <w:rPr>
          <w:rFonts w:ascii="黑体" w:hAnsi="黑体"/>
          <w:b/>
          <w:color w:val="auto"/>
          <w:sz w:val="10"/>
          <w:szCs w:val="10"/>
        </w:rPr>
      </w:pPr>
      <w:r>
        <w:rPr>
          <w:rFonts w:ascii="黑体" w:hAnsi="黑体"/>
          <w:b/>
          <w:color w:val="auto"/>
          <w:szCs w:val="21"/>
        </w:rPr>
        <w:br w:type="page"/>
      </w:r>
    </w:p>
    <w:p>
      <w:pPr>
        <w:pStyle w:val="4"/>
        <w:adjustRightInd w:val="0"/>
        <w:snapToGrid w:val="0"/>
        <w:spacing w:before="156" w:beforeLines="50" w:after="0" w:line="360" w:lineRule="auto"/>
        <w:rPr>
          <w:rFonts w:hint="eastAsia" w:ascii="黑体" w:hAnsi="黑体" w:eastAsia="黑体" w:cs="黑体"/>
          <w:b w:val="0"/>
          <w:bCs w:val="0"/>
          <w:color w:val="auto"/>
          <w:sz w:val="21"/>
          <w:szCs w:val="21"/>
        </w:rPr>
      </w:pPr>
      <w:bookmarkStart w:id="50" w:name="_Toc12740"/>
      <w:r>
        <w:rPr>
          <w:rFonts w:hint="eastAsia" w:ascii="黑体" w:hAnsi="黑体" w:eastAsia="黑体" w:cs="黑体"/>
          <w:b w:val="0"/>
          <w:bCs w:val="0"/>
          <w:color w:val="auto"/>
          <w:sz w:val="21"/>
          <w:szCs w:val="21"/>
        </w:rPr>
        <w:t>附表1 符合性审查表</w:t>
      </w:r>
      <w:bookmarkEnd w:id="50"/>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符合性审查表</w:t>
      </w: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 xml:space="preserve">项目名称：                                           政府采购计划编号： </w:t>
      </w:r>
    </w:p>
    <w:tbl>
      <w:tblPr>
        <w:tblStyle w:val="2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733"/>
        <w:gridCol w:w="564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noWrap w:val="0"/>
            <w:vAlign w:val="center"/>
          </w:tcPr>
          <w:p>
            <w:pPr>
              <w:adjustRightInd w:val="0"/>
              <w:snapToGrid w:val="0"/>
              <w:spacing w:before="156" w:beforeLines="50" w:line="360"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序号</w:t>
            </w:r>
          </w:p>
        </w:tc>
        <w:tc>
          <w:tcPr>
            <w:tcW w:w="2733" w:type="dxa"/>
            <w:noWrap w:val="0"/>
            <w:vAlign w:val="center"/>
          </w:tcPr>
          <w:p>
            <w:pPr>
              <w:adjustRightInd w:val="0"/>
              <w:snapToGrid w:val="0"/>
              <w:spacing w:before="156" w:beforeLines="50" w:line="360"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审查项目</w:t>
            </w:r>
          </w:p>
        </w:tc>
        <w:tc>
          <w:tcPr>
            <w:tcW w:w="5644" w:type="dxa"/>
            <w:noWrap w:val="0"/>
            <w:vAlign w:val="center"/>
          </w:tcPr>
          <w:p>
            <w:pPr>
              <w:adjustRightInd w:val="0"/>
              <w:snapToGrid w:val="0"/>
              <w:spacing w:before="156" w:beforeLines="50" w:line="360"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1</w:t>
            </w:r>
          </w:p>
        </w:tc>
        <w:tc>
          <w:tcPr>
            <w:tcW w:w="2733" w:type="dxa"/>
            <w:noWrap w:val="0"/>
            <w:vAlign w:val="center"/>
          </w:tcPr>
          <w:p>
            <w:pPr>
              <w:adjustRightInd w:val="0"/>
              <w:snapToGrid w:val="0"/>
              <w:spacing w:before="156" w:beforeLines="50" w:line="360" w:lineRule="auto"/>
              <w:jc w:val="left"/>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文件签署、盖章</w:t>
            </w:r>
          </w:p>
        </w:tc>
        <w:tc>
          <w:tcPr>
            <w:tcW w:w="5644" w:type="dxa"/>
            <w:noWrap w:val="0"/>
            <w:vAlign w:val="center"/>
          </w:tcPr>
          <w:p>
            <w:pPr>
              <w:adjustRightInd w:val="0"/>
              <w:snapToGrid w:val="0"/>
              <w:spacing w:before="156" w:beforeLines="50" w:line="360" w:lineRule="auto"/>
              <w:jc w:val="left"/>
              <w:rPr>
                <w:rFonts w:ascii="宋体" w:hAnsi="宋体" w:eastAsia="宋体" w:cs="宋体"/>
                <w:color w:val="auto"/>
                <w:kern w:val="0"/>
                <w:sz w:val="21"/>
                <w:szCs w:val="21"/>
                <w:lang w:val="en-US" w:eastAsia="zh-CN" w:bidi="ar-SA"/>
              </w:rPr>
            </w:pPr>
            <w:r>
              <w:rPr>
                <w:rFonts w:hint="eastAsia" w:ascii="宋体" w:hAnsi="宋体"/>
                <w:szCs w:val="21"/>
              </w:rPr>
              <w:t>投标文件中商务技术文件</w:t>
            </w:r>
            <w:r>
              <w:rPr>
                <w:rFonts w:hint="eastAsia" w:ascii="宋体" w:hAnsi="宋体"/>
                <w:szCs w:val="21"/>
                <w:lang w:val="en-US" w:eastAsia="zh-CN"/>
              </w:rPr>
              <w:t>是否</w:t>
            </w:r>
            <w:r>
              <w:rPr>
                <w:rFonts w:hint="eastAsia" w:ascii="宋体" w:hAnsi="宋体"/>
                <w:szCs w:val="21"/>
              </w:rPr>
              <w:t>按照招标文件规定要求签署、盖章的；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2</w:t>
            </w:r>
          </w:p>
        </w:tc>
        <w:tc>
          <w:tcPr>
            <w:tcW w:w="2733" w:type="dxa"/>
            <w:noWrap w:val="0"/>
            <w:vAlign w:val="center"/>
          </w:tcPr>
          <w:p>
            <w:pPr>
              <w:adjustRightInd w:val="0"/>
              <w:snapToGrid w:val="0"/>
              <w:spacing w:before="156" w:beforeLines="50" w:line="360" w:lineRule="auto"/>
              <w:jc w:val="left"/>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实质性响应</w:t>
            </w:r>
          </w:p>
        </w:tc>
        <w:tc>
          <w:tcPr>
            <w:tcW w:w="5644" w:type="dxa"/>
            <w:noWrap w:val="0"/>
            <w:vAlign w:val="center"/>
          </w:tcPr>
          <w:p>
            <w:pPr>
              <w:adjustRightInd w:val="0"/>
              <w:snapToGrid w:val="0"/>
              <w:spacing w:before="156" w:beforeLines="50" w:line="360" w:lineRule="auto"/>
              <w:jc w:val="left"/>
              <w:rPr>
                <w:rFonts w:ascii="宋体" w:hAnsi="宋体" w:eastAsia="宋体" w:cs="宋体"/>
                <w:color w:val="auto"/>
                <w:kern w:val="0"/>
                <w:sz w:val="21"/>
                <w:szCs w:val="21"/>
                <w:lang w:val="en-US" w:eastAsia="zh-CN" w:bidi="ar-SA"/>
              </w:rPr>
            </w:pPr>
            <w:r>
              <w:rPr>
                <w:rFonts w:hint="eastAsia" w:ascii="宋体" w:hAnsi="宋体"/>
                <w:szCs w:val="21"/>
              </w:rPr>
              <w:t>投标文件</w:t>
            </w:r>
            <w:r>
              <w:rPr>
                <w:rFonts w:hint="eastAsia" w:ascii="宋体" w:hAnsi="宋体"/>
                <w:szCs w:val="21"/>
                <w:lang w:val="en-US" w:eastAsia="zh-CN"/>
              </w:rPr>
              <w:t>是否</w:t>
            </w:r>
            <w:r>
              <w:rPr>
                <w:rFonts w:hint="eastAsia" w:ascii="宋体" w:hAnsi="宋体"/>
                <w:szCs w:val="21"/>
              </w:rPr>
              <w:t>对招标文件的实质性要求和条件作出响应，或者对招标文件的偏离超出招标文件规定的偏离范围和幅度；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3</w:t>
            </w:r>
          </w:p>
        </w:tc>
        <w:tc>
          <w:tcPr>
            <w:tcW w:w="2733" w:type="dxa"/>
            <w:noWrap w:val="0"/>
            <w:vAlign w:val="top"/>
          </w:tcPr>
          <w:p>
            <w:pPr>
              <w:adjustRightInd w:val="0"/>
              <w:snapToGrid w:val="0"/>
              <w:spacing w:before="156" w:beforeLines="50" w:line="360" w:lineRule="auto"/>
              <w:jc w:val="left"/>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投标有效期</w:t>
            </w:r>
          </w:p>
        </w:tc>
        <w:tc>
          <w:tcPr>
            <w:tcW w:w="5644" w:type="dxa"/>
            <w:noWrap w:val="0"/>
            <w:vAlign w:val="top"/>
          </w:tcPr>
          <w:p>
            <w:pPr>
              <w:adjustRightInd w:val="0"/>
              <w:snapToGrid w:val="0"/>
              <w:spacing w:before="156" w:beforeLines="50" w:line="360" w:lineRule="auto"/>
              <w:jc w:val="left"/>
              <w:rPr>
                <w:rFonts w:ascii="宋体" w:hAnsi="宋体" w:eastAsia="宋体" w:cs="宋体"/>
                <w:color w:val="auto"/>
                <w:kern w:val="0"/>
                <w:sz w:val="21"/>
                <w:szCs w:val="21"/>
                <w:lang w:val="en-US" w:eastAsia="zh-CN" w:bidi="ar-SA"/>
              </w:rPr>
            </w:pPr>
            <w:r>
              <w:rPr>
                <w:rFonts w:hint="eastAsia" w:ascii="宋体" w:hAnsi="宋体"/>
                <w:szCs w:val="21"/>
              </w:rPr>
              <w:t>投标有效期</w:t>
            </w:r>
            <w:r>
              <w:rPr>
                <w:rFonts w:hint="eastAsia" w:ascii="宋体" w:hAnsi="宋体"/>
                <w:szCs w:val="21"/>
                <w:lang w:val="en-US" w:eastAsia="zh-CN"/>
              </w:rPr>
              <w:t>是否满</w:t>
            </w:r>
            <w:r>
              <w:rPr>
                <w:rFonts w:hint="eastAsia" w:ascii="宋体" w:hAnsi="宋体"/>
                <w:szCs w:val="21"/>
              </w:rPr>
              <w:t>足的；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4</w:t>
            </w:r>
          </w:p>
        </w:tc>
        <w:tc>
          <w:tcPr>
            <w:tcW w:w="2733" w:type="dxa"/>
            <w:noWrap w:val="0"/>
            <w:vAlign w:val="center"/>
          </w:tcPr>
          <w:p>
            <w:pPr>
              <w:adjustRightInd w:val="0"/>
              <w:snapToGrid w:val="0"/>
              <w:spacing w:before="156" w:beforeLines="50" w:line="360" w:lineRule="auto"/>
              <w:jc w:val="left"/>
              <w:rPr>
                <w:rFonts w:ascii="宋体" w:hAnsi="宋体" w:eastAsia="宋体"/>
                <w:color w:val="auto"/>
                <w:kern w:val="0"/>
                <w:szCs w:val="21"/>
              </w:rPr>
            </w:pPr>
            <w:r>
              <w:rPr>
                <w:rFonts w:hint="eastAsia" w:ascii="宋体" w:hAnsi="宋体"/>
                <w:szCs w:val="21"/>
              </w:rPr>
              <w:t>不能接受的附加条件的</w:t>
            </w:r>
          </w:p>
        </w:tc>
        <w:tc>
          <w:tcPr>
            <w:tcW w:w="5644" w:type="dxa"/>
            <w:noWrap w:val="0"/>
            <w:vAlign w:val="center"/>
          </w:tcPr>
          <w:p>
            <w:pPr>
              <w:adjustRightInd w:val="0"/>
              <w:snapToGrid w:val="0"/>
              <w:spacing w:before="156" w:beforeLines="50" w:line="360" w:lineRule="auto"/>
              <w:jc w:val="left"/>
              <w:rPr>
                <w:rFonts w:ascii="宋体" w:hAnsi="宋体" w:eastAsia="宋体" w:cs="Times New Roman"/>
                <w:color w:val="auto"/>
                <w:kern w:val="0"/>
                <w:sz w:val="21"/>
                <w:szCs w:val="21"/>
                <w:lang w:val="en-US" w:eastAsia="zh-CN" w:bidi="ar-SA"/>
              </w:rPr>
            </w:pPr>
            <w:r>
              <w:rPr>
                <w:rFonts w:hint="eastAsia" w:ascii="宋体" w:hAnsi="宋体"/>
                <w:szCs w:val="21"/>
              </w:rPr>
              <w:t>投标文件</w:t>
            </w:r>
            <w:r>
              <w:rPr>
                <w:rFonts w:hint="eastAsia" w:ascii="宋体" w:hAnsi="宋体"/>
                <w:szCs w:val="21"/>
                <w:lang w:val="en-US" w:eastAsia="zh-CN"/>
              </w:rPr>
              <w:t>是否</w:t>
            </w:r>
            <w:r>
              <w:rPr>
                <w:rFonts w:hint="eastAsia" w:ascii="宋体" w:hAnsi="宋体"/>
                <w:szCs w:val="21"/>
              </w:rPr>
              <w:t>含有采购人不能接受的附加条件的；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5</w:t>
            </w:r>
          </w:p>
        </w:tc>
        <w:tc>
          <w:tcPr>
            <w:tcW w:w="2733" w:type="dxa"/>
            <w:noWrap w:val="0"/>
            <w:vAlign w:val="center"/>
          </w:tcPr>
          <w:p>
            <w:pPr>
              <w:adjustRightInd w:val="0"/>
              <w:snapToGrid w:val="0"/>
              <w:spacing w:before="156" w:beforeLines="50" w:line="360" w:lineRule="auto"/>
              <w:jc w:val="left"/>
              <w:rPr>
                <w:rFonts w:ascii="宋体" w:hAnsi="宋体" w:eastAsia="宋体"/>
                <w:color w:val="auto"/>
                <w:kern w:val="0"/>
                <w:szCs w:val="21"/>
              </w:rPr>
            </w:pPr>
            <w:r>
              <w:rPr>
                <w:rFonts w:hint="eastAsia" w:ascii="宋体" w:hAnsi="宋体"/>
                <w:szCs w:val="21"/>
              </w:rPr>
              <w:t>第1.1款规定符合性审查标准</w:t>
            </w:r>
          </w:p>
        </w:tc>
        <w:tc>
          <w:tcPr>
            <w:tcW w:w="5644" w:type="dxa"/>
            <w:noWrap w:val="0"/>
            <w:vAlign w:val="center"/>
          </w:tcPr>
          <w:p>
            <w:pPr>
              <w:adjustRightInd w:val="0"/>
              <w:snapToGrid w:val="0"/>
              <w:spacing w:before="156" w:beforeLines="50" w:line="360" w:lineRule="auto"/>
              <w:jc w:val="left"/>
              <w:rPr>
                <w:rFonts w:ascii="宋体" w:hAnsi="宋体" w:eastAsia="宋体" w:cs="Times New Roman"/>
                <w:color w:val="auto"/>
                <w:kern w:val="0"/>
                <w:sz w:val="21"/>
                <w:szCs w:val="21"/>
                <w:lang w:val="en-US" w:eastAsia="zh-CN" w:bidi="ar-SA"/>
              </w:rPr>
            </w:pPr>
            <w:r>
              <w:rPr>
                <w:rFonts w:hint="eastAsia" w:ascii="宋体" w:hAnsi="宋体"/>
                <w:szCs w:val="21"/>
                <w:lang w:val="en-US" w:eastAsia="zh-CN"/>
              </w:rPr>
              <w:t>是否</w:t>
            </w:r>
            <w:r>
              <w:rPr>
                <w:rFonts w:hint="eastAsia" w:ascii="宋体" w:hAnsi="宋体"/>
                <w:szCs w:val="21"/>
              </w:rPr>
              <w:t>符合本节第1.1款规定符合性审查标准的；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6</w:t>
            </w:r>
          </w:p>
        </w:tc>
        <w:tc>
          <w:tcPr>
            <w:tcW w:w="2733" w:type="dxa"/>
            <w:noWrap w:val="0"/>
            <w:vAlign w:val="center"/>
          </w:tcPr>
          <w:p>
            <w:pPr>
              <w:adjustRightInd w:val="0"/>
              <w:snapToGrid w:val="0"/>
              <w:spacing w:before="156" w:beforeLines="50" w:line="360" w:lineRule="auto"/>
              <w:jc w:val="left"/>
              <w:rPr>
                <w:rFonts w:ascii="宋体" w:hAnsi="宋体" w:eastAsia="宋体" w:cs="宋体"/>
                <w:color w:val="auto"/>
                <w:kern w:val="0"/>
                <w:szCs w:val="21"/>
              </w:rPr>
            </w:pPr>
            <w:r>
              <w:rPr>
                <w:rFonts w:hint="eastAsia" w:ascii="宋体" w:hAnsi="宋体"/>
                <w:szCs w:val="21"/>
              </w:rPr>
              <w:t>法律、法规和招标文件规定的其他投标无效情形的</w:t>
            </w:r>
          </w:p>
        </w:tc>
        <w:tc>
          <w:tcPr>
            <w:tcW w:w="5644" w:type="dxa"/>
            <w:noWrap w:val="0"/>
            <w:vAlign w:val="center"/>
          </w:tcPr>
          <w:p>
            <w:pPr>
              <w:adjustRightInd w:val="0"/>
              <w:snapToGrid w:val="0"/>
              <w:spacing w:before="156" w:beforeLines="50" w:line="360" w:lineRule="auto"/>
              <w:jc w:val="left"/>
              <w:rPr>
                <w:rFonts w:ascii="宋体" w:hAnsi="宋体" w:eastAsia="宋体" w:cs="宋体"/>
                <w:color w:val="auto"/>
                <w:kern w:val="0"/>
                <w:sz w:val="21"/>
                <w:szCs w:val="21"/>
                <w:lang w:val="en-US" w:eastAsia="zh-CN" w:bidi="ar-SA"/>
              </w:rPr>
            </w:pPr>
            <w:r>
              <w:rPr>
                <w:rFonts w:hint="eastAsia" w:ascii="宋体" w:hAnsi="宋体"/>
                <w:szCs w:val="21"/>
              </w:rPr>
              <w:t>法律、法规和招标文件规定的其他投标无效情形的。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7</w:t>
            </w:r>
          </w:p>
        </w:tc>
        <w:tc>
          <w:tcPr>
            <w:tcW w:w="2733" w:type="dxa"/>
            <w:noWrap w:val="0"/>
            <w:vAlign w:val="top"/>
          </w:tcPr>
          <w:p>
            <w:pPr>
              <w:adjustRightInd w:val="0"/>
              <w:snapToGrid w:val="0"/>
              <w:spacing w:before="156" w:beforeLines="50" w:line="360" w:lineRule="auto"/>
              <w:jc w:val="left"/>
              <w:rPr>
                <w:rFonts w:ascii="宋体" w:hAnsi="宋体" w:eastAsia="宋体" w:cs="宋体"/>
                <w:color w:val="auto"/>
                <w:kern w:val="0"/>
                <w:szCs w:val="21"/>
              </w:rPr>
            </w:pPr>
          </w:p>
        </w:tc>
        <w:tc>
          <w:tcPr>
            <w:tcW w:w="5644"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olor w:val="auto"/>
                <w:kern w:val="0"/>
                <w:szCs w:val="21"/>
              </w:rPr>
            </w:pPr>
            <w:r>
              <w:rPr>
                <w:rFonts w:hint="eastAsia" w:ascii="宋体" w:hAnsi="宋体" w:eastAsia="宋体"/>
                <w:color w:val="auto"/>
                <w:kern w:val="0"/>
                <w:szCs w:val="21"/>
              </w:rPr>
              <w:t>8</w:t>
            </w:r>
          </w:p>
        </w:tc>
        <w:tc>
          <w:tcPr>
            <w:tcW w:w="2733" w:type="dxa"/>
            <w:noWrap w:val="0"/>
            <w:vAlign w:val="top"/>
          </w:tcPr>
          <w:p>
            <w:pPr>
              <w:adjustRightInd w:val="0"/>
              <w:snapToGrid w:val="0"/>
              <w:spacing w:before="156" w:beforeLines="50" w:line="360" w:lineRule="auto"/>
              <w:jc w:val="left"/>
              <w:rPr>
                <w:rFonts w:ascii="宋体" w:hAnsi="宋体" w:eastAsia="宋体" w:cs="宋体"/>
                <w:color w:val="auto"/>
                <w:kern w:val="0"/>
                <w:szCs w:val="21"/>
              </w:rPr>
            </w:pPr>
          </w:p>
        </w:tc>
        <w:tc>
          <w:tcPr>
            <w:tcW w:w="5644"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olor w:val="auto"/>
                <w:kern w:val="0"/>
                <w:szCs w:val="21"/>
              </w:rPr>
            </w:pPr>
            <w:r>
              <w:rPr>
                <w:rFonts w:hint="eastAsia" w:ascii="宋体" w:hAnsi="宋体" w:eastAsia="宋体"/>
                <w:color w:val="auto"/>
                <w:kern w:val="0"/>
                <w:szCs w:val="21"/>
              </w:rPr>
              <w:t>9</w:t>
            </w:r>
          </w:p>
        </w:tc>
        <w:tc>
          <w:tcPr>
            <w:tcW w:w="2733" w:type="dxa"/>
            <w:noWrap w:val="0"/>
            <w:vAlign w:val="top"/>
          </w:tcPr>
          <w:p>
            <w:pPr>
              <w:adjustRightInd w:val="0"/>
              <w:snapToGrid w:val="0"/>
              <w:spacing w:before="156" w:beforeLines="50" w:line="360" w:lineRule="auto"/>
              <w:jc w:val="left"/>
              <w:rPr>
                <w:rFonts w:ascii="宋体" w:hAnsi="宋体" w:eastAsia="宋体"/>
                <w:color w:val="auto"/>
                <w:kern w:val="0"/>
                <w:szCs w:val="21"/>
              </w:rPr>
            </w:pPr>
          </w:p>
        </w:tc>
        <w:tc>
          <w:tcPr>
            <w:tcW w:w="5644"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olor w:val="auto"/>
                <w:kern w:val="0"/>
                <w:szCs w:val="21"/>
              </w:rPr>
            </w:pPr>
            <w:r>
              <w:rPr>
                <w:rFonts w:hint="eastAsia" w:ascii="宋体" w:hAnsi="宋体" w:eastAsia="宋体"/>
                <w:color w:val="auto"/>
                <w:kern w:val="0"/>
                <w:szCs w:val="21"/>
              </w:rPr>
              <w:t>10</w:t>
            </w:r>
          </w:p>
        </w:tc>
        <w:tc>
          <w:tcPr>
            <w:tcW w:w="2733" w:type="dxa"/>
            <w:noWrap w:val="0"/>
            <w:vAlign w:val="top"/>
          </w:tcPr>
          <w:p>
            <w:pPr>
              <w:adjustRightInd w:val="0"/>
              <w:snapToGrid w:val="0"/>
              <w:spacing w:before="156" w:beforeLines="50" w:line="360" w:lineRule="auto"/>
              <w:jc w:val="left"/>
              <w:rPr>
                <w:rFonts w:ascii="宋体" w:hAnsi="宋体" w:eastAsia="宋体"/>
                <w:color w:val="auto"/>
                <w:kern w:val="0"/>
                <w:szCs w:val="21"/>
              </w:rPr>
            </w:pPr>
          </w:p>
        </w:tc>
        <w:tc>
          <w:tcPr>
            <w:tcW w:w="5644"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11</w:t>
            </w:r>
          </w:p>
        </w:tc>
        <w:tc>
          <w:tcPr>
            <w:tcW w:w="2733" w:type="dxa"/>
            <w:noWrap w:val="0"/>
            <w:vAlign w:val="top"/>
          </w:tcPr>
          <w:p>
            <w:pPr>
              <w:adjustRightInd w:val="0"/>
              <w:snapToGrid w:val="0"/>
              <w:spacing w:before="156" w:beforeLines="50" w:line="360" w:lineRule="auto"/>
              <w:jc w:val="left"/>
              <w:rPr>
                <w:rFonts w:ascii="宋体" w:hAnsi="宋体" w:eastAsia="宋体"/>
                <w:color w:val="auto"/>
                <w:kern w:val="0"/>
                <w:szCs w:val="21"/>
              </w:rPr>
            </w:pPr>
          </w:p>
        </w:tc>
        <w:tc>
          <w:tcPr>
            <w:tcW w:w="5644" w:type="dxa"/>
            <w:noWrap w:val="0"/>
            <w:vAlign w:val="center"/>
          </w:tcPr>
          <w:p>
            <w:pPr>
              <w:adjustRightInd w:val="0"/>
              <w:snapToGrid w:val="0"/>
              <w:spacing w:before="156" w:beforeLines="50" w:line="360" w:lineRule="auto"/>
              <w:jc w:val="center"/>
              <w:rPr>
                <w:rFonts w:ascii="宋体" w:hAnsi="宋体" w:eastAsia="宋体" w:cs="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pPr>
              <w:adjustRightInd w:val="0"/>
              <w:snapToGrid w:val="0"/>
              <w:spacing w:before="156" w:beforeLines="50" w:line="360" w:lineRule="auto"/>
              <w:jc w:val="center"/>
              <w:rPr>
                <w:rFonts w:ascii="宋体" w:hAnsi="宋体" w:eastAsia="宋体" w:cs="宋体"/>
                <w:color w:val="auto"/>
                <w:kern w:val="0"/>
                <w:sz w:val="20"/>
                <w:szCs w:val="21"/>
              </w:rPr>
            </w:pPr>
            <w:r>
              <w:rPr>
                <w:rFonts w:hint="eastAsia" w:ascii="宋体" w:hAnsi="宋体" w:eastAsia="宋体" w:cs="宋体"/>
                <w:color w:val="auto"/>
                <w:kern w:val="0"/>
                <w:sz w:val="20"/>
                <w:szCs w:val="21"/>
              </w:rPr>
              <w:t>结论</w:t>
            </w:r>
          </w:p>
        </w:tc>
        <w:tc>
          <w:tcPr>
            <w:tcW w:w="8377" w:type="dxa"/>
            <w:gridSpan w:val="2"/>
            <w:noWrap w:val="0"/>
            <w:vAlign w:val="center"/>
          </w:tcPr>
          <w:p>
            <w:pPr>
              <w:adjustRightInd w:val="0"/>
              <w:snapToGrid w:val="0"/>
              <w:spacing w:before="156" w:beforeLines="50" w:line="360" w:lineRule="auto"/>
              <w:jc w:val="center"/>
              <w:rPr>
                <w:rFonts w:ascii="宋体" w:hAnsi="宋体" w:eastAsia="宋体" w:cs="宋体"/>
                <w:color w:val="auto"/>
                <w:kern w:val="0"/>
                <w:sz w:val="20"/>
                <w:szCs w:val="21"/>
              </w:rPr>
            </w:pPr>
          </w:p>
        </w:tc>
      </w:tr>
    </w:tbl>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 xml:space="preserve"> </w:t>
      </w:r>
    </w:p>
    <w:p>
      <w:pPr>
        <w:widowControl/>
        <w:jc w:val="left"/>
        <w:rPr>
          <w:rFonts w:ascii="宋体" w:hAnsi="宋体" w:eastAsia="宋体"/>
          <w:color w:val="auto"/>
          <w:sz w:val="10"/>
          <w:szCs w:val="10"/>
        </w:rPr>
      </w:pPr>
      <w:r>
        <w:rPr>
          <w:rFonts w:ascii="宋体" w:hAnsi="宋体" w:eastAsia="宋体"/>
          <w:color w:val="auto"/>
          <w:szCs w:val="21"/>
        </w:rPr>
        <w:br w:type="page"/>
      </w:r>
    </w:p>
    <w:p>
      <w:pPr>
        <w:pStyle w:val="4"/>
        <w:adjustRightInd w:val="0"/>
        <w:snapToGrid w:val="0"/>
        <w:spacing w:before="156" w:beforeLines="50" w:after="0" w:line="360" w:lineRule="auto"/>
        <w:rPr>
          <w:rFonts w:hint="eastAsia" w:ascii="黑体" w:hAnsi="黑体" w:eastAsia="黑体" w:cs="黑体"/>
          <w:b w:val="0"/>
          <w:bCs w:val="0"/>
          <w:color w:val="auto"/>
          <w:sz w:val="21"/>
          <w:szCs w:val="21"/>
        </w:rPr>
      </w:pPr>
      <w:bookmarkStart w:id="51" w:name="_Toc4788"/>
      <w:r>
        <w:rPr>
          <w:rFonts w:hint="eastAsia" w:ascii="黑体" w:hAnsi="黑体" w:eastAsia="黑体" w:cs="黑体"/>
          <w:b w:val="0"/>
          <w:bCs w:val="0"/>
          <w:color w:val="auto"/>
          <w:sz w:val="21"/>
          <w:szCs w:val="21"/>
        </w:rPr>
        <w:t>附表2 符合性审查结果一览表</w:t>
      </w:r>
      <w:bookmarkEnd w:id="51"/>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符合性审查结果一览表</w:t>
      </w: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项目名称：                                           政府采购计划编号：</w:t>
      </w:r>
    </w:p>
    <w:tbl>
      <w:tblPr>
        <w:tblStyle w:val="2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pPr>
              <w:jc w:val="center"/>
              <w:rPr>
                <w:rFonts w:ascii="宋体" w:hAnsi="宋体" w:eastAsia="宋体"/>
                <w:b/>
                <w:color w:val="auto"/>
                <w:kern w:val="0"/>
                <w:szCs w:val="21"/>
              </w:rPr>
            </w:pPr>
            <w:r>
              <w:rPr>
                <w:rFonts w:hint="eastAsia" w:ascii="宋体" w:hAnsi="宋体" w:eastAsia="宋体"/>
                <w:b/>
                <w:color w:val="auto"/>
                <w:kern w:val="0"/>
                <w:szCs w:val="21"/>
              </w:rPr>
              <w:t>序号</w:t>
            </w:r>
          </w:p>
        </w:tc>
        <w:tc>
          <w:tcPr>
            <w:tcW w:w="2963" w:type="dxa"/>
            <w:noWrap w:val="0"/>
            <w:vAlign w:val="center"/>
          </w:tcPr>
          <w:p>
            <w:pPr>
              <w:jc w:val="center"/>
              <w:rPr>
                <w:rFonts w:ascii="宋体" w:hAnsi="宋体" w:eastAsia="宋体"/>
                <w:b/>
                <w:color w:val="auto"/>
                <w:kern w:val="0"/>
                <w:szCs w:val="21"/>
              </w:rPr>
            </w:pPr>
            <w:r>
              <w:rPr>
                <w:rFonts w:hint="eastAsia" w:ascii="宋体" w:hAnsi="宋体" w:eastAsia="宋体"/>
                <w:b/>
                <w:color w:val="auto"/>
                <w:kern w:val="0"/>
                <w:szCs w:val="21"/>
              </w:rPr>
              <w:t>投标人名称</w:t>
            </w:r>
          </w:p>
        </w:tc>
        <w:tc>
          <w:tcPr>
            <w:tcW w:w="2439" w:type="dxa"/>
            <w:noWrap w:val="0"/>
            <w:vAlign w:val="center"/>
          </w:tcPr>
          <w:p>
            <w:pPr>
              <w:jc w:val="center"/>
              <w:rPr>
                <w:rFonts w:ascii="宋体" w:hAnsi="宋体" w:eastAsia="宋体"/>
                <w:b/>
                <w:color w:val="auto"/>
                <w:kern w:val="0"/>
                <w:szCs w:val="21"/>
              </w:rPr>
            </w:pPr>
            <w:r>
              <w:rPr>
                <w:rFonts w:hint="eastAsia" w:ascii="宋体" w:hAnsi="宋体" w:eastAsia="宋体"/>
                <w:b/>
                <w:color w:val="auto"/>
                <w:kern w:val="0"/>
                <w:szCs w:val="21"/>
              </w:rPr>
              <w:t>符合性审查结果</w:t>
            </w:r>
          </w:p>
          <w:p>
            <w:pPr>
              <w:jc w:val="center"/>
              <w:rPr>
                <w:rFonts w:ascii="宋体" w:hAnsi="宋体" w:eastAsia="宋体"/>
                <w:b/>
                <w:color w:val="auto"/>
                <w:kern w:val="0"/>
                <w:szCs w:val="21"/>
              </w:rPr>
            </w:pPr>
            <w:r>
              <w:rPr>
                <w:rFonts w:hint="eastAsia" w:ascii="宋体" w:hAnsi="宋体" w:eastAsia="宋体"/>
                <w:b/>
                <w:color w:val="auto"/>
                <w:kern w:val="0"/>
                <w:szCs w:val="21"/>
              </w:rPr>
              <w:t>（合格/不合格）</w:t>
            </w:r>
          </w:p>
        </w:tc>
        <w:tc>
          <w:tcPr>
            <w:tcW w:w="2961" w:type="dxa"/>
            <w:noWrap w:val="0"/>
            <w:vAlign w:val="center"/>
          </w:tcPr>
          <w:p>
            <w:pPr>
              <w:jc w:val="center"/>
              <w:rPr>
                <w:rFonts w:ascii="宋体" w:hAnsi="宋体" w:eastAsia="宋体"/>
                <w:b/>
                <w:color w:val="auto"/>
                <w:kern w:val="0"/>
                <w:szCs w:val="21"/>
              </w:rPr>
            </w:pPr>
            <w:r>
              <w:rPr>
                <w:rFonts w:hint="eastAsia" w:ascii="宋体" w:hAnsi="宋体" w:eastAsia="宋体"/>
                <w:b/>
                <w:color w:val="auto"/>
                <w:kern w:val="0"/>
                <w:szCs w:val="21"/>
              </w:rPr>
              <w:t>符合性审查不合格原因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pPr>
              <w:adjustRightInd w:val="0"/>
              <w:snapToGrid w:val="0"/>
              <w:spacing w:line="360" w:lineRule="auto"/>
              <w:rPr>
                <w:rFonts w:ascii="宋体" w:hAnsi="宋体" w:eastAsia="宋体"/>
                <w:color w:val="auto"/>
                <w:kern w:val="0"/>
                <w:sz w:val="24"/>
              </w:rPr>
            </w:pPr>
          </w:p>
        </w:tc>
        <w:tc>
          <w:tcPr>
            <w:tcW w:w="2963" w:type="dxa"/>
            <w:noWrap w:val="0"/>
            <w:vAlign w:val="top"/>
          </w:tcPr>
          <w:p>
            <w:pPr>
              <w:adjustRightInd w:val="0"/>
              <w:snapToGrid w:val="0"/>
              <w:spacing w:line="360" w:lineRule="auto"/>
              <w:rPr>
                <w:rFonts w:ascii="宋体" w:hAnsi="宋体" w:eastAsia="宋体"/>
                <w:color w:val="auto"/>
                <w:kern w:val="0"/>
                <w:sz w:val="24"/>
              </w:rPr>
            </w:pPr>
          </w:p>
        </w:tc>
        <w:tc>
          <w:tcPr>
            <w:tcW w:w="2439" w:type="dxa"/>
            <w:noWrap w:val="0"/>
            <w:vAlign w:val="top"/>
          </w:tcPr>
          <w:p>
            <w:pPr>
              <w:adjustRightInd w:val="0"/>
              <w:snapToGrid w:val="0"/>
              <w:spacing w:line="360" w:lineRule="auto"/>
              <w:rPr>
                <w:rFonts w:ascii="宋体" w:hAnsi="宋体" w:eastAsia="宋体"/>
                <w:color w:val="auto"/>
                <w:kern w:val="0"/>
                <w:sz w:val="24"/>
              </w:rPr>
            </w:pPr>
          </w:p>
        </w:tc>
        <w:tc>
          <w:tcPr>
            <w:tcW w:w="2961" w:type="dxa"/>
            <w:noWrap w:val="0"/>
            <w:vAlign w:val="top"/>
          </w:tcPr>
          <w:p>
            <w:pPr>
              <w:adjustRightInd w:val="0"/>
              <w:snapToGrid w:val="0"/>
              <w:spacing w:line="360" w:lineRule="auto"/>
              <w:rPr>
                <w:rFonts w:ascii="宋体" w:hAnsi="宋体" w:eastAsia="宋体"/>
                <w:color w:val="auto"/>
                <w:kern w:val="0"/>
                <w:sz w:val="24"/>
              </w:rPr>
            </w:pPr>
          </w:p>
        </w:tc>
      </w:tr>
    </w:tbl>
    <w:p>
      <w:pPr>
        <w:widowControl/>
        <w:jc w:val="left"/>
        <w:rPr>
          <w:rFonts w:ascii="黑体" w:hAnsi="黑体" w:eastAsia="黑体"/>
          <w:bCs/>
          <w:color w:val="auto"/>
          <w:szCs w:val="21"/>
        </w:rPr>
      </w:pPr>
      <w:r>
        <w:rPr>
          <w:rFonts w:ascii="黑体" w:hAnsi="黑体"/>
          <w:b/>
          <w:color w:val="auto"/>
          <w:szCs w:val="21"/>
        </w:rPr>
        <w:br w:type="page"/>
      </w:r>
    </w:p>
    <w:p>
      <w:pPr>
        <w:pStyle w:val="4"/>
        <w:adjustRightInd w:val="0"/>
        <w:snapToGrid w:val="0"/>
        <w:spacing w:before="156" w:beforeLines="50" w:after="0" w:line="360" w:lineRule="auto"/>
        <w:rPr>
          <w:rFonts w:hint="eastAsia" w:ascii="黑体" w:hAnsi="黑体" w:eastAsia="黑体" w:cs="黑体"/>
          <w:b w:val="0"/>
          <w:bCs w:val="0"/>
          <w:color w:val="auto"/>
          <w:sz w:val="21"/>
          <w:szCs w:val="21"/>
        </w:rPr>
      </w:pPr>
      <w:bookmarkStart w:id="52" w:name="_Toc28326"/>
      <w:r>
        <w:rPr>
          <w:rFonts w:hint="eastAsia" w:ascii="黑体" w:hAnsi="黑体" w:eastAsia="黑体" w:cs="黑体"/>
          <w:b w:val="0"/>
          <w:bCs w:val="0"/>
          <w:color w:val="auto"/>
          <w:sz w:val="21"/>
          <w:szCs w:val="21"/>
        </w:rPr>
        <w:t>附表3 符合性审查合格投标人名单</w:t>
      </w:r>
      <w:bookmarkEnd w:id="52"/>
    </w:p>
    <w:p>
      <w:pPr>
        <w:adjustRightInd w:val="0"/>
        <w:snapToGrid w:val="0"/>
        <w:spacing w:before="156"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符合性审查合格投标人名单</w:t>
      </w:r>
    </w:p>
    <w:p>
      <w:pPr>
        <w:adjustRightInd w:val="0"/>
        <w:snapToGrid w:val="0"/>
        <w:spacing w:before="156" w:beforeLines="50" w:line="360" w:lineRule="auto"/>
        <w:rPr>
          <w:rFonts w:ascii="华文中宋" w:hAnsi="华文中宋" w:eastAsia="华文中宋"/>
          <w:color w:val="auto"/>
          <w:sz w:val="32"/>
          <w:szCs w:val="32"/>
        </w:rPr>
      </w:pPr>
      <w:r>
        <w:rPr>
          <w:rFonts w:hint="eastAsia" w:ascii="宋体" w:hAnsi="宋体" w:eastAsia="宋体"/>
          <w:color w:val="auto"/>
          <w:szCs w:val="21"/>
        </w:rPr>
        <w:t>项目名称：                                        政府采购计划编号：</w:t>
      </w:r>
    </w:p>
    <w:tbl>
      <w:tblPr>
        <w:tblStyle w:val="2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center"/>
          </w:tcPr>
          <w:p>
            <w:pPr>
              <w:jc w:val="center"/>
              <w:rPr>
                <w:b/>
                <w:color w:val="auto"/>
                <w:kern w:val="0"/>
                <w:szCs w:val="21"/>
              </w:rPr>
            </w:pPr>
            <w:r>
              <w:rPr>
                <w:rFonts w:hint="eastAsia"/>
                <w:b/>
                <w:color w:val="auto"/>
                <w:kern w:val="0"/>
                <w:szCs w:val="21"/>
              </w:rPr>
              <w:t>序号</w:t>
            </w:r>
          </w:p>
        </w:tc>
        <w:tc>
          <w:tcPr>
            <w:tcW w:w="7796" w:type="dxa"/>
            <w:noWrap w:val="0"/>
            <w:vAlign w:val="center"/>
          </w:tcPr>
          <w:p>
            <w:pPr>
              <w:jc w:val="center"/>
              <w:rPr>
                <w:b/>
                <w:color w:val="auto"/>
                <w:kern w:val="0"/>
                <w:szCs w:val="21"/>
              </w:rPr>
            </w:pPr>
            <w:r>
              <w:rPr>
                <w:rFonts w:hint="eastAsia"/>
                <w:b/>
                <w:color w:val="auto"/>
                <w:kern w:val="0"/>
                <w:szCs w:val="21"/>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Cs w:val="21"/>
              </w:rPr>
            </w:pPr>
          </w:p>
        </w:tc>
        <w:tc>
          <w:tcPr>
            <w:tcW w:w="7796" w:type="dxa"/>
            <w:noWrap w:val="0"/>
            <w:vAlign w:val="top"/>
          </w:tcPr>
          <w:p>
            <w:pPr>
              <w:adjustRightInd w:val="0"/>
              <w:snapToGrid w:val="0"/>
              <w:spacing w:line="360" w:lineRule="auto"/>
              <w:rPr>
                <w:rFonts w:ascii="宋体" w:hAnsi="宋体" w:eastAsia="宋体"/>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pPr>
              <w:adjustRightInd w:val="0"/>
              <w:snapToGrid w:val="0"/>
              <w:spacing w:line="360" w:lineRule="auto"/>
              <w:rPr>
                <w:rFonts w:ascii="宋体" w:hAnsi="宋体" w:eastAsia="宋体"/>
                <w:color w:val="auto"/>
                <w:kern w:val="0"/>
                <w:sz w:val="24"/>
              </w:rPr>
            </w:pPr>
          </w:p>
        </w:tc>
        <w:tc>
          <w:tcPr>
            <w:tcW w:w="7796" w:type="dxa"/>
            <w:noWrap w:val="0"/>
            <w:vAlign w:val="top"/>
          </w:tcPr>
          <w:p>
            <w:pPr>
              <w:adjustRightInd w:val="0"/>
              <w:snapToGrid w:val="0"/>
              <w:spacing w:line="360" w:lineRule="auto"/>
              <w:rPr>
                <w:rFonts w:ascii="宋体" w:hAnsi="宋体" w:eastAsia="宋体"/>
                <w:color w:val="auto"/>
                <w:kern w:val="0"/>
                <w:sz w:val="24"/>
              </w:rPr>
            </w:pPr>
          </w:p>
        </w:tc>
      </w:tr>
    </w:tbl>
    <w:p>
      <w:pPr>
        <w:rPr>
          <w:color w:val="auto"/>
          <w:w w:val="90"/>
        </w:rPr>
      </w:pPr>
    </w:p>
    <w:p>
      <w:pPr>
        <w:rPr>
          <w:rFonts w:ascii="黑体" w:hAnsi="黑体" w:eastAsia="黑体"/>
          <w:b/>
          <w:color w:val="auto"/>
          <w:sz w:val="32"/>
          <w:szCs w:val="32"/>
        </w:rPr>
      </w:pPr>
    </w:p>
    <w:p>
      <w:pPr>
        <w:pStyle w:val="3"/>
        <w:adjustRightInd w:val="0"/>
        <w:snapToGrid w:val="0"/>
        <w:jc w:val="center"/>
        <w:rPr>
          <w:rFonts w:ascii="黑体" w:hAnsi="华文中宋" w:eastAsia="黑体"/>
          <w:color w:val="auto"/>
          <w:sz w:val="28"/>
          <w:szCs w:val="28"/>
        </w:rPr>
      </w:pPr>
      <w:r>
        <w:rPr>
          <w:rFonts w:ascii="黑体" w:hAnsi="黑体" w:eastAsia="黑体"/>
          <w:b w:val="0"/>
          <w:color w:val="auto"/>
          <w:sz w:val="32"/>
        </w:rPr>
        <w:br w:type="page"/>
      </w:r>
      <w:bookmarkStart w:id="53" w:name="_Toc18878"/>
      <w:r>
        <w:rPr>
          <w:rFonts w:hint="eastAsia" w:ascii="黑体" w:hAnsi="华文中宋" w:eastAsia="黑体"/>
          <w:color w:val="auto"/>
          <w:sz w:val="28"/>
          <w:szCs w:val="28"/>
        </w:rPr>
        <w:t>第四节 投标文件的比较与评价（综合评分法）</w:t>
      </w:r>
      <w:bookmarkEnd w:id="53"/>
    </w:p>
    <w:p>
      <w:pPr>
        <w:widowControl/>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1.</w:t>
      </w:r>
      <w:r>
        <w:rPr>
          <w:rFonts w:hint="eastAsia"/>
          <w:color w:val="auto"/>
        </w:rPr>
        <w:t xml:space="preserve"> </w:t>
      </w:r>
      <w:r>
        <w:rPr>
          <w:rFonts w:hint="eastAsia" w:ascii="黑体" w:hAnsi="黑体" w:eastAsia="黑体"/>
          <w:b/>
          <w:color w:val="auto"/>
          <w:sz w:val="24"/>
        </w:rPr>
        <w:t>综合评分法</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1.1综合评分法，指投标文件满足招标文件全部实质性要求，且按照评审因素的量化指标评审得分最高的投标人为中标候选人的评标方法。</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1.2评标因素：评审因素的设定应当与投标人所提供货物服务的质量相关，包括投标报价、技术或者服务水平、履约能力、售后服务等，但不包括第一章投标人的资格要求。本采购项目的评标因素和标准见本章本节附表1“评标方法及标准表”。</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1.3未通过符合性审查的投标文件不得进入比较与评价。</w:t>
      </w:r>
    </w:p>
    <w:p>
      <w:pPr>
        <w:adjustRightInd w:val="0"/>
        <w:snapToGrid w:val="0"/>
        <w:spacing w:before="156" w:beforeLines="50" w:line="360" w:lineRule="auto"/>
        <w:jc w:val="left"/>
        <w:rPr>
          <w:rFonts w:ascii="黑体" w:hAnsi="黑体" w:eastAsia="黑体"/>
          <w:b/>
          <w:bCs/>
          <w:color w:val="auto"/>
          <w:sz w:val="24"/>
        </w:rPr>
      </w:pPr>
      <w:r>
        <w:rPr>
          <w:rFonts w:hint="eastAsia" w:ascii="黑体" w:hAnsi="黑体" w:eastAsia="黑体"/>
          <w:b/>
          <w:bCs/>
          <w:color w:val="auto"/>
          <w:sz w:val="24"/>
        </w:rPr>
        <w:t>2.</w:t>
      </w:r>
      <w:r>
        <w:rPr>
          <w:rFonts w:hint="eastAsia"/>
          <w:color w:val="auto"/>
        </w:rPr>
        <w:t xml:space="preserve"> </w:t>
      </w:r>
      <w:r>
        <w:rPr>
          <w:rFonts w:hint="eastAsia" w:ascii="黑体" w:hAnsi="黑体" w:eastAsia="黑体"/>
          <w:b/>
          <w:bCs/>
          <w:color w:val="auto"/>
          <w:sz w:val="24"/>
        </w:rPr>
        <w:t>投标报价的算术修正及政府采购政策调整</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2.1如果有算术错误，投标报价将按本章第二节第4.2款、第4.3款规定进行算术修正。</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2.2需落实政府采购政策（价格评审优惠）的，按第二章“投标须知”及本章第二节第</w:t>
      </w:r>
      <w:r>
        <w:rPr>
          <w:rFonts w:ascii="宋体" w:hAnsi="宋体" w:eastAsia="宋体"/>
          <w:bCs/>
          <w:color w:val="auto"/>
          <w:szCs w:val="21"/>
        </w:rPr>
        <w:t>5.</w:t>
      </w:r>
      <w:r>
        <w:rPr>
          <w:rFonts w:hint="eastAsia" w:ascii="宋体" w:hAnsi="宋体"/>
          <w:bCs/>
          <w:color w:val="auto"/>
          <w:szCs w:val="21"/>
          <w:lang w:val="en-US" w:eastAsia="zh-CN"/>
        </w:rPr>
        <w:t>4</w:t>
      </w:r>
      <w:r>
        <w:rPr>
          <w:rFonts w:hint="eastAsia" w:ascii="宋体" w:hAnsi="宋体" w:eastAsia="宋体"/>
          <w:bCs/>
          <w:color w:val="auto"/>
          <w:szCs w:val="21"/>
        </w:rPr>
        <w:t>（1）项的相关规定进行价格调整。</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2.3按本章本节第2.1款、第2.2款规定，以修正或调整后的价格确定投标人的投标报价和评标基准价，用于投标报价评价。</w:t>
      </w:r>
    </w:p>
    <w:p>
      <w:pPr>
        <w:adjustRightInd w:val="0"/>
        <w:snapToGrid w:val="0"/>
        <w:spacing w:before="156" w:beforeLines="50" w:line="360" w:lineRule="auto"/>
        <w:jc w:val="left"/>
        <w:rPr>
          <w:rFonts w:ascii="黑体" w:hAnsi="黑体" w:eastAsia="黑体"/>
          <w:b/>
          <w:bCs/>
          <w:color w:val="auto"/>
          <w:sz w:val="24"/>
        </w:rPr>
      </w:pPr>
      <w:r>
        <w:rPr>
          <w:rFonts w:hint="eastAsia" w:ascii="黑体" w:hAnsi="黑体" w:eastAsia="黑体"/>
          <w:b/>
          <w:bCs/>
          <w:color w:val="auto"/>
          <w:sz w:val="24"/>
        </w:rPr>
        <w:t>3.</w:t>
      </w:r>
      <w:r>
        <w:rPr>
          <w:rFonts w:hint="eastAsia"/>
          <w:color w:val="auto"/>
        </w:rPr>
        <w:t xml:space="preserve"> </w:t>
      </w:r>
      <w:r>
        <w:rPr>
          <w:rFonts w:hint="eastAsia" w:ascii="黑体" w:hAnsi="黑体" w:eastAsia="黑体"/>
          <w:b/>
          <w:bCs/>
          <w:color w:val="auto"/>
          <w:sz w:val="24"/>
        </w:rPr>
        <w:t>投标报价评价</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3.1投标报价评价：价格分应当采用低价优先法计算，即满足招标文件要求且投标价格最低的投标报价为评标基准价，其价格分为满分（报价权重分）。其他投标人的价格分统一按照下列公式计算：</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投标报价得分=（评标基准价</w:t>
      </w:r>
      <w:r>
        <w:rPr>
          <w:rFonts w:hint="eastAsia" w:ascii="宋体" w:hAnsi="宋体" w:eastAsia="宋体"/>
          <w:color w:val="auto"/>
          <w:szCs w:val="21"/>
          <w:vertAlign w:val="subscript"/>
        </w:rPr>
        <w:t>修正或调整</w:t>
      </w:r>
      <w:r>
        <w:rPr>
          <w:rFonts w:hint="eastAsia" w:ascii="宋体" w:hAnsi="宋体" w:eastAsia="宋体"/>
          <w:color w:val="auto"/>
          <w:szCs w:val="21"/>
        </w:rPr>
        <w:t>／投标报价</w:t>
      </w:r>
      <w:r>
        <w:rPr>
          <w:rFonts w:hint="eastAsia" w:ascii="宋体" w:hAnsi="宋体" w:eastAsia="宋体"/>
          <w:color w:val="auto"/>
          <w:szCs w:val="21"/>
          <w:vertAlign w:val="subscript"/>
        </w:rPr>
        <w:t>修正或调整</w:t>
      </w:r>
      <w:r>
        <w:rPr>
          <w:rFonts w:hint="eastAsia" w:ascii="宋体" w:hAnsi="宋体" w:eastAsia="宋体"/>
          <w:color w:val="auto"/>
          <w:szCs w:val="21"/>
        </w:rPr>
        <w:t>） ×100×报价权值</w:t>
      </w:r>
    </w:p>
    <w:p>
      <w:pPr>
        <w:numPr>
          <w:ilvl w:val="0"/>
          <w:numId w:val="1"/>
        </w:numPr>
        <w:adjustRightInd w:val="0"/>
        <w:snapToGrid w:val="0"/>
        <w:spacing w:before="156" w:beforeLines="50" w:line="360" w:lineRule="auto"/>
        <w:jc w:val="left"/>
        <w:rPr>
          <w:rFonts w:ascii="黑体" w:hAnsi="黑体" w:eastAsia="黑体"/>
          <w:b/>
          <w:color w:val="auto"/>
          <w:sz w:val="24"/>
        </w:rPr>
      </w:pPr>
      <w:r>
        <w:rPr>
          <w:rFonts w:hint="eastAsia" w:ascii="黑体" w:hAnsi="黑体" w:eastAsia="黑体"/>
          <w:b/>
          <w:color w:val="auto"/>
          <w:sz w:val="24"/>
        </w:rPr>
        <w:t>技术、商务等评分项响应评价及政府采购政策加分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4.1技术、商务等评分项响应评分。按</w:t>
      </w:r>
      <w:r>
        <w:rPr>
          <w:rFonts w:hint="eastAsia" w:ascii="宋体" w:hAnsi="宋体" w:eastAsia="宋体"/>
          <w:bCs/>
          <w:color w:val="auto"/>
          <w:szCs w:val="21"/>
        </w:rPr>
        <w:t>本章</w:t>
      </w:r>
      <w:r>
        <w:rPr>
          <w:rFonts w:hint="eastAsia" w:ascii="宋体" w:hAnsi="宋体" w:eastAsia="宋体"/>
          <w:color w:val="auto"/>
          <w:szCs w:val="21"/>
        </w:rPr>
        <w:t>本节附表1“评标方法及标准表”规定的评标因素和标准，对技术、商务等评分项计算得分。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4.2需落实政府采购政策（优先采购）的，按第二章、本章第二节第5.</w:t>
      </w:r>
      <w:r>
        <w:rPr>
          <w:rFonts w:hint="eastAsia" w:ascii="宋体" w:hAnsi="宋体"/>
          <w:color w:val="auto"/>
          <w:szCs w:val="21"/>
          <w:lang w:val="en-US" w:eastAsia="zh-CN"/>
        </w:rPr>
        <w:t>4</w:t>
      </w:r>
      <w:r>
        <w:rPr>
          <w:rFonts w:hint="eastAsia" w:ascii="宋体" w:hAnsi="宋体" w:eastAsia="宋体"/>
          <w:color w:val="auto"/>
          <w:szCs w:val="21"/>
        </w:rPr>
        <w:t>（2）项以及本节附表1“评标方法及标准表”的相关规定进行技术、价格、商务项得分(加分)计算。</w:t>
      </w:r>
    </w:p>
    <w:p>
      <w:pPr>
        <w:numPr>
          <w:ilvl w:val="0"/>
          <w:numId w:val="1"/>
        </w:numPr>
        <w:adjustRightInd w:val="0"/>
        <w:snapToGrid w:val="0"/>
        <w:spacing w:before="156" w:beforeLines="50" w:line="360" w:lineRule="auto"/>
        <w:ind w:left="0" w:leftChars="0" w:firstLine="0" w:firstLineChars="0"/>
        <w:jc w:val="left"/>
        <w:rPr>
          <w:rFonts w:ascii="黑体" w:hAnsi="黑体" w:eastAsia="黑体"/>
          <w:b/>
          <w:color w:val="auto"/>
          <w:sz w:val="24"/>
        </w:rPr>
      </w:pPr>
      <w:r>
        <w:rPr>
          <w:rFonts w:hint="eastAsia" w:ascii="黑体" w:hAnsi="黑体" w:eastAsia="黑体"/>
          <w:b/>
          <w:color w:val="auto"/>
          <w:sz w:val="24"/>
        </w:rPr>
        <w:t>评标总得分</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5.1评标总得分为投标报价、技术、商务等评分项得分(含优先采购政策加分)之和。</w:t>
      </w:r>
    </w:p>
    <w:p>
      <w:pPr>
        <w:adjustRightInd w:val="0"/>
        <w:snapToGrid w:val="0"/>
        <w:spacing w:line="460" w:lineRule="exact"/>
        <w:ind w:firstLine="420" w:firstLineChars="200"/>
        <w:rPr>
          <w:rFonts w:ascii="宋体" w:hAnsi="宋体" w:cs="宋体"/>
          <w:color w:val="auto"/>
          <w:kern w:val="0"/>
          <w:szCs w:val="21"/>
          <w:lang w:val="ru-RU" w:eastAsia="ru-RU"/>
        </w:rPr>
      </w:pPr>
      <w:r>
        <w:rPr>
          <w:rFonts w:hint="eastAsia" w:ascii="宋体" w:hAnsi="宋体" w:cs="宋体"/>
          <w:color w:val="auto"/>
          <w:kern w:val="0"/>
          <w:szCs w:val="21"/>
          <w:lang w:val="ru-RU" w:eastAsia="ru-RU"/>
        </w:rPr>
        <w:t>评标总得分＝F</w:t>
      </w:r>
      <w:r>
        <w:rPr>
          <w:rFonts w:hint="eastAsia" w:ascii="宋体" w:hAnsi="宋体" w:cs="宋体"/>
          <w:color w:val="auto"/>
          <w:kern w:val="0"/>
          <w:szCs w:val="21"/>
          <w:vertAlign w:val="subscript"/>
          <w:lang w:val="ru-RU" w:eastAsia="ru-RU"/>
        </w:rPr>
        <w:t>1</w:t>
      </w:r>
      <w:r>
        <w:rPr>
          <w:rFonts w:hint="eastAsia" w:ascii="宋体" w:hAnsi="宋体" w:cs="宋体"/>
          <w:color w:val="auto"/>
          <w:kern w:val="0"/>
          <w:szCs w:val="21"/>
          <w:lang w:val="ru-RU" w:eastAsia="ru-RU"/>
        </w:rPr>
        <w:t>×A</w:t>
      </w:r>
      <w:r>
        <w:rPr>
          <w:rFonts w:hint="eastAsia" w:ascii="宋体" w:hAnsi="宋体" w:cs="宋体"/>
          <w:color w:val="auto"/>
          <w:kern w:val="0"/>
          <w:szCs w:val="21"/>
          <w:vertAlign w:val="subscript"/>
          <w:lang w:val="ru-RU" w:eastAsia="ru-RU"/>
        </w:rPr>
        <w:t>1</w:t>
      </w:r>
      <w:r>
        <w:rPr>
          <w:rFonts w:hint="eastAsia" w:ascii="宋体" w:hAnsi="宋体" w:cs="宋体"/>
          <w:color w:val="auto"/>
          <w:kern w:val="0"/>
          <w:szCs w:val="21"/>
          <w:lang w:val="ru-RU" w:eastAsia="ru-RU"/>
        </w:rPr>
        <w:t>＋F</w:t>
      </w:r>
      <w:r>
        <w:rPr>
          <w:rFonts w:hint="eastAsia" w:ascii="宋体" w:hAnsi="宋体" w:cs="宋体"/>
          <w:color w:val="auto"/>
          <w:kern w:val="0"/>
          <w:szCs w:val="21"/>
          <w:vertAlign w:val="subscript"/>
          <w:lang w:val="ru-RU" w:eastAsia="ru-RU"/>
        </w:rPr>
        <w:t>2</w:t>
      </w:r>
      <w:r>
        <w:rPr>
          <w:rFonts w:hint="eastAsia" w:ascii="宋体" w:hAnsi="宋体" w:cs="宋体"/>
          <w:color w:val="auto"/>
          <w:kern w:val="0"/>
          <w:szCs w:val="21"/>
          <w:lang w:val="ru-RU" w:eastAsia="ru-RU"/>
        </w:rPr>
        <w:t>×A</w:t>
      </w:r>
      <w:r>
        <w:rPr>
          <w:rFonts w:hint="eastAsia" w:ascii="宋体" w:hAnsi="宋体" w:cs="宋体"/>
          <w:color w:val="auto"/>
          <w:kern w:val="0"/>
          <w:szCs w:val="21"/>
          <w:vertAlign w:val="subscript"/>
          <w:lang w:val="ru-RU" w:eastAsia="ru-RU"/>
        </w:rPr>
        <w:t>2</w:t>
      </w:r>
      <w:r>
        <w:rPr>
          <w:rFonts w:hint="eastAsia" w:ascii="宋体" w:hAnsi="宋体" w:cs="宋体"/>
          <w:color w:val="auto"/>
          <w:kern w:val="0"/>
          <w:szCs w:val="21"/>
          <w:lang w:val="ru-RU" w:eastAsia="ru-RU"/>
        </w:rPr>
        <w:t>＋……＋F</w:t>
      </w:r>
      <w:r>
        <w:rPr>
          <w:rFonts w:hint="eastAsia" w:ascii="宋体" w:hAnsi="宋体" w:cs="宋体"/>
          <w:color w:val="auto"/>
          <w:kern w:val="0"/>
          <w:szCs w:val="21"/>
          <w:vertAlign w:val="subscript"/>
          <w:lang w:val="ru-RU" w:eastAsia="ru-RU"/>
        </w:rPr>
        <w:t>n</w:t>
      </w:r>
      <w:r>
        <w:rPr>
          <w:rFonts w:hint="eastAsia" w:ascii="宋体" w:hAnsi="宋体" w:cs="宋体"/>
          <w:color w:val="auto"/>
          <w:kern w:val="0"/>
          <w:szCs w:val="21"/>
          <w:lang w:val="ru-RU" w:eastAsia="ru-RU"/>
        </w:rPr>
        <w:t>×A</w:t>
      </w:r>
      <w:r>
        <w:rPr>
          <w:rFonts w:hint="eastAsia" w:ascii="宋体" w:hAnsi="宋体" w:cs="宋体"/>
          <w:color w:val="auto"/>
          <w:kern w:val="0"/>
          <w:szCs w:val="21"/>
          <w:vertAlign w:val="subscript"/>
          <w:lang w:val="ru-RU" w:eastAsia="ru-RU"/>
        </w:rPr>
        <w:t>n</w:t>
      </w:r>
    </w:p>
    <w:p>
      <w:pPr>
        <w:adjustRightInd w:val="0"/>
        <w:snapToGrid w:val="0"/>
        <w:spacing w:line="460" w:lineRule="exact"/>
        <w:ind w:firstLine="420" w:firstLineChars="200"/>
        <w:rPr>
          <w:rFonts w:ascii="宋体" w:hAnsi="宋体" w:cs="宋体"/>
          <w:color w:val="auto"/>
          <w:kern w:val="0"/>
          <w:szCs w:val="21"/>
          <w:lang w:val="ru-RU" w:eastAsia="ru-RU"/>
        </w:rPr>
      </w:pPr>
      <w:r>
        <w:rPr>
          <w:rFonts w:hint="eastAsia" w:ascii="宋体" w:hAnsi="宋体" w:cs="宋体"/>
          <w:color w:val="auto"/>
          <w:kern w:val="0"/>
          <w:szCs w:val="21"/>
          <w:lang w:val="ru-RU" w:eastAsia="ru-RU"/>
        </w:rPr>
        <w:t>F</w:t>
      </w:r>
      <w:r>
        <w:rPr>
          <w:rFonts w:hint="eastAsia" w:ascii="宋体" w:hAnsi="宋体" w:cs="宋体"/>
          <w:color w:val="auto"/>
          <w:kern w:val="0"/>
          <w:szCs w:val="21"/>
          <w:vertAlign w:val="subscript"/>
          <w:lang w:val="ru-RU" w:eastAsia="ru-RU"/>
        </w:rPr>
        <w:t>1</w:t>
      </w:r>
      <w:r>
        <w:rPr>
          <w:rFonts w:hint="eastAsia" w:ascii="宋体" w:hAnsi="宋体" w:cs="宋体"/>
          <w:color w:val="auto"/>
          <w:kern w:val="0"/>
          <w:szCs w:val="21"/>
          <w:lang w:val="ru-RU" w:eastAsia="ru-RU"/>
        </w:rPr>
        <w:t>、F</w:t>
      </w:r>
      <w:r>
        <w:rPr>
          <w:rFonts w:hint="eastAsia" w:ascii="宋体" w:hAnsi="宋体" w:cs="宋体"/>
          <w:color w:val="auto"/>
          <w:kern w:val="0"/>
          <w:szCs w:val="21"/>
          <w:vertAlign w:val="subscript"/>
          <w:lang w:val="ru-RU" w:eastAsia="ru-RU"/>
        </w:rPr>
        <w:t>2</w:t>
      </w:r>
      <w:r>
        <w:rPr>
          <w:rFonts w:hint="eastAsia" w:ascii="宋体" w:hAnsi="宋体" w:cs="宋体"/>
          <w:color w:val="auto"/>
          <w:kern w:val="0"/>
          <w:szCs w:val="21"/>
          <w:lang w:val="ru-RU" w:eastAsia="ru-RU"/>
        </w:rPr>
        <w:t>……F</w:t>
      </w:r>
      <w:r>
        <w:rPr>
          <w:rFonts w:hint="eastAsia" w:ascii="宋体" w:hAnsi="宋体" w:cs="宋体"/>
          <w:color w:val="auto"/>
          <w:kern w:val="0"/>
          <w:szCs w:val="21"/>
          <w:vertAlign w:val="subscript"/>
          <w:lang w:val="ru-RU" w:eastAsia="ru-RU"/>
        </w:rPr>
        <w:t>n</w:t>
      </w:r>
      <w:r>
        <w:rPr>
          <w:rFonts w:hint="eastAsia" w:ascii="宋体" w:hAnsi="宋体" w:cs="宋体"/>
          <w:color w:val="auto"/>
          <w:kern w:val="0"/>
          <w:szCs w:val="21"/>
          <w:lang w:val="ru-RU" w:eastAsia="ru-RU"/>
        </w:rPr>
        <w:t>分别为各项评审因素的得分；</w:t>
      </w:r>
    </w:p>
    <w:p>
      <w:pPr>
        <w:adjustRightInd w:val="0"/>
        <w:snapToGrid w:val="0"/>
        <w:spacing w:line="460" w:lineRule="exact"/>
        <w:ind w:firstLine="420" w:firstLineChars="200"/>
        <w:rPr>
          <w:rFonts w:ascii="宋体" w:hAnsi="宋体" w:cs="宋体"/>
          <w:color w:val="auto"/>
          <w:kern w:val="0"/>
          <w:szCs w:val="21"/>
          <w:lang w:val="ru-RU" w:eastAsia="ru-RU"/>
        </w:rPr>
      </w:pPr>
      <w:r>
        <w:rPr>
          <w:rFonts w:hint="eastAsia" w:ascii="宋体" w:hAnsi="宋体" w:cs="宋体"/>
          <w:color w:val="auto"/>
          <w:kern w:val="0"/>
          <w:szCs w:val="21"/>
          <w:lang w:val="ru-RU" w:eastAsia="ru-RU"/>
        </w:rPr>
        <w:t>A</w:t>
      </w:r>
      <w:r>
        <w:rPr>
          <w:rFonts w:hint="eastAsia" w:ascii="宋体" w:hAnsi="宋体" w:cs="宋体"/>
          <w:color w:val="auto"/>
          <w:kern w:val="0"/>
          <w:szCs w:val="21"/>
          <w:vertAlign w:val="subscript"/>
          <w:lang w:val="ru-RU" w:eastAsia="ru-RU"/>
        </w:rPr>
        <w:t>1</w:t>
      </w:r>
      <w:r>
        <w:rPr>
          <w:rFonts w:hint="eastAsia" w:ascii="宋体" w:hAnsi="宋体" w:cs="宋体"/>
          <w:color w:val="auto"/>
          <w:kern w:val="0"/>
          <w:szCs w:val="21"/>
          <w:lang w:val="ru-RU" w:eastAsia="ru-RU"/>
        </w:rPr>
        <w:t>、A</w:t>
      </w:r>
      <w:r>
        <w:rPr>
          <w:rFonts w:hint="eastAsia" w:ascii="宋体" w:hAnsi="宋体" w:cs="宋体"/>
          <w:color w:val="auto"/>
          <w:kern w:val="0"/>
          <w:szCs w:val="21"/>
          <w:vertAlign w:val="subscript"/>
          <w:lang w:val="ru-RU" w:eastAsia="ru-RU"/>
        </w:rPr>
        <w:t>2</w:t>
      </w:r>
      <w:r>
        <w:rPr>
          <w:rFonts w:hint="eastAsia" w:ascii="宋体" w:hAnsi="宋体" w:cs="宋体"/>
          <w:color w:val="auto"/>
          <w:kern w:val="0"/>
          <w:szCs w:val="21"/>
          <w:lang w:val="ru-RU" w:eastAsia="ru-RU"/>
        </w:rPr>
        <w:t>、……A</w:t>
      </w:r>
      <w:r>
        <w:rPr>
          <w:rFonts w:hint="eastAsia" w:ascii="宋体" w:hAnsi="宋体" w:cs="宋体"/>
          <w:color w:val="auto"/>
          <w:kern w:val="0"/>
          <w:szCs w:val="21"/>
          <w:vertAlign w:val="subscript"/>
          <w:lang w:val="ru-RU" w:eastAsia="ru-RU"/>
        </w:rPr>
        <w:t>n</w:t>
      </w:r>
      <w:r>
        <w:rPr>
          <w:rFonts w:hint="eastAsia" w:ascii="宋体" w:hAnsi="宋体" w:cs="宋体"/>
          <w:color w:val="auto"/>
          <w:kern w:val="0"/>
          <w:szCs w:val="21"/>
          <w:lang w:val="ru-RU" w:eastAsia="ru-RU"/>
        </w:rPr>
        <w:t>分别为各项评审因素所占的权重（A</w:t>
      </w:r>
      <w:r>
        <w:rPr>
          <w:rFonts w:hint="eastAsia" w:ascii="宋体" w:hAnsi="宋体" w:cs="宋体"/>
          <w:color w:val="auto"/>
          <w:kern w:val="0"/>
          <w:szCs w:val="21"/>
          <w:vertAlign w:val="subscript"/>
          <w:lang w:val="ru-RU" w:eastAsia="ru-RU"/>
        </w:rPr>
        <w:t>1</w:t>
      </w:r>
      <w:r>
        <w:rPr>
          <w:rFonts w:hint="eastAsia" w:ascii="宋体" w:hAnsi="宋体" w:cs="宋体"/>
          <w:color w:val="auto"/>
          <w:kern w:val="0"/>
          <w:szCs w:val="21"/>
          <w:lang w:val="ru-RU" w:eastAsia="ru-RU"/>
        </w:rPr>
        <w:t>＋A</w:t>
      </w:r>
      <w:r>
        <w:rPr>
          <w:rFonts w:hint="eastAsia" w:ascii="宋体" w:hAnsi="宋体" w:cs="宋体"/>
          <w:color w:val="auto"/>
          <w:kern w:val="0"/>
          <w:szCs w:val="21"/>
          <w:vertAlign w:val="subscript"/>
          <w:lang w:val="ru-RU" w:eastAsia="ru-RU"/>
        </w:rPr>
        <w:t>2</w:t>
      </w:r>
      <w:r>
        <w:rPr>
          <w:rFonts w:hint="eastAsia" w:ascii="宋体" w:hAnsi="宋体" w:cs="宋体"/>
          <w:color w:val="auto"/>
          <w:kern w:val="0"/>
          <w:szCs w:val="21"/>
          <w:lang w:val="ru-RU" w:eastAsia="ru-RU"/>
        </w:rPr>
        <w:t>＋…＋A</w:t>
      </w:r>
      <w:r>
        <w:rPr>
          <w:rFonts w:hint="eastAsia" w:ascii="宋体" w:hAnsi="宋体" w:cs="宋体"/>
          <w:color w:val="auto"/>
          <w:kern w:val="0"/>
          <w:szCs w:val="21"/>
          <w:vertAlign w:val="subscript"/>
          <w:lang w:val="ru-RU" w:eastAsia="ru-RU"/>
        </w:rPr>
        <w:t>n</w:t>
      </w:r>
      <w:r>
        <w:rPr>
          <w:rFonts w:hint="eastAsia" w:ascii="宋体" w:hAnsi="宋体" w:cs="宋体"/>
          <w:color w:val="auto"/>
          <w:kern w:val="0"/>
          <w:szCs w:val="21"/>
          <w:lang w:val="ru-RU" w:eastAsia="ru-RU"/>
        </w:rPr>
        <w:t>＝1）。</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5.2评分分值计算保留小数点后两位，小数点后第三位“四舍五入”。</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s="宋体"/>
          <w:color w:val="auto"/>
          <w:kern w:val="0"/>
          <w:szCs w:val="21"/>
        </w:rPr>
        <w:t>5.3</w:t>
      </w:r>
      <w:r>
        <w:rPr>
          <w:rFonts w:hint="eastAsia" w:ascii="宋体" w:hAnsi="宋体" w:eastAsia="宋体"/>
          <w:color w:val="auto"/>
          <w:szCs w:val="21"/>
        </w:rPr>
        <w:t>评标时，评标委员会成员应当独立对满足招标文件全部实质性要求投标人的</w:t>
      </w:r>
      <w:r>
        <w:rPr>
          <w:rFonts w:hint="eastAsia" w:ascii="宋体" w:hAnsi="宋体" w:eastAsia="宋体"/>
          <w:bCs/>
          <w:color w:val="auto"/>
          <w:szCs w:val="21"/>
        </w:rPr>
        <w:t>投标文件</w:t>
      </w:r>
      <w:r>
        <w:rPr>
          <w:rFonts w:hint="eastAsia" w:ascii="宋体" w:hAnsi="宋体" w:eastAsia="宋体"/>
          <w:color w:val="auto"/>
          <w:szCs w:val="21"/>
        </w:rPr>
        <w:t>进行评价、评分，然后汇总每个投标人每项评分因素的得分。每个投标人的最终得分为所有评标委员会成员评分的算术平均值。</w:t>
      </w:r>
    </w:p>
    <w:p>
      <w:pPr>
        <w:numPr>
          <w:ilvl w:val="0"/>
          <w:numId w:val="1"/>
        </w:numPr>
        <w:adjustRightInd w:val="0"/>
        <w:snapToGrid w:val="0"/>
        <w:spacing w:before="156" w:beforeLines="50" w:line="360" w:lineRule="auto"/>
        <w:ind w:left="0" w:leftChars="0" w:firstLine="0" w:firstLineChars="0"/>
        <w:jc w:val="left"/>
        <w:rPr>
          <w:rFonts w:ascii="黑体" w:hAnsi="黑体" w:eastAsia="黑体"/>
          <w:b/>
          <w:bCs/>
          <w:color w:val="auto"/>
          <w:sz w:val="24"/>
        </w:rPr>
      </w:pPr>
      <w:r>
        <w:rPr>
          <w:rFonts w:hint="eastAsia" w:ascii="黑体" w:hAnsi="黑体" w:eastAsia="黑体"/>
          <w:b/>
          <w:bCs/>
          <w:color w:val="auto"/>
          <w:sz w:val="24"/>
        </w:rPr>
        <w:t>中标候选人的推荐方法</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before="156" w:beforeLines="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6.2得分且投标报价相同的并列，按本章第二节规定确定中标候选人。</w:t>
      </w:r>
    </w:p>
    <w:p>
      <w:pPr>
        <w:adjustRightInd w:val="0"/>
        <w:snapToGrid w:val="0"/>
        <w:spacing w:before="156" w:beforeLines="50" w:line="360" w:lineRule="auto"/>
        <w:ind w:firstLine="420" w:firstLineChars="200"/>
        <w:jc w:val="left"/>
        <w:rPr>
          <w:rFonts w:ascii="宋体" w:hAnsi="宋体" w:eastAsia="宋体"/>
          <w:bCs/>
          <w:color w:val="auto"/>
          <w:szCs w:val="21"/>
        </w:rPr>
      </w:pPr>
    </w:p>
    <w:p>
      <w:pPr>
        <w:widowControl/>
        <w:jc w:val="left"/>
        <w:rPr>
          <w:rFonts w:ascii="宋体" w:hAnsi="宋体" w:eastAsia="宋体"/>
          <w:bCs/>
          <w:color w:val="auto"/>
          <w:sz w:val="10"/>
          <w:szCs w:val="10"/>
        </w:rPr>
      </w:pPr>
      <w:r>
        <w:rPr>
          <w:rFonts w:ascii="宋体" w:hAnsi="宋体" w:eastAsia="宋体"/>
          <w:bCs/>
          <w:color w:val="auto"/>
          <w:szCs w:val="21"/>
        </w:rPr>
        <w:br w:type="page"/>
      </w:r>
    </w:p>
    <w:p>
      <w:pPr>
        <w:pStyle w:val="4"/>
        <w:adjustRightInd w:val="0"/>
        <w:snapToGrid w:val="0"/>
        <w:spacing w:before="156" w:beforeLines="50" w:after="0" w:line="360" w:lineRule="auto"/>
        <w:rPr>
          <w:rFonts w:hint="eastAsia" w:ascii="黑体" w:hAnsi="黑体" w:eastAsia="黑体" w:cs="黑体"/>
          <w:b w:val="0"/>
          <w:bCs w:val="0"/>
          <w:color w:val="auto"/>
          <w:sz w:val="21"/>
          <w:szCs w:val="21"/>
        </w:rPr>
      </w:pPr>
      <w:bookmarkStart w:id="54" w:name="_Toc27168"/>
      <w:r>
        <w:rPr>
          <w:rFonts w:hint="eastAsia" w:ascii="黑体" w:hAnsi="黑体" w:eastAsia="黑体" w:cs="黑体"/>
          <w:b w:val="0"/>
          <w:bCs w:val="0"/>
          <w:color w:val="auto"/>
          <w:sz w:val="21"/>
          <w:szCs w:val="21"/>
        </w:rPr>
        <w:t>附表1 评标方法及标准表</w:t>
      </w:r>
      <w:bookmarkEnd w:id="54"/>
    </w:p>
    <w:p>
      <w:pPr>
        <w:pStyle w:val="20"/>
        <w:ind w:left="0" w:leftChars="0" w:firstLine="0" w:firstLineChars="0"/>
        <w:jc w:val="center"/>
        <w:rPr>
          <w:b/>
          <w:bCs/>
          <w:color w:val="auto"/>
        </w:rPr>
      </w:pPr>
      <w:r>
        <w:rPr>
          <w:rFonts w:hint="eastAsia"/>
          <w:b/>
          <w:bCs/>
          <w:color w:val="auto"/>
        </w:rPr>
        <w:t>本采购项目的权值见下表</w:t>
      </w:r>
    </w:p>
    <w:tbl>
      <w:tblPr>
        <w:tblStyle w:val="21"/>
        <w:tblW w:w="882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4680"/>
        <w:gridCol w:w="342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720" w:type="dxa"/>
            <w:noWrap w:val="0"/>
            <w:vAlign w:val="center"/>
          </w:tcPr>
          <w:p>
            <w:pPr>
              <w:adjustRightInd w:val="0"/>
              <w:snapToGrid w:val="0"/>
              <w:spacing w:line="240" w:lineRule="exact"/>
              <w:rPr>
                <w:rFonts w:ascii="宋体" w:hAnsi="宋体" w:cs="宋体"/>
                <w:b/>
                <w:bCs/>
                <w:color w:val="auto"/>
                <w:kern w:val="0"/>
                <w:sz w:val="20"/>
                <w:szCs w:val="21"/>
                <w:lang w:val="ru-RU" w:eastAsia="ru-RU"/>
              </w:rPr>
            </w:pPr>
            <w:r>
              <w:rPr>
                <w:rFonts w:hint="eastAsia" w:ascii="宋体" w:hAnsi="宋体" w:cs="宋体"/>
                <w:b/>
                <w:bCs/>
                <w:color w:val="auto"/>
                <w:kern w:val="0"/>
                <w:sz w:val="20"/>
                <w:szCs w:val="21"/>
                <w:lang w:val="ru-RU" w:eastAsia="ru-RU"/>
              </w:rPr>
              <w:t>序号</w:t>
            </w:r>
          </w:p>
        </w:tc>
        <w:tc>
          <w:tcPr>
            <w:tcW w:w="4680" w:type="dxa"/>
            <w:noWrap w:val="0"/>
            <w:vAlign w:val="center"/>
          </w:tcPr>
          <w:p>
            <w:pPr>
              <w:adjustRightInd w:val="0"/>
              <w:snapToGrid w:val="0"/>
              <w:spacing w:line="240" w:lineRule="exact"/>
              <w:jc w:val="center"/>
              <w:rPr>
                <w:rFonts w:ascii="宋体" w:hAnsi="宋体" w:cs="宋体"/>
                <w:b/>
                <w:bCs/>
                <w:color w:val="auto"/>
                <w:kern w:val="0"/>
                <w:sz w:val="20"/>
                <w:szCs w:val="21"/>
                <w:lang w:val="ru-RU" w:eastAsia="ru-RU"/>
              </w:rPr>
            </w:pPr>
            <w:r>
              <w:rPr>
                <w:rFonts w:hint="eastAsia" w:ascii="宋体" w:hAnsi="宋体" w:cs="宋体"/>
                <w:b/>
                <w:bCs/>
                <w:color w:val="auto"/>
                <w:kern w:val="0"/>
                <w:sz w:val="20"/>
                <w:szCs w:val="21"/>
                <w:lang w:val="ru-RU" w:eastAsia="ru-RU"/>
              </w:rPr>
              <w:t>项     目</w:t>
            </w:r>
          </w:p>
        </w:tc>
        <w:tc>
          <w:tcPr>
            <w:tcW w:w="3420" w:type="dxa"/>
            <w:noWrap w:val="0"/>
            <w:vAlign w:val="center"/>
          </w:tcPr>
          <w:p>
            <w:pPr>
              <w:adjustRightInd w:val="0"/>
              <w:snapToGrid w:val="0"/>
              <w:spacing w:line="240" w:lineRule="exact"/>
              <w:jc w:val="center"/>
              <w:rPr>
                <w:rFonts w:ascii="宋体" w:hAnsi="宋体" w:cs="宋体"/>
                <w:b/>
                <w:bCs/>
                <w:color w:val="auto"/>
                <w:kern w:val="0"/>
                <w:sz w:val="20"/>
                <w:szCs w:val="21"/>
                <w:lang w:val="ru-RU" w:eastAsia="ru-RU"/>
              </w:rPr>
            </w:pPr>
            <w:r>
              <w:rPr>
                <w:rFonts w:hint="eastAsia" w:ascii="宋体" w:hAnsi="宋体" w:cs="宋体"/>
                <w:b/>
                <w:bCs/>
                <w:color w:val="auto"/>
                <w:kern w:val="0"/>
                <w:sz w:val="20"/>
                <w:szCs w:val="21"/>
                <w:lang w:val="ru-RU" w:eastAsia="ru-RU"/>
              </w:rPr>
              <w:t>权值的取值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720" w:type="dxa"/>
            <w:noWrap w:val="0"/>
            <w:vAlign w:val="center"/>
          </w:tcPr>
          <w:p>
            <w:pPr>
              <w:adjustRightInd w:val="0"/>
              <w:snapToGrid w:val="0"/>
              <w:spacing w:line="240" w:lineRule="exact"/>
              <w:jc w:val="center"/>
              <w:rPr>
                <w:rFonts w:ascii="宋体" w:hAnsi="宋体" w:cs="宋体"/>
                <w:color w:val="auto"/>
                <w:kern w:val="0"/>
                <w:sz w:val="18"/>
                <w:szCs w:val="18"/>
                <w:lang w:val="ru-RU" w:eastAsia="ru-RU"/>
              </w:rPr>
            </w:pPr>
            <w:r>
              <w:rPr>
                <w:rFonts w:hint="eastAsia" w:ascii="宋体" w:hAnsi="宋体" w:cs="宋体"/>
                <w:color w:val="auto"/>
                <w:kern w:val="0"/>
                <w:sz w:val="18"/>
                <w:szCs w:val="18"/>
                <w:lang w:val="ru-RU" w:eastAsia="ru-RU"/>
              </w:rPr>
              <w:t>1</w:t>
            </w:r>
          </w:p>
        </w:tc>
        <w:tc>
          <w:tcPr>
            <w:tcW w:w="4680" w:type="dxa"/>
            <w:noWrap w:val="0"/>
            <w:vAlign w:val="center"/>
          </w:tcPr>
          <w:p>
            <w:pPr>
              <w:adjustRightInd w:val="0"/>
              <w:snapToGrid w:val="0"/>
              <w:spacing w:line="240" w:lineRule="exact"/>
              <w:jc w:val="center"/>
              <w:rPr>
                <w:rFonts w:ascii="宋体" w:hAnsi="宋体" w:cs="宋体"/>
                <w:color w:val="auto"/>
                <w:kern w:val="0"/>
                <w:sz w:val="20"/>
                <w:szCs w:val="21"/>
                <w:lang w:val="ru-RU"/>
              </w:rPr>
            </w:pPr>
            <w:r>
              <w:rPr>
                <w:rFonts w:hint="eastAsia" w:ascii="宋体" w:hAnsi="宋体" w:cs="宋体"/>
                <w:color w:val="auto"/>
                <w:kern w:val="0"/>
                <w:sz w:val="20"/>
                <w:szCs w:val="21"/>
                <w:lang w:val="ru-RU" w:eastAsia="ru-RU"/>
              </w:rPr>
              <w:t>报价</w:t>
            </w:r>
            <w:r>
              <w:rPr>
                <w:rFonts w:hint="eastAsia" w:ascii="宋体" w:hAnsi="宋体" w:cs="宋体"/>
                <w:color w:val="auto"/>
                <w:kern w:val="0"/>
                <w:sz w:val="20"/>
                <w:szCs w:val="21"/>
                <w:lang w:val="ru-RU"/>
              </w:rPr>
              <w:t>（A</w:t>
            </w:r>
            <w:r>
              <w:rPr>
                <w:rFonts w:ascii="Calibri" w:hAnsi="Calibri" w:cs="宋体"/>
                <w:color w:val="auto"/>
                <w:kern w:val="0"/>
                <w:sz w:val="13"/>
                <w:szCs w:val="13"/>
                <w:lang w:val="ru-RU"/>
              </w:rPr>
              <w:t>1</w:t>
            </w:r>
            <w:r>
              <w:rPr>
                <w:rFonts w:hint="eastAsia" w:ascii="宋体" w:hAnsi="宋体" w:cs="宋体"/>
                <w:color w:val="auto"/>
                <w:kern w:val="0"/>
                <w:sz w:val="20"/>
                <w:szCs w:val="21"/>
                <w:lang w:val="ru-RU"/>
              </w:rPr>
              <w:t>）</w:t>
            </w:r>
          </w:p>
        </w:tc>
        <w:tc>
          <w:tcPr>
            <w:tcW w:w="3420" w:type="dxa"/>
            <w:noWrap w:val="0"/>
            <w:vAlign w:val="center"/>
          </w:tcPr>
          <w:p>
            <w:pPr>
              <w:adjustRightInd w:val="0"/>
              <w:snapToGrid w:val="0"/>
              <w:spacing w:line="240" w:lineRule="exact"/>
              <w:jc w:val="center"/>
              <w:rPr>
                <w:rFonts w:hint="default" w:ascii="宋体" w:hAnsi="宋体" w:eastAsia="宋体" w:cs="宋体"/>
                <w:color w:val="auto"/>
                <w:kern w:val="0"/>
                <w:sz w:val="18"/>
                <w:szCs w:val="18"/>
                <w:lang w:val="en-US" w:eastAsia="zh-CN"/>
              </w:rPr>
            </w:pPr>
            <w:r>
              <w:rPr>
                <w:rFonts w:hint="eastAsia" w:ascii="宋体" w:hAnsi="宋体" w:cs="宋体"/>
                <w:color w:val="auto"/>
                <w:kern w:val="0"/>
                <w:sz w:val="18"/>
                <w:szCs w:val="18"/>
                <w:lang w:val="en-US" w:eastAsia="zh-CN"/>
              </w:rPr>
              <w:t>0.30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20" w:type="dxa"/>
            <w:noWrap w:val="0"/>
            <w:vAlign w:val="center"/>
          </w:tcPr>
          <w:p>
            <w:pPr>
              <w:adjustRightInd w:val="0"/>
              <w:snapToGrid w:val="0"/>
              <w:spacing w:line="240" w:lineRule="exact"/>
              <w:jc w:val="center"/>
              <w:rPr>
                <w:rFonts w:ascii="宋体" w:hAnsi="宋体" w:cs="宋体"/>
                <w:color w:val="auto"/>
                <w:kern w:val="0"/>
                <w:sz w:val="18"/>
                <w:szCs w:val="18"/>
                <w:lang w:val="ru-RU" w:eastAsia="ru-RU"/>
              </w:rPr>
            </w:pPr>
            <w:r>
              <w:rPr>
                <w:rFonts w:hint="eastAsia" w:ascii="宋体" w:hAnsi="宋体" w:cs="宋体"/>
                <w:color w:val="auto"/>
                <w:kern w:val="0"/>
                <w:sz w:val="18"/>
                <w:szCs w:val="18"/>
                <w:lang w:val="ru-RU" w:eastAsia="ru-RU"/>
              </w:rPr>
              <w:t>2</w:t>
            </w:r>
          </w:p>
        </w:tc>
        <w:tc>
          <w:tcPr>
            <w:tcW w:w="4680" w:type="dxa"/>
            <w:noWrap w:val="0"/>
            <w:vAlign w:val="center"/>
          </w:tcPr>
          <w:p>
            <w:pPr>
              <w:adjustRightInd w:val="0"/>
              <w:snapToGrid w:val="0"/>
              <w:spacing w:line="240" w:lineRule="exact"/>
              <w:jc w:val="center"/>
              <w:rPr>
                <w:rFonts w:ascii="宋体" w:hAnsi="宋体" w:cs="宋体"/>
                <w:color w:val="auto"/>
                <w:kern w:val="0"/>
                <w:sz w:val="20"/>
                <w:szCs w:val="21"/>
                <w:lang w:val="ru-RU" w:eastAsia="ru-RU"/>
              </w:rPr>
            </w:pPr>
            <w:r>
              <w:rPr>
                <w:rFonts w:hint="eastAsia" w:ascii="宋体" w:hAnsi="宋体" w:cs="宋体"/>
                <w:color w:val="auto"/>
                <w:kern w:val="0"/>
                <w:sz w:val="20"/>
                <w:szCs w:val="21"/>
                <w:lang w:val="ru-RU" w:eastAsia="ru-RU"/>
              </w:rPr>
              <w:t>技术</w:t>
            </w:r>
            <w:r>
              <w:rPr>
                <w:rFonts w:hint="eastAsia" w:ascii="宋体" w:hAnsi="宋体" w:cs="宋体"/>
                <w:color w:val="auto"/>
                <w:kern w:val="0"/>
                <w:sz w:val="20"/>
                <w:szCs w:val="21"/>
                <w:lang w:val="ru-RU"/>
              </w:rPr>
              <w:t>（A</w:t>
            </w:r>
            <w:r>
              <w:rPr>
                <w:rFonts w:ascii="Calibri" w:hAnsi="Calibri" w:cs="宋体"/>
                <w:color w:val="auto"/>
                <w:kern w:val="0"/>
                <w:sz w:val="13"/>
                <w:szCs w:val="13"/>
                <w:lang w:val="ru-RU"/>
              </w:rPr>
              <w:t>2</w:t>
            </w:r>
            <w:r>
              <w:rPr>
                <w:rFonts w:hint="eastAsia" w:ascii="宋体" w:hAnsi="宋体" w:cs="宋体"/>
                <w:color w:val="auto"/>
                <w:kern w:val="0"/>
                <w:sz w:val="20"/>
                <w:szCs w:val="21"/>
                <w:lang w:val="ru-RU"/>
              </w:rPr>
              <w:t>）</w:t>
            </w:r>
          </w:p>
        </w:tc>
        <w:tc>
          <w:tcPr>
            <w:tcW w:w="3420" w:type="dxa"/>
            <w:noWrap w:val="0"/>
            <w:vAlign w:val="center"/>
          </w:tcPr>
          <w:p>
            <w:pPr>
              <w:adjustRightInd w:val="0"/>
              <w:snapToGrid w:val="0"/>
              <w:spacing w:line="240" w:lineRule="exact"/>
              <w:jc w:val="center"/>
              <w:rPr>
                <w:rFonts w:hint="default" w:ascii="宋体" w:hAnsi="宋体" w:eastAsia="宋体" w:cs="宋体"/>
                <w:color w:val="auto"/>
                <w:kern w:val="0"/>
                <w:sz w:val="18"/>
                <w:szCs w:val="18"/>
                <w:lang w:val="en-US" w:eastAsia="zh-CN"/>
              </w:rPr>
            </w:pPr>
            <w:r>
              <w:rPr>
                <w:rFonts w:hint="eastAsia" w:ascii="宋体" w:hAnsi="宋体" w:cs="宋体"/>
                <w:color w:val="auto"/>
                <w:kern w:val="0"/>
                <w:sz w:val="18"/>
                <w:szCs w:val="18"/>
                <w:lang w:val="en-US" w:eastAsia="zh-CN"/>
              </w:rPr>
              <w:t>0.45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20" w:type="dxa"/>
            <w:noWrap w:val="0"/>
            <w:vAlign w:val="center"/>
          </w:tcPr>
          <w:p>
            <w:pPr>
              <w:adjustRightInd w:val="0"/>
              <w:snapToGrid w:val="0"/>
              <w:spacing w:line="240" w:lineRule="exact"/>
              <w:jc w:val="center"/>
              <w:rPr>
                <w:rFonts w:ascii="宋体" w:hAnsi="宋体" w:cs="宋体"/>
                <w:color w:val="auto"/>
                <w:kern w:val="0"/>
                <w:sz w:val="18"/>
                <w:szCs w:val="18"/>
                <w:lang w:val="ru-RU" w:eastAsia="ru-RU"/>
              </w:rPr>
            </w:pPr>
            <w:r>
              <w:rPr>
                <w:rFonts w:hint="eastAsia" w:ascii="宋体" w:hAnsi="宋体" w:cs="宋体"/>
                <w:color w:val="auto"/>
                <w:kern w:val="0"/>
                <w:sz w:val="18"/>
                <w:szCs w:val="18"/>
                <w:lang w:val="ru-RU" w:eastAsia="ru-RU"/>
              </w:rPr>
              <w:t>3</w:t>
            </w:r>
          </w:p>
        </w:tc>
        <w:tc>
          <w:tcPr>
            <w:tcW w:w="4680" w:type="dxa"/>
            <w:noWrap w:val="0"/>
            <w:vAlign w:val="center"/>
          </w:tcPr>
          <w:p>
            <w:pPr>
              <w:adjustRightInd w:val="0"/>
              <w:snapToGrid w:val="0"/>
              <w:spacing w:line="240" w:lineRule="exact"/>
              <w:jc w:val="center"/>
              <w:rPr>
                <w:rFonts w:ascii="宋体" w:hAnsi="宋体" w:cs="宋体"/>
                <w:color w:val="auto"/>
                <w:kern w:val="0"/>
                <w:sz w:val="20"/>
                <w:szCs w:val="21"/>
                <w:lang w:val="ru-RU"/>
              </w:rPr>
            </w:pPr>
            <w:r>
              <w:rPr>
                <w:rFonts w:hint="eastAsia" w:ascii="宋体" w:hAnsi="宋体" w:cs="宋体"/>
                <w:color w:val="auto"/>
                <w:kern w:val="0"/>
                <w:sz w:val="20"/>
                <w:szCs w:val="21"/>
                <w:lang w:val="ru-RU"/>
              </w:rPr>
              <w:t>商务（A</w:t>
            </w:r>
            <w:r>
              <w:rPr>
                <w:rFonts w:ascii="Calibri" w:hAnsi="Calibri" w:cs="宋体"/>
                <w:color w:val="auto"/>
                <w:kern w:val="0"/>
                <w:sz w:val="13"/>
                <w:szCs w:val="13"/>
                <w:lang w:val="ru-RU"/>
              </w:rPr>
              <w:t>3</w:t>
            </w:r>
            <w:r>
              <w:rPr>
                <w:rFonts w:hint="eastAsia" w:ascii="宋体" w:hAnsi="宋体" w:cs="宋体"/>
                <w:color w:val="auto"/>
                <w:kern w:val="0"/>
                <w:sz w:val="20"/>
                <w:szCs w:val="21"/>
                <w:lang w:val="ru-RU"/>
              </w:rPr>
              <w:t>）</w:t>
            </w:r>
          </w:p>
        </w:tc>
        <w:tc>
          <w:tcPr>
            <w:tcW w:w="3420" w:type="dxa"/>
            <w:noWrap w:val="0"/>
            <w:vAlign w:val="center"/>
          </w:tcPr>
          <w:p>
            <w:pPr>
              <w:adjustRightInd w:val="0"/>
              <w:snapToGrid w:val="0"/>
              <w:spacing w:line="240" w:lineRule="exact"/>
              <w:jc w:val="center"/>
              <w:rPr>
                <w:rFonts w:hint="default" w:ascii="宋体" w:hAnsi="宋体" w:eastAsia="宋体" w:cs="宋体"/>
                <w:color w:val="auto"/>
                <w:kern w:val="0"/>
                <w:sz w:val="18"/>
                <w:szCs w:val="18"/>
                <w:lang w:val="en-US" w:eastAsia="zh-CN"/>
              </w:rPr>
            </w:pPr>
            <w:r>
              <w:rPr>
                <w:rFonts w:hint="eastAsia" w:ascii="宋体" w:hAnsi="宋体" w:cs="宋体"/>
                <w:color w:val="auto"/>
                <w:kern w:val="0"/>
                <w:sz w:val="18"/>
                <w:szCs w:val="18"/>
                <w:lang w:val="en-US" w:eastAsia="zh-CN"/>
              </w:rPr>
              <w:t>0.25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5400" w:type="dxa"/>
            <w:gridSpan w:val="2"/>
            <w:noWrap w:val="0"/>
            <w:vAlign w:val="center"/>
          </w:tcPr>
          <w:p>
            <w:pPr>
              <w:adjustRightInd w:val="0"/>
              <w:snapToGrid w:val="0"/>
              <w:spacing w:line="240" w:lineRule="exact"/>
              <w:jc w:val="center"/>
              <w:rPr>
                <w:rFonts w:ascii="宋体" w:hAnsi="宋体" w:cs="宋体"/>
                <w:color w:val="auto"/>
                <w:kern w:val="0"/>
                <w:sz w:val="20"/>
                <w:szCs w:val="21"/>
                <w:lang w:val="ru-RU" w:eastAsia="ru-RU"/>
              </w:rPr>
            </w:pPr>
            <w:r>
              <w:rPr>
                <w:rFonts w:hint="eastAsia" w:ascii="宋体" w:hAnsi="宋体" w:cs="宋体"/>
                <w:color w:val="auto"/>
                <w:kern w:val="0"/>
                <w:sz w:val="20"/>
                <w:szCs w:val="21"/>
              </w:rPr>
              <w:t xml:space="preserve">       </w:t>
            </w:r>
            <w:r>
              <w:rPr>
                <w:rFonts w:hint="eastAsia" w:ascii="宋体" w:hAnsi="宋体" w:cs="宋体"/>
                <w:color w:val="auto"/>
                <w:kern w:val="0"/>
                <w:sz w:val="20"/>
                <w:szCs w:val="21"/>
                <w:lang w:val="ru-RU"/>
              </w:rPr>
              <w:t>合计</w:t>
            </w:r>
          </w:p>
        </w:tc>
        <w:tc>
          <w:tcPr>
            <w:tcW w:w="3420" w:type="dxa"/>
            <w:noWrap w:val="0"/>
            <w:vAlign w:val="center"/>
          </w:tcPr>
          <w:p>
            <w:pPr>
              <w:adjustRightInd w:val="0"/>
              <w:snapToGrid w:val="0"/>
              <w:spacing w:line="240" w:lineRule="exact"/>
              <w:jc w:val="center"/>
              <w:rPr>
                <w:rFonts w:ascii="宋体" w:hAnsi="宋体" w:cs="宋体"/>
                <w:color w:val="auto"/>
                <w:kern w:val="0"/>
                <w:sz w:val="18"/>
                <w:szCs w:val="18"/>
              </w:rPr>
            </w:pPr>
            <w:r>
              <w:rPr>
                <w:rFonts w:hint="eastAsia" w:ascii="宋体" w:hAnsi="宋体" w:cs="宋体"/>
                <w:color w:val="auto"/>
                <w:kern w:val="0"/>
                <w:sz w:val="18"/>
                <w:szCs w:val="18"/>
              </w:rPr>
              <w:t>1.00</w:t>
            </w:r>
          </w:p>
        </w:tc>
      </w:tr>
    </w:tbl>
    <w:p>
      <w:pPr>
        <w:adjustRightInd w:val="0"/>
        <w:snapToGrid w:val="0"/>
        <w:spacing w:before="156" w:beforeLines="50" w:line="360" w:lineRule="auto"/>
        <w:jc w:val="center"/>
        <w:rPr>
          <w:b/>
          <w:bCs/>
          <w:color w:val="auto"/>
        </w:rPr>
      </w:pPr>
      <w:r>
        <w:rPr>
          <w:rFonts w:hint="eastAsia"/>
          <w:b/>
          <w:bCs/>
          <w:color w:val="auto"/>
        </w:rPr>
        <w:t>附表1.1投标报价评审标准表</w:t>
      </w:r>
    </w:p>
    <w:tbl>
      <w:tblPr>
        <w:tblStyle w:val="21"/>
        <w:tblW w:w="8916"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1641"/>
        <w:gridCol w:w="677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503" w:type="dxa"/>
            <w:tcBorders>
              <w:righ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序号</w:t>
            </w:r>
          </w:p>
        </w:tc>
        <w:tc>
          <w:tcPr>
            <w:tcW w:w="1641" w:type="dxa"/>
            <w:tcBorders>
              <w:left w:val="single" w:color="auto" w:sz="4" w:space="0"/>
              <w:righ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评标因素（分值）</w:t>
            </w:r>
          </w:p>
        </w:tc>
        <w:tc>
          <w:tcPr>
            <w:tcW w:w="6772" w:type="dxa"/>
            <w:tcBorders>
              <w:lef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评标标准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4" w:hRule="atLeast"/>
          <w:jc w:val="center"/>
        </w:trPr>
        <w:tc>
          <w:tcPr>
            <w:tcW w:w="503" w:type="dxa"/>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r>
              <w:rPr>
                <w:rFonts w:hint="eastAsia" w:ascii="宋体" w:hAnsi="宋体"/>
                <w:color w:val="auto"/>
                <w:sz w:val="18"/>
                <w:szCs w:val="18"/>
              </w:rPr>
              <w:t>1</w:t>
            </w:r>
          </w:p>
        </w:tc>
        <w:tc>
          <w:tcPr>
            <w:tcW w:w="1641" w:type="dxa"/>
            <w:tcBorders>
              <w:left w:val="single" w:color="auto" w:sz="4" w:space="0"/>
              <w:righ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价格评价项</w:t>
            </w:r>
          </w:p>
          <w:p>
            <w:pPr>
              <w:adjustRightInd w:val="0"/>
              <w:snapToGrid w:val="0"/>
              <w:jc w:val="center"/>
              <w:rPr>
                <w:rFonts w:ascii="宋体" w:hAnsi="宋体"/>
                <w:color w:val="auto"/>
                <w:sz w:val="18"/>
                <w:szCs w:val="18"/>
              </w:rPr>
            </w:pPr>
            <w:r>
              <w:rPr>
                <w:rFonts w:hint="eastAsia" w:ascii="宋体" w:hAnsi="宋体"/>
                <w:color w:val="auto"/>
                <w:sz w:val="18"/>
                <w:szCs w:val="18"/>
              </w:rPr>
              <w:t>（F=100分）</w:t>
            </w:r>
          </w:p>
        </w:tc>
        <w:tc>
          <w:tcPr>
            <w:tcW w:w="6772" w:type="dxa"/>
            <w:tcBorders>
              <w:left w:val="single" w:color="auto" w:sz="4" w:space="0"/>
            </w:tcBorders>
            <w:noWrap w:val="0"/>
            <w:vAlign w:val="center"/>
          </w:tcPr>
          <w:p>
            <w:pPr>
              <w:spacing w:line="320" w:lineRule="exact"/>
              <w:jc w:val="left"/>
              <w:rPr>
                <w:rFonts w:ascii="宋体" w:hAnsi="宋体" w:cs="宋体"/>
                <w:szCs w:val="21"/>
              </w:rPr>
            </w:pPr>
            <w:r>
              <w:rPr>
                <w:rFonts w:hint="eastAsia" w:ascii="宋体" w:hAnsi="宋体" w:cs="宋体"/>
                <w:szCs w:val="21"/>
              </w:rPr>
              <w:t>价格分采用低价优先法计算，即满足招标文件要求且投标价格最低的投标报价为评标基准价，其价格分为满分，其他有效投标人的价格分按照下列公式计算：投标报价得分=(评标基准价／投标报价)×价格分值×</w:t>
            </w:r>
            <w:r>
              <w:rPr>
                <w:rFonts w:hint="eastAsia" w:ascii="宋体" w:hAnsi="宋体" w:cs="宋体"/>
                <w:szCs w:val="21"/>
                <w:lang w:val="ru-RU" w:eastAsia="ru-RU"/>
              </w:rPr>
              <w:t>权值</w:t>
            </w:r>
          </w:p>
          <w:p>
            <w:pPr>
              <w:rPr>
                <w:color w:val="auto"/>
              </w:rPr>
            </w:pPr>
            <w:r>
              <w:rPr>
                <w:rFonts w:hint="eastAsia" w:ascii="宋体" w:hAnsi="宋体" w:cs="宋体"/>
                <w:szCs w:val="21"/>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503" w:type="dxa"/>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r>
              <w:rPr>
                <w:rFonts w:hint="eastAsia" w:ascii="宋体" w:hAnsi="宋体"/>
                <w:color w:val="auto"/>
                <w:sz w:val="18"/>
                <w:szCs w:val="18"/>
              </w:rPr>
              <w:t>2</w:t>
            </w:r>
          </w:p>
        </w:tc>
        <w:tc>
          <w:tcPr>
            <w:tcW w:w="1641" w:type="dxa"/>
            <w:tcBorders>
              <w:lef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优先采购加分（F</w:t>
            </w:r>
            <w:r>
              <w:rPr>
                <w:rFonts w:hint="eastAsia" w:ascii="宋体" w:hAnsi="宋体"/>
                <w:color w:val="auto"/>
                <w:sz w:val="18"/>
                <w:szCs w:val="18"/>
                <w:vertAlign w:val="subscript"/>
              </w:rPr>
              <w:t>优先采购加分</w:t>
            </w:r>
            <w:r>
              <w:rPr>
                <w:rFonts w:hint="eastAsia" w:ascii="宋体" w:hAnsi="宋体"/>
                <w:color w:val="auto"/>
                <w:sz w:val="18"/>
                <w:szCs w:val="18"/>
              </w:rPr>
              <w:t>）</w:t>
            </w:r>
          </w:p>
        </w:tc>
        <w:tc>
          <w:tcPr>
            <w:tcW w:w="6772" w:type="dxa"/>
            <w:tcBorders>
              <w:bottom w:val="single" w:color="auto" w:sz="4" w:space="0"/>
            </w:tcBorders>
            <w:noWrap w:val="0"/>
            <w:vAlign w:val="center"/>
          </w:tcPr>
          <w:p>
            <w:pPr>
              <w:widowControl/>
              <w:spacing w:line="360" w:lineRule="exact"/>
              <w:rPr>
                <w:rFonts w:ascii="宋体" w:hAnsi="宋体"/>
                <w:szCs w:val="21"/>
              </w:rPr>
            </w:pPr>
            <w:r>
              <w:rPr>
                <w:rFonts w:hint="eastAsia" w:ascii="宋体" w:hAnsi="宋体" w:cs="宋体"/>
                <w:szCs w:val="21"/>
              </w:rPr>
              <w:t>节能、</w:t>
            </w:r>
            <w:r>
              <w:rPr>
                <w:rFonts w:ascii="宋体" w:hAnsi="宋体" w:cs="宋体"/>
                <w:szCs w:val="21"/>
              </w:rPr>
              <w:t>环境标志产品加分(此仅限于</w:t>
            </w:r>
            <w:r>
              <w:rPr>
                <w:rFonts w:hint="eastAsia" w:ascii="宋体" w:hAnsi="宋体" w:cs="宋体"/>
                <w:szCs w:val="21"/>
              </w:rPr>
              <w:t>节能、</w:t>
            </w:r>
            <w:r>
              <w:rPr>
                <w:rFonts w:ascii="宋体" w:hAnsi="宋体" w:cs="宋体"/>
                <w:szCs w:val="21"/>
              </w:rPr>
              <w:t>环境标志政府采购</w:t>
            </w:r>
            <w:r>
              <w:rPr>
                <w:rFonts w:hint="eastAsia" w:ascii="宋体" w:hAnsi="宋体" w:cs="宋体"/>
                <w:szCs w:val="21"/>
              </w:rPr>
              <w:t>品目</w:t>
            </w:r>
            <w:r>
              <w:rPr>
                <w:rFonts w:ascii="宋体" w:hAnsi="宋体" w:cs="宋体"/>
                <w:szCs w:val="21"/>
              </w:rPr>
              <w:t>清单内产品，不是</w:t>
            </w:r>
            <w:r>
              <w:rPr>
                <w:rFonts w:hint="eastAsia" w:ascii="宋体" w:hAnsi="宋体" w:cs="宋体"/>
                <w:szCs w:val="21"/>
              </w:rPr>
              <w:t>品目</w:t>
            </w:r>
            <w:r>
              <w:rPr>
                <w:rFonts w:ascii="宋体" w:hAnsi="宋体" w:cs="宋体"/>
                <w:szCs w:val="21"/>
              </w:rPr>
              <w:t xml:space="preserve">清单内的产品，在评审时不予以考虑)： </w:t>
            </w:r>
          </w:p>
          <w:p>
            <w:pPr>
              <w:widowControl/>
              <w:spacing w:line="360" w:lineRule="exact"/>
              <w:ind w:firstLine="210"/>
              <w:rPr>
                <w:rFonts w:ascii="宋体" w:hAnsi="宋体"/>
                <w:szCs w:val="21"/>
              </w:rPr>
            </w:pPr>
            <w:r>
              <w:rPr>
                <w:rFonts w:ascii="宋体" w:hAnsi="宋体" w:cs="宋体"/>
                <w:szCs w:val="21"/>
              </w:rPr>
              <w:t>所投环保产品的价格</w:t>
            </w:r>
          </w:p>
          <w:p>
            <w:pPr>
              <w:widowControl/>
              <w:spacing w:line="360" w:lineRule="exact"/>
              <w:jc w:val="left"/>
              <w:rPr>
                <w:rFonts w:ascii="宋体" w:hAnsi="宋体"/>
                <w:szCs w:val="21"/>
              </w:rPr>
            </w:pPr>
            <w:r>
              <w:rPr>
                <w:rFonts w:ascii="宋体" w:hAnsi="宋体" w:cs="宋体"/>
                <w:szCs w:val="21"/>
              </w:rPr>
              <w:t>———————————×</w:t>
            </w:r>
            <w:r>
              <w:rPr>
                <w:rFonts w:hint="eastAsia" w:ascii="宋体" w:hAnsi="宋体" w:cs="宋体"/>
                <w:szCs w:val="21"/>
                <w:lang w:val="en-US" w:eastAsia="zh-CN"/>
              </w:rPr>
              <w:t>价格</w:t>
            </w:r>
            <w:r>
              <w:rPr>
                <w:rFonts w:ascii="宋体" w:hAnsi="宋体" w:cs="宋体"/>
                <w:szCs w:val="21"/>
              </w:rPr>
              <w:t>权值×100×本项目加分比例=应加分数</w:t>
            </w:r>
          </w:p>
          <w:p>
            <w:pPr>
              <w:widowControl/>
              <w:spacing w:line="360" w:lineRule="exact"/>
              <w:ind w:firstLine="525"/>
              <w:rPr>
                <w:rFonts w:ascii="宋体" w:hAnsi="宋体"/>
                <w:szCs w:val="21"/>
              </w:rPr>
            </w:pPr>
            <w:r>
              <w:rPr>
                <w:rFonts w:ascii="宋体" w:hAnsi="宋体" w:cs="宋体"/>
                <w:szCs w:val="21"/>
              </w:rPr>
              <w:t>项目总价格</w:t>
            </w:r>
          </w:p>
          <w:p>
            <w:pPr>
              <w:adjustRightInd w:val="0"/>
              <w:snapToGrid w:val="0"/>
              <w:spacing w:before="156" w:beforeLines="50"/>
              <w:rPr>
                <w:rFonts w:ascii="宋体" w:hAnsi="宋体"/>
                <w:color w:val="auto"/>
                <w:sz w:val="18"/>
                <w:szCs w:val="18"/>
              </w:rPr>
            </w:pPr>
            <w:r>
              <w:rPr>
                <w:rFonts w:ascii="宋体" w:hAnsi="宋体" w:cs="宋体"/>
                <w:szCs w:val="21"/>
              </w:rPr>
              <w:t>注：整包中某一品目为</w:t>
            </w:r>
            <w:r>
              <w:rPr>
                <w:rFonts w:hint="eastAsia" w:ascii="宋体" w:hAnsi="宋体" w:cs="宋体"/>
                <w:szCs w:val="21"/>
              </w:rPr>
              <w:t>节能、</w:t>
            </w:r>
            <w:r>
              <w:rPr>
                <w:rFonts w:ascii="宋体" w:hAnsi="宋体" w:cs="宋体"/>
                <w:szCs w:val="21"/>
              </w:rPr>
              <w:t>环境标志政府采购</w:t>
            </w:r>
            <w:r>
              <w:rPr>
                <w:rFonts w:hint="eastAsia" w:ascii="宋体" w:hAnsi="宋体" w:cs="宋体"/>
                <w:szCs w:val="21"/>
              </w:rPr>
              <w:t>品目</w:t>
            </w:r>
            <w:r>
              <w:rPr>
                <w:rFonts w:ascii="宋体" w:hAnsi="宋体" w:cs="宋体"/>
                <w:szCs w:val="21"/>
              </w:rPr>
              <w:t>清单内产品时只对该品目</w:t>
            </w:r>
            <w:r>
              <w:rPr>
                <w:rFonts w:hint="eastAsia" w:ascii="宋体" w:hAnsi="宋体" w:cs="宋体"/>
                <w:szCs w:val="21"/>
                <w:lang w:val="en-US" w:eastAsia="zh-CN"/>
              </w:rPr>
              <w:t>价格</w:t>
            </w:r>
            <w:r>
              <w:rPr>
                <w:rFonts w:ascii="宋体" w:hAnsi="宋体" w:cs="宋体"/>
                <w:szCs w:val="21"/>
              </w:rPr>
              <w:t>加分，并合计到</w:t>
            </w:r>
            <w:r>
              <w:rPr>
                <w:rFonts w:hint="eastAsia" w:ascii="宋体" w:hAnsi="宋体" w:cs="宋体"/>
                <w:szCs w:val="21"/>
                <w:lang w:val="en-US" w:eastAsia="zh-CN"/>
              </w:rPr>
              <w:t>价格</w:t>
            </w:r>
            <w:r>
              <w:rPr>
                <w:rFonts w:ascii="宋体" w:hAnsi="宋体" w:cs="宋体"/>
                <w:szCs w:val="21"/>
              </w:rPr>
              <w:t>最终得分。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503" w:type="dxa"/>
            <w:tcBorders>
              <w:righ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w:t>
            </w:r>
          </w:p>
        </w:tc>
        <w:tc>
          <w:tcPr>
            <w:tcW w:w="8413" w:type="dxa"/>
            <w:gridSpan w:val="2"/>
            <w:tcBorders>
              <w:left w:val="single" w:color="auto" w:sz="4" w:space="0"/>
            </w:tcBorders>
            <w:noWrap w:val="0"/>
            <w:vAlign w:val="center"/>
          </w:tcPr>
          <w:p>
            <w:pPr>
              <w:adjustRightInd w:val="0"/>
              <w:snapToGrid w:val="0"/>
              <w:rPr>
                <w:rFonts w:ascii="宋体" w:hAnsi="宋体"/>
                <w:color w:val="auto"/>
                <w:sz w:val="18"/>
                <w:szCs w:val="18"/>
              </w:rPr>
            </w:pPr>
            <w:r>
              <w:rPr>
                <w:rFonts w:hint="eastAsia" w:ascii="宋体" w:hAnsi="宋体"/>
                <w:color w:val="auto"/>
                <w:sz w:val="18"/>
                <w:szCs w:val="18"/>
              </w:rPr>
              <w:t>F</w:t>
            </w:r>
            <w:r>
              <w:rPr>
                <w:rFonts w:hint="eastAsia" w:ascii="宋体" w:hAnsi="宋体"/>
                <w:color w:val="auto"/>
                <w:sz w:val="18"/>
                <w:szCs w:val="18"/>
                <w:vertAlign w:val="subscript"/>
              </w:rPr>
              <w:t>1</w:t>
            </w:r>
            <w:r>
              <w:rPr>
                <w:rFonts w:hint="eastAsia" w:ascii="宋体" w:hAnsi="宋体"/>
                <w:color w:val="auto"/>
                <w:sz w:val="18"/>
                <w:szCs w:val="18"/>
              </w:rPr>
              <w:t>=F+</w:t>
            </w:r>
            <w:r>
              <w:rPr>
                <w:rFonts w:hint="eastAsia"/>
                <w:color w:val="auto"/>
                <w:sz w:val="18"/>
                <w:szCs w:val="18"/>
              </w:rPr>
              <w:t xml:space="preserve"> </w:t>
            </w:r>
            <w:r>
              <w:rPr>
                <w:rFonts w:hint="eastAsia" w:ascii="宋体" w:hAnsi="宋体"/>
                <w:color w:val="auto"/>
                <w:sz w:val="18"/>
                <w:szCs w:val="18"/>
              </w:rPr>
              <w:t>F</w:t>
            </w:r>
            <w:r>
              <w:rPr>
                <w:rFonts w:hint="eastAsia" w:ascii="宋体" w:hAnsi="宋体"/>
                <w:color w:val="auto"/>
                <w:sz w:val="18"/>
                <w:szCs w:val="18"/>
                <w:vertAlign w:val="subscript"/>
              </w:rPr>
              <w:t>优先采购加分</w:t>
            </w:r>
          </w:p>
        </w:tc>
      </w:tr>
    </w:tbl>
    <w:p>
      <w:pPr>
        <w:adjustRightInd w:val="0"/>
        <w:snapToGrid w:val="0"/>
        <w:spacing w:before="156" w:beforeLines="50" w:line="360" w:lineRule="auto"/>
        <w:jc w:val="center"/>
        <w:rPr>
          <w:b/>
          <w:bCs/>
          <w:color w:val="auto"/>
        </w:rPr>
      </w:pPr>
      <w:r>
        <w:rPr>
          <w:rFonts w:hint="eastAsia"/>
          <w:b/>
          <w:bCs/>
          <w:color w:val="auto"/>
        </w:rPr>
        <w:t>附表1.2技术部分评审标准表</w:t>
      </w:r>
    </w:p>
    <w:tbl>
      <w:tblPr>
        <w:tblStyle w:val="21"/>
        <w:tblW w:w="894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1653"/>
        <w:gridCol w:w="2052"/>
        <w:gridCol w:w="473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503" w:type="dxa"/>
            <w:tcBorders>
              <w:righ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序号</w:t>
            </w:r>
          </w:p>
        </w:tc>
        <w:tc>
          <w:tcPr>
            <w:tcW w:w="1653" w:type="dxa"/>
            <w:tcBorders>
              <w:left w:val="single" w:color="auto" w:sz="4" w:space="0"/>
              <w:righ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评标因素（分值）</w:t>
            </w:r>
          </w:p>
        </w:tc>
        <w:tc>
          <w:tcPr>
            <w:tcW w:w="6784" w:type="dxa"/>
            <w:gridSpan w:val="2"/>
            <w:tcBorders>
              <w:lef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评标标准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restart"/>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r>
              <w:rPr>
                <w:rFonts w:hint="eastAsia" w:ascii="宋体" w:hAnsi="宋体"/>
                <w:color w:val="auto"/>
                <w:sz w:val="18"/>
                <w:szCs w:val="18"/>
              </w:rPr>
              <w:t>1</w:t>
            </w:r>
          </w:p>
        </w:tc>
        <w:tc>
          <w:tcPr>
            <w:tcW w:w="1653" w:type="dxa"/>
            <w:vMerge w:val="restart"/>
            <w:tcBorders>
              <w:lef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技术评价项</w:t>
            </w:r>
          </w:p>
          <w:p>
            <w:pPr>
              <w:adjustRightInd w:val="0"/>
              <w:snapToGrid w:val="0"/>
              <w:jc w:val="center"/>
              <w:rPr>
                <w:rFonts w:ascii="宋体" w:hAnsi="宋体"/>
                <w:color w:val="auto"/>
                <w:sz w:val="18"/>
                <w:szCs w:val="18"/>
              </w:rPr>
            </w:pPr>
            <w:r>
              <w:rPr>
                <w:rFonts w:hint="eastAsia" w:ascii="宋体" w:hAnsi="宋体"/>
                <w:color w:val="auto"/>
                <w:sz w:val="18"/>
                <w:szCs w:val="18"/>
              </w:rPr>
              <w:t>（F=100分）</w:t>
            </w:r>
          </w:p>
        </w:tc>
        <w:tc>
          <w:tcPr>
            <w:tcW w:w="2052" w:type="dxa"/>
            <w:noWrap w:val="0"/>
            <w:vAlign w:val="center"/>
          </w:tcPr>
          <w:p>
            <w:pPr>
              <w:spacing w:line="320" w:lineRule="exact"/>
              <w:jc w:val="center"/>
              <w:rPr>
                <w:rFonts w:hint="eastAsia" w:ascii="宋体" w:hAnsi="宋体" w:cs="宋体"/>
                <w:szCs w:val="21"/>
                <w:highlight w:val="none"/>
              </w:rPr>
            </w:pPr>
            <w:r>
              <w:rPr>
                <w:rFonts w:hint="eastAsia" w:ascii="宋体" w:hAnsi="宋体" w:cs="宋体"/>
                <w:szCs w:val="21"/>
                <w:highlight w:val="none"/>
              </w:rPr>
              <w:t>满足招标文件采购需求要求程度</w:t>
            </w:r>
          </w:p>
          <w:p>
            <w:pPr>
              <w:pStyle w:val="6"/>
              <w:ind w:left="0" w:leftChars="0" w:firstLine="0" w:firstLineChars="0"/>
              <w:jc w:val="center"/>
              <w:rPr>
                <w:rFonts w:hint="eastAsia" w:eastAsia="宋体"/>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60分</w:t>
            </w:r>
            <w:r>
              <w:rPr>
                <w:rFonts w:hint="eastAsia" w:ascii="宋体" w:hAnsi="宋体" w:cs="宋体"/>
                <w:szCs w:val="21"/>
                <w:highlight w:val="none"/>
                <w:lang w:eastAsia="zh-CN"/>
              </w:rPr>
              <w:t>）</w:t>
            </w:r>
          </w:p>
        </w:tc>
        <w:tc>
          <w:tcPr>
            <w:tcW w:w="4732" w:type="dxa"/>
            <w:noWrap w:val="0"/>
            <w:vAlign w:val="center"/>
          </w:tcPr>
          <w:p>
            <w:pPr>
              <w:spacing w:line="320" w:lineRule="exact"/>
              <w:rPr>
                <w:rFonts w:ascii="宋体" w:hAnsi="宋体" w:cs="宋体"/>
                <w:szCs w:val="21"/>
                <w:highlight w:val="none"/>
              </w:rPr>
            </w:pPr>
            <w:r>
              <w:rPr>
                <w:rFonts w:hint="eastAsia" w:ascii="宋体" w:hAnsi="宋体" w:cs="宋体"/>
                <w:szCs w:val="21"/>
                <w:highlight w:val="none"/>
              </w:rPr>
              <w:t>投标文件没有采购需求响应/偏离表的不计分</w:t>
            </w:r>
          </w:p>
          <w:p>
            <w:pPr>
              <w:spacing w:line="320" w:lineRule="exact"/>
              <w:rPr>
                <w:rFonts w:ascii="宋体" w:hAnsi="宋体" w:cs="宋体"/>
                <w:szCs w:val="21"/>
                <w:highlight w:val="none"/>
              </w:rPr>
            </w:pPr>
            <w:r>
              <w:rPr>
                <w:rFonts w:hint="eastAsia" w:ascii="宋体" w:hAnsi="宋体" w:cs="宋体"/>
                <w:szCs w:val="21"/>
                <w:highlight w:val="none"/>
              </w:rPr>
              <w:t>1、技术参数及要求完全满足招标文件要求无负偏离的本项计满分；</w:t>
            </w:r>
          </w:p>
          <w:p>
            <w:pPr>
              <w:spacing w:line="320" w:lineRule="exact"/>
              <w:ind w:left="10" w:firstLine="1"/>
              <w:rPr>
                <w:rFonts w:ascii="宋体" w:hAnsi="宋体" w:cs="宋体"/>
                <w:szCs w:val="21"/>
                <w:highlight w:val="none"/>
              </w:rPr>
            </w:pPr>
            <w:r>
              <w:rPr>
                <w:rFonts w:hint="eastAsia" w:ascii="宋体" w:hAnsi="宋体" w:cs="宋体"/>
                <w:szCs w:val="21"/>
                <w:highlight w:val="none"/>
              </w:rPr>
              <w:t>2、每条负偏离扣</w:t>
            </w:r>
            <w:r>
              <w:rPr>
                <w:rFonts w:hint="eastAsia" w:ascii="宋体" w:hAnsi="宋体" w:cs="宋体"/>
                <w:szCs w:val="21"/>
                <w:highlight w:val="none"/>
                <w:lang w:val="en-US" w:eastAsia="zh-CN"/>
              </w:rPr>
              <w:t>6</w:t>
            </w:r>
            <w:r>
              <w:rPr>
                <w:rFonts w:hint="eastAsia" w:ascii="宋体" w:hAnsi="宋体" w:cs="宋体"/>
                <w:szCs w:val="21"/>
                <w:highlight w:val="none"/>
              </w:rPr>
              <w:t>分；</w:t>
            </w:r>
          </w:p>
          <w:p>
            <w:pPr>
              <w:spacing w:line="320" w:lineRule="exact"/>
              <w:rPr>
                <w:rFonts w:ascii="宋体" w:hAnsi="宋体"/>
                <w:color w:val="auto"/>
                <w:sz w:val="18"/>
                <w:szCs w:val="18"/>
                <w:highlight w:val="none"/>
              </w:rPr>
            </w:pPr>
            <w:r>
              <w:rPr>
                <w:rFonts w:hint="eastAsia" w:ascii="宋体" w:hAnsi="宋体" w:cs="宋体"/>
                <w:szCs w:val="21"/>
                <w:highlight w:val="none"/>
              </w:rPr>
              <w:t>以上累计扣完为止。</w:t>
            </w:r>
            <w:r>
              <w:rPr>
                <w:szCs w:val="21"/>
                <w:highlight w:val="none"/>
              </w:rPr>
              <w:t>（技术参数中如有要求该项参数需提供有关证明文件</w:t>
            </w:r>
            <w:r>
              <w:rPr>
                <w:rFonts w:hint="eastAsia"/>
                <w:szCs w:val="21"/>
                <w:highlight w:val="none"/>
              </w:rPr>
              <w:t>或承诺</w:t>
            </w:r>
            <w:r>
              <w:rPr>
                <w:szCs w:val="21"/>
                <w:highlight w:val="none"/>
              </w:rPr>
              <w:t>的，投标人所投参数需按技术参数具体要求出具对所投该参数的证明文件</w:t>
            </w:r>
            <w:r>
              <w:rPr>
                <w:rFonts w:hint="eastAsia"/>
                <w:szCs w:val="21"/>
                <w:highlight w:val="none"/>
              </w:rPr>
              <w:t>或承诺</w:t>
            </w:r>
            <w:r>
              <w:rPr>
                <w:szCs w:val="21"/>
                <w:highlight w:val="none"/>
              </w:rPr>
              <w:t>，包括但不限于图片证明或技术白皮书或产品彩页或检测报告等形式。如无相关证明文件，则此项不计分；如相关证明文件不完整，则按相应负偏离计算；此项只做评分因素，不做废标条件）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p>
        </w:tc>
        <w:tc>
          <w:tcPr>
            <w:tcW w:w="1653" w:type="dxa"/>
            <w:vMerge w:val="continue"/>
            <w:tcBorders>
              <w:left w:val="single" w:color="auto" w:sz="4" w:space="0"/>
            </w:tcBorders>
            <w:noWrap w:val="0"/>
            <w:vAlign w:val="center"/>
          </w:tcPr>
          <w:p>
            <w:pPr>
              <w:adjustRightInd w:val="0"/>
              <w:snapToGrid w:val="0"/>
              <w:spacing w:before="156" w:beforeLines="50"/>
              <w:jc w:val="center"/>
              <w:rPr>
                <w:rFonts w:ascii="宋体" w:hAnsi="宋体"/>
                <w:color w:val="auto"/>
                <w:sz w:val="18"/>
                <w:szCs w:val="18"/>
              </w:rPr>
            </w:pPr>
          </w:p>
        </w:tc>
        <w:tc>
          <w:tcPr>
            <w:tcW w:w="2052" w:type="dxa"/>
            <w:noWrap w:val="0"/>
            <w:vAlign w:val="center"/>
          </w:tcPr>
          <w:p>
            <w:pPr>
              <w:widowControl/>
              <w:spacing w:line="320" w:lineRule="exact"/>
              <w:jc w:val="center"/>
              <w:rPr>
                <w:szCs w:val="21"/>
                <w:highlight w:val="none"/>
              </w:rPr>
            </w:pPr>
            <w:r>
              <w:rPr>
                <w:rFonts w:hint="eastAsia"/>
                <w:szCs w:val="21"/>
                <w:highlight w:val="none"/>
                <w:lang w:val="en-US" w:eastAsia="zh-CN"/>
              </w:rPr>
              <w:t>产品先进性和整体</w:t>
            </w:r>
            <w:r>
              <w:rPr>
                <w:rFonts w:hint="eastAsia"/>
                <w:szCs w:val="21"/>
                <w:highlight w:val="none"/>
              </w:rPr>
              <w:t>项目实施</w:t>
            </w:r>
            <w:r>
              <w:rPr>
                <w:szCs w:val="21"/>
                <w:highlight w:val="none"/>
              </w:rPr>
              <w:t>方案</w:t>
            </w:r>
          </w:p>
          <w:p>
            <w:pPr>
              <w:widowControl/>
              <w:spacing w:line="320" w:lineRule="exact"/>
              <w:jc w:val="center"/>
              <w:rPr>
                <w:rFonts w:hint="eastAsia" w:ascii="宋体" w:hAnsi="宋体" w:eastAsia="宋体" w:cs="宋体"/>
                <w:color w:val="auto"/>
                <w:sz w:val="18"/>
                <w:szCs w:val="18"/>
                <w:highlight w:val="none"/>
                <w:lang w:eastAsia="zh-CN"/>
              </w:rPr>
            </w:pPr>
            <w:r>
              <w:rPr>
                <w:rFonts w:hint="eastAsia"/>
                <w:szCs w:val="21"/>
                <w:highlight w:val="none"/>
                <w:lang w:eastAsia="zh-CN"/>
              </w:rPr>
              <w:t>（</w:t>
            </w:r>
            <w:r>
              <w:rPr>
                <w:rFonts w:hint="eastAsia"/>
                <w:szCs w:val="21"/>
                <w:highlight w:val="none"/>
                <w:lang w:val="en-US" w:eastAsia="zh-CN"/>
              </w:rPr>
              <w:t>40分</w:t>
            </w:r>
            <w:r>
              <w:rPr>
                <w:rFonts w:hint="eastAsia"/>
                <w:szCs w:val="21"/>
                <w:highlight w:val="none"/>
                <w:lang w:eastAsia="zh-CN"/>
              </w:rPr>
              <w:t>）</w:t>
            </w:r>
          </w:p>
        </w:tc>
        <w:tc>
          <w:tcPr>
            <w:tcW w:w="4732" w:type="dxa"/>
            <w:noWrap w:val="0"/>
            <w:vAlign w:val="center"/>
          </w:tcPr>
          <w:p>
            <w:pPr>
              <w:widowControl/>
              <w:spacing w:line="320" w:lineRule="exact"/>
              <w:jc w:val="left"/>
              <w:rPr>
                <w:rFonts w:ascii="宋体" w:hAnsi="宋体"/>
                <w:color w:val="auto"/>
                <w:sz w:val="18"/>
                <w:szCs w:val="18"/>
                <w:highlight w:val="none"/>
              </w:rPr>
            </w:pPr>
            <w:r>
              <w:rPr>
                <w:szCs w:val="21"/>
                <w:highlight w:val="none"/>
              </w:rPr>
              <w:t>对</w:t>
            </w:r>
            <w:r>
              <w:rPr>
                <w:rFonts w:hint="eastAsia"/>
                <w:szCs w:val="21"/>
                <w:highlight w:val="none"/>
              </w:rPr>
              <w:t>投标人</w:t>
            </w:r>
            <w:r>
              <w:rPr>
                <w:szCs w:val="21"/>
                <w:highlight w:val="none"/>
              </w:rPr>
              <w:t>为本项目提供的</w:t>
            </w:r>
            <w:r>
              <w:rPr>
                <w:rFonts w:hint="eastAsia"/>
                <w:szCs w:val="21"/>
                <w:highlight w:val="none"/>
                <w:lang w:val="en-US" w:eastAsia="zh-CN"/>
              </w:rPr>
              <w:t>产品先进性和整体</w:t>
            </w:r>
            <w:r>
              <w:rPr>
                <w:rFonts w:hint="eastAsia"/>
                <w:szCs w:val="21"/>
                <w:highlight w:val="none"/>
              </w:rPr>
              <w:t>项目实施</w:t>
            </w:r>
            <w:r>
              <w:rPr>
                <w:szCs w:val="21"/>
                <w:highlight w:val="none"/>
              </w:rPr>
              <w:t>方案</w:t>
            </w:r>
            <w:r>
              <w:rPr>
                <w:rFonts w:hint="eastAsia"/>
                <w:szCs w:val="21"/>
                <w:highlight w:val="none"/>
              </w:rPr>
              <w:t>（</w:t>
            </w:r>
            <w:r>
              <w:rPr>
                <w:szCs w:val="21"/>
                <w:highlight w:val="none"/>
              </w:rPr>
              <w:t>包括但不限于</w:t>
            </w:r>
            <w:r>
              <w:rPr>
                <w:rFonts w:hint="eastAsia"/>
                <w:szCs w:val="21"/>
                <w:highlight w:val="none"/>
                <w:lang w:val="en-US" w:eastAsia="zh-CN"/>
              </w:rPr>
              <w:t>产品的</w:t>
            </w:r>
            <w:r>
              <w:rPr>
                <w:rFonts w:hint="eastAsia"/>
                <w:color w:val="auto"/>
                <w:highlight w:val="none"/>
                <w:lang w:eastAsia="zh-CN"/>
              </w:rPr>
              <w:t>可靠性、稳定性、适用性、先进性、牢固性、耐用性、便捷性等</w:t>
            </w:r>
            <w:r>
              <w:rPr>
                <w:szCs w:val="21"/>
                <w:highlight w:val="none"/>
              </w:rPr>
              <w:t>、工作组织实施、质量保障措施、安全保障措施、应急处理措施</w:t>
            </w:r>
            <w:r>
              <w:rPr>
                <w:rFonts w:hint="eastAsia"/>
                <w:szCs w:val="21"/>
                <w:highlight w:val="none"/>
              </w:rPr>
              <w:t>等）</w:t>
            </w:r>
            <w:r>
              <w:rPr>
                <w:szCs w:val="21"/>
                <w:highlight w:val="none"/>
              </w:rPr>
              <w:t>进行评审，完全满足招标采购需求的，计</w:t>
            </w:r>
            <w:r>
              <w:rPr>
                <w:rFonts w:hint="eastAsia"/>
                <w:szCs w:val="21"/>
                <w:highlight w:val="none"/>
                <w:lang w:val="en-US" w:eastAsia="zh-CN"/>
              </w:rPr>
              <w:t>40</w:t>
            </w:r>
            <w:r>
              <w:rPr>
                <w:szCs w:val="21"/>
                <w:highlight w:val="none"/>
              </w:rPr>
              <w:t>分。每存在一处不满足或缺漏项的扣</w:t>
            </w:r>
            <w:r>
              <w:rPr>
                <w:rFonts w:hint="eastAsia"/>
                <w:szCs w:val="21"/>
                <w:highlight w:val="none"/>
                <w:lang w:val="en-US" w:eastAsia="zh-CN"/>
              </w:rPr>
              <w:t>8</w:t>
            </w:r>
            <w:r>
              <w:rPr>
                <w:szCs w:val="21"/>
                <w:highlight w:val="none"/>
              </w:rPr>
              <w:t>分，欠完善、针对性不强的每处扣</w:t>
            </w:r>
            <w:r>
              <w:rPr>
                <w:rFonts w:hint="eastAsia"/>
                <w:szCs w:val="21"/>
                <w:highlight w:val="none"/>
                <w:lang w:val="en-US" w:eastAsia="zh-CN"/>
              </w:rPr>
              <w:t>4</w:t>
            </w:r>
            <w:r>
              <w:rPr>
                <w:szCs w:val="21"/>
                <w:highlight w:val="none"/>
              </w:rPr>
              <w:t>分，扣完为止。未提供方案不得分。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503" w:type="dxa"/>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r>
              <w:rPr>
                <w:rFonts w:hint="eastAsia" w:ascii="宋体" w:hAnsi="宋体"/>
                <w:color w:val="auto"/>
                <w:sz w:val="18"/>
                <w:szCs w:val="18"/>
              </w:rPr>
              <w:t>2</w:t>
            </w:r>
          </w:p>
        </w:tc>
        <w:tc>
          <w:tcPr>
            <w:tcW w:w="1653" w:type="dxa"/>
            <w:tcBorders>
              <w:lef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优先采购加分（F</w:t>
            </w:r>
            <w:r>
              <w:rPr>
                <w:rFonts w:hint="eastAsia" w:ascii="宋体" w:hAnsi="宋体"/>
                <w:color w:val="auto"/>
                <w:sz w:val="18"/>
                <w:szCs w:val="18"/>
                <w:vertAlign w:val="subscript"/>
              </w:rPr>
              <w:t>优先采购加分</w:t>
            </w:r>
            <w:r>
              <w:rPr>
                <w:rFonts w:hint="eastAsia" w:ascii="宋体" w:hAnsi="宋体"/>
                <w:color w:val="auto"/>
                <w:sz w:val="18"/>
                <w:szCs w:val="18"/>
              </w:rPr>
              <w:t>）</w:t>
            </w:r>
          </w:p>
        </w:tc>
        <w:tc>
          <w:tcPr>
            <w:tcW w:w="6784" w:type="dxa"/>
            <w:gridSpan w:val="2"/>
            <w:tcBorders>
              <w:bottom w:val="single" w:color="auto" w:sz="4" w:space="0"/>
            </w:tcBorders>
            <w:noWrap w:val="0"/>
            <w:vAlign w:val="center"/>
          </w:tcPr>
          <w:p>
            <w:pPr>
              <w:widowControl/>
              <w:spacing w:line="360" w:lineRule="exact"/>
              <w:rPr>
                <w:rFonts w:ascii="宋体" w:hAnsi="宋体"/>
                <w:szCs w:val="21"/>
              </w:rPr>
            </w:pPr>
            <w:r>
              <w:rPr>
                <w:rFonts w:hint="eastAsia" w:ascii="宋体" w:hAnsi="宋体" w:cs="宋体"/>
                <w:szCs w:val="21"/>
              </w:rPr>
              <w:t>节能、</w:t>
            </w:r>
            <w:r>
              <w:rPr>
                <w:rFonts w:ascii="宋体" w:hAnsi="宋体" w:cs="宋体"/>
                <w:szCs w:val="21"/>
              </w:rPr>
              <w:t>环境标志产品加分(此仅限于</w:t>
            </w:r>
            <w:r>
              <w:rPr>
                <w:rFonts w:hint="eastAsia" w:ascii="宋体" w:hAnsi="宋体" w:cs="宋体"/>
                <w:szCs w:val="21"/>
              </w:rPr>
              <w:t>节能、</w:t>
            </w:r>
            <w:r>
              <w:rPr>
                <w:rFonts w:ascii="宋体" w:hAnsi="宋体" w:cs="宋体"/>
                <w:szCs w:val="21"/>
              </w:rPr>
              <w:t>环境标志政府采购</w:t>
            </w:r>
            <w:r>
              <w:rPr>
                <w:rFonts w:hint="eastAsia" w:ascii="宋体" w:hAnsi="宋体" w:cs="宋体"/>
                <w:szCs w:val="21"/>
              </w:rPr>
              <w:t>品目</w:t>
            </w:r>
            <w:r>
              <w:rPr>
                <w:rFonts w:ascii="宋体" w:hAnsi="宋体" w:cs="宋体"/>
                <w:szCs w:val="21"/>
              </w:rPr>
              <w:t>清单内产品，不是</w:t>
            </w:r>
            <w:r>
              <w:rPr>
                <w:rFonts w:hint="eastAsia" w:ascii="宋体" w:hAnsi="宋体" w:cs="宋体"/>
                <w:szCs w:val="21"/>
              </w:rPr>
              <w:t>品目</w:t>
            </w:r>
            <w:r>
              <w:rPr>
                <w:rFonts w:ascii="宋体" w:hAnsi="宋体" w:cs="宋体"/>
                <w:szCs w:val="21"/>
              </w:rPr>
              <w:t>清单内的产品，在评审时不予</w:t>
            </w:r>
            <w:r>
              <w:rPr>
                <w:rFonts w:hint="eastAsia" w:ascii="宋体" w:hAnsi="宋体" w:cs="宋体"/>
                <w:szCs w:val="21"/>
              </w:rPr>
              <w:t>加分</w:t>
            </w:r>
            <w:r>
              <w:rPr>
                <w:rFonts w:ascii="宋体" w:hAnsi="宋体" w:cs="宋体"/>
                <w:szCs w:val="21"/>
              </w:rPr>
              <w:t xml:space="preserve">)： </w:t>
            </w:r>
          </w:p>
          <w:p>
            <w:pPr>
              <w:widowControl/>
              <w:spacing w:line="360" w:lineRule="exact"/>
              <w:ind w:firstLine="210" w:firstLineChars="100"/>
              <w:rPr>
                <w:rFonts w:ascii="宋体" w:hAnsi="宋体"/>
                <w:szCs w:val="21"/>
              </w:rPr>
            </w:pPr>
            <w:r>
              <w:rPr>
                <w:rFonts w:ascii="宋体" w:hAnsi="宋体" w:cs="宋体"/>
                <w:szCs w:val="21"/>
              </w:rPr>
              <w:t>所投环保产品的价格</w:t>
            </w:r>
          </w:p>
          <w:p>
            <w:pPr>
              <w:widowControl/>
              <w:spacing w:line="360" w:lineRule="exact"/>
              <w:jc w:val="left"/>
              <w:rPr>
                <w:rFonts w:ascii="宋体" w:hAnsi="宋体"/>
                <w:szCs w:val="21"/>
              </w:rPr>
            </w:pPr>
            <w:r>
              <w:rPr>
                <w:rFonts w:ascii="宋体" w:hAnsi="宋体" w:cs="宋体"/>
                <w:szCs w:val="21"/>
              </w:rPr>
              <w:t>———————————×技术权值×100×本项目加分比例=应加分数</w:t>
            </w:r>
          </w:p>
          <w:p>
            <w:pPr>
              <w:widowControl/>
              <w:spacing w:line="360" w:lineRule="exact"/>
              <w:ind w:firstLine="630" w:firstLineChars="300"/>
              <w:rPr>
                <w:rFonts w:ascii="宋体" w:hAnsi="宋体"/>
                <w:szCs w:val="21"/>
              </w:rPr>
            </w:pPr>
            <w:r>
              <w:rPr>
                <w:rFonts w:ascii="宋体" w:hAnsi="宋体" w:cs="宋体"/>
                <w:szCs w:val="21"/>
              </w:rPr>
              <w:t>项目总价格</w:t>
            </w:r>
          </w:p>
          <w:p>
            <w:pPr>
              <w:adjustRightInd w:val="0"/>
              <w:snapToGrid w:val="0"/>
              <w:spacing w:before="156" w:beforeLines="50"/>
              <w:rPr>
                <w:rFonts w:ascii="宋体" w:hAnsi="宋体"/>
                <w:color w:val="auto"/>
                <w:sz w:val="18"/>
                <w:szCs w:val="18"/>
              </w:rPr>
            </w:pPr>
            <w:r>
              <w:rPr>
                <w:rFonts w:ascii="宋体" w:hAnsi="宋体" w:cs="宋体"/>
                <w:szCs w:val="21"/>
              </w:rPr>
              <w:t>注：整包中某一品目为</w:t>
            </w:r>
            <w:r>
              <w:rPr>
                <w:rFonts w:hint="eastAsia" w:ascii="宋体" w:hAnsi="宋体" w:cs="宋体"/>
                <w:szCs w:val="21"/>
              </w:rPr>
              <w:t>节能、</w:t>
            </w:r>
            <w:r>
              <w:rPr>
                <w:rFonts w:ascii="宋体" w:hAnsi="宋体" w:cs="宋体"/>
                <w:szCs w:val="21"/>
              </w:rPr>
              <w:t>环境标志政府采购</w:t>
            </w:r>
            <w:r>
              <w:rPr>
                <w:rFonts w:hint="eastAsia" w:ascii="宋体" w:hAnsi="宋体" w:cs="宋体"/>
                <w:szCs w:val="21"/>
              </w:rPr>
              <w:t>品目</w:t>
            </w:r>
            <w:r>
              <w:rPr>
                <w:rFonts w:ascii="宋体" w:hAnsi="宋体" w:cs="宋体"/>
                <w:szCs w:val="21"/>
              </w:rPr>
              <w:t>清单内产品时只对该品目技术加分，并合计到技术最终得分。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503" w:type="dxa"/>
            <w:tcBorders>
              <w:righ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w:t>
            </w:r>
          </w:p>
        </w:tc>
        <w:tc>
          <w:tcPr>
            <w:tcW w:w="8437" w:type="dxa"/>
            <w:gridSpan w:val="3"/>
            <w:tcBorders>
              <w:left w:val="single" w:color="auto" w:sz="4" w:space="0"/>
            </w:tcBorders>
            <w:noWrap w:val="0"/>
            <w:vAlign w:val="center"/>
          </w:tcPr>
          <w:p>
            <w:pPr>
              <w:adjustRightInd w:val="0"/>
              <w:snapToGrid w:val="0"/>
              <w:rPr>
                <w:rFonts w:ascii="宋体" w:hAnsi="宋体"/>
                <w:color w:val="auto"/>
                <w:sz w:val="18"/>
                <w:szCs w:val="18"/>
              </w:rPr>
            </w:pPr>
            <w:r>
              <w:rPr>
                <w:rFonts w:hint="eastAsia" w:ascii="宋体" w:hAnsi="宋体"/>
                <w:color w:val="auto"/>
                <w:sz w:val="18"/>
                <w:szCs w:val="18"/>
              </w:rPr>
              <w:t>F</w:t>
            </w:r>
            <w:r>
              <w:rPr>
                <w:rFonts w:ascii="宋体" w:hAnsi="宋体"/>
                <w:color w:val="auto"/>
                <w:sz w:val="18"/>
                <w:szCs w:val="18"/>
                <w:vertAlign w:val="subscript"/>
              </w:rPr>
              <w:t>2</w:t>
            </w:r>
            <w:r>
              <w:rPr>
                <w:rFonts w:hint="eastAsia" w:ascii="宋体" w:hAnsi="宋体"/>
                <w:color w:val="auto"/>
                <w:sz w:val="18"/>
                <w:szCs w:val="18"/>
              </w:rPr>
              <w:t>=F+</w:t>
            </w:r>
            <w:r>
              <w:rPr>
                <w:rFonts w:hint="eastAsia"/>
                <w:color w:val="auto"/>
                <w:sz w:val="18"/>
                <w:szCs w:val="18"/>
              </w:rPr>
              <w:t xml:space="preserve"> </w:t>
            </w:r>
            <w:r>
              <w:rPr>
                <w:rFonts w:hint="eastAsia" w:ascii="宋体" w:hAnsi="宋体"/>
                <w:color w:val="auto"/>
                <w:sz w:val="18"/>
                <w:szCs w:val="18"/>
              </w:rPr>
              <w:t>F</w:t>
            </w:r>
            <w:r>
              <w:rPr>
                <w:rFonts w:hint="eastAsia" w:ascii="宋体" w:hAnsi="宋体"/>
                <w:color w:val="auto"/>
                <w:sz w:val="18"/>
                <w:szCs w:val="18"/>
                <w:vertAlign w:val="subscript"/>
              </w:rPr>
              <w:t>优先采购加分</w:t>
            </w:r>
          </w:p>
        </w:tc>
      </w:tr>
    </w:tbl>
    <w:p>
      <w:pPr>
        <w:adjustRightInd w:val="0"/>
        <w:snapToGrid w:val="0"/>
        <w:spacing w:before="156" w:beforeLines="50" w:line="360" w:lineRule="auto"/>
        <w:jc w:val="center"/>
        <w:rPr>
          <w:b/>
          <w:bCs/>
          <w:color w:val="auto"/>
        </w:rPr>
      </w:pPr>
      <w:r>
        <w:rPr>
          <w:rFonts w:hint="eastAsia"/>
          <w:b/>
          <w:bCs/>
          <w:color w:val="auto"/>
        </w:rPr>
        <w:t>附表1.3商务部分评审标准表</w:t>
      </w:r>
    </w:p>
    <w:tbl>
      <w:tblPr>
        <w:tblStyle w:val="21"/>
        <w:tblW w:w="898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1661"/>
        <w:gridCol w:w="2044"/>
        <w:gridCol w:w="477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503" w:type="dxa"/>
            <w:tcBorders>
              <w:righ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序号</w:t>
            </w:r>
          </w:p>
        </w:tc>
        <w:tc>
          <w:tcPr>
            <w:tcW w:w="1661" w:type="dxa"/>
            <w:tcBorders>
              <w:left w:val="single" w:color="auto" w:sz="4" w:space="0"/>
              <w:righ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评标因素（分值）</w:t>
            </w:r>
          </w:p>
        </w:tc>
        <w:tc>
          <w:tcPr>
            <w:tcW w:w="6821" w:type="dxa"/>
            <w:gridSpan w:val="2"/>
            <w:tcBorders>
              <w:left w:val="single" w:color="auto" w:sz="4" w:space="0"/>
            </w:tcBorders>
            <w:noWrap w:val="0"/>
            <w:vAlign w:val="center"/>
          </w:tcPr>
          <w:p>
            <w:pPr>
              <w:adjustRightInd w:val="0"/>
              <w:snapToGrid w:val="0"/>
              <w:jc w:val="center"/>
              <w:rPr>
                <w:rFonts w:ascii="宋体" w:hAnsi="宋体"/>
                <w:b/>
                <w:color w:val="auto"/>
                <w:sz w:val="18"/>
                <w:szCs w:val="18"/>
              </w:rPr>
            </w:pPr>
            <w:r>
              <w:rPr>
                <w:rFonts w:hint="eastAsia" w:ascii="宋体" w:hAnsi="宋体"/>
                <w:b/>
                <w:color w:val="auto"/>
                <w:sz w:val="18"/>
                <w:szCs w:val="18"/>
              </w:rPr>
              <w:t>评标标准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restart"/>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r>
              <w:rPr>
                <w:rFonts w:hint="eastAsia" w:ascii="宋体" w:hAnsi="宋体"/>
                <w:color w:val="auto"/>
                <w:sz w:val="18"/>
                <w:szCs w:val="18"/>
              </w:rPr>
              <w:t>1</w:t>
            </w:r>
          </w:p>
        </w:tc>
        <w:tc>
          <w:tcPr>
            <w:tcW w:w="1661" w:type="dxa"/>
            <w:vMerge w:val="restart"/>
            <w:tcBorders>
              <w:lef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商务评价项</w:t>
            </w:r>
          </w:p>
          <w:p>
            <w:pPr>
              <w:adjustRightInd w:val="0"/>
              <w:snapToGrid w:val="0"/>
              <w:jc w:val="center"/>
              <w:rPr>
                <w:rFonts w:ascii="宋体" w:hAnsi="宋体"/>
                <w:color w:val="auto"/>
                <w:sz w:val="18"/>
                <w:szCs w:val="18"/>
              </w:rPr>
            </w:pPr>
            <w:r>
              <w:rPr>
                <w:rFonts w:hint="eastAsia" w:ascii="宋体" w:hAnsi="宋体"/>
                <w:color w:val="auto"/>
                <w:sz w:val="18"/>
                <w:szCs w:val="18"/>
              </w:rPr>
              <w:t>（F=100分）</w:t>
            </w:r>
          </w:p>
        </w:tc>
        <w:tc>
          <w:tcPr>
            <w:tcW w:w="2044" w:type="dxa"/>
            <w:noWrap w:val="0"/>
            <w:vAlign w:val="center"/>
          </w:tcPr>
          <w:p>
            <w:pPr>
              <w:pStyle w:val="19"/>
              <w:spacing w:before="0" w:beforeAutospacing="0" w:after="0" w:afterAutospacing="0" w:line="320" w:lineRule="exact"/>
              <w:jc w:val="center"/>
              <w:rPr>
                <w:rFonts w:ascii="Times New Roman" w:hAnsi="Times New Roman" w:cs="Times New Roman"/>
                <w:sz w:val="21"/>
                <w:szCs w:val="21"/>
                <w:highlight w:val="none"/>
              </w:rPr>
            </w:pPr>
            <w:r>
              <w:rPr>
                <w:rFonts w:ascii="Times New Roman" w:hAnsi="Times New Roman" w:cs="Times New Roman"/>
                <w:sz w:val="21"/>
                <w:szCs w:val="21"/>
                <w:highlight w:val="none"/>
              </w:rPr>
              <w:t>类似</w:t>
            </w:r>
          </w:p>
          <w:p>
            <w:pPr>
              <w:pStyle w:val="19"/>
              <w:spacing w:before="0" w:beforeAutospacing="0" w:after="0" w:afterAutospacing="0" w:line="320" w:lineRule="exact"/>
              <w:jc w:val="center"/>
              <w:rPr>
                <w:rFonts w:ascii="Times New Roman" w:hAnsi="Times New Roman" w:cs="Times New Roman"/>
                <w:sz w:val="21"/>
                <w:szCs w:val="21"/>
                <w:highlight w:val="none"/>
              </w:rPr>
            </w:pPr>
            <w:r>
              <w:rPr>
                <w:rFonts w:ascii="Times New Roman" w:hAnsi="Times New Roman" w:cs="Times New Roman"/>
                <w:sz w:val="21"/>
                <w:szCs w:val="21"/>
                <w:highlight w:val="none"/>
              </w:rPr>
              <w:t>业绩</w:t>
            </w:r>
          </w:p>
          <w:p>
            <w:pPr>
              <w:pStyle w:val="19"/>
              <w:spacing w:before="0" w:beforeAutospacing="0" w:after="0" w:afterAutospacing="0" w:line="320" w:lineRule="exact"/>
              <w:jc w:val="center"/>
              <w:rPr>
                <w:rFonts w:hint="eastAsia" w:ascii="Times New Roman" w:hAnsi="Times New Roman" w:eastAsia="宋体" w:cs="Times New Roman"/>
                <w:sz w:val="21"/>
                <w:szCs w:val="21"/>
                <w:highlight w:val="none"/>
                <w:lang w:eastAsia="zh-CN"/>
              </w:rPr>
            </w:pPr>
            <w:r>
              <w:rPr>
                <w:rFonts w:hint="eastAsia" w:ascii="Times New Roman" w:hAnsi="Times New Roman" w:cs="Times New Roman"/>
                <w:sz w:val="21"/>
                <w:szCs w:val="21"/>
                <w:highlight w:val="none"/>
                <w:lang w:eastAsia="zh-CN"/>
              </w:rPr>
              <w:t>（</w:t>
            </w:r>
            <w:r>
              <w:rPr>
                <w:rFonts w:hint="eastAsia" w:ascii="Times New Roman" w:hAnsi="Times New Roman" w:cs="Times New Roman"/>
                <w:sz w:val="21"/>
                <w:szCs w:val="21"/>
                <w:highlight w:val="none"/>
                <w:lang w:val="en-US" w:eastAsia="zh-CN"/>
              </w:rPr>
              <w:t>20分</w:t>
            </w:r>
            <w:r>
              <w:rPr>
                <w:rFonts w:hint="eastAsia" w:ascii="Times New Roman" w:hAnsi="Times New Roman" w:cs="Times New Roman"/>
                <w:sz w:val="21"/>
                <w:szCs w:val="21"/>
                <w:highlight w:val="none"/>
                <w:lang w:eastAsia="zh-CN"/>
              </w:rPr>
              <w:t>）</w:t>
            </w:r>
          </w:p>
        </w:tc>
        <w:tc>
          <w:tcPr>
            <w:tcW w:w="4777" w:type="dxa"/>
            <w:noWrap w:val="0"/>
            <w:vAlign w:val="center"/>
          </w:tcPr>
          <w:p>
            <w:pPr>
              <w:spacing w:line="320" w:lineRule="exact"/>
              <w:rPr>
                <w:highlight w:val="none"/>
              </w:rPr>
            </w:pPr>
            <w:r>
              <w:rPr>
                <w:szCs w:val="21"/>
                <w:highlight w:val="none"/>
              </w:rPr>
              <w:t>投标人</w:t>
            </w:r>
            <w:r>
              <w:rPr>
                <w:rFonts w:hint="eastAsia"/>
                <w:szCs w:val="21"/>
                <w:highlight w:val="none"/>
              </w:rPr>
              <w:t>提供自身供货类似业绩，每提供一个合同</w:t>
            </w:r>
            <w:r>
              <w:rPr>
                <w:rFonts w:hint="eastAsia"/>
                <w:szCs w:val="21"/>
                <w:highlight w:val="none"/>
                <w:lang w:eastAsia="zh-CN"/>
              </w:rPr>
              <w:t>或中标通知书</w:t>
            </w:r>
            <w:r>
              <w:rPr>
                <w:szCs w:val="21"/>
                <w:highlight w:val="none"/>
              </w:rPr>
              <w:t>，</w:t>
            </w:r>
            <w:r>
              <w:rPr>
                <w:rFonts w:hint="eastAsia"/>
                <w:szCs w:val="21"/>
                <w:highlight w:val="none"/>
              </w:rPr>
              <w:t>计</w:t>
            </w:r>
            <w:r>
              <w:rPr>
                <w:rFonts w:hint="eastAsia"/>
                <w:szCs w:val="21"/>
                <w:highlight w:val="none"/>
                <w:lang w:val="en-US" w:eastAsia="zh-CN"/>
              </w:rPr>
              <w:t>10</w:t>
            </w:r>
            <w:r>
              <w:rPr>
                <w:szCs w:val="21"/>
                <w:highlight w:val="none"/>
              </w:rPr>
              <w:t>分，</w:t>
            </w:r>
            <w:r>
              <w:rPr>
                <w:rFonts w:hint="eastAsia"/>
                <w:szCs w:val="21"/>
                <w:highlight w:val="none"/>
              </w:rPr>
              <w:t>最多计</w:t>
            </w:r>
            <w:r>
              <w:rPr>
                <w:rFonts w:hint="eastAsia"/>
                <w:szCs w:val="21"/>
                <w:highlight w:val="none"/>
                <w:lang w:val="en-US" w:eastAsia="zh-CN"/>
              </w:rPr>
              <w:t>20</w:t>
            </w:r>
            <w:r>
              <w:rPr>
                <w:szCs w:val="21"/>
                <w:highlight w:val="none"/>
              </w:rPr>
              <w:t>分。</w:t>
            </w:r>
            <w:r>
              <w:rPr>
                <w:rFonts w:hint="eastAsia"/>
                <w:szCs w:val="21"/>
                <w:highlight w:val="none"/>
              </w:rPr>
              <w:t>（</w:t>
            </w:r>
            <w:r>
              <w:rPr>
                <w:szCs w:val="21"/>
                <w:highlight w:val="none"/>
              </w:rPr>
              <w:t>提供合同</w:t>
            </w:r>
            <w:r>
              <w:rPr>
                <w:rFonts w:hint="eastAsia"/>
                <w:szCs w:val="21"/>
                <w:highlight w:val="none"/>
                <w:lang w:eastAsia="zh-CN"/>
              </w:rPr>
              <w:t>或中标通知书</w:t>
            </w:r>
            <w:r>
              <w:rPr>
                <w:szCs w:val="21"/>
                <w:highlight w:val="none"/>
              </w:rPr>
              <w:t>复印件</w:t>
            </w:r>
            <w:r>
              <w:rPr>
                <w:rFonts w:hint="eastAsia"/>
                <w:szCs w:val="21"/>
                <w:highlight w:val="none"/>
              </w:rPr>
              <w:t>）</w:t>
            </w:r>
          </w:p>
          <w:p>
            <w:pPr>
              <w:spacing w:line="320" w:lineRule="exact"/>
              <w:rPr>
                <w:color w:val="auto"/>
                <w:highlight w:val="none"/>
              </w:rPr>
            </w:pPr>
            <w:r>
              <w:rPr>
                <w:rFonts w:hint="eastAsia"/>
                <w:highlight w:val="none"/>
                <w:lang w:val="en-US" w:eastAsia="zh-CN"/>
              </w:rPr>
              <w:t>注：</w:t>
            </w:r>
            <w:r>
              <w:rPr>
                <w:rFonts w:hint="eastAsia"/>
                <w:szCs w:val="21"/>
                <w:highlight w:val="none"/>
                <w:lang w:eastAsia="zh-CN"/>
              </w:rPr>
              <w:t>提供中标通知书仅限暂未未签订合同的中标项目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11" w:hRule="atLeast"/>
          <w:jc w:val="center"/>
        </w:trPr>
        <w:tc>
          <w:tcPr>
            <w:tcW w:w="503" w:type="dxa"/>
            <w:vMerge w:val="continue"/>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p>
        </w:tc>
        <w:tc>
          <w:tcPr>
            <w:tcW w:w="1661" w:type="dxa"/>
            <w:vMerge w:val="continue"/>
            <w:tcBorders>
              <w:left w:val="single" w:color="auto" w:sz="4" w:space="0"/>
            </w:tcBorders>
            <w:noWrap w:val="0"/>
            <w:vAlign w:val="center"/>
          </w:tcPr>
          <w:p>
            <w:pPr>
              <w:adjustRightInd w:val="0"/>
              <w:snapToGrid w:val="0"/>
              <w:spacing w:before="156" w:beforeLines="50"/>
              <w:jc w:val="center"/>
              <w:rPr>
                <w:rFonts w:ascii="宋体" w:hAnsi="宋体"/>
                <w:color w:val="auto"/>
                <w:sz w:val="18"/>
                <w:szCs w:val="18"/>
              </w:rPr>
            </w:pPr>
          </w:p>
        </w:tc>
        <w:tc>
          <w:tcPr>
            <w:tcW w:w="2044" w:type="dxa"/>
            <w:noWrap w:val="0"/>
            <w:vAlign w:val="center"/>
          </w:tcPr>
          <w:p>
            <w:pPr>
              <w:spacing w:line="320" w:lineRule="exact"/>
              <w:jc w:val="center"/>
              <w:rPr>
                <w:szCs w:val="21"/>
                <w:highlight w:val="none"/>
              </w:rPr>
            </w:pPr>
            <w:r>
              <w:rPr>
                <w:szCs w:val="21"/>
                <w:highlight w:val="none"/>
              </w:rPr>
              <w:t>培训</w:t>
            </w:r>
          </w:p>
          <w:p>
            <w:pPr>
              <w:spacing w:line="320" w:lineRule="exact"/>
              <w:jc w:val="center"/>
              <w:rPr>
                <w:szCs w:val="21"/>
                <w:highlight w:val="none"/>
              </w:rPr>
            </w:pPr>
            <w:r>
              <w:rPr>
                <w:szCs w:val="21"/>
                <w:highlight w:val="none"/>
              </w:rPr>
              <w:t>方案</w:t>
            </w:r>
          </w:p>
          <w:p>
            <w:pPr>
              <w:pStyle w:val="6"/>
              <w:ind w:left="0" w:leftChars="0" w:firstLine="0" w:firstLineChars="0"/>
              <w:jc w:val="center"/>
              <w:rPr>
                <w:rFonts w:hint="eastAsia" w:eastAsia="宋体"/>
                <w:highlight w:val="none"/>
                <w:lang w:eastAsia="zh-CN"/>
              </w:rPr>
            </w:pPr>
            <w:r>
              <w:rPr>
                <w:rFonts w:hint="eastAsia"/>
                <w:szCs w:val="21"/>
                <w:highlight w:val="none"/>
                <w:lang w:eastAsia="zh-CN"/>
              </w:rPr>
              <w:t>（</w:t>
            </w:r>
            <w:r>
              <w:rPr>
                <w:rFonts w:hint="eastAsia"/>
                <w:szCs w:val="21"/>
                <w:highlight w:val="none"/>
                <w:lang w:val="en-US" w:eastAsia="zh-CN"/>
              </w:rPr>
              <w:t>40分</w:t>
            </w:r>
            <w:r>
              <w:rPr>
                <w:rFonts w:hint="eastAsia"/>
                <w:szCs w:val="21"/>
                <w:highlight w:val="none"/>
                <w:lang w:eastAsia="zh-CN"/>
              </w:rPr>
              <w:t>）</w:t>
            </w:r>
          </w:p>
        </w:tc>
        <w:tc>
          <w:tcPr>
            <w:tcW w:w="4777" w:type="dxa"/>
            <w:noWrap w:val="0"/>
            <w:vAlign w:val="center"/>
          </w:tcPr>
          <w:p>
            <w:pPr>
              <w:spacing w:line="320" w:lineRule="exact"/>
              <w:rPr>
                <w:color w:val="auto"/>
                <w:highlight w:val="none"/>
              </w:rPr>
            </w:pPr>
            <w:r>
              <w:rPr>
                <w:rFonts w:hint="eastAsia"/>
                <w:szCs w:val="21"/>
                <w:highlight w:val="none"/>
              </w:rPr>
              <w:t>投标人</w:t>
            </w:r>
            <w:r>
              <w:rPr>
                <w:szCs w:val="21"/>
                <w:highlight w:val="none"/>
              </w:rPr>
              <w:t>需提供培训方案。</w:t>
            </w:r>
            <w:r>
              <w:rPr>
                <w:rFonts w:hint="eastAsia"/>
                <w:szCs w:val="21"/>
                <w:highlight w:val="none"/>
              </w:rPr>
              <w:t>对投标人</w:t>
            </w:r>
            <w:r>
              <w:rPr>
                <w:szCs w:val="21"/>
                <w:highlight w:val="none"/>
              </w:rPr>
              <w:t>提供的项目管理及操作安全培训方案（内容包含但不限于1.培训目标；2.培训计划；3.培训内容；4.培训组织；5.</w:t>
            </w:r>
            <w:r>
              <w:rPr>
                <w:rFonts w:hint="eastAsia"/>
                <w:szCs w:val="21"/>
                <w:highlight w:val="none"/>
                <w:lang w:eastAsia="zh-CN"/>
              </w:rPr>
              <w:t>培训人员的技术水平、培训经验、服务态度</w:t>
            </w:r>
            <w:r>
              <w:rPr>
                <w:szCs w:val="21"/>
                <w:highlight w:val="none"/>
              </w:rPr>
              <w:t>等）进行评审，全部满足计</w:t>
            </w:r>
            <w:r>
              <w:rPr>
                <w:rFonts w:hint="eastAsia"/>
                <w:szCs w:val="21"/>
                <w:highlight w:val="none"/>
                <w:lang w:val="en-US" w:eastAsia="zh-CN"/>
              </w:rPr>
              <w:t>40</w:t>
            </w:r>
            <w:r>
              <w:rPr>
                <w:szCs w:val="21"/>
                <w:highlight w:val="none"/>
              </w:rPr>
              <w:t>分，不符合需求或缺漏等的每处扣</w:t>
            </w:r>
            <w:r>
              <w:rPr>
                <w:rFonts w:hint="eastAsia"/>
                <w:szCs w:val="21"/>
                <w:highlight w:val="none"/>
                <w:lang w:val="en-US" w:eastAsia="zh-CN"/>
              </w:rPr>
              <w:t>4</w:t>
            </w:r>
            <w:r>
              <w:rPr>
                <w:szCs w:val="21"/>
                <w:highlight w:val="none"/>
              </w:rPr>
              <w:t>分，欠完善、针对性不强的每处扣</w:t>
            </w:r>
            <w:r>
              <w:rPr>
                <w:rFonts w:hint="eastAsia"/>
                <w:szCs w:val="21"/>
                <w:highlight w:val="none"/>
                <w:lang w:val="en-US" w:eastAsia="zh-CN"/>
              </w:rPr>
              <w:t>2</w:t>
            </w:r>
            <w:r>
              <w:rPr>
                <w:szCs w:val="21"/>
                <w:highlight w:val="none"/>
              </w:rPr>
              <w:t>分，扣完为止。未提供方案不得分。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p>
        </w:tc>
        <w:tc>
          <w:tcPr>
            <w:tcW w:w="1661" w:type="dxa"/>
            <w:vMerge w:val="continue"/>
            <w:tcBorders>
              <w:left w:val="single" w:color="auto" w:sz="4" w:space="0"/>
            </w:tcBorders>
            <w:noWrap w:val="0"/>
            <w:vAlign w:val="center"/>
          </w:tcPr>
          <w:p>
            <w:pPr>
              <w:adjustRightInd w:val="0"/>
              <w:snapToGrid w:val="0"/>
              <w:spacing w:before="156" w:beforeLines="50"/>
              <w:jc w:val="center"/>
              <w:rPr>
                <w:rFonts w:ascii="宋体" w:hAnsi="宋体"/>
                <w:color w:val="auto"/>
                <w:sz w:val="18"/>
                <w:szCs w:val="18"/>
              </w:rPr>
            </w:pPr>
          </w:p>
        </w:tc>
        <w:tc>
          <w:tcPr>
            <w:tcW w:w="2044" w:type="dxa"/>
            <w:noWrap w:val="0"/>
            <w:vAlign w:val="center"/>
          </w:tcPr>
          <w:p>
            <w:pPr>
              <w:spacing w:line="320" w:lineRule="exact"/>
              <w:jc w:val="center"/>
              <w:rPr>
                <w:szCs w:val="21"/>
              </w:rPr>
            </w:pPr>
            <w:r>
              <w:rPr>
                <w:szCs w:val="21"/>
              </w:rPr>
              <w:t>售后</w:t>
            </w:r>
          </w:p>
          <w:p>
            <w:pPr>
              <w:spacing w:line="320" w:lineRule="exact"/>
              <w:jc w:val="center"/>
              <w:rPr>
                <w:szCs w:val="21"/>
              </w:rPr>
            </w:pPr>
            <w:r>
              <w:rPr>
                <w:szCs w:val="21"/>
              </w:rPr>
              <w:t>服务</w:t>
            </w:r>
          </w:p>
          <w:p>
            <w:pPr>
              <w:spacing w:line="320" w:lineRule="exact"/>
              <w:jc w:val="center"/>
              <w:rPr>
                <w:szCs w:val="21"/>
              </w:rPr>
            </w:pPr>
            <w:r>
              <w:rPr>
                <w:szCs w:val="21"/>
              </w:rPr>
              <w:t>方案</w:t>
            </w:r>
          </w:p>
          <w:p>
            <w:pPr>
              <w:pStyle w:val="6"/>
              <w:ind w:left="0" w:leftChars="0" w:firstLine="0" w:firstLineChars="0"/>
              <w:jc w:val="center"/>
            </w:pPr>
            <w:r>
              <w:rPr>
                <w:rFonts w:hint="eastAsia"/>
                <w:szCs w:val="21"/>
                <w:lang w:eastAsia="zh-CN"/>
              </w:rPr>
              <w:t>（</w:t>
            </w:r>
            <w:r>
              <w:rPr>
                <w:rFonts w:hint="eastAsia"/>
                <w:szCs w:val="21"/>
                <w:lang w:val="en-US" w:eastAsia="zh-CN"/>
              </w:rPr>
              <w:t>40分</w:t>
            </w:r>
            <w:r>
              <w:rPr>
                <w:rFonts w:hint="eastAsia"/>
                <w:szCs w:val="21"/>
                <w:lang w:eastAsia="zh-CN"/>
              </w:rPr>
              <w:t>）</w:t>
            </w:r>
          </w:p>
        </w:tc>
        <w:tc>
          <w:tcPr>
            <w:tcW w:w="4777" w:type="dxa"/>
            <w:noWrap w:val="0"/>
            <w:vAlign w:val="center"/>
          </w:tcPr>
          <w:p>
            <w:pPr>
              <w:spacing w:line="320" w:lineRule="exact"/>
              <w:rPr>
                <w:color w:val="auto"/>
              </w:rPr>
            </w:pPr>
            <w:r>
              <w:rPr>
                <w:szCs w:val="21"/>
              </w:rPr>
              <w:t>对</w:t>
            </w:r>
            <w:r>
              <w:rPr>
                <w:rFonts w:hint="eastAsia"/>
                <w:szCs w:val="21"/>
              </w:rPr>
              <w:t>投标人</w:t>
            </w:r>
            <w:r>
              <w:rPr>
                <w:szCs w:val="21"/>
              </w:rPr>
              <w:t>提供的售后服务方案（包含但不限于：</w:t>
            </w:r>
            <w:r>
              <w:rPr>
                <w:rFonts w:hint="eastAsia"/>
                <w:szCs w:val="21"/>
              </w:rPr>
              <w:t>产品质量问题的处理、设备故障解除、</w:t>
            </w:r>
            <w:r>
              <w:rPr>
                <w:kern w:val="0"/>
                <w:szCs w:val="21"/>
              </w:rPr>
              <w:t>售后服务响应</w:t>
            </w:r>
            <w:r>
              <w:rPr>
                <w:rFonts w:hint="eastAsia"/>
                <w:kern w:val="0"/>
                <w:szCs w:val="21"/>
              </w:rPr>
              <w:t>、售后服务人员、</w:t>
            </w:r>
            <w:r>
              <w:rPr>
                <w:szCs w:val="21"/>
              </w:rPr>
              <w:t>日常维护等）进行评审，全部满足计</w:t>
            </w:r>
            <w:r>
              <w:rPr>
                <w:rFonts w:hint="eastAsia"/>
                <w:szCs w:val="21"/>
                <w:lang w:val="en-US" w:eastAsia="zh-CN"/>
              </w:rPr>
              <w:t>40</w:t>
            </w:r>
            <w:r>
              <w:rPr>
                <w:szCs w:val="21"/>
              </w:rPr>
              <w:t>分，不符合需求或缺漏等的每处扣</w:t>
            </w:r>
            <w:r>
              <w:rPr>
                <w:rFonts w:hint="eastAsia"/>
                <w:szCs w:val="21"/>
                <w:lang w:val="en-US" w:eastAsia="zh-CN"/>
              </w:rPr>
              <w:t>4</w:t>
            </w:r>
            <w:r>
              <w:rPr>
                <w:szCs w:val="21"/>
              </w:rPr>
              <w:t>分，欠完善、针对性不强的每处扣</w:t>
            </w:r>
            <w:r>
              <w:rPr>
                <w:rFonts w:hint="eastAsia"/>
                <w:szCs w:val="21"/>
                <w:lang w:val="en-US" w:eastAsia="zh-CN"/>
              </w:rPr>
              <w:t>2</w:t>
            </w:r>
            <w:r>
              <w:rPr>
                <w:szCs w:val="21"/>
              </w:rPr>
              <w:t>分，扣完为止。未提供方案不得分。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503" w:type="dxa"/>
            <w:tcBorders>
              <w:right w:val="single" w:color="auto" w:sz="4" w:space="0"/>
            </w:tcBorders>
            <w:noWrap w:val="0"/>
            <w:vAlign w:val="center"/>
          </w:tcPr>
          <w:p>
            <w:pPr>
              <w:adjustRightInd w:val="0"/>
              <w:snapToGrid w:val="0"/>
              <w:spacing w:before="156" w:beforeLines="50"/>
              <w:jc w:val="center"/>
              <w:rPr>
                <w:rFonts w:ascii="宋体" w:hAnsi="宋体"/>
                <w:color w:val="auto"/>
                <w:sz w:val="18"/>
                <w:szCs w:val="18"/>
              </w:rPr>
            </w:pPr>
            <w:r>
              <w:rPr>
                <w:rFonts w:hint="eastAsia" w:ascii="宋体" w:hAnsi="宋体"/>
                <w:color w:val="auto"/>
                <w:sz w:val="18"/>
                <w:szCs w:val="18"/>
              </w:rPr>
              <w:t>2</w:t>
            </w:r>
          </w:p>
        </w:tc>
        <w:tc>
          <w:tcPr>
            <w:tcW w:w="1661" w:type="dxa"/>
            <w:tcBorders>
              <w:lef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优先采购加分（F</w:t>
            </w:r>
            <w:r>
              <w:rPr>
                <w:rFonts w:hint="eastAsia" w:ascii="宋体" w:hAnsi="宋体"/>
                <w:color w:val="auto"/>
                <w:sz w:val="18"/>
                <w:szCs w:val="18"/>
                <w:vertAlign w:val="subscript"/>
              </w:rPr>
              <w:t>优先采购加分</w:t>
            </w:r>
            <w:r>
              <w:rPr>
                <w:rFonts w:hint="eastAsia" w:ascii="宋体" w:hAnsi="宋体"/>
                <w:color w:val="auto"/>
                <w:sz w:val="18"/>
                <w:szCs w:val="18"/>
              </w:rPr>
              <w:t>）</w:t>
            </w:r>
          </w:p>
        </w:tc>
        <w:tc>
          <w:tcPr>
            <w:tcW w:w="6821" w:type="dxa"/>
            <w:gridSpan w:val="2"/>
            <w:tcBorders>
              <w:bottom w:val="single" w:color="auto" w:sz="4" w:space="0"/>
            </w:tcBorders>
            <w:noWrap w:val="0"/>
            <w:vAlign w:val="center"/>
          </w:tcPr>
          <w:p>
            <w:pPr>
              <w:widowControl/>
              <w:spacing w:line="360" w:lineRule="exact"/>
              <w:rPr>
                <w:rFonts w:ascii="宋体" w:hAnsi="宋体"/>
                <w:szCs w:val="21"/>
              </w:rPr>
            </w:pPr>
            <w:r>
              <w:rPr>
                <w:rFonts w:hint="eastAsia" w:ascii="宋体" w:hAnsi="宋体" w:cs="宋体"/>
                <w:szCs w:val="21"/>
              </w:rPr>
              <w:t>节能、</w:t>
            </w:r>
            <w:r>
              <w:rPr>
                <w:rFonts w:ascii="宋体" w:hAnsi="宋体" w:cs="宋体"/>
                <w:szCs w:val="21"/>
              </w:rPr>
              <w:t>环境标志产品加分(此仅限于</w:t>
            </w:r>
            <w:r>
              <w:rPr>
                <w:rFonts w:hint="eastAsia" w:ascii="宋体" w:hAnsi="宋体" w:cs="宋体"/>
                <w:szCs w:val="21"/>
              </w:rPr>
              <w:t>节能、</w:t>
            </w:r>
            <w:r>
              <w:rPr>
                <w:rFonts w:ascii="宋体" w:hAnsi="宋体" w:cs="宋体"/>
                <w:szCs w:val="21"/>
              </w:rPr>
              <w:t>环境标志政府采购</w:t>
            </w:r>
            <w:r>
              <w:rPr>
                <w:rFonts w:hint="eastAsia" w:ascii="宋体" w:hAnsi="宋体" w:cs="宋体"/>
                <w:szCs w:val="21"/>
              </w:rPr>
              <w:t>品目</w:t>
            </w:r>
            <w:r>
              <w:rPr>
                <w:rFonts w:ascii="宋体" w:hAnsi="宋体" w:cs="宋体"/>
                <w:szCs w:val="21"/>
              </w:rPr>
              <w:t>清单内产品，不是</w:t>
            </w:r>
            <w:r>
              <w:rPr>
                <w:rFonts w:hint="eastAsia" w:ascii="宋体" w:hAnsi="宋体" w:cs="宋体"/>
                <w:szCs w:val="21"/>
              </w:rPr>
              <w:t>品目</w:t>
            </w:r>
            <w:r>
              <w:rPr>
                <w:rFonts w:ascii="宋体" w:hAnsi="宋体" w:cs="宋体"/>
                <w:szCs w:val="21"/>
              </w:rPr>
              <w:t>清单内的产品，在评审时不予</w:t>
            </w:r>
            <w:r>
              <w:rPr>
                <w:rFonts w:hint="eastAsia" w:ascii="宋体" w:hAnsi="宋体" w:cs="宋体"/>
                <w:szCs w:val="21"/>
              </w:rPr>
              <w:t>加分</w:t>
            </w:r>
            <w:r>
              <w:rPr>
                <w:rFonts w:ascii="宋体" w:hAnsi="宋体" w:cs="宋体"/>
                <w:szCs w:val="21"/>
              </w:rPr>
              <w:t xml:space="preserve">)： </w:t>
            </w:r>
          </w:p>
          <w:p>
            <w:pPr>
              <w:widowControl/>
              <w:spacing w:line="360" w:lineRule="exact"/>
              <w:ind w:firstLine="210" w:firstLineChars="100"/>
              <w:rPr>
                <w:rFonts w:ascii="宋体" w:hAnsi="宋体"/>
                <w:szCs w:val="21"/>
              </w:rPr>
            </w:pPr>
            <w:r>
              <w:rPr>
                <w:rFonts w:ascii="宋体" w:hAnsi="宋体" w:cs="宋体"/>
                <w:szCs w:val="21"/>
              </w:rPr>
              <w:t>所投环保产品的价格</w:t>
            </w:r>
          </w:p>
          <w:p>
            <w:pPr>
              <w:widowControl/>
              <w:spacing w:line="360" w:lineRule="exact"/>
              <w:jc w:val="left"/>
              <w:rPr>
                <w:rFonts w:ascii="宋体" w:hAnsi="宋体"/>
                <w:szCs w:val="21"/>
              </w:rPr>
            </w:pPr>
            <w:r>
              <w:rPr>
                <w:rFonts w:ascii="宋体" w:hAnsi="宋体" w:cs="宋体"/>
                <w:szCs w:val="21"/>
              </w:rPr>
              <w:t>———————————×</w:t>
            </w:r>
            <w:r>
              <w:rPr>
                <w:rFonts w:hint="eastAsia" w:ascii="宋体" w:hAnsi="宋体" w:cs="宋体"/>
                <w:szCs w:val="21"/>
                <w:lang w:val="en-US" w:eastAsia="zh-CN"/>
              </w:rPr>
              <w:t>商务</w:t>
            </w:r>
            <w:r>
              <w:rPr>
                <w:rFonts w:ascii="宋体" w:hAnsi="宋体" w:cs="宋体"/>
                <w:szCs w:val="21"/>
              </w:rPr>
              <w:t>权值×100×本项目加分比例=应加分数</w:t>
            </w:r>
          </w:p>
          <w:p>
            <w:pPr>
              <w:widowControl/>
              <w:spacing w:line="360" w:lineRule="exact"/>
              <w:ind w:firstLine="630" w:firstLineChars="300"/>
              <w:rPr>
                <w:rFonts w:ascii="宋体" w:hAnsi="宋体"/>
                <w:szCs w:val="21"/>
              </w:rPr>
            </w:pPr>
            <w:r>
              <w:rPr>
                <w:rFonts w:ascii="宋体" w:hAnsi="宋体" w:cs="宋体"/>
                <w:szCs w:val="21"/>
              </w:rPr>
              <w:t>项目总价格</w:t>
            </w:r>
          </w:p>
          <w:p>
            <w:pPr>
              <w:adjustRightInd w:val="0"/>
              <w:snapToGrid w:val="0"/>
              <w:spacing w:before="156" w:beforeLines="50"/>
              <w:rPr>
                <w:rFonts w:ascii="宋体" w:hAnsi="宋体"/>
                <w:color w:val="auto"/>
                <w:sz w:val="18"/>
                <w:szCs w:val="18"/>
              </w:rPr>
            </w:pPr>
            <w:r>
              <w:rPr>
                <w:rFonts w:ascii="宋体" w:hAnsi="宋体" w:cs="宋体"/>
                <w:szCs w:val="21"/>
              </w:rPr>
              <w:t>注：整包中某一品目为</w:t>
            </w:r>
            <w:r>
              <w:rPr>
                <w:rFonts w:hint="eastAsia" w:ascii="宋体" w:hAnsi="宋体" w:cs="宋体"/>
                <w:szCs w:val="21"/>
              </w:rPr>
              <w:t>节能、</w:t>
            </w:r>
            <w:r>
              <w:rPr>
                <w:rFonts w:ascii="宋体" w:hAnsi="宋体" w:cs="宋体"/>
                <w:szCs w:val="21"/>
              </w:rPr>
              <w:t>环境标志政府采购</w:t>
            </w:r>
            <w:r>
              <w:rPr>
                <w:rFonts w:hint="eastAsia" w:ascii="宋体" w:hAnsi="宋体" w:cs="宋体"/>
                <w:szCs w:val="21"/>
              </w:rPr>
              <w:t>品目</w:t>
            </w:r>
            <w:r>
              <w:rPr>
                <w:rFonts w:ascii="宋体" w:hAnsi="宋体" w:cs="宋体"/>
                <w:szCs w:val="21"/>
              </w:rPr>
              <w:t>清单内产品时只对该品目</w:t>
            </w:r>
            <w:r>
              <w:rPr>
                <w:rFonts w:hint="eastAsia" w:ascii="宋体" w:hAnsi="宋体" w:cs="宋体"/>
                <w:szCs w:val="21"/>
                <w:lang w:val="en-US" w:eastAsia="zh-CN"/>
              </w:rPr>
              <w:t>商务</w:t>
            </w:r>
            <w:r>
              <w:rPr>
                <w:rFonts w:ascii="宋体" w:hAnsi="宋体" w:cs="宋体"/>
                <w:szCs w:val="21"/>
              </w:rPr>
              <w:t>加分，并合计到</w:t>
            </w:r>
            <w:r>
              <w:rPr>
                <w:rFonts w:hint="eastAsia" w:ascii="宋体" w:hAnsi="宋体" w:cs="宋体"/>
                <w:szCs w:val="21"/>
                <w:lang w:val="en-US" w:eastAsia="zh-CN"/>
              </w:rPr>
              <w:t>商务</w:t>
            </w:r>
            <w:r>
              <w:rPr>
                <w:rFonts w:ascii="宋体" w:hAnsi="宋体" w:cs="宋体"/>
                <w:szCs w:val="21"/>
              </w:rPr>
              <w:t>最终得分。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503" w:type="dxa"/>
            <w:tcBorders>
              <w:right w:val="single" w:color="auto" w:sz="4" w:space="0"/>
            </w:tcBorders>
            <w:noWrap w:val="0"/>
            <w:vAlign w:val="center"/>
          </w:tcPr>
          <w:p>
            <w:pPr>
              <w:adjustRightInd w:val="0"/>
              <w:snapToGrid w:val="0"/>
              <w:jc w:val="center"/>
              <w:rPr>
                <w:rFonts w:ascii="宋体" w:hAnsi="宋体"/>
                <w:color w:val="auto"/>
                <w:sz w:val="18"/>
                <w:szCs w:val="18"/>
              </w:rPr>
            </w:pPr>
            <w:r>
              <w:rPr>
                <w:rFonts w:hint="eastAsia" w:ascii="宋体" w:hAnsi="宋体"/>
                <w:color w:val="auto"/>
                <w:sz w:val="18"/>
                <w:szCs w:val="18"/>
              </w:rPr>
              <w:t>∑</w:t>
            </w:r>
          </w:p>
        </w:tc>
        <w:tc>
          <w:tcPr>
            <w:tcW w:w="8482" w:type="dxa"/>
            <w:gridSpan w:val="3"/>
            <w:tcBorders>
              <w:left w:val="single" w:color="auto" w:sz="4" w:space="0"/>
            </w:tcBorders>
            <w:noWrap w:val="0"/>
            <w:vAlign w:val="center"/>
          </w:tcPr>
          <w:p>
            <w:pPr>
              <w:adjustRightInd w:val="0"/>
              <w:snapToGrid w:val="0"/>
              <w:rPr>
                <w:rFonts w:ascii="宋体" w:hAnsi="宋体"/>
                <w:color w:val="auto"/>
                <w:sz w:val="18"/>
                <w:szCs w:val="18"/>
              </w:rPr>
            </w:pPr>
            <w:r>
              <w:rPr>
                <w:rFonts w:hint="eastAsia" w:ascii="宋体" w:hAnsi="宋体"/>
                <w:color w:val="auto"/>
                <w:sz w:val="18"/>
                <w:szCs w:val="18"/>
              </w:rPr>
              <w:t>F</w:t>
            </w:r>
            <w:r>
              <w:rPr>
                <w:rFonts w:hint="eastAsia" w:ascii="宋体" w:hAnsi="宋体"/>
                <w:color w:val="auto"/>
                <w:sz w:val="18"/>
                <w:szCs w:val="18"/>
                <w:vertAlign w:val="subscript"/>
              </w:rPr>
              <w:t>3</w:t>
            </w:r>
            <w:r>
              <w:rPr>
                <w:rFonts w:hint="eastAsia" w:ascii="宋体" w:hAnsi="宋体"/>
                <w:color w:val="auto"/>
                <w:sz w:val="18"/>
                <w:szCs w:val="18"/>
              </w:rPr>
              <w:t>=F+</w:t>
            </w:r>
            <w:r>
              <w:rPr>
                <w:rFonts w:hint="eastAsia"/>
                <w:color w:val="auto"/>
                <w:sz w:val="18"/>
                <w:szCs w:val="18"/>
              </w:rPr>
              <w:t xml:space="preserve"> </w:t>
            </w:r>
            <w:r>
              <w:rPr>
                <w:rFonts w:hint="eastAsia" w:ascii="宋体" w:hAnsi="宋体"/>
                <w:color w:val="auto"/>
                <w:sz w:val="18"/>
                <w:szCs w:val="18"/>
              </w:rPr>
              <w:t>F</w:t>
            </w:r>
            <w:r>
              <w:rPr>
                <w:rFonts w:hint="eastAsia" w:ascii="宋体" w:hAnsi="宋体"/>
                <w:color w:val="auto"/>
                <w:sz w:val="18"/>
                <w:szCs w:val="18"/>
                <w:vertAlign w:val="subscript"/>
              </w:rPr>
              <w:t>优先采购加分</w:t>
            </w:r>
          </w:p>
        </w:tc>
      </w:tr>
    </w:tbl>
    <w:p>
      <w:pPr>
        <w:widowControl/>
        <w:jc w:val="left"/>
        <w:rPr>
          <w:rFonts w:ascii="黑体" w:hAnsi="华文中宋" w:eastAsia="黑体"/>
          <w:b/>
          <w:bCs/>
          <w:color w:val="auto"/>
          <w:sz w:val="28"/>
          <w:szCs w:val="28"/>
        </w:rPr>
      </w:pPr>
    </w:p>
    <w:p>
      <w:pPr>
        <w:widowControl/>
        <w:jc w:val="left"/>
        <w:rPr>
          <w:rFonts w:ascii="黑体" w:hAnsi="华文中宋" w:eastAsia="黑体"/>
          <w:b/>
          <w:bCs/>
          <w:color w:val="auto"/>
          <w:sz w:val="10"/>
          <w:szCs w:val="10"/>
        </w:rPr>
      </w:pPr>
    </w:p>
    <w:p>
      <w:pPr>
        <w:pStyle w:val="2"/>
        <w:keepNext w:val="0"/>
        <w:adjustRightInd w:val="0"/>
        <w:snapToGrid w:val="0"/>
        <w:spacing w:before="156" w:beforeLines="50" w:line="360" w:lineRule="auto"/>
        <w:rPr>
          <w:rFonts w:ascii="黑体" w:hAnsi="华文中宋" w:eastAsia="黑体"/>
          <w:color w:val="auto"/>
          <w:sz w:val="32"/>
          <w:szCs w:val="32"/>
        </w:rPr>
      </w:pPr>
      <w:bookmarkStart w:id="55" w:name="_Toc12252"/>
      <w:r>
        <w:rPr>
          <w:rFonts w:hint="eastAsia" w:ascii="黑体" w:hAnsi="华文中宋" w:eastAsia="黑体"/>
          <w:color w:val="auto"/>
          <w:sz w:val="32"/>
          <w:szCs w:val="32"/>
        </w:rPr>
        <w:br w:type="page"/>
      </w:r>
      <w:r>
        <w:rPr>
          <w:rFonts w:hint="eastAsia" w:ascii="黑体" w:hAnsi="华文中宋" w:eastAsia="黑体"/>
          <w:color w:val="auto"/>
          <w:sz w:val="32"/>
          <w:szCs w:val="32"/>
        </w:rPr>
        <w:t>第五章 采购需求</w:t>
      </w:r>
      <w:bookmarkEnd w:id="55"/>
    </w:p>
    <w:p>
      <w:pPr>
        <w:pStyle w:val="3"/>
        <w:adjustRightInd w:val="0"/>
        <w:snapToGrid w:val="0"/>
        <w:spacing w:before="156" w:beforeLines="50"/>
        <w:jc w:val="center"/>
        <w:rPr>
          <w:rFonts w:ascii="黑体" w:hAnsi="黑体" w:eastAsia="黑体"/>
          <w:color w:val="auto"/>
          <w:sz w:val="28"/>
          <w:szCs w:val="28"/>
        </w:rPr>
      </w:pPr>
      <w:bookmarkStart w:id="56" w:name="_Toc3070"/>
      <w:r>
        <w:rPr>
          <w:rFonts w:hint="eastAsia" w:ascii="黑体" w:hAnsi="黑体" w:eastAsia="黑体"/>
          <w:color w:val="auto"/>
          <w:sz w:val="28"/>
          <w:szCs w:val="28"/>
        </w:rPr>
        <w:t>第一节 采购清单一览表</w:t>
      </w:r>
      <w:bookmarkEnd w:id="56"/>
    </w:p>
    <w:tbl>
      <w:tblPr>
        <w:tblStyle w:val="21"/>
        <w:tblW w:w="891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15"/>
        <w:gridCol w:w="1183"/>
        <w:gridCol w:w="2200"/>
        <w:gridCol w:w="2271"/>
        <w:gridCol w:w="1027"/>
        <w:gridCol w:w="835"/>
        <w:gridCol w:w="78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27" w:hRule="atLeast"/>
        </w:trPr>
        <w:tc>
          <w:tcPr>
            <w:tcW w:w="615" w:type="dxa"/>
            <w:noWrap w:val="0"/>
            <w:vAlign w:val="center"/>
          </w:tcPr>
          <w:p>
            <w:pPr>
              <w:adjustRightInd w:val="0"/>
              <w:snapToGrid w:val="0"/>
              <w:jc w:val="center"/>
              <w:rPr>
                <w:color w:val="auto"/>
                <w:szCs w:val="21"/>
              </w:rPr>
            </w:pPr>
            <w:r>
              <w:rPr>
                <w:rFonts w:hint="eastAsia"/>
                <w:color w:val="auto"/>
                <w:szCs w:val="21"/>
              </w:rPr>
              <w:t xml:space="preserve">包号 </w:t>
            </w:r>
          </w:p>
        </w:tc>
        <w:tc>
          <w:tcPr>
            <w:tcW w:w="1183" w:type="dxa"/>
            <w:noWrap w:val="0"/>
            <w:vAlign w:val="center"/>
          </w:tcPr>
          <w:p>
            <w:pPr>
              <w:adjustRightInd w:val="0"/>
              <w:snapToGrid w:val="0"/>
              <w:jc w:val="center"/>
              <w:rPr>
                <w:color w:val="auto"/>
                <w:szCs w:val="21"/>
              </w:rPr>
            </w:pPr>
            <w:r>
              <w:rPr>
                <w:rFonts w:hint="eastAsia"/>
                <w:color w:val="auto"/>
                <w:szCs w:val="21"/>
              </w:rPr>
              <w:t>包名称</w:t>
            </w:r>
          </w:p>
        </w:tc>
        <w:tc>
          <w:tcPr>
            <w:tcW w:w="2200" w:type="dxa"/>
            <w:noWrap w:val="0"/>
            <w:vAlign w:val="center"/>
          </w:tcPr>
          <w:p>
            <w:pPr>
              <w:adjustRightInd w:val="0"/>
              <w:snapToGrid w:val="0"/>
              <w:jc w:val="center"/>
              <w:rPr>
                <w:color w:val="auto"/>
                <w:szCs w:val="21"/>
              </w:rPr>
            </w:pPr>
            <w:r>
              <w:rPr>
                <w:rFonts w:hint="eastAsia"/>
                <w:color w:val="auto"/>
                <w:szCs w:val="21"/>
              </w:rPr>
              <w:t>标的名称</w:t>
            </w:r>
          </w:p>
        </w:tc>
        <w:tc>
          <w:tcPr>
            <w:tcW w:w="2271" w:type="dxa"/>
            <w:tcBorders>
              <w:left w:val="single" w:color="auto" w:sz="4" w:space="0"/>
            </w:tcBorders>
            <w:noWrap w:val="0"/>
            <w:vAlign w:val="center"/>
          </w:tcPr>
          <w:p>
            <w:pPr>
              <w:adjustRightInd w:val="0"/>
              <w:snapToGrid w:val="0"/>
              <w:jc w:val="center"/>
              <w:rPr>
                <w:color w:val="auto"/>
                <w:szCs w:val="21"/>
              </w:rPr>
            </w:pPr>
            <w:r>
              <w:rPr>
                <w:rFonts w:hint="eastAsia"/>
                <w:color w:val="auto"/>
                <w:szCs w:val="21"/>
              </w:rPr>
              <w:t>简要技术要求</w:t>
            </w:r>
          </w:p>
        </w:tc>
        <w:tc>
          <w:tcPr>
            <w:tcW w:w="1027" w:type="dxa"/>
            <w:tcBorders>
              <w:left w:val="single" w:color="auto" w:sz="4" w:space="0"/>
            </w:tcBorders>
            <w:noWrap w:val="0"/>
            <w:vAlign w:val="center"/>
          </w:tcPr>
          <w:p>
            <w:pPr>
              <w:adjustRightInd w:val="0"/>
              <w:snapToGrid w:val="0"/>
              <w:jc w:val="center"/>
              <w:rPr>
                <w:rFonts w:ascii="宋体" w:hAnsi="宋体" w:cs="宋体"/>
                <w:color w:val="auto"/>
                <w:kern w:val="0"/>
                <w:szCs w:val="21"/>
              </w:rPr>
            </w:pPr>
            <w:r>
              <w:rPr>
                <w:rFonts w:hint="eastAsia"/>
                <w:color w:val="auto"/>
                <w:szCs w:val="21"/>
              </w:rPr>
              <w:t>数量</w:t>
            </w:r>
          </w:p>
        </w:tc>
        <w:tc>
          <w:tcPr>
            <w:tcW w:w="835" w:type="dxa"/>
            <w:noWrap w:val="0"/>
            <w:vAlign w:val="center"/>
          </w:tcPr>
          <w:p>
            <w:pPr>
              <w:adjustRightInd w:val="0"/>
              <w:snapToGrid w:val="0"/>
              <w:jc w:val="center"/>
              <w:rPr>
                <w:color w:val="auto"/>
                <w:szCs w:val="21"/>
              </w:rPr>
            </w:pPr>
            <w:r>
              <w:rPr>
                <w:rFonts w:hint="eastAsia"/>
                <w:color w:val="auto"/>
                <w:szCs w:val="21"/>
              </w:rPr>
              <w:t>节能产品</w:t>
            </w:r>
          </w:p>
        </w:tc>
        <w:tc>
          <w:tcPr>
            <w:tcW w:w="784" w:type="dxa"/>
            <w:noWrap w:val="0"/>
            <w:vAlign w:val="center"/>
          </w:tcPr>
          <w:p>
            <w:pPr>
              <w:adjustRightInd w:val="0"/>
              <w:snapToGrid w:val="0"/>
              <w:jc w:val="center"/>
              <w:rPr>
                <w:color w:val="auto"/>
                <w:szCs w:val="21"/>
              </w:rPr>
            </w:pPr>
            <w:r>
              <w:rPr>
                <w:rFonts w:hint="eastAsia"/>
                <w:color w:val="auto"/>
                <w:szCs w:val="21"/>
              </w:rPr>
              <w:t>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05" w:hRule="atLeast"/>
        </w:trPr>
        <w:tc>
          <w:tcPr>
            <w:tcW w:w="615" w:type="dxa"/>
            <w:noWrap w:val="0"/>
            <w:vAlign w:val="center"/>
          </w:tcPr>
          <w:p>
            <w:pPr>
              <w:adjustRightInd w:val="0"/>
              <w:snapToGrid w:val="0"/>
              <w:spacing w:line="320" w:lineRule="exact"/>
              <w:jc w:val="center"/>
              <w:rPr>
                <w:color w:val="auto"/>
                <w:szCs w:val="21"/>
              </w:rPr>
            </w:pPr>
            <w:r>
              <w:rPr>
                <w:rFonts w:hint="eastAsia" w:ascii="宋体" w:hAnsi="宋体" w:cs="宋体"/>
                <w:szCs w:val="21"/>
              </w:rPr>
              <w:t>1</w:t>
            </w:r>
          </w:p>
        </w:tc>
        <w:tc>
          <w:tcPr>
            <w:tcW w:w="1183" w:type="dxa"/>
            <w:noWrap w:val="0"/>
            <w:vAlign w:val="center"/>
          </w:tcPr>
          <w:p>
            <w:pPr>
              <w:widowControl/>
              <w:jc w:val="center"/>
              <w:rPr>
                <w:color w:val="auto"/>
                <w:szCs w:val="21"/>
              </w:rPr>
            </w:pPr>
            <w:r>
              <w:rPr>
                <w:rFonts w:hint="eastAsia" w:ascii="宋体" w:hAnsi="宋体" w:cs="宋体"/>
                <w:bCs/>
                <w:kern w:val="0"/>
                <w:szCs w:val="21"/>
                <w:lang w:val="en-US" w:eastAsia="zh-CN"/>
              </w:rPr>
              <w:t>火灾调查装备</w:t>
            </w:r>
          </w:p>
        </w:tc>
        <w:tc>
          <w:tcPr>
            <w:tcW w:w="2200" w:type="dxa"/>
            <w:noWrap w:val="0"/>
            <w:vAlign w:val="center"/>
          </w:tcPr>
          <w:p>
            <w:pPr>
              <w:adjustRightInd w:val="0"/>
              <w:snapToGrid w:val="0"/>
              <w:spacing w:before="156" w:beforeLines="50" w:line="360" w:lineRule="auto"/>
              <w:jc w:val="center"/>
              <w:rPr>
                <w:color w:val="auto"/>
                <w:szCs w:val="21"/>
              </w:rPr>
            </w:pPr>
            <w:r>
              <w:rPr>
                <w:rFonts w:hint="eastAsia" w:ascii="宋体" w:hAnsi="宋体" w:cs="宋体"/>
                <w:bCs/>
                <w:kern w:val="0"/>
                <w:szCs w:val="21"/>
                <w:lang w:val="en-US" w:eastAsia="zh-CN"/>
              </w:rPr>
              <w:t>火灾调查装备</w:t>
            </w:r>
          </w:p>
        </w:tc>
        <w:tc>
          <w:tcPr>
            <w:tcW w:w="2271" w:type="dxa"/>
            <w:tcBorders>
              <w:left w:val="single" w:color="auto" w:sz="4" w:space="0"/>
            </w:tcBorders>
            <w:noWrap w:val="0"/>
            <w:vAlign w:val="center"/>
          </w:tcPr>
          <w:p>
            <w:pPr>
              <w:adjustRightInd w:val="0"/>
              <w:snapToGrid w:val="0"/>
              <w:spacing w:before="156" w:beforeLines="50" w:line="360" w:lineRule="auto"/>
              <w:jc w:val="center"/>
              <w:rPr>
                <w:rFonts w:hint="default" w:eastAsia="宋体"/>
                <w:color w:val="auto"/>
                <w:szCs w:val="21"/>
                <w:lang w:val="en-US" w:eastAsia="zh-CN"/>
              </w:rPr>
            </w:pPr>
            <w:r>
              <w:rPr>
                <w:rFonts w:hint="eastAsia"/>
                <w:color w:val="auto"/>
                <w:szCs w:val="21"/>
                <w:lang w:val="en-US" w:eastAsia="zh-CN"/>
              </w:rPr>
              <w:t>详见参数</w:t>
            </w:r>
          </w:p>
        </w:tc>
        <w:tc>
          <w:tcPr>
            <w:tcW w:w="1027" w:type="dxa"/>
            <w:tcBorders>
              <w:left w:val="single" w:color="auto" w:sz="4" w:space="0"/>
            </w:tcBorders>
            <w:noWrap w:val="0"/>
            <w:vAlign w:val="center"/>
          </w:tcPr>
          <w:p>
            <w:pPr>
              <w:adjustRightInd w:val="0"/>
              <w:snapToGrid w:val="0"/>
              <w:spacing w:before="156" w:beforeLines="50" w:line="360" w:lineRule="auto"/>
              <w:jc w:val="center"/>
              <w:rPr>
                <w:rFonts w:hint="eastAsia" w:eastAsia="宋体"/>
                <w:color w:val="auto"/>
                <w:szCs w:val="21"/>
                <w:lang w:val="en-US" w:eastAsia="zh-CN"/>
              </w:rPr>
            </w:pPr>
            <w:r>
              <w:rPr>
                <w:rFonts w:hint="eastAsia"/>
                <w:color w:val="auto"/>
                <w:szCs w:val="21"/>
                <w:lang w:val="en-US" w:eastAsia="zh-CN"/>
              </w:rPr>
              <w:t>一批</w:t>
            </w:r>
          </w:p>
        </w:tc>
        <w:tc>
          <w:tcPr>
            <w:tcW w:w="835" w:type="dxa"/>
            <w:noWrap w:val="0"/>
            <w:vAlign w:val="center"/>
          </w:tcPr>
          <w:p>
            <w:pPr>
              <w:adjustRightInd w:val="0"/>
              <w:snapToGrid w:val="0"/>
              <w:spacing w:before="156" w:beforeLines="50" w:line="360" w:lineRule="auto"/>
              <w:jc w:val="center"/>
              <w:rPr>
                <w:color w:val="auto"/>
                <w:szCs w:val="21"/>
              </w:rPr>
            </w:pPr>
            <w:r>
              <w:rPr>
                <w:rFonts w:hint="eastAsia" w:ascii="宋体" w:hAnsi="宋体"/>
                <w:iCs/>
                <w:color w:val="auto"/>
                <w:szCs w:val="21"/>
              </w:rPr>
              <w:sym w:font="Wingdings" w:char="00A8"/>
            </w:r>
          </w:p>
        </w:tc>
        <w:tc>
          <w:tcPr>
            <w:tcW w:w="784" w:type="dxa"/>
            <w:noWrap w:val="0"/>
            <w:vAlign w:val="center"/>
          </w:tcPr>
          <w:p>
            <w:pPr>
              <w:adjustRightInd w:val="0"/>
              <w:snapToGrid w:val="0"/>
              <w:spacing w:before="156" w:beforeLines="50" w:line="360" w:lineRule="auto"/>
              <w:jc w:val="center"/>
              <w:rPr>
                <w:color w:val="auto"/>
                <w:szCs w:val="21"/>
              </w:rPr>
            </w:pPr>
            <w:r>
              <w:rPr>
                <w:rFonts w:hint="eastAsia" w:ascii="宋体" w:hAnsi="宋体"/>
                <w:iCs/>
                <w:color w:val="auto"/>
                <w:szCs w:val="21"/>
              </w:rPr>
              <w:sym w:font="Wingdings" w:char="00A8"/>
            </w:r>
          </w:p>
        </w:tc>
      </w:tr>
    </w:tbl>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注：1</w:t>
      </w:r>
      <w:r>
        <w:rPr>
          <w:rFonts w:hint="eastAsia" w:ascii="宋体" w:hAnsi="宋体"/>
          <w:color w:val="auto"/>
          <w:szCs w:val="21"/>
          <w:lang w:val="en-US" w:eastAsia="zh-CN"/>
        </w:rPr>
        <w:t>.</w:t>
      </w:r>
      <w:r>
        <w:rPr>
          <w:rFonts w:hint="eastAsia" w:ascii="宋体" w:hAnsi="宋体" w:eastAsia="宋体"/>
          <w:color w:val="auto"/>
          <w:szCs w:val="21"/>
        </w:rPr>
        <w:t>“包”为最小合同单位（最小投标单位）。每“包”内容应细化到具体标的。</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2</w:t>
      </w:r>
      <w:r>
        <w:rPr>
          <w:rFonts w:hint="eastAsia" w:ascii="宋体" w:hAnsi="宋体"/>
          <w:color w:val="auto"/>
          <w:szCs w:val="21"/>
          <w:lang w:val="en-US" w:eastAsia="zh-CN"/>
        </w:rPr>
        <w:t>.</w:t>
      </w:r>
      <w:r>
        <w:rPr>
          <w:rFonts w:hint="eastAsia" w:ascii="宋体" w:hAnsi="宋体" w:eastAsia="宋体"/>
          <w:color w:val="auto"/>
          <w:szCs w:val="21"/>
        </w:rPr>
        <w:t>投标人必须对一个完整、独立的包进行投标，不得仅对一个包中的部分标的投标，否则</w:t>
      </w:r>
      <w:r>
        <w:rPr>
          <w:rFonts w:hint="eastAsia" w:ascii="宋体" w:hAnsi="宋体" w:eastAsia="宋体"/>
          <w:b/>
          <w:color w:val="auto"/>
          <w:szCs w:val="21"/>
        </w:rPr>
        <w:t>投标无效。</w:t>
      </w:r>
    </w:p>
    <w:p>
      <w:pPr>
        <w:adjustRightInd w:val="0"/>
        <w:snapToGrid w:val="0"/>
        <w:spacing w:before="156" w:beforeLines="50" w:line="360" w:lineRule="auto"/>
        <w:ind w:firstLine="420" w:firstLineChars="200"/>
        <w:rPr>
          <w:rFonts w:ascii="宋体" w:hAnsi="宋体" w:eastAsia="宋体" w:cs="宋体"/>
          <w:color w:val="auto"/>
          <w:kern w:val="0"/>
          <w:szCs w:val="21"/>
        </w:rPr>
      </w:pPr>
      <w:r>
        <w:rPr>
          <w:rFonts w:hint="eastAsia" w:ascii="宋体" w:hAnsi="宋体" w:eastAsia="宋体"/>
          <w:color w:val="auto"/>
          <w:szCs w:val="21"/>
        </w:rPr>
        <w:t>3</w:t>
      </w:r>
      <w:r>
        <w:rPr>
          <w:rFonts w:hint="eastAsia" w:ascii="宋体" w:hAnsi="宋体"/>
          <w:color w:val="auto"/>
          <w:szCs w:val="21"/>
          <w:lang w:val="en-US" w:eastAsia="zh-CN"/>
        </w:rPr>
        <w:t>.</w:t>
      </w:r>
      <w:r>
        <w:rPr>
          <w:rFonts w:hint="eastAsia" w:ascii="宋体" w:hAnsi="宋体" w:eastAsia="宋体"/>
          <w:color w:val="auto"/>
          <w:szCs w:val="21"/>
        </w:rPr>
        <w:t>货物的主要技术参数或规格：</w:t>
      </w:r>
      <w:r>
        <w:rPr>
          <w:rFonts w:ascii="宋体" w:hAnsi="宋体" w:eastAsia="宋体" w:cs="宋体"/>
          <w:color w:val="auto"/>
          <w:kern w:val="0"/>
          <w:szCs w:val="21"/>
        </w:rPr>
        <w:t>详见“技术要求”中的具体技术参数</w:t>
      </w:r>
      <w:r>
        <w:rPr>
          <w:rFonts w:hint="eastAsia" w:ascii="宋体" w:hAnsi="宋体" w:eastAsia="宋体" w:cs="宋体"/>
          <w:color w:val="auto"/>
          <w:kern w:val="0"/>
          <w:szCs w:val="21"/>
        </w:rPr>
        <w:t>。</w:t>
      </w:r>
    </w:p>
    <w:p>
      <w:pPr>
        <w:adjustRightInd w:val="0"/>
        <w:snapToGrid w:val="0"/>
        <w:spacing w:before="156" w:beforeLines="50" w:line="360" w:lineRule="auto"/>
        <w:ind w:firstLine="420" w:firstLineChars="200"/>
        <w:rPr>
          <w:rFonts w:ascii="宋体" w:hAnsi="宋体" w:cs="宋体"/>
          <w:color w:val="auto"/>
          <w:kern w:val="0"/>
          <w:szCs w:val="21"/>
        </w:rPr>
      </w:pPr>
      <w:r>
        <w:rPr>
          <w:rFonts w:hint="eastAsia" w:ascii="宋体" w:hAnsi="宋体" w:cs="宋体"/>
          <w:bCs/>
          <w:color w:val="auto"/>
          <w:kern w:val="0"/>
          <w:szCs w:val="21"/>
        </w:rPr>
        <w:t>4</w:t>
      </w:r>
      <w:r>
        <w:rPr>
          <w:rFonts w:hint="eastAsia" w:ascii="宋体" w:hAnsi="宋体" w:cs="宋体"/>
          <w:bCs/>
          <w:color w:val="auto"/>
          <w:kern w:val="0"/>
          <w:szCs w:val="21"/>
          <w:lang w:val="en-US" w:eastAsia="zh-CN"/>
        </w:rPr>
        <w:t>.</w:t>
      </w:r>
      <w:r>
        <w:rPr>
          <w:rFonts w:hint="eastAsia" w:ascii="宋体" w:hAnsi="宋体" w:cs="宋体"/>
          <w:bCs/>
          <w:color w:val="auto"/>
          <w:kern w:val="0"/>
          <w:szCs w:val="21"/>
        </w:rPr>
        <w:t>投标人应</w:t>
      </w:r>
      <w:r>
        <w:rPr>
          <w:rFonts w:hint="eastAsia" w:ascii="宋体" w:hAnsi="宋体" w:cs="宋体"/>
          <w:color w:val="auto"/>
          <w:kern w:val="0"/>
          <w:szCs w:val="21"/>
        </w:rPr>
        <w:t>在投标文件《分项报价明细表》中按</w:t>
      </w:r>
      <w:r>
        <w:rPr>
          <w:rFonts w:hint="eastAsia" w:ascii="宋体" w:hAnsi="宋体"/>
          <w:color w:val="auto"/>
          <w:szCs w:val="21"/>
        </w:rPr>
        <w:t>标的名称</w:t>
      </w:r>
      <w:r>
        <w:rPr>
          <w:rFonts w:hint="eastAsia" w:ascii="宋体" w:hAnsi="宋体" w:cs="宋体"/>
          <w:color w:val="auto"/>
          <w:kern w:val="0"/>
          <w:szCs w:val="21"/>
        </w:rPr>
        <w:t>顺序逐项填写，且每个标的中的条目均需按招标文件规定报价。如有缺项、漏项，其</w:t>
      </w:r>
      <w:r>
        <w:rPr>
          <w:rFonts w:hint="eastAsia" w:ascii="宋体" w:hAnsi="宋体" w:cs="宋体"/>
          <w:b/>
          <w:color w:val="auto"/>
          <w:kern w:val="0"/>
          <w:szCs w:val="21"/>
        </w:rPr>
        <w:t>投标无效</w:t>
      </w:r>
      <w:r>
        <w:rPr>
          <w:rFonts w:hint="eastAsia" w:ascii="宋体" w:hAnsi="宋体" w:cs="宋体"/>
          <w:color w:val="auto"/>
          <w:kern w:val="0"/>
          <w:szCs w:val="21"/>
        </w:rPr>
        <w:t>。</w:t>
      </w:r>
    </w:p>
    <w:p>
      <w:pPr>
        <w:pStyle w:val="26"/>
        <w:rPr>
          <w:rFonts w:ascii="宋体" w:hAnsi="宋体" w:cs="宋体"/>
          <w:color w:val="auto"/>
          <w:kern w:val="0"/>
        </w:rPr>
      </w:pPr>
    </w:p>
    <w:p>
      <w:pPr>
        <w:pStyle w:val="26"/>
        <w:rPr>
          <w:rFonts w:ascii="宋体" w:hAnsi="宋体" w:cs="宋体"/>
          <w:color w:val="auto"/>
          <w:kern w:val="0"/>
        </w:rPr>
      </w:pPr>
    </w:p>
    <w:p>
      <w:pPr>
        <w:pStyle w:val="26"/>
        <w:rPr>
          <w:rFonts w:ascii="宋体" w:hAnsi="宋体" w:cs="宋体"/>
          <w:color w:val="auto"/>
          <w:kern w:val="0"/>
        </w:rPr>
      </w:pPr>
    </w:p>
    <w:p>
      <w:pPr>
        <w:pStyle w:val="3"/>
        <w:adjustRightInd w:val="0"/>
        <w:snapToGrid w:val="0"/>
        <w:spacing w:before="156" w:beforeLines="50"/>
        <w:jc w:val="both"/>
        <w:rPr>
          <w:rFonts w:hint="eastAsia" w:ascii="黑体" w:hAnsi="黑体" w:eastAsia="黑体"/>
          <w:color w:val="auto"/>
          <w:sz w:val="28"/>
          <w:szCs w:val="28"/>
        </w:rPr>
        <w:sectPr>
          <w:headerReference r:id="rId11" w:type="first"/>
          <w:footerReference r:id="rId14" w:type="first"/>
          <w:headerReference r:id="rId9" w:type="default"/>
          <w:footerReference r:id="rId12" w:type="default"/>
          <w:headerReference r:id="rId10" w:type="even"/>
          <w:footerReference r:id="rId13" w:type="even"/>
          <w:pgSz w:w="11906" w:h="16838"/>
          <w:pgMar w:top="1474" w:right="1474" w:bottom="1474" w:left="1588" w:header="851" w:footer="992" w:gutter="0"/>
          <w:pgNumType w:fmt="decimal"/>
          <w:cols w:space="720" w:num="1"/>
          <w:docGrid w:type="lines" w:linePitch="312" w:charSpace="0"/>
        </w:sectPr>
      </w:pPr>
      <w:bookmarkStart w:id="57" w:name="_Toc13301"/>
    </w:p>
    <w:p>
      <w:pPr>
        <w:pStyle w:val="3"/>
        <w:adjustRightInd w:val="0"/>
        <w:snapToGrid w:val="0"/>
        <w:spacing w:before="156" w:beforeLines="50"/>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第二节 </w:t>
      </w:r>
      <w:r>
        <w:rPr>
          <w:rFonts w:ascii="黑体" w:hAnsi="黑体" w:eastAsia="黑体"/>
          <w:color w:val="auto"/>
          <w:sz w:val="28"/>
          <w:szCs w:val="28"/>
          <w:highlight w:val="none"/>
        </w:rPr>
        <w:t>技术要求</w:t>
      </w:r>
      <w:bookmarkEnd w:id="57"/>
    </w:p>
    <w:p>
      <w:pPr>
        <w:pStyle w:val="26"/>
        <w:rPr>
          <w:color w:val="auto"/>
        </w:rPr>
      </w:pPr>
    </w:p>
    <w:tbl>
      <w:tblPr>
        <w:tblStyle w:val="21"/>
        <w:tblW w:w="13471" w:type="dxa"/>
        <w:jc w:val="center"/>
        <w:tblLayout w:type="fixed"/>
        <w:tblCellMar>
          <w:top w:w="0" w:type="dxa"/>
          <w:left w:w="108" w:type="dxa"/>
          <w:bottom w:w="0" w:type="dxa"/>
          <w:right w:w="108" w:type="dxa"/>
        </w:tblCellMar>
      </w:tblPr>
      <w:tblGrid>
        <w:gridCol w:w="692"/>
        <w:gridCol w:w="2012"/>
        <w:gridCol w:w="917"/>
        <w:gridCol w:w="9850"/>
      </w:tblGrid>
      <w:tr>
        <w:tblPrEx>
          <w:tblCellMar>
            <w:top w:w="0" w:type="dxa"/>
            <w:left w:w="108" w:type="dxa"/>
            <w:bottom w:w="0" w:type="dxa"/>
            <w:right w:w="108" w:type="dxa"/>
          </w:tblCellMar>
        </w:tblPrEx>
        <w:trPr>
          <w:trHeight w:val="210" w:hRule="atLeast"/>
          <w:jc w:val="center"/>
        </w:trPr>
        <w:tc>
          <w:tcPr>
            <w:tcW w:w="13471" w:type="dxa"/>
            <w:gridSpan w:val="4"/>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b/>
                <w:bCs/>
                <w:szCs w:val="21"/>
              </w:rPr>
            </w:pPr>
            <w:r>
              <w:rPr>
                <w:rFonts w:hint="eastAsia" w:ascii="方正小标宋简体" w:hAnsi="方正小标宋简体" w:eastAsia="方正小标宋简体" w:cs="方正小标宋简体"/>
                <w:sz w:val="36"/>
              </w:rPr>
              <w:t>技术参数</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spacing w:line="340" w:lineRule="exact"/>
              <w:jc w:val="center"/>
              <w:rPr>
                <w:rFonts w:ascii="宋体" w:hAnsi="宋体" w:cs="宋体"/>
              </w:rPr>
            </w:pPr>
            <w:r>
              <w:rPr>
                <w:rFonts w:hint="eastAsia" w:ascii="宋体" w:hAnsi="宋体" w:cs="宋体"/>
                <w:b/>
                <w:bCs/>
                <w:szCs w:val="21"/>
              </w:rPr>
              <w:t>序号</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spacing w:line="340" w:lineRule="exact"/>
              <w:jc w:val="center"/>
              <w:rPr>
                <w:rFonts w:ascii="宋体" w:hAnsi="宋体" w:cs="宋体"/>
                <w:b/>
                <w:bCs/>
                <w:szCs w:val="21"/>
              </w:rPr>
            </w:pPr>
            <w:r>
              <w:rPr>
                <w:rFonts w:hint="eastAsia" w:ascii="宋体" w:hAnsi="宋体" w:cs="宋体"/>
                <w:b/>
                <w:bCs/>
                <w:szCs w:val="21"/>
              </w:rPr>
              <w:t>装备名称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spacing w:line="340" w:lineRule="exact"/>
              <w:jc w:val="center"/>
              <w:rPr>
                <w:rFonts w:ascii="宋体" w:hAnsi="宋体" w:cs="宋体"/>
                <w:b/>
                <w:bCs/>
                <w:szCs w:val="21"/>
              </w:rPr>
            </w:pPr>
            <w:r>
              <w:rPr>
                <w:rFonts w:hint="eastAsia" w:ascii="宋体" w:hAnsi="宋体" w:cs="宋体"/>
                <w:b/>
                <w:bCs/>
                <w:szCs w:val="21"/>
              </w:rPr>
              <w:t>数量</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spacing w:line="340" w:lineRule="exact"/>
              <w:jc w:val="center"/>
              <w:rPr>
                <w:rFonts w:ascii="宋体" w:hAnsi="宋体" w:cs="宋体"/>
                <w:b/>
                <w:bCs/>
                <w:szCs w:val="21"/>
              </w:rPr>
            </w:pPr>
            <w:r>
              <w:rPr>
                <w:rFonts w:hint="eastAsia" w:ascii="宋体" w:hAnsi="宋体" w:cs="宋体"/>
                <w:b/>
                <w:bCs/>
                <w:szCs w:val="21"/>
              </w:rPr>
              <w:t>技术要求</w:t>
            </w:r>
          </w:p>
        </w:tc>
      </w:tr>
      <w:tr>
        <w:tblPrEx>
          <w:tblCellMar>
            <w:top w:w="0" w:type="dxa"/>
            <w:left w:w="108" w:type="dxa"/>
            <w:bottom w:w="0" w:type="dxa"/>
            <w:right w:w="108" w:type="dxa"/>
          </w:tblCellMar>
        </w:tblPrEx>
        <w:trPr>
          <w:trHeight w:val="289"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火灾现场物证提取工具</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6</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sz w:val="24"/>
                <w:szCs w:val="24"/>
                <w:highlight w:val="none"/>
              </w:rPr>
            </w:pPr>
            <w:r>
              <w:rPr>
                <w:rFonts w:hint="eastAsia" w:ascii="宋体" w:hAnsi="宋体" w:cs="宋体"/>
                <w:color w:val="000000"/>
                <w:kern w:val="0"/>
                <w:sz w:val="24"/>
                <w:highlight w:val="none"/>
                <w:lang w:bidi="ar"/>
              </w:rPr>
              <w:t>可提取并保存火灾现场中的气体、液体、固体物证，带有专用气泵，带有</w:t>
            </w:r>
            <w:r>
              <w:rPr>
                <w:rFonts w:hint="eastAsia" w:ascii="宋体" w:hAnsi="宋体" w:cs="宋体"/>
                <w:color w:val="000000"/>
                <w:kern w:val="0"/>
                <w:sz w:val="24"/>
                <w:highlight w:val="none"/>
                <w:lang w:eastAsia="zh-CN" w:bidi="ar"/>
              </w:rPr>
              <w:t>不小于</w:t>
            </w:r>
            <w:r>
              <w:rPr>
                <w:rFonts w:hint="eastAsia" w:ascii="宋体" w:hAnsi="宋体" w:cs="宋体"/>
                <w:color w:val="000000"/>
                <w:kern w:val="0"/>
                <w:sz w:val="24"/>
                <w:highlight w:val="none"/>
                <w:lang w:bidi="ar"/>
              </w:rPr>
              <w:t>1L、2L、3L的气囊，液体物证提取装置体积为</w:t>
            </w:r>
            <w:r>
              <w:rPr>
                <w:rFonts w:hint="eastAsia" w:ascii="宋体" w:hAnsi="宋体" w:cs="宋体"/>
                <w:color w:val="000000"/>
                <w:kern w:val="0"/>
                <w:sz w:val="24"/>
                <w:highlight w:val="none"/>
                <w:lang w:eastAsia="zh-CN" w:bidi="ar"/>
              </w:rPr>
              <w:t>不</w:t>
            </w:r>
            <w:r>
              <w:rPr>
                <w:rFonts w:hint="eastAsia" w:ascii="宋体" w:hAnsi="宋体" w:cs="宋体"/>
                <w:color w:val="000000"/>
                <w:kern w:val="0"/>
                <w:sz w:val="24"/>
                <w:highlight w:val="none"/>
                <w:lang w:bidi="ar"/>
              </w:rPr>
              <w:t>小于200ml、300ml、500ml，固体物证盛装物证重量为</w:t>
            </w:r>
            <w:r>
              <w:rPr>
                <w:rFonts w:hint="eastAsia" w:ascii="宋体" w:hAnsi="宋体" w:cs="宋体"/>
                <w:color w:val="000000"/>
                <w:kern w:val="0"/>
                <w:sz w:val="24"/>
                <w:highlight w:val="none"/>
                <w:lang w:eastAsia="zh-CN" w:bidi="ar"/>
              </w:rPr>
              <w:t>不小于</w:t>
            </w:r>
            <w:r>
              <w:rPr>
                <w:rFonts w:hint="eastAsia" w:ascii="宋体" w:hAnsi="宋体" w:cs="宋体"/>
                <w:color w:val="000000"/>
                <w:kern w:val="0"/>
                <w:sz w:val="24"/>
                <w:highlight w:val="none"/>
                <w:lang w:bidi="ar"/>
              </w:rPr>
              <w:t>100g、200g、500g、1000g。且提供专用盛装箱。</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火场勘查工具箱</w:t>
            </w:r>
          </w:p>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（新版）</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6</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default" w:ascii="宋体" w:hAnsi="宋体" w:cs="宋体"/>
                <w:color w:val="000000"/>
                <w:kern w:val="0"/>
                <w:sz w:val="24"/>
                <w:lang w:bidi="ar"/>
              </w:rPr>
            </w:pPr>
            <w:r>
              <w:rPr>
                <w:rFonts w:hint="eastAsia" w:ascii="宋体" w:hAnsi="宋体" w:cs="宋体"/>
                <w:color w:val="000000"/>
                <w:kern w:val="0"/>
                <w:sz w:val="24"/>
                <w:lang w:bidi="ar"/>
              </w:rPr>
              <w:t>火场勘查工具箱是依据《GB25203-2010消防监督技术装备配备》、《 GB / T 20162-2006火灾技术鉴定物证提取方法》研制，配备包括清理、破拆、物证标识、照明、绘图、记录、测量、警戒、样品提取等工具器材。</w:t>
            </w:r>
          </w:p>
          <w:p>
            <w:pPr>
              <w:widowControl/>
              <w:jc w:val="left"/>
              <w:textAlignment w:val="center"/>
              <w:rPr>
                <w:rFonts w:hint="eastAsia" w:ascii="宋体" w:hAnsi="宋体" w:eastAsia="宋体" w:cs="宋体"/>
                <w:sz w:val="24"/>
                <w:szCs w:val="24"/>
              </w:rPr>
            </w:pPr>
            <w:r>
              <w:rPr>
                <w:rFonts w:hint="eastAsia" w:ascii="宋体" w:hAnsi="宋体" w:cs="宋体"/>
                <w:color w:val="000000"/>
                <w:kern w:val="0"/>
                <w:sz w:val="24"/>
                <w:lang w:bidi="ar"/>
              </w:rPr>
              <w:t>配置：勘查工具；折叠手锯；卷尺；扁铲；撬棒；腰斧；扁尾锤；偏口钳；航空剪；螺丝刀套装；活动扳手；指南针；磁棒；剪刀；组合镊子；毛刷组合；多功能钳；多功能刀；带灯放大镜；除灰吹气球；指纹印盒；记号笔；物证指示牌；痕迹标签；警戒带；脱脂棉；测电笔；工程塑料器材箱等组成。</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录音笔</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6</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sz w:val="24"/>
                <w:szCs w:val="24"/>
                <w:highlight w:val="none"/>
                <w:lang w:eastAsia="zh-CN"/>
              </w:rPr>
            </w:pPr>
            <w:r>
              <w:rPr>
                <w:rFonts w:hint="eastAsia" w:ascii="宋体" w:hAnsi="宋体" w:cs="宋体"/>
                <w:color w:val="auto"/>
                <w:kern w:val="0"/>
                <w:sz w:val="24"/>
                <w:highlight w:val="none"/>
                <w:lang w:bidi="ar"/>
              </w:rPr>
              <w:t>电池：</w:t>
            </w:r>
            <w:r>
              <w:rPr>
                <w:rFonts w:hint="eastAsia" w:ascii="宋体" w:hAnsi="宋体" w:cs="宋体"/>
                <w:color w:val="auto"/>
                <w:kern w:val="0"/>
                <w:sz w:val="24"/>
                <w:highlight w:val="none"/>
                <w:lang w:eastAsia="zh-CN" w:bidi="ar"/>
              </w:rPr>
              <w:t>聚合物</w:t>
            </w:r>
            <w:r>
              <w:rPr>
                <w:rFonts w:hint="eastAsia" w:ascii="宋体" w:hAnsi="宋体" w:cs="宋体"/>
                <w:color w:val="auto"/>
                <w:kern w:val="0"/>
                <w:sz w:val="24"/>
                <w:highlight w:val="none"/>
                <w:lang w:bidi="ar"/>
              </w:rPr>
              <w:t>锂电池，处理器：</w:t>
            </w:r>
            <w:r>
              <w:rPr>
                <w:rFonts w:hint="eastAsia" w:ascii="宋体" w:hAnsi="宋体" w:cs="宋体"/>
                <w:color w:val="auto"/>
                <w:kern w:val="0"/>
                <w:sz w:val="24"/>
                <w:highlight w:val="none"/>
                <w:lang w:eastAsia="zh-CN" w:bidi="ar"/>
              </w:rPr>
              <w:t>不低于四核</w:t>
            </w:r>
            <w:r>
              <w:rPr>
                <w:rFonts w:hint="eastAsia" w:ascii="宋体" w:hAnsi="宋体" w:cs="宋体"/>
                <w:color w:val="auto"/>
                <w:kern w:val="0"/>
                <w:sz w:val="24"/>
                <w:highlight w:val="none"/>
                <w:lang w:bidi="ar"/>
              </w:rPr>
              <w:t>处理器，</w:t>
            </w:r>
            <w:r>
              <w:rPr>
                <w:rFonts w:hint="eastAsia" w:ascii="宋体" w:hAnsi="宋体" w:cs="宋体"/>
                <w:color w:val="auto"/>
                <w:kern w:val="0"/>
                <w:sz w:val="24"/>
                <w:highlight w:val="none"/>
                <w:lang w:eastAsia="zh-CN" w:bidi="ar"/>
              </w:rPr>
              <w:t>不少于</w:t>
            </w:r>
            <w:r>
              <w:rPr>
                <w:rFonts w:hint="eastAsia" w:ascii="宋体" w:hAnsi="宋体" w:cs="宋体"/>
                <w:color w:val="auto"/>
                <w:kern w:val="0"/>
                <w:sz w:val="24"/>
                <w:highlight w:val="none"/>
                <w:lang w:val="en-US" w:eastAsia="zh-CN" w:bidi="ar"/>
              </w:rPr>
              <w:t>2个</w:t>
            </w:r>
            <w:r>
              <w:rPr>
                <w:rFonts w:hint="eastAsia" w:ascii="宋体" w:hAnsi="宋体" w:cs="宋体"/>
                <w:color w:val="auto"/>
                <w:kern w:val="0"/>
                <w:sz w:val="24"/>
                <w:highlight w:val="none"/>
                <w:lang w:bidi="ar"/>
              </w:rPr>
              <w:t>定向麦，</w:t>
            </w:r>
            <w:r>
              <w:rPr>
                <w:rFonts w:hint="eastAsia" w:ascii="宋体" w:hAnsi="宋体" w:cs="宋体"/>
                <w:color w:val="auto"/>
                <w:kern w:val="0"/>
                <w:sz w:val="24"/>
                <w:highlight w:val="none"/>
                <w:lang w:eastAsia="zh-CN" w:bidi="ar"/>
              </w:rPr>
              <w:t>不少于</w:t>
            </w:r>
            <w:r>
              <w:rPr>
                <w:rFonts w:hint="eastAsia" w:ascii="宋体" w:hAnsi="宋体" w:cs="宋体"/>
                <w:color w:val="auto"/>
                <w:kern w:val="0"/>
                <w:sz w:val="24"/>
                <w:highlight w:val="none"/>
                <w:lang w:val="en-US" w:eastAsia="zh-CN" w:bidi="ar"/>
              </w:rPr>
              <w:t>4个</w:t>
            </w:r>
            <w:r>
              <w:rPr>
                <w:rFonts w:hint="eastAsia" w:ascii="宋体" w:hAnsi="宋体" w:cs="宋体"/>
                <w:color w:val="auto"/>
                <w:kern w:val="0"/>
                <w:sz w:val="24"/>
                <w:highlight w:val="none"/>
                <w:lang w:bidi="ar"/>
              </w:rPr>
              <w:t>全向麦，</w:t>
            </w:r>
            <w:r>
              <w:rPr>
                <w:rFonts w:hint="eastAsia" w:ascii="宋体" w:hAnsi="宋体" w:cs="宋体"/>
                <w:color w:val="auto"/>
                <w:kern w:val="0"/>
                <w:sz w:val="24"/>
                <w:highlight w:val="none"/>
                <w:lang w:eastAsia="zh-CN" w:bidi="ar"/>
              </w:rPr>
              <w:t>不</w:t>
            </w:r>
            <w:r>
              <w:rPr>
                <w:rFonts w:hint="eastAsia" w:ascii="宋体" w:hAnsi="宋体" w:cs="宋体"/>
                <w:color w:val="auto"/>
                <w:kern w:val="0"/>
                <w:sz w:val="24"/>
                <w:highlight w:val="none"/>
                <w:lang w:val="en-US" w:eastAsia="zh-CN" w:bidi="ar"/>
              </w:rPr>
              <w:t>小</w:t>
            </w:r>
            <w:r>
              <w:rPr>
                <w:rFonts w:hint="eastAsia" w:ascii="宋体" w:hAnsi="宋体" w:cs="宋体"/>
                <w:color w:val="auto"/>
                <w:kern w:val="0"/>
                <w:sz w:val="24"/>
                <w:highlight w:val="none"/>
                <w:lang w:eastAsia="zh-CN" w:bidi="ar"/>
              </w:rPr>
              <w:t>于</w:t>
            </w:r>
            <w:r>
              <w:rPr>
                <w:rFonts w:hint="eastAsia" w:ascii="宋体" w:hAnsi="宋体" w:cs="宋体"/>
                <w:color w:val="auto"/>
                <w:kern w:val="0"/>
                <w:sz w:val="24"/>
                <w:highlight w:val="none"/>
                <w:lang w:bidi="ar"/>
              </w:rPr>
              <w:t>16GB/32GB ROM,</w:t>
            </w:r>
            <w:r>
              <w:rPr>
                <w:rFonts w:hint="eastAsia" w:ascii="宋体" w:hAnsi="宋体" w:cs="宋体"/>
                <w:color w:val="auto"/>
                <w:kern w:val="0"/>
                <w:sz w:val="24"/>
                <w:highlight w:val="none"/>
                <w:lang w:eastAsia="zh-CN" w:bidi="ar"/>
              </w:rPr>
              <w:t>不小于</w:t>
            </w:r>
            <w:r>
              <w:rPr>
                <w:rFonts w:hint="eastAsia" w:ascii="宋体" w:hAnsi="宋体" w:cs="宋体"/>
                <w:color w:val="auto"/>
                <w:kern w:val="0"/>
                <w:sz w:val="24"/>
                <w:highlight w:val="none"/>
                <w:lang w:bidi="ar"/>
              </w:rPr>
              <w:t>1个SPK,</w:t>
            </w:r>
            <w:r>
              <w:rPr>
                <w:rFonts w:hint="eastAsia" w:ascii="宋体" w:hAnsi="宋体" w:eastAsia="宋体" w:cs="宋体"/>
                <w:color w:val="auto"/>
                <w:kern w:val="0"/>
                <w:sz w:val="24"/>
                <w:highlight w:val="none"/>
                <w:lang w:bidi="ar"/>
              </w:rPr>
              <w:t>≧</w:t>
            </w:r>
            <w:r>
              <w:rPr>
                <w:rFonts w:hint="eastAsia" w:ascii="宋体" w:hAnsi="宋体" w:cs="宋体"/>
                <w:color w:val="auto"/>
                <w:kern w:val="0"/>
                <w:sz w:val="24"/>
                <w:highlight w:val="none"/>
                <w:lang w:bidi="ar"/>
              </w:rPr>
              <w:t>2.0英寸，分辨率</w:t>
            </w:r>
            <w:r>
              <w:rPr>
                <w:rFonts w:hint="eastAsia" w:ascii="宋体" w:hAnsi="宋体" w:cs="宋体"/>
                <w:color w:val="auto"/>
                <w:kern w:val="0"/>
                <w:sz w:val="24"/>
                <w:highlight w:val="none"/>
                <w:lang w:val="en-US" w:eastAsia="zh-CN" w:bidi="ar"/>
              </w:rPr>
              <w:t>不小于</w:t>
            </w:r>
            <w:r>
              <w:rPr>
                <w:rFonts w:hint="eastAsia" w:ascii="宋体" w:hAnsi="宋体" w:cs="宋体"/>
                <w:color w:val="auto"/>
                <w:kern w:val="0"/>
                <w:sz w:val="24"/>
                <w:highlight w:val="none"/>
                <w:lang w:bidi="ar"/>
              </w:rPr>
              <w:t>240*320</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具备语音文字自动转换功能</w:t>
            </w:r>
            <w:r>
              <w:rPr>
                <w:rFonts w:hint="eastAsia" w:ascii="宋体" w:hAnsi="宋体" w:cs="宋体"/>
                <w:color w:val="auto"/>
                <w:kern w:val="0"/>
                <w:sz w:val="24"/>
                <w:highlight w:val="none"/>
                <w:lang w:eastAsia="zh-CN" w:bidi="ar"/>
              </w:rPr>
              <w:t>。</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耗材工具包</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12</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sz w:val="24"/>
                <w:szCs w:val="24"/>
              </w:rPr>
            </w:pPr>
            <w:r>
              <w:rPr>
                <w:rFonts w:hint="eastAsia" w:ascii="宋体" w:hAnsi="宋体" w:cs="宋体"/>
                <w:color w:val="000000"/>
                <w:kern w:val="0"/>
                <w:sz w:val="24"/>
                <w:lang w:bidi="ar"/>
              </w:rPr>
              <w:t>火场勘查耗材工具箱配置火场勘查各类耗材，包括三种规格物证袋、物证牌（带比例尺）、三种规格防护手套、防护口罩、防护眼罩，胶粘警戒带、勘查鞋套、物证痕迹指示标识本，器材携带箱等。</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微量易燃液体探测仪</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1</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sz w:val="24"/>
                <w:szCs w:val="24"/>
                <w:highlight w:val="none"/>
              </w:rPr>
            </w:pPr>
            <w:r>
              <w:rPr>
                <w:rFonts w:hint="eastAsia" w:ascii="宋体" w:hAnsi="宋体" w:cs="宋体"/>
                <w:color w:val="000000"/>
                <w:kern w:val="0"/>
                <w:sz w:val="24"/>
                <w:highlight w:val="none"/>
                <w:lang w:bidi="ar"/>
              </w:rPr>
              <w:t>检测范围：0-10%VOL，0-50%VOL，0-100%LEL其他量程可订制</w:t>
            </w:r>
            <w:r>
              <w:rPr>
                <w:rFonts w:hint="eastAsia" w:ascii="宋体" w:hAnsi="宋体" w:cs="宋体"/>
                <w:color w:val="000000"/>
                <w:kern w:val="0"/>
                <w:sz w:val="24"/>
                <w:highlight w:val="none"/>
                <w:lang w:eastAsia="zh-CN" w:bidi="ar"/>
              </w:rPr>
              <w:t>；</w:t>
            </w:r>
            <w:r>
              <w:rPr>
                <w:rFonts w:hint="eastAsia" w:ascii="宋体" w:hAnsi="宋体" w:cs="宋体"/>
                <w:color w:val="000000"/>
                <w:kern w:val="0"/>
                <w:sz w:val="24"/>
                <w:highlight w:val="none"/>
                <w:lang w:bidi="ar"/>
              </w:rPr>
              <w:t>分辨率：0.01%VOL0.01%LEL分辨率因量程而定</w:t>
            </w:r>
            <w:r>
              <w:rPr>
                <w:rFonts w:hint="eastAsia" w:ascii="宋体" w:hAnsi="宋体" w:cs="宋体"/>
                <w:color w:val="000000"/>
                <w:kern w:val="0"/>
                <w:sz w:val="24"/>
                <w:highlight w:val="none"/>
                <w:lang w:val="en-US" w:eastAsia="zh-CN" w:bidi="ar"/>
              </w:rPr>
              <w:t>;</w:t>
            </w:r>
            <w:r>
              <w:rPr>
                <w:rFonts w:hint="eastAsia" w:ascii="宋体" w:hAnsi="宋体" w:cs="宋体"/>
                <w:color w:val="000000"/>
                <w:kern w:val="0"/>
                <w:sz w:val="24"/>
                <w:highlight w:val="none"/>
                <w:lang w:eastAsia="zh-CN" w:bidi="ar"/>
              </w:rPr>
              <w:t>最大允许误差值：</w:t>
            </w:r>
            <w:r>
              <w:rPr>
                <w:rFonts w:hint="eastAsia" w:ascii="宋体" w:hAnsi="宋体" w:cs="宋体"/>
                <w:color w:val="000000"/>
                <w:kern w:val="0"/>
                <w:sz w:val="24"/>
                <w:highlight w:val="none"/>
                <w:lang w:bidi="ar"/>
              </w:rPr>
              <w:t>≤±1%F.S（其他精度可定制）</w:t>
            </w:r>
            <w:r>
              <w:rPr>
                <w:rFonts w:hint="eastAsia" w:ascii="宋体" w:hAnsi="宋体" w:cs="宋体"/>
                <w:color w:val="000000"/>
                <w:kern w:val="0"/>
                <w:sz w:val="24"/>
                <w:highlight w:val="none"/>
                <w:lang w:eastAsia="zh-CN" w:bidi="ar"/>
              </w:rPr>
              <w:t>；</w:t>
            </w:r>
            <w:r>
              <w:rPr>
                <w:rFonts w:hint="eastAsia" w:ascii="宋体" w:hAnsi="宋体" w:cs="宋体"/>
                <w:color w:val="000000"/>
                <w:kern w:val="0"/>
                <w:sz w:val="24"/>
                <w:highlight w:val="none"/>
                <w:lang w:bidi="ar"/>
              </w:rPr>
              <w:t>线性度：≤士1%。响应时间：T90≤20秒。工作环境：温度：-40℃~+70℃，湿度：≤10~95%RH，恢复时间：≤30秒。样气温度：-40℃~+70℃，选配高温采样降温过滤手柄，可检测1300度的烟气浓度。工作电源：3.7VDC,6000mAh大容量可充电高分子聚合物电池。显示方式：高清彩屏。检测方式：内置泵吸式测量，流量</w:t>
            </w:r>
            <w:r>
              <w:rPr>
                <w:rFonts w:hint="eastAsia" w:ascii="宋体" w:hAnsi="宋体" w:cs="宋体"/>
                <w:color w:val="000000"/>
                <w:kern w:val="0"/>
                <w:sz w:val="24"/>
                <w:highlight w:val="none"/>
                <w:lang w:eastAsia="zh-CN" w:bidi="ar"/>
              </w:rPr>
              <w:t>不小于</w:t>
            </w:r>
            <w:r>
              <w:rPr>
                <w:rFonts w:hint="eastAsia" w:ascii="宋体" w:hAnsi="宋体" w:cs="宋体"/>
                <w:color w:val="000000"/>
                <w:kern w:val="0"/>
                <w:sz w:val="24"/>
                <w:highlight w:val="none"/>
                <w:lang w:bidi="ar"/>
              </w:rPr>
              <w:t>500毫升／分钟。标定流量要大于500毫升／分钟，要接三通管进行分流，保证有多余的气体从旁路排出。报警方式：声光报警、振动报警、声光＋振动报警、关闭报警可设。报警音量：90~120分贝。通讯接口： USB （充电与通讯），选配：红外通讯，自动识别。用于测量汽油、煤油、柴油及各种有机溶剂的蒸汽浓度</w:t>
            </w:r>
            <w:r>
              <w:rPr>
                <w:rFonts w:hint="eastAsia" w:ascii="宋体" w:hAnsi="宋体" w:cs="宋体"/>
                <w:color w:val="000000"/>
                <w:kern w:val="0"/>
                <w:sz w:val="24"/>
                <w:highlight w:val="none"/>
                <w:lang w:eastAsia="zh-CN" w:bidi="ar"/>
              </w:rPr>
              <w:t>。</w:t>
            </w:r>
          </w:p>
        </w:tc>
      </w:tr>
      <w:tr>
        <w:tblPrEx>
          <w:tblCellMar>
            <w:top w:w="0" w:type="dxa"/>
            <w:left w:w="108" w:type="dxa"/>
            <w:bottom w:w="0" w:type="dxa"/>
            <w:right w:w="108" w:type="dxa"/>
          </w:tblCellMar>
        </w:tblPrEx>
        <w:trPr>
          <w:trHeight w:val="2198"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火灾现场勘验全景照明灯</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1</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after="210" w:afterAutospacing="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1、执行标准： GB / T 15211-2013安全防范报警设备环境适应性要求和试验方法。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2、全方位自动泛光工作灯应由灯盘、发电机、控制面板、遥控器、升降气杆、气泵、行走脚轮组成。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3、额定电压：AC220V，灯头功率≥4x500W，汽油发电机额定输出功率≥2KW，燃油箱额定容量≥15L，连续工作时间≥10小时，升起高度≥4500mm.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4、全方位自动泛光工作灯在10m处的光照强度。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5、全方位自动泛光工作灯可以通过发电机或外接220V/50Hz电源供电。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6、外壳防护等级试验：照明灯的外壳防护等级应符合 GB /T4208-2017中IP65等级的规定。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7、全方位自动泛光工作灯应能通过无线遥控器或控制面板手动控制升降杆</w:t>
            </w:r>
          </w:p>
        </w:tc>
      </w:tr>
      <w:tr>
        <w:tblPrEx>
          <w:tblCellMar>
            <w:top w:w="0" w:type="dxa"/>
            <w:left w:w="108" w:type="dxa"/>
            <w:bottom w:w="0" w:type="dxa"/>
            <w:right w:w="108" w:type="dxa"/>
          </w:tblCellMar>
        </w:tblPrEx>
        <w:trPr>
          <w:trHeight w:val="288"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金属探测器</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1</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LED信号灯显示，自动强弱报警声，识别有色黑色金属，手动/自动设置灵敏度。工作时间：</w:t>
            </w:r>
            <w:r>
              <w:rPr>
                <w:rFonts w:hint="eastAsia" w:ascii="宋体" w:hAnsi="宋体" w:eastAsia="宋体" w:cs="宋体"/>
                <w:i w:val="0"/>
                <w:iCs w:val="0"/>
                <w:color w:val="auto"/>
                <w:kern w:val="0"/>
                <w:sz w:val="24"/>
                <w:szCs w:val="24"/>
                <w:highlight w:val="none"/>
                <w:u w:val="none"/>
                <w:lang w:val="en-US" w:eastAsia="zh-CN" w:bidi="ar"/>
              </w:rPr>
              <w:t>10-20小时，储存温度：-28℃—+65℃</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用于吸</w:t>
            </w:r>
            <w:r>
              <w:rPr>
                <w:rFonts w:hint="eastAsia" w:ascii="宋体" w:hAnsi="宋体" w:eastAsia="宋体" w:cs="宋体"/>
                <w:i w:val="0"/>
                <w:iCs w:val="0"/>
                <w:color w:val="000000"/>
                <w:kern w:val="0"/>
                <w:sz w:val="24"/>
                <w:szCs w:val="24"/>
                <w:highlight w:val="none"/>
                <w:u w:val="none"/>
                <w:lang w:val="en-US" w:eastAsia="zh-CN" w:bidi="ar"/>
              </w:rPr>
              <w:t>取铁制品和铁磁性物品，如电焊焊渣等</w:t>
            </w:r>
          </w:p>
        </w:tc>
      </w:tr>
      <w:tr>
        <w:tblPrEx>
          <w:tblCellMar>
            <w:top w:w="0" w:type="dxa"/>
            <w:left w:w="108" w:type="dxa"/>
            <w:bottom w:w="0" w:type="dxa"/>
            <w:right w:w="108" w:type="dxa"/>
          </w:tblCellMar>
        </w:tblPrEx>
        <w:trPr>
          <w:trHeight w:val="9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炭化深度测定仪</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1</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default" w:ascii="宋体" w:hAnsi="宋体" w:cs="宋体"/>
                <w:color w:val="auto"/>
                <w:kern w:val="0"/>
                <w:sz w:val="24"/>
                <w:highlight w:val="none"/>
                <w:lang w:bidi="ar"/>
              </w:rPr>
            </w:pPr>
            <w:r>
              <w:rPr>
                <w:rFonts w:hint="eastAsia" w:ascii="宋体" w:hAnsi="宋体" w:cs="宋体"/>
                <w:color w:val="auto"/>
                <w:kern w:val="0"/>
                <w:sz w:val="24"/>
                <w:highlight w:val="none"/>
                <w:lang w:bidi="ar"/>
              </w:rPr>
              <w:t>本设备是用于检测砼碳化深度的仪器体积小、重量轻、使用简便、测试精度高。</w:t>
            </w:r>
          </w:p>
          <w:p>
            <w:pPr>
              <w:widowControl/>
              <w:jc w:val="left"/>
              <w:textAlignment w:val="center"/>
              <w:rPr>
                <w:rFonts w:hint="default" w:ascii="宋体" w:hAnsi="宋体" w:eastAsia="宋体" w:cs="宋体"/>
                <w:sz w:val="24"/>
                <w:szCs w:val="24"/>
                <w:highlight w:val="none"/>
                <w:lang w:val="en-US"/>
              </w:rPr>
            </w:pPr>
            <w:r>
              <w:rPr>
                <w:rFonts w:hint="eastAsia" w:ascii="宋体" w:hAnsi="宋体" w:cs="宋体"/>
                <w:color w:val="auto"/>
                <w:kern w:val="0"/>
                <w:sz w:val="24"/>
                <w:highlight w:val="none"/>
                <w:lang w:bidi="ar"/>
              </w:rPr>
              <w:t>测量深度：大</w:t>
            </w:r>
            <w:r>
              <w:rPr>
                <w:rFonts w:hint="eastAsia" w:ascii="宋体" w:hAnsi="宋体" w:cs="宋体"/>
                <w:color w:val="auto"/>
                <w:kern w:val="0"/>
                <w:sz w:val="24"/>
                <w:highlight w:val="none"/>
                <w:lang w:val="en-US" w:eastAsia="zh-CN" w:bidi="ar"/>
              </w:rPr>
              <w:t>于</w:t>
            </w:r>
            <w:r>
              <w:rPr>
                <w:rFonts w:hint="eastAsia" w:ascii="宋体" w:hAnsi="宋体" w:cs="宋体"/>
                <w:color w:val="auto"/>
                <w:kern w:val="0"/>
                <w:sz w:val="24"/>
                <w:highlight w:val="none"/>
                <w:lang w:bidi="ar"/>
              </w:rPr>
              <w:t>8mm</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分度值：</w:t>
            </w:r>
            <w:r>
              <w:rPr>
                <w:rFonts w:hint="eastAsia" w:ascii="宋体" w:hAnsi="宋体" w:cs="宋体"/>
                <w:color w:val="auto"/>
                <w:kern w:val="0"/>
                <w:sz w:val="24"/>
                <w:highlight w:val="none"/>
                <w:lang w:val="en-US" w:eastAsia="zh-CN" w:bidi="ar"/>
              </w:rPr>
              <w:t>0.25mm</w:t>
            </w: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lang w:val="en-US" w:eastAsia="zh-CN" w:bidi="ar"/>
              </w:rPr>
              <w:t xml:space="preserve">10；放大倍数：4倍以上用于测量火场中木材的炭化深度 </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 xml:space="preserve"> 数字式强度回弹检测仪 </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1</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标称动能：不低于2.207J，弹击拉簧工作长度：61.5±0.3mm．弹击拉簧拉伸长度：75.0±0.3mm钢砧率定值：80±2，示值一致性：≤±1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通信速率：不小于9600bps，显示屏：不小于0.96寸128x64（点阵） OLED 显示屏．电源：不小于1800mAh,3.7V锂离子电池，工作时长：≥10小时。用于测量地面、梁、板、柱等混凝土构件强度</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1"/>
                <w:szCs w:val="21"/>
                <w:u w:val="none"/>
                <w:lang w:val="en-US" w:eastAsia="zh-CN" w:bidi="ar"/>
              </w:rPr>
              <w:t>剩磁测试仪</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1</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传感器：</w:t>
            </w:r>
            <w:r>
              <w:rPr>
                <w:rFonts w:hint="eastAsia" w:ascii="宋体" w:hAnsi="宋体" w:eastAsia="宋体" w:cs="宋体"/>
                <w:strike w:val="0"/>
                <w:dstrike w:val="0"/>
                <w:color w:val="auto"/>
                <w:sz w:val="24"/>
                <w:szCs w:val="24"/>
                <w:highlight w:val="none"/>
              </w:rPr>
              <w:t>进口</w:t>
            </w:r>
            <w:r>
              <w:rPr>
                <w:rFonts w:hint="eastAsia" w:ascii="宋体" w:hAnsi="宋体" w:eastAsia="宋体" w:cs="宋体"/>
                <w:sz w:val="24"/>
                <w:szCs w:val="24"/>
                <w:highlight w:val="none"/>
              </w:rPr>
              <w:t>高精度霍尔传感器</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磁场分辨率：0.01Gs/0.01mT</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测量范围：0-25KGs/0-2500mT</w:t>
            </w:r>
          </w:p>
          <w:p>
            <w:pPr>
              <w:widowControl/>
              <w:jc w:val="left"/>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测量精度：±1%、±2%、土5%（实际出货分三个精度等级）</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续航时间：≈16小时（持续工作模式）</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工作温度：-20~60℃（测试笔传感器耐温上限125℃)</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数据存储：内置50组数据存储，掉电不丢失。通过该设备测量火灾现场中电气线路、配电盘、闸刀开关等设备周围金属物体的磁性来判断线路及开关等设备是否发生短路故障，从而确定火灾性质</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2"/>
                <w:szCs w:val="22"/>
                <w:u w:val="none"/>
                <w:lang w:val="en-US" w:eastAsia="zh-CN" w:bidi="ar"/>
              </w:rPr>
              <w:t>X光机</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1</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sz w:val="24"/>
                <w:szCs w:val="24"/>
                <w:highlight w:val="none"/>
              </w:rPr>
            </w:pPr>
            <w:r>
              <w:rPr>
                <w:rFonts w:hint="eastAsia" w:ascii="宋体" w:hAnsi="宋体" w:cs="宋体"/>
                <w:color w:val="000000"/>
                <w:kern w:val="0"/>
                <w:sz w:val="24"/>
                <w:highlight w:val="none"/>
                <w:lang w:bidi="ar"/>
              </w:rPr>
              <w:t>1、成像仪:成像面积：不小于431.8mm*354mm2。                                          功耗：&lt;8W（待机）/22W（运行）。电源：100-250V AC 。频率：50/60Hz.</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2、脉冲射线源:穿透力：不小于22mm钢板（60mm铝板）。最大发射率：不小于3000个脉冲／小时。</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脉冲发射率：1-99个脉冲。电源：20V可更换式锂离子可充电电池，充一次可发射4000个脉冲。充电时间：用外部充电器充电</w:t>
            </w:r>
            <w:r>
              <w:rPr>
                <w:rFonts w:hint="eastAsia" w:ascii="宋体" w:hAnsi="宋体" w:cs="宋体"/>
                <w:color w:val="000000"/>
                <w:kern w:val="0"/>
                <w:sz w:val="24"/>
                <w:highlight w:val="none"/>
                <w:lang w:val="en-US" w:eastAsia="zh-CN" w:bidi="ar"/>
              </w:rPr>
              <w:t>不大于</w:t>
            </w:r>
            <w:r>
              <w:rPr>
                <w:rFonts w:hint="eastAsia" w:ascii="宋体" w:hAnsi="宋体" w:cs="宋体"/>
                <w:color w:val="000000"/>
                <w:kern w:val="0"/>
                <w:sz w:val="24"/>
                <w:highlight w:val="none"/>
                <w:lang w:bidi="ar"/>
              </w:rPr>
              <w:t>1小时。延迟时间：触动发射开关有15~240秒延迟时间。</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3、成像系统:笔记本电脑： 软件：专业图像处理采集系统。图像存储能力大于10000幅，并能够用网络或 USB 等接口将数据传出。</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4、采集方式:无线、50米有线传输电缆，一键式采集操作只需按采集按钮最佳图像便会自动形成。</w:t>
            </w:r>
          </w:p>
        </w:tc>
      </w:tr>
      <w:tr>
        <w:tblPrEx>
          <w:tblCellMar>
            <w:top w:w="0" w:type="dxa"/>
            <w:left w:w="108" w:type="dxa"/>
            <w:bottom w:w="0" w:type="dxa"/>
            <w:right w:w="108" w:type="dxa"/>
          </w:tblCellMar>
        </w:tblPrEx>
        <w:trPr>
          <w:trHeight w:val="210" w:hRule="atLeas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340" w:lineRule="exact"/>
              <w:jc w:val="center"/>
              <w:rPr>
                <w:rFonts w:ascii="宋体" w:hAnsi="宋体" w:cs="宋体"/>
                <w:szCs w:val="21"/>
              </w:rPr>
            </w:pPr>
          </w:p>
        </w:tc>
        <w:tc>
          <w:tcPr>
            <w:tcW w:w="2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szCs w:val="21"/>
              </w:rPr>
            </w:pPr>
            <w:r>
              <w:rPr>
                <w:rFonts w:hint="eastAsia" w:ascii="宋体" w:hAnsi="宋体" w:eastAsia="宋体" w:cs="宋体"/>
                <w:i w:val="0"/>
                <w:iCs w:val="0"/>
                <w:color w:val="000000"/>
                <w:kern w:val="0"/>
                <w:sz w:val="22"/>
                <w:szCs w:val="22"/>
                <w:u w:val="none"/>
                <w:lang w:val="en-US" w:eastAsia="zh-CN" w:bidi="ar"/>
              </w:rPr>
              <w:t>物证翻拍台</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cs="宋体"/>
                <w:szCs w:val="21"/>
              </w:rPr>
            </w:pPr>
            <w:r>
              <w:rPr>
                <w:rFonts w:hint="eastAsia" w:ascii="等线" w:hAnsi="等线" w:eastAsia="等线" w:cs="等线"/>
                <w:i w:val="0"/>
                <w:iCs w:val="0"/>
                <w:color w:val="000000"/>
                <w:kern w:val="0"/>
                <w:sz w:val="22"/>
                <w:szCs w:val="22"/>
                <w:u w:val="none"/>
                <w:lang w:val="en-US" w:eastAsia="zh-CN" w:bidi="ar"/>
              </w:rPr>
              <w:t>6</w:t>
            </w:r>
          </w:p>
        </w:tc>
        <w:tc>
          <w:tcPr>
            <w:tcW w:w="9850" w:type="dxa"/>
            <w:tcBorders>
              <w:top w:val="single" w:color="000000" w:sz="4" w:space="0"/>
              <w:left w:val="single" w:color="000000" w:sz="4" w:space="0"/>
              <w:bottom w:val="single" w:color="000000" w:sz="4" w:space="0"/>
              <w:right w:val="single" w:color="000000" w:sz="4" w:space="0"/>
            </w:tcBorders>
            <w:noWrap w:val="0"/>
            <w:vAlign w:val="center"/>
          </w:tcPr>
          <w:p>
            <w:pPr>
              <w:widowControl/>
              <w:shd w:val="clear" w:color="auto" w:fill="auto"/>
              <w:jc w:val="left"/>
              <w:textAlignment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翻拍仪底板采用无反光的灰色底板。底板四个支脚的高度均可以微调。立柱由黑色电镀铝型材制成。立柱印有厘米／英寸双刻度。通过手摇柄调节立柱云台的高度。通过弹簧环来补偿质量。带有可调节高度和随轴转动的相机倾斜臂。1m立柱承重4kg,1.5m立柱承重3kg。带互换的1/4、3/8的螺纹衬套。云台带有用于调节水平玻璃泡。立柱高度1米，底板尺寸45*45（cm),20W蛇形管白光灯2套。带刻度、可微调，用于翻拍物证</w:t>
            </w:r>
            <w:r>
              <w:rPr>
                <w:rFonts w:hint="eastAsia" w:ascii="宋体" w:hAnsi="宋体" w:cs="宋体"/>
                <w:sz w:val="24"/>
                <w:szCs w:val="24"/>
                <w:highlight w:val="none"/>
                <w:lang w:eastAsia="zh-CN"/>
              </w:rPr>
              <w:t>。</w:t>
            </w:r>
          </w:p>
        </w:tc>
      </w:tr>
    </w:tbl>
    <w:p>
      <w:pPr>
        <w:pStyle w:val="3"/>
        <w:adjustRightInd w:val="0"/>
        <w:snapToGrid w:val="0"/>
        <w:spacing w:before="156" w:beforeLines="50"/>
        <w:jc w:val="both"/>
        <w:rPr>
          <w:rFonts w:hint="eastAsia" w:ascii="黑体" w:hAnsi="黑体" w:eastAsia="黑体"/>
          <w:color w:val="auto"/>
          <w:sz w:val="28"/>
          <w:szCs w:val="28"/>
        </w:rPr>
        <w:sectPr>
          <w:pgSz w:w="16838" w:h="11906" w:orient="landscape"/>
          <w:pgMar w:top="1588" w:right="1474" w:bottom="1474" w:left="1474" w:header="851" w:footer="992" w:gutter="0"/>
          <w:pgNumType w:fmt="decimal"/>
          <w:cols w:space="720" w:num="1"/>
          <w:docGrid w:type="lines" w:linePitch="312" w:charSpace="0"/>
        </w:sectPr>
      </w:pPr>
      <w:bookmarkStart w:id="58" w:name="_Toc17069"/>
    </w:p>
    <w:p>
      <w:pPr>
        <w:pStyle w:val="3"/>
        <w:adjustRightInd w:val="0"/>
        <w:snapToGrid w:val="0"/>
        <w:spacing w:before="156" w:beforeLines="50"/>
        <w:jc w:val="center"/>
        <w:rPr>
          <w:rFonts w:ascii="黑体" w:hAnsi="黑体" w:eastAsia="黑体"/>
          <w:color w:val="auto"/>
        </w:rPr>
      </w:pPr>
      <w:r>
        <w:rPr>
          <w:rFonts w:hint="eastAsia" w:ascii="黑体" w:hAnsi="黑体" w:eastAsia="黑体"/>
          <w:color w:val="auto"/>
          <w:sz w:val="28"/>
          <w:szCs w:val="28"/>
        </w:rPr>
        <w:t>第三节 商务</w:t>
      </w:r>
      <w:r>
        <w:rPr>
          <w:rFonts w:ascii="黑体" w:hAnsi="黑体" w:eastAsia="黑体"/>
          <w:color w:val="auto"/>
          <w:sz w:val="28"/>
          <w:szCs w:val="28"/>
        </w:rPr>
        <w:t>要求</w:t>
      </w:r>
      <w:bookmarkEnd w:id="58"/>
    </w:p>
    <w:p>
      <w:pPr>
        <w:numPr>
          <w:ilvl w:val="0"/>
          <w:numId w:val="3"/>
        </w:numPr>
        <w:adjustRightInd w:val="0"/>
        <w:snapToGrid w:val="0"/>
        <w:spacing w:line="440" w:lineRule="exact"/>
        <w:rPr>
          <w:rFonts w:ascii="宋体" w:hAnsi="宋体" w:cs="宋体"/>
          <w:b/>
          <w:sz w:val="24"/>
        </w:rPr>
      </w:pPr>
      <w:r>
        <w:rPr>
          <w:rFonts w:hint="eastAsia" w:ascii="宋体" w:hAnsi="宋体" w:cs="宋体"/>
          <w:b/>
          <w:sz w:val="24"/>
        </w:rPr>
        <w:t>项目建设要求及说明：</w:t>
      </w:r>
    </w:p>
    <w:p>
      <w:pPr>
        <w:spacing w:line="420" w:lineRule="exact"/>
        <w:ind w:firstLine="420" w:firstLineChars="200"/>
        <w:rPr>
          <w:rFonts w:ascii="宋体" w:hAnsi="宋体" w:cs="宋体"/>
        </w:rPr>
      </w:pPr>
      <w:r>
        <w:rPr>
          <w:rFonts w:hint="eastAsia" w:ascii="宋体" w:hAnsi="宋体" w:cs="宋体"/>
        </w:rPr>
        <w:t>1、产品运输、保险及保管</w:t>
      </w:r>
    </w:p>
    <w:p>
      <w:pPr>
        <w:spacing w:line="360" w:lineRule="auto"/>
        <w:ind w:firstLine="420" w:firstLineChars="200"/>
        <w:rPr>
          <w:rFonts w:ascii="宋体" w:hAnsi="宋体" w:cs="宋体"/>
        </w:rPr>
      </w:pPr>
      <w:r>
        <w:rPr>
          <w:rFonts w:hint="eastAsia" w:ascii="宋体" w:hAnsi="宋体" w:cs="宋体"/>
        </w:rPr>
        <w:t>1）中标人负责产品在没有任何损坏和腐蚀的情况下到达项目指定地点的全部运输，包括装卸及现场搬运等。货物的包装要求防湿、防潮、防锈、防震、耐粗暴装卸和搬运。并承担由于其包装或防护措施不妥而起货物锈蚀、损坏和丢失的任何责任或费用。</w:t>
      </w:r>
    </w:p>
    <w:p>
      <w:pPr>
        <w:spacing w:line="420" w:lineRule="exact"/>
        <w:ind w:firstLine="420" w:firstLineChars="200"/>
        <w:rPr>
          <w:rFonts w:ascii="宋体" w:hAnsi="宋体" w:cs="宋体"/>
        </w:rPr>
      </w:pPr>
      <w:r>
        <w:rPr>
          <w:rFonts w:hint="eastAsia" w:ascii="宋体" w:hAnsi="宋体" w:cs="宋体"/>
        </w:rPr>
        <w:t>2) 中标人负责产品及自己使用的工具在项目实施地点的保管，直至项目验收合格。</w:t>
      </w:r>
    </w:p>
    <w:p>
      <w:pPr>
        <w:spacing w:line="420" w:lineRule="exact"/>
        <w:ind w:firstLine="420" w:firstLineChars="200"/>
        <w:rPr>
          <w:rFonts w:ascii="宋体" w:hAnsi="宋体"/>
          <w:szCs w:val="21"/>
        </w:rPr>
      </w:pPr>
      <w:r>
        <w:rPr>
          <w:rFonts w:hint="eastAsia" w:ascii="宋体" w:hAnsi="宋体" w:cs="宋体"/>
          <w:szCs w:val="21"/>
        </w:rPr>
        <w:t>3）</w:t>
      </w:r>
      <w:r>
        <w:rPr>
          <w:rFonts w:hint="eastAsia" w:ascii="宋体" w:hAnsi="宋体" w:cs="宋体"/>
        </w:rPr>
        <w:t>中标人</w:t>
      </w:r>
      <w:r>
        <w:rPr>
          <w:rFonts w:hint="eastAsia" w:ascii="宋体" w:hAnsi="宋体"/>
          <w:szCs w:val="21"/>
        </w:rPr>
        <w:t>应对提供的货物在运输、存放及交货过程中的毁损或遗失负责，并</w:t>
      </w:r>
      <w:r>
        <w:rPr>
          <w:rFonts w:hint="eastAsia" w:ascii="宋体" w:hAnsi="宋体" w:cs="宋体"/>
        </w:rPr>
        <w:t>负责对其派出</w:t>
      </w:r>
      <w:r>
        <w:rPr>
          <w:rFonts w:hint="eastAsia" w:ascii="宋体" w:hAnsi="宋体"/>
          <w:szCs w:val="21"/>
        </w:rPr>
        <w:t>安装、调试</w:t>
      </w:r>
      <w:r>
        <w:rPr>
          <w:rFonts w:hint="eastAsia" w:ascii="宋体" w:hAnsi="宋体" w:cs="宋体"/>
        </w:rPr>
        <w:t>人员在</w:t>
      </w:r>
      <w:r>
        <w:rPr>
          <w:rFonts w:hint="eastAsia" w:ascii="宋体" w:hAnsi="宋体"/>
          <w:szCs w:val="21"/>
        </w:rPr>
        <w:t>其项目实施期间</w:t>
      </w:r>
      <w:r>
        <w:rPr>
          <w:rFonts w:hint="eastAsia" w:ascii="宋体" w:hAnsi="宋体" w:cs="宋体"/>
        </w:rPr>
        <w:t>的安全、保险、食宿、交通等。</w:t>
      </w:r>
    </w:p>
    <w:p>
      <w:pPr>
        <w:spacing w:line="420" w:lineRule="exact"/>
        <w:ind w:firstLine="420" w:firstLineChars="200"/>
        <w:rPr>
          <w:rFonts w:ascii="宋体" w:hAnsi="宋体" w:cs="宋体"/>
          <w:szCs w:val="21"/>
        </w:rPr>
      </w:pPr>
      <w:r>
        <w:rPr>
          <w:rFonts w:hint="eastAsia" w:ascii="宋体" w:hAnsi="宋体" w:cs="宋体"/>
        </w:rPr>
        <w:t>2、安</w:t>
      </w:r>
      <w:r>
        <w:rPr>
          <w:rFonts w:hint="eastAsia" w:ascii="宋体" w:hAnsi="宋体"/>
          <w:szCs w:val="21"/>
        </w:rPr>
        <w:t>装、调试</w:t>
      </w:r>
    </w:p>
    <w:p>
      <w:pPr>
        <w:spacing w:line="420" w:lineRule="exact"/>
        <w:ind w:firstLine="420" w:firstLineChars="200"/>
        <w:rPr>
          <w:rFonts w:ascii="宋体" w:hAnsi="宋体" w:cs="宋体"/>
        </w:rPr>
      </w:pPr>
      <w:r>
        <w:rPr>
          <w:rFonts w:hint="eastAsia" w:ascii="宋体" w:hAnsi="宋体" w:cs="宋体"/>
        </w:rPr>
        <w:t>1）在安装及以前，本项目中需要实地测量尺寸和确定安装位置，中标人须经采购人确定后实施。</w:t>
      </w:r>
    </w:p>
    <w:p>
      <w:pPr>
        <w:spacing w:line="420" w:lineRule="exact"/>
        <w:ind w:firstLine="420" w:firstLineChars="200"/>
        <w:rPr>
          <w:rFonts w:ascii="宋体" w:hAnsi="宋体" w:cs="宋体"/>
        </w:rPr>
      </w:pPr>
      <w:r>
        <w:rPr>
          <w:rFonts w:hint="eastAsia" w:ascii="宋体" w:hAnsi="宋体" w:cs="宋体"/>
        </w:rPr>
        <w:t>2）中标人应派有经验的技术人员负责所有货物及配套设施设备的现场安装、调试，经调试验收合格直到达到设备及相应系统应具有的功能和技术指标，并负责相关技术支持和维护。同时中标人必须提供产品制造厂商承诺的全部售后服务条款(如质保期、现场维修等)，不得擅自缩小售后服务范围；</w:t>
      </w:r>
    </w:p>
    <w:p>
      <w:pPr>
        <w:spacing w:line="420" w:lineRule="exact"/>
        <w:ind w:firstLine="420" w:firstLineChars="200"/>
        <w:rPr>
          <w:rFonts w:ascii="宋体" w:hAnsi="宋体" w:cs="宋体"/>
        </w:rPr>
      </w:pPr>
      <w:r>
        <w:rPr>
          <w:rFonts w:hint="eastAsia" w:ascii="宋体" w:hAnsi="宋体" w:cs="宋体"/>
        </w:rPr>
        <w:t>3）中标人</w:t>
      </w:r>
      <w:r>
        <w:rPr>
          <w:rFonts w:hint="eastAsia" w:ascii="宋体" w:hAnsi="宋体"/>
          <w:szCs w:val="21"/>
        </w:rPr>
        <w:t>须严格按照采购人要求，完成所有产品的安装、调试及</w:t>
      </w:r>
      <w:r>
        <w:rPr>
          <w:rFonts w:hint="eastAsia" w:ascii="宋体" w:hAnsi="宋体" w:cs="宋体"/>
        </w:rPr>
        <w:t>。</w:t>
      </w:r>
      <w:r>
        <w:rPr>
          <w:rFonts w:hint="eastAsia" w:ascii="宋体" w:hAnsi="宋体" w:cs="宋体"/>
          <w:szCs w:val="21"/>
        </w:rPr>
        <w:t>安装调试、改造所需辅助材料和专用</w:t>
      </w:r>
      <w:r>
        <w:rPr>
          <w:rFonts w:hint="eastAsia" w:ascii="宋体" w:hAnsi="宋体" w:cs="宋体"/>
        </w:rPr>
        <w:t>工具与设施，由中标人提供。</w:t>
      </w:r>
    </w:p>
    <w:p>
      <w:pPr>
        <w:numPr>
          <w:ilvl w:val="0"/>
          <w:numId w:val="3"/>
        </w:numPr>
        <w:adjustRightInd w:val="0"/>
        <w:snapToGrid w:val="0"/>
        <w:spacing w:line="440" w:lineRule="exact"/>
        <w:rPr>
          <w:rFonts w:ascii="宋体" w:hAnsi="宋体" w:cs="宋体"/>
          <w:b/>
          <w:sz w:val="24"/>
        </w:rPr>
      </w:pPr>
      <w:r>
        <w:rPr>
          <w:rFonts w:hint="eastAsia" w:ascii="宋体" w:hAnsi="宋体" w:cs="宋体"/>
          <w:b/>
          <w:sz w:val="24"/>
        </w:rPr>
        <w:t>其他要求及说明：</w:t>
      </w:r>
    </w:p>
    <w:p>
      <w:pPr>
        <w:spacing w:line="420" w:lineRule="exact"/>
        <w:ind w:firstLine="420" w:firstLineChars="200"/>
        <w:rPr>
          <w:rFonts w:ascii="宋体" w:hAnsi="宋体" w:cs="宋体"/>
        </w:rPr>
      </w:pPr>
      <w:r>
        <w:rPr>
          <w:rFonts w:hint="eastAsia" w:ascii="宋体" w:hAnsi="宋体" w:cs="宋体"/>
        </w:rPr>
        <w:t>1、投标产品应为制造商最新技术和最可靠产品，投标单位应在投标文件中明确标明产品名称型号及制造商（制造商应该具有独立法人资格的经济实体）。</w:t>
      </w:r>
    </w:p>
    <w:p>
      <w:pPr>
        <w:spacing w:line="420" w:lineRule="exact"/>
        <w:ind w:firstLine="420" w:firstLineChars="200"/>
        <w:rPr>
          <w:rFonts w:ascii="宋体" w:hAnsi="宋体" w:cs="宋体"/>
        </w:rPr>
      </w:pPr>
      <w:r>
        <w:rPr>
          <w:rFonts w:hint="eastAsia" w:ascii="宋体" w:hAnsi="宋体" w:cs="宋体"/>
        </w:rPr>
        <w:t>2、投标产品必须是原厂家生产的，新的未使用和未经修复的，必须符合国家规定的相应技术标准，并按相应的国家标准及行业规范完成所有产品的制作、调试、安装。必须严格按《产品质量法》实行三包。</w:t>
      </w:r>
    </w:p>
    <w:p>
      <w:pPr>
        <w:spacing w:line="420" w:lineRule="exact"/>
        <w:ind w:firstLine="420" w:firstLineChars="200"/>
        <w:rPr>
          <w:rFonts w:ascii="宋体" w:hAnsi="宋体" w:cs="宋体"/>
        </w:rPr>
      </w:pPr>
      <w:r>
        <w:rPr>
          <w:rFonts w:hint="eastAsia" w:ascii="宋体" w:hAnsi="宋体" w:cs="宋体"/>
        </w:rPr>
        <w:t>3、投标单位所投产品应以招标文件的技术要求为标准，必须严格满足或者高于招标文件的技术要求内容。完整具备用户所要求的使用功能、产品标准以及本身应具有的所有使用功能。投标文件中各种参数必须真实可靠。投标人必须在承诺的交货期内到货。</w:t>
      </w:r>
    </w:p>
    <w:p>
      <w:pPr>
        <w:numPr>
          <w:ilvl w:val="0"/>
          <w:numId w:val="3"/>
        </w:numPr>
        <w:adjustRightInd w:val="0"/>
        <w:snapToGrid w:val="0"/>
        <w:spacing w:line="440" w:lineRule="exact"/>
        <w:rPr>
          <w:rFonts w:ascii="宋体" w:hAnsi="宋体" w:cs="宋体"/>
          <w:b/>
          <w:sz w:val="24"/>
        </w:rPr>
      </w:pPr>
      <w:r>
        <w:rPr>
          <w:rFonts w:hint="eastAsia" w:ascii="宋体" w:hAnsi="宋体" w:cs="宋体"/>
          <w:b/>
          <w:sz w:val="24"/>
        </w:rPr>
        <w:t>验收</w:t>
      </w:r>
    </w:p>
    <w:p>
      <w:pPr>
        <w:spacing w:line="420" w:lineRule="exact"/>
        <w:ind w:firstLine="420" w:firstLineChars="200"/>
        <w:rPr>
          <w:rFonts w:ascii="宋体" w:hAnsi="宋体" w:cs="宋体"/>
        </w:rPr>
      </w:pPr>
      <w:r>
        <w:rPr>
          <w:rFonts w:hint="eastAsia" w:ascii="宋体" w:hAnsi="宋体" w:cs="宋体"/>
        </w:rPr>
        <w:t>1、货物到达采购</w:t>
      </w:r>
      <w:r>
        <w:rPr>
          <w:rFonts w:hint="eastAsia" w:ascii="宋体" w:hAnsi="宋体" w:cs="宋体"/>
          <w:color w:val="auto"/>
        </w:rPr>
        <w:t>人现场后，按</w:t>
      </w:r>
      <w:r>
        <w:rPr>
          <w:rFonts w:hint="eastAsia" w:ascii="宋体" w:hAnsi="宋体" w:cs="宋体"/>
        </w:rPr>
        <w:t>照在采购人指定的时间在采购人指定现场进行开箱查验，按照安装顺序，在安装前通知采购人进行开箱查验。并向采购人提供以下资料：</w:t>
      </w:r>
    </w:p>
    <w:p>
      <w:pPr>
        <w:spacing w:line="420" w:lineRule="exact"/>
        <w:ind w:firstLine="420" w:firstLineChars="200"/>
        <w:rPr>
          <w:rFonts w:ascii="宋体" w:hAnsi="宋体" w:cs="宋体"/>
        </w:rPr>
      </w:pPr>
      <w:r>
        <w:rPr>
          <w:rFonts w:hint="eastAsia" w:ascii="宋体" w:hAnsi="宋体" w:cs="宋体"/>
        </w:rPr>
        <w:t>1）每个包装箱的外部应附有一套详细的装箱单正本、到货清单；</w:t>
      </w:r>
    </w:p>
    <w:p>
      <w:pPr>
        <w:spacing w:line="420" w:lineRule="exact"/>
        <w:ind w:firstLine="420" w:firstLineChars="200"/>
        <w:rPr>
          <w:rFonts w:ascii="宋体" w:hAnsi="宋体" w:cs="宋体"/>
        </w:rPr>
      </w:pPr>
      <w:r>
        <w:rPr>
          <w:rFonts w:hint="eastAsia" w:ascii="宋体" w:hAnsi="宋体" w:cs="宋体"/>
        </w:rPr>
        <w:t>2）产品操作手册、说明书；</w:t>
      </w:r>
    </w:p>
    <w:p>
      <w:pPr>
        <w:spacing w:line="420" w:lineRule="exact"/>
        <w:ind w:firstLine="420" w:firstLineChars="200"/>
        <w:rPr>
          <w:rFonts w:ascii="宋体" w:hAnsi="宋体" w:cs="宋体"/>
        </w:rPr>
      </w:pPr>
      <w:r>
        <w:rPr>
          <w:rFonts w:hint="eastAsia" w:ascii="宋体" w:hAnsi="宋体" w:cs="宋体"/>
        </w:rPr>
        <w:t>3）出厂检验合格证书。</w:t>
      </w:r>
    </w:p>
    <w:p>
      <w:pPr>
        <w:spacing w:line="420" w:lineRule="exact"/>
        <w:ind w:firstLine="420" w:firstLineChars="200"/>
        <w:rPr>
          <w:rFonts w:ascii="宋体" w:hAnsi="宋体" w:cs="宋体"/>
        </w:rPr>
      </w:pPr>
      <w:r>
        <w:rPr>
          <w:rFonts w:hint="eastAsia" w:ascii="宋体" w:hAnsi="宋体" w:cs="宋体"/>
        </w:rPr>
        <w:t>采购人按中标人提供的产品清单及检验产品合格证、使用说明书和其它的技术资料负责开箱检验、检查设备及随机附件是否完整无损，技术资料与图纸是否与采购人的要求相符，如有损坏、缺件等情况，中标人应在3日内更换新产品，相应的费用及责任由中标人自行负担。</w:t>
      </w:r>
    </w:p>
    <w:p>
      <w:pPr>
        <w:spacing w:line="420" w:lineRule="exact"/>
        <w:rPr>
          <w:rFonts w:ascii="宋体" w:hAnsi="宋体" w:cs="宋体"/>
        </w:rPr>
      </w:pPr>
      <w:r>
        <w:rPr>
          <w:rFonts w:hint="eastAsia" w:ascii="宋体" w:hAnsi="宋体" w:cs="宋体"/>
        </w:rPr>
        <w:t>同时采购人有权组织相关部门人员抽检到场产品，看是否符合招标文件或投标文件的约定和承诺，</w:t>
      </w:r>
      <w:r>
        <w:rPr>
          <w:rFonts w:hint="eastAsia" w:ascii="宋体" w:hAnsi="宋体" w:cs="宋体"/>
          <w:color w:val="auto"/>
          <w:highlight w:val="none"/>
        </w:rPr>
        <w:t>中标人无条件配合采购人的检查并对检查后的设备及配件进行恢复至正常使用状态，</w:t>
      </w:r>
      <w:r>
        <w:rPr>
          <w:rFonts w:hint="eastAsia" w:ascii="宋体" w:hAnsi="宋体" w:cs="宋体"/>
        </w:rPr>
        <w:t>所有费用由中标人承担。</w:t>
      </w:r>
    </w:p>
    <w:p>
      <w:pPr>
        <w:spacing w:line="420" w:lineRule="exact"/>
        <w:ind w:firstLine="420" w:firstLineChars="200"/>
        <w:rPr>
          <w:rFonts w:ascii="宋体" w:hAnsi="宋体" w:cs="宋体"/>
        </w:rPr>
      </w:pPr>
      <w:r>
        <w:rPr>
          <w:rFonts w:hint="eastAsia" w:ascii="宋体" w:hAnsi="宋体" w:cs="宋体"/>
        </w:rPr>
        <w:t>2、验收标准：项目整体建设完成后中标人方可申请验收，验收须按国家标准和规范及合同要求、投标文件中相关承诺进行。采购人代表有权自行组织或委托第三方检测机构进行有关的验收试验，验收所产生的费用由中标人承担。</w:t>
      </w:r>
    </w:p>
    <w:p>
      <w:pPr>
        <w:spacing w:line="420" w:lineRule="exact"/>
        <w:ind w:firstLine="420" w:firstLineChars="200"/>
        <w:rPr>
          <w:rFonts w:ascii="宋体" w:hAnsi="宋体" w:cs="宋体"/>
        </w:rPr>
      </w:pPr>
      <w:r>
        <w:rPr>
          <w:rFonts w:hint="eastAsia" w:ascii="宋体" w:hAnsi="宋体" w:cs="宋体"/>
          <w:color w:val="000000"/>
        </w:rPr>
        <w:t>3、货物及其材料的各项技术性能须达到合同</w:t>
      </w:r>
      <w:r>
        <w:rPr>
          <w:rFonts w:hint="eastAsia" w:ascii="宋体" w:hAnsi="宋体" w:cs="宋体"/>
        </w:rPr>
        <w:t>和相关技术文件规定的要求，须符合国家和行业的有关规定和标准。</w:t>
      </w:r>
    </w:p>
    <w:p>
      <w:pPr>
        <w:spacing w:line="420" w:lineRule="exact"/>
        <w:ind w:firstLine="420" w:firstLineChars="200"/>
        <w:rPr>
          <w:rFonts w:ascii="宋体" w:hAnsi="宋体" w:cs="宋体"/>
        </w:rPr>
      </w:pPr>
      <w:r>
        <w:rPr>
          <w:rFonts w:hint="eastAsia" w:ascii="宋体" w:hAnsi="宋体" w:cs="宋体"/>
        </w:rPr>
        <w:t>4、项目完成后中标人应将项目有关的全部资</w:t>
      </w:r>
      <w:r>
        <w:rPr>
          <w:rFonts w:hint="eastAsia" w:ascii="宋体" w:hAnsi="宋体" w:cs="宋体"/>
          <w:szCs w:val="21"/>
        </w:rPr>
        <w:t>料包括但不限于：</w:t>
      </w:r>
      <w:r>
        <w:rPr>
          <w:rFonts w:hint="eastAsia" w:ascii="宋体" w:hAnsi="宋体" w:cs="宋体"/>
        </w:rPr>
        <w:t>产品的全部有关产品规格书、技术资料、第三方的检测报告，产品数量清单、系统数据专业文档</w:t>
      </w:r>
      <w:r>
        <w:rPr>
          <w:rFonts w:hint="eastAsia" w:ascii="宋体" w:hAnsi="宋体" w:cs="宋体"/>
          <w:szCs w:val="21"/>
        </w:rPr>
        <w:t>等移交采购人。上述资料文件应编辑正确、组织合理、内容充实、容易理解，详尽描述所供货物的性能、原理、结构和尺寸，并包括部件的型号、规格、</w:t>
      </w:r>
      <w:r>
        <w:rPr>
          <w:rFonts w:hint="eastAsia" w:ascii="宋体" w:hAnsi="宋体" w:cs="宋体"/>
        </w:rPr>
        <w:t>技术参数，保证采购人能够正确进行产品操作和使用。</w:t>
      </w:r>
    </w:p>
    <w:p>
      <w:pPr>
        <w:spacing w:line="420" w:lineRule="exact"/>
        <w:ind w:firstLine="420" w:firstLineChars="200"/>
        <w:rPr>
          <w:rFonts w:ascii="宋体" w:hAnsi="宋体" w:cs="宋体"/>
        </w:rPr>
      </w:pPr>
      <w:r>
        <w:rPr>
          <w:rFonts w:hint="eastAsia" w:ascii="宋体" w:hAnsi="宋体" w:cs="宋体"/>
          <w:szCs w:val="21"/>
        </w:rPr>
        <w:t>5、在验收过程中产生纠纷的，由质量技术监督部</w:t>
      </w:r>
      <w:r>
        <w:rPr>
          <w:rFonts w:hint="eastAsia" w:ascii="宋体" w:hAnsi="宋体" w:cs="宋体"/>
        </w:rPr>
        <w:t>门认定的检测机构检测,如检测结论为中标人不符合招标文件规定的技术参数要求以及规范要求，则由中标人按合同要求重新提供产品或重新进行安装调试，并承担所有费用，赔偿采购人的损失；</w:t>
      </w:r>
    </w:p>
    <w:p>
      <w:pPr>
        <w:spacing w:line="420" w:lineRule="exact"/>
        <w:ind w:firstLine="420" w:firstLineChars="200"/>
        <w:rPr>
          <w:rFonts w:ascii="宋体" w:hAnsi="宋体" w:cs="宋体"/>
        </w:rPr>
      </w:pPr>
      <w:r>
        <w:rPr>
          <w:rFonts w:hint="eastAsia" w:ascii="宋体" w:hAnsi="宋体" w:cs="宋体"/>
        </w:rPr>
        <w:t>6、最终验收时间以签订的采购合同为准。项目验收不合格，由中标人返工直至合格，有关返工、再行验收以及给采购人造成的损失等费用由中标人承担。因中标人原因不能按规定建设期验收的，每延误一天，中标人按迟交货物金额的</w:t>
      </w:r>
      <w:r>
        <w:rPr>
          <w:rFonts w:ascii="宋体" w:hAnsi="宋体" w:cs="宋体"/>
        </w:rPr>
        <w:t>5</w:t>
      </w:r>
      <w:r>
        <w:rPr>
          <w:rFonts w:hint="eastAsia" w:ascii="宋体" w:hAnsi="宋体" w:cs="宋体"/>
        </w:rPr>
        <w:t>‰向采购人支付违约金。连续两次项目验收不合格的，采购人可终止合同，由此带来的一切损失由中标人承担，并给予采购人相应的赔偿。</w:t>
      </w:r>
    </w:p>
    <w:p>
      <w:pPr>
        <w:numPr>
          <w:ilvl w:val="0"/>
          <w:numId w:val="3"/>
        </w:numPr>
        <w:adjustRightInd w:val="0"/>
        <w:snapToGrid w:val="0"/>
        <w:spacing w:line="440" w:lineRule="exact"/>
        <w:rPr>
          <w:rFonts w:ascii="宋体" w:hAnsi="宋体" w:cs="宋体"/>
          <w:b/>
          <w:sz w:val="24"/>
        </w:rPr>
      </w:pPr>
      <w:r>
        <w:rPr>
          <w:rFonts w:hint="eastAsia" w:ascii="宋体" w:hAnsi="宋体" w:cs="宋体"/>
          <w:b/>
          <w:sz w:val="24"/>
        </w:rPr>
        <w:t>培训、保修及售后服务要求</w:t>
      </w:r>
    </w:p>
    <w:p>
      <w:pPr>
        <w:spacing w:line="420" w:lineRule="exact"/>
        <w:rPr>
          <w:rFonts w:ascii="宋体" w:hAnsi="宋体" w:cs="宋体"/>
        </w:rPr>
      </w:pPr>
      <w:r>
        <w:rPr>
          <w:rFonts w:hint="eastAsia" w:ascii="宋体" w:hAnsi="宋体" w:cs="宋体"/>
        </w:rPr>
        <w:t>1、培训</w:t>
      </w:r>
    </w:p>
    <w:p>
      <w:pPr>
        <w:spacing w:line="420" w:lineRule="exact"/>
        <w:ind w:firstLine="420" w:firstLineChars="200"/>
        <w:rPr>
          <w:rFonts w:ascii="宋体" w:hAnsi="宋体" w:cs="宋体"/>
        </w:rPr>
      </w:pPr>
      <w:r>
        <w:rPr>
          <w:rFonts w:hint="eastAsia" w:ascii="宋体" w:hAnsi="宋体" w:cs="宋体"/>
        </w:rPr>
        <w:t>1）中标人负责就设备及系统的检验、调试使用和维护、操作，在指定的地点免费培训采购人技术人员进行操作、维修、保养等，至能独立操作，简单故障的排除。培训时间及人员须经采购人同意后，方可实施。</w:t>
      </w:r>
    </w:p>
    <w:p>
      <w:pPr>
        <w:spacing w:line="420" w:lineRule="exact"/>
        <w:ind w:firstLine="420" w:firstLineChars="200"/>
        <w:rPr>
          <w:rFonts w:ascii="宋体" w:hAnsi="宋体" w:cs="宋体"/>
        </w:rPr>
      </w:pPr>
      <w:r>
        <w:rPr>
          <w:rFonts w:hint="eastAsia" w:ascii="宋体" w:hAnsi="宋体" w:cs="宋体"/>
        </w:rPr>
        <w:t>2）中标人应配合采购人的工作人员参与产品的安装、现场改造、测试联调、数据对接、诊断及解决问题等各项工作。对操作人员的培训内容至少应包括操作和维护措施及故障应急措施，</w:t>
      </w:r>
    </w:p>
    <w:p>
      <w:pPr>
        <w:spacing w:line="420" w:lineRule="exact"/>
        <w:rPr>
          <w:rFonts w:ascii="宋体" w:hAnsi="宋体" w:cs="宋体"/>
        </w:rPr>
      </w:pPr>
      <w:r>
        <w:rPr>
          <w:rFonts w:hint="eastAsia" w:ascii="宋体" w:hAnsi="宋体" w:cs="宋体"/>
        </w:rPr>
        <w:t>2、保修：</w:t>
      </w:r>
    </w:p>
    <w:p>
      <w:pPr>
        <w:spacing w:line="420" w:lineRule="exact"/>
        <w:ind w:firstLine="420" w:firstLineChars="200"/>
        <w:rPr>
          <w:rFonts w:ascii="宋体" w:hAnsi="宋体" w:cs="宋体"/>
        </w:rPr>
      </w:pPr>
      <w:r>
        <w:rPr>
          <w:rFonts w:hint="eastAsia" w:ascii="宋体" w:hAnsi="宋体" w:cs="宋体"/>
        </w:rPr>
        <w:t>1）本项目整体免费质保期为两年（自项目验收合格之日起开始计算，第二节技术要求中另有要求的，以其具体要求为准）。包括但不限于所投产品、系统的免费维护、功能完善、性能提升、软件升级、故障检测、免费维修等。质保期内提供所有产品的上门保修和免费升级维护服务，免费提供所有备品备件的更换和安装，并进行终身维护。质保期满后，中标人应及时优惠提供所需的备品备件。未说明部分，按中华人民共和国售后服务相关规定执行。</w:t>
      </w:r>
    </w:p>
    <w:p>
      <w:pPr>
        <w:spacing w:line="420" w:lineRule="exact"/>
        <w:ind w:firstLine="420" w:firstLineChars="200"/>
        <w:rPr>
          <w:rFonts w:ascii="宋体" w:hAnsi="宋体" w:cs="宋体"/>
        </w:rPr>
      </w:pPr>
      <w:r>
        <w:rPr>
          <w:rFonts w:hint="eastAsia" w:ascii="宋体" w:hAnsi="宋体" w:cs="宋体"/>
        </w:rPr>
        <w:t>2）</w:t>
      </w:r>
      <w:r>
        <w:rPr>
          <w:rFonts w:ascii="宋体" w:hAnsi="宋体" w:cs="宋体"/>
        </w:rPr>
        <w:t>在安装、调试过程中，如由于</w:t>
      </w:r>
      <w:r>
        <w:rPr>
          <w:rFonts w:hint="eastAsia" w:ascii="宋体" w:hAnsi="宋体" w:cs="宋体"/>
        </w:rPr>
        <w:t>中标人操作不规范</w:t>
      </w:r>
      <w:r>
        <w:rPr>
          <w:rFonts w:ascii="宋体" w:hAnsi="宋体" w:cs="宋体"/>
        </w:rPr>
        <w:t>导致安装、调试不成功和（或）造成合同</w:t>
      </w:r>
      <w:r>
        <w:rPr>
          <w:rFonts w:hint="eastAsia" w:ascii="宋体" w:hAnsi="宋体" w:cs="宋体"/>
        </w:rPr>
        <w:t>货物</w:t>
      </w:r>
      <w:r>
        <w:rPr>
          <w:rFonts w:ascii="宋体" w:hAnsi="宋体" w:cs="宋体"/>
        </w:rPr>
        <w:t>损坏的情况，</w:t>
      </w:r>
      <w:r>
        <w:rPr>
          <w:rFonts w:hint="eastAsia" w:ascii="宋体" w:hAnsi="宋体" w:cs="宋体"/>
        </w:rPr>
        <w:t>中标人</w:t>
      </w:r>
      <w:r>
        <w:rPr>
          <w:rFonts w:ascii="宋体" w:hAnsi="宋体" w:cs="宋体"/>
        </w:rPr>
        <w:t>应承担</w:t>
      </w:r>
      <w:r>
        <w:rPr>
          <w:rFonts w:hint="eastAsia" w:ascii="宋体" w:hAnsi="宋体" w:cs="宋体"/>
        </w:rPr>
        <w:t>所有连带</w:t>
      </w:r>
      <w:r>
        <w:rPr>
          <w:rFonts w:ascii="宋体" w:hAnsi="宋体" w:cs="宋体"/>
        </w:rPr>
        <w:t>责任。</w:t>
      </w:r>
    </w:p>
    <w:p>
      <w:pPr>
        <w:spacing w:line="420" w:lineRule="exact"/>
        <w:ind w:firstLine="420" w:firstLineChars="200"/>
        <w:rPr>
          <w:rFonts w:ascii="宋体" w:hAnsi="宋体" w:cs="宋体"/>
        </w:rPr>
      </w:pPr>
      <w:r>
        <w:rPr>
          <w:rFonts w:hint="eastAsia" w:ascii="宋体" w:hAnsi="宋体" w:cs="宋体"/>
        </w:rPr>
        <w:t>3）保修期结束前，需由中标人和采购人进行一次全面检查，任何缺陷由中标人负责修理，在修复之后，中标人将缺陷原因、修理内容、完成修理及恢复正常的时间和日期等报告给采购人，报告一式两份。</w:t>
      </w:r>
    </w:p>
    <w:p>
      <w:pPr>
        <w:spacing w:line="420" w:lineRule="exact"/>
        <w:ind w:firstLine="420" w:firstLineChars="200"/>
        <w:rPr>
          <w:rFonts w:ascii="宋体" w:hAnsi="宋体" w:cs="宋体"/>
        </w:rPr>
      </w:pPr>
      <w:r>
        <w:rPr>
          <w:rFonts w:hint="eastAsia" w:ascii="宋体" w:hAnsi="宋体" w:cs="宋体"/>
        </w:rPr>
        <w:t>4）质保期满后解决故障的响应时间和质保期内一样，设备出现故障需更换配件，维修时只收取零配件成本费用，免收其他费用。</w:t>
      </w:r>
    </w:p>
    <w:p>
      <w:pPr>
        <w:spacing w:line="420" w:lineRule="exact"/>
        <w:rPr>
          <w:rFonts w:ascii="宋体" w:hAnsi="宋体" w:cs="宋体"/>
        </w:rPr>
      </w:pPr>
      <w:r>
        <w:rPr>
          <w:rFonts w:hint="eastAsia" w:ascii="宋体" w:hAnsi="宋体" w:cs="宋体"/>
        </w:rPr>
        <w:t>3、售后服务：</w:t>
      </w:r>
    </w:p>
    <w:p>
      <w:pPr>
        <w:spacing w:line="420" w:lineRule="exact"/>
        <w:ind w:firstLine="420" w:firstLineChars="200"/>
        <w:rPr>
          <w:rFonts w:ascii="宋体" w:hAnsi="宋体" w:cs="宋体"/>
        </w:rPr>
      </w:pPr>
      <w:r>
        <w:rPr>
          <w:rFonts w:hint="eastAsia" w:ascii="宋体" w:hAnsi="宋体" w:cs="宋体"/>
        </w:rPr>
        <w:t>1）原厂维护服务支持：设置7*24小时报修电话，如发生异常，中标人在接到采购人通知后立即响应，24小时技术人员到达现场，涉及到原厂维护服务的须向采购人提供原厂维护服务支持，并及时排除故障（重大故障2个工作日内排除），确保不影响采购人的正常使用。若48小时不能排除故障，须提供备用产品，满足采购人工作需求。货物的质量保修期自然顺延。如果中标人收到采购人通知后，未在规定的响应时间内赶到现场弥补缺陷，采购人可采取必要的补救措施，但风险和费用全部由中标人承担，并从合同款项中抵扣。</w:t>
      </w:r>
    </w:p>
    <w:p>
      <w:pPr>
        <w:spacing w:line="420" w:lineRule="exact"/>
        <w:ind w:firstLine="420" w:firstLineChars="200"/>
        <w:rPr>
          <w:rFonts w:ascii="宋体" w:hAnsi="宋体" w:cs="宋体"/>
        </w:rPr>
      </w:pPr>
      <w:r>
        <w:rPr>
          <w:rFonts w:hint="eastAsia" w:ascii="宋体" w:hAnsi="宋体" w:cs="宋体"/>
        </w:rPr>
        <w:t>2）技术咨询服务：提供电话、邮件、网络等方式咨询服务，要求即时回复。</w:t>
      </w:r>
    </w:p>
    <w:p>
      <w:pPr>
        <w:numPr>
          <w:ilvl w:val="0"/>
          <w:numId w:val="3"/>
        </w:numPr>
        <w:adjustRightInd w:val="0"/>
        <w:snapToGrid w:val="0"/>
        <w:spacing w:line="440" w:lineRule="exact"/>
        <w:rPr>
          <w:rFonts w:ascii="宋体" w:hAnsi="宋体" w:cs="宋体"/>
          <w:b/>
          <w:szCs w:val="21"/>
        </w:rPr>
      </w:pPr>
      <w:r>
        <w:rPr>
          <w:rFonts w:hint="eastAsia" w:ascii="宋体" w:hAnsi="宋体" w:cs="宋体"/>
          <w:b/>
          <w:szCs w:val="21"/>
        </w:rPr>
        <w:t>投标文件要求</w:t>
      </w:r>
    </w:p>
    <w:p>
      <w:pPr>
        <w:spacing w:line="420" w:lineRule="exact"/>
        <w:ind w:firstLine="420" w:firstLineChars="200"/>
        <w:rPr>
          <w:rFonts w:ascii="宋体" w:hAnsi="宋体" w:cs="宋体"/>
        </w:rPr>
      </w:pPr>
      <w:r>
        <w:rPr>
          <w:rFonts w:hint="eastAsia" w:ascii="宋体" w:hAnsi="宋体" w:cs="宋体"/>
        </w:rPr>
        <w:t>1、要求投标人在投标文件中清单中注明所供产品材料的材质、产地、配套件的生产厂家、品牌及规格等。</w:t>
      </w:r>
    </w:p>
    <w:p>
      <w:pPr>
        <w:spacing w:line="420" w:lineRule="exact"/>
        <w:ind w:firstLine="420" w:firstLineChars="200"/>
        <w:rPr>
          <w:rFonts w:ascii="宋体" w:hAnsi="宋体" w:cs="宋体"/>
        </w:rPr>
      </w:pPr>
      <w:r>
        <w:rPr>
          <w:rFonts w:hint="eastAsia" w:ascii="宋体" w:hAnsi="宋体" w:cs="宋体"/>
          <w:lang w:val="en-US" w:eastAsia="zh-CN"/>
        </w:rPr>
        <w:t>2</w:t>
      </w:r>
      <w:r>
        <w:rPr>
          <w:rFonts w:hint="eastAsia" w:ascii="宋体" w:hAnsi="宋体" w:cs="宋体"/>
        </w:rPr>
        <w:t>、投标文件中各种参数必须真实可靠，对所有条款应做出逐条响应。</w:t>
      </w:r>
    </w:p>
    <w:p>
      <w:pPr>
        <w:spacing w:line="420" w:lineRule="exact"/>
        <w:ind w:firstLine="420" w:firstLineChars="200"/>
        <w:rPr>
          <w:rFonts w:ascii="宋体" w:hAnsi="宋体" w:cs="宋体"/>
        </w:rPr>
      </w:pPr>
      <w:r>
        <w:rPr>
          <w:rFonts w:hint="eastAsia" w:ascii="宋体" w:hAnsi="宋体" w:cs="宋体"/>
          <w:lang w:val="en-US" w:eastAsia="zh-CN"/>
        </w:rPr>
        <w:t>3</w:t>
      </w:r>
      <w:r>
        <w:rPr>
          <w:rFonts w:hint="eastAsia" w:ascii="宋体" w:hAnsi="宋体" w:cs="宋体"/>
        </w:rPr>
        <w:t>、履行合同的时间、地点及方式：</w:t>
      </w:r>
    </w:p>
    <w:p>
      <w:pPr>
        <w:spacing w:line="420" w:lineRule="exact"/>
        <w:ind w:firstLine="420" w:firstLineChars="200"/>
        <w:rPr>
          <w:rFonts w:ascii="宋体" w:hAnsi="宋体" w:cs="宋体"/>
        </w:rPr>
      </w:pPr>
      <w:r>
        <w:rPr>
          <w:rFonts w:hint="eastAsia" w:ascii="宋体" w:hAnsi="宋体" w:cs="宋体"/>
          <w:kern w:val="0"/>
          <w:szCs w:val="21"/>
        </w:rPr>
        <w:t>建设期</w:t>
      </w:r>
      <w:r>
        <w:rPr>
          <w:rFonts w:hint="eastAsia" w:ascii="宋体" w:hAnsi="宋体" w:cs="宋体"/>
        </w:rPr>
        <w:t>：</w:t>
      </w:r>
      <w:r>
        <w:rPr>
          <w:rFonts w:hint="eastAsia" w:ascii="宋体" w:hAnsi="宋体" w:cs="宋体"/>
          <w:u w:val="single"/>
        </w:rPr>
        <w:t>自合同签订之日起60天内完成，包括所有设备、系统等配套设施的安装、对接、调试、检测以及，并整体通过采购人验收。</w:t>
      </w:r>
    </w:p>
    <w:p>
      <w:pPr>
        <w:spacing w:line="420" w:lineRule="exact"/>
        <w:ind w:firstLine="420" w:firstLineChars="200"/>
        <w:rPr>
          <w:rFonts w:ascii="宋体" w:hAnsi="宋体" w:cs="宋体"/>
        </w:rPr>
      </w:pPr>
      <w:r>
        <w:rPr>
          <w:rFonts w:hint="eastAsia" w:ascii="宋体" w:hAnsi="宋体" w:cs="宋体"/>
        </w:rPr>
        <w:t>建设地点：指定地点。</w:t>
      </w:r>
    </w:p>
    <w:p>
      <w:pPr>
        <w:spacing w:line="420" w:lineRule="exact"/>
        <w:ind w:firstLine="420" w:firstLineChars="200"/>
        <w:rPr>
          <w:rFonts w:ascii="宋体" w:hAnsi="宋体" w:cs="宋体"/>
        </w:rPr>
      </w:pPr>
      <w:r>
        <w:rPr>
          <w:rFonts w:hint="eastAsia" w:ascii="宋体" w:hAnsi="宋体" w:cs="宋体"/>
        </w:rPr>
        <w:t>建设方式：免费货到采购方指定位置，包括货物、运输、安装、调试直至验收合格（交钥匙项目）。</w:t>
      </w:r>
    </w:p>
    <w:p>
      <w:pPr>
        <w:numPr>
          <w:ilvl w:val="0"/>
          <w:numId w:val="3"/>
        </w:numPr>
        <w:adjustRightInd w:val="0"/>
        <w:snapToGrid w:val="0"/>
        <w:spacing w:line="440" w:lineRule="exact"/>
        <w:rPr>
          <w:rFonts w:ascii="宋体" w:hAnsi="宋体" w:cs="宋体"/>
          <w:b/>
          <w:szCs w:val="21"/>
        </w:rPr>
      </w:pPr>
      <w:r>
        <w:rPr>
          <w:rFonts w:hint="eastAsia" w:ascii="宋体" w:hAnsi="宋体" w:cs="宋体"/>
          <w:b/>
          <w:szCs w:val="21"/>
        </w:rPr>
        <w:t>付款方式</w:t>
      </w:r>
    </w:p>
    <w:p>
      <w:pPr>
        <w:spacing w:line="420" w:lineRule="exact"/>
        <w:ind w:left="420" w:leftChars="200"/>
        <w:rPr>
          <w:rFonts w:ascii="宋体" w:hAnsi="宋体" w:cs="宋体"/>
        </w:rPr>
      </w:pPr>
      <w:r>
        <w:rPr>
          <w:rFonts w:hint="eastAsia" w:ascii="宋体" w:hAnsi="宋体" w:cs="宋体"/>
        </w:rPr>
        <w:t>付款方式：</w:t>
      </w:r>
    </w:p>
    <w:p>
      <w:pPr>
        <w:numPr>
          <w:ilvl w:val="0"/>
          <w:numId w:val="4"/>
        </w:numPr>
        <w:spacing w:line="420" w:lineRule="exact"/>
        <w:ind w:firstLine="420" w:firstLineChars="200"/>
        <w:rPr>
          <w:rFonts w:ascii="宋体" w:hAnsi="宋体" w:cs="宋体"/>
          <w:color w:val="auto"/>
          <w:highlight w:val="none"/>
        </w:rPr>
      </w:pPr>
      <w:r>
        <w:rPr>
          <w:rFonts w:hint="eastAsia" w:ascii="宋体" w:hAnsi="宋体" w:cs="宋体"/>
          <w:color w:val="auto"/>
          <w:highlight w:val="none"/>
        </w:rPr>
        <w:t>中标人按要求将货物送达到采购人指定位置，并完成所有设备、系统等配套设施的安装、对接、调试、检测，并整体通过采购人验收</w:t>
      </w:r>
      <w:r>
        <w:rPr>
          <w:rFonts w:hint="eastAsia" w:ascii="宋体" w:hAnsi="宋体" w:cs="宋体"/>
          <w:color w:val="auto"/>
          <w:highlight w:val="none"/>
          <w:lang w:val="en-US" w:eastAsia="zh-CN"/>
        </w:rPr>
        <w:t>且配合采购人完成结算审计</w:t>
      </w:r>
      <w:r>
        <w:rPr>
          <w:rFonts w:hint="eastAsia" w:ascii="宋体" w:hAnsi="宋体" w:cs="宋体"/>
          <w:color w:val="auto"/>
          <w:highlight w:val="none"/>
        </w:rPr>
        <w:t>，</w:t>
      </w:r>
      <w:r>
        <w:rPr>
          <w:rFonts w:hint="eastAsia" w:ascii="宋体" w:hAnsi="宋体" w:cs="宋体"/>
          <w:color w:val="auto"/>
          <w:highlight w:val="none"/>
          <w:lang w:val="en-US" w:eastAsia="zh-CN"/>
        </w:rPr>
        <w:t>待审计部门出具结算审计报告后，中标人向采购方提供结算审计报告金额等额合法且符合采购方要求的增值税普通发票，采购人</w:t>
      </w:r>
      <w:r>
        <w:rPr>
          <w:rFonts w:hint="eastAsia" w:ascii="宋体" w:hAnsi="宋体" w:cs="宋体"/>
          <w:color w:val="auto"/>
          <w:highlight w:val="none"/>
        </w:rPr>
        <w:t>向中标人支付</w:t>
      </w:r>
      <w:r>
        <w:rPr>
          <w:rFonts w:hint="eastAsia" w:ascii="宋体" w:hAnsi="宋体" w:cs="宋体"/>
          <w:color w:val="auto"/>
          <w:highlight w:val="none"/>
          <w:lang w:val="en-US" w:eastAsia="zh-CN"/>
        </w:rPr>
        <w:t>中标人出具发票的全部金额</w:t>
      </w:r>
      <w:r>
        <w:rPr>
          <w:rFonts w:hint="eastAsia" w:ascii="宋体" w:hAnsi="宋体" w:cs="宋体"/>
          <w:color w:val="auto"/>
          <w:highlight w:val="none"/>
        </w:rPr>
        <w:t>。</w:t>
      </w:r>
    </w:p>
    <w:p>
      <w:pPr>
        <w:spacing w:line="420" w:lineRule="exact"/>
        <w:ind w:firstLine="424" w:firstLineChars="202"/>
        <w:rPr>
          <w:rFonts w:ascii="宋体" w:hAnsi="宋体" w:cs="宋体"/>
        </w:rPr>
      </w:pPr>
      <w:r>
        <w:rPr>
          <w:rFonts w:hint="eastAsia" w:ascii="宋体" w:hAnsi="宋体" w:cs="宋体"/>
        </w:rPr>
        <w:t>2、按采购人要求，付款凭税务部门正规发票办理，发票须由中标人开具。</w:t>
      </w:r>
    </w:p>
    <w:p>
      <w:pPr>
        <w:numPr>
          <w:ilvl w:val="0"/>
          <w:numId w:val="3"/>
        </w:numPr>
        <w:adjustRightInd w:val="0"/>
        <w:snapToGrid w:val="0"/>
        <w:spacing w:line="440" w:lineRule="exact"/>
        <w:rPr>
          <w:rFonts w:ascii="宋体" w:hAnsi="宋体" w:cs="宋体"/>
          <w:b/>
          <w:szCs w:val="21"/>
        </w:rPr>
      </w:pPr>
      <w:r>
        <w:rPr>
          <w:rFonts w:hint="eastAsia" w:ascii="宋体" w:hAnsi="宋体" w:cs="宋体"/>
          <w:b/>
          <w:szCs w:val="21"/>
        </w:rPr>
        <w:t>技术服务</w:t>
      </w:r>
    </w:p>
    <w:p>
      <w:pPr>
        <w:spacing w:line="420" w:lineRule="exact"/>
        <w:ind w:firstLine="424" w:firstLineChars="202"/>
        <w:rPr>
          <w:rFonts w:ascii="宋体" w:hAnsi="宋体" w:cs="宋体"/>
        </w:rPr>
      </w:pPr>
      <w:r>
        <w:rPr>
          <w:rFonts w:hint="eastAsia" w:ascii="宋体" w:hAnsi="宋体" w:cs="宋体"/>
        </w:rPr>
        <w:t>1、此项目为全包价。</w:t>
      </w:r>
    </w:p>
    <w:p>
      <w:pPr>
        <w:spacing w:line="420" w:lineRule="exact"/>
        <w:ind w:firstLine="424" w:firstLineChars="202"/>
        <w:rPr>
          <w:rFonts w:ascii="宋体" w:hAnsi="宋体" w:cs="宋体"/>
        </w:rPr>
      </w:pPr>
      <w:r>
        <w:rPr>
          <w:rFonts w:hint="eastAsia" w:ascii="宋体" w:hAnsi="宋体" w:cs="宋体"/>
        </w:rPr>
        <w:t>2、在货物寿命期内，中标人应备有一定的易损件供应，采购人要求订购备件或修理服务，应能及时优惠提供。</w:t>
      </w:r>
    </w:p>
    <w:p>
      <w:pPr>
        <w:spacing w:line="380" w:lineRule="exact"/>
        <w:ind w:firstLine="420" w:firstLineChars="200"/>
      </w:pPr>
      <w:r>
        <w:rPr>
          <w:rFonts w:hint="eastAsia" w:ascii="宋体" w:hAnsi="宋体" w:cs="宋体"/>
        </w:rPr>
        <w:t>3、本技术规范书未尽事宜，在签订合同时供需双方直接协商确定，但必须满足需方提出的技术要求。</w:t>
      </w:r>
    </w:p>
    <w:p>
      <w:pPr>
        <w:adjustRightInd w:val="0"/>
        <w:snapToGrid w:val="0"/>
        <w:spacing w:before="156" w:beforeLines="50" w:line="360" w:lineRule="auto"/>
        <w:rPr>
          <w:rFonts w:ascii="黑体" w:hAnsi="华文中宋" w:eastAsia="黑体"/>
          <w:b/>
          <w:bCs/>
          <w:color w:val="auto"/>
          <w:sz w:val="10"/>
          <w:szCs w:val="10"/>
        </w:rPr>
      </w:pPr>
      <w:r>
        <w:rPr>
          <w:rFonts w:ascii="黑体" w:hAnsi="华文中宋" w:eastAsia="黑体"/>
          <w:b/>
          <w:bCs/>
          <w:color w:val="auto"/>
          <w:szCs w:val="21"/>
        </w:rPr>
        <w:br w:type="page"/>
      </w:r>
    </w:p>
    <w:p>
      <w:pPr>
        <w:pStyle w:val="10"/>
        <w:adjustRightInd w:val="0"/>
        <w:snapToGrid w:val="0"/>
        <w:spacing w:line="360" w:lineRule="auto"/>
        <w:jc w:val="center"/>
        <w:outlineLvl w:val="0"/>
        <w:rPr>
          <w:rFonts w:ascii="黑体" w:hAnsi="华文中宋" w:eastAsia="黑体"/>
          <w:b/>
          <w:color w:val="auto"/>
          <w:sz w:val="32"/>
          <w:szCs w:val="32"/>
        </w:rPr>
      </w:pPr>
      <w:bookmarkStart w:id="59" w:name="_Toc3995"/>
      <w:r>
        <w:rPr>
          <w:rFonts w:hint="eastAsia" w:ascii="黑体" w:hAnsi="华文中宋" w:eastAsia="黑体"/>
          <w:b/>
          <w:color w:val="auto"/>
          <w:sz w:val="32"/>
          <w:szCs w:val="32"/>
        </w:rPr>
        <w:t>第六章 政府采购合同</w:t>
      </w:r>
      <w:bookmarkEnd w:id="59"/>
    </w:p>
    <w:p>
      <w:pPr>
        <w:pStyle w:val="3"/>
        <w:adjustRightInd w:val="0"/>
        <w:snapToGrid w:val="0"/>
        <w:jc w:val="center"/>
        <w:rPr>
          <w:rFonts w:ascii="黑体" w:hAnsi="华文中宋" w:eastAsia="黑体"/>
          <w:color w:val="auto"/>
          <w:sz w:val="28"/>
          <w:szCs w:val="28"/>
        </w:rPr>
      </w:pPr>
      <w:bookmarkStart w:id="60" w:name="_Toc22209"/>
      <w:r>
        <w:rPr>
          <w:rFonts w:hint="eastAsia" w:ascii="黑体" w:hAnsi="华文中宋" w:eastAsia="黑体"/>
          <w:color w:val="auto"/>
          <w:sz w:val="28"/>
          <w:szCs w:val="28"/>
        </w:rPr>
        <w:t>第一节 政府采购合同协议书</w:t>
      </w:r>
      <w:bookmarkEnd w:id="60"/>
    </w:p>
    <w:p>
      <w:pPr>
        <w:adjustRightInd w:val="0"/>
        <w:snapToGrid w:val="0"/>
        <w:spacing w:before="156" w:beforeLines="50" w:line="360" w:lineRule="auto"/>
        <w:ind w:firstLine="5460" w:firstLineChars="2600"/>
        <w:rPr>
          <w:rFonts w:ascii="宋体" w:hAnsi="宋体" w:eastAsia="宋体"/>
          <w:b/>
          <w:color w:val="auto"/>
          <w:szCs w:val="21"/>
        </w:rPr>
      </w:pPr>
      <w:r>
        <w:rPr>
          <w:rFonts w:hint="eastAsia" w:ascii="宋体" w:hAnsi="宋体" w:eastAsia="宋体"/>
          <w:color w:val="auto"/>
          <w:szCs w:val="21"/>
        </w:rPr>
        <w:t>采购合同编号：</w:t>
      </w:r>
      <w:r>
        <w:rPr>
          <w:rFonts w:ascii="宋体" w:hAnsi="宋体" w:eastAsia="宋体"/>
          <w:color w:val="auto"/>
          <w:szCs w:val="21"/>
          <w:u w:val="single"/>
        </w:rPr>
        <w:t xml:space="preserve">                 </w:t>
      </w:r>
    </w:p>
    <w:p>
      <w:pPr>
        <w:adjustRightInd w:val="0"/>
        <w:snapToGrid w:val="0"/>
        <w:spacing w:before="156" w:beforeLines="50" w:line="360" w:lineRule="auto"/>
        <w:jc w:val="center"/>
        <w:rPr>
          <w:rFonts w:ascii="宋体" w:hAnsi="宋体" w:eastAsia="宋体"/>
          <w:b/>
          <w:color w:val="auto"/>
          <w:szCs w:val="21"/>
        </w:rPr>
      </w:pP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采购人（全称）：</w:t>
      </w:r>
      <w:r>
        <w:rPr>
          <w:rFonts w:hint="eastAsia" w:ascii="宋体" w:hAnsi="宋体" w:eastAsia="宋体"/>
          <w:color w:val="auto"/>
          <w:szCs w:val="21"/>
          <w:u w:val="single"/>
        </w:rPr>
        <w:t xml:space="preserve">                             </w:t>
      </w:r>
      <w:r>
        <w:rPr>
          <w:rFonts w:hint="eastAsia" w:ascii="宋体" w:hAnsi="宋体" w:eastAsia="宋体"/>
          <w:color w:val="auto"/>
          <w:szCs w:val="21"/>
        </w:rPr>
        <w:t>（甲方）</w:t>
      </w: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供应商（全称）：</w:t>
      </w:r>
      <w:r>
        <w:rPr>
          <w:rFonts w:hint="eastAsia" w:ascii="宋体" w:hAnsi="宋体" w:eastAsia="宋体"/>
          <w:color w:val="auto"/>
          <w:szCs w:val="21"/>
          <w:u w:val="single"/>
        </w:rPr>
        <w:t xml:space="preserve">                             </w:t>
      </w:r>
      <w:r>
        <w:rPr>
          <w:rFonts w:hint="eastAsia" w:ascii="宋体" w:hAnsi="宋体" w:eastAsia="宋体"/>
          <w:color w:val="auto"/>
          <w:szCs w:val="21"/>
        </w:rPr>
        <w:t>（乙方）</w:t>
      </w:r>
    </w:p>
    <w:p>
      <w:pPr>
        <w:pStyle w:val="8"/>
        <w:adjustRightInd w:val="0"/>
        <w:snapToGrid w:val="0"/>
        <w:spacing w:before="156" w:beforeLines="50" w:after="0" w:line="360" w:lineRule="auto"/>
        <w:rPr>
          <w:rFonts w:ascii="宋体" w:hAnsi="宋体" w:eastAsia="宋体"/>
          <w:color w:val="auto"/>
          <w:szCs w:val="21"/>
        </w:rPr>
      </w:pPr>
    </w:p>
    <w:p>
      <w:pPr>
        <w:pStyle w:val="8"/>
        <w:adjustRightInd w:val="0"/>
        <w:snapToGrid w:val="0"/>
        <w:spacing w:before="156" w:beforeLines="50" w:after="0" w:line="360" w:lineRule="auto"/>
        <w:ind w:left="0" w:leftChars="0" w:firstLine="420" w:firstLineChars="200"/>
        <w:rPr>
          <w:rFonts w:ascii="宋体" w:hAnsi="宋体" w:eastAsia="宋体"/>
          <w:color w:val="auto"/>
          <w:szCs w:val="21"/>
        </w:rPr>
      </w:pPr>
      <w:r>
        <w:rPr>
          <w:rFonts w:hint="eastAsia" w:ascii="宋体" w:hAnsi="宋体" w:eastAsia="宋体"/>
          <w:color w:val="auto"/>
          <w:szCs w:val="21"/>
        </w:rPr>
        <w:t>为了保护甲、乙双方合法权益，根据《中华人民共和国民法典》、《中华人民共和国政府采购法》及其他有关法律、法规、规章，双方签订本合同协议书。</w:t>
      </w:r>
    </w:p>
    <w:p>
      <w:pPr>
        <w:adjustRightInd w:val="0"/>
        <w:snapToGrid w:val="0"/>
        <w:spacing w:before="156" w:beforeLines="50" w:line="360" w:lineRule="auto"/>
        <w:ind w:firstLine="422" w:firstLineChars="200"/>
        <w:rPr>
          <w:rFonts w:ascii="宋体" w:hAnsi="宋体" w:eastAsia="宋体"/>
          <w:b/>
          <w:color w:val="auto"/>
          <w:szCs w:val="21"/>
        </w:rPr>
      </w:pPr>
      <w:r>
        <w:rPr>
          <w:rFonts w:hint="eastAsia" w:ascii="宋体" w:hAnsi="宋体" w:eastAsia="宋体"/>
          <w:b/>
          <w:color w:val="auto"/>
          <w:szCs w:val="21"/>
        </w:rPr>
        <w:t>1.项目信息</w:t>
      </w:r>
    </w:p>
    <w:p>
      <w:pPr>
        <w:pStyle w:val="8"/>
        <w:adjustRightInd w:val="0"/>
        <w:snapToGrid w:val="0"/>
        <w:spacing w:before="156" w:beforeLines="50" w:after="0" w:line="360" w:lineRule="auto"/>
        <w:rPr>
          <w:rFonts w:ascii="宋体" w:hAnsi="宋体" w:eastAsia="宋体"/>
          <w:color w:val="auto"/>
          <w:szCs w:val="21"/>
        </w:rPr>
      </w:pPr>
      <w:r>
        <w:rPr>
          <w:rFonts w:hint="eastAsia" w:ascii="宋体" w:hAnsi="宋体" w:eastAsia="宋体"/>
          <w:color w:val="auto"/>
          <w:szCs w:val="21"/>
        </w:rPr>
        <w:t>（1）采购项目名称：</w:t>
      </w:r>
      <w:r>
        <w:rPr>
          <w:rFonts w:ascii="宋体" w:hAnsi="宋体" w:eastAsia="宋体"/>
          <w:color w:val="auto"/>
          <w:szCs w:val="21"/>
          <w:u w:val="single"/>
        </w:rPr>
        <w:t xml:space="preserve">                                          </w:t>
      </w:r>
    </w:p>
    <w:p>
      <w:pPr>
        <w:pStyle w:val="8"/>
        <w:adjustRightInd w:val="0"/>
        <w:snapToGrid w:val="0"/>
        <w:spacing w:before="156" w:beforeLines="50" w:after="0" w:line="360" w:lineRule="auto"/>
        <w:rPr>
          <w:rFonts w:ascii="宋体" w:hAnsi="宋体" w:eastAsia="宋体"/>
          <w:color w:val="auto"/>
          <w:szCs w:val="21"/>
        </w:rPr>
      </w:pPr>
      <w:r>
        <w:rPr>
          <w:rFonts w:hint="eastAsia" w:ascii="宋体" w:hAnsi="宋体" w:eastAsia="宋体"/>
          <w:color w:val="auto"/>
          <w:szCs w:val="21"/>
        </w:rPr>
        <w:t>（2）采购计划编号：</w:t>
      </w:r>
      <w:r>
        <w:rPr>
          <w:rFonts w:ascii="宋体" w:hAnsi="宋体" w:eastAsia="宋体"/>
          <w:color w:val="auto"/>
          <w:szCs w:val="21"/>
          <w:u w:val="single"/>
        </w:rPr>
        <w:t xml:space="preserve">                          </w:t>
      </w:r>
      <w:r>
        <w:rPr>
          <w:rFonts w:ascii="宋体" w:hAnsi="宋体" w:eastAsia="宋体"/>
          <w:color w:val="auto"/>
          <w:szCs w:val="21"/>
        </w:rPr>
        <w:t xml:space="preserve"> </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（3）项目内容：</w:t>
      </w:r>
      <w:r>
        <w:rPr>
          <w:rFonts w:hint="eastAsia" w:ascii="宋体" w:hAnsi="宋体" w:eastAsia="宋体"/>
          <w:color w:val="auto"/>
          <w:szCs w:val="21"/>
          <w:u w:val="single"/>
        </w:rPr>
        <w:t xml:space="preserve">                             </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（4）是否分包：</w:t>
      </w:r>
      <w:r>
        <w:rPr>
          <w:rFonts w:hint="eastAsia" w:ascii="宋体" w:hAnsi="宋体" w:eastAsia="宋体"/>
          <w:color w:val="auto"/>
          <w:szCs w:val="21"/>
          <w:u w:val="single"/>
        </w:rPr>
        <w:t xml:space="preserve">               </w:t>
      </w:r>
      <w:r>
        <w:rPr>
          <w:rFonts w:hint="eastAsia" w:ascii="宋体" w:hAnsi="宋体" w:eastAsia="宋体"/>
          <w:color w:val="auto"/>
          <w:szCs w:val="21"/>
        </w:rPr>
        <w:t>。</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（5）项目负责人：</w:t>
      </w:r>
      <w:r>
        <w:rPr>
          <w:rFonts w:hint="eastAsia" w:ascii="宋体" w:hAnsi="宋体" w:eastAsia="宋体"/>
          <w:color w:val="auto"/>
          <w:szCs w:val="21"/>
          <w:u w:val="single"/>
        </w:rPr>
        <w:t xml:space="preserve">               </w:t>
      </w:r>
      <w:r>
        <w:rPr>
          <w:rFonts w:hint="eastAsia" w:ascii="宋体" w:hAnsi="宋体" w:eastAsia="宋体"/>
          <w:color w:val="auto"/>
          <w:szCs w:val="21"/>
        </w:rPr>
        <w:t>。</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（6）联系电话：</w:t>
      </w:r>
      <w:r>
        <w:rPr>
          <w:rFonts w:hint="eastAsia" w:ascii="宋体" w:hAnsi="宋体" w:eastAsia="宋体"/>
          <w:color w:val="auto"/>
          <w:szCs w:val="21"/>
          <w:u w:val="single"/>
        </w:rPr>
        <w:t xml:space="preserve">               </w:t>
      </w:r>
      <w:r>
        <w:rPr>
          <w:rFonts w:hint="eastAsia" w:ascii="宋体" w:hAnsi="宋体" w:eastAsia="宋体"/>
          <w:color w:val="auto"/>
          <w:szCs w:val="21"/>
        </w:rPr>
        <w:t>。</w:t>
      </w:r>
    </w:p>
    <w:p>
      <w:pPr>
        <w:adjustRightInd w:val="0"/>
        <w:snapToGrid w:val="0"/>
        <w:spacing w:before="156" w:beforeLines="50" w:line="360" w:lineRule="auto"/>
        <w:ind w:firstLine="413" w:firstLineChars="196"/>
        <w:rPr>
          <w:rFonts w:ascii="宋体" w:hAnsi="宋体" w:eastAsia="宋体"/>
          <w:b/>
          <w:color w:val="auto"/>
          <w:szCs w:val="21"/>
        </w:rPr>
      </w:pPr>
      <w:r>
        <w:rPr>
          <w:rFonts w:hint="eastAsia" w:ascii="宋体" w:hAnsi="宋体" w:eastAsia="宋体"/>
          <w:b/>
          <w:color w:val="auto"/>
          <w:szCs w:val="21"/>
        </w:rPr>
        <w:t>2.合同金额</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（1）合同金额小写：</w:t>
      </w:r>
      <w:r>
        <w:rPr>
          <w:rFonts w:hint="eastAsia" w:ascii="宋体" w:hAnsi="宋体" w:eastAsia="宋体"/>
          <w:color w:val="auto"/>
          <w:szCs w:val="21"/>
          <w:u w:val="single"/>
        </w:rPr>
        <w:t xml:space="preserve">                      </w:t>
      </w:r>
    </w:p>
    <w:p>
      <w:pPr>
        <w:adjustRightInd w:val="0"/>
        <w:snapToGrid w:val="0"/>
        <w:spacing w:before="156" w:beforeLines="50" w:line="360" w:lineRule="auto"/>
        <w:ind w:firstLine="1260" w:firstLineChars="600"/>
        <w:rPr>
          <w:rFonts w:ascii="宋体" w:hAnsi="宋体" w:eastAsia="宋体"/>
          <w:b/>
          <w:color w:val="auto"/>
          <w:szCs w:val="21"/>
        </w:rPr>
      </w:pPr>
      <w:r>
        <w:rPr>
          <w:rFonts w:hint="eastAsia" w:ascii="宋体" w:hAnsi="宋体" w:eastAsia="宋体"/>
          <w:color w:val="auto"/>
          <w:szCs w:val="21"/>
        </w:rPr>
        <w:t>大写：</w:t>
      </w:r>
      <w:r>
        <w:rPr>
          <w:rFonts w:hint="eastAsia" w:ascii="宋体" w:hAnsi="宋体" w:eastAsia="宋体"/>
          <w:color w:val="auto"/>
          <w:szCs w:val="21"/>
          <w:u w:val="single"/>
        </w:rPr>
        <w:t xml:space="preserve">                      </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（2）具体标的见附件。</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（3）合同定价方式：</w:t>
      </w:r>
      <w:r>
        <w:rPr>
          <w:rFonts w:hint="eastAsia" w:ascii="宋体" w:hAnsi="宋体"/>
          <w:iCs/>
          <w:color w:val="auto"/>
          <w:szCs w:val="21"/>
        </w:rPr>
        <w:sym w:font="Wingdings" w:char="00A8"/>
      </w:r>
      <w:r>
        <w:rPr>
          <w:rFonts w:hint="eastAsia" w:ascii="宋体" w:hAnsi="宋体"/>
          <w:iCs/>
          <w:color w:val="auto"/>
          <w:szCs w:val="21"/>
        </w:rPr>
        <w:t xml:space="preserve">固定总价 </w:t>
      </w:r>
      <w:r>
        <w:rPr>
          <w:rFonts w:hint="eastAsia" w:ascii="宋体" w:hAnsi="宋体"/>
          <w:iCs/>
          <w:color w:val="auto"/>
          <w:szCs w:val="21"/>
        </w:rPr>
        <w:sym w:font="Wingdings" w:char="00A8"/>
      </w:r>
      <w:r>
        <w:rPr>
          <w:rFonts w:hint="eastAsia" w:ascii="宋体" w:hAnsi="宋体"/>
          <w:iCs/>
          <w:color w:val="auto"/>
          <w:szCs w:val="21"/>
        </w:rPr>
        <w:t xml:space="preserve">固定单价 </w:t>
      </w:r>
      <w:r>
        <w:rPr>
          <w:rFonts w:hint="eastAsia" w:ascii="宋体" w:hAnsi="宋体"/>
          <w:iCs/>
          <w:color w:val="auto"/>
          <w:szCs w:val="21"/>
        </w:rPr>
        <w:sym w:font="Wingdings" w:char="00A8"/>
      </w:r>
      <w:r>
        <w:rPr>
          <w:rFonts w:hint="eastAsia" w:ascii="宋体" w:hAnsi="宋体"/>
          <w:iCs/>
          <w:color w:val="auto"/>
          <w:szCs w:val="21"/>
        </w:rPr>
        <w:t xml:space="preserve">成本补偿 </w:t>
      </w:r>
      <w:r>
        <w:rPr>
          <w:rFonts w:hint="eastAsia" w:ascii="宋体" w:hAnsi="宋体"/>
          <w:iCs/>
          <w:color w:val="auto"/>
          <w:szCs w:val="21"/>
        </w:rPr>
        <w:sym w:font="Wingdings" w:char="00A8"/>
      </w:r>
      <w:r>
        <w:rPr>
          <w:rFonts w:hint="eastAsia" w:ascii="宋体" w:hAnsi="宋体"/>
          <w:iCs/>
          <w:color w:val="auto"/>
          <w:szCs w:val="21"/>
        </w:rPr>
        <w:t>绩效激励</w:t>
      </w:r>
    </w:p>
    <w:p>
      <w:pPr>
        <w:pStyle w:val="26"/>
        <w:spacing w:line="360" w:lineRule="auto"/>
        <w:rPr>
          <w:rFonts w:eastAsia="宋体"/>
          <w:color w:val="auto"/>
        </w:rPr>
      </w:pPr>
      <w:r>
        <w:rPr>
          <w:rFonts w:hint="eastAsia" w:ascii="宋体" w:hAnsi="宋体" w:eastAsia="宋体"/>
          <w:color w:val="auto"/>
        </w:rPr>
        <w:t>（4）付款方式（按项目实际勾选填写）：</w:t>
      </w:r>
    </w:p>
    <w:p>
      <w:pPr>
        <w:adjustRightInd w:val="0"/>
        <w:snapToGrid w:val="0"/>
        <w:spacing w:before="156" w:beforeLines="50" w:line="360" w:lineRule="auto"/>
        <w:ind w:firstLine="630" w:firstLineChars="300"/>
        <w:rPr>
          <w:rFonts w:ascii="宋体" w:hAnsi="宋体" w:eastAsia="宋体"/>
          <w:color w:val="auto"/>
          <w:szCs w:val="21"/>
          <w:u w:val="single"/>
        </w:rPr>
      </w:pPr>
      <w:r>
        <w:rPr>
          <w:rFonts w:hint="eastAsia" w:ascii="宋体" w:hAnsi="宋体" w:eastAsia="宋体"/>
          <w:color w:val="auto"/>
          <w:szCs w:val="21"/>
        </w:rPr>
        <w:sym w:font="Wingdings" w:char="00A8"/>
      </w:r>
      <w:r>
        <w:rPr>
          <w:rFonts w:hint="eastAsia" w:ascii="宋体" w:hAnsi="宋体" w:eastAsia="宋体"/>
          <w:color w:val="auto"/>
          <w:szCs w:val="21"/>
        </w:rPr>
        <w:t>全额付款：</w:t>
      </w:r>
      <w:r>
        <w:rPr>
          <w:rFonts w:hint="eastAsia" w:ascii="宋体" w:hAnsi="宋体" w:eastAsia="宋体"/>
          <w:color w:val="auto"/>
          <w:szCs w:val="21"/>
          <w:u w:val="single"/>
        </w:rPr>
        <w:t xml:space="preserve">     （应一次性支付全部合同款项）                    </w:t>
      </w:r>
    </w:p>
    <w:p>
      <w:pPr>
        <w:adjustRightInd w:val="0"/>
        <w:snapToGrid w:val="0"/>
        <w:spacing w:before="156" w:beforeLines="50" w:line="360" w:lineRule="auto"/>
        <w:ind w:firstLine="630" w:firstLineChars="300"/>
        <w:rPr>
          <w:rFonts w:ascii="宋体" w:hAnsi="宋体" w:eastAsia="宋体"/>
          <w:color w:val="auto"/>
          <w:szCs w:val="21"/>
          <w:u w:val="single"/>
        </w:rPr>
      </w:pPr>
      <w:r>
        <w:rPr>
          <w:rFonts w:hint="eastAsia" w:ascii="宋体" w:hAnsi="宋体" w:eastAsia="宋体"/>
          <w:color w:val="auto"/>
          <w:szCs w:val="21"/>
        </w:rPr>
        <w:sym w:font="Wingdings" w:char="00A8"/>
      </w:r>
      <w:r>
        <w:rPr>
          <w:rFonts w:hint="eastAsia" w:ascii="宋体" w:hAnsi="宋体" w:eastAsia="宋体"/>
          <w:color w:val="auto"/>
          <w:szCs w:val="21"/>
        </w:rPr>
        <w:t>预付款：</w:t>
      </w:r>
      <w:r>
        <w:rPr>
          <w:rFonts w:hint="eastAsia" w:ascii="宋体" w:hAnsi="宋体" w:eastAsia="宋体"/>
          <w:color w:val="auto"/>
          <w:szCs w:val="21"/>
          <w:u w:val="single"/>
        </w:rPr>
        <w:t xml:space="preserve">    （应明确预付款的支付比例和支付条件）               </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sym w:font="Wingdings" w:char="00A8"/>
      </w:r>
      <w:r>
        <w:rPr>
          <w:rFonts w:hint="eastAsia" w:ascii="宋体" w:hAnsi="宋体" w:eastAsia="宋体"/>
          <w:color w:val="auto"/>
          <w:szCs w:val="21"/>
        </w:rPr>
        <w:t>分期付款：</w:t>
      </w:r>
      <w:r>
        <w:rPr>
          <w:rFonts w:hint="eastAsia" w:ascii="宋体" w:hAnsi="宋体" w:eastAsia="宋体"/>
          <w:color w:val="auto"/>
          <w:szCs w:val="21"/>
          <w:u w:val="single"/>
        </w:rPr>
        <w:t xml:space="preserve">     （应按照季度分期支付合同款项）                   </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sym w:font="Wingdings" w:char="00A8"/>
      </w:r>
      <w:r>
        <w:rPr>
          <w:rFonts w:hint="eastAsia" w:ascii="宋体" w:hAnsi="宋体" w:eastAsia="宋体"/>
          <w:color w:val="auto"/>
          <w:szCs w:val="21"/>
        </w:rPr>
        <w:t>成本补偿：</w:t>
      </w:r>
      <w:r>
        <w:rPr>
          <w:rFonts w:hint="eastAsia" w:ascii="宋体" w:hAnsi="宋体" w:eastAsia="宋体"/>
          <w:color w:val="auto"/>
          <w:szCs w:val="21"/>
          <w:u w:val="single"/>
        </w:rPr>
        <w:t xml:space="preserve">      （应明确按照成本补偿方式的支付方式和支付条件）   </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sym w:font="Wingdings" w:char="00A8"/>
      </w:r>
      <w:r>
        <w:rPr>
          <w:rFonts w:hint="eastAsia" w:ascii="宋体" w:hAnsi="宋体" w:eastAsia="宋体"/>
          <w:color w:val="auto"/>
          <w:szCs w:val="21"/>
        </w:rPr>
        <w:t>绩效激励：</w:t>
      </w:r>
      <w:r>
        <w:rPr>
          <w:rFonts w:hint="eastAsia" w:ascii="宋体" w:hAnsi="宋体" w:eastAsia="宋体"/>
          <w:color w:val="auto"/>
          <w:szCs w:val="21"/>
          <w:u w:val="single"/>
        </w:rPr>
        <w:t xml:space="preserve">      （应明确按照绩效激励方式的支付方式和支付条件）   </w:t>
      </w:r>
    </w:p>
    <w:p>
      <w:pPr>
        <w:adjustRightInd w:val="0"/>
        <w:snapToGrid w:val="0"/>
        <w:spacing w:before="156" w:beforeLines="50" w:line="360" w:lineRule="auto"/>
        <w:ind w:firstLine="422" w:firstLineChars="200"/>
        <w:rPr>
          <w:rFonts w:ascii="宋体" w:hAnsi="宋体" w:eastAsia="宋体"/>
          <w:color w:val="auto"/>
          <w:szCs w:val="21"/>
          <w:u w:val="single"/>
        </w:rPr>
      </w:pPr>
      <w:r>
        <w:rPr>
          <w:rFonts w:hint="eastAsia" w:ascii="宋体" w:hAnsi="宋体" w:eastAsia="宋体"/>
          <w:b/>
          <w:color w:val="auto"/>
          <w:szCs w:val="21"/>
        </w:rPr>
        <w:t>3.合同履行</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（1）起始日期：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日，完成日期：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日。总日历天数：</w:t>
      </w:r>
      <w:r>
        <w:rPr>
          <w:rFonts w:hint="eastAsia" w:ascii="宋体" w:hAnsi="宋体" w:eastAsia="宋体"/>
          <w:color w:val="auto"/>
          <w:szCs w:val="21"/>
          <w:u w:val="single"/>
        </w:rPr>
        <w:t xml:space="preserve">     </w:t>
      </w:r>
      <w:r>
        <w:rPr>
          <w:rFonts w:hint="eastAsia" w:ascii="宋体" w:hAnsi="宋体" w:eastAsia="宋体"/>
          <w:color w:val="auto"/>
          <w:szCs w:val="21"/>
        </w:rPr>
        <w:t>天。</w:t>
      </w:r>
    </w:p>
    <w:p>
      <w:pPr>
        <w:adjustRightInd w:val="0"/>
        <w:snapToGrid w:val="0"/>
        <w:spacing w:before="156" w:beforeLines="50" w:line="360" w:lineRule="auto"/>
        <w:ind w:firstLine="420" w:firstLineChars="200"/>
        <w:rPr>
          <w:rFonts w:ascii="宋体" w:hAnsi="宋体" w:eastAsia="宋体"/>
          <w:color w:val="auto"/>
          <w:szCs w:val="21"/>
          <w:u w:val="single"/>
        </w:rPr>
      </w:pPr>
      <w:r>
        <w:rPr>
          <w:rFonts w:hint="eastAsia" w:ascii="宋体" w:hAnsi="宋体" w:eastAsia="宋体"/>
          <w:color w:val="auto"/>
          <w:szCs w:val="21"/>
        </w:rPr>
        <w:t>（2）地点</w:t>
      </w:r>
      <w:r>
        <w:rPr>
          <w:rFonts w:hint="eastAsia" w:ascii="宋体" w:hAnsi="宋体" w:eastAsia="宋体"/>
          <w:b/>
          <w:color w:val="auto"/>
          <w:szCs w:val="21"/>
        </w:rPr>
        <w:t>：</w:t>
      </w:r>
      <w:r>
        <w:rPr>
          <w:rFonts w:hint="eastAsia" w:ascii="宋体" w:hAnsi="宋体" w:eastAsia="宋体"/>
          <w:color w:val="auto"/>
          <w:szCs w:val="21"/>
          <w:u w:val="single"/>
        </w:rPr>
        <w:t xml:space="preserve">                             </w:t>
      </w:r>
    </w:p>
    <w:p>
      <w:pPr>
        <w:adjustRightInd w:val="0"/>
        <w:snapToGrid w:val="0"/>
        <w:spacing w:before="156" w:beforeLines="50" w:line="360" w:lineRule="auto"/>
        <w:ind w:firstLine="420" w:firstLineChars="200"/>
        <w:rPr>
          <w:rFonts w:ascii="宋体" w:hAnsi="宋体" w:eastAsia="宋体"/>
          <w:color w:val="auto"/>
          <w:szCs w:val="21"/>
          <w:u w:val="single"/>
        </w:rPr>
      </w:pPr>
      <w:r>
        <w:rPr>
          <w:rFonts w:hint="eastAsia" w:ascii="宋体" w:hAnsi="宋体" w:eastAsia="宋体"/>
          <w:color w:val="auto"/>
          <w:szCs w:val="21"/>
        </w:rPr>
        <w:t>（3）方式：</w:t>
      </w:r>
      <w:r>
        <w:rPr>
          <w:rFonts w:hint="eastAsia" w:ascii="宋体" w:hAnsi="宋体" w:eastAsia="宋体"/>
          <w:color w:val="auto"/>
          <w:szCs w:val="21"/>
          <w:u w:val="single"/>
        </w:rPr>
        <w:t xml:space="preserve">                             </w:t>
      </w:r>
    </w:p>
    <w:p>
      <w:pPr>
        <w:adjustRightInd w:val="0"/>
        <w:snapToGrid w:val="0"/>
        <w:spacing w:before="156" w:beforeLines="50" w:line="360" w:lineRule="auto"/>
        <w:ind w:firstLine="420" w:firstLineChars="200"/>
        <w:rPr>
          <w:rFonts w:ascii="宋体" w:hAnsi="宋体" w:eastAsia="宋体"/>
          <w:bCs/>
          <w:color w:val="auto"/>
          <w:szCs w:val="21"/>
        </w:rPr>
      </w:pPr>
      <w:r>
        <w:rPr>
          <w:rFonts w:hint="eastAsia" w:ascii="宋体" w:hAnsi="宋体" w:eastAsia="宋体"/>
          <w:bCs/>
          <w:color w:val="auto"/>
          <w:szCs w:val="21"/>
        </w:rPr>
        <w:t>（4）履约担保：</w:t>
      </w:r>
      <w:r>
        <w:rPr>
          <w:rFonts w:hint="eastAsia" w:ascii="宋体" w:hAnsi="宋体" w:eastAsia="宋体"/>
          <w:bCs/>
          <w:color w:val="auto"/>
          <w:szCs w:val="21"/>
          <w:u w:val="single"/>
        </w:rPr>
        <w:t>履约担保的金额、形式和期限要求</w:t>
      </w:r>
      <w:r>
        <w:rPr>
          <w:rFonts w:hint="eastAsia" w:ascii="宋体" w:hAnsi="宋体" w:eastAsia="宋体"/>
          <w:bCs/>
          <w:color w:val="auto"/>
          <w:szCs w:val="21"/>
        </w:rPr>
        <w:t>。</w:t>
      </w:r>
    </w:p>
    <w:p>
      <w:pPr>
        <w:adjustRightInd w:val="0"/>
        <w:snapToGrid w:val="0"/>
        <w:spacing w:before="156" w:beforeLines="50" w:line="360" w:lineRule="auto"/>
        <w:ind w:firstLine="420" w:firstLineChars="200"/>
        <w:rPr>
          <w:rFonts w:ascii="宋体" w:hAnsi="宋体" w:eastAsia="宋体"/>
          <w:bCs/>
          <w:color w:val="auto"/>
          <w:szCs w:val="21"/>
        </w:rPr>
      </w:pPr>
      <w:r>
        <w:rPr>
          <w:rFonts w:hint="eastAsia" w:ascii="宋体" w:hAnsi="宋体" w:eastAsia="宋体"/>
          <w:bCs/>
          <w:color w:val="auto"/>
          <w:szCs w:val="21"/>
        </w:rPr>
        <w:t>（5）质量保证金：</w:t>
      </w:r>
      <w:r>
        <w:rPr>
          <w:rFonts w:hint="eastAsia" w:ascii="宋体" w:hAnsi="宋体" w:eastAsia="宋体"/>
          <w:bCs/>
          <w:color w:val="auto"/>
          <w:szCs w:val="21"/>
          <w:u w:val="single"/>
        </w:rPr>
        <w:t>质量保证金的金额、形式和期限要求</w:t>
      </w:r>
      <w:r>
        <w:rPr>
          <w:rFonts w:hint="eastAsia" w:ascii="宋体" w:hAnsi="宋体" w:eastAsia="宋体"/>
          <w:bCs/>
          <w:color w:val="auto"/>
          <w:szCs w:val="21"/>
        </w:rPr>
        <w:t>。</w:t>
      </w:r>
    </w:p>
    <w:p>
      <w:pPr>
        <w:adjustRightInd w:val="0"/>
        <w:snapToGrid w:val="0"/>
        <w:spacing w:before="156" w:beforeLines="50" w:line="360" w:lineRule="auto"/>
        <w:ind w:firstLine="422" w:firstLineChars="200"/>
        <w:rPr>
          <w:rFonts w:ascii="宋体" w:hAnsi="宋体" w:eastAsia="宋体"/>
          <w:b/>
          <w:color w:val="auto"/>
          <w:szCs w:val="21"/>
        </w:rPr>
      </w:pPr>
      <w:r>
        <w:rPr>
          <w:rFonts w:hint="eastAsia" w:ascii="宋体" w:hAnsi="宋体" w:eastAsia="宋体"/>
          <w:b/>
          <w:color w:val="auto"/>
          <w:szCs w:val="21"/>
        </w:rPr>
        <w:t>4.合同验收</w:t>
      </w:r>
    </w:p>
    <w:p>
      <w:pPr>
        <w:adjustRightInd w:val="0"/>
        <w:snapToGrid w:val="0"/>
        <w:spacing w:before="156" w:beforeLines="50" w:line="360" w:lineRule="auto"/>
        <w:ind w:firstLine="420" w:firstLineChars="200"/>
        <w:rPr>
          <w:rFonts w:ascii="宋体" w:hAnsi="宋体" w:eastAsia="宋体"/>
          <w:bCs/>
          <w:color w:val="auto"/>
          <w:szCs w:val="21"/>
        </w:rPr>
      </w:pPr>
      <w:r>
        <w:rPr>
          <w:rFonts w:hint="eastAsia" w:ascii="宋体" w:hAnsi="宋体" w:eastAsia="宋体"/>
          <w:bCs/>
          <w:color w:val="auto"/>
          <w:szCs w:val="21"/>
        </w:rPr>
        <w:t>（1）验收主体：</w:t>
      </w:r>
      <w:r>
        <w:rPr>
          <w:rFonts w:hint="eastAsia" w:ascii="宋体" w:hAnsi="宋体" w:eastAsia="宋体"/>
          <w:bCs/>
          <w:color w:val="auto"/>
          <w:szCs w:val="21"/>
          <w:u w:val="single"/>
        </w:rPr>
        <w:t xml:space="preserve">                             </w:t>
      </w:r>
      <w:r>
        <w:rPr>
          <w:rFonts w:hint="eastAsia" w:ascii="宋体" w:hAnsi="宋体" w:eastAsia="宋体"/>
          <w:bCs/>
          <w:color w:val="auto"/>
          <w:szCs w:val="21"/>
        </w:rPr>
        <w:t>。</w:t>
      </w:r>
    </w:p>
    <w:p>
      <w:pPr>
        <w:adjustRightInd w:val="0"/>
        <w:snapToGrid w:val="0"/>
        <w:spacing w:before="156" w:beforeLines="50" w:line="360" w:lineRule="auto"/>
        <w:ind w:firstLine="420" w:firstLineChars="200"/>
        <w:rPr>
          <w:rFonts w:ascii="宋体" w:hAnsi="宋体" w:eastAsia="宋体"/>
          <w:bCs/>
          <w:color w:val="auto"/>
          <w:szCs w:val="21"/>
        </w:rPr>
      </w:pPr>
      <w:r>
        <w:rPr>
          <w:rFonts w:hint="eastAsia" w:ascii="宋体" w:hAnsi="宋体" w:eastAsia="宋体"/>
          <w:bCs/>
          <w:color w:val="auto"/>
          <w:szCs w:val="21"/>
        </w:rPr>
        <w:t>（2）验收方式：</w:t>
      </w:r>
      <w:r>
        <w:rPr>
          <w:rFonts w:hint="eastAsia" w:ascii="宋体" w:hAnsi="宋体" w:eastAsia="宋体"/>
          <w:bCs/>
          <w:color w:val="auto"/>
          <w:szCs w:val="21"/>
          <w:u w:val="single"/>
        </w:rPr>
        <w:t xml:space="preserve">                             </w:t>
      </w:r>
      <w:r>
        <w:rPr>
          <w:rFonts w:hint="eastAsia" w:ascii="宋体" w:hAnsi="宋体" w:eastAsia="宋体"/>
          <w:bCs/>
          <w:color w:val="auto"/>
          <w:szCs w:val="21"/>
        </w:rPr>
        <w:t>。</w:t>
      </w:r>
    </w:p>
    <w:p>
      <w:pPr>
        <w:adjustRightInd w:val="0"/>
        <w:snapToGrid w:val="0"/>
        <w:spacing w:before="156" w:beforeLines="50" w:line="360" w:lineRule="auto"/>
        <w:ind w:firstLine="420" w:firstLineChars="200"/>
        <w:rPr>
          <w:rFonts w:ascii="宋体" w:hAnsi="宋体" w:eastAsia="宋体"/>
          <w:bCs/>
          <w:color w:val="auto"/>
          <w:szCs w:val="21"/>
        </w:rPr>
      </w:pPr>
      <w:r>
        <w:rPr>
          <w:rFonts w:hint="eastAsia" w:ascii="宋体" w:hAnsi="宋体" w:eastAsia="宋体"/>
          <w:bCs/>
          <w:color w:val="auto"/>
          <w:szCs w:val="21"/>
        </w:rPr>
        <w:t>（3）验收标准：</w:t>
      </w:r>
      <w:r>
        <w:rPr>
          <w:rFonts w:hint="eastAsia" w:ascii="宋体" w:hAnsi="宋体" w:eastAsia="宋体"/>
          <w:bCs/>
          <w:color w:val="auto"/>
          <w:szCs w:val="21"/>
          <w:u w:val="single"/>
        </w:rPr>
        <w:t xml:space="preserve">                             </w:t>
      </w:r>
      <w:r>
        <w:rPr>
          <w:rFonts w:hint="eastAsia" w:ascii="宋体" w:hAnsi="宋体" w:eastAsia="宋体"/>
          <w:bCs/>
          <w:color w:val="auto"/>
          <w:szCs w:val="21"/>
        </w:rPr>
        <w:t>。</w:t>
      </w:r>
    </w:p>
    <w:p>
      <w:pPr>
        <w:adjustRightInd w:val="0"/>
        <w:snapToGrid w:val="0"/>
        <w:spacing w:before="156" w:beforeLines="50" w:line="360" w:lineRule="auto"/>
        <w:ind w:firstLine="422" w:firstLineChars="200"/>
        <w:rPr>
          <w:rFonts w:ascii="宋体" w:hAnsi="宋体" w:eastAsia="宋体"/>
          <w:b/>
          <w:color w:val="auto"/>
          <w:szCs w:val="21"/>
        </w:rPr>
      </w:pPr>
      <w:r>
        <w:rPr>
          <w:rFonts w:hint="eastAsia" w:ascii="宋体" w:hAnsi="宋体" w:eastAsia="宋体"/>
          <w:b/>
          <w:color w:val="auto"/>
          <w:szCs w:val="21"/>
        </w:rPr>
        <w:t>5.组成合同的文件</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本协议书与下列文件一起构成合同文件，如下述文件之间有任何抵触、矛盾或歧义，应按以下顺序解释：</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（1）在采购或合同履行过程中乙方作出的承诺以及双方协商达成的变更或补充协议</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（2）本合同协议书</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（3）中标通知书</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（4）投标文件</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（5）政府采购合同专用条款</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（6）政府采购合同通用条款</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（7）标准、规范及有关技术文件，图纸。</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（8）其他合同文件。</w:t>
      </w:r>
    </w:p>
    <w:p>
      <w:pPr>
        <w:adjustRightInd w:val="0"/>
        <w:snapToGrid w:val="0"/>
        <w:spacing w:before="156" w:beforeLines="50" w:line="360" w:lineRule="auto"/>
        <w:ind w:firstLine="310" w:firstLineChars="147"/>
        <w:rPr>
          <w:rFonts w:ascii="宋体" w:hAnsi="宋体" w:eastAsia="宋体"/>
          <w:b/>
          <w:color w:val="auto"/>
          <w:szCs w:val="21"/>
        </w:rPr>
      </w:pPr>
      <w:r>
        <w:rPr>
          <w:rFonts w:hint="eastAsia" w:ascii="宋体" w:hAnsi="宋体" w:eastAsia="宋体"/>
          <w:b/>
          <w:color w:val="auto"/>
          <w:szCs w:val="21"/>
        </w:rPr>
        <w:t>6.合同生效</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本合同自</w:t>
      </w:r>
      <w:r>
        <w:rPr>
          <w:rFonts w:hint="eastAsia" w:ascii="宋体" w:hAnsi="宋体" w:eastAsia="宋体"/>
          <w:color w:val="auto"/>
          <w:szCs w:val="21"/>
          <w:u w:val="single"/>
        </w:rPr>
        <w:t xml:space="preserve">                             </w:t>
      </w:r>
      <w:r>
        <w:rPr>
          <w:rFonts w:hint="eastAsia" w:ascii="宋体" w:hAnsi="宋体" w:eastAsia="宋体"/>
          <w:color w:val="auto"/>
          <w:szCs w:val="21"/>
        </w:rPr>
        <w:t>生效。</w:t>
      </w:r>
    </w:p>
    <w:p>
      <w:pPr>
        <w:adjustRightInd w:val="0"/>
        <w:snapToGrid w:val="0"/>
        <w:spacing w:before="156" w:beforeLines="50" w:line="360" w:lineRule="auto"/>
        <w:ind w:firstLine="310" w:firstLineChars="147"/>
        <w:rPr>
          <w:rFonts w:ascii="宋体" w:hAnsi="宋体" w:eastAsia="宋体"/>
          <w:b/>
          <w:color w:val="auto"/>
          <w:szCs w:val="21"/>
        </w:rPr>
      </w:pPr>
      <w:r>
        <w:rPr>
          <w:rFonts w:hint="eastAsia" w:ascii="宋体" w:hAnsi="宋体" w:eastAsia="宋体"/>
          <w:b/>
          <w:color w:val="auto"/>
          <w:szCs w:val="21"/>
        </w:rPr>
        <w:t>7.合同份数</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本合同一式</w:t>
      </w:r>
      <w:r>
        <w:rPr>
          <w:rFonts w:hint="eastAsia" w:ascii="宋体" w:hAnsi="宋体" w:eastAsia="宋体"/>
          <w:color w:val="auto"/>
          <w:szCs w:val="21"/>
          <w:u w:val="single"/>
        </w:rPr>
        <w:t xml:space="preserve">    </w:t>
      </w:r>
      <w:r>
        <w:rPr>
          <w:rFonts w:hint="eastAsia" w:ascii="宋体" w:hAnsi="宋体" w:eastAsia="宋体"/>
          <w:color w:val="auto"/>
          <w:szCs w:val="21"/>
        </w:rPr>
        <w:t>份，采购人执</w:t>
      </w:r>
      <w:r>
        <w:rPr>
          <w:rFonts w:hint="eastAsia" w:ascii="宋体" w:hAnsi="宋体" w:eastAsia="宋体"/>
          <w:color w:val="auto"/>
          <w:szCs w:val="21"/>
          <w:u w:val="single"/>
        </w:rPr>
        <w:t xml:space="preserve">   </w:t>
      </w:r>
      <w:r>
        <w:rPr>
          <w:rFonts w:hint="eastAsia" w:ascii="宋体" w:hAnsi="宋体" w:eastAsia="宋体"/>
          <w:color w:val="auto"/>
          <w:szCs w:val="21"/>
        </w:rPr>
        <w:t>份，供应商执</w:t>
      </w:r>
      <w:r>
        <w:rPr>
          <w:rFonts w:hint="eastAsia" w:ascii="宋体" w:hAnsi="宋体" w:eastAsia="宋体"/>
          <w:color w:val="auto"/>
          <w:szCs w:val="21"/>
          <w:u w:val="single"/>
        </w:rPr>
        <w:t xml:space="preserve">   </w:t>
      </w:r>
      <w:r>
        <w:rPr>
          <w:rFonts w:hint="eastAsia" w:ascii="宋体" w:hAnsi="宋体" w:eastAsia="宋体"/>
          <w:color w:val="auto"/>
          <w:szCs w:val="21"/>
        </w:rPr>
        <w:t>份，均具有同等法律效力。</w:t>
      </w:r>
    </w:p>
    <w:p>
      <w:pPr>
        <w:adjustRightInd w:val="0"/>
        <w:snapToGrid w:val="0"/>
        <w:spacing w:before="156" w:beforeLines="50" w:line="360" w:lineRule="auto"/>
        <w:rPr>
          <w:rFonts w:ascii="宋体" w:hAnsi="宋体" w:eastAsia="宋体"/>
          <w:color w:val="auto"/>
          <w:szCs w:val="21"/>
        </w:rPr>
      </w:pP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合同订立时间：</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合同订立地点：</w:t>
      </w:r>
      <w:r>
        <w:rPr>
          <w:rFonts w:hint="eastAsia" w:ascii="宋体" w:hAnsi="宋体" w:eastAsia="宋体"/>
          <w:color w:val="auto"/>
          <w:szCs w:val="21"/>
          <w:u w:val="single"/>
        </w:rPr>
        <w:t xml:space="preserve">                           </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附件：</w:t>
      </w:r>
      <w:r>
        <w:rPr>
          <w:rFonts w:hint="eastAsia" w:ascii="宋体" w:hAnsi="宋体"/>
          <w:color w:val="auto"/>
          <w:szCs w:val="21"/>
          <w:lang w:val="en-US" w:eastAsia="zh-CN"/>
        </w:rPr>
        <w:t>具体标的明细、分包合同等。</w:t>
      </w:r>
      <w:r>
        <w:rPr>
          <w:rFonts w:hint="eastAsia" w:ascii="宋体" w:hAnsi="宋体" w:eastAsia="宋体"/>
          <w:color w:val="auto"/>
          <w:szCs w:val="21"/>
        </w:rPr>
        <w:t xml:space="preserve">    </w:t>
      </w:r>
    </w:p>
    <w:p>
      <w:pPr>
        <w:pStyle w:val="26"/>
        <w:rPr>
          <w:rFonts w:ascii="宋体" w:hAnsi="宋体" w:eastAsia="宋体"/>
          <w:color w:val="auto"/>
        </w:rPr>
      </w:pPr>
    </w:p>
    <w:p>
      <w:pPr>
        <w:pStyle w:val="26"/>
        <w:rPr>
          <w:rFonts w:ascii="宋体" w:hAnsi="宋体" w:eastAsia="宋体"/>
          <w:color w:val="auto"/>
        </w:rPr>
      </w:pP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甲      方：（公章）                     乙      方：（公章）</w:t>
      </w: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法定代表人：</w:t>
      </w:r>
      <w:r>
        <w:rPr>
          <w:rFonts w:hint="eastAsia" w:ascii="宋体" w:hAnsi="宋体" w:eastAsia="宋体"/>
          <w:color w:val="auto"/>
          <w:szCs w:val="21"/>
          <w:u w:val="single"/>
        </w:rPr>
        <w:t xml:space="preserve">                   </w:t>
      </w:r>
      <w:r>
        <w:rPr>
          <w:rFonts w:hint="eastAsia" w:ascii="宋体" w:hAnsi="宋体" w:eastAsia="宋体"/>
          <w:color w:val="auto"/>
          <w:szCs w:val="21"/>
        </w:rPr>
        <w:t xml:space="preserve">         法定代表人：</w:t>
      </w:r>
      <w:r>
        <w:rPr>
          <w:rFonts w:hint="eastAsia" w:ascii="宋体" w:hAnsi="宋体" w:eastAsia="宋体"/>
          <w:color w:val="auto"/>
          <w:szCs w:val="21"/>
          <w:u w:val="single"/>
        </w:rPr>
        <w:t xml:space="preserve">                   </w:t>
      </w: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委托代理人：</w:t>
      </w:r>
      <w:r>
        <w:rPr>
          <w:rFonts w:hint="eastAsia" w:ascii="宋体" w:hAnsi="宋体" w:eastAsia="宋体"/>
          <w:color w:val="auto"/>
          <w:szCs w:val="21"/>
          <w:u w:val="single"/>
        </w:rPr>
        <w:t xml:space="preserve">                   </w:t>
      </w:r>
      <w:r>
        <w:rPr>
          <w:rFonts w:hint="eastAsia" w:ascii="宋体" w:hAnsi="宋体" w:eastAsia="宋体"/>
          <w:color w:val="auto"/>
          <w:szCs w:val="21"/>
        </w:rPr>
        <w:t xml:space="preserve">         委托代理人：</w:t>
      </w:r>
      <w:r>
        <w:rPr>
          <w:rFonts w:hint="eastAsia" w:ascii="宋体" w:hAnsi="宋体" w:eastAsia="宋体"/>
          <w:color w:val="auto"/>
          <w:szCs w:val="21"/>
          <w:u w:val="single"/>
        </w:rPr>
        <w:t xml:space="preserve">                   </w:t>
      </w: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电      话：</w:t>
      </w:r>
      <w:r>
        <w:rPr>
          <w:rFonts w:hint="eastAsia" w:ascii="宋体" w:hAnsi="宋体" w:eastAsia="宋体"/>
          <w:color w:val="auto"/>
          <w:szCs w:val="21"/>
          <w:u w:val="single"/>
        </w:rPr>
        <w:t xml:space="preserve">                   </w:t>
      </w:r>
      <w:r>
        <w:rPr>
          <w:rFonts w:hint="eastAsia" w:ascii="宋体" w:hAnsi="宋体" w:eastAsia="宋体"/>
          <w:color w:val="auto"/>
          <w:szCs w:val="21"/>
        </w:rPr>
        <w:t xml:space="preserve">         电      话：</w:t>
      </w:r>
      <w:r>
        <w:rPr>
          <w:rFonts w:hint="eastAsia" w:ascii="宋体" w:hAnsi="宋体" w:eastAsia="宋体"/>
          <w:color w:val="auto"/>
          <w:szCs w:val="21"/>
          <w:u w:val="single"/>
        </w:rPr>
        <w:t xml:space="preserve">                   </w:t>
      </w:r>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传      真：</w:t>
      </w:r>
      <w:r>
        <w:rPr>
          <w:rFonts w:hint="eastAsia" w:ascii="宋体" w:hAnsi="宋体" w:eastAsia="宋体"/>
          <w:color w:val="auto"/>
          <w:szCs w:val="21"/>
          <w:u w:val="single"/>
        </w:rPr>
        <w:t xml:space="preserve">                   </w:t>
      </w:r>
      <w:r>
        <w:rPr>
          <w:rFonts w:hint="eastAsia" w:ascii="宋体" w:hAnsi="宋体" w:eastAsia="宋体"/>
          <w:color w:val="auto"/>
          <w:szCs w:val="21"/>
        </w:rPr>
        <w:t xml:space="preserve">         传      真：</w:t>
      </w:r>
      <w:r>
        <w:rPr>
          <w:rFonts w:hint="eastAsia" w:ascii="宋体" w:hAnsi="宋体" w:eastAsia="宋体"/>
          <w:color w:val="auto"/>
          <w:szCs w:val="21"/>
          <w:u w:val="single"/>
        </w:rPr>
        <w:t xml:space="preserve">                   </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 xml:space="preserve">                                    开 户 银 行：</w:t>
      </w:r>
      <w:r>
        <w:rPr>
          <w:rFonts w:hint="eastAsia" w:ascii="宋体" w:hAnsi="宋体" w:eastAsia="宋体"/>
          <w:color w:val="auto"/>
          <w:szCs w:val="21"/>
          <w:u w:val="single"/>
        </w:rPr>
        <w:t xml:space="preserve">                   </w:t>
      </w:r>
    </w:p>
    <w:p>
      <w:pPr>
        <w:adjustRightInd w:val="0"/>
        <w:snapToGrid w:val="0"/>
        <w:spacing w:before="156" w:beforeLines="50" w:line="360" w:lineRule="auto"/>
        <w:jc w:val="center"/>
        <w:rPr>
          <w:rFonts w:ascii="宋体" w:hAnsi="宋体" w:eastAsia="宋体"/>
          <w:b/>
          <w:color w:val="auto"/>
          <w:szCs w:val="21"/>
        </w:rPr>
      </w:pPr>
      <w:r>
        <w:rPr>
          <w:rFonts w:hint="eastAsia" w:ascii="宋体" w:hAnsi="宋体" w:eastAsia="宋体"/>
          <w:color w:val="auto"/>
          <w:szCs w:val="21"/>
        </w:rPr>
        <w:t xml:space="preserve">         账       号：</w:t>
      </w:r>
      <w:r>
        <w:rPr>
          <w:rFonts w:hint="eastAsia" w:ascii="宋体" w:hAnsi="宋体" w:eastAsia="宋体"/>
          <w:color w:val="auto"/>
          <w:szCs w:val="21"/>
          <w:u w:val="single"/>
        </w:rPr>
        <w:t xml:space="preserve">                   </w:t>
      </w:r>
    </w:p>
    <w:p>
      <w:pPr>
        <w:pStyle w:val="3"/>
        <w:adjustRightInd w:val="0"/>
        <w:snapToGrid w:val="0"/>
        <w:spacing w:before="156" w:beforeLines="50"/>
        <w:jc w:val="center"/>
        <w:rPr>
          <w:rFonts w:ascii="黑体" w:hAnsi="黑体" w:eastAsia="黑体"/>
          <w:color w:val="auto"/>
          <w:sz w:val="28"/>
          <w:szCs w:val="28"/>
        </w:rPr>
      </w:pPr>
      <w:r>
        <w:rPr>
          <w:rFonts w:ascii="宋体" w:hAnsi="宋体" w:eastAsia="宋体"/>
          <w:color w:val="auto"/>
          <w:sz w:val="21"/>
          <w:szCs w:val="21"/>
          <w:u w:val="single"/>
        </w:rPr>
        <w:br w:type="page"/>
      </w:r>
      <w:bookmarkStart w:id="61" w:name="_Toc27624"/>
      <w:r>
        <w:rPr>
          <w:rFonts w:hint="eastAsia" w:ascii="黑体" w:hAnsi="黑体" w:eastAsia="黑体"/>
          <w:color w:val="auto"/>
          <w:sz w:val="28"/>
          <w:szCs w:val="28"/>
        </w:rPr>
        <w:t>第二节 政府采购合同通用条款</w:t>
      </w:r>
      <w:bookmarkEnd w:id="61"/>
    </w:p>
    <w:p>
      <w:pPr>
        <w:tabs>
          <w:tab w:val="left" w:pos="8820"/>
          <w:tab w:val="left" w:pos="9345"/>
          <w:tab w:val="left" w:pos="9765"/>
        </w:tabs>
        <w:adjustRightInd w:val="0"/>
        <w:snapToGrid w:val="0"/>
        <w:spacing w:before="50" w:line="360" w:lineRule="auto"/>
        <w:jc w:val="left"/>
        <w:rPr>
          <w:rFonts w:ascii="宋体" w:hAnsi="宋体" w:eastAsia="宋体"/>
          <w:b/>
          <w:bCs/>
          <w:color w:val="auto"/>
          <w:sz w:val="24"/>
        </w:rPr>
      </w:pPr>
      <w:r>
        <w:rPr>
          <w:rFonts w:hint="eastAsia" w:ascii="宋体" w:hAnsi="宋体" w:eastAsia="宋体"/>
          <w:b/>
          <w:color w:val="auto"/>
          <w:sz w:val="24"/>
        </w:rPr>
        <w:t>1.</w:t>
      </w:r>
      <w:r>
        <w:rPr>
          <w:rFonts w:hint="eastAsia" w:ascii="宋体" w:hAnsi="宋体" w:eastAsia="宋体"/>
          <w:b/>
          <w:bCs/>
          <w:color w:val="auto"/>
          <w:sz w:val="24"/>
        </w:rPr>
        <w:t>定义</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1.1合同当事人</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（1）采购人（以下称甲方）是指使用财政性资金，通过政府采购方式向供应商购买货物、服务的国家机关、事业单位、团体组织。本次采购的甲方名称、地址见</w:t>
      </w:r>
      <w:r>
        <w:rPr>
          <w:rFonts w:hint="eastAsia" w:ascii="宋体" w:hAnsi="宋体" w:eastAsia="宋体"/>
          <w:b/>
          <w:color w:val="auto"/>
          <w:szCs w:val="21"/>
        </w:rPr>
        <w:t>【政府采购合同专用条款】。</w:t>
      </w:r>
    </w:p>
    <w:p>
      <w:pPr>
        <w:autoSpaceDE w:val="0"/>
        <w:autoSpaceDN w:val="0"/>
        <w:adjustRightInd w:val="0"/>
        <w:snapToGrid w:val="0"/>
        <w:spacing w:before="50" w:line="360" w:lineRule="auto"/>
        <w:ind w:firstLine="420" w:firstLineChars="200"/>
        <w:jc w:val="left"/>
        <w:rPr>
          <w:rFonts w:ascii="宋体" w:hAnsi="宋体" w:eastAsia="宋体"/>
          <w:b/>
          <w:color w:val="auto"/>
          <w:szCs w:val="21"/>
        </w:rPr>
      </w:pPr>
      <w:r>
        <w:rPr>
          <w:rFonts w:hint="eastAsia" w:ascii="宋体" w:hAnsi="宋体" w:eastAsia="宋体"/>
          <w:color w:val="auto"/>
          <w:szCs w:val="21"/>
        </w:rPr>
        <w:t>（2）供应商（以下称乙方）是指参加政府采购活动而取得中标结果，并向采购人提供货物、服务的法人、其他组织或者自然人。</w:t>
      </w:r>
    </w:p>
    <w:p>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1.2本合同下列术语应解释为：</w:t>
      </w:r>
    </w:p>
    <w:p>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（1）“合同”系指甲乙双方签署的、政府采购合同协议书中载明的甲乙双方所达成的协议，包括所有的附件、附录和上述文件所提到的构成合同的所有文件。</w:t>
      </w:r>
    </w:p>
    <w:p>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（2）“合同价”系指根据本合同规定乙方在正确地完全履行合同义务后甲方应支付给乙方的价款。</w:t>
      </w:r>
    </w:p>
    <w:p>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（3）“货物”系指乙方根据本合同规定须向甲方提供的各种形态和种类的物品，包括原材料、设备、产品（包括软件）及相关的其备品备件、工具、手册及其它技术资料和材料。</w:t>
      </w:r>
    </w:p>
    <w:p>
      <w:pPr>
        <w:tabs>
          <w:tab w:val="left" w:pos="570"/>
          <w:tab w:val="left" w:pos="8880"/>
          <w:tab w:val="left" w:pos="9555"/>
        </w:tabs>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服务”系指根据合同规定，乙方应提供的技术、管理和其它服务，包括但不限于：管理和质量保证、运输、保险、检验、现场准备、安装、集成、调试、培训、维修、技术支持等以及合同中规定乙方应承担的其它义务。</w:t>
      </w:r>
    </w:p>
    <w:p>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（5）“合同条款”系指本合同及其附件、补充文件约定的全部条款。</w:t>
      </w:r>
    </w:p>
    <w:p>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（6）“项目现场”系指本合同项下货物安装、运行的现场，其名称见</w:t>
      </w:r>
      <w:r>
        <w:rPr>
          <w:rFonts w:hint="eastAsia" w:ascii="宋体" w:hAnsi="宋体" w:eastAsia="宋体"/>
          <w:b/>
          <w:color w:val="auto"/>
          <w:szCs w:val="21"/>
        </w:rPr>
        <w:t>【政府采购合同专用条款】</w:t>
      </w:r>
      <w:r>
        <w:rPr>
          <w:rFonts w:hint="eastAsia" w:ascii="宋体" w:hAnsi="宋体" w:eastAsia="宋体"/>
          <w:color w:val="auto"/>
          <w:szCs w:val="21"/>
        </w:rPr>
        <w:t>。</w:t>
      </w:r>
    </w:p>
    <w:p>
      <w:pPr>
        <w:autoSpaceDE w:val="0"/>
        <w:autoSpaceDN w:val="0"/>
        <w:adjustRightInd w:val="0"/>
        <w:snapToGrid w:val="0"/>
        <w:spacing w:before="50" w:line="360" w:lineRule="auto"/>
        <w:jc w:val="left"/>
        <w:rPr>
          <w:rFonts w:ascii="宋体" w:hAnsi="宋体" w:eastAsia="宋体"/>
          <w:b/>
          <w:color w:val="auto"/>
          <w:sz w:val="24"/>
        </w:rPr>
      </w:pPr>
      <w:r>
        <w:rPr>
          <w:rFonts w:hint="eastAsia" w:ascii="宋体" w:hAnsi="宋体" w:eastAsia="宋体"/>
          <w:b/>
          <w:color w:val="auto"/>
          <w:sz w:val="24"/>
        </w:rPr>
        <w:t>2.合同的适用范围</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2.1 本合同条款适用于没有被本合同其他部分的条款所取代的范围。</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2.2 合同内容根据招标文件、投标文件而确定。</w:t>
      </w:r>
    </w:p>
    <w:p>
      <w:pPr>
        <w:autoSpaceDE w:val="0"/>
        <w:autoSpaceDN w:val="0"/>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3.</w:t>
      </w:r>
      <w:r>
        <w:rPr>
          <w:rFonts w:hint="eastAsia" w:ascii="宋体" w:hAnsi="宋体" w:eastAsia="宋体"/>
          <w:b/>
          <w:color w:val="auto"/>
          <w:sz w:val="24"/>
        </w:rPr>
        <w:t>合同标的及金额</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3.1 合同标的及金额应与中标结果一致。</w:t>
      </w:r>
    </w:p>
    <w:p>
      <w:pPr>
        <w:autoSpaceDE w:val="0"/>
        <w:autoSpaceDN w:val="0"/>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4.</w:t>
      </w:r>
      <w:r>
        <w:rPr>
          <w:rFonts w:hint="eastAsia" w:ascii="宋体" w:hAnsi="宋体" w:eastAsia="宋体"/>
          <w:b/>
          <w:color w:val="auto"/>
          <w:sz w:val="24"/>
        </w:rPr>
        <w:t>合同价款</w:t>
      </w:r>
    </w:p>
    <w:p>
      <w:pPr>
        <w:adjustRightInd w:val="0"/>
        <w:snapToGrid w:val="0"/>
        <w:spacing w:before="50" w:line="360" w:lineRule="auto"/>
        <w:ind w:firstLine="420" w:firstLineChars="200"/>
        <w:jc w:val="left"/>
        <w:rPr>
          <w:rFonts w:ascii="宋体" w:hAnsi="宋体" w:eastAsia="宋体"/>
          <w:b/>
          <w:bCs/>
          <w:i/>
          <w:iCs/>
          <w:color w:val="auto"/>
          <w:szCs w:val="21"/>
        </w:rPr>
      </w:pPr>
      <w:r>
        <w:rPr>
          <w:rFonts w:hint="eastAsia" w:ascii="宋体" w:hAnsi="宋体" w:eastAsia="宋体"/>
          <w:color w:val="auto"/>
          <w:szCs w:val="21"/>
        </w:rPr>
        <w:t>4.1具体合同价款见本合同第3.1条。乙方为履行本合同而发生的所有费用均应包含在合同价款中，甲方不再另行支付其它任何费用。</w:t>
      </w:r>
    </w:p>
    <w:p>
      <w:pPr>
        <w:adjustRightInd w:val="0"/>
        <w:snapToGrid w:val="0"/>
        <w:spacing w:before="50" w:line="360" w:lineRule="auto"/>
        <w:jc w:val="left"/>
        <w:rPr>
          <w:rFonts w:ascii="宋体" w:hAnsi="宋体" w:eastAsia="宋体"/>
          <w:b/>
          <w:color w:val="auto"/>
          <w:sz w:val="24"/>
        </w:rPr>
      </w:pPr>
      <w:r>
        <w:rPr>
          <w:rFonts w:hint="eastAsia" w:ascii="宋体" w:hAnsi="宋体" w:eastAsia="宋体"/>
          <w:b/>
          <w:color w:val="auto"/>
          <w:sz w:val="24"/>
        </w:rPr>
        <w:t>5.履行合同的时间、地点和方式</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5.1 乙方应当在甲方确定的时间、指定的地点履行合同，具体的交货时间、地点和方式见</w:t>
      </w:r>
      <w:r>
        <w:rPr>
          <w:rFonts w:hint="eastAsia" w:ascii="宋体" w:hAnsi="宋体" w:eastAsia="宋体"/>
          <w:b/>
          <w:color w:val="auto"/>
          <w:szCs w:val="21"/>
        </w:rPr>
        <w:t>【政府采购合同专用条款】</w:t>
      </w:r>
      <w:r>
        <w:rPr>
          <w:rFonts w:hint="eastAsia" w:ascii="宋体" w:hAnsi="宋体" w:eastAsia="宋体"/>
          <w:color w:val="auto"/>
          <w:szCs w:val="21"/>
        </w:rPr>
        <w:t>。</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5.2 乙方提供服务的应当在甲方指定的时间和地点完成服务项目。</w:t>
      </w:r>
    </w:p>
    <w:p>
      <w:pPr>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6.</w:t>
      </w:r>
      <w:r>
        <w:rPr>
          <w:rFonts w:hint="eastAsia" w:ascii="宋体" w:hAnsi="宋体" w:eastAsia="宋体"/>
          <w:b/>
          <w:color w:val="auto"/>
          <w:sz w:val="24"/>
        </w:rPr>
        <w:t>货物的验收</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6.1 甲方在收到乙方交付的货物后应当及时组织验收。</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6.2 货物的表面瑕疵，甲方应在验收时当面提出；对质量问题有异议的应在安装调试后十个工作日内提出。</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6.3 在验收过程中发现数量不足或有质量、技术等问题，乙方应负责按照甲方的要求采取补足、更换或退货等处理措施，并承担由此发生的一切费用和损失。</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6.4 甲方在乙方按合同规定交货或安装、调试后，无正当理由而拖延接收、验收或拒绝接收、验收的，应承担因此给乙方造成的直接损失。</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6.5 甲方对货物进行检查验收合格后，应当收取发票并在《交货验收单》上签署验收意见及加盖单位印章。</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6.6 大型或者复杂的货物采购项目，甲方可以邀请国家认可的质量检测机构参加验收工作，并由其出具验收报告单。</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6.7 乙方提供的进口产品，乙方应出示中华人民共和国进出口商品检验部门出具的检验证书（招标文件第五章采购需求另有约定的除外）。</w:t>
      </w:r>
    </w:p>
    <w:p>
      <w:pPr>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7.货物包装要求</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7.2 每一个包装箱内应附一份详细装箱单、质量证书和保修保养证书。</w:t>
      </w:r>
    </w:p>
    <w:p>
      <w:pPr>
        <w:adjustRightInd w:val="0"/>
        <w:snapToGrid w:val="0"/>
        <w:spacing w:before="50" w:line="360" w:lineRule="auto"/>
        <w:jc w:val="left"/>
        <w:rPr>
          <w:rFonts w:ascii="宋体" w:hAnsi="宋体" w:eastAsia="宋体"/>
          <w:b/>
          <w:color w:val="auto"/>
          <w:sz w:val="24"/>
        </w:rPr>
      </w:pPr>
      <w:r>
        <w:rPr>
          <w:rFonts w:hint="eastAsia" w:ascii="宋体" w:hAnsi="宋体" w:eastAsia="宋体"/>
          <w:b/>
          <w:color w:val="auto"/>
          <w:sz w:val="24"/>
        </w:rPr>
        <w:t>8.运输和保险</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8.1乙方负责办理将货物运抵本合同第5.1条规定的交货地点的一切运输事项，相关费用应包括在合同总价中。</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8.2乙方应向保险公司投保以甲方为受益人的发运合同货物发票金额的110％运输一切险。</w:t>
      </w:r>
    </w:p>
    <w:p>
      <w:pPr>
        <w:adjustRightInd w:val="0"/>
        <w:snapToGrid w:val="0"/>
        <w:spacing w:before="50" w:line="360" w:lineRule="auto"/>
        <w:jc w:val="left"/>
        <w:rPr>
          <w:rFonts w:ascii="宋体" w:hAnsi="宋体" w:eastAsia="宋体"/>
          <w:b/>
          <w:color w:val="auto"/>
          <w:sz w:val="24"/>
        </w:rPr>
      </w:pPr>
      <w:r>
        <w:rPr>
          <w:rFonts w:hint="eastAsia" w:ascii="宋体" w:hAnsi="宋体" w:eastAsia="宋体"/>
          <w:b/>
          <w:color w:val="auto"/>
          <w:sz w:val="24"/>
        </w:rPr>
        <w:t>9.质量标准和保证</w:t>
      </w:r>
    </w:p>
    <w:p>
      <w:pPr>
        <w:pStyle w:val="10"/>
        <w:adjustRightInd w:val="0"/>
        <w:snapToGrid w:val="0"/>
        <w:spacing w:before="50" w:line="360" w:lineRule="auto"/>
        <w:ind w:firstLine="420" w:firstLineChars="200"/>
        <w:jc w:val="left"/>
        <w:rPr>
          <w:rFonts w:ascii="宋体" w:hAnsi="宋体" w:eastAsia="宋体"/>
          <w:b/>
          <w:color w:val="auto"/>
        </w:rPr>
      </w:pPr>
      <w:r>
        <w:rPr>
          <w:rFonts w:hint="eastAsia" w:ascii="宋体" w:hAnsi="宋体" w:eastAsia="宋体"/>
          <w:color w:val="auto"/>
        </w:rPr>
        <w:t>9.1 质量标准</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（1）本合同下交付的货物应符合招标文件第四章“技术规格、参数与要求”所述的标准。如果没有提及适用标准，则应符合中华人民共和国有关机构发布的最新版本的标准。</w:t>
      </w:r>
    </w:p>
    <w:p>
      <w:pPr>
        <w:pStyle w:val="10"/>
        <w:adjustRightInd w:val="0"/>
        <w:snapToGrid w:val="0"/>
        <w:spacing w:before="50" w:line="360" w:lineRule="auto"/>
        <w:ind w:firstLine="420" w:firstLineChars="200"/>
        <w:jc w:val="left"/>
        <w:rPr>
          <w:rFonts w:ascii="宋体" w:hAnsi="宋体" w:eastAsia="宋体"/>
          <w:color w:val="auto"/>
        </w:rPr>
      </w:pPr>
      <w:r>
        <w:rPr>
          <w:rFonts w:hint="eastAsia" w:ascii="宋体" w:hAnsi="宋体" w:eastAsia="宋体"/>
          <w:color w:val="auto"/>
        </w:rPr>
        <w:t>（2）采用中华人民共和国法定计量单位。</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（3）乙方所出售的货物还应符合国家有关安全、环保、卫生之规定。</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9.2 保证</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eastAsia="宋体"/>
          <w:b/>
          <w:color w:val="auto"/>
          <w:szCs w:val="21"/>
        </w:rPr>
        <w:t>【政府采购合同专用条款】</w:t>
      </w:r>
      <w:r>
        <w:rPr>
          <w:rFonts w:hint="eastAsia" w:ascii="宋体" w:hAnsi="宋体" w:eastAsia="宋体"/>
          <w:color w:val="auto"/>
          <w:szCs w:val="21"/>
        </w:rPr>
        <w:t>规定或乙方承诺（两者以较长的为准）的质量保证期内，本保证保持有效。</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（2）在质量保证期内所发现的缺陷，甲方应尽快以书面形式通知乙方。</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（3）乙方收到通知后应在</w:t>
      </w:r>
      <w:r>
        <w:rPr>
          <w:rFonts w:hint="eastAsia" w:ascii="宋体" w:hAnsi="宋体" w:eastAsia="宋体"/>
          <w:b/>
          <w:color w:val="auto"/>
          <w:szCs w:val="21"/>
        </w:rPr>
        <w:t>【政府采购合同专用条款】</w:t>
      </w:r>
      <w:r>
        <w:rPr>
          <w:rFonts w:hint="eastAsia" w:ascii="宋体" w:hAnsi="宋体" w:eastAsia="宋体"/>
          <w:color w:val="auto"/>
          <w:szCs w:val="21"/>
        </w:rPr>
        <w:t>规定的响应时间内以合理的速度免费维修或更换有缺陷的货物或部件。</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pPr>
        <w:adjustRightInd w:val="0"/>
        <w:snapToGrid w:val="0"/>
        <w:spacing w:before="50" w:line="360" w:lineRule="auto"/>
        <w:ind w:firstLine="420" w:firstLineChars="200"/>
        <w:jc w:val="left"/>
        <w:rPr>
          <w:rFonts w:ascii="宋体" w:hAnsi="宋体" w:eastAsia="宋体"/>
          <w:b/>
          <w:color w:val="auto"/>
          <w:szCs w:val="21"/>
        </w:rPr>
      </w:pPr>
      <w:r>
        <w:rPr>
          <w:rFonts w:hint="eastAsia" w:ascii="宋体" w:hAnsi="宋体" w:eastAsia="宋体"/>
          <w:color w:val="auto"/>
          <w:szCs w:val="21"/>
        </w:rPr>
        <w:t>（5）乙方在约定的时间内未能弥补缺陷，甲方可采取必要的补救措施，但其风险和费用将由乙方承担，甲方根据合同规定对乙方行使的其他权利不受影响。</w:t>
      </w:r>
    </w:p>
    <w:p>
      <w:pPr>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10.权利瑕疵担保</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10.1 乙方保证对其出售的货物享有合法的权利。</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10.2 乙方保证在其出售的货物上不存在任何未曾向甲方透露的担保物权，如抵押权、质押权、留置权等。</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10.3 如甲方使用该货物构成上述侵权的，则由乙方承担全部责任。</w:t>
      </w:r>
    </w:p>
    <w:p>
      <w:pPr>
        <w:autoSpaceDE w:val="0"/>
        <w:autoSpaceDN w:val="0"/>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11.知识产权保护</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11.1 乙方对其所销售的货物应当享有知识产权或经权利人合法授权，保证没有侵犯任何第三人的知识产权和商业秘密等权利。</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11.2 甲方使用乙方提供的货物对第三人构成侵权的，应当由乙方承担全部法律责任，给甲方造成损害的，乙方应当承担赔偿责任。</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11.3 甲方委托乙方开发的产品，甲方享有知识产权，未经甲方许可不得转让任何第三人。</w:t>
      </w:r>
    </w:p>
    <w:p>
      <w:pPr>
        <w:autoSpaceDE w:val="0"/>
        <w:autoSpaceDN w:val="0"/>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12.保密义务</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12.1 甲、乙双方在采购和履行合同过程中所获悉的对方属于保密的内容，双方均有保密义务。</w:t>
      </w:r>
    </w:p>
    <w:p>
      <w:pPr>
        <w:autoSpaceDE w:val="0"/>
        <w:autoSpaceDN w:val="0"/>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13.合同价款支付</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13.1验收合格后，乙方出具正规发票给甲方，凭甲方开具的《政府采购合同验收报告单》办理合同价</w:t>
      </w:r>
      <w:r>
        <w:rPr>
          <w:rFonts w:hint="eastAsia" w:ascii="宋体" w:hAnsi="宋体" w:eastAsia="宋体"/>
          <w:bCs/>
          <w:color w:val="auto"/>
          <w:szCs w:val="21"/>
        </w:rPr>
        <w:t>款</w:t>
      </w:r>
      <w:r>
        <w:rPr>
          <w:rFonts w:hint="eastAsia" w:ascii="宋体" w:hAnsi="宋体" w:eastAsia="宋体"/>
          <w:color w:val="auto"/>
          <w:szCs w:val="21"/>
        </w:rPr>
        <w:t>结算手续。</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13.2 合同价款构成中应当由财政支付的部分，甲方应当在货物验收合格后的十五个工作日内向国库管理部门申请支付，经国库管理部门审核后直接支付给乙方。</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13.3 合同价款构成中应当由甲方自行支付的部分，甲方应当在货物验收合格后十五个工作</w:t>
      </w:r>
      <w:r>
        <w:rPr>
          <w:rFonts w:hint="eastAsia" w:ascii="宋体" w:hAnsi="宋体" w:eastAsia="宋体"/>
          <w:color w:val="auto"/>
          <w:szCs w:val="21"/>
          <w:lang w:eastAsia="zh-CN"/>
        </w:rPr>
        <w:t>日</w:t>
      </w:r>
      <w:r>
        <w:rPr>
          <w:rFonts w:hint="eastAsia" w:ascii="宋体" w:hAnsi="宋体" w:eastAsia="宋体"/>
          <w:color w:val="auto"/>
          <w:szCs w:val="21"/>
        </w:rPr>
        <w:t>内支付。</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13.4支付合同价</w:t>
      </w:r>
      <w:r>
        <w:rPr>
          <w:rFonts w:hint="eastAsia" w:ascii="宋体" w:hAnsi="宋体" w:eastAsia="宋体"/>
          <w:bCs/>
          <w:color w:val="auto"/>
          <w:szCs w:val="21"/>
        </w:rPr>
        <w:t>款</w:t>
      </w:r>
      <w:r>
        <w:rPr>
          <w:rFonts w:hint="eastAsia" w:ascii="宋体" w:hAnsi="宋体" w:eastAsia="宋体"/>
          <w:color w:val="auto"/>
          <w:szCs w:val="21"/>
        </w:rPr>
        <w:t>时，一律不向乙方以外的任何第三方办理付款手续。开户行和账号以签订的政府采购合同为准，如果乙方要求变更，则乙方必须提供加盖了财务专用章、法定代表人签字的证明文件，报经甲方审查同意。</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13.5 合同价款支付方式</w:t>
      </w:r>
      <w:r>
        <w:rPr>
          <w:rFonts w:hint="eastAsia" w:ascii="宋体" w:hAnsi="宋体" w:eastAsia="宋体"/>
          <w:bCs/>
          <w:color w:val="auto"/>
          <w:szCs w:val="21"/>
        </w:rPr>
        <w:t>和条件在</w:t>
      </w:r>
      <w:r>
        <w:rPr>
          <w:rFonts w:hint="eastAsia" w:ascii="宋体" w:hAnsi="宋体" w:eastAsia="宋体"/>
          <w:b/>
          <w:color w:val="auto"/>
          <w:szCs w:val="21"/>
        </w:rPr>
        <w:t>【政府采购合同专用条款】</w:t>
      </w:r>
      <w:r>
        <w:rPr>
          <w:rFonts w:hint="eastAsia" w:ascii="宋体" w:hAnsi="宋体" w:eastAsia="宋体"/>
          <w:color w:val="auto"/>
          <w:szCs w:val="21"/>
        </w:rPr>
        <w:t>中另有规定。</w:t>
      </w:r>
    </w:p>
    <w:p>
      <w:pPr>
        <w:autoSpaceDE w:val="0"/>
        <w:autoSpaceDN w:val="0"/>
        <w:adjustRightInd w:val="0"/>
        <w:snapToGrid w:val="0"/>
        <w:spacing w:before="50" w:line="360" w:lineRule="auto"/>
        <w:jc w:val="left"/>
        <w:rPr>
          <w:rFonts w:ascii="宋体" w:hAnsi="宋体" w:eastAsia="宋体"/>
          <w:b/>
          <w:color w:val="auto"/>
          <w:sz w:val="24"/>
        </w:rPr>
      </w:pPr>
      <w:r>
        <w:rPr>
          <w:rFonts w:hint="eastAsia" w:ascii="宋体" w:hAnsi="宋体" w:eastAsia="宋体"/>
          <w:b/>
          <w:bCs/>
          <w:color w:val="auto"/>
          <w:sz w:val="24"/>
        </w:rPr>
        <w:t>14.</w:t>
      </w:r>
      <w:r>
        <w:rPr>
          <w:rFonts w:hint="eastAsia"/>
          <w:b/>
          <w:color w:val="auto"/>
          <w:sz w:val="24"/>
        </w:rPr>
        <w:t>乙方应提供的</w:t>
      </w:r>
      <w:r>
        <w:rPr>
          <w:rFonts w:hint="eastAsia" w:ascii="宋体" w:hAnsi="宋体" w:eastAsia="宋体"/>
          <w:b/>
          <w:color w:val="auto"/>
          <w:sz w:val="24"/>
        </w:rPr>
        <w:t>服务</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14.1 乙方应向甲方提交所提供货物的技术文件，包括相应的中文技术文件，如：产品目录、图纸、操作手册、使用说明、维护手册或服务指南。这些文件应包装好随同货物一起发运。</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14.2 乙方还应提供下列服务：</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（1）货物的现场移动、安装、调试、启动监督及技术支持；</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（2）提供货物组装和维修所需的专用工具和辅助材料；</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（3）在合同各方商定的一定期限内对所有的货物实施运行监督、维修，但前提条件是该服务并不能免除乙方在质量保证期内所承担的义务；</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（4）在制造商或项目现场就货物的安装、启动、运营、维护对甲方操作人员进行培训；</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w:t>
      </w:r>
      <w:r>
        <w:rPr>
          <w:rFonts w:hint="eastAsia" w:ascii="宋体" w:hAnsi="宋体" w:eastAsia="宋体"/>
          <w:b/>
          <w:color w:val="auto"/>
          <w:szCs w:val="21"/>
        </w:rPr>
        <w:t>【政府采购合同专用条款】</w:t>
      </w:r>
      <w:r>
        <w:rPr>
          <w:rFonts w:hint="eastAsia" w:ascii="宋体" w:hAnsi="宋体" w:eastAsia="宋体"/>
          <w:color w:val="auto"/>
          <w:szCs w:val="21"/>
        </w:rPr>
        <w:t>规定由乙方提供的其他服务。</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14.3 乙方提供的服务的费用应包含在合同价款中，甲方不再另行支付。</w:t>
      </w:r>
    </w:p>
    <w:p>
      <w:pPr>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15.违约责任</w:t>
      </w:r>
    </w:p>
    <w:p>
      <w:pPr>
        <w:adjustRightInd w:val="0"/>
        <w:snapToGrid w:val="0"/>
        <w:spacing w:before="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15.1质量瑕疵的补救措施和索赔</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①乙方同意退货并将货款退还给甲方，由此发生的一切费用和损失由乙方承担。</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②根据货物的质量状况以及甲方所遭受的损失，经过甲乙双方商定降低货物的价格。</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pPr>
        <w:autoSpaceDE w:val="0"/>
        <w:autoSpaceDN w:val="0"/>
        <w:adjustRightInd w:val="0"/>
        <w:snapToGrid w:val="0"/>
        <w:spacing w:before="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15.2 迟延交货的违约责任</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（2）除本合同</w:t>
      </w:r>
      <w:r>
        <w:rPr>
          <w:rFonts w:hint="eastAsia" w:ascii="宋体" w:hAnsi="宋体" w:eastAsia="宋体"/>
          <w:bCs/>
          <w:color w:val="auto"/>
          <w:szCs w:val="21"/>
        </w:rPr>
        <w:t>第20条</w:t>
      </w:r>
      <w:r>
        <w:rPr>
          <w:rFonts w:hint="eastAsia" w:ascii="宋体" w:hAnsi="宋体" w:eastAsia="宋体"/>
          <w:color w:val="auto"/>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如果乙方迟延交货，甲方有权终止全部或部分合同，并依其认为适当的条件和方法购买与未交货物类似的货物，乙方应对购买类似货物所超出的那部分费用负责。但是，乙方应继续执行合同中未终止的部分。</w:t>
      </w:r>
    </w:p>
    <w:p>
      <w:pPr>
        <w:autoSpaceDE w:val="0"/>
        <w:autoSpaceDN w:val="0"/>
        <w:adjustRightInd w:val="0"/>
        <w:snapToGrid w:val="0"/>
        <w:spacing w:before="50" w:line="360" w:lineRule="auto"/>
        <w:jc w:val="left"/>
        <w:rPr>
          <w:rFonts w:ascii="宋体" w:hAnsi="宋体" w:eastAsia="宋体"/>
          <w:b/>
          <w:color w:val="auto"/>
          <w:sz w:val="24"/>
        </w:rPr>
      </w:pPr>
      <w:r>
        <w:rPr>
          <w:rFonts w:hint="eastAsia" w:ascii="宋体" w:hAnsi="宋体" w:eastAsia="宋体"/>
          <w:b/>
          <w:color w:val="auto"/>
          <w:sz w:val="24"/>
        </w:rPr>
        <w:t>16.合同的变更</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16.1 在合同履行过程中，甲、乙双方可就合同履行的时间、地点和方式等协商进行变更。协商一致后，双方应签订书面的补充协议。</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16.2 在不改变合同其他条款的前提下，甲方有权在合同价款百分之十的范围内追加与合同标的相同的货物或服务，并就此与乙方签订补充合同，乙方不得拒绝。</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16.3 除双方签署书面协议，并成为合同不可分割的一部分外，本合同条件不得有任何变更。</w:t>
      </w:r>
    </w:p>
    <w:p>
      <w:pPr>
        <w:autoSpaceDE w:val="0"/>
        <w:autoSpaceDN w:val="0"/>
        <w:adjustRightInd w:val="0"/>
        <w:snapToGrid w:val="0"/>
        <w:spacing w:before="50" w:line="360" w:lineRule="auto"/>
        <w:jc w:val="left"/>
        <w:rPr>
          <w:rFonts w:ascii="宋体" w:hAnsi="宋体" w:eastAsia="宋体"/>
          <w:b/>
          <w:color w:val="auto"/>
          <w:sz w:val="24"/>
        </w:rPr>
      </w:pPr>
      <w:r>
        <w:rPr>
          <w:rFonts w:hint="eastAsia" w:ascii="宋体" w:hAnsi="宋体" w:eastAsia="宋体"/>
          <w:b/>
          <w:color w:val="auto"/>
          <w:sz w:val="24"/>
        </w:rPr>
        <w:t>17.合同中止与终止</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17.1合同的中止</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（1）合同在履行过程中，因采购计划调整，甲方可以要求中止履行，待计划确定后继续履行；</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（2）合同履行过程中因供应商就采购过程或结果提起投诉的，甲方认为有必要或财政部门责令中止的，应当中止合同的履行。</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17.2合同的终止</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（1）合同因有效期限届满而终止；</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（2）乙方未能依照本合同约定条件履行合同，已构成根本性违约的，甲方有权终止本合同，并追究乙方的违约责任。</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（3）如果乙方丧失履约能力或被宣告破产，甲方可在任何时候以书面形式通知乙方终止合同而不给乙方补偿。</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（4）如果乙方在履行合同过程中有不正当竞争行为，甲方有权解除合同，并按《中华人民共和国反不正当竞争法》规定由有关部门追究其法律责任。</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（5）如果合同的履行将损害国家利益或社会公共利益，甲方有权终止合同的履行，给乙方造成损失的予以相应补偿。</w:t>
      </w:r>
    </w:p>
    <w:p>
      <w:pPr>
        <w:autoSpaceDE w:val="0"/>
        <w:autoSpaceDN w:val="0"/>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18.合同转让和分包</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18.1 乙方不得以任何形式将合同转包。</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18.2 乙方未在投标文件中说明，不得将</w:t>
      </w:r>
      <w:r>
        <w:rPr>
          <w:rFonts w:hint="eastAsia" w:ascii="宋体" w:hAnsi="宋体" w:eastAsia="宋体"/>
          <w:bCs/>
          <w:color w:val="auto"/>
          <w:szCs w:val="21"/>
        </w:rPr>
        <w:t>合同</w:t>
      </w:r>
      <w:r>
        <w:rPr>
          <w:rFonts w:hint="eastAsia" w:ascii="宋体" w:hAnsi="宋体" w:eastAsia="宋体"/>
          <w:color w:val="auto"/>
          <w:szCs w:val="21"/>
        </w:rPr>
        <w:t>的非主体、非关键性工作分包给他人。</w:t>
      </w:r>
    </w:p>
    <w:p>
      <w:pPr>
        <w:autoSpaceDE w:val="0"/>
        <w:autoSpaceDN w:val="0"/>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19.不可抗力</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19.1 不可抗力是指合同双方不可预见、不可避免、不可克服的自然灾害和社会事件。</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19.2 任何一方对由于不可抗力造成的部分或全部不能履行合同不承担违约责任。但迟延履行后发生不可抗力的，不能免除责任。</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19.3 遇有不可抗力的一方，应在三日内将事件的情况以书面形式通知另一方，并在事件发生后十日内，向另一方提交合同不能履行或部分不能履行或需要延期履行理由的报告。</w:t>
      </w:r>
    </w:p>
    <w:p>
      <w:pPr>
        <w:autoSpaceDE w:val="0"/>
        <w:autoSpaceDN w:val="0"/>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20.解决争议的方法</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20.1 合同各方应通过友好协商，解决在执行合同过程中所发生的或与合同有关的一切争端。如从协商开始后十日内仍不能解决，可以向财政部门提请调解。</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20.2 调解不成可以向甲方所在地人民法院提起诉讼。</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20.3 如仲裁或诉讼事项不影响合同其它部分的履行，则在仲裁或诉讼期间，除正在进行仲裁或诉讼的部分外，合同的其它部分应继续执行。</w:t>
      </w:r>
    </w:p>
    <w:p>
      <w:pPr>
        <w:autoSpaceDE w:val="0"/>
        <w:autoSpaceDN w:val="0"/>
        <w:adjustRightInd w:val="0"/>
        <w:snapToGrid w:val="0"/>
        <w:spacing w:before="50" w:line="360" w:lineRule="auto"/>
        <w:jc w:val="left"/>
        <w:rPr>
          <w:rFonts w:ascii="宋体" w:hAnsi="宋体" w:eastAsia="宋体"/>
          <w:b/>
          <w:color w:val="auto"/>
          <w:sz w:val="24"/>
        </w:rPr>
      </w:pPr>
      <w:r>
        <w:rPr>
          <w:rFonts w:hint="eastAsia" w:ascii="宋体" w:hAnsi="宋体" w:eastAsia="宋体"/>
          <w:b/>
          <w:color w:val="auto"/>
          <w:sz w:val="24"/>
        </w:rPr>
        <w:t>21.法律适用</w:t>
      </w:r>
    </w:p>
    <w:p>
      <w:pPr>
        <w:autoSpaceDE w:val="0"/>
        <w:autoSpaceDN w:val="0"/>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21.1 本合同适用中华人民共和国现行法律、行政法规和规章，如合同条款与法律、行政法规和规章不一致的，按照法律、行政法规和规章修改本合同。</w:t>
      </w:r>
    </w:p>
    <w:p>
      <w:pPr>
        <w:autoSpaceDE w:val="0"/>
        <w:autoSpaceDN w:val="0"/>
        <w:adjustRightInd w:val="0"/>
        <w:snapToGrid w:val="0"/>
        <w:spacing w:before="50" w:line="360" w:lineRule="auto"/>
        <w:jc w:val="left"/>
        <w:rPr>
          <w:rFonts w:ascii="宋体" w:hAnsi="宋体" w:eastAsia="宋体"/>
          <w:b/>
          <w:color w:val="auto"/>
          <w:sz w:val="24"/>
        </w:rPr>
      </w:pPr>
      <w:r>
        <w:rPr>
          <w:rFonts w:hint="eastAsia" w:ascii="宋体" w:hAnsi="宋体" w:eastAsia="宋体"/>
          <w:b/>
          <w:bCs/>
          <w:color w:val="auto"/>
          <w:sz w:val="24"/>
        </w:rPr>
        <w:t>22.</w:t>
      </w:r>
      <w:r>
        <w:rPr>
          <w:rFonts w:hint="eastAsia" w:ascii="宋体" w:hAnsi="宋体" w:eastAsia="宋体"/>
          <w:b/>
          <w:color w:val="auto"/>
          <w:sz w:val="24"/>
        </w:rPr>
        <w:t>通知</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22.1本合同一方给另一方的通知均应采用书面形式，传真或快递送到本合同中规定的对方的地址和办理签收手续，</w:t>
      </w:r>
    </w:p>
    <w:p>
      <w:pPr>
        <w:adjustRightInd w:val="0"/>
        <w:snapToGrid w:val="0"/>
        <w:spacing w:before="50" w:line="360" w:lineRule="auto"/>
        <w:ind w:firstLine="420" w:firstLineChars="200"/>
        <w:jc w:val="left"/>
        <w:rPr>
          <w:rFonts w:ascii="宋体" w:hAnsi="宋体" w:eastAsia="宋体"/>
          <w:color w:val="auto"/>
          <w:szCs w:val="21"/>
        </w:rPr>
      </w:pPr>
      <w:r>
        <w:rPr>
          <w:rFonts w:hint="eastAsia" w:ascii="宋体" w:hAnsi="宋体" w:eastAsia="宋体"/>
          <w:color w:val="auto"/>
          <w:szCs w:val="21"/>
        </w:rPr>
        <w:t>22.2通知以送到之日或通知书中规定的生效之日起生效，两者中以较迟之日为准。</w:t>
      </w:r>
    </w:p>
    <w:p>
      <w:pPr>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23. 合同未尽事项</w:t>
      </w:r>
    </w:p>
    <w:p>
      <w:pPr>
        <w:adjustRightInd w:val="0"/>
        <w:snapToGrid w:val="0"/>
        <w:spacing w:before="50" w:line="360" w:lineRule="auto"/>
        <w:ind w:firstLine="420" w:firstLineChars="200"/>
        <w:jc w:val="left"/>
        <w:rPr>
          <w:rFonts w:ascii="宋体" w:hAnsi="宋体" w:eastAsia="宋体"/>
          <w:bCs/>
          <w:color w:val="auto"/>
          <w:szCs w:val="21"/>
        </w:rPr>
      </w:pPr>
      <w:r>
        <w:rPr>
          <w:rFonts w:hint="eastAsia" w:ascii="宋体" w:hAnsi="宋体" w:eastAsia="宋体"/>
          <w:bCs/>
          <w:color w:val="auto"/>
          <w:szCs w:val="21"/>
        </w:rPr>
        <w:t>23.1合同未尽事项见</w:t>
      </w:r>
      <w:r>
        <w:rPr>
          <w:rFonts w:hint="eastAsia" w:ascii="宋体" w:hAnsi="宋体" w:eastAsia="宋体"/>
          <w:b/>
          <w:color w:val="auto"/>
          <w:szCs w:val="21"/>
        </w:rPr>
        <w:t>【政府采购合同专用条款】。</w:t>
      </w:r>
    </w:p>
    <w:p>
      <w:pPr>
        <w:adjustRightInd w:val="0"/>
        <w:snapToGrid w:val="0"/>
        <w:spacing w:before="50" w:line="360" w:lineRule="auto"/>
        <w:jc w:val="left"/>
        <w:rPr>
          <w:rFonts w:ascii="宋体" w:hAnsi="宋体" w:eastAsia="宋体"/>
          <w:b/>
          <w:bCs/>
          <w:color w:val="auto"/>
          <w:sz w:val="24"/>
        </w:rPr>
      </w:pPr>
      <w:r>
        <w:rPr>
          <w:rFonts w:hint="eastAsia" w:ascii="宋体" w:hAnsi="宋体" w:eastAsia="宋体"/>
          <w:b/>
          <w:bCs/>
          <w:color w:val="auto"/>
          <w:sz w:val="24"/>
        </w:rPr>
        <w:t>24.合同生效</w:t>
      </w:r>
    </w:p>
    <w:p>
      <w:pPr>
        <w:autoSpaceDE w:val="0"/>
        <w:autoSpaceDN w:val="0"/>
        <w:adjustRightInd w:val="0"/>
        <w:snapToGrid w:val="0"/>
        <w:spacing w:before="50" w:line="360" w:lineRule="auto"/>
        <w:ind w:firstLine="420" w:firstLineChars="200"/>
        <w:jc w:val="left"/>
        <w:rPr>
          <w:rFonts w:ascii="黑体" w:hAnsi="黑体" w:eastAsia="黑体"/>
          <w:b/>
          <w:bCs/>
          <w:color w:val="auto"/>
          <w:sz w:val="10"/>
          <w:szCs w:val="10"/>
        </w:rPr>
      </w:pPr>
      <w:r>
        <w:rPr>
          <w:rFonts w:hint="eastAsia" w:ascii="宋体" w:hAnsi="宋体" w:eastAsia="宋体"/>
          <w:color w:val="auto"/>
          <w:szCs w:val="21"/>
        </w:rPr>
        <w:t>24.1 本合同在合同双方签字盖章后生效。</w:t>
      </w:r>
      <w:r>
        <w:rPr>
          <w:rFonts w:ascii="黑体" w:hAnsi="黑体" w:eastAsia="黑体"/>
          <w:b/>
          <w:bCs/>
          <w:color w:val="auto"/>
          <w:sz w:val="32"/>
        </w:rPr>
        <w:br w:type="page"/>
      </w:r>
    </w:p>
    <w:p>
      <w:pPr>
        <w:pStyle w:val="3"/>
        <w:adjustRightInd w:val="0"/>
        <w:snapToGrid w:val="0"/>
        <w:jc w:val="center"/>
        <w:rPr>
          <w:rFonts w:ascii="黑体" w:hAnsi="华文中宋" w:eastAsia="黑体"/>
          <w:color w:val="auto"/>
          <w:sz w:val="28"/>
          <w:szCs w:val="28"/>
        </w:rPr>
      </w:pPr>
      <w:bookmarkStart w:id="62" w:name="_Toc20313"/>
      <w:r>
        <w:rPr>
          <w:rFonts w:hint="eastAsia" w:ascii="黑体" w:hAnsi="华文中宋" w:eastAsia="黑体"/>
          <w:color w:val="auto"/>
          <w:sz w:val="28"/>
          <w:szCs w:val="28"/>
        </w:rPr>
        <w:t>第三节 政府采购合同专用条款</w:t>
      </w:r>
      <w:bookmarkEnd w:id="62"/>
    </w:p>
    <w:p>
      <w:pPr>
        <w:adjustRightInd w:val="0"/>
        <w:snapToGrid w:val="0"/>
        <w:spacing w:line="360" w:lineRule="auto"/>
        <w:jc w:val="center"/>
        <w:rPr>
          <w:rFonts w:ascii="宋体" w:hAnsi="宋体"/>
          <w:color w:val="auto"/>
          <w:sz w:val="24"/>
        </w:rPr>
      </w:pPr>
    </w:p>
    <w:tbl>
      <w:tblPr>
        <w:tblStyle w:val="21"/>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第1.1款</w:t>
            </w:r>
          </w:p>
        </w:tc>
        <w:tc>
          <w:tcPr>
            <w:tcW w:w="1843" w:type="dxa"/>
            <w:noWrap w:val="0"/>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 xml:space="preserve">甲方名称、地址 </w:t>
            </w:r>
          </w:p>
        </w:tc>
        <w:tc>
          <w:tcPr>
            <w:tcW w:w="5464" w:type="dxa"/>
            <w:noWrap w:val="0"/>
            <w:vAlign w:val="center"/>
          </w:tcPr>
          <w:p>
            <w:pPr>
              <w:adjustRightInd w:val="0"/>
              <w:snapToGrid w:val="0"/>
              <w:spacing w:line="380" w:lineRule="exact"/>
              <w:rPr>
                <w:rFonts w:ascii="宋体" w:cs="宋体"/>
                <w:iCs/>
              </w:rPr>
            </w:pPr>
            <w:r>
              <w:rPr>
                <w:rFonts w:hint="eastAsia" w:ascii="宋体" w:hAnsi="宋体" w:cs="宋体"/>
                <w:szCs w:val="21"/>
              </w:rPr>
              <w:t>名称：</w:t>
            </w:r>
            <w:r>
              <w:rPr>
                <w:rFonts w:hint="eastAsia" w:ascii="宋体" w:hAnsi="宋体" w:cs="宋体"/>
                <w:szCs w:val="21"/>
                <w:u w:val="single"/>
              </w:rPr>
              <w:t>湘潭市消防救援支队</w:t>
            </w:r>
          </w:p>
          <w:p>
            <w:pPr>
              <w:adjustRightInd w:val="0"/>
              <w:snapToGrid w:val="0"/>
              <w:spacing w:line="380" w:lineRule="exact"/>
              <w:jc w:val="left"/>
              <w:rPr>
                <w:rFonts w:ascii="宋体" w:hAnsi="宋体"/>
                <w:color w:val="auto"/>
                <w:szCs w:val="21"/>
              </w:rPr>
            </w:pPr>
            <w:r>
              <w:rPr>
                <w:rFonts w:hint="eastAsia" w:ascii="宋体" w:hAnsi="宋体" w:cs="宋体"/>
                <w:iCs/>
              </w:rPr>
              <w:t>地址：</w:t>
            </w:r>
            <w:r>
              <w:rPr>
                <w:rFonts w:hint="eastAsia" w:ascii="宋体" w:hAnsi="宋体" w:cs="宋体"/>
                <w:szCs w:val="21"/>
                <w:u w:val="single"/>
              </w:rPr>
              <w:t>湘潭市岳塘区芙蓉东路89号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第1.2（6）项</w:t>
            </w:r>
          </w:p>
        </w:tc>
        <w:tc>
          <w:tcPr>
            <w:tcW w:w="1843" w:type="dxa"/>
            <w:noWrap w:val="0"/>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项目现场</w:t>
            </w:r>
          </w:p>
        </w:tc>
        <w:tc>
          <w:tcPr>
            <w:tcW w:w="5464" w:type="dxa"/>
            <w:noWrap w:val="0"/>
            <w:vAlign w:val="center"/>
          </w:tcPr>
          <w:p>
            <w:pPr>
              <w:adjustRightInd w:val="0"/>
              <w:snapToGrid w:val="0"/>
              <w:spacing w:line="380" w:lineRule="exact"/>
              <w:jc w:val="left"/>
              <w:rPr>
                <w:rFonts w:ascii="宋体" w:hAnsi="宋体"/>
                <w:color w:val="auto"/>
                <w:szCs w:val="21"/>
              </w:rPr>
            </w:pPr>
            <w:r>
              <w:rPr>
                <w:rFonts w:hint="eastAsia" w:ascii="宋体" w:hAnsi="Courier New" w:cs="Courier New"/>
                <w:szCs w:val="21"/>
              </w:rPr>
              <w:t>湘潭市消防救援支队指定地点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第5.1款</w:t>
            </w:r>
          </w:p>
        </w:tc>
        <w:tc>
          <w:tcPr>
            <w:tcW w:w="1843" w:type="dxa"/>
            <w:noWrap w:val="0"/>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履行合同的时间、地点及方式</w:t>
            </w:r>
          </w:p>
        </w:tc>
        <w:tc>
          <w:tcPr>
            <w:tcW w:w="5464" w:type="dxa"/>
            <w:noWrap w:val="0"/>
            <w:vAlign w:val="center"/>
          </w:tcPr>
          <w:p>
            <w:pPr>
              <w:adjustRightInd w:val="0"/>
              <w:snapToGrid w:val="0"/>
              <w:spacing w:line="380" w:lineRule="exact"/>
              <w:jc w:val="left"/>
              <w:rPr>
                <w:rFonts w:ascii="宋体" w:hAnsi="宋体"/>
                <w:color w:val="auto"/>
                <w:szCs w:val="21"/>
              </w:rPr>
            </w:pPr>
            <w:r>
              <w:rPr>
                <w:rFonts w:hint="eastAsia" w:ascii="宋体" w:hAnsi="宋体" w:cs="宋体"/>
                <w:kern w:val="0"/>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第9.2（1）项</w:t>
            </w:r>
          </w:p>
        </w:tc>
        <w:tc>
          <w:tcPr>
            <w:tcW w:w="1843" w:type="dxa"/>
            <w:noWrap w:val="0"/>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质量保证期</w:t>
            </w:r>
          </w:p>
        </w:tc>
        <w:tc>
          <w:tcPr>
            <w:tcW w:w="5464" w:type="dxa"/>
            <w:noWrap w:val="0"/>
            <w:vAlign w:val="center"/>
          </w:tcPr>
          <w:p>
            <w:pPr>
              <w:adjustRightInd w:val="0"/>
              <w:snapToGrid w:val="0"/>
              <w:spacing w:line="380" w:lineRule="exact"/>
              <w:jc w:val="left"/>
              <w:rPr>
                <w:rFonts w:ascii="宋体" w:hAnsi="宋体"/>
                <w:color w:val="auto"/>
                <w:szCs w:val="21"/>
              </w:rPr>
            </w:pPr>
            <w:r>
              <w:rPr>
                <w:rFonts w:hint="eastAsia" w:ascii="宋体" w:hAnsi="宋体" w:cs="宋体"/>
                <w:kern w:val="0"/>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第9.2（3）项</w:t>
            </w:r>
          </w:p>
        </w:tc>
        <w:tc>
          <w:tcPr>
            <w:tcW w:w="1843" w:type="dxa"/>
            <w:noWrap w:val="0"/>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响应时间</w:t>
            </w:r>
          </w:p>
        </w:tc>
        <w:tc>
          <w:tcPr>
            <w:tcW w:w="5464" w:type="dxa"/>
            <w:noWrap w:val="0"/>
            <w:vAlign w:val="center"/>
          </w:tcPr>
          <w:p>
            <w:pPr>
              <w:adjustRightInd w:val="0"/>
              <w:snapToGrid w:val="0"/>
              <w:spacing w:line="380" w:lineRule="exact"/>
              <w:rPr>
                <w:rFonts w:ascii="宋体" w:hAnsi="宋体"/>
                <w:color w:val="auto"/>
                <w:szCs w:val="21"/>
              </w:rPr>
            </w:pPr>
            <w:r>
              <w:rPr>
                <w:rFonts w:hint="eastAsia" w:ascii="宋体" w:hAnsi="宋体" w:cs="宋体"/>
                <w:kern w:val="0"/>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第13.5款</w:t>
            </w:r>
          </w:p>
        </w:tc>
        <w:tc>
          <w:tcPr>
            <w:tcW w:w="1843" w:type="dxa"/>
            <w:noWrap w:val="0"/>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合同价款支付方式</w:t>
            </w:r>
            <w:r>
              <w:rPr>
                <w:rFonts w:hint="eastAsia" w:ascii="宋体" w:hAnsi="宋体"/>
                <w:bCs/>
                <w:color w:val="auto"/>
                <w:szCs w:val="21"/>
              </w:rPr>
              <w:t>和条件</w:t>
            </w:r>
          </w:p>
        </w:tc>
        <w:tc>
          <w:tcPr>
            <w:tcW w:w="5464" w:type="dxa"/>
            <w:noWrap w:val="0"/>
            <w:vAlign w:val="center"/>
          </w:tcPr>
          <w:p>
            <w:pPr>
              <w:spacing w:line="360" w:lineRule="auto"/>
              <w:rPr>
                <w:rFonts w:ascii="宋体" w:hAnsi="宋体"/>
                <w:color w:val="auto"/>
                <w:szCs w:val="21"/>
              </w:rPr>
            </w:pPr>
            <w:r>
              <w:rPr>
                <w:rFonts w:hint="eastAsia" w:ascii="宋体" w:hAnsi="宋体" w:cs="宋体"/>
                <w:kern w:val="0"/>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第14.2（6）项</w:t>
            </w:r>
          </w:p>
        </w:tc>
        <w:tc>
          <w:tcPr>
            <w:tcW w:w="1843" w:type="dxa"/>
            <w:noWrap w:val="0"/>
            <w:vAlign w:val="center"/>
          </w:tcPr>
          <w:p>
            <w:pPr>
              <w:adjustRightInd w:val="0"/>
              <w:snapToGrid w:val="0"/>
              <w:spacing w:line="360" w:lineRule="auto"/>
              <w:jc w:val="left"/>
              <w:rPr>
                <w:rFonts w:ascii="宋体" w:hAnsi="宋体"/>
                <w:color w:val="auto"/>
                <w:szCs w:val="21"/>
              </w:rPr>
            </w:pPr>
            <w:r>
              <w:rPr>
                <w:rFonts w:hint="eastAsia" w:ascii="宋体" w:hAnsi="宋体"/>
                <w:color w:val="auto"/>
                <w:szCs w:val="21"/>
              </w:rPr>
              <w:t>乙方提供的其他服务</w:t>
            </w:r>
          </w:p>
        </w:tc>
        <w:tc>
          <w:tcPr>
            <w:tcW w:w="5464" w:type="dxa"/>
            <w:noWrap w:val="0"/>
            <w:vAlign w:val="center"/>
          </w:tcPr>
          <w:p>
            <w:pPr>
              <w:adjustRightInd w:val="0"/>
              <w:snapToGrid w:val="0"/>
              <w:spacing w:line="380" w:lineRule="exact"/>
              <w:jc w:val="left"/>
              <w:rPr>
                <w:rFonts w:ascii="宋体" w:hAnsi="宋体"/>
                <w:color w:val="auto"/>
                <w:szCs w:val="21"/>
              </w:rPr>
            </w:pPr>
            <w:r>
              <w:rPr>
                <w:rFonts w:hint="eastAsia" w:ascii="宋体" w:hAnsi="宋体" w:cs="宋体"/>
                <w:kern w:val="0"/>
                <w:szCs w:val="21"/>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pPr>
              <w:adjustRightInd w:val="0"/>
              <w:snapToGrid w:val="0"/>
              <w:spacing w:line="360" w:lineRule="auto"/>
              <w:jc w:val="center"/>
              <w:rPr>
                <w:rFonts w:ascii="宋体" w:hAnsi="宋体"/>
                <w:color w:val="auto"/>
                <w:szCs w:val="21"/>
              </w:rPr>
            </w:pPr>
            <w:r>
              <w:rPr>
                <w:rFonts w:hint="eastAsia" w:ascii="宋体" w:hAnsi="宋体"/>
                <w:color w:val="auto"/>
                <w:szCs w:val="21"/>
              </w:rPr>
              <w:t>第23.1款</w:t>
            </w:r>
          </w:p>
        </w:tc>
        <w:tc>
          <w:tcPr>
            <w:tcW w:w="1843" w:type="dxa"/>
            <w:noWrap w:val="0"/>
            <w:vAlign w:val="center"/>
          </w:tcPr>
          <w:p>
            <w:pPr>
              <w:adjustRightInd w:val="0"/>
              <w:snapToGrid w:val="0"/>
              <w:spacing w:line="360" w:lineRule="auto"/>
              <w:jc w:val="left"/>
              <w:rPr>
                <w:rFonts w:ascii="宋体" w:hAnsi="宋体"/>
                <w:color w:val="auto"/>
                <w:szCs w:val="21"/>
              </w:rPr>
            </w:pPr>
            <w:r>
              <w:rPr>
                <w:rFonts w:hint="eastAsia" w:ascii="宋体" w:hAnsi="宋体"/>
                <w:bCs/>
                <w:color w:val="auto"/>
                <w:szCs w:val="21"/>
              </w:rPr>
              <w:t>合同未尽事项</w:t>
            </w:r>
          </w:p>
        </w:tc>
        <w:tc>
          <w:tcPr>
            <w:tcW w:w="5464" w:type="dxa"/>
            <w:noWrap w:val="0"/>
            <w:vAlign w:val="center"/>
          </w:tcPr>
          <w:p>
            <w:pPr>
              <w:adjustRightInd w:val="0"/>
              <w:snapToGrid w:val="0"/>
              <w:spacing w:line="380" w:lineRule="exact"/>
              <w:jc w:val="left"/>
              <w:rPr>
                <w:rFonts w:ascii="宋体" w:cs="宋体"/>
                <w:szCs w:val="21"/>
              </w:rPr>
            </w:pPr>
            <w:r>
              <w:rPr>
                <w:rFonts w:hint="eastAsia" w:ascii="宋体" w:hAnsi="宋体" w:cs="宋体"/>
                <w:bCs/>
                <w:iCs/>
                <w:szCs w:val="21"/>
              </w:rPr>
              <w:t>■</w:t>
            </w:r>
            <w:r>
              <w:rPr>
                <w:rFonts w:hint="eastAsia" w:ascii="宋体" w:hAnsi="宋体" w:cs="宋体"/>
                <w:szCs w:val="21"/>
              </w:rPr>
              <w:t>诉讼</w:t>
            </w:r>
          </w:p>
          <w:p>
            <w:pPr>
              <w:adjustRightInd w:val="0"/>
              <w:snapToGrid w:val="0"/>
              <w:spacing w:line="380" w:lineRule="exact"/>
              <w:jc w:val="left"/>
              <w:rPr>
                <w:rFonts w:ascii="宋体" w:hAnsi="宋体"/>
                <w:color w:val="auto"/>
                <w:szCs w:val="21"/>
              </w:rPr>
            </w:pPr>
            <w:r>
              <w:rPr>
                <w:rFonts w:hint="eastAsia" w:ascii="宋体" w:hAnsi="宋体" w:cs="宋体"/>
                <w:szCs w:val="21"/>
              </w:rPr>
              <w:t>□仲裁</w:t>
            </w:r>
          </w:p>
        </w:tc>
      </w:tr>
    </w:tbl>
    <w:p>
      <w:pPr>
        <w:pStyle w:val="10"/>
        <w:adjustRightInd w:val="0"/>
        <w:snapToGrid w:val="0"/>
        <w:spacing w:line="360" w:lineRule="auto"/>
        <w:jc w:val="center"/>
        <w:outlineLvl w:val="0"/>
        <w:rPr>
          <w:rFonts w:ascii="黑体" w:hAnsi="华文中宋" w:eastAsia="黑体"/>
          <w:b/>
          <w:color w:val="auto"/>
          <w:sz w:val="32"/>
          <w:szCs w:val="32"/>
        </w:rPr>
      </w:pPr>
      <w:r>
        <w:rPr>
          <w:rFonts w:hAnsi="宋体"/>
          <w:b/>
          <w:bCs/>
          <w:color w:val="auto"/>
          <w:sz w:val="52"/>
          <w:szCs w:val="30"/>
        </w:rPr>
        <w:br w:type="page"/>
      </w:r>
      <w:bookmarkStart w:id="63" w:name="_Toc21574"/>
      <w:r>
        <w:rPr>
          <w:rFonts w:hint="eastAsia" w:ascii="黑体" w:hAnsi="华文中宋" w:eastAsia="黑体"/>
          <w:b/>
          <w:color w:val="auto"/>
          <w:sz w:val="32"/>
          <w:szCs w:val="32"/>
        </w:rPr>
        <w:t>第七章 投标文件的组成</w:t>
      </w:r>
      <w:bookmarkEnd w:id="63"/>
    </w:p>
    <w:p>
      <w:pPr>
        <w:adjustRightInd w:val="0"/>
        <w:snapToGrid w:val="0"/>
        <w:spacing w:line="360" w:lineRule="auto"/>
        <w:ind w:left="-88" w:leftChars="-42"/>
        <w:jc w:val="center"/>
        <w:rPr>
          <w:b/>
          <w:bCs/>
          <w:color w:val="auto"/>
          <w:sz w:val="32"/>
        </w:rPr>
      </w:pPr>
    </w:p>
    <w:p>
      <w:pPr>
        <w:adjustRightInd w:val="0"/>
        <w:snapToGrid w:val="0"/>
        <w:spacing w:before="156" w:beforeLines="50" w:line="360" w:lineRule="auto"/>
        <w:jc w:val="left"/>
        <w:rPr>
          <w:rFonts w:ascii="宋体" w:hAnsi="宋体"/>
          <w:b/>
          <w:color w:val="auto"/>
          <w:szCs w:val="21"/>
        </w:rPr>
      </w:pPr>
      <w:r>
        <w:rPr>
          <w:rFonts w:hint="eastAsia" w:ascii="宋体" w:hAnsi="宋体"/>
          <w:b/>
          <w:color w:val="auto"/>
          <w:szCs w:val="21"/>
        </w:rPr>
        <w:t>第一部分 资格证明文件</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一、开标一览表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二、投标保</w:t>
      </w:r>
      <w:r>
        <w:rPr>
          <w:rFonts w:hint="eastAsia" w:ascii="宋体" w:hAnsi="宋体"/>
          <w:bCs/>
          <w:color w:val="auto"/>
          <w:szCs w:val="21"/>
        </w:rPr>
        <w:t>证金</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三、授权委托书</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四、投标人提供的资格证明文件</w:t>
      </w:r>
    </w:p>
    <w:p>
      <w:pPr>
        <w:adjustRightInd w:val="0"/>
        <w:snapToGrid w:val="0"/>
        <w:spacing w:before="156" w:beforeLines="50" w:line="360" w:lineRule="auto"/>
        <w:jc w:val="left"/>
        <w:rPr>
          <w:rFonts w:ascii="宋体" w:hAnsi="宋体"/>
          <w:b/>
          <w:color w:val="auto"/>
          <w:szCs w:val="21"/>
        </w:rPr>
      </w:pPr>
      <w:r>
        <w:rPr>
          <w:rFonts w:hint="eastAsia" w:ascii="宋体" w:hAnsi="宋体"/>
          <w:b/>
          <w:color w:val="auto"/>
          <w:szCs w:val="21"/>
        </w:rPr>
        <w:t>第二部分 商务技术文件</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五、投标函</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六、分项报价</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七、采购需求响应</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八、合同条款偏离表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九、采购需求偏离表</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十、享受政府采购政策优惠的证明资料</w:t>
      </w:r>
    </w:p>
    <w:p>
      <w:pPr>
        <w:adjustRightInd w:val="0"/>
        <w:snapToGrid w:val="0"/>
        <w:spacing w:before="156" w:beforeLines="50" w:line="360" w:lineRule="auto"/>
        <w:ind w:firstLine="420" w:firstLineChars="200"/>
        <w:jc w:val="left"/>
        <w:rPr>
          <w:rFonts w:ascii="宋体" w:hAnsi="宋体"/>
          <w:color w:val="auto"/>
          <w:szCs w:val="21"/>
        </w:rPr>
      </w:pPr>
      <w:r>
        <w:rPr>
          <w:rFonts w:hint="eastAsia" w:ascii="宋体" w:hAnsi="宋体"/>
          <w:color w:val="auto"/>
          <w:szCs w:val="21"/>
        </w:rPr>
        <w:t>十一、投标货物符合招标文件规定的证明文件</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十二、投标人认为需提供的其他资料</w:t>
      </w:r>
    </w:p>
    <w:p>
      <w:pPr>
        <w:adjustRightInd w:val="0"/>
        <w:snapToGrid w:val="0"/>
        <w:spacing w:before="156" w:beforeLines="50" w:line="360" w:lineRule="auto"/>
        <w:ind w:firstLine="420" w:firstLineChars="200"/>
        <w:jc w:val="left"/>
        <w:rPr>
          <w:rFonts w:ascii="宋体" w:hAnsi="宋体" w:eastAsia="宋体"/>
          <w:color w:val="auto"/>
          <w:szCs w:val="21"/>
        </w:rPr>
      </w:pPr>
      <w:r>
        <w:rPr>
          <w:rFonts w:hint="eastAsia" w:ascii="宋体" w:hAnsi="宋体" w:eastAsia="宋体"/>
          <w:color w:val="auto"/>
          <w:szCs w:val="21"/>
        </w:rPr>
        <w:t>注：投标人可编制资格审查索引表、符合性审查索引表、评审索引表，以便采购人及采购代理机构资格审查和评标委员会评审。</w:t>
      </w:r>
    </w:p>
    <w:p>
      <w:pPr>
        <w:adjustRightInd w:val="0"/>
        <w:snapToGrid w:val="0"/>
        <w:spacing w:before="156" w:beforeLines="50" w:line="360" w:lineRule="auto"/>
        <w:ind w:firstLine="420" w:firstLineChars="200"/>
        <w:jc w:val="left"/>
        <w:rPr>
          <w:rFonts w:ascii="宋体" w:hAnsi="宋体" w:eastAsia="宋体"/>
          <w:color w:val="auto"/>
          <w:szCs w:val="21"/>
        </w:rPr>
      </w:pPr>
    </w:p>
    <w:p>
      <w:pPr>
        <w:adjustRightInd w:val="0"/>
        <w:snapToGrid w:val="0"/>
        <w:spacing w:line="360" w:lineRule="auto"/>
        <w:jc w:val="center"/>
        <w:rPr>
          <w:rFonts w:ascii="仿宋_GB2312" w:hAnsi="宋体" w:eastAsia="仿宋_GB2312"/>
          <w:color w:val="auto"/>
          <w:szCs w:val="21"/>
        </w:rPr>
      </w:pPr>
    </w:p>
    <w:p>
      <w:pPr>
        <w:adjustRightInd w:val="0"/>
        <w:snapToGrid w:val="0"/>
        <w:spacing w:line="360" w:lineRule="auto"/>
        <w:jc w:val="center"/>
        <w:rPr>
          <w:rFonts w:ascii="黑体" w:eastAsia="黑体"/>
          <w:color w:val="auto"/>
          <w:sz w:val="32"/>
          <w:szCs w:val="32"/>
        </w:rPr>
      </w:pPr>
      <w:r>
        <w:rPr>
          <w:rFonts w:ascii="仿宋_GB2312" w:hAnsi="宋体" w:eastAsia="仿宋_GB2312"/>
          <w:color w:val="auto"/>
          <w:szCs w:val="21"/>
        </w:rPr>
        <w:br w:type="page"/>
      </w:r>
    </w:p>
    <w:p>
      <w:pPr>
        <w:adjustRightInd w:val="0"/>
        <w:snapToGrid w:val="0"/>
        <w:spacing w:line="360" w:lineRule="auto"/>
        <w:jc w:val="center"/>
        <w:rPr>
          <w:rFonts w:ascii="黑体" w:eastAsia="黑体"/>
          <w:color w:val="auto"/>
          <w:sz w:val="32"/>
          <w:szCs w:val="32"/>
        </w:rPr>
      </w:pPr>
    </w:p>
    <w:p>
      <w:pPr>
        <w:pStyle w:val="10"/>
        <w:adjustRightInd w:val="0"/>
        <w:snapToGrid w:val="0"/>
        <w:spacing w:line="360" w:lineRule="auto"/>
        <w:jc w:val="center"/>
        <w:rPr>
          <w:rFonts w:ascii="宋体" w:hAnsi="宋体" w:eastAsia="宋体"/>
          <w:b/>
          <w:bCs/>
          <w:color w:val="auto"/>
          <w:sz w:val="72"/>
          <w:szCs w:val="72"/>
        </w:rPr>
      </w:pPr>
      <w:r>
        <w:rPr>
          <w:rFonts w:hint="eastAsia" w:ascii="宋体" w:hAnsi="宋体" w:eastAsia="宋体"/>
          <w:b/>
          <w:bCs/>
          <w:color w:val="auto"/>
          <w:sz w:val="72"/>
          <w:szCs w:val="72"/>
        </w:rPr>
        <w:t>政府采购</w:t>
      </w:r>
    </w:p>
    <w:p>
      <w:pPr>
        <w:adjustRightInd w:val="0"/>
        <w:snapToGrid w:val="0"/>
        <w:spacing w:line="360" w:lineRule="auto"/>
        <w:jc w:val="center"/>
        <w:rPr>
          <w:rFonts w:ascii="宋体" w:hAnsi="宋体" w:eastAsia="宋体"/>
          <w:b/>
          <w:bCs/>
          <w:color w:val="auto"/>
          <w:sz w:val="84"/>
          <w:szCs w:val="84"/>
        </w:rPr>
      </w:pPr>
      <w:r>
        <w:rPr>
          <w:rFonts w:hint="eastAsia" w:ascii="宋体" w:hAnsi="宋体" w:eastAsia="宋体"/>
          <w:b/>
          <w:bCs/>
          <w:color w:val="auto"/>
          <w:sz w:val="84"/>
          <w:szCs w:val="84"/>
        </w:rPr>
        <w:t>投 标 文 件</w:t>
      </w:r>
    </w:p>
    <w:p>
      <w:pPr>
        <w:pStyle w:val="3"/>
        <w:adjustRightInd w:val="0"/>
        <w:snapToGrid w:val="0"/>
        <w:jc w:val="center"/>
        <w:rPr>
          <w:rFonts w:ascii="黑体" w:hAnsi="黑体" w:eastAsia="黑体"/>
          <w:color w:val="auto"/>
          <w:sz w:val="44"/>
          <w:szCs w:val="44"/>
        </w:rPr>
      </w:pPr>
      <w:bookmarkStart w:id="64" w:name="_Toc12272"/>
      <w:r>
        <w:rPr>
          <w:rFonts w:hint="eastAsia" w:ascii="黑体" w:hAnsi="黑体" w:eastAsia="黑体"/>
          <w:color w:val="auto"/>
          <w:sz w:val="44"/>
          <w:szCs w:val="44"/>
        </w:rPr>
        <w:t>第一部分 资格证明文件</w:t>
      </w:r>
      <w:bookmarkEnd w:id="64"/>
    </w:p>
    <w:p>
      <w:pPr>
        <w:adjustRightInd w:val="0"/>
        <w:snapToGrid w:val="0"/>
        <w:spacing w:line="360" w:lineRule="auto"/>
        <w:rPr>
          <w:rFonts w:ascii="黑体" w:hAnsi="黑体" w:eastAsia="黑体"/>
          <w:b/>
          <w:color w:val="auto"/>
          <w:sz w:val="32"/>
          <w:szCs w:val="32"/>
        </w:rPr>
      </w:pPr>
    </w:p>
    <w:p>
      <w:pPr>
        <w:adjustRightInd w:val="0"/>
        <w:snapToGrid w:val="0"/>
        <w:spacing w:line="360" w:lineRule="auto"/>
        <w:rPr>
          <w:rFonts w:ascii="宋体" w:hAnsi="宋体" w:eastAsia="宋体"/>
          <w:b/>
          <w:color w:val="auto"/>
          <w:sz w:val="30"/>
          <w:szCs w:val="30"/>
        </w:rPr>
      </w:pPr>
      <w:r>
        <w:rPr>
          <w:rFonts w:hint="eastAsia" w:ascii="宋体" w:hAnsi="宋体" w:eastAsia="宋体"/>
          <w:b/>
          <w:color w:val="auto"/>
          <w:sz w:val="32"/>
          <w:szCs w:val="32"/>
        </w:rPr>
        <w:t xml:space="preserve">                     </w:t>
      </w:r>
    </w:p>
    <w:p>
      <w:pPr>
        <w:pStyle w:val="10"/>
        <w:adjustRightInd w:val="0"/>
        <w:snapToGrid w:val="0"/>
        <w:spacing w:line="360" w:lineRule="auto"/>
        <w:ind w:firstLine="1988" w:firstLineChars="660"/>
        <w:rPr>
          <w:rFonts w:ascii="宋体" w:hAnsi="宋体" w:eastAsia="宋体"/>
          <w:b/>
          <w:bCs/>
          <w:color w:val="auto"/>
          <w:sz w:val="30"/>
          <w:szCs w:val="30"/>
          <w:u w:val="single"/>
        </w:rPr>
      </w:pPr>
      <w:r>
        <w:rPr>
          <w:rFonts w:hint="eastAsia" w:ascii="宋体" w:hAnsi="宋体" w:eastAsia="宋体"/>
          <w:b/>
          <w:bCs/>
          <w:color w:val="auto"/>
          <w:sz w:val="30"/>
          <w:szCs w:val="30"/>
        </w:rPr>
        <w:t>采购项目名称:</w:t>
      </w:r>
      <w:r>
        <w:rPr>
          <w:rFonts w:hint="eastAsia" w:ascii="宋体" w:hAnsi="宋体" w:eastAsia="宋体"/>
          <w:b/>
          <w:bCs/>
          <w:color w:val="auto"/>
          <w:sz w:val="30"/>
          <w:szCs w:val="30"/>
          <w:u w:val="single"/>
        </w:rPr>
        <w:t xml:space="preserve">                       </w:t>
      </w:r>
    </w:p>
    <w:p>
      <w:pPr>
        <w:pStyle w:val="10"/>
        <w:adjustRightInd w:val="0"/>
        <w:snapToGrid w:val="0"/>
        <w:spacing w:line="360" w:lineRule="auto"/>
        <w:ind w:firstLine="1988" w:firstLineChars="660"/>
        <w:rPr>
          <w:rFonts w:ascii="宋体" w:hAnsi="宋体" w:eastAsia="宋体"/>
          <w:b/>
          <w:bCs/>
          <w:color w:val="auto"/>
          <w:sz w:val="30"/>
          <w:szCs w:val="30"/>
        </w:rPr>
      </w:pPr>
      <w:r>
        <w:rPr>
          <w:rFonts w:hint="eastAsia" w:ascii="宋体" w:hAnsi="宋体" w:eastAsia="宋体"/>
          <w:b/>
          <w:bCs/>
          <w:color w:val="auto"/>
          <w:sz w:val="30"/>
          <w:szCs w:val="30"/>
        </w:rPr>
        <w:t>采   购   人：</w:t>
      </w:r>
      <w:r>
        <w:rPr>
          <w:rFonts w:hint="eastAsia" w:ascii="宋体" w:hAnsi="宋体" w:eastAsia="宋体"/>
          <w:b/>
          <w:bCs/>
          <w:color w:val="auto"/>
          <w:sz w:val="30"/>
          <w:szCs w:val="30"/>
          <w:u w:val="single"/>
        </w:rPr>
        <w:t xml:space="preserve">                      </w:t>
      </w:r>
    </w:p>
    <w:p>
      <w:pPr>
        <w:pStyle w:val="10"/>
        <w:adjustRightInd w:val="0"/>
        <w:snapToGrid w:val="0"/>
        <w:spacing w:line="360" w:lineRule="auto"/>
        <w:ind w:firstLine="1988" w:firstLineChars="660"/>
        <w:rPr>
          <w:rFonts w:ascii="宋体" w:hAnsi="宋体" w:eastAsia="宋体"/>
          <w:b/>
          <w:bCs/>
          <w:color w:val="auto"/>
          <w:sz w:val="30"/>
          <w:szCs w:val="30"/>
          <w:u w:val="single"/>
        </w:rPr>
      </w:pPr>
      <w:r>
        <w:rPr>
          <w:rFonts w:hint="eastAsia" w:ascii="宋体" w:hAnsi="宋体" w:eastAsia="宋体"/>
          <w:b/>
          <w:bCs/>
          <w:color w:val="auto"/>
          <w:sz w:val="30"/>
          <w:szCs w:val="30"/>
        </w:rPr>
        <w:t>政府采购计划编号:</w:t>
      </w:r>
      <w:r>
        <w:rPr>
          <w:rFonts w:hint="eastAsia" w:ascii="宋体" w:hAnsi="宋体" w:eastAsia="宋体"/>
          <w:b/>
          <w:bCs/>
          <w:color w:val="auto"/>
          <w:sz w:val="30"/>
          <w:szCs w:val="30"/>
          <w:u w:val="single"/>
        </w:rPr>
        <w:t xml:space="preserve">                   </w:t>
      </w:r>
    </w:p>
    <w:p>
      <w:pPr>
        <w:pStyle w:val="10"/>
        <w:adjustRightInd w:val="0"/>
        <w:snapToGrid w:val="0"/>
        <w:spacing w:line="360" w:lineRule="auto"/>
        <w:ind w:firstLine="1988" w:firstLineChars="660"/>
        <w:rPr>
          <w:rFonts w:ascii="宋体" w:hAnsi="宋体" w:eastAsia="宋体"/>
          <w:b/>
          <w:bCs/>
          <w:color w:val="auto"/>
          <w:sz w:val="30"/>
          <w:szCs w:val="30"/>
          <w:u w:val="single"/>
        </w:rPr>
      </w:pPr>
      <w:r>
        <w:rPr>
          <w:rFonts w:hint="eastAsia" w:ascii="宋体" w:hAnsi="宋体" w:eastAsia="宋体"/>
          <w:b/>
          <w:bCs/>
          <w:color w:val="auto"/>
          <w:sz w:val="30"/>
          <w:szCs w:val="30"/>
          <w:lang w:eastAsia="zh-CN"/>
        </w:rPr>
        <w:t>委托代理编号</w:t>
      </w:r>
      <w:r>
        <w:rPr>
          <w:rFonts w:hint="eastAsia" w:ascii="宋体" w:hAnsi="宋体" w:eastAsia="宋体"/>
          <w:b/>
          <w:bCs/>
          <w:color w:val="auto"/>
          <w:sz w:val="30"/>
          <w:szCs w:val="30"/>
        </w:rPr>
        <w:t>:</w:t>
      </w:r>
      <w:r>
        <w:rPr>
          <w:rFonts w:hint="eastAsia" w:ascii="宋体" w:hAnsi="宋体" w:eastAsia="宋体"/>
          <w:b/>
          <w:bCs/>
          <w:color w:val="auto"/>
          <w:sz w:val="30"/>
          <w:szCs w:val="30"/>
          <w:u w:val="single"/>
        </w:rPr>
        <w:t xml:space="preserve">                       </w:t>
      </w:r>
    </w:p>
    <w:p>
      <w:pPr>
        <w:pStyle w:val="10"/>
        <w:adjustRightInd w:val="0"/>
        <w:snapToGrid w:val="0"/>
        <w:spacing w:line="360" w:lineRule="auto"/>
        <w:ind w:firstLine="1988" w:firstLineChars="660"/>
        <w:rPr>
          <w:rFonts w:ascii="宋体" w:hAnsi="宋体" w:eastAsia="宋体"/>
          <w:b/>
          <w:bCs/>
          <w:color w:val="auto"/>
          <w:sz w:val="30"/>
          <w:szCs w:val="30"/>
          <w:u w:val="single"/>
        </w:rPr>
      </w:pPr>
      <w:r>
        <w:rPr>
          <w:rFonts w:hint="eastAsia" w:ascii="宋体" w:hAnsi="宋体" w:eastAsia="宋体"/>
          <w:b/>
          <w:bCs/>
          <w:color w:val="auto"/>
          <w:sz w:val="30"/>
          <w:szCs w:val="30"/>
        </w:rPr>
        <w:t>采购代理机构：</w:t>
      </w:r>
      <w:r>
        <w:rPr>
          <w:rFonts w:hint="eastAsia" w:ascii="宋体" w:hAnsi="宋体" w:eastAsia="宋体"/>
          <w:b/>
          <w:bCs/>
          <w:color w:val="auto"/>
          <w:sz w:val="30"/>
          <w:szCs w:val="30"/>
          <w:u w:val="single"/>
        </w:rPr>
        <w:t xml:space="preserve">                      </w:t>
      </w:r>
    </w:p>
    <w:p>
      <w:pPr>
        <w:adjustRightInd w:val="0"/>
        <w:snapToGrid w:val="0"/>
        <w:spacing w:line="360" w:lineRule="auto"/>
        <w:rPr>
          <w:rFonts w:ascii="黑体" w:hAnsi="黑体" w:eastAsia="黑体"/>
          <w:color w:val="auto"/>
          <w:sz w:val="30"/>
          <w:szCs w:val="30"/>
        </w:rPr>
      </w:pPr>
    </w:p>
    <w:p>
      <w:pPr>
        <w:adjustRightInd w:val="0"/>
        <w:snapToGrid w:val="0"/>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rPr>
          <w:rFonts w:ascii="黑体" w:hAnsi="宋体" w:eastAsia="黑体"/>
          <w:color w:val="auto"/>
          <w:sz w:val="30"/>
          <w:szCs w:val="30"/>
        </w:rPr>
      </w:pPr>
    </w:p>
    <w:p>
      <w:pPr>
        <w:adjustRightInd w:val="0"/>
        <w:snapToGrid w:val="0"/>
        <w:spacing w:line="360" w:lineRule="auto"/>
        <w:ind w:firstLine="1984" w:firstLineChars="620"/>
        <w:rPr>
          <w:rFonts w:ascii="黑体" w:hAnsi="宋体" w:eastAsia="黑体"/>
          <w:color w:val="auto"/>
          <w:sz w:val="32"/>
          <w:szCs w:val="32"/>
          <w:u w:val="single"/>
        </w:rPr>
      </w:pPr>
      <w:r>
        <w:rPr>
          <w:rFonts w:hint="eastAsia" w:ascii="黑体" w:hAnsi="宋体" w:eastAsia="黑体"/>
          <w:color w:val="auto"/>
          <w:sz w:val="32"/>
          <w:szCs w:val="32"/>
        </w:rPr>
        <w:t>投标人</w:t>
      </w:r>
      <w:r>
        <w:rPr>
          <w:rFonts w:hint="eastAsia" w:ascii="黑体" w:hAnsi="宋体" w:eastAsia="黑体"/>
          <w:color w:val="auto"/>
          <w:sz w:val="32"/>
          <w:szCs w:val="32"/>
          <w:u w:val="single"/>
        </w:rPr>
        <w:t xml:space="preserve">                         </w:t>
      </w:r>
    </w:p>
    <w:p>
      <w:pPr>
        <w:adjustRightInd w:val="0"/>
        <w:snapToGrid w:val="0"/>
        <w:spacing w:line="360" w:lineRule="auto"/>
        <w:jc w:val="center"/>
        <w:rPr>
          <w:rFonts w:ascii="黑体" w:eastAsia="黑体"/>
          <w:color w:val="auto"/>
          <w:sz w:val="10"/>
          <w:szCs w:val="10"/>
        </w:rPr>
      </w:pPr>
      <w:r>
        <w:rPr>
          <w:rFonts w:hint="eastAsia" w:ascii="黑体" w:hAnsi="宋体" w:eastAsia="黑体"/>
          <w:color w:val="auto"/>
          <w:sz w:val="32"/>
          <w:szCs w:val="32"/>
        </w:rPr>
        <w:t>年  月  日</w:t>
      </w:r>
      <w:r>
        <w:rPr>
          <w:rFonts w:ascii="黑体" w:eastAsia="黑体"/>
          <w:color w:val="auto"/>
          <w:sz w:val="28"/>
          <w:szCs w:val="28"/>
        </w:rPr>
        <w:br w:type="page"/>
      </w:r>
    </w:p>
    <w:p>
      <w:pPr>
        <w:pStyle w:val="4"/>
        <w:adjustRightInd w:val="0"/>
        <w:snapToGrid w:val="0"/>
        <w:spacing w:before="0" w:after="0" w:line="360" w:lineRule="auto"/>
        <w:jc w:val="center"/>
        <w:rPr>
          <w:rFonts w:ascii="黑体" w:hAnsi="宋体" w:eastAsia="黑体"/>
          <w:color w:val="auto"/>
          <w:sz w:val="28"/>
          <w:szCs w:val="28"/>
        </w:rPr>
      </w:pPr>
      <w:bookmarkStart w:id="65" w:name="_Toc13587"/>
      <w:r>
        <w:rPr>
          <w:rFonts w:hint="eastAsia" w:ascii="黑体" w:hAnsi="宋体" w:eastAsia="黑体"/>
          <w:color w:val="auto"/>
          <w:sz w:val="28"/>
          <w:szCs w:val="28"/>
        </w:rPr>
        <w:t>一、开标一览表</w:t>
      </w:r>
      <w:bookmarkEnd w:id="65"/>
    </w:p>
    <w:p>
      <w:pPr>
        <w:adjustRightInd w:val="0"/>
        <w:snapToGrid w:val="0"/>
        <w:spacing w:line="360" w:lineRule="auto"/>
        <w:ind w:left="-88" w:leftChars="-42"/>
        <w:jc w:val="center"/>
        <w:rPr>
          <w:rFonts w:ascii="仿宋_GB2312" w:hAnsi="宋体" w:eastAsia="仿宋_GB2312"/>
          <w:color w:val="auto"/>
          <w:sz w:val="24"/>
        </w:rPr>
      </w:pP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政府采购计划编号：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项目名称：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adjustRightInd w:val="0"/>
        <w:snapToGrid w:val="0"/>
        <w:spacing w:line="360" w:lineRule="auto"/>
        <w:rPr>
          <w:rFonts w:ascii="宋体" w:hAnsi="宋体" w:eastAsia="宋体"/>
          <w:b/>
          <w:color w:val="auto"/>
          <w:szCs w:val="21"/>
        </w:rPr>
      </w:pPr>
      <w:r>
        <w:rPr>
          <w:rFonts w:hint="eastAsia" w:ascii="宋体" w:hAnsi="宋体" w:eastAsia="宋体"/>
          <w:color w:val="auto"/>
          <w:szCs w:val="21"/>
        </w:rPr>
        <w:t>包号：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包名称：</w:t>
      </w:r>
      <w:r>
        <w:rPr>
          <w:rFonts w:hint="eastAsia" w:ascii="宋体" w:hAnsi="宋体" w:eastAsia="宋体"/>
          <w:color w:val="auto"/>
          <w:szCs w:val="21"/>
          <w:u w:val="single"/>
        </w:rPr>
        <w:t xml:space="preserve">                  </w:t>
      </w:r>
    </w:p>
    <w:tbl>
      <w:tblPr>
        <w:tblStyle w:val="2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pPr>
              <w:adjustRightInd w:val="0"/>
              <w:snapToGrid w:val="0"/>
              <w:spacing w:line="360" w:lineRule="auto"/>
              <w:jc w:val="center"/>
              <w:rPr>
                <w:rFonts w:ascii="宋体" w:hAnsi="宋体" w:eastAsia="宋体"/>
                <w:b/>
                <w:color w:val="auto"/>
                <w:kern w:val="0"/>
                <w:sz w:val="20"/>
                <w:szCs w:val="21"/>
              </w:rPr>
            </w:pPr>
            <w:r>
              <w:rPr>
                <w:rFonts w:hint="eastAsia" w:ascii="宋体" w:hAnsi="宋体" w:eastAsia="宋体"/>
                <w:b/>
                <w:color w:val="auto"/>
                <w:kern w:val="0"/>
                <w:szCs w:val="21"/>
              </w:rPr>
              <w:t>投标报价</w:t>
            </w:r>
          </w:p>
        </w:tc>
        <w:tc>
          <w:tcPr>
            <w:tcW w:w="3119" w:type="dxa"/>
            <w:noWrap w:val="0"/>
            <w:vAlign w:val="center"/>
          </w:tcPr>
          <w:p>
            <w:pPr>
              <w:adjustRightInd w:val="0"/>
              <w:snapToGrid w:val="0"/>
              <w:spacing w:line="360" w:lineRule="auto"/>
              <w:jc w:val="center"/>
              <w:rPr>
                <w:rFonts w:ascii="宋体" w:hAnsi="宋体" w:eastAsia="宋体"/>
                <w:b/>
                <w:color w:val="auto"/>
                <w:kern w:val="0"/>
                <w:szCs w:val="21"/>
              </w:rPr>
            </w:pPr>
            <w:r>
              <w:rPr>
                <w:rFonts w:hint="eastAsia" w:ascii="宋体" w:hAnsi="宋体" w:eastAsia="宋体"/>
                <w:b/>
                <w:color w:val="auto"/>
                <w:kern w:val="0"/>
                <w:szCs w:val="21"/>
              </w:rPr>
              <w:t>其他内容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pPr>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小写金额：</w:t>
            </w:r>
            <w:r>
              <w:rPr>
                <w:rFonts w:hint="eastAsia" w:ascii="宋体" w:hAnsi="宋体" w:eastAsia="宋体"/>
                <w:color w:val="auto"/>
                <w:kern w:val="0"/>
                <w:szCs w:val="21"/>
                <w:u w:val="single"/>
              </w:rPr>
              <w:t xml:space="preserve">               </w:t>
            </w:r>
            <w:r>
              <w:rPr>
                <w:rFonts w:hint="eastAsia" w:ascii="宋体" w:hAnsi="宋体" w:eastAsia="宋体"/>
                <w:color w:val="auto"/>
                <w:kern w:val="0"/>
                <w:szCs w:val="21"/>
              </w:rPr>
              <w:t>（</w:t>
            </w:r>
            <w:r>
              <w:rPr>
                <w:rFonts w:hint="eastAsia" w:ascii="宋体" w:hAnsi="宋体" w:eastAsia="宋体"/>
                <w:color w:val="auto"/>
                <w:kern w:val="0"/>
                <w:sz w:val="20"/>
                <w:szCs w:val="21"/>
              </w:rPr>
              <w:t>人民币元</w:t>
            </w:r>
            <w:r>
              <w:rPr>
                <w:rFonts w:hint="eastAsia" w:ascii="宋体" w:hAnsi="宋体" w:eastAsia="宋体"/>
                <w:color w:val="auto"/>
                <w:kern w:val="0"/>
                <w:szCs w:val="21"/>
              </w:rPr>
              <w:t>）</w:t>
            </w:r>
          </w:p>
          <w:p>
            <w:pPr>
              <w:adjustRightInd w:val="0"/>
              <w:snapToGrid w:val="0"/>
              <w:spacing w:line="360" w:lineRule="auto"/>
              <w:jc w:val="center"/>
              <w:rPr>
                <w:rFonts w:ascii="宋体" w:hAnsi="宋体" w:eastAsia="宋体"/>
                <w:color w:val="auto"/>
                <w:kern w:val="0"/>
                <w:szCs w:val="21"/>
                <w:u w:val="single"/>
              </w:rPr>
            </w:pPr>
            <w:r>
              <w:rPr>
                <w:rFonts w:hint="eastAsia" w:ascii="宋体" w:hAnsi="宋体" w:eastAsia="宋体"/>
                <w:color w:val="auto"/>
                <w:kern w:val="0"/>
                <w:szCs w:val="21"/>
              </w:rPr>
              <w:t>大写金额：</w:t>
            </w:r>
            <w:r>
              <w:rPr>
                <w:rFonts w:hint="eastAsia" w:ascii="宋体" w:hAnsi="宋体" w:eastAsia="宋体"/>
                <w:color w:val="auto"/>
                <w:kern w:val="0"/>
                <w:szCs w:val="21"/>
                <w:u w:val="single"/>
              </w:rPr>
              <w:t xml:space="preserve">                </w:t>
            </w:r>
            <w:r>
              <w:rPr>
                <w:rFonts w:hint="eastAsia" w:ascii="宋体" w:hAnsi="宋体" w:eastAsia="宋体"/>
                <w:color w:val="auto"/>
                <w:kern w:val="0"/>
                <w:szCs w:val="21"/>
              </w:rPr>
              <w:t>（</w:t>
            </w:r>
            <w:r>
              <w:rPr>
                <w:rFonts w:hint="eastAsia" w:ascii="宋体" w:hAnsi="宋体" w:eastAsia="宋体"/>
                <w:color w:val="auto"/>
                <w:kern w:val="0"/>
                <w:sz w:val="20"/>
                <w:szCs w:val="21"/>
              </w:rPr>
              <w:t>人民币元</w:t>
            </w:r>
            <w:r>
              <w:rPr>
                <w:rFonts w:hint="eastAsia" w:ascii="宋体" w:hAnsi="宋体" w:eastAsia="宋体"/>
                <w:color w:val="auto"/>
                <w:kern w:val="0"/>
                <w:szCs w:val="21"/>
              </w:rPr>
              <w:t>）</w:t>
            </w:r>
          </w:p>
          <w:p>
            <w:pPr>
              <w:adjustRightInd w:val="0"/>
              <w:snapToGrid w:val="0"/>
              <w:spacing w:line="360" w:lineRule="auto"/>
              <w:jc w:val="center"/>
              <w:rPr>
                <w:rFonts w:ascii="宋体" w:hAnsi="宋体" w:eastAsia="宋体"/>
                <w:color w:val="auto"/>
                <w:kern w:val="0"/>
                <w:sz w:val="20"/>
                <w:szCs w:val="21"/>
              </w:rPr>
            </w:pPr>
            <w:r>
              <w:rPr>
                <w:rFonts w:hint="eastAsia" w:ascii="宋体" w:hAnsi="宋体" w:eastAsia="宋体"/>
                <w:color w:val="auto"/>
                <w:kern w:val="0"/>
                <w:szCs w:val="21"/>
              </w:rPr>
              <w:t>（</w:t>
            </w:r>
            <w:r>
              <w:rPr>
                <w:rFonts w:hint="eastAsia" w:ascii="黑体" w:hAnsi="黑体" w:eastAsia="黑体"/>
                <w:color w:val="auto"/>
                <w:kern w:val="0"/>
                <w:sz w:val="24"/>
              </w:rPr>
              <w:t>大写金额与小写金额不一致时，以大写金额为准</w:t>
            </w:r>
            <w:r>
              <w:rPr>
                <w:rFonts w:hint="eastAsia" w:ascii="宋体" w:hAnsi="宋体" w:eastAsia="宋体"/>
                <w:color w:val="auto"/>
                <w:kern w:val="0"/>
                <w:szCs w:val="21"/>
              </w:rPr>
              <w:t>）</w:t>
            </w:r>
          </w:p>
        </w:tc>
        <w:tc>
          <w:tcPr>
            <w:tcW w:w="3119" w:type="dxa"/>
            <w:noWrap w:val="0"/>
            <w:vAlign w:val="center"/>
          </w:tcPr>
          <w:p>
            <w:pPr>
              <w:adjustRightInd w:val="0"/>
              <w:snapToGrid w:val="0"/>
              <w:spacing w:line="360" w:lineRule="auto"/>
              <w:jc w:val="center"/>
              <w:rPr>
                <w:rFonts w:ascii="宋体" w:hAnsi="宋体" w:eastAsia="宋体"/>
                <w:color w:val="auto"/>
                <w:kern w:val="0"/>
                <w:szCs w:val="21"/>
              </w:rPr>
            </w:pPr>
          </w:p>
        </w:tc>
      </w:tr>
    </w:tbl>
    <w:p>
      <w:pPr>
        <w:adjustRightInd w:val="0"/>
        <w:snapToGrid w:val="0"/>
        <w:spacing w:line="360" w:lineRule="auto"/>
        <w:rPr>
          <w:rFonts w:ascii="宋体" w:hAnsi="宋体" w:eastAsia="宋体"/>
          <w:color w:val="auto"/>
          <w:szCs w:val="21"/>
        </w:rPr>
      </w:pPr>
      <w:r>
        <w:rPr>
          <w:rFonts w:hint="eastAsia" w:ascii="宋体" w:hAnsi="宋体" w:eastAsia="宋体"/>
          <w:b w:val="0"/>
          <w:bCs/>
          <w:color w:val="auto"/>
          <w:szCs w:val="21"/>
        </w:rPr>
        <w:t>注：</w:t>
      </w:r>
      <w:r>
        <w:rPr>
          <w:rFonts w:hint="eastAsia" w:ascii="宋体" w:hAnsi="宋体"/>
          <w:color w:val="auto"/>
          <w:szCs w:val="21"/>
          <w:lang w:val="en-US" w:eastAsia="zh-CN"/>
        </w:rPr>
        <w:t>1.</w:t>
      </w:r>
      <w:r>
        <w:rPr>
          <w:rFonts w:hint="eastAsia" w:ascii="宋体" w:hAnsi="宋体" w:eastAsia="宋体"/>
          <w:color w:val="auto"/>
          <w:szCs w:val="21"/>
        </w:rPr>
        <w:t>本表须按包填写，一个“包号”一份。</w:t>
      </w:r>
    </w:p>
    <w:p>
      <w:pPr>
        <w:adjustRightInd w:val="0"/>
        <w:snapToGrid w:val="0"/>
        <w:spacing w:line="360" w:lineRule="auto"/>
        <w:ind w:firstLine="420" w:firstLineChars="200"/>
        <w:rPr>
          <w:rFonts w:ascii="宋体" w:hAnsi="宋体" w:eastAsia="宋体"/>
          <w:color w:val="auto"/>
          <w:szCs w:val="21"/>
        </w:rPr>
      </w:pPr>
      <w:r>
        <w:rPr>
          <w:rFonts w:hint="eastAsia" w:ascii="宋体" w:hAnsi="宋体"/>
          <w:color w:val="auto"/>
          <w:szCs w:val="21"/>
          <w:lang w:val="en-US" w:eastAsia="zh-CN"/>
        </w:rPr>
        <w:t>2.</w:t>
      </w:r>
      <w:r>
        <w:rPr>
          <w:rFonts w:hint="eastAsia" w:ascii="宋体" w:hAnsi="宋体" w:eastAsia="宋体"/>
          <w:color w:val="auto"/>
        </w:rPr>
        <w:t>投标人对采购项目内容只允许有一个投标报价，否则其</w:t>
      </w:r>
      <w:r>
        <w:rPr>
          <w:rFonts w:hint="eastAsia" w:ascii="宋体" w:hAnsi="宋体" w:eastAsia="宋体"/>
          <w:b/>
          <w:color w:val="auto"/>
        </w:rPr>
        <w:t>投标无效</w:t>
      </w:r>
      <w:r>
        <w:rPr>
          <w:rFonts w:hint="eastAsia" w:ascii="宋体" w:hAnsi="宋体" w:eastAsia="宋体"/>
          <w:color w:val="auto"/>
          <w:szCs w:val="21"/>
        </w:rPr>
        <w:t>。</w:t>
      </w:r>
    </w:p>
    <w:p>
      <w:pPr>
        <w:adjustRightInd w:val="0"/>
        <w:snapToGrid w:val="0"/>
        <w:spacing w:line="360" w:lineRule="auto"/>
        <w:ind w:firstLine="420" w:firstLineChars="200"/>
        <w:jc w:val="left"/>
        <w:rPr>
          <w:rFonts w:ascii="宋体" w:hAnsi="宋体" w:eastAsia="宋体"/>
          <w:color w:val="auto"/>
        </w:rPr>
      </w:pPr>
      <w:r>
        <w:rPr>
          <w:rFonts w:hint="eastAsia" w:ascii="宋体" w:hAnsi="宋体"/>
          <w:color w:val="auto"/>
          <w:szCs w:val="21"/>
          <w:lang w:val="en-US" w:eastAsia="zh-CN"/>
        </w:rPr>
        <w:t>3.</w:t>
      </w:r>
      <w:r>
        <w:rPr>
          <w:rFonts w:hint="eastAsia" w:ascii="宋体" w:hAnsi="宋体" w:eastAsia="宋体"/>
          <w:color w:val="auto"/>
        </w:rPr>
        <w:t>投标人在投标截止时间前修改“开标一览表”中的投标报价的，应同时修改投标文件“分项报价明细表”“享受政府采购政策优惠的证明资料”以及“联合体协议书”（如果影响）等相关内容。</w:t>
      </w:r>
    </w:p>
    <w:p>
      <w:pPr>
        <w:adjustRightInd w:val="0"/>
        <w:snapToGrid w:val="0"/>
        <w:spacing w:line="360" w:lineRule="auto"/>
        <w:ind w:firstLine="420" w:firstLineChars="200"/>
        <w:rPr>
          <w:rFonts w:ascii="宋体" w:hAnsi="宋体" w:eastAsia="宋体"/>
          <w:color w:val="auto"/>
          <w:szCs w:val="21"/>
        </w:rPr>
      </w:pPr>
    </w:p>
    <w:p>
      <w:pPr>
        <w:adjustRightInd w:val="0"/>
        <w:snapToGrid w:val="0"/>
        <w:spacing w:line="360" w:lineRule="auto"/>
        <w:ind w:firstLine="420" w:firstLineChars="200"/>
        <w:rPr>
          <w:rFonts w:ascii="宋体" w:hAnsi="宋体" w:eastAsia="宋体"/>
          <w:color w:val="auto"/>
          <w:szCs w:val="21"/>
        </w:rPr>
      </w:pPr>
    </w:p>
    <w:p>
      <w:pPr>
        <w:adjustRightInd w:val="0"/>
        <w:snapToGrid w:val="0"/>
        <w:spacing w:line="360" w:lineRule="auto"/>
        <w:rPr>
          <w:rFonts w:ascii="宋体" w:hAnsi="宋体" w:eastAsia="宋体"/>
          <w:color w:val="auto"/>
          <w:szCs w:val="21"/>
        </w:rPr>
      </w:pP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投标人名称（盖单位章）：</w:t>
      </w:r>
    </w:p>
    <w:p>
      <w:pPr>
        <w:adjustRightInd w:val="0"/>
        <w:snapToGrid w:val="0"/>
        <w:spacing w:line="360" w:lineRule="auto"/>
        <w:rPr>
          <w:rFonts w:ascii="宋体" w:hAnsi="宋体" w:eastAsia="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eastAsia="宋体"/>
          <w:color w:val="auto"/>
          <w:szCs w:val="21"/>
        </w:rPr>
        <w:t>或其授权的代理人（签字或印章）：</w:t>
      </w:r>
      <w:r>
        <w:rPr>
          <w:rFonts w:hint="eastAsia" w:ascii="宋体" w:hAnsi="宋体" w:eastAsia="宋体"/>
          <w:color w:val="auto"/>
          <w:szCs w:val="21"/>
          <w:u w:val="single"/>
        </w:rPr>
        <w:t xml:space="preserve">                </w:t>
      </w:r>
      <w:r>
        <w:rPr>
          <w:rFonts w:hint="eastAsia" w:ascii="宋体" w:hAnsi="宋体" w:eastAsia="宋体"/>
          <w:color w:val="auto"/>
          <w:szCs w:val="21"/>
        </w:rPr>
        <w:t>_</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p>
    <w:p>
      <w:pPr>
        <w:widowControl/>
        <w:jc w:val="left"/>
        <w:rPr>
          <w:rFonts w:ascii="宋体" w:hAnsi="宋体" w:eastAsia="宋体"/>
          <w:color w:val="auto"/>
          <w:sz w:val="10"/>
          <w:szCs w:val="10"/>
        </w:rPr>
      </w:pPr>
      <w:r>
        <w:rPr>
          <w:rFonts w:ascii="宋体" w:hAnsi="宋体" w:eastAsia="宋体"/>
          <w:color w:val="auto"/>
          <w:szCs w:val="21"/>
        </w:rPr>
        <w:br w:type="page"/>
      </w:r>
    </w:p>
    <w:p>
      <w:pPr>
        <w:pStyle w:val="4"/>
        <w:adjustRightInd w:val="0"/>
        <w:snapToGrid w:val="0"/>
        <w:spacing w:before="0" w:after="0" w:line="360" w:lineRule="auto"/>
        <w:jc w:val="center"/>
        <w:rPr>
          <w:rFonts w:ascii="黑体" w:hAnsi="宋体" w:eastAsia="黑体"/>
          <w:color w:val="auto"/>
          <w:sz w:val="28"/>
          <w:szCs w:val="28"/>
        </w:rPr>
      </w:pPr>
      <w:bookmarkStart w:id="66" w:name="_Toc5873"/>
      <w:r>
        <w:rPr>
          <w:rFonts w:hint="eastAsia" w:ascii="黑体" w:hAnsi="宋体" w:eastAsia="黑体"/>
          <w:color w:val="auto"/>
          <w:sz w:val="28"/>
          <w:szCs w:val="28"/>
        </w:rPr>
        <w:t>二、投标保证金</w:t>
      </w:r>
      <w:bookmarkEnd w:id="66"/>
    </w:p>
    <w:p>
      <w:pPr>
        <w:adjustRightInd w:val="0"/>
        <w:snapToGrid w:val="0"/>
        <w:spacing w:before="156" w:beforeLines="50" w:line="360" w:lineRule="auto"/>
        <w:ind w:firstLine="420" w:firstLineChars="200"/>
        <w:jc w:val="left"/>
        <w:rPr>
          <w:rFonts w:ascii="宋体" w:hAnsi="宋体" w:eastAsia="宋体"/>
          <w:color w:val="auto"/>
          <w:szCs w:val="21"/>
        </w:rPr>
      </w:pPr>
    </w:p>
    <w:p>
      <w:pPr>
        <w:adjustRightInd w:val="0"/>
        <w:snapToGrid w:val="0"/>
        <w:spacing w:before="156" w:beforeLines="50" w:line="360" w:lineRule="auto"/>
        <w:jc w:val="left"/>
        <w:rPr>
          <w:rFonts w:ascii="宋体" w:hAnsi="宋体" w:eastAsia="宋体"/>
          <w:color w:val="auto"/>
          <w:szCs w:val="21"/>
        </w:rPr>
      </w:pPr>
      <w:r>
        <w:rPr>
          <w:rFonts w:hint="eastAsia" w:ascii="宋体" w:hAnsi="宋体" w:eastAsia="宋体"/>
          <w:b w:val="0"/>
          <w:bCs/>
          <w:color w:val="auto"/>
          <w:szCs w:val="21"/>
        </w:rPr>
        <w:t>注：</w:t>
      </w:r>
      <w:r>
        <w:rPr>
          <w:rFonts w:hint="eastAsia" w:ascii="宋体" w:hAnsi="宋体" w:eastAsia="宋体"/>
          <w:color w:val="auto"/>
          <w:szCs w:val="21"/>
        </w:rPr>
        <w:t>1.提供：付款凭证复印件，或金融机构、担保机构出具的无条件且不可撤销的保函、电子增信等。</w:t>
      </w:r>
    </w:p>
    <w:p>
      <w:pPr>
        <w:pStyle w:val="26"/>
        <w:rPr>
          <w:rFonts w:eastAsia="宋体"/>
          <w:color w:val="auto"/>
        </w:rPr>
      </w:pPr>
      <w:r>
        <w:rPr>
          <w:rFonts w:hint="eastAsia" w:ascii="宋体" w:hAnsi="宋体" w:eastAsia="宋体"/>
          <w:color w:val="auto"/>
        </w:rPr>
        <w:t xml:space="preserve"> 2.鼓励中小企业在金融机构通过电子增信取得信用星级，投标人的信用星级在有效期内可替代投标保证金并可重复使用。其中：预算金额不高于公开招标限额标准的采购项目，供应商应取得1星信用；预算金额高于公开招标限额标准的1000万元以下采购项目，供应商应取得2星信用；预算金额1000万元（含）以上的采购项目，供应商应取得3星信用。</w:t>
      </w:r>
    </w:p>
    <w:p>
      <w:pPr>
        <w:widowControl/>
        <w:jc w:val="left"/>
        <w:rPr>
          <w:rFonts w:ascii="黑体" w:eastAsia="黑体"/>
          <w:color w:val="auto"/>
          <w:sz w:val="10"/>
          <w:szCs w:val="10"/>
        </w:rPr>
      </w:pPr>
      <w:r>
        <w:rPr>
          <w:rFonts w:ascii="黑体" w:eastAsia="黑体"/>
          <w:color w:val="auto"/>
          <w:sz w:val="32"/>
          <w:szCs w:val="32"/>
        </w:rPr>
        <w:br w:type="page"/>
      </w:r>
    </w:p>
    <w:p>
      <w:pPr>
        <w:pStyle w:val="4"/>
        <w:adjustRightInd w:val="0"/>
        <w:snapToGrid w:val="0"/>
        <w:spacing w:before="0" w:after="0" w:line="360" w:lineRule="auto"/>
        <w:jc w:val="center"/>
        <w:rPr>
          <w:rFonts w:ascii="黑体" w:hAnsi="宋体" w:eastAsia="黑体"/>
          <w:color w:val="auto"/>
          <w:sz w:val="28"/>
          <w:szCs w:val="28"/>
        </w:rPr>
      </w:pPr>
      <w:bookmarkStart w:id="67" w:name="_Toc12400"/>
      <w:r>
        <w:rPr>
          <w:rFonts w:hint="eastAsia" w:ascii="黑体" w:hAnsi="宋体" w:eastAsia="黑体"/>
          <w:color w:val="auto"/>
          <w:sz w:val="28"/>
          <w:szCs w:val="28"/>
        </w:rPr>
        <w:t>三、授权委托书</w:t>
      </w:r>
      <w:bookmarkEnd w:id="67"/>
    </w:p>
    <w:p>
      <w:pPr>
        <w:autoSpaceDE w:val="0"/>
        <w:autoSpaceDN w:val="0"/>
        <w:adjustRightInd w:val="0"/>
        <w:snapToGrid w:val="0"/>
        <w:spacing w:line="360" w:lineRule="auto"/>
        <w:ind w:firstLine="446" w:firstLineChars="200"/>
        <w:jc w:val="left"/>
        <w:rPr>
          <w:rFonts w:ascii="宋体" w:hAnsi="宋体"/>
          <w:b/>
          <w:color w:val="auto"/>
          <w:spacing w:val="6"/>
          <w:szCs w:val="21"/>
        </w:rPr>
      </w:pPr>
    </w:p>
    <w:p>
      <w:pPr>
        <w:autoSpaceDE w:val="0"/>
        <w:autoSpaceDN w:val="0"/>
        <w:adjustRightInd w:val="0"/>
        <w:snapToGrid w:val="0"/>
        <w:spacing w:line="360" w:lineRule="auto"/>
        <w:ind w:firstLine="420" w:firstLineChars="200"/>
        <w:jc w:val="left"/>
        <w:rPr>
          <w:rFonts w:ascii="宋体" w:hAnsi="宋体" w:cs="宋体"/>
          <w:color w:val="auto"/>
          <w:kern w:val="0"/>
          <w:szCs w:val="21"/>
        </w:rPr>
      </w:pPr>
    </w:p>
    <w:p>
      <w:pPr>
        <w:autoSpaceDE w:val="0"/>
        <w:autoSpaceDN w:val="0"/>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olor w:val="auto"/>
          <w:szCs w:val="21"/>
        </w:rPr>
        <w:t>投标人</w:t>
      </w:r>
      <w:r>
        <w:rPr>
          <w:rFonts w:hint="eastAsia" w:ascii="宋体" w:hAnsi="宋体" w:cs="宋体"/>
          <w:color w:val="auto"/>
          <w:kern w:val="0"/>
          <w:szCs w:val="21"/>
        </w:rPr>
        <w:t>名称）的法定代表人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cs="宋体"/>
          <w:color w:val="auto"/>
          <w:kern w:val="0"/>
          <w:szCs w:val="21"/>
        </w:rPr>
        <w:t>，现授权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（姓名、职务）为我方代理人。代理人根据授权，以我方名义签署、澄清、说明、补正、递交、撤回、修改</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ascii="宋体" w:hAnsi="宋体" w:cs="宋体"/>
          <w:color w:val="auto"/>
          <w:kern w:val="0"/>
          <w:szCs w:val="21"/>
        </w:rPr>
        <w:t>）</w:t>
      </w:r>
      <w:r>
        <w:rPr>
          <w:rFonts w:hint="eastAsia" w:ascii="宋体" w:hAnsi="宋体" w:cs="宋体"/>
          <w:color w:val="auto"/>
          <w:kern w:val="0"/>
          <w:szCs w:val="21"/>
        </w:rPr>
        <w:t>（</w:t>
      </w:r>
      <w:r>
        <w:rPr>
          <w:rFonts w:hint="eastAsia" w:ascii="宋体" w:hAnsi="宋体" w:eastAsia="宋体"/>
          <w:color w:val="auto"/>
        </w:rPr>
        <w:t>政府采购计划编号</w:t>
      </w:r>
      <w:r>
        <w:rPr>
          <w:rFonts w:hint="eastAsia" w:ascii="宋体" w:hAnsi="宋体" w:eastAsia="宋体"/>
          <w:iCs/>
          <w:color w:val="auto"/>
        </w:rPr>
        <w:t>：</w:t>
      </w:r>
      <w:r>
        <w:rPr>
          <w:rFonts w:hint="eastAsia" w:ascii="宋体" w:hAnsi="宋体" w:eastAsia="宋体"/>
          <w:iCs/>
          <w:color w:val="auto"/>
          <w:u w:val="single"/>
        </w:rPr>
        <w:t xml:space="preserve">      </w:t>
      </w:r>
      <w:r>
        <w:rPr>
          <w:rFonts w:hint="eastAsia" w:ascii="宋体" w:hAnsi="宋体" w:eastAsia="宋体"/>
          <w:iCs/>
          <w:color w:val="auto"/>
        </w:rPr>
        <w:t xml:space="preserve"> ，</w:t>
      </w:r>
      <w:r>
        <w:rPr>
          <w:rFonts w:hint="eastAsia" w:ascii="宋体" w:hAnsi="宋体" w:eastAsia="宋体" w:cs="宋体"/>
          <w:color w:val="auto"/>
          <w:kern w:val="0"/>
          <w:szCs w:val="21"/>
          <w:lang w:eastAsia="zh-CN"/>
        </w:rPr>
        <w:t>委托代理编号</w:t>
      </w:r>
      <w:r>
        <w:rPr>
          <w:rFonts w:hint="eastAsia" w:ascii="宋体" w:hAnsi="宋体" w:cs="宋体"/>
          <w:color w:val="auto"/>
          <w:kern w:val="0"/>
          <w:szCs w:val="21"/>
        </w:rPr>
        <w:t>：</w:t>
      </w:r>
      <w:r>
        <w:rPr>
          <w:rFonts w:hint="eastAsia" w:ascii="宋体" w:hAnsi="宋体" w:cs="宋体"/>
          <w:color w:val="auto"/>
          <w:kern w:val="0"/>
          <w:szCs w:val="21"/>
          <w:u w:val="single"/>
        </w:rPr>
        <w:t xml:space="preserve">       </w:t>
      </w:r>
      <w:r>
        <w:rPr>
          <w:rFonts w:hint="eastAsia" w:ascii="宋体" w:hAnsi="宋体" w:cs="宋体"/>
          <w:color w:val="auto"/>
          <w:kern w:val="0"/>
          <w:szCs w:val="21"/>
        </w:rPr>
        <w:t>）投标文件、签订合同和处理有关事宜，其法律后果由我方承担。</w:t>
      </w:r>
    </w:p>
    <w:p>
      <w:pPr>
        <w:autoSpaceDE w:val="0"/>
        <w:autoSpaceDN w:val="0"/>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pPr>
        <w:adjustRightInd w:val="0"/>
        <w:snapToGrid w:val="0"/>
        <w:spacing w:line="360" w:lineRule="auto"/>
        <w:ind w:firstLine="435"/>
        <w:rPr>
          <w:rFonts w:ascii="宋体" w:hAnsi="宋体" w:cs="宋体"/>
          <w:color w:val="auto"/>
          <w:kern w:val="0"/>
          <w:szCs w:val="21"/>
        </w:rPr>
      </w:pPr>
      <w:r>
        <w:rPr>
          <w:rFonts w:hint="eastAsia" w:ascii="宋体" w:hAnsi="宋体" w:cs="宋体"/>
          <w:color w:val="auto"/>
          <w:kern w:val="0"/>
          <w:szCs w:val="21"/>
        </w:rPr>
        <w:t>代理人无转委托权。</w:t>
      </w:r>
    </w:p>
    <w:p>
      <w:pPr>
        <w:adjustRightInd w:val="0"/>
        <w:snapToGrid w:val="0"/>
        <w:spacing w:line="360" w:lineRule="auto"/>
        <w:ind w:firstLine="435"/>
        <w:rPr>
          <w:rFonts w:ascii="宋体" w:hAnsi="宋体" w:eastAsia="宋体" w:cs="微软雅黑"/>
          <w:color w:val="auto"/>
          <w:kern w:val="0"/>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tbl>
      <w:tblPr>
        <w:tblStyle w:val="22"/>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委托代理人身份证（正面）</w:t>
            </w:r>
            <w:r>
              <w:rPr>
                <w:rFonts w:hint="eastAsia" w:ascii="宋体" w:hAnsi="宋体" w:eastAsia="宋体" w:cs="微软雅黑"/>
                <w:color w:val="auto"/>
                <w:spacing w:val="-2"/>
                <w:kern w:val="0"/>
                <w:szCs w:val="21"/>
              </w:rPr>
              <w:t>复</w:t>
            </w:r>
            <w:r>
              <w:rPr>
                <w:rFonts w:hint="eastAsia" w:ascii="宋体" w:hAnsi="宋体" w:eastAsia="宋体" w:cs="微软雅黑"/>
                <w:color w:val="auto"/>
                <w:kern w:val="0"/>
                <w:szCs w:val="21"/>
              </w:rPr>
              <w:t>印</w:t>
            </w:r>
            <w:r>
              <w:rPr>
                <w:rFonts w:hint="eastAsia" w:ascii="宋体" w:hAnsi="宋体" w:eastAsia="宋体" w:cs="微软雅黑"/>
                <w:color w:val="auto"/>
                <w:spacing w:val="-2"/>
                <w:kern w:val="0"/>
                <w:szCs w:val="21"/>
              </w:rPr>
              <w:t>件</w:t>
            </w:r>
          </w:p>
        </w:tc>
        <w:tc>
          <w:tcPr>
            <w:tcW w:w="3899"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委托代理人身份证（反面）</w:t>
            </w:r>
            <w:r>
              <w:rPr>
                <w:rFonts w:hint="eastAsia" w:ascii="宋体" w:hAnsi="宋体" w:eastAsia="宋体" w:cs="微软雅黑"/>
                <w:color w:val="auto"/>
                <w:spacing w:val="-2"/>
                <w:kern w:val="0"/>
                <w:szCs w:val="21"/>
              </w:rPr>
              <w:t>复</w:t>
            </w:r>
            <w:r>
              <w:rPr>
                <w:rFonts w:hint="eastAsia" w:ascii="宋体" w:hAnsi="宋体" w:eastAsia="宋体" w:cs="微软雅黑"/>
                <w:color w:val="auto"/>
                <w:kern w:val="0"/>
                <w:szCs w:val="21"/>
              </w:rPr>
              <w:t>印</w:t>
            </w:r>
            <w:r>
              <w:rPr>
                <w:rFonts w:hint="eastAsia" w:ascii="宋体" w:hAnsi="宋体" w:eastAsia="宋体" w:cs="微软雅黑"/>
                <w:color w:val="auto"/>
                <w:spacing w:val="-2"/>
                <w:kern w:val="0"/>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法定代表人身份证（正面）</w:t>
            </w:r>
            <w:r>
              <w:rPr>
                <w:rFonts w:hint="eastAsia" w:ascii="宋体" w:hAnsi="宋体" w:eastAsia="宋体" w:cs="微软雅黑"/>
                <w:color w:val="auto"/>
                <w:spacing w:val="-2"/>
                <w:kern w:val="0"/>
                <w:szCs w:val="21"/>
              </w:rPr>
              <w:t>复</w:t>
            </w:r>
            <w:r>
              <w:rPr>
                <w:rFonts w:hint="eastAsia" w:ascii="宋体" w:hAnsi="宋体" w:eastAsia="宋体" w:cs="微软雅黑"/>
                <w:color w:val="auto"/>
                <w:kern w:val="0"/>
                <w:szCs w:val="21"/>
              </w:rPr>
              <w:t>印</w:t>
            </w:r>
            <w:r>
              <w:rPr>
                <w:rFonts w:hint="eastAsia" w:ascii="宋体" w:hAnsi="宋体" w:eastAsia="宋体" w:cs="微软雅黑"/>
                <w:color w:val="auto"/>
                <w:spacing w:val="-2"/>
                <w:kern w:val="0"/>
                <w:szCs w:val="21"/>
              </w:rPr>
              <w:t>件</w:t>
            </w:r>
          </w:p>
        </w:tc>
        <w:tc>
          <w:tcPr>
            <w:tcW w:w="3899"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法定代表人身份证（反面）</w:t>
            </w:r>
            <w:r>
              <w:rPr>
                <w:rFonts w:hint="eastAsia" w:ascii="宋体" w:hAnsi="宋体" w:eastAsia="宋体" w:cs="微软雅黑"/>
                <w:color w:val="auto"/>
                <w:spacing w:val="-2"/>
                <w:kern w:val="0"/>
                <w:szCs w:val="21"/>
              </w:rPr>
              <w:t>复</w:t>
            </w:r>
            <w:r>
              <w:rPr>
                <w:rFonts w:hint="eastAsia" w:ascii="宋体" w:hAnsi="宋体" w:eastAsia="宋体" w:cs="微软雅黑"/>
                <w:color w:val="auto"/>
                <w:kern w:val="0"/>
                <w:szCs w:val="21"/>
              </w:rPr>
              <w:t>印</w:t>
            </w:r>
            <w:r>
              <w:rPr>
                <w:rFonts w:hint="eastAsia" w:ascii="宋体" w:hAnsi="宋体" w:eastAsia="宋体" w:cs="微软雅黑"/>
                <w:color w:val="auto"/>
                <w:spacing w:val="-2"/>
                <w:kern w:val="0"/>
                <w:szCs w:val="21"/>
              </w:rPr>
              <w:t>件</w:t>
            </w:r>
          </w:p>
        </w:tc>
      </w:tr>
    </w:tbl>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注：投标人代表不是投标人的法定代表人（单位负责人）的提供。</w:t>
      </w: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ind w:firstLine="420" w:firstLineChars="200"/>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pPr>
        <w:adjustRightInd w:val="0"/>
        <w:snapToGrid w:val="0"/>
        <w:spacing w:line="360" w:lineRule="auto"/>
        <w:ind w:right="420"/>
        <w:rPr>
          <w:rFonts w:ascii="宋体" w:hAnsi="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color w:val="auto"/>
          <w:szCs w:val="21"/>
        </w:rPr>
        <w:t>（签字或印章）：</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ascii="宋体" w:hAnsi="宋体"/>
          <w:color w:val="auto"/>
          <w:szCs w:val="21"/>
        </w:rPr>
        <w:t>委托代理人（签字或印章）：</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ascii="宋体" w:hAnsi="宋体" w:eastAsia="宋体" w:cs="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adjustRightInd w:val="0"/>
        <w:snapToGrid w:val="0"/>
        <w:spacing w:line="360" w:lineRule="auto"/>
        <w:jc w:val="left"/>
        <w:rPr>
          <w:rFonts w:ascii="黑体" w:hAnsi="黑体" w:eastAsia="黑体"/>
          <w:bCs/>
          <w:color w:val="auto"/>
          <w:sz w:val="28"/>
          <w:szCs w:val="28"/>
        </w:rPr>
      </w:pPr>
      <w:r>
        <w:rPr>
          <w:rFonts w:ascii="黑体" w:hAnsi="黑体" w:eastAsia="黑体"/>
          <w:bCs/>
          <w:color w:val="auto"/>
          <w:sz w:val="28"/>
          <w:szCs w:val="28"/>
        </w:rPr>
        <w:br w:type="page"/>
      </w:r>
    </w:p>
    <w:p>
      <w:pPr>
        <w:pStyle w:val="4"/>
        <w:adjustRightInd w:val="0"/>
        <w:snapToGrid w:val="0"/>
        <w:spacing w:before="0" w:after="0" w:line="360" w:lineRule="auto"/>
        <w:jc w:val="center"/>
        <w:rPr>
          <w:rFonts w:ascii="黑体" w:hAnsi="宋体" w:eastAsia="黑体"/>
          <w:color w:val="auto"/>
          <w:sz w:val="28"/>
          <w:szCs w:val="28"/>
        </w:rPr>
      </w:pPr>
      <w:bookmarkStart w:id="68" w:name="_Toc11741"/>
      <w:r>
        <w:rPr>
          <w:rFonts w:hint="eastAsia" w:ascii="黑体" w:hAnsi="宋体" w:eastAsia="黑体"/>
          <w:color w:val="auto"/>
          <w:sz w:val="28"/>
          <w:szCs w:val="28"/>
        </w:rPr>
        <w:t>四、投标人提供的资格证明文件</w:t>
      </w:r>
      <w:bookmarkEnd w:id="68"/>
      <w:bookmarkStart w:id="69" w:name="_Toc294206743"/>
      <w:bookmarkStart w:id="70" w:name="_Toc294186060"/>
    </w:p>
    <w:p>
      <w:pPr>
        <w:pStyle w:val="10"/>
        <w:adjustRightInd w:val="0"/>
        <w:snapToGrid w:val="0"/>
        <w:spacing w:line="360" w:lineRule="auto"/>
        <w:jc w:val="center"/>
        <w:rPr>
          <w:rFonts w:hAnsi="宋体" w:cs="Times New Roman"/>
          <w:b/>
          <w:bCs/>
          <w:color w:val="auto"/>
          <w:sz w:val="24"/>
          <w:szCs w:val="24"/>
        </w:rPr>
      </w:pPr>
    </w:p>
    <w:p>
      <w:pPr>
        <w:pStyle w:val="10"/>
        <w:adjustRightInd w:val="0"/>
        <w:snapToGrid w:val="0"/>
        <w:spacing w:line="360" w:lineRule="auto"/>
        <w:jc w:val="center"/>
        <w:rPr>
          <w:rFonts w:ascii="黑体" w:hAnsi="黑体" w:eastAsia="黑体" w:cs="Times New Roman"/>
          <w:b/>
          <w:bCs/>
          <w:color w:val="auto"/>
          <w:sz w:val="28"/>
          <w:szCs w:val="28"/>
        </w:rPr>
      </w:pPr>
      <w:r>
        <w:rPr>
          <w:rFonts w:hint="eastAsia" w:ascii="黑体" w:hAnsi="黑体" w:eastAsia="黑体" w:cs="Times New Roman"/>
          <w:b/>
          <w:bCs/>
          <w:color w:val="auto"/>
          <w:sz w:val="28"/>
          <w:szCs w:val="28"/>
        </w:rPr>
        <w:t>须  知</w:t>
      </w:r>
    </w:p>
    <w:p>
      <w:pPr>
        <w:tabs>
          <w:tab w:val="left" w:pos="4725"/>
        </w:tabs>
        <w:adjustRightInd w:val="0"/>
        <w:snapToGrid w:val="0"/>
        <w:spacing w:before="156" w:beforeLines="50" w:line="360" w:lineRule="auto"/>
        <w:ind w:firstLine="422" w:firstLineChars="200"/>
        <w:rPr>
          <w:rFonts w:ascii="宋体" w:hAnsi="宋体"/>
          <w:b/>
          <w:bCs/>
          <w:color w:val="auto"/>
          <w:szCs w:val="21"/>
        </w:rPr>
      </w:pPr>
      <w:r>
        <w:rPr>
          <w:rFonts w:hint="eastAsia" w:ascii="宋体" w:hAnsi="宋体"/>
          <w:b/>
          <w:color w:val="auto"/>
          <w:szCs w:val="21"/>
        </w:rPr>
        <w:t>1、投标人</w:t>
      </w:r>
      <w:r>
        <w:rPr>
          <w:rFonts w:hint="eastAsia" w:ascii="宋体" w:hAnsi="宋体"/>
          <w:b/>
          <w:bCs/>
          <w:color w:val="auto"/>
          <w:szCs w:val="21"/>
        </w:rPr>
        <w:t>应按第二章第15.1款要求提供下列的证明材料</w:t>
      </w:r>
    </w:p>
    <w:p>
      <w:pPr>
        <w:tabs>
          <w:tab w:val="left" w:pos="4725"/>
        </w:tabs>
        <w:adjustRightInd w:val="0"/>
        <w:snapToGrid w:val="0"/>
        <w:spacing w:before="156" w:beforeLines="50" w:line="360" w:lineRule="auto"/>
        <w:ind w:firstLine="735" w:firstLineChars="350"/>
        <w:rPr>
          <w:rFonts w:ascii="宋体" w:hAnsi="宋体" w:eastAsia="宋体"/>
          <w:color w:val="auto"/>
          <w:szCs w:val="21"/>
        </w:rPr>
      </w:pPr>
      <w:r>
        <w:rPr>
          <w:rFonts w:hint="eastAsia" w:ascii="宋体" w:hAnsi="宋体" w:eastAsia="宋体"/>
          <w:color w:val="auto"/>
          <w:szCs w:val="21"/>
        </w:rPr>
        <w:t>附件4-1 法人或者其他组织的营业执照等主体资格证明文件，自然人的身份证明</w:t>
      </w:r>
    </w:p>
    <w:p>
      <w:pPr>
        <w:tabs>
          <w:tab w:val="left" w:pos="4725"/>
        </w:tabs>
        <w:adjustRightInd w:val="0"/>
        <w:snapToGrid w:val="0"/>
        <w:spacing w:before="156" w:beforeLines="50" w:line="360" w:lineRule="auto"/>
        <w:ind w:firstLine="735" w:firstLineChars="350"/>
        <w:rPr>
          <w:rFonts w:ascii="宋体" w:hAnsi="宋体" w:eastAsia="宋体"/>
          <w:color w:val="auto"/>
          <w:szCs w:val="21"/>
        </w:rPr>
      </w:pPr>
      <w:r>
        <w:rPr>
          <w:rFonts w:hint="eastAsia" w:ascii="宋体" w:hAnsi="宋体" w:eastAsia="宋体"/>
          <w:color w:val="auto"/>
          <w:szCs w:val="21"/>
        </w:rPr>
        <w:t>附件4-2 湖南省政府采购供应商资格承诺函(格式)</w:t>
      </w:r>
    </w:p>
    <w:p>
      <w:pPr>
        <w:tabs>
          <w:tab w:val="left" w:pos="4725"/>
        </w:tabs>
        <w:adjustRightInd w:val="0"/>
        <w:snapToGrid w:val="0"/>
        <w:spacing w:before="156" w:beforeLines="50" w:line="360" w:lineRule="auto"/>
        <w:ind w:firstLine="735" w:firstLineChars="350"/>
        <w:rPr>
          <w:rFonts w:ascii="宋体" w:hAnsi="宋体" w:eastAsia="宋体"/>
          <w:color w:val="auto"/>
          <w:szCs w:val="21"/>
        </w:rPr>
      </w:pPr>
      <w:r>
        <w:rPr>
          <w:rFonts w:hint="eastAsia" w:ascii="宋体" w:hAnsi="宋体" w:eastAsia="宋体"/>
          <w:color w:val="auto"/>
          <w:szCs w:val="21"/>
        </w:rPr>
        <w:t>附件4-3 符合特定资格条件证明材料复印件或者情况说明</w:t>
      </w:r>
    </w:p>
    <w:p>
      <w:pPr>
        <w:tabs>
          <w:tab w:val="left" w:pos="4725"/>
        </w:tabs>
        <w:adjustRightInd w:val="0"/>
        <w:snapToGrid w:val="0"/>
        <w:spacing w:before="156" w:beforeLines="50" w:line="360" w:lineRule="auto"/>
        <w:ind w:firstLine="735" w:firstLineChars="350"/>
        <w:rPr>
          <w:rFonts w:hint="eastAsia" w:ascii="宋体" w:hAnsi="宋体" w:eastAsia="宋体"/>
          <w:color w:val="auto"/>
          <w:szCs w:val="21"/>
        </w:rPr>
      </w:pPr>
      <w:r>
        <w:rPr>
          <w:rFonts w:hint="eastAsia" w:ascii="宋体" w:hAnsi="宋体" w:eastAsia="宋体"/>
          <w:color w:val="auto"/>
          <w:szCs w:val="21"/>
        </w:rPr>
        <w:t>附件4-4 联合体协议书（格式）（联合体形式投标的提供）</w:t>
      </w:r>
    </w:p>
    <w:p>
      <w:pPr>
        <w:tabs>
          <w:tab w:val="left" w:pos="4725"/>
        </w:tabs>
        <w:adjustRightInd w:val="0"/>
        <w:snapToGrid w:val="0"/>
        <w:spacing w:before="156" w:beforeLines="50" w:line="360" w:lineRule="auto"/>
        <w:ind w:firstLine="420" w:firstLineChars="200"/>
        <w:rPr>
          <w:rFonts w:ascii="宋体" w:hAnsi="宋体" w:eastAsia="宋体" w:cs="宋体"/>
          <w:color w:val="auto"/>
          <w:szCs w:val="21"/>
        </w:rPr>
      </w:pPr>
      <w:r>
        <w:rPr>
          <w:rFonts w:hint="eastAsia" w:ascii="宋体" w:hAnsi="宋体" w:eastAsia="宋体"/>
          <w:color w:val="auto"/>
          <w:szCs w:val="21"/>
        </w:rPr>
        <w:t>2、</w:t>
      </w:r>
      <w:r>
        <w:rPr>
          <w:rFonts w:hint="eastAsia" w:ascii="宋体" w:hAnsi="宋体" w:eastAsia="宋体" w:cs="宋体"/>
          <w:color w:val="auto"/>
          <w:szCs w:val="21"/>
        </w:rPr>
        <w:t>投标人以联合体形式投标的，除应提交联合协议书(本节附4-4)外，参加联合体的各方均应提交上款资格证明材料。</w:t>
      </w:r>
    </w:p>
    <w:p>
      <w:pPr>
        <w:tabs>
          <w:tab w:val="left" w:pos="4725"/>
        </w:tabs>
        <w:adjustRightInd w:val="0"/>
        <w:snapToGrid w:val="0"/>
        <w:spacing w:before="156" w:beforeLines="50" w:line="360" w:lineRule="auto"/>
        <w:ind w:left="0" w:leftChars="0" w:firstLine="420" w:firstLineChars="200"/>
        <w:rPr>
          <w:rFonts w:hint="default" w:ascii="宋体" w:hAnsi="宋体" w:eastAsia="宋体"/>
          <w:color w:val="auto"/>
          <w:szCs w:val="21"/>
          <w:lang w:val="en-US" w:eastAsia="zh-CN"/>
        </w:rPr>
      </w:pPr>
      <w:r>
        <w:rPr>
          <w:rFonts w:hint="eastAsia" w:ascii="宋体" w:hAnsi="宋体" w:eastAsia="宋体"/>
          <w:color w:val="auto"/>
          <w:szCs w:val="21"/>
        </w:rPr>
        <w:t>3、</w:t>
      </w:r>
      <w:r>
        <w:rPr>
          <w:rFonts w:hint="eastAsia" w:ascii="宋体" w:hAnsi="宋体" w:eastAsia="宋体"/>
          <w:color w:val="auto"/>
          <w:szCs w:val="21"/>
          <w:lang w:val="en-US" w:eastAsia="zh-CN"/>
        </w:rPr>
        <w:t>附件4-5 分包承诺</w:t>
      </w:r>
      <w:r>
        <w:rPr>
          <w:rFonts w:hint="eastAsia" w:ascii="宋体" w:hAnsi="宋体"/>
          <w:color w:val="auto"/>
          <w:szCs w:val="21"/>
          <w:lang w:val="en-US" w:eastAsia="zh-CN"/>
        </w:rPr>
        <w:t>（执行强制分包的提供）</w:t>
      </w:r>
    </w:p>
    <w:p>
      <w:pPr>
        <w:tabs>
          <w:tab w:val="left" w:pos="4725"/>
        </w:tabs>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color w:val="auto"/>
          <w:szCs w:val="21"/>
          <w:lang w:val="en-US" w:eastAsia="zh-CN"/>
        </w:rPr>
        <w:t>4、</w:t>
      </w:r>
      <w:r>
        <w:rPr>
          <w:rFonts w:hint="eastAsia" w:ascii="宋体" w:hAnsi="宋体" w:eastAsia="宋体"/>
          <w:color w:val="auto"/>
          <w:szCs w:val="21"/>
        </w:rPr>
        <w:t>附件4-</w:t>
      </w:r>
      <w:r>
        <w:rPr>
          <w:rFonts w:hint="eastAsia" w:ascii="宋体" w:hAnsi="宋体"/>
          <w:color w:val="auto"/>
          <w:szCs w:val="21"/>
          <w:lang w:val="en-US" w:eastAsia="zh-CN"/>
        </w:rPr>
        <w:t>6</w:t>
      </w:r>
      <w:r>
        <w:rPr>
          <w:rFonts w:hint="eastAsia" w:ascii="宋体" w:hAnsi="宋体" w:eastAsia="宋体"/>
          <w:color w:val="auto"/>
          <w:szCs w:val="21"/>
        </w:rPr>
        <w:t xml:space="preserve"> 资格条件更新材料</w:t>
      </w:r>
      <w:r>
        <w:rPr>
          <w:rFonts w:hint="eastAsia" w:ascii="宋体" w:hAnsi="宋体" w:eastAsia="宋体"/>
          <w:b/>
          <w:bCs/>
          <w:color w:val="auto"/>
          <w:szCs w:val="21"/>
        </w:rPr>
        <w:t>（已进行资格预审的）</w:t>
      </w:r>
    </w:p>
    <w:p>
      <w:pPr>
        <w:pStyle w:val="26"/>
        <w:rPr>
          <w:color w:val="auto"/>
        </w:rPr>
      </w:pPr>
    </w:p>
    <w:p>
      <w:pPr>
        <w:tabs>
          <w:tab w:val="left" w:pos="4725"/>
        </w:tabs>
        <w:adjustRightInd w:val="0"/>
        <w:snapToGrid w:val="0"/>
        <w:spacing w:line="360" w:lineRule="auto"/>
        <w:rPr>
          <w:rFonts w:ascii="宋体" w:hAnsi="宋体" w:eastAsia="宋体" w:cs="宋体"/>
          <w:color w:val="auto"/>
          <w:szCs w:val="21"/>
        </w:rPr>
      </w:pPr>
    </w:p>
    <w:p>
      <w:pPr>
        <w:widowControl/>
        <w:adjustRightInd w:val="0"/>
        <w:snapToGrid w:val="0"/>
        <w:spacing w:line="360" w:lineRule="auto"/>
        <w:jc w:val="left"/>
        <w:rPr>
          <w:rFonts w:ascii="黑体" w:hAnsi="仿宋" w:eastAsia="黑体" w:cs="宋体"/>
          <w:color w:val="auto"/>
          <w:sz w:val="10"/>
          <w:szCs w:val="10"/>
        </w:rPr>
      </w:pPr>
      <w:r>
        <w:rPr>
          <w:rFonts w:ascii="黑体" w:hAnsi="仿宋" w:eastAsia="黑体" w:cs="宋体"/>
          <w:color w:val="auto"/>
          <w:szCs w:val="21"/>
        </w:rPr>
        <w:br w:type="page"/>
      </w:r>
    </w:p>
    <w:p>
      <w:pPr>
        <w:pStyle w:val="5"/>
        <w:rPr>
          <w:rFonts w:ascii="黑体" w:hAnsi="仿宋" w:cs="宋体"/>
          <w:b w:val="0"/>
          <w:color w:val="auto"/>
          <w:sz w:val="21"/>
          <w:szCs w:val="21"/>
        </w:rPr>
      </w:pPr>
      <w:bookmarkStart w:id="71" w:name="_Toc590"/>
      <w:r>
        <w:rPr>
          <w:rFonts w:hint="eastAsia" w:ascii="黑体" w:hAnsi="仿宋" w:cs="宋体"/>
          <w:b w:val="0"/>
          <w:color w:val="auto"/>
          <w:sz w:val="21"/>
          <w:szCs w:val="21"/>
        </w:rPr>
        <w:t>附件4-1 法人或者其他组织的营业执照等主体资格证明文件，自然人的身份证明</w:t>
      </w:r>
      <w:bookmarkEnd w:id="71"/>
    </w:p>
    <w:p>
      <w:pPr>
        <w:widowControl/>
        <w:adjustRightInd w:val="0"/>
        <w:snapToGrid w:val="0"/>
        <w:spacing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法人或者其他组织的营业执照等主体资格证明文件，自然人的身份证明</w:t>
      </w:r>
    </w:p>
    <w:p>
      <w:pPr>
        <w:widowControl/>
        <w:adjustRightInd w:val="0"/>
        <w:snapToGrid w:val="0"/>
        <w:spacing w:before="156" w:beforeLines="50" w:line="360" w:lineRule="auto"/>
        <w:ind w:firstLine="420" w:firstLineChars="200"/>
        <w:jc w:val="left"/>
        <w:rPr>
          <w:rFonts w:ascii="宋体" w:hAnsi="宋体" w:eastAsia="宋体" w:cs="宋体"/>
          <w:color w:val="auto"/>
          <w:szCs w:val="21"/>
        </w:rPr>
      </w:pPr>
    </w:p>
    <w:p>
      <w:pPr>
        <w:adjustRightInd w:val="0"/>
        <w:snapToGrid w:val="0"/>
        <w:spacing w:before="156" w:beforeLines="50"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注：按第二章第</w:t>
      </w:r>
      <w:r>
        <w:rPr>
          <w:rFonts w:ascii="宋体" w:hAnsi="宋体" w:eastAsia="宋体" w:cs="宋体"/>
          <w:color w:val="auto"/>
          <w:szCs w:val="21"/>
        </w:rPr>
        <w:t>1</w:t>
      </w:r>
      <w:r>
        <w:rPr>
          <w:rFonts w:hint="eastAsia" w:ascii="宋体" w:hAnsi="宋体" w:eastAsia="宋体" w:cs="宋体"/>
          <w:color w:val="auto"/>
          <w:szCs w:val="21"/>
        </w:rPr>
        <w:t>4</w:t>
      </w:r>
      <w:r>
        <w:rPr>
          <w:rFonts w:ascii="宋体" w:hAnsi="宋体" w:eastAsia="宋体" w:cs="宋体"/>
          <w:color w:val="auto"/>
          <w:szCs w:val="21"/>
        </w:rPr>
        <w:t>.1</w:t>
      </w:r>
      <w:r>
        <w:rPr>
          <w:rFonts w:hint="eastAsia" w:ascii="宋体" w:hAnsi="宋体" w:eastAsia="宋体" w:cs="宋体"/>
          <w:color w:val="auto"/>
          <w:szCs w:val="21"/>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rPr>
        <w:t>）项要求提供。</w:t>
      </w:r>
    </w:p>
    <w:p>
      <w:pPr>
        <w:adjustRightInd w:val="0"/>
        <w:snapToGrid w:val="0"/>
        <w:spacing w:before="156" w:beforeLines="50" w:line="360" w:lineRule="auto"/>
        <w:ind w:firstLine="420" w:firstLineChars="200"/>
        <w:rPr>
          <w:rFonts w:ascii="宋体" w:hAnsi="宋体"/>
          <w:color w:val="auto"/>
        </w:rPr>
      </w:pPr>
      <w:r>
        <w:rPr>
          <w:rFonts w:hint="eastAsia" w:ascii="宋体" w:hAnsi="宋体" w:eastAsia="宋体" w:cs="宋体"/>
          <w:color w:val="auto"/>
          <w:szCs w:val="21"/>
        </w:rPr>
        <w:t>（1）</w:t>
      </w:r>
      <w:r>
        <w:rPr>
          <w:rFonts w:hint="eastAsia" w:ascii="宋体" w:hAnsi="宋体"/>
          <w:color w:val="auto"/>
        </w:rPr>
        <w:t>投标人为法人的，应提交营业执照或法人登记证书的复印件；</w:t>
      </w:r>
    </w:p>
    <w:p>
      <w:pPr>
        <w:adjustRightInd w:val="0"/>
        <w:snapToGrid w:val="0"/>
        <w:spacing w:before="156" w:beforeLines="50" w:line="360" w:lineRule="auto"/>
        <w:ind w:firstLine="420" w:firstLineChars="200"/>
        <w:rPr>
          <w:rFonts w:ascii="宋体" w:hAnsi="宋体"/>
          <w:color w:val="auto"/>
        </w:rPr>
      </w:pPr>
      <w:r>
        <w:rPr>
          <w:rFonts w:hint="eastAsia" w:ascii="宋体" w:hAnsi="宋体" w:eastAsia="宋体" w:cs="宋体"/>
          <w:color w:val="auto"/>
          <w:szCs w:val="21"/>
        </w:rPr>
        <w:t>（2）</w:t>
      </w:r>
      <w:r>
        <w:rPr>
          <w:rFonts w:hint="eastAsia" w:ascii="宋体" w:hAnsi="宋体"/>
          <w:color w:val="auto"/>
        </w:rPr>
        <w:t>投标人为非法人组织的，应提交依法登记证书复印件；</w:t>
      </w:r>
    </w:p>
    <w:p>
      <w:pPr>
        <w:adjustRightInd w:val="0"/>
        <w:snapToGrid w:val="0"/>
        <w:spacing w:before="156" w:beforeLines="50" w:line="360" w:lineRule="auto"/>
        <w:ind w:firstLine="420" w:firstLineChars="200"/>
        <w:rPr>
          <w:rFonts w:ascii="宋体" w:hAnsi="宋体"/>
          <w:color w:val="auto"/>
        </w:rPr>
      </w:pPr>
      <w:r>
        <w:rPr>
          <w:rFonts w:hint="eastAsia" w:ascii="宋体" w:hAnsi="宋体" w:eastAsia="宋体" w:cs="宋体"/>
          <w:color w:val="auto"/>
          <w:szCs w:val="21"/>
        </w:rPr>
        <w:t>（3）</w:t>
      </w:r>
      <w:r>
        <w:rPr>
          <w:rFonts w:hint="eastAsia" w:ascii="宋体" w:hAnsi="宋体"/>
          <w:color w:val="auto"/>
        </w:rPr>
        <w:t>投标人为个体工商户的，应提交个体工商户营业执照复印件；</w:t>
      </w:r>
    </w:p>
    <w:p>
      <w:pPr>
        <w:adjustRightInd w:val="0"/>
        <w:snapToGrid w:val="0"/>
        <w:spacing w:before="156" w:beforeLines="50" w:line="360" w:lineRule="auto"/>
        <w:ind w:firstLine="420" w:firstLineChars="200"/>
        <w:rPr>
          <w:rFonts w:ascii="宋体" w:hAnsi="宋体"/>
          <w:color w:val="auto"/>
        </w:rPr>
      </w:pPr>
      <w:r>
        <w:rPr>
          <w:rFonts w:hint="eastAsia" w:ascii="宋体" w:hAnsi="宋体" w:eastAsia="宋体" w:cs="宋体"/>
          <w:color w:val="auto"/>
          <w:szCs w:val="21"/>
        </w:rPr>
        <w:t>（4）</w:t>
      </w:r>
      <w:r>
        <w:rPr>
          <w:rFonts w:hint="eastAsia" w:ascii="宋体" w:hAnsi="宋体"/>
          <w:color w:val="auto"/>
        </w:rPr>
        <w:t>投标人为自然人的，应提交自然人的身份证明复印件。</w:t>
      </w:r>
    </w:p>
    <w:p>
      <w:pPr>
        <w:adjustRightInd w:val="0"/>
        <w:snapToGrid w:val="0"/>
        <w:spacing w:before="156" w:beforeLines="50" w:line="360" w:lineRule="auto"/>
        <w:ind w:firstLine="420" w:firstLineChars="200"/>
        <w:rPr>
          <w:rFonts w:ascii="宋体" w:hAnsi="宋体"/>
          <w:color w:val="auto"/>
        </w:rPr>
      </w:pPr>
    </w:p>
    <w:p>
      <w:pPr>
        <w:widowControl/>
        <w:jc w:val="left"/>
        <w:rPr>
          <w:rFonts w:ascii="黑体" w:hAnsi="仿宋" w:eastAsia="黑体" w:cs="宋体"/>
          <w:bCs/>
          <w:color w:val="auto"/>
          <w:sz w:val="10"/>
          <w:szCs w:val="10"/>
        </w:rPr>
      </w:pPr>
      <w:r>
        <w:rPr>
          <w:rFonts w:ascii="黑体" w:hAnsi="仿宋" w:cs="宋体"/>
          <w:b/>
          <w:color w:val="auto"/>
          <w:szCs w:val="21"/>
        </w:rPr>
        <w:br w:type="page"/>
      </w:r>
    </w:p>
    <w:p>
      <w:pPr>
        <w:pStyle w:val="5"/>
        <w:adjustRightInd w:val="0"/>
        <w:snapToGrid w:val="0"/>
        <w:spacing w:before="156" w:beforeLines="50" w:after="0" w:line="360" w:lineRule="auto"/>
        <w:rPr>
          <w:rFonts w:ascii="黑体" w:hAnsi="仿宋" w:cs="宋体"/>
          <w:b w:val="0"/>
          <w:color w:val="auto"/>
          <w:sz w:val="21"/>
          <w:szCs w:val="21"/>
        </w:rPr>
      </w:pPr>
      <w:bookmarkStart w:id="72" w:name="_Toc24449"/>
      <w:r>
        <w:rPr>
          <w:rFonts w:hint="eastAsia" w:ascii="黑体" w:hAnsi="仿宋" w:cs="宋体"/>
          <w:b w:val="0"/>
          <w:color w:val="auto"/>
          <w:sz w:val="21"/>
          <w:szCs w:val="21"/>
        </w:rPr>
        <w:t>附件4-2 湖南省政府采购供应商资格承诺函(格式)</w:t>
      </w:r>
      <w:bookmarkEnd w:id="72"/>
    </w:p>
    <w:p>
      <w:pPr>
        <w:widowControl/>
        <w:adjustRightInd w:val="0"/>
        <w:snapToGrid w:val="0"/>
        <w:spacing w:before="468" w:beforeLines="150" w:line="360" w:lineRule="auto"/>
        <w:jc w:val="center"/>
        <w:rPr>
          <w:rFonts w:ascii="宋体" w:hAnsi="宋体" w:eastAsia="宋体" w:cs="宋体"/>
          <w:color w:val="auto"/>
          <w:szCs w:val="21"/>
        </w:rPr>
      </w:pPr>
      <w:r>
        <w:rPr>
          <w:rFonts w:hint="eastAsia" w:ascii="黑体" w:hAnsi="仿宋" w:eastAsia="黑体" w:cs="宋体"/>
          <w:b/>
          <w:color w:val="auto"/>
          <w:sz w:val="28"/>
          <w:szCs w:val="28"/>
        </w:rPr>
        <w:t>湖南省政府采购供应商资格承诺函(格式)</w:t>
      </w:r>
    </w:p>
    <w:p>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按照《政府采购促进中小企业发展管理办法》(财库〔2020〕46号),本公司企业规模为: 大型口中型口小型□微型□。</w:t>
      </w:r>
    </w:p>
    <w:p>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□本公司自愿入驻湖南省政府采购电子卖场,遵守《湖南省政府采购电子卖场管理办法》(湘财购〔2019〕27号),如违反承诺,同意金融机构将增信保证划缴国库(非电子卖场采购活动项目不需勾选)。</w:t>
      </w:r>
    </w:p>
    <w:p>
      <w:pPr>
        <w:widowControl/>
        <w:spacing w:before="156" w:beforeLines="50" w:line="360" w:lineRule="auto"/>
        <w:ind w:firstLine="420" w:firstLineChars="200"/>
        <w:jc w:val="left"/>
        <w:rPr>
          <w:rFonts w:ascii="宋体" w:hAnsi="宋体" w:cs="宋体"/>
          <w:color w:val="auto"/>
          <w:szCs w:val="21"/>
        </w:rPr>
      </w:pPr>
    </w:p>
    <w:p>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公司(单位)名称(盖章)：</w:t>
      </w:r>
    </w:p>
    <w:p>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机构代码、注册登记机构、日期、有效期、注册资本、地 址、经济行业、经济性质</w:t>
      </w:r>
    </w:p>
    <w:p>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法定代表人(负责人)姓名(签字)、身份证号、手机号:</w:t>
      </w:r>
    </w:p>
    <w:p>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授权代表人姓名(签字)、身份证号、手机号:</w:t>
      </w:r>
    </w:p>
    <w:p>
      <w:pPr>
        <w:widowControl/>
        <w:spacing w:before="156" w:beforeLines="50" w:line="360" w:lineRule="auto"/>
        <w:ind w:firstLine="420" w:firstLineChars="200"/>
        <w:jc w:val="left"/>
        <w:rPr>
          <w:rFonts w:ascii="宋体" w:hAnsi="宋体" w:cs="宋体"/>
          <w:color w:val="auto"/>
          <w:szCs w:val="21"/>
        </w:rPr>
      </w:pPr>
    </w:p>
    <w:p>
      <w:pPr>
        <w:widowControl/>
        <w:spacing w:beforeAutospacing="0" w:afterAutospacing="0" w:line="360" w:lineRule="auto"/>
        <w:ind w:firstLine="422" w:firstLineChars="200"/>
        <w:jc w:val="left"/>
        <w:rPr>
          <w:rFonts w:ascii="黑体" w:hAnsi="仿宋" w:eastAsia="黑体" w:cs="宋体"/>
          <w:bCs/>
          <w:color w:val="auto"/>
          <w:sz w:val="10"/>
          <w:szCs w:val="10"/>
        </w:rPr>
      </w:pPr>
      <w:r>
        <w:rPr>
          <w:rFonts w:ascii="黑体" w:hAnsi="仿宋" w:cs="宋体"/>
          <w:b/>
          <w:color w:val="auto"/>
          <w:szCs w:val="21"/>
        </w:rPr>
        <w:br w:type="page"/>
      </w:r>
    </w:p>
    <w:p>
      <w:pPr>
        <w:pStyle w:val="5"/>
        <w:spacing w:before="0" w:beforeAutospacing="0"/>
        <w:rPr>
          <w:rFonts w:ascii="黑体" w:hAnsi="仿宋" w:cs="宋体"/>
          <w:b w:val="0"/>
          <w:color w:val="auto"/>
          <w:sz w:val="21"/>
          <w:szCs w:val="21"/>
        </w:rPr>
      </w:pPr>
      <w:bookmarkStart w:id="73" w:name="_Toc13891"/>
      <w:r>
        <w:rPr>
          <w:rFonts w:hint="eastAsia" w:ascii="黑体" w:hAnsi="仿宋" w:cs="宋体"/>
          <w:b w:val="0"/>
          <w:color w:val="auto"/>
          <w:sz w:val="21"/>
          <w:szCs w:val="21"/>
        </w:rPr>
        <w:t>附件4-3 符合特定资格条件证明材料复印件或者情况说明</w:t>
      </w:r>
      <w:bookmarkEnd w:id="73"/>
    </w:p>
    <w:p>
      <w:pPr>
        <w:widowControl/>
        <w:adjustRightInd w:val="0"/>
        <w:snapToGrid w:val="0"/>
        <w:spacing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符合特定资格条件证明材料复印件或者情况说明</w:t>
      </w:r>
    </w:p>
    <w:p>
      <w:pPr>
        <w:widowControl/>
        <w:adjustRightInd w:val="0"/>
        <w:snapToGrid w:val="0"/>
        <w:spacing w:line="360" w:lineRule="auto"/>
        <w:ind w:firstLine="560" w:firstLineChars="200"/>
        <w:jc w:val="left"/>
        <w:rPr>
          <w:rFonts w:ascii="黑体" w:hAnsi="仿宋" w:eastAsia="黑体" w:cs="宋体"/>
          <w:color w:val="auto"/>
          <w:sz w:val="28"/>
          <w:szCs w:val="28"/>
        </w:rPr>
      </w:pPr>
    </w:p>
    <w:p>
      <w:pPr>
        <w:widowControl/>
        <w:adjustRightInd w:val="0"/>
        <w:snapToGrid w:val="0"/>
        <w:spacing w:line="360"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注：按第二章第</w:t>
      </w:r>
      <w:r>
        <w:rPr>
          <w:rFonts w:ascii="宋体" w:hAnsi="宋体" w:eastAsia="宋体" w:cs="宋体"/>
          <w:color w:val="auto"/>
          <w:szCs w:val="21"/>
        </w:rPr>
        <w:t>1</w:t>
      </w:r>
      <w:r>
        <w:rPr>
          <w:rFonts w:hint="eastAsia" w:ascii="宋体" w:hAnsi="宋体" w:eastAsia="宋体" w:cs="宋体"/>
          <w:color w:val="auto"/>
          <w:szCs w:val="21"/>
        </w:rPr>
        <w:t>4</w:t>
      </w:r>
      <w:r>
        <w:rPr>
          <w:rFonts w:ascii="宋体" w:hAnsi="宋体" w:eastAsia="宋体" w:cs="宋体"/>
          <w:color w:val="auto"/>
          <w:szCs w:val="21"/>
        </w:rPr>
        <w:t>.1</w:t>
      </w:r>
      <w:r>
        <w:rPr>
          <w:rFonts w:hint="eastAsia" w:ascii="宋体" w:hAnsi="宋体" w:eastAsia="宋体" w:cs="宋体"/>
          <w:color w:val="auto"/>
          <w:szCs w:val="21"/>
        </w:rPr>
        <w:t>（3）项要求提供。</w:t>
      </w:r>
    </w:p>
    <w:p>
      <w:pPr>
        <w:widowControl/>
        <w:spacing w:afterAutospacing="0"/>
        <w:jc w:val="left"/>
        <w:rPr>
          <w:rFonts w:ascii="黑体" w:hAnsi="仿宋" w:eastAsia="黑体" w:cs="宋体"/>
          <w:color w:val="auto"/>
          <w:sz w:val="10"/>
          <w:szCs w:val="10"/>
        </w:rPr>
      </w:pPr>
      <w:r>
        <w:rPr>
          <w:rFonts w:ascii="黑体" w:hAnsi="仿宋" w:eastAsia="黑体" w:cs="宋体"/>
          <w:color w:val="auto"/>
          <w:szCs w:val="21"/>
        </w:rPr>
        <w:br w:type="page"/>
      </w:r>
    </w:p>
    <w:p>
      <w:pPr>
        <w:pStyle w:val="5"/>
        <w:spacing w:before="0" w:beforeAutospacing="0"/>
        <w:rPr>
          <w:rFonts w:ascii="黑体" w:hAnsi="宋体" w:cs="宋体"/>
          <w:b w:val="0"/>
          <w:color w:val="auto"/>
          <w:kern w:val="0"/>
          <w:sz w:val="21"/>
          <w:szCs w:val="21"/>
        </w:rPr>
      </w:pPr>
      <w:bookmarkStart w:id="74" w:name="_Toc11547"/>
      <w:r>
        <w:rPr>
          <w:rFonts w:hint="eastAsia" w:ascii="黑体" w:hAnsi="仿宋" w:cs="宋体"/>
          <w:b w:val="0"/>
          <w:color w:val="auto"/>
          <w:sz w:val="21"/>
          <w:szCs w:val="21"/>
        </w:rPr>
        <w:t>附件4-4 联合体协议书（格式）</w:t>
      </w:r>
      <w:bookmarkEnd w:id="74"/>
    </w:p>
    <w:p>
      <w:pPr>
        <w:adjustRightInd w:val="0"/>
        <w:snapToGrid w:val="0"/>
        <w:spacing w:line="360" w:lineRule="auto"/>
        <w:jc w:val="left"/>
        <w:rPr>
          <w:rFonts w:hint="default" w:ascii="宋体" w:hAnsi="宋体" w:eastAsia="宋体"/>
          <w:b/>
          <w:bCs/>
          <w:color w:val="auto"/>
          <w:szCs w:val="21"/>
          <w:lang w:val="en-US" w:eastAsia="zh-CN"/>
        </w:rPr>
      </w:pPr>
      <w:r>
        <w:rPr>
          <w:rFonts w:hint="eastAsia" w:ascii="宋体" w:hAnsi="宋体"/>
          <w:b/>
          <w:bCs/>
          <w:color w:val="auto"/>
          <w:szCs w:val="21"/>
          <w:lang w:val="en-US" w:eastAsia="zh-CN"/>
        </w:rPr>
        <w:t>注：本项目不适用</w:t>
      </w:r>
    </w:p>
    <w:p>
      <w:pPr>
        <w:adjustRightInd w:val="0"/>
        <w:snapToGrid w:val="0"/>
        <w:spacing w:line="360" w:lineRule="auto"/>
        <w:jc w:val="center"/>
        <w:rPr>
          <w:rFonts w:ascii="宋体" w:hAnsi="宋体" w:eastAsia="宋体"/>
          <w:b/>
          <w:color w:val="auto"/>
          <w:szCs w:val="21"/>
        </w:rPr>
      </w:pPr>
      <w:r>
        <w:rPr>
          <w:rFonts w:hint="eastAsia" w:ascii="黑体" w:hAnsi="仿宋" w:eastAsia="黑体" w:cs="宋体"/>
          <w:b/>
          <w:color w:val="auto"/>
          <w:sz w:val="28"/>
          <w:szCs w:val="28"/>
        </w:rPr>
        <w:t>联合体协议书（格式）</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致</w:t>
      </w:r>
      <w:r>
        <w:rPr>
          <w:rFonts w:hint="eastAsia" w:ascii="宋体" w:hAnsi="宋体" w:eastAsia="宋体"/>
          <w:color w:val="auto"/>
          <w:szCs w:val="21"/>
          <w:u w:val="single"/>
        </w:rPr>
        <w:t xml:space="preserve">                   </w:t>
      </w:r>
      <w:r>
        <w:rPr>
          <w:rFonts w:hint="eastAsia" w:ascii="宋体" w:hAnsi="宋体" w:eastAsia="宋体"/>
          <w:color w:val="auto"/>
          <w:szCs w:val="21"/>
        </w:rPr>
        <w:t>（采购人、采购代理机构）：</w:t>
      </w:r>
    </w:p>
    <w:p>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经研究，我们决定自愿组成联合体共同参加</w:t>
      </w:r>
      <w:r>
        <w:rPr>
          <w:rFonts w:hint="eastAsia" w:ascii="宋体" w:hAnsi="宋体" w:eastAsia="宋体"/>
          <w:color w:val="auto"/>
          <w:szCs w:val="21"/>
          <w:u w:val="single"/>
        </w:rPr>
        <w:t xml:space="preserve">                    </w:t>
      </w:r>
      <w:r>
        <w:rPr>
          <w:rFonts w:hint="eastAsia" w:ascii="宋体" w:hAnsi="宋体" w:eastAsia="宋体"/>
          <w:color w:val="auto"/>
          <w:szCs w:val="21"/>
        </w:rPr>
        <w:t>（项目名称</w:t>
      </w:r>
      <w:r>
        <w:rPr>
          <w:rFonts w:ascii="宋体" w:hAnsi="宋体" w:eastAsia="宋体"/>
          <w:color w:val="auto"/>
          <w:szCs w:val="21"/>
        </w:rPr>
        <w:t>）</w:t>
      </w:r>
      <w:r>
        <w:rPr>
          <w:rFonts w:hint="eastAsia" w:ascii="宋体" w:hAnsi="宋体" w:eastAsia="宋体"/>
          <w:color w:val="auto"/>
          <w:szCs w:val="21"/>
        </w:rPr>
        <w:t>（政府采购计划编号：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）项目的投标。现就联合体投标事宜订立如下协议：</w:t>
      </w:r>
    </w:p>
    <w:p>
      <w:pPr>
        <w:adjustRightInd w:val="0"/>
        <w:snapToGrid w:val="0"/>
        <w:spacing w:line="360" w:lineRule="auto"/>
        <w:ind w:firstLine="420" w:firstLineChars="200"/>
        <w:rPr>
          <w:rFonts w:ascii="宋体" w:hAnsi="宋体" w:eastAsia="宋体"/>
          <w:color w:val="auto"/>
          <w:szCs w:val="21"/>
          <w:u w:val="single"/>
        </w:rPr>
      </w:pPr>
      <w:r>
        <w:rPr>
          <w:rFonts w:hint="eastAsia" w:ascii="宋体" w:hAnsi="宋体" w:eastAsia="宋体"/>
          <w:color w:val="auto"/>
          <w:szCs w:val="21"/>
        </w:rPr>
        <w:t>一、联合体基本信息：</w:t>
      </w:r>
      <w:r>
        <w:rPr>
          <w:rFonts w:hint="eastAsia" w:ascii="宋体" w:hAnsi="宋体" w:eastAsia="宋体"/>
          <w:color w:val="auto"/>
          <w:szCs w:val="21"/>
          <w:u w:val="single"/>
        </w:rPr>
        <w:t xml:space="preserve">                </w:t>
      </w:r>
      <w:r>
        <w:rPr>
          <w:rFonts w:hint="eastAsia" w:ascii="宋体" w:hAnsi="宋体" w:eastAsia="宋体"/>
          <w:color w:val="auto"/>
          <w:szCs w:val="21"/>
        </w:rPr>
        <w:t>（各方公司名称、地址、注册资金、营业执照、</w:t>
      </w: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eastAsia="宋体"/>
          <w:color w:val="auto"/>
          <w:szCs w:val="21"/>
        </w:rPr>
        <w:t>姓名）</w:t>
      </w:r>
    </w:p>
    <w:p>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二、</w:t>
      </w:r>
      <w:r>
        <w:rPr>
          <w:rFonts w:hint="eastAsia" w:ascii="宋体" w:hAnsi="宋体" w:eastAsia="宋体"/>
          <w:color w:val="auto"/>
          <w:szCs w:val="21"/>
          <w:u w:val="single"/>
        </w:rPr>
        <w:t xml:space="preserve">       </w:t>
      </w:r>
      <w:r>
        <w:rPr>
          <w:rFonts w:hint="eastAsia" w:ascii="宋体" w:hAnsi="宋体" w:eastAsia="宋体"/>
          <w:color w:val="auto"/>
          <w:szCs w:val="21"/>
        </w:rPr>
        <w:t>（某成员单位名称）为</w:t>
      </w:r>
      <w:r>
        <w:rPr>
          <w:rFonts w:hint="eastAsia" w:ascii="宋体" w:hAnsi="宋体" w:eastAsia="宋体"/>
          <w:color w:val="auto"/>
          <w:szCs w:val="21"/>
          <w:u w:val="single"/>
        </w:rPr>
        <w:t xml:space="preserve">        </w:t>
      </w:r>
      <w:r>
        <w:rPr>
          <w:rFonts w:hint="eastAsia" w:ascii="宋体" w:hAnsi="宋体" w:eastAsia="宋体"/>
          <w:color w:val="auto"/>
          <w:szCs w:val="21"/>
        </w:rPr>
        <w:t>（联合体名称）牵头人。</w:t>
      </w:r>
    </w:p>
    <w:p>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四．联合体将严格按照招标文件的各项要求，递交投标文件，参加投标，履行中标义务和中标后的合同，并向采购人承担连带责任。</w:t>
      </w:r>
    </w:p>
    <w:p>
      <w:pPr>
        <w:adjustRightInd w:val="0"/>
        <w:snapToGrid w:val="0"/>
        <w:spacing w:line="360" w:lineRule="auto"/>
        <w:ind w:firstLine="420" w:firstLineChars="200"/>
        <w:rPr>
          <w:rFonts w:ascii="宋体" w:hAnsi="宋体" w:eastAsia="宋体"/>
          <w:color w:val="auto"/>
          <w:szCs w:val="21"/>
          <w:u w:val="single"/>
        </w:rPr>
      </w:pPr>
      <w:r>
        <w:rPr>
          <w:rFonts w:hint="eastAsia" w:ascii="宋体" w:hAnsi="宋体" w:eastAsia="宋体"/>
          <w:color w:val="auto"/>
          <w:szCs w:val="21"/>
        </w:rPr>
        <w:t>五、联合体各成员单位内部的职责分工如下：</w:t>
      </w:r>
      <w:r>
        <w:rPr>
          <w:rFonts w:hint="eastAsia" w:ascii="宋体" w:hAnsi="宋体" w:eastAsia="宋体"/>
          <w:color w:val="auto"/>
          <w:szCs w:val="21"/>
          <w:u w:val="single"/>
        </w:rPr>
        <w:t xml:space="preserve">             </w:t>
      </w:r>
      <w:r>
        <w:rPr>
          <w:rFonts w:hint="eastAsia" w:ascii="宋体" w:hAnsi="宋体" w:eastAsia="宋体"/>
          <w:color w:val="auto"/>
          <w:szCs w:val="21"/>
        </w:rPr>
        <w:t>。按照本条上述分工，联合体各成员的协议合同金额占联合体协议合同总金额比例如下：</w:t>
      </w:r>
      <w:r>
        <w:rPr>
          <w:rFonts w:hint="eastAsia" w:ascii="宋体" w:hAnsi="宋体" w:eastAsia="宋体"/>
          <w:color w:val="auto"/>
          <w:szCs w:val="21"/>
          <w:u w:val="single"/>
        </w:rPr>
        <w:t xml:space="preserve">               </w:t>
      </w:r>
      <w:r>
        <w:rPr>
          <w:rFonts w:hint="eastAsia" w:ascii="宋体" w:hAnsi="宋体" w:eastAsia="宋体"/>
          <w:color w:val="auto"/>
          <w:szCs w:val="21"/>
        </w:rPr>
        <w:t>。</w:t>
      </w:r>
    </w:p>
    <w:p>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六、本协议书自签署之日起生效，合同履行完毕后自动失效。</w:t>
      </w:r>
    </w:p>
    <w:p>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七、本协议书一式</w:t>
      </w:r>
      <w:r>
        <w:rPr>
          <w:rFonts w:hint="eastAsia" w:ascii="宋体" w:hAnsi="宋体" w:eastAsia="宋体"/>
          <w:color w:val="auto"/>
          <w:szCs w:val="21"/>
          <w:u w:val="single"/>
        </w:rPr>
        <w:t xml:space="preserve">    </w:t>
      </w:r>
      <w:r>
        <w:rPr>
          <w:rFonts w:hint="eastAsia" w:ascii="宋体" w:hAnsi="宋体" w:eastAsia="宋体"/>
          <w:color w:val="auto"/>
          <w:szCs w:val="21"/>
        </w:rPr>
        <w:t>份，联合体成员和采购人各执一份。</w:t>
      </w:r>
    </w:p>
    <w:p>
      <w:pPr>
        <w:adjustRightInd w:val="0"/>
        <w:snapToGrid w:val="0"/>
        <w:spacing w:line="360" w:lineRule="auto"/>
        <w:rPr>
          <w:rFonts w:ascii="宋体" w:hAnsi="宋体" w:eastAsia="宋体"/>
          <w:color w:val="auto"/>
          <w:szCs w:val="21"/>
        </w:rPr>
      </w:pP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牵头人名称（盖单位章）：</w:t>
      </w:r>
    </w:p>
    <w:p>
      <w:pPr>
        <w:adjustRightInd w:val="0"/>
        <w:snapToGrid w:val="0"/>
        <w:spacing w:line="360" w:lineRule="auto"/>
        <w:rPr>
          <w:rFonts w:ascii="宋体" w:hAnsi="宋体" w:eastAsia="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eastAsia="宋体"/>
          <w:color w:val="auto"/>
          <w:szCs w:val="21"/>
        </w:rPr>
        <w:t>或其委托代理人（签字或印章）：</w:t>
      </w:r>
      <w:r>
        <w:rPr>
          <w:rFonts w:hint="eastAsia" w:ascii="宋体" w:hAnsi="宋体" w:eastAsia="宋体"/>
          <w:color w:val="auto"/>
          <w:szCs w:val="21"/>
          <w:u w:val="single"/>
        </w:rPr>
        <w:t xml:space="preserve">                          </w:t>
      </w:r>
    </w:p>
    <w:p>
      <w:pPr>
        <w:adjustRightInd w:val="0"/>
        <w:snapToGrid w:val="0"/>
        <w:spacing w:line="360" w:lineRule="auto"/>
        <w:rPr>
          <w:rFonts w:ascii="宋体" w:hAnsi="宋体" w:eastAsia="宋体"/>
          <w:color w:val="auto"/>
          <w:szCs w:val="21"/>
        </w:rPr>
      </w:pP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成员1名称（盖单位章）：</w:t>
      </w:r>
    </w:p>
    <w:p>
      <w:pPr>
        <w:adjustRightInd w:val="0"/>
        <w:snapToGrid w:val="0"/>
        <w:spacing w:line="360" w:lineRule="auto"/>
        <w:rPr>
          <w:rFonts w:ascii="宋体" w:hAnsi="宋体" w:eastAsia="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eastAsia="宋体"/>
          <w:color w:val="auto"/>
          <w:szCs w:val="21"/>
        </w:rPr>
        <w:t>或其委托代理人（签字或印章）：</w:t>
      </w:r>
      <w:r>
        <w:rPr>
          <w:rFonts w:hint="eastAsia" w:ascii="宋体" w:hAnsi="宋体" w:eastAsia="宋体"/>
          <w:color w:val="auto"/>
          <w:szCs w:val="21"/>
          <w:u w:val="single"/>
        </w:rPr>
        <w:t xml:space="preserve">                          </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成员2名称（盖单位章）：</w:t>
      </w:r>
    </w:p>
    <w:p>
      <w:pPr>
        <w:adjustRightInd w:val="0"/>
        <w:snapToGrid w:val="0"/>
        <w:spacing w:line="360" w:lineRule="auto"/>
        <w:rPr>
          <w:rFonts w:ascii="宋体" w:hAnsi="宋体" w:eastAsia="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eastAsia="宋体"/>
          <w:color w:val="auto"/>
          <w:szCs w:val="21"/>
        </w:rPr>
        <w:t>或其委托代理人（签字或印章）：</w:t>
      </w:r>
      <w:r>
        <w:rPr>
          <w:rFonts w:hint="eastAsia" w:ascii="宋体" w:hAnsi="宋体" w:eastAsia="宋体"/>
          <w:color w:val="auto"/>
          <w:szCs w:val="21"/>
          <w:u w:val="single"/>
        </w:rPr>
        <w:t xml:space="preserve">                          </w:t>
      </w:r>
    </w:p>
    <w:p>
      <w:pPr>
        <w:adjustRightInd w:val="0"/>
        <w:snapToGrid w:val="0"/>
        <w:spacing w:line="360" w:lineRule="auto"/>
        <w:rPr>
          <w:rFonts w:ascii="宋体" w:hAnsi="宋体" w:eastAsia="宋体"/>
          <w:color w:val="auto"/>
          <w:szCs w:val="21"/>
        </w:rPr>
      </w:pPr>
      <w:r>
        <w:rPr>
          <w:rFonts w:ascii="宋体" w:hAnsi="宋体" w:eastAsia="宋体"/>
          <w:color w:val="auto"/>
          <w:szCs w:val="21"/>
        </w:rPr>
        <w:t>…</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 xml:space="preserve">日  </w:t>
      </w:r>
    </w:p>
    <w:p>
      <w:pPr>
        <w:widowControl/>
        <w:adjustRightInd w:val="0"/>
        <w:snapToGrid w:val="0"/>
        <w:spacing w:line="360" w:lineRule="auto"/>
        <w:ind w:firstLine="420" w:firstLineChars="200"/>
        <w:jc w:val="left"/>
        <w:rPr>
          <w:rFonts w:ascii="宋体" w:hAnsi="宋体" w:eastAsia="宋体"/>
          <w:color w:val="auto"/>
          <w:szCs w:val="21"/>
        </w:rPr>
      </w:pPr>
      <w:r>
        <w:rPr>
          <w:rFonts w:hint="eastAsia" w:ascii="宋体" w:hAnsi="宋体" w:eastAsia="宋体"/>
          <w:b w:val="0"/>
          <w:bCs/>
          <w:color w:val="auto"/>
          <w:szCs w:val="21"/>
        </w:rPr>
        <w:t>注：1</w:t>
      </w:r>
      <w:r>
        <w:rPr>
          <w:rFonts w:hint="eastAsia" w:ascii="宋体" w:hAnsi="宋体"/>
          <w:b w:val="0"/>
          <w:bCs/>
          <w:color w:val="auto"/>
          <w:szCs w:val="21"/>
          <w:lang w:val="en-US" w:eastAsia="zh-CN"/>
        </w:rPr>
        <w:t>.</w:t>
      </w:r>
      <w:r>
        <w:rPr>
          <w:rFonts w:hint="eastAsia" w:ascii="宋体" w:hAnsi="宋体" w:eastAsia="宋体"/>
          <w:color w:val="auto"/>
          <w:szCs w:val="21"/>
        </w:rPr>
        <w:t>本协议书由委托代理人签字的，应附授权委托书。</w:t>
      </w:r>
    </w:p>
    <w:p>
      <w:pPr>
        <w:widowControl/>
        <w:adjustRightInd w:val="0"/>
        <w:snapToGrid w:val="0"/>
        <w:spacing w:line="360" w:lineRule="auto"/>
        <w:ind w:firstLine="420" w:firstLineChars="200"/>
        <w:jc w:val="left"/>
        <w:rPr>
          <w:rFonts w:ascii="宋体" w:hAnsi="宋体" w:eastAsia="宋体"/>
          <w:color w:val="auto"/>
          <w:szCs w:val="21"/>
        </w:rPr>
      </w:pPr>
      <w:r>
        <w:rPr>
          <w:rFonts w:hint="eastAsia" w:ascii="宋体" w:hAnsi="宋体" w:eastAsia="宋体"/>
          <w:color w:val="auto"/>
          <w:szCs w:val="21"/>
        </w:rPr>
        <w:t>2</w:t>
      </w:r>
      <w:r>
        <w:rPr>
          <w:rFonts w:hint="eastAsia" w:ascii="宋体" w:hAnsi="宋体"/>
          <w:color w:val="auto"/>
          <w:szCs w:val="21"/>
          <w:lang w:val="en-US" w:eastAsia="zh-CN"/>
        </w:rPr>
        <w:t>.</w:t>
      </w:r>
      <w:r>
        <w:rPr>
          <w:rFonts w:hint="eastAsia" w:ascii="宋体" w:hAnsi="宋体" w:eastAsia="宋体"/>
          <w:color w:val="auto"/>
          <w:szCs w:val="21"/>
        </w:rPr>
        <w:t>投标人在提交投标文件的截止时间前修改“开标一览表”中的投标报价，影响本协议书第五条的，应同时修改本协议书第五条。</w:t>
      </w:r>
      <w:bookmarkEnd w:id="69"/>
      <w:bookmarkEnd w:id="70"/>
      <w:r>
        <w:rPr>
          <w:rFonts w:hint="eastAsia" w:ascii="宋体" w:hAnsi="宋体" w:eastAsia="宋体"/>
          <w:color w:val="auto"/>
          <w:szCs w:val="21"/>
        </w:rPr>
        <w:t>否则，评审时价格评审优惠不予以考虑。</w:t>
      </w:r>
    </w:p>
    <w:p>
      <w:pPr>
        <w:bidi w:val="0"/>
        <w:rPr>
          <w:rFonts w:hint="eastAsia"/>
          <w:color w:val="auto"/>
        </w:rPr>
      </w:pPr>
    </w:p>
    <w:p>
      <w:pPr>
        <w:pStyle w:val="26"/>
        <w:rPr>
          <w:rFonts w:hint="eastAsia"/>
          <w:color w:val="auto"/>
        </w:rPr>
      </w:pPr>
    </w:p>
    <w:p>
      <w:pPr>
        <w:pStyle w:val="5"/>
        <w:spacing w:before="156" w:beforeAutospacing="0"/>
        <w:rPr>
          <w:rFonts w:ascii="黑体" w:hAnsi="宋体" w:cs="宋体"/>
          <w:b w:val="0"/>
          <w:color w:val="auto"/>
          <w:kern w:val="0"/>
          <w:sz w:val="21"/>
          <w:szCs w:val="21"/>
        </w:rPr>
      </w:pPr>
      <w:bookmarkStart w:id="75" w:name="_Toc17581"/>
      <w:r>
        <w:rPr>
          <w:rFonts w:hint="eastAsia" w:ascii="黑体" w:hAnsi="仿宋" w:cs="宋体"/>
          <w:b w:val="0"/>
          <w:color w:val="auto"/>
          <w:sz w:val="21"/>
          <w:szCs w:val="21"/>
        </w:rPr>
        <w:t>附件4-5 分包承诺</w:t>
      </w:r>
      <w:bookmarkEnd w:id="75"/>
    </w:p>
    <w:p>
      <w:pPr>
        <w:spacing w:line="360" w:lineRule="auto"/>
        <w:ind w:firstLine="420" w:firstLineChars="200"/>
        <w:rPr>
          <w:color w:val="auto"/>
        </w:rPr>
      </w:pPr>
      <w:r>
        <w:rPr>
          <w:rFonts w:hint="eastAsia"/>
          <w:color w:val="auto"/>
        </w:rPr>
        <w:t>注：采购项目或者采购包属于“预留采购份额”，且要求合同分包的，投标人应当按照招标文件第一章第三条第2款规定提供《分包承诺》，格式自拟。</w:t>
      </w:r>
    </w:p>
    <w:p>
      <w:pPr>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pStyle w:val="26"/>
        <w:rPr>
          <w:color w:val="auto"/>
        </w:rPr>
      </w:pPr>
    </w:p>
    <w:p>
      <w:pPr>
        <w:bidi w:val="0"/>
        <w:rPr>
          <w:rFonts w:hint="eastAsia"/>
          <w:color w:val="auto"/>
        </w:rPr>
      </w:pPr>
    </w:p>
    <w:p>
      <w:pPr>
        <w:pStyle w:val="26"/>
        <w:rPr>
          <w:rFonts w:hint="eastAsia"/>
          <w:color w:val="auto"/>
        </w:rPr>
      </w:pPr>
    </w:p>
    <w:p>
      <w:pPr>
        <w:pStyle w:val="26"/>
        <w:spacing w:afterAutospacing="0"/>
        <w:rPr>
          <w:rFonts w:hint="eastAsia"/>
          <w:color w:val="auto"/>
          <w:sz w:val="10"/>
          <w:szCs w:val="10"/>
        </w:rPr>
      </w:pPr>
    </w:p>
    <w:p>
      <w:pPr>
        <w:pStyle w:val="5"/>
        <w:spacing w:before="0" w:beforeAutospacing="0"/>
        <w:rPr>
          <w:rFonts w:ascii="黑体" w:hAnsi="宋体" w:cs="宋体"/>
          <w:b w:val="0"/>
          <w:color w:val="auto"/>
          <w:kern w:val="0"/>
          <w:sz w:val="21"/>
          <w:szCs w:val="21"/>
        </w:rPr>
      </w:pPr>
      <w:bookmarkStart w:id="76" w:name="_Toc344"/>
      <w:r>
        <w:rPr>
          <w:rFonts w:hint="eastAsia" w:ascii="黑体" w:hAnsi="仿宋" w:cs="宋体"/>
          <w:b w:val="0"/>
          <w:color w:val="auto"/>
          <w:sz w:val="21"/>
          <w:szCs w:val="21"/>
        </w:rPr>
        <w:t>附件4-6 资格条件更新材料（已进行资格预审的）</w:t>
      </w:r>
      <w:bookmarkEnd w:id="76"/>
    </w:p>
    <w:p>
      <w:pPr>
        <w:adjustRightInd w:val="0"/>
        <w:snapToGrid w:val="0"/>
        <w:spacing w:before="156" w:beforeLines="50" w:line="360" w:lineRule="auto"/>
        <w:jc w:val="center"/>
        <w:rPr>
          <w:rFonts w:ascii="仿宋_GB2312" w:hAnsi="宋体" w:eastAsia="仿宋_GB2312"/>
          <w:b/>
          <w:color w:val="auto"/>
          <w:sz w:val="28"/>
          <w:szCs w:val="28"/>
        </w:rPr>
      </w:pPr>
      <w:r>
        <w:rPr>
          <w:rFonts w:hint="eastAsia" w:ascii="黑体" w:hAnsi="宋体" w:eastAsia="黑体"/>
          <w:b/>
          <w:color w:val="auto"/>
          <w:sz w:val="28"/>
          <w:szCs w:val="28"/>
        </w:rPr>
        <w:t>供应商的资格条件更新材料</w:t>
      </w:r>
    </w:p>
    <w:p>
      <w:pPr>
        <w:widowControl/>
        <w:adjustRightInd w:val="0"/>
        <w:snapToGrid w:val="0"/>
        <w:spacing w:line="360" w:lineRule="auto"/>
        <w:ind w:firstLine="420" w:firstLineChars="200"/>
        <w:jc w:val="left"/>
        <w:rPr>
          <w:rFonts w:ascii="宋体" w:hAnsi="宋体"/>
          <w:color w:val="auto"/>
          <w:szCs w:val="21"/>
        </w:rPr>
      </w:pPr>
      <w:r>
        <w:rPr>
          <w:rFonts w:hint="eastAsia" w:ascii="宋体" w:hAnsi="宋体" w:eastAsia="宋体"/>
          <w:bCs/>
          <w:color w:val="auto"/>
          <w:szCs w:val="21"/>
        </w:rPr>
        <w:t>注</w:t>
      </w:r>
      <w:r>
        <w:rPr>
          <w:rFonts w:hint="eastAsia" w:ascii="宋体" w:hAnsi="宋体"/>
          <w:color w:val="auto"/>
        </w:rPr>
        <w:t>：</w:t>
      </w:r>
      <w:r>
        <w:rPr>
          <w:rFonts w:hint="eastAsia" w:ascii="宋体" w:hAnsi="宋体" w:cs="宋体"/>
          <w:color w:val="auto"/>
          <w:kern w:val="0"/>
          <w:szCs w:val="21"/>
          <w:lang w:val="zh-CN"/>
        </w:rPr>
        <w:t>根据招标文件第二章第14.1款规定，</w:t>
      </w:r>
      <w:r>
        <w:rPr>
          <w:rFonts w:hint="eastAsia" w:ascii="宋体" w:hAnsi="宋体"/>
          <w:color w:val="auto"/>
          <w:szCs w:val="21"/>
        </w:rPr>
        <w:t>投标人在提交资格证明材料</w:t>
      </w:r>
      <w:r>
        <w:rPr>
          <w:rFonts w:hint="eastAsia" w:ascii="宋体" w:hAnsi="宋体"/>
          <w:bCs/>
          <w:color w:val="auto"/>
          <w:szCs w:val="21"/>
        </w:rPr>
        <w:t>起</w:t>
      </w:r>
      <w:r>
        <w:rPr>
          <w:rFonts w:hint="eastAsia" w:ascii="宋体" w:hAnsi="宋体"/>
          <w:color w:val="auto"/>
          <w:szCs w:val="21"/>
        </w:rPr>
        <w:t>至</w:t>
      </w:r>
      <w:r>
        <w:rPr>
          <w:rFonts w:hint="eastAsia" w:ascii="宋体" w:hAnsi="宋体" w:cs="宋体"/>
          <w:color w:val="auto"/>
          <w:kern w:val="0"/>
          <w:szCs w:val="21"/>
        </w:rPr>
        <w:t>提交投标文件</w:t>
      </w:r>
      <w:r>
        <w:rPr>
          <w:rFonts w:hint="eastAsia" w:ascii="宋体" w:hAnsi="宋体"/>
          <w:color w:val="auto"/>
          <w:szCs w:val="21"/>
        </w:rPr>
        <w:t>止，其资格条件发生变化，影响或者可能影响资格条件的，应随本投标文件提供更新或者补充的资格证明材料。</w:t>
      </w:r>
    </w:p>
    <w:p>
      <w:pPr>
        <w:widowControl/>
        <w:adjustRightInd w:val="0"/>
        <w:snapToGrid w:val="0"/>
        <w:spacing w:line="360" w:lineRule="auto"/>
        <w:ind w:firstLine="420" w:firstLineChars="200"/>
        <w:jc w:val="left"/>
        <w:rPr>
          <w:rFonts w:ascii="黑体" w:eastAsia="黑体"/>
          <w:color w:val="auto"/>
          <w:sz w:val="32"/>
          <w:szCs w:val="32"/>
        </w:rPr>
      </w:pPr>
      <w:r>
        <w:rPr>
          <w:rFonts w:ascii="宋体" w:hAnsi="宋体"/>
          <w:color w:val="auto"/>
          <w:szCs w:val="21"/>
        </w:rPr>
        <w:br w:type="page"/>
      </w:r>
    </w:p>
    <w:p>
      <w:pPr>
        <w:adjustRightInd w:val="0"/>
        <w:snapToGrid w:val="0"/>
        <w:spacing w:line="360" w:lineRule="auto"/>
        <w:jc w:val="center"/>
        <w:rPr>
          <w:rFonts w:ascii="黑体" w:eastAsia="黑体"/>
          <w:color w:val="auto"/>
          <w:sz w:val="32"/>
          <w:szCs w:val="32"/>
        </w:rPr>
      </w:pPr>
    </w:p>
    <w:p>
      <w:pPr>
        <w:adjustRightInd w:val="0"/>
        <w:snapToGrid w:val="0"/>
        <w:spacing w:line="360" w:lineRule="auto"/>
        <w:jc w:val="center"/>
        <w:rPr>
          <w:rFonts w:ascii="黑体" w:eastAsia="黑体"/>
          <w:color w:val="auto"/>
          <w:sz w:val="32"/>
          <w:szCs w:val="32"/>
        </w:rPr>
      </w:pPr>
    </w:p>
    <w:p>
      <w:pPr>
        <w:pStyle w:val="10"/>
        <w:adjustRightInd w:val="0"/>
        <w:snapToGrid w:val="0"/>
        <w:spacing w:line="360" w:lineRule="auto"/>
        <w:jc w:val="center"/>
        <w:rPr>
          <w:rFonts w:ascii="华文中宋" w:hAnsi="华文中宋" w:eastAsia="华文中宋"/>
          <w:bCs/>
          <w:color w:val="auto"/>
          <w:sz w:val="72"/>
          <w:szCs w:val="72"/>
        </w:rPr>
      </w:pPr>
      <w:r>
        <w:rPr>
          <w:rFonts w:hint="eastAsia" w:ascii="华文中宋" w:hAnsi="华文中宋" w:eastAsia="华文中宋"/>
          <w:bCs/>
          <w:color w:val="auto"/>
          <w:sz w:val="72"/>
          <w:szCs w:val="72"/>
        </w:rPr>
        <w:t>政府采购</w:t>
      </w:r>
    </w:p>
    <w:p>
      <w:pPr>
        <w:adjustRightInd w:val="0"/>
        <w:snapToGrid w:val="0"/>
        <w:spacing w:line="360" w:lineRule="auto"/>
        <w:jc w:val="center"/>
        <w:rPr>
          <w:rFonts w:ascii="宋体" w:hAnsi="宋体" w:eastAsia="宋体"/>
          <w:b/>
          <w:bCs/>
          <w:color w:val="auto"/>
          <w:sz w:val="84"/>
          <w:szCs w:val="84"/>
        </w:rPr>
      </w:pPr>
      <w:r>
        <w:rPr>
          <w:rFonts w:hint="eastAsia" w:ascii="宋体" w:hAnsi="宋体" w:eastAsia="宋体"/>
          <w:b/>
          <w:bCs/>
          <w:color w:val="auto"/>
          <w:sz w:val="84"/>
          <w:szCs w:val="84"/>
        </w:rPr>
        <w:t>投 标 文 件</w:t>
      </w:r>
    </w:p>
    <w:p>
      <w:pPr>
        <w:pStyle w:val="3"/>
        <w:adjustRightInd w:val="0"/>
        <w:snapToGrid w:val="0"/>
        <w:jc w:val="center"/>
        <w:rPr>
          <w:rFonts w:ascii="黑体" w:hAnsi="黑体" w:eastAsia="黑体"/>
          <w:color w:val="auto"/>
          <w:sz w:val="44"/>
          <w:szCs w:val="44"/>
        </w:rPr>
      </w:pPr>
      <w:bookmarkStart w:id="77" w:name="_Toc6690"/>
      <w:r>
        <w:rPr>
          <w:rFonts w:hint="eastAsia" w:ascii="黑体" w:hAnsi="黑体" w:eastAsia="黑体"/>
          <w:color w:val="auto"/>
          <w:sz w:val="44"/>
          <w:szCs w:val="44"/>
        </w:rPr>
        <w:t>第二部分 商务技术文件</w:t>
      </w:r>
      <w:bookmarkEnd w:id="77"/>
    </w:p>
    <w:p>
      <w:pPr>
        <w:adjustRightInd w:val="0"/>
        <w:snapToGrid w:val="0"/>
        <w:spacing w:line="360" w:lineRule="auto"/>
        <w:rPr>
          <w:rFonts w:ascii="宋体" w:hAnsi="宋体" w:eastAsia="宋体"/>
          <w:color w:val="auto"/>
          <w:sz w:val="32"/>
          <w:szCs w:val="32"/>
        </w:rPr>
      </w:pPr>
    </w:p>
    <w:p>
      <w:pPr>
        <w:pStyle w:val="10"/>
        <w:adjustRightInd w:val="0"/>
        <w:snapToGrid w:val="0"/>
        <w:spacing w:line="360" w:lineRule="auto"/>
        <w:ind w:firstLine="1988" w:firstLineChars="660"/>
        <w:rPr>
          <w:rFonts w:ascii="宋体" w:hAnsi="宋体" w:eastAsia="宋体"/>
          <w:b/>
          <w:bCs/>
          <w:color w:val="auto"/>
          <w:sz w:val="30"/>
          <w:szCs w:val="30"/>
        </w:rPr>
      </w:pPr>
    </w:p>
    <w:p>
      <w:pPr>
        <w:pStyle w:val="10"/>
        <w:adjustRightInd w:val="0"/>
        <w:snapToGrid w:val="0"/>
        <w:spacing w:line="360" w:lineRule="auto"/>
        <w:ind w:firstLine="1988" w:firstLineChars="660"/>
        <w:rPr>
          <w:rFonts w:ascii="宋体" w:hAnsi="宋体" w:eastAsia="宋体"/>
          <w:b/>
          <w:bCs/>
          <w:color w:val="auto"/>
          <w:sz w:val="30"/>
          <w:szCs w:val="30"/>
          <w:u w:val="single"/>
        </w:rPr>
      </w:pPr>
      <w:r>
        <w:rPr>
          <w:rFonts w:hint="eastAsia" w:ascii="宋体" w:hAnsi="宋体" w:eastAsia="宋体"/>
          <w:b/>
          <w:bCs/>
          <w:color w:val="auto"/>
          <w:sz w:val="30"/>
          <w:szCs w:val="30"/>
        </w:rPr>
        <w:t>采购项目名称:</w:t>
      </w:r>
      <w:r>
        <w:rPr>
          <w:rFonts w:hint="eastAsia" w:ascii="宋体" w:hAnsi="宋体" w:eastAsia="宋体"/>
          <w:b/>
          <w:bCs/>
          <w:color w:val="auto"/>
          <w:sz w:val="30"/>
          <w:szCs w:val="30"/>
          <w:u w:val="single"/>
        </w:rPr>
        <w:t xml:space="preserve">                        </w:t>
      </w:r>
    </w:p>
    <w:p>
      <w:pPr>
        <w:pStyle w:val="10"/>
        <w:adjustRightInd w:val="0"/>
        <w:snapToGrid w:val="0"/>
        <w:spacing w:line="360" w:lineRule="auto"/>
        <w:ind w:firstLine="1988" w:firstLineChars="660"/>
        <w:rPr>
          <w:rFonts w:ascii="宋体" w:hAnsi="宋体" w:eastAsia="宋体"/>
          <w:b/>
          <w:bCs/>
          <w:color w:val="auto"/>
          <w:sz w:val="30"/>
          <w:szCs w:val="30"/>
        </w:rPr>
      </w:pPr>
      <w:r>
        <w:rPr>
          <w:rFonts w:hint="eastAsia" w:ascii="宋体" w:hAnsi="宋体" w:eastAsia="宋体"/>
          <w:b/>
          <w:bCs/>
          <w:color w:val="auto"/>
          <w:sz w:val="30"/>
          <w:szCs w:val="30"/>
        </w:rPr>
        <w:t>采   购   人：</w:t>
      </w:r>
      <w:r>
        <w:rPr>
          <w:rFonts w:hint="eastAsia" w:ascii="宋体" w:hAnsi="宋体" w:eastAsia="宋体"/>
          <w:b/>
          <w:bCs/>
          <w:color w:val="auto"/>
          <w:sz w:val="30"/>
          <w:szCs w:val="30"/>
          <w:u w:val="single"/>
        </w:rPr>
        <w:t xml:space="preserve">                       </w:t>
      </w:r>
    </w:p>
    <w:p>
      <w:pPr>
        <w:pStyle w:val="10"/>
        <w:adjustRightInd w:val="0"/>
        <w:snapToGrid w:val="0"/>
        <w:spacing w:line="360" w:lineRule="auto"/>
        <w:ind w:firstLine="1988" w:firstLineChars="660"/>
        <w:rPr>
          <w:rFonts w:ascii="宋体" w:hAnsi="宋体" w:eastAsia="宋体"/>
          <w:b/>
          <w:bCs/>
          <w:color w:val="auto"/>
          <w:sz w:val="30"/>
          <w:szCs w:val="30"/>
          <w:u w:val="single"/>
        </w:rPr>
      </w:pPr>
      <w:r>
        <w:rPr>
          <w:rFonts w:hint="eastAsia" w:ascii="宋体" w:hAnsi="宋体" w:eastAsia="宋体"/>
          <w:b/>
          <w:bCs/>
          <w:color w:val="auto"/>
          <w:sz w:val="30"/>
          <w:szCs w:val="30"/>
        </w:rPr>
        <w:t>政府采购计划编号:</w:t>
      </w:r>
      <w:r>
        <w:rPr>
          <w:rFonts w:hint="eastAsia" w:ascii="宋体" w:hAnsi="宋体" w:eastAsia="宋体"/>
          <w:b/>
          <w:bCs/>
          <w:color w:val="auto"/>
          <w:sz w:val="30"/>
          <w:szCs w:val="30"/>
          <w:u w:val="single"/>
        </w:rPr>
        <w:t xml:space="preserve">                    </w:t>
      </w:r>
    </w:p>
    <w:p>
      <w:pPr>
        <w:pStyle w:val="10"/>
        <w:adjustRightInd w:val="0"/>
        <w:snapToGrid w:val="0"/>
        <w:spacing w:line="360" w:lineRule="auto"/>
        <w:ind w:firstLine="1988" w:firstLineChars="660"/>
        <w:rPr>
          <w:rFonts w:ascii="宋体" w:hAnsi="宋体" w:eastAsia="宋体"/>
          <w:b/>
          <w:bCs/>
          <w:color w:val="auto"/>
          <w:sz w:val="30"/>
          <w:szCs w:val="30"/>
          <w:u w:val="single"/>
        </w:rPr>
      </w:pPr>
      <w:r>
        <w:rPr>
          <w:rFonts w:hint="eastAsia" w:ascii="宋体" w:hAnsi="宋体" w:eastAsia="宋体"/>
          <w:b/>
          <w:bCs/>
          <w:color w:val="auto"/>
          <w:sz w:val="30"/>
          <w:szCs w:val="30"/>
          <w:lang w:eastAsia="zh-CN"/>
        </w:rPr>
        <w:t>委托代理编号</w:t>
      </w:r>
      <w:r>
        <w:rPr>
          <w:rFonts w:hint="eastAsia" w:ascii="宋体" w:hAnsi="宋体" w:eastAsia="宋体"/>
          <w:b/>
          <w:bCs/>
          <w:color w:val="auto"/>
          <w:sz w:val="30"/>
          <w:szCs w:val="30"/>
        </w:rPr>
        <w:t>:</w:t>
      </w:r>
      <w:r>
        <w:rPr>
          <w:rFonts w:hint="eastAsia" w:ascii="宋体" w:hAnsi="宋体" w:eastAsia="宋体"/>
          <w:b/>
          <w:bCs/>
          <w:color w:val="auto"/>
          <w:sz w:val="30"/>
          <w:szCs w:val="30"/>
          <w:u w:val="single"/>
        </w:rPr>
        <w:t xml:space="preserve">                        </w:t>
      </w:r>
    </w:p>
    <w:p>
      <w:pPr>
        <w:pStyle w:val="10"/>
        <w:adjustRightInd w:val="0"/>
        <w:snapToGrid w:val="0"/>
        <w:spacing w:line="360" w:lineRule="auto"/>
        <w:ind w:firstLine="1988" w:firstLineChars="660"/>
        <w:rPr>
          <w:rFonts w:ascii="宋体" w:hAnsi="宋体" w:eastAsia="宋体"/>
          <w:b/>
          <w:bCs/>
          <w:color w:val="auto"/>
          <w:sz w:val="30"/>
          <w:szCs w:val="30"/>
          <w:u w:val="single"/>
        </w:rPr>
      </w:pPr>
      <w:r>
        <w:rPr>
          <w:rFonts w:hint="eastAsia" w:ascii="宋体" w:hAnsi="宋体" w:eastAsia="宋体"/>
          <w:b/>
          <w:bCs/>
          <w:color w:val="auto"/>
          <w:sz w:val="30"/>
          <w:szCs w:val="30"/>
        </w:rPr>
        <w:t>采购代理机构：</w:t>
      </w:r>
      <w:r>
        <w:rPr>
          <w:rFonts w:hint="eastAsia" w:ascii="宋体" w:hAnsi="宋体" w:eastAsia="宋体"/>
          <w:b/>
          <w:bCs/>
          <w:color w:val="auto"/>
          <w:sz w:val="30"/>
          <w:szCs w:val="30"/>
          <w:u w:val="single"/>
        </w:rPr>
        <w:t xml:space="preserve">                       </w:t>
      </w:r>
    </w:p>
    <w:p>
      <w:pPr>
        <w:adjustRightInd w:val="0"/>
        <w:snapToGrid w:val="0"/>
        <w:spacing w:line="360" w:lineRule="auto"/>
        <w:rPr>
          <w:rFonts w:ascii="宋体" w:hAnsi="宋体" w:eastAsia="宋体"/>
          <w:color w:val="auto"/>
          <w:sz w:val="30"/>
          <w:szCs w:val="30"/>
        </w:rPr>
      </w:pPr>
    </w:p>
    <w:p>
      <w:pPr>
        <w:adjustRightInd w:val="0"/>
        <w:snapToGrid w:val="0"/>
        <w:spacing w:line="360" w:lineRule="auto"/>
        <w:rPr>
          <w:rFonts w:ascii="宋体" w:hAnsi="宋体" w:eastAsia="宋体"/>
          <w:color w:val="auto"/>
          <w:sz w:val="30"/>
          <w:szCs w:val="30"/>
        </w:rPr>
      </w:pPr>
    </w:p>
    <w:p>
      <w:pPr>
        <w:adjustRightInd w:val="0"/>
        <w:snapToGrid w:val="0"/>
        <w:spacing w:line="360" w:lineRule="auto"/>
        <w:rPr>
          <w:rFonts w:ascii="宋体" w:hAnsi="宋体" w:eastAsia="宋体"/>
          <w:color w:val="auto"/>
          <w:sz w:val="30"/>
          <w:szCs w:val="30"/>
        </w:rPr>
      </w:pPr>
    </w:p>
    <w:p>
      <w:pPr>
        <w:adjustRightInd w:val="0"/>
        <w:snapToGrid w:val="0"/>
        <w:spacing w:line="360" w:lineRule="auto"/>
        <w:rPr>
          <w:rFonts w:hint="eastAsia" w:ascii="黑体" w:hAnsi="黑体" w:eastAsia="黑体" w:cs="黑体"/>
          <w:b w:val="0"/>
          <w:bCs w:val="0"/>
          <w:color w:val="auto"/>
          <w:sz w:val="30"/>
          <w:szCs w:val="30"/>
        </w:rPr>
      </w:pPr>
    </w:p>
    <w:p>
      <w:pPr>
        <w:adjustRightInd w:val="0"/>
        <w:snapToGrid w:val="0"/>
        <w:spacing w:line="360" w:lineRule="auto"/>
        <w:ind w:left="1273" w:leftChars="606" w:firstLine="640" w:firstLineChars="200"/>
        <w:rPr>
          <w:rFonts w:hint="eastAsia" w:ascii="黑体" w:hAnsi="黑体" w:eastAsia="黑体" w:cs="黑体"/>
          <w:b w:val="0"/>
          <w:bCs w:val="0"/>
          <w:color w:val="auto"/>
          <w:sz w:val="32"/>
          <w:szCs w:val="32"/>
          <w:u w:val="single"/>
        </w:rPr>
      </w:pPr>
      <w:r>
        <w:rPr>
          <w:rFonts w:hint="eastAsia" w:ascii="黑体" w:hAnsi="黑体" w:eastAsia="黑体" w:cs="黑体"/>
          <w:b w:val="0"/>
          <w:bCs w:val="0"/>
          <w:color w:val="auto"/>
          <w:sz w:val="32"/>
          <w:szCs w:val="32"/>
        </w:rPr>
        <w:t>投标人</w:t>
      </w:r>
      <w:r>
        <w:rPr>
          <w:rFonts w:hint="eastAsia" w:ascii="黑体" w:hAnsi="黑体" w:eastAsia="黑体" w:cs="黑体"/>
          <w:b w:val="0"/>
          <w:bCs w:val="0"/>
          <w:color w:val="auto"/>
          <w:sz w:val="32"/>
          <w:szCs w:val="32"/>
          <w:u w:val="single"/>
        </w:rPr>
        <w:t xml:space="preserve">                         </w:t>
      </w:r>
    </w:p>
    <w:p>
      <w:pPr>
        <w:adjustRightInd w:val="0"/>
        <w:snapToGrid w:val="0"/>
        <w:spacing w:line="360" w:lineRule="auto"/>
        <w:jc w:val="center"/>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年  月  日</w:t>
      </w:r>
    </w:p>
    <w:p>
      <w:pPr>
        <w:widowControl/>
        <w:jc w:val="left"/>
        <w:rPr>
          <w:rFonts w:ascii="黑体" w:hAnsi="宋体" w:eastAsia="黑体"/>
          <w:b/>
          <w:bCs/>
          <w:color w:val="auto"/>
          <w:sz w:val="28"/>
          <w:szCs w:val="28"/>
        </w:rPr>
      </w:pPr>
      <w:r>
        <w:rPr>
          <w:rFonts w:ascii="宋体" w:hAnsi="宋体" w:eastAsia="宋体"/>
          <w:color w:val="auto"/>
          <w:u w:val="single"/>
        </w:rPr>
        <w:br w:type="page"/>
      </w:r>
    </w:p>
    <w:p>
      <w:pPr>
        <w:pStyle w:val="4"/>
        <w:adjustRightInd w:val="0"/>
        <w:snapToGrid w:val="0"/>
        <w:spacing w:before="0" w:after="0" w:line="360" w:lineRule="auto"/>
        <w:jc w:val="center"/>
        <w:rPr>
          <w:rFonts w:ascii="黑体" w:hAnsi="宋体" w:eastAsia="黑体"/>
          <w:color w:val="auto"/>
          <w:sz w:val="28"/>
          <w:szCs w:val="28"/>
        </w:rPr>
      </w:pPr>
      <w:bookmarkStart w:id="78" w:name="_Toc6290"/>
      <w:r>
        <w:rPr>
          <w:rFonts w:hint="eastAsia" w:ascii="黑体" w:hAnsi="宋体" w:eastAsia="黑体"/>
          <w:color w:val="auto"/>
          <w:sz w:val="28"/>
          <w:szCs w:val="28"/>
        </w:rPr>
        <w:t>五</w:t>
      </w:r>
      <w:r>
        <w:rPr>
          <w:rFonts w:ascii="黑体" w:hAnsi="宋体" w:eastAsia="黑体"/>
          <w:color w:val="auto"/>
          <w:sz w:val="28"/>
          <w:szCs w:val="28"/>
        </w:rPr>
        <w:t>、</w:t>
      </w:r>
      <w:r>
        <w:rPr>
          <w:rFonts w:hint="eastAsia" w:ascii="黑体" w:hAnsi="宋体" w:eastAsia="黑体"/>
          <w:color w:val="auto"/>
          <w:sz w:val="28"/>
          <w:szCs w:val="28"/>
        </w:rPr>
        <w:t>投标函</w:t>
      </w:r>
      <w:bookmarkEnd w:id="78"/>
    </w:p>
    <w:p>
      <w:pPr>
        <w:adjustRightInd w:val="0"/>
        <w:snapToGrid w:val="0"/>
        <w:spacing w:before="156" w:beforeLines="50" w:line="360" w:lineRule="auto"/>
        <w:rPr>
          <w:rFonts w:ascii="宋体" w:hAnsi="宋体" w:eastAsia="宋体"/>
          <w:color w:val="auto"/>
          <w:szCs w:val="21"/>
        </w:rPr>
      </w:pPr>
      <w:r>
        <w:rPr>
          <w:rFonts w:hint="eastAsia" w:ascii="宋体" w:hAnsi="宋体" w:eastAsia="宋体"/>
          <w:color w:val="auto"/>
          <w:szCs w:val="21"/>
        </w:rPr>
        <w:t>致：</w:t>
      </w:r>
      <w:r>
        <w:rPr>
          <w:rFonts w:hint="eastAsia" w:ascii="宋体" w:hAnsi="宋体" w:eastAsia="宋体"/>
          <w:color w:val="auto"/>
          <w:szCs w:val="21"/>
          <w:u w:val="single"/>
        </w:rPr>
        <w:t xml:space="preserve">           </w:t>
      </w:r>
      <w:r>
        <w:rPr>
          <w:rFonts w:hint="eastAsia" w:ascii="宋体" w:hAnsi="宋体" w:eastAsia="宋体"/>
          <w:color w:val="auto"/>
          <w:szCs w:val="21"/>
        </w:rPr>
        <w:t>（采购人、采购代理机构）：</w:t>
      </w:r>
    </w:p>
    <w:p>
      <w:pPr>
        <w:adjustRightInd w:val="0"/>
        <w:snapToGrid w:val="0"/>
        <w:spacing w:before="156" w:beforeLines="50" w:line="360" w:lineRule="auto"/>
        <w:ind w:firstLine="435"/>
        <w:rPr>
          <w:rFonts w:ascii="宋体" w:hAnsi="宋体" w:eastAsia="宋体"/>
          <w:color w:val="auto"/>
          <w:szCs w:val="21"/>
        </w:rPr>
      </w:pPr>
      <w:r>
        <w:rPr>
          <w:rFonts w:hint="eastAsia" w:ascii="宋体" w:hAnsi="宋体" w:eastAsia="宋体"/>
          <w:color w:val="auto"/>
          <w:szCs w:val="21"/>
        </w:rPr>
        <w:t>根据贵方为</w:t>
      </w:r>
      <w:r>
        <w:rPr>
          <w:rFonts w:hint="eastAsia" w:ascii="宋体" w:hAnsi="宋体" w:eastAsia="宋体"/>
          <w:color w:val="auto"/>
          <w:szCs w:val="21"/>
          <w:u w:val="single"/>
        </w:rPr>
        <w:t xml:space="preserve">           </w:t>
      </w:r>
      <w:r>
        <w:rPr>
          <w:rFonts w:hint="eastAsia" w:ascii="宋体" w:hAnsi="宋体" w:eastAsia="宋体"/>
          <w:color w:val="auto"/>
          <w:szCs w:val="21"/>
        </w:rPr>
        <w:t>（项目名称）的投标邀请（</w:t>
      </w:r>
      <w:r>
        <w:rPr>
          <w:rFonts w:hint="eastAsia" w:ascii="宋体" w:hAnsi="宋体" w:eastAsia="宋体"/>
          <w:color w:val="auto"/>
        </w:rPr>
        <w:t>政府采购计划编号</w:t>
      </w:r>
      <w:r>
        <w:rPr>
          <w:rFonts w:hint="eastAsia" w:ascii="宋体" w:hAnsi="宋体" w:eastAsia="宋体"/>
          <w:iCs/>
          <w:color w:val="auto"/>
        </w:rPr>
        <w:t>：</w:t>
      </w:r>
      <w:r>
        <w:rPr>
          <w:rFonts w:hint="eastAsia" w:ascii="宋体" w:hAnsi="宋体" w:eastAsia="宋体"/>
          <w:iCs/>
          <w:color w:val="auto"/>
          <w:u w:val="single"/>
        </w:rPr>
        <w:t xml:space="preserve">      </w:t>
      </w:r>
      <w:r>
        <w:rPr>
          <w:rFonts w:hint="eastAsia" w:ascii="宋体" w:hAnsi="宋体" w:eastAsia="宋体"/>
          <w:iCs/>
          <w:color w:val="auto"/>
        </w:rPr>
        <w:t xml:space="preserve"> ，</w:t>
      </w:r>
      <w:r>
        <w:rPr>
          <w:rFonts w:hint="eastAsia" w:ascii="宋体" w:hAnsi="宋体" w:eastAsia="宋体"/>
          <w:color w:val="auto"/>
          <w:szCs w:val="21"/>
          <w:lang w:eastAsia="zh-CN"/>
        </w:rPr>
        <w:t>委托代理编号</w:t>
      </w:r>
      <w:r>
        <w:rPr>
          <w:rFonts w:hint="eastAsia" w:ascii="宋体" w:hAnsi="宋体" w:eastAsia="宋体"/>
          <w:color w:val="auto"/>
          <w:szCs w:val="21"/>
        </w:rPr>
        <w:t>：</w:t>
      </w:r>
      <w:r>
        <w:rPr>
          <w:rFonts w:hint="eastAsia" w:ascii="宋体" w:hAnsi="宋体" w:eastAsia="宋体"/>
          <w:color w:val="auto"/>
          <w:szCs w:val="21"/>
          <w:u w:val="single"/>
        </w:rPr>
        <w:t xml:space="preserve">         </w:t>
      </w:r>
      <w:r>
        <w:rPr>
          <w:rFonts w:hint="eastAsia" w:ascii="宋体" w:hAnsi="宋体" w:eastAsia="宋体"/>
          <w:color w:val="auto"/>
          <w:szCs w:val="21"/>
        </w:rPr>
        <w:t xml:space="preserve">），签字代表 </w:t>
      </w:r>
      <w:r>
        <w:rPr>
          <w:rFonts w:hint="eastAsia" w:ascii="宋体" w:hAnsi="宋体" w:eastAsia="宋体"/>
          <w:color w:val="auto"/>
          <w:szCs w:val="21"/>
          <w:u w:val="single"/>
        </w:rPr>
        <w:t xml:space="preserve">      </w:t>
      </w:r>
      <w:r>
        <w:rPr>
          <w:rFonts w:hint="eastAsia" w:ascii="宋体" w:hAnsi="宋体" w:eastAsia="宋体"/>
          <w:color w:val="auto"/>
          <w:szCs w:val="21"/>
        </w:rPr>
        <w:t>（姓名、职务）经正式授权并代表投标人</w:t>
      </w:r>
      <w:r>
        <w:rPr>
          <w:rFonts w:hint="eastAsia" w:ascii="宋体" w:hAnsi="宋体" w:eastAsia="宋体"/>
          <w:color w:val="auto"/>
          <w:szCs w:val="21"/>
          <w:u w:val="single"/>
        </w:rPr>
        <w:t xml:space="preserve">       </w:t>
      </w:r>
      <w:r>
        <w:rPr>
          <w:rFonts w:hint="eastAsia" w:ascii="宋体" w:hAnsi="宋体" w:eastAsia="宋体"/>
          <w:color w:val="auto"/>
          <w:szCs w:val="21"/>
        </w:rPr>
        <w:t xml:space="preserve"> （投标人名称）提交下述投标文件：投标文件正本一份，副本一式</w:t>
      </w:r>
      <w:r>
        <w:rPr>
          <w:rFonts w:hint="eastAsia" w:ascii="宋体" w:hAnsi="宋体" w:eastAsia="宋体"/>
          <w:color w:val="auto"/>
          <w:szCs w:val="21"/>
          <w:u w:val="single"/>
        </w:rPr>
        <w:t xml:space="preserve">     </w:t>
      </w:r>
      <w:r>
        <w:rPr>
          <w:rFonts w:hint="eastAsia" w:ascii="宋体" w:hAnsi="宋体" w:eastAsia="宋体"/>
          <w:color w:val="auto"/>
          <w:szCs w:val="21"/>
        </w:rPr>
        <w:t>份，电子文档一份，参加采购项目第</w:t>
      </w:r>
      <w:r>
        <w:rPr>
          <w:rFonts w:hint="eastAsia" w:ascii="宋体" w:hAnsi="宋体" w:eastAsia="宋体"/>
          <w:color w:val="auto"/>
          <w:szCs w:val="21"/>
          <w:u w:val="single"/>
        </w:rPr>
        <w:t xml:space="preserve">   </w:t>
      </w:r>
      <w:r>
        <w:rPr>
          <w:rFonts w:hint="eastAsia" w:ascii="宋体" w:hAnsi="宋体" w:eastAsia="宋体"/>
          <w:color w:val="auto"/>
          <w:szCs w:val="21"/>
        </w:rPr>
        <w:t>包投标，并在此声明，所递交的投标文件内容完整、真实。</w:t>
      </w:r>
    </w:p>
    <w:p>
      <w:pPr>
        <w:adjustRightInd w:val="0"/>
        <w:snapToGrid w:val="0"/>
        <w:spacing w:before="156" w:beforeLines="50" w:line="360" w:lineRule="auto"/>
        <w:ind w:firstLine="422" w:firstLineChars="200"/>
        <w:rPr>
          <w:rFonts w:ascii="宋体" w:hAnsi="宋体" w:eastAsia="宋体"/>
          <w:b/>
          <w:color w:val="auto"/>
          <w:szCs w:val="21"/>
        </w:rPr>
      </w:pPr>
      <w:r>
        <w:rPr>
          <w:rFonts w:hint="eastAsia" w:ascii="宋体" w:hAnsi="宋体" w:eastAsia="宋体"/>
          <w:b/>
          <w:color w:val="auto"/>
          <w:szCs w:val="21"/>
        </w:rPr>
        <w:t>第一部分 资格证明文件</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一、开标一览表</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二、投标保证金</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三、授权委托书</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四、投标人提供的资格证明文件</w:t>
      </w:r>
    </w:p>
    <w:p>
      <w:pPr>
        <w:adjustRightInd w:val="0"/>
        <w:snapToGrid w:val="0"/>
        <w:spacing w:before="156" w:beforeLines="50" w:line="360" w:lineRule="auto"/>
        <w:ind w:firstLine="422" w:firstLineChars="200"/>
        <w:rPr>
          <w:rFonts w:ascii="宋体" w:hAnsi="宋体" w:eastAsia="宋体"/>
          <w:b/>
          <w:color w:val="auto"/>
          <w:szCs w:val="21"/>
        </w:rPr>
      </w:pPr>
      <w:r>
        <w:rPr>
          <w:rFonts w:hint="eastAsia" w:ascii="宋体" w:hAnsi="宋体" w:eastAsia="宋体"/>
          <w:b/>
          <w:color w:val="auto"/>
          <w:szCs w:val="21"/>
        </w:rPr>
        <w:t>第二部分 商务技术文件</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五、投标函</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六、分项报价</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七、采购需求响应</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八、合同条款偏离表</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九、采购需求偏离表</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十、享受政府采购政策优惠的证明资料</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十一、投标货物符合招标文件规定的证明文件</w:t>
      </w:r>
    </w:p>
    <w:p>
      <w:pPr>
        <w:adjustRightInd w:val="0"/>
        <w:snapToGrid w:val="0"/>
        <w:spacing w:before="156" w:beforeLines="50" w:line="360" w:lineRule="auto"/>
        <w:ind w:firstLine="630" w:firstLineChars="300"/>
        <w:rPr>
          <w:rFonts w:ascii="宋体" w:hAnsi="宋体" w:eastAsia="宋体"/>
          <w:color w:val="auto"/>
          <w:szCs w:val="21"/>
        </w:rPr>
      </w:pPr>
      <w:r>
        <w:rPr>
          <w:rFonts w:hint="eastAsia" w:ascii="宋体" w:hAnsi="宋体" w:eastAsia="宋体"/>
          <w:color w:val="auto"/>
          <w:szCs w:val="21"/>
        </w:rPr>
        <w:t>十二、投标人认为需提供的其他资料</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在此，签字代表宣布同意如下：</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1、投标人严格按照招标文件的规定报价，见《开标一览表》。</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2、投标人将按招标文件的规定履行合同责任和义务。</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3、投标人已详细审查招标文件。我们完全理解并同意放弃对这方面有不明及误解的权力。</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eastAsia="宋体"/>
          <w:color w:val="auto"/>
          <w:szCs w:val="21"/>
        </w:rPr>
        <w:t>4、本投标有效期为自招标文件规定的提交投标文件截止之日起</w:t>
      </w:r>
      <w:r>
        <w:rPr>
          <w:rFonts w:hint="eastAsia" w:ascii="宋体" w:hAnsi="宋体" w:eastAsia="宋体"/>
          <w:color w:val="auto"/>
          <w:szCs w:val="21"/>
          <w:u w:val="single"/>
        </w:rPr>
        <w:t xml:space="preserve">    </w:t>
      </w:r>
      <w:r>
        <w:rPr>
          <w:rFonts w:hint="eastAsia" w:ascii="宋体" w:hAnsi="宋体" w:eastAsia="宋体"/>
          <w:color w:val="auto"/>
          <w:szCs w:val="21"/>
        </w:rPr>
        <w:t>个日历日。在投标有效期内，</w:t>
      </w:r>
      <w:r>
        <w:rPr>
          <w:rFonts w:hint="eastAsia" w:ascii="宋体" w:hAnsi="宋体" w:eastAsia="宋体"/>
          <w:color w:val="auto"/>
        </w:rPr>
        <w:t>投标人同意遵守本</w:t>
      </w:r>
      <w:r>
        <w:rPr>
          <w:rFonts w:hint="eastAsia" w:ascii="宋体" w:hAnsi="宋体" w:eastAsia="宋体"/>
          <w:color w:val="auto"/>
          <w:szCs w:val="21"/>
        </w:rPr>
        <w:t>投标</w:t>
      </w:r>
      <w:r>
        <w:rPr>
          <w:rFonts w:hint="eastAsia" w:ascii="宋体" w:hAnsi="宋体" w:eastAsia="宋体"/>
          <w:color w:val="auto"/>
        </w:rPr>
        <w:t>文件中的承诺且在此期限期满之前</w:t>
      </w:r>
      <w:r>
        <w:rPr>
          <w:rFonts w:hint="eastAsia" w:ascii="宋体" w:hAnsi="宋体" w:eastAsia="宋体"/>
          <w:color w:val="auto"/>
          <w:szCs w:val="21"/>
        </w:rPr>
        <w:t>投标</w:t>
      </w:r>
      <w:r>
        <w:rPr>
          <w:rFonts w:hint="eastAsia" w:ascii="宋体" w:hAnsi="宋体" w:eastAsia="宋体"/>
          <w:color w:val="auto"/>
        </w:rPr>
        <w:t>文件</w:t>
      </w:r>
      <w:r>
        <w:rPr>
          <w:rFonts w:hint="eastAsia" w:ascii="宋体" w:hAnsi="宋体" w:eastAsia="宋体"/>
          <w:color w:val="auto"/>
          <w:szCs w:val="21"/>
        </w:rPr>
        <w:t>对我方具有法律约束力</w:t>
      </w:r>
      <w:r>
        <w:rPr>
          <w:rFonts w:hint="eastAsia" w:ascii="宋体" w:hAnsi="宋体" w:eastAsia="宋体"/>
          <w:color w:val="auto"/>
        </w:rPr>
        <w:t>。</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eastAsia="宋体"/>
          <w:color w:val="auto"/>
        </w:rPr>
        <w:t>5、</w:t>
      </w:r>
      <w:r>
        <w:rPr>
          <w:rFonts w:hint="eastAsia" w:ascii="宋体" w:hAnsi="宋体" w:eastAsia="宋体"/>
          <w:color w:val="auto"/>
          <w:szCs w:val="21"/>
        </w:rPr>
        <w:t>同意提供贵方可能要求的与其投标有关的一切数据或资料。</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6、与本投标有关的一切正式往来信函请寄：</w:t>
      </w:r>
    </w:p>
    <w:p>
      <w:pPr>
        <w:adjustRightInd w:val="0"/>
        <w:snapToGrid w:val="0"/>
        <w:spacing w:before="156" w:beforeLines="50" w:line="360" w:lineRule="auto"/>
        <w:ind w:firstLine="420" w:firstLineChars="200"/>
        <w:rPr>
          <w:rFonts w:ascii="宋体" w:hAnsi="宋体" w:eastAsia="宋体"/>
          <w:color w:val="auto"/>
          <w:szCs w:val="21"/>
        </w:rPr>
      </w:pPr>
      <w:r>
        <w:rPr>
          <w:rFonts w:hint="eastAsia" w:ascii="宋体" w:hAnsi="宋体" w:eastAsia="宋体"/>
          <w:color w:val="auto"/>
          <w:szCs w:val="21"/>
        </w:rPr>
        <w:t>地址：</w:t>
      </w:r>
      <w:r>
        <w:rPr>
          <w:rFonts w:hint="eastAsia" w:ascii="宋体" w:hAnsi="宋体" w:eastAsia="宋体"/>
          <w:color w:val="auto"/>
          <w:szCs w:val="21"/>
          <w:u w:val="single"/>
        </w:rPr>
        <w:t xml:space="preserve">    </w:t>
      </w:r>
      <w:r>
        <w:rPr>
          <w:rFonts w:hint="eastAsia" w:ascii="宋体" w:hAnsi="宋体" w:eastAsia="宋体"/>
          <w:color w:val="auto"/>
          <w:szCs w:val="21"/>
        </w:rPr>
        <w:t>；邮编：</w:t>
      </w:r>
      <w:r>
        <w:rPr>
          <w:rFonts w:hint="eastAsia" w:ascii="宋体" w:hAnsi="宋体" w:eastAsia="宋体"/>
          <w:color w:val="auto"/>
          <w:szCs w:val="21"/>
          <w:u w:val="single"/>
        </w:rPr>
        <w:t xml:space="preserve">     </w:t>
      </w:r>
      <w:r>
        <w:rPr>
          <w:rFonts w:hint="eastAsia" w:ascii="宋体" w:hAnsi="宋体" w:eastAsia="宋体"/>
          <w:color w:val="auto"/>
          <w:szCs w:val="21"/>
        </w:rPr>
        <w:t xml:space="preserve"> ；电话：</w:t>
      </w:r>
      <w:r>
        <w:rPr>
          <w:rFonts w:hint="eastAsia" w:ascii="宋体" w:hAnsi="宋体" w:eastAsia="宋体"/>
          <w:color w:val="auto"/>
          <w:szCs w:val="21"/>
          <w:u w:val="single"/>
        </w:rPr>
        <w:t xml:space="preserve">      </w:t>
      </w:r>
      <w:r>
        <w:rPr>
          <w:rFonts w:hint="eastAsia" w:ascii="宋体" w:hAnsi="宋体" w:eastAsia="宋体"/>
          <w:color w:val="auto"/>
          <w:szCs w:val="21"/>
        </w:rPr>
        <w:t>；电子邮箱：</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adjustRightInd w:val="0"/>
        <w:snapToGrid w:val="0"/>
        <w:spacing w:before="156" w:beforeLines="50" w:line="360" w:lineRule="auto"/>
        <w:ind w:firstLine="420" w:firstLineChars="200"/>
        <w:rPr>
          <w:rFonts w:ascii="宋体" w:hAnsi="宋体" w:eastAsia="宋体"/>
          <w:color w:val="auto"/>
          <w:szCs w:val="21"/>
        </w:rPr>
      </w:pPr>
    </w:p>
    <w:p>
      <w:pPr>
        <w:pStyle w:val="10"/>
        <w:adjustRightInd w:val="0"/>
        <w:snapToGrid w:val="0"/>
        <w:spacing w:before="156" w:beforeLines="50" w:line="360" w:lineRule="auto"/>
        <w:rPr>
          <w:rFonts w:ascii="宋体" w:hAnsi="宋体" w:eastAsia="宋体"/>
          <w:color w:val="auto"/>
        </w:rPr>
      </w:pPr>
    </w:p>
    <w:p>
      <w:pPr>
        <w:pStyle w:val="10"/>
        <w:adjustRightInd w:val="0"/>
        <w:snapToGrid w:val="0"/>
        <w:spacing w:before="156" w:beforeLines="50" w:line="360" w:lineRule="auto"/>
        <w:rPr>
          <w:rFonts w:ascii="宋体" w:hAnsi="宋体" w:eastAsia="宋体"/>
          <w:color w:val="auto"/>
        </w:rPr>
      </w:pPr>
      <w:r>
        <w:rPr>
          <w:rFonts w:hint="eastAsia" w:ascii="宋体" w:hAnsi="宋体" w:eastAsia="宋体"/>
          <w:color w:val="auto"/>
        </w:rPr>
        <w:t xml:space="preserve">投标人名称（盖单位章）：                       </w:t>
      </w:r>
    </w:p>
    <w:p>
      <w:pPr>
        <w:adjustRightInd w:val="0"/>
        <w:snapToGrid w:val="0"/>
        <w:spacing w:before="156" w:beforeLines="50" w:line="360" w:lineRule="auto"/>
        <w:rPr>
          <w:rFonts w:ascii="宋体" w:hAnsi="宋体" w:eastAsia="宋体"/>
          <w:color w:val="auto"/>
          <w:szCs w:val="21"/>
          <w:u w:val="single"/>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eastAsia="宋体"/>
          <w:color w:val="auto"/>
          <w:szCs w:val="21"/>
        </w:rPr>
        <w:t>或其授权的代理人（签字或印章）：</w:t>
      </w:r>
      <w:r>
        <w:rPr>
          <w:rFonts w:hint="eastAsia" w:ascii="宋体" w:hAnsi="宋体" w:eastAsia="宋体"/>
          <w:color w:val="auto"/>
          <w:szCs w:val="21"/>
          <w:u w:val="single"/>
        </w:rPr>
        <w:t xml:space="preserve">               </w:t>
      </w:r>
    </w:p>
    <w:p>
      <w:pPr>
        <w:adjustRightInd w:val="0"/>
        <w:snapToGrid w:val="0"/>
        <w:spacing w:before="156" w:beforeLines="50" w:line="120" w:lineRule="auto"/>
        <w:rPr>
          <w:rFonts w:ascii="黑体" w:hAnsi="宋体" w:eastAsia="黑体"/>
          <w:b/>
          <w:bCs/>
          <w:color w:val="auto"/>
          <w:sz w:val="28"/>
          <w:szCs w:val="28"/>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r>
        <w:rPr>
          <w:rFonts w:ascii="黑体" w:hAnsi="宋体" w:eastAsia="黑体"/>
          <w:b/>
          <w:bCs/>
          <w:color w:val="auto"/>
          <w:sz w:val="28"/>
          <w:szCs w:val="28"/>
        </w:rPr>
        <w:br w:type="page"/>
      </w:r>
    </w:p>
    <w:p>
      <w:pPr>
        <w:pStyle w:val="4"/>
        <w:adjustRightInd w:val="0"/>
        <w:snapToGrid w:val="0"/>
        <w:spacing w:before="0" w:after="0" w:line="360" w:lineRule="auto"/>
        <w:jc w:val="center"/>
        <w:rPr>
          <w:rFonts w:ascii="黑体" w:hAnsi="宋体" w:eastAsia="黑体"/>
          <w:color w:val="auto"/>
          <w:sz w:val="28"/>
          <w:szCs w:val="28"/>
        </w:rPr>
      </w:pPr>
      <w:bookmarkStart w:id="79" w:name="_Toc25418"/>
      <w:r>
        <w:rPr>
          <w:rFonts w:hint="eastAsia" w:ascii="黑体" w:hAnsi="宋体" w:eastAsia="黑体"/>
          <w:color w:val="auto"/>
          <w:sz w:val="28"/>
          <w:szCs w:val="28"/>
        </w:rPr>
        <w:t>六、分项报价</w:t>
      </w:r>
      <w:bookmarkEnd w:id="79"/>
    </w:p>
    <w:p>
      <w:pPr>
        <w:pStyle w:val="5"/>
        <w:jc w:val="left"/>
        <w:rPr>
          <w:rFonts w:ascii="黑体" w:hAnsi="宋体" w:cs="微软雅黑"/>
          <w:b w:val="0"/>
          <w:color w:val="auto"/>
          <w:kern w:val="0"/>
          <w:sz w:val="21"/>
          <w:szCs w:val="21"/>
        </w:rPr>
      </w:pPr>
      <w:bookmarkStart w:id="80" w:name="_Toc4027"/>
      <w:r>
        <w:rPr>
          <w:rFonts w:hint="eastAsia" w:ascii="黑体" w:hAnsi="华文中宋" w:cs="宋体"/>
          <w:b w:val="0"/>
          <w:bCs w:val="0"/>
          <w:color w:val="auto"/>
          <w:spacing w:val="6"/>
          <w:kern w:val="0"/>
          <w:sz w:val="21"/>
          <w:szCs w:val="21"/>
        </w:rPr>
        <w:t xml:space="preserve">附件6-1 </w:t>
      </w:r>
      <w:r>
        <w:rPr>
          <w:rFonts w:hint="eastAsia" w:ascii="黑体" w:hAnsi="宋体" w:cs="微软雅黑"/>
          <w:b w:val="0"/>
          <w:color w:val="auto"/>
          <w:spacing w:val="-2"/>
          <w:kern w:val="0"/>
          <w:sz w:val="21"/>
          <w:szCs w:val="21"/>
        </w:rPr>
        <w:t>分</w:t>
      </w:r>
      <w:r>
        <w:rPr>
          <w:rFonts w:hint="eastAsia" w:ascii="黑体" w:hAnsi="宋体" w:cs="微软雅黑"/>
          <w:b w:val="0"/>
          <w:color w:val="auto"/>
          <w:kern w:val="0"/>
          <w:sz w:val="21"/>
          <w:szCs w:val="21"/>
        </w:rPr>
        <w:t>项</w:t>
      </w:r>
      <w:r>
        <w:rPr>
          <w:rFonts w:hint="eastAsia" w:ascii="黑体" w:hAnsi="宋体" w:cs="微软雅黑"/>
          <w:b w:val="0"/>
          <w:color w:val="auto"/>
          <w:spacing w:val="-2"/>
          <w:kern w:val="0"/>
          <w:sz w:val="21"/>
          <w:szCs w:val="21"/>
        </w:rPr>
        <w:t>报</w:t>
      </w:r>
      <w:r>
        <w:rPr>
          <w:rFonts w:hint="eastAsia" w:ascii="黑体" w:hAnsi="宋体" w:cs="微软雅黑"/>
          <w:b w:val="0"/>
          <w:color w:val="auto"/>
          <w:kern w:val="0"/>
          <w:sz w:val="21"/>
          <w:szCs w:val="21"/>
        </w:rPr>
        <w:t>价说明</w:t>
      </w:r>
      <w:bookmarkEnd w:id="80"/>
      <w:r>
        <w:rPr>
          <w:rFonts w:hint="eastAsia" w:ascii="黑体" w:hAnsi="宋体" w:cs="微软雅黑"/>
          <w:b w:val="0"/>
          <w:color w:val="auto"/>
          <w:kern w:val="0"/>
          <w:sz w:val="21"/>
          <w:szCs w:val="21"/>
        </w:rPr>
        <w:t xml:space="preserve">  </w:t>
      </w:r>
    </w:p>
    <w:p>
      <w:pPr>
        <w:autoSpaceDE w:val="0"/>
        <w:autoSpaceDN w:val="0"/>
        <w:adjustRightInd w:val="0"/>
        <w:snapToGrid w:val="0"/>
        <w:spacing w:line="360" w:lineRule="auto"/>
        <w:jc w:val="center"/>
        <w:rPr>
          <w:rFonts w:ascii="黑体" w:hAnsi="宋体" w:eastAsia="黑体" w:cs="微软雅黑"/>
          <w:b/>
          <w:color w:val="auto"/>
          <w:kern w:val="0"/>
          <w:sz w:val="28"/>
          <w:szCs w:val="28"/>
        </w:rPr>
      </w:pPr>
      <w:r>
        <w:rPr>
          <w:rFonts w:hint="eastAsia" w:ascii="黑体" w:hAnsi="宋体" w:eastAsia="黑体" w:cs="微软雅黑"/>
          <w:b/>
          <w:color w:val="auto"/>
          <w:spacing w:val="-2"/>
          <w:kern w:val="0"/>
          <w:sz w:val="28"/>
          <w:szCs w:val="28"/>
        </w:rPr>
        <w:t>分</w:t>
      </w:r>
      <w:r>
        <w:rPr>
          <w:rFonts w:hint="eastAsia" w:ascii="黑体" w:hAnsi="宋体" w:eastAsia="黑体" w:cs="微软雅黑"/>
          <w:b/>
          <w:color w:val="auto"/>
          <w:kern w:val="0"/>
          <w:sz w:val="28"/>
          <w:szCs w:val="28"/>
        </w:rPr>
        <w:t>项</w:t>
      </w:r>
      <w:r>
        <w:rPr>
          <w:rFonts w:hint="eastAsia" w:ascii="黑体" w:hAnsi="宋体" w:eastAsia="黑体" w:cs="微软雅黑"/>
          <w:b/>
          <w:color w:val="auto"/>
          <w:spacing w:val="-2"/>
          <w:kern w:val="0"/>
          <w:sz w:val="28"/>
          <w:szCs w:val="28"/>
        </w:rPr>
        <w:t>报</w:t>
      </w:r>
      <w:r>
        <w:rPr>
          <w:rFonts w:hint="eastAsia" w:ascii="黑体" w:hAnsi="宋体" w:eastAsia="黑体" w:cs="微软雅黑"/>
          <w:b/>
          <w:color w:val="auto"/>
          <w:kern w:val="0"/>
          <w:sz w:val="28"/>
          <w:szCs w:val="28"/>
        </w:rPr>
        <w:t>价说明</w:t>
      </w:r>
    </w:p>
    <w:p>
      <w:pPr>
        <w:autoSpaceDE w:val="0"/>
        <w:autoSpaceDN w:val="0"/>
        <w:adjustRightInd w:val="0"/>
        <w:snapToGrid w:val="0"/>
        <w:spacing w:line="360" w:lineRule="auto"/>
        <w:jc w:val="left"/>
        <w:rPr>
          <w:rFonts w:ascii="宋体" w:hAnsi="宋体" w:eastAsia="宋体" w:cs="微软雅黑"/>
          <w:color w:val="auto"/>
          <w:kern w:val="0"/>
          <w:szCs w:val="21"/>
        </w:rPr>
      </w:pPr>
      <w:r>
        <w:rPr>
          <w:rFonts w:hint="eastAsia" w:ascii="宋体" w:hAnsi="宋体" w:eastAsia="宋体" w:cs="微软雅黑"/>
          <w:color w:val="auto"/>
          <w:kern w:val="0"/>
          <w:szCs w:val="21"/>
        </w:rPr>
        <w:t>备注：投标人应按招标文件第二章相关要求，对本节</w:t>
      </w:r>
      <w:r>
        <w:rPr>
          <w:rFonts w:hint="eastAsia" w:ascii="宋体" w:hAnsi="宋体" w:eastAsia="宋体"/>
          <w:bCs/>
          <w:color w:val="auto"/>
          <w:szCs w:val="21"/>
        </w:rPr>
        <w:t>“</w:t>
      </w:r>
      <w:r>
        <w:rPr>
          <w:rFonts w:hint="eastAsia" w:ascii="宋体" w:hAnsi="宋体" w:eastAsia="宋体" w:cs="微软雅黑"/>
          <w:color w:val="auto"/>
          <w:kern w:val="0"/>
          <w:szCs w:val="21"/>
        </w:rPr>
        <w:t>分项报价明细表</w:t>
      </w:r>
      <w:r>
        <w:rPr>
          <w:rFonts w:hint="eastAsia" w:ascii="宋体" w:hAnsi="宋体" w:eastAsia="宋体"/>
          <w:bCs/>
          <w:color w:val="auto"/>
          <w:szCs w:val="21"/>
        </w:rPr>
        <w:t>”进行</w:t>
      </w:r>
      <w:r>
        <w:rPr>
          <w:rFonts w:hint="eastAsia" w:ascii="宋体" w:hAnsi="宋体" w:eastAsia="宋体" w:cs="微软雅黑"/>
          <w:color w:val="auto"/>
          <w:kern w:val="0"/>
          <w:szCs w:val="21"/>
        </w:rPr>
        <w:t>编制，并说明。</w:t>
      </w:r>
    </w:p>
    <w:p>
      <w:pPr>
        <w:rPr>
          <w:color w:val="auto"/>
        </w:rPr>
      </w:pPr>
    </w:p>
    <w:p>
      <w:pPr>
        <w:pStyle w:val="5"/>
        <w:jc w:val="left"/>
        <w:rPr>
          <w:rFonts w:ascii="黑体" w:hAnsi="宋体" w:cs="微软雅黑"/>
          <w:b w:val="0"/>
          <w:color w:val="auto"/>
          <w:kern w:val="0"/>
          <w:sz w:val="21"/>
          <w:szCs w:val="21"/>
        </w:rPr>
      </w:pPr>
      <w:bookmarkStart w:id="81" w:name="_Toc2189"/>
      <w:r>
        <w:rPr>
          <w:rFonts w:hint="eastAsia" w:ascii="黑体" w:hAnsi="华文中宋" w:cs="宋体"/>
          <w:b w:val="0"/>
          <w:bCs w:val="0"/>
          <w:color w:val="auto"/>
          <w:spacing w:val="6"/>
          <w:kern w:val="0"/>
          <w:sz w:val="21"/>
          <w:szCs w:val="21"/>
        </w:rPr>
        <w:t xml:space="preserve">附件6-2 </w:t>
      </w:r>
      <w:r>
        <w:rPr>
          <w:rFonts w:hint="eastAsia" w:ascii="黑体" w:hAnsi="宋体" w:cs="微软雅黑"/>
          <w:b w:val="0"/>
          <w:color w:val="auto"/>
          <w:spacing w:val="-2"/>
          <w:kern w:val="0"/>
          <w:position w:val="-3"/>
          <w:sz w:val="21"/>
          <w:szCs w:val="21"/>
        </w:rPr>
        <w:t>分</w:t>
      </w:r>
      <w:r>
        <w:rPr>
          <w:rFonts w:hint="eastAsia" w:ascii="黑体" w:hAnsi="宋体" w:cs="微软雅黑"/>
          <w:b w:val="0"/>
          <w:color w:val="auto"/>
          <w:kern w:val="0"/>
          <w:position w:val="-3"/>
          <w:sz w:val="21"/>
          <w:szCs w:val="21"/>
        </w:rPr>
        <w:t>项</w:t>
      </w:r>
      <w:r>
        <w:rPr>
          <w:rFonts w:hint="eastAsia" w:ascii="黑体" w:hAnsi="宋体" w:cs="微软雅黑"/>
          <w:b w:val="0"/>
          <w:color w:val="auto"/>
          <w:spacing w:val="-2"/>
          <w:kern w:val="0"/>
          <w:position w:val="-3"/>
          <w:sz w:val="21"/>
          <w:szCs w:val="21"/>
        </w:rPr>
        <w:t>报</w:t>
      </w:r>
      <w:r>
        <w:rPr>
          <w:rFonts w:hint="eastAsia" w:ascii="黑体" w:hAnsi="宋体" w:cs="微软雅黑"/>
          <w:b w:val="0"/>
          <w:color w:val="auto"/>
          <w:kern w:val="0"/>
          <w:position w:val="-3"/>
          <w:sz w:val="21"/>
          <w:szCs w:val="21"/>
        </w:rPr>
        <w:t>价明细表</w:t>
      </w:r>
      <w:bookmarkEnd w:id="81"/>
    </w:p>
    <w:p>
      <w:pPr>
        <w:adjustRightInd w:val="0"/>
        <w:snapToGrid w:val="0"/>
        <w:spacing w:line="360" w:lineRule="auto"/>
        <w:jc w:val="center"/>
        <w:rPr>
          <w:rFonts w:ascii="黑体" w:hAnsi="宋体" w:eastAsia="黑体" w:cs="微软雅黑"/>
          <w:b/>
          <w:color w:val="auto"/>
          <w:kern w:val="0"/>
          <w:position w:val="-3"/>
          <w:sz w:val="28"/>
          <w:szCs w:val="28"/>
        </w:rPr>
      </w:pPr>
      <w:r>
        <w:rPr>
          <w:rFonts w:hint="eastAsia" w:ascii="黑体" w:hAnsi="宋体" w:eastAsia="黑体" w:cs="微软雅黑"/>
          <w:b/>
          <w:color w:val="auto"/>
          <w:spacing w:val="-2"/>
          <w:kern w:val="0"/>
          <w:position w:val="-3"/>
          <w:sz w:val="28"/>
          <w:szCs w:val="28"/>
        </w:rPr>
        <w:t>分</w:t>
      </w:r>
      <w:r>
        <w:rPr>
          <w:rFonts w:hint="eastAsia" w:ascii="黑体" w:hAnsi="宋体" w:eastAsia="黑体" w:cs="微软雅黑"/>
          <w:b/>
          <w:color w:val="auto"/>
          <w:kern w:val="0"/>
          <w:position w:val="-3"/>
          <w:sz w:val="28"/>
          <w:szCs w:val="28"/>
        </w:rPr>
        <w:t>项</w:t>
      </w:r>
      <w:r>
        <w:rPr>
          <w:rFonts w:hint="eastAsia" w:ascii="黑体" w:hAnsi="宋体" w:eastAsia="黑体" w:cs="微软雅黑"/>
          <w:b/>
          <w:color w:val="auto"/>
          <w:spacing w:val="-2"/>
          <w:kern w:val="0"/>
          <w:position w:val="-3"/>
          <w:sz w:val="28"/>
          <w:szCs w:val="28"/>
        </w:rPr>
        <w:t>报</w:t>
      </w:r>
      <w:r>
        <w:rPr>
          <w:rFonts w:hint="eastAsia" w:ascii="黑体" w:hAnsi="宋体" w:eastAsia="黑体" w:cs="微软雅黑"/>
          <w:b/>
          <w:color w:val="auto"/>
          <w:kern w:val="0"/>
          <w:position w:val="-3"/>
          <w:sz w:val="28"/>
          <w:szCs w:val="28"/>
        </w:rPr>
        <w:t>价明细表</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政府采购计划编号：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项目名称：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包号：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包名称：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tbl>
      <w:tblPr>
        <w:tblStyle w:val="21"/>
        <w:tblW w:w="8874" w:type="dxa"/>
        <w:tblInd w:w="0"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noWrap w:val="0"/>
            <w:vAlign w:val="center"/>
          </w:tcPr>
          <w:p>
            <w:pPr>
              <w:autoSpaceDE w:val="0"/>
              <w:autoSpaceDN w:val="0"/>
              <w:adjustRightInd w:val="0"/>
              <w:snapToGrid w:val="0"/>
              <w:spacing w:line="360" w:lineRule="auto"/>
              <w:ind w:right="-20"/>
              <w:jc w:val="center"/>
              <w:rPr>
                <w:rFonts w:ascii="宋体" w:hAnsi="宋体" w:eastAsia="宋体" w:cs="微软雅黑"/>
                <w:color w:val="auto"/>
                <w:kern w:val="0"/>
                <w:position w:val="-1"/>
                <w:szCs w:val="21"/>
              </w:rPr>
            </w:pPr>
            <w:r>
              <w:rPr>
                <w:rFonts w:hint="eastAsia" w:ascii="宋体" w:hAnsi="宋体" w:eastAsia="宋体" w:cs="微软雅黑"/>
                <w:color w:val="auto"/>
                <w:kern w:val="0"/>
                <w:position w:val="-1"/>
                <w:szCs w:val="21"/>
              </w:rPr>
              <w:t>标的名称</w:t>
            </w:r>
          </w:p>
        </w:tc>
        <w:tc>
          <w:tcPr>
            <w:tcW w:w="2126" w:type="dxa"/>
            <w:vMerge w:val="restart"/>
            <w:tcBorders>
              <w:top w:val="double" w:color="auto" w:sz="4" w:space="0"/>
              <w:left w:val="single" w:color="auto" w:sz="6" w:space="0"/>
              <w:bottom w:val="single" w:color="auto" w:sz="6" w:space="0"/>
              <w:right w:val="single" w:color="auto" w:sz="4" w:space="0"/>
            </w:tcBorders>
            <w:noWrap w:val="0"/>
            <w:vAlign w:val="center"/>
          </w:tcPr>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规格型号</w:t>
            </w:r>
          </w:p>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（或项目特征描述</w:t>
            </w:r>
            <w:r>
              <w:rPr>
                <w:rFonts w:ascii="宋体" w:hAnsi="宋体"/>
                <w:color w:val="auto"/>
                <w:szCs w:val="21"/>
              </w:rPr>
              <w:t>）</w:t>
            </w:r>
          </w:p>
        </w:tc>
        <w:tc>
          <w:tcPr>
            <w:tcW w:w="1200" w:type="dxa"/>
            <w:vMerge w:val="restart"/>
            <w:tcBorders>
              <w:top w:val="double" w:color="auto" w:sz="4" w:space="0"/>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品牌/产地</w:t>
            </w:r>
          </w:p>
        </w:tc>
        <w:tc>
          <w:tcPr>
            <w:tcW w:w="1092" w:type="dxa"/>
            <w:vMerge w:val="restart"/>
            <w:tcBorders>
              <w:top w:val="double" w:color="auto" w:sz="4" w:space="0"/>
              <w:left w:val="single" w:color="auto" w:sz="6" w:space="0"/>
              <w:right w:val="single" w:color="auto" w:sz="4" w:space="0"/>
            </w:tcBorders>
            <w:noWrap w:val="0"/>
            <w:vAlign w:val="center"/>
          </w:tcPr>
          <w:p>
            <w:pPr>
              <w:autoSpaceDE w:val="0"/>
              <w:autoSpaceDN w:val="0"/>
              <w:adjustRightInd w:val="0"/>
              <w:snapToGrid w:val="0"/>
              <w:spacing w:line="360" w:lineRule="auto"/>
              <w:ind w:right="-20"/>
              <w:jc w:val="center"/>
              <w:rPr>
                <w:rFonts w:ascii="宋体" w:hAnsi="宋体" w:eastAsia="宋体" w:cs="微软雅黑"/>
                <w:color w:val="auto"/>
                <w:kern w:val="0"/>
                <w:position w:val="-1"/>
                <w:szCs w:val="21"/>
              </w:rPr>
            </w:pPr>
            <w:r>
              <w:rPr>
                <w:rFonts w:hint="eastAsia" w:ascii="宋体" w:hAnsi="宋体" w:eastAsia="宋体"/>
                <w:color w:val="auto"/>
                <w:kern w:val="0"/>
                <w:szCs w:val="21"/>
              </w:rPr>
              <w:t>数量/单位</w:t>
            </w:r>
          </w:p>
        </w:tc>
        <w:tc>
          <w:tcPr>
            <w:tcW w:w="1826" w:type="dxa"/>
            <w:gridSpan w:val="2"/>
            <w:tcBorders>
              <w:top w:val="double" w:color="auto" w:sz="4" w:space="0"/>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ind w:right="-20"/>
              <w:jc w:val="center"/>
              <w:rPr>
                <w:rFonts w:ascii="宋体" w:hAnsi="宋体" w:eastAsia="宋体" w:cs="微软雅黑"/>
                <w:color w:val="auto"/>
                <w:kern w:val="0"/>
                <w:position w:val="-1"/>
                <w:szCs w:val="21"/>
              </w:rPr>
            </w:pPr>
            <w:r>
              <w:rPr>
                <w:rFonts w:hint="eastAsia" w:ascii="宋体" w:hAnsi="宋体" w:eastAsia="宋体" w:cs="微软雅黑"/>
                <w:color w:val="auto"/>
                <w:kern w:val="0"/>
                <w:position w:val="-1"/>
                <w:szCs w:val="21"/>
              </w:rPr>
              <w:t>金额（元）</w:t>
            </w:r>
          </w:p>
        </w:tc>
        <w:tc>
          <w:tcPr>
            <w:tcW w:w="914" w:type="dxa"/>
            <w:vMerge w:val="restart"/>
            <w:tcBorders>
              <w:top w:val="double" w:color="auto" w:sz="4" w:space="0"/>
              <w:left w:val="single" w:color="auto" w:sz="6" w:space="0"/>
              <w:bottom w:val="single" w:color="auto" w:sz="6" w:space="0"/>
              <w:right w:val="double" w:color="auto" w:sz="4" w:space="0"/>
            </w:tcBorders>
            <w:noWrap w:val="0"/>
            <w:vAlign w:val="center"/>
          </w:tcPr>
          <w:p>
            <w:pPr>
              <w:autoSpaceDE w:val="0"/>
              <w:autoSpaceDN w:val="0"/>
              <w:adjustRightInd w:val="0"/>
              <w:snapToGrid w:val="0"/>
              <w:spacing w:line="360" w:lineRule="auto"/>
              <w:ind w:right="-20"/>
              <w:jc w:val="center"/>
              <w:rPr>
                <w:rFonts w:ascii="宋体" w:hAnsi="宋体" w:eastAsia="宋体" w:cs="微软雅黑"/>
                <w:color w:val="auto"/>
                <w:kern w:val="0"/>
                <w:position w:val="-1"/>
                <w:szCs w:val="21"/>
              </w:rPr>
            </w:pPr>
            <w:r>
              <w:rPr>
                <w:rFonts w:hint="eastAsia" w:ascii="宋体" w:hAnsi="宋体" w:eastAsia="宋体" w:cs="微软雅黑"/>
                <w:color w:val="auto"/>
                <w:kern w:val="0"/>
                <w:position w:val="-1"/>
                <w:szCs w:val="21"/>
              </w:rPr>
              <w:t>备注</w:t>
            </w:r>
          </w:p>
        </w:tc>
      </w:tr>
      <w:tr>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noWrap w:val="0"/>
            <w:vAlign w:val="top"/>
          </w:tcPr>
          <w:p>
            <w:pPr>
              <w:autoSpaceDE w:val="0"/>
              <w:autoSpaceDN w:val="0"/>
              <w:adjustRightInd w:val="0"/>
              <w:snapToGrid w:val="0"/>
              <w:spacing w:line="360" w:lineRule="auto"/>
              <w:ind w:left="352" w:right="-20"/>
              <w:jc w:val="left"/>
              <w:rPr>
                <w:rFonts w:ascii="宋体" w:hAnsi="宋体" w:eastAsia="宋体"/>
                <w:color w:val="auto"/>
                <w:kern w:val="0"/>
                <w:szCs w:val="21"/>
              </w:rPr>
            </w:pPr>
          </w:p>
        </w:tc>
        <w:tc>
          <w:tcPr>
            <w:tcW w:w="2126" w:type="dxa"/>
            <w:vMerge w:val="continue"/>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snapToGrid w:val="0"/>
              <w:spacing w:line="360" w:lineRule="auto"/>
              <w:ind w:right="-20"/>
              <w:jc w:val="center"/>
              <w:rPr>
                <w:rFonts w:ascii="宋体" w:hAnsi="宋体" w:eastAsia="宋体"/>
                <w:color w:val="auto"/>
                <w:kern w:val="0"/>
                <w:szCs w:val="21"/>
              </w:rPr>
            </w:pPr>
          </w:p>
        </w:tc>
        <w:tc>
          <w:tcPr>
            <w:tcW w:w="1200" w:type="dxa"/>
            <w:vMerge w:val="continue"/>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ind w:right="-20"/>
              <w:jc w:val="center"/>
              <w:rPr>
                <w:rFonts w:ascii="宋体" w:hAnsi="宋体" w:eastAsia="宋体"/>
                <w:color w:val="auto"/>
                <w:kern w:val="0"/>
                <w:szCs w:val="21"/>
              </w:rPr>
            </w:pPr>
          </w:p>
        </w:tc>
        <w:tc>
          <w:tcPr>
            <w:tcW w:w="1092" w:type="dxa"/>
            <w:vMerge w:val="continue"/>
            <w:tcBorders>
              <w:left w:val="single" w:color="auto" w:sz="6" w:space="0"/>
              <w:bottom w:val="single" w:color="auto" w:sz="6" w:space="0"/>
              <w:right w:val="single" w:color="auto" w:sz="4" w:space="0"/>
            </w:tcBorders>
            <w:noWrap w:val="0"/>
            <w:vAlign w:val="center"/>
          </w:tcPr>
          <w:p>
            <w:pPr>
              <w:autoSpaceDE w:val="0"/>
              <w:autoSpaceDN w:val="0"/>
              <w:adjustRightInd w:val="0"/>
              <w:snapToGrid w:val="0"/>
              <w:spacing w:line="360" w:lineRule="auto"/>
              <w:ind w:right="-20"/>
              <w:jc w:val="center"/>
              <w:rPr>
                <w:rFonts w:ascii="宋体" w:hAnsi="宋体" w:eastAsia="宋体"/>
                <w:color w:val="auto"/>
                <w:kern w:val="0"/>
                <w:szCs w:val="21"/>
              </w:rPr>
            </w:pPr>
          </w:p>
        </w:tc>
        <w:tc>
          <w:tcPr>
            <w:tcW w:w="910" w:type="dxa"/>
            <w:tcBorders>
              <w:top w:val="single" w:color="auto" w:sz="6" w:space="0"/>
              <w:left w:val="single" w:color="auto" w:sz="4" w:space="0"/>
              <w:bottom w:val="single" w:color="auto" w:sz="6" w:space="0"/>
              <w:right w:val="single" w:color="auto" w:sz="4" w:space="0"/>
            </w:tcBorders>
            <w:noWrap w:val="0"/>
            <w:vAlign w:val="center"/>
          </w:tcPr>
          <w:p>
            <w:pPr>
              <w:autoSpaceDE w:val="0"/>
              <w:autoSpaceDN w:val="0"/>
              <w:adjustRightInd w:val="0"/>
              <w:snapToGrid w:val="0"/>
              <w:spacing w:line="360" w:lineRule="auto"/>
              <w:ind w:right="-20"/>
              <w:jc w:val="center"/>
              <w:rPr>
                <w:rFonts w:ascii="宋体" w:hAnsi="宋体" w:eastAsia="宋体"/>
                <w:color w:val="auto"/>
                <w:kern w:val="0"/>
                <w:szCs w:val="21"/>
              </w:rPr>
            </w:pPr>
            <w:r>
              <w:rPr>
                <w:rFonts w:hint="eastAsia" w:ascii="宋体" w:hAnsi="宋体" w:eastAsia="宋体" w:cs="微软雅黑"/>
                <w:color w:val="auto"/>
                <w:kern w:val="0"/>
                <w:position w:val="-1"/>
                <w:szCs w:val="21"/>
              </w:rPr>
              <w:t>单价</w:t>
            </w:r>
          </w:p>
        </w:tc>
        <w:tc>
          <w:tcPr>
            <w:tcW w:w="916"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ind w:left="70" w:right="-20"/>
              <w:jc w:val="center"/>
              <w:rPr>
                <w:rFonts w:ascii="宋体" w:hAnsi="宋体" w:eastAsia="宋体"/>
                <w:color w:val="auto"/>
                <w:kern w:val="0"/>
                <w:szCs w:val="21"/>
              </w:rPr>
            </w:pPr>
            <w:r>
              <w:rPr>
                <w:rFonts w:hint="eastAsia" w:ascii="宋体" w:hAnsi="宋体" w:eastAsia="宋体"/>
                <w:color w:val="auto"/>
                <w:kern w:val="0"/>
                <w:szCs w:val="21"/>
              </w:rPr>
              <w:t>小计</w:t>
            </w:r>
          </w:p>
        </w:tc>
        <w:tc>
          <w:tcPr>
            <w:tcW w:w="914" w:type="dxa"/>
            <w:vMerge w:val="continue"/>
            <w:tcBorders>
              <w:top w:val="single" w:color="auto" w:sz="6" w:space="0"/>
              <w:left w:val="single" w:color="auto" w:sz="6" w:space="0"/>
              <w:bottom w:val="single" w:color="auto" w:sz="6" w:space="0"/>
              <w:right w:val="double" w:color="auto" w:sz="4" w:space="0"/>
            </w:tcBorders>
            <w:noWrap w:val="0"/>
            <w:vAlign w:val="top"/>
          </w:tcPr>
          <w:p>
            <w:pPr>
              <w:autoSpaceDE w:val="0"/>
              <w:autoSpaceDN w:val="0"/>
              <w:adjustRightInd w:val="0"/>
              <w:snapToGrid w:val="0"/>
              <w:spacing w:line="360" w:lineRule="auto"/>
              <w:ind w:left="422" w:right="-20"/>
              <w:jc w:val="left"/>
              <w:rPr>
                <w:rFonts w:ascii="宋体" w:hAnsi="宋体" w:eastAsia="宋体"/>
                <w:color w:val="auto"/>
                <w:kern w:val="0"/>
                <w:szCs w:val="21"/>
              </w:rPr>
            </w:pPr>
          </w:p>
        </w:tc>
      </w:tr>
      <w:tr>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pPr>
              <w:jc w:val="center"/>
              <w:rPr>
                <w:rFonts w:ascii="宋体" w:hAnsi="宋体" w:eastAsia="宋体" w:cs="宋体"/>
                <w:color w:val="auto"/>
              </w:rPr>
            </w:pPr>
            <w:r>
              <w:rPr>
                <w:rFonts w:hint="eastAsia" w:ascii="宋体" w:hAnsi="宋体" w:eastAsia="宋体" w:cs="宋体"/>
                <w:color w:val="auto"/>
              </w:rPr>
              <w:t>1</w:t>
            </w:r>
          </w:p>
        </w:tc>
        <w:tc>
          <w:tcPr>
            <w:tcW w:w="138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ascii="宋体" w:hAnsi="宋体" w:eastAsia="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pPr>
              <w:jc w:val="center"/>
              <w:rPr>
                <w:rFonts w:ascii="宋体" w:hAnsi="宋体" w:eastAsia="宋体" w:cs="宋体"/>
                <w:color w:val="auto"/>
              </w:rPr>
            </w:pPr>
            <w:r>
              <w:rPr>
                <w:rFonts w:hint="eastAsia" w:ascii="宋体" w:hAnsi="宋体" w:eastAsia="宋体" w:cs="宋体"/>
                <w:color w:val="auto"/>
              </w:rPr>
              <w:t>2</w:t>
            </w:r>
          </w:p>
        </w:tc>
        <w:tc>
          <w:tcPr>
            <w:tcW w:w="138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ascii="宋体" w:hAnsi="宋体" w:eastAsia="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pPr>
              <w:jc w:val="center"/>
              <w:rPr>
                <w:rFonts w:ascii="宋体" w:hAnsi="宋体" w:eastAsia="宋体" w:cs="宋体"/>
                <w:color w:val="auto"/>
              </w:rPr>
            </w:pPr>
            <w:r>
              <w:rPr>
                <w:rFonts w:hint="eastAsia" w:ascii="宋体" w:hAnsi="宋体" w:eastAsia="宋体" w:cs="宋体"/>
                <w:color w:val="auto"/>
              </w:rPr>
              <w:t>3</w:t>
            </w:r>
          </w:p>
        </w:tc>
        <w:tc>
          <w:tcPr>
            <w:tcW w:w="138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ascii="宋体" w:hAnsi="宋体" w:eastAsia="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pPr>
              <w:jc w:val="center"/>
              <w:rPr>
                <w:rFonts w:ascii="宋体" w:hAnsi="宋体" w:eastAsia="宋体" w:cs="宋体"/>
                <w:color w:val="auto"/>
              </w:rPr>
            </w:pPr>
            <w:r>
              <w:rPr>
                <w:rFonts w:hint="eastAsia" w:ascii="宋体" w:hAnsi="宋体" w:eastAsia="宋体" w:cs="宋体"/>
                <w:color w:val="auto"/>
              </w:rPr>
              <w:t>4</w:t>
            </w:r>
          </w:p>
        </w:tc>
        <w:tc>
          <w:tcPr>
            <w:tcW w:w="138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ascii="宋体" w:hAnsi="宋体" w:eastAsia="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pPr>
              <w:jc w:val="center"/>
              <w:rPr>
                <w:rFonts w:ascii="宋体" w:hAnsi="宋体" w:eastAsia="宋体" w:cs="宋体"/>
                <w:color w:val="auto"/>
              </w:rPr>
            </w:pPr>
            <w:r>
              <w:rPr>
                <w:rFonts w:hint="eastAsia" w:ascii="宋体" w:hAnsi="宋体" w:eastAsia="宋体" w:cs="宋体"/>
                <w:color w:val="auto"/>
              </w:rPr>
              <w:t>5</w:t>
            </w:r>
          </w:p>
        </w:tc>
        <w:tc>
          <w:tcPr>
            <w:tcW w:w="138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ascii="宋体" w:hAnsi="宋体" w:eastAsia="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r>
      <w:tr>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pPr>
              <w:jc w:val="center"/>
              <w:rPr>
                <w:color w:val="auto"/>
              </w:rPr>
            </w:pPr>
            <w:r>
              <w:rPr>
                <w:color w:val="auto"/>
              </w:rPr>
              <w:t>…</w:t>
            </w:r>
          </w:p>
        </w:tc>
        <w:tc>
          <w:tcPr>
            <w:tcW w:w="1383"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ind w:left="527" w:right="507"/>
              <w:jc w:val="center"/>
              <w:rPr>
                <w:rFonts w:ascii="宋体" w:hAnsi="宋体" w:eastAsia="宋体"/>
                <w:color w:val="auto"/>
                <w:kern w:val="0"/>
                <w:szCs w:val="21"/>
              </w:rPr>
            </w:pPr>
          </w:p>
        </w:tc>
        <w:tc>
          <w:tcPr>
            <w:tcW w:w="2126"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20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1092" w:type="dxa"/>
            <w:tcBorders>
              <w:top w:val="single" w:color="auto" w:sz="6" w:space="0"/>
              <w:left w:val="single" w:color="auto" w:sz="6" w:space="0"/>
              <w:bottom w:val="single" w:color="auto" w:sz="6" w:space="0"/>
              <w:right w:val="sing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0" w:type="dxa"/>
            <w:tcBorders>
              <w:top w:val="single" w:color="auto" w:sz="6" w:space="0"/>
              <w:left w:val="single" w:color="auto" w:sz="4"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4" w:type="dxa"/>
            <w:tcBorders>
              <w:top w:val="single" w:color="auto" w:sz="6" w:space="0"/>
              <w:left w:val="single" w:color="auto" w:sz="6" w:space="0"/>
              <w:bottom w:val="single" w:color="auto" w:sz="6" w:space="0"/>
              <w:right w:val="doub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r>
      <w:tr>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noWrap w:val="0"/>
            <w:vAlign w:val="center"/>
          </w:tcPr>
          <w:p>
            <w:pPr>
              <w:autoSpaceDE w:val="0"/>
              <w:autoSpaceDN w:val="0"/>
              <w:adjustRightInd w:val="0"/>
              <w:snapToGrid w:val="0"/>
              <w:spacing w:line="360" w:lineRule="auto"/>
              <w:jc w:val="center"/>
              <w:rPr>
                <w:rFonts w:ascii="宋体" w:hAnsi="宋体" w:eastAsia="宋体"/>
                <w:color w:val="auto"/>
                <w:kern w:val="0"/>
                <w:szCs w:val="21"/>
              </w:rPr>
            </w:pPr>
            <w:r>
              <w:rPr>
                <w:rFonts w:hint="eastAsia" w:ascii="宋体" w:hAnsi="宋体" w:eastAsia="宋体" w:cs="微软雅黑"/>
                <w:color w:val="auto"/>
                <w:kern w:val="0"/>
                <w:position w:val="-1"/>
                <w:szCs w:val="21"/>
              </w:rPr>
              <w:t>投标报价（元）：</w:t>
            </w:r>
          </w:p>
        </w:tc>
        <w:tc>
          <w:tcPr>
            <w:tcW w:w="916" w:type="dxa"/>
            <w:tcBorders>
              <w:top w:val="single" w:color="auto" w:sz="6" w:space="0"/>
              <w:left w:val="single" w:color="auto" w:sz="6" w:space="0"/>
              <w:bottom w:val="double" w:color="auto" w:sz="4" w:space="0"/>
              <w:right w:val="single" w:color="auto" w:sz="6"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c>
          <w:tcPr>
            <w:tcW w:w="914" w:type="dxa"/>
            <w:tcBorders>
              <w:top w:val="single" w:color="auto" w:sz="6" w:space="0"/>
              <w:left w:val="single" w:color="auto" w:sz="6" w:space="0"/>
              <w:bottom w:val="double" w:color="auto" w:sz="4" w:space="0"/>
              <w:right w:val="double" w:color="auto" w:sz="4" w:space="0"/>
            </w:tcBorders>
            <w:noWrap w:val="0"/>
            <w:vAlign w:val="top"/>
          </w:tcPr>
          <w:p>
            <w:pPr>
              <w:autoSpaceDE w:val="0"/>
              <w:autoSpaceDN w:val="0"/>
              <w:adjustRightInd w:val="0"/>
              <w:snapToGrid w:val="0"/>
              <w:spacing w:line="360" w:lineRule="auto"/>
              <w:jc w:val="left"/>
              <w:rPr>
                <w:rFonts w:ascii="宋体" w:hAnsi="宋体" w:eastAsia="宋体"/>
                <w:color w:val="auto"/>
                <w:kern w:val="0"/>
                <w:szCs w:val="21"/>
              </w:rPr>
            </w:pPr>
          </w:p>
        </w:tc>
      </w:tr>
    </w:tbl>
    <w:p>
      <w:pPr>
        <w:adjustRightInd w:val="0"/>
        <w:snapToGrid w:val="0"/>
        <w:spacing w:line="360" w:lineRule="auto"/>
        <w:rPr>
          <w:rFonts w:ascii="宋体" w:hAnsi="宋体"/>
          <w:color w:val="auto"/>
          <w:szCs w:val="21"/>
        </w:rPr>
      </w:pPr>
      <w:r>
        <w:rPr>
          <w:rFonts w:hint="eastAsia" w:ascii="宋体" w:hAnsi="宋体"/>
          <w:color w:val="auto"/>
          <w:szCs w:val="21"/>
        </w:rPr>
        <w:t>注：</w:t>
      </w:r>
      <w:r>
        <w:rPr>
          <w:rFonts w:hint="eastAsia" w:ascii="宋体" w:hAnsi="宋体"/>
          <w:color w:val="auto"/>
          <w:szCs w:val="21"/>
          <w:lang w:val="en-US" w:eastAsia="zh-CN"/>
        </w:rPr>
        <w:t>1.</w:t>
      </w:r>
      <w:r>
        <w:rPr>
          <w:rFonts w:hint="eastAsia" w:ascii="宋体" w:hAnsi="宋体" w:eastAsia="宋体"/>
          <w:b/>
          <w:color w:val="auto"/>
          <w:szCs w:val="21"/>
        </w:rPr>
        <w:t>本表应对应</w:t>
      </w:r>
      <w:r>
        <w:rPr>
          <w:rFonts w:hint="eastAsia" w:ascii="宋体" w:hAnsi="宋体"/>
          <w:color w:val="auto"/>
          <w:szCs w:val="21"/>
        </w:rPr>
        <w:t>“</w:t>
      </w:r>
      <w:r>
        <w:rPr>
          <w:rFonts w:hint="eastAsia" w:ascii="宋体" w:hAnsi="宋体" w:eastAsia="宋体"/>
          <w:b/>
          <w:color w:val="auto"/>
          <w:szCs w:val="21"/>
        </w:rPr>
        <w:t>开标一览表</w:t>
      </w:r>
      <w:r>
        <w:rPr>
          <w:rFonts w:hint="eastAsia" w:ascii="宋体" w:hAnsi="宋体"/>
          <w:color w:val="auto"/>
          <w:szCs w:val="21"/>
        </w:rPr>
        <w:t>”</w:t>
      </w:r>
      <w:r>
        <w:rPr>
          <w:rFonts w:hint="eastAsia" w:ascii="宋体" w:hAnsi="宋体" w:eastAsia="宋体"/>
          <w:b/>
          <w:color w:val="auto"/>
          <w:szCs w:val="21"/>
        </w:rPr>
        <w:t>，按包填写</w:t>
      </w:r>
      <w:r>
        <w:rPr>
          <w:rFonts w:hint="eastAsia" w:ascii="宋体" w:hAnsi="宋体" w:eastAsia="宋体"/>
          <w:color w:val="auto"/>
          <w:szCs w:val="21"/>
        </w:rPr>
        <w:t>。</w:t>
      </w:r>
      <w:r>
        <w:rPr>
          <w:rFonts w:hint="eastAsia" w:ascii="宋体" w:hAnsi="宋体"/>
          <w:color w:val="auto"/>
          <w:szCs w:val="21"/>
        </w:rPr>
        <w:t>投标人如果不提供分项报价明细表，其</w:t>
      </w:r>
      <w:r>
        <w:rPr>
          <w:rFonts w:hint="eastAsia" w:ascii="宋体" w:hAnsi="宋体"/>
          <w:b/>
          <w:color w:val="auto"/>
          <w:szCs w:val="21"/>
        </w:rPr>
        <w:t>投标无效</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不得填写“免费”或“赠与”，也不得进行“零”报价，否则</w:t>
      </w:r>
      <w:r>
        <w:rPr>
          <w:rFonts w:hint="eastAsia" w:ascii="宋体" w:hAnsi="宋体"/>
          <w:b/>
          <w:color w:val="auto"/>
          <w:szCs w:val="21"/>
        </w:rPr>
        <w:t>投标无效</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如果开标一览表内容与本表内容不一致的，以开标一览表内容为准。</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lang w:val="en-US" w:eastAsia="zh-CN"/>
        </w:rPr>
        <w:t>4.</w:t>
      </w:r>
      <w:r>
        <w:rPr>
          <w:rFonts w:hint="eastAsia" w:ascii="宋体" w:hAnsi="宋体" w:eastAsia="宋体"/>
          <w:bCs/>
          <w:color w:val="auto"/>
          <w:szCs w:val="21"/>
        </w:rPr>
        <w:t>投标人在投标截止时间前修改“开标一览表”中的投标报价的，应按第二章第13.7款规定修改本表相应内容。否则，</w:t>
      </w:r>
      <w:r>
        <w:rPr>
          <w:rFonts w:hint="eastAsia" w:ascii="宋体" w:hAnsi="宋体"/>
          <w:color w:val="auto"/>
          <w:szCs w:val="21"/>
        </w:rPr>
        <w:t>本表相应内容按投标报价修改的相同比例进行调整。</w:t>
      </w: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pPr>
        <w:adjustRightInd w:val="0"/>
        <w:snapToGrid w:val="0"/>
        <w:spacing w:line="360" w:lineRule="auto"/>
        <w:rPr>
          <w:rFonts w:ascii="宋体" w:hAnsi="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color w:val="auto"/>
          <w:szCs w:val="21"/>
        </w:rPr>
        <w:t>或其授权的代理人（签字或印章）：</w:t>
      </w:r>
      <w:r>
        <w:rPr>
          <w:rFonts w:hint="eastAsia" w:ascii="宋体" w:hAnsi="宋体"/>
          <w:color w:val="auto"/>
          <w:szCs w:val="21"/>
          <w:u w:val="single"/>
        </w:rPr>
        <w:t xml:space="preserve">       </w:t>
      </w:r>
    </w:p>
    <w:p>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adjustRightInd w:val="0"/>
        <w:snapToGrid w:val="0"/>
        <w:spacing w:line="360" w:lineRule="auto"/>
        <w:jc w:val="both"/>
        <w:rPr>
          <w:rFonts w:ascii="宋体" w:hAnsi="宋体"/>
          <w:color w:val="auto"/>
          <w:szCs w:val="21"/>
        </w:rPr>
        <w:sectPr>
          <w:pgSz w:w="11906" w:h="16838"/>
          <w:pgMar w:top="1474" w:right="1474" w:bottom="1474" w:left="1588" w:header="851" w:footer="992" w:gutter="0"/>
          <w:pgNumType w:fmt="decimal"/>
          <w:cols w:space="720" w:num="1"/>
          <w:docGrid w:type="lines" w:linePitch="312" w:charSpace="0"/>
        </w:sectPr>
      </w:pPr>
    </w:p>
    <w:p>
      <w:pPr>
        <w:pStyle w:val="4"/>
        <w:adjustRightInd w:val="0"/>
        <w:snapToGrid w:val="0"/>
        <w:spacing w:before="0" w:after="0" w:line="360" w:lineRule="auto"/>
        <w:jc w:val="center"/>
        <w:rPr>
          <w:rFonts w:ascii="黑体" w:hAnsi="宋体" w:eastAsia="黑体"/>
          <w:color w:val="auto"/>
          <w:sz w:val="28"/>
          <w:szCs w:val="28"/>
        </w:rPr>
      </w:pPr>
      <w:bookmarkStart w:id="82" w:name="_Toc30674"/>
      <w:r>
        <w:rPr>
          <w:rFonts w:hint="eastAsia" w:ascii="黑体" w:hAnsi="宋体" w:eastAsia="黑体"/>
          <w:color w:val="auto"/>
          <w:sz w:val="28"/>
          <w:szCs w:val="28"/>
        </w:rPr>
        <w:t>七、采购需求响应</w:t>
      </w:r>
      <w:bookmarkEnd w:id="82"/>
    </w:p>
    <w:p>
      <w:pPr>
        <w:adjustRightInd w:val="0"/>
        <w:snapToGrid w:val="0"/>
        <w:spacing w:line="360" w:lineRule="auto"/>
        <w:rPr>
          <w:rFonts w:ascii="宋体" w:hAnsi="宋体" w:eastAsia="宋体"/>
          <w:b/>
          <w:color w:val="auto"/>
          <w:szCs w:val="21"/>
        </w:rPr>
      </w:pPr>
    </w:p>
    <w:p>
      <w:pPr>
        <w:adjustRightInd w:val="0"/>
        <w:snapToGrid w:val="0"/>
        <w:spacing w:line="360" w:lineRule="auto"/>
        <w:rPr>
          <w:b/>
          <w:color w:val="auto"/>
        </w:rPr>
      </w:pPr>
      <w:r>
        <w:rPr>
          <w:rFonts w:hint="eastAsia" w:ascii="宋体" w:hAnsi="宋体" w:eastAsia="宋体"/>
          <w:b/>
          <w:color w:val="auto"/>
          <w:szCs w:val="21"/>
        </w:rPr>
        <w:t>编制说明</w:t>
      </w:r>
      <w:r>
        <w:rPr>
          <w:rFonts w:hint="eastAsia" w:ascii="宋体" w:hAnsi="宋体" w:eastAsia="宋体"/>
          <w:bCs/>
          <w:color w:val="auto"/>
          <w:szCs w:val="21"/>
        </w:rPr>
        <w:t>：</w:t>
      </w:r>
      <w:r>
        <w:rPr>
          <w:rFonts w:hint="eastAsia"/>
          <w:b/>
          <w:color w:val="auto"/>
        </w:rPr>
        <w:t>投标人应按招标文件第五章采购需求自行编写采购需求响应文件（其内容可包括，且不限于详细的技术指标和性能、售后服务和技术服务的组织及保证措施等，格式自拟）。</w:t>
      </w:r>
    </w:p>
    <w:p>
      <w:pPr>
        <w:pStyle w:val="11"/>
        <w:adjustRightInd w:val="0"/>
        <w:snapToGrid w:val="0"/>
        <w:spacing w:line="360" w:lineRule="auto"/>
        <w:ind w:left="-88" w:leftChars="-42"/>
        <w:rPr>
          <w:rFonts w:ascii="宋体" w:hAnsi="宋体"/>
          <w:bCs/>
          <w:color w:val="auto"/>
          <w:sz w:val="21"/>
          <w:szCs w:val="21"/>
        </w:rPr>
      </w:pPr>
    </w:p>
    <w:p>
      <w:pPr>
        <w:rPr>
          <w:color w:val="auto"/>
        </w:rPr>
      </w:pPr>
    </w:p>
    <w:p>
      <w:pPr>
        <w:rPr>
          <w:color w:val="auto"/>
        </w:rPr>
      </w:pPr>
    </w:p>
    <w:p>
      <w:pPr>
        <w:pStyle w:val="11"/>
        <w:tabs>
          <w:tab w:val="left" w:pos="6208"/>
        </w:tabs>
        <w:adjustRightInd w:val="0"/>
        <w:snapToGrid w:val="0"/>
        <w:spacing w:line="360" w:lineRule="auto"/>
        <w:ind w:left="-88" w:leftChars="-42"/>
        <w:rPr>
          <w:rFonts w:ascii="宋体" w:hAnsi="宋体"/>
          <w:bCs/>
          <w:color w:val="auto"/>
          <w:sz w:val="21"/>
          <w:szCs w:val="21"/>
        </w:rPr>
      </w:pP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pPr>
        <w:adjustRightInd w:val="0"/>
        <w:snapToGrid w:val="0"/>
        <w:spacing w:line="360" w:lineRule="auto"/>
        <w:rPr>
          <w:rFonts w:ascii="宋体" w:hAnsi="宋体"/>
          <w:color w:val="auto"/>
          <w:szCs w:val="21"/>
          <w:u w:val="single"/>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color w:val="auto"/>
          <w:szCs w:val="21"/>
        </w:rPr>
        <w:t>或其授权的代理人（签字或印章）：</w:t>
      </w:r>
      <w:r>
        <w:rPr>
          <w:rFonts w:hint="eastAsia" w:ascii="宋体" w:hAnsi="宋体"/>
          <w:color w:val="auto"/>
          <w:szCs w:val="21"/>
          <w:u w:val="single"/>
        </w:rPr>
        <w:t xml:space="preserve">             </w:t>
      </w:r>
    </w:p>
    <w:p>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rPr>
          <w:color w:val="auto"/>
        </w:rPr>
      </w:pPr>
    </w:p>
    <w:p>
      <w:pPr>
        <w:rPr>
          <w:color w:val="auto"/>
        </w:rPr>
      </w:pPr>
    </w:p>
    <w:p>
      <w:pPr>
        <w:pStyle w:val="5"/>
        <w:adjustRightInd w:val="0"/>
        <w:snapToGrid w:val="0"/>
        <w:spacing w:before="156" w:beforeLines="50" w:after="0" w:line="360" w:lineRule="auto"/>
        <w:rPr>
          <w:rFonts w:ascii="黑体" w:hAnsi="黑体"/>
          <w:b w:val="0"/>
          <w:color w:val="auto"/>
          <w:sz w:val="21"/>
          <w:szCs w:val="21"/>
        </w:rPr>
      </w:pPr>
      <w:bookmarkStart w:id="83" w:name="_Toc24644"/>
      <w:r>
        <w:rPr>
          <w:rFonts w:hint="eastAsia" w:ascii="黑体" w:hAnsi="黑体" w:cs="宋体"/>
          <w:b w:val="0"/>
          <w:color w:val="auto"/>
          <w:spacing w:val="6"/>
          <w:kern w:val="0"/>
          <w:sz w:val="21"/>
          <w:szCs w:val="21"/>
        </w:rPr>
        <w:t>附件7-1 响应</w:t>
      </w:r>
      <w:r>
        <w:rPr>
          <w:rFonts w:hint="eastAsia" w:ascii="黑体" w:hAnsi="黑体"/>
          <w:b w:val="0"/>
          <w:color w:val="auto"/>
          <w:sz w:val="21"/>
          <w:szCs w:val="21"/>
          <w:lang w:eastAsia="zh-CN"/>
        </w:rPr>
        <w:t>一</w:t>
      </w:r>
      <w:r>
        <w:rPr>
          <w:rFonts w:hint="eastAsia" w:ascii="黑体" w:hAnsi="黑体"/>
          <w:b w:val="0"/>
          <w:color w:val="auto"/>
          <w:sz w:val="21"/>
          <w:szCs w:val="21"/>
        </w:rPr>
        <w:t>览表</w:t>
      </w:r>
      <w:bookmarkEnd w:id="83"/>
    </w:p>
    <w:p>
      <w:pPr>
        <w:adjustRightInd w:val="0"/>
        <w:snapToGrid w:val="0"/>
        <w:spacing w:before="156" w:beforeLines="50" w:line="360" w:lineRule="auto"/>
        <w:jc w:val="center"/>
        <w:rPr>
          <w:rFonts w:ascii="黑体" w:hAnsi="黑体" w:eastAsia="黑体"/>
          <w:b/>
          <w:bCs/>
          <w:color w:val="auto"/>
          <w:sz w:val="28"/>
          <w:szCs w:val="28"/>
        </w:rPr>
      </w:pPr>
      <w:r>
        <w:rPr>
          <w:rFonts w:hint="eastAsia" w:ascii="黑体" w:hAnsi="黑体" w:eastAsia="黑体"/>
          <w:b/>
          <w:bCs/>
          <w:color w:val="auto"/>
          <w:sz w:val="28"/>
          <w:szCs w:val="28"/>
        </w:rPr>
        <w:t>响应</w:t>
      </w:r>
      <w:r>
        <w:rPr>
          <w:rFonts w:hint="eastAsia" w:ascii="黑体" w:hAnsi="黑体" w:eastAsia="黑体"/>
          <w:b/>
          <w:bCs/>
          <w:color w:val="auto"/>
          <w:sz w:val="28"/>
          <w:szCs w:val="28"/>
          <w:lang w:eastAsia="zh-CN"/>
        </w:rPr>
        <w:t>一</w:t>
      </w:r>
      <w:r>
        <w:rPr>
          <w:rFonts w:hint="eastAsia" w:ascii="黑体" w:hAnsi="黑体" w:eastAsia="黑体"/>
          <w:b/>
          <w:bCs/>
          <w:color w:val="auto"/>
          <w:sz w:val="28"/>
          <w:szCs w:val="28"/>
        </w:rPr>
        <w:t>览表</w:t>
      </w:r>
    </w:p>
    <w:p>
      <w:pPr>
        <w:jc w:val="center"/>
        <w:rPr>
          <w:rFonts w:ascii="宋体" w:hAnsi="宋体" w:eastAsia="宋体"/>
          <w:color w:val="auto"/>
          <w:szCs w:val="21"/>
        </w:rPr>
      </w:pPr>
    </w:p>
    <w:tbl>
      <w:tblPr>
        <w:tblStyle w:val="21"/>
        <w:tblW w:w="896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1136"/>
        <w:gridCol w:w="120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80" w:hRule="atLeast"/>
        </w:trPr>
        <w:tc>
          <w:tcPr>
            <w:tcW w:w="429" w:type="dxa"/>
            <w:noWrap w:val="0"/>
            <w:vAlign w:val="center"/>
          </w:tcPr>
          <w:p>
            <w:pPr>
              <w:jc w:val="center"/>
              <w:rPr>
                <w:color w:val="auto"/>
                <w:szCs w:val="21"/>
              </w:rPr>
            </w:pPr>
            <w:r>
              <w:rPr>
                <w:rFonts w:hint="eastAsia"/>
                <w:color w:val="auto"/>
                <w:szCs w:val="21"/>
              </w:rPr>
              <w:t xml:space="preserve">包号 </w:t>
            </w:r>
          </w:p>
        </w:tc>
        <w:tc>
          <w:tcPr>
            <w:tcW w:w="957" w:type="dxa"/>
            <w:tcBorders>
              <w:right w:val="single" w:color="auto" w:sz="4" w:space="0"/>
            </w:tcBorders>
            <w:noWrap w:val="0"/>
            <w:vAlign w:val="center"/>
          </w:tcPr>
          <w:p>
            <w:pPr>
              <w:jc w:val="center"/>
              <w:rPr>
                <w:color w:val="auto"/>
                <w:szCs w:val="21"/>
              </w:rPr>
            </w:pPr>
            <w:r>
              <w:rPr>
                <w:rFonts w:hint="eastAsia"/>
                <w:color w:val="auto"/>
                <w:szCs w:val="21"/>
              </w:rPr>
              <w:t>包名称</w:t>
            </w:r>
          </w:p>
        </w:tc>
        <w:tc>
          <w:tcPr>
            <w:tcW w:w="2124" w:type="dxa"/>
            <w:tcBorders>
              <w:left w:val="single" w:color="auto" w:sz="4" w:space="0"/>
            </w:tcBorders>
            <w:noWrap w:val="0"/>
            <w:vAlign w:val="center"/>
          </w:tcPr>
          <w:p>
            <w:pPr>
              <w:jc w:val="center"/>
              <w:rPr>
                <w:color w:val="auto"/>
                <w:szCs w:val="21"/>
              </w:rPr>
            </w:pPr>
            <w:r>
              <w:rPr>
                <w:rFonts w:hint="eastAsia"/>
                <w:color w:val="auto"/>
                <w:szCs w:val="21"/>
              </w:rPr>
              <w:t>标的名称</w:t>
            </w:r>
          </w:p>
        </w:tc>
        <w:tc>
          <w:tcPr>
            <w:tcW w:w="2127" w:type="dxa"/>
            <w:noWrap w:val="0"/>
            <w:vAlign w:val="center"/>
          </w:tcPr>
          <w:p>
            <w:pPr>
              <w:jc w:val="center"/>
              <w:rPr>
                <w:color w:val="auto"/>
                <w:szCs w:val="21"/>
              </w:rPr>
            </w:pPr>
            <w:r>
              <w:rPr>
                <w:rFonts w:hint="eastAsia"/>
                <w:color w:val="auto"/>
                <w:szCs w:val="21"/>
              </w:rPr>
              <w:t>主要技术参数或规格</w:t>
            </w:r>
          </w:p>
        </w:tc>
        <w:tc>
          <w:tcPr>
            <w:tcW w:w="992" w:type="dxa"/>
            <w:noWrap w:val="0"/>
            <w:vAlign w:val="center"/>
          </w:tcPr>
          <w:p>
            <w:pPr>
              <w:jc w:val="center"/>
              <w:rPr>
                <w:color w:val="auto"/>
                <w:szCs w:val="21"/>
              </w:rPr>
            </w:pPr>
            <w:r>
              <w:rPr>
                <w:rFonts w:hint="eastAsia"/>
                <w:color w:val="auto"/>
                <w:szCs w:val="21"/>
              </w:rPr>
              <w:t>数量</w:t>
            </w:r>
          </w:p>
        </w:tc>
        <w:tc>
          <w:tcPr>
            <w:tcW w:w="1136" w:type="dxa"/>
            <w:noWrap w:val="0"/>
            <w:vAlign w:val="center"/>
          </w:tcPr>
          <w:p>
            <w:pPr>
              <w:adjustRightInd w:val="0"/>
              <w:snapToGrid w:val="0"/>
              <w:jc w:val="center"/>
              <w:rPr>
                <w:color w:val="auto"/>
                <w:szCs w:val="21"/>
              </w:rPr>
            </w:pPr>
            <w:r>
              <w:rPr>
                <w:rFonts w:hint="eastAsia"/>
                <w:color w:val="auto"/>
                <w:szCs w:val="21"/>
              </w:rPr>
              <w:t>节能产品</w:t>
            </w:r>
          </w:p>
        </w:tc>
        <w:tc>
          <w:tcPr>
            <w:tcW w:w="1200" w:type="dxa"/>
            <w:noWrap w:val="0"/>
            <w:vAlign w:val="center"/>
          </w:tcPr>
          <w:p>
            <w:pPr>
              <w:adjustRightInd w:val="0"/>
              <w:snapToGrid w:val="0"/>
              <w:jc w:val="center"/>
              <w:rPr>
                <w:color w:val="auto"/>
                <w:szCs w:val="21"/>
              </w:rPr>
            </w:pPr>
            <w:r>
              <w:rPr>
                <w:rFonts w:hint="eastAsia"/>
                <w:color w:val="auto"/>
                <w:szCs w:val="21"/>
              </w:rPr>
              <w:t>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noWrap w:val="0"/>
            <w:vAlign w:val="top"/>
          </w:tcPr>
          <w:p>
            <w:pPr>
              <w:rPr>
                <w:color w:val="auto"/>
                <w:szCs w:val="21"/>
              </w:rPr>
            </w:pPr>
          </w:p>
        </w:tc>
        <w:tc>
          <w:tcPr>
            <w:tcW w:w="957" w:type="dxa"/>
            <w:vMerge w:val="restart"/>
            <w:tcBorders>
              <w:right w:val="single" w:color="auto" w:sz="4" w:space="0"/>
            </w:tcBorders>
            <w:noWrap w:val="0"/>
            <w:vAlign w:val="top"/>
          </w:tcPr>
          <w:p>
            <w:pPr>
              <w:rPr>
                <w:color w:val="auto"/>
                <w:szCs w:val="21"/>
              </w:rPr>
            </w:pPr>
          </w:p>
        </w:tc>
        <w:tc>
          <w:tcPr>
            <w:tcW w:w="2124" w:type="dxa"/>
            <w:tcBorders>
              <w:left w:val="single" w:color="auto" w:sz="4" w:space="0"/>
            </w:tcBorders>
            <w:noWrap w:val="0"/>
            <w:vAlign w:val="top"/>
          </w:tcPr>
          <w:p>
            <w:pPr>
              <w:rPr>
                <w:color w:val="auto"/>
                <w:szCs w:val="21"/>
              </w:rPr>
            </w:pPr>
          </w:p>
        </w:tc>
        <w:tc>
          <w:tcPr>
            <w:tcW w:w="2127" w:type="dxa"/>
            <w:noWrap w:val="0"/>
            <w:vAlign w:val="top"/>
          </w:tcPr>
          <w:p>
            <w:pPr>
              <w:rPr>
                <w:color w:val="auto"/>
                <w:szCs w:val="21"/>
              </w:rPr>
            </w:pPr>
          </w:p>
        </w:tc>
        <w:tc>
          <w:tcPr>
            <w:tcW w:w="992" w:type="dxa"/>
            <w:noWrap w:val="0"/>
            <w:vAlign w:val="top"/>
          </w:tcPr>
          <w:p>
            <w:pPr>
              <w:rPr>
                <w:color w:val="auto"/>
                <w:szCs w:val="21"/>
              </w:rPr>
            </w:pPr>
          </w:p>
        </w:tc>
        <w:tc>
          <w:tcPr>
            <w:tcW w:w="1136" w:type="dxa"/>
            <w:noWrap w:val="0"/>
            <w:vAlign w:val="top"/>
          </w:tcPr>
          <w:p>
            <w:pPr>
              <w:adjustRightInd w:val="0"/>
              <w:snapToGrid w:val="0"/>
              <w:spacing w:before="156" w:beforeLines="50" w:line="360" w:lineRule="auto"/>
              <w:rPr>
                <w:color w:val="auto"/>
                <w:szCs w:val="21"/>
              </w:rPr>
            </w:pPr>
            <w:r>
              <w:rPr>
                <w:rFonts w:hint="eastAsia" w:ascii="宋体" w:hAnsi="宋体"/>
                <w:iCs/>
                <w:color w:val="auto"/>
                <w:szCs w:val="21"/>
              </w:rPr>
              <w:sym w:font="Wingdings" w:char="00FE"/>
            </w:r>
          </w:p>
        </w:tc>
        <w:tc>
          <w:tcPr>
            <w:tcW w:w="1200" w:type="dxa"/>
            <w:noWrap w:val="0"/>
            <w:vAlign w:val="top"/>
          </w:tcPr>
          <w:p>
            <w:pPr>
              <w:adjustRightInd w:val="0"/>
              <w:snapToGrid w:val="0"/>
              <w:spacing w:before="156" w:beforeLines="50" w:line="360" w:lineRule="auto"/>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pPr>
              <w:rPr>
                <w:color w:val="auto"/>
                <w:szCs w:val="21"/>
              </w:rPr>
            </w:pPr>
          </w:p>
        </w:tc>
        <w:tc>
          <w:tcPr>
            <w:tcW w:w="957" w:type="dxa"/>
            <w:vMerge w:val="continue"/>
            <w:tcBorders>
              <w:right w:val="single" w:color="auto" w:sz="4" w:space="0"/>
            </w:tcBorders>
            <w:noWrap w:val="0"/>
            <w:vAlign w:val="top"/>
          </w:tcPr>
          <w:p>
            <w:pPr>
              <w:rPr>
                <w:color w:val="auto"/>
                <w:szCs w:val="21"/>
              </w:rPr>
            </w:pPr>
          </w:p>
        </w:tc>
        <w:tc>
          <w:tcPr>
            <w:tcW w:w="2124" w:type="dxa"/>
            <w:tcBorders>
              <w:left w:val="single" w:color="auto" w:sz="4" w:space="0"/>
            </w:tcBorders>
            <w:noWrap w:val="0"/>
            <w:vAlign w:val="top"/>
          </w:tcPr>
          <w:p>
            <w:pPr>
              <w:rPr>
                <w:color w:val="auto"/>
                <w:szCs w:val="21"/>
              </w:rPr>
            </w:pPr>
          </w:p>
        </w:tc>
        <w:tc>
          <w:tcPr>
            <w:tcW w:w="2127" w:type="dxa"/>
            <w:noWrap w:val="0"/>
            <w:vAlign w:val="top"/>
          </w:tcPr>
          <w:p>
            <w:pPr>
              <w:rPr>
                <w:color w:val="auto"/>
                <w:szCs w:val="21"/>
              </w:rPr>
            </w:pPr>
          </w:p>
        </w:tc>
        <w:tc>
          <w:tcPr>
            <w:tcW w:w="992" w:type="dxa"/>
            <w:noWrap w:val="0"/>
            <w:vAlign w:val="top"/>
          </w:tcPr>
          <w:p>
            <w:pPr>
              <w:rPr>
                <w:color w:val="auto"/>
                <w:szCs w:val="21"/>
              </w:rPr>
            </w:pPr>
          </w:p>
        </w:tc>
        <w:tc>
          <w:tcPr>
            <w:tcW w:w="1136" w:type="dxa"/>
            <w:noWrap w:val="0"/>
            <w:vAlign w:val="top"/>
          </w:tcPr>
          <w:p>
            <w:pPr>
              <w:adjustRightInd w:val="0"/>
              <w:snapToGrid w:val="0"/>
              <w:spacing w:before="156" w:beforeLines="50" w:line="360" w:lineRule="auto"/>
              <w:rPr>
                <w:color w:val="auto"/>
                <w:szCs w:val="21"/>
              </w:rPr>
            </w:pPr>
          </w:p>
        </w:tc>
        <w:tc>
          <w:tcPr>
            <w:tcW w:w="1200" w:type="dxa"/>
            <w:noWrap w:val="0"/>
            <w:vAlign w:val="top"/>
          </w:tcPr>
          <w:p>
            <w:pPr>
              <w:adjustRightInd w:val="0"/>
              <w:snapToGrid w:val="0"/>
              <w:spacing w:before="156" w:beforeLines="50" w:line="360" w:lineRule="auto"/>
              <w:rPr>
                <w:color w:val="auto"/>
                <w:szCs w:val="21"/>
              </w:rPr>
            </w:pPr>
            <w:r>
              <w:rPr>
                <w:rFonts w:hint="eastAsia" w:ascii="宋体" w:hAnsi="宋体"/>
                <w:iCs/>
                <w:color w:val="auto"/>
                <w:szCs w:val="21"/>
              </w:rPr>
              <w:sym w:font="Wingdings" w:char="00FE"/>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noWrap w:val="0"/>
            <w:vAlign w:val="top"/>
          </w:tcPr>
          <w:p>
            <w:pPr>
              <w:rPr>
                <w:color w:val="auto"/>
                <w:szCs w:val="21"/>
              </w:rPr>
            </w:pPr>
          </w:p>
        </w:tc>
        <w:tc>
          <w:tcPr>
            <w:tcW w:w="957" w:type="dxa"/>
            <w:vMerge w:val="restart"/>
            <w:tcBorders>
              <w:right w:val="single" w:color="auto" w:sz="4" w:space="0"/>
            </w:tcBorders>
            <w:noWrap w:val="0"/>
            <w:vAlign w:val="top"/>
          </w:tcPr>
          <w:p>
            <w:pPr>
              <w:rPr>
                <w:color w:val="auto"/>
                <w:szCs w:val="21"/>
              </w:rPr>
            </w:pPr>
          </w:p>
        </w:tc>
        <w:tc>
          <w:tcPr>
            <w:tcW w:w="2124" w:type="dxa"/>
            <w:tcBorders>
              <w:left w:val="single" w:color="auto" w:sz="4" w:space="0"/>
            </w:tcBorders>
            <w:noWrap w:val="0"/>
            <w:vAlign w:val="top"/>
          </w:tcPr>
          <w:p>
            <w:pPr>
              <w:rPr>
                <w:color w:val="auto"/>
                <w:szCs w:val="21"/>
              </w:rPr>
            </w:pPr>
          </w:p>
        </w:tc>
        <w:tc>
          <w:tcPr>
            <w:tcW w:w="2127" w:type="dxa"/>
            <w:noWrap w:val="0"/>
            <w:vAlign w:val="top"/>
          </w:tcPr>
          <w:p>
            <w:pPr>
              <w:rPr>
                <w:color w:val="auto"/>
                <w:szCs w:val="21"/>
              </w:rPr>
            </w:pPr>
          </w:p>
        </w:tc>
        <w:tc>
          <w:tcPr>
            <w:tcW w:w="992" w:type="dxa"/>
            <w:noWrap w:val="0"/>
            <w:vAlign w:val="top"/>
          </w:tcPr>
          <w:p>
            <w:pPr>
              <w:rPr>
                <w:color w:val="auto"/>
                <w:szCs w:val="21"/>
              </w:rPr>
            </w:pPr>
          </w:p>
        </w:tc>
        <w:tc>
          <w:tcPr>
            <w:tcW w:w="1136" w:type="dxa"/>
            <w:noWrap w:val="0"/>
            <w:vAlign w:val="top"/>
          </w:tcPr>
          <w:p>
            <w:pPr>
              <w:rPr>
                <w:color w:val="auto"/>
                <w:szCs w:val="21"/>
              </w:rPr>
            </w:pPr>
          </w:p>
        </w:tc>
        <w:tc>
          <w:tcPr>
            <w:tcW w:w="1200" w:type="dxa"/>
            <w:noWrap w:val="0"/>
            <w:vAlign w:val="top"/>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pPr>
              <w:rPr>
                <w:color w:val="auto"/>
                <w:szCs w:val="21"/>
              </w:rPr>
            </w:pPr>
          </w:p>
        </w:tc>
        <w:tc>
          <w:tcPr>
            <w:tcW w:w="957" w:type="dxa"/>
            <w:vMerge w:val="continue"/>
            <w:tcBorders>
              <w:right w:val="single" w:color="auto" w:sz="4" w:space="0"/>
            </w:tcBorders>
            <w:noWrap w:val="0"/>
            <w:vAlign w:val="top"/>
          </w:tcPr>
          <w:p>
            <w:pPr>
              <w:rPr>
                <w:color w:val="auto"/>
                <w:szCs w:val="21"/>
              </w:rPr>
            </w:pPr>
          </w:p>
        </w:tc>
        <w:tc>
          <w:tcPr>
            <w:tcW w:w="2124" w:type="dxa"/>
            <w:tcBorders>
              <w:left w:val="single" w:color="auto" w:sz="4" w:space="0"/>
            </w:tcBorders>
            <w:noWrap w:val="0"/>
            <w:vAlign w:val="top"/>
          </w:tcPr>
          <w:p>
            <w:pPr>
              <w:rPr>
                <w:color w:val="auto"/>
                <w:szCs w:val="21"/>
              </w:rPr>
            </w:pPr>
          </w:p>
        </w:tc>
        <w:tc>
          <w:tcPr>
            <w:tcW w:w="2127" w:type="dxa"/>
            <w:noWrap w:val="0"/>
            <w:vAlign w:val="top"/>
          </w:tcPr>
          <w:p>
            <w:pPr>
              <w:rPr>
                <w:color w:val="auto"/>
                <w:szCs w:val="21"/>
              </w:rPr>
            </w:pPr>
          </w:p>
        </w:tc>
        <w:tc>
          <w:tcPr>
            <w:tcW w:w="992" w:type="dxa"/>
            <w:noWrap w:val="0"/>
            <w:vAlign w:val="top"/>
          </w:tcPr>
          <w:p>
            <w:pPr>
              <w:rPr>
                <w:color w:val="auto"/>
                <w:szCs w:val="21"/>
              </w:rPr>
            </w:pPr>
          </w:p>
        </w:tc>
        <w:tc>
          <w:tcPr>
            <w:tcW w:w="1136" w:type="dxa"/>
            <w:noWrap w:val="0"/>
            <w:vAlign w:val="top"/>
          </w:tcPr>
          <w:p>
            <w:pPr>
              <w:rPr>
                <w:color w:val="auto"/>
                <w:szCs w:val="21"/>
              </w:rPr>
            </w:pPr>
          </w:p>
        </w:tc>
        <w:tc>
          <w:tcPr>
            <w:tcW w:w="1200" w:type="dxa"/>
            <w:noWrap w:val="0"/>
            <w:vAlign w:val="top"/>
          </w:tcPr>
          <w:p>
            <w:pPr>
              <w:rPr>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pPr>
              <w:rPr>
                <w:color w:val="auto"/>
                <w:szCs w:val="21"/>
              </w:rPr>
            </w:pPr>
          </w:p>
        </w:tc>
        <w:tc>
          <w:tcPr>
            <w:tcW w:w="957" w:type="dxa"/>
            <w:vMerge w:val="continue"/>
            <w:tcBorders>
              <w:right w:val="single" w:color="auto" w:sz="4" w:space="0"/>
            </w:tcBorders>
            <w:noWrap w:val="0"/>
            <w:vAlign w:val="top"/>
          </w:tcPr>
          <w:p>
            <w:pPr>
              <w:rPr>
                <w:color w:val="auto"/>
                <w:szCs w:val="21"/>
              </w:rPr>
            </w:pPr>
          </w:p>
        </w:tc>
        <w:tc>
          <w:tcPr>
            <w:tcW w:w="2124" w:type="dxa"/>
            <w:tcBorders>
              <w:left w:val="single" w:color="auto" w:sz="4" w:space="0"/>
            </w:tcBorders>
            <w:noWrap w:val="0"/>
            <w:vAlign w:val="top"/>
          </w:tcPr>
          <w:p>
            <w:pPr>
              <w:rPr>
                <w:color w:val="auto"/>
                <w:szCs w:val="21"/>
              </w:rPr>
            </w:pPr>
          </w:p>
        </w:tc>
        <w:tc>
          <w:tcPr>
            <w:tcW w:w="2127" w:type="dxa"/>
            <w:noWrap w:val="0"/>
            <w:vAlign w:val="top"/>
          </w:tcPr>
          <w:p>
            <w:pPr>
              <w:rPr>
                <w:color w:val="auto"/>
                <w:szCs w:val="21"/>
              </w:rPr>
            </w:pPr>
          </w:p>
        </w:tc>
        <w:tc>
          <w:tcPr>
            <w:tcW w:w="992" w:type="dxa"/>
            <w:noWrap w:val="0"/>
            <w:vAlign w:val="top"/>
          </w:tcPr>
          <w:p>
            <w:pPr>
              <w:rPr>
                <w:color w:val="auto"/>
                <w:szCs w:val="21"/>
              </w:rPr>
            </w:pPr>
          </w:p>
        </w:tc>
        <w:tc>
          <w:tcPr>
            <w:tcW w:w="1136" w:type="dxa"/>
            <w:noWrap w:val="0"/>
            <w:vAlign w:val="top"/>
          </w:tcPr>
          <w:p>
            <w:pPr>
              <w:rPr>
                <w:color w:val="auto"/>
                <w:szCs w:val="21"/>
              </w:rPr>
            </w:pPr>
          </w:p>
        </w:tc>
        <w:tc>
          <w:tcPr>
            <w:tcW w:w="1200" w:type="dxa"/>
            <w:noWrap w:val="0"/>
            <w:vAlign w:val="top"/>
          </w:tcPr>
          <w:p>
            <w:pPr>
              <w:rPr>
                <w:color w:val="auto"/>
                <w:szCs w:val="21"/>
              </w:rPr>
            </w:pPr>
          </w:p>
        </w:tc>
      </w:tr>
    </w:tbl>
    <w:p>
      <w:pPr>
        <w:adjustRightInd w:val="0"/>
        <w:snapToGrid w:val="0"/>
        <w:spacing w:line="360" w:lineRule="auto"/>
        <w:rPr>
          <w:color w:val="auto"/>
        </w:rPr>
      </w:pP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p>
    <w:p>
      <w:pPr>
        <w:adjustRightInd w:val="0"/>
        <w:snapToGrid w:val="0"/>
        <w:spacing w:line="360" w:lineRule="auto"/>
        <w:rPr>
          <w:rFonts w:ascii="黑体" w:hAnsi="宋体" w:eastAsia="黑体"/>
          <w:color w:val="auto"/>
          <w:sz w:val="28"/>
          <w:szCs w:val="28"/>
        </w:rPr>
        <w:sectPr>
          <w:headerReference r:id="rId17" w:type="first"/>
          <w:headerReference r:id="rId15" w:type="default"/>
          <w:footerReference r:id="rId18" w:type="default"/>
          <w:headerReference r:id="rId16" w:type="even"/>
          <w:pgSz w:w="11906" w:h="16838"/>
          <w:pgMar w:top="1474" w:right="1474" w:bottom="1474" w:left="1588" w:header="851" w:footer="992" w:gutter="0"/>
          <w:pgNumType w:fmt="decimal"/>
          <w:cols w:space="720" w:num="1"/>
          <w:docGrid w:type="lines" w:linePitch="312" w:charSpace="0"/>
        </w:sectPr>
      </w:pPr>
    </w:p>
    <w:p>
      <w:pPr>
        <w:pStyle w:val="4"/>
        <w:adjustRightInd w:val="0"/>
        <w:snapToGrid w:val="0"/>
        <w:spacing w:before="156" w:beforeLines="50" w:after="0" w:line="360" w:lineRule="auto"/>
        <w:jc w:val="center"/>
        <w:rPr>
          <w:rFonts w:ascii="黑体" w:hAnsi="黑体" w:eastAsia="黑体"/>
          <w:color w:val="auto"/>
          <w:sz w:val="28"/>
          <w:szCs w:val="28"/>
        </w:rPr>
      </w:pPr>
      <w:bookmarkStart w:id="84" w:name="_Toc31195"/>
      <w:r>
        <w:rPr>
          <w:rFonts w:hint="eastAsia" w:ascii="黑体" w:hAnsi="黑体" w:eastAsia="黑体"/>
          <w:color w:val="auto"/>
          <w:sz w:val="28"/>
          <w:szCs w:val="28"/>
        </w:rPr>
        <w:t>八、合同条款偏离表</w:t>
      </w:r>
      <w:bookmarkEnd w:id="84"/>
    </w:p>
    <w:p>
      <w:pPr>
        <w:adjustRightInd w:val="0"/>
        <w:snapToGrid w:val="0"/>
        <w:spacing w:before="156" w:beforeLines="50" w:line="360" w:lineRule="auto"/>
        <w:rPr>
          <w:rFonts w:ascii="宋体" w:hAnsi="宋体" w:eastAsia="宋体"/>
          <w:color w:val="auto"/>
          <w:szCs w:val="21"/>
          <w:u w:val="single"/>
        </w:rPr>
      </w:pPr>
      <w:r>
        <w:rPr>
          <w:rFonts w:hint="eastAsia" w:ascii="宋体" w:hAnsi="宋体"/>
          <w:color w:val="auto"/>
          <w:spacing w:val="28"/>
          <w:szCs w:val="21"/>
        </w:rPr>
        <w:t>政府采购计划编号</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宋体" w:hAnsi="宋体" w:eastAsia="宋体"/>
          <w:color w:val="auto"/>
          <w:szCs w:val="21"/>
        </w:rPr>
        <w:t>项目名称：</w:t>
      </w:r>
      <w:r>
        <w:rPr>
          <w:rFonts w:hint="eastAsia" w:ascii="宋体" w:hAnsi="宋体" w:eastAsia="宋体"/>
          <w:color w:val="auto"/>
          <w:szCs w:val="21"/>
          <w:u w:val="single"/>
        </w:rPr>
        <w:t xml:space="preserve">                    </w:t>
      </w:r>
    </w:p>
    <w:p>
      <w:pPr>
        <w:adjustRightInd w:val="0"/>
        <w:snapToGrid w:val="0"/>
        <w:spacing w:before="50" w:line="360" w:lineRule="auto"/>
        <w:rPr>
          <w:rFonts w:ascii="宋体" w:hAnsi="宋体" w:eastAsia="宋体"/>
          <w:color w:val="auto"/>
          <w:szCs w:val="21"/>
          <w:u w:val="single"/>
        </w:rPr>
      </w:pPr>
      <w:r>
        <w:rPr>
          <w:rFonts w:hint="eastAsia" w:ascii="宋体" w:hAnsi="宋体" w:eastAsia="宋体"/>
          <w:color w:val="auto"/>
          <w:szCs w:val="21"/>
        </w:rPr>
        <w:t>包           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包名称：</w:t>
      </w:r>
      <w:r>
        <w:rPr>
          <w:rFonts w:hint="eastAsia" w:ascii="宋体" w:hAnsi="宋体" w:eastAsia="宋体"/>
          <w:color w:val="auto"/>
          <w:szCs w:val="21"/>
          <w:u w:val="single"/>
        </w:rPr>
        <w:t xml:space="preserve">                      </w:t>
      </w:r>
    </w:p>
    <w:tbl>
      <w:tblPr>
        <w:tblStyle w:val="2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noWrap w:val="0"/>
            <w:vAlign w:val="center"/>
          </w:tcPr>
          <w:p>
            <w:pPr>
              <w:adjustRightInd w:val="0"/>
              <w:snapToGrid w:val="0"/>
              <w:spacing w:before="50" w:line="360" w:lineRule="auto"/>
              <w:ind w:left="-88" w:leftChars="-42"/>
              <w:jc w:val="center"/>
              <w:rPr>
                <w:rFonts w:ascii="宋体" w:hAnsi="宋体" w:eastAsia="宋体"/>
                <w:color w:val="auto"/>
                <w:szCs w:val="21"/>
              </w:rPr>
            </w:pPr>
            <w:r>
              <w:rPr>
                <w:rFonts w:hint="eastAsia" w:ascii="宋体" w:hAnsi="宋体" w:eastAsia="宋体"/>
                <w:bCs/>
                <w:color w:val="auto"/>
                <w:szCs w:val="21"/>
              </w:rPr>
              <w:t>序</w:t>
            </w:r>
            <w:r>
              <w:rPr>
                <w:rFonts w:hint="eastAsia" w:ascii="宋体" w:hAnsi="宋体" w:eastAsia="宋体"/>
                <w:color w:val="auto"/>
                <w:szCs w:val="21"/>
              </w:rPr>
              <w:t>号</w:t>
            </w: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r>
              <w:rPr>
                <w:rFonts w:hint="eastAsia" w:ascii="宋体" w:hAnsi="宋体" w:eastAsia="宋体"/>
                <w:color w:val="auto"/>
                <w:szCs w:val="21"/>
              </w:rPr>
              <w:t>招标文件章节</w:t>
            </w:r>
            <w:r>
              <w:rPr>
                <w:rFonts w:hint="eastAsia" w:ascii="宋体" w:hAnsi="宋体" w:eastAsia="宋体"/>
                <w:bCs/>
                <w:color w:val="auto"/>
                <w:szCs w:val="21"/>
              </w:rPr>
              <w:t>条</w:t>
            </w:r>
            <w:r>
              <w:rPr>
                <w:rFonts w:hint="eastAsia" w:ascii="宋体" w:hAnsi="宋体" w:eastAsia="宋体"/>
                <w:color w:val="auto"/>
                <w:szCs w:val="21"/>
              </w:rPr>
              <w:t>款号</w:t>
            </w:r>
          </w:p>
        </w:tc>
        <w:tc>
          <w:tcPr>
            <w:tcW w:w="1985" w:type="dxa"/>
            <w:noWrap w:val="0"/>
            <w:vAlign w:val="center"/>
          </w:tcPr>
          <w:p>
            <w:pPr>
              <w:adjustRightInd w:val="0"/>
              <w:snapToGrid w:val="0"/>
              <w:spacing w:before="50" w:line="360" w:lineRule="auto"/>
              <w:ind w:left="-88" w:leftChars="-42"/>
              <w:jc w:val="center"/>
              <w:rPr>
                <w:rFonts w:ascii="宋体" w:hAnsi="宋体" w:eastAsia="宋体"/>
                <w:color w:val="auto"/>
                <w:szCs w:val="21"/>
              </w:rPr>
            </w:pPr>
            <w:r>
              <w:rPr>
                <w:rFonts w:hint="eastAsia"/>
                <w:color w:val="auto"/>
              </w:rPr>
              <w:t>招标文件要求</w:t>
            </w:r>
          </w:p>
        </w:tc>
        <w:tc>
          <w:tcPr>
            <w:tcW w:w="2082" w:type="dxa"/>
            <w:tcBorders>
              <w:right w:val="single" w:color="auto" w:sz="4" w:space="0"/>
            </w:tcBorders>
            <w:noWrap w:val="0"/>
            <w:vAlign w:val="center"/>
          </w:tcPr>
          <w:p>
            <w:pPr>
              <w:adjustRightInd w:val="0"/>
              <w:snapToGrid w:val="0"/>
              <w:spacing w:before="50" w:line="360" w:lineRule="auto"/>
              <w:jc w:val="center"/>
              <w:rPr>
                <w:rFonts w:ascii="宋体" w:hAnsi="宋体" w:eastAsia="宋体"/>
                <w:color w:val="auto"/>
                <w:szCs w:val="21"/>
              </w:rPr>
            </w:pPr>
            <w:r>
              <w:rPr>
                <w:rFonts w:hint="eastAsia"/>
                <w:color w:val="auto"/>
              </w:rPr>
              <w:t>投标文件的应答</w:t>
            </w:r>
          </w:p>
        </w:tc>
        <w:tc>
          <w:tcPr>
            <w:tcW w:w="1942"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r>
              <w:rPr>
                <w:rFonts w:hint="eastAsia" w:ascii="宋体" w:hAnsi="宋体" w:eastAsia="宋体"/>
                <w:color w:val="auto"/>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noWrap w:val="0"/>
            <w:vAlign w:val="top"/>
          </w:tcPr>
          <w:p>
            <w:pPr>
              <w:adjustRightInd w:val="0"/>
              <w:snapToGrid w:val="0"/>
              <w:spacing w:before="50" w:line="360" w:lineRule="auto"/>
              <w:rPr>
                <w:color w:val="auto"/>
              </w:rPr>
            </w:pPr>
          </w:p>
        </w:tc>
        <w:tc>
          <w:tcPr>
            <w:tcW w:w="2082" w:type="dxa"/>
            <w:tcBorders>
              <w:right w:val="single" w:color="auto" w:sz="4" w:space="0"/>
            </w:tcBorders>
            <w:noWrap w:val="0"/>
            <w:vAlign w:val="top"/>
          </w:tcPr>
          <w:p>
            <w:pPr>
              <w:adjustRightInd w:val="0"/>
              <w:snapToGrid w:val="0"/>
              <w:spacing w:before="50" w:line="360" w:lineRule="auto"/>
              <w:rPr>
                <w:color w:val="auto"/>
              </w:rPr>
            </w:pPr>
          </w:p>
        </w:tc>
        <w:tc>
          <w:tcPr>
            <w:tcW w:w="1942" w:type="dxa"/>
            <w:tcBorders>
              <w:left w:val="single" w:color="auto" w:sz="4" w:space="0"/>
            </w:tcBorders>
            <w:noWrap w:val="0"/>
            <w:vAlign w:val="top"/>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082"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42"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082"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42"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082"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42"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082"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42"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082"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42"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4024" w:type="dxa"/>
            <w:gridSpan w:val="2"/>
            <w:noWrap w:val="0"/>
            <w:vAlign w:val="center"/>
          </w:tcPr>
          <w:p>
            <w:pPr>
              <w:adjustRightInd w:val="0"/>
              <w:snapToGrid w:val="0"/>
              <w:spacing w:before="50" w:line="360" w:lineRule="auto"/>
              <w:ind w:firstLine="422" w:firstLineChars="200"/>
              <w:jc w:val="left"/>
              <w:rPr>
                <w:rFonts w:ascii="宋体" w:hAnsi="宋体" w:eastAsia="宋体"/>
                <w:b/>
                <w:color w:val="auto"/>
                <w:szCs w:val="21"/>
              </w:rPr>
            </w:pPr>
            <w:r>
              <w:rPr>
                <w:rFonts w:hint="eastAsia" w:ascii="宋体" w:hAnsi="宋体" w:eastAsia="宋体"/>
                <w:b/>
                <w:color w:val="auto"/>
                <w:szCs w:val="21"/>
              </w:rPr>
              <w:t>投标人保证：除本合同条款偏离表列出的偏离外，我单位对招标文件的其他商务、合同条款完全响应，无偏离。</w:t>
            </w:r>
          </w:p>
        </w:tc>
      </w:tr>
    </w:tbl>
    <w:p>
      <w:pPr>
        <w:adjustRightInd w:val="0"/>
        <w:snapToGrid w:val="0"/>
        <w:spacing w:before="50" w:line="360" w:lineRule="auto"/>
        <w:ind w:left="-88" w:leftChars="-42"/>
        <w:rPr>
          <w:rFonts w:ascii="宋体" w:hAnsi="宋体"/>
          <w:color w:val="auto"/>
          <w:szCs w:val="21"/>
        </w:rPr>
      </w:pPr>
      <w:r>
        <w:rPr>
          <w:rFonts w:hint="eastAsia" w:ascii="宋体" w:hAnsi="宋体" w:eastAsia="宋体"/>
          <w:b w:val="0"/>
          <w:bCs/>
          <w:color w:val="auto"/>
          <w:szCs w:val="21"/>
        </w:rPr>
        <w:t>注：</w:t>
      </w:r>
      <w:r>
        <w:rPr>
          <w:rFonts w:hint="eastAsia" w:ascii="宋体" w:hAnsi="宋体"/>
          <w:color w:val="auto"/>
          <w:szCs w:val="21"/>
          <w:lang w:val="en-US" w:eastAsia="zh-CN"/>
        </w:rPr>
        <w:t>1.</w:t>
      </w:r>
      <w:r>
        <w:rPr>
          <w:rFonts w:hint="eastAsia" w:ascii="宋体" w:hAnsi="宋体"/>
          <w:color w:val="auto"/>
          <w:szCs w:val="21"/>
        </w:rPr>
        <w:t>投标人应根据招标文件第六章</w:t>
      </w:r>
      <w:r>
        <w:rPr>
          <w:rFonts w:hint="eastAsia" w:ascii="华文宋体" w:hAnsi="华文宋体" w:eastAsia="华文宋体"/>
          <w:color w:val="auto"/>
          <w:szCs w:val="21"/>
        </w:rPr>
        <w:t>“</w:t>
      </w:r>
      <w:r>
        <w:rPr>
          <w:rFonts w:hint="eastAsia" w:ascii="宋体" w:hAnsi="宋体"/>
          <w:color w:val="auto"/>
          <w:szCs w:val="21"/>
        </w:rPr>
        <w:t>政府采购合同</w:t>
      </w:r>
      <w:r>
        <w:rPr>
          <w:rFonts w:hint="eastAsia" w:ascii="华文宋体" w:hAnsi="华文宋体" w:eastAsia="华文宋体"/>
          <w:color w:val="auto"/>
          <w:szCs w:val="21"/>
        </w:rPr>
        <w:t>”</w:t>
      </w:r>
      <w:r>
        <w:rPr>
          <w:rFonts w:hint="eastAsia" w:ascii="宋体" w:hAnsi="宋体"/>
          <w:color w:val="auto"/>
          <w:szCs w:val="21"/>
        </w:rPr>
        <w:t>填写本表；</w:t>
      </w:r>
    </w:p>
    <w:p>
      <w:pPr>
        <w:adjustRightInd w:val="0"/>
        <w:snapToGrid w:val="0"/>
        <w:spacing w:before="50" w:line="360" w:lineRule="auto"/>
        <w:ind w:left="-88" w:leftChars="-42" w:firstLine="420" w:firstLineChars="200"/>
        <w:rPr>
          <w:rFonts w:ascii="宋体" w:hAnsi="宋体"/>
          <w:b/>
          <w:color w:val="auto"/>
          <w:szCs w:val="21"/>
        </w:rPr>
      </w:pPr>
      <w:r>
        <w:rPr>
          <w:rFonts w:hint="eastAsia" w:ascii="宋体" w:hAnsi="宋体"/>
          <w:color w:val="auto"/>
          <w:szCs w:val="21"/>
          <w:lang w:val="en-US" w:eastAsia="zh-CN"/>
        </w:rPr>
        <w:t>2.</w:t>
      </w:r>
      <w:r>
        <w:rPr>
          <w:rFonts w:hint="eastAsia" w:ascii="宋体" w:hAnsi="宋体"/>
          <w:b/>
          <w:color w:val="auto"/>
          <w:szCs w:val="21"/>
        </w:rPr>
        <w:t>投标人如果对招标文件第六章“政府采购合同”的响应有偏离，应将偏离条款逐条如实应答，并作出说明；</w:t>
      </w:r>
    </w:p>
    <w:p>
      <w:pPr>
        <w:adjustRightInd w:val="0"/>
        <w:snapToGrid w:val="0"/>
        <w:spacing w:before="50" w:line="360" w:lineRule="auto"/>
        <w:ind w:left="-88" w:leftChars="-42" w:firstLine="420" w:firstLineChars="200"/>
        <w:rPr>
          <w:rFonts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如不提供此表，则视为投标人不满足招标文件第六章的所有条款要求，</w:t>
      </w:r>
      <w:r>
        <w:rPr>
          <w:rFonts w:hint="eastAsia" w:ascii="宋体" w:hAnsi="宋体" w:eastAsia="宋体"/>
          <w:color w:val="auto"/>
          <w:szCs w:val="21"/>
        </w:rPr>
        <w:t>其</w:t>
      </w:r>
      <w:r>
        <w:rPr>
          <w:rFonts w:hint="eastAsia" w:ascii="宋体" w:hAnsi="宋体" w:eastAsia="宋体"/>
          <w:b/>
          <w:color w:val="auto"/>
          <w:szCs w:val="21"/>
        </w:rPr>
        <w:t>投标无效</w:t>
      </w:r>
      <w:r>
        <w:rPr>
          <w:rFonts w:hint="eastAsia" w:ascii="宋体" w:hAnsi="宋体"/>
          <w:color w:val="auto"/>
          <w:szCs w:val="21"/>
        </w:rPr>
        <w:t>。</w:t>
      </w:r>
    </w:p>
    <w:p>
      <w:pPr>
        <w:adjustRightInd w:val="0"/>
        <w:snapToGrid w:val="0"/>
        <w:spacing w:before="50" w:line="360" w:lineRule="auto"/>
        <w:ind w:left="-88" w:leftChars="-42" w:firstLine="420" w:firstLineChars="200"/>
        <w:rPr>
          <w:rFonts w:ascii="宋体" w:hAnsi="宋体"/>
          <w:color w:val="auto"/>
          <w:szCs w:val="21"/>
        </w:rPr>
      </w:pPr>
      <w:r>
        <w:rPr>
          <w:rFonts w:hint="eastAsia" w:ascii="宋体" w:hAnsi="宋体"/>
          <w:color w:val="auto"/>
          <w:szCs w:val="21"/>
          <w:lang w:val="en-US" w:eastAsia="zh-CN"/>
        </w:rPr>
        <w:t>4.</w:t>
      </w:r>
      <w:r>
        <w:rPr>
          <w:rFonts w:hint="eastAsia" w:ascii="宋体" w:hAnsi="宋体" w:eastAsia="宋体"/>
          <w:color w:val="auto"/>
          <w:szCs w:val="21"/>
        </w:rPr>
        <w:t>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adjustRightInd w:val="0"/>
        <w:snapToGrid w:val="0"/>
        <w:spacing w:before="50" w:line="360" w:lineRule="auto"/>
        <w:rPr>
          <w:rFonts w:ascii="宋体" w:hAnsi="宋体" w:eastAsia="宋体"/>
          <w:color w:val="auto"/>
          <w:szCs w:val="21"/>
        </w:rPr>
      </w:pPr>
    </w:p>
    <w:p>
      <w:pPr>
        <w:adjustRightInd w:val="0"/>
        <w:snapToGrid w:val="0"/>
        <w:spacing w:before="50" w:line="360" w:lineRule="auto"/>
        <w:rPr>
          <w:rFonts w:ascii="宋体" w:hAnsi="宋体"/>
          <w:color w:val="auto"/>
          <w:szCs w:val="21"/>
        </w:rPr>
      </w:pPr>
    </w:p>
    <w:p>
      <w:pPr>
        <w:adjustRightInd w:val="0"/>
        <w:snapToGrid w:val="0"/>
        <w:spacing w:before="50" w:line="360" w:lineRule="auto"/>
        <w:rPr>
          <w:rFonts w:ascii="宋体" w:hAnsi="宋体"/>
          <w:color w:val="auto"/>
          <w:szCs w:val="21"/>
        </w:rPr>
      </w:pPr>
      <w:r>
        <w:rPr>
          <w:rFonts w:hint="eastAsia" w:ascii="宋体" w:hAnsi="宋体"/>
          <w:color w:val="auto"/>
          <w:szCs w:val="21"/>
        </w:rPr>
        <w:t>投标人名称（盖单位章）：</w:t>
      </w:r>
    </w:p>
    <w:p>
      <w:pPr>
        <w:adjustRightInd w:val="0"/>
        <w:snapToGrid w:val="0"/>
        <w:spacing w:before="50" w:line="360" w:lineRule="auto"/>
        <w:rPr>
          <w:rFonts w:ascii="宋体" w:hAnsi="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color w:val="auto"/>
          <w:szCs w:val="21"/>
        </w:rPr>
        <w:t>或其授权的代理人（签字或印章）：</w:t>
      </w:r>
      <w:r>
        <w:rPr>
          <w:rFonts w:hint="eastAsia" w:ascii="宋体" w:hAnsi="宋体"/>
          <w:color w:val="auto"/>
          <w:szCs w:val="21"/>
          <w:u w:val="single"/>
        </w:rPr>
        <w:t xml:space="preserve">                     </w:t>
      </w:r>
    </w:p>
    <w:p>
      <w:pPr>
        <w:adjustRightInd w:val="0"/>
        <w:snapToGrid w:val="0"/>
        <w:spacing w:before="50" w:line="168" w:lineRule="auto"/>
        <w:rPr>
          <w:rFonts w:ascii="黑体" w:hAnsi="宋体" w:eastAsia="黑体"/>
          <w:b/>
          <w:bCs/>
          <w:color w:val="auto"/>
          <w:sz w:val="28"/>
          <w:szCs w:val="28"/>
        </w:rPr>
      </w:pPr>
      <w:r>
        <w:rPr>
          <w:rFonts w:hint="eastAsia" w:ascii="宋体" w:hAnsi="宋体"/>
          <w:color w:val="auto"/>
          <w:szCs w:val="21"/>
        </w:rPr>
        <w:t>日       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_日</w:t>
      </w:r>
      <w:r>
        <w:rPr>
          <w:rFonts w:ascii="黑体" w:hAnsi="宋体" w:eastAsia="黑体"/>
          <w:color w:val="auto"/>
          <w:sz w:val="28"/>
          <w:szCs w:val="28"/>
        </w:rPr>
        <w:br w:type="page"/>
      </w:r>
    </w:p>
    <w:p>
      <w:pPr>
        <w:pStyle w:val="4"/>
        <w:adjustRightInd w:val="0"/>
        <w:snapToGrid w:val="0"/>
        <w:spacing w:before="156" w:beforeLines="50" w:after="0" w:line="360" w:lineRule="auto"/>
        <w:jc w:val="center"/>
        <w:rPr>
          <w:rFonts w:ascii="黑体" w:hAnsi="宋体" w:eastAsia="黑体"/>
          <w:color w:val="auto"/>
          <w:sz w:val="28"/>
          <w:szCs w:val="28"/>
        </w:rPr>
      </w:pPr>
      <w:bookmarkStart w:id="85" w:name="_Toc4933"/>
      <w:r>
        <w:rPr>
          <w:rFonts w:hint="eastAsia" w:ascii="黑体" w:hAnsi="宋体" w:eastAsia="黑体"/>
          <w:color w:val="auto"/>
          <w:sz w:val="28"/>
          <w:szCs w:val="28"/>
        </w:rPr>
        <w:t>九、采购需求偏离表</w:t>
      </w:r>
      <w:bookmarkEnd w:id="85"/>
    </w:p>
    <w:p>
      <w:pPr>
        <w:adjustRightInd w:val="0"/>
        <w:snapToGrid w:val="0"/>
        <w:spacing w:before="156" w:beforeLines="50" w:line="360" w:lineRule="auto"/>
        <w:rPr>
          <w:rFonts w:ascii="宋体" w:hAnsi="宋体" w:eastAsia="宋体"/>
          <w:color w:val="auto"/>
          <w:szCs w:val="21"/>
          <w:u w:val="single"/>
        </w:rPr>
      </w:pPr>
      <w:r>
        <w:rPr>
          <w:rFonts w:hint="eastAsia" w:ascii="宋体" w:hAnsi="宋体"/>
          <w:color w:val="auto"/>
          <w:spacing w:val="28"/>
          <w:szCs w:val="21"/>
        </w:rPr>
        <w:t>政府采购计划编号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宋体" w:hAnsi="宋体" w:eastAsia="宋体"/>
          <w:color w:val="auto"/>
          <w:szCs w:val="21"/>
        </w:rPr>
        <w:t>项目名称：</w:t>
      </w:r>
      <w:r>
        <w:rPr>
          <w:rFonts w:hint="eastAsia" w:ascii="宋体" w:hAnsi="宋体" w:eastAsia="宋体"/>
          <w:color w:val="auto"/>
          <w:szCs w:val="21"/>
          <w:u w:val="single"/>
        </w:rPr>
        <w:t xml:space="preserve">                   </w:t>
      </w:r>
    </w:p>
    <w:p>
      <w:pPr>
        <w:adjustRightInd w:val="0"/>
        <w:snapToGrid w:val="0"/>
        <w:spacing w:before="156" w:beforeLines="50" w:line="360" w:lineRule="auto"/>
        <w:rPr>
          <w:rFonts w:ascii="宋体" w:hAnsi="宋体" w:eastAsia="宋体"/>
          <w:color w:val="auto"/>
          <w:szCs w:val="21"/>
          <w:u w:val="single"/>
        </w:rPr>
      </w:pPr>
      <w:r>
        <w:rPr>
          <w:rFonts w:hint="eastAsia" w:ascii="宋体" w:hAnsi="宋体" w:eastAsia="宋体"/>
          <w:color w:val="auto"/>
          <w:szCs w:val="21"/>
        </w:rPr>
        <w:t>包           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包名称：</w:t>
      </w:r>
      <w:r>
        <w:rPr>
          <w:rFonts w:hint="eastAsia" w:ascii="宋体" w:hAnsi="宋体" w:eastAsia="宋体"/>
          <w:color w:val="auto"/>
          <w:szCs w:val="21"/>
          <w:u w:val="single"/>
        </w:rPr>
        <w:t xml:space="preserve">                    </w:t>
      </w:r>
    </w:p>
    <w:tbl>
      <w:tblPr>
        <w:tblStyle w:val="2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noWrap w:val="0"/>
            <w:vAlign w:val="center"/>
          </w:tcPr>
          <w:p>
            <w:pPr>
              <w:adjustRightInd w:val="0"/>
              <w:snapToGrid w:val="0"/>
              <w:spacing w:before="50" w:line="360" w:lineRule="auto"/>
              <w:ind w:left="-88" w:leftChars="-42"/>
              <w:jc w:val="center"/>
              <w:rPr>
                <w:rFonts w:ascii="宋体" w:hAnsi="宋体" w:eastAsia="宋体"/>
                <w:color w:val="auto"/>
                <w:szCs w:val="21"/>
              </w:rPr>
            </w:pPr>
            <w:r>
              <w:rPr>
                <w:rFonts w:hint="eastAsia" w:ascii="宋体" w:hAnsi="宋体" w:eastAsia="宋体"/>
                <w:bCs/>
                <w:color w:val="auto"/>
                <w:szCs w:val="21"/>
              </w:rPr>
              <w:t>序</w:t>
            </w:r>
            <w:r>
              <w:rPr>
                <w:rFonts w:hint="eastAsia" w:ascii="宋体" w:hAnsi="宋体" w:eastAsia="宋体"/>
                <w:color w:val="auto"/>
                <w:szCs w:val="21"/>
              </w:rPr>
              <w:t>号</w:t>
            </w: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r>
              <w:rPr>
                <w:rFonts w:hint="eastAsia" w:ascii="宋体" w:hAnsi="宋体" w:eastAsia="宋体"/>
                <w:color w:val="auto"/>
                <w:szCs w:val="21"/>
              </w:rPr>
              <w:t>招标文件章节</w:t>
            </w:r>
            <w:r>
              <w:rPr>
                <w:rFonts w:hint="eastAsia" w:ascii="宋体" w:hAnsi="宋体" w:eastAsia="宋体"/>
                <w:bCs/>
                <w:color w:val="auto"/>
                <w:szCs w:val="21"/>
              </w:rPr>
              <w:t>条</w:t>
            </w:r>
            <w:r>
              <w:rPr>
                <w:rFonts w:hint="eastAsia" w:ascii="宋体" w:hAnsi="宋体" w:eastAsia="宋体"/>
                <w:color w:val="auto"/>
                <w:szCs w:val="21"/>
              </w:rPr>
              <w:t>款号</w:t>
            </w:r>
          </w:p>
        </w:tc>
        <w:tc>
          <w:tcPr>
            <w:tcW w:w="1985" w:type="dxa"/>
            <w:tcBorders>
              <w:right w:val="single" w:color="auto" w:sz="4" w:space="0"/>
            </w:tcBorders>
            <w:noWrap w:val="0"/>
            <w:vAlign w:val="top"/>
          </w:tcPr>
          <w:p>
            <w:pPr>
              <w:adjustRightInd w:val="0"/>
              <w:snapToGrid w:val="0"/>
              <w:spacing w:before="50" w:line="360" w:lineRule="auto"/>
              <w:jc w:val="center"/>
              <w:rPr>
                <w:color w:val="auto"/>
              </w:rPr>
            </w:pPr>
            <w:r>
              <w:rPr>
                <w:rFonts w:hint="eastAsia"/>
                <w:color w:val="auto"/>
              </w:rPr>
              <w:t>招标文件要求</w:t>
            </w:r>
          </w:p>
        </w:tc>
        <w:tc>
          <w:tcPr>
            <w:tcW w:w="2126" w:type="dxa"/>
            <w:tcBorders>
              <w:left w:val="single" w:color="auto" w:sz="4" w:space="0"/>
            </w:tcBorders>
            <w:noWrap w:val="0"/>
            <w:vAlign w:val="top"/>
          </w:tcPr>
          <w:p>
            <w:pPr>
              <w:adjustRightInd w:val="0"/>
              <w:snapToGrid w:val="0"/>
              <w:spacing w:before="50" w:line="360" w:lineRule="auto"/>
              <w:jc w:val="center"/>
              <w:rPr>
                <w:color w:val="auto"/>
              </w:rPr>
            </w:pPr>
            <w:r>
              <w:rPr>
                <w:rFonts w:hint="eastAsia"/>
                <w:color w:val="auto"/>
              </w:rPr>
              <w:t>投标文件应答</w:t>
            </w:r>
          </w:p>
        </w:tc>
        <w:tc>
          <w:tcPr>
            <w:tcW w:w="1756" w:type="dxa"/>
            <w:noWrap w:val="0"/>
            <w:vAlign w:val="center"/>
          </w:tcPr>
          <w:p>
            <w:pPr>
              <w:adjustRightInd w:val="0"/>
              <w:snapToGrid w:val="0"/>
              <w:spacing w:before="50" w:line="360" w:lineRule="auto"/>
              <w:ind w:left="-88" w:leftChars="-42"/>
              <w:jc w:val="center"/>
              <w:rPr>
                <w:rFonts w:ascii="宋体" w:hAnsi="宋体" w:eastAsia="宋体"/>
                <w:color w:val="auto"/>
                <w:szCs w:val="21"/>
              </w:rPr>
            </w:pPr>
            <w:r>
              <w:rPr>
                <w:rFonts w:hint="eastAsia" w:ascii="宋体" w:hAnsi="宋体" w:eastAsia="宋体"/>
                <w:color w:val="auto"/>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126"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756"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126"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756"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126"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756"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126"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756"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126" w:type="dxa"/>
            <w:tcBorders>
              <w:lef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756"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2410" w:type="dxa"/>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1985" w:type="dxa"/>
            <w:tcBorders>
              <w:right w:val="single" w:color="auto" w:sz="4" w:space="0"/>
            </w:tcBorders>
            <w:noWrap w:val="0"/>
            <w:vAlign w:val="center"/>
          </w:tcPr>
          <w:p>
            <w:pPr>
              <w:adjustRightInd w:val="0"/>
              <w:snapToGrid w:val="0"/>
              <w:spacing w:before="50" w:line="360" w:lineRule="auto"/>
              <w:ind w:left="-88" w:leftChars="-42"/>
              <w:jc w:val="center"/>
              <w:rPr>
                <w:rFonts w:ascii="宋体" w:hAnsi="宋体" w:eastAsia="宋体"/>
                <w:color w:val="auto"/>
                <w:szCs w:val="21"/>
              </w:rPr>
            </w:pPr>
          </w:p>
        </w:tc>
        <w:tc>
          <w:tcPr>
            <w:tcW w:w="3882" w:type="dxa"/>
            <w:gridSpan w:val="2"/>
            <w:tcBorders>
              <w:left w:val="single" w:color="auto" w:sz="4" w:space="0"/>
            </w:tcBorders>
            <w:noWrap w:val="0"/>
            <w:vAlign w:val="center"/>
          </w:tcPr>
          <w:p>
            <w:pPr>
              <w:adjustRightInd w:val="0"/>
              <w:snapToGrid w:val="0"/>
              <w:spacing w:before="50" w:line="360" w:lineRule="auto"/>
              <w:ind w:firstLine="422" w:firstLineChars="200"/>
              <w:rPr>
                <w:rFonts w:ascii="宋体" w:hAnsi="宋体" w:eastAsia="宋体"/>
                <w:color w:val="auto"/>
                <w:szCs w:val="21"/>
              </w:rPr>
            </w:pPr>
            <w:r>
              <w:rPr>
                <w:rFonts w:hint="eastAsia" w:ascii="宋体" w:hAnsi="宋体" w:eastAsia="宋体"/>
                <w:b/>
                <w:color w:val="auto"/>
                <w:szCs w:val="21"/>
              </w:rPr>
              <w:t>投标人保证：除本采购需求偏离表列出的偏离外，我单位对招标文件的其他采购需求条款完全响应，无偏离。</w:t>
            </w:r>
          </w:p>
        </w:tc>
      </w:tr>
    </w:tbl>
    <w:p>
      <w:pPr>
        <w:adjustRightInd w:val="0"/>
        <w:snapToGrid w:val="0"/>
        <w:spacing w:before="50" w:line="360" w:lineRule="auto"/>
        <w:ind w:left="-88" w:leftChars="-42"/>
        <w:rPr>
          <w:rFonts w:ascii="宋体" w:hAnsi="宋体" w:eastAsia="宋体"/>
          <w:color w:val="auto"/>
          <w:szCs w:val="21"/>
        </w:rPr>
      </w:pPr>
      <w:r>
        <w:rPr>
          <w:rFonts w:hint="eastAsia" w:ascii="宋体" w:hAnsi="宋体" w:eastAsia="宋体"/>
          <w:b w:val="0"/>
          <w:bCs/>
          <w:color w:val="auto"/>
          <w:szCs w:val="21"/>
        </w:rPr>
        <w:t>注：</w:t>
      </w:r>
      <w:r>
        <w:rPr>
          <w:rFonts w:hint="eastAsia" w:ascii="宋体" w:hAnsi="宋体"/>
          <w:color w:val="auto"/>
          <w:szCs w:val="21"/>
          <w:lang w:val="en-US" w:eastAsia="zh-CN"/>
        </w:rPr>
        <w:t>1.</w:t>
      </w:r>
      <w:r>
        <w:rPr>
          <w:rFonts w:hint="eastAsia" w:ascii="宋体" w:hAnsi="宋体" w:eastAsia="宋体"/>
          <w:color w:val="auto"/>
          <w:szCs w:val="21"/>
        </w:rPr>
        <w:t>投标人应根据招标文件第五章“采购需求”填写本表；</w:t>
      </w:r>
    </w:p>
    <w:p>
      <w:pPr>
        <w:adjustRightInd w:val="0"/>
        <w:snapToGrid w:val="0"/>
        <w:spacing w:before="50" w:line="360" w:lineRule="auto"/>
        <w:ind w:left="-88" w:leftChars="-42" w:firstLine="420" w:firstLineChars="200"/>
        <w:rPr>
          <w:rFonts w:ascii="宋体" w:hAnsi="宋体" w:eastAsia="宋体"/>
          <w:b/>
          <w:color w:val="auto"/>
          <w:szCs w:val="21"/>
        </w:rPr>
      </w:pPr>
      <w:r>
        <w:rPr>
          <w:rFonts w:hint="eastAsia" w:ascii="宋体" w:hAnsi="宋体"/>
          <w:color w:val="auto"/>
          <w:szCs w:val="21"/>
          <w:lang w:val="en-US" w:eastAsia="zh-CN"/>
        </w:rPr>
        <w:t>2.</w:t>
      </w:r>
      <w:r>
        <w:rPr>
          <w:rFonts w:hint="eastAsia" w:ascii="宋体" w:hAnsi="宋体" w:eastAsia="宋体"/>
          <w:b/>
          <w:color w:val="auto"/>
          <w:szCs w:val="21"/>
        </w:rPr>
        <w:t>投标人如果对招标文件第五章“采购需求”的响应有偏离，应将偏离条款逐条如实应答，并作出说明；</w:t>
      </w:r>
    </w:p>
    <w:p>
      <w:pPr>
        <w:adjustRightInd w:val="0"/>
        <w:snapToGrid w:val="0"/>
        <w:spacing w:before="50" w:line="360" w:lineRule="auto"/>
        <w:ind w:left="-88" w:leftChars="-42" w:firstLine="420" w:firstLineChars="200"/>
        <w:rPr>
          <w:rFonts w:ascii="宋体" w:hAnsi="宋体" w:eastAsia="宋体"/>
          <w:color w:val="auto"/>
          <w:szCs w:val="21"/>
        </w:rPr>
      </w:pPr>
      <w:r>
        <w:rPr>
          <w:rFonts w:hint="eastAsia" w:ascii="宋体" w:hAnsi="宋体"/>
          <w:color w:val="auto"/>
          <w:szCs w:val="21"/>
          <w:lang w:val="en-US" w:eastAsia="zh-CN"/>
        </w:rPr>
        <w:t>3.</w:t>
      </w:r>
      <w:r>
        <w:rPr>
          <w:rFonts w:hint="eastAsia" w:ascii="宋体" w:hAnsi="宋体" w:eastAsia="宋体"/>
          <w:color w:val="auto"/>
          <w:szCs w:val="21"/>
        </w:rPr>
        <w:t>如不提供此表，则视为投标人不满足招标文件第五章的所有条款要求，其</w:t>
      </w:r>
      <w:r>
        <w:rPr>
          <w:rFonts w:hint="eastAsia" w:ascii="宋体" w:hAnsi="宋体" w:eastAsia="宋体"/>
          <w:b/>
          <w:color w:val="auto"/>
          <w:szCs w:val="21"/>
        </w:rPr>
        <w:t>投标无效</w:t>
      </w:r>
      <w:r>
        <w:rPr>
          <w:rFonts w:hint="eastAsia" w:ascii="宋体" w:hAnsi="宋体" w:eastAsia="宋体"/>
          <w:color w:val="auto"/>
          <w:szCs w:val="21"/>
        </w:rPr>
        <w:t>。</w:t>
      </w:r>
    </w:p>
    <w:p>
      <w:pPr>
        <w:adjustRightInd w:val="0"/>
        <w:snapToGrid w:val="0"/>
        <w:spacing w:before="50" w:line="360" w:lineRule="auto"/>
        <w:ind w:left="-88" w:leftChars="-42" w:firstLine="420" w:firstLineChars="200"/>
        <w:rPr>
          <w:rFonts w:ascii="宋体" w:hAnsi="宋体" w:eastAsia="宋体"/>
          <w:color w:val="auto"/>
          <w:szCs w:val="21"/>
        </w:rPr>
      </w:pPr>
      <w:r>
        <w:rPr>
          <w:rFonts w:hint="eastAsia" w:ascii="宋体" w:hAnsi="宋体"/>
          <w:color w:val="auto"/>
          <w:szCs w:val="21"/>
          <w:lang w:val="en-US" w:eastAsia="zh-CN"/>
        </w:rPr>
        <w:t>4.</w:t>
      </w:r>
      <w:r>
        <w:rPr>
          <w:rFonts w:hint="eastAsia" w:ascii="宋体" w:hAnsi="宋体" w:eastAsia="宋体"/>
          <w:color w:val="auto"/>
          <w:szCs w:val="21"/>
        </w:rPr>
        <w:t>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adjustRightInd w:val="0"/>
        <w:snapToGrid w:val="0"/>
        <w:spacing w:before="50" w:line="360" w:lineRule="auto"/>
        <w:ind w:left="-88" w:leftChars="-42" w:firstLine="420" w:firstLineChars="200"/>
        <w:rPr>
          <w:rFonts w:ascii="宋体" w:hAnsi="宋体" w:eastAsia="宋体"/>
          <w:color w:val="auto"/>
          <w:szCs w:val="21"/>
        </w:rPr>
      </w:pPr>
      <w:r>
        <w:rPr>
          <w:rFonts w:hint="eastAsia" w:ascii="宋体" w:hAnsi="宋体"/>
          <w:color w:val="auto"/>
          <w:szCs w:val="21"/>
          <w:lang w:val="en-US" w:eastAsia="zh-CN"/>
        </w:rPr>
        <w:t>5.</w:t>
      </w:r>
      <w:r>
        <w:rPr>
          <w:rFonts w:hint="eastAsia" w:ascii="宋体" w:hAnsi="宋体" w:eastAsia="宋体"/>
          <w:color w:val="auto"/>
          <w:szCs w:val="21"/>
        </w:rPr>
        <w:t>本表偏离表与本章第七节“采购需求响应”不一致时，以“采购需求响应”为准。</w:t>
      </w:r>
    </w:p>
    <w:p>
      <w:pPr>
        <w:adjustRightInd w:val="0"/>
        <w:snapToGrid w:val="0"/>
        <w:spacing w:before="50" w:line="360" w:lineRule="auto"/>
        <w:rPr>
          <w:rFonts w:ascii="宋体" w:hAnsi="宋体" w:eastAsia="宋体"/>
          <w:color w:val="auto"/>
          <w:szCs w:val="21"/>
        </w:rPr>
      </w:pPr>
    </w:p>
    <w:p>
      <w:pPr>
        <w:adjustRightInd w:val="0"/>
        <w:snapToGrid w:val="0"/>
        <w:spacing w:before="50" w:line="360" w:lineRule="auto"/>
        <w:rPr>
          <w:rFonts w:ascii="宋体" w:hAnsi="宋体"/>
          <w:color w:val="auto"/>
          <w:szCs w:val="21"/>
        </w:rPr>
      </w:pPr>
    </w:p>
    <w:p>
      <w:pPr>
        <w:adjustRightInd w:val="0"/>
        <w:snapToGrid w:val="0"/>
        <w:spacing w:before="50" w:line="360" w:lineRule="auto"/>
        <w:rPr>
          <w:rFonts w:ascii="宋体" w:hAnsi="宋体"/>
          <w:color w:val="auto"/>
          <w:szCs w:val="21"/>
        </w:rPr>
      </w:pPr>
      <w:r>
        <w:rPr>
          <w:rFonts w:hint="eastAsia" w:ascii="宋体" w:hAnsi="宋体"/>
          <w:color w:val="auto"/>
          <w:szCs w:val="21"/>
        </w:rPr>
        <w:t>投标人名称（盖单位章）：</w:t>
      </w:r>
    </w:p>
    <w:p>
      <w:pPr>
        <w:adjustRightInd w:val="0"/>
        <w:snapToGrid w:val="0"/>
        <w:spacing w:before="50" w:line="360" w:lineRule="auto"/>
        <w:rPr>
          <w:rFonts w:ascii="宋体" w:hAnsi="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color w:val="auto"/>
          <w:szCs w:val="21"/>
        </w:rPr>
        <w:t>或其授权的代理人（签字或印章）：</w:t>
      </w:r>
      <w:r>
        <w:rPr>
          <w:rFonts w:hint="eastAsia" w:ascii="宋体" w:hAnsi="宋体"/>
          <w:color w:val="auto"/>
          <w:szCs w:val="21"/>
          <w:u w:val="single"/>
        </w:rPr>
        <w:t xml:space="preserve">                     </w:t>
      </w:r>
    </w:p>
    <w:p>
      <w:pPr>
        <w:adjustRightInd w:val="0"/>
        <w:snapToGrid w:val="0"/>
        <w:spacing w:before="50" w:line="360" w:lineRule="auto"/>
        <w:rPr>
          <w:rFonts w:ascii="宋体" w:hAnsi="宋体"/>
          <w:color w:val="auto"/>
          <w:szCs w:val="21"/>
        </w:rPr>
      </w:pPr>
      <w:r>
        <w:rPr>
          <w:rFonts w:hint="eastAsia" w:ascii="宋体" w:hAnsi="宋体"/>
          <w:color w:val="auto"/>
          <w:szCs w:val="21"/>
        </w:rPr>
        <w:t>日      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pStyle w:val="4"/>
        <w:adjustRightInd w:val="0"/>
        <w:snapToGrid w:val="0"/>
        <w:spacing w:before="0" w:after="0" w:line="360" w:lineRule="auto"/>
        <w:jc w:val="both"/>
        <w:rPr>
          <w:rFonts w:ascii="宋体" w:hAnsi="宋体"/>
          <w:color w:val="auto"/>
          <w:szCs w:val="21"/>
        </w:rPr>
        <w:sectPr>
          <w:pgSz w:w="11906" w:h="16838"/>
          <w:pgMar w:top="1474" w:right="1474" w:bottom="1474" w:left="1474" w:header="851" w:footer="992" w:gutter="0"/>
          <w:pgNumType w:fmt="decimal"/>
          <w:cols w:space="720" w:num="1"/>
          <w:docGrid w:type="lines" w:linePitch="312" w:charSpace="0"/>
        </w:sectPr>
      </w:pPr>
    </w:p>
    <w:p>
      <w:pPr>
        <w:pStyle w:val="4"/>
        <w:adjustRightInd w:val="0"/>
        <w:snapToGrid w:val="0"/>
        <w:spacing w:before="0" w:after="0" w:line="360" w:lineRule="auto"/>
        <w:jc w:val="center"/>
        <w:rPr>
          <w:rFonts w:ascii="黑体" w:hAnsi="宋体" w:eastAsia="黑体"/>
          <w:color w:val="auto"/>
          <w:sz w:val="28"/>
          <w:szCs w:val="28"/>
        </w:rPr>
      </w:pPr>
      <w:bookmarkStart w:id="86" w:name="_Toc14248"/>
      <w:r>
        <w:rPr>
          <w:rFonts w:hint="eastAsia" w:ascii="宋体" w:hAnsi="宋体"/>
          <w:color w:val="auto"/>
          <w:szCs w:val="21"/>
        </w:rPr>
        <w:t>十</w:t>
      </w:r>
      <w:r>
        <w:rPr>
          <w:rFonts w:hint="eastAsia" w:ascii="黑体" w:hAnsi="宋体" w:eastAsia="黑体"/>
          <w:color w:val="auto"/>
          <w:sz w:val="28"/>
          <w:szCs w:val="28"/>
        </w:rPr>
        <w:t>、享受政府采购政策优惠的证明资料</w:t>
      </w:r>
      <w:bookmarkEnd w:id="86"/>
    </w:p>
    <w:p>
      <w:pPr>
        <w:adjustRightInd w:val="0"/>
        <w:snapToGrid w:val="0"/>
        <w:spacing w:line="360" w:lineRule="auto"/>
        <w:rPr>
          <w:rFonts w:ascii="黑体" w:hAnsi="华文中宋" w:eastAsia="黑体" w:cs="宋体"/>
          <w:bCs/>
          <w:color w:val="auto"/>
          <w:spacing w:val="6"/>
          <w:kern w:val="0"/>
          <w:szCs w:val="21"/>
        </w:rPr>
      </w:pPr>
    </w:p>
    <w:p>
      <w:pPr>
        <w:adjustRightInd w:val="0"/>
        <w:snapToGrid w:val="0"/>
        <w:spacing w:line="360" w:lineRule="auto"/>
        <w:ind w:firstLine="444" w:firstLineChars="200"/>
        <w:rPr>
          <w:rFonts w:ascii="宋体" w:hAnsi="宋体" w:eastAsia="宋体" w:cs="宋体"/>
          <w:bCs/>
          <w:color w:val="auto"/>
          <w:spacing w:val="6"/>
          <w:kern w:val="0"/>
          <w:szCs w:val="21"/>
        </w:rPr>
      </w:pPr>
      <w:r>
        <w:rPr>
          <w:rFonts w:hint="eastAsia" w:ascii="宋体" w:hAnsi="宋体" w:eastAsia="宋体" w:cs="宋体"/>
          <w:bCs/>
          <w:color w:val="auto"/>
          <w:spacing w:val="6"/>
          <w:kern w:val="0"/>
          <w:szCs w:val="21"/>
        </w:rPr>
        <w:t>投标人符合第二章第33.6款要求的，应提供下列证明资料，并填写相关数据。否则，评审时不予以考虑。</w:t>
      </w:r>
    </w:p>
    <w:p>
      <w:pPr>
        <w:adjustRightInd w:val="0"/>
        <w:snapToGrid w:val="0"/>
        <w:spacing w:line="360" w:lineRule="auto"/>
        <w:rPr>
          <w:rFonts w:ascii="黑体" w:hAnsi="华文中宋" w:eastAsia="黑体" w:cs="宋体"/>
          <w:bCs/>
          <w:color w:val="auto"/>
          <w:spacing w:val="6"/>
          <w:kern w:val="0"/>
          <w:szCs w:val="21"/>
        </w:rPr>
      </w:pPr>
    </w:p>
    <w:p>
      <w:pPr>
        <w:pStyle w:val="5"/>
        <w:rPr>
          <w:rFonts w:ascii="黑体" w:hAnsi="宋体"/>
          <w:b w:val="0"/>
          <w:bCs w:val="0"/>
          <w:color w:val="auto"/>
          <w:sz w:val="21"/>
          <w:szCs w:val="21"/>
        </w:rPr>
      </w:pPr>
      <w:bookmarkStart w:id="87" w:name="_Toc20231"/>
      <w:r>
        <w:rPr>
          <w:rFonts w:hint="eastAsia" w:ascii="黑体" w:hAnsi="华文中宋" w:cs="宋体"/>
          <w:b w:val="0"/>
          <w:bCs w:val="0"/>
          <w:color w:val="auto"/>
          <w:spacing w:val="6"/>
          <w:kern w:val="0"/>
          <w:sz w:val="21"/>
          <w:szCs w:val="21"/>
        </w:rPr>
        <w:t xml:space="preserve">附件10-1 </w:t>
      </w:r>
      <w:r>
        <w:rPr>
          <w:rFonts w:hint="eastAsia" w:ascii="黑体" w:hAnsi="宋体"/>
          <w:b w:val="0"/>
          <w:bCs w:val="0"/>
          <w:color w:val="auto"/>
          <w:sz w:val="21"/>
          <w:szCs w:val="21"/>
        </w:rPr>
        <w:t>中小企业声明函</w:t>
      </w:r>
      <w:bookmarkEnd w:id="87"/>
    </w:p>
    <w:p>
      <w:pPr>
        <w:widowControl/>
        <w:adjustRightInd w:val="0"/>
        <w:snapToGrid w:val="0"/>
        <w:spacing w:line="360" w:lineRule="auto"/>
        <w:jc w:val="center"/>
        <w:rPr>
          <w:rFonts w:ascii="黑体" w:hAnsi="黑体" w:eastAsia="黑体" w:cs="宋体"/>
          <w:b/>
          <w:bCs/>
          <w:color w:val="auto"/>
          <w:spacing w:val="6"/>
          <w:kern w:val="0"/>
          <w:sz w:val="28"/>
          <w:szCs w:val="28"/>
        </w:rPr>
      </w:pPr>
      <w:r>
        <w:rPr>
          <w:rFonts w:hint="eastAsia" w:ascii="黑体" w:hAnsi="黑体" w:eastAsia="黑体" w:cs="黑体"/>
          <w:b/>
          <w:bCs/>
          <w:color w:val="auto"/>
          <w:spacing w:val="6"/>
          <w:kern w:val="0"/>
          <w:sz w:val="28"/>
          <w:szCs w:val="28"/>
        </w:rPr>
        <w:t>中小企业声明函（货物类）</w:t>
      </w:r>
    </w:p>
    <w:p>
      <w:pPr>
        <w:widowControl/>
        <w:adjustRightInd w:val="0"/>
        <w:snapToGrid w:val="0"/>
        <w:spacing w:line="360" w:lineRule="auto"/>
        <w:jc w:val="center"/>
        <w:rPr>
          <w:rFonts w:ascii="宋体" w:hAnsi="宋体" w:cs="宋体"/>
          <w:color w:val="auto"/>
          <w:kern w:val="0"/>
          <w:szCs w:val="21"/>
          <w:lang w:bidi="ar"/>
        </w:rPr>
      </w:pPr>
      <w:r>
        <w:rPr>
          <w:rFonts w:hint="eastAsia" w:ascii="宋体" w:hAnsi="宋体" w:cs="宋体"/>
          <w:b/>
          <w:color w:val="auto"/>
          <w:spacing w:val="6"/>
          <w:kern w:val="0"/>
          <w:szCs w:val="21"/>
        </w:rPr>
        <w:t>(不满足以下条件的无需填写)</w:t>
      </w:r>
    </w:p>
    <w:p>
      <w:pPr>
        <w:widowControl/>
        <w:spacing w:line="360" w:lineRule="auto"/>
        <w:ind w:firstLine="420" w:firstLineChars="200"/>
        <w:jc w:val="left"/>
        <w:rPr>
          <w:rFonts w:ascii="宋体" w:hAnsi="宋体" w:cs="宋体"/>
          <w:color w:val="auto"/>
          <w:szCs w:val="21"/>
        </w:rPr>
      </w:pPr>
      <w:r>
        <w:rPr>
          <w:rFonts w:hint="eastAsia" w:ascii="宋体" w:hAnsi="宋体" w:cs="宋体"/>
          <w:color w:val="auto"/>
          <w:kern w:val="0"/>
          <w:szCs w:val="21"/>
          <w:lang w:bidi="ar"/>
        </w:rPr>
        <w:t>本公司（联合体）郑重声明，根据《政府采购促进中小企业发展管理办法》（财库﹝2020﹞46 号）的规定，本公司（联合体）参加</w:t>
      </w:r>
      <w:r>
        <w:rPr>
          <w:rFonts w:hint="eastAsia" w:ascii="宋体" w:hAnsi="宋体" w:cs="宋体"/>
          <w:color w:val="auto"/>
          <w:kern w:val="0"/>
          <w:szCs w:val="21"/>
          <w:u w:val="single"/>
          <w:lang w:bidi="ar"/>
        </w:rPr>
        <w:t>（单位名称）</w:t>
      </w:r>
      <w:r>
        <w:rPr>
          <w:rFonts w:hint="eastAsia" w:ascii="宋体" w:hAnsi="宋体" w:cs="宋体"/>
          <w:color w:val="auto"/>
          <w:kern w:val="0"/>
          <w:szCs w:val="21"/>
          <w:lang w:bidi="ar"/>
        </w:rPr>
        <w:t>的</w:t>
      </w:r>
      <w:r>
        <w:rPr>
          <w:rFonts w:hint="eastAsia" w:ascii="宋体" w:hAnsi="宋体" w:cs="宋体"/>
          <w:color w:val="auto"/>
          <w:kern w:val="0"/>
          <w:szCs w:val="21"/>
          <w:u w:val="single"/>
          <w:lang w:bidi="ar"/>
        </w:rPr>
        <w:t>（项目名称）</w:t>
      </w:r>
      <w:r>
        <w:rPr>
          <w:rFonts w:hint="eastAsia" w:ascii="宋体" w:hAnsi="宋体" w:cs="宋体"/>
          <w:color w:val="auto"/>
          <w:kern w:val="0"/>
          <w:szCs w:val="21"/>
          <w:lang w:bidi="ar"/>
        </w:rPr>
        <w:t xml:space="preserve">采购活动，提供的货物全部由符合政策要求的中小企业制造。相关企业（含联合体中的中小企业、签订分包意向协议的中小企业）的具体情况如下： </w:t>
      </w:r>
    </w:p>
    <w:p>
      <w:pPr>
        <w:widowControl/>
        <w:spacing w:line="360" w:lineRule="auto"/>
        <w:ind w:firstLine="420" w:firstLineChars="200"/>
        <w:jc w:val="left"/>
        <w:rPr>
          <w:rFonts w:ascii="宋体" w:hAnsi="宋体" w:cs="宋体"/>
          <w:color w:val="auto"/>
          <w:szCs w:val="21"/>
        </w:rPr>
      </w:pPr>
      <w:r>
        <w:rPr>
          <w:rFonts w:hint="eastAsia" w:ascii="宋体" w:hAnsi="宋体" w:cs="宋体"/>
          <w:color w:val="auto"/>
          <w:kern w:val="0"/>
          <w:szCs w:val="21"/>
          <w:lang w:bidi="ar"/>
        </w:rPr>
        <w:t xml:space="preserve">1. </w:t>
      </w:r>
      <w:r>
        <w:rPr>
          <w:rFonts w:hint="eastAsia" w:ascii="宋体" w:hAnsi="宋体" w:cs="宋体"/>
          <w:color w:val="auto"/>
          <w:kern w:val="0"/>
          <w:szCs w:val="21"/>
          <w:u w:val="single"/>
          <w:lang w:bidi="ar"/>
        </w:rPr>
        <w:t xml:space="preserve">（标的名称） </w:t>
      </w:r>
      <w:r>
        <w:rPr>
          <w:rFonts w:hint="eastAsia" w:ascii="宋体" w:hAnsi="宋体" w:cs="宋体"/>
          <w:color w:val="auto"/>
          <w:kern w:val="0"/>
          <w:szCs w:val="21"/>
          <w:lang w:bidi="ar"/>
        </w:rPr>
        <w:t>，属于</w:t>
      </w:r>
      <w:r>
        <w:rPr>
          <w:rFonts w:hint="eastAsia" w:ascii="宋体" w:hAnsi="宋体" w:cs="宋体"/>
          <w:color w:val="auto"/>
          <w:kern w:val="0"/>
          <w:szCs w:val="21"/>
          <w:u w:val="single"/>
          <w:lang w:bidi="ar"/>
        </w:rPr>
        <w:t>（采购文件中明确的所属行业）</w:t>
      </w:r>
      <w:r>
        <w:rPr>
          <w:rFonts w:hint="eastAsia" w:ascii="宋体" w:hAnsi="宋体" w:cs="宋体"/>
          <w:color w:val="auto"/>
          <w:kern w:val="0"/>
          <w:szCs w:val="21"/>
          <w:lang w:bidi="ar"/>
        </w:rPr>
        <w:t>行业；制造商为</w:t>
      </w:r>
      <w:r>
        <w:rPr>
          <w:rFonts w:hint="eastAsia" w:ascii="宋体" w:hAnsi="宋体" w:cs="宋体"/>
          <w:color w:val="auto"/>
          <w:kern w:val="0"/>
          <w:szCs w:val="21"/>
          <w:u w:val="single"/>
          <w:lang w:bidi="ar"/>
        </w:rPr>
        <w:t>（企业名称）</w:t>
      </w:r>
      <w:r>
        <w:rPr>
          <w:rFonts w:hint="eastAsia" w:ascii="宋体" w:hAnsi="宋体" w:cs="宋体"/>
          <w:color w:val="auto"/>
          <w:kern w:val="0"/>
          <w:szCs w:val="21"/>
          <w:lang w:bidi="ar"/>
        </w:rPr>
        <w:t>，从业人员</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人，营业收入为</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万元，资产总额为</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万元，属于</w:t>
      </w:r>
      <w:r>
        <w:rPr>
          <w:rFonts w:hint="eastAsia" w:ascii="宋体" w:hAnsi="宋体" w:cs="宋体"/>
          <w:color w:val="auto"/>
          <w:kern w:val="0"/>
          <w:szCs w:val="21"/>
          <w:u w:val="single"/>
          <w:lang w:bidi="ar"/>
        </w:rPr>
        <w:t>（中型企业、小型企业、微型企业）</w:t>
      </w:r>
      <w:r>
        <w:rPr>
          <w:rFonts w:hint="eastAsia" w:ascii="宋体" w:hAnsi="宋体" w:cs="宋体"/>
          <w:color w:val="auto"/>
          <w:kern w:val="0"/>
          <w:szCs w:val="21"/>
          <w:lang w:bidi="ar"/>
        </w:rPr>
        <w:t xml:space="preserve">； </w:t>
      </w:r>
    </w:p>
    <w:p>
      <w:pPr>
        <w:widowControl/>
        <w:spacing w:line="360" w:lineRule="auto"/>
        <w:ind w:firstLine="420" w:firstLineChars="200"/>
        <w:jc w:val="left"/>
        <w:rPr>
          <w:rFonts w:ascii="宋体" w:hAnsi="宋体" w:cs="宋体"/>
          <w:color w:val="auto"/>
          <w:szCs w:val="21"/>
        </w:rPr>
      </w:pPr>
      <w:r>
        <w:rPr>
          <w:rFonts w:hint="eastAsia" w:ascii="宋体" w:hAnsi="宋体" w:cs="宋体"/>
          <w:color w:val="auto"/>
          <w:kern w:val="0"/>
          <w:szCs w:val="21"/>
          <w:lang w:bidi="ar"/>
        </w:rPr>
        <w:t xml:space="preserve">2. </w:t>
      </w:r>
      <w:r>
        <w:rPr>
          <w:rFonts w:hint="eastAsia" w:ascii="宋体" w:hAnsi="宋体" w:cs="宋体"/>
          <w:color w:val="auto"/>
          <w:kern w:val="0"/>
          <w:szCs w:val="21"/>
          <w:u w:val="single"/>
          <w:lang w:bidi="ar"/>
        </w:rPr>
        <w:t xml:space="preserve">（标的名称） </w:t>
      </w:r>
      <w:r>
        <w:rPr>
          <w:rFonts w:hint="eastAsia" w:ascii="宋体" w:hAnsi="宋体" w:cs="宋体"/>
          <w:color w:val="auto"/>
          <w:kern w:val="0"/>
          <w:szCs w:val="21"/>
          <w:lang w:bidi="ar"/>
        </w:rPr>
        <w:t>，属于</w:t>
      </w:r>
      <w:r>
        <w:rPr>
          <w:rFonts w:hint="eastAsia" w:ascii="宋体" w:hAnsi="宋体" w:cs="宋体"/>
          <w:color w:val="auto"/>
          <w:kern w:val="0"/>
          <w:szCs w:val="21"/>
          <w:u w:val="single"/>
          <w:lang w:bidi="ar"/>
        </w:rPr>
        <w:t>（采购文件中明确的所属行业）</w:t>
      </w:r>
      <w:r>
        <w:rPr>
          <w:rFonts w:hint="eastAsia" w:ascii="宋体" w:hAnsi="宋体" w:cs="宋体"/>
          <w:color w:val="auto"/>
          <w:kern w:val="0"/>
          <w:szCs w:val="21"/>
          <w:lang w:bidi="ar"/>
        </w:rPr>
        <w:t>行业；制造商为</w:t>
      </w:r>
      <w:r>
        <w:rPr>
          <w:rFonts w:hint="eastAsia" w:ascii="宋体" w:hAnsi="宋体" w:cs="宋体"/>
          <w:color w:val="auto"/>
          <w:kern w:val="0"/>
          <w:szCs w:val="21"/>
          <w:u w:val="single"/>
          <w:lang w:bidi="ar"/>
        </w:rPr>
        <w:t>（企业名称）</w:t>
      </w:r>
      <w:r>
        <w:rPr>
          <w:rFonts w:hint="eastAsia" w:ascii="宋体" w:hAnsi="宋体" w:cs="宋体"/>
          <w:color w:val="auto"/>
          <w:kern w:val="0"/>
          <w:szCs w:val="21"/>
          <w:lang w:bidi="ar"/>
        </w:rPr>
        <w:t>，从业人员</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人，营业收入为</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万元，资产总额为</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万元，属于</w:t>
      </w:r>
      <w:r>
        <w:rPr>
          <w:rFonts w:hint="eastAsia" w:ascii="宋体" w:hAnsi="宋体" w:cs="宋体"/>
          <w:color w:val="auto"/>
          <w:kern w:val="0"/>
          <w:szCs w:val="21"/>
          <w:u w:val="single"/>
          <w:lang w:bidi="ar"/>
        </w:rPr>
        <w:t>（中型企业、小型企业、微型企业）</w:t>
      </w:r>
      <w:r>
        <w:rPr>
          <w:rFonts w:hint="eastAsia" w:ascii="宋体" w:hAnsi="宋体" w:cs="宋体"/>
          <w:color w:val="auto"/>
          <w:kern w:val="0"/>
          <w:szCs w:val="21"/>
          <w:lang w:bidi="ar"/>
        </w:rPr>
        <w:t xml:space="preserve">；  </w:t>
      </w:r>
    </w:p>
    <w:p>
      <w:pPr>
        <w:widowControl/>
        <w:spacing w:line="360" w:lineRule="auto"/>
        <w:ind w:firstLine="420" w:firstLineChars="200"/>
        <w:jc w:val="left"/>
        <w:rPr>
          <w:rFonts w:ascii="宋体" w:hAnsi="宋体" w:cs="宋体"/>
          <w:color w:val="auto"/>
          <w:szCs w:val="21"/>
        </w:rPr>
      </w:pPr>
      <w:r>
        <w:rPr>
          <w:rFonts w:hint="eastAsia" w:ascii="宋体" w:hAnsi="宋体" w:cs="宋体"/>
          <w:color w:val="auto"/>
          <w:kern w:val="0"/>
          <w:szCs w:val="21"/>
          <w:lang w:bidi="ar"/>
        </w:rPr>
        <w:t>……</w:t>
      </w:r>
    </w:p>
    <w:p>
      <w:pPr>
        <w:widowControl/>
        <w:spacing w:line="360" w:lineRule="auto"/>
        <w:ind w:firstLine="420" w:firstLineChars="200"/>
        <w:jc w:val="left"/>
        <w:rPr>
          <w:rFonts w:ascii="宋体" w:hAnsi="宋体" w:cs="宋体"/>
          <w:color w:val="auto"/>
          <w:szCs w:val="21"/>
        </w:rPr>
      </w:pPr>
      <w:r>
        <w:rPr>
          <w:rFonts w:hint="eastAsia" w:ascii="宋体" w:hAnsi="宋体" w:cs="宋体"/>
          <w:color w:val="auto"/>
          <w:kern w:val="0"/>
          <w:szCs w:val="21"/>
          <w:lang w:bidi="ar"/>
        </w:rPr>
        <w:t xml:space="preserve">以上企业，不属于大企业的分支机构，不存在控股股东为大企业的情形，也不存在与大企业的负责人为同一人的情形。本企业对上述声明内容的真实性负责。如有虚假，将依法承担相应责任。 </w:t>
      </w:r>
    </w:p>
    <w:p>
      <w:pPr>
        <w:widowControl/>
        <w:spacing w:line="360" w:lineRule="auto"/>
        <w:ind w:firstLine="420" w:firstLineChars="200"/>
        <w:jc w:val="left"/>
        <w:rPr>
          <w:rFonts w:ascii="宋体" w:hAnsi="宋体" w:cs="宋体"/>
          <w:color w:val="auto"/>
          <w:szCs w:val="21"/>
        </w:rPr>
      </w:pPr>
      <w:r>
        <w:rPr>
          <w:rFonts w:hint="eastAsia" w:ascii="宋体" w:hAnsi="宋体" w:cs="宋体"/>
          <w:color w:val="auto"/>
          <w:kern w:val="0"/>
          <w:szCs w:val="21"/>
          <w:lang w:bidi="ar"/>
        </w:rPr>
        <w:t xml:space="preserve">企业名称（盖章）： </w:t>
      </w:r>
    </w:p>
    <w:p>
      <w:pPr>
        <w:widowControl/>
        <w:spacing w:line="360" w:lineRule="auto"/>
        <w:ind w:firstLine="420" w:firstLineChars="200"/>
        <w:jc w:val="left"/>
        <w:rPr>
          <w:rFonts w:ascii="宋体" w:hAnsi="宋体" w:cs="宋体"/>
          <w:color w:val="auto"/>
          <w:szCs w:val="21"/>
        </w:rPr>
      </w:pPr>
      <w:r>
        <w:rPr>
          <w:rFonts w:hint="eastAsia" w:ascii="宋体" w:hAnsi="宋体" w:cs="宋体"/>
          <w:color w:val="auto"/>
          <w:kern w:val="0"/>
          <w:szCs w:val="21"/>
          <w:lang w:bidi="ar"/>
        </w:rPr>
        <w:t xml:space="preserve">日 期： </w:t>
      </w:r>
    </w:p>
    <w:p>
      <w:pPr>
        <w:widowControl/>
        <w:ind w:firstLine="360" w:firstLineChars="200"/>
        <w:jc w:val="left"/>
        <w:rPr>
          <w:rFonts w:ascii="宋体" w:hAnsi="宋体" w:cs="宋体"/>
          <w:color w:val="auto"/>
          <w:kern w:val="0"/>
          <w:sz w:val="18"/>
          <w:szCs w:val="18"/>
          <w:lang w:bidi="ar"/>
        </w:rPr>
      </w:pPr>
    </w:p>
    <w:p>
      <w:pPr>
        <w:widowControl/>
        <w:ind w:firstLine="420" w:firstLineChars="200"/>
        <w:jc w:val="left"/>
        <w:rPr>
          <w:rFonts w:ascii="宋体" w:hAnsi="宋体" w:cs="宋体"/>
          <w:color w:val="auto"/>
          <w:kern w:val="0"/>
          <w:szCs w:val="21"/>
          <w:lang w:bidi="ar"/>
        </w:rPr>
      </w:pPr>
      <w:r>
        <w:rPr>
          <w:rFonts w:hint="eastAsia" w:ascii="宋体" w:hAnsi="宋体" w:cs="宋体"/>
          <w:color w:val="auto"/>
          <w:kern w:val="0"/>
          <w:szCs w:val="21"/>
          <w:lang w:bidi="ar"/>
        </w:rPr>
        <w:t>注：1.属于专门面向中小企业采购的政府采购货物类项目，投标人应按本声明函内容和格式如实声明采购标的制造商的企业规模，未提供本声明函或不符合《政府采购促进中小企业发展管理办法》（财库﹝2020﹞46 号）规定的，其</w:t>
      </w:r>
      <w:r>
        <w:rPr>
          <w:rFonts w:hint="eastAsia" w:ascii="宋体" w:hAnsi="宋体" w:cs="宋体"/>
          <w:b/>
          <w:bCs/>
          <w:color w:val="auto"/>
          <w:kern w:val="0"/>
          <w:szCs w:val="21"/>
          <w:lang w:bidi="ar"/>
        </w:rPr>
        <w:t>投标无效。</w:t>
      </w:r>
    </w:p>
    <w:p>
      <w:pPr>
        <w:widowControl/>
        <w:ind w:firstLine="420" w:firstLineChars="200"/>
        <w:jc w:val="left"/>
        <w:rPr>
          <w:rFonts w:ascii="黑体" w:hAnsi="华文中宋" w:eastAsia="黑体" w:cs="宋体"/>
          <w:bCs/>
          <w:color w:val="auto"/>
          <w:spacing w:val="6"/>
          <w:kern w:val="0"/>
          <w:szCs w:val="21"/>
        </w:rPr>
      </w:pPr>
      <w:r>
        <w:rPr>
          <w:rFonts w:hint="eastAsia" w:ascii="宋体" w:hAnsi="宋体" w:cs="宋体"/>
          <w:color w:val="auto"/>
          <w:kern w:val="0"/>
          <w:szCs w:val="21"/>
          <w:lang w:bidi="ar"/>
        </w:rPr>
        <w:t>2.从业人员、营业收入、资产总额填报上一年度数据，无上一年度数据的新成立企业可不填报。</w:t>
      </w:r>
    </w:p>
    <w:p>
      <w:pPr>
        <w:pStyle w:val="5"/>
        <w:rPr>
          <w:rFonts w:ascii="黑体" w:hAnsi="黑体"/>
          <w:b w:val="0"/>
          <w:bCs w:val="0"/>
          <w:color w:val="auto"/>
          <w:sz w:val="21"/>
          <w:szCs w:val="21"/>
        </w:rPr>
      </w:pPr>
      <w:bookmarkStart w:id="88" w:name="_Toc82155492"/>
      <w:bookmarkStart w:id="89" w:name="_Toc14340"/>
      <w:bookmarkStart w:id="90" w:name="_Toc62206227"/>
      <w:bookmarkStart w:id="91" w:name="_Toc22201164"/>
      <w:r>
        <w:rPr>
          <w:rFonts w:hint="eastAsia" w:ascii="黑体" w:hAnsi="黑体" w:cs="宋体"/>
          <w:b w:val="0"/>
          <w:bCs w:val="0"/>
          <w:color w:val="auto"/>
          <w:kern w:val="0"/>
          <w:sz w:val="21"/>
          <w:szCs w:val="21"/>
        </w:rPr>
        <w:t xml:space="preserve">附件10-2 </w:t>
      </w:r>
      <w:r>
        <w:rPr>
          <w:rFonts w:hint="eastAsia" w:ascii="黑体" w:hAnsi="黑体"/>
          <w:b w:val="0"/>
          <w:bCs w:val="0"/>
          <w:color w:val="auto"/>
          <w:sz w:val="21"/>
          <w:szCs w:val="21"/>
        </w:rPr>
        <w:t>残疾人福利性单位声明函</w:t>
      </w:r>
      <w:bookmarkEnd w:id="88"/>
      <w:bookmarkEnd w:id="89"/>
      <w:bookmarkEnd w:id="90"/>
      <w:bookmarkEnd w:id="91"/>
    </w:p>
    <w:p>
      <w:pPr>
        <w:adjustRightInd w:val="0"/>
        <w:snapToGrid w:val="0"/>
        <w:spacing w:line="360" w:lineRule="auto"/>
        <w:jc w:val="center"/>
        <w:rPr>
          <w:rFonts w:ascii="黑体" w:hAnsi="黑体" w:eastAsia="黑体"/>
          <w:b/>
          <w:color w:val="auto"/>
          <w:spacing w:val="6"/>
          <w:sz w:val="28"/>
          <w:szCs w:val="28"/>
        </w:rPr>
      </w:pPr>
      <w:r>
        <w:rPr>
          <w:rFonts w:hint="eastAsia" w:ascii="黑体" w:hAnsi="黑体" w:eastAsia="黑体"/>
          <w:b/>
          <w:color w:val="auto"/>
          <w:spacing w:val="6"/>
          <w:sz w:val="28"/>
          <w:szCs w:val="28"/>
        </w:rPr>
        <w:t>残疾人福利性单位声明函</w:t>
      </w:r>
    </w:p>
    <w:p>
      <w:pPr>
        <w:adjustRightInd w:val="0"/>
        <w:snapToGrid w:val="0"/>
        <w:spacing w:line="360" w:lineRule="auto"/>
        <w:ind w:firstLine="446" w:firstLineChars="200"/>
        <w:rPr>
          <w:rFonts w:ascii="宋体" w:hAnsi="宋体"/>
          <w:b/>
          <w:color w:val="auto"/>
          <w:spacing w:val="6"/>
          <w:szCs w:val="21"/>
        </w:rPr>
      </w:pPr>
    </w:p>
    <w:p>
      <w:pPr>
        <w:adjustRightInd w:val="0"/>
        <w:snapToGrid w:val="0"/>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本单位郑重声明，根据《财政部民政部中国残疾人联合会关于促进残疾人就业政府采购政策的通知》（财库</w:t>
      </w:r>
      <w:r>
        <w:rPr>
          <w:rFonts w:hint="eastAsia" w:ascii="宋体" w:hAnsi="宋体"/>
          <w:color w:val="auto"/>
          <w:szCs w:val="21"/>
        </w:rPr>
        <w:t>〔2017〕141</w:t>
      </w:r>
      <w:r>
        <w:rPr>
          <w:rFonts w:hint="eastAsia" w:ascii="宋体" w:hAnsi="宋体"/>
          <w:color w:val="auto"/>
          <w:spacing w:val="6"/>
          <w:szCs w:val="21"/>
        </w:rPr>
        <w:t>号）的规定，本单位为符合条件的残疾人福利性单位，且本单位参加</w:t>
      </w:r>
      <w:r>
        <w:rPr>
          <w:rFonts w:hint="eastAsia" w:ascii="宋体" w:hAnsi="宋体"/>
          <w:color w:val="auto"/>
          <w:spacing w:val="6"/>
          <w:szCs w:val="21"/>
          <w:u w:val="single"/>
        </w:rPr>
        <w:t xml:space="preserve">           </w:t>
      </w:r>
      <w:r>
        <w:rPr>
          <w:rFonts w:hint="eastAsia" w:ascii="宋体" w:hAnsi="宋体"/>
          <w:color w:val="auto"/>
          <w:spacing w:val="6"/>
          <w:szCs w:val="21"/>
        </w:rPr>
        <w:t>单位的</w:t>
      </w:r>
      <w:r>
        <w:rPr>
          <w:rFonts w:hint="eastAsia" w:ascii="宋体" w:hAnsi="宋体"/>
          <w:color w:val="auto"/>
          <w:spacing w:val="6"/>
          <w:szCs w:val="21"/>
          <w:u w:val="single"/>
        </w:rPr>
        <w:t xml:space="preserve">           </w:t>
      </w:r>
      <w:r>
        <w:rPr>
          <w:rFonts w:hint="eastAsia" w:ascii="宋体" w:hAnsi="宋体"/>
          <w:color w:val="auto"/>
          <w:spacing w:val="6"/>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本单位对上述声明的真实性负责。如有虚假，将依法承担相应责任。</w:t>
      </w:r>
    </w:p>
    <w:p>
      <w:pPr>
        <w:adjustRightInd w:val="0"/>
        <w:snapToGrid w:val="0"/>
        <w:spacing w:line="360" w:lineRule="auto"/>
        <w:ind w:firstLine="444" w:firstLineChars="200"/>
        <w:rPr>
          <w:rFonts w:ascii="宋体" w:hAnsi="宋体"/>
          <w:color w:val="auto"/>
          <w:spacing w:val="6"/>
          <w:szCs w:val="21"/>
        </w:rPr>
      </w:pPr>
    </w:p>
    <w:p>
      <w:pPr>
        <w:adjustRightInd w:val="0"/>
        <w:snapToGrid w:val="0"/>
        <w:spacing w:line="360" w:lineRule="auto"/>
        <w:ind w:firstLine="444" w:firstLineChars="200"/>
        <w:rPr>
          <w:rFonts w:ascii="宋体" w:hAnsi="宋体"/>
          <w:color w:val="auto"/>
          <w:spacing w:val="6"/>
          <w:szCs w:val="21"/>
        </w:rPr>
      </w:pPr>
    </w:p>
    <w:p>
      <w:pPr>
        <w:tabs>
          <w:tab w:val="left" w:pos="4860"/>
        </w:tabs>
        <w:adjustRightInd w:val="0"/>
        <w:snapToGrid w:val="0"/>
        <w:spacing w:line="360" w:lineRule="auto"/>
        <w:ind w:right="1560" w:firstLine="444" w:firstLineChars="200"/>
        <w:jc w:val="center"/>
        <w:rPr>
          <w:rFonts w:ascii="宋体" w:hAnsi="宋体"/>
          <w:color w:val="auto"/>
          <w:spacing w:val="6"/>
          <w:szCs w:val="21"/>
        </w:rPr>
      </w:pPr>
      <w:r>
        <w:rPr>
          <w:rFonts w:hint="eastAsia" w:ascii="宋体" w:hAnsi="宋体"/>
          <w:color w:val="auto"/>
          <w:spacing w:val="6"/>
          <w:szCs w:val="21"/>
        </w:rPr>
        <w:t xml:space="preserve">               单位名称（盖章）：</w:t>
      </w:r>
    </w:p>
    <w:p>
      <w:pPr>
        <w:tabs>
          <w:tab w:val="left" w:pos="4860"/>
        </w:tabs>
        <w:adjustRightInd w:val="0"/>
        <w:snapToGrid w:val="0"/>
        <w:spacing w:line="360" w:lineRule="auto"/>
        <w:ind w:right="1560" w:firstLine="444" w:firstLineChars="200"/>
        <w:jc w:val="center"/>
        <w:rPr>
          <w:rFonts w:ascii="宋体" w:hAnsi="宋体"/>
          <w:color w:val="auto"/>
          <w:spacing w:val="6"/>
          <w:szCs w:val="21"/>
        </w:rPr>
      </w:pPr>
      <w:r>
        <w:rPr>
          <w:rFonts w:hint="eastAsia" w:ascii="宋体" w:hAnsi="宋体"/>
          <w:color w:val="auto"/>
          <w:spacing w:val="6"/>
          <w:szCs w:val="21"/>
        </w:rPr>
        <w:t xml:space="preserve">       日  期：</w:t>
      </w:r>
    </w:p>
    <w:p>
      <w:pPr>
        <w:widowControl/>
        <w:adjustRightInd w:val="0"/>
        <w:snapToGrid w:val="0"/>
        <w:spacing w:line="360" w:lineRule="auto"/>
        <w:jc w:val="left"/>
        <w:rPr>
          <w:rFonts w:ascii="宋体" w:hAnsi="宋体" w:cs="宋体"/>
          <w:color w:val="auto"/>
          <w:kern w:val="0"/>
          <w:szCs w:val="21"/>
        </w:rPr>
      </w:pPr>
    </w:p>
    <w:p>
      <w:pPr>
        <w:pStyle w:val="5"/>
        <w:rPr>
          <w:rFonts w:ascii="黑体" w:hAnsi="黑体"/>
          <w:color w:val="auto"/>
          <w:sz w:val="21"/>
          <w:szCs w:val="21"/>
        </w:rPr>
      </w:pPr>
      <w:r>
        <w:rPr>
          <w:rFonts w:ascii="黑体" w:hAnsi="华文中宋" w:cs="宋体"/>
          <w:color w:val="auto"/>
          <w:spacing w:val="6"/>
          <w:kern w:val="0"/>
        </w:rPr>
        <w:br w:type="page"/>
      </w:r>
      <w:bookmarkStart w:id="92" w:name="_Toc62206228"/>
      <w:bookmarkStart w:id="93" w:name="_Toc82155493"/>
      <w:bookmarkStart w:id="94" w:name="_Toc31153"/>
      <w:bookmarkStart w:id="95" w:name="_Toc22201165"/>
      <w:r>
        <w:rPr>
          <w:rFonts w:hint="eastAsia" w:ascii="黑体" w:hAnsi="黑体" w:cs="宋体"/>
          <w:b w:val="0"/>
          <w:bCs w:val="0"/>
          <w:color w:val="auto"/>
          <w:kern w:val="0"/>
          <w:sz w:val="21"/>
          <w:szCs w:val="21"/>
        </w:rPr>
        <w:t xml:space="preserve">附件10-3 </w:t>
      </w:r>
      <w:r>
        <w:rPr>
          <w:rFonts w:hint="eastAsia" w:ascii="黑体" w:hAnsi="黑体"/>
          <w:b w:val="0"/>
          <w:bCs w:val="0"/>
          <w:color w:val="auto"/>
          <w:sz w:val="21"/>
          <w:szCs w:val="21"/>
        </w:rPr>
        <w:t>监狱企业证明资料</w:t>
      </w:r>
      <w:bookmarkEnd w:id="92"/>
      <w:bookmarkEnd w:id="93"/>
      <w:bookmarkEnd w:id="94"/>
      <w:bookmarkEnd w:id="95"/>
    </w:p>
    <w:p>
      <w:pPr>
        <w:adjustRightInd w:val="0"/>
        <w:snapToGrid w:val="0"/>
        <w:spacing w:line="360" w:lineRule="auto"/>
        <w:jc w:val="center"/>
        <w:rPr>
          <w:rFonts w:ascii="黑体" w:hAnsi="宋体"/>
          <w:b/>
          <w:color w:val="auto"/>
          <w:sz w:val="28"/>
          <w:szCs w:val="28"/>
        </w:rPr>
      </w:pPr>
      <w:r>
        <w:rPr>
          <w:rFonts w:hint="eastAsia" w:ascii="黑体" w:hAnsi="宋体"/>
          <w:b/>
          <w:color w:val="auto"/>
          <w:sz w:val="28"/>
          <w:szCs w:val="28"/>
        </w:rPr>
        <w:t>监狱企业证明资料</w:t>
      </w:r>
    </w:p>
    <w:p>
      <w:pPr>
        <w:adjustRightInd w:val="0"/>
        <w:snapToGrid w:val="0"/>
        <w:spacing w:line="360" w:lineRule="auto"/>
        <w:rPr>
          <w:rFonts w:ascii="宋体" w:hAnsi="宋体"/>
          <w:b/>
          <w:color w:val="auto"/>
          <w:spacing w:val="6"/>
          <w:szCs w:val="21"/>
        </w:rPr>
      </w:pPr>
    </w:p>
    <w:p>
      <w:pPr>
        <w:adjustRightInd w:val="0"/>
        <w:snapToGrid w:val="0"/>
        <w:spacing w:line="360" w:lineRule="auto"/>
        <w:ind w:firstLine="420" w:firstLineChars="200"/>
        <w:rPr>
          <w:rFonts w:ascii="宋体" w:hAnsi="宋体"/>
          <w:color w:val="auto"/>
          <w:szCs w:val="21"/>
        </w:rPr>
      </w:pPr>
      <w:r>
        <w:rPr>
          <w:rFonts w:hint="eastAsia" w:ascii="宋体" w:hAnsi="宋体" w:eastAsia="宋体"/>
          <w:b w:val="0"/>
          <w:bCs/>
          <w:color w:val="auto"/>
          <w:szCs w:val="21"/>
        </w:rPr>
        <w:t>注</w:t>
      </w:r>
      <w:r>
        <w:rPr>
          <w:rFonts w:hint="eastAsia" w:ascii="宋体" w:hAnsi="宋体" w:cs="宋体"/>
          <w:b w:val="0"/>
          <w:bCs/>
          <w:color w:val="auto"/>
          <w:spacing w:val="6"/>
          <w:kern w:val="0"/>
          <w:szCs w:val="21"/>
        </w:rPr>
        <w:t>：</w:t>
      </w:r>
      <w:r>
        <w:rPr>
          <w:rFonts w:hint="eastAsia" w:ascii="宋体" w:hAnsi="宋体"/>
          <w:color w:val="auto"/>
          <w:szCs w:val="21"/>
        </w:rPr>
        <w:t>按</w:t>
      </w:r>
      <w:r>
        <w:rPr>
          <w:rFonts w:hint="eastAsia" w:ascii="宋体" w:hAnsi="宋体"/>
          <w:color w:val="auto"/>
          <w:spacing w:val="6"/>
          <w:szCs w:val="21"/>
        </w:rPr>
        <w:t>《</w:t>
      </w:r>
      <w:r>
        <w:rPr>
          <w:rFonts w:hint="eastAsia" w:ascii="宋体" w:hAnsi="宋体"/>
          <w:color w:val="auto"/>
          <w:szCs w:val="21"/>
        </w:rPr>
        <w:t>财政部司法部关于政府采购支持监狱企业发展有关问题的通知</w:t>
      </w:r>
      <w:r>
        <w:rPr>
          <w:rFonts w:hint="eastAsia" w:ascii="宋体" w:hAnsi="宋体"/>
          <w:color w:val="auto"/>
          <w:spacing w:val="6"/>
          <w:szCs w:val="21"/>
        </w:rPr>
        <w:t>》</w:t>
      </w:r>
      <w:r>
        <w:rPr>
          <w:rFonts w:hint="eastAsia" w:ascii="宋体" w:hAnsi="宋体"/>
          <w:color w:val="auto"/>
          <w:szCs w:val="21"/>
        </w:rPr>
        <w:t>(财库〔2014〕68号)文件规定提供证明文件。</w:t>
      </w:r>
    </w:p>
    <w:p>
      <w:pPr>
        <w:adjustRightInd w:val="0"/>
        <w:snapToGrid w:val="0"/>
        <w:spacing w:line="360" w:lineRule="auto"/>
        <w:rPr>
          <w:rFonts w:ascii="黑体" w:hAnsi="华文中宋" w:eastAsia="黑体" w:cs="宋体"/>
          <w:bCs/>
          <w:color w:val="auto"/>
          <w:spacing w:val="6"/>
          <w:kern w:val="0"/>
          <w:szCs w:val="21"/>
        </w:rPr>
      </w:pPr>
    </w:p>
    <w:p>
      <w:pPr>
        <w:adjustRightInd w:val="0"/>
        <w:snapToGrid w:val="0"/>
        <w:spacing w:line="192" w:lineRule="auto"/>
        <w:rPr>
          <w:rFonts w:ascii="黑体" w:hAnsi="华文中宋" w:eastAsia="黑体" w:cs="宋体"/>
          <w:bCs/>
          <w:color w:val="auto"/>
          <w:spacing w:val="6"/>
          <w:kern w:val="0"/>
          <w:szCs w:val="21"/>
        </w:rPr>
      </w:pPr>
      <w:r>
        <w:rPr>
          <w:rFonts w:ascii="黑体" w:hAnsi="华文中宋" w:eastAsia="黑体" w:cs="宋体"/>
          <w:bCs/>
          <w:color w:val="auto"/>
          <w:spacing w:val="6"/>
          <w:kern w:val="0"/>
          <w:szCs w:val="21"/>
        </w:rPr>
        <w:br w:type="page"/>
      </w:r>
    </w:p>
    <w:p>
      <w:pPr>
        <w:pStyle w:val="5"/>
        <w:rPr>
          <w:rFonts w:ascii="黑体" w:hAnsi="宋体"/>
          <w:b w:val="0"/>
          <w:bCs w:val="0"/>
          <w:color w:val="auto"/>
          <w:sz w:val="21"/>
          <w:szCs w:val="21"/>
        </w:rPr>
      </w:pPr>
      <w:bookmarkStart w:id="96" w:name="_Toc24815"/>
      <w:r>
        <w:rPr>
          <w:rFonts w:hint="eastAsia" w:ascii="黑体" w:hAnsi="华文中宋" w:cs="宋体"/>
          <w:b w:val="0"/>
          <w:bCs w:val="0"/>
          <w:color w:val="auto"/>
          <w:spacing w:val="6"/>
          <w:kern w:val="0"/>
          <w:sz w:val="21"/>
          <w:szCs w:val="21"/>
        </w:rPr>
        <w:t xml:space="preserve">附件10-4 </w:t>
      </w:r>
      <w:r>
        <w:rPr>
          <w:rFonts w:hint="eastAsia" w:ascii="黑体" w:hAnsi="宋体"/>
          <w:b w:val="0"/>
          <w:bCs w:val="0"/>
          <w:color w:val="auto"/>
          <w:sz w:val="21"/>
          <w:szCs w:val="21"/>
        </w:rPr>
        <w:t>强制采购或者优先采购产品的证明材料</w:t>
      </w:r>
      <w:bookmarkEnd w:id="96"/>
    </w:p>
    <w:p>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强制采购或者优先采购产品</w:t>
      </w:r>
      <w:r>
        <w:rPr>
          <w:rFonts w:hint="eastAsia" w:ascii="黑体" w:hAnsi="黑体" w:eastAsia="黑体"/>
          <w:b/>
          <w:bCs/>
          <w:color w:val="auto"/>
          <w:sz w:val="28"/>
          <w:szCs w:val="28"/>
        </w:rPr>
        <w:t>的</w:t>
      </w:r>
      <w:r>
        <w:rPr>
          <w:rFonts w:hint="eastAsia" w:ascii="黑体" w:hAnsi="黑体" w:eastAsia="黑体"/>
          <w:b/>
          <w:color w:val="auto"/>
          <w:sz w:val="28"/>
          <w:szCs w:val="28"/>
        </w:rPr>
        <w:t>证明材料</w:t>
      </w:r>
    </w:p>
    <w:p>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(不属于强制采购或者优先采购产品的无需提供)</w:t>
      </w:r>
    </w:p>
    <w:p>
      <w:pPr>
        <w:adjustRightInd w:val="0"/>
        <w:snapToGrid w:val="0"/>
        <w:spacing w:line="360" w:lineRule="auto"/>
        <w:ind w:firstLine="420" w:firstLineChars="200"/>
        <w:jc w:val="left"/>
        <w:rPr>
          <w:rFonts w:ascii="宋体" w:hAnsi="宋体" w:eastAsia="宋体"/>
          <w:color w:val="auto"/>
          <w:szCs w:val="21"/>
        </w:rPr>
      </w:pPr>
    </w:p>
    <w:p>
      <w:pPr>
        <w:adjustRightInd w:val="0"/>
        <w:snapToGrid w:val="0"/>
        <w:spacing w:line="360" w:lineRule="auto"/>
        <w:ind w:firstLine="420" w:firstLineChars="200"/>
        <w:jc w:val="left"/>
        <w:rPr>
          <w:rFonts w:ascii="宋体" w:hAnsi="宋体" w:eastAsia="宋体"/>
          <w:color w:val="auto"/>
          <w:szCs w:val="21"/>
        </w:rPr>
      </w:pPr>
      <w:r>
        <w:rPr>
          <w:rFonts w:hint="eastAsia" w:ascii="宋体" w:hAnsi="宋体"/>
          <w:color w:val="auto"/>
          <w:szCs w:val="21"/>
          <w:lang w:val="en-US" w:eastAsia="zh-CN"/>
        </w:rPr>
        <w:t>注</w:t>
      </w:r>
      <w:r>
        <w:rPr>
          <w:rFonts w:hint="eastAsia" w:ascii="宋体" w:hAnsi="宋体" w:eastAsia="宋体"/>
          <w:color w:val="auto"/>
          <w:szCs w:val="21"/>
        </w:rPr>
        <w:t>：投标人提供的产品</w:t>
      </w:r>
      <w:r>
        <w:rPr>
          <w:rFonts w:hint="eastAsia" w:ascii="宋体" w:hAnsi="宋体" w:eastAsia="宋体"/>
          <w:bCs/>
          <w:color w:val="auto"/>
          <w:szCs w:val="21"/>
        </w:rPr>
        <w:t>属于强制采购或者优先采购的</w:t>
      </w:r>
      <w:r>
        <w:rPr>
          <w:rFonts w:hint="eastAsia" w:ascii="宋体" w:hAnsi="宋体" w:eastAsia="宋体"/>
          <w:color w:val="auto"/>
          <w:szCs w:val="21"/>
        </w:rPr>
        <w:t>，应按第二章第33.6款规定提供证明材料和本章本节附页2“优先采购产品清单”，并加盖投标人单位章。</w:t>
      </w:r>
    </w:p>
    <w:p>
      <w:pPr>
        <w:adjustRightInd w:val="0"/>
        <w:snapToGrid w:val="0"/>
        <w:spacing w:line="360" w:lineRule="auto"/>
        <w:ind w:firstLine="420" w:firstLineChars="200"/>
        <w:jc w:val="left"/>
        <w:rPr>
          <w:rFonts w:ascii="宋体" w:hAnsi="宋体" w:eastAsia="宋体"/>
          <w:color w:val="auto"/>
          <w:szCs w:val="21"/>
        </w:rPr>
      </w:pPr>
    </w:p>
    <w:p>
      <w:pPr>
        <w:adjustRightInd w:val="0"/>
        <w:snapToGrid w:val="0"/>
        <w:spacing w:after="159" w:afterLines="50" w:afterAutospacing="0" w:line="192" w:lineRule="auto"/>
        <w:rPr>
          <w:rFonts w:ascii="黑体" w:hAnsi="宋体" w:eastAsia="黑体"/>
          <w:color w:val="auto"/>
          <w:szCs w:val="21"/>
        </w:rPr>
      </w:pPr>
      <w:r>
        <w:rPr>
          <w:rFonts w:ascii="黑体" w:hAnsi="宋体" w:eastAsia="黑体"/>
          <w:b/>
          <w:color w:val="auto"/>
          <w:sz w:val="28"/>
          <w:szCs w:val="28"/>
        </w:rPr>
        <w:br w:type="page"/>
      </w:r>
    </w:p>
    <w:p>
      <w:pPr>
        <w:pStyle w:val="5"/>
        <w:spacing w:before="0" w:beforeAutospacing="0"/>
        <w:jc w:val="left"/>
        <w:rPr>
          <w:rFonts w:ascii="黑体" w:hAnsi="宋体"/>
          <w:b w:val="0"/>
          <w:color w:val="auto"/>
          <w:sz w:val="21"/>
          <w:szCs w:val="21"/>
        </w:rPr>
      </w:pPr>
      <w:bookmarkStart w:id="97" w:name="_Toc32718"/>
      <w:r>
        <w:rPr>
          <w:rFonts w:hint="eastAsia" w:ascii="黑体" w:hAnsi="华文中宋" w:cs="宋体"/>
          <w:b w:val="0"/>
          <w:bCs w:val="0"/>
          <w:color w:val="auto"/>
          <w:spacing w:val="6"/>
          <w:kern w:val="0"/>
          <w:sz w:val="21"/>
          <w:szCs w:val="21"/>
        </w:rPr>
        <w:t xml:space="preserve">附页 1 </w:t>
      </w:r>
      <w:r>
        <w:rPr>
          <w:rFonts w:hint="eastAsia" w:ascii="黑体" w:hAnsi="宋体"/>
          <w:b w:val="0"/>
          <w:color w:val="auto"/>
          <w:sz w:val="21"/>
          <w:szCs w:val="21"/>
        </w:rPr>
        <w:t>优先采购产品清单</w:t>
      </w:r>
      <w:bookmarkEnd w:id="97"/>
    </w:p>
    <w:p>
      <w:pPr>
        <w:adjustRightInd w:val="0"/>
        <w:snapToGrid w:val="0"/>
        <w:spacing w:line="360" w:lineRule="auto"/>
        <w:jc w:val="center"/>
        <w:rPr>
          <w:rFonts w:ascii="宋体" w:hAnsi="宋体"/>
          <w:b/>
          <w:color w:val="auto"/>
          <w:spacing w:val="6"/>
          <w:szCs w:val="21"/>
        </w:rPr>
      </w:pPr>
      <w:r>
        <w:rPr>
          <w:rFonts w:hint="eastAsia" w:ascii="黑体" w:hAnsi="宋体" w:eastAsia="黑体"/>
          <w:b/>
          <w:color w:val="auto"/>
          <w:sz w:val="28"/>
          <w:szCs w:val="28"/>
        </w:rPr>
        <w:t>优先采购产品清单</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政府采购计划编号：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项目名称：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包       号：</w:t>
      </w:r>
      <w:r>
        <w:rPr>
          <w:rFonts w:hint="eastAsia" w:ascii="宋体" w:hAnsi="宋体" w:eastAsia="宋体"/>
          <w:color w:val="auto"/>
          <w:szCs w:val="21"/>
          <w:u w:val="single"/>
        </w:rPr>
        <w:t xml:space="preserve">              </w:t>
      </w:r>
      <w:r>
        <w:rPr>
          <w:rFonts w:hint="eastAsia" w:ascii="宋体" w:hAnsi="宋体" w:eastAsia="宋体"/>
          <w:color w:val="auto"/>
          <w:szCs w:val="21"/>
        </w:rPr>
        <w:t xml:space="preserve">                      包名称：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tbl>
      <w:tblPr>
        <w:tblStyle w:val="21"/>
        <w:tblW w:w="874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729"/>
        <w:gridCol w:w="1127"/>
        <w:gridCol w:w="1410"/>
        <w:gridCol w:w="1972"/>
        <w:gridCol w:w="183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8740" w:type="dxa"/>
            <w:gridSpan w:val="6"/>
            <w:noWrap w:val="0"/>
            <w:vAlign w:val="center"/>
          </w:tcPr>
          <w:p>
            <w:pPr>
              <w:widowControl/>
              <w:adjustRightInd w:val="0"/>
              <w:snapToGrid w:val="0"/>
              <w:spacing w:line="360" w:lineRule="auto"/>
              <w:ind w:firstLine="480" w:firstLineChars="200"/>
              <w:jc w:val="left"/>
              <w:rPr>
                <w:rFonts w:ascii="黑体" w:hAnsi="黑体" w:eastAsia="黑体"/>
                <w:color w:val="auto"/>
                <w:kern w:val="0"/>
                <w:sz w:val="24"/>
              </w:rPr>
            </w:pPr>
            <w:r>
              <w:rPr>
                <w:rFonts w:hint="eastAsia" w:ascii="黑体" w:hAnsi="宋体" w:eastAsia="黑体"/>
                <w:color w:val="auto"/>
                <w:kern w:val="0"/>
                <w:sz w:val="24"/>
              </w:rPr>
              <w:t>以下为投标人提供的政府采购优先采购产品，投标人对本表的真实性负责。如有虚假，将依法承担相应责任。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667" w:type="dxa"/>
            <w:noWrap w:val="0"/>
            <w:vAlign w:val="center"/>
          </w:tcPr>
          <w:p>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1</w:t>
            </w:r>
          </w:p>
        </w:tc>
        <w:tc>
          <w:tcPr>
            <w:tcW w:w="1729" w:type="dxa"/>
            <w:noWrap w:val="0"/>
            <w:vAlign w:val="center"/>
          </w:tcPr>
          <w:p>
            <w:pPr>
              <w:widowControl/>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2</w:t>
            </w:r>
          </w:p>
        </w:tc>
        <w:tc>
          <w:tcPr>
            <w:tcW w:w="1127" w:type="dxa"/>
            <w:tcBorders>
              <w:right w:val="single" w:color="auto" w:sz="4" w:space="0"/>
            </w:tcBorders>
            <w:noWrap w:val="0"/>
            <w:vAlign w:val="center"/>
          </w:tcPr>
          <w:p>
            <w:pPr>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3</w:t>
            </w:r>
          </w:p>
        </w:tc>
        <w:tc>
          <w:tcPr>
            <w:tcW w:w="1410" w:type="dxa"/>
            <w:tcBorders>
              <w:left w:val="single" w:color="auto" w:sz="4" w:space="0"/>
            </w:tcBorders>
            <w:noWrap w:val="0"/>
            <w:vAlign w:val="center"/>
          </w:tcPr>
          <w:p>
            <w:pPr>
              <w:widowControl/>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4</w:t>
            </w:r>
          </w:p>
        </w:tc>
        <w:tc>
          <w:tcPr>
            <w:tcW w:w="1972" w:type="dxa"/>
            <w:noWrap w:val="0"/>
            <w:vAlign w:val="center"/>
          </w:tcPr>
          <w:p>
            <w:pPr>
              <w:widowControl/>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5</w:t>
            </w:r>
          </w:p>
        </w:tc>
        <w:tc>
          <w:tcPr>
            <w:tcW w:w="1835" w:type="dxa"/>
            <w:noWrap w:val="0"/>
            <w:vAlign w:val="center"/>
          </w:tcPr>
          <w:p>
            <w:pPr>
              <w:widowControl/>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6</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667" w:type="dxa"/>
            <w:noWrap w:val="0"/>
            <w:vAlign w:val="center"/>
          </w:tcPr>
          <w:p>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序号</w:t>
            </w:r>
          </w:p>
        </w:tc>
        <w:tc>
          <w:tcPr>
            <w:tcW w:w="1729" w:type="dxa"/>
            <w:noWrap w:val="0"/>
            <w:vAlign w:val="center"/>
          </w:tcPr>
          <w:p>
            <w:pPr>
              <w:widowControl/>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货物名称</w:t>
            </w:r>
          </w:p>
        </w:tc>
        <w:tc>
          <w:tcPr>
            <w:tcW w:w="1127" w:type="dxa"/>
            <w:tcBorders>
              <w:right w:val="single" w:color="auto" w:sz="4" w:space="0"/>
            </w:tcBorders>
            <w:noWrap w:val="0"/>
            <w:vAlign w:val="center"/>
          </w:tcPr>
          <w:p>
            <w:pPr>
              <w:widowControl/>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规格型号</w:t>
            </w:r>
          </w:p>
        </w:tc>
        <w:tc>
          <w:tcPr>
            <w:tcW w:w="1410" w:type="dxa"/>
            <w:tcBorders>
              <w:left w:val="single" w:color="auto" w:sz="4" w:space="0"/>
            </w:tcBorders>
            <w:noWrap w:val="0"/>
            <w:vAlign w:val="center"/>
          </w:tcPr>
          <w:p>
            <w:pPr>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价格（元）</w:t>
            </w:r>
          </w:p>
        </w:tc>
        <w:tc>
          <w:tcPr>
            <w:tcW w:w="1972" w:type="dxa"/>
            <w:noWrap w:val="0"/>
            <w:vAlign w:val="center"/>
          </w:tcPr>
          <w:p>
            <w:pPr>
              <w:widowControl/>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货物制造商名称</w:t>
            </w:r>
          </w:p>
        </w:tc>
        <w:tc>
          <w:tcPr>
            <w:tcW w:w="1835" w:type="dxa"/>
            <w:noWrap w:val="0"/>
            <w:vAlign w:val="center"/>
          </w:tcPr>
          <w:p>
            <w:pPr>
              <w:widowControl/>
              <w:adjustRightInd w:val="0"/>
              <w:snapToGrid w:val="0"/>
              <w:spacing w:line="360" w:lineRule="auto"/>
              <w:jc w:val="center"/>
              <w:rPr>
                <w:rFonts w:ascii="宋体" w:hAnsi="宋体" w:eastAsia="宋体"/>
                <w:color w:val="auto"/>
                <w:kern w:val="0"/>
                <w:szCs w:val="21"/>
              </w:rPr>
            </w:pPr>
            <w:r>
              <w:rPr>
                <w:rFonts w:hint="eastAsia" w:ascii="宋体" w:hAnsi="宋体" w:eastAsia="宋体"/>
                <w:color w:val="auto"/>
                <w:kern w:val="0"/>
                <w:szCs w:val="21"/>
              </w:rPr>
              <w:t>政策功能编码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pPr>
              <w:adjustRightInd w:val="0"/>
              <w:snapToGrid w:val="0"/>
              <w:spacing w:line="360" w:lineRule="auto"/>
              <w:jc w:val="left"/>
              <w:rPr>
                <w:rFonts w:ascii="宋体" w:hAnsi="宋体" w:eastAsia="宋体"/>
                <w:b/>
                <w:color w:val="auto"/>
                <w:szCs w:val="21"/>
              </w:rPr>
            </w:pPr>
            <w:r>
              <w:rPr>
                <w:rFonts w:hint="eastAsia" w:ascii="宋体" w:hAnsi="宋体" w:eastAsia="宋体"/>
                <w:b/>
                <w:color w:val="auto"/>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pPr>
              <w:adjustRightInd w:val="0"/>
              <w:snapToGrid w:val="0"/>
              <w:spacing w:line="360" w:lineRule="auto"/>
              <w:jc w:val="center"/>
              <w:rPr>
                <w:rFonts w:ascii="宋体" w:hAnsi="宋体"/>
                <w:b/>
                <w:color w:val="auto"/>
                <w:szCs w:val="21"/>
              </w:rPr>
            </w:pPr>
          </w:p>
        </w:tc>
        <w:tc>
          <w:tcPr>
            <w:tcW w:w="1729" w:type="dxa"/>
            <w:noWrap w:val="0"/>
            <w:vAlign w:val="center"/>
          </w:tcPr>
          <w:p>
            <w:pPr>
              <w:adjustRightInd w:val="0"/>
              <w:snapToGrid w:val="0"/>
              <w:spacing w:line="360" w:lineRule="auto"/>
              <w:jc w:val="center"/>
              <w:rPr>
                <w:rFonts w:ascii="宋体" w:hAnsi="宋体" w:eastAsia="宋体"/>
                <w:b/>
                <w:color w:val="auto"/>
                <w:szCs w:val="21"/>
              </w:rPr>
            </w:pPr>
          </w:p>
        </w:tc>
        <w:tc>
          <w:tcPr>
            <w:tcW w:w="1127" w:type="dxa"/>
            <w:tcBorders>
              <w:right w:val="single" w:color="auto" w:sz="4" w:space="0"/>
            </w:tcBorders>
            <w:noWrap w:val="0"/>
            <w:vAlign w:val="center"/>
          </w:tcPr>
          <w:p>
            <w:pPr>
              <w:adjustRightInd w:val="0"/>
              <w:snapToGrid w:val="0"/>
              <w:spacing w:line="360" w:lineRule="auto"/>
              <w:jc w:val="left"/>
              <w:rPr>
                <w:rFonts w:ascii="宋体" w:hAnsi="宋体" w:eastAsia="宋体"/>
                <w:b/>
                <w:color w:val="auto"/>
                <w:szCs w:val="21"/>
              </w:rPr>
            </w:pPr>
          </w:p>
        </w:tc>
        <w:tc>
          <w:tcPr>
            <w:tcW w:w="1410" w:type="dxa"/>
            <w:tcBorders>
              <w:left w:val="single" w:color="auto" w:sz="4" w:space="0"/>
            </w:tcBorders>
            <w:noWrap w:val="0"/>
            <w:vAlign w:val="center"/>
          </w:tcPr>
          <w:p>
            <w:pPr>
              <w:adjustRightInd w:val="0"/>
              <w:snapToGrid w:val="0"/>
              <w:spacing w:line="360" w:lineRule="auto"/>
              <w:jc w:val="left"/>
              <w:rPr>
                <w:rFonts w:ascii="宋体" w:hAnsi="宋体" w:eastAsia="宋体"/>
                <w:b/>
                <w:color w:val="auto"/>
                <w:szCs w:val="21"/>
              </w:rPr>
            </w:pPr>
          </w:p>
        </w:tc>
        <w:tc>
          <w:tcPr>
            <w:tcW w:w="1972" w:type="dxa"/>
            <w:noWrap w:val="0"/>
            <w:vAlign w:val="center"/>
          </w:tcPr>
          <w:p>
            <w:pPr>
              <w:adjustRightInd w:val="0"/>
              <w:snapToGrid w:val="0"/>
              <w:spacing w:line="360" w:lineRule="auto"/>
              <w:jc w:val="center"/>
              <w:rPr>
                <w:rFonts w:ascii="宋体" w:hAnsi="宋体" w:eastAsia="宋体"/>
                <w:b/>
                <w:color w:val="auto"/>
                <w:szCs w:val="21"/>
              </w:rPr>
            </w:pPr>
          </w:p>
        </w:tc>
        <w:tc>
          <w:tcPr>
            <w:tcW w:w="1835" w:type="dxa"/>
            <w:noWrap w:val="0"/>
            <w:vAlign w:val="top"/>
          </w:tcPr>
          <w:p>
            <w:pPr>
              <w:adjustRightInd w:val="0"/>
              <w:snapToGrid w:val="0"/>
              <w:spacing w:line="360" w:lineRule="auto"/>
              <w:jc w:val="center"/>
              <w:rPr>
                <w:rFonts w:ascii="宋体" w:hAnsi="宋体" w:eastAsia="宋体"/>
                <w:b/>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1729" w:type="dxa"/>
            <w:noWrap w:val="0"/>
            <w:vAlign w:val="center"/>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w:t>
            </w:r>
          </w:p>
        </w:tc>
        <w:tc>
          <w:tcPr>
            <w:tcW w:w="1127" w:type="dxa"/>
            <w:tcBorders>
              <w:right w:val="single" w:color="auto" w:sz="4" w:space="0"/>
            </w:tcBorders>
            <w:noWrap w:val="0"/>
            <w:vAlign w:val="center"/>
          </w:tcPr>
          <w:p>
            <w:pPr>
              <w:adjustRightInd w:val="0"/>
              <w:snapToGrid w:val="0"/>
              <w:spacing w:line="360" w:lineRule="auto"/>
              <w:jc w:val="left"/>
              <w:rPr>
                <w:rFonts w:ascii="宋体" w:hAnsi="宋体" w:eastAsia="宋体"/>
                <w:b/>
                <w:color w:val="auto"/>
                <w:szCs w:val="21"/>
              </w:rPr>
            </w:pPr>
          </w:p>
        </w:tc>
        <w:tc>
          <w:tcPr>
            <w:tcW w:w="1410" w:type="dxa"/>
            <w:tcBorders>
              <w:left w:val="single" w:color="auto" w:sz="4" w:space="0"/>
            </w:tcBorders>
            <w:noWrap w:val="0"/>
            <w:vAlign w:val="center"/>
          </w:tcPr>
          <w:p>
            <w:pPr>
              <w:adjustRightInd w:val="0"/>
              <w:snapToGrid w:val="0"/>
              <w:spacing w:line="360" w:lineRule="auto"/>
              <w:jc w:val="left"/>
              <w:rPr>
                <w:rFonts w:ascii="宋体" w:hAnsi="宋体" w:eastAsia="宋体"/>
                <w:b/>
                <w:color w:val="auto"/>
                <w:szCs w:val="21"/>
              </w:rPr>
            </w:pPr>
          </w:p>
        </w:tc>
        <w:tc>
          <w:tcPr>
            <w:tcW w:w="1972" w:type="dxa"/>
            <w:noWrap w:val="0"/>
            <w:vAlign w:val="center"/>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w:t>
            </w:r>
          </w:p>
        </w:tc>
        <w:tc>
          <w:tcPr>
            <w:tcW w:w="1835" w:type="dxa"/>
            <w:noWrap w:val="0"/>
            <w:vAlign w:val="top"/>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pPr>
              <w:adjustRightInd w:val="0"/>
              <w:snapToGrid w:val="0"/>
              <w:spacing w:line="360" w:lineRule="auto"/>
              <w:jc w:val="left"/>
              <w:rPr>
                <w:rFonts w:ascii="宋体" w:hAnsi="宋体" w:eastAsia="宋体"/>
                <w:b/>
                <w:color w:val="auto"/>
                <w:szCs w:val="21"/>
              </w:rPr>
            </w:pPr>
            <w:r>
              <w:rPr>
                <w:rFonts w:hint="eastAsia" w:ascii="宋体" w:hAnsi="宋体" w:eastAsia="宋体"/>
                <w:b/>
                <w:color w:val="auto"/>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pPr>
              <w:adjustRightInd w:val="0"/>
              <w:snapToGrid w:val="0"/>
              <w:spacing w:line="360" w:lineRule="auto"/>
              <w:jc w:val="center"/>
              <w:rPr>
                <w:rFonts w:ascii="宋体" w:hAnsi="宋体"/>
                <w:b/>
                <w:color w:val="auto"/>
                <w:szCs w:val="21"/>
              </w:rPr>
            </w:pPr>
          </w:p>
        </w:tc>
        <w:tc>
          <w:tcPr>
            <w:tcW w:w="1729" w:type="dxa"/>
            <w:noWrap w:val="0"/>
            <w:vAlign w:val="center"/>
          </w:tcPr>
          <w:p>
            <w:pPr>
              <w:adjustRightInd w:val="0"/>
              <w:snapToGrid w:val="0"/>
              <w:spacing w:line="360" w:lineRule="auto"/>
              <w:jc w:val="center"/>
              <w:rPr>
                <w:rFonts w:ascii="宋体" w:hAnsi="宋体" w:eastAsia="宋体"/>
                <w:b/>
                <w:color w:val="auto"/>
                <w:szCs w:val="21"/>
              </w:rPr>
            </w:pPr>
          </w:p>
        </w:tc>
        <w:tc>
          <w:tcPr>
            <w:tcW w:w="1127" w:type="dxa"/>
            <w:tcBorders>
              <w:right w:val="single" w:color="auto" w:sz="4" w:space="0"/>
            </w:tcBorders>
            <w:noWrap w:val="0"/>
            <w:vAlign w:val="center"/>
          </w:tcPr>
          <w:p>
            <w:pPr>
              <w:adjustRightInd w:val="0"/>
              <w:snapToGrid w:val="0"/>
              <w:spacing w:line="360" w:lineRule="auto"/>
              <w:jc w:val="left"/>
              <w:rPr>
                <w:rFonts w:ascii="宋体" w:hAnsi="宋体" w:eastAsia="宋体"/>
                <w:b/>
                <w:color w:val="auto"/>
                <w:szCs w:val="21"/>
              </w:rPr>
            </w:pPr>
          </w:p>
        </w:tc>
        <w:tc>
          <w:tcPr>
            <w:tcW w:w="1410" w:type="dxa"/>
            <w:tcBorders>
              <w:left w:val="single" w:color="auto" w:sz="4" w:space="0"/>
            </w:tcBorders>
            <w:noWrap w:val="0"/>
            <w:vAlign w:val="center"/>
          </w:tcPr>
          <w:p>
            <w:pPr>
              <w:adjustRightInd w:val="0"/>
              <w:snapToGrid w:val="0"/>
              <w:spacing w:line="360" w:lineRule="auto"/>
              <w:jc w:val="left"/>
              <w:rPr>
                <w:rFonts w:ascii="宋体" w:hAnsi="宋体" w:eastAsia="宋体"/>
                <w:b/>
                <w:color w:val="auto"/>
                <w:szCs w:val="21"/>
              </w:rPr>
            </w:pPr>
          </w:p>
        </w:tc>
        <w:tc>
          <w:tcPr>
            <w:tcW w:w="1972" w:type="dxa"/>
            <w:noWrap w:val="0"/>
            <w:vAlign w:val="center"/>
          </w:tcPr>
          <w:p>
            <w:pPr>
              <w:adjustRightInd w:val="0"/>
              <w:snapToGrid w:val="0"/>
              <w:spacing w:line="360" w:lineRule="auto"/>
              <w:jc w:val="center"/>
              <w:rPr>
                <w:rFonts w:ascii="宋体" w:hAnsi="宋体" w:eastAsia="宋体"/>
                <w:b/>
                <w:color w:val="auto"/>
                <w:szCs w:val="21"/>
              </w:rPr>
            </w:pPr>
          </w:p>
        </w:tc>
        <w:tc>
          <w:tcPr>
            <w:tcW w:w="1835" w:type="dxa"/>
            <w:noWrap w:val="0"/>
            <w:vAlign w:val="top"/>
          </w:tcPr>
          <w:p>
            <w:pPr>
              <w:adjustRightInd w:val="0"/>
              <w:snapToGrid w:val="0"/>
              <w:spacing w:line="360" w:lineRule="auto"/>
              <w:jc w:val="center"/>
              <w:rPr>
                <w:rFonts w:ascii="宋体" w:hAnsi="宋体" w:eastAsia="宋体"/>
                <w:b/>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1729" w:type="dxa"/>
            <w:noWrap w:val="0"/>
            <w:vAlign w:val="center"/>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w:t>
            </w:r>
          </w:p>
        </w:tc>
        <w:tc>
          <w:tcPr>
            <w:tcW w:w="1127" w:type="dxa"/>
            <w:tcBorders>
              <w:right w:val="single" w:color="auto" w:sz="4" w:space="0"/>
            </w:tcBorders>
            <w:noWrap w:val="0"/>
            <w:vAlign w:val="center"/>
          </w:tcPr>
          <w:p>
            <w:pPr>
              <w:adjustRightInd w:val="0"/>
              <w:snapToGrid w:val="0"/>
              <w:spacing w:line="360" w:lineRule="auto"/>
              <w:jc w:val="left"/>
              <w:rPr>
                <w:rFonts w:ascii="宋体" w:hAnsi="宋体" w:eastAsia="宋体"/>
                <w:b/>
                <w:color w:val="auto"/>
                <w:szCs w:val="21"/>
              </w:rPr>
            </w:pPr>
          </w:p>
        </w:tc>
        <w:tc>
          <w:tcPr>
            <w:tcW w:w="1410" w:type="dxa"/>
            <w:tcBorders>
              <w:left w:val="single" w:color="auto" w:sz="4" w:space="0"/>
            </w:tcBorders>
            <w:noWrap w:val="0"/>
            <w:vAlign w:val="center"/>
          </w:tcPr>
          <w:p>
            <w:pPr>
              <w:adjustRightInd w:val="0"/>
              <w:snapToGrid w:val="0"/>
              <w:spacing w:line="360" w:lineRule="auto"/>
              <w:jc w:val="left"/>
              <w:rPr>
                <w:rFonts w:ascii="宋体" w:hAnsi="宋体" w:eastAsia="宋体"/>
                <w:b/>
                <w:color w:val="auto"/>
                <w:szCs w:val="21"/>
              </w:rPr>
            </w:pPr>
          </w:p>
        </w:tc>
        <w:tc>
          <w:tcPr>
            <w:tcW w:w="1972" w:type="dxa"/>
            <w:noWrap w:val="0"/>
            <w:vAlign w:val="center"/>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w:t>
            </w:r>
          </w:p>
        </w:tc>
        <w:tc>
          <w:tcPr>
            <w:tcW w:w="1835" w:type="dxa"/>
            <w:noWrap w:val="0"/>
            <w:vAlign w:val="top"/>
          </w:tcPr>
          <w:p>
            <w:pPr>
              <w:adjustRightInd w:val="0"/>
              <w:snapToGrid w:val="0"/>
              <w:spacing w:line="360" w:lineRule="auto"/>
              <w:jc w:val="center"/>
              <w:rPr>
                <w:rFonts w:ascii="宋体" w:hAnsi="宋体" w:eastAsia="宋体"/>
                <w:b/>
                <w:color w:val="auto"/>
                <w:szCs w:val="21"/>
              </w:rPr>
            </w:pPr>
            <w:r>
              <w:rPr>
                <w:rFonts w:hint="eastAsia" w:ascii="宋体" w:hAnsi="宋体" w:eastAsia="宋体"/>
                <w:b/>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pPr>
              <w:adjustRightInd w:val="0"/>
              <w:snapToGrid w:val="0"/>
              <w:spacing w:line="360" w:lineRule="auto"/>
              <w:jc w:val="left"/>
              <w:rPr>
                <w:rFonts w:ascii="宋体" w:hAnsi="宋体" w:eastAsia="宋体"/>
                <w:b/>
                <w:color w:val="auto"/>
                <w:szCs w:val="21"/>
              </w:rPr>
            </w:pPr>
            <w:r>
              <w:rPr>
                <w:rFonts w:hint="eastAsia" w:ascii="宋体" w:hAnsi="宋体" w:eastAsia="宋体"/>
                <w:b/>
                <w:color w:val="auto"/>
                <w:szCs w:val="21"/>
              </w:rPr>
              <w:t>两型产品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pPr>
              <w:adjustRightInd w:val="0"/>
              <w:snapToGrid w:val="0"/>
              <w:spacing w:line="360" w:lineRule="auto"/>
              <w:jc w:val="center"/>
              <w:rPr>
                <w:rFonts w:ascii="宋体" w:hAnsi="宋体"/>
                <w:color w:val="auto"/>
                <w:szCs w:val="21"/>
              </w:rPr>
            </w:pPr>
          </w:p>
        </w:tc>
        <w:tc>
          <w:tcPr>
            <w:tcW w:w="1729" w:type="dxa"/>
            <w:noWrap w:val="0"/>
            <w:vAlign w:val="center"/>
          </w:tcPr>
          <w:p>
            <w:pPr>
              <w:adjustRightInd w:val="0"/>
              <w:snapToGrid w:val="0"/>
              <w:spacing w:line="360" w:lineRule="auto"/>
              <w:jc w:val="center"/>
              <w:rPr>
                <w:rFonts w:ascii="宋体" w:hAnsi="宋体" w:eastAsia="宋体"/>
                <w:color w:val="auto"/>
                <w:szCs w:val="21"/>
              </w:rPr>
            </w:pPr>
          </w:p>
        </w:tc>
        <w:tc>
          <w:tcPr>
            <w:tcW w:w="1127" w:type="dxa"/>
            <w:tcBorders>
              <w:right w:val="single" w:color="auto" w:sz="4" w:space="0"/>
            </w:tcBorders>
            <w:noWrap w:val="0"/>
            <w:vAlign w:val="center"/>
          </w:tcPr>
          <w:p>
            <w:pPr>
              <w:adjustRightInd w:val="0"/>
              <w:snapToGrid w:val="0"/>
              <w:spacing w:line="360" w:lineRule="auto"/>
              <w:jc w:val="center"/>
              <w:rPr>
                <w:rFonts w:ascii="宋体" w:hAnsi="宋体" w:eastAsia="宋体"/>
                <w:color w:val="auto"/>
                <w:szCs w:val="21"/>
              </w:rPr>
            </w:pPr>
          </w:p>
        </w:tc>
        <w:tc>
          <w:tcPr>
            <w:tcW w:w="1410" w:type="dxa"/>
            <w:tcBorders>
              <w:left w:val="single" w:color="auto" w:sz="4" w:space="0"/>
            </w:tcBorders>
            <w:noWrap w:val="0"/>
            <w:vAlign w:val="center"/>
          </w:tcPr>
          <w:p>
            <w:pPr>
              <w:adjustRightInd w:val="0"/>
              <w:snapToGrid w:val="0"/>
              <w:spacing w:line="360" w:lineRule="auto"/>
              <w:jc w:val="center"/>
              <w:rPr>
                <w:rFonts w:ascii="宋体" w:hAnsi="宋体" w:eastAsia="宋体"/>
                <w:color w:val="auto"/>
                <w:szCs w:val="21"/>
              </w:rPr>
            </w:pPr>
          </w:p>
        </w:tc>
        <w:tc>
          <w:tcPr>
            <w:tcW w:w="1972" w:type="dxa"/>
            <w:noWrap w:val="0"/>
            <w:vAlign w:val="center"/>
          </w:tcPr>
          <w:p>
            <w:pPr>
              <w:adjustRightInd w:val="0"/>
              <w:snapToGrid w:val="0"/>
              <w:spacing w:line="360" w:lineRule="auto"/>
              <w:jc w:val="center"/>
              <w:rPr>
                <w:rFonts w:ascii="宋体" w:hAnsi="宋体" w:eastAsia="宋体"/>
                <w:color w:val="auto"/>
                <w:szCs w:val="21"/>
              </w:rPr>
            </w:pPr>
          </w:p>
        </w:tc>
        <w:tc>
          <w:tcPr>
            <w:tcW w:w="1835" w:type="dxa"/>
            <w:noWrap w:val="0"/>
            <w:vAlign w:val="top"/>
          </w:tcPr>
          <w:p>
            <w:pPr>
              <w:adjustRightInd w:val="0"/>
              <w:snapToGrid w:val="0"/>
              <w:spacing w:line="360" w:lineRule="auto"/>
              <w:jc w:val="center"/>
              <w:rPr>
                <w:rFonts w:ascii="宋体" w:hAnsi="宋体" w:eastAsia="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0" w:hRule="atLeast"/>
        </w:trPr>
        <w:tc>
          <w:tcPr>
            <w:tcW w:w="667" w:type="dxa"/>
            <w:noWrap w:val="0"/>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1729"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w:t>
            </w:r>
          </w:p>
        </w:tc>
        <w:tc>
          <w:tcPr>
            <w:tcW w:w="1127" w:type="dxa"/>
            <w:tcBorders>
              <w:right w:val="single" w:color="auto" w:sz="4" w:space="0"/>
            </w:tcBorders>
            <w:noWrap w:val="0"/>
            <w:vAlign w:val="center"/>
          </w:tcPr>
          <w:p>
            <w:pPr>
              <w:adjustRightInd w:val="0"/>
              <w:snapToGrid w:val="0"/>
              <w:spacing w:line="360" w:lineRule="auto"/>
              <w:jc w:val="center"/>
              <w:rPr>
                <w:rFonts w:ascii="宋体" w:hAnsi="宋体" w:eastAsia="宋体"/>
                <w:color w:val="auto"/>
                <w:szCs w:val="21"/>
              </w:rPr>
            </w:pPr>
          </w:p>
        </w:tc>
        <w:tc>
          <w:tcPr>
            <w:tcW w:w="1410" w:type="dxa"/>
            <w:tcBorders>
              <w:left w:val="single" w:color="auto" w:sz="4" w:space="0"/>
            </w:tcBorders>
            <w:noWrap w:val="0"/>
            <w:vAlign w:val="center"/>
          </w:tcPr>
          <w:p>
            <w:pPr>
              <w:adjustRightInd w:val="0"/>
              <w:snapToGrid w:val="0"/>
              <w:spacing w:line="360" w:lineRule="auto"/>
              <w:jc w:val="center"/>
              <w:rPr>
                <w:rFonts w:ascii="宋体" w:hAnsi="宋体" w:eastAsia="宋体"/>
                <w:color w:val="auto"/>
                <w:szCs w:val="21"/>
              </w:rPr>
            </w:pPr>
          </w:p>
        </w:tc>
        <w:tc>
          <w:tcPr>
            <w:tcW w:w="1972" w:type="dxa"/>
            <w:noWrap w:val="0"/>
            <w:vAlign w:val="center"/>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w:t>
            </w:r>
          </w:p>
        </w:tc>
        <w:tc>
          <w:tcPr>
            <w:tcW w:w="1835" w:type="dxa"/>
            <w:noWrap w:val="0"/>
            <w:vAlign w:val="top"/>
          </w:tcPr>
          <w:p>
            <w:pPr>
              <w:adjustRightInd w:val="0"/>
              <w:snapToGrid w:val="0"/>
              <w:spacing w:line="360" w:lineRule="auto"/>
              <w:jc w:val="center"/>
              <w:rPr>
                <w:rFonts w:ascii="宋体" w:hAnsi="宋体" w:eastAsia="宋体"/>
                <w:color w:val="auto"/>
                <w:szCs w:val="21"/>
              </w:rPr>
            </w:pPr>
            <w:r>
              <w:rPr>
                <w:rFonts w:hint="eastAsia" w:ascii="宋体" w:hAnsi="宋体" w:eastAsia="宋体"/>
                <w:color w:val="auto"/>
                <w:szCs w:val="21"/>
              </w:rPr>
              <w:t>/</w:t>
            </w:r>
          </w:p>
        </w:tc>
      </w:tr>
    </w:tbl>
    <w:p>
      <w:pPr>
        <w:adjustRightInd w:val="0"/>
        <w:snapToGrid w:val="0"/>
        <w:spacing w:line="360" w:lineRule="auto"/>
        <w:jc w:val="left"/>
        <w:rPr>
          <w:rFonts w:ascii="宋体" w:hAnsi="宋体" w:eastAsia="宋体"/>
          <w:color w:val="auto"/>
          <w:szCs w:val="21"/>
        </w:rPr>
      </w:pPr>
      <w:r>
        <w:rPr>
          <w:rFonts w:hint="eastAsia" w:ascii="宋体" w:hAnsi="宋体" w:eastAsia="宋体"/>
          <w:color w:val="auto"/>
          <w:szCs w:val="21"/>
        </w:rPr>
        <w:t>说明：</w:t>
      </w:r>
      <w:r>
        <w:rPr>
          <w:rFonts w:hint="eastAsia" w:ascii="宋体" w:hAnsi="宋体" w:eastAsia="宋体"/>
          <w:bCs/>
          <w:color w:val="auto"/>
          <w:szCs w:val="21"/>
        </w:rPr>
        <w:t>1</w:t>
      </w:r>
      <w:r>
        <w:rPr>
          <w:rFonts w:hint="eastAsia" w:ascii="宋体" w:hAnsi="宋体"/>
          <w:bCs/>
          <w:color w:val="auto"/>
          <w:szCs w:val="21"/>
          <w:lang w:val="en-US" w:eastAsia="zh-CN"/>
        </w:rPr>
        <w:t>.</w:t>
      </w:r>
      <w:r>
        <w:rPr>
          <w:rFonts w:hint="eastAsia" w:ascii="宋体" w:hAnsi="宋体" w:eastAsia="宋体"/>
          <w:color w:val="auto"/>
          <w:szCs w:val="21"/>
        </w:rPr>
        <w:t>本表用于计算政府采购优先采购产品（节能产品或环境标志产品或两型产品）的政府采购政策加分或者价格扣除。</w:t>
      </w:r>
    </w:p>
    <w:p>
      <w:pPr>
        <w:adjustRightInd w:val="0"/>
        <w:snapToGrid w:val="0"/>
        <w:spacing w:line="360" w:lineRule="auto"/>
        <w:ind w:firstLine="630" w:firstLineChars="300"/>
        <w:jc w:val="left"/>
        <w:rPr>
          <w:rFonts w:ascii="宋体" w:hAnsi="宋体" w:eastAsia="宋体"/>
          <w:color w:val="auto"/>
          <w:szCs w:val="21"/>
        </w:rPr>
      </w:pPr>
      <w:r>
        <w:rPr>
          <w:rFonts w:hint="eastAsia" w:ascii="宋体" w:hAnsi="宋体" w:eastAsia="宋体"/>
          <w:color w:val="auto"/>
          <w:szCs w:val="21"/>
        </w:rPr>
        <w:t>2</w:t>
      </w:r>
      <w:r>
        <w:rPr>
          <w:rFonts w:hint="eastAsia" w:ascii="宋体" w:hAnsi="宋体"/>
          <w:color w:val="auto"/>
          <w:szCs w:val="21"/>
          <w:lang w:val="en-US" w:eastAsia="zh-CN"/>
        </w:rPr>
        <w:t>.</w:t>
      </w:r>
      <w:r>
        <w:rPr>
          <w:rFonts w:hint="eastAsia" w:ascii="宋体" w:hAnsi="宋体" w:eastAsia="宋体"/>
          <w:color w:val="auto"/>
          <w:szCs w:val="21"/>
        </w:rPr>
        <w:t>栏目4“价格”为综合单价，包含货物所有隐含的内容，如运输费、保险费、管理费和利润等。</w:t>
      </w:r>
    </w:p>
    <w:p>
      <w:pPr>
        <w:adjustRightInd w:val="0"/>
        <w:snapToGrid w:val="0"/>
        <w:spacing w:line="360" w:lineRule="auto"/>
        <w:ind w:firstLine="630" w:firstLineChars="300"/>
        <w:jc w:val="left"/>
        <w:rPr>
          <w:rFonts w:ascii="宋体" w:hAnsi="宋体" w:eastAsia="宋体"/>
          <w:color w:val="auto"/>
          <w:szCs w:val="21"/>
        </w:rPr>
      </w:pPr>
      <w:r>
        <w:rPr>
          <w:rFonts w:hint="eastAsia" w:ascii="宋体" w:hAnsi="宋体" w:eastAsia="宋体"/>
          <w:color w:val="auto"/>
          <w:szCs w:val="21"/>
        </w:rPr>
        <w:t>3</w:t>
      </w:r>
      <w:r>
        <w:rPr>
          <w:rFonts w:hint="eastAsia" w:ascii="宋体" w:hAnsi="宋体"/>
          <w:color w:val="auto"/>
          <w:szCs w:val="21"/>
          <w:lang w:val="en-US" w:eastAsia="zh-CN"/>
        </w:rPr>
        <w:t>.</w:t>
      </w:r>
      <w:r>
        <w:rPr>
          <w:rFonts w:hint="eastAsia" w:ascii="宋体" w:hAnsi="宋体" w:eastAsia="宋体"/>
          <w:color w:val="auto"/>
          <w:szCs w:val="21"/>
        </w:rPr>
        <w:t>栏目6“政策功能编码”是指货物的中国环境标志认证证书编号、中国节能标志认证证书号、湖南两型产品编号（货物同时属于节能产品、环境标志产品、两型产品的，只须填写一种）。</w:t>
      </w:r>
    </w:p>
    <w:p>
      <w:pPr>
        <w:adjustRightInd w:val="0"/>
        <w:snapToGrid w:val="0"/>
        <w:spacing w:line="360" w:lineRule="auto"/>
        <w:ind w:firstLine="630" w:firstLineChars="300"/>
        <w:rPr>
          <w:rFonts w:ascii="宋体" w:hAnsi="宋体" w:eastAsia="宋体"/>
          <w:bCs/>
          <w:color w:val="auto"/>
          <w:szCs w:val="21"/>
        </w:rPr>
      </w:pPr>
      <w:r>
        <w:rPr>
          <w:rFonts w:hint="eastAsia" w:ascii="宋体" w:hAnsi="宋体" w:eastAsia="宋体"/>
          <w:bCs/>
          <w:color w:val="auto"/>
          <w:szCs w:val="21"/>
        </w:rPr>
        <w:t>4</w:t>
      </w:r>
      <w:r>
        <w:rPr>
          <w:rFonts w:hint="eastAsia" w:ascii="宋体" w:hAnsi="宋体"/>
          <w:bCs/>
          <w:color w:val="auto"/>
          <w:szCs w:val="21"/>
          <w:lang w:val="en-US" w:eastAsia="zh-CN"/>
        </w:rPr>
        <w:t>.</w:t>
      </w:r>
      <w:r>
        <w:rPr>
          <w:rFonts w:hint="eastAsia" w:ascii="宋体" w:hAnsi="宋体" w:eastAsia="宋体"/>
          <w:bCs/>
          <w:color w:val="auto"/>
          <w:szCs w:val="21"/>
        </w:rPr>
        <w:t>投标人在投标截止时间前修改“开标一览表”中的投标报价的，应按第二章第13.7款规定修改本表相应内容。否则，评审时涉及本表所有优惠不予以考虑。</w:t>
      </w:r>
    </w:p>
    <w:p>
      <w:pPr>
        <w:adjustRightInd w:val="0"/>
        <w:snapToGrid w:val="0"/>
        <w:spacing w:line="360" w:lineRule="auto"/>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pPr>
        <w:adjustRightInd w:val="0"/>
        <w:snapToGrid w:val="0"/>
        <w:spacing w:line="360" w:lineRule="auto"/>
        <w:rPr>
          <w:rFonts w:ascii="宋体" w:hAnsi="宋体"/>
          <w:color w:val="auto"/>
          <w:szCs w:val="21"/>
        </w:rPr>
      </w:pPr>
      <w:r>
        <w:rPr>
          <w:rFonts w:hint="eastAsia" w:ascii="宋体" w:hAnsi="宋体" w:eastAsia="宋体" w:cs="微软雅黑"/>
          <w:color w:val="auto"/>
          <w:spacing w:val="-2"/>
          <w:kern w:val="0"/>
          <w:szCs w:val="21"/>
        </w:rPr>
        <w:t>法</w:t>
      </w:r>
      <w:r>
        <w:rPr>
          <w:rFonts w:hint="eastAsia" w:ascii="宋体" w:hAnsi="宋体" w:eastAsia="宋体" w:cs="微软雅黑"/>
          <w:color w:val="auto"/>
          <w:kern w:val="0"/>
          <w:szCs w:val="21"/>
        </w:rPr>
        <w:t>定</w:t>
      </w:r>
      <w:r>
        <w:rPr>
          <w:rFonts w:hint="eastAsia" w:ascii="宋体" w:hAnsi="宋体" w:eastAsia="宋体" w:cs="微软雅黑"/>
          <w:color w:val="auto"/>
          <w:spacing w:val="-2"/>
          <w:kern w:val="0"/>
          <w:szCs w:val="21"/>
        </w:rPr>
        <w:t>代</w:t>
      </w:r>
      <w:r>
        <w:rPr>
          <w:rFonts w:hint="eastAsia" w:ascii="宋体" w:hAnsi="宋体" w:eastAsia="宋体" w:cs="微软雅黑"/>
          <w:color w:val="auto"/>
          <w:kern w:val="0"/>
          <w:szCs w:val="21"/>
        </w:rPr>
        <w:t>表</w:t>
      </w:r>
      <w:r>
        <w:rPr>
          <w:rFonts w:hint="eastAsia" w:ascii="宋体" w:hAnsi="宋体" w:eastAsia="宋体" w:cs="微软雅黑"/>
          <w:color w:val="auto"/>
          <w:spacing w:val="-2"/>
          <w:kern w:val="0"/>
          <w:szCs w:val="21"/>
        </w:rPr>
        <w:t>人</w:t>
      </w:r>
      <w:r>
        <w:rPr>
          <w:rFonts w:hint="eastAsia" w:ascii="宋体" w:hAnsi="宋体" w:eastAsia="宋体" w:cs="微软雅黑"/>
          <w:color w:val="auto"/>
          <w:kern w:val="0"/>
          <w:szCs w:val="21"/>
        </w:rPr>
        <w:t>（</w:t>
      </w:r>
      <w:r>
        <w:rPr>
          <w:rFonts w:hint="eastAsia" w:ascii="宋体" w:hAnsi="宋体" w:eastAsia="宋体" w:cs="微软雅黑"/>
          <w:color w:val="auto"/>
          <w:spacing w:val="-2"/>
          <w:kern w:val="0"/>
          <w:szCs w:val="21"/>
        </w:rPr>
        <w:t>单</w:t>
      </w:r>
      <w:r>
        <w:rPr>
          <w:rFonts w:hint="eastAsia" w:ascii="宋体" w:hAnsi="宋体" w:eastAsia="宋体" w:cs="微软雅黑"/>
          <w:color w:val="auto"/>
          <w:kern w:val="0"/>
          <w:szCs w:val="21"/>
        </w:rPr>
        <w:t>位</w:t>
      </w:r>
      <w:r>
        <w:rPr>
          <w:rFonts w:hint="eastAsia" w:ascii="宋体" w:hAnsi="宋体" w:eastAsia="宋体" w:cs="微软雅黑"/>
          <w:color w:val="auto"/>
          <w:spacing w:val="-2"/>
          <w:kern w:val="0"/>
          <w:szCs w:val="21"/>
        </w:rPr>
        <w:t>负</w:t>
      </w:r>
      <w:r>
        <w:rPr>
          <w:rFonts w:hint="eastAsia" w:ascii="宋体" w:hAnsi="宋体" w:eastAsia="宋体" w:cs="微软雅黑"/>
          <w:color w:val="auto"/>
          <w:kern w:val="0"/>
          <w:szCs w:val="21"/>
        </w:rPr>
        <w:t>责人</w:t>
      </w:r>
      <w:r>
        <w:rPr>
          <w:rFonts w:hint="eastAsia" w:ascii="宋体" w:hAnsi="宋体" w:eastAsia="宋体" w:cs="微软雅黑"/>
          <w:color w:val="auto"/>
          <w:spacing w:val="-2"/>
          <w:kern w:val="0"/>
          <w:szCs w:val="21"/>
        </w:rPr>
        <w:t>）</w:t>
      </w:r>
      <w:r>
        <w:rPr>
          <w:rFonts w:hint="eastAsia" w:ascii="宋体" w:hAnsi="宋体"/>
          <w:color w:val="auto"/>
          <w:szCs w:val="21"/>
        </w:rPr>
        <w:t>或其委托代理人（签字或印章）：</w:t>
      </w:r>
      <w:r>
        <w:rPr>
          <w:rFonts w:hint="eastAsia" w:ascii="宋体" w:hAnsi="宋体"/>
          <w:color w:val="auto"/>
          <w:szCs w:val="21"/>
          <w:u w:val="single"/>
        </w:rPr>
        <w:t xml:space="preserve">       </w:t>
      </w:r>
    </w:p>
    <w:p>
      <w:pPr>
        <w:rPr>
          <w:rFonts w:ascii="宋体" w:hAnsi="宋体"/>
          <w:b/>
          <w:bCs/>
          <w:color w:val="auto"/>
          <w:sz w:val="10"/>
          <w:szCs w:val="10"/>
        </w:rPr>
      </w:pPr>
      <w:r>
        <w:rPr>
          <w:rFonts w:hint="eastAsia"/>
          <w:color w:val="auto"/>
        </w:rPr>
        <w:t>日期：        年    月   日</w:t>
      </w:r>
      <w:r>
        <w:rPr>
          <w:rFonts w:ascii="宋体" w:hAnsi="宋体"/>
          <w:color w:val="auto"/>
          <w:szCs w:val="21"/>
        </w:rPr>
        <w:br w:type="page"/>
      </w:r>
    </w:p>
    <w:p>
      <w:pPr>
        <w:pStyle w:val="4"/>
        <w:adjustRightInd w:val="0"/>
        <w:snapToGrid w:val="0"/>
        <w:spacing w:before="0" w:after="0" w:line="360" w:lineRule="auto"/>
        <w:jc w:val="center"/>
        <w:rPr>
          <w:rFonts w:ascii="黑体" w:hAnsi="宋体" w:eastAsia="黑体"/>
          <w:color w:val="auto"/>
          <w:sz w:val="28"/>
          <w:szCs w:val="28"/>
        </w:rPr>
      </w:pPr>
      <w:bookmarkStart w:id="98" w:name="_Toc22806"/>
      <w:r>
        <w:rPr>
          <w:rFonts w:hint="eastAsia" w:ascii="黑体" w:hAnsi="宋体" w:eastAsia="黑体"/>
          <w:color w:val="auto"/>
          <w:sz w:val="28"/>
          <w:szCs w:val="28"/>
        </w:rPr>
        <w:t>十一、投标货物符合招标文件规定的证明文件</w:t>
      </w:r>
      <w:bookmarkEnd w:id="98"/>
    </w:p>
    <w:p>
      <w:pPr>
        <w:adjustRightInd w:val="0"/>
        <w:snapToGrid w:val="0"/>
        <w:spacing w:line="360" w:lineRule="auto"/>
        <w:rPr>
          <w:rFonts w:ascii="宋体" w:hAnsi="宋体" w:eastAsia="宋体"/>
          <w:color w:val="auto"/>
          <w:szCs w:val="21"/>
        </w:rPr>
      </w:pPr>
    </w:p>
    <w:p>
      <w:pPr>
        <w:adjustRightInd w:val="0"/>
        <w:snapToGrid w:val="0"/>
        <w:spacing w:line="360" w:lineRule="auto"/>
        <w:rPr>
          <w:rFonts w:ascii="宋体" w:hAnsi="宋体" w:eastAsia="宋体"/>
          <w:color w:val="auto"/>
        </w:rPr>
      </w:pPr>
      <w:r>
        <w:rPr>
          <w:rFonts w:hint="eastAsia" w:ascii="宋体" w:hAnsi="宋体" w:eastAsia="宋体"/>
          <w:color w:val="auto"/>
          <w:szCs w:val="21"/>
        </w:rPr>
        <w:t>注：提供第五章规定的证明材料复印件。</w:t>
      </w:r>
    </w:p>
    <w:p>
      <w:pPr>
        <w:widowControl/>
        <w:jc w:val="left"/>
        <w:rPr>
          <w:rFonts w:ascii="黑体" w:eastAsia="黑体"/>
          <w:color w:val="auto"/>
          <w:sz w:val="10"/>
          <w:szCs w:val="10"/>
        </w:rPr>
      </w:pPr>
      <w:r>
        <w:rPr>
          <w:rFonts w:ascii="黑体" w:eastAsia="黑体"/>
          <w:b/>
          <w:bCs/>
          <w:color w:val="auto"/>
          <w:sz w:val="28"/>
          <w:szCs w:val="28"/>
        </w:rPr>
        <w:br w:type="page"/>
      </w:r>
    </w:p>
    <w:p>
      <w:pPr>
        <w:pStyle w:val="4"/>
        <w:adjustRightInd w:val="0"/>
        <w:snapToGrid w:val="0"/>
        <w:spacing w:before="0" w:after="0" w:line="360" w:lineRule="auto"/>
        <w:jc w:val="center"/>
        <w:rPr>
          <w:rFonts w:ascii="黑体" w:hAnsi="宋体" w:eastAsia="黑体"/>
          <w:color w:val="auto"/>
          <w:sz w:val="28"/>
          <w:szCs w:val="28"/>
        </w:rPr>
      </w:pPr>
      <w:bookmarkStart w:id="99" w:name="_Toc20609"/>
      <w:r>
        <w:rPr>
          <w:rFonts w:hint="eastAsia" w:ascii="黑体" w:hAnsi="宋体" w:eastAsia="黑体"/>
          <w:color w:val="auto"/>
          <w:sz w:val="28"/>
          <w:szCs w:val="28"/>
        </w:rPr>
        <w:t>十二、投标人认为需提供的其他资料</w:t>
      </w:r>
      <w:bookmarkEnd w:id="99"/>
    </w:p>
    <w:p>
      <w:pPr>
        <w:adjustRightInd w:val="0"/>
        <w:snapToGrid w:val="0"/>
        <w:spacing w:before="156" w:beforeLines="50" w:line="360" w:lineRule="auto"/>
        <w:rPr>
          <w:rFonts w:ascii="宋体" w:hAnsi="宋体" w:eastAsia="宋体"/>
          <w:color w:val="auto"/>
        </w:rPr>
      </w:pPr>
    </w:p>
    <w:p>
      <w:pPr>
        <w:adjustRightInd w:val="0"/>
        <w:snapToGrid w:val="0"/>
        <w:spacing w:before="156" w:beforeLines="50" w:line="360" w:lineRule="auto"/>
        <w:rPr>
          <w:rFonts w:ascii="宋体" w:hAnsi="宋体" w:eastAsia="宋体"/>
          <w:color w:val="auto"/>
        </w:rPr>
      </w:pPr>
      <w:r>
        <w:rPr>
          <w:rFonts w:hint="eastAsia" w:ascii="宋体" w:hAnsi="宋体" w:eastAsia="宋体"/>
          <w:color w:val="auto"/>
        </w:rPr>
        <w:t>注：投标人认为需提供的其他资料包括：</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color w:val="auto"/>
          <w:lang w:val="en-US" w:eastAsia="zh-CN"/>
        </w:rPr>
        <w:t>1.</w:t>
      </w:r>
      <w:r>
        <w:rPr>
          <w:rFonts w:hint="eastAsia" w:ascii="宋体" w:hAnsi="宋体" w:eastAsia="宋体"/>
          <w:color w:val="auto"/>
        </w:rPr>
        <w:t>招标文件第四章评标方法及标准要求的其他相关资料；</w:t>
      </w:r>
    </w:p>
    <w:p>
      <w:pPr>
        <w:adjustRightInd w:val="0"/>
        <w:snapToGrid w:val="0"/>
        <w:spacing w:before="156" w:beforeLines="50" w:line="360" w:lineRule="auto"/>
        <w:ind w:firstLine="420" w:firstLineChars="200"/>
        <w:rPr>
          <w:rFonts w:ascii="宋体" w:hAnsi="宋体" w:eastAsia="宋体"/>
          <w:color w:val="auto"/>
        </w:rPr>
      </w:pPr>
      <w:r>
        <w:rPr>
          <w:rFonts w:hint="eastAsia" w:ascii="宋体" w:hAnsi="宋体"/>
          <w:color w:val="auto"/>
          <w:lang w:val="en-US" w:eastAsia="zh-CN"/>
        </w:rPr>
        <w:t>2.</w:t>
      </w:r>
      <w:r>
        <w:rPr>
          <w:rFonts w:hint="eastAsia" w:ascii="宋体" w:hAnsi="宋体" w:eastAsia="宋体"/>
          <w:color w:val="auto"/>
        </w:rPr>
        <w:t>招标文件第五章采购需求要求的其他资料。</w:t>
      </w:r>
    </w:p>
    <w:p>
      <w:pPr>
        <w:adjustRightInd w:val="0"/>
        <w:snapToGrid w:val="0"/>
        <w:spacing w:before="156" w:beforeLines="50" w:line="360" w:lineRule="auto"/>
        <w:rPr>
          <w:rFonts w:ascii="宋体" w:hAnsi="宋体" w:eastAsia="宋体"/>
          <w:color w:val="auto"/>
        </w:rPr>
      </w:pPr>
    </w:p>
    <w:p>
      <w:pPr>
        <w:rPr>
          <w:color w:val="auto"/>
        </w:rPr>
      </w:pPr>
    </w:p>
    <w:p>
      <w:pPr>
        <w:widowControl/>
        <w:jc w:val="left"/>
        <w:rPr>
          <w:color w:val="auto"/>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宋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300" w:right="359" w:rightChars="171" w:hanging="180" w:hangingChars="100"/>
      <w:rPr>
        <w:rFonts w:eastAsia="楷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300" w:right="359" w:rightChars="171" w:hanging="180" w:hangingChars="100"/>
      <w:rPr>
        <w:rFonts w:eastAsia="楷体_GB2312"/>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right" w:y="1"/>
      <w:rPr>
        <w:rStyle w:val="25"/>
      </w:rPr>
    </w:pPr>
    <w:r>
      <w:fldChar w:fldCharType="begin"/>
    </w:r>
    <w:r>
      <w:rPr>
        <w:rStyle w:val="25"/>
      </w:rPr>
      <w:instrText xml:space="preserve">PAGE  </w:instrText>
    </w:r>
    <w:r>
      <w:fldChar w:fldCharType="end"/>
    </w:r>
  </w:p>
  <w:p>
    <w:pPr>
      <w:pStyle w:val="1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300" w:right="359" w:rightChars="171" w:hanging="180" w:hangingChars="100"/>
      <w:rPr>
        <w:rFonts w:eastAsia="楷体_GB2312"/>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fldChar w:fldCharType="begin"/>
                          </w:r>
                          <w:r>
                            <w:instrText xml:space="preserve"> PAGE  \* MERGEFORMAT </w:instrText>
                          </w:r>
                          <w:r>
                            <w:fldChar w:fldCharType="separate"/>
                          </w:r>
                          <w:r>
                            <w:t>70</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seocd4BAAC+AwAADgAAAGRycy9lMm9Eb2MueG1srVPNjtMwEL4j8Q6W&#10;7zTZroS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Gx6hx3gEAAL4DAAAOAAAAAAAA&#10;AAEAIAAAAB4BAABkcnMvZTJvRG9jLnhtbFBLBQYAAAAABgAGAFkBAABuBQ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70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rPr>
        <w:u w:val="none"/>
      </w:rPr>
    </w:pPr>
    <w:r>
      <w:rPr>
        <w:rFonts w:hint="eastAsia" w:hAnsi="宋体"/>
        <w:bCs/>
        <w:sz w:val="18"/>
        <w:szCs w:val="18"/>
        <w:u w:val="none"/>
        <w:lang w:eastAsia="zh-CN"/>
      </w:rPr>
      <w:t>湘潭市消防救援支队火灾调查装备采购项目</w:t>
    </w:r>
    <w:r>
      <w:rPr>
        <w:rFonts w:hint="eastAsia" w:hAnsi="宋体"/>
        <w:bCs/>
        <w:sz w:val="18"/>
        <w:szCs w:val="18"/>
        <w:u w:val="none"/>
      </w:rPr>
      <w:t xml:space="preserve">                         </w:t>
    </w:r>
    <w:r>
      <w:rPr>
        <w:rFonts w:hint="eastAsia" w:hAnsi="宋体"/>
        <w:bCs/>
        <w:sz w:val="18"/>
        <w:szCs w:val="18"/>
        <w:u w:val="none"/>
        <w:lang w:val="en-US" w:eastAsia="zh-CN"/>
      </w:rPr>
      <w:t xml:space="preserve">         </w:t>
    </w:r>
    <w:r>
      <w:rPr>
        <w:rFonts w:hint="eastAsia" w:hAnsi="宋体"/>
        <w:bCs/>
        <w:sz w:val="18"/>
        <w:szCs w:val="18"/>
        <w:u w:val="none"/>
      </w:rPr>
      <w:t xml:space="preserve">         招标文件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ED6F2F"/>
    <w:multiLevelType w:val="singleLevel"/>
    <w:tmpl w:val="B1ED6F2F"/>
    <w:lvl w:ilvl="0" w:tentative="0">
      <w:start w:val="1"/>
      <w:numFmt w:val="decimal"/>
      <w:suff w:val="nothing"/>
      <w:lvlText w:val="%1、"/>
      <w:lvlJc w:val="left"/>
    </w:lvl>
  </w:abstractNum>
  <w:abstractNum w:abstractNumId="1">
    <w:nsid w:val="087B1468"/>
    <w:multiLevelType w:val="singleLevel"/>
    <w:tmpl w:val="087B1468"/>
    <w:lvl w:ilvl="0" w:tentative="0">
      <w:start w:val="4"/>
      <w:numFmt w:val="decimal"/>
      <w:suff w:val="space"/>
      <w:lvlText w:val="%1."/>
      <w:lvlJc w:val="left"/>
    </w:lvl>
  </w:abstractNum>
  <w:abstractNum w:abstractNumId="2">
    <w:nsid w:val="449C5CDB"/>
    <w:multiLevelType w:val="multilevel"/>
    <w:tmpl w:val="449C5CDB"/>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3">
    <w:nsid w:val="600EA84F"/>
    <w:multiLevelType w:val="singleLevel"/>
    <w:tmpl w:val="600EA84F"/>
    <w:lvl w:ilvl="0" w:tentative="0">
      <w:start w:val="1"/>
      <w:numFmt w:val="decimal"/>
      <w:lvlText w:val="%1"/>
      <w:lvlJc w:val="left"/>
      <w:pPr>
        <w:tabs>
          <w:tab w:val="left" w:pos="420"/>
        </w:tabs>
        <w:ind w:left="425" w:hanging="425"/>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yOGZiNmNmN2NmZjViZmJlOTBkOWJhYzFkNjM5MDAifQ=="/>
  </w:docVars>
  <w:rsids>
    <w:rsidRoot w:val="00000000"/>
    <w:rsid w:val="040C699C"/>
    <w:rsid w:val="04894555"/>
    <w:rsid w:val="0603688A"/>
    <w:rsid w:val="07F71AE9"/>
    <w:rsid w:val="0D870FBC"/>
    <w:rsid w:val="18354ACD"/>
    <w:rsid w:val="1F9A2615"/>
    <w:rsid w:val="22E55F1F"/>
    <w:rsid w:val="242E1C8E"/>
    <w:rsid w:val="2C60737C"/>
    <w:rsid w:val="2E952D09"/>
    <w:rsid w:val="38FC2559"/>
    <w:rsid w:val="3A233BEC"/>
    <w:rsid w:val="3A770178"/>
    <w:rsid w:val="3B500A09"/>
    <w:rsid w:val="3CB8160B"/>
    <w:rsid w:val="3CC167CC"/>
    <w:rsid w:val="3F26022A"/>
    <w:rsid w:val="3F6826D5"/>
    <w:rsid w:val="41334501"/>
    <w:rsid w:val="429A08F9"/>
    <w:rsid w:val="47411441"/>
    <w:rsid w:val="4DAE65E5"/>
    <w:rsid w:val="50C55A20"/>
    <w:rsid w:val="562F7245"/>
    <w:rsid w:val="5BE24019"/>
    <w:rsid w:val="5F0019DD"/>
    <w:rsid w:val="60AD27A3"/>
    <w:rsid w:val="64234CA7"/>
    <w:rsid w:val="6ACE49F1"/>
    <w:rsid w:val="6AD761A9"/>
    <w:rsid w:val="6DB029CA"/>
    <w:rsid w:val="6FC75B77"/>
    <w:rsid w:val="713518D1"/>
    <w:rsid w:val="72C919A6"/>
    <w:rsid w:val="783A04C0"/>
    <w:rsid w:val="78904560"/>
    <w:rsid w:val="7B487AD8"/>
    <w:rsid w:val="7C3F756C"/>
    <w:rsid w:val="7CB851D8"/>
    <w:rsid w:val="7DFC6AF1"/>
    <w:rsid w:val="7F212AAF"/>
    <w:rsid w:val="B7FBBE02"/>
    <w:rsid w:val="C77FC18F"/>
    <w:rsid w:val="FED6A18B"/>
    <w:rsid w:val="FFFFE2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jc w:val="center"/>
      <w:outlineLvl w:val="0"/>
    </w:pPr>
    <w:rPr>
      <w:b/>
      <w:bCs/>
      <w:sz w:val="24"/>
      <w:szCs w:val="20"/>
    </w:rPr>
  </w:style>
  <w:style w:type="paragraph" w:styleId="3">
    <w:name w:val="heading 2"/>
    <w:basedOn w:val="1"/>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widowControl/>
      <w:ind w:firstLine="420"/>
      <w:jc w:val="left"/>
    </w:pPr>
    <w:rPr>
      <w:kern w:val="0"/>
      <w:sz w:val="20"/>
      <w:szCs w:val="20"/>
    </w:rPr>
  </w:style>
  <w:style w:type="paragraph" w:styleId="7">
    <w:name w:val="annotation text"/>
    <w:basedOn w:val="1"/>
    <w:autoRedefine/>
    <w:qFormat/>
    <w:uiPriority w:val="0"/>
    <w:pPr>
      <w:jc w:val="left"/>
    </w:pPr>
  </w:style>
  <w:style w:type="paragraph" w:styleId="8">
    <w:name w:val="Body Text Indent"/>
    <w:basedOn w:val="1"/>
    <w:autoRedefine/>
    <w:qFormat/>
    <w:uiPriority w:val="0"/>
    <w:pPr>
      <w:spacing w:after="120"/>
      <w:ind w:left="420" w:leftChars="200"/>
    </w:pPr>
  </w:style>
  <w:style w:type="paragraph" w:styleId="9">
    <w:name w:val="toc 3"/>
    <w:basedOn w:val="1"/>
    <w:next w:val="1"/>
    <w:autoRedefine/>
    <w:unhideWhenUsed/>
    <w:qFormat/>
    <w:uiPriority w:val="39"/>
    <w:pPr>
      <w:adjustRightInd w:val="0"/>
      <w:snapToGrid w:val="0"/>
      <w:spacing w:line="360" w:lineRule="auto"/>
      <w:ind w:left="400" w:leftChars="400"/>
    </w:pPr>
    <w:rPr>
      <w:rFonts w:eastAsia="宋体"/>
      <w:b/>
    </w:rPr>
  </w:style>
  <w:style w:type="paragraph" w:styleId="10">
    <w:name w:val="Plain Text"/>
    <w:basedOn w:val="1"/>
    <w:autoRedefine/>
    <w:qFormat/>
    <w:uiPriority w:val="0"/>
    <w:rPr>
      <w:rFonts w:ascii="宋体" w:hAnsi="Courier New" w:cs="Courier New"/>
      <w:szCs w:val="21"/>
    </w:rPr>
  </w:style>
  <w:style w:type="paragraph" w:styleId="11">
    <w:name w:val="Date"/>
    <w:basedOn w:val="1"/>
    <w:next w:val="1"/>
    <w:autoRedefine/>
    <w:qFormat/>
    <w:uiPriority w:val="0"/>
    <w:rPr>
      <w:sz w:val="24"/>
      <w:szCs w:val="20"/>
    </w:rPr>
  </w:style>
  <w:style w:type="paragraph" w:styleId="12">
    <w:name w:val="Body Text Indent 2"/>
    <w:basedOn w:val="1"/>
    <w:autoRedefine/>
    <w:qFormat/>
    <w:uiPriority w:val="0"/>
    <w:pPr>
      <w:spacing w:after="120" w:line="480" w:lineRule="auto"/>
      <w:ind w:left="420" w:leftChars="200"/>
    </w:pPr>
  </w:style>
  <w:style w:type="paragraph" w:styleId="13">
    <w:name w:val="footer"/>
    <w:basedOn w:val="1"/>
    <w:autoRedefine/>
    <w:qFormat/>
    <w:uiPriority w:val="0"/>
    <w:pPr>
      <w:tabs>
        <w:tab w:val="center" w:pos="4153"/>
        <w:tab w:val="right" w:pos="8306"/>
      </w:tabs>
      <w:snapToGrid w:val="0"/>
      <w:jc w:val="left"/>
    </w:pPr>
    <w:rPr>
      <w:sz w:val="18"/>
      <w:szCs w:val="18"/>
    </w:rPr>
  </w:style>
  <w:style w:type="paragraph" w:styleId="1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qFormat/>
    <w:uiPriority w:val="39"/>
    <w:pPr>
      <w:spacing w:line="360" w:lineRule="auto"/>
    </w:pPr>
    <w:rPr>
      <w:rFonts w:ascii="宋体" w:hAnsi="宋体" w:eastAsia="宋体"/>
      <w:b/>
      <w:sz w:val="24"/>
      <w:szCs w:val="21"/>
    </w:rPr>
  </w:style>
  <w:style w:type="paragraph" w:styleId="16">
    <w:name w:val="toc 4"/>
    <w:basedOn w:val="1"/>
    <w:next w:val="1"/>
    <w:autoRedefine/>
    <w:unhideWhenUsed/>
    <w:qFormat/>
    <w:uiPriority w:val="39"/>
    <w:pPr>
      <w:adjustRightInd w:val="0"/>
      <w:snapToGrid w:val="0"/>
      <w:spacing w:line="360" w:lineRule="auto"/>
      <w:ind w:left="600" w:leftChars="600"/>
    </w:pPr>
    <w:rPr>
      <w:rFonts w:ascii="Calibri" w:hAnsi="Calibri" w:eastAsia="宋体" w:cs="Times New Roman"/>
      <w:b/>
      <w:szCs w:val="22"/>
    </w:rPr>
  </w:style>
  <w:style w:type="paragraph" w:styleId="17">
    <w:name w:val="toc 2"/>
    <w:basedOn w:val="1"/>
    <w:next w:val="1"/>
    <w:autoRedefine/>
    <w:unhideWhenUsed/>
    <w:qFormat/>
    <w:uiPriority w:val="39"/>
    <w:pPr>
      <w:spacing w:line="360" w:lineRule="auto"/>
      <w:ind w:left="200" w:leftChars="200"/>
    </w:pPr>
    <w:rPr>
      <w:rFonts w:eastAsia="宋体"/>
      <w:b/>
    </w:rPr>
  </w:style>
  <w:style w:type="paragraph" w:styleId="18">
    <w:name w:val="Body Text 2"/>
    <w:basedOn w:val="1"/>
    <w:autoRedefine/>
    <w:qFormat/>
    <w:uiPriority w:val="0"/>
    <w:pPr>
      <w:spacing w:after="120" w:line="480" w:lineRule="auto"/>
    </w:pPr>
  </w:style>
  <w:style w:type="paragraph" w:styleId="19">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0">
    <w:name w:val="Body Text First Indent 2"/>
    <w:basedOn w:val="8"/>
    <w:autoRedefine/>
    <w:qFormat/>
    <w:uiPriority w:val="0"/>
    <w:pPr>
      <w:ind w:firstLine="420" w:firstLineChars="200"/>
    </w:pPr>
  </w:style>
  <w:style w:type="table" w:styleId="22">
    <w:name w:val="Table Grid"/>
    <w:basedOn w:val="21"/>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autoRedefine/>
    <w:qFormat/>
    <w:uiPriority w:val="0"/>
    <w:rPr>
      <w:b/>
      <w:bCs/>
    </w:rPr>
  </w:style>
  <w:style w:type="character" w:styleId="25">
    <w:name w:val="page number"/>
    <w:basedOn w:val="23"/>
    <w:autoRedefine/>
    <w:qFormat/>
    <w:uiPriority w:val="0"/>
  </w:style>
  <w:style w:type="paragraph" w:customStyle="1" w:styleId="26">
    <w:name w:val="列出段落1"/>
    <w:basedOn w:val="1"/>
    <w:autoRedefine/>
    <w:qFormat/>
    <w:uiPriority w:val="0"/>
    <w:pPr>
      <w:ind w:firstLine="420" w:firstLineChars="200"/>
    </w:pPr>
    <w:rPr>
      <w:szCs w:val="21"/>
    </w:rPr>
  </w:style>
  <w:style w:type="paragraph" w:customStyle="1" w:styleId="27">
    <w:name w:val="正文缩进1"/>
    <w:basedOn w:val="1"/>
    <w:autoRedefine/>
    <w:qFormat/>
    <w:uiPriority w:val="99"/>
    <w:pPr>
      <w:widowControl/>
      <w:ind w:firstLine="420"/>
      <w:jc w:val="left"/>
    </w:pPr>
    <w:rPr>
      <w:kern w:val="0"/>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6.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33875</Words>
  <Characters>35185</Characters>
  <Lines>0</Lines>
  <Paragraphs>0</Paragraphs>
  <TotalTime>114</TotalTime>
  <ScaleCrop>false</ScaleCrop>
  <LinksUpToDate>false</LinksUpToDate>
  <CharactersWithSpaces>39650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2022-08-03T14:55:00Z</dcterms:created>
  <dc:creator>Administrator</dc:creator>
  <cp:lastModifiedBy>王垚</cp:lastModifiedBy>
  <dcterms:modified xsi:type="dcterms:W3CDTF">2024-01-02T01:16:57Z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82A869572C0E41B6A786E288456C0671_13</vt:lpwstr>
  </property>
</Properties>
</file>